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7" w:rightFromText="187" w:vertAnchor="page" w:horzAnchor="margin" w:tblpXSpec="center" w:tblpY="5513"/>
        <w:tblW w:w="5395" w:type="pct"/>
        <w:tblLayout w:type="fixed"/>
        <w:tblCellMar>
          <w:top w:w="216" w:type="dxa"/>
          <w:left w:w="216" w:type="dxa"/>
          <w:bottom w:w="216" w:type="dxa"/>
          <w:right w:w="216" w:type="dxa"/>
        </w:tblCellMar>
        <w:tblLook w:val="04A0" w:firstRow="1" w:lastRow="0" w:firstColumn="1" w:lastColumn="0" w:noHBand="0" w:noVBand="1"/>
      </w:tblPr>
      <w:tblGrid>
        <w:gridCol w:w="5685"/>
        <w:gridCol w:w="4414"/>
      </w:tblGrid>
      <w:tr w:rsidR="00023FE7" w:rsidRPr="00A75DF9" w:rsidTr="00B909F2">
        <w:trPr>
          <w:trHeight w:val="4063"/>
        </w:trPr>
        <w:tc>
          <w:tcPr>
            <w:tcW w:w="5951" w:type="dxa"/>
            <w:tcBorders>
              <w:bottom w:val="single" w:sz="18" w:space="0" w:color="808080"/>
              <w:right w:val="single" w:sz="18" w:space="0" w:color="808080"/>
            </w:tcBorders>
            <w:vAlign w:val="center"/>
          </w:tcPr>
          <w:p w:rsidR="00023FE7" w:rsidRPr="00A75DF9" w:rsidRDefault="00023FE7" w:rsidP="0041078A">
            <w:pPr>
              <w:pStyle w:val="Title"/>
              <w:rPr>
                <w:rFonts w:cs="Tahoma"/>
                <w:b w:val="0"/>
                <w:sz w:val="76"/>
                <w:szCs w:val="76"/>
              </w:rPr>
            </w:pPr>
            <w:bookmarkStart w:id="0" w:name="_Toc336337837"/>
            <w:bookmarkStart w:id="1" w:name="_Toc368309840"/>
            <w:r w:rsidRPr="00A75DF9">
              <w:rPr>
                <w:rFonts w:cs="Tahoma"/>
                <w:b w:val="0"/>
                <w:sz w:val="76"/>
                <w:szCs w:val="76"/>
              </w:rPr>
              <w:t>Microsoft</w:t>
            </w:r>
            <w:r w:rsidR="009D5D7B" w:rsidRPr="00A75DF9">
              <w:rPr>
                <w:rFonts w:cs="Tahoma"/>
                <w:b w:val="0"/>
                <w:sz w:val="76"/>
                <w:szCs w:val="76"/>
                <w:vertAlign w:val="superscript"/>
              </w:rPr>
              <w:t>®</w:t>
            </w:r>
            <w:bookmarkEnd w:id="0"/>
            <w:bookmarkEnd w:id="1"/>
          </w:p>
          <w:p w:rsidR="00023FE7" w:rsidRPr="00A75DF9" w:rsidRDefault="00023FE7" w:rsidP="00FC5A72">
            <w:pPr>
              <w:pStyle w:val="NoSpacing1"/>
              <w:ind w:left="990" w:right="929"/>
              <w:rPr>
                <w:rFonts w:ascii="Tahoma" w:hAnsi="Tahoma" w:cs="Tahoma"/>
                <w:bCs/>
                <w:sz w:val="76"/>
                <w:szCs w:val="72"/>
              </w:rPr>
            </w:pPr>
            <w:proofErr w:type="spellStart"/>
            <w:r w:rsidRPr="00A75DF9">
              <w:rPr>
                <w:rFonts w:ascii="Cambria" w:hAnsi="Cambria" w:cs="Tahoma"/>
                <w:bCs/>
                <w:sz w:val="76"/>
                <w:szCs w:val="76"/>
              </w:rPr>
              <w:t>Lista</w:t>
            </w:r>
            <w:proofErr w:type="spellEnd"/>
            <w:r w:rsidRPr="00A75DF9">
              <w:rPr>
                <w:rFonts w:ascii="Cambria" w:hAnsi="Cambria" w:cs="Tahoma"/>
                <w:bCs/>
                <w:sz w:val="76"/>
                <w:szCs w:val="76"/>
              </w:rPr>
              <w:t xml:space="preserve"> </w:t>
            </w:r>
            <w:proofErr w:type="spellStart"/>
            <w:r w:rsidRPr="00A75DF9">
              <w:rPr>
                <w:rFonts w:ascii="Cambria" w:hAnsi="Cambria" w:cs="Tahoma"/>
                <w:bCs/>
                <w:sz w:val="76"/>
                <w:szCs w:val="76"/>
              </w:rPr>
              <w:t>dei</w:t>
            </w:r>
            <w:proofErr w:type="spellEnd"/>
            <w:r w:rsidRPr="00A75DF9">
              <w:rPr>
                <w:rFonts w:ascii="Cambria" w:hAnsi="Cambria" w:cs="Tahoma"/>
                <w:bCs/>
                <w:sz w:val="76"/>
                <w:szCs w:val="76"/>
              </w:rPr>
              <w:t xml:space="preserve"> </w:t>
            </w:r>
            <w:proofErr w:type="spellStart"/>
            <w:r w:rsidRPr="00A75DF9">
              <w:rPr>
                <w:rFonts w:ascii="Cambria" w:hAnsi="Cambria" w:cs="Tahoma"/>
                <w:bCs/>
                <w:sz w:val="76"/>
                <w:szCs w:val="76"/>
              </w:rPr>
              <w:t>Prodotti</w:t>
            </w:r>
            <w:proofErr w:type="spellEnd"/>
          </w:p>
        </w:tc>
        <w:tc>
          <w:tcPr>
            <w:tcW w:w="4615" w:type="dxa"/>
            <w:tcBorders>
              <w:left w:val="single" w:sz="18" w:space="0" w:color="808080"/>
              <w:bottom w:val="single" w:sz="18" w:space="0" w:color="808080"/>
            </w:tcBorders>
            <w:vAlign w:val="center"/>
          </w:tcPr>
          <w:p w:rsidR="00023FE7" w:rsidRPr="00A75DF9" w:rsidRDefault="00023FE7">
            <w:pPr>
              <w:pStyle w:val="NoSpacing1"/>
              <w:ind w:right="-1797"/>
              <w:rPr>
                <w:rFonts w:ascii="Tahoma" w:hAnsi="Tahoma" w:cs="Tahoma"/>
                <w:sz w:val="72"/>
                <w:szCs w:val="72"/>
              </w:rPr>
            </w:pPr>
            <w:bookmarkStart w:id="2" w:name="_GoBack"/>
            <w:bookmarkEnd w:id="2"/>
          </w:p>
          <w:p w:rsidR="00023FE7" w:rsidRPr="00A75DF9" w:rsidRDefault="001A7C63">
            <w:pPr>
              <w:pStyle w:val="NoSpacing1"/>
              <w:ind w:right="-1797"/>
              <w:rPr>
                <w:rFonts w:ascii="Tahoma" w:hAnsi="Tahoma" w:cs="Tahoma"/>
                <w:sz w:val="72"/>
                <w:szCs w:val="72"/>
              </w:rPr>
            </w:pPr>
            <w:r w:rsidRPr="00A75DF9">
              <w:rPr>
                <w:rFonts w:ascii="Tahoma" w:hAnsi="Tahoma" w:cs="Tahoma"/>
                <w:sz w:val="72"/>
                <w:szCs w:val="72"/>
              </w:rPr>
              <w:t xml:space="preserve">1 </w:t>
            </w:r>
            <w:proofErr w:type="spellStart"/>
            <w:r w:rsidR="00FC5A72" w:rsidRPr="00A75DF9">
              <w:rPr>
                <w:rFonts w:ascii="Tahoma" w:hAnsi="Tahoma" w:cs="Tahoma"/>
                <w:sz w:val="72"/>
                <w:szCs w:val="72"/>
              </w:rPr>
              <w:t>O</w:t>
            </w:r>
            <w:r w:rsidRPr="00A75DF9">
              <w:rPr>
                <w:rFonts w:ascii="Tahoma" w:hAnsi="Tahoma" w:cs="Tahoma"/>
                <w:sz w:val="72"/>
                <w:szCs w:val="72"/>
              </w:rPr>
              <w:t>ttobre</w:t>
            </w:r>
            <w:proofErr w:type="spellEnd"/>
          </w:p>
          <w:p w:rsidR="00023FE7" w:rsidRPr="00A75DF9" w:rsidRDefault="0077167D" w:rsidP="00A04495">
            <w:pPr>
              <w:pStyle w:val="NoSpacing1"/>
              <w:ind w:rightChars="-103" w:right="-185"/>
              <w:rPr>
                <w:rFonts w:ascii="Tahoma" w:hAnsi="Tahoma" w:cs="Tahoma"/>
                <w:color w:val="4F81BD"/>
                <w:sz w:val="200"/>
                <w:szCs w:val="200"/>
              </w:rPr>
            </w:pPr>
            <w:r w:rsidRPr="00A75DF9">
              <w:rPr>
                <w:rFonts w:ascii="Tahoma" w:hAnsi="Tahoma" w:cs="Tahoma"/>
                <w:color w:val="4F81BD"/>
                <w:sz w:val="180"/>
                <w:szCs w:val="200"/>
              </w:rPr>
              <w:t>2013</w:t>
            </w:r>
          </w:p>
        </w:tc>
      </w:tr>
      <w:tr w:rsidR="00023FE7" w:rsidRPr="00A75DF9" w:rsidTr="00B909F2">
        <w:trPr>
          <w:trHeight w:val="412"/>
        </w:trPr>
        <w:tc>
          <w:tcPr>
            <w:tcW w:w="5951" w:type="dxa"/>
            <w:tcBorders>
              <w:top w:val="single" w:sz="18" w:space="0" w:color="808080"/>
            </w:tcBorders>
            <w:vAlign w:val="center"/>
          </w:tcPr>
          <w:p w:rsidR="00023FE7" w:rsidRPr="00A75DF9" w:rsidRDefault="00023FE7" w:rsidP="00290AF3">
            <w:pPr>
              <w:pStyle w:val="NoSpacing1"/>
              <w:ind w:leftChars="122" w:left="220" w:firstLine="2"/>
              <w:rPr>
                <w:rFonts w:ascii="Tahoma" w:hAnsi="Tahoma" w:cs="Tahoma"/>
                <w:sz w:val="22"/>
                <w:szCs w:val="22"/>
              </w:rPr>
            </w:pPr>
            <w:r w:rsidRPr="00A75DF9">
              <w:rPr>
                <w:rFonts w:ascii="Tahoma" w:hAnsi="Tahoma" w:cs="Tahoma"/>
                <w:szCs w:val="22"/>
              </w:rPr>
              <w:t xml:space="preserve">La </w:t>
            </w:r>
            <w:proofErr w:type="spellStart"/>
            <w:r w:rsidRPr="00A75DF9">
              <w:rPr>
                <w:rFonts w:ascii="Tahoma" w:hAnsi="Tahoma" w:cs="Tahoma"/>
                <w:szCs w:val="22"/>
              </w:rPr>
              <w:t>Lista</w:t>
            </w:r>
            <w:proofErr w:type="spellEnd"/>
            <w:r w:rsidRPr="00A75DF9">
              <w:rPr>
                <w:rFonts w:ascii="Tahoma" w:hAnsi="Tahoma" w:cs="Tahoma"/>
                <w:szCs w:val="22"/>
              </w:rPr>
              <w:t xml:space="preserve"> </w:t>
            </w:r>
            <w:proofErr w:type="spellStart"/>
            <w:r w:rsidRPr="00A75DF9">
              <w:rPr>
                <w:rFonts w:ascii="Tahoma" w:hAnsi="Tahoma" w:cs="Tahoma"/>
                <w:szCs w:val="22"/>
              </w:rPr>
              <w:t>dei</w:t>
            </w:r>
            <w:proofErr w:type="spellEnd"/>
            <w:r w:rsidRPr="00A75DF9">
              <w:rPr>
                <w:rFonts w:ascii="Tahoma" w:hAnsi="Tahoma" w:cs="Tahoma"/>
                <w:szCs w:val="22"/>
              </w:rPr>
              <w:t xml:space="preserve"> </w:t>
            </w:r>
            <w:proofErr w:type="spellStart"/>
            <w:r w:rsidRPr="00A75DF9">
              <w:rPr>
                <w:rFonts w:ascii="Tahoma" w:hAnsi="Tahoma" w:cs="Tahoma"/>
                <w:szCs w:val="22"/>
              </w:rPr>
              <w:t>Prodotti</w:t>
            </w:r>
            <w:proofErr w:type="spellEnd"/>
            <w:r w:rsidRPr="00A75DF9">
              <w:rPr>
                <w:rFonts w:ascii="Tahoma" w:hAnsi="Tahoma" w:cs="Tahoma"/>
                <w:szCs w:val="22"/>
              </w:rPr>
              <w:t xml:space="preserve"> Microsoft </w:t>
            </w:r>
            <w:proofErr w:type="spellStart"/>
            <w:r w:rsidRPr="00A75DF9">
              <w:rPr>
                <w:rFonts w:ascii="Tahoma" w:hAnsi="Tahoma" w:cs="Tahoma"/>
                <w:szCs w:val="22"/>
              </w:rPr>
              <w:t>fornisce</w:t>
            </w:r>
            <w:proofErr w:type="spellEnd"/>
            <w:r w:rsidRPr="00A75DF9">
              <w:rPr>
                <w:rFonts w:ascii="Tahoma" w:hAnsi="Tahoma" w:cs="Tahoma"/>
                <w:szCs w:val="22"/>
              </w:rPr>
              <w:t xml:space="preserve"> </w:t>
            </w:r>
            <w:proofErr w:type="spellStart"/>
            <w:r w:rsidRPr="00A75DF9">
              <w:rPr>
                <w:rFonts w:ascii="Tahoma" w:hAnsi="Tahoma" w:cs="Tahoma"/>
                <w:szCs w:val="22"/>
              </w:rPr>
              <w:t>mensilmente</w:t>
            </w:r>
            <w:proofErr w:type="spellEnd"/>
            <w:r w:rsidRPr="00A75DF9">
              <w:rPr>
                <w:rFonts w:ascii="Tahoma" w:hAnsi="Tahoma" w:cs="Tahoma"/>
                <w:szCs w:val="22"/>
              </w:rPr>
              <w:t xml:space="preserve"> </w:t>
            </w:r>
            <w:proofErr w:type="spellStart"/>
            <w:r w:rsidRPr="00A75DF9">
              <w:rPr>
                <w:rFonts w:ascii="Tahoma" w:hAnsi="Tahoma" w:cs="Tahoma"/>
                <w:szCs w:val="22"/>
              </w:rPr>
              <w:t>informazioni</w:t>
            </w:r>
            <w:proofErr w:type="spellEnd"/>
            <w:r w:rsidRPr="00A75DF9">
              <w:rPr>
                <w:rFonts w:ascii="Tahoma" w:hAnsi="Tahoma" w:cs="Tahoma"/>
                <w:szCs w:val="22"/>
              </w:rPr>
              <w:t xml:space="preserve"> </w:t>
            </w:r>
            <w:proofErr w:type="spellStart"/>
            <w:r w:rsidRPr="00A75DF9">
              <w:rPr>
                <w:rFonts w:ascii="Tahoma" w:hAnsi="Tahoma" w:cs="Tahoma"/>
                <w:szCs w:val="22"/>
              </w:rPr>
              <w:t>sul</w:t>
            </w:r>
            <w:proofErr w:type="spellEnd"/>
            <w:r w:rsidRPr="00A75DF9">
              <w:rPr>
                <w:rFonts w:ascii="Tahoma" w:hAnsi="Tahoma" w:cs="Tahoma"/>
                <w:szCs w:val="22"/>
              </w:rPr>
              <w:t xml:space="preserve"> software Microsoft e sui </w:t>
            </w:r>
            <w:proofErr w:type="spellStart"/>
            <w:r w:rsidRPr="00A75DF9">
              <w:rPr>
                <w:rFonts w:ascii="Tahoma" w:hAnsi="Tahoma" w:cs="Tahoma"/>
                <w:szCs w:val="22"/>
              </w:rPr>
              <w:t>Servizi</w:t>
            </w:r>
            <w:proofErr w:type="spellEnd"/>
            <w:r w:rsidRPr="00A75DF9">
              <w:rPr>
                <w:rFonts w:ascii="Tahoma" w:hAnsi="Tahoma" w:cs="Tahoma"/>
                <w:szCs w:val="22"/>
              </w:rPr>
              <w:t xml:space="preserve"> Online</w:t>
            </w:r>
            <w:r w:rsidR="00290AF3" w:rsidRPr="00A75DF9">
              <w:rPr>
                <w:rFonts w:ascii="Tahoma" w:hAnsi="Tahoma" w:cs="Tahoma"/>
                <w:szCs w:val="22"/>
              </w:rPr>
              <w:t> </w:t>
            </w:r>
            <w:proofErr w:type="spellStart"/>
            <w:r w:rsidRPr="00A75DF9">
              <w:rPr>
                <w:rFonts w:ascii="Tahoma" w:hAnsi="Tahoma" w:cs="Tahoma"/>
                <w:szCs w:val="22"/>
              </w:rPr>
              <w:t>concessi</w:t>
            </w:r>
            <w:proofErr w:type="spellEnd"/>
            <w:r w:rsidRPr="00A75DF9">
              <w:rPr>
                <w:rFonts w:ascii="Tahoma" w:hAnsi="Tahoma" w:cs="Tahoma"/>
                <w:szCs w:val="22"/>
              </w:rPr>
              <w:t xml:space="preserve"> in </w:t>
            </w:r>
            <w:proofErr w:type="spellStart"/>
            <w:r w:rsidRPr="00A75DF9">
              <w:rPr>
                <w:rFonts w:ascii="Tahoma" w:hAnsi="Tahoma" w:cs="Tahoma"/>
                <w:szCs w:val="22"/>
              </w:rPr>
              <w:t>licenza</w:t>
            </w:r>
            <w:proofErr w:type="spellEnd"/>
            <w:r w:rsidRPr="00A75DF9">
              <w:rPr>
                <w:rFonts w:ascii="Tahoma" w:hAnsi="Tahoma" w:cs="Tahoma"/>
                <w:szCs w:val="22"/>
              </w:rPr>
              <w:t xml:space="preserve"> </w:t>
            </w:r>
            <w:proofErr w:type="spellStart"/>
            <w:r w:rsidRPr="00A75DF9">
              <w:rPr>
                <w:rFonts w:ascii="Tahoma" w:hAnsi="Tahoma" w:cs="Tahoma"/>
                <w:szCs w:val="22"/>
              </w:rPr>
              <w:t>tramite</w:t>
            </w:r>
            <w:proofErr w:type="spellEnd"/>
            <w:r w:rsidRPr="00A75DF9">
              <w:rPr>
                <w:rFonts w:ascii="Tahoma" w:hAnsi="Tahoma" w:cs="Tahoma"/>
                <w:szCs w:val="22"/>
              </w:rPr>
              <w:t xml:space="preserve"> </w:t>
            </w:r>
            <w:proofErr w:type="spellStart"/>
            <w:r w:rsidRPr="00A75DF9">
              <w:rPr>
                <w:rFonts w:ascii="Tahoma" w:hAnsi="Tahoma" w:cs="Tahoma"/>
                <w:szCs w:val="22"/>
              </w:rPr>
              <w:t>i</w:t>
            </w:r>
            <w:proofErr w:type="spellEnd"/>
            <w:r w:rsidRPr="00A75DF9">
              <w:rPr>
                <w:rFonts w:ascii="Tahoma" w:hAnsi="Tahoma" w:cs="Tahoma"/>
                <w:szCs w:val="22"/>
              </w:rPr>
              <w:t xml:space="preserve"> </w:t>
            </w:r>
            <w:proofErr w:type="spellStart"/>
            <w:r w:rsidRPr="00A75DF9">
              <w:rPr>
                <w:rFonts w:ascii="Tahoma" w:hAnsi="Tahoma" w:cs="Tahoma"/>
                <w:szCs w:val="22"/>
              </w:rPr>
              <w:t>Programmi</w:t>
            </w:r>
            <w:proofErr w:type="spellEnd"/>
            <w:r w:rsidRPr="00A75DF9">
              <w:rPr>
                <w:rFonts w:ascii="Tahoma" w:hAnsi="Tahoma" w:cs="Tahoma"/>
                <w:szCs w:val="22"/>
              </w:rPr>
              <w:t xml:space="preserve"> Microsoft</w:t>
            </w:r>
            <w:r w:rsidR="00290AF3" w:rsidRPr="00A75DF9">
              <w:rPr>
                <w:rFonts w:ascii="Tahoma" w:hAnsi="Tahoma" w:cs="Tahoma"/>
                <w:szCs w:val="22"/>
              </w:rPr>
              <w:t> </w:t>
            </w:r>
            <w:r w:rsidRPr="00A75DF9">
              <w:rPr>
                <w:rFonts w:ascii="Tahoma" w:hAnsi="Tahoma" w:cs="Tahoma"/>
                <w:szCs w:val="22"/>
              </w:rPr>
              <w:t>Volume</w:t>
            </w:r>
            <w:r w:rsidR="00290AF3" w:rsidRPr="00A75DF9">
              <w:rPr>
                <w:rFonts w:ascii="Tahoma" w:hAnsi="Tahoma" w:cs="Tahoma"/>
                <w:szCs w:val="22"/>
              </w:rPr>
              <w:t> </w:t>
            </w:r>
            <w:r w:rsidRPr="00A75DF9">
              <w:rPr>
                <w:rFonts w:ascii="Tahoma" w:hAnsi="Tahoma" w:cs="Tahoma"/>
                <w:szCs w:val="22"/>
              </w:rPr>
              <w:t>Licensing.</w:t>
            </w:r>
          </w:p>
        </w:tc>
        <w:tc>
          <w:tcPr>
            <w:tcW w:w="4615" w:type="dxa"/>
            <w:tcBorders>
              <w:top w:val="single" w:sz="18" w:space="0" w:color="808080"/>
            </w:tcBorders>
            <w:vAlign w:val="center"/>
          </w:tcPr>
          <w:p w:rsidR="00023FE7" w:rsidRPr="00A75DF9" w:rsidRDefault="00023FE7" w:rsidP="00A04495">
            <w:pPr>
              <w:pStyle w:val="NoSpacing1"/>
              <w:ind w:rightChars="-15" w:right="-27"/>
              <w:rPr>
                <w:rFonts w:ascii="Tahoma" w:hAnsi="Tahoma" w:cs="Tahoma"/>
                <w:sz w:val="32"/>
                <w:szCs w:val="32"/>
              </w:rPr>
            </w:pPr>
          </w:p>
        </w:tc>
      </w:tr>
    </w:tbl>
    <w:p w:rsidR="00023FE7" w:rsidRPr="00A75DF9" w:rsidRDefault="00023FE7" w:rsidP="00B0065F">
      <w:pPr>
        <w:pStyle w:val="Heading1"/>
        <w:rPr>
          <w:rFonts w:cs="Tahoma"/>
        </w:rPr>
        <w:sectPr w:rsidR="00023FE7" w:rsidRPr="00A75DF9" w:rsidSect="00C530A9">
          <w:headerReference w:type="default" r:id="rId14"/>
          <w:footerReference w:type="default" r:id="rId15"/>
          <w:headerReference w:type="first" r:id="rId16"/>
          <w:footerReference w:type="first" r:id="rId17"/>
          <w:endnotePr>
            <w:numFmt w:val="decimal"/>
          </w:endnotePr>
          <w:pgSz w:w="12240" w:h="15840" w:code="1"/>
          <w:pgMar w:top="1440" w:right="1440" w:bottom="1440" w:left="1440" w:header="576" w:footer="432" w:gutter="0"/>
          <w:cols w:space="720"/>
          <w:titlePg/>
          <w:docGrid w:linePitch="360"/>
        </w:sectPr>
      </w:pPr>
    </w:p>
    <w:p w:rsidR="00023FE7" w:rsidRPr="00A75DF9" w:rsidRDefault="00023FE7" w:rsidP="00B0065F">
      <w:pPr>
        <w:pStyle w:val="Heading1"/>
        <w:rPr>
          <w:rFonts w:cs="Tahoma"/>
        </w:rPr>
      </w:pPr>
      <w:bookmarkStart w:id="3" w:name="_Toc336337838"/>
      <w:bookmarkStart w:id="4" w:name="_Toc368309841"/>
      <w:r w:rsidRPr="00A75DF9">
        <w:rPr>
          <w:rFonts w:cs="Tahoma"/>
        </w:rPr>
        <w:lastRenderedPageBreak/>
        <w:t>INFORMAZIONI SUL PRESENTE Documento</w:t>
      </w:r>
      <w:bookmarkEnd w:id="3"/>
      <w:bookmarkEnd w:id="4"/>
    </w:p>
    <w:p w:rsidR="00023FE7" w:rsidRPr="00A75DF9" w:rsidRDefault="00023FE7">
      <w:pPr>
        <w:pStyle w:val="Body"/>
        <w:ind w:right="720"/>
        <w:rPr>
          <w:rFonts w:ascii="Tahoma" w:hAnsi="Tahoma" w:cs="Tahoma"/>
        </w:rPr>
      </w:pPr>
    </w:p>
    <w:p w:rsidR="00023FE7" w:rsidRPr="00A75DF9" w:rsidRDefault="00023FE7">
      <w:pPr>
        <w:pStyle w:val="Body"/>
        <w:ind w:right="720"/>
        <w:rPr>
          <w:rFonts w:ascii="Tahoma" w:hAnsi="Tahoma" w:cs="Tahoma"/>
        </w:rPr>
      </w:pPr>
      <w:r w:rsidRPr="00A75DF9">
        <w:rPr>
          <w:rFonts w:ascii="Tahoma" w:hAnsi="Tahoma" w:cs="Tahoma"/>
          <w:sz w:val="18"/>
          <w:szCs w:val="18"/>
        </w:rPr>
        <w:t xml:space="preserve">La </w:t>
      </w:r>
      <w:proofErr w:type="spellStart"/>
      <w:r w:rsidRPr="00A75DF9">
        <w:rPr>
          <w:rFonts w:ascii="Tahoma" w:hAnsi="Tahoma" w:cs="Tahoma"/>
          <w:sz w:val="18"/>
          <w:szCs w:val="18"/>
        </w:rPr>
        <w:t>Lista</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dei</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Prodotti</w:t>
      </w:r>
      <w:proofErr w:type="spellEnd"/>
      <w:r w:rsidRPr="00A75DF9">
        <w:rPr>
          <w:rFonts w:ascii="Tahoma" w:hAnsi="Tahoma" w:cs="Tahoma"/>
          <w:sz w:val="18"/>
          <w:szCs w:val="18"/>
        </w:rPr>
        <w:t xml:space="preserve"> Microsoft </w:t>
      </w:r>
      <w:proofErr w:type="spellStart"/>
      <w:r w:rsidRPr="00A75DF9">
        <w:rPr>
          <w:rFonts w:ascii="Tahoma" w:hAnsi="Tahoma" w:cs="Tahoma"/>
          <w:sz w:val="18"/>
          <w:szCs w:val="18"/>
        </w:rPr>
        <w:t>fornisce</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mensilmente</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informazioni</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sul</w:t>
      </w:r>
      <w:proofErr w:type="spellEnd"/>
      <w:r w:rsidRPr="00A75DF9">
        <w:rPr>
          <w:rFonts w:ascii="Tahoma" w:hAnsi="Tahoma" w:cs="Tahoma"/>
          <w:sz w:val="18"/>
          <w:szCs w:val="18"/>
        </w:rPr>
        <w:t xml:space="preserve"> software Microsoft e </w:t>
      </w:r>
      <w:proofErr w:type="gramStart"/>
      <w:r w:rsidRPr="00A75DF9">
        <w:rPr>
          <w:rFonts w:ascii="Tahoma" w:hAnsi="Tahoma" w:cs="Tahoma"/>
          <w:sz w:val="18"/>
          <w:szCs w:val="18"/>
        </w:rPr>
        <w:t>sui</w:t>
      </w:r>
      <w:proofErr w:type="gramEnd"/>
      <w:r w:rsidRPr="00A75DF9">
        <w:rPr>
          <w:rFonts w:ascii="Tahoma" w:hAnsi="Tahoma" w:cs="Tahoma"/>
          <w:sz w:val="18"/>
          <w:szCs w:val="18"/>
        </w:rPr>
        <w:t xml:space="preserve"> </w:t>
      </w:r>
      <w:proofErr w:type="spellStart"/>
      <w:r w:rsidRPr="00A75DF9">
        <w:rPr>
          <w:rFonts w:ascii="Tahoma" w:hAnsi="Tahoma" w:cs="Tahoma"/>
          <w:sz w:val="18"/>
          <w:szCs w:val="18"/>
        </w:rPr>
        <w:t>Servizi</w:t>
      </w:r>
      <w:proofErr w:type="spellEnd"/>
      <w:r w:rsidRPr="00A75DF9">
        <w:rPr>
          <w:rFonts w:ascii="Tahoma" w:hAnsi="Tahoma" w:cs="Tahoma"/>
          <w:sz w:val="18"/>
          <w:szCs w:val="18"/>
        </w:rPr>
        <w:t xml:space="preserve"> Online </w:t>
      </w:r>
      <w:proofErr w:type="spellStart"/>
      <w:r w:rsidRPr="00A75DF9">
        <w:rPr>
          <w:rFonts w:ascii="Tahoma" w:hAnsi="Tahoma" w:cs="Tahoma"/>
          <w:sz w:val="18"/>
          <w:szCs w:val="18"/>
        </w:rPr>
        <w:t>concessi</w:t>
      </w:r>
      <w:proofErr w:type="spellEnd"/>
      <w:r w:rsidRPr="00A75DF9">
        <w:rPr>
          <w:rFonts w:ascii="Tahoma" w:hAnsi="Tahoma" w:cs="Tahoma"/>
          <w:sz w:val="18"/>
          <w:szCs w:val="18"/>
        </w:rPr>
        <w:t xml:space="preserve"> in </w:t>
      </w:r>
      <w:proofErr w:type="spellStart"/>
      <w:r w:rsidRPr="00A75DF9">
        <w:rPr>
          <w:rFonts w:ascii="Tahoma" w:hAnsi="Tahoma" w:cs="Tahoma"/>
          <w:sz w:val="18"/>
          <w:szCs w:val="18"/>
        </w:rPr>
        <w:t>licenza</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tramite</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i</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Programmi</w:t>
      </w:r>
      <w:proofErr w:type="spellEnd"/>
      <w:r w:rsidRPr="00A75DF9">
        <w:rPr>
          <w:rFonts w:ascii="Tahoma" w:hAnsi="Tahoma" w:cs="Tahoma"/>
          <w:sz w:val="18"/>
          <w:szCs w:val="18"/>
        </w:rPr>
        <w:t xml:space="preserve"> Microsoft Volume Licensing. Le </w:t>
      </w:r>
      <w:proofErr w:type="spellStart"/>
      <w:r w:rsidRPr="00A75DF9">
        <w:rPr>
          <w:rFonts w:ascii="Tahoma" w:hAnsi="Tahoma" w:cs="Tahoma"/>
          <w:sz w:val="18"/>
          <w:szCs w:val="18"/>
        </w:rPr>
        <w:t>informazioni</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riportate</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nella</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Lista</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dei</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Prodotti</w:t>
      </w:r>
      <w:proofErr w:type="spellEnd"/>
      <w:r w:rsidRPr="00A75DF9">
        <w:rPr>
          <w:rFonts w:ascii="Tahoma" w:hAnsi="Tahoma" w:cs="Tahoma"/>
          <w:sz w:val="18"/>
          <w:szCs w:val="18"/>
        </w:rPr>
        <w:t xml:space="preserve"> Microsoft </w:t>
      </w:r>
      <w:proofErr w:type="spellStart"/>
      <w:r w:rsidRPr="00A75DF9">
        <w:rPr>
          <w:rFonts w:ascii="Tahoma" w:hAnsi="Tahoma" w:cs="Tahoma"/>
          <w:sz w:val="18"/>
          <w:szCs w:val="18"/>
        </w:rPr>
        <w:t>includono</w:t>
      </w:r>
      <w:proofErr w:type="spellEnd"/>
      <w:r w:rsidRPr="00A75DF9">
        <w:rPr>
          <w:rFonts w:ascii="Tahoma" w:hAnsi="Tahoma" w:cs="Tahoma"/>
          <w:sz w:val="18"/>
          <w:szCs w:val="18"/>
        </w:rPr>
        <w:t>:</w:t>
      </w:r>
    </w:p>
    <w:p w:rsidR="00023FE7" w:rsidRPr="00A75DF9" w:rsidRDefault="00023FE7">
      <w:pPr>
        <w:pStyle w:val="Body"/>
        <w:ind w:right="720"/>
        <w:rPr>
          <w:rFonts w:ascii="Tahoma" w:hAnsi="Tahoma" w:cs="Tahoma"/>
        </w:rPr>
      </w:pPr>
    </w:p>
    <w:p w:rsidR="00023FE7" w:rsidRPr="00A75DF9" w:rsidRDefault="00023FE7">
      <w:pPr>
        <w:pStyle w:val="BulletedList"/>
        <w:ind w:right="720"/>
        <w:rPr>
          <w:rFonts w:ascii="Tahoma" w:hAnsi="Tahoma" w:cs="Tahoma"/>
        </w:rPr>
      </w:pPr>
      <w:proofErr w:type="spellStart"/>
      <w:r w:rsidRPr="00A75DF9">
        <w:rPr>
          <w:rFonts w:ascii="Tahoma" w:hAnsi="Tahoma" w:cs="Tahoma"/>
          <w:sz w:val="18"/>
          <w:szCs w:val="18"/>
        </w:rPr>
        <w:t>Disponibilità</w:t>
      </w:r>
      <w:proofErr w:type="spellEnd"/>
      <w:r w:rsidRPr="00A75DF9">
        <w:rPr>
          <w:rFonts w:ascii="Tahoma" w:hAnsi="Tahoma" w:cs="Tahoma"/>
          <w:sz w:val="18"/>
          <w:szCs w:val="18"/>
        </w:rPr>
        <w:t xml:space="preserve"> di software e </w:t>
      </w:r>
      <w:proofErr w:type="spellStart"/>
      <w:r w:rsidRPr="00A75DF9">
        <w:rPr>
          <w:rFonts w:ascii="Tahoma" w:hAnsi="Tahoma" w:cs="Tahoma"/>
          <w:sz w:val="18"/>
          <w:szCs w:val="18"/>
        </w:rPr>
        <w:t>prodotti</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nuovi</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offerti</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tramite</w:t>
      </w:r>
      <w:proofErr w:type="spellEnd"/>
      <w:r w:rsidRPr="00A75DF9">
        <w:rPr>
          <w:rFonts w:ascii="Tahoma" w:hAnsi="Tahoma" w:cs="Tahoma"/>
          <w:sz w:val="18"/>
          <w:szCs w:val="18"/>
        </w:rPr>
        <w:t xml:space="preserve"> Microsoft Volume Licensing</w:t>
      </w:r>
    </w:p>
    <w:p w:rsidR="00023FE7" w:rsidRPr="00A75DF9" w:rsidRDefault="00023FE7" w:rsidP="00024C3C">
      <w:pPr>
        <w:pStyle w:val="BulletedList"/>
        <w:numPr>
          <w:ilvl w:val="0"/>
          <w:numId w:val="16"/>
        </w:numPr>
        <w:ind w:right="720"/>
        <w:rPr>
          <w:rFonts w:ascii="Tahoma" w:hAnsi="Tahoma" w:cs="Tahoma"/>
        </w:rPr>
      </w:pPr>
      <w:proofErr w:type="spellStart"/>
      <w:r w:rsidRPr="00A75DF9">
        <w:rPr>
          <w:rFonts w:ascii="Tahoma" w:hAnsi="Tahoma" w:cs="Tahoma"/>
          <w:sz w:val="18"/>
          <w:szCs w:val="18"/>
        </w:rPr>
        <w:t>Interruzione</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della</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fornitura</w:t>
      </w:r>
      <w:proofErr w:type="spellEnd"/>
      <w:r w:rsidRPr="00A75DF9">
        <w:rPr>
          <w:rFonts w:ascii="Tahoma" w:hAnsi="Tahoma" w:cs="Tahoma"/>
          <w:sz w:val="18"/>
          <w:szCs w:val="18"/>
        </w:rPr>
        <w:t xml:space="preserve"> di software e </w:t>
      </w:r>
      <w:proofErr w:type="spellStart"/>
      <w:r w:rsidRPr="00A75DF9">
        <w:rPr>
          <w:rFonts w:ascii="Tahoma" w:hAnsi="Tahoma" w:cs="Tahoma"/>
          <w:sz w:val="18"/>
          <w:szCs w:val="18"/>
        </w:rPr>
        <w:t>prodotti</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offerti</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tramite</w:t>
      </w:r>
      <w:proofErr w:type="spellEnd"/>
      <w:r w:rsidRPr="00A75DF9">
        <w:rPr>
          <w:rFonts w:ascii="Tahoma" w:hAnsi="Tahoma" w:cs="Tahoma"/>
          <w:sz w:val="18"/>
          <w:szCs w:val="18"/>
        </w:rPr>
        <w:t xml:space="preserve"> Microsoft Volume Licensing</w:t>
      </w:r>
    </w:p>
    <w:p w:rsidR="00023FE7" w:rsidRPr="00A75DF9" w:rsidRDefault="00023FE7" w:rsidP="00024C3C">
      <w:pPr>
        <w:pStyle w:val="BulletedList"/>
        <w:numPr>
          <w:ilvl w:val="0"/>
          <w:numId w:val="16"/>
        </w:numPr>
        <w:ind w:right="720"/>
        <w:rPr>
          <w:rFonts w:ascii="Tahoma" w:hAnsi="Tahoma" w:cs="Tahoma"/>
        </w:rPr>
      </w:pPr>
      <w:proofErr w:type="spellStart"/>
      <w:r w:rsidRPr="00A75DF9">
        <w:rPr>
          <w:rFonts w:ascii="Tahoma" w:hAnsi="Tahoma" w:cs="Tahoma"/>
          <w:sz w:val="18"/>
          <w:szCs w:val="18"/>
        </w:rPr>
        <w:t>Classificazione</w:t>
      </w:r>
      <w:proofErr w:type="spellEnd"/>
      <w:r w:rsidRPr="00A75DF9">
        <w:rPr>
          <w:rFonts w:ascii="Tahoma" w:hAnsi="Tahoma" w:cs="Tahoma"/>
          <w:sz w:val="18"/>
          <w:szCs w:val="18"/>
        </w:rPr>
        <w:t xml:space="preserve"> di software e </w:t>
      </w:r>
      <w:proofErr w:type="spellStart"/>
      <w:r w:rsidRPr="00A75DF9">
        <w:rPr>
          <w:rFonts w:ascii="Tahoma" w:hAnsi="Tahoma" w:cs="Tahoma"/>
          <w:sz w:val="18"/>
          <w:szCs w:val="18"/>
        </w:rPr>
        <w:t>prodotti</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relativa</w:t>
      </w:r>
      <w:proofErr w:type="spellEnd"/>
      <w:r w:rsidRPr="00A75DF9">
        <w:rPr>
          <w:rFonts w:ascii="Tahoma" w:hAnsi="Tahoma" w:cs="Tahoma"/>
          <w:sz w:val="18"/>
          <w:szCs w:val="18"/>
        </w:rPr>
        <w:t xml:space="preserve"> al pool di </w:t>
      </w:r>
      <w:proofErr w:type="spellStart"/>
      <w:r w:rsidRPr="00A75DF9">
        <w:rPr>
          <w:rFonts w:ascii="Tahoma" w:hAnsi="Tahoma" w:cs="Tahoma"/>
          <w:sz w:val="18"/>
          <w:szCs w:val="18"/>
        </w:rPr>
        <w:t>prodotti</w:t>
      </w:r>
      <w:proofErr w:type="spellEnd"/>
      <w:r w:rsidRPr="00A75DF9">
        <w:rPr>
          <w:rFonts w:ascii="Tahoma" w:hAnsi="Tahoma" w:cs="Tahoma"/>
          <w:sz w:val="18"/>
          <w:szCs w:val="18"/>
        </w:rPr>
        <w:t xml:space="preserve"> con </w:t>
      </w:r>
      <w:proofErr w:type="spellStart"/>
      <w:r w:rsidRPr="00A75DF9">
        <w:rPr>
          <w:rFonts w:ascii="Tahoma" w:hAnsi="Tahoma" w:cs="Tahoma"/>
          <w:sz w:val="18"/>
          <w:szCs w:val="18"/>
        </w:rPr>
        <w:t>Contratti</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Multilicenza</w:t>
      </w:r>
      <w:proofErr w:type="spellEnd"/>
      <w:r w:rsidRPr="00A75DF9">
        <w:rPr>
          <w:rFonts w:ascii="Tahoma" w:hAnsi="Tahoma" w:cs="Tahoma"/>
          <w:sz w:val="18"/>
          <w:szCs w:val="18"/>
        </w:rPr>
        <w:t xml:space="preserve"> Microsoft (Volume Licensing) </w:t>
      </w:r>
    </w:p>
    <w:p w:rsidR="00023FE7" w:rsidRPr="00A75DF9" w:rsidRDefault="00023FE7" w:rsidP="00024C3C">
      <w:pPr>
        <w:pStyle w:val="BulletedList"/>
        <w:numPr>
          <w:ilvl w:val="0"/>
          <w:numId w:val="16"/>
        </w:numPr>
        <w:ind w:right="720"/>
        <w:rPr>
          <w:rFonts w:ascii="Tahoma" w:hAnsi="Tahoma" w:cs="Tahoma"/>
        </w:rPr>
      </w:pPr>
      <w:proofErr w:type="spellStart"/>
      <w:r w:rsidRPr="00A75DF9">
        <w:rPr>
          <w:rFonts w:ascii="Tahoma" w:hAnsi="Tahoma" w:cs="Tahoma"/>
          <w:sz w:val="18"/>
          <w:szCs w:val="18"/>
        </w:rPr>
        <w:t>Valore</w:t>
      </w:r>
      <w:proofErr w:type="spellEnd"/>
      <w:r w:rsidRPr="00A75DF9">
        <w:rPr>
          <w:rFonts w:ascii="Tahoma" w:hAnsi="Tahoma" w:cs="Tahoma"/>
          <w:sz w:val="18"/>
          <w:szCs w:val="18"/>
        </w:rPr>
        <w:t xml:space="preserve"> di </w:t>
      </w:r>
      <w:proofErr w:type="spellStart"/>
      <w:r w:rsidRPr="00A75DF9">
        <w:rPr>
          <w:rFonts w:ascii="Tahoma" w:hAnsi="Tahoma" w:cs="Tahoma"/>
          <w:sz w:val="18"/>
          <w:szCs w:val="18"/>
        </w:rPr>
        <w:t>punti</w:t>
      </w:r>
      <w:proofErr w:type="spellEnd"/>
      <w:r w:rsidRPr="00A75DF9">
        <w:rPr>
          <w:rFonts w:ascii="Tahoma" w:hAnsi="Tahoma" w:cs="Tahoma"/>
          <w:sz w:val="18"/>
          <w:szCs w:val="18"/>
        </w:rPr>
        <w:t xml:space="preserve"> per la </w:t>
      </w:r>
      <w:proofErr w:type="spellStart"/>
      <w:r w:rsidRPr="00A75DF9">
        <w:rPr>
          <w:rFonts w:ascii="Tahoma" w:hAnsi="Tahoma" w:cs="Tahoma"/>
          <w:sz w:val="18"/>
          <w:szCs w:val="18"/>
        </w:rPr>
        <w:t>tecnologia</w:t>
      </w:r>
      <w:proofErr w:type="spellEnd"/>
      <w:r w:rsidRPr="00A75DF9">
        <w:rPr>
          <w:rFonts w:ascii="Tahoma" w:hAnsi="Tahoma" w:cs="Tahoma"/>
          <w:sz w:val="18"/>
          <w:szCs w:val="18"/>
        </w:rPr>
        <w:t xml:space="preserve"> di </w:t>
      </w:r>
      <w:proofErr w:type="spellStart"/>
      <w:r w:rsidRPr="00A75DF9">
        <w:rPr>
          <w:rFonts w:ascii="Tahoma" w:hAnsi="Tahoma" w:cs="Tahoma"/>
          <w:sz w:val="18"/>
          <w:szCs w:val="18"/>
        </w:rPr>
        <w:t>ciascun</w:t>
      </w:r>
      <w:proofErr w:type="spellEnd"/>
      <w:r w:rsidRPr="00A75DF9">
        <w:rPr>
          <w:rFonts w:ascii="Tahoma" w:hAnsi="Tahoma" w:cs="Tahoma"/>
          <w:sz w:val="18"/>
          <w:szCs w:val="18"/>
        </w:rPr>
        <w:t xml:space="preserve"> software e </w:t>
      </w:r>
      <w:proofErr w:type="spellStart"/>
      <w:r w:rsidRPr="00A75DF9">
        <w:rPr>
          <w:rFonts w:ascii="Tahoma" w:hAnsi="Tahoma" w:cs="Tahoma"/>
          <w:sz w:val="18"/>
          <w:szCs w:val="18"/>
        </w:rPr>
        <w:t>prodotto</w:t>
      </w:r>
      <w:proofErr w:type="spellEnd"/>
    </w:p>
    <w:p w:rsidR="00023FE7" w:rsidRPr="00A75DF9" w:rsidRDefault="00023FE7" w:rsidP="00024C3C">
      <w:pPr>
        <w:pStyle w:val="BulletedList"/>
        <w:numPr>
          <w:ilvl w:val="0"/>
          <w:numId w:val="16"/>
        </w:numPr>
        <w:ind w:right="720"/>
        <w:rPr>
          <w:rFonts w:ascii="Tahoma" w:hAnsi="Tahoma" w:cs="Tahoma"/>
        </w:rPr>
      </w:pPr>
      <w:proofErr w:type="spellStart"/>
      <w:r w:rsidRPr="00A75DF9">
        <w:rPr>
          <w:rFonts w:ascii="Tahoma" w:hAnsi="Tahoma" w:cs="Tahoma"/>
          <w:sz w:val="18"/>
          <w:szCs w:val="18"/>
        </w:rPr>
        <w:t>Promozioni</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disponibili</w:t>
      </w:r>
      <w:proofErr w:type="spellEnd"/>
    </w:p>
    <w:p w:rsidR="00023FE7" w:rsidRPr="00A75DF9" w:rsidRDefault="00023FE7" w:rsidP="00024C3C">
      <w:pPr>
        <w:pStyle w:val="BulletedList"/>
        <w:numPr>
          <w:ilvl w:val="0"/>
          <w:numId w:val="16"/>
        </w:numPr>
        <w:ind w:right="720"/>
        <w:rPr>
          <w:rFonts w:ascii="Tahoma" w:hAnsi="Tahoma" w:cs="Tahoma"/>
        </w:rPr>
      </w:pPr>
      <w:proofErr w:type="spellStart"/>
      <w:r w:rsidRPr="00A75DF9">
        <w:rPr>
          <w:rFonts w:ascii="Tahoma" w:hAnsi="Tahoma" w:cs="Tahoma"/>
          <w:sz w:val="18"/>
          <w:szCs w:val="18"/>
        </w:rPr>
        <w:t>Percorsi</w:t>
      </w:r>
      <w:proofErr w:type="spellEnd"/>
      <w:r w:rsidRPr="00A75DF9">
        <w:rPr>
          <w:rFonts w:ascii="Tahoma" w:hAnsi="Tahoma" w:cs="Tahoma"/>
          <w:sz w:val="18"/>
          <w:szCs w:val="18"/>
        </w:rPr>
        <w:t xml:space="preserve"> di </w:t>
      </w:r>
      <w:proofErr w:type="spellStart"/>
      <w:r w:rsidRPr="00A75DF9">
        <w:rPr>
          <w:rFonts w:ascii="Tahoma" w:hAnsi="Tahoma" w:cs="Tahoma"/>
          <w:sz w:val="18"/>
          <w:szCs w:val="18"/>
        </w:rPr>
        <w:t>migrazione</w:t>
      </w:r>
      <w:proofErr w:type="spellEnd"/>
      <w:r w:rsidRPr="00A75DF9">
        <w:rPr>
          <w:rFonts w:ascii="Tahoma" w:hAnsi="Tahoma" w:cs="Tahoma"/>
          <w:sz w:val="18"/>
          <w:szCs w:val="18"/>
        </w:rPr>
        <w:t xml:space="preserve"> da </w:t>
      </w:r>
      <w:proofErr w:type="spellStart"/>
      <w:r w:rsidRPr="00A75DF9">
        <w:rPr>
          <w:rFonts w:ascii="Tahoma" w:hAnsi="Tahoma" w:cs="Tahoma"/>
          <w:sz w:val="18"/>
          <w:szCs w:val="18"/>
        </w:rPr>
        <w:t>una</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versione</w:t>
      </w:r>
      <w:proofErr w:type="spellEnd"/>
      <w:r w:rsidRPr="00A75DF9">
        <w:rPr>
          <w:rFonts w:ascii="Tahoma" w:hAnsi="Tahoma" w:cs="Tahoma"/>
          <w:sz w:val="18"/>
          <w:szCs w:val="18"/>
        </w:rPr>
        <w:t xml:space="preserve"> di software a </w:t>
      </w:r>
      <w:proofErr w:type="spellStart"/>
      <w:r w:rsidRPr="00A75DF9">
        <w:rPr>
          <w:rFonts w:ascii="Tahoma" w:hAnsi="Tahoma" w:cs="Tahoma"/>
          <w:sz w:val="18"/>
          <w:szCs w:val="18"/>
        </w:rPr>
        <w:t>un</w:t>
      </w:r>
      <w:r w:rsidR="00F2643E">
        <w:rPr>
          <w:rFonts w:ascii="Tahoma" w:hAnsi="Tahoma" w:cs="Tahoma"/>
          <w:sz w:val="18"/>
          <w:szCs w:val="18"/>
        </w:rPr>
        <w:t>’</w:t>
      </w:r>
      <w:r w:rsidRPr="00A75DF9">
        <w:rPr>
          <w:rFonts w:ascii="Tahoma" w:hAnsi="Tahoma" w:cs="Tahoma"/>
          <w:sz w:val="18"/>
          <w:szCs w:val="18"/>
        </w:rPr>
        <w:t>altra</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versione</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dello</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stesso</w:t>
      </w:r>
      <w:proofErr w:type="spellEnd"/>
      <w:r w:rsidRPr="00A75DF9">
        <w:rPr>
          <w:rFonts w:ascii="Tahoma" w:hAnsi="Tahoma" w:cs="Tahoma"/>
          <w:sz w:val="18"/>
          <w:szCs w:val="18"/>
        </w:rPr>
        <w:t xml:space="preserve"> software</w:t>
      </w:r>
    </w:p>
    <w:p w:rsidR="00023FE7" w:rsidRPr="00A75DF9" w:rsidRDefault="00023FE7" w:rsidP="00024C3C">
      <w:pPr>
        <w:pStyle w:val="BulletedList"/>
        <w:numPr>
          <w:ilvl w:val="0"/>
          <w:numId w:val="16"/>
        </w:numPr>
        <w:ind w:right="720"/>
        <w:rPr>
          <w:rFonts w:ascii="Tahoma" w:hAnsi="Tahoma" w:cs="Tahoma"/>
        </w:rPr>
      </w:pPr>
      <w:proofErr w:type="spellStart"/>
      <w:r w:rsidRPr="00A75DF9">
        <w:rPr>
          <w:rFonts w:ascii="Tahoma" w:hAnsi="Tahoma" w:cs="Tahoma"/>
          <w:sz w:val="18"/>
          <w:szCs w:val="18"/>
        </w:rPr>
        <w:t>Percorsi</w:t>
      </w:r>
      <w:proofErr w:type="spellEnd"/>
      <w:r w:rsidRPr="00A75DF9">
        <w:rPr>
          <w:rFonts w:ascii="Tahoma" w:hAnsi="Tahoma" w:cs="Tahoma"/>
          <w:sz w:val="18"/>
          <w:szCs w:val="18"/>
        </w:rPr>
        <w:t xml:space="preserve"> di </w:t>
      </w:r>
      <w:proofErr w:type="spellStart"/>
      <w:r w:rsidRPr="00A75DF9">
        <w:rPr>
          <w:rFonts w:ascii="Tahoma" w:hAnsi="Tahoma" w:cs="Tahoma"/>
          <w:sz w:val="18"/>
          <w:szCs w:val="18"/>
        </w:rPr>
        <w:t>migrazione</w:t>
      </w:r>
      <w:proofErr w:type="spellEnd"/>
      <w:r w:rsidRPr="00A75DF9">
        <w:rPr>
          <w:rFonts w:ascii="Tahoma" w:hAnsi="Tahoma" w:cs="Tahoma"/>
          <w:sz w:val="18"/>
          <w:szCs w:val="18"/>
        </w:rPr>
        <w:t xml:space="preserve"> da un software </w:t>
      </w:r>
      <w:proofErr w:type="spellStart"/>
      <w:r w:rsidRPr="00A75DF9">
        <w:rPr>
          <w:rFonts w:ascii="Tahoma" w:hAnsi="Tahoma" w:cs="Tahoma"/>
          <w:sz w:val="18"/>
          <w:szCs w:val="18"/>
        </w:rPr>
        <w:t>interrotto</w:t>
      </w:r>
      <w:proofErr w:type="spellEnd"/>
      <w:r w:rsidRPr="00A75DF9">
        <w:rPr>
          <w:rFonts w:ascii="Tahoma" w:hAnsi="Tahoma" w:cs="Tahoma"/>
          <w:sz w:val="18"/>
          <w:szCs w:val="18"/>
        </w:rPr>
        <w:t xml:space="preserve"> a </w:t>
      </w:r>
      <w:proofErr w:type="spellStart"/>
      <w:r w:rsidRPr="00A75DF9">
        <w:rPr>
          <w:rFonts w:ascii="Tahoma" w:hAnsi="Tahoma" w:cs="Tahoma"/>
          <w:sz w:val="18"/>
          <w:szCs w:val="18"/>
        </w:rPr>
        <w:t>nuove</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versioni</w:t>
      </w:r>
      <w:proofErr w:type="spellEnd"/>
      <w:r w:rsidRPr="00A75DF9">
        <w:rPr>
          <w:rFonts w:ascii="Tahoma" w:hAnsi="Tahoma" w:cs="Tahoma"/>
          <w:sz w:val="18"/>
          <w:szCs w:val="18"/>
        </w:rPr>
        <w:t xml:space="preserve"> di software</w:t>
      </w:r>
    </w:p>
    <w:p w:rsidR="00023FE7" w:rsidRPr="00A75DF9" w:rsidRDefault="00023FE7" w:rsidP="00024C3C">
      <w:pPr>
        <w:pStyle w:val="BulletedList"/>
        <w:numPr>
          <w:ilvl w:val="0"/>
          <w:numId w:val="16"/>
        </w:numPr>
        <w:ind w:right="720"/>
        <w:rPr>
          <w:rFonts w:ascii="Tahoma" w:hAnsi="Tahoma" w:cs="Tahoma"/>
        </w:rPr>
      </w:pPr>
      <w:proofErr w:type="spellStart"/>
      <w:r w:rsidRPr="00A75DF9">
        <w:rPr>
          <w:rFonts w:ascii="Tahoma" w:hAnsi="Tahoma" w:cs="Tahoma"/>
          <w:sz w:val="18"/>
          <w:szCs w:val="18"/>
        </w:rPr>
        <w:t>Vantaggi</w:t>
      </w:r>
      <w:proofErr w:type="spellEnd"/>
      <w:r w:rsidRPr="00A75DF9">
        <w:rPr>
          <w:rFonts w:ascii="Tahoma" w:hAnsi="Tahoma" w:cs="Tahoma"/>
          <w:sz w:val="18"/>
          <w:szCs w:val="18"/>
        </w:rPr>
        <w:t xml:space="preserve"> di Software Assurance</w:t>
      </w:r>
    </w:p>
    <w:p w:rsidR="00023FE7" w:rsidRPr="00A75DF9" w:rsidRDefault="00023FE7" w:rsidP="00024C3C">
      <w:pPr>
        <w:pStyle w:val="BulletedList"/>
        <w:numPr>
          <w:ilvl w:val="0"/>
          <w:numId w:val="16"/>
        </w:numPr>
        <w:ind w:right="720"/>
        <w:rPr>
          <w:rFonts w:ascii="Tahoma" w:hAnsi="Tahoma" w:cs="Tahoma"/>
        </w:rPr>
      </w:pPr>
      <w:proofErr w:type="spellStart"/>
      <w:r w:rsidRPr="00A75DF9">
        <w:rPr>
          <w:rFonts w:ascii="Tahoma" w:hAnsi="Tahoma" w:cs="Tahoma"/>
          <w:sz w:val="18"/>
          <w:szCs w:val="18"/>
        </w:rPr>
        <w:t>Altre</w:t>
      </w:r>
      <w:proofErr w:type="spellEnd"/>
      <w:r w:rsidRPr="00A75DF9">
        <w:rPr>
          <w:rFonts w:ascii="Tahoma" w:hAnsi="Tahoma" w:cs="Tahoma"/>
          <w:sz w:val="18"/>
          <w:szCs w:val="18"/>
        </w:rPr>
        <w:t xml:space="preserve"> Note e </w:t>
      </w:r>
      <w:proofErr w:type="spellStart"/>
      <w:r w:rsidRPr="00A75DF9">
        <w:rPr>
          <w:rFonts w:ascii="Tahoma" w:hAnsi="Tahoma" w:cs="Tahoma"/>
          <w:sz w:val="18"/>
          <w:szCs w:val="18"/>
        </w:rPr>
        <w:t>informazioni</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specifiche</w:t>
      </w:r>
      <w:proofErr w:type="spellEnd"/>
      <w:r w:rsidRPr="00A75DF9">
        <w:rPr>
          <w:rFonts w:ascii="Tahoma" w:hAnsi="Tahoma" w:cs="Tahoma"/>
          <w:sz w:val="18"/>
          <w:szCs w:val="18"/>
        </w:rPr>
        <w:t xml:space="preserve"> del software e </w:t>
      </w:r>
      <w:proofErr w:type="spellStart"/>
      <w:r w:rsidRPr="00A75DF9">
        <w:rPr>
          <w:rFonts w:ascii="Tahoma" w:hAnsi="Tahoma" w:cs="Tahoma"/>
          <w:sz w:val="18"/>
          <w:szCs w:val="18"/>
        </w:rPr>
        <w:t>dei</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prodotti</w:t>
      </w:r>
      <w:proofErr w:type="spellEnd"/>
    </w:p>
    <w:p w:rsidR="00023FE7" w:rsidRPr="00A75DF9" w:rsidRDefault="00023FE7">
      <w:pPr>
        <w:ind w:right="720"/>
        <w:rPr>
          <w:rFonts w:cs="Tahoma"/>
        </w:rPr>
      </w:pPr>
    </w:p>
    <w:p w:rsidR="00023FE7" w:rsidRPr="00A75DF9" w:rsidRDefault="00023FE7">
      <w:pPr>
        <w:ind w:right="720"/>
        <w:rPr>
          <w:rFonts w:cs="Tahoma"/>
        </w:rPr>
      </w:pPr>
    </w:p>
    <w:p w:rsidR="00023FE7" w:rsidRPr="00A75DF9" w:rsidRDefault="00023FE7" w:rsidP="00B0065F">
      <w:pPr>
        <w:pStyle w:val="Heading1"/>
        <w:rPr>
          <w:rFonts w:cs="Tahoma"/>
        </w:rPr>
      </w:pPr>
      <w:bookmarkStart w:id="5" w:name="_Toc336337839"/>
      <w:bookmarkStart w:id="6" w:name="_Toc368309842"/>
      <w:r w:rsidRPr="00A75DF9">
        <w:rPr>
          <w:rFonts w:cs="Tahoma"/>
        </w:rPr>
        <w:t>MODALITà DI Utilizzo deLLA LISTA DEI Prodotti Microsoft</w:t>
      </w:r>
      <w:bookmarkEnd w:id="5"/>
      <w:bookmarkEnd w:id="6"/>
    </w:p>
    <w:p w:rsidR="00023FE7" w:rsidRPr="00A75DF9" w:rsidRDefault="00023FE7">
      <w:pPr>
        <w:pStyle w:val="Body"/>
        <w:ind w:right="-1890"/>
        <w:rPr>
          <w:rFonts w:ascii="Tahoma" w:hAnsi="Tahoma" w:cs="Tahoma"/>
        </w:rPr>
      </w:pPr>
    </w:p>
    <w:p w:rsidR="00023FE7" w:rsidRPr="00A75DF9" w:rsidRDefault="00023FE7" w:rsidP="006F76A9">
      <w:pPr>
        <w:pStyle w:val="Body"/>
        <w:rPr>
          <w:rFonts w:ascii="Tahoma" w:hAnsi="Tahoma" w:cs="Tahoma"/>
        </w:rPr>
      </w:pPr>
      <w:r w:rsidRPr="00A75DF9">
        <w:rPr>
          <w:rFonts w:ascii="Tahoma" w:hAnsi="Tahoma" w:cs="Tahoma"/>
          <w:b/>
        </w:rPr>
        <w:t xml:space="preserve">Si </w:t>
      </w:r>
      <w:proofErr w:type="spellStart"/>
      <w:r w:rsidRPr="00A75DF9">
        <w:rPr>
          <w:rFonts w:ascii="Tahoma" w:hAnsi="Tahoma" w:cs="Tahoma"/>
          <w:b/>
        </w:rPr>
        <w:t>consiglia</w:t>
      </w:r>
      <w:proofErr w:type="spellEnd"/>
      <w:r w:rsidRPr="00A75DF9">
        <w:rPr>
          <w:rFonts w:ascii="Tahoma" w:hAnsi="Tahoma" w:cs="Tahoma"/>
          <w:b/>
        </w:rPr>
        <w:t xml:space="preserve"> di </w:t>
      </w:r>
      <w:proofErr w:type="spellStart"/>
      <w:r w:rsidRPr="00A75DF9">
        <w:rPr>
          <w:rFonts w:ascii="Tahoma" w:hAnsi="Tahoma" w:cs="Tahoma"/>
          <w:b/>
        </w:rPr>
        <w:t>familiarizzare</w:t>
      </w:r>
      <w:proofErr w:type="spellEnd"/>
      <w:r w:rsidRPr="00A75DF9">
        <w:rPr>
          <w:rFonts w:ascii="Tahoma" w:hAnsi="Tahoma" w:cs="Tahoma"/>
          <w:b/>
        </w:rPr>
        <w:t xml:space="preserve"> con </w:t>
      </w:r>
      <w:proofErr w:type="spellStart"/>
      <w:r w:rsidRPr="00A75DF9">
        <w:rPr>
          <w:rFonts w:ascii="Tahoma" w:hAnsi="Tahoma" w:cs="Tahoma"/>
          <w:b/>
        </w:rPr>
        <w:t>i</w:t>
      </w:r>
      <w:proofErr w:type="spellEnd"/>
      <w:r w:rsidRPr="00A75DF9">
        <w:rPr>
          <w:rFonts w:ascii="Tahoma" w:hAnsi="Tahoma" w:cs="Tahoma"/>
          <w:b/>
        </w:rPr>
        <w:t xml:space="preserve"> </w:t>
      </w:r>
      <w:proofErr w:type="spellStart"/>
      <w:r w:rsidRPr="00A75DF9">
        <w:rPr>
          <w:rFonts w:ascii="Tahoma" w:hAnsi="Tahoma" w:cs="Tahoma"/>
          <w:b/>
        </w:rPr>
        <w:t>codici</w:t>
      </w:r>
      <w:proofErr w:type="spellEnd"/>
      <w:r w:rsidRPr="00A75DF9">
        <w:rPr>
          <w:rFonts w:ascii="Tahoma" w:hAnsi="Tahoma" w:cs="Tahoma"/>
          <w:b/>
        </w:rPr>
        <w:t xml:space="preserve"> </w:t>
      </w:r>
      <w:proofErr w:type="spellStart"/>
      <w:proofErr w:type="gramStart"/>
      <w:r w:rsidRPr="00A75DF9">
        <w:rPr>
          <w:rFonts w:ascii="Tahoma" w:hAnsi="Tahoma" w:cs="Tahoma"/>
          <w:b/>
        </w:rPr>
        <w:t>della</w:t>
      </w:r>
      <w:proofErr w:type="spellEnd"/>
      <w:proofErr w:type="gramEnd"/>
      <w:r w:rsidRPr="00A75DF9">
        <w:rPr>
          <w:rFonts w:ascii="Tahoma" w:hAnsi="Tahoma" w:cs="Tahoma"/>
          <w:b/>
        </w:rPr>
        <w:t xml:space="preserve"> </w:t>
      </w:r>
      <w:proofErr w:type="spellStart"/>
      <w:r w:rsidRPr="00A75DF9">
        <w:rPr>
          <w:rFonts w:ascii="Tahoma" w:hAnsi="Tahoma" w:cs="Tahoma"/>
          <w:b/>
        </w:rPr>
        <w:t>tabella</w:t>
      </w:r>
      <w:proofErr w:type="spellEnd"/>
      <w:r w:rsidRPr="00A75DF9">
        <w:rPr>
          <w:rFonts w:ascii="Tahoma" w:hAnsi="Tahoma" w:cs="Tahoma"/>
          <w:b/>
        </w:rPr>
        <w:t xml:space="preserve"> </w:t>
      </w:r>
      <w:proofErr w:type="spellStart"/>
      <w:r w:rsidRPr="00A75DF9">
        <w:rPr>
          <w:rFonts w:ascii="Tahoma" w:hAnsi="Tahoma" w:cs="Tahoma"/>
          <w:b/>
        </w:rPr>
        <w:t>riportati</w:t>
      </w:r>
      <w:proofErr w:type="spellEnd"/>
      <w:r w:rsidRPr="00A75DF9">
        <w:rPr>
          <w:rFonts w:ascii="Tahoma" w:hAnsi="Tahoma" w:cs="Tahoma"/>
          <w:b/>
        </w:rPr>
        <w:t xml:space="preserve"> </w:t>
      </w:r>
      <w:proofErr w:type="spellStart"/>
      <w:r w:rsidRPr="00A75DF9">
        <w:rPr>
          <w:rFonts w:ascii="Tahoma" w:hAnsi="Tahoma" w:cs="Tahoma"/>
          <w:b/>
        </w:rPr>
        <w:t>dopo</w:t>
      </w:r>
      <w:proofErr w:type="spellEnd"/>
      <w:r w:rsidRPr="00A75DF9">
        <w:rPr>
          <w:rFonts w:ascii="Tahoma" w:hAnsi="Tahoma" w:cs="Tahoma"/>
          <w:b/>
        </w:rPr>
        <w:t xml:space="preserve"> </w:t>
      </w:r>
      <w:proofErr w:type="spellStart"/>
      <w:r w:rsidRPr="00A75DF9">
        <w:rPr>
          <w:rFonts w:ascii="Tahoma" w:hAnsi="Tahoma" w:cs="Tahoma"/>
          <w:b/>
        </w:rPr>
        <w:t>i</w:t>
      </w:r>
      <w:proofErr w:type="spellEnd"/>
      <w:r w:rsidRPr="00A75DF9">
        <w:rPr>
          <w:rFonts w:ascii="Tahoma" w:hAnsi="Tahoma" w:cs="Tahoma"/>
          <w:b/>
        </w:rPr>
        <w:t xml:space="preserve"> </w:t>
      </w:r>
      <w:proofErr w:type="spellStart"/>
      <w:r w:rsidRPr="00A75DF9">
        <w:rPr>
          <w:rFonts w:ascii="Tahoma" w:hAnsi="Tahoma" w:cs="Tahoma"/>
          <w:b/>
        </w:rPr>
        <w:t>passaggi</w:t>
      </w:r>
      <w:proofErr w:type="spellEnd"/>
      <w:r w:rsidRPr="00A75DF9">
        <w:rPr>
          <w:rFonts w:ascii="Tahoma" w:hAnsi="Tahoma" w:cs="Tahoma"/>
          <w:b/>
        </w:rPr>
        <w:t xml:space="preserve"> </w:t>
      </w:r>
      <w:proofErr w:type="spellStart"/>
      <w:r w:rsidRPr="00A75DF9">
        <w:rPr>
          <w:rFonts w:ascii="Tahoma" w:hAnsi="Tahoma" w:cs="Tahoma"/>
          <w:b/>
        </w:rPr>
        <w:t>che</w:t>
      </w:r>
      <w:proofErr w:type="spellEnd"/>
      <w:r w:rsidRPr="00A75DF9">
        <w:rPr>
          <w:rFonts w:ascii="Tahoma" w:hAnsi="Tahoma" w:cs="Tahoma"/>
          <w:b/>
        </w:rPr>
        <w:t xml:space="preserve"> </w:t>
      </w:r>
      <w:proofErr w:type="spellStart"/>
      <w:r w:rsidRPr="00A75DF9">
        <w:rPr>
          <w:rFonts w:ascii="Tahoma" w:hAnsi="Tahoma" w:cs="Tahoma"/>
          <w:b/>
        </w:rPr>
        <w:t>seguono</w:t>
      </w:r>
      <w:proofErr w:type="spellEnd"/>
      <w:r w:rsidRPr="00A75DF9">
        <w:rPr>
          <w:rFonts w:ascii="Tahoma" w:hAnsi="Tahoma" w:cs="Tahoma"/>
          <w:b/>
        </w:rPr>
        <w:t>.</w:t>
      </w:r>
    </w:p>
    <w:p w:rsidR="00023FE7" w:rsidRPr="00A75DF9" w:rsidRDefault="00023FE7">
      <w:pPr>
        <w:pStyle w:val="Body"/>
        <w:ind w:right="-1890"/>
        <w:rPr>
          <w:rFonts w:ascii="Tahoma" w:hAnsi="Tahoma" w:cs="Tahoma"/>
        </w:rPr>
      </w:pPr>
    </w:p>
    <w:p w:rsidR="00023FE7" w:rsidRPr="00A75DF9" w:rsidRDefault="00023FE7">
      <w:pPr>
        <w:pStyle w:val="Body"/>
        <w:ind w:right="-1890"/>
        <w:rPr>
          <w:rFonts w:ascii="Tahoma" w:hAnsi="Tahoma" w:cs="Tahoma"/>
        </w:rPr>
      </w:pPr>
      <w:proofErr w:type="spellStart"/>
      <w:r w:rsidRPr="00A75DF9">
        <w:rPr>
          <w:rStyle w:val="BodyChar"/>
          <w:rFonts w:ascii="Tahoma" w:hAnsi="Tahoma" w:cs="Tahoma"/>
          <w:b/>
          <w:sz w:val="18"/>
          <w:szCs w:val="18"/>
        </w:rPr>
        <w:t>Punto</w:t>
      </w:r>
      <w:proofErr w:type="spellEnd"/>
      <w:r w:rsidRPr="00A75DF9">
        <w:rPr>
          <w:rStyle w:val="BodyChar"/>
          <w:rFonts w:ascii="Tahoma" w:hAnsi="Tahoma" w:cs="Tahoma"/>
          <w:b/>
          <w:sz w:val="18"/>
          <w:szCs w:val="18"/>
        </w:rPr>
        <w:t xml:space="preserve"> 1:</w:t>
      </w:r>
      <w:r w:rsidR="009D3B41" w:rsidRPr="00A75DF9">
        <w:rPr>
          <w:rStyle w:val="BodyChar"/>
          <w:rFonts w:ascii="Tahoma" w:hAnsi="Tahoma" w:cs="Tahoma"/>
          <w:b/>
          <w:sz w:val="18"/>
          <w:szCs w:val="18"/>
        </w:rPr>
        <w:t xml:space="preserve"> </w:t>
      </w:r>
      <w:proofErr w:type="spellStart"/>
      <w:r w:rsidRPr="00A75DF9">
        <w:rPr>
          <w:rFonts w:ascii="Tahoma" w:hAnsi="Tahoma" w:cs="Tahoma"/>
          <w:sz w:val="18"/>
          <w:szCs w:val="18"/>
        </w:rPr>
        <w:t>individuare</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nella</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tabella</w:t>
      </w:r>
      <w:proofErr w:type="spellEnd"/>
      <w:r w:rsidRPr="00A75DF9">
        <w:rPr>
          <w:rFonts w:ascii="Tahoma" w:hAnsi="Tahoma" w:cs="Tahoma"/>
          <w:sz w:val="18"/>
          <w:szCs w:val="18"/>
        </w:rPr>
        <w:t xml:space="preserve"> </w:t>
      </w:r>
      <w:proofErr w:type="spellStart"/>
      <w:proofErr w:type="gramStart"/>
      <w:r w:rsidRPr="00A75DF9">
        <w:rPr>
          <w:rFonts w:ascii="Tahoma" w:hAnsi="Tahoma" w:cs="Tahoma"/>
          <w:sz w:val="18"/>
          <w:szCs w:val="18"/>
        </w:rPr>
        <w:t>il</w:t>
      </w:r>
      <w:proofErr w:type="spellEnd"/>
      <w:proofErr w:type="gramEnd"/>
      <w:r w:rsidRPr="00A75DF9">
        <w:rPr>
          <w:rFonts w:ascii="Tahoma" w:hAnsi="Tahoma" w:cs="Tahoma"/>
          <w:sz w:val="18"/>
          <w:szCs w:val="18"/>
        </w:rPr>
        <w:t xml:space="preserve"> software </w:t>
      </w:r>
      <w:proofErr w:type="spellStart"/>
      <w:r w:rsidRPr="00A75DF9">
        <w:rPr>
          <w:rFonts w:ascii="Tahoma" w:hAnsi="Tahoma" w:cs="Tahoma"/>
          <w:sz w:val="18"/>
          <w:szCs w:val="18"/>
        </w:rPr>
        <w:t>che</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interessa</w:t>
      </w:r>
      <w:proofErr w:type="spellEnd"/>
      <w:r w:rsidRPr="00A75DF9">
        <w:rPr>
          <w:rFonts w:ascii="Tahoma" w:hAnsi="Tahoma" w:cs="Tahoma"/>
          <w:sz w:val="18"/>
          <w:szCs w:val="18"/>
        </w:rPr>
        <w:t xml:space="preserve">. </w:t>
      </w:r>
    </w:p>
    <w:p w:rsidR="00023FE7" w:rsidRPr="00A75DF9" w:rsidRDefault="00023FE7">
      <w:pPr>
        <w:pStyle w:val="Body"/>
        <w:ind w:right="-1890"/>
        <w:rPr>
          <w:rFonts w:ascii="Tahoma" w:hAnsi="Tahoma" w:cs="Tahoma"/>
        </w:rPr>
      </w:pPr>
    </w:p>
    <w:p w:rsidR="00023FE7" w:rsidRPr="00A75DF9" w:rsidRDefault="000B31FC" w:rsidP="0013361B">
      <w:pPr>
        <w:pStyle w:val="NumberedSteps"/>
        <w:ind w:left="-180" w:right="720"/>
        <w:rPr>
          <w:rFonts w:ascii="Tahoma" w:hAnsi="Tahoma" w:cs="Tahoma"/>
        </w:rPr>
      </w:pPr>
      <w:r>
        <w:rPr>
          <w:noProof/>
        </w:rPr>
        <mc:AlternateContent>
          <mc:Choice Requires="wps">
            <w:drawing>
              <wp:anchor distT="0" distB="0" distL="114300" distR="114300" simplePos="0" relativeHeight="251668992" behindDoc="0" locked="0" layoutInCell="1" allowOverlap="1">
                <wp:simplePos x="0" y="0"/>
                <wp:positionH relativeFrom="column">
                  <wp:posOffset>-120015</wp:posOffset>
                </wp:positionH>
                <wp:positionV relativeFrom="paragraph">
                  <wp:posOffset>2051685</wp:posOffset>
                </wp:positionV>
                <wp:extent cx="1720215" cy="228600"/>
                <wp:effectExtent l="19050" t="19050" r="13335" b="19050"/>
                <wp:wrapNone/>
                <wp:docPr id="6" name="Oval 1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20215" cy="228600"/>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46E2C23" id="Oval 114" o:spid="_x0000_s1026" style="position:absolute;margin-left:-9.45pt;margin-top:161.55pt;width:135.45pt;height:18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" filled="f" strokecolor="red" strokeweight="2.25pt">
                <v:textbox inset="5.85pt,.7pt,5.85pt,.7pt"/>
              </v:oval>
            </w:pict>
          </mc:Fallback>
        </mc:AlternateContent>
      </w:r>
      <w:r w:rsidR="00EA4B2C" w:rsidRPr="00032DCC">
        <w:rPr>
          <w:rFonts w:ascii="Tahoma" w:hAnsi="Tahoma" w:cs="Tahoma"/>
          <w:noProof/>
        </w:rPr>
        <w:drawing>
          <wp:inline distT="0" distB="0" distL="0" distR="0" wp14:anchorId="21BBDC0B" wp14:editId="3EF556C8">
            <wp:extent cx="5934456" cy="2660904"/>
            <wp:effectExtent l="0" t="0" r="0" b="6350"/>
            <wp:docPr id="112" name="Pictur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6319" t="32176" r="14237" b="13426"/>
                    <a:stretch/>
                  </pic:blipFill>
                  <pic:spPr bwMode="auto">
                    <a:xfrm>
                      <a:off x="0" y="0"/>
                      <a:ext cx="5934456" cy="2660904"/>
                    </a:xfrm>
                    <a:prstGeom prst="rect">
                      <a:avLst/>
                    </a:prstGeom>
                    <a:ln>
                      <a:noFill/>
                    </a:ln>
                    <a:extLst>
                      <a:ext uri="{53640926-AAD7-44D8-BBD7-CCE9431645EC}">
                        <a14:shadowObscured xmlns:a14="http://schemas.microsoft.com/office/drawing/2010/main"/>
                      </a:ext>
                    </a:extLst>
                  </pic:spPr>
                </pic:pic>
              </a:graphicData>
            </a:graphic>
          </wp:inline>
        </w:drawing>
      </w:r>
    </w:p>
    <w:p w:rsidR="00023FE7" w:rsidRPr="00A75DF9" w:rsidRDefault="00023FE7" w:rsidP="00A75DF9">
      <w:pPr>
        <w:pStyle w:val="NumberedSteps"/>
        <w:ind w:right="720"/>
        <w:rPr>
          <w:rFonts w:ascii="Tahoma" w:hAnsi="Tahoma" w:cs="Tahoma"/>
        </w:rPr>
      </w:pPr>
      <w:proofErr w:type="spellStart"/>
      <w:r w:rsidRPr="00A75DF9">
        <w:rPr>
          <w:rStyle w:val="BodyChar"/>
          <w:rFonts w:ascii="Tahoma" w:hAnsi="Tahoma" w:cs="Tahoma"/>
          <w:b/>
          <w:sz w:val="18"/>
          <w:szCs w:val="18"/>
        </w:rPr>
        <w:t>Punto</w:t>
      </w:r>
      <w:proofErr w:type="spellEnd"/>
      <w:r w:rsidRPr="00A75DF9">
        <w:rPr>
          <w:rStyle w:val="BodyChar"/>
          <w:rFonts w:ascii="Tahoma" w:hAnsi="Tahoma" w:cs="Tahoma"/>
          <w:b/>
          <w:sz w:val="18"/>
          <w:szCs w:val="18"/>
        </w:rPr>
        <w:t xml:space="preserve"> 2:</w:t>
      </w:r>
      <w:r w:rsidR="009D3B41" w:rsidRPr="00A75DF9">
        <w:rPr>
          <w:rFonts w:ascii="Tahoma" w:hAnsi="Tahoma" w:cs="Tahoma"/>
          <w:sz w:val="18"/>
          <w:szCs w:val="18"/>
        </w:rPr>
        <w:t xml:space="preserve"> </w:t>
      </w:r>
      <w:proofErr w:type="spellStart"/>
      <w:r w:rsidRPr="00A75DF9">
        <w:rPr>
          <w:rFonts w:ascii="Tahoma" w:hAnsi="Tahoma" w:cs="Tahoma"/>
          <w:sz w:val="18"/>
          <w:szCs w:val="18"/>
        </w:rPr>
        <w:t>esaminare</w:t>
      </w:r>
      <w:proofErr w:type="spellEnd"/>
      <w:r w:rsidRPr="00A75DF9">
        <w:rPr>
          <w:rFonts w:ascii="Tahoma" w:hAnsi="Tahoma" w:cs="Tahoma"/>
          <w:sz w:val="18"/>
          <w:szCs w:val="18"/>
        </w:rPr>
        <w:t xml:space="preserve"> le </w:t>
      </w:r>
      <w:proofErr w:type="spellStart"/>
      <w:r w:rsidRPr="00A75DF9">
        <w:rPr>
          <w:rFonts w:ascii="Tahoma" w:hAnsi="Tahoma" w:cs="Tahoma"/>
          <w:sz w:val="18"/>
          <w:szCs w:val="18"/>
        </w:rPr>
        <w:t>informazioni</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nelle</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colonne</w:t>
      </w:r>
      <w:proofErr w:type="spellEnd"/>
      <w:r w:rsidRPr="00A75DF9">
        <w:rPr>
          <w:rFonts w:ascii="Tahoma" w:hAnsi="Tahoma" w:cs="Tahoma"/>
          <w:sz w:val="18"/>
          <w:szCs w:val="18"/>
        </w:rPr>
        <w:t xml:space="preserve"> relative </w:t>
      </w:r>
      <w:proofErr w:type="spellStart"/>
      <w:r w:rsidRPr="00A75DF9">
        <w:rPr>
          <w:rFonts w:ascii="Tahoma" w:hAnsi="Tahoma" w:cs="Tahoma"/>
          <w:sz w:val="18"/>
          <w:szCs w:val="18"/>
        </w:rPr>
        <w:t>alle</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promozioni</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disponibili</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ai</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vantaggi</w:t>
      </w:r>
      <w:proofErr w:type="spellEnd"/>
      <w:r w:rsidRPr="00A75DF9">
        <w:rPr>
          <w:rFonts w:ascii="Tahoma" w:hAnsi="Tahoma" w:cs="Tahoma"/>
          <w:sz w:val="18"/>
          <w:szCs w:val="18"/>
        </w:rPr>
        <w:t xml:space="preserve"> di</w:t>
      </w:r>
      <w:r w:rsidR="00A75DF9" w:rsidRPr="00A75DF9">
        <w:rPr>
          <w:rFonts w:ascii="Tahoma" w:hAnsi="Tahoma" w:cs="Tahoma"/>
          <w:sz w:val="18"/>
          <w:szCs w:val="18"/>
        </w:rPr>
        <w:t> </w:t>
      </w:r>
      <w:r w:rsidRPr="00A75DF9">
        <w:rPr>
          <w:rFonts w:ascii="Tahoma" w:hAnsi="Tahoma" w:cs="Tahoma"/>
          <w:sz w:val="18"/>
          <w:szCs w:val="18"/>
        </w:rPr>
        <w:t xml:space="preserve">Software Assurance, </w:t>
      </w:r>
      <w:proofErr w:type="spellStart"/>
      <w:r w:rsidRPr="00A75DF9">
        <w:rPr>
          <w:rFonts w:ascii="Tahoma" w:hAnsi="Tahoma" w:cs="Tahoma"/>
          <w:sz w:val="18"/>
          <w:szCs w:val="18"/>
        </w:rPr>
        <w:t>ai</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punti</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accumulati</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alla</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disponibilità</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dei</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programmi</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ecc</w:t>
      </w:r>
      <w:proofErr w:type="spellEnd"/>
      <w:r w:rsidRPr="00A75DF9">
        <w:rPr>
          <w:rFonts w:ascii="Tahoma" w:hAnsi="Tahoma" w:cs="Tahoma"/>
          <w:sz w:val="18"/>
          <w:szCs w:val="18"/>
        </w:rPr>
        <w:t>.</w:t>
      </w:r>
    </w:p>
    <w:p w:rsidR="00023FE7" w:rsidRPr="00A75DF9" w:rsidRDefault="00023FE7" w:rsidP="00EA4B2C">
      <w:pPr>
        <w:pStyle w:val="NumberedSteps"/>
        <w:ind w:right="720"/>
        <w:rPr>
          <w:rFonts w:ascii="Tahoma" w:hAnsi="Tahoma" w:cs="Tahoma"/>
        </w:rPr>
      </w:pPr>
      <w:proofErr w:type="spellStart"/>
      <w:r w:rsidRPr="00A75DF9">
        <w:rPr>
          <w:rStyle w:val="BodyChar"/>
          <w:rFonts w:ascii="Tahoma" w:hAnsi="Tahoma" w:cs="Tahoma"/>
          <w:b/>
          <w:sz w:val="18"/>
          <w:szCs w:val="18"/>
        </w:rPr>
        <w:lastRenderedPageBreak/>
        <w:t>Punto</w:t>
      </w:r>
      <w:proofErr w:type="spellEnd"/>
      <w:r w:rsidRPr="00A75DF9">
        <w:rPr>
          <w:rStyle w:val="BodyChar"/>
          <w:rFonts w:ascii="Tahoma" w:hAnsi="Tahoma" w:cs="Tahoma"/>
          <w:b/>
          <w:sz w:val="18"/>
          <w:szCs w:val="18"/>
        </w:rPr>
        <w:t xml:space="preserve"> 3:</w:t>
      </w:r>
      <w:r w:rsidR="009D3B41" w:rsidRPr="00A75DF9">
        <w:rPr>
          <w:rFonts w:ascii="Tahoma" w:hAnsi="Tahoma" w:cs="Tahoma"/>
          <w:sz w:val="18"/>
          <w:szCs w:val="18"/>
        </w:rPr>
        <w:t xml:space="preserve"> </w:t>
      </w:r>
      <w:proofErr w:type="spellStart"/>
      <w:r w:rsidRPr="00A75DF9">
        <w:rPr>
          <w:rFonts w:ascii="Tahoma" w:hAnsi="Tahoma" w:cs="Tahoma"/>
          <w:sz w:val="18"/>
          <w:szCs w:val="18"/>
        </w:rPr>
        <w:t>alcuni</w:t>
      </w:r>
      <w:proofErr w:type="spellEnd"/>
      <w:r w:rsidRPr="00A75DF9">
        <w:rPr>
          <w:rFonts w:ascii="Tahoma" w:hAnsi="Tahoma" w:cs="Tahoma"/>
          <w:sz w:val="18"/>
          <w:szCs w:val="18"/>
        </w:rPr>
        <w:t xml:space="preserve"> software </w:t>
      </w:r>
      <w:proofErr w:type="spellStart"/>
      <w:r w:rsidRPr="00A75DF9">
        <w:rPr>
          <w:rFonts w:ascii="Tahoma" w:hAnsi="Tahoma" w:cs="Tahoma"/>
          <w:sz w:val="18"/>
          <w:szCs w:val="18"/>
        </w:rPr>
        <w:t>saranno</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anche</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corredati</w:t>
      </w:r>
      <w:proofErr w:type="spellEnd"/>
      <w:r w:rsidRPr="00A75DF9">
        <w:rPr>
          <w:rFonts w:ascii="Tahoma" w:hAnsi="Tahoma" w:cs="Tahoma"/>
          <w:sz w:val="18"/>
          <w:szCs w:val="18"/>
        </w:rPr>
        <w:t xml:space="preserve"> di note a </w:t>
      </w:r>
      <w:proofErr w:type="spellStart"/>
      <w:r w:rsidRPr="00A75DF9">
        <w:rPr>
          <w:rFonts w:ascii="Tahoma" w:hAnsi="Tahoma" w:cs="Tahoma"/>
          <w:sz w:val="18"/>
          <w:szCs w:val="18"/>
        </w:rPr>
        <w:t>piè</w:t>
      </w:r>
      <w:proofErr w:type="spellEnd"/>
      <w:r w:rsidRPr="00A75DF9">
        <w:rPr>
          <w:rFonts w:ascii="Tahoma" w:hAnsi="Tahoma" w:cs="Tahoma"/>
          <w:sz w:val="18"/>
          <w:szCs w:val="18"/>
        </w:rPr>
        <w:t xml:space="preserve"> di </w:t>
      </w:r>
      <w:proofErr w:type="spellStart"/>
      <w:r w:rsidRPr="00A75DF9">
        <w:rPr>
          <w:rFonts w:ascii="Tahoma" w:hAnsi="Tahoma" w:cs="Tahoma"/>
          <w:sz w:val="18"/>
          <w:szCs w:val="18"/>
        </w:rPr>
        <w:t>pagina</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riguardanti</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informazioni</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aggiuntive</w:t>
      </w:r>
      <w:proofErr w:type="spellEnd"/>
      <w:r w:rsidRPr="00A75DF9">
        <w:rPr>
          <w:rFonts w:ascii="Tahoma" w:hAnsi="Tahoma" w:cs="Tahoma"/>
          <w:sz w:val="18"/>
          <w:szCs w:val="18"/>
        </w:rPr>
        <w:t xml:space="preserve">. Per </w:t>
      </w:r>
      <w:proofErr w:type="spellStart"/>
      <w:r w:rsidRPr="00A75DF9">
        <w:rPr>
          <w:rFonts w:ascii="Tahoma" w:hAnsi="Tahoma" w:cs="Tahoma"/>
          <w:sz w:val="18"/>
          <w:szCs w:val="18"/>
        </w:rPr>
        <w:t>leggerle</w:t>
      </w:r>
      <w:proofErr w:type="spellEnd"/>
      <w:r w:rsidRPr="00A75DF9">
        <w:rPr>
          <w:rFonts w:ascii="Tahoma" w:hAnsi="Tahoma" w:cs="Tahoma"/>
          <w:sz w:val="18"/>
          <w:szCs w:val="18"/>
        </w:rPr>
        <w:t xml:space="preserve">, se </w:t>
      </w:r>
      <w:proofErr w:type="spellStart"/>
      <w:r w:rsidRPr="00A75DF9">
        <w:rPr>
          <w:rFonts w:ascii="Tahoma" w:hAnsi="Tahoma" w:cs="Tahoma"/>
          <w:sz w:val="18"/>
          <w:szCs w:val="18"/>
        </w:rPr>
        <w:t>applicabile</w:t>
      </w:r>
      <w:proofErr w:type="spellEnd"/>
      <w:r w:rsidRPr="00A75DF9">
        <w:rPr>
          <w:rFonts w:ascii="Tahoma" w:hAnsi="Tahoma" w:cs="Tahoma"/>
          <w:sz w:val="18"/>
          <w:szCs w:val="18"/>
        </w:rPr>
        <w:t xml:space="preserve">, “fare </w:t>
      </w:r>
      <w:proofErr w:type="spellStart"/>
      <w:r w:rsidRPr="00A75DF9">
        <w:rPr>
          <w:rFonts w:ascii="Tahoma" w:hAnsi="Tahoma" w:cs="Tahoma"/>
          <w:sz w:val="18"/>
          <w:szCs w:val="18"/>
        </w:rPr>
        <w:t>clic</w:t>
      </w:r>
      <w:proofErr w:type="spellEnd"/>
      <w:r w:rsidRPr="00A75DF9">
        <w:rPr>
          <w:rFonts w:ascii="Tahoma" w:hAnsi="Tahoma" w:cs="Tahoma"/>
          <w:sz w:val="18"/>
          <w:szCs w:val="18"/>
        </w:rPr>
        <w:t xml:space="preserve">” (Ctrl + </w:t>
      </w:r>
      <w:proofErr w:type="spellStart"/>
      <w:r w:rsidRPr="00A75DF9">
        <w:rPr>
          <w:rFonts w:ascii="Tahoma" w:hAnsi="Tahoma" w:cs="Tahoma"/>
          <w:sz w:val="18"/>
          <w:szCs w:val="18"/>
        </w:rPr>
        <w:t>clic</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sul</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numero</w:t>
      </w:r>
      <w:proofErr w:type="spellEnd"/>
      <w:r w:rsidRPr="00A75DF9">
        <w:rPr>
          <w:rFonts w:ascii="Tahoma" w:hAnsi="Tahoma" w:cs="Tahoma"/>
          <w:sz w:val="18"/>
          <w:szCs w:val="18"/>
        </w:rPr>
        <w:t xml:space="preserve"> </w:t>
      </w:r>
      <w:proofErr w:type="spellStart"/>
      <w:proofErr w:type="gramStart"/>
      <w:r w:rsidRPr="00A75DF9">
        <w:rPr>
          <w:rFonts w:ascii="Tahoma" w:hAnsi="Tahoma" w:cs="Tahoma"/>
          <w:sz w:val="18"/>
          <w:szCs w:val="18"/>
        </w:rPr>
        <w:t>della</w:t>
      </w:r>
      <w:proofErr w:type="spellEnd"/>
      <w:proofErr w:type="gramEnd"/>
      <w:r w:rsidRPr="00A75DF9">
        <w:rPr>
          <w:rFonts w:ascii="Tahoma" w:hAnsi="Tahoma" w:cs="Tahoma"/>
          <w:sz w:val="18"/>
          <w:szCs w:val="18"/>
        </w:rPr>
        <w:t xml:space="preserve"> nota a </w:t>
      </w:r>
      <w:proofErr w:type="spellStart"/>
      <w:r w:rsidRPr="00A75DF9">
        <w:rPr>
          <w:rFonts w:ascii="Tahoma" w:hAnsi="Tahoma" w:cs="Tahoma"/>
          <w:sz w:val="18"/>
          <w:szCs w:val="18"/>
        </w:rPr>
        <w:t>piè</w:t>
      </w:r>
      <w:proofErr w:type="spellEnd"/>
      <w:r w:rsidRPr="00A75DF9">
        <w:rPr>
          <w:rFonts w:ascii="Tahoma" w:hAnsi="Tahoma" w:cs="Tahoma"/>
          <w:sz w:val="18"/>
          <w:szCs w:val="18"/>
        </w:rPr>
        <w:t xml:space="preserve"> di </w:t>
      </w:r>
      <w:proofErr w:type="spellStart"/>
      <w:r w:rsidRPr="00A75DF9">
        <w:rPr>
          <w:rFonts w:ascii="Tahoma" w:hAnsi="Tahoma" w:cs="Tahoma"/>
          <w:sz w:val="18"/>
          <w:szCs w:val="18"/>
        </w:rPr>
        <w:t>pagina</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che</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indirizzerà</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immediatamente</w:t>
      </w:r>
      <w:proofErr w:type="spellEnd"/>
      <w:r w:rsidRPr="00A75DF9">
        <w:rPr>
          <w:rFonts w:ascii="Tahoma" w:hAnsi="Tahoma" w:cs="Tahoma"/>
          <w:sz w:val="18"/>
          <w:szCs w:val="18"/>
        </w:rPr>
        <w:t xml:space="preserve"> al </w:t>
      </w:r>
      <w:proofErr w:type="spellStart"/>
      <w:r w:rsidRPr="00A75DF9">
        <w:rPr>
          <w:rFonts w:ascii="Tahoma" w:hAnsi="Tahoma" w:cs="Tahoma"/>
          <w:sz w:val="18"/>
          <w:szCs w:val="18"/>
        </w:rPr>
        <w:t>testo</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corrispondente</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oppure</w:t>
      </w:r>
      <w:proofErr w:type="spellEnd"/>
      <w:r w:rsidRPr="00A75DF9">
        <w:rPr>
          <w:rFonts w:ascii="Tahoma" w:hAnsi="Tahoma" w:cs="Tahoma"/>
          <w:sz w:val="18"/>
          <w:szCs w:val="18"/>
        </w:rPr>
        <w:t xml:space="preserve"> fare </w:t>
      </w:r>
      <w:proofErr w:type="spellStart"/>
      <w:r w:rsidRPr="00A75DF9">
        <w:rPr>
          <w:rFonts w:ascii="Tahoma" w:hAnsi="Tahoma" w:cs="Tahoma"/>
          <w:sz w:val="18"/>
          <w:szCs w:val="18"/>
        </w:rPr>
        <w:t>riferimento</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alla</w:t>
      </w:r>
      <w:proofErr w:type="spellEnd"/>
      <w:r w:rsidRPr="00A75DF9">
        <w:rPr>
          <w:rFonts w:ascii="Tahoma" w:hAnsi="Tahoma" w:cs="Tahoma"/>
          <w:sz w:val="18"/>
          <w:szCs w:val="18"/>
        </w:rPr>
        <w:t xml:space="preserve"> nota</w:t>
      </w:r>
      <w:r w:rsidR="00EA4B2C">
        <w:rPr>
          <w:rFonts w:ascii="Tahoma" w:hAnsi="Tahoma" w:cs="Tahoma"/>
          <w:sz w:val="18"/>
          <w:szCs w:val="18"/>
        </w:rPr>
        <w:t> </w:t>
      </w:r>
      <w:r w:rsidRPr="00A75DF9">
        <w:rPr>
          <w:rFonts w:ascii="Tahoma" w:hAnsi="Tahoma" w:cs="Tahoma"/>
          <w:sz w:val="18"/>
          <w:szCs w:val="18"/>
        </w:rPr>
        <w:t>a</w:t>
      </w:r>
      <w:r w:rsidR="00A75DF9" w:rsidRPr="00A75DF9">
        <w:rPr>
          <w:rFonts w:ascii="Tahoma" w:hAnsi="Tahoma" w:cs="Tahoma"/>
          <w:sz w:val="18"/>
          <w:szCs w:val="18"/>
        </w:rPr>
        <w:t> </w:t>
      </w:r>
      <w:proofErr w:type="spellStart"/>
      <w:r w:rsidRPr="00A75DF9">
        <w:rPr>
          <w:rFonts w:ascii="Tahoma" w:hAnsi="Tahoma" w:cs="Tahoma"/>
          <w:sz w:val="18"/>
          <w:szCs w:val="18"/>
        </w:rPr>
        <w:t>piè</w:t>
      </w:r>
      <w:proofErr w:type="spellEnd"/>
      <w:r w:rsidRPr="00A75DF9">
        <w:rPr>
          <w:rFonts w:ascii="Tahoma" w:hAnsi="Tahoma" w:cs="Tahoma"/>
          <w:sz w:val="18"/>
          <w:szCs w:val="18"/>
        </w:rPr>
        <w:t xml:space="preserve"> di </w:t>
      </w:r>
      <w:proofErr w:type="spellStart"/>
      <w:r w:rsidRPr="00A75DF9">
        <w:rPr>
          <w:rFonts w:ascii="Tahoma" w:hAnsi="Tahoma" w:cs="Tahoma"/>
          <w:sz w:val="18"/>
          <w:szCs w:val="18"/>
        </w:rPr>
        <w:t>pagina</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identificata</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nelle</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pagine</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che</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seguono</w:t>
      </w:r>
      <w:proofErr w:type="spellEnd"/>
      <w:r w:rsidRPr="00A75DF9">
        <w:rPr>
          <w:rFonts w:ascii="Tahoma" w:hAnsi="Tahoma" w:cs="Tahoma"/>
          <w:sz w:val="18"/>
          <w:szCs w:val="18"/>
        </w:rPr>
        <w:t xml:space="preserve"> la </w:t>
      </w:r>
      <w:proofErr w:type="spellStart"/>
      <w:r w:rsidRPr="00A75DF9">
        <w:rPr>
          <w:rFonts w:ascii="Tahoma" w:hAnsi="Tahoma" w:cs="Tahoma"/>
          <w:sz w:val="18"/>
          <w:szCs w:val="18"/>
        </w:rPr>
        <w:t>tabella</w:t>
      </w:r>
      <w:proofErr w:type="spellEnd"/>
      <w:r w:rsidRPr="00A75DF9">
        <w:rPr>
          <w:rFonts w:ascii="Tahoma" w:hAnsi="Tahoma" w:cs="Tahoma"/>
          <w:sz w:val="18"/>
          <w:szCs w:val="18"/>
        </w:rPr>
        <w:t xml:space="preserve">. Le </w:t>
      </w:r>
      <w:proofErr w:type="spellStart"/>
      <w:r w:rsidRPr="00A75DF9">
        <w:rPr>
          <w:rFonts w:ascii="Tahoma" w:hAnsi="Tahoma" w:cs="Tahoma"/>
          <w:sz w:val="18"/>
          <w:szCs w:val="18"/>
        </w:rPr>
        <w:t>informazioni</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aggiuntive</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includono</w:t>
      </w:r>
      <w:proofErr w:type="spellEnd"/>
      <w:r w:rsidRPr="00A75DF9">
        <w:rPr>
          <w:rFonts w:ascii="Tahoma" w:hAnsi="Tahoma" w:cs="Tahoma"/>
          <w:sz w:val="18"/>
          <w:szCs w:val="18"/>
        </w:rPr>
        <w:t xml:space="preserve"> </w:t>
      </w:r>
      <w:r w:rsidR="00A75DF9" w:rsidRPr="00A75DF9">
        <w:rPr>
          <w:rFonts w:ascii="Tahoma" w:hAnsi="Tahoma" w:cs="Tahoma"/>
          <w:sz w:val="18"/>
          <w:szCs w:val="18"/>
        </w:rPr>
        <w:t>I </w:t>
      </w:r>
      <w:proofErr w:type="spellStart"/>
      <w:r w:rsidRPr="00A75DF9">
        <w:rPr>
          <w:rFonts w:ascii="Tahoma" w:hAnsi="Tahoma" w:cs="Tahoma"/>
          <w:sz w:val="18"/>
          <w:szCs w:val="18"/>
        </w:rPr>
        <w:t>dettagli</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riguardanti</w:t>
      </w:r>
      <w:proofErr w:type="spellEnd"/>
      <w:r w:rsidRPr="00A75DF9">
        <w:rPr>
          <w:rFonts w:ascii="Tahoma" w:hAnsi="Tahoma" w:cs="Tahoma"/>
          <w:sz w:val="18"/>
          <w:szCs w:val="18"/>
        </w:rPr>
        <w:t xml:space="preserve"> le </w:t>
      </w:r>
      <w:proofErr w:type="spellStart"/>
      <w:r w:rsidRPr="00A75DF9">
        <w:rPr>
          <w:rFonts w:ascii="Tahoma" w:hAnsi="Tahoma" w:cs="Tahoma"/>
          <w:sz w:val="18"/>
          <w:szCs w:val="18"/>
        </w:rPr>
        <w:t>offerte</w:t>
      </w:r>
      <w:proofErr w:type="spellEnd"/>
      <w:r w:rsidRPr="00A75DF9">
        <w:rPr>
          <w:rFonts w:ascii="Tahoma" w:hAnsi="Tahoma" w:cs="Tahoma"/>
          <w:sz w:val="18"/>
          <w:szCs w:val="18"/>
        </w:rPr>
        <w:t xml:space="preserve"> di </w:t>
      </w:r>
      <w:proofErr w:type="spellStart"/>
      <w:r w:rsidRPr="00A75DF9">
        <w:rPr>
          <w:rFonts w:ascii="Tahoma" w:hAnsi="Tahoma" w:cs="Tahoma"/>
          <w:sz w:val="18"/>
          <w:szCs w:val="18"/>
        </w:rPr>
        <w:t>migrazione</w:t>
      </w:r>
      <w:proofErr w:type="spellEnd"/>
      <w:r w:rsidRPr="00A75DF9">
        <w:rPr>
          <w:rFonts w:ascii="Tahoma" w:hAnsi="Tahoma" w:cs="Tahoma"/>
          <w:sz w:val="18"/>
          <w:szCs w:val="18"/>
        </w:rPr>
        <w:t xml:space="preserve"> o </w:t>
      </w:r>
      <w:proofErr w:type="spellStart"/>
      <w:r w:rsidRPr="00A75DF9">
        <w:rPr>
          <w:rFonts w:ascii="Tahoma" w:hAnsi="Tahoma" w:cs="Tahoma"/>
          <w:sz w:val="18"/>
          <w:szCs w:val="18"/>
        </w:rPr>
        <w:t>i</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criteri</w:t>
      </w:r>
      <w:proofErr w:type="spellEnd"/>
      <w:r w:rsidRPr="00A75DF9">
        <w:rPr>
          <w:rFonts w:ascii="Tahoma" w:hAnsi="Tahoma" w:cs="Tahoma"/>
          <w:sz w:val="18"/>
          <w:szCs w:val="18"/>
        </w:rPr>
        <w:t xml:space="preserve"> di </w:t>
      </w:r>
      <w:proofErr w:type="spellStart"/>
      <w:r w:rsidRPr="00A75DF9">
        <w:rPr>
          <w:rFonts w:ascii="Tahoma" w:hAnsi="Tahoma" w:cs="Tahoma"/>
          <w:sz w:val="18"/>
          <w:szCs w:val="18"/>
        </w:rPr>
        <w:t>idoneità</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illustrati</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nell</w:t>
      </w:r>
      <w:r w:rsidR="00F2643E">
        <w:rPr>
          <w:rFonts w:ascii="Tahoma" w:hAnsi="Tahoma" w:cs="Tahoma"/>
          <w:sz w:val="18"/>
          <w:szCs w:val="18"/>
        </w:rPr>
        <w:t>’</w:t>
      </w:r>
      <w:r w:rsidRPr="00A75DF9">
        <w:rPr>
          <w:rFonts w:ascii="Tahoma" w:hAnsi="Tahoma" w:cs="Tahoma"/>
          <w:sz w:val="18"/>
          <w:szCs w:val="18"/>
        </w:rPr>
        <w:t>esempio</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che</w:t>
      </w:r>
      <w:proofErr w:type="spellEnd"/>
      <w:r w:rsidRPr="00A75DF9">
        <w:rPr>
          <w:rFonts w:ascii="Tahoma" w:hAnsi="Tahoma" w:cs="Tahoma"/>
          <w:sz w:val="18"/>
          <w:szCs w:val="18"/>
        </w:rPr>
        <w:t xml:space="preserve"> segue.</w:t>
      </w:r>
    </w:p>
    <w:p w:rsidR="000E5145" w:rsidRPr="00A75DF9" w:rsidRDefault="000E5145" w:rsidP="000E5145">
      <w:pPr>
        <w:pStyle w:val="NumberedSteps"/>
        <w:ind w:right="720"/>
        <w:rPr>
          <w:rFonts w:ascii="Tahoma" w:hAnsi="Tahoma" w:cs="Tahoma"/>
        </w:rPr>
      </w:pPr>
    </w:p>
    <w:p w:rsidR="00023FE7" w:rsidRPr="00A75DF9" w:rsidRDefault="000B31FC">
      <w:pPr>
        <w:pStyle w:val="NumberedSteps"/>
        <w:tabs>
          <w:tab w:val="left" w:pos="9360"/>
        </w:tabs>
        <w:ind w:right="720"/>
        <w:rPr>
          <w:rFonts w:ascii="Tahoma" w:hAnsi="Tahoma" w:cs="Tahoma"/>
        </w:rPr>
      </w:pPr>
      <w:r>
        <w:rPr>
          <w:noProof/>
        </w:rPr>
        <mc:AlternateContent>
          <mc:Choice Requires="wps">
            <w:drawing>
              <wp:anchor distT="0" distB="0" distL="114300" distR="114300" simplePos="0" relativeHeight="251667968" behindDoc="0" locked="0" layoutInCell="1" allowOverlap="1">
                <wp:simplePos x="0" y="0"/>
                <wp:positionH relativeFrom="column">
                  <wp:posOffset>1747520</wp:posOffset>
                </wp:positionH>
                <wp:positionV relativeFrom="paragraph">
                  <wp:posOffset>1776095</wp:posOffset>
                </wp:positionV>
                <wp:extent cx="304800" cy="123825"/>
                <wp:effectExtent l="19050" t="19050" r="19050" b="28575"/>
                <wp:wrapNone/>
                <wp:docPr id="115" name="Oval 1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4800" cy="123825"/>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D20F798" id="Oval 115" o:spid="_x0000_s1026" style="position:absolute;margin-left:137.6pt;margin-top:139.85pt;width:24pt;height:9.75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" filled="f" strokecolor="red" strokeweight="2.25pt">
                <v:textbox inset="5.85pt,.7pt,5.85pt,.7pt"/>
              </v:oval>
            </w:pict>
          </mc:Fallback>
        </mc:AlternateContent>
      </w:r>
      <w:r>
        <w:rPr>
          <w:noProof/>
        </w:rPr>
        <mc:AlternateContent>
          <mc:Choice Requires="wps">
            <w:drawing>
              <wp:anchor distT="0" distB="0" distL="114300" distR="114300" simplePos="0" relativeHeight="251666944" behindDoc="0" locked="0" layoutInCell="1" allowOverlap="1">
                <wp:simplePos x="0" y="0"/>
                <wp:positionH relativeFrom="column">
                  <wp:posOffset>441960</wp:posOffset>
                </wp:positionH>
                <wp:positionV relativeFrom="paragraph">
                  <wp:posOffset>1739265</wp:posOffset>
                </wp:positionV>
                <wp:extent cx="866775" cy="179070"/>
                <wp:effectExtent l="19050" t="19050" r="28575" b="11430"/>
                <wp:wrapNone/>
                <wp:docPr id="114" name="Oval 1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66775" cy="179070"/>
                        </a:xfrm>
                        <a:prstGeom prst="ellipse">
                          <a:avLst/>
                        </a:prstGeom>
                        <a:noFill/>
                        <a:ln w="2857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E41C34B" id="Oval 114" o:spid="_x0000_s1026" style="position:absolute;margin-left:34.8pt;margin-top:136.95pt;width:68.25pt;height:14.1pt;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" filled="f" strokecolor="red" strokeweight="2.25pt">
                <v:textbox inset="5.85pt,.7pt,5.85pt,.7pt"/>
              </v:oval>
            </w:pict>
          </mc:Fallback>
        </mc:AlternateContent>
      </w:r>
      <w:r w:rsidR="00EA4B2C" w:rsidRPr="00032DCC">
        <w:rPr>
          <w:rFonts w:ascii="Tahoma" w:hAnsi="Tahoma" w:cs="Tahoma"/>
          <w:noProof/>
        </w:rPr>
        <w:drawing>
          <wp:inline distT="0" distB="0" distL="0" distR="0" wp14:anchorId="650F06C1" wp14:editId="0C82FAA0">
            <wp:extent cx="1938528" cy="2404872"/>
            <wp:effectExtent l="0" t="0" r="0" b="0"/>
            <wp:docPr id="113"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6319" t="32176" r="58334" b="13426"/>
                    <a:stretch/>
                  </pic:blipFill>
                  <pic:spPr bwMode="auto">
                    <a:xfrm>
                      <a:off x="0" y="0"/>
                      <a:ext cx="1938528" cy="2404872"/>
                    </a:xfrm>
                    <a:prstGeom prst="rect">
                      <a:avLst/>
                    </a:prstGeom>
                    <a:ln>
                      <a:noFill/>
                    </a:ln>
                    <a:extLst>
                      <a:ext uri="{53640926-AAD7-44D8-BBD7-CCE9431645EC}">
                        <a14:shadowObscured xmlns:a14="http://schemas.microsoft.com/office/drawing/2010/main"/>
                      </a:ext>
                    </a:extLst>
                  </pic:spPr>
                </pic:pic>
              </a:graphicData>
            </a:graphic>
          </wp:inline>
        </w:drawing>
      </w:r>
    </w:p>
    <w:p w:rsidR="0013361B" w:rsidRPr="00A75DF9" w:rsidRDefault="0013361B">
      <w:pPr>
        <w:pStyle w:val="NumberedSteps"/>
        <w:tabs>
          <w:tab w:val="left" w:pos="9360"/>
        </w:tabs>
        <w:ind w:right="720"/>
        <w:rPr>
          <w:rFonts w:ascii="Tahoma" w:hAnsi="Tahoma" w:cs="Tahoma"/>
        </w:rPr>
      </w:pPr>
    </w:p>
    <w:p w:rsidR="00023FE7" w:rsidRPr="00A75DF9" w:rsidRDefault="00EA4B2C">
      <w:pPr>
        <w:pStyle w:val="NumberedSteps"/>
        <w:ind w:right="720"/>
        <w:rPr>
          <w:rFonts w:ascii="Tahoma" w:hAnsi="Tahoma" w:cs="Tahoma"/>
        </w:rPr>
      </w:pPr>
      <w:r w:rsidRPr="00032DCC">
        <w:rPr>
          <w:rFonts w:ascii="Tahoma" w:hAnsi="Tahoma" w:cs="Tahoma"/>
          <w:noProof/>
          <w:bdr w:val="single" w:sz="8" w:space="0" w:color="auto"/>
        </w:rPr>
        <w:drawing>
          <wp:inline distT="0" distB="0" distL="0" distR="0" wp14:anchorId="17D57DCE" wp14:editId="74480BB8">
            <wp:extent cx="4818888" cy="1042416"/>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18403" t="37269" r="19270" b="47685"/>
                    <a:stretch/>
                  </pic:blipFill>
                  <pic:spPr bwMode="auto">
                    <a:xfrm>
                      <a:off x="0" y="0"/>
                      <a:ext cx="4818888" cy="1042416"/>
                    </a:xfrm>
                    <a:prstGeom prst="rect">
                      <a:avLst/>
                    </a:prstGeom>
                    <a:ln>
                      <a:noFill/>
                    </a:ln>
                    <a:extLst>
                      <a:ext uri="{53640926-AAD7-44D8-BBD7-CCE9431645EC}">
                        <a14:shadowObscured xmlns:a14="http://schemas.microsoft.com/office/drawing/2010/main"/>
                      </a:ext>
                    </a:extLst>
                  </pic:spPr>
                </pic:pic>
              </a:graphicData>
            </a:graphic>
          </wp:inline>
        </w:drawing>
      </w:r>
    </w:p>
    <w:p w:rsidR="0013361B" w:rsidRPr="00A75DF9" w:rsidRDefault="0013361B">
      <w:pPr>
        <w:pStyle w:val="NumberedSteps"/>
        <w:ind w:right="720"/>
        <w:rPr>
          <w:rFonts w:ascii="Tahoma" w:hAnsi="Tahoma" w:cs="Tahoma"/>
        </w:rPr>
      </w:pPr>
    </w:p>
    <w:p w:rsidR="00023FE7" w:rsidRPr="00A75DF9" w:rsidRDefault="00023FE7">
      <w:pPr>
        <w:pStyle w:val="NumberedSteps"/>
        <w:ind w:right="720"/>
        <w:rPr>
          <w:rFonts w:ascii="Tahoma" w:hAnsi="Tahoma" w:cs="Tahoma"/>
        </w:rPr>
      </w:pPr>
      <w:proofErr w:type="spellStart"/>
      <w:r w:rsidRPr="00A75DF9">
        <w:rPr>
          <w:rStyle w:val="BodyChar"/>
          <w:rFonts w:ascii="Tahoma" w:hAnsi="Tahoma" w:cs="Tahoma"/>
          <w:b/>
          <w:sz w:val="18"/>
          <w:szCs w:val="18"/>
        </w:rPr>
        <w:t>Punto</w:t>
      </w:r>
      <w:proofErr w:type="spellEnd"/>
      <w:r w:rsidRPr="00A75DF9">
        <w:rPr>
          <w:rStyle w:val="BodyChar"/>
          <w:rFonts w:ascii="Tahoma" w:hAnsi="Tahoma" w:cs="Tahoma"/>
          <w:b/>
          <w:sz w:val="18"/>
          <w:szCs w:val="18"/>
        </w:rPr>
        <w:t xml:space="preserve"> 4:</w:t>
      </w:r>
      <w:r w:rsidR="009D3B41" w:rsidRPr="00A75DF9">
        <w:rPr>
          <w:rStyle w:val="BodyChar"/>
          <w:rFonts w:ascii="Tahoma" w:hAnsi="Tahoma" w:cs="Tahoma"/>
          <w:b/>
          <w:sz w:val="18"/>
          <w:szCs w:val="18"/>
        </w:rPr>
        <w:t xml:space="preserve"> </w:t>
      </w:r>
      <w:r w:rsidRPr="00A75DF9">
        <w:rPr>
          <w:rFonts w:ascii="Tahoma" w:hAnsi="Tahoma" w:cs="Tahoma"/>
          <w:sz w:val="18"/>
          <w:szCs w:val="18"/>
        </w:rPr>
        <w:t xml:space="preserve">per </w:t>
      </w:r>
      <w:proofErr w:type="spellStart"/>
      <w:r w:rsidRPr="00A75DF9">
        <w:rPr>
          <w:rFonts w:ascii="Tahoma" w:hAnsi="Tahoma" w:cs="Tahoma"/>
          <w:sz w:val="18"/>
          <w:szCs w:val="18"/>
        </w:rPr>
        <w:t>ulteriori</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informazioni</w:t>
      </w:r>
      <w:proofErr w:type="spellEnd"/>
      <w:r w:rsidRPr="00A75DF9">
        <w:rPr>
          <w:rFonts w:ascii="Tahoma" w:hAnsi="Tahoma" w:cs="Tahoma"/>
          <w:sz w:val="18"/>
          <w:szCs w:val="18"/>
        </w:rPr>
        <w:t xml:space="preserve"> </w:t>
      </w:r>
      <w:proofErr w:type="gramStart"/>
      <w:r w:rsidRPr="00A75DF9">
        <w:rPr>
          <w:rFonts w:ascii="Tahoma" w:hAnsi="Tahoma" w:cs="Tahoma"/>
          <w:sz w:val="18"/>
          <w:szCs w:val="18"/>
        </w:rPr>
        <w:t>sui</w:t>
      </w:r>
      <w:proofErr w:type="gramEnd"/>
      <w:r w:rsidRPr="00A75DF9">
        <w:rPr>
          <w:rFonts w:ascii="Tahoma" w:hAnsi="Tahoma" w:cs="Tahoma"/>
          <w:sz w:val="18"/>
          <w:szCs w:val="18"/>
        </w:rPr>
        <w:t xml:space="preserve"> </w:t>
      </w:r>
      <w:proofErr w:type="spellStart"/>
      <w:r w:rsidRPr="00A75DF9">
        <w:rPr>
          <w:rFonts w:ascii="Tahoma" w:hAnsi="Tahoma" w:cs="Tahoma"/>
          <w:sz w:val="18"/>
          <w:szCs w:val="18"/>
        </w:rPr>
        <w:t>vantaggi</w:t>
      </w:r>
      <w:proofErr w:type="spellEnd"/>
      <w:r w:rsidRPr="00A75DF9">
        <w:rPr>
          <w:rFonts w:ascii="Tahoma" w:hAnsi="Tahoma" w:cs="Tahoma"/>
          <w:sz w:val="18"/>
          <w:szCs w:val="18"/>
        </w:rPr>
        <w:t xml:space="preserve"> di Software Assurance e </w:t>
      </w:r>
      <w:proofErr w:type="spellStart"/>
      <w:r w:rsidRPr="00A75DF9">
        <w:rPr>
          <w:rFonts w:ascii="Tahoma" w:hAnsi="Tahoma" w:cs="Tahoma"/>
          <w:sz w:val="18"/>
          <w:szCs w:val="18"/>
        </w:rPr>
        <w:t>sulle</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modalità</w:t>
      </w:r>
      <w:proofErr w:type="spellEnd"/>
      <w:r w:rsidRPr="00A75DF9">
        <w:rPr>
          <w:rFonts w:ascii="Tahoma" w:hAnsi="Tahoma" w:cs="Tahoma"/>
          <w:sz w:val="18"/>
          <w:szCs w:val="18"/>
        </w:rPr>
        <w:t xml:space="preserve"> di </w:t>
      </w:r>
      <w:proofErr w:type="spellStart"/>
      <w:r w:rsidRPr="00A75DF9">
        <w:rPr>
          <w:rFonts w:ascii="Tahoma" w:hAnsi="Tahoma" w:cs="Tahoma"/>
          <w:sz w:val="18"/>
          <w:szCs w:val="18"/>
        </w:rPr>
        <w:t>acquisto</w:t>
      </w:r>
      <w:proofErr w:type="spellEnd"/>
      <w:r w:rsidRPr="00A75DF9">
        <w:rPr>
          <w:rFonts w:ascii="Tahoma" w:hAnsi="Tahoma" w:cs="Tahoma"/>
          <w:sz w:val="18"/>
          <w:szCs w:val="18"/>
        </w:rPr>
        <w:t xml:space="preserve"> e di </w:t>
      </w:r>
      <w:proofErr w:type="spellStart"/>
      <w:r w:rsidRPr="00A75DF9">
        <w:rPr>
          <w:rFonts w:ascii="Tahoma" w:hAnsi="Tahoma" w:cs="Tahoma"/>
          <w:sz w:val="18"/>
          <w:szCs w:val="18"/>
        </w:rPr>
        <w:t>rinnovo</w:t>
      </w:r>
      <w:proofErr w:type="spellEnd"/>
      <w:r w:rsidRPr="00A75DF9">
        <w:rPr>
          <w:rFonts w:ascii="Tahoma" w:hAnsi="Tahoma" w:cs="Tahoma"/>
          <w:sz w:val="18"/>
          <w:szCs w:val="18"/>
        </w:rPr>
        <w:t xml:space="preserve"> di Software Assurance, </w:t>
      </w:r>
      <w:proofErr w:type="spellStart"/>
      <w:r w:rsidRPr="00A75DF9">
        <w:rPr>
          <w:rFonts w:ascii="Tahoma" w:hAnsi="Tahoma" w:cs="Tahoma"/>
          <w:sz w:val="18"/>
          <w:szCs w:val="18"/>
        </w:rPr>
        <w:t>vedere</w:t>
      </w:r>
      <w:proofErr w:type="spellEnd"/>
      <w:r w:rsidRPr="00A75DF9">
        <w:rPr>
          <w:rFonts w:ascii="Tahoma" w:hAnsi="Tahoma" w:cs="Tahoma"/>
          <w:sz w:val="18"/>
          <w:szCs w:val="18"/>
        </w:rPr>
        <w:t xml:space="preserve"> le </w:t>
      </w:r>
      <w:proofErr w:type="spellStart"/>
      <w:r w:rsidRPr="00A75DF9">
        <w:rPr>
          <w:rFonts w:ascii="Tahoma" w:hAnsi="Tahoma" w:cs="Tahoma"/>
          <w:sz w:val="18"/>
          <w:szCs w:val="18"/>
        </w:rPr>
        <w:t>Appendici</w:t>
      </w:r>
      <w:proofErr w:type="spellEnd"/>
      <w:r w:rsidRPr="00A75DF9">
        <w:rPr>
          <w:rFonts w:ascii="Tahoma" w:hAnsi="Tahoma" w:cs="Tahoma"/>
          <w:sz w:val="18"/>
          <w:szCs w:val="18"/>
        </w:rPr>
        <w:t xml:space="preserve"> 5 e 6.</w:t>
      </w:r>
    </w:p>
    <w:p w:rsidR="00023FE7" w:rsidRPr="00A75DF9" w:rsidRDefault="00023FE7" w:rsidP="00A75DF9">
      <w:pPr>
        <w:pStyle w:val="Body"/>
        <w:ind w:right="720"/>
        <w:rPr>
          <w:rFonts w:ascii="Tahoma" w:hAnsi="Tahoma" w:cs="Tahoma"/>
        </w:rPr>
      </w:pPr>
      <w:proofErr w:type="spellStart"/>
      <w:r w:rsidRPr="00A75DF9">
        <w:rPr>
          <w:rFonts w:ascii="Tahoma" w:hAnsi="Tahoma" w:cs="Tahoma"/>
          <w:b/>
          <w:sz w:val="18"/>
          <w:szCs w:val="18"/>
        </w:rPr>
        <w:t>Nota</w:t>
      </w:r>
      <w:proofErr w:type="spellEnd"/>
      <w:r w:rsidRPr="00A75DF9">
        <w:rPr>
          <w:rFonts w:ascii="Tahoma" w:hAnsi="Tahoma" w:cs="Tahoma"/>
          <w:b/>
          <w:sz w:val="18"/>
          <w:szCs w:val="18"/>
        </w:rPr>
        <w:t>:</w:t>
      </w:r>
      <w:r w:rsidR="009D3B41" w:rsidRPr="00A75DF9">
        <w:rPr>
          <w:rFonts w:ascii="Tahoma" w:hAnsi="Tahoma" w:cs="Tahoma"/>
          <w:sz w:val="18"/>
          <w:szCs w:val="18"/>
        </w:rPr>
        <w:t xml:space="preserve"> </w:t>
      </w:r>
      <w:r w:rsidRPr="00A75DF9">
        <w:rPr>
          <w:rFonts w:ascii="Tahoma" w:hAnsi="Tahoma" w:cs="Tahoma"/>
          <w:sz w:val="18"/>
          <w:szCs w:val="18"/>
        </w:rPr>
        <w:t xml:space="preserve">la </w:t>
      </w:r>
      <w:proofErr w:type="spellStart"/>
      <w:r w:rsidRPr="00A75DF9">
        <w:rPr>
          <w:rFonts w:ascii="Tahoma" w:hAnsi="Tahoma" w:cs="Tahoma"/>
          <w:sz w:val="18"/>
          <w:szCs w:val="18"/>
        </w:rPr>
        <w:t>presente</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Lista</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dei</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Prodotti</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identifica</w:t>
      </w:r>
      <w:proofErr w:type="spellEnd"/>
      <w:r w:rsidRPr="00A75DF9">
        <w:rPr>
          <w:rFonts w:ascii="Tahoma" w:hAnsi="Tahoma" w:cs="Tahoma"/>
          <w:sz w:val="18"/>
          <w:szCs w:val="18"/>
        </w:rPr>
        <w:t xml:space="preserve">, in base al </w:t>
      </w:r>
      <w:proofErr w:type="spellStart"/>
      <w:r w:rsidRPr="00A75DF9">
        <w:rPr>
          <w:rFonts w:ascii="Tahoma" w:hAnsi="Tahoma" w:cs="Tahoma"/>
          <w:sz w:val="18"/>
          <w:szCs w:val="18"/>
        </w:rPr>
        <w:t>programma</w:t>
      </w:r>
      <w:proofErr w:type="spellEnd"/>
      <w:r w:rsidRPr="00A75DF9">
        <w:rPr>
          <w:rFonts w:ascii="Tahoma" w:hAnsi="Tahoma" w:cs="Tahoma"/>
          <w:sz w:val="18"/>
          <w:szCs w:val="18"/>
        </w:rPr>
        <w:t xml:space="preserve">, </w:t>
      </w:r>
      <w:proofErr w:type="spellStart"/>
      <w:proofErr w:type="gramStart"/>
      <w:r w:rsidRPr="00A75DF9">
        <w:rPr>
          <w:rFonts w:ascii="Tahoma" w:hAnsi="Tahoma" w:cs="Tahoma"/>
          <w:sz w:val="18"/>
          <w:szCs w:val="18"/>
        </w:rPr>
        <w:t>il</w:t>
      </w:r>
      <w:proofErr w:type="spellEnd"/>
      <w:proofErr w:type="gramEnd"/>
      <w:r w:rsidRPr="00A75DF9">
        <w:rPr>
          <w:rFonts w:ascii="Tahoma" w:hAnsi="Tahoma" w:cs="Tahoma"/>
          <w:sz w:val="18"/>
          <w:szCs w:val="18"/>
        </w:rPr>
        <w:t xml:space="preserve"> software </w:t>
      </w:r>
      <w:proofErr w:type="spellStart"/>
      <w:r w:rsidRPr="00A75DF9">
        <w:rPr>
          <w:rFonts w:ascii="Tahoma" w:hAnsi="Tahoma" w:cs="Tahoma"/>
          <w:sz w:val="18"/>
          <w:szCs w:val="18"/>
        </w:rPr>
        <w:t>che</w:t>
      </w:r>
      <w:proofErr w:type="spellEnd"/>
      <w:r w:rsidRPr="00A75DF9">
        <w:rPr>
          <w:rFonts w:ascii="Tahoma" w:hAnsi="Tahoma" w:cs="Tahoma"/>
          <w:sz w:val="18"/>
          <w:szCs w:val="18"/>
        </w:rPr>
        <w:t xml:space="preserve"> è </w:t>
      </w:r>
      <w:proofErr w:type="spellStart"/>
      <w:r w:rsidRPr="00A75DF9">
        <w:rPr>
          <w:rFonts w:ascii="Tahoma" w:hAnsi="Tahoma" w:cs="Tahoma"/>
          <w:sz w:val="18"/>
          <w:szCs w:val="18"/>
        </w:rPr>
        <w:t>disponibile</w:t>
      </w:r>
      <w:proofErr w:type="spellEnd"/>
      <w:r w:rsidRPr="00A75DF9">
        <w:rPr>
          <w:rFonts w:ascii="Tahoma" w:hAnsi="Tahoma" w:cs="Tahoma"/>
          <w:sz w:val="18"/>
          <w:szCs w:val="18"/>
        </w:rPr>
        <w:t xml:space="preserve"> e</w:t>
      </w:r>
      <w:r w:rsidR="00A75DF9" w:rsidRPr="00A75DF9">
        <w:rPr>
          <w:rFonts w:ascii="Tahoma" w:hAnsi="Tahoma" w:cs="Tahoma"/>
          <w:sz w:val="18"/>
          <w:szCs w:val="18"/>
        </w:rPr>
        <w:t> </w:t>
      </w:r>
      <w:r w:rsidRPr="00A75DF9">
        <w:rPr>
          <w:rFonts w:ascii="Tahoma" w:hAnsi="Tahoma" w:cs="Tahoma"/>
          <w:sz w:val="18"/>
          <w:szCs w:val="18"/>
        </w:rPr>
        <w:t xml:space="preserve">le </w:t>
      </w:r>
      <w:proofErr w:type="spellStart"/>
      <w:r w:rsidRPr="00A75DF9">
        <w:rPr>
          <w:rFonts w:ascii="Tahoma" w:hAnsi="Tahoma" w:cs="Tahoma"/>
          <w:sz w:val="18"/>
          <w:szCs w:val="18"/>
        </w:rPr>
        <w:t>informazioni</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specifiche</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riguardanti</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l</w:t>
      </w:r>
      <w:r w:rsidR="00F2643E">
        <w:rPr>
          <w:rFonts w:ascii="Tahoma" w:hAnsi="Tahoma" w:cs="Tahoma"/>
          <w:sz w:val="18"/>
          <w:szCs w:val="18"/>
        </w:rPr>
        <w:t>’</w:t>
      </w:r>
      <w:r w:rsidRPr="00A75DF9">
        <w:rPr>
          <w:rFonts w:ascii="Tahoma" w:hAnsi="Tahoma" w:cs="Tahoma"/>
          <w:sz w:val="18"/>
          <w:szCs w:val="18"/>
        </w:rPr>
        <w:t>acquisto</w:t>
      </w:r>
      <w:proofErr w:type="spellEnd"/>
      <w:r w:rsidRPr="00A75DF9">
        <w:rPr>
          <w:rFonts w:ascii="Tahoma" w:hAnsi="Tahoma" w:cs="Tahoma"/>
          <w:sz w:val="18"/>
          <w:szCs w:val="18"/>
        </w:rPr>
        <w:t xml:space="preserve"> di </w:t>
      </w:r>
      <w:proofErr w:type="spellStart"/>
      <w:r w:rsidRPr="00A75DF9">
        <w:rPr>
          <w:rFonts w:ascii="Tahoma" w:hAnsi="Tahoma" w:cs="Tahoma"/>
          <w:sz w:val="18"/>
          <w:szCs w:val="18"/>
        </w:rPr>
        <w:t>Licenze</w:t>
      </w:r>
      <w:proofErr w:type="spellEnd"/>
      <w:r w:rsidRPr="00A75DF9">
        <w:rPr>
          <w:rFonts w:ascii="Tahoma" w:hAnsi="Tahoma" w:cs="Tahoma"/>
          <w:sz w:val="18"/>
          <w:szCs w:val="18"/>
        </w:rPr>
        <w:t xml:space="preserve"> per tale software. È </w:t>
      </w:r>
      <w:proofErr w:type="spellStart"/>
      <w:r w:rsidRPr="00A75DF9">
        <w:rPr>
          <w:rFonts w:ascii="Tahoma" w:hAnsi="Tahoma" w:cs="Tahoma"/>
          <w:sz w:val="18"/>
          <w:szCs w:val="18"/>
        </w:rPr>
        <w:t>incorporato</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nel</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contratto</w:t>
      </w:r>
      <w:proofErr w:type="spellEnd"/>
      <w:r w:rsidRPr="00A75DF9">
        <w:rPr>
          <w:rFonts w:ascii="Tahoma" w:hAnsi="Tahoma" w:cs="Tahoma"/>
          <w:sz w:val="18"/>
          <w:szCs w:val="18"/>
        </w:rPr>
        <w:t xml:space="preserve"> Microsoft Volume Licensing. La </w:t>
      </w:r>
      <w:proofErr w:type="spellStart"/>
      <w:r w:rsidRPr="00A75DF9">
        <w:rPr>
          <w:rFonts w:ascii="Tahoma" w:hAnsi="Tahoma" w:cs="Tahoma"/>
          <w:sz w:val="18"/>
          <w:szCs w:val="18"/>
        </w:rPr>
        <w:t>disponibilità</w:t>
      </w:r>
      <w:proofErr w:type="spellEnd"/>
      <w:r w:rsidRPr="00A75DF9">
        <w:rPr>
          <w:rFonts w:ascii="Tahoma" w:hAnsi="Tahoma" w:cs="Tahoma"/>
          <w:sz w:val="18"/>
          <w:szCs w:val="18"/>
        </w:rPr>
        <w:t xml:space="preserve"> </w:t>
      </w:r>
      <w:proofErr w:type="gramStart"/>
      <w:r w:rsidRPr="00A75DF9">
        <w:rPr>
          <w:rFonts w:ascii="Tahoma" w:hAnsi="Tahoma" w:cs="Tahoma"/>
          <w:sz w:val="18"/>
          <w:szCs w:val="18"/>
        </w:rPr>
        <w:t>del</w:t>
      </w:r>
      <w:proofErr w:type="gramEnd"/>
      <w:r w:rsidRPr="00A75DF9">
        <w:rPr>
          <w:rFonts w:ascii="Tahoma" w:hAnsi="Tahoma" w:cs="Tahoma"/>
          <w:sz w:val="18"/>
          <w:szCs w:val="18"/>
        </w:rPr>
        <w:t xml:space="preserve"> software </w:t>
      </w:r>
      <w:proofErr w:type="spellStart"/>
      <w:r w:rsidRPr="00A75DF9">
        <w:rPr>
          <w:rFonts w:ascii="Tahoma" w:hAnsi="Tahoma" w:cs="Tahoma"/>
          <w:sz w:val="18"/>
          <w:szCs w:val="18"/>
        </w:rPr>
        <w:t>può</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variare</w:t>
      </w:r>
      <w:proofErr w:type="spellEnd"/>
      <w:r w:rsidRPr="00A75DF9">
        <w:rPr>
          <w:rFonts w:ascii="Tahoma" w:hAnsi="Tahoma" w:cs="Tahoma"/>
          <w:sz w:val="18"/>
          <w:szCs w:val="18"/>
        </w:rPr>
        <w:t xml:space="preserve"> in base al </w:t>
      </w:r>
      <w:proofErr w:type="spellStart"/>
      <w:r w:rsidRPr="00A75DF9">
        <w:rPr>
          <w:rFonts w:ascii="Tahoma" w:hAnsi="Tahoma" w:cs="Tahoma"/>
          <w:sz w:val="18"/>
          <w:szCs w:val="18"/>
        </w:rPr>
        <w:t>paese</w:t>
      </w:r>
      <w:proofErr w:type="spellEnd"/>
      <w:r w:rsidRPr="00A75DF9">
        <w:rPr>
          <w:rFonts w:ascii="Tahoma" w:hAnsi="Tahoma" w:cs="Tahoma"/>
          <w:sz w:val="18"/>
          <w:szCs w:val="18"/>
        </w:rPr>
        <w:t>. Le</w:t>
      </w:r>
      <w:r w:rsidR="00A75DF9" w:rsidRPr="00A75DF9">
        <w:rPr>
          <w:rFonts w:ascii="Tahoma" w:hAnsi="Tahoma" w:cs="Tahoma"/>
          <w:sz w:val="18"/>
          <w:szCs w:val="18"/>
        </w:rPr>
        <w:t> </w:t>
      </w:r>
      <w:proofErr w:type="spellStart"/>
      <w:r w:rsidRPr="00A75DF9">
        <w:rPr>
          <w:rFonts w:ascii="Tahoma" w:hAnsi="Tahoma" w:cs="Tahoma"/>
          <w:sz w:val="18"/>
          <w:szCs w:val="18"/>
        </w:rPr>
        <w:t>società</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dovranno</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contattare</w:t>
      </w:r>
      <w:proofErr w:type="spellEnd"/>
      <w:r w:rsidRPr="00A75DF9">
        <w:rPr>
          <w:rFonts w:ascii="Tahoma" w:hAnsi="Tahoma" w:cs="Tahoma"/>
          <w:sz w:val="18"/>
          <w:szCs w:val="18"/>
        </w:rPr>
        <w:t xml:space="preserve"> </w:t>
      </w:r>
      <w:proofErr w:type="spellStart"/>
      <w:proofErr w:type="gramStart"/>
      <w:r w:rsidRPr="00A75DF9">
        <w:rPr>
          <w:rFonts w:ascii="Tahoma" w:hAnsi="Tahoma" w:cs="Tahoma"/>
          <w:sz w:val="18"/>
          <w:szCs w:val="18"/>
        </w:rPr>
        <w:t>il</w:t>
      </w:r>
      <w:proofErr w:type="spellEnd"/>
      <w:proofErr w:type="gramEnd"/>
      <w:r w:rsidRPr="00A75DF9">
        <w:rPr>
          <w:rFonts w:ascii="Tahoma" w:hAnsi="Tahoma" w:cs="Tahoma"/>
          <w:sz w:val="18"/>
          <w:szCs w:val="18"/>
        </w:rPr>
        <w:t xml:space="preserve"> </w:t>
      </w:r>
      <w:proofErr w:type="spellStart"/>
      <w:r w:rsidRPr="00A75DF9">
        <w:rPr>
          <w:rFonts w:ascii="Tahoma" w:hAnsi="Tahoma" w:cs="Tahoma"/>
          <w:sz w:val="18"/>
          <w:szCs w:val="18"/>
        </w:rPr>
        <w:t>loro</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rivenditore</w:t>
      </w:r>
      <w:proofErr w:type="spellEnd"/>
      <w:r w:rsidRPr="00A75DF9">
        <w:rPr>
          <w:rFonts w:ascii="Tahoma" w:hAnsi="Tahoma" w:cs="Tahoma"/>
          <w:sz w:val="18"/>
          <w:szCs w:val="18"/>
        </w:rPr>
        <w:t xml:space="preserve"> o </w:t>
      </w:r>
      <w:proofErr w:type="spellStart"/>
      <w:r w:rsidRPr="00A75DF9">
        <w:rPr>
          <w:rFonts w:ascii="Tahoma" w:hAnsi="Tahoma" w:cs="Tahoma"/>
          <w:sz w:val="18"/>
          <w:szCs w:val="18"/>
        </w:rPr>
        <w:t>l</w:t>
      </w:r>
      <w:r w:rsidR="00F2643E">
        <w:rPr>
          <w:rFonts w:ascii="Tahoma" w:hAnsi="Tahoma" w:cs="Tahoma"/>
          <w:sz w:val="18"/>
          <w:szCs w:val="18"/>
        </w:rPr>
        <w:t>’</w:t>
      </w:r>
      <w:r w:rsidRPr="00A75DF9">
        <w:rPr>
          <w:rFonts w:ascii="Tahoma" w:hAnsi="Tahoma" w:cs="Tahoma"/>
          <w:sz w:val="18"/>
          <w:szCs w:val="18"/>
        </w:rPr>
        <w:t>Account</w:t>
      </w:r>
      <w:proofErr w:type="spellEnd"/>
      <w:r w:rsidRPr="00A75DF9">
        <w:rPr>
          <w:rFonts w:ascii="Tahoma" w:hAnsi="Tahoma" w:cs="Tahoma"/>
          <w:sz w:val="18"/>
          <w:szCs w:val="18"/>
        </w:rPr>
        <w:t xml:space="preserve"> Manager </w:t>
      </w:r>
      <w:proofErr w:type="spellStart"/>
      <w:r w:rsidRPr="00A75DF9">
        <w:rPr>
          <w:rFonts w:ascii="Tahoma" w:hAnsi="Tahoma" w:cs="Tahoma"/>
          <w:sz w:val="18"/>
          <w:szCs w:val="18"/>
        </w:rPr>
        <w:t>designato</w:t>
      </w:r>
      <w:proofErr w:type="spellEnd"/>
      <w:r w:rsidRPr="00A75DF9">
        <w:rPr>
          <w:rFonts w:ascii="Tahoma" w:hAnsi="Tahoma" w:cs="Tahoma"/>
          <w:sz w:val="18"/>
          <w:szCs w:val="18"/>
        </w:rPr>
        <w:t xml:space="preserve"> da Microsoft per</w:t>
      </w:r>
      <w:r w:rsidR="00A75DF9" w:rsidRPr="00A75DF9">
        <w:rPr>
          <w:rFonts w:ascii="Tahoma" w:hAnsi="Tahoma" w:cs="Tahoma"/>
          <w:sz w:val="18"/>
          <w:szCs w:val="18"/>
        </w:rPr>
        <w:t> </w:t>
      </w:r>
      <w:proofErr w:type="spellStart"/>
      <w:r w:rsidRPr="00A75DF9">
        <w:rPr>
          <w:rFonts w:ascii="Tahoma" w:hAnsi="Tahoma" w:cs="Tahoma"/>
          <w:sz w:val="18"/>
          <w:szCs w:val="18"/>
        </w:rPr>
        <w:t>informazioni</w:t>
      </w:r>
      <w:proofErr w:type="spellEnd"/>
      <w:r w:rsidRPr="00A75DF9">
        <w:rPr>
          <w:rFonts w:ascii="Tahoma" w:hAnsi="Tahoma" w:cs="Tahoma"/>
          <w:sz w:val="18"/>
          <w:szCs w:val="18"/>
        </w:rPr>
        <w:t xml:space="preserve"> relative </w:t>
      </w:r>
      <w:proofErr w:type="spellStart"/>
      <w:r w:rsidRPr="00A75DF9">
        <w:rPr>
          <w:rFonts w:ascii="Tahoma" w:hAnsi="Tahoma" w:cs="Tahoma"/>
          <w:sz w:val="18"/>
          <w:szCs w:val="18"/>
        </w:rPr>
        <w:t>alla</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disponibilità</w:t>
      </w:r>
      <w:proofErr w:type="spellEnd"/>
      <w:r w:rsidRPr="00A75DF9">
        <w:rPr>
          <w:rFonts w:ascii="Tahoma" w:hAnsi="Tahoma" w:cs="Tahoma"/>
          <w:sz w:val="18"/>
          <w:szCs w:val="18"/>
        </w:rPr>
        <w:t xml:space="preserve"> di un </w:t>
      </w:r>
      <w:proofErr w:type="spellStart"/>
      <w:r w:rsidRPr="00A75DF9">
        <w:rPr>
          <w:rFonts w:ascii="Tahoma" w:hAnsi="Tahoma" w:cs="Tahoma"/>
          <w:sz w:val="18"/>
          <w:szCs w:val="18"/>
        </w:rPr>
        <w:t>determinato</w:t>
      </w:r>
      <w:proofErr w:type="spellEnd"/>
      <w:r w:rsidRPr="00A75DF9">
        <w:rPr>
          <w:rFonts w:ascii="Tahoma" w:hAnsi="Tahoma" w:cs="Tahoma"/>
          <w:sz w:val="18"/>
          <w:szCs w:val="18"/>
        </w:rPr>
        <w:t xml:space="preserve"> software in base al </w:t>
      </w:r>
      <w:proofErr w:type="spellStart"/>
      <w:r w:rsidRPr="00A75DF9">
        <w:rPr>
          <w:rFonts w:ascii="Tahoma" w:hAnsi="Tahoma" w:cs="Tahoma"/>
          <w:sz w:val="18"/>
          <w:szCs w:val="18"/>
        </w:rPr>
        <w:t>paese</w:t>
      </w:r>
      <w:proofErr w:type="spellEnd"/>
      <w:r w:rsidRPr="00A75DF9">
        <w:rPr>
          <w:rFonts w:ascii="Tahoma" w:hAnsi="Tahoma" w:cs="Tahoma"/>
          <w:sz w:val="18"/>
          <w:szCs w:val="18"/>
        </w:rPr>
        <w:t>.</w:t>
      </w:r>
    </w:p>
    <w:p w:rsidR="00023FE7" w:rsidRPr="00A75DF9" w:rsidRDefault="00023FE7">
      <w:pPr>
        <w:pStyle w:val="Body"/>
        <w:ind w:right="720"/>
        <w:rPr>
          <w:rFonts w:ascii="Tahoma" w:hAnsi="Tahoma" w:cs="Tahoma"/>
        </w:rPr>
      </w:pPr>
    </w:p>
    <w:p w:rsidR="00023FE7" w:rsidRPr="00A75DF9" w:rsidRDefault="00023FE7" w:rsidP="00A75DF9">
      <w:pPr>
        <w:pStyle w:val="Body"/>
        <w:ind w:right="720"/>
        <w:rPr>
          <w:rFonts w:ascii="Tahoma" w:hAnsi="Tahoma" w:cs="Tahoma"/>
        </w:rPr>
      </w:pPr>
      <w:proofErr w:type="spellStart"/>
      <w:r w:rsidRPr="00A75DF9">
        <w:rPr>
          <w:rFonts w:ascii="Tahoma" w:hAnsi="Tahoma" w:cs="Tahoma"/>
          <w:sz w:val="18"/>
          <w:szCs w:val="18"/>
        </w:rPr>
        <w:t>Sarà</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anche</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possibile</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prendere</w:t>
      </w:r>
      <w:proofErr w:type="spellEnd"/>
      <w:r w:rsidRPr="00A75DF9">
        <w:rPr>
          <w:rFonts w:ascii="Tahoma" w:hAnsi="Tahoma" w:cs="Tahoma"/>
          <w:sz w:val="18"/>
          <w:szCs w:val="18"/>
        </w:rPr>
        <w:t xml:space="preserve"> in </w:t>
      </w:r>
      <w:proofErr w:type="spellStart"/>
      <w:r w:rsidRPr="00A75DF9">
        <w:rPr>
          <w:rFonts w:ascii="Tahoma" w:hAnsi="Tahoma" w:cs="Tahoma"/>
          <w:sz w:val="18"/>
          <w:szCs w:val="18"/>
        </w:rPr>
        <w:t>visione</w:t>
      </w:r>
      <w:proofErr w:type="spellEnd"/>
      <w:r w:rsidRPr="00A75DF9">
        <w:rPr>
          <w:rFonts w:ascii="Tahoma" w:hAnsi="Tahoma" w:cs="Tahoma"/>
          <w:sz w:val="18"/>
          <w:szCs w:val="18"/>
        </w:rPr>
        <w:t xml:space="preserve"> </w:t>
      </w:r>
      <w:proofErr w:type="spellStart"/>
      <w:proofErr w:type="gramStart"/>
      <w:r w:rsidRPr="00A75DF9">
        <w:rPr>
          <w:rFonts w:ascii="Tahoma" w:hAnsi="Tahoma" w:cs="Tahoma"/>
          <w:sz w:val="18"/>
          <w:szCs w:val="18"/>
        </w:rPr>
        <w:t>il</w:t>
      </w:r>
      <w:proofErr w:type="spellEnd"/>
      <w:proofErr w:type="gramEnd"/>
      <w:r w:rsidRPr="00A75DF9">
        <w:rPr>
          <w:rFonts w:ascii="Tahoma" w:hAnsi="Tahoma" w:cs="Tahoma"/>
          <w:sz w:val="18"/>
          <w:szCs w:val="18"/>
        </w:rPr>
        <w:t xml:space="preserve"> </w:t>
      </w:r>
      <w:proofErr w:type="spellStart"/>
      <w:r w:rsidRPr="00A75DF9">
        <w:rPr>
          <w:rFonts w:ascii="Tahoma" w:hAnsi="Tahoma" w:cs="Tahoma"/>
          <w:sz w:val="18"/>
          <w:szCs w:val="18"/>
        </w:rPr>
        <w:t>documento</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Diritti</w:t>
      </w:r>
      <w:proofErr w:type="spellEnd"/>
      <w:r w:rsidRPr="00A75DF9">
        <w:rPr>
          <w:rFonts w:ascii="Tahoma" w:hAnsi="Tahoma" w:cs="Tahoma"/>
          <w:sz w:val="18"/>
          <w:szCs w:val="18"/>
        </w:rPr>
        <w:t xml:space="preserve"> di </w:t>
      </w:r>
      <w:proofErr w:type="spellStart"/>
      <w:r w:rsidRPr="00A75DF9">
        <w:rPr>
          <w:rFonts w:ascii="Tahoma" w:hAnsi="Tahoma" w:cs="Tahoma"/>
          <w:sz w:val="18"/>
          <w:szCs w:val="18"/>
        </w:rPr>
        <w:t>Utilizzo</w:t>
      </w:r>
      <w:proofErr w:type="spellEnd"/>
      <w:r w:rsidRPr="00A75DF9">
        <w:rPr>
          <w:rFonts w:ascii="Tahoma" w:hAnsi="Tahoma" w:cs="Tahoma"/>
          <w:sz w:val="18"/>
          <w:szCs w:val="18"/>
        </w:rPr>
        <w:t xml:space="preserve"> del </w:t>
      </w:r>
      <w:proofErr w:type="spellStart"/>
      <w:r w:rsidRPr="00A75DF9">
        <w:rPr>
          <w:rFonts w:ascii="Tahoma" w:hAnsi="Tahoma" w:cs="Tahoma"/>
          <w:sz w:val="18"/>
          <w:szCs w:val="18"/>
        </w:rPr>
        <w:t>Prodotto</w:t>
      </w:r>
      <w:proofErr w:type="spellEnd"/>
      <w:r w:rsidRPr="00A75DF9">
        <w:rPr>
          <w:rFonts w:ascii="Tahoma" w:hAnsi="Tahoma" w:cs="Tahoma"/>
          <w:sz w:val="18"/>
          <w:szCs w:val="18"/>
        </w:rPr>
        <w:t xml:space="preserve"> (Product Use</w:t>
      </w:r>
      <w:r w:rsidR="00A75DF9" w:rsidRPr="00A75DF9">
        <w:rPr>
          <w:rFonts w:ascii="Tahoma" w:hAnsi="Tahoma" w:cs="Tahoma"/>
          <w:sz w:val="18"/>
          <w:szCs w:val="18"/>
        </w:rPr>
        <w:t> </w:t>
      </w:r>
      <w:r w:rsidRPr="00A75DF9">
        <w:rPr>
          <w:rFonts w:ascii="Tahoma" w:hAnsi="Tahoma" w:cs="Tahoma"/>
          <w:sz w:val="18"/>
          <w:szCs w:val="18"/>
        </w:rPr>
        <w:t xml:space="preserve">Rights o PUR). Il PUR </w:t>
      </w:r>
      <w:proofErr w:type="spellStart"/>
      <w:r w:rsidRPr="00A75DF9">
        <w:rPr>
          <w:rFonts w:ascii="Tahoma" w:hAnsi="Tahoma" w:cs="Tahoma"/>
          <w:sz w:val="18"/>
          <w:szCs w:val="18"/>
        </w:rPr>
        <w:t>viene</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prodotto</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ogni</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trimestre</w:t>
      </w:r>
      <w:proofErr w:type="spellEnd"/>
      <w:r w:rsidRPr="00A75DF9">
        <w:rPr>
          <w:rFonts w:ascii="Tahoma" w:hAnsi="Tahoma" w:cs="Tahoma"/>
          <w:sz w:val="18"/>
          <w:szCs w:val="18"/>
        </w:rPr>
        <w:t xml:space="preserve"> e </w:t>
      </w:r>
      <w:proofErr w:type="spellStart"/>
      <w:r w:rsidRPr="00A75DF9">
        <w:rPr>
          <w:rFonts w:ascii="Tahoma" w:hAnsi="Tahoma" w:cs="Tahoma"/>
          <w:sz w:val="18"/>
          <w:szCs w:val="18"/>
        </w:rPr>
        <w:t>fornisce</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informazioni</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sugli</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ultimi</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diritti</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sull</w:t>
      </w:r>
      <w:r w:rsidR="00F2643E">
        <w:rPr>
          <w:rFonts w:ascii="Tahoma" w:hAnsi="Tahoma" w:cs="Tahoma"/>
          <w:sz w:val="18"/>
          <w:szCs w:val="18"/>
        </w:rPr>
        <w:t>’</w:t>
      </w:r>
      <w:r w:rsidRPr="00A75DF9">
        <w:rPr>
          <w:rFonts w:ascii="Tahoma" w:hAnsi="Tahoma" w:cs="Tahoma"/>
          <w:sz w:val="18"/>
          <w:szCs w:val="18"/>
        </w:rPr>
        <w:t>utilizzo</w:t>
      </w:r>
      <w:proofErr w:type="spellEnd"/>
      <w:r w:rsidRPr="00A75DF9">
        <w:rPr>
          <w:rFonts w:ascii="Tahoma" w:hAnsi="Tahoma" w:cs="Tahoma"/>
          <w:sz w:val="18"/>
          <w:szCs w:val="18"/>
        </w:rPr>
        <w:t xml:space="preserve"> </w:t>
      </w:r>
      <w:proofErr w:type="gramStart"/>
      <w:r w:rsidRPr="00A75DF9">
        <w:rPr>
          <w:rFonts w:ascii="Tahoma" w:hAnsi="Tahoma" w:cs="Tahoma"/>
          <w:sz w:val="18"/>
          <w:szCs w:val="18"/>
        </w:rPr>
        <w:t>del</w:t>
      </w:r>
      <w:proofErr w:type="gramEnd"/>
      <w:r w:rsidRPr="00A75DF9">
        <w:rPr>
          <w:rFonts w:ascii="Tahoma" w:hAnsi="Tahoma" w:cs="Tahoma"/>
          <w:sz w:val="18"/>
          <w:szCs w:val="18"/>
        </w:rPr>
        <w:t xml:space="preserve"> software Microsoft </w:t>
      </w:r>
      <w:proofErr w:type="spellStart"/>
      <w:r w:rsidRPr="00A75DF9">
        <w:rPr>
          <w:rFonts w:ascii="Tahoma" w:hAnsi="Tahoma" w:cs="Tahoma"/>
          <w:sz w:val="18"/>
          <w:szCs w:val="18"/>
        </w:rPr>
        <w:t>ai</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sensi</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dei</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Programmi</w:t>
      </w:r>
      <w:proofErr w:type="spellEnd"/>
      <w:r w:rsidRPr="00A75DF9">
        <w:rPr>
          <w:rFonts w:ascii="Tahoma" w:hAnsi="Tahoma" w:cs="Tahoma"/>
          <w:sz w:val="18"/>
          <w:szCs w:val="18"/>
        </w:rPr>
        <w:t xml:space="preserve"> per </w:t>
      </w:r>
      <w:proofErr w:type="spellStart"/>
      <w:r w:rsidRPr="00A75DF9">
        <w:rPr>
          <w:rFonts w:ascii="Tahoma" w:hAnsi="Tahoma" w:cs="Tahoma"/>
          <w:sz w:val="18"/>
          <w:szCs w:val="18"/>
        </w:rPr>
        <w:t>i</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Contratti</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Multilicenza</w:t>
      </w:r>
      <w:proofErr w:type="spellEnd"/>
      <w:r w:rsidRPr="00A75DF9">
        <w:rPr>
          <w:rFonts w:ascii="Tahoma" w:hAnsi="Tahoma" w:cs="Tahoma"/>
          <w:sz w:val="18"/>
          <w:szCs w:val="18"/>
        </w:rPr>
        <w:t xml:space="preserve">. </w:t>
      </w:r>
      <w:proofErr w:type="gramStart"/>
      <w:r w:rsidRPr="00A75DF9">
        <w:rPr>
          <w:rFonts w:ascii="Tahoma" w:hAnsi="Tahoma" w:cs="Tahoma"/>
          <w:sz w:val="18"/>
          <w:szCs w:val="18"/>
        </w:rPr>
        <w:t>Il</w:t>
      </w:r>
      <w:proofErr w:type="gramEnd"/>
      <w:r w:rsidRPr="00A75DF9">
        <w:rPr>
          <w:rFonts w:ascii="Tahoma" w:hAnsi="Tahoma" w:cs="Tahoma"/>
          <w:sz w:val="18"/>
          <w:szCs w:val="18"/>
        </w:rPr>
        <w:t xml:space="preserve"> </w:t>
      </w:r>
      <w:proofErr w:type="spellStart"/>
      <w:r w:rsidRPr="00A75DF9">
        <w:rPr>
          <w:rFonts w:ascii="Tahoma" w:hAnsi="Tahoma" w:cs="Tahoma"/>
          <w:sz w:val="18"/>
          <w:szCs w:val="18"/>
        </w:rPr>
        <w:t>documento</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si</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trova</w:t>
      </w:r>
      <w:proofErr w:type="spellEnd"/>
      <w:r w:rsidRPr="00A75DF9">
        <w:rPr>
          <w:rFonts w:ascii="Tahoma" w:hAnsi="Tahoma" w:cs="Tahoma"/>
          <w:sz w:val="18"/>
          <w:szCs w:val="18"/>
        </w:rPr>
        <w:t xml:space="preserve"> </w:t>
      </w:r>
      <w:proofErr w:type="spellStart"/>
      <w:r w:rsidRPr="00A75DF9">
        <w:rPr>
          <w:rFonts w:ascii="Tahoma" w:hAnsi="Tahoma" w:cs="Tahoma"/>
          <w:sz w:val="18"/>
          <w:szCs w:val="18"/>
        </w:rPr>
        <w:t>all</w:t>
      </w:r>
      <w:r w:rsidR="00F2643E">
        <w:rPr>
          <w:rFonts w:ascii="Tahoma" w:hAnsi="Tahoma" w:cs="Tahoma"/>
          <w:sz w:val="18"/>
          <w:szCs w:val="18"/>
        </w:rPr>
        <w:t>’</w:t>
      </w:r>
      <w:r w:rsidRPr="00A75DF9">
        <w:rPr>
          <w:rFonts w:ascii="Tahoma" w:hAnsi="Tahoma" w:cs="Tahoma"/>
          <w:sz w:val="18"/>
          <w:szCs w:val="18"/>
        </w:rPr>
        <w:t>indirizzo</w:t>
      </w:r>
      <w:proofErr w:type="spellEnd"/>
      <w:r w:rsidRPr="00A75DF9">
        <w:rPr>
          <w:rFonts w:ascii="Tahoma" w:hAnsi="Tahoma" w:cs="Tahoma"/>
          <w:sz w:val="18"/>
          <w:szCs w:val="18"/>
        </w:rPr>
        <w:t>:</w:t>
      </w:r>
      <w:r w:rsidR="009D3B41" w:rsidRPr="00A75DF9">
        <w:rPr>
          <w:rFonts w:ascii="Tahoma" w:hAnsi="Tahoma" w:cs="Tahoma"/>
          <w:sz w:val="18"/>
          <w:szCs w:val="18"/>
        </w:rPr>
        <w:t xml:space="preserve"> </w:t>
      </w:r>
      <w:r w:rsidR="00A75DF9" w:rsidRPr="00A75DF9">
        <w:rPr>
          <w:rFonts w:ascii="Tahoma" w:hAnsi="Tahoma" w:cs="Tahoma"/>
          <w:sz w:val="18"/>
          <w:szCs w:val="18"/>
        </w:rPr>
        <w:t>http://www.microsoftvolumelicensing.com/userights/Default.aspx</w:t>
      </w:r>
      <w:r w:rsidR="00A75DF9" w:rsidRPr="00A75DF9">
        <w:rPr>
          <w:rFonts w:ascii="Tahoma" w:hAnsi="Tahoma" w:cs="Tahoma"/>
        </w:rPr>
        <w:t xml:space="preserve"> </w:t>
      </w:r>
      <w:hyperlink w:history="1"/>
    </w:p>
    <w:p w:rsidR="00465757" w:rsidRPr="00A75DF9" w:rsidRDefault="00465757" w:rsidP="00465757">
      <w:pPr>
        <w:rPr>
          <w:rFonts w:cs="Tahoma"/>
        </w:rPr>
      </w:pPr>
    </w:p>
    <w:p w:rsidR="00465757" w:rsidRPr="00A75DF9" w:rsidRDefault="00465757" w:rsidP="00465757">
      <w:pPr>
        <w:rPr>
          <w:rFonts w:cs="Tahoma"/>
        </w:rPr>
      </w:pPr>
    </w:p>
    <w:p w:rsidR="00376B4E" w:rsidRPr="00376B4E" w:rsidRDefault="00023FE7" w:rsidP="0051046C">
      <w:pPr>
        <w:pStyle w:val="TOC1"/>
        <w:rPr>
          <w:color w:val="000000" w:themeColor="text1"/>
        </w:rPr>
      </w:pPr>
      <w:r w:rsidRPr="00A75DF9">
        <w:br w:type="page"/>
      </w:r>
      <w:r w:rsidR="00734B17" w:rsidRPr="00376B4E">
        <w:rPr>
          <w:color w:val="000000" w:themeColor="text1"/>
        </w:rPr>
        <w:fldChar w:fldCharType="begin"/>
      </w:r>
      <w:r w:rsidRPr="00376B4E">
        <w:rPr>
          <w:color w:val="000000" w:themeColor="text1"/>
        </w:rPr>
        <w:instrText xml:space="preserve"> TOC \o "1-2" \t "Heading 3,3,Heading 4,4,Product Names,2" </w:instrText>
      </w:r>
      <w:r w:rsidR="00734B17" w:rsidRPr="00376B4E">
        <w:rPr>
          <w:color w:val="000000" w:themeColor="text1"/>
        </w:rPr>
        <w:fldChar w:fldCharType="separate"/>
      </w:r>
    </w:p>
    <w:p w:rsidR="00376B4E" w:rsidRPr="00376B4E" w:rsidRDefault="00376B4E">
      <w:pPr>
        <w:pStyle w:val="TOC1"/>
        <w:rPr>
          <w:rFonts w:asciiTheme="minorHAnsi" w:eastAsiaTheme="minorEastAsia" w:hAnsiTheme="minorHAnsi" w:cstheme="minorBidi"/>
          <w:b w:val="0"/>
          <w:caps w:val="0"/>
          <w:color w:val="000000" w:themeColor="text1"/>
          <w:szCs w:val="22"/>
        </w:rPr>
      </w:pPr>
      <w:r w:rsidRPr="00376B4E">
        <w:rPr>
          <w:b w:val="0"/>
          <w:color w:val="000000" w:themeColor="text1"/>
        </w:rPr>
        <w:lastRenderedPageBreak/>
        <w:t>Microsoft</w:t>
      </w:r>
      <w:r w:rsidRPr="00376B4E">
        <w:rPr>
          <w:b w:val="0"/>
          <w:color w:val="000000" w:themeColor="text1"/>
          <w:vertAlign w:val="superscript"/>
        </w:rPr>
        <w:t>®</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_Toc368309840 \h </w:instrText>
      </w:r>
      <w:r w:rsidRPr="00376B4E">
        <w:rPr>
          <w:color w:val="000000" w:themeColor="text1"/>
        </w:rPr>
      </w:r>
      <w:r w:rsidRPr="00376B4E">
        <w:rPr>
          <w:color w:val="000000" w:themeColor="text1"/>
        </w:rPr>
        <w:fldChar w:fldCharType="separate"/>
      </w:r>
      <w:r w:rsidRPr="00376B4E">
        <w:rPr>
          <w:color w:val="000000" w:themeColor="text1"/>
        </w:rPr>
        <w:t>1</w:t>
      </w:r>
      <w:r w:rsidRPr="00376B4E">
        <w:rPr>
          <w:color w:val="000000" w:themeColor="text1"/>
        </w:rPr>
        <w:fldChar w:fldCharType="end"/>
      </w:r>
    </w:p>
    <w:p w:rsidR="00376B4E" w:rsidRPr="00376B4E" w:rsidRDefault="00376B4E">
      <w:pPr>
        <w:pStyle w:val="TOC1"/>
        <w:rPr>
          <w:rFonts w:asciiTheme="minorHAnsi" w:eastAsiaTheme="minorEastAsia" w:hAnsiTheme="minorHAnsi" w:cstheme="minorBidi"/>
          <w:b w:val="0"/>
          <w:caps w:val="0"/>
          <w:color w:val="000000" w:themeColor="text1"/>
          <w:szCs w:val="22"/>
        </w:rPr>
      </w:pPr>
      <w:r w:rsidRPr="00376B4E">
        <w:rPr>
          <w:color w:val="000000" w:themeColor="text1"/>
        </w:rPr>
        <w:t>INFORMAZIONI SUL PRESENTE Documento</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_Toc368309841 \h </w:instrText>
      </w:r>
      <w:r w:rsidRPr="00376B4E">
        <w:rPr>
          <w:color w:val="000000" w:themeColor="text1"/>
        </w:rPr>
      </w:r>
      <w:r w:rsidRPr="00376B4E">
        <w:rPr>
          <w:color w:val="000000" w:themeColor="text1"/>
        </w:rPr>
        <w:fldChar w:fldCharType="separate"/>
      </w:r>
      <w:r w:rsidRPr="00376B4E">
        <w:rPr>
          <w:color w:val="000000" w:themeColor="text1"/>
        </w:rPr>
        <w:t>2</w:t>
      </w:r>
      <w:r w:rsidRPr="00376B4E">
        <w:rPr>
          <w:color w:val="000000" w:themeColor="text1"/>
        </w:rPr>
        <w:fldChar w:fldCharType="end"/>
      </w:r>
    </w:p>
    <w:p w:rsidR="00376B4E" w:rsidRPr="00376B4E" w:rsidRDefault="00376B4E">
      <w:pPr>
        <w:pStyle w:val="TOC1"/>
        <w:rPr>
          <w:rFonts w:asciiTheme="minorHAnsi" w:eastAsiaTheme="minorEastAsia" w:hAnsiTheme="minorHAnsi" w:cstheme="minorBidi"/>
          <w:b w:val="0"/>
          <w:caps w:val="0"/>
          <w:color w:val="000000" w:themeColor="text1"/>
          <w:szCs w:val="22"/>
        </w:rPr>
      </w:pPr>
      <w:r w:rsidRPr="00376B4E">
        <w:rPr>
          <w:color w:val="000000" w:themeColor="text1"/>
        </w:rPr>
        <w:t>MODALITà DI Utilizzo deLLA LISTA DEI Prodotti Microsoft</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_Toc368309842 \h </w:instrText>
      </w:r>
      <w:r w:rsidRPr="00376B4E">
        <w:rPr>
          <w:color w:val="000000" w:themeColor="text1"/>
        </w:rPr>
      </w:r>
      <w:r w:rsidRPr="00376B4E">
        <w:rPr>
          <w:color w:val="000000" w:themeColor="text1"/>
        </w:rPr>
        <w:fldChar w:fldCharType="separate"/>
      </w:r>
      <w:r w:rsidRPr="00376B4E">
        <w:rPr>
          <w:color w:val="000000" w:themeColor="text1"/>
        </w:rPr>
        <w:t>2</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Codici Tabella</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_Toc368309843 \h </w:instrText>
      </w:r>
      <w:r w:rsidRPr="00376B4E">
        <w:rPr>
          <w:color w:val="000000" w:themeColor="text1"/>
        </w:rPr>
      </w:r>
      <w:r w:rsidRPr="00376B4E">
        <w:rPr>
          <w:color w:val="000000" w:themeColor="text1"/>
        </w:rPr>
        <w:fldChar w:fldCharType="separate"/>
      </w:r>
      <w:r w:rsidRPr="00376B4E">
        <w:rPr>
          <w:color w:val="000000" w:themeColor="text1"/>
        </w:rPr>
        <w:t>14</w:t>
      </w:r>
      <w:r w:rsidRPr="00376B4E">
        <w:rPr>
          <w:color w:val="000000" w:themeColor="text1"/>
        </w:rPr>
        <w:fldChar w:fldCharType="end"/>
      </w:r>
    </w:p>
    <w:p w:rsidR="00376B4E" w:rsidRPr="00376B4E" w:rsidRDefault="00376B4E">
      <w:pPr>
        <w:pStyle w:val="TOC1"/>
        <w:rPr>
          <w:rFonts w:asciiTheme="minorHAnsi" w:eastAsiaTheme="minorEastAsia" w:hAnsiTheme="minorHAnsi" w:cstheme="minorBidi"/>
          <w:b w:val="0"/>
          <w:caps w:val="0"/>
          <w:color w:val="000000" w:themeColor="text1"/>
          <w:szCs w:val="22"/>
        </w:rPr>
      </w:pPr>
      <w:r w:rsidRPr="00376B4E">
        <w:rPr>
          <w:color w:val="000000" w:themeColor="text1"/>
        </w:rPr>
        <w:t>LISTA DEI ProdottI</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_Toc368309844 \h </w:instrText>
      </w:r>
      <w:r w:rsidRPr="00376B4E">
        <w:rPr>
          <w:color w:val="000000" w:themeColor="text1"/>
        </w:rPr>
      </w:r>
      <w:r w:rsidRPr="00376B4E">
        <w:rPr>
          <w:color w:val="000000" w:themeColor="text1"/>
        </w:rPr>
        <w:fldChar w:fldCharType="separate"/>
      </w:r>
      <w:r w:rsidRPr="00376B4E">
        <w:rPr>
          <w:color w:val="000000" w:themeColor="text1"/>
        </w:rPr>
        <w:t>16</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olor w:val="000000" w:themeColor="text1"/>
        </w:rPr>
        <w:t>POOL DI APPLICAZIONI</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_Toc368309845 \h </w:instrText>
      </w:r>
      <w:r w:rsidRPr="00376B4E">
        <w:rPr>
          <w:color w:val="000000" w:themeColor="text1"/>
        </w:rPr>
      </w:r>
      <w:r w:rsidRPr="00376B4E">
        <w:rPr>
          <w:color w:val="000000" w:themeColor="text1"/>
        </w:rPr>
        <w:fldChar w:fldCharType="separate"/>
      </w:r>
      <w:r w:rsidRPr="00376B4E">
        <w:rPr>
          <w:color w:val="000000" w:themeColor="text1"/>
        </w:rPr>
        <w:t>16</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Access 2013</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_Toc368309846 \h </w:instrText>
      </w:r>
      <w:r w:rsidRPr="00376B4E">
        <w:rPr>
          <w:color w:val="000000" w:themeColor="text1"/>
        </w:rPr>
      </w:r>
      <w:r w:rsidRPr="00376B4E">
        <w:rPr>
          <w:color w:val="000000" w:themeColor="text1"/>
        </w:rPr>
        <w:fldChar w:fldCharType="separate"/>
      </w:r>
      <w:r w:rsidRPr="00376B4E">
        <w:rPr>
          <w:color w:val="000000" w:themeColor="text1"/>
        </w:rPr>
        <w:t>16</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AutoRoute 2013</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_Toc368309847 \h </w:instrText>
      </w:r>
      <w:r w:rsidRPr="00376B4E">
        <w:rPr>
          <w:color w:val="000000" w:themeColor="text1"/>
        </w:rPr>
      </w:r>
      <w:r w:rsidRPr="00376B4E">
        <w:rPr>
          <w:color w:val="000000" w:themeColor="text1"/>
        </w:rPr>
        <w:fldChar w:fldCharType="separate"/>
      </w:r>
      <w:r w:rsidRPr="00376B4E">
        <w:rPr>
          <w:color w:val="000000" w:themeColor="text1"/>
        </w:rPr>
        <w:t>16</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Excel 2013</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_Toc368309848 \h </w:instrText>
      </w:r>
      <w:r w:rsidRPr="00376B4E">
        <w:rPr>
          <w:color w:val="000000" w:themeColor="text1"/>
        </w:rPr>
      </w:r>
      <w:r w:rsidRPr="00376B4E">
        <w:rPr>
          <w:color w:val="000000" w:themeColor="text1"/>
        </w:rPr>
        <w:fldChar w:fldCharType="separate"/>
      </w:r>
      <w:r w:rsidRPr="00376B4E">
        <w:rPr>
          <w:color w:val="000000" w:themeColor="text1"/>
        </w:rPr>
        <w:t>16</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Excel per Mac 2011</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_Toc368309849 \h </w:instrText>
      </w:r>
      <w:r w:rsidRPr="00376B4E">
        <w:rPr>
          <w:color w:val="000000" w:themeColor="text1"/>
        </w:rPr>
      </w:r>
      <w:r w:rsidRPr="00376B4E">
        <w:rPr>
          <w:color w:val="000000" w:themeColor="text1"/>
        </w:rPr>
        <w:fldChar w:fldCharType="separate"/>
      </w:r>
      <w:r w:rsidRPr="00376B4E">
        <w:rPr>
          <w:color w:val="000000" w:themeColor="text1"/>
        </w:rPr>
        <w:t>16</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Expression Encoder Pro 4</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_Toc368309850 \h </w:instrText>
      </w:r>
      <w:r w:rsidRPr="00376B4E">
        <w:rPr>
          <w:color w:val="000000" w:themeColor="text1"/>
        </w:rPr>
      </w:r>
      <w:r w:rsidRPr="00376B4E">
        <w:rPr>
          <w:color w:val="000000" w:themeColor="text1"/>
        </w:rPr>
        <w:fldChar w:fldCharType="separate"/>
      </w:r>
      <w:r w:rsidRPr="00376B4E">
        <w:rPr>
          <w:color w:val="000000" w:themeColor="text1"/>
        </w:rPr>
        <w:t>16</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InfoPath</w:t>
      </w:r>
      <w:r w:rsidRPr="00376B4E">
        <w:rPr>
          <w:rFonts w:cs="Tahoma"/>
          <w:color w:val="000000" w:themeColor="text1"/>
          <w:vertAlign w:val="superscript"/>
        </w:rPr>
        <w:t>®</w:t>
      </w:r>
      <w:r w:rsidRPr="00376B4E">
        <w:rPr>
          <w:rFonts w:cs="Tahoma"/>
          <w:color w:val="000000" w:themeColor="text1"/>
        </w:rPr>
        <w:t xml:space="preserve"> 2013</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_Toc368309851 \h </w:instrText>
      </w:r>
      <w:r w:rsidRPr="00376B4E">
        <w:rPr>
          <w:color w:val="000000" w:themeColor="text1"/>
        </w:rPr>
      </w:r>
      <w:r w:rsidRPr="00376B4E">
        <w:rPr>
          <w:color w:val="000000" w:themeColor="text1"/>
        </w:rPr>
        <w:fldChar w:fldCharType="separate"/>
      </w:r>
      <w:r w:rsidRPr="00376B4E">
        <w:rPr>
          <w:color w:val="000000" w:themeColor="text1"/>
        </w:rPr>
        <w:t>16</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Lync 2013</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_Toc368309852 \h </w:instrText>
      </w:r>
      <w:r w:rsidRPr="00376B4E">
        <w:rPr>
          <w:color w:val="000000" w:themeColor="text1"/>
        </w:rPr>
      </w:r>
      <w:r w:rsidRPr="00376B4E">
        <w:rPr>
          <w:color w:val="000000" w:themeColor="text1"/>
        </w:rPr>
        <w:fldChar w:fldCharType="separate"/>
      </w:r>
      <w:r w:rsidRPr="00376B4E">
        <w:rPr>
          <w:color w:val="000000" w:themeColor="text1"/>
        </w:rPr>
        <w:t>16</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Lync per Mac 2011</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_Toc368309853 \h </w:instrText>
      </w:r>
      <w:r w:rsidRPr="00376B4E">
        <w:rPr>
          <w:color w:val="000000" w:themeColor="text1"/>
        </w:rPr>
      </w:r>
      <w:r w:rsidRPr="00376B4E">
        <w:rPr>
          <w:color w:val="000000" w:themeColor="text1"/>
        </w:rPr>
        <w:fldChar w:fldCharType="separate"/>
      </w:r>
      <w:r w:rsidRPr="00376B4E">
        <w:rPr>
          <w:color w:val="000000" w:themeColor="text1"/>
        </w:rPr>
        <w:t>16</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MapPoint</w:t>
      </w:r>
      <w:r w:rsidRPr="00376B4E">
        <w:rPr>
          <w:rFonts w:cs="Tahoma"/>
          <w:color w:val="000000" w:themeColor="text1"/>
          <w:vertAlign w:val="superscript"/>
        </w:rPr>
        <w:t>®</w:t>
      </w:r>
      <w:r w:rsidRPr="00376B4E">
        <w:rPr>
          <w:rFonts w:cs="Tahoma"/>
          <w:color w:val="000000" w:themeColor="text1"/>
        </w:rPr>
        <w:t xml:space="preserve"> Fleet Edition 2013</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_Toc368309854 \h </w:instrText>
      </w:r>
      <w:r w:rsidRPr="00376B4E">
        <w:rPr>
          <w:color w:val="000000" w:themeColor="text1"/>
        </w:rPr>
      </w:r>
      <w:r w:rsidRPr="00376B4E">
        <w:rPr>
          <w:color w:val="000000" w:themeColor="text1"/>
        </w:rPr>
        <w:fldChar w:fldCharType="separate"/>
      </w:r>
      <w:r w:rsidRPr="00376B4E">
        <w:rPr>
          <w:color w:val="000000" w:themeColor="text1"/>
        </w:rPr>
        <w:t>16</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MapPoint</w:t>
      </w:r>
      <w:r w:rsidRPr="00376B4E">
        <w:rPr>
          <w:rFonts w:cs="Tahoma"/>
          <w:color w:val="000000" w:themeColor="text1"/>
          <w:vertAlign w:val="superscript"/>
        </w:rPr>
        <w:t>®</w:t>
      </w:r>
      <w:r w:rsidRPr="00376B4E">
        <w:rPr>
          <w:rFonts w:cs="Tahoma"/>
          <w:color w:val="000000" w:themeColor="text1"/>
        </w:rPr>
        <w:t xml:space="preserve"> 2013 per Windows</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_Toc368309855 \h </w:instrText>
      </w:r>
      <w:r w:rsidRPr="00376B4E">
        <w:rPr>
          <w:color w:val="000000" w:themeColor="text1"/>
        </w:rPr>
      </w:r>
      <w:r w:rsidRPr="00376B4E">
        <w:rPr>
          <w:color w:val="000000" w:themeColor="text1"/>
        </w:rPr>
        <w:fldChar w:fldCharType="separate"/>
      </w:r>
      <w:r w:rsidRPr="00376B4E">
        <w:rPr>
          <w:color w:val="000000" w:themeColor="text1"/>
        </w:rPr>
        <w:t>16</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Microsoft Dynamics CRM Online Basic</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_Toc368309856 \h </w:instrText>
      </w:r>
      <w:r w:rsidRPr="00376B4E">
        <w:rPr>
          <w:color w:val="000000" w:themeColor="text1"/>
        </w:rPr>
      </w:r>
      <w:r w:rsidRPr="00376B4E">
        <w:rPr>
          <w:color w:val="000000" w:themeColor="text1"/>
        </w:rPr>
        <w:fldChar w:fldCharType="separate"/>
      </w:r>
      <w:r w:rsidRPr="00376B4E">
        <w:rPr>
          <w:color w:val="000000" w:themeColor="text1"/>
        </w:rPr>
        <w:t>16</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Microsoft Dynamics CRM Online Enhanced Support</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_Toc368309857 \h </w:instrText>
      </w:r>
      <w:r w:rsidRPr="00376B4E">
        <w:rPr>
          <w:color w:val="000000" w:themeColor="text1"/>
        </w:rPr>
      </w:r>
      <w:r w:rsidRPr="00376B4E">
        <w:rPr>
          <w:color w:val="000000" w:themeColor="text1"/>
        </w:rPr>
        <w:fldChar w:fldCharType="separate"/>
      </w:r>
      <w:r w:rsidRPr="00376B4E">
        <w:rPr>
          <w:color w:val="000000" w:themeColor="text1"/>
        </w:rPr>
        <w:t>16</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Microsoft Dynamics CRM Online Essential</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_Toc368309858 \h </w:instrText>
      </w:r>
      <w:r w:rsidRPr="00376B4E">
        <w:rPr>
          <w:color w:val="000000" w:themeColor="text1"/>
        </w:rPr>
      </w:r>
      <w:r w:rsidRPr="00376B4E">
        <w:rPr>
          <w:color w:val="000000" w:themeColor="text1"/>
        </w:rPr>
        <w:fldChar w:fldCharType="separate"/>
      </w:r>
      <w:r w:rsidRPr="00376B4E">
        <w:rPr>
          <w:color w:val="000000" w:themeColor="text1"/>
        </w:rPr>
        <w:t>16</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Microsoft Dynamics CRM Online  Non-Production Instance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_Toc368309859 \h </w:instrText>
      </w:r>
      <w:r w:rsidRPr="00376B4E">
        <w:rPr>
          <w:color w:val="000000" w:themeColor="text1"/>
        </w:rPr>
      </w:r>
      <w:r w:rsidRPr="00376B4E">
        <w:rPr>
          <w:color w:val="000000" w:themeColor="text1"/>
        </w:rPr>
        <w:fldChar w:fldCharType="separate"/>
      </w:r>
      <w:r w:rsidRPr="00376B4E">
        <w:rPr>
          <w:color w:val="000000" w:themeColor="text1"/>
        </w:rPr>
        <w:t>16</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Microsoft Dynamics CRM Online Production Instance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_Toc368309860 \h </w:instrText>
      </w:r>
      <w:r w:rsidRPr="00376B4E">
        <w:rPr>
          <w:color w:val="000000" w:themeColor="text1"/>
        </w:rPr>
      </w:r>
      <w:r w:rsidRPr="00376B4E">
        <w:rPr>
          <w:color w:val="000000" w:themeColor="text1"/>
        </w:rPr>
        <w:fldChar w:fldCharType="separate"/>
      </w:r>
      <w:r w:rsidRPr="00376B4E">
        <w:rPr>
          <w:color w:val="000000" w:themeColor="text1"/>
        </w:rPr>
        <w:t>16</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Microsoft Dynamics CRM Online Professional</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_Toc368309861 \h </w:instrText>
      </w:r>
      <w:r w:rsidRPr="00376B4E">
        <w:rPr>
          <w:color w:val="000000" w:themeColor="text1"/>
        </w:rPr>
      </w:r>
      <w:r w:rsidRPr="00376B4E">
        <w:rPr>
          <w:color w:val="000000" w:themeColor="text1"/>
        </w:rPr>
        <w:fldChar w:fldCharType="separate"/>
      </w:r>
      <w:r w:rsidRPr="00376B4E">
        <w:rPr>
          <w:color w:val="000000" w:themeColor="text1"/>
        </w:rPr>
        <w:t>16</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Microsoft Dynamics CRM Online Professional Direct Support</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_Toc368309862 \h </w:instrText>
      </w:r>
      <w:r w:rsidRPr="00376B4E">
        <w:rPr>
          <w:color w:val="000000" w:themeColor="text1"/>
        </w:rPr>
      </w:r>
      <w:r w:rsidRPr="00376B4E">
        <w:rPr>
          <w:color w:val="000000" w:themeColor="text1"/>
        </w:rPr>
        <w:fldChar w:fldCharType="separate"/>
      </w:r>
      <w:r w:rsidRPr="00376B4E">
        <w:rPr>
          <w:color w:val="000000" w:themeColor="text1"/>
        </w:rPr>
        <w:t>16</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Microsoft Dynamics CRM Online Storage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_Toc368309863 \h </w:instrText>
      </w:r>
      <w:r w:rsidRPr="00376B4E">
        <w:rPr>
          <w:color w:val="000000" w:themeColor="text1"/>
        </w:rPr>
      </w:r>
      <w:r w:rsidRPr="00376B4E">
        <w:rPr>
          <w:color w:val="000000" w:themeColor="text1"/>
        </w:rPr>
        <w:fldChar w:fldCharType="separate"/>
      </w:r>
      <w:r w:rsidRPr="00376B4E">
        <w:rPr>
          <w:color w:val="000000" w:themeColor="text1"/>
        </w:rPr>
        <w:t>16</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Sistemi Operativi MSDN</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_Toc368309864 \h </w:instrText>
      </w:r>
      <w:r w:rsidRPr="00376B4E">
        <w:rPr>
          <w:color w:val="000000" w:themeColor="text1"/>
        </w:rPr>
      </w:r>
      <w:r w:rsidRPr="00376B4E">
        <w:rPr>
          <w:color w:val="000000" w:themeColor="text1"/>
        </w:rPr>
        <w:fldChar w:fldCharType="separate"/>
      </w:r>
      <w:r w:rsidRPr="00376B4E">
        <w:rPr>
          <w:color w:val="000000" w:themeColor="text1"/>
        </w:rPr>
        <w:t>16</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Piattaforme MSDN</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_Toc368309865 \h </w:instrText>
      </w:r>
      <w:r w:rsidRPr="00376B4E">
        <w:rPr>
          <w:color w:val="000000" w:themeColor="text1"/>
        </w:rPr>
      </w:r>
      <w:r w:rsidRPr="00376B4E">
        <w:rPr>
          <w:color w:val="000000" w:themeColor="text1"/>
        </w:rPr>
        <w:fldChar w:fldCharType="separate"/>
      </w:r>
      <w:r w:rsidRPr="00376B4E">
        <w:rPr>
          <w:color w:val="000000" w:themeColor="text1"/>
        </w:rPr>
        <w:t>16</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Office 365 Education A3 (SL per Utente)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_Toc368309866 \h </w:instrText>
      </w:r>
      <w:r w:rsidRPr="00376B4E">
        <w:rPr>
          <w:color w:val="000000" w:themeColor="text1"/>
        </w:rPr>
      </w:r>
      <w:r w:rsidRPr="00376B4E">
        <w:rPr>
          <w:color w:val="000000" w:themeColor="text1"/>
        </w:rPr>
        <w:fldChar w:fldCharType="separate"/>
      </w:r>
      <w:r w:rsidRPr="00376B4E">
        <w:rPr>
          <w:color w:val="000000" w:themeColor="text1"/>
        </w:rPr>
        <w:t>16</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Office 365 Education A4 (SL per Utente)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_Toc368309867 \h </w:instrText>
      </w:r>
      <w:r w:rsidRPr="00376B4E">
        <w:rPr>
          <w:color w:val="000000" w:themeColor="text1"/>
        </w:rPr>
      </w:r>
      <w:r w:rsidRPr="00376B4E">
        <w:rPr>
          <w:color w:val="000000" w:themeColor="text1"/>
        </w:rPr>
        <w:fldChar w:fldCharType="separate"/>
      </w:r>
      <w:r w:rsidRPr="00376B4E">
        <w:rPr>
          <w:color w:val="000000" w:themeColor="text1"/>
        </w:rPr>
        <w:t>16</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Office 365 Midsize Business (SL per Utente)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_Toc368309868 \h </w:instrText>
      </w:r>
      <w:r w:rsidRPr="00376B4E">
        <w:rPr>
          <w:color w:val="000000" w:themeColor="text1"/>
        </w:rPr>
      </w:r>
      <w:r w:rsidRPr="00376B4E">
        <w:rPr>
          <w:color w:val="000000" w:themeColor="text1"/>
        </w:rPr>
        <w:fldChar w:fldCharType="separate"/>
      </w:r>
      <w:r w:rsidRPr="00376B4E">
        <w:rPr>
          <w:color w:val="000000" w:themeColor="text1"/>
        </w:rPr>
        <w:t>16</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Componente Aggiuntivo di Office 365 Enterprise E3, E4 (SL per Utente)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_Toc368309869 \h </w:instrText>
      </w:r>
      <w:r w:rsidRPr="00376B4E">
        <w:rPr>
          <w:color w:val="000000" w:themeColor="text1"/>
        </w:rPr>
      </w:r>
      <w:r w:rsidRPr="00376B4E">
        <w:rPr>
          <w:color w:val="000000" w:themeColor="text1"/>
        </w:rPr>
        <w:fldChar w:fldCharType="separate"/>
      </w:r>
      <w:r w:rsidRPr="00376B4E">
        <w:rPr>
          <w:color w:val="000000" w:themeColor="text1"/>
        </w:rPr>
        <w:t>16</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Office 365 Enterprise E3 (SL per Utente)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_Toc368309870 \h </w:instrText>
      </w:r>
      <w:r w:rsidRPr="00376B4E">
        <w:rPr>
          <w:color w:val="000000" w:themeColor="text1"/>
        </w:rPr>
      </w:r>
      <w:r w:rsidRPr="00376B4E">
        <w:rPr>
          <w:color w:val="000000" w:themeColor="text1"/>
        </w:rPr>
        <w:fldChar w:fldCharType="separate"/>
      </w:r>
      <w:r w:rsidRPr="00376B4E">
        <w:rPr>
          <w:color w:val="000000" w:themeColor="text1"/>
        </w:rPr>
        <w:t>16</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Office 365 Enterprise E4 (SL per Utente)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_Toc368309871 \h </w:instrText>
      </w:r>
      <w:r w:rsidRPr="00376B4E">
        <w:rPr>
          <w:color w:val="000000" w:themeColor="text1"/>
        </w:rPr>
      </w:r>
      <w:r w:rsidRPr="00376B4E">
        <w:rPr>
          <w:color w:val="000000" w:themeColor="text1"/>
        </w:rPr>
        <w:fldChar w:fldCharType="separate"/>
      </w:r>
      <w:r w:rsidRPr="00376B4E">
        <w:rPr>
          <w:color w:val="000000" w:themeColor="text1"/>
        </w:rPr>
        <w:t>16</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Componente Aggiuntivo di Office 365 Government G3, G4 (SL per Utente)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_Toc368309872 \h </w:instrText>
      </w:r>
      <w:r w:rsidRPr="00376B4E">
        <w:rPr>
          <w:color w:val="000000" w:themeColor="text1"/>
        </w:rPr>
      </w:r>
      <w:r w:rsidRPr="00376B4E">
        <w:rPr>
          <w:color w:val="000000" w:themeColor="text1"/>
        </w:rPr>
        <w:fldChar w:fldCharType="separate"/>
      </w:r>
      <w:r w:rsidRPr="00376B4E">
        <w:rPr>
          <w:color w:val="000000" w:themeColor="text1"/>
        </w:rPr>
        <w:t>16</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Office 365 Government G3—G4  (SL per Utente)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_Toc368309873 \h </w:instrText>
      </w:r>
      <w:r w:rsidRPr="00376B4E">
        <w:rPr>
          <w:color w:val="000000" w:themeColor="text1"/>
        </w:rPr>
      </w:r>
      <w:r w:rsidRPr="00376B4E">
        <w:rPr>
          <w:color w:val="000000" w:themeColor="text1"/>
        </w:rPr>
        <w:fldChar w:fldCharType="separate"/>
      </w:r>
      <w:r w:rsidRPr="00376B4E">
        <w:rPr>
          <w:color w:val="000000" w:themeColor="text1"/>
        </w:rPr>
        <w:t>17</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Diritti di Utilizzo Commerciale di Office Home and Student RT 2013</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_Toc368309874 \h </w:instrText>
      </w:r>
      <w:r w:rsidRPr="00376B4E">
        <w:rPr>
          <w:color w:val="000000" w:themeColor="text1"/>
        </w:rPr>
      </w:r>
      <w:r w:rsidRPr="00376B4E">
        <w:rPr>
          <w:color w:val="000000" w:themeColor="text1"/>
        </w:rPr>
        <w:fldChar w:fldCharType="separate"/>
      </w:r>
      <w:r w:rsidRPr="00376B4E">
        <w:rPr>
          <w:color w:val="000000" w:themeColor="text1"/>
        </w:rPr>
        <w:t>17</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Office per Mac Standard 2011</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_Toc368309875 \h </w:instrText>
      </w:r>
      <w:r w:rsidRPr="00376B4E">
        <w:rPr>
          <w:color w:val="000000" w:themeColor="text1"/>
        </w:rPr>
      </w:r>
      <w:r w:rsidRPr="00376B4E">
        <w:rPr>
          <w:color w:val="000000" w:themeColor="text1"/>
        </w:rPr>
        <w:fldChar w:fldCharType="separate"/>
      </w:r>
      <w:r w:rsidRPr="00376B4E">
        <w:rPr>
          <w:color w:val="000000" w:themeColor="text1"/>
        </w:rPr>
        <w:t>17</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Office Multi-Language Pack 2013</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_Toc368309876 \h </w:instrText>
      </w:r>
      <w:r w:rsidRPr="00376B4E">
        <w:rPr>
          <w:color w:val="000000" w:themeColor="text1"/>
        </w:rPr>
      </w:r>
      <w:r w:rsidRPr="00376B4E">
        <w:rPr>
          <w:color w:val="000000" w:themeColor="text1"/>
        </w:rPr>
        <w:fldChar w:fldCharType="separate"/>
      </w:r>
      <w:r w:rsidRPr="00376B4E">
        <w:rPr>
          <w:color w:val="000000" w:themeColor="text1"/>
        </w:rPr>
        <w:t>17</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Office Professional Plus 2013</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_Toc368309877 \h </w:instrText>
      </w:r>
      <w:r w:rsidRPr="00376B4E">
        <w:rPr>
          <w:color w:val="000000" w:themeColor="text1"/>
        </w:rPr>
      </w:r>
      <w:r w:rsidRPr="00376B4E">
        <w:rPr>
          <w:color w:val="000000" w:themeColor="text1"/>
        </w:rPr>
        <w:fldChar w:fldCharType="separate"/>
      </w:r>
      <w:r w:rsidRPr="00376B4E">
        <w:rPr>
          <w:color w:val="000000" w:themeColor="text1"/>
        </w:rPr>
        <w:t>17</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olor w:val="000000" w:themeColor="text1"/>
        </w:rPr>
        <w:t>Office Standard 2013</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_Toc368309878 \h </w:instrText>
      </w:r>
      <w:r w:rsidRPr="00376B4E">
        <w:rPr>
          <w:color w:val="000000" w:themeColor="text1"/>
        </w:rPr>
      </w:r>
      <w:r w:rsidRPr="00376B4E">
        <w:rPr>
          <w:color w:val="000000" w:themeColor="text1"/>
        </w:rPr>
        <w:fldChar w:fldCharType="separate"/>
      </w:r>
      <w:r w:rsidRPr="00376B4E">
        <w:rPr>
          <w:color w:val="000000" w:themeColor="text1"/>
        </w:rPr>
        <w:t>17</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Office 365 ProPlus (SL per Utente)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_Toc368309879 \h </w:instrText>
      </w:r>
      <w:r w:rsidRPr="00376B4E">
        <w:rPr>
          <w:color w:val="000000" w:themeColor="text1"/>
        </w:rPr>
      </w:r>
      <w:r w:rsidRPr="00376B4E">
        <w:rPr>
          <w:color w:val="000000" w:themeColor="text1"/>
        </w:rPr>
        <w:fldChar w:fldCharType="separate"/>
      </w:r>
      <w:r w:rsidRPr="00376B4E">
        <w:rPr>
          <w:color w:val="000000" w:themeColor="text1"/>
        </w:rPr>
        <w:t>17</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Office 365 ProPlus SA Transition  (SL per Utente)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_Toc368309880 \h </w:instrText>
      </w:r>
      <w:r w:rsidRPr="00376B4E">
        <w:rPr>
          <w:color w:val="000000" w:themeColor="text1"/>
        </w:rPr>
      </w:r>
      <w:r w:rsidRPr="00376B4E">
        <w:rPr>
          <w:color w:val="000000" w:themeColor="text1"/>
        </w:rPr>
        <w:fldChar w:fldCharType="separate"/>
      </w:r>
      <w:r w:rsidRPr="00376B4E">
        <w:rPr>
          <w:color w:val="000000" w:themeColor="text1"/>
        </w:rPr>
        <w:t>17</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Sottoscrizione Office Professional Plus A (SL per Utente)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_Toc368309881 \h </w:instrText>
      </w:r>
      <w:r w:rsidRPr="00376B4E">
        <w:rPr>
          <w:color w:val="000000" w:themeColor="text1"/>
        </w:rPr>
      </w:r>
      <w:r w:rsidRPr="00376B4E">
        <w:rPr>
          <w:color w:val="000000" w:themeColor="text1"/>
        </w:rPr>
        <w:fldChar w:fldCharType="separate"/>
      </w:r>
      <w:r w:rsidRPr="00376B4E">
        <w:rPr>
          <w:color w:val="000000" w:themeColor="text1"/>
        </w:rPr>
        <w:t>17</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OneNote</w:t>
      </w:r>
      <w:r w:rsidRPr="00376B4E">
        <w:rPr>
          <w:rFonts w:cs="Tahoma"/>
          <w:color w:val="000000" w:themeColor="text1"/>
          <w:vertAlign w:val="superscript"/>
        </w:rPr>
        <w:t>®</w:t>
      </w:r>
      <w:r w:rsidRPr="00376B4E">
        <w:rPr>
          <w:rFonts w:cs="Tahoma"/>
          <w:color w:val="000000" w:themeColor="text1"/>
        </w:rPr>
        <w:t xml:space="preserve"> 2013</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_Toc368309882 \h </w:instrText>
      </w:r>
      <w:r w:rsidRPr="00376B4E">
        <w:rPr>
          <w:color w:val="000000" w:themeColor="text1"/>
        </w:rPr>
      </w:r>
      <w:r w:rsidRPr="00376B4E">
        <w:rPr>
          <w:color w:val="000000" w:themeColor="text1"/>
        </w:rPr>
        <w:fldChar w:fldCharType="separate"/>
      </w:r>
      <w:r w:rsidRPr="00376B4E">
        <w:rPr>
          <w:color w:val="000000" w:themeColor="text1"/>
        </w:rPr>
        <w:t>17</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Outlook</w:t>
      </w:r>
      <w:r w:rsidRPr="00376B4E">
        <w:rPr>
          <w:rFonts w:cs="Tahoma"/>
          <w:color w:val="000000" w:themeColor="text1"/>
          <w:vertAlign w:val="superscript"/>
        </w:rPr>
        <w:t>®</w:t>
      </w:r>
      <w:r w:rsidRPr="00376B4E">
        <w:rPr>
          <w:rFonts w:cs="Tahoma"/>
          <w:color w:val="000000" w:themeColor="text1"/>
        </w:rPr>
        <w:t xml:space="preserve"> 2013</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_Toc368309883 \h </w:instrText>
      </w:r>
      <w:r w:rsidRPr="00376B4E">
        <w:rPr>
          <w:color w:val="000000" w:themeColor="text1"/>
        </w:rPr>
      </w:r>
      <w:r w:rsidRPr="00376B4E">
        <w:rPr>
          <w:color w:val="000000" w:themeColor="text1"/>
        </w:rPr>
        <w:fldChar w:fldCharType="separate"/>
      </w:r>
      <w:r w:rsidRPr="00376B4E">
        <w:rPr>
          <w:color w:val="000000" w:themeColor="text1"/>
        </w:rPr>
        <w:t>17</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Outlook per Mac 2011</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_Toc368309884 \h </w:instrText>
      </w:r>
      <w:r w:rsidRPr="00376B4E">
        <w:rPr>
          <w:color w:val="000000" w:themeColor="text1"/>
        </w:rPr>
      </w:r>
      <w:r w:rsidRPr="00376B4E">
        <w:rPr>
          <w:color w:val="000000" w:themeColor="text1"/>
        </w:rPr>
        <w:fldChar w:fldCharType="separate"/>
      </w:r>
      <w:r w:rsidRPr="00376B4E">
        <w:rPr>
          <w:color w:val="000000" w:themeColor="text1"/>
        </w:rPr>
        <w:t>17</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olor w:val="000000" w:themeColor="text1"/>
        </w:rPr>
        <w:t>PowerPoint 2013</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_Toc368309885 \h </w:instrText>
      </w:r>
      <w:r w:rsidRPr="00376B4E">
        <w:rPr>
          <w:color w:val="000000" w:themeColor="text1"/>
        </w:rPr>
      </w:r>
      <w:r w:rsidRPr="00376B4E">
        <w:rPr>
          <w:color w:val="000000" w:themeColor="text1"/>
        </w:rPr>
        <w:fldChar w:fldCharType="separate"/>
      </w:r>
      <w:r w:rsidRPr="00376B4E">
        <w:rPr>
          <w:color w:val="000000" w:themeColor="text1"/>
        </w:rPr>
        <w:t>17</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olor w:val="000000" w:themeColor="text1"/>
        </w:rPr>
        <w:t>Powerpoint per Mac 2011</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_Toc368309886 \h </w:instrText>
      </w:r>
      <w:r w:rsidRPr="00376B4E">
        <w:rPr>
          <w:color w:val="000000" w:themeColor="text1"/>
        </w:rPr>
      </w:r>
      <w:r w:rsidRPr="00376B4E">
        <w:rPr>
          <w:color w:val="000000" w:themeColor="text1"/>
        </w:rPr>
        <w:fldChar w:fldCharType="separate"/>
      </w:r>
      <w:r w:rsidRPr="00376B4E">
        <w:rPr>
          <w:color w:val="000000" w:themeColor="text1"/>
        </w:rPr>
        <w:t>17</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olor w:val="000000" w:themeColor="text1"/>
        </w:rPr>
        <w:t>Project Standard 2013</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_Toc368309887 \h </w:instrText>
      </w:r>
      <w:r w:rsidRPr="00376B4E">
        <w:rPr>
          <w:color w:val="000000" w:themeColor="text1"/>
        </w:rPr>
      </w:r>
      <w:r w:rsidRPr="00376B4E">
        <w:rPr>
          <w:color w:val="000000" w:themeColor="text1"/>
        </w:rPr>
        <w:fldChar w:fldCharType="separate"/>
      </w:r>
      <w:r w:rsidRPr="00376B4E">
        <w:rPr>
          <w:color w:val="000000" w:themeColor="text1"/>
        </w:rPr>
        <w:t>17</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olor w:val="000000" w:themeColor="text1"/>
        </w:rPr>
        <w:t>Project Professional 2013</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_Toc368309888 \h </w:instrText>
      </w:r>
      <w:r w:rsidRPr="00376B4E">
        <w:rPr>
          <w:color w:val="000000" w:themeColor="text1"/>
        </w:rPr>
      </w:r>
      <w:r w:rsidRPr="00376B4E">
        <w:rPr>
          <w:color w:val="000000" w:themeColor="text1"/>
        </w:rPr>
        <w:fldChar w:fldCharType="separate"/>
      </w:r>
      <w:r w:rsidRPr="00376B4E">
        <w:rPr>
          <w:color w:val="000000" w:themeColor="text1"/>
        </w:rPr>
        <w:t>17</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olor w:val="000000" w:themeColor="text1"/>
        </w:rPr>
        <w:t>Project Pro per Office 365</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_Toc368309889 \h </w:instrText>
      </w:r>
      <w:r w:rsidRPr="00376B4E">
        <w:rPr>
          <w:color w:val="000000" w:themeColor="text1"/>
        </w:rPr>
      </w:r>
      <w:r w:rsidRPr="00376B4E">
        <w:rPr>
          <w:color w:val="000000" w:themeColor="text1"/>
        </w:rPr>
        <w:fldChar w:fldCharType="separate"/>
      </w:r>
      <w:r w:rsidRPr="00376B4E">
        <w:rPr>
          <w:color w:val="000000" w:themeColor="text1"/>
        </w:rPr>
        <w:t>17</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olor w:val="000000" w:themeColor="text1"/>
        </w:rPr>
        <w:t>Project Pro per Office 365 A</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_Toc368309890 \h </w:instrText>
      </w:r>
      <w:r w:rsidRPr="00376B4E">
        <w:rPr>
          <w:color w:val="000000" w:themeColor="text1"/>
        </w:rPr>
      </w:r>
      <w:r w:rsidRPr="00376B4E">
        <w:rPr>
          <w:color w:val="000000" w:themeColor="text1"/>
        </w:rPr>
        <w:fldChar w:fldCharType="separate"/>
      </w:r>
      <w:r w:rsidRPr="00376B4E">
        <w:rPr>
          <w:color w:val="000000" w:themeColor="text1"/>
        </w:rPr>
        <w:t>17</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olor w:val="000000" w:themeColor="text1"/>
        </w:rPr>
        <w:t>Publisher 2013</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_Toc368309891 \h </w:instrText>
      </w:r>
      <w:r w:rsidRPr="00376B4E">
        <w:rPr>
          <w:color w:val="000000" w:themeColor="text1"/>
        </w:rPr>
      </w:r>
      <w:r w:rsidRPr="00376B4E">
        <w:rPr>
          <w:color w:val="000000" w:themeColor="text1"/>
        </w:rPr>
        <w:fldChar w:fldCharType="separate"/>
      </w:r>
      <w:r w:rsidRPr="00376B4E">
        <w:rPr>
          <w:color w:val="000000" w:themeColor="text1"/>
        </w:rPr>
        <w:t>17</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olor w:val="000000" w:themeColor="text1"/>
        </w:rPr>
        <w:t>Diritti di Noleggio per Office Standard</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_Toc368309892 \h </w:instrText>
      </w:r>
      <w:r w:rsidRPr="00376B4E">
        <w:rPr>
          <w:color w:val="000000" w:themeColor="text1"/>
        </w:rPr>
      </w:r>
      <w:r w:rsidRPr="00376B4E">
        <w:rPr>
          <w:color w:val="000000" w:themeColor="text1"/>
        </w:rPr>
        <w:fldChar w:fldCharType="separate"/>
      </w:r>
      <w:r w:rsidRPr="00376B4E">
        <w:rPr>
          <w:color w:val="000000" w:themeColor="text1"/>
        </w:rPr>
        <w:t>17</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olor w:val="000000" w:themeColor="text1"/>
        </w:rPr>
        <w:t>Diritto di Noleggio per Office Professional Plus</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_Toc368309893 \h </w:instrText>
      </w:r>
      <w:r w:rsidRPr="00376B4E">
        <w:rPr>
          <w:color w:val="000000" w:themeColor="text1"/>
        </w:rPr>
      </w:r>
      <w:r w:rsidRPr="00376B4E">
        <w:rPr>
          <w:color w:val="000000" w:themeColor="text1"/>
        </w:rPr>
        <w:fldChar w:fldCharType="separate"/>
      </w:r>
      <w:r w:rsidRPr="00376B4E">
        <w:rPr>
          <w:color w:val="000000" w:themeColor="text1"/>
        </w:rPr>
        <w:t>17</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olor w:val="000000" w:themeColor="text1"/>
        </w:rPr>
        <w:t>Streets and Trips 2013</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_Toc368309894 \h </w:instrText>
      </w:r>
      <w:r w:rsidRPr="00376B4E">
        <w:rPr>
          <w:color w:val="000000" w:themeColor="text1"/>
        </w:rPr>
      </w:r>
      <w:r w:rsidRPr="00376B4E">
        <w:rPr>
          <w:color w:val="000000" w:themeColor="text1"/>
        </w:rPr>
        <w:fldChar w:fldCharType="separate"/>
      </w:r>
      <w:r w:rsidRPr="00376B4E">
        <w:rPr>
          <w:color w:val="000000" w:themeColor="text1"/>
        </w:rPr>
        <w:t>17</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olor w:val="000000" w:themeColor="text1"/>
        </w:rPr>
        <w:t>Visio</w:t>
      </w:r>
      <w:r w:rsidRPr="00376B4E">
        <w:rPr>
          <w:color w:val="000000" w:themeColor="text1"/>
          <w:vertAlign w:val="superscript"/>
        </w:rPr>
        <w:t>®</w:t>
      </w:r>
      <w:r w:rsidRPr="00376B4E">
        <w:rPr>
          <w:color w:val="000000" w:themeColor="text1"/>
        </w:rPr>
        <w:t xml:space="preserve"> 2013 Professional</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_Toc368309895 \h </w:instrText>
      </w:r>
      <w:r w:rsidRPr="00376B4E">
        <w:rPr>
          <w:color w:val="000000" w:themeColor="text1"/>
        </w:rPr>
      </w:r>
      <w:r w:rsidRPr="00376B4E">
        <w:rPr>
          <w:color w:val="000000" w:themeColor="text1"/>
        </w:rPr>
        <w:fldChar w:fldCharType="separate"/>
      </w:r>
      <w:r w:rsidRPr="00376B4E">
        <w:rPr>
          <w:color w:val="000000" w:themeColor="text1"/>
        </w:rPr>
        <w:t>17</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olor w:val="000000" w:themeColor="text1"/>
        </w:rPr>
        <w:lastRenderedPageBreak/>
        <w:t>Visio</w:t>
      </w:r>
      <w:r w:rsidRPr="00376B4E">
        <w:rPr>
          <w:color w:val="000000" w:themeColor="text1"/>
          <w:vertAlign w:val="superscript"/>
        </w:rPr>
        <w:t>®</w:t>
      </w:r>
      <w:r w:rsidRPr="00376B4E">
        <w:rPr>
          <w:color w:val="000000" w:themeColor="text1"/>
        </w:rPr>
        <w:t xml:space="preserve"> 2013 Standard</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_Toc368309896 \h </w:instrText>
      </w:r>
      <w:r w:rsidRPr="00376B4E">
        <w:rPr>
          <w:color w:val="000000" w:themeColor="text1"/>
        </w:rPr>
      </w:r>
      <w:r w:rsidRPr="00376B4E">
        <w:rPr>
          <w:color w:val="000000" w:themeColor="text1"/>
        </w:rPr>
        <w:fldChar w:fldCharType="separate"/>
      </w:r>
      <w:r w:rsidRPr="00376B4E">
        <w:rPr>
          <w:color w:val="000000" w:themeColor="text1"/>
        </w:rPr>
        <w:t>17</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Visio Pro per Office 365</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_Toc368309897 \h </w:instrText>
      </w:r>
      <w:r w:rsidRPr="00376B4E">
        <w:rPr>
          <w:color w:val="000000" w:themeColor="text1"/>
        </w:rPr>
      </w:r>
      <w:r w:rsidRPr="00376B4E">
        <w:rPr>
          <w:color w:val="000000" w:themeColor="text1"/>
        </w:rPr>
        <w:fldChar w:fldCharType="separate"/>
      </w:r>
      <w:r w:rsidRPr="00376B4E">
        <w:rPr>
          <w:color w:val="000000" w:themeColor="text1"/>
        </w:rPr>
        <w:t>17</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Visio Pro per Office 365 A</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_Toc368309898 \h </w:instrText>
      </w:r>
      <w:r w:rsidRPr="00376B4E">
        <w:rPr>
          <w:color w:val="000000" w:themeColor="text1"/>
        </w:rPr>
      </w:r>
      <w:r w:rsidRPr="00376B4E">
        <w:rPr>
          <w:color w:val="000000" w:themeColor="text1"/>
        </w:rPr>
        <w:fldChar w:fldCharType="separate"/>
      </w:r>
      <w:r w:rsidRPr="00376B4E">
        <w:rPr>
          <w:color w:val="000000" w:themeColor="text1"/>
        </w:rPr>
        <w:t>17</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Visual Studio</w:t>
      </w:r>
      <w:r w:rsidRPr="00376B4E">
        <w:rPr>
          <w:rFonts w:cs="Tahoma"/>
          <w:color w:val="000000" w:themeColor="text1"/>
          <w:vertAlign w:val="superscript"/>
        </w:rPr>
        <w:t>®</w:t>
      </w:r>
      <w:r w:rsidRPr="00376B4E">
        <w:rPr>
          <w:rFonts w:cs="Tahoma"/>
          <w:color w:val="000000" w:themeColor="text1"/>
        </w:rPr>
        <w:t xml:space="preserve"> Professional 2012</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_Toc368309899 \h </w:instrText>
      </w:r>
      <w:r w:rsidRPr="00376B4E">
        <w:rPr>
          <w:color w:val="000000" w:themeColor="text1"/>
        </w:rPr>
      </w:r>
      <w:r w:rsidRPr="00376B4E">
        <w:rPr>
          <w:color w:val="000000" w:themeColor="text1"/>
        </w:rPr>
        <w:fldChar w:fldCharType="separate"/>
      </w:r>
      <w:r w:rsidRPr="00376B4E">
        <w:rPr>
          <w:color w:val="000000" w:themeColor="text1"/>
        </w:rPr>
        <w:t>17</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Visual Studio</w:t>
      </w:r>
      <w:r w:rsidRPr="00376B4E">
        <w:rPr>
          <w:rFonts w:cs="Tahoma"/>
          <w:color w:val="000000" w:themeColor="text1"/>
          <w:vertAlign w:val="superscript"/>
        </w:rPr>
        <w:t>®</w:t>
      </w:r>
      <w:r w:rsidRPr="00376B4E">
        <w:rPr>
          <w:rFonts w:cs="Tahoma"/>
          <w:color w:val="000000" w:themeColor="text1"/>
        </w:rPr>
        <w:t xml:space="preserve"> Professional 2012 con MSDN</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_Toc368309900 \h </w:instrText>
      </w:r>
      <w:r w:rsidRPr="00376B4E">
        <w:rPr>
          <w:color w:val="000000" w:themeColor="text1"/>
        </w:rPr>
      </w:r>
      <w:r w:rsidRPr="00376B4E">
        <w:rPr>
          <w:color w:val="000000" w:themeColor="text1"/>
        </w:rPr>
        <w:fldChar w:fldCharType="separate"/>
      </w:r>
      <w:r w:rsidRPr="00376B4E">
        <w:rPr>
          <w:color w:val="000000" w:themeColor="text1"/>
        </w:rPr>
        <w:t>17</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Visual Studio</w:t>
      </w:r>
      <w:r w:rsidRPr="00376B4E">
        <w:rPr>
          <w:rFonts w:cs="Tahoma"/>
          <w:color w:val="000000" w:themeColor="text1"/>
          <w:vertAlign w:val="superscript"/>
        </w:rPr>
        <w:t>®</w:t>
      </w:r>
      <w:r w:rsidRPr="00376B4E">
        <w:rPr>
          <w:rFonts w:cs="Tahoma"/>
          <w:color w:val="000000" w:themeColor="text1"/>
        </w:rPr>
        <w:t xml:space="preserve"> Premium 2012 con MSDN</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_Toc368309901 \h </w:instrText>
      </w:r>
      <w:r w:rsidRPr="00376B4E">
        <w:rPr>
          <w:color w:val="000000" w:themeColor="text1"/>
        </w:rPr>
      </w:r>
      <w:r w:rsidRPr="00376B4E">
        <w:rPr>
          <w:color w:val="000000" w:themeColor="text1"/>
        </w:rPr>
        <w:fldChar w:fldCharType="separate"/>
      </w:r>
      <w:r w:rsidRPr="00376B4E">
        <w:rPr>
          <w:color w:val="000000" w:themeColor="text1"/>
        </w:rPr>
        <w:t>17</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Visual Studio</w:t>
      </w:r>
      <w:r w:rsidRPr="00376B4E">
        <w:rPr>
          <w:rFonts w:cs="Tahoma"/>
          <w:color w:val="000000" w:themeColor="text1"/>
          <w:vertAlign w:val="superscript"/>
        </w:rPr>
        <w:t>®</w:t>
      </w:r>
      <w:r w:rsidRPr="00376B4E">
        <w:rPr>
          <w:rFonts w:cs="Tahoma"/>
          <w:color w:val="000000" w:themeColor="text1"/>
        </w:rPr>
        <w:t xml:space="preserve"> Ultimate 2012 con MSDN</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_Toc368309902 \h </w:instrText>
      </w:r>
      <w:r w:rsidRPr="00376B4E">
        <w:rPr>
          <w:color w:val="000000" w:themeColor="text1"/>
        </w:rPr>
      </w:r>
      <w:r w:rsidRPr="00376B4E">
        <w:rPr>
          <w:color w:val="000000" w:themeColor="text1"/>
        </w:rPr>
        <w:fldChar w:fldCharType="separate"/>
      </w:r>
      <w:r w:rsidRPr="00376B4E">
        <w:rPr>
          <w:color w:val="000000" w:themeColor="text1"/>
        </w:rPr>
        <w:t>18</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Visual Studio</w:t>
      </w:r>
      <w:r w:rsidRPr="00376B4E">
        <w:rPr>
          <w:rFonts w:cs="Tahoma"/>
          <w:color w:val="000000" w:themeColor="text1"/>
          <w:vertAlign w:val="superscript"/>
        </w:rPr>
        <w:t>®</w:t>
      </w:r>
      <w:r w:rsidRPr="00376B4E">
        <w:rPr>
          <w:rFonts w:cs="Tahoma"/>
          <w:color w:val="000000" w:themeColor="text1"/>
        </w:rPr>
        <w:t xml:space="preserve"> Test Professional 2012 con MSDN</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_Toc368309903 \h </w:instrText>
      </w:r>
      <w:r w:rsidRPr="00376B4E">
        <w:rPr>
          <w:color w:val="000000" w:themeColor="text1"/>
        </w:rPr>
      </w:r>
      <w:r w:rsidRPr="00376B4E">
        <w:rPr>
          <w:color w:val="000000" w:themeColor="text1"/>
        </w:rPr>
        <w:fldChar w:fldCharType="separate"/>
      </w:r>
      <w:r w:rsidRPr="00376B4E">
        <w:rPr>
          <w:color w:val="000000" w:themeColor="text1"/>
        </w:rPr>
        <w:t>18</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Word 2013</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_Toc368309904 \h </w:instrText>
      </w:r>
      <w:r w:rsidRPr="00376B4E">
        <w:rPr>
          <w:color w:val="000000" w:themeColor="text1"/>
        </w:rPr>
      </w:r>
      <w:r w:rsidRPr="00376B4E">
        <w:rPr>
          <w:color w:val="000000" w:themeColor="text1"/>
        </w:rPr>
        <w:fldChar w:fldCharType="separate"/>
      </w:r>
      <w:r w:rsidRPr="00376B4E">
        <w:rPr>
          <w:color w:val="000000" w:themeColor="text1"/>
        </w:rPr>
        <w:t>18</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Word per Mac 2011</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_Toc368309905 \h </w:instrText>
      </w:r>
      <w:r w:rsidRPr="00376B4E">
        <w:rPr>
          <w:color w:val="000000" w:themeColor="text1"/>
        </w:rPr>
      </w:r>
      <w:r w:rsidRPr="00376B4E">
        <w:rPr>
          <w:color w:val="000000" w:themeColor="text1"/>
        </w:rPr>
        <w:fldChar w:fldCharType="separate"/>
      </w:r>
      <w:r w:rsidRPr="00376B4E">
        <w:rPr>
          <w:color w:val="000000" w:themeColor="text1"/>
        </w:rPr>
        <w:t>18</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olor w:val="000000" w:themeColor="text1"/>
        </w:rPr>
        <w:t>POOL DI SISTEMI</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_Toc368309906 \h </w:instrText>
      </w:r>
      <w:r w:rsidRPr="00376B4E">
        <w:rPr>
          <w:color w:val="000000" w:themeColor="text1"/>
        </w:rPr>
      </w:r>
      <w:r w:rsidRPr="00376B4E">
        <w:rPr>
          <w:color w:val="000000" w:themeColor="text1"/>
        </w:rPr>
        <w:fldChar w:fldCharType="separate"/>
      </w:r>
      <w:r w:rsidRPr="00376B4E">
        <w:rPr>
          <w:color w:val="000000" w:themeColor="text1"/>
        </w:rPr>
        <w:t>18</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Microsoft Desktop Optimization Pack per Software Assurance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_Toc368309907 \h </w:instrText>
      </w:r>
      <w:r w:rsidRPr="00376B4E">
        <w:rPr>
          <w:color w:val="000000" w:themeColor="text1"/>
        </w:rPr>
      </w:r>
      <w:r w:rsidRPr="00376B4E">
        <w:rPr>
          <w:color w:val="000000" w:themeColor="text1"/>
        </w:rPr>
        <w:fldChar w:fldCharType="separate"/>
      </w:r>
      <w:r w:rsidRPr="00376B4E">
        <w:rPr>
          <w:color w:val="000000" w:themeColor="text1"/>
        </w:rPr>
        <w:t>18</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Licenza “Subscription” per Windows Companion</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_Toc368309908 \h </w:instrText>
      </w:r>
      <w:r w:rsidRPr="00376B4E">
        <w:rPr>
          <w:color w:val="000000" w:themeColor="text1"/>
        </w:rPr>
      </w:r>
      <w:r w:rsidRPr="00376B4E">
        <w:rPr>
          <w:color w:val="000000" w:themeColor="text1"/>
        </w:rPr>
        <w:fldChar w:fldCharType="separate"/>
      </w:r>
      <w:r w:rsidRPr="00376B4E">
        <w:rPr>
          <w:color w:val="000000" w:themeColor="text1"/>
        </w:rPr>
        <w:t>18</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Windows</w:t>
      </w:r>
      <w:r w:rsidRPr="00376B4E">
        <w:rPr>
          <w:rFonts w:cs="Tahoma"/>
          <w:color w:val="000000" w:themeColor="text1"/>
          <w:vertAlign w:val="superscript"/>
        </w:rPr>
        <w:t>®</w:t>
      </w:r>
      <w:r w:rsidRPr="00376B4E">
        <w:rPr>
          <w:rFonts w:cs="Tahoma"/>
          <w:color w:val="000000" w:themeColor="text1"/>
        </w:rPr>
        <w:t xml:space="preserve"> Embedded 8 Industry Pro</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_Toc368309909 \h </w:instrText>
      </w:r>
      <w:r w:rsidRPr="00376B4E">
        <w:rPr>
          <w:color w:val="000000" w:themeColor="text1"/>
        </w:rPr>
      </w:r>
      <w:r w:rsidRPr="00376B4E">
        <w:rPr>
          <w:color w:val="000000" w:themeColor="text1"/>
        </w:rPr>
        <w:fldChar w:fldCharType="separate"/>
      </w:r>
      <w:r w:rsidRPr="00376B4E">
        <w:rPr>
          <w:color w:val="000000" w:themeColor="text1"/>
        </w:rPr>
        <w:t>18</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Windows</w:t>
      </w:r>
      <w:r w:rsidRPr="00376B4E">
        <w:rPr>
          <w:rFonts w:cs="Tahoma"/>
          <w:color w:val="000000" w:themeColor="text1"/>
          <w:vertAlign w:val="superscript"/>
        </w:rPr>
        <w:t>®</w:t>
      </w:r>
      <w:r w:rsidRPr="00376B4E">
        <w:rPr>
          <w:rFonts w:cs="Tahoma"/>
          <w:color w:val="000000" w:themeColor="text1"/>
        </w:rPr>
        <w:t xml:space="preserve"> Embedded 8 Industry Pro Sideloading</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_Toc368309910 \h </w:instrText>
      </w:r>
      <w:r w:rsidRPr="00376B4E">
        <w:rPr>
          <w:color w:val="000000" w:themeColor="text1"/>
        </w:rPr>
      </w:r>
      <w:r w:rsidRPr="00376B4E">
        <w:rPr>
          <w:color w:val="000000" w:themeColor="text1"/>
        </w:rPr>
        <w:fldChar w:fldCharType="separate"/>
      </w:r>
      <w:r w:rsidRPr="00376B4E">
        <w:rPr>
          <w:color w:val="000000" w:themeColor="text1"/>
        </w:rPr>
        <w:t>18</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Windows</w:t>
      </w:r>
      <w:r w:rsidRPr="00376B4E">
        <w:rPr>
          <w:rFonts w:cs="Tahoma"/>
          <w:color w:val="000000" w:themeColor="text1"/>
          <w:vertAlign w:val="superscript"/>
        </w:rPr>
        <w:t>®</w:t>
      </w:r>
      <w:r w:rsidRPr="00376B4E">
        <w:rPr>
          <w:rFonts w:cs="Tahoma"/>
          <w:color w:val="000000" w:themeColor="text1"/>
        </w:rPr>
        <w:t xml:space="preserve"> Embedded 8 Standard Enterprise Kit</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_Toc368309911 \h </w:instrText>
      </w:r>
      <w:r w:rsidRPr="00376B4E">
        <w:rPr>
          <w:color w:val="000000" w:themeColor="text1"/>
        </w:rPr>
      </w:r>
      <w:r w:rsidRPr="00376B4E">
        <w:rPr>
          <w:color w:val="000000" w:themeColor="text1"/>
        </w:rPr>
        <w:fldChar w:fldCharType="separate"/>
      </w:r>
      <w:r w:rsidRPr="00376B4E">
        <w:rPr>
          <w:color w:val="000000" w:themeColor="text1"/>
        </w:rPr>
        <w:t>18</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Windows Vista DVD Playback Pack</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_Toc368309912 \h </w:instrText>
      </w:r>
      <w:r w:rsidRPr="00376B4E">
        <w:rPr>
          <w:color w:val="000000" w:themeColor="text1"/>
        </w:rPr>
      </w:r>
      <w:r w:rsidRPr="00376B4E">
        <w:rPr>
          <w:color w:val="000000" w:themeColor="text1"/>
        </w:rPr>
        <w:fldChar w:fldCharType="separate"/>
      </w:r>
      <w:r w:rsidRPr="00376B4E">
        <w:rPr>
          <w:color w:val="000000" w:themeColor="text1"/>
        </w:rPr>
        <w:t>18</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Diritti di Noleggio per Windows</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_Toc368309913 \h </w:instrText>
      </w:r>
      <w:r w:rsidRPr="00376B4E">
        <w:rPr>
          <w:color w:val="000000" w:themeColor="text1"/>
        </w:rPr>
      </w:r>
      <w:r w:rsidRPr="00376B4E">
        <w:rPr>
          <w:color w:val="000000" w:themeColor="text1"/>
        </w:rPr>
        <w:fldChar w:fldCharType="separate"/>
      </w:r>
      <w:r w:rsidRPr="00376B4E">
        <w:rPr>
          <w:color w:val="000000" w:themeColor="text1"/>
        </w:rPr>
        <w:t>18</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Windows</w:t>
      </w:r>
      <w:r w:rsidRPr="00376B4E">
        <w:rPr>
          <w:rFonts w:cs="Tahoma"/>
          <w:color w:val="000000" w:themeColor="text1"/>
          <w:vertAlign w:val="superscript"/>
        </w:rPr>
        <w:t>®</w:t>
      </w:r>
      <w:r w:rsidRPr="00376B4E">
        <w:rPr>
          <w:rFonts w:cs="Tahoma"/>
          <w:color w:val="000000" w:themeColor="text1"/>
        </w:rPr>
        <w:t xml:space="preserve"> 7 Partners in Learning</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_Toc368309914 \h </w:instrText>
      </w:r>
      <w:r w:rsidRPr="00376B4E">
        <w:rPr>
          <w:color w:val="000000" w:themeColor="text1"/>
        </w:rPr>
      </w:r>
      <w:r w:rsidRPr="00376B4E">
        <w:rPr>
          <w:color w:val="000000" w:themeColor="text1"/>
        </w:rPr>
        <w:fldChar w:fldCharType="separate"/>
      </w:r>
      <w:r w:rsidRPr="00376B4E">
        <w:rPr>
          <w:color w:val="000000" w:themeColor="text1"/>
        </w:rPr>
        <w:t>18</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Windows 8 Enterprise Sideloading (100 Confezioni)</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_Toc368309915 \h </w:instrText>
      </w:r>
      <w:r w:rsidRPr="00376B4E">
        <w:rPr>
          <w:color w:val="000000" w:themeColor="text1"/>
        </w:rPr>
      </w:r>
      <w:r w:rsidRPr="00376B4E">
        <w:rPr>
          <w:color w:val="000000" w:themeColor="text1"/>
        </w:rPr>
        <w:fldChar w:fldCharType="separate"/>
      </w:r>
      <w:r w:rsidRPr="00376B4E">
        <w:rPr>
          <w:color w:val="000000" w:themeColor="text1"/>
        </w:rPr>
        <w:t>18</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Windows</w:t>
      </w:r>
      <w:r w:rsidRPr="00376B4E">
        <w:rPr>
          <w:rFonts w:cs="Tahoma"/>
          <w:color w:val="000000" w:themeColor="text1"/>
          <w:vertAlign w:val="superscript"/>
        </w:rPr>
        <w:t>®</w:t>
      </w:r>
      <w:r w:rsidRPr="00376B4E">
        <w:rPr>
          <w:rFonts w:cs="Tahoma"/>
          <w:color w:val="000000" w:themeColor="text1"/>
        </w:rPr>
        <w:t xml:space="preserve"> 8 Pro</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_Toc368309916 \h </w:instrText>
      </w:r>
      <w:r w:rsidRPr="00376B4E">
        <w:rPr>
          <w:color w:val="000000" w:themeColor="text1"/>
        </w:rPr>
      </w:r>
      <w:r w:rsidRPr="00376B4E">
        <w:rPr>
          <w:color w:val="000000" w:themeColor="text1"/>
        </w:rPr>
        <w:fldChar w:fldCharType="separate"/>
      </w:r>
      <w:r w:rsidRPr="00376B4E">
        <w:rPr>
          <w:color w:val="000000" w:themeColor="text1"/>
        </w:rPr>
        <w:t>18</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Windows</w:t>
      </w:r>
      <w:r w:rsidRPr="00376B4E">
        <w:rPr>
          <w:rFonts w:cs="Tahoma"/>
          <w:color w:val="000000" w:themeColor="text1"/>
          <w:vertAlign w:val="superscript"/>
        </w:rPr>
        <w:t>®</w:t>
      </w:r>
      <w:r w:rsidRPr="00376B4E">
        <w:rPr>
          <w:rFonts w:cs="Tahoma"/>
          <w:color w:val="000000" w:themeColor="text1"/>
        </w:rPr>
        <w:t xml:space="preserve"> 8 Pro con MDOP</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_Toc368309917 \h </w:instrText>
      </w:r>
      <w:r w:rsidRPr="00376B4E">
        <w:rPr>
          <w:color w:val="000000" w:themeColor="text1"/>
        </w:rPr>
      </w:r>
      <w:r w:rsidRPr="00376B4E">
        <w:rPr>
          <w:color w:val="000000" w:themeColor="text1"/>
        </w:rPr>
        <w:fldChar w:fldCharType="separate"/>
      </w:r>
      <w:r w:rsidRPr="00376B4E">
        <w:rPr>
          <w:color w:val="000000" w:themeColor="text1"/>
        </w:rPr>
        <w:t>18</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Windows Virtual Desktop Access (VDA)</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_Toc368309918 \h </w:instrText>
      </w:r>
      <w:r w:rsidRPr="00376B4E">
        <w:rPr>
          <w:color w:val="000000" w:themeColor="text1"/>
        </w:rPr>
      </w:r>
      <w:r w:rsidRPr="00376B4E">
        <w:rPr>
          <w:color w:val="000000" w:themeColor="text1"/>
        </w:rPr>
        <w:fldChar w:fldCharType="separate"/>
      </w:r>
      <w:r w:rsidRPr="00376B4E">
        <w:rPr>
          <w:color w:val="000000" w:themeColor="text1"/>
        </w:rPr>
        <w:t>18</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Windows Intune (Per Dispositivo)</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_Toc368309919 \h </w:instrText>
      </w:r>
      <w:r w:rsidRPr="00376B4E">
        <w:rPr>
          <w:color w:val="000000" w:themeColor="text1"/>
        </w:rPr>
      </w:r>
      <w:r w:rsidRPr="00376B4E">
        <w:rPr>
          <w:color w:val="000000" w:themeColor="text1"/>
        </w:rPr>
        <w:fldChar w:fldCharType="separate"/>
      </w:r>
      <w:r w:rsidRPr="00376B4E">
        <w:rPr>
          <w:color w:val="000000" w:themeColor="text1"/>
        </w:rPr>
        <w:t>18</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Componente Aggiuntivo per Windows Intune (Per Dispositivo)</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_Toc368309920 \h </w:instrText>
      </w:r>
      <w:r w:rsidRPr="00376B4E">
        <w:rPr>
          <w:color w:val="000000" w:themeColor="text1"/>
        </w:rPr>
      </w:r>
      <w:r w:rsidRPr="00376B4E">
        <w:rPr>
          <w:color w:val="000000" w:themeColor="text1"/>
        </w:rPr>
        <w:fldChar w:fldCharType="separate"/>
      </w:r>
      <w:r w:rsidRPr="00376B4E">
        <w:rPr>
          <w:color w:val="000000" w:themeColor="text1"/>
        </w:rPr>
        <w:t>18</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olor w:val="000000" w:themeColor="text1"/>
        </w:rPr>
        <w:t>POOL DI SERVER</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_Toc368309921 \h </w:instrText>
      </w:r>
      <w:r w:rsidRPr="00376B4E">
        <w:rPr>
          <w:color w:val="000000" w:themeColor="text1"/>
        </w:rPr>
      </w:r>
      <w:r w:rsidRPr="00376B4E">
        <w:rPr>
          <w:color w:val="000000" w:themeColor="text1"/>
        </w:rPr>
        <w:fldChar w:fldCharType="separate"/>
      </w:r>
      <w:r w:rsidRPr="00376B4E">
        <w:rPr>
          <w:color w:val="000000" w:themeColor="text1"/>
        </w:rPr>
        <w:t>19</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Bing Maps Consumer Tracked Per Asset Monthly Sub</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_Toc368309922 \h </w:instrText>
      </w:r>
      <w:r w:rsidRPr="00376B4E">
        <w:rPr>
          <w:color w:val="000000" w:themeColor="text1"/>
        </w:rPr>
      </w:r>
      <w:r w:rsidRPr="00376B4E">
        <w:rPr>
          <w:color w:val="000000" w:themeColor="text1"/>
        </w:rPr>
        <w:fldChar w:fldCharType="separate"/>
      </w:r>
      <w:r w:rsidRPr="00376B4E">
        <w:rPr>
          <w:color w:val="000000" w:themeColor="text1"/>
        </w:rPr>
        <w:t>19</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Bing Maps Enterprise Fee Monthly Sub</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_Toc368309923 \h </w:instrText>
      </w:r>
      <w:r w:rsidRPr="00376B4E">
        <w:rPr>
          <w:color w:val="000000" w:themeColor="text1"/>
        </w:rPr>
      </w:r>
      <w:r w:rsidRPr="00376B4E">
        <w:rPr>
          <w:color w:val="000000" w:themeColor="text1"/>
        </w:rPr>
        <w:fldChar w:fldCharType="separate"/>
      </w:r>
      <w:r w:rsidRPr="00376B4E">
        <w:rPr>
          <w:color w:val="000000" w:themeColor="text1"/>
        </w:rPr>
        <w:t>19</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Bing Maps Public Website Usage 100K Transactions Monthly Sub</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_Toc368309924 \h </w:instrText>
      </w:r>
      <w:r w:rsidRPr="00376B4E">
        <w:rPr>
          <w:color w:val="000000" w:themeColor="text1"/>
        </w:rPr>
      </w:r>
      <w:r w:rsidRPr="00376B4E">
        <w:rPr>
          <w:color w:val="000000" w:themeColor="text1"/>
        </w:rPr>
        <w:fldChar w:fldCharType="separate"/>
      </w:r>
      <w:r w:rsidRPr="00376B4E">
        <w:rPr>
          <w:color w:val="000000" w:themeColor="text1"/>
        </w:rPr>
        <w:t>19</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Bing Maps Public Website Usage 420K (and higher) Transactions Monthly Sub</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_Toc368309925 \h </w:instrText>
      </w:r>
      <w:r w:rsidRPr="00376B4E">
        <w:rPr>
          <w:color w:val="000000" w:themeColor="text1"/>
        </w:rPr>
      </w:r>
      <w:r w:rsidRPr="00376B4E">
        <w:rPr>
          <w:color w:val="000000" w:themeColor="text1"/>
        </w:rPr>
        <w:fldChar w:fldCharType="separate"/>
      </w:r>
      <w:r w:rsidRPr="00376B4E">
        <w:rPr>
          <w:color w:val="000000" w:themeColor="text1"/>
        </w:rPr>
        <w:t>19</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Bing Maps Internal Website Usage 100K Transactions Monthly Sub</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_Toc368309926 \h </w:instrText>
      </w:r>
      <w:r w:rsidRPr="00376B4E">
        <w:rPr>
          <w:color w:val="000000" w:themeColor="text1"/>
        </w:rPr>
      </w:r>
      <w:r w:rsidRPr="00376B4E">
        <w:rPr>
          <w:color w:val="000000" w:themeColor="text1"/>
        </w:rPr>
        <w:fldChar w:fldCharType="separate"/>
      </w:r>
      <w:r w:rsidRPr="00376B4E">
        <w:rPr>
          <w:color w:val="000000" w:themeColor="text1"/>
        </w:rPr>
        <w:t>19</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Bing Maps Internal Website Usage 250K (and higher) Transactions Monthly Sub</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_Toc368309927 \h </w:instrText>
      </w:r>
      <w:r w:rsidRPr="00376B4E">
        <w:rPr>
          <w:color w:val="000000" w:themeColor="text1"/>
        </w:rPr>
      </w:r>
      <w:r w:rsidRPr="00376B4E">
        <w:rPr>
          <w:color w:val="000000" w:themeColor="text1"/>
        </w:rPr>
        <w:fldChar w:fldCharType="separate"/>
      </w:r>
      <w:r w:rsidRPr="00376B4E">
        <w:rPr>
          <w:color w:val="000000" w:themeColor="text1"/>
        </w:rPr>
        <w:t>19</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Bing Maps Per Known User Monthly Sub</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_Toc368309928 \h </w:instrText>
      </w:r>
      <w:r w:rsidRPr="00376B4E">
        <w:rPr>
          <w:color w:val="000000" w:themeColor="text1"/>
        </w:rPr>
      </w:r>
      <w:r w:rsidRPr="00376B4E">
        <w:rPr>
          <w:color w:val="000000" w:themeColor="text1"/>
        </w:rPr>
        <w:fldChar w:fldCharType="separate"/>
      </w:r>
      <w:r w:rsidRPr="00376B4E">
        <w:rPr>
          <w:color w:val="000000" w:themeColor="text1"/>
        </w:rPr>
        <w:t>19</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Bing Maps Known User 5K Bundle Monthly Sub</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_Toc368309929 \h </w:instrText>
      </w:r>
      <w:r w:rsidRPr="00376B4E">
        <w:rPr>
          <w:color w:val="000000" w:themeColor="text1"/>
        </w:rPr>
      </w:r>
      <w:r w:rsidRPr="00376B4E">
        <w:rPr>
          <w:color w:val="000000" w:themeColor="text1"/>
        </w:rPr>
        <w:fldChar w:fldCharType="separate"/>
      </w:r>
      <w:r w:rsidRPr="00376B4E">
        <w:rPr>
          <w:color w:val="000000" w:themeColor="text1"/>
        </w:rPr>
        <w:t>19</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Bing Maps Light Known Per User Monthly Sub</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_Toc368309930 \h </w:instrText>
      </w:r>
      <w:r w:rsidRPr="00376B4E">
        <w:rPr>
          <w:color w:val="000000" w:themeColor="text1"/>
        </w:rPr>
      </w:r>
      <w:r w:rsidRPr="00376B4E">
        <w:rPr>
          <w:color w:val="000000" w:themeColor="text1"/>
        </w:rPr>
        <w:fldChar w:fldCharType="separate"/>
      </w:r>
      <w:r w:rsidRPr="00376B4E">
        <w:rPr>
          <w:color w:val="000000" w:themeColor="text1"/>
        </w:rPr>
        <w:t>19</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Bing Maps Light Known 5K User Bundle Monthly Sub</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_Toc368309931 \h </w:instrText>
      </w:r>
      <w:r w:rsidRPr="00376B4E">
        <w:rPr>
          <w:color w:val="000000" w:themeColor="text1"/>
        </w:rPr>
      </w:r>
      <w:r w:rsidRPr="00376B4E">
        <w:rPr>
          <w:color w:val="000000" w:themeColor="text1"/>
        </w:rPr>
        <w:fldChar w:fldCharType="separate"/>
      </w:r>
      <w:r w:rsidRPr="00376B4E">
        <w:rPr>
          <w:color w:val="000000" w:themeColor="text1"/>
        </w:rPr>
        <w:t>19</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Bing Maps Mobile Asset Management Platform Fee Monthly Sub</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_Toc368309932 \h </w:instrText>
      </w:r>
      <w:r w:rsidRPr="00376B4E">
        <w:rPr>
          <w:color w:val="000000" w:themeColor="text1"/>
        </w:rPr>
      </w:r>
      <w:r w:rsidRPr="00376B4E">
        <w:rPr>
          <w:color w:val="000000" w:themeColor="text1"/>
        </w:rPr>
        <w:fldChar w:fldCharType="separate"/>
      </w:r>
      <w:r w:rsidRPr="00376B4E">
        <w:rPr>
          <w:color w:val="000000" w:themeColor="text1"/>
        </w:rPr>
        <w:t>19</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Bing Maps Mobile Asset Management NA w routing Per Asset Monthly Sub</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_Toc368309933 \h </w:instrText>
      </w:r>
      <w:r w:rsidRPr="00376B4E">
        <w:rPr>
          <w:color w:val="000000" w:themeColor="text1"/>
        </w:rPr>
      </w:r>
      <w:r w:rsidRPr="00376B4E">
        <w:rPr>
          <w:color w:val="000000" w:themeColor="text1"/>
        </w:rPr>
        <w:fldChar w:fldCharType="separate"/>
      </w:r>
      <w:r w:rsidRPr="00376B4E">
        <w:rPr>
          <w:color w:val="000000" w:themeColor="text1"/>
        </w:rPr>
        <w:t>19</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Bing Maps Mobile Asset Management NA w/o routing Per Asset Monthly Sub</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_Toc368309934 \h </w:instrText>
      </w:r>
      <w:r w:rsidRPr="00376B4E">
        <w:rPr>
          <w:color w:val="000000" w:themeColor="text1"/>
        </w:rPr>
      </w:r>
      <w:r w:rsidRPr="00376B4E">
        <w:rPr>
          <w:color w:val="000000" w:themeColor="text1"/>
        </w:rPr>
        <w:fldChar w:fldCharType="separate"/>
      </w:r>
      <w:r w:rsidRPr="00376B4E">
        <w:rPr>
          <w:color w:val="000000" w:themeColor="text1"/>
        </w:rPr>
        <w:t>19</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Bing Maps Mobile Asset Management Europe w routing Per Asset Monthly Sub</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_Toc368309935 \h </w:instrText>
      </w:r>
      <w:r w:rsidRPr="00376B4E">
        <w:rPr>
          <w:color w:val="000000" w:themeColor="text1"/>
        </w:rPr>
      </w:r>
      <w:r w:rsidRPr="00376B4E">
        <w:rPr>
          <w:color w:val="000000" w:themeColor="text1"/>
        </w:rPr>
        <w:fldChar w:fldCharType="separate"/>
      </w:r>
      <w:r w:rsidRPr="00376B4E">
        <w:rPr>
          <w:color w:val="000000" w:themeColor="text1"/>
        </w:rPr>
        <w:t>19</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Bing Maps Mobile Asset Management Europe w/o routing Per Asset Monthly Sub</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_Toc368309936 \h </w:instrText>
      </w:r>
      <w:r w:rsidRPr="00376B4E">
        <w:rPr>
          <w:color w:val="000000" w:themeColor="text1"/>
        </w:rPr>
      </w:r>
      <w:r w:rsidRPr="00376B4E">
        <w:rPr>
          <w:color w:val="000000" w:themeColor="text1"/>
        </w:rPr>
        <w:fldChar w:fldCharType="separate"/>
      </w:r>
      <w:r w:rsidRPr="00376B4E">
        <w:rPr>
          <w:color w:val="000000" w:themeColor="text1"/>
        </w:rPr>
        <w:t>19</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BizTalk</w:t>
      </w:r>
      <w:r w:rsidRPr="00376B4E">
        <w:rPr>
          <w:rFonts w:cs="Tahoma"/>
          <w:color w:val="000000" w:themeColor="text1"/>
          <w:vertAlign w:val="superscript"/>
        </w:rPr>
        <w:t>®</w:t>
      </w:r>
      <w:r w:rsidRPr="00376B4E">
        <w:rPr>
          <w:rFonts w:cs="Tahoma"/>
          <w:color w:val="000000" w:themeColor="text1"/>
        </w:rPr>
        <w:t xml:space="preserve"> Server 2013 Branch Edition</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_Toc368309937 \h </w:instrText>
      </w:r>
      <w:r w:rsidRPr="00376B4E">
        <w:rPr>
          <w:color w:val="000000" w:themeColor="text1"/>
        </w:rPr>
      </w:r>
      <w:r w:rsidRPr="00376B4E">
        <w:rPr>
          <w:color w:val="000000" w:themeColor="text1"/>
        </w:rPr>
        <w:fldChar w:fldCharType="separate"/>
      </w:r>
      <w:r w:rsidRPr="00376B4E">
        <w:rPr>
          <w:color w:val="000000" w:themeColor="text1"/>
        </w:rPr>
        <w:t>19</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BizTalk</w:t>
      </w:r>
      <w:r w:rsidRPr="00376B4E">
        <w:rPr>
          <w:rFonts w:cs="Tahoma"/>
          <w:color w:val="000000" w:themeColor="text1"/>
          <w:vertAlign w:val="superscript"/>
        </w:rPr>
        <w:t>®</w:t>
      </w:r>
      <w:r w:rsidRPr="00376B4E">
        <w:rPr>
          <w:rFonts w:cs="Tahoma"/>
          <w:color w:val="000000" w:themeColor="text1"/>
        </w:rPr>
        <w:t xml:space="preserve"> Server 2013 Enterprise Edition</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_Toc368309938 \h </w:instrText>
      </w:r>
      <w:r w:rsidRPr="00376B4E">
        <w:rPr>
          <w:color w:val="000000" w:themeColor="text1"/>
        </w:rPr>
      </w:r>
      <w:r w:rsidRPr="00376B4E">
        <w:rPr>
          <w:color w:val="000000" w:themeColor="text1"/>
        </w:rPr>
        <w:fldChar w:fldCharType="separate"/>
      </w:r>
      <w:r w:rsidRPr="00376B4E">
        <w:rPr>
          <w:color w:val="000000" w:themeColor="text1"/>
        </w:rPr>
        <w:t>19</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BizTalk</w:t>
      </w:r>
      <w:r w:rsidRPr="00376B4E">
        <w:rPr>
          <w:rFonts w:cs="Tahoma"/>
          <w:color w:val="000000" w:themeColor="text1"/>
          <w:vertAlign w:val="superscript"/>
        </w:rPr>
        <w:t>®</w:t>
      </w:r>
      <w:r w:rsidRPr="00376B4E">
        <w:rPr>
          <w:rFonts w:cs="Tahoma"/>
          <w:color w:val="000000" w:themeColor="text1"/>
        </w:rPr>
        <w:t xml:space="preserve"> Server 2013 Branch IDC</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_Toc368309939 \h </w:instrText>
      </w:r>
      <w:r w:rsidRPr="00376B4E">
        <w:rPr>
          <w:color w:val="000000" w:themeColor="text1"/>
        </w:rPr>
      </w:r>
      <w:r w:rsidRPr="00376B4E">
        <w:rPr>
          <w:color w:val="000000" w:themeColor="text1"/>
        </w:rPr>
        <w:fldChar w:fldCharType="separate"/>
      </w:r>
      <w:r w:rsidRPr="00376B4E">
        <w:rPr>
          <w:color w:val="000000" w:themeColor="text1"/>
        </w:rPr>
        <w:t>19</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BizTalk</w:t>
      </w:r>
      <w:r w:rsidRPr="00376B4E">
        <w:rPr>
          <w:rFonts w:cs="Tahoma"/>
          <w:color w:val="000000" w:themeColor="text1"/>
          <w:vertAlign w:val="superscript"/>
        </w:rPr>
        <w:t>®</w:t>
      </w:r>
      <w:r w:rsidRPr="00376B4E">
        <w:rPr>
          <w:rFonts w:cs="Tahoma"/>
          <w:color w:val="000000" w:themeColor="text1"/>
        </w:rPr>
        <w:t xml:space="preserve"> Server 2013 Standard Edition</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_Toc368309940 \h </w:instrText>
      </w:r>
      <w:r w:rsidRPr="00376B4E">
        <w:rPr>
          <w:color w:val="000000" w:themeColor="text1"/>
        </w:rPr>
      </w:r>
      <w:r w:rsidRPr="00376B4E">
        <w:rPr>
          <w:color w:val="000000" w:themeColor="text1"/>
        </w:rPr>
        <w:fldChar w:fldCharType="separate"/>
      </w:r>
      <w:r w:rsidRPr="00376B4E">
        <w:rPr>
          <w:color w:val="000000" w:themeColor="text1"/>
        </w:rPr>
        <w:t>19</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BizTalk</w:t>
      </w:r>
      <w:r w:rsidRPr="00376B4E">
        <w:rPr>
          <w:rFonts w:cs="Tahoma"/>
          <w:color w:val="000000" w:themeColor="text1"/>
          <w:vertAlign w:val="superscript"/>
        </w:rPr>
        <w:t>®</w:t>
      </w:r>
      <w:r w:rsidRPr="00376B4E">
        <w:rPr>
          <w:rFonts w:cs="Tahoma"/>
          <w:color w:val="000000" w:themeColor="text1"/>
        </w:rPr>
        <w:t xml:space="preserve"> Server 2013 Standard Edition IDC</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_Toc368309941 \h </w:instrText>
      </w:r>
      <w:r w:rsidRPr="00376B4E">
        <w:rPr>
          <w:color w:val="000000" w:themeColor="text1"/>
        </w:rPr>
      </w:r>
      <w:r w:rsidRPr="00376B4E">
        <w:rPr>
          <w:color w:val="000000" w:themeColor="text1"/>
        </w:rPr>
        <w:fldChar w:fldCharType="separate"/>
      </w:r>
      <w:r w:rsidRPr="00376B4E">
        <w:rPr>
          <w:color w:val="000000" w:themeColor="text1"/>
        </w:rPr>
        <w:t>19</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Business Intelligence Appliance 2012</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_Toc368309942 \h </w:instrText>
      </w:r>
      <w:r w:rsidRPr="00376B4E">
        <w:rPr>
          <w:color w:val="000000" w:themeColor="text1"/>
        </w:rPr>
      </w:r>
      <w:r w:rsidRPr="00376B4E">
        <w:rPr>
          <w:color w:val="000000" w:themeColor="text1"/>
        </w:rPr>
        <w:fldChar w:fldCharType="separate"/>
      </w:r>
      <w:r w:rsidRPr="00376B4E">
        <w:rPr>
          <w:color w:val="000000" w:themeColor="text1"/>
        </w:rPr>
        <w:t>19</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Core CAL Suite Bridge per Office 365 (Utente e Dispositivo)</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_Toc368309943 \h </w:instrText>
      </w:r>
      <w:r w:rsidRPr="00376B4E">
        <w:rPr>
          <w:color w:val="000000" w:themeColor="text1"/>
        </w:rPr>
      </w:r>
      <w:r w:rsidRPr="00376B4E">
        <w:rPr>
          <w:color w:val="000000" w:themeColor="text1"/>
        </w:rPr>
        <w:fldChar w:fldCharType="separate"/>
      </w:r>
      <w:r w:rsidRPr="00376B4E">
        <w:rPr>
          <w:color w:val="000000" w:themeColor="text1"/>
        </w:rPr>
        <w:t>19</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Core CAL Suite Bridge per Office 365 e Windows</w:t>
      </w:r>
      <w:r w:rsidRPr="00376B4E">
        <w:rPr>
          <w:rFonts w:cs="Tahoma"/>
          <w:color w:val="000000" w:themeColor="text1"/>
          <w:vertAlign w:val="superscript"/>
        </w:rPr>
        <w:t>®</w:t>
      </w:r>
      <w:r w:rsidRPr="00376B4E">
        <w:rPr>
          <w:rFonts w:cs="Tahoma"/>
          <w:color w:val="000000" w:themeColor="text1"/>
        </w:rPr>
        <w:t xml:space="preserve"> Intune (Utente e Dispositivo)</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_Toc368309944 \h </w:instrText>
      </w:r>
      <w:r w:rsidRPr="00376B4E">
        <w:rPr>
          <w:color w:val="000000" w:themeColor="text1"/>
        </w:rPr>
      </w:r>
      <w:r w:rsidRPr="00376B4E">
        <w:rPr>
          <w:color w:val="000000" w:themeColor="text1"/>
        </w:rPr>
        <w:fldChar w:fldCharType="separate"/>
      </w:r>
      <w:r w:rsidRPr="00376B4E">
        <w:rPr>
          <w:color w:val="000000" w:themeColor="text1"/>
        </w:rPr>
        <w:t>19</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Core CAL Bridge per Windows</w:t>
      </w:r>
      <w:r w:rsidRPr="00376B4E">
        <w:rPr>
          <w:rFonts w:cs="Tahoma"/>
          <w:color w:val="000000" w:themeColor="text1"/>
          <w:vertAlign w:val="superscript"/>
        </w:rPr>
        <w:t>®</w:t>
      </w:r>
      <w:r w:rsidRPr="00376B4E">
        <w:rPr>
          <w:rFonts w:cs="Tahoma"/>
          <w:color w:val="000000" w:themeColor="text1"/>
        </w:rPr>
        <w:t xml:space="preserve"> Intune (Utente e Dispositivo)</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_Toc368309945 \h </w:instrText>
      </w:r>
      <w:r w:rsidRPr="00376B4E">
        <w:rPr>
          <w:color w:val="000000" w:themeColor="text1"/>
        </w:rPr>
      </w:r>
      <w:r w:rsidRPr="00376B4E">
        <w:rPr>
          <w:color w:val="000000" w:themeColor="text1"/>
        </w:rPr>
        <w:fldChar w:fldCharType="separate"/>
      </w:r>
      <w:r w:rsidRPr="00376B4E">
        <w:rPr>
          <w:color w:val="000000" w:themeColor="text1"/>
        </w:rPr>
        <w:t>19</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Core CAL Suite (Utente e Dispositivo)</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_Toc368309946 \h </w:instrText>
      </w:r>
      <w:r w:rsidRPr="00376B4E">
        <w:rPr>
          <w:color w:val="000000" w:themeColor="text1"/>
        </w:rPr>
      </w:r>
      <w:r w:rsidRPr="00376B4E">
        <w:rPr>
          <w:color w:val="000000" w:themeColor="text1"/>
        </w:rPr>
        <w:fldChar w:fldCharType="separate"/>
      </w:r>
      <w:r w:rsidRPr="00376B4E">
        <w:rPr>
          <w:color w:val="000000" w:themeColor="text1"/>
        </w:rPr>
        <w:t>19</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Core Infrastructure Server Suite Standard</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_Toc368309947 \h </w:instrText>
      </w:r>
      <w:r w:rsidRPr="00376B4E">
        <w:rPr>
          <w:color w:val="000000" w:themeColor="text1"/>
        </w:rPr>
      </w:r>
      <w:r w:rsidRPr="00376B4E">
        <w:rPr>
          <w:color w:val="000000" w:themeColor="text1"/>
        </w:rPr>
        <w:fldChar w:fldCharType="separate"/>
      </w:r>
      <w:r w:rsidRPr="00376B4E">
        <w:rPr>
          <w:color w:val="000000" w:themeColor="text1"/>
        </w:rPr>
        <w:t>19</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Core Infrastructure Server Suite Enterprise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_Toc368309948 \h </w:instrText>
      </w:r>
      <w:r w:rsidRPr="00376B4E">
        <w:rPr>
          <w:color w:val="000000" w:themeColor="text1"/>
        </w:rPr>
      </w:r>
      <w:r w:rsidRPr="00376B4E">
        <w:rPr>
          <w:color w:val="000000" w:themeColor="text1"/>
        </w:rPr>
        <w:fldChar w:fldCharType="separate"/>
      </w:r>
      <w:r w:rsidRPr="00376B4E">
        <w:rPr>
          <w:color w:val="000000" w:themeColor="text1"/>
        </w:rPr>
        <w:t>19</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Core Infrastructure Server Suite Datacenter</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_Toc368309949 \h </w:instrText>
      </w:r>
      <w:r w:rsidRPr="00376B4E">
        <w:rPr>
          <w:color w:val="000000" w:themeColor="text1"/>
        </w:rPr>
      </w:r>
      <w:r w:rsidRPr="00376B4E">
        <w:rPr>
          <w:color w:val="000000" w:themeColor="text1"/>
        </w:rPr>
        <w:fldChar w:fldCharType="separate"/>
      </w:r>
      <w:r w:rsidRPr="00376B4E">
        <w:rPr>
          <w:color w:val="000000" w:themeColor="text1"/>
        </w:rPr>
        <w:t>19</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Duet Enterprise 2.0</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_Toc368309950 \h </w:instrText>
      </w:r>
      <w:r w:rsidRPr="00376B4E">
        <w:rPr>
          <w:color w:val="000000" w:themeColor="text1"/>
        </w:rPr>
      </w:r>
      <w:r w:rsidRPr="00376B4E">
        <w:rPr>
          <w:color w:val="000000" w:themeColor="text1"/>
        </w:rPr>
        <w:fldChar w:fldCharType="separate"/>
      </w:r>
      <w:r w:rsidRPr="00376B4E">
        <w:rPr>
          <w:color w:val="000000" w:themeColor="text1"/>
        </w:rPr>
        <w:t>19</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Enterprise CAL Suite Bridge per Office 365 (Utente e Dispositivo)</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_Toc368309951 \h </w:instrText>
      </w:r>
      <w:r w:rsidRPr="00376B4E">
        <w:rPr>
          <w:color w:val="000000" w:themeColor="text1"/>
        </w:rPr>
      </w:r>
      <w:r w:rsidRPr="00376B4E">
        <w:rPr>
          <w:color w:val="000000" w:themeColor="text1"/>
        </w:rPr>
        <w:fldChar w:fldCharType="separate"/>
      </w:r>
      <w:r w:rsidRPr="00376B4E">
        <w:rPr>
          <w:color w:val="000000" w:themeColor="text1"/>
        </w:rPr>
        <w:t>19</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Enterprise CAL Suite Bridge per Office 365 e Windows</w:t>
      </w:r>
      <w:r w:rsidRPr="00376B4E">
        <w:rPr>
          <w:rFonts w:cs="Tahoma"/>
          <w:color w:val="000000" w:themeColor="text1"/>
          <w:vertAlign w:val="superscript"/>
        </w:rPr>
        <w:t>®</w:t>
      </w:r>
      <w:r w:rsidRPr="00376B4E">
        <w:rPr>
          <w:rFonts w:cs="Tahoma"/>
          <w:color w:val="000000" w:themeColor="text1"/>
        </w:rPr>
        <w:t xml:space="preserve"> Intune (Utente e Dispositivo)</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_Toc368309952 \h </w:instrText>
      </w:r>
      <w:r w:rsidRPr="00376B4E">
        <w:rPr>
          <w:color w:val="000000" w:themeColor="text1"/>
        </w:rPr>
      </w:r>
      <w:r w:rsidRPr="00376B4E">
        <w:rPr>
          <w:color w:val="000000" w:themeColor="text1"/>
        </w:rPr>
        <w:fldChar w:fldCharType="separate"/>
      </w:r>
      <w:r w:rsidRPr="00376B4E">
        <w:rPr>
          <w:color w:val="000000" w:themeColor="text1"/>
        </w:rPr>
        <w:t>19</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Enterprise CAL Suite Bridge per Windows</w:t>
      </w:r>
      <w:r w:rsidRPr="00376B4E">
        <w:rPr>
          <w:rFonts w:cs="Tahoma"/>
          <w:color w:val="000000" w:themeColor="text1"/>
          <w:vertAlign w:val="superscript"/>
        </w:rPr>
        <w:t>®</w:t>
      </w:r>
      <w:r w:rsidRPr="00376B4E">
        <w:rPr>
          <w:rFonts w:cs="Tahoma"/>
          <w:color w:val="000000" w:themeColor="text1"/>
        </w:rPr>
        <w:t xml:space="preserve"> Intune (Utente e Dispositivo)</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_Toc368309953 \h </w:instrText>
      </w:r>
      <w:r w:rsidRPr="00376B4E">
        <w:rPr>
          <w:color w:val="000000" w:themeColor="text1"/>
        </w:rPr>
      </w:r>
      <w:r w:rsidRPr="00376B4E">
        <w:rPr>
          <w:color w:val="000000" w:themeColor="text1"/>
        </w:rPr>
        <w:fldChar w:fldCharType="separate"/>
      </w:r>
      <w:r w:rsidRPr="00376B4E">
        <w:rPr>
          <w:color w:val="000000" w:themeColor="text1"/>
        </w:rPr>
        <w:t>20</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Enterprise CAL Suite (Utente e Dispositivo)</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_Toc368309954 \h </w:instrText>
      </w:r>
      <w:r w:rsidRPr="00376B4E">
        <w:rPr>
          <w:color w:val="000000" w:themeColor="text1"/>
        </w:rPr>
      </w:r>
      <w:r w:rsidRPr="00376B4E">
        <w:rPr>
          <w:color w:val="000000" w:themeColor="text1"/>
        </w:rPr>
        <w:fldChar w:fldCharType="separate"/>
      </w:r>
      <w:r w:rsidRPr="00376B4E">
        <w:rPr>
          <w:color w:val="000000" w:themeColor="text1"/>
        </w:rPr>
        <w:t>20</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lastRenderedPageBreak/>
        <w:t>Enterprise CAL per Exchange 2013 con Servizi</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_Toc368309955 \h </w:instrText>
      </w:r>
      <w:r w:rsidRPr="00376B4E">
        <w:rPr>
          <w:color w:val="000000" w:themeColor="text1"/>
        </w:rPr>
      </w:r>
      <w:r w:rsidRPr="00376B4E">
        <w:rPr>
          <w:color w:val="000000" w:themeColor="text1"/>
        </w:rPr>
        <w:fldChar w:fldCharType="separate"/>
      </w:r>
      <w:r w:rsidRPr="00376B4E">
        <w:rPr>
          <w:color w:val="000000" w:themeColor="text1"/>
        </w:rPr>
        <w:t>20</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Enterprise CAL per Exchange 2013 senza Servizi</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_Toc368309956 \h </w:instrText>
      </w:r>
      <w:r w:rsidRPr="00376B4E">
        <w:rPr>
          <w:color w:val="000000" w:themeColor="text1"/>
        </w:rPr>
      </w:r>
      <w:r w:rsidRPr="00376B4E">
        <w:rPr>
          <w:color w:val="000000" w:themeColor="text1"/>
        </w:rPr>
        <w:fldChar w:fldCharType="separate"/>
      </w:r>
      <w:r w:rsidRPr="00376B4E">
        <w:rPr>
          <w:color w:val="000000" w:themeColor="text1"/>
        </w:rPr>
        <w:t>20</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Archiviazione Exchange Online per Exchange Server A (SL per Utente)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_Toc368309957 \h </w:instrText>
      </w:r>
      <w:r w:rsidRPr="00376B4E">
        <w:rPr>
          <w:color w:val="000000" w:themeColor="text1"/>
        </w:rPr>
      </w:r>
      <w:r w:rsidRPr="00376B4E">
        <w:rPr>
          <w:color w:val="000000" w:themeColor="text1"/>
        </w:rPr>
        <w:fldChar w:fldCharType="separate"/>
      </w:r>
      <w:r w:rsidRPr="00376B4E">
        <w:rPr>
          <w:color w:val="000000" w:themeColor="text1"/>
        </w:rPr>
        <w:t>20</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olor w:val="000000" w:themeColor="text1"/>
        </w:rPr>
        <w:t>Archiviazione Exchange Online per Exchange Server A (SL per Utente)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_Toc368309958 \h </w:instrText>
      </w:r>
      <w:r w:rsidRPr="00376B4E">
        <w:rPr>
          <w:color w:val="000000" w:themeColor="text1"/>
        </w:rPr>
      </w:r>
      <w:r w:rsidRPr="00376B4E">
        <w:rPr>
          <w:color w:val="000000" w:themeColor="text1"/>
        </w:rPr>
        <w:fldChar w:fldCharType="separate"/>
      </w:r>
      <w:r w:rsidRPr="00376B4E">
        <w:rPr>
          <w:color w:val="000000" w:themeColor="text1"/>
        </w:rPr>
        <w:t>20</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Exchange Hosted Archive (SL per Utente)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_Toc368309959 \h </w:instrText>
      </w:r>
      <w:r w:rsidRPr="00376B4E">
        <w:rPr>
          <w:color w:val="000000" w:themeColor="text1"/>
        </w:rPr>
      </w:r>
      <w:r w:rsidRPr="00376B4E">
        <w:rPr>
          <w:color w:val="000000" w:themeColor="text1"/>
        </w:rPr>
        <w:fldChar w:fldCharType="separate"/>
      </w:r>
      <w:r w:rsidRPr="00376B4E">
        <w:rPr>
          <w:color w:val="000000" w:themeColor="text1"/>
        </w:rPr>
        <w:t>20</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Exchange Hosted Archive Extra Storage (SL per Utente)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_Toc368309960 \h </w:instrText>
      </w:r>
      <w:r w:rsidRPr="00376B4E">
        <w:rPr>
          <w:color w:val="000000" w:themeColor="text1"/>
        </w:rPr>
      </w:r>
      <w:r w:rsidRPr="00376B4E">
        <w:rPr>
          <w:color w:val="000000" w:themeColor="text1"/>
        </w:rPr>
        <w:fldChar w:fldCharType="separate"/>
      </w:r>
      <w:r w:rsidRPr="00376B4E">
        <w:rPr>
          <w:color w:val="000000" w:themeColor="text1"/>
        </w:rPr>
        <w:t>20</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Exchange Hosted Encryption  (SL per Utente)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_Toc368309961 \h </w:instrText>
      </w:r>
      <w:r w:rsidRPr="00376B4E">
        <w:rPr>
          <w:color w:val="000000" w:themeColor="text1"/>
        </w:rPr>
      </w:r>
      <w:r w:rsidRPr="00376B4E">
        <w:rPr>
          <w:color w:val="000000" w:themeColor="text1"/>
        </w:rPr>
        <w:fldChar w:fldCharType="separate"/>
      </w:r>
      <w:r w:rsidRPr="00376B4E">
        <w:rPr>
          <w:color w:val="000000" w:themeColor="text1"/>
        </w:rPr>
        <w:t>20</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Archiviazione Exchange Online per Exchange Online A</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_Toc368309962 \h </w:instrText>
      </w:r>
      <w:r w:rsidRPr="00376B4E">
        <w:rPr>
          <w:color w:val="000000" w:themeColor="text1"/>
        </w:rPr>
      </w:r>
      <w:r w:rsidRPr="00376B4E">
        <w:rPr>
          <w:color w:val="000000" w:themeColor="text1"/>
        </w:rPr>
        <w:fldChar w:fldCharType="separate"/>
      </w:r>
      <w:r w:rsidRPr="00376B4E">
        <w:rPr>
          <w:color w:val="000000" w:themeColor="text1"/>
        </w:rPr>
        <w:t>20</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Archiviazione Exchange Online per Exchange Online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_Toc368309963 \h </w:instrText>
      </w:r>
      <w:r w:rsidRPr="00376B4E">
        <w:rPr>
          <w:color w:val="000000" w:themeColor="text1"/>
        </w:rPr>
      </w:r>
      <w:r w:rsidRPr="00376B4E">
        <w:rPr>
          <w:color w:val="000000" w:themeColor="text1"/>
        </w:rPr>
        <w:fldChar w:fldCharType="separate"/>
      </w:r>
      <w:r w:rsidRPr="00376B4E">
        <w:rPr>
          <w:color w:val="000000" w:themeColor="text1"/>
        </w:rPr>
        <w:t>20</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Chiosco Exchange Online (SL per Utente)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_Toc368309964 \h </w:instrText>
      </w:r>
      <w:r w:rsidRPr="00376B4E">
        <w:rPr>
          <w:color w:val="000000" w:themeColor="text1"/>
        </w:rPr>
      </w:r>
      <w:r w:rsidRPr="00376B4E">
        <w:rPr>
          <w:color w:val="000000" w:themeColor="text1"/>
        </w:rPr>
        <w:fldChar w:fldCharType="separate"/>
      </w:r>
      <w:r w:rsidRPr="00376B4E">
        <w:rPr>
          <w:color w:val="000000" w:themeColor="text1"/>
        </w:rPr>
        <w:t>20</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Componente Aggiuntivo di Exchange Online Piano 1 (SL per Utente)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_Toc368309965 \h </w:instrText>
      </w:r>
      <w:r w:rsidRPr="00376B4E">
        <w:rPr>
          <w:color w:val="000000" w:themeColor="text1"/>
        </w:rPr>
      </w:r>
      <w:r w:rsidRPr="00376B4E">
        <w:rPr>
          <w:color w:val="000000" w:themeColor="text1"/>
        </w:rPr>
        <w:fldChar w:fldCharType="separate"/>
      </w:r>
      <w:r w:rsidRPr="00376B4E">
        <w:rPr>
          <w:color w:val="000000" w:themeColor="text1"/>
        </w:rPr>
        <w:t>20</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Exchange Online Piano 1 (SL per Utente)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_Toc368309966 \h </w:instrText>
      </w:r>
      <w:r w:rsidRPr="00376B4E">
        <w:rPr>
          <w:color w:val="000000" w:themeColor="text1"/>
        </w:rPr>
      </w:r>
      <w:r w:rsidRPr="00376B4E">
        <w:rPr>
          <w:color w:val="000000" w:themeColor="text1"/>
        </w:rPr>
        <w:fldChar w:fldCharType="separate"/>
      </w:r>
      <w:r w:rsidRPr="00376B4E">
        <w:rPr>
          <w:color w:val="000000" w:themeColor="text1"/>
        </w:rPr>
        <w:t>20</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Exchange Online Piano 2 (SL per Utente)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_Toc368309967 \h </w:instrText>
      </w:r>
      <w:r w:rsidRPr="00376B4E">
        <w:rPr>
          <w:color w:val="000000" w:themeColor="text1"/>
        </w:rPr>
      </w:r>
      <w:r w:rsidRPr="00376B4E">
        <w:rPr>
          <w:color w:val="000000" w:themeColor="text1"/>
        </w:rPr>
        <w:fldChar w:fldCharType="separate"/>
      </w:r>
      <w:r w:rsidRPr="00376B4E">
        <w:rPr>
          <w:color w:val="000000" w:themeColor="text1"/>
        </w:rPr>
        <w:t>20</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olor w:val="000000" w:themeColor="text1"/>
        </w:rPr>
        <w:t>Exchange Online Piano 1A per Ex Allievi (SL per Utente)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_Toc368309968 \h </w:instrText>
      </w:r>
      <w:r w:rsidRPr="00376B4E">
        <w:rPr>
          <w:color w:val="000000" w:themeColor="text1"/>
        </w:rPr>
      </w:r>
      <w:r w:rsidRPr="00376B4E">
        <w:rPr>
          <w:color w:val="000000" w:themeColor="text1"/>
        </w:rPr>
        <w:fldChar w:fldCharType="separate"/>
      </w:r>
      <w:r w:rsidRPr="00376B4E">
        <w:rPr>
          <w:color w:val="000000" w:themeColor="text1"/>
        </w:rPr>
        <w:t>20</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olor w:val="000000" w:themeColor="text1"/>
        </w:rPr>
        <w:t>Exchange Online Piano 2A (SL per Utente)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_Toc368309969 \h </w:instrText>
      </w:r>
      <w:r w:rsidRPr="00376B4E">
        <w:rPr>
          <w:color w:val="000000" w:themeColor="text1"/>
        </w:rPr>
      </w:r>
      <w:r w:rsidRPr="00376B4E">
        <w:rPr>
          <w:color w:val="000000" w:themeColor="text1"/>
        </w:rPr>
        <w:fldChar w:fldCharType="separate"/>
      </w:r>
      <w:r w:rsidRPr="00376B4E">
        <w:rPr>
          <w:color w:val="000000" w:themeColor="text1"/>
        </w:rPr>
        <w:t>20</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Exchange Online Protection  (SL per Utente)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_Toc368309970 \h </w:instrText>
      </w:r>
      <w:r w:rsidRPr="00376B4E">
        <w:rPr>
          <w:color w:val="000000" w:themeColor="text1"/>
        </w:rPr>
      </w:r>
      <w:r w:rsidRPr="00376B4E">
        <w:rPr>
          <w:color w:val="000000" w:themeColor="text1"/>
        </w:rPr>
        <w:fldChar w:fldCharType="separate"/>
      </w:r>
      <w:r w:rsidRPr="00376B4E">
        <w:rPr>
          <w:color w:val="000000" w:themeColor="text1"/>
        </w:rPr>
        <w:t>20</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Exchange Server Enterprise 2013</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_Toc368309971 \h </w:instrText>
      </w:r>
      <w:r w:rsidRPr="00376B4E">
        <w:rPr>
          <w:color w:val="000000" w:themeColor="text1"/>
        </w:rPr>
      </w:r>
      <w:r w:rsidRPr="00376B4E">
        <w:rPr>
          <w:color w:val="000000" w:themeColor="text1"/>
        </w:rPr>
        <w:fldChar w:fldCharType="separate"/>
      </w:r>
      <w:r w:rsidRPr="00376B4E">
        <w:rPr>
          <w:color w:val="000000" w:themeColor="text1"/>
        </w:rPr>
        <w:t>20</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Exchange Server Standard 2013</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_Toc368309972 \h </w:instrText>
      </w:r>
      <w:r w:rsidRPr="00376B4E">
        <w:rPr>
          <w:color w:val="000000" w:themeColor="text1"/>
        </w:rPr>
      </w:r>
      <w:r w:rsidRPr="00376B4E">
        <w:rPr>
          <w:color w:val="000000" w:themeColor="text1"/>
        </w:rPr>
        <w:fldChar w:fldCharType="separate"/>
      </w:r>
      <w:r w:rsidRPr="00376B4E">
        <w:rPr>
          <w:color w:val="000000" w:themeColor="text1"/>
        </w:rPr>
        <w:t>20</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Exchange Server 2007 Standard for Small Business</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_Toc368309973 \h </w:instrText>
      </w:r>
      <w:r w:rsidRPr="00376B4E">
        <w:rPr>
          <w:color w:val="000000" w:themeColor="text1"/>
        </w:rPr>
      </w:r>
      <w:r w:rsidRPr="00376B4E">
        <w:rPr>
          <w:color w:val="000000" w:themeColor="text1"/>
        </w:rPr>
        <w:fldChar w:fldCharType="separate"/>
      </w:r>
      <w:r w:rsidRPr="00376B4E">
        <w:rPr>
          <w:color w:val="000000" w:themeColor="text1"/>
        </w:rPr>
        <w:t>20</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CAL per Exchange Server 2007 Standard for Small Business</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_Toc368309974 \h </w:instrText>
      </w:r>
      <w:r w:rsidRPr="00376B4E">
        <w:rPr>
          <w:color w:val="000000" w:themeColor="text1"/>
        </w:rPr>
      </w:r>
      <w:r w:rsidRPr="00376B4E">
        <w:rPr>
          <w:color w:val="000000" w:themeColor="text1"/>
        </w:rPr>
        <w:fldChar w:fldCharType="separate"/>
      </w:r>
      <w:r w:rsidRPr="00376B4E">
        <w:rPr>
          <w:color w:val="000000" w:themeColor="text1"/>
        </w:rPr>
        <w:t>20</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Exchange Server 2010 Standard CAL (Dispositivo e Utente)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_Toc368309975 \h </w:instrText>
      </w:r>
      <w:r w:rsidRPr="00376B4E">
        <w:rPr>
          <w:color w:val="000000" w:themeColor="text1"/>
        </w:rPr>
      </w:r>
      <w:r w:rsidRPr="00376B4E">
        <w:rPr>
          <w:color w:val="000000" w:themeColor="text1"/>
        </w:rPr>
        <w:fldChar w:fldCharType="separate"/>
      </w:r>
      <w:r w:rsidRPr="00376B4E">
        <w:rPr>
          <w:color w:val="000000" w:themeColor="text1"/>
        </w:rPr>
        <w:t>20</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Forefront Endpoint Protection</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_Toc368309976 \h </w:instrText>
      </w:r>
      <w:r w:rsidRPr="00376B4E">
        <w:rPr>
          <w:color w:val="000000" w:themeColor="text1"/>
        </w:rPr>
      </w:r>
      <w:r w:rsidRPr="00376B4E">
        <w:rPr>
          <w:color w:val="000000" w:themeColor="text1"/>
        </w:rPr>
        <w:fldChar w:fldCharType="separate"/>
      </w:r>
      <w:r w:rsidRPr="00376B4E">
        <w:rPr>
          <w:color w:val="000000" w:themeColor="text1"/>
        </w:rPr>
        <w:t>20</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CAL per Forefront Identity Manager 2010 R2 (solo Utente)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_Toc368309977 \h </w:instrText>
      </w:r>
      <w:r w:rsidRPr="00376B4E">
        <w:rPr>
          <w:color w:val="000000" w:themeColor="text1"/>
        </w:rPr>
      </w:r>
      <w:r w:rsidRPr="00376B4E">
        <w:rPr>
          <w:color w:val="000000" w:themeColor="text1"/>
        </w:rPr>
        <w:fldChar w:fldCharType="separate"/>
      </w:r>
      <w:r w:rsidRPr="00376B4E">
        <w:rPr>
          <w:color w:val="000000" w:themeColor="text1"/>
        </w:rPr>
        <w:t>20</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External Connector per Forefront Identity Manager 2010 R2</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_Toc368309978 \h </w:instrText>
      </w:r>
      <w:r w:rsidRPr="00376B4E">
        <w:rPr>
          <w:color w:val="000000" w:themeColor="text1"/>
        </w:rPr>
      </w:r>
      <w:r w:rsidRPr="00376B4E">
        <w:rPr>
          <w:color w:val="000000" w:themeColor="text1"/>
        </w:rPr>
        <w:fldChar w:fldCharType="separate"/>
      </w:r>
      <w:r w:rsidRPr="00376B4E">
        <w:rPr>
          <w:color w:val="000000" w:themeColor="text1"/>
        </w:rPr>
        <w:t>20</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Forefront Identity Manager 2010 R2 Server</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_Toc368309979 \h </w:instrText>
      </w:r>
      <w:r w:rsidRPr="00376B4E">
        <w:rPr>
          <w:color w:val="000000" w:themeColor="text1"/>
        </w:rPr>
      </w:r>
      <w:r w:rsidRPr="00376B4E">
        <w:rPr>
          <w:color w:val="000000" w:themeColor="text1"/>
        </w:rPr>
        <w:fldChar w:fldCharType="separate"/>
      </w:r>
      <w:r w:rsidRPr="00376B4E">
        <w:rPr>
          <w:color w:val="000000" w:themeColor="text1"/>
        </w:rPr>
        <w:t>20</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Forefront Identity Manager 2010 R2 - Windows Live Edition</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_Toc368309980 \h </w:instrText>
      </w:r>
      <w:r w:rsidRPr="00376B4E">
        <w:rPr>
          <w:color w:val="000000" w:themeColor="text1"/>
        </w:rPr>
      </w:r>
      <w:r w:rsidRPr="00376B4E">
        <w:rPr>
          <w:color w:val="000000" w:themeColor="text1"/>
        </w:rPr>
        <w:fldChar w:fldCharType="separate"/>
      </w:r>
      <w:r w:rsidRPr="00376B4E">
        <w:rPr>
          <w:color w:val="000000" w:themeColor="text1"/>
        </w:rPr>
        <w:t>20</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Forefront Online Protection for Exchange (SL per Dispositivo e Utente)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_Toc368309981 \h </w:instrText>
      </w:r>
      <w:r w:rsidRPr="00376B4E">
        <w:rPr>
          <w:color w:val="000000" w:themeColor="text1"/>
        </w:rPr>
      </w:r>
      <w:r w:rsidRPr="00376B4E">
        <w:rPr>
          <w:color w:val="000000" w:themeColor="text1"/>
        </w:rPr>
        <w:fldChar w:fldCharType="separate"/>
      </w:r>
      <w:r w:rsidRPr="00376B4E">
        <w:rPr>
          <w:color w:val="000000" w:themeColor="text1"/>
        </w:rPr>
        <w:t>20</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Forefront Protection 2010 for Exchange Server (SL per Dispositivo e Utente)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_Toc368309982 \h </w:instrText>
      </w:r>
      <w:r w:rsidRPr="00376B4E">
        <w:rPr>
          <w:color w:val="000000" w:themeColor="text1"/>
        </w:rPr>
      </w:r>
      <w:r w:rsidRPr="00376B4E">
        <w:rPr>
          <w:color w:val="000000" w:themeColor="text1"/>
        </w:rPr>
        <w:fldChar w:fldCharType="separate"/>
      </w:r>
      <w:r w:rsidRPr="00376B4E">
        <w:rPr>
          <w:color w:val="000000" w:themeColor="text1"/>
        </w:rPr>
        <w:t>20</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Forefront Protection Suite  (SL per Dispositivo e Utente)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_Toc368309983 \h </w:instrText>
      </w:r>
      <w:r w:rsidRPr="00376B4E">
        <w:rPr>
          <w:color w:val="000000" w:themeColor="text1"/>
        </w:rPr>
      </w:r>
      <w:r w:rsidRPr="00376B4E">
        <w:rPr>
          <w:color w:val="000000" w:themeColor="text1"/>
        </w:rPr>
        <w:fldChar w:fldCharType="separate"/>
      </w:r>
      <w:r w:rsidRPr="00376B4E">
        <w:rPr>
          <w:color w:val="000000" w:themeColor="text1"/>
        </w:rPr>
        <w:t>20</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Forefront Security for Office Communications Server  (SL per Dispositivo e Utente)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_Toc368309984 \h </w:instrText>
      </w:r>
      <w:r w:rsidRPr="00376B4E">
        <w:rPr>
          <w:color w:val="000000" w:themeColor="text1"/>
        </w:rPr>
      </w:r>
      <w:r w:rsidRPr="00376B4E">
        <w:rPr>
          <w:color w:val="000000" w:themeColor="text1"/>
        </w:rPr>
        <w:fldChar w:fldCharType="separate"/>
      </w:r>
      <w:r w:rsidRPr="00376B4E">
        <w:rPr>
          <w:color w:val="000000" w:themeColor="text1"/>
        </w:rPr>
        <w:t>20</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Forefront Protection 2010 for SharePoint (SL per Dispositivo e Utente)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_Toc368309985 \h </w:instrText>
      </w:r>
      <w:r w:rsidRPr="00376B4E">
        <w:rPr>
          <w:color w:val="000000" w:themeColor="text1"/>
        </w:rPr>
      </w:r>
      <w:r w:rsidRPr="00376B4E">
        <w:rPr>
          <w:color w:val="000000" w:themeColor="text1"/>
        </w:rPr>
        <w:fldChar w:fldCharType="separate"/>
      </w:r>
      <w:r w:rsidRPr="00376B4E">
        <w:rPr>
          <w:color w:val="000000" w:themeColor="text1"/>
        </w:rPr>
        <w:t>21</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Forefront Protection 2010 for SharePoint per Siti Internet (SL Add-on)</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_Toc368309986 \h </w:instrText>
      </w:r>
      <w:r w:rsidRPr="00376B4E">
        <w:rPr>
          <w:color w:val="000000" w:themeColor="text1"/>
        </w:rPr>
      </w:r>
      <w:r w:rsidRPr="00376B4E">
        <w:rPr>
          <w:color w:val="000000" w:themeColor="text1"/>
        </w:rPr>
        <w:fldChar w:fldCharType="separate"/>
      </w:r>
      <w:r w:rsidRPr="00376B4E">
        <w:rPr>
          <w:color w:val="000000" w:themeColor="text1"/>
        </w:rPr>
        <w:t>21</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Forefront Threat Management Gateway Web Protection Services</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_Toc368309987 \h </w:instrText>
      </w:r>
      <w:r w:rsidRPr="00376B4E">
        <w:rPr>
          <w:color w:val="000000" w:themeColor="text1"/>
        </w:rPr>
      </w:r>
      <w:r w:rsidRPr="00376B4E">
        <w:rPr>
          <w:color w:val="000000" w:themeColor="text1"/>
        </w:rPr>
        <w:fldChar w:fldCharType="separate"/>
      </w:r>
      <w:r w:rsidRPr="00376B4E">
        <w:rPr>
          <w:color w:val="000000" w:themeColor="text1"/>
        </w:rPr>
        <w:t>21</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Forefront Unified Access Gateway Server 2010</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_Toc368309988 \h </w:instrText>
      </w:r>
      <w:r w:rsidRPr="00376B4E">
        <w:rPr>
          <w:color w:val="000000" w:themeColor="text1"/>
        </w:rPr>
      </w:r>
      <w:r w:rsidRPr="00376B4E">
        <w:rPr>
          <w:color w:val="000000" w:themeColor="text1"/>
        </w:rPr>
        <w:fldChar w:fldCharType="separate"/>
      </w:r>
      <w:r w:rsidRPr="00376B4E">
        <w:rPr>
          <w:color w:val="000000" w:themeColor="text1"/>
        </w:rPr>
        <w:t>21</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External Connector per Forefront Unified Access Gateway 2010</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_Toc368309989 \h </w:instrText>
      </w:r>
      <w:r w:rsidRPr="00376B4E">
        <w:rPr>
          <w:color w:val="000000" w:themeColor="text1"/>
        </w:rPr>
      </w:r>
      <w:r w:rsidRPr="00376B4E">
        <w:rPr>
          <w:color w:val="000000" w:themeColor="text1"/>
        </w:rPr>
        <w:fldChar w:fldCharType="separate"/>
      </w:r>
      <w:r w:rsidRPr="00376B4E">
        <w:rPr>
          <w:color w:val="000000" w:themeColor="text1"/>
        </w:rPr>
        <w:t>21</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CAL per Forefront Unified  Access Gateway 2010</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_Toc368309990 \h </w:instrText>
      </w:r>
      <w:r w:rsidRPr="00376B4E">
        <w:rPr>
          <w:color w:val="000000" w:themeColor="text1"/>
        </w:rPr>
      </w:r>
      <w:r w:rsidRPr="00376B4E">
        <w:rPr>
          <w:color w:val="000000" w:themeColor="text1"/>
        </w:rPr>
        <w:fldChar w:fldCharType="separate"/>
      </w:r>
      <w:r w:rsidRPr="00376B4E">
        <w:rPr>
          <w:color w:val="000000" w:themeColor="text1"/>
        </w:rPr>
        <w:t>21</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Pacchetto di 10.000 CAL per Forefront Unified Access Gateway 2010</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_Toc368309991 \h </w:instrText>
      </w:r>
      <w:r w:rsidRPr="00376B4E">
        <w:rPr>
          <w:color w:val="000000" w:themeColor="text1"/>
        </w:rPr>
      </w:r>
      <w:r w:rsidRPr="00376B4E">
        <w:rPr>
          <w:color w:val="000000" w:themeColor="text1"/>
        </w:rPr>
        <w:fldChar w:fldCharType="separate"/>
      </w:r>
      <w:r w:rsidRPr="00376B4E">
        <w:rPr>
          <w:color w:val="000000" w:themeColor="text1"/>
        </w:rPr>
        <w:t>21</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HPC Pack 2008 R2 Enterprise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_Toc368309992 \h </w:instrText>
      </w:r>
      <w:r w:rsidRPr="00376B4E">
        <w:rPr>
          <w:color w:val="000000" w:themeColor="text1"/>
        </w:rPr>
      </w:r>
      <w:r w:rsidRPr="00376B4E">
        <w:rPr>
          <w:color w:val="000000" w:themeColor="text1"/>
        </w:rPr>
        <w:fldChar w:fldCharType="separate"/>
      </w:r>
      <w:r w:rsidRPr="00376B4E">
        <w:rPr>
          <w:color w:val="000000" w:themeColor="text1"/>
        </w:rPr>
        <w:t>21</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HPC Pack 2008 R2 per Workstation</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_Toc368309993 \h </w:instrText>
      </w:r>
      <w:r w:rsidRPr="00376B4E">
        <w:rPr>
          <w:color w:val="000000" w:themeColor="text1"/>
        </w:rPr>
      </w:r>
      <w:r w:rsidRPr="00376B4E">
        <w:rPr>
          <w:color w:val="000000" w:themeColor="text1"/>
        </w:rPr>
        <w:fldChar w:fldCharType="separate"/>
      </w:r>
      <w:r w:rsidRPr="00376B4E">
        <w:rPr>
          <w:color w:val="000000" w:themeColor="text1"/>
        </w:rPr>
        <w:t>21</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Componente Aggiuntivo di Lync Online Piano 1 (SL per Utente)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_Toc368309994 \h </w:instrText>
      </w:r>
      <w:r w:rsidRPr="00376B4E">
        <w:rPr>
          <w:color w:val="000000" w:themeColor="text1"/>
        </w:rPr>
      </w:r>
      <w:r w:rsidRPr="00376B4E">
        <w:rPr>
          <w:color w:val="000000" w:themeColor="text1"/>
        </w:rPr>
        <w:fldChar w:fldCharType="separate"/>
      </w:r>
      <w:r w:rsidRPr="00376B4E">
        <w:rPr>
          <w:color w:val="000000" w:themeColor="text1"/>
        </w:rPr>
        <w:t>21</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Lync Online Piano 1 (SL per Utente)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_Toc368309995 \h </w:instrText>
      </w:r>
      <w:r w:rsidRPr="00376B4E">
        <w:rPr>
          <w:color w:val="000000" w:themeColor="text1"/>
        </w:rPr>
      </w:r>
      <w:r w:rsidRPr="00376B4E">
        <w:rPr>
          <w:color w:val="000000" w:themeColor="text1"/>
        </w:rPr>
        <w:fldChar w:fldCharType="separate"/>
      </w:r>
      <w:r w:rsidRPr="00376B4E">
        <w:rPr>
          <w:color w:val="000000" w:themeColor="text1"/>
        </w:rPr>
        <w:t>21</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Lync Online Piano 2 (SL per Utente)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_Toc368309996 \h </w:instrText>
      </w:r>
      <w:r w:rsidRPr="00376B4E">
        <w:rPr>
          <w:color w:val="000000" w:themeColor="text1"/>
        </w:rPr>
      </w:r>
      <w:r w:rsidRPr="00376B4E">
        <w:rPr>
          <w:color w:val="000000" w:themeColor="text1"/>
        </w:rPr>
        <w:fldChar w:fldCharType="separate"/>
      </w:r>
      <w:r w:rsidRPr="00376B4E">
        <w:rPr>
          <w:color w:val="000000" w:themeColor="text1"/>
        </w:rPr>
        <w:t>21</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Lync Online Piano 3 (SL per Utente)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_Toc368309997 \h </w:instrText>
      </w:r>
      <w:r w:rsidRPr="00376B4E">
        <w:rPr>
          <w:color w:val="000000" w:themeColor="text1"/>
        </w:rPr>
      </w:r>
      <w:r w:rsidRPr="00376B4E">
        <w:rPr>
          <w:color w:val="000000" w:themeColor="text1"/>
        </w:rPr>
        <w:fldChar w:fldCharType="separate"/>
      </w:r>
      <w:r w:rsidRPr="00376B4E">
        <w:rPr>
          <w:color w:val="000000" w:themeColor="text1"/>
        </w:rPr>
        <w:t>21</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Lync Online Piano 3A (SL per Utente)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_Toc368309998 \h </w:instrText>
      </w:r>
      <w:r w:rsidRPr="00376B4E">
        <w:rPr>
          <w:color w:val="000000" w:themeColor="text1"/>
        </w:rPr>
      </w:r>
      <w:r w:rsidRPr="00376B4E">
        <w:rPr>
          <w:color w:val="000000" w:themeColor="text1"/>
        </w:rPr>
        <w:fldChar w:fldCharType="separate"/>
      </w:r>
      <w:r w:rsidRPr="00376B4E">
        <w:rPr>
          <w:color w:val="000000" w:themeColor="text1"/>
        </w:rPr>
        <w:t>21</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Lync Server 2013</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_Toc368309999 \h </w:instrText>
      </w:r>
      <w:r w:rsidRPr="00376B4E">
        <w:rPr>
          <w:color w:val="000000" w:themeColor="text1"/>
        </w:rPr>
      </w:r>
      <w:r w:rsidRPr="00376B4E">
        <w:rPr>
          <w:color w:val="000000" w:themeColor="text1"/>
        </w:rPr>
        <w:fldChar w:fldCharType="separate"/>
      </w:r>
      <w:r w:rsidRPr="00376B4E">
        <w:rPr>
          <w:color w:val="000000" w:themeColor="text1"/>
        </w:rPr>
        <w:t>21</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Enterprise CAL per Lync Server 2013</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_Toc368310000 \h </w:instrText>
      </w:r>
      <w:r w:rsidRPr="00376B4E">
        <w:rPr>
          <w:color w:val="000000" w:themeColor="text1"/>
        </w:rPr>
      </w:r>
      <w:r w:rsidRPr="00376B4E">
        <w:rPr>
          <w:color w:val="000000" w:themeColor="text1"/>
        </w:rPr>
        <w:fldChar w:fldCharType="separate"/>
      </w:r>
      <w:r w:rsidRPr="00376B4E">
        <w:rPr>
          <w:color w:val="000000" w:themeColor="text1"/>
        </w:rPr>
        <w:t>21</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Plus CAL per Lync Server 2013</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_Toc368310001 \h </w:instrText>
      </w:r>
      <w:r w:rsidRPr="00376B4E">
        <w:rPr>
          <w:color w:val="000000" w:themeColor="text1"/>
        </w:rPr>
      </w:r>
      <w:r w:rsidRPr="00376B4E">
        <w:rPr>
          <w:color w:val="000000" w:themeColor="text1"/>
        </w:rPr>
        <w:fldChar w:fldCharType="separate"/>
      </w:r>
      <w:r w:rsidRPr="00376B4E">
        <w:rPr>
          <w:color w:val="000000" w:themeColor="text1"/>
        </w:rPr>
        <w:t>21</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Standard CAL per Lync Server 2013</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_Toc368310002 \h </w:instrText>
      </w:r>
      <w:r w:rsidRPr="00376B4E">
        <w:rPr>
          <w:color w:val="000000" w:themeColor="text1"/>
        </w:rPr>
      </w:r>
      <w:r w:rsidRPr="00376B4E">
        <w:rPr>
          <w:color w:val="000000" w:themeColor="text1"/>
        </w:rPr>
        <w:fldChar w:fldCharType="separate"/>
      </w:r>
      <w:r w:rsidRPr="00376B4E">
        <w:rPr>
          <w:color w:val="000000" w:themeColor="text1"/>
        </w:rPr>
        <w:t>21</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Enterprise Additive CAL per Microsoft Dynamics AX 2012 R2 (Utente e Dispositivo)</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_Toc368310003 \h </w:instrText>
      </w:r>
      <w:r w:rsidRPr="00376B4E">
        <w:rPr>
          <w:color w:val="000000" w:themeColor="text1"/>
        </w:rPr>
      </w:r>
      <w:r w:rsidRPr="00376B4E">
        <w:rPr>
          <w:color w:val="000000" w:themeColor="text1"/>
        </w:rPr>
        <w:fldChar w:fldCharType="separate"/>
      </w:r>
      <w:r w:rsidRPr="00376B4E">
        <w:rPr>
          <w:color w:val="000000" w:themeColor="text1"/>
        </w:rPr>
        <w:t>21</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Enterprise CAL per Microsoft Dynamics AX 2012 R2 (Utente e Dispositivo)</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_Toc368310004 \h </w:instrText>
      </w:r>
      <w:r w:rsidRPr="00376B4E">
        <w:rPr>
          <w:color w:val="000000" w:themeColor="text1"/>
        </w:rPr>
      </w:r>
      <w:r w:rsidRPr="00376B4E">
        <w:rPr>
          <w:color w:val="000000" w:themeColor="text1"/>
        </w:rPr>
        <w:fldChar w:fldCharType="separate"/>
      </w:r>
      <w:r w:rsidRPr="00376B4E">
        <w:rPr>
          <w:color w:val="000000" w:themeColor="text1"/>
        </w:rPr>
        <w:t>21</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Functional Additive CAL per Microsoft Dynamics AX 2012 R2 (Utente e Dispositivo)</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_Toc368310005 \h </w:instrText>
      </w:r>
      <w:r w:rsidRPr="00376B4E">
        <w:rPr>
          <w:color w:val="000000" w:themeColor="text1"/>
        </w:rPr>
      </w:r>
      <w:r w:rsidRPr="00376B4E">
        <w:rPr>
          <w:color w:val="000000" w:themeColor="text1"/>
        </w:rPr>
        <w:fldChar w:fldCharType="separate"/>
      </w:r>
      <w:r w:rsidRPr="00376B4E">
        <w:rPr>
          <w:color w:val="000000" w:themeColor="text1"/>
        </w:rPr>
        <w:t>21</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Functional CAL per Microsoft Dynamics AX 2012 R2 (Utente e Dispositivo)</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_Toc368310006 \h </w:instrText>
      </w:r>
      <w:r w:rsidRPr="00376B4E">
        <w:rPr>
          <w:color w:val="000000" w:themeColor="text1"/>
        </w:rPr>
      </w:r>
      <w:r w:rsidRPr="00376B4E">
        <w:rPr>
          <w:color w:val="000000" w:themeColor="text1"/>
        </w:rPr>
        <w:fldChar w:fldCharType="separate"/>
      </w:r>
      <w:r w:rsidRPr="00376B4E">
        <w:rPr>
          <w:color w:val="000000" w:themeColor="text1"/>
        </w:rPr>
        <w:t>21</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Self Serve CAL per Microsoft Dynamics AX 2012 R2 (Utente e Dispositivo)</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_Toc368310007 \h </w:instrText>
      </w:r>
      <w:r w:rsidRPr="00376B4E">
        <w:rPr>
          <w:color w:val="000000" w:themeColor="text1"/>
        </w:rPr>
      </w:r>
      <w:r w:rsidRPr="00376B4E">
        <w:rPr>
          <w:color w:val="000000" w:themeColor="text1"/>
        </w:rPr>
        <w:fldChar w:fldCharType="separate"/>
      </w:r>
      <w:r w:rsidRPr="00376B4E">
        <w:rPr>
          <w:color w:val="000000" w:themeColor="text1"/>
        </w:rPr>
        <w:t>21</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Microsoft Dynamics AX 2012 R2 Server</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_Toc368310008 \h </w:instrText>
      </w:r>
      <w:r w:rsidRPr="00376B4E">
        <w:rPr>
          <w:color w:val="000000" w:themeColor="text1"/>
        </w:rPr>
      </w:r>
      <w:r w:rsidRPr="00376B4E">
        <w:rPr>
          <w:color w:val="000000" w:themeColor="text1"/>
        </w:rPr>
        <w:fldChar w:fldCharType="separate"/>
      </w:r>
      <w:r w:rsidRPr="00376B4E">
        <w:rPr>
          <w:color w:val="000000" w:themeColor="text1"/>
        </w:rPr>
        <w:t>21</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Task Additive CAL per Microsoft Dynamics AX 2012 R2 (Utente e Dispositivo)</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_Toc368310009 \h </w:instrText>
      </w:r>
      <w:r w:rsidRPr="00376B4E">
        <w:rPr>
          <w:color w:val="000000" w:themeColor="text1"/>
        </w:rPr>
      </w:r>
      <w:r w:rsidRPr="00376B4E">
        <w:rPr>
          <w:color w:val="000000" w:themeColor="text1"/>
        </w:rPr>
        <w:fldChar w:fldCharType="separate"/>
      </w:r>
      <w:r w:rsidRPr="00376B4E">
        <w:rPr>
          <w:color w:val="000000" w:themeColor="text1"/>
        </w:rPr>
        <w:t>21</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Task CAL per Microsoft Dynamics AX 2012 R2 (Utente e Dispositivo)</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_Toc368310010 \h </w:instrText>
      </w:r>
      <w:r w:rsidRPr="00376B4E">
        <w:rPr>
          <w:color w:val="000000" w:themeColor="text1"/>
        </w:rPr>
      </w:r>
      <w:r w:rsidRPr="00376B4E">
        <w:rPr>
          <w:color w:val="000000" w:themeColor="text1"/>
        </w:rPr>
        <w:fldChar w:fldCharType="separate"/>
      </w:r>
      <w:r w:rsidRPr="00376B4E">
        <w:rPr>
          <w:color w:val="000000" w:themeColor="text1"/>
        </w:rPr>
        <w:t>21</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CAL per Microsoft Dynamics CRM 2013 Basic (Utente e Dispositivo)</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_Toc368310011 \h </w:instrText>
      </w:r>
      <w:r w:rsidRPr="00376B4E">
        <w:rPr>
          <w:color w:val="000000" w:themeColor="text1"/>
        </w:rPr>
      </w:r>
      <w:r w:rsidRPr="00376B4E">
        <w:rPr>
          <w:color w:val="000000" w:themeColor="text1"/>
        </w:rPr>
        <w:fldChar w:fldCharType="separate"/>
      </w:r>
      <w:r w:rsidRPr="00376B4E">
        <w:rPr>
          <w:color w:val="000000" w:themeColor="text1"/>
        </w:rPr>
        <w:t>21</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CAL Aggiuntiva per l’Utilizzo di Microsoft Dynamics CRM 2013 Basic (Utente e Dispositivo)</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_Toc368310012 \h </w:instrText>
      </w:r>
      <w:r w:rsidRPr="00376B4E">
        <w:rPr>
          <w:color w:val="000000" w:themeColor="text1"/>
        </w:rPr>
      </w:r>
      <w:r w:rsidRPr="00376B4E">
        <w:rPr>
          <w:color w:val="000000" w:themeColor="text1"/>
        </w:rPr>
        <w:fldChar w:fldCharType="separate"/>
      </w:r>
      <w:r w:rsidRPr="00376B4E">
        <w:rPr>
          <w:color w:val="000000" w:themeColor="text1"/>
        </w:rPr>
        <w:t>21</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CAL per Microsoft Dynamics 2013 CRM Essential</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_Toc368310013 \h </w:instrText>
      </w:r>
      <w:r w:rsidRPr="00376B4E">
        <w:rPr>
          <w:color w:val="000000" w:themeColor="text1"/>
        </w:rPr>
      </w:r>
      <w:r w:rsidRPr="00376B4E">
        <w:rPr>
          <w:color w:val="000000" w:themeColor="text1"/>
        </w:rPr>
        <w:fldChar w:fldCharType="separate"/>
      </w:r>
      <w:r w:rsidRPr="00376B4E">
        <w:rPr>
          <w:color w:val="000000" w:themeColor="text1"/>
        </w:rPr>
        <w:t>21</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lastRenderedPageBreak/>
        <w:t>CAL per Microsoft Dynamics 2013 CRM Professional (Utente e Dispositivo)</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_Toc368310014 \h </w:instrText>
      </w:r>
      <w:r w:rsidRPr="00376B4E">
        <w:rPr>
          <w:color w:val="000000" w:themeColor="text1"/>
        </w:rPr>
      </w:r>
      <w:r w:rsidRPr="00376B4E">
        <w:rPr>
          <w:color w:val="000000" w:themeColor="text1"/>
        </w:rPr>
        <w:fldChar w:fldCharType="separate"/>
      </w:r>
      <w:r w:rsidRPr="00376B4E">
        <w:rPr>
          <w:color w:val="000000" w:themeColor="text1"/>
        </w:rPr>
        <w:t>21</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CAL Aggiuntiva per l’Utilizzo di Microsoft Dynamics 2013 CRM Professional (Utente e Dispositivo)</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_Toc368310015 \h </w:instrText>
      </w:r>
      <w:r w:rsidRPr="00376B4E">
        <w:rPr>
          <w:color w:val="000000" w:themeColor="text1"/>
        </w:rPr>
      </w:r>
      <w:r w:rsidRPr="00376B4E">
        <w:rPr>
          <w:color w:val="000000" w:themeColor="text1"/>
        </w:rPr>
        <w:fldChar w:fldCharType="separate"/>
      </w:r>
      <w:r w:rsidRPr="00376B4E">
        <w:rPr>
          <w:color w:val="000000" w:themeColor="text1"/>
        </w:rPr>
        <w:t>21</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Microsoft Dynamics CRM 2013 Server</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_Toc368310016 \h </w:instrText>
      </w:r>
      <w:r w:rsidRPr="00376B4E">
        <w:rPr>
          <w:color w:val="000000" w:themeColor="text1"/>
        </w:rPr>
      </w:r>
      <w:r w:rsidRPr="00376B4E">
        <w:rPr>
          <w:color w:val="000000" w:themeColor="text1"/>
        </w:rPr>
        <w:fldChar w:fldCharType="separate"/>
      </w:r>
      <w:r w:rsidRPr="00376B4E">
        <w:rPr>
          <w:color w:val="000000" w:themeColor="text1"/>
        </w:rPr>
        <w:t>21</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Microsoft Dynamics CRM Workgroup Server 2013</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_Toc368310017 \h </w:instrText>
      </w:r>
      <w:r w:rsidRPr="00376B4E">
        <w:rPr>
          <w:color w:val="000000" w:themeColor="text1"/>
        </w:rPr>
      </w:r>
      <w:r w:rsidRPr="00376B4E">
        <w:rPr>
          <w:color w:val="000000" w:themeColor="text1"/>
        </w:rPr>
        <w:fldChar w:fldCharType="separate"/>
      </w:r>
      <w:r w:rsidRPr="00376B4E">
        <w:rPr>
          <w:color w:val="000000" w:themeColor="text1"/>
        </w:rPr>
        <w:t>22</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Microsoft Dynamics CRM 2011 External Connector</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_Toc368310018 \h </w:instrText>
      </w:r>
      <w:r w:rsidRPr="00376B4E">
        <w:rPr>
          <w:color w:val="000000" w:themeColor="text1"/>
        </w:rPr>
      </w:r>
      <w:r w:rsidRPr="00376B4E">
        <w:rPr>
          <w:color w:val="000000" w:themeColor="text1"/>
        </w:rPr>
        <w:fldChar w:fldCharType="separate"/>
      </w:r>
      <w:r w:rsidRPr="00376B4E">
        <w:rPr>
          <w:color w:val="000000" w:themeColor="text1"/>
        </w:rPr>
        <w:t>22</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Microsoft Learning E-Reference Library (SL per Utente)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_Toc368310019 \h </w:instrText>
      </w:r>
      <w:r w:rsidRPr="00376B4E">
        <w:rPr>
          <w:color w:val="000000" w:themeColor="text1"/>
        </w:rPr>
      </w:r>
      <w:r w:rsidRPr="00376B4E">
        <w:rPr>
          <w:color w:val="000000" w:themeColor="text1"/>
        </w:rPr>
        <w:fldChar w:fldCharType="separate"/>
      </w:r>
      <w:r w:rsidRPr="00376B4E">
        <w:rPr>
          <w:color w:val="000000" w:themeColor="text1"/>
        </w:rPr>
        <w:t>22</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Microsoft Learning IT Academy (SL Servizi)</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_Toc368310020 \h </w:instrText>
      </w:r>
      <w:r w:rsidRPr="00376B4E">
        <w:rPr>
          <w:color w:val="000000" w:themeColor="text1"/>
        </w:rPr>
      </w:r>
      <w:r w:rsidRPr="00376B4E">
        <w:rPr>
          <w:color w:val="000000" w:themeColor="text1"/>
        </w:rPr>
        <w:fldChar w:fldCharType="separate"/>
      </w:r>
      <w:r w:rsidRPr="00376B4E">
        <w:rPr>
          <w:color w:val="000000" w:themeColor="text1"/>
        </w:rPr>
        <w:t>22</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Microsoft Learning MCP 1 Exam Vouchers (SL Servizi)</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_Toc368310021 \h </w:instrText>
      </w:r>
      <w:r w:rsidRPr="00376B4E">
        <w:rPr>
          <w:color w:val="000000" w:themeColor="text1"/>
        </w:rPr>
      </w:r>
      <w:r w:rsidRPr="00376B4E">
        <w:rPr>
          <w:color w:val="000000" w:themeColor="text1"/>
        </w:rPr>
        <w:fldChar w:fldCharType="separate"/>
      </w:r>
      <w:r w:rsidRPr="00376B4E">
        <w:rPr>
          <w:color w:val="000000" w:themeColor="text1"/>
        </w:rPr>
        <w:t>22</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Microsoft Learning MCP 30 Exam Vouchers (SL per Utente)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_Toc368310022 \h </w:instrText>
      </w:r>
      <w:r w:rsidRPr="00376B4E">
        <w:rPr>
          <w:color w:val="000000" w:themeColor="text1"/>
        </w:rPr>
      </w:r>
      <w:r w:rsidRPr="00376B4E">
        <w:rPr>
          <w:color w:val="000000" w:themeColor="text1"/>
        </w:rPr>
        <w:fldChar w:fldCharType="separate"/>
      </w:r>
      <w:r w:rsidRPr="00376B4E">
        <w:rPr>
          <w:color w:val="000000" w:themeColor="text1"/>
        </w:rPr>
        <w:t>22</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Microsoft Learning MOS 500 Exam Site License (SL Servizi)</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_Toc368310023 \h </w:instrText>
      </w:r>
      <w:r w:rsidRPr="00376B4E">
        <w:rPr>
          <w:color w:val="000000" w:themeColor="text1"/>
        </w:rPr>
      </w:r>
      <w:r w:rsidRPr="00376B4E">
        <w:rPr>
          <w:color w:val="000000" w:themeColor="text1"/>
        </w:rPr>
        <w:fldChar w:fldCharType="separate"/>
      </w:r>
      <w:r w:rsidRPr="00376B4E">
        <w:rPr>
          <w:color w:val="000000" w:themeColor="text1"/>
        </w:rPr>
        <w:t>22</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Microsoft Learning MTA 250 Exam Site License (SL Servizi)</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_Toc368310024 \h </w:instrText>
      </w:r>
      <w:r w:rsidRPr="00376B4E">
        <w:rPr>
          <w:color w:val="000000" w:themeColor="text1"/>
        </w:rPr>
      </w:r>
      <w:r w:rsidRPr="00376B4E">
        <w:rPr>
          <w:color w:val="000000" w:themeColor="text1"/>
        </w:rPr>
        <w:fldChar w:fldCharType="separate"/>
      </w:r>
      <w:r w:rsidRPr="00376B4E">
        <w:rPr>
          <w:color w:val="000000" w:themeColor="text1"/>
        </w:rPr>
        <w:t>22</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Microsoft Office Audit and Control Management Server</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_Toc368310025 \h </w:instrText>
      </w:r>
      <w:r w:rsidRPr="00376B4E">
        <w:rPr>
          <w:color w:val="000000" w:themeColor="text1"/>
        </w:rPr>
      </w:r>
      <w:r w:rsidRPr="00376B4E">
        <w:rPr>
          <w:color w:val="000000" w:themeColor="text1"/>
        </w:rPr>
        <w:fldChar w:fldCharType="separate"/>
      </w:r>
      <w:r w:rsidRPr="00376B4E">
        <w:rPr>
          <w:color w:val="000000" w:themeColor="text1"/>
        </w:rPr>
        <w:t>22</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Microsoft Translator API</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_Toc368310026 \h </w:instrText>
      </w:r>
      <w:r w:rsidRPr="00376B4E">
        <w:rPr>
          <w:color w:val="000000" w:themeColor="text1"/>
        </w:rPr>
      </w:r>
      <w:r w:rsidRPr="00376B4E">
        <w:rPr>
          <w:color w:val="000000" w:themeColor="text1"/>
        </w:rPr>
        <w:fldChar w:fldCharType="separate"/>
      </w:r>
      <w:r w:rsidRPr="00376B4E">
        <w:rPr>
          <w:color w:val="000000" w:themeColor="text1"/>
        </w:rPr>
        <w:t>22</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Office 365 Midsize Business  (SL per Utente)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_Toc368310027 \h </w:instrText>
      </w:r>
      <w:r w:rsidRPr="00376B4E">
        <w:rPr>
          <w:color w:val="000000" w:themeColor="text1"/>
        </w:rPr>
      </w:r>
      <w:r w:rsidRPr="00376B4E">
        <w:rPr>
          <w:color w:val="000000" w:themeColor="text1"/>
        </w:rPr>
        <w:fldChar w:fldCharType="separate"/>
      </w:r>
      <w:r w:rsidRPr="00376B4E">
        <w:rPr>
          <w:color w:val="000000" w:themeColor="text1"/>
        </w:rPr>
        <w:t>22</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Office 365 Education A2 (SL per Utente)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_Toc368310028 \h </w:instrText>
      </w:r>
      <w:r w:rsidRPr="00376B4E">
        <w:rPr>
          <w:color w:val="000000" w:themeColor="text1"/>
        </w:rPr>
      </w:r>
      <w:r w:rsidRPr="00376B4E">
        <w:rPr>
          <w:color w:val="000000" w:themeColor="text1"/>
        </w:rPr>
        <w:fldChar w:fldCharType="separate"/>
      </w:r>
      <w:r w:rsidRPr="00376B4E">
        <w:rPr>
          <w:color w:val="000000" w:themeColor="text1"/>
        </w:rPr>
        <w:t>22</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Office 365 Education A3 (SL per Utente)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_Toc368310029 \h </w:instrText>
      </w:r>
      <w:r w:rsidRPr="00376B4E">
        <w:rPr>
          <w:color w:val="000000" w:themeColor="text1"/>
        </w:rPr>
      </w:r>
      <w:r w:rsidRPr="00376B4E">
        <w:rPr>
          <w:color w:val="000000" w:themeColor="text1"/>
        </w:rPr>
        <w:fldChar w:fldCharType="separate"/>
      </w:r>
      <w:r w:rsidRPr="00376B4E">
        <w:rPr>
          <w:color w:val="000000" w:themeColor="text1"/>
        </w:rPr>
        <w:t>22</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Office 365 Education A4 (SL per Utente)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_Toc368310030 \h </w:instrText>
      </w:r>
      <w:r w:rsidRPr="00376B4E">
        <w:rPr>
          <w:color w:val="000000" w:themeColor="text1"/>
        </w:rPr>
      </w:r>
      <w:r w:rsidRPr="00376B4E">
        <w:rPr>
          <w:color w:val="000000" w:themeColor="text1"/>
        </w:rPr>
        <w:fldChar w:fldCharType="separate"/>
      </w:r>
      <w:r w:rsidRPr="00376B4E">
        <w:rPr>
          <w:color w:val="000000" w:themeColor="text1"/>
        </w:rPr>
        <w:t>22</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Office 365 Enterprise E3 (SL per Utente)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_Toc368310031 \h </w:instrText>
      </w:r>
      <w:r w:rsidRPr="00376B4E">
        <w:rPr>
          <w:color w:val="000000" w:themeColor="text1"/>
        </w:rPr>
      </w:r>
      <w:r w:rsidRPr="00376B4E">
        <w:rPr>
          <w:color w:val="000000" w:themeColor="text1"/>
        </w:rPr>
        <w:fldChar w:fldCharType="separate"/>
      </w:r>
      <w:r w:rsidRPr="00376B4E">
        <w:rPr>
          <w:color w:val="000000" w:themeColor="text1"/>
        </w:rPr>
        <w:t>22</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Office 365 Enterprise E4 (SL per Utente)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_Toc368310032 \h </w:instrText>
      </w:r>
      <w:r w:rsidRPr="00376B4E">
        <w:rPr>
          <w:color w:val="000000" w:themeColor="text1"/>
        </w:rPr>
      </w:r>
      <w:r w:rsidRPr="00376B4E">
        <w:rPr>
          <w:color w:val="000000" w:themeColor="text1"/>
        </w:rPr>
        <w:fldChar w:fldCharType="separate"/>
      </w:r>
      <w:r w:rsidRPr="00376B4E">
        <w:rPr>
          <w:color w:val="000000" w:themeColor="text1"/>
        </w:rPr>
        <w:t>22</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Componente Aggiuntivo di Office 365 Enterprise E1, E3, E4 (SL per Utente)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_Toc368310033 \h </w:instrText>
      </w:r>
      <w:r w:rsidRPr="00376B4E">
        <w:rPr>
          <w:color w:val="000000" w:themeColor="text1"/>
        </w:rPr>
      </w:r>
      <w:r w:rsidRPr="00376B4E">
        <w:rPr>
          <w:color w:val="000000" w:themeColor="text1"/>
        </w:rPr>
        <w:fldChar w:fldCharType="separate"/>
      </w:r>
      <w:r w:rsidRPr="00376B4E">
        <w:rPr>
          <w:color w:val="000000" w:themeColor="text1"/>
        </w:rPr>
        <w:t>22</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Office 365 Enterprise E3, E4 senza Componente Aggiuntivo di Office Pro Plus (SL per Utente)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_Toc368310034 \h </w:instrText>
      </w:r>
      <w:r w:rsidRPr="00376B4E">
        <w:rPr>
          <w:color w:val="000000" w:themeColor="text1"/>
        </w:rPr>
      </w:r>
      <w:r w:rsidRPr="00376B4E">
        <w:rPr>
          <w:color w:val="000000" w:themeColor="text1"/>
        </w:rPr>
        <w:fldChar w:fldCharType="separate"/>
      </w:r>
      <w:r w:rsidRPr="00376B4E">
        <w:rPr>
          <w:color w:val="000000" w:themeColor="text1"/>
        </w:rPr>
        <w:t>22</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Office 365 Enterprise K1 (SL per Utente)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_Toc368310035 \h </w:instrText>
      </w:r>
      <w:r w:rsidRPr="00376B4E">
        <w:rPr>
          <w:color w:val="000000" w:themeColor="text1"/>
        </w:rPr>
      </w:r>
      <w:r w:rsidRPr="00376B4E">
        <w:rPr>
          <w:color w:val="000000" w:themeColor="text1"/>
        </w:rPr>
        <w:fldChar w:fldCharType="separate"/>
      </w:r>
      <w:r w:rsidRPr="00376B4E">
        <w:rPr>
          <w:color w:val="000000" w:themeColor="text1"/>
        </w:rPr>
        <w:t>22</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Office 365 Government G1, G3, G4  (SL per Utente)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_Toc368310036 \h </w:instrText>
      </w:r>
      <w:r w:rsidRPr="00376B4E">
        <w:rPr>
          <w:color w:val="000000" w:themeColor="text1"/>
        </w:rPr>
      </w:r>
      <w:r w:rsidRPr="00376B4E">
        <w:rPr>
          <w:color w:val="000000" w:themeColor="text1"/>
        </w:rPr>
        <w:fldChar w:fldCharType="separate"/>
      </w:r>
      <w:r w:rsidRPr="00376B4E">
        <w:rPr>
          <w:color w:val="000000" w:themeColor="text1"/>
        </w:rPr>
        <w:t>22</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Componente Aggiuntivo di Office 365 Government G1, G3, G4 (SL per Utente)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_Toc368310037 \h </w:instrText>
      </w:r>
      <w:r w:rsidRPr="00376B4E">
        <w:rPr>
          <w:color w:val="000000" w:themeColor="text1"/>
        </w:rPr>
      </w:r>
      <w:r w:rsidRPr="00376B4E">
        <w:rPr>
          <w:color w:val="000000" w:themeColor="text1"/>
        </w:rPr>
        <w:fldChar w:fldCharType="separate"/>
      </w:r>
      <w:r w:rsidRPr="00376B4E">
        <w:rPr>
          <w:color w:val="000000" w:themeColor="text1"/>
        </w:rPr>
        <w:t>22</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Office 365 Government G3, G4 senza Componente Aggiuntivo di Office Pro Plus (SL per Utente)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_Toc368310038 \h </w:instrText>
      </w:r>
      <w:r w:rsidRPr="00376B4E">
        <w:rPr>
          <w:color w:val="000000" w:themeColor="text1"/>
        </w:rPr>
      </w:r>
      <w:r w:rsidRPr="00376B4E">
        <w:rPr>
          <w:color w:val="000000" w:themeColor="text1"/>
        </w:rPr>
        <w:fldChar w:fldCharType="separate"/>
      </w:r>
      <w:r w:rsidRPr="00376B4E">
        <w:rPr>
          <w:color w:val="000000" w:themeColor="text1"/>
        </w:rPr>
        <w:t>22</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Office Web Applications con SharePoint Piano 2A (SL per utente)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_Toc368310039 \h </w:instrText>
      </w:r>
      <w:r w:rsidRPr="00376B4E">
        <w:rPr>
          <w:color w:val="000000" w:themeColor="text1"/>
        </w:rPr>
      </w:r>
      <w:r w:rsidRPr="00376B4E">
        <w:rPr>
          <w:color w:val="000000" w:themeColor="text1"/>
        </w:rPr>
        <w:fldChar w:fldCharType="separate"/>
      </w:r>
      <w:r w:rsidRPr="00376B4E">
        <w:rPr>
          <w:color w:val="000000" w:themeColor="text1"/>
        </w:rPr>
        <w:t>22</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Project Online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_Toc368310040 \h </w:instrText>
      </w:r>
      <w:r w:rsidRPr="00376B4E">
        <w:rPr>
          <w:color w:val="000000" w:themeColor="text1"/>
        </w:rPr>
      </w:r>
      <w:r w:rsidRPr="00376B4E">
        <w:rPr>
          <w:color w:val="000000" w:themeColor="text1"/>
        </w:rPr>
        <w:fldChar w:fldCharType="separate"/>
      </w:r>
      <w:r w:rsidRPr="00376B4E">
        <w:rPr>
          <w:color w:val="000000" w:themeColor="text1"/>
        </w:rPr>
        <w:t>22</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Project Online A</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_Toc368310041 \h </w:instrText>
      </w:r>
      <w:r w:rsidRPr="00376B4E">
        <w:rPr>
          <w:color w:val="000000" w:themeColor="text1"/>
        </w:rPr>
      </w:r>
      <w:r w:rsidRPr="00376B4E">
        <w:rPr>
          <w:color w:val="000000" w:themeColor="text1"/>
        </w:rPr>
        <w:fldChar w:fldCharType="separate"/>
      </w:r>
      <w:r w:rsidRPr="00376B4E">
        <w:rPr>
          <w:color w:val="000000" w:themeColor="text1"/>
        </w:rPr>
        <w:t>22</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Project Server 2013</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_Toc368310042 \h </w:instrText>
      </w:r>
      <w:r w:rsidRPr="00376B4E">
        <w:rPr>
          <w:color w:val="000000" w:themeColor="text1"/>
        </w:rPr>
      </w:r>
      <w:r w:rsidRPr="00376B4E">
        <w:rPr>
          <w:color w:val="000000" w:themeColor="text1"/>
        </w:rPr>
        <w:fldChar w:fldCharType="separate"/>
      </w:r>
      <w:r w:rsidRPr="00376B4E">
        <w:rPr>
          <w:color w:val="000000" w:themeColor="text1"/>
        </w:rPr>
        <w:t>22</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CAL per Project Server 2013</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_Toc368310043 \h </w:instrText>
      </w:r>
      <w:r w:rsidRPr="00376B4E">
        <w:rPr>
          <w:color w:val="000000" w:themeColor="text1"/>
        </w:rPr>
      </w:r>
      <w:r w:rsidRPr="00376B4E">
        <w:rPr>
          <w:color w:val="000000" w:themeColor="text1"/>
        </w:rPr>
        <w:fldChar w:fldCharType="separate"/>
      </w:r>
      <w:r w:rsidRPr="00376B4E">
        <w:rPr>
          <w:color w:val="000000" w:themeColor="text1"/>
        </w:rPr>
        <w:t>22</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SharePoint™ Online Extra Storage 1 GB (SL Add-on)</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_Toc368310044 \h </w:instrText>
      </w:r>
      <w:r w:rsidRPr="00376B4E">
        <w:rPr>
          <w:color w:val="000000" w:themeColor="text1"/>
        </w:rPr>
      </w:r>
      <w:r w:rsidRPr="00376B4E">
        <w:rPr>
          <w:color w:val="000000" w:themeColor="text1"/>
        </w:rPr>
        <w:fldChar w:fldCharType="separate"/>
      </w:r>
      <w:r w:rsidRPr="00376B4E">
        <w:rPr>
          <w:color w:val="000000" w:themeColor="text1"/>
        </w:rPr>
        <w:t>22</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SharePoint™ Online Extra Storage 1 GB A (SL Add-on)</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_Toc368310045 \h </w:instrText>
      </w:r>
      <w:r w:rsidRPr="00376B4E">
        <w:rPr>
          <w:color w:val="000000" w:themeColor="text1"/>
        </w:rPr>
      </w:r>
      <w:r w:rsidRPr="00376B4E">
        <w:rPr>
          <w:color w:val="000000" w:themeColor="text1"/>
        </w:rPr>
        <w:fldChar w:fldCharType="separate"/>
      </w:r>
      <w:r w:rsidRPr="00376B4E">
        <w:rPr>
          <w:color w:val="000000" w:themeColor="text1"/>
        </w:rPr>
        <w:t>22</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Componente Aggiuntivo di SharePoint™ Online Piano 1 (SL per Utente)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_Toc368310046 \h </w:instrText>
      </w:r>
      <w:r w:rsidRPr="00376B4E">
        <w:rPr>
          <w:color w:val="000000" w:themeColor="text1"/>
        </w:rPr>
      </w:r>
      <w:r w:rsidRPr="00376B4E">
        <w:rPr>
          <w:color w:val="000000" w:themeColor="text1"/>
        </w:rPr>
        <w:fldChar w:fldCharType="separate"/>
      </w:r>
      <w:r w:rsidRPr="00376B4E">
        <w:rPr>
          <w:color w:val="000000" w:themeColor="text1"/>
        </w:rPr>
        <w:t>23</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SharePoint™ Online Piano 1  (SL per Utente)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_Toc368310047 \h </w:instrText>
      </w:r>
      <w:r w:rsidRPr="00376B4E">
        <w:rPr>
          <w:color w:val="000000" w:themeColor="text1"/>
        </w:rPr>
      </w:r>
      <w:r w:rsidRPr="00376B4E">
        <w:rPr>
          <w:color w:val="000000" w:themeColor="text1"/>
        </w:rPr>
        <w:fldChar w:fldCharType="separate"/>
      </w:r>
      <w:r w:rsidRPr="00376B4E">
        <w:rPr>
          <w:color w:val="000000" w:themeColor="text1"/>
        </w:rPr>
        <w:t>23</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SharePoint™ Online Piano 1 con Componente Aggiuntivo di Yammer  (SL per Utente)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_Toc368310048 \h </w:instrText>
      </w:r>
      <w:r w:rsidRPr="00376B4E">
        <w:rPr>
          <w:color w:val="000000" w:themeColor="text1"/>
        </w:rPr>
      </w:r>
      <w:r w:rsidRPr="00376B4E">
        <w:rPr>
          <w:color w:val="000000" w:themeColor="text1"/>
        </w:rPr>
        <w:fldChar w:fldCharType="separate"/>
      </w:r>
      <w:r w:rsidRPr="00376B4E">
        <w:rPr>
          <w:color w:val="000000" w:themeColor="text1"/>
        </w:rPr>
        <w:t>23</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SharePoint™ Online Piano 2  (SL per Utente)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_Toc368310049 \h </w:instrText>
      </w:r>
      <w:r w:rsidRPr="00376B4E">
        <w:rPr>
          <w:color w:val="000000" w:themeColor="text1"/>
        </w:rPr>
      </w:r>
      <w:r w:rsidRPr="00376B4E">
        <w:rPr>
          <w:color w:val="000000" w:themeColor="text1"/>
        </w:rPr>
        <w:fldChar w:fldCharType="separate"/>
      </w:r>
      <w:r w:rsidRPr="00376B4E">
        <w:rPr>
          <w:color w:val="000000" w:themeColor="text1"/>
        </w:rPr>
        <w:t>23</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SharePoint™ Server 2013</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_Toc368310050 \h </w:instrText>
      </w:r>
      <w:r w:rsidRPr="00376B4E">
        <w:rPr>
          <w:color w:val="000000" w:themeColor="text1"/>
        </w:rPr>
      </w:r>
      <w:r w:rsidRPr="00376B4E">
        <w:rPr>
          <w:color w:val="000000" w:themeColor="text1"/>
        </w:rPr>
        <w:fldChar w:fldCharType="separate"/>
      </w:r>
      <w:r w:rsidRPr="00376B4E">
        <w:rPr>
          <w:color w:val="000000" w:themeColor="text1"/>
        </w:rPr>
        <w:t>23</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Enterprise CAL per SharePoint™ Server 2013</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_Toc368310051 \h </w:instrText>
      </w:r>
      <w:r w:rsidRPr="00376B4E">
        <w:rPr>
          <w:color w:val="000000" w:themeColor="text1"/>
        </w:rPr>
      </w:r>
      <w:r w:rsidRPr="00376B4E">
        <w:rPr>
          <w:color w:val="000000" w:themeColor="text1"/>
        </w:rPr>
        <w:fldChar w:fldCharType="separate"/>
      </w:r>
      <w:r w:rsidRPr="00376B4E">
        <w:rPr>
          <w:color w:val="000000" w:themeColor="text1"/>
        </w:rPr>
        <w:t>23</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Standard CAL per SharePoint™ Server 2013</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_Toc368310052 \h </w:instrText>
      </w:r>
      <w:r w:rsidRPr="00376B4E">
        <w:rPr>
          <w:color w:val="000000" w:themeColor="text1"/>
        </w:rPr>
      </w:r>
      <w:r w:rsidRPr="00376B4E">
        <w:rPr>
          <w:color w:val="000000" w:themeColor="text1"/>
        </w:rPr>
        <w:fldChar w:fldCharType="separate"/>
      </w:r>
      <w:r w:rsidRPr="00376B4E">
        <w:rPr>
          <w:color w:val="000000" w:themeColor="text1"/>
        </w:rPr>
        <w:t>23</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1 Licenza per Processore per SQL Server</w:t>
      </w:r>
      <w:r w:rsidRPr="00376B4E">
        <w:rPr>
          <w:rFonts w:eastAsia="Times New Roman" w:cs="Tahoma"/>
          <w:color w:val="000000" w:themeColor="text1"/>
          <w:vertAlign w:val="superscript"/>
        </w:rPr>
        <w:t>®</w:t>
      </w:r>
      <w:r w:rsidRPr="00376B4E">
        <w:rPr>
          <w:rFonts w:cs="Tahoma"/>
          <w:color w:val="000000" w:themeColor="text1"/>
        </w:rPr>
        <w:t xml:space="preserve"> 2008 R2 Datacenter</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_Toc368310053 \h </w:instrText>
      </w:r>
      <w:r w:rsidRPr="00376B4E">
        <w:rPr>
          <w:color w:val="000000" w:themeColor="text1"/>
        </w:rPr>
      </w:r>
      <w:r w:rsidRPr="00376B4E">
        <w:rPr>
          <w:color w:val="000000" w:themeColor="text1"/>
        </w:rPr>
        <w:fldChar w:fldCharType="separate"/>
      </w:r>
      <w:r w:rsidRPr="00376B4E">
        <w:rPr>
          <w:color w:val="000000" w:themeColor="text1"/>
        </w:rPr>
        <w:t>23</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SQL Server</w:t>
      </w:r>
      <w:r w:rsidRPr="00376B4E">
        <w:rPr>
          <w:rFonts w:eastAsia="Times New Roman" w:cs="Tahoma"/>
          <w:color w:val="000000" w:themeColor="text1"/>
          <w:vertAlign w:val="superscript"/>
        </w:rPr>
        <w:t>®</w:t>
      </w:r>
      <w:r w:rsidRPr="00376B4E">
        <w:rPr>
          <w:rFonts w:cs="Tahoma"/>
          <w:color w:val="000000" w:themeColor="text1"/>
        </w:rPr>
        <w:t xml:space="preserve"> 2008 R2 Small Business</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_Toc368310054 \h </w:instrText>
      </w:r>
      <w:r w:rsidRPr="00376B4E">
        <w:rPr>
          <w:color w:val="000000" w:themeColor="text1"/>
        </w:rPr>
      </w:r>
      <w:r w:rsidRPr="00376B4E">
        <w:rPr>
          <w:color w:val="000000" w:themeColor="text1"/>
        </w:rPr>
        <w:fldChar w:fldCharType="separate"/>
      </w:r>
      <w:r w:rsidRPr="00376B4E">
        <w:rPr>
          <w:color w:val="000000" w:themeColor="text1"/>
        </w:rPr>
        <w:t>23</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Licenza CAL per SQL Server</w:t>
      </w:r>
      <w:r w:rsidRPr="00376B4E">
        <w:rPr>
          <w:rFonts w:eastAsia="Times New Roman" w:cs="Tahoma"/>
          <w:color w:val="000000" w:themeColor="text1"/>
          <w:vertAlign w:val="superscript"/>
        </w:rPr>
        <w:t>®</w:t>
      </w:r>
      <w:r w:rsidRPr="00376B4E">
        <w:rPr>
          <w:rFonts w:cs="Tahoma"/>
          <w:color w:val="000000" w:themeColor="text1"/>
        </w:rPr>
        <w:t xml:space="preserve"> 2008 R2 Small Business</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_Toc368310055 \h </w:instrText>
      </w:r>
      <w:r w:rsidRPr="00376B4E">
        <w:rPr>
          <w:color w:val="000000" w:themeColor="text1"/>
        </w:rPr>
      </w:r>
      <w:r w:rsidRPr="00376B4E">
        <w:rPr>
          <w:color w:val="000000" w:themeColor="text1"/>
        </w:rPr>
        <w:fldChar w:fldCharType="separate"/>
      </w:r>
      <w:r w:rsidRPr="00376B4E">
        <w:rPr>
          <w:color w:val="000000" w:themeColor="text1"/>
        </w:rPr>
        <w:t>23</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Licenza Per Processore per SQL Server</w:t>
      </w:r>
      <w:r w:rsidRPr="00376B4E">
        <w:rPr>
          <w:rFonts w:eastAsia="Times New Roman" w:cs="Tahoma"/>
          <w:color w:val="000000" w:themeColor="text1"/>
          <w:vertAlign w:val="superscript"/>
        </w:rPr>
        <w:t>®</w:t>
      </w:r>
      <w:r w:rsidRPr="00376B4E">
        <w:rPr>
          <w:rFonts w:cs="Tahoma"/>
          <w:color w:val="000000" w:themeColor="text1"/>
        </w:rPr>
        <w:t xml:space="preserve"> 2008 R2 Web</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_Toc368310056 \h </w:instrText>
      </w:r>
      <w:r w:rsidRPr="00376B4E">
        <w:rPr>
          <w:color w:val="000000" w:themeColor="text1"/>
        </w:rPr>
      </w:r>
      <w:r w:rsidRPr="00376B4E">
        <w:rPr>
          <w:color w:val="000000" w:themeColor="text1"/>
        </w:rPr>
        <w:fldChar w:fldCharType="separate"/>
      </w:r>
      <w:r w:rsidRPr="00376B4E">
        <w:rPr>
          <w:color w:val="000000" w:themeColor="text1"/>
        </w:rPr>
        <w:t>23</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Licenza CAL per SQL Server</w:t>
      </w:r>
      <w:r w:rsidRPr="00376B4E">
        <w:rPr>
          <w:rFonts w:eastAsia="Times New Roman" w:cs="Tahoma"/>
          <w:color w:val="000000" w:themeColor="text1"/>
          <w:vertAlign w:val="superscript"/>
        </w:rPr>
        <w:t>®</w:t>
      </w:r>
      <w:r w:rsidRPr="00376B4E">
        <w:rPr>
          <w:rFonts w:cs="Tahoma"/>
          <w:color w:val="000000" w:themeColor="text1"/>
        </w:rPr>
        <w:t xml:space="preserve"> 2008 R2 Workgroup</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_Toc368310057 \h </w:instrText>
      </w:r>
      <w:r w:rsidRPr="00376B4E">
        <w:rPr>
          <w:color w:val="000000" w:themeColor="text1"/>
        </w:rPr>
      </w:r>
      <w:r w:rsidRPr="00376B4E">
        <w:rPr>
          <w:color w:val="000000" w:themeColor="text1"/>
        </w:rPr>
        <w:fldChar w:fldCharType="separate"/>
      </w:r>
      <w:r w:rsidRPr="00376B4E">
        <w:rPr>
          <w:color w:val="000000" w:themeColor="text1"/>
        </w:rPr>
        <w:t>23</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SQL Server</w:t>
      </w:r>
      <w:r w:rsidRPr="00376B4E">
        <w:rPr>
          <w:rFonts w:eastAsia="Times New Roman" w:cs="Tahoma"/>
          <w:color w:val="000000" w:themeColor="text1"/>
          <w:vertAlign w:val="superscript"/>
        </w:rPr>
        <w:t>®</w:t>
      </w:r>
      <w:r w:rsidRPr="00376B4E">
        <w:rPr>
          <w:rFonts w:cs="Tahoma"/>
          <w:color w:val="000000" w:themeColor="text1"/>
        </w:rPr>
        <w:t xml:space="preserve"> 2008 R2 Workgroup  (5 Add On Client)</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_Toc368310058 \h </w:instrText>
      </w:r>
      <w:r w:rsidRPr="00376B4E">
        <w:rPr>
          <w:color w:val="000000" w:themeColor="text1"/>
        </w:rPr>
      </w:r>
      <w:r w:rsidRPr="00376B4E">
        <w:rPr>
          <w:color w:val="000000" w:themeColor="text1"/>
        </w:rPr>
        <w:fldChar w:fldCharType="separate"/>
      </w:r>
      <w:r w:rsidRPr="00376B4E">
        <w:rPr>
          <w:color w:val="000000" w:themeColor="text1"/>
        </w:rPr>
        <w:t>23</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1 Licenza per Processore per SQL Server</w:t>
      </w:r>
      <w:r w:rsidRPr="00376B4E">
        <w:rPr>
          <w:rFonts w:eastAsia="Times New Roman" w:cs="Tahoma"/>
          <w:color w:val="000000" w:themeColor="text1"/>
          <w:vertAlign w:val="superscript"/>
        </w:rPr>
        <w:t>®</w:t>
      </w:r>
      <w:r w:rsidRPr="00376B4E">
        <w:rPr>
          <w:rFonts w:cs="Tahoma"/>
          <w:color w:val="000000" w:themeColor="text1"/>
        </w:rPr>
        <w:t xml:space="preserve"> 2008 R2 Workgroup</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_Toc368310059 \h </w:instrText>
      </w:r>
      <w:r w:rsidRPr="00376B4E">
        <w:rPr>
          <w:color w:val="000000" w:themeColor="text1"/>
        </w:rPr>
      </w:r>
      <w:r w:rsidRPr="00376B4E">
        <w:rPr>
          <w:color w:val="000000" w:themeColor="text1"/>
        </w:rPr>
        <w:fldChar w:fldCharType="separate"/>
      </w:r>
      <w:r w:rsidRPr="00376B4E">
        <w:rPr>
          <w:color w:val="000000" w:themeColor="text1"/>
        </w:rPr>
        <w:t>23</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SQL Server</w:t>
      </w:r>
      <w:r w:rsidRPr="00376B4E">
        <w:rPr>
          <w:rFonts w:eastAsia="Times New Roman" w:cs="Tahoma"/>
          <w:color w:val="000000" w:themeColor="text1"/>
          <w:vertAlign w:val="superscript"/>
        </w:rPr>
        <w:t>®</w:t>
      </w:r>
      <w:r w:rsidRPr="00376B4E">
        <w:rPr>
          <w:rFonts w:cs="Tahoma"/>
          <w:color w:val="000000" w:themeColor="text1"/>
        </w:rPr>
        <w:t xml:space="preserve"> 2012 Business Intelligence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_Toc368310060 \h </w:instrText>
      </w:r>
      <w:r w:rsidRPr="00376B4E">
        <w:rPr>
          <w:color w:val="000000" w:themeColor="text1"/>
        </w:rPr>
      </w:r>
      <w:r w:rsidRPr="00376B4E">
        <w:rPr>
          <w:color w:val="000000" w:themeColor="text1"/>
        </w:rPr>
        <w:fldChar w:fldCharType="separate"/>
      </w:r>
      <w:r w:rsidRPr="00376B4E">
        <w:rPr>
          <w:color w:val="000000" w:themeColor="text1"/>
        </w:rPr>
        <w:t>23</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CAL per SQL Server</w:t>
      </w:r>
      <w:r w:rsidRPr="00376B4E">
        <w:rPr>
          <w:rFonts w:eastAsia="Times New Roman" w:cs="Tahoma"/>
          <w:color w:val="000000" w:themeColor="text1"/>
          <w:vertAlign w:val="superscript"/>
        </w:rPr>
        <w:t>®</w:t>
      </w:r>
      <w:r w:rsidRPr="00376B4E">
        <w:rPr>
          <w:rFonts w:cs="Tahoma"/>
          <w:color w:val="000000" w:themeColor="text1"/>
        </w:rPr>
        <w:t xml:space="preserve"> 2012 (SL per Dispositivo e Utente)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_Toc368310061 \h </w:instrText>
      </w:r>
      <w:r w:rsidRPr="00376B4E">
        <w:rPr>
          <w:color w:val="000000" w:themeColor="text1"/>
        </w:rPr>
      </w:r>
      <w:r w:rsidRPr="00376B4E">
        <w:rPr>
          <w:color w:val="000000" w:themeColor="text1"/>
        </w:rPr>
        <w:fldChar w:fldCharType="separate"/>
      </w:r>
      <w:r w:rsidRPr="00376B4E">
        <w:rPr>
          <w:color w:val="000000" w:themeColor="text1"/>
        </w:rPr>
        <w:t>23</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SQL Server</w:t>
      </w:r>
      <w:r w:rsidRPr="00376B4E">
        <w:rPr>
          <w:rFonts w:eastAsia="Times New Roman" w:cs="Tahoma"/>
          <w:color w:val="000000" w:themeColor="text1"/>
          <w:vertAlign w:val="superscript"/>
        </w:rPr>
        <w:t>®</w:t>
      </w:r>
      <w:r w:rsidRPr="00376B4E">
        <w:rPr>
          <w:rFonts w:cs="Tahoma"/>
          <w:color w:val="000000" w:themeColor="text1"/>
        </w:rPr>
        <w:t xml:space="preserve"> 2012 Developer</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_Toc368310062 \h </w:instrText>
      </w:r>
      <w:r w:rsidRPr="00376B4E">
        <w:rPr>
          <w:color w:val="000000" w:themeColor="text1"/>
        </w:rPr>
      </w:r>
      <w:r w:rsidRPr="00376B4E">
        <w:rPr>
          <w:color w:val="000000" w:themeColor="text1"/>
        </w:rPr>
        <w:fldChar w:fldCharType="separate"/>
      </w:r>
      <w:r w:rsidRPr="00376B4E">
        <w:rPr>
          <w:color w:val="000000" w:themeColor="text1"/>
        </w:rPr>
        <w:t>23</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SQL Server</w:t>
      </w:r>
      <w:r w:rsidRPr="00376B4E">
        <w:rPr>
          <w:rFonts w:eastAsia="Times New Roman" w:cs="Tahoma"/>
          <w:color w:val="000000" w:themeColor="text1"/>
          <w:vertAlign w:val="superscript"/>
        </w:rPr>
        <w:t>®</w:t>
      </w:r>
      <w:r w:rsidRPr="00376B4E">
        <w:rPr>
          <w:rFonts w:cs="Tahoma"/>
          <w:color w:val="000000" w:themeColor="text1"/>
        </w:rPr>
        <w:t xml:space="preserve"> 2012 Enterprise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_Toc368310063 \h </w:instrText>
      </w:r>
      <w:r w:rsidRPr="00376B4E">
        <w:rPr>
          <w:color w:val="000000" w:themeColor="text1"/>
        </w:rPr>
      </w:r>
      <w:r w:rsidRPr="00376B4E">
        <w:rPr>
          <w:color w:val="000000" w:themeColor="text1"/>
        </w:rPr>
        <w:fldChar w:fldCharType="separate"/>
      </w:r>
      <w:r w:rsidRPr="00376B4E">
        <w:rPr>
          <w:color w:val="000000" w:themeColor="text1"/>
        </w:rPr>
        <w:t>23</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SQL Server</w:t>
      </w:r>
      <w:r w:rsidRPr="00376B4E">
        <w:rPr>
          <w:rFonts w:eastAsia="Times New Roman" w:cs="Tahoma"/>
          <w:color w:val="000000" w:themeColor="text1"/>
          <w:vertAlign w:val="superscript"/>
        </w:rPr>
        <w:t>®</w:t>
      </w:r>
      <w:r w:rsidRPr="00376B4E">
        <w:rPr>
          <w:rFonts w:cs="Tahoma"/>
          <w:color w:val="000000" w:themeColor="text1"/>
        </w:rPr>
        <w:t xml:space="preserve"> 2012 Enterprise Core (2 Licenze Core per confezione)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_Toc368310064 \h </w:instrText>
      </w:r>
      <w:r w:rsidRPr="00376B4E">
        <w:rPr>
          <w:color w:val="000000" w:themeColor="text1"/>
        </w:rPr>
      </w:r>
      <w:r w:rsidRPr="00376B4E">
        <w:rPr>
          <w:color w:val="000000" w:themeColor="text1"/>
        </w:rPr>
        <w:fldChar w:fldCharType="separate"/>
      </w:r>
      <w:r w:rsidRPr="00376B4E">
        <w:rPr>
          <w:color w:val="000000" w:themeColor="text1"/>
        </w:rPr>
        <w:t>23</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SQL Server</w:t>
      </w:r>
      <w:r w:rsidRPr="00376B4E">
        <w:rPr>
          <w:rFonts w:eastAsia="Times New Roman" w:cs="Tahoma"/>
          <w:color w:val="000000" w:themeColor="text1"/>
          <w:vertAlign w:val="superscript"/>
        </w:rPr>
        <w:t>®</w:t>
      </w:r>
      <w:r w:rsidRPr="00376B4E">
        <w:rPr>
          <w:rFonts w:cs="Tahoma"/>
          <w:color w:val="000000" w:themeColor="text1"/>
        </w:rPr>
        <w:t xml:space="preserve"> 2012 Parallel Data Warehouse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_Toc368310065 \h </w:instrText>
      </w:r>
      <w:r w:rsidRPr="00376B4E">
        <w:rPr>
          <w:color w:val="000000" w:themeColor="text1"/>
        </w:rPr>
      </w:r>
      <w:r w:rsidRPr="00376B4E">
        <w:rPr>
          <w:color w:val="000000" w:themeColor="text1"/>
        </w:rPr>
        <w:fldChar w:fldCharType="separate"/>
      </w:r>
      <w:r w:rsidRPr="00376B4E">
        <w:rPr>
          <w:color w:val="000000" w:themeColor="text1"/>
        </w:rPr>
        <w:t>23</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SQL Server</w:t>
      </w:r>
      <w:r w:rsidRPr="00376B4E">
        <w:rPr>
          <w:rFonts w:eastAsia="Times New Roman" w:cs="Tahoma"/>
          <w:color w:val="000000" w:themeColor="text1"/>
          <w:vertAlign w:val="superscript"/>
        </w:rPr>
        <w:t>®</w:t>
      </w:r>
      <w:r w:rsidRPr="00376B4E">
        <w:rPr>
          <w:rFonts w:cs="Tahoma"/>
          <w:color w:val="000000" w:themeColor="text1"/>
        </w:rPr>
        <w:t xml:space="preserve"> 2012 Parallel Data Warehouse Developer</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_Toc368310066 \h </w:instrText>
      </w:r>
      <w:r w:rsidRPr="00376B4E">
        <w:rPr>
          <w:color w:val="000000" w:themeColor="text1"/>
        </w:rPr>
      </w:r>
      <w:r w:rsidRPr="00376B4E">
        <w:rPr>
          <w:color w:val="000000" w:themeColor="text1"/>
        </w:rPr>
        <w:fldChar w:fldCharType="separate"/>
      </w:r>
      <w:r w:rsidRPr="00376B4E">
        <w:rPr>
          <w:color w:val="000000" w:themeColor="text1"/>
        </w:rPr>
        <w:t>23</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SQL Server</w:t>
      </w:r>
      <w:r w:rsidRPr="00376B4E">
        <w:rPr>
          <w:rFonts w:eastAsia="Times New Roman" w:cs="Tahoma"/>
          <w:color w:val="000000" w:themeColor="text1"/>
          <w:vertAlign w:val="superscript"/>
        </w:rPr>
        <w:t>®</w:t>
      </w:r>
      <w:r w:rsidRPr="00376B4E">
        <w:rPr>
          <w:rFonts w:cs="Tahoma"/>
          <w:color w:val="000000" w:themeColor="text1"/>
        </w:rPr>
        <w:t xml:space="preserve"> 2012 Standard</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_Toc368310067 \h </w:instrText>
      </w:r>
      <w:r w:rsidRPr="00376B4E">
        <w:rPr>
          <w:color w:val="000000" w:themeColor="text1"/>
        </w:rPr>
      </w:r>
      <w:r w:rsidRPr="00376B4E">
        <w:rPr>
          <w:color w:val="000000" w:themeColor="text1"/>
        </w:rPr>
        <w:fldChar w:fldCharType="separate"/>
      </w:r>
      <w:r w:rsidRPr="00376B4E">
        <w:rPr>
          <w:color w:val="000000" w:themeColor="text1"/>
        </w:rPr>
        <w:t>23</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SQL Server</w:t>
      </w:r>
      <w:r w:rsidRPr="00376B4E">
        <w:rPr>
          <w:rFonts w:eastAsia="Times New Roman" w:cs="Tahoma"/>
          <w:color w:val="000000" w:themeColor="text1"/>
          <w:vertAlign w:val="superscript"/>
        </w:rPr>
        <w:t>®</w:t>
      </w:r>
      <w:r w:rsidRPr="00376B4E">
        <w:rPr>
          <w:rFonts w:cs="Tahoma"/>
          <w:color w:val="000000" w:themeColor="text1"/>
        </w:rPr>
        <w:t xml:space="preserve"> 2012 Standard Core (2 Licenze Core per confezione)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_Toc368310068 \h </w:instrText>
      </w:r>
      <w:r w:rsidRPr="00376B4E">
        <w:rPr>
          <w:color w:val="000000" w:themeColor="text1"/>
        </w:rPr>
      </w:r>
      <w:r w:rsidRPr="00376B4E">
        <w:rPr>
          <w:color w:val="000000" w:themeColor="text1"/>
        </w:rPr>
        <w:fldChar w:fldCharType="separate"/>
      </w:r>
      <w:r w:rsidRPr="00376B4E">
        <w:rPr>
          <w:color w:val="000000" w:themeColor="text1"/>
        </w:rPr>
        <w:t>23</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Licenza di Gestione Server Enterprise per System Center Configuration Manager 2007 R3</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_Toc368310069 \h </w:instrText>
      </w:r>
      <w:r w:rsidRPr="00376B4E">
        <w:rPr>
          <w:color w:val="000000" w:themeColor="text1"/>
        </w:rPr>
      </w:r>
      <w:r w:rsidRPr="00376B4E">
        <w:rPr>
          <w:color w:val="000000" w:themeColor="text1"/>
        </w:rPr>
        <w:fldChar w:fldCharType="separate"/>
      </w:r>
      <w:r w:rsidRPr="00376B4E">
        <w:rPr>
          <w:color w:val="000000" w:themeColor="text1"/>
        </w:rPr>
        <w:t>23</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Licenza di Gestione Server Standard (Standard Server ML) per System Center Configuration Manager 2007 R3</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_Toc368310070 \h </w:instrText>
      </w:r>
      <w:r w:rsidRPr="00376B4E">
        <w:rPr>
          <w:color w:val="000000" w:themeColor="text1"/>
        </w:rPr>
      </w:r>
      <w:r w:rsidRPr="00376B4E">
        <w:rPr>
          <w:color w:val="000000" w:themeColor="text1"/>
        </w:rPr>
        <w:fldChar w:fldCharType="separate"/>
      </w:r>
      <w:r w:rsidRPr="00376B4E">
        <w:rPr>
          <w:color w:val="000000" w:themeColor="text1"/>
        </w:rPr>
        <w:t>23</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Licenza di Gestione Server Enterprise per System Center Data Protection Manager 2010</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_Toc368310071 \h </w:instrText>
      </w:r>
      <w:r w:rsidRPr="00376B4E">
        <w:rPr>
          <w:color w:val="000000" w:themeColor="text1"/>
        </w:rPr>
      </w:r>
      <w:r w:rsidRPr="00376B4E">
        <w:rPr>
          <w:color w:val="000000" w:themeColor="text1"/>
        </w:rPr>
        <w:fldChar w:fldCharType="separate"/>
      </w:r>
      <w:r w:rsidRPr="00376B4E">
        <w:rPr>
          <w:color w:val="000000" w:themeColor="text1"/>
        </w:rPr>
        <w:t>23</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Licenza di Gestione Server Standard per System Center Data Protection Manager 2010</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_Toc368310072 \h </w:instrText>
      </w:r>
      <w:r w:rsidRPr="00376B4E">
        <w:rPr>
          <w:color w:val="000000" w:themeColor="text1"/>
        </w:rPr>
      </w:r>
      <w:r w:rsidRPr="00376B4E">
        <w:rPr>
          <w:color w:val="000000" w:themeColor="text1"/>
        </w:rPr>
        <w:fldChar w:fldCharType="separate"/>
      </w:r>
      <w:r w:rsidRPr="00376B4E">
        <w:rPr>
          <w:color w:val="000000" w:themeColor="text1"/>
        </w:rPr>
        <w:t>24</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lastRenderedPageBreak/>
        <w:t>System Center Essentials 2010</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_Toc368310073 \h </w:instrText>
      </w:r>
      <w:r w:rsidRPr="00376B4E">
        <w:rPr>
          <w:color w:val="000000" w:themeColor="text1"/>
        </w:rPr>
      </w:r>
      <w:r w:rsidRPr="00376B4E">
        <w:rPr>
          <w:color w:val="000000" w:themeColor="text1"/>
        </w:rPr>
        <w:fldChar w:fldCharType="separate"/>
      </w:r>
      <w:r w:rsidRPr="00376B4E">
        <w:rPr>
          <w:color w:val="000000" w:themeColor="text1"/>
        </w:rPr>
        <w:t>24</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Client ML per System Center Essentials 2010</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_Toc368310074 \h </w:instrText>
      </w:r>
      <w:r w:rsidRPr="00376B4E">
        <w:rPr>
          <w:color w:val="000000" w:themeColor="text1"/>
        </w:rPr>
      </w:r>
      <w:r w:rsidRPr="00376B4E">
        <w:rPr>
          <w:color w:val="000000" w:themeColor="text1"/>
        </w:rPr>
        <w:fldChar w:fldCharType="separate"/>
      </w:r>
      <w:r w:rsidRPr="00376B4E">
        <w:rPr>
          <w:color w:val="000000" w:themeColor="text1"/>
        </w:rPr>
        <w:t>24</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Server ML per System Center Essentials 2010</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_Toc368310075 \h </w:instrText>
      </w:r>
      <w:r w:rsidRPr="00376B4E">
        <w:rPr>
          <w:color w:val="000000" w:themeColor="text1"/>
        </w:rPr>
      </w:r>
      <w:r w:rsidRPr="00376B4E">
        <w:rPr>
          <w:color w:val="000000" w:themeColor="text1"/>
        </w:rPr>
        <w:fldChar w:fldCharType="separate"/>
      </w:r>
      <w:r w:rsidRPr="00376B4E">
        <w:rPr>
          <w:color w:val="000000" w:themeColor="text1"/>
        </w:rPr>
        <w:t>24</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System Center Essentials 2010 con Tecnologia SQL Server 2008</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_Toc368310076 \h </w:instrText>
      </w:r>
      <w:r w:rsidRPr="00376B4E">
        <w:rPr>
          <w:color w:val="000000" w:themeColor="text1"/>
        </w:rPr>
      </w:r>
      <w:r w:rsidRPr="00376B4E">
        <w:rPr>
          <w:color w:val="000000" w:themeColor="text1"/>
        </w:rPr>
        <w:fldChar w:fldCharType="separate"/>
      </w:r>
      <w:r w:rsidRPr="00376B4E">
        <w:rPr>
          <w:color w:val="000000" w:themeColor="text1"/>
        </w:rPr>
        <w:t>24</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Suite di Licenza di Gestione Client per System Center Essentials Plus 2010</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_Toc368310077 \h </w:instrText>
      </w:r>
      <w:r w:rsidRPr="00376B4E">
        <w:rPr>
          <w:color w:val="000000" w:themeColor="text1"/>
        </w:rPr>
      </w:r>
      <w:r w:rsidRPr="00376B4E">
        <w:rPr>
          <w:color w:val="000000" w:themeColor="text1"/>
        </w:rPr>
        <w:fldChar w:fldCharType="separate"/>
      </w:r>
      <w:r w:rsidRPr="00376B4E">
        <w:rPr>
          <w:color w:val="000000" w:themeColor="text1"/>
        </w:rPr>
        <w:t>24</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Licenza di Gestione Server Standard per System Center Operations Manager 2007 R2</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_Toc368310078 \h </w:instrText>
      </w:r>
      <w:r w:rsidRPr="00376B4E">
        <w:rPr>
          <w:color w:val="000000" w:themeColor="text1"/>
        </w:rPr>
      </w:r>
      <w:r w:rsidRPr="00376B4E">
        <w:rPr>
          <w:color w:val="000000" w:themeColor="text1"/>
        </w:rPr>
        <w:fldChar w:fldCharType="separate"/>
      </w:r>
      <w:r w:rsidRPr="00376B4E">
        <w:rPr>
          <w:color w:val="000000" w:themeColor="text1"/>
        </w:rPr>
        <w:t>24</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Licenza di Gestione Server Enterprise per System Center Operations Manager 2007 R2</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_Toc368310079 \h </w:instrText>
      </w:r>
      <w:r w:rsidRPr="00376B4E">
        <w:rPr>
          <w:color w:val="000000" w:themeColor="text1"/>
        </w:rPr>
      </w:r>
      <w:r w:rsidRPr="00376B4E">
        <w:rPr>
          <w:color w:val="000000" w:themeColor="text1"/>
        </w:rPr>
        <w:fldChar w:fldCharType="separate"/>
      </w:r>
      <w:r w:rsidRPr="00376B4E">
        <w:rPr>
          <w:color w:val="000000" w:themeColor="text1"/>
        </w:rPr>
        <w:t>24</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Licenza di Gestione Client per OSE per System Center Operations Manager 2007 R2</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_Toc368310080 \h </w:instrText>
      </w:r>
      <w:r w:rsidRPr="00376B4E">
        <w:rPr>
          <w:color w:val="000000" w:themeColor="text1"/>
        </w:rPr>
      </w:r>
      <w:r w:rsidRPr="00376B4E">
        <w:rPr>
          <w:color w:val="000000" w:themeColor="text1"/>
        </w:rPr>
        <w:fldChar w:fldCharType="separate"/>
      </w:r>
      <w:r w:rsidRPr="00376B4E">
        <w:rPr>
          <w:color w:val="000000" w:themeColor="text1"/>
        </w:rPr>
        <w:t>24</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Licenza di Gestione Client per Utente per System Center Operations Manager 2007 R2</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_Toc368310081 \h </w:instrText>
      </w:r>
      <w:r w:rsidRPr="00376B4E">
        <w:rPr>
          <w:color w:val="000000" w:themeColor="text1"/>
        </w:rPr>
      </w:r>
      <w:r w:rsidRPr="00376B4E">
        <w:rPr>
          <w:color w:val="000000" w:themeColor="text1"/>
        </w:rPr>
        <w:fldChar w:fldCharType="separate"/>
      </w:r>
      <w:r w:rsidRPr="00376B4E">
        <w:rPr>
          <w:color w:val="000000" w:themeColor="text1"/>
        </w:rPr>
        <w:t>24</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System Center Reporting Manager 2006</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_Toc368310082 \h </w:instrText>
      </w:r>
      <w:r w:rsidRPr="00376B4E">
        <w:rPr>
          <w:color w:val="000000" w:themeColor="text1"/>
        </w:rPr>
      </w:r>
      <w:r w:rsidRPr="00376B4E">
        <w:rPr>
          <w:color w:val="000000" w:themeColor="text1"/>
        </w:rPr>
        <w:fldChar w:fldCharType="separate"/>
      </w:r>
      <w:r w:rsidRPr="00376B4E">
        <w:rPr>
          <w:color w:val="000000" w:themeColor="text1"/>
        </w:rPr>
        <w:t>24</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System Center Server Management Suite Enterprise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_Toc368310083 \h </w:instrText>
      </w:r>
      <w:r w:rsidRPr="00376B4E">
        <w:rPr>
          <w:color w:val="000000" w:themeColor="text1"/>
        </w:rPr>
      </w:r>
      <w:r w:rsidRPr="00376B4E">
        <w:rPr>
          <w:color w:val="000000" w:themeColor="text1"/>
        </w:rPr>
        <w:fldChar w:fldCharType="separate"/>
      </w:r>
      <w:r w:rsidRPr="00376B4E">
        <w:rPr>
          <w:color w:val="000000" w:themeColor="text1"/>
        </w:rPr>
        <w:t>24</w:t>
      </w:r>
      <w:r w:rsidRPr="00376B4E">
        <w:rPr>
          <w:color w:val="000000" w:themeColor="text1"/>
        </w:rPr>
        <w:fldChar w:fldCharType="end"/>
      </w:r>
    </w:p>
    <w:p w:rsidR="00376B4E" w:rsidRPr="00376B4E" w:rsidRDefault="00376B4E">
      <w:pPr>
        <w:pStyle w:val="TOC4"/>
        <w:rPr>
          <w:rFonts w:asciiTheme="minorHAnsi" w:eastAsiaTheme="minorEastAsia" w:hAnsiTheme="minorHAnsi" w:cstheme="minorBidi"/>
          <w:noProof/>
          <w:color w:val="000000" w:themeColor="text1"/>
          <w:sz w:val="22"/>
          <w:szCs w:val="22"/>
        </w:rPr>
      </w:pPr>
      <w:r w:rsidRPr="00376B4E">
        <w:rPr>
          <w:rFonts w:cs="Tahoma"/>
          <w:noProof/>
          <w:color w:val="000000" w:themeColor="text1"/>
        </w:rPr>
        <w:t>System Center Server Management Suite Datacenter</w:t>
      </w:r>
      <w:r w:rsidRPr="00376B4E">
        <w:rPr>
          <w:noProof/>
          <w:color w:val="000000" w:themeColor="text1"/>
        </w:rPr>
        <w:tab/>
      </w:r>
      <w:r w:rsidRPr="00376B4E">
        <w:rPr>
          <w:noProof/>
          <w:color w:val="000000" w:themeColor="text1"/>
        </w:rPr>
        <w:fldChar w:fldCharType="begin"/>
      </w:r>
      <w:r w:rsidRPr="00376B4E">
        <w:rPr>
          <w:noProof/>
          <w:color w:val="000000" w:themeColor="text1"/>
        </w:rPr>
        <w:instrText xml:space="preserve"> PAGEREF _Toc368310084 \h </w:instrText>
      </w:r>
      <w:r w:rsidRPr="00376B4E">
        <w:rPr>
          <w:noProof/>
          <w:color w:val="000000" w:themeColor="text1"/>
        </w:rPr>
      </w:r>
      <w:r w:rsidRPr="00376B4E">
        <w:rPr>
          <w:noProof/>
          <w:color w:val="000000" w:themeColor="text1"/>
        </w:rPr>
        <w:fldChar w:fldCharType="separate"/>
      </w:r>
      <w:r w:rsidRPr="00376B4E">
        <w:rPr>
          <w:noProof/>
          <w:color w:val="000000" w:themeColor="text1"/>
        </w:rPr>
        <w:t>24</w:t>
      </w:r>
      <w:r w:rsidRPr="00376B4E">
        <w:rPr>
          <w:noProof/>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Licenza di Gestione Client (Client ML) per OSE per System Center Service Manager 2010</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_Toc368310085 \h </w:instrText>
      </w:r>
      <w:r w:rsidRPr="00376B4E">
        <w:rPr>
          <w:color w:val="000000" w:themeColor="text1"/>
        </w:rPr>
      </w:r>
      <w:r w:rsidRPr="00376B4E">
        <w:rPr>
          <w:color w:val="000000" w:themeColor="text1"/>
        </w:rPr>
        <w:fldChar w:fldCharType="separate"/>
      </w:r>
      <w:r w:rsidRPr="00376B4E">
        <w:rPr>
          <w:color w:val="000000" w:themeColor="text1"/>
        </w:rPr>
        <w:t>24</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Licenza di Gestione Client (Client ML) per Utente per System Center Service Manager 2010</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_Toc368310086 \h </w:instrText>
      </w:r>
      <w:r w:rsidRPr="00376B4E">
        <w:rPr>
          <w:color w:val="000000" w:themeColor="text1"/>
        </w:rPr>
      </w:r>
      <w:r w:rsidRPr="00376B4E">
        <w:rPr>
          <w:color w:val="000000" w:themeColor="text1"/>
        </w:rPr>
        <w:fldChar w:fldCharType="separate"/>
      </w:r>
      <w:r w:rsidRPr="00376B4E">
        <w:rPr>
          <w:color w:val="000000" w:themeColor="text1"/>
        </w:rPr>
        <w:t>24</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olor w:val="000000" w:themeColor="text1"/>
        </w:rPr>
        <w:t>Licenza di Gestione Server (Server ML) per OSE per System Center Service Manager 2010</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_Toc368310087 \h </w:instrText>
      </w:r>
      <w:r w:rsidRPr="00376B4E">
        <w:rPr>
          <w:color w:val="000000" w:themeColor="text1"/>
        </w:rPr>
      </w:r>
      <w:r w:rsidRPr="00376B4E">
        <w:rPr>
          <w:color w:val="000000" w:themeColor="text1"/>
        </w:rPr>
        <w:fldChar w:fldCharType="separate"/>
      </w:r>
      <w:r w:rsidRPr="00376B4E">
        <w:rPr>
          <w:color w:val="000000" w:themeColor="text1"/>
        </w:rPr>
        <w:t>24</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Licenza di Gestione Client per OSE per System Center Virtual Machine Manager 2008 R2</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_Toc368310088 \h </w:instrText>
      </w:r>
      <w:r w:rsidRPr="00376B4E">
        <w:rPr>
          <w:color w:val="000000" w:themeColor="text1"/>
        </w:rPr>
      </w:r>
      <w:r w:rsidRPr="00376B4E">
        <w:rPr>
          <w:color w:val="000000" w:themeColor="text1"/>
        </w:rPr>
        <w:fldChar w:fldCharType="separate"/>
      </w:r>
      <w:r w:rsidRPr="00376B4E">
        <w:rPr>
          <w:color w:val="000000" w:themeColor="text1"/>
        </w:rPr>
        <w:t>24</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Licenza di Gestione Client per Utente per System Center Virtual Machine Manager 2008 R2</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_Toc368310089 \h </w:instrText>
      </w:r>
      <w:r w:rsidRPr="00376B4E">
        <w:rPr>
          <w:color w:val="000000" w:themeColor="text1"/>
        </w:rPr>
      </w:r>
      <w:r w:rsidRPr="00376B4E">
        <w:rPr>
          <w:color w:val="000000" w:themeColor="text1"/>
        </w:rPr>
        <w:fldChar w:fldCharType="separate"/>
      </w:r>
      <w:r w:rsidRPr="00376B4E">
        <w:rPr>
          <w:color w:val="000000" w:themeColor="text1"/>
        </w:rPr>
        <w:t>24</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Licenza di Gestione Server per System Center Virtual Machine Manager 2008 R2 Enterprise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_Toc368310090 \h </w:instrText>
      </w:r>
      <w:r w:rsidRPr="00376B4E">
        <w:rPr>
          <w:color w:val="000000" w:themeColor="text1"/>
        </w:rPr>
      </w:r>
      <w:r w:rsidRPr="00376B4E">
        <w:rPr>
          <w:color w:val="000000" w:themeColor="text1"/>
        </w:rPr>
        <w:fldChar w:fldCharType="separate"/>
      </w:r>
      <w:r w:rsidRPr="00376B4E">
        <w:rPr>
          <w:color w:val="000000" w:themeColor="text1"/>
        </w:rPr>
        <w:t>24</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System Center 2012 Client Management Suite (Client ML) per OSE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_Toc368310091 \h </w:instrText>
      </w:r>
      <w:r w:rsidRPr="00376B4E">
        <w:rPr>
          <w:color w:val="000000" w:themeColor="text1"/>
        </w:rPr>
      </w:r>
      <w:r w:rsidRPr="00376B4E">
        <w:rPr>
          <w:color w:val="000000" w:themeColor="text1"/>
        </w:rPr>
        <w:fldChar w:fldCharType="separate"/>
      </w:r>
      <w:r w:rsidRPr="00376B4E">
        <w:rPr>
          <w:color w:val="000000" w:themeColor="text1"/>
        </w:rPr>
        <w:t>24</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System Center 2012 Client Management Suite (Client ML) per Utente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_Toc368310092 \h </w:instrText>
      </w:r>
      <w:r w:rsidRPr="00376B4E">
        <w:rPr>
          <w:color w:val="000000" w:themeColor="text1"/>
        </w:rPr>
      </w:r>
      <w:r w:rsidRPr="00376B4E">
        <w:rPr>
          <w:color w:val="000000" w:themeColor="text1"/>
        </w:rPr>
        <w:fldChar w:fldCharType="separate"/>
      </w:r>
      <w:r w:rsidRPr="00376B4E">
        <w:rPr>
          <w:color w:val="000000" w:themeColor="text1"/>
        </w:rPr>
        <w:t>24</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Licenza di Gestione Client (Client ML) per System Center 2012 Configuration Manager (Solo Studenti)</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_Toc368310093 \h </w:instrText>
      </w:r>
      <w:r w:rsidRPr="00376B4E">
        <w:rPr>
          <w:color w:val="000000" w:themeColor="text1"/>
        </w:rPr>
      </w:r>
      <w:r w:rsidRPr="00376B4E">
        <w:rPr>
          <w:color w:val="000000" w:themeColor="text1"/>
        </w:rPr>
        <w:fldChar w:fldCharType="separate"/>
      </w:r>
      <w:r w:rsidRPr="00376B4E">
        <w:rPr>
          <w:color w:val="000000" w:themeColor="text1"/>
        </w:rPr>
        <w:t>24</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Licenza di Gestione Client per OSE per System Center 2012 Configuration Manager</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_Toc368310094 \h </w:instrText>
      </w:r>
      <w:r w:rsidRPr="00376B4E">
        <w:rPr>
          <w:color w:val="000000" w:themeColor="text1"/>
        </w:rPr>
      </w:r>
      <w:r w:rsidRPr="00376B4E">
        <w:rPr>
          <w:color w:val="000000" w:themeColor="text1"/>
        </w:rPr>
        <w:fldChar w:fldCharType="separate"/>
      </w:r>
      <w:r w:rsidRPr="00376B4E">
        <w:rPr>
          <w:color w:val="000000" w:themeColor="text1"/>
        </w:rPr>
        <w:t>25</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Licenza di Gestione Client per Utente per System Center 2012 Configuration Manager</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_Toc368310095 \h </w:instrText>
      </w:r>
      <w:r w:rsidRPr="00376B4E">
        <w:rPr>
          <w:color w:val="000000" w:themeColor="text1"/>
        </w:rPr>
      </w:r>
      <w:r w:rsidRPr="00376B4E">
        <w:rPr>
          <w:color w:val="000000" w:themeColor="text1"/>
        </w:rPr>
        <w:fldChar w:fldCharType="separate"/>
      </w:r>
      <w:r w:rsidRPr="00376B4E">
        <w:rPr>
          <w:color w:val="000000" w:themeColor="text1"/>
        </w:rPr>
        <w:t>25</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Licenza di Gestione Server per System Center 2012 Datacenter (2 processori)</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_Toc368310096 \h </w:instrText>
      </w:r>
      <w:r w:rsidRPr="00376B4E">
        <w:rPr>
          <w:color w:val="000000" w:themeColor="text1"/>
        </w:rPr>
      </w:r>
      <w:r w:rsidRPr="00376B4E">
        <w:rPr>
          <w:color w:val="000000" w:themeColor="text1"/>
        </w:rPr>
        <w:fldChar w:fldCharType="separate"/>
      </w:r>
      <w:r w:rsidRPr="00376B4E">
        <w:rPr>
          <w:color w:val="000000" w:themeColor="text1"/>
        </w:rPr>
        <w:t>25</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System Center 2012 Endpoint Protection</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_Toc368310097 \h </w:instrText>
      </w:r>
      <w:r w:rsidRPr="00376B4E">
        <w:rPr>
          <w:color w:val="000000" w:themeColor="text1"/>
        </w:rPr>
      </w:r>
      <w:r w:rsidRPr="00376B4E">
        <w:rPr>
          <w:color w:val="000000" w:themeColor="text1"/>
        </w:rPr>
        <w:fldChar w:fldCharType="separate"/>
      </w:r>
      <w:r w:rsidRPr="00376B4E">
        <w:rPr>
          <w:color w:val="000000" w:themeColor="text1"/>
        </w:rPr>
        <w:t>25</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Licenza di Gestione Server Standard per System Center 2012 (2 processori)</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_Toc368310098 \h </w:instrText>
      </w:r>
      <w:r w:rsidRPr="00376B4E">
        <w:rPr>
          <w:color w:val="000000" w:themeColor="text1"/>
        </w:rPr>
      </w:r>
      <w:r w:rsidRPr="00376B4E">
        <w:rPr>
          <w:color w:val="000000" w:themeColor="text1"/>
        </w:rPr>
        <w:fldChar w:fldCharType="separate"/>
      </w:r>
      <w:r w:rsidRPr="00376B4E">
        <w:rPr>
          <w:color w:val="000000" w:themeColor="text1"/>
        </w:rPr>
        <w:t>25</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VDI Suite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_Toc368310099 \h </w:instrText>
      </w:r>
      <w:r w:rsidRPr="00376B4E">
        <w:rPr>
          <w:color w:val="000000" w:themeColor="text1"/>
        </w:rPr>
      </w:r>
      <w:r w:rsidRPr="00376B4E">
        <w:rPr>
          <w:color w:val="000000" w:themeColor="text1"/>
        </w:rPr>
        <w:fldChar w:fldCharType="separate"/>
      </w:r>
      <w:r w:rsidRPr="00376B4E">
        <w:rPr>
          <w:color w:val="000000" w:themeColor="text1"/>
        </w:rPr>
        <w:t>25</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VDI Suite con MDOP</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_Toc368310100 \h </w:instrText>
      </w:r>
      <w:r w:rsidRPr="00376B4E">
        <w:rPr>
          <w:color w:val="000000" w:themeColor="text1"/>
        </w:rPr>
      </w:r>
      <w:r w:rsidRPr="00376B4E">
        <w:rPr>
          <w:color w:val="000000" w:themeColor="text1"/>
        </w:rPr>
        <w:fldChar w:fldCharType="separate"/>
      </w:r>
      <w:r w:rsidRPr="00376B4E">
        <w:rPr>
          <w:color w:val="000000" w:themeColor="text1"/>
        </w:rPr>
        <w:t>25</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VDI Standard Suite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_Toc368310101 \h </w:instrText>
      </w:r>
      <w:r w:rsidRPr="00376B4E">
        <w:rPr>
          <w:color w:val="000000" w:themeColor="text1"/>
        </w:rPr>
      </w:r>
      <w:r w:rsidRPr="00376B4E">
        <w:rPr>
          <w:color w:val="000000" w:themeColor="text1"/>
        </w:rPr>
        <w:fldChar w:fldCharType="separate"/>
      </w:r>
      <w:r w:rsidRPr="00376B4E">
        <w:rPr>
          <w:color w:val="000000" w:themeColor="text1"/>
        </w:rPr>
        <w:t>25</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VDI Standard Suite con MDOP</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_Toc368310102 \h </w:instrText>
      </w:r>
      <w:r w:rsidRPr="00376B4E">
        <w:rPr>
          <w:color w:val="000000" w:themeColor="text1"/>
        </w:rPr>
      </w:r>
      <w:r w:rsidRPr="00376B4E">
        <w:rPr>
          <w:color w:val="000000" w:themeColor="text1"/>
        </w:rPr>
        <w:fldChar w:fldCharType="separate"/>
      </w:r>
      <w:r w:rsidRPr="00376B4E">
        <w:rPr>
          <w:color w:val="000000" w:themeColor="text1"/>
        </w:rPr>
        <w:t>25</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VDI Premium Suite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_Toc368310103 \h </w:instrText>
      </w:r>
      <w:r w:rsidRPr="00376B4E">
        <w:rPr>
          <w:color w:val="000000" w:themeColor="text1"/>
        </w:rPr>
      </w:r>
      <w:r w:rsidRPr="00376B4E">
        <w:rPr>
          <w:color w:val="000000" w:themeColor="text1"/>
        </w:rPr>
        <w:fldChar w:fldCharType="separate"/>
      </w:r>
      <w:r w:rsidRPr="00376B4E">
        <w:rPr>
          <w:color w:val="000000" w:themeColor="text1"/>
        </w:rPr>
        <w:t>25</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VDI Premium Suite con MDOP</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_Toc368310104 \h </w:instrText>
      </w:r>
      <w:r w:rsidRPr="00376B4E">
        <w:rPr>
          <w:color w:val="000000" w:themeColor="text1"/>
        </w:rPr>
      </w:r>
      <w:r w:rsidRPr="00376B4E">
        <w:rPr>
          <w:color w:val="000000" w:themeColor="text1"/>
        </w:rPr>
        <w:fldChar w:fldCharType="separate"/>
      </w:r>
      <w:r w:rsidRPr="00376B4E">
        <w:rPr>
          <w:color w:val="000000" w:themeColor="text1"/>
        </w:rPr>
        <w:t>25</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Virtual Server 2005 R2 Enterprise Edition</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_Toc368310105 \h </w:instrText>
      </w:r>
      <w:r w:rsidRPr="00376B4E">
        <w:rPr>
          <w:color w:val="000000" w:themeColor="text1"/>
        </w:rPr>
      </w:r>
      <w:r w:rsidRPr="00376B4E">
        <w:rPr>
          <w:color w:val="000000" w:themeColor="text1"/>
        </w:rPr>
        <w:fldChar w:fldCharType="separate"/>
      </w:r>
      <w:r w:rsidRPr="00376B4E">
        <w:rPr>
          <w:color w:val="000000" w:themeColor="text1"/>
        </w:rPr>
        <w:t>25</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Visual Studio</w:t>
      </w:r>
      <w:r w:rsidRPr="00376B4E">
        <w:rPr>
          <w:rFonts w:eastAsia="Times New Roman" w:cs="Tahoma"/>
          <w:color w:val="000000" w:themeColor="text1"/>
          <w:vertAlign w:val="superscript"/>
        </w:rPr>
        <w:t>®</w:t>
      </w:r>
      <w:r w:rsidRPr="00376B4E">
        <w:rPr>
          <w:rFonts w:cs="Tahoma"/>
          <w:color w:val="000000" w:themeColor="text1"/>
        </w:rPr>
        <w:t xml:space="preserve"> Team Foundation Server 2012 con Tecnologia SQL Server 2012</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_Toc368310106 \h </w:instrText>
      </w:r>
      <w:r w:rsidRPr="00376B4E">
        <w:rPr>
          <w:color w:val="000000" w:themeColor="text1"/>
        </w:rPr>
      </w:r>
      <w:r w:rsidRPr="00376B4E">
        <w:rPr>
          <w:color w:val="000000" w:themeColor="text1"/>
        </w:rPr>
        <w:fldChar w:fldCharType="separate"/>
      </w:r>
      <w:r w:rsidRPr="00376B4E">
        <w:rPr>
          <w:color w:val="000000" w:themeColor="text1"/>
        </w:rPr>
        <w:t>25</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CAL per Dispositivo per Visual Studio</w:t>
      </w:r>
      <w:r w:rsidRPr="00376B4E">
        <w:rPr>
          <w:rFonts w:cs="Tahoma"/>
          <w:color w:val="000000" w:themeColor="text1"/>
          <w:vertAlign w:val="superscript"/>
        </w:rPr>
        <w:t>®</w:t>
      </w:r>
      <w:r w:rsidRPr="00376B4E">
        <w:rPr>
          <w:rFonts w:cs="Tahoma"/>
          <w:color w:val="000000" w:themeColor="text1"/>
        </w:rPr>
        <w:t xml:space="preserve"> Team Foundation Server 2012</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_Toc368310107 \h </w:instrText>
      </w:r>
      <w:r w:rsidRPr="00376B4E">
        <w:rPr>
          <w:color w:val="000000" w:themeColor="text1"/>
        </w:rPr>
      </w:r>
      <w:r w:rsidRPr="00376B4E">
        <w:rPr>
          <w:color w:val="000000" w:themeColor="text1"/>
        </w:rPr>
        <w:fldChar w:fldCharType="separate"/>
      </w:r>
      <w:r w:rsidRPr="00376B4E">
        <w:rPr>
          <w:color w:val="000000" w:themeColor="text1"/>
        </w:rPr>
        <w:t>25</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User CAL per Visual Studio</w:t>
      </w:r>
      <w:r w:rsidRPr="00376B4E">
        <w:rPr>
          <w:rFonts w:cs="Tahoma"/>
          <w:color w:val="000000" w:themeColor="text1"/>
          <w:vertAlign w:val="superscript"/>
        </w:rPr>
        <w:t>®</w:t>
      </w:r>
      <w:r w:rsidRPr="00376B4E">
        <w:rPr>
          <w:rFonts w:cs="Tahoma"/>
          <w:color w:val="000000" w:themeColor="text1"/>
        </w:rPr>
        <w:t xml:space="preserve"> Team Foundation Server 2012</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_Toc368310108 \h </w:instrText>
      </w:r>
      <w:r w:rsidRPr="00376B4E">
        <w:rPr>
          <w:color w:val="000000" w:themeColor="text1"/>
        </w:rPr>
      </w:r>
      <w:r w:rsidRPr="00376B4E">
        <w:rPr>
          <w:color w:val="000000" w:themeColor="text1"/>
        </w:rPr>
        <w:fldChar w:fldCharType="separate"/>
      </w:r>
      <w:r w:rsidRPr="00376B4E">
        <w:rPr>
          <w:color w:val="000000" w:themeColor="text1"/>
        </w:rPr>
        <w:t>25</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Windows Azure Active Directory Rights Management (SL per Utente)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_Toc368310109 \h </w:instrText>
      </w:r>
      <w:r w:rsidRPr="00376B4E">
        <w:rPr>
          <w:color w:val="000000" w:themeColor="text1"/>
        </w:rPr>
      </w:r>
      <w:r w:rsidRPr="00376B4E">
        <w:rPr>
          <w:color w:val="000000" w:themeColor="text1"/>
        </w:rPr>
        <w:fldChar w:fldCharType="separate"/>
      </w:r>
      <w:r w:rsidRPr="00376B4E">
        <w:rPr>
          <w:color w:val="000000" w:themeColor="text1"/>
        </w:rPr>
        <w:t>25</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Windows Azure Active Directory Rights Management Add-on (SL per Utente)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_Toc368310110 \h </w:instrText>
      </w:r>
      <w:r w:rsidRPr="00376B4E">
        <w:rPr>
          <w:color w:val="000000" w:themeColor="text1"/>
        </w:rPr>
      </w:r>
      <w:r w:rsidRPr="00376B4E">
        <w:rPr>
          <w:color w:val="000000" w:themeColor="text1"/>
        </w:rPr>
        <w:fldChar w:fldCharType="separate"/>
      </w:r>
      <w:r w:rsidRPr="00376B4E">
        <w:rPr>
          <w:color w:val="000000" w:themeColor="text1"/>
        </w:rPr>
        <w:t>25</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Servizi Windows Azure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_Toc368310111 \h </w:instrText>
      </w:r>
      <w:r w:rsidRPr="00376B4E">
        <w:rPr>
          <w:color w:val="000000" w:themeColor="text1"/>
        </w:rPr>
      </w:r>
      <w:r w:rsidRPr="00376B4E">
        <w:rPr>
          <w:color w:val="000000" w:themeColor="text1"/>
        </w:rPr>
        <w:fldChar w:fldCharType="separate"/>
      </w:r>
      <w:r w:rsidRPr="00376B4E">
        <w:rPr>
          <w:color w:val="000000" w:themeColor="text1"/>
        </w:rPr>
        <w:t>25</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Windows</w:t>
      </w:r>
      <w:r w:rsidRPr="00376B4E">
        <w:rPr>
          <w:rFonts w:cs="Tahoma"/>
          <w:color w:val="000000" w:themeColor="text1"/>
          <w:vertAlign w:val="superscript"/>
        </w:rPr>
        <w:t>®</w:t>
      </w:r>
      <w:r w:rsidRPr="00376B4E">
        <w:rPr>
          <w:rFonts w:cs="Tahoma"/>
          <w:color w:val="000000" w:themeColor="text1"/>
        </w:rPr>
        <w:t xml:space="preserve"> Embedded Device Manager 2011</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_Toc368310112 \h </w:instrText>
      </w:r>
      <w:r w:rsidRPr="00376B4E">
        <w:rPr>
          <w:color w:val="000000" w:themeColor="text1"/>
        </w:rPr>
      </w:r>
      <w:r w:rsidRPr="00376B4E">
        <w:rPr>
          <w:color w:val="000000" w:themeColor="text1"/>
        </w:rPr>
        <w:fldChar w:fldCharType="separate"/>
      </w:r>
      <w:r w:rsidRPr="00376B4E">
        <w:rPr>
          <w:color w:val="000000" w:themeColor="text1"/>
        </w:rPr>
        <w:t>25</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Licenza di Gestione Client per OSE per Windows</w:t>
      </w:r>
      <w:r w:rsidRPr="00376B4E">
        <w:rPr>
          <w:rFonts w:cs="Tahoma"/>
          <w:color w:val="000000" w:themeColor="text1"/>
          <w:vertAlign w:val="superscript"/>
        </w:rPr>
        <w:t>®</w:t>
      </w:r>
      <w:r w:rsidRPr="00376B4E">
        <w:rPr>
          <w:rFonts w:cs="Tahoma"/>
          <w:color w:val="000000" w:themeColor="text1"/>
        </w:rPr>
        <w:t xml:space="preserve"> Embedded Device Manager 2011</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_Toc368310113 \h </w:instrText>
      </w:r>
      <w:r w:rsidRPr="00376B4E">
        <w:rPr>
          <w:color w:val="000000" w:themeColor="text1"/>
        </w:rPr>
      </w:r>
      <w:r w:rsidRPr="00376B4E">
        <w:rPr>
          <w:color w:val="000000" w:themeColor="text1"/>
        </w:rPr>
        <w:fldChar w:fldCharType="separate"/>
      </w:r>
      <w:r w:rsidRPr="00376B4E">
        <w:rPr>
          <w:color w:val="000000" w:themeColor="text1"/>
        </w:rPr>
        <w:t>25</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Licenza di Gestione Client per Utente per Windows</w:t>
      </w:r>
      <w:r w:rsidRPr="00376B4E">
        <w:rPr>
          <w:rFonts w:cs="Tahoma"/>
          <w:color w:val="000000" w:themeColor="text1"/>
          <w:vertAlign w:val="superscript"/>
        </w:rPr>
        <w:t>®</w:t>
      </w:r>
      <w:r w:rsidRPr="00376B4E">
        <w:rPr>
          <w:rFonts w:cs="Tahoma"/>
          <w:color w:val="000000" w:themeColor="text1"/>
        </w:rPr>
        <w:t xml:space="preserve"> Embedded Device Manager 2011</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_Toc368310114 \h </w:instrText>
      </w:r>
      <w:r w:rsidRPr="00376B4E">
        <w:rPr>
          <w:color w:val="000000" w:themeColor="text1"/>
        </w:rPr>
      </w:r>
      <w:r w:rsidRPr="00376B4E">
        <w:rPr>
          <w:color w:val="000000" w:themeColor="text1"/>
        </w:rPr>
        <w:fldChar w:fldCharType="separate"/>
      </w:r>
      <w:r w:rsidRPr="00376B4E">
        <w:rPr>
          <w:color w:val="000000" w:themeColor="text1"/>
        </w:rPr>
        <w:t>25</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Windows</w:t>
      </w:r>
      <w:r w:rsidRPr="00376B4E">
        <w:rPr>
          <w:rFonts w:cs="Tahoma"/>
          <w:color w:val="000000" w:themeColor="text1"/>
          <w:vertAlign w:val="superscript"/>
        </w:rPr>
        <w:t>®</w:t>
      </w:r>
      <w:r w:rsidRPr="00376B4E">
        <w:rPr>
          <w:rFonts w:cs="Tahoma"/>
          <w:color w:val="000000" w:themeColor="text1"/>
        </w:rPr>
        <w:t xml:space="preserve"> Embedded Device Manager 2011 con Tecnologia SQL Server</w:t>
      </w:r>
      <w:r w:rsidRPr="00376B4E">
        <w:rPr>
          <w:rFonts w:cs="Tahoma"/>
          <w:color w:val="000000" w:themeColor="text1"/>
          <w:vertAlign w:val="superscript"/>
        </w:rPr>
        <w:t>®</w:t>
      </w:r>
      <w:r w:rsidRPr="00376B4E">
        <w:rPr>
          <w:rFonts w:cs="Tahoma"/>
          <w:color w:val="000000" w:themeColor="text1"/>
        </w:rPr>
        <w:t xml:space="preserve"> 2008</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_Toc368310115 \h </w:instrText>
      </w:r>
      <w:r w:rsidRPr="00376B4E">
        <w:rPr>
          <w:color w:val="000000" w:themeColor="text1"/>
        </w:rPr>
      </w:r>
      <w:r w:rsidRPr="00376B4E">
        <w:rPr>
          <w:color w:val="000000" w:themeColor="text1"/>
        </w:rPr>
        <w:fldChar w:fldCharType="separate"/>
      </w:r>
      <w:r w:rsidRPr="00376B4E">
        <w:rPr>
          <w:color w:val="000000" w:themeColor="text1"/>
        </w:rPr>
        <w:t>25</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Windows Essential Business Server 2008 Standard</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_Toc368310116 \h </w:instrText>
      </w:r>
      <w:r w:rsidRPr="00376B4E">
        <w:rPr>
          <w:color w:val="000000" w:themeColor="text1"/>
        </w:rPr>
      </w:r>
      <w:r w:rsidRPr="00376B4E">
        <w:rPr>
          <w:color w:val="000000" w:themeColor="text1"/>
        </w:rPr>
        <w:fldChar w:fldCharType="separate"/>
      </w:r>
      <w:r w:rsidRPr="00376B4E">
        <w:rPr>
          <w:color w:val="000000" w:themeColor="text1"/>
        </w:rPr>
        <w:t>25</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CAL Suite per Windows Essential Business Server 2008</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_Toc368310117 \h </w:instrText>
      </w:r>
      <w:r w:rsidRPr="00376B4E">
        <w:rPr>
          <w:color w:val="000000" w:themeColor="text1"/>
        </w:rPr>
      </w:r>
      <w:r w:rsidRPr="00376B4E">
        <w:rPr>
          <w:color w:val="000000" w:themeColor="text1"/>
        </w:rPr>
        <w:fldChar w:fldCharType="separate"/>
      </w:r>
      <w:r w:rsidRPr="00376B4E">
        <w:rPr>
          <w:color w:val="000000" w:themeColor="text1"/>
        </w:rPr>
        <w:t>25</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CAL Suite per Windows Essential Business Server 2008 (5 client)</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_Toc368310118 \h </w:instrText>
      </w:r>
      <w:r w:rsidRPr="00376B4E">
        <w:rPr>
          <w:color w:val="000000" w:themeColor="text1"/>
        </w:rPr>
      </w:r>
      <w:r w:rsidRPr="00376B4E">
        <w:rPr>
          <w:color w:val="000000" w:themeColor="text1"/>
        </w:rPr>
        <w:fldChar w:fldCharType="separate"/>
      </w:r>
      <w:r w:rsidRPr="00376B4E">
        <w:rPr>
          <w:color w:val="000000" w:themeColor="text1"/>
        </w:rPr>
        <w:t>25</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CAL Suite per Windows Essential Business Server 2008 (20 client)</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_Toc368310119 \h </w:instrText>
      </w:r>
      <w:r w:rsidRPr="00376B4E">
        <w:rPr>
          <w:color w:val="000000" w:themeColor="text1"/>
        </w:rPr>
      </w:r>
      <w:r w:rsidRPr="00376B4E">
        <w:rPr>
          <w:color w:val="000000" w:themeColor="text1"/>
        </w:rPr>
        <w:fldChar w:fldCharType="separate"/>
      </w:r>
      <w:r w:rsidRPr="00376B4E">
        <w:rPr>
          <w:color w:val="000000" w:themeColor="text1"/>
        </w:rPr>
        <w:t>25</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CAL Suite per Windows Essential Business Server 2008 (50 client)</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_Toc368310120 \h </w:instrText>
      </w:r>
      <w:r w:rsidRPr="00376B4E">
        <w:rPr>
          <w:color w:val="000000" w:themeColor="text1"/>
        </w:rPr>
      </w:r>
      <w:r w:rsidRPr="00376B4E">
        <w:rPr>
          <w:color w:val="000000" w:themeColor="text1"/>
        </w:rPr>
        <w:fldChar w:fldCharType="separate"/>
      </w:r>
      <w:r w:rsidRPr="00376B4E">
        <w:rPr>
          <w:color w:val="000000" w:themeColor="text1"/>
        </w:rPr>
        <w:t>25</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Windows Essential Business Server 2008 Premium</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_Toc368310121 \h </w:instrText>
      </w:r>
      <w:r w:rsidRPr="00376B4E">
        <w:rPr>
          <w:color w:val="000000" w:themeColor="text1"/>
        </w:rPr>
      </w:r>
      <w:r w:rsidRPr="00376B4E">
        <w:rPr>
          <w:color w:val="000000" w:themeColor="text1"/>
        </w:rPr>
        <w:fldChar w:fldCharType="separate"/>
      </w:r>
      <w:r w:rsidRPr="00376B4E">
        <w:rPr>
          <w:color w:val="000000" w:themeColor="text1"/>
        </w:rPr>
        <w:t>25</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CAL Suite per Windows Essential Business Server 2008 per Utenti o Dispositivi Premium</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_Toc368310122 \h </w:instrText>
      </w:r>
      <w:r w:rsidRPr="00376B4E">
        <w:rPr>
          <w:color w:val="000000" w:themeColor="text1"/>
        </w:rPr>
      </w:r>
      <w:r w:rsidRPr="00376B4E">
        <w:rPr>
          <w:color w:val="000000" w:themeColor="text1"/>
        </w:rPr>
        <w:fldChar w:fldCharType="separate"/>
      </w:r>
      <w:r w:rsidRPr="00376B4E">
        <w:rPr>
          <w:color w:val="000000" w:themeColor="text1"/>
        </w:rPr>
        <w:t>25</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CAL Suite per Windows Essential Business Server 2008 per Utenti o Dispositivi Premium (5 client)</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_Toc368310123 \h </w:instrText>
      </w:r>
      <w:r w:rsidRPr="00376B4E">
        <w:rPr>
          <w:color w:val="000000" w:themeColor="text1"/>
        </w:rPr>
      </w:r>
      <w:r w:rsidRPr="00376B4E">
        <w:rPr>
          <w:color w:val="000000" w:themeColor="text1"/>
        </w:rPr>
        <w:fldChar w:fldCharType="separate"/>
      </w:r>
      <w:r w:rsidRPr="00376B4E">
        <w:rPr>
          <w:color w:val="000000" w:themeColor="text1"/>
        </w:rPr>
        <w:t>26</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CAL Suite per Windows Essential Business Server 2008 per Utenti o Dispositivi Premium (20 client)</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_Toc368310124 \h </w:instrText>
      </w:r>
      <w:r w:rsidRPr="00376B4E">
        <w:rPr>
          <w:color w:val="000000" w:themeColor="text1"/>
        </w:rPr>
      </w:r>
      <w:r w:rsidRPr="00376B4E">
        <w:rPr>
          <w:color w:val="000000" w:themeColor="text1"/>
        </w:rPr>
        <w:fldChar w:fldCharType="separate"/>
      </w:r>
      <w:r w:rsidRPr="00376B4E">
        <w:rPr>
          <w:color w:val="000000" w:themeColor="text1"/>
        </w:rPr>
        <w:t>26</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CAL Suite per Windows Essential Business Server 2008 per Utenti o Dispositivi Premium (50 client)</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_Toc368310125 \h </w:instrText>
      </w:r>
      <w:r w:rsidRPr="00376B4E">
        <w:rPr>
          <w:color w:val="000000" w:themeColor="text1"/>
        </w:rPr>
      </w:r>
      <w:r w:rsidRPr="00376B4E">
        <w:rPr>
          <w:color w:val="000000" w:themeColor="text1"/>
        </w:rPr>
        <w:fldChar w:fldCharType="separate"/>
      </w:r>
      <w:r w:rsidRPr="00376B4E">
        <w:rPr>
          <w:color w:val="000000" w:themeColor="text1"/>
        </w:rPr>
        <w:t>26</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Windows HPC Server 2008 R2 Suite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_Toc368310126 \h </w:instrText>
      </w:r>
      <w:r w:rsidRPr="00376B4E">
        <w:rPr>
          <w:color w:val="000000" w:themeColor="text1"/>
        </w:rPr>
      </w:r>
      <w:r w:rsidRPr="00376B4E">
        <w:rPr>
          <w:color w:val="000000" w:themeColor="text1"/>
        </w:rPr>
        <w:fldChar w:fldCharType="separate"/>
      </w:r>
      <w:r w:rsidRPr="00376B4E">
        <w:rPr>
          <w:color w:val="000000" w:themeColor="text1"/>
        </w:rPr>
        <w:t>26</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Componente Aggiuntivo per Windows Intune per System Center Configuration Manager e System Center EndPoint Protection (Per Utente)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_Toc368310127 \h </w:instrText>
      </w:r>
      <w:r w:rsidRPr="00376B4E">
        <w:rPr>
          <w:color w:val="000000" w:themeColor="text1"/>
        </w:rPr>
      </w:r>
      <w:r w:rsidRPr="00376B4E">
        <w:rPr>
          <w:color w:val="000000" w:themeColor="text1"/>
        </w:rPr>
        <w:fldChar w:fldCharType="separate"/>
      </w:r>
      <w:r w:rsidRPr="00376B4E">
        <w:rPr>
          <w:color w:val="000000" w:themeColor="text1"/>
        </w:rPr>
        <w:t>26</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Windows Intune (Per Utente)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_Toc368310128 \h </w:instrText>
      </w:r>
      <w:r w:rsidRPr="00376B4E">
        <w:rPr>
          <w:color w:val="000000" w:themeColor="text1"/>
        </w:rPr>
      </w:r>
      <w:r w:rsidRPr="00376B4E">
        <w:rPr>
          <w:color w:val="000000" w:themeColor="text1"/>
        </w:rPr>
        <w:fldChar w:fldCharType="separate"/>
      </w:r>
      <w:r w:rsidRPr="00376B4E">
        <w:rPr>
          <w:color w:val="000000" w:themeColor="text1"/>
        </w:rPr>
        <w:t>26</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USL Add-On per Windows Intune Extra Storage 1 GB</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_Toc368310129 \h </w:instrText>
      </w:r>
      <w:r w:rsidRPr="00376B4E">
        <w:rPr>
          <w:color w:val="000000" w:themeColor="text1"/>
        </w:rPr>
      </w:r>
      <w:r w:rsidRPr="00376B4E">
        <w:rPr>
          <w:color w:val="000000" w:themeColor="text1"/>
        </w:rPr>
        <w:fldChar w:fldCharType="separate"/>
      </w:r>
      <w:r w:rsidRPr="00376B4E">
        <w:rPr>
          <w:color w:val="000000" w:themeColor="text1"/>
        </w:rPr>
        <w:t>26</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Windows MultiPoint Server 2012 Standard</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_Toc368310130 \h </w:instrText>
      </w:r>
      <w:r w:rsidRPr="00376B4E">
        <w:rPr>
          <w:color w:val="000000" w:themeColor="text1"/>
        </w:rPr>
      </w:r>
      <w:r w:rsidRPr="00376B4E">
        <w:rPr>
          <w:color w:val="000000" w:themeColor="text1"/>
        </w:rPr>
        <w:fldChar w:fldCharType="separate"/>
      </w:r>
      <w:r w:rsidRPr="00376B4E">
        <w:rPr>
          <w:color w:val="000000" w:themeColor="text1"/>
        </w:rPr>
        <w:t>26</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lastRenderedPageBreak/>
        <w:t>Windows MultiPoint Server 2012 Premium</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_Toc368310131 \h </w:instrText>
      </w:r>
      <w:r w:rsidRPr="00376B4E">
        <w:rPr>
          <w:color w:val="000000" w:themeColor="text1"/>
        </w:rPr>
      </w:r>
      <w:r w:rsidRPr="00376B4E">
        <w:rPr>
          <w:color w:val="000000" w:themeColor="text1"/>
        </w:rPr>
        <w:fldChar w:fldCharType="separate"/>
      </w:r>
      <w:r w:rsidRPr="00376B4E">
        <w:rPr>
          <w:color w:val="000000" w:themeColor="text1"/>
        </w:rPr>
        <w:t>26</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CAL per Windows MultiPoint Server 2012</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_Toc368310132 \h </w:instrText>
      </w:r>
      <w:r w:rsidRPr="00376B4E">
        <w:rPr>
          <w:color w:val="000000" w:themeColor="text1"/>
        </w:rPr>
      </w:r>
      <w:r w:rsidRPr="00376B4E">
        <w:rPr>
          <w:color w:val="000000" w:themeColor="text1"/>
        </w:rPr>
        <w:fldChar w:fldCharType="separate"/>
      </w:r>
      <w:r w:rsidRPr="00376B4E">
        <w:rPr>
          <w:color w:val="000000" w:themeColor="text1"/>
        </w:rPr>
        <w:t>26</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CAL per Windows MultiPoint Server 2012 con CAL per Windows Server 2012</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_Toc368310133 \h </w:instrText>
      </w:r>
      <w:r w:rsidRPr="00376B4E">
        <w:rPr>
          <w:color w:val="000000" w:themeColor="text1"/>
        </w:rPr>
      </w:r>
      <w:r w:rsidRPr="00376B4E">
        <w:rPr>
          <w:color w:val="000000" w:themeColor="text1"/>
        </w:rPr>
        <w:fldChar w:fldCharType="separate"/>
      </w:r>
      <w:r w:rsidRPr="00376B4E">
        <w:rPr>
          <w:color w:val="000000" w:themeColor="text1"/>
        </w:rPr>
        <w:t>26</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Windows MultiPoint Server 2012 Premium con Windows MultiPoint Server 2012 (CAL) (5 Client)</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_Toc368310134 \h </w:instrText>
      </w:r>
      <w:r w:rsidRPr="00376B4E">
        <w:rPr>
          <w:color w:val="000000" w:themeColor="text1"/>
        </w:rPr>
      </w:r>
      <w:r w:rsidRPr="00376B4E">
        <w:rPr>
          <w:color w:val="000000" w:themeColor="text1"/>
        </w:rPr>
        <w:fldChar w:fldCharType="separate"/>
      </w:r>
      <w:r w:rsidRPr="00376B4E">
        <w:rPr>
          <w:color w:val="000000" w:themeColor="text1"/>
        </w:rPr>
        <w:t>26</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Windows MultiPoint Server 2012 Premium con Windows MultiPoint Server 2012 (CAL) (5 Client) con Windows Server 2012 (CAL) (5 Client)</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_Toc368310135 \h </w:instrText>
      </w:r>
      <w:r w:rsidRPr="00376B4E">
        <w:rPr>
          <w:color w:val="000000" w:themeColor="text1"/>
        </w:rPr>
      </w:r>
      <w:r w:rsidRPr="00376B4E">
        <w:rPr>
          <w:color w:val="000000" w:themeColor="text1"/>
        </w:rPr>
        <w:fldChar w:fldCharType="separate"/>
      </w:r>
      <w:r w:rsidRPr="00376B4E">
        <w:rPr>
          <w:color w:val="000000" w:themeColor="text1"/>
        </w:rPr>
        <w:t>26</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Windows Server™ 2008 R2 HPC Edition</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_Toc368310136 \h </w:instrText>
      </w:r>
      <w:r w:rsidRPr="00376B4E">
        <w:rPr>
          <w:color w:val="000000" w:themeColor="text1"/>
        </w:rPr>
      </w:r>
      <w:r w:rsidRPr="00376B4E">
        <w:rPr>
          <w:color w:val="000000" w:themeColor="text1"/>
        </w:rPr>
        <w:fldChar w:fldCharType="separate"/>
      </w:r>
      <w:r w:rsidRPr="00376B4E">
        <w:rPr>
          <w:color w:val="000000" w:themeColor="text1"/>
        </w:rPr>
        <w:t>26</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Windows Server™ 2008 R2 Enterprise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_Toc368310137 \h </w:instrText>
      </w:r>
      <w:r w:rsidRPr="00376B4E">
        <w:rPr>
          <w:color w:val="000000" w:themeColor="text1"/>
        </w:rPr>
      </w:r>
      <w:r w:rsidRPr="00376B4E">
        <w:rPr>
          <w:color w:val="000000" w:themeColor="text1"/>
        </w:rPr>
        <w:fldChar w:fldCharType="separate"/>
      </w:r>
      <w:r w:rsidRPr="00376B4E">
        <w:rPr>
          <w:color w:val="000000" w:themeColor="text1"/>
        </w:rPr>
        <w:t>26</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Windows Server™ 2008 R2 per Sistemi Basati su Itanium</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_Toc368310138 \h </w:instrText>
      </w:r>
      <w:r w:rsidRPr="00376B4E">
        <w:rPr>
          <w:color w:val="000000" w:themeColor="text1"/>
        </w:rPr>
      </w:r>
      <w:r w:rsidRPr="00376B4E">
        <w:rPr>
          <w:color w:val="000000" w:themeColor="text1"/>
        </w:rPr>
        <w:fldChar w:fldCharType="separate"/>
      </w:r>
      <w:r w:rsidRPr="00376B4E">
        <w:rPr>
          <w:color w:val="000000" w:themeColor="text1"/>
        </w:rPr>
        <w:t>26</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CAL per Windows Server™ 2012 (Dispositivo e Utente)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_Toc368310139 \h </w:instrText>
      </w:r>
      <w:r w:rsidRPr="00376B4E">
        <w:rPr>
          <w:color w:val="000000" w:themeColor="text1"/>
        </w:rPr>
      </w:r>
      <w:r w:rsidRPr="00376B4E">
        <w:rPr>
          <w:color w:val="000000" w:themeColor="text1"/>
        </w:rPr>
        <w:fldChar w:fldCharType="separate"/>
      </w:r>
      <w:r w:rsidRPr="00376B4E">
        <w:rPr>
          <w:color w:val="000000" w:themeColor="text1"/>
        </w:rPr>
        <w:t>26</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Windows Server™ 2012 Datacenter</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_Toc368310140 \h </w:instrText>
      </w:r>
      <w:r w:rsidRPr="00376B4E">
        <w:rPr>
          <w:color w:val="000000" w:themeColor="text1"/>
        </w:rPr>
      </w:r>
      <w:r w:rsidRPr="00376B4E">
        <w:rPr>
          <w:color w:val="000000" w:themeColor="text1"/>
        </w:rPr>
        <w:fldChar w:fldCharType="separate"/>
      </w:r>
      <w:r w:rsidRPr="00376B4E">
        <w:rPr>
          <w:color w:val="000000" w:themeColor="text1"/>
        </w:rPr>
        <w:t>26</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Windows Server™ 2012 Standard</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_Toc368310141 \h </w:instrText>
      </w:r>
      <w:r w:rsidRPr="00376B4E">
        <w:rPr>
          <w:color w:val="000000" w:themeColor="text1"/>
        </w:rPr>
      </w:r>
      <w:r w:rsidRPr="00376B4E">
        <w:rPr>
          <w:color w:val="000000" w:themeColor="text1"/>
        </w:rPr>
        <w:fldChar w:fldCharType="separate"/>
      </w:r>
      <w:r w:rsidRPr="00376B4E">
        <w:rPr>
          <w:color w:val="000000" w:themeColor="text1"/>
        </w:rPr>
        <w:t>26</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External Connector per Windows Server™</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_Toc368310142 \h </w:instrText>
      </w:r>
      <w:r w:rsidRPr="00376B4E">
        <w:rPr>
          <w:color w:val="000000" w:themeColor="text1"/>
        </w:rPr>
      </w:r>
      <w:r w:rsidRPr="00376B4E">
        <w:rPr>
          <w:color w:val="000000" w:themeColor="text1"/>
        </w:rPr>
        <w:fldChar w:fldCharType="separate"/>
      </w:r>
      <w:r w:rsidRPr="00376B4E">
        <w:rPr>
          <w:color w:val="000000" w:themeColor="text1"/>
        </w:rPr>
        <w:t>26</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CAL per Servizi Desktop Remoto Windows Server™ 2012</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_Toc368310143 \h </w:instrText>
      </w:r>
      <w:r w:rsidRPr="00376B4E">
        <w:rPr>
          <w:color w:val="000000" w:themeColor="text1"/>
        </w:rPr>
      </w:r>
      <w:r w:rsidRPr="00376B4E">
        <w:rPr>
          <w:color w:val="000000" w:themeColor="text1"/>
        </w:rPr>
        <w:fldChar w:fldCharType="separate"/>
      </w:r>
      <w:r w:rsidRPr="00376B4E">
        <w:rPr>
          <w:color w:val="000000" w:themeColor="text1"/>
        </w:rPr>
        <w:t>26</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External Connector per Servizi Desktop Remoto Windows Server™ 2012</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_Toc368310144 \h </w:instrText>
      </w:r>
      <w:r w:rsidRPr="00376B4E">
        <w:rPr>
          <w:color w:val="000000" w:themeColor="text1"/>
        </w:rPr>
      </w:r>
      <w:r w:rsidRPr="00376B4E">
        <w:rPr>
          <w:color w:val="000000" w:themeColor="text1"/>
        </w:rPr>
        <w:fldChar w:fldCharType="separate"/>
      </w:r>
      <w:r w:rsidRPr="00376B4E">
        <w:rPr>
          <w:color w:val="000000" w:themeColor="text1"/>
        </w:rPr>
        <w:t>26</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CAL per Windows Server™ 2012 Active Directory Rights Management Services</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_Toc368310145 \h </w:instrText>
      </w:r>
      <w:r w:rsidRPr="00376B4E">
        <w:rPr>
          <w:color w:val="000000" w:themeColor="text1"/>
        </w:rPr>
      </w:r>
      <w:r w:rsidRPr="00376B4E">
        <w:rPr>
          <w:color w:val="000000" w:themeColor="text1"/>
        </w:rPr>
        <w:fldChar w:fldCharType="separate"/>
      </w:r>
      <w:r w:rsidRPr="00376B4E">
        <w:rPr>
          <w:color w:val="000000" w:themeColor="text1"/>
        </w:rPr>
        <w:t>26</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External Connector per Windows Server™ Active Directory Rights Management Services</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_Toc368310146 \h </w:instrText>
      </w:r>
      <w:r w:rsidRPr="00376B4E">
        <w:rPr>
          <w:color w:val="000000" w:themeColor="text1"/>
        </w:rPr>
      </w:r>
      <w:r w:rsidRPr="00376B4E">
        <w:rPr>
          <w:color w:val="000000" w:themeColor="text1"/>
        </w:rPr>
        <w:fldChar w:fldCharType="separate"/>
      </w:r>
      <w:r w:rsidRPr="00376B4E">
        <w:rPr>
          <w:color w:val="000000" w:themeColor="text1"/>
        </w:rPr>
        <w:t>26</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Windows Small Business Server 2008 Premium</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_Toc368310147 \h </w:instrText>
      </w:r>
      <w:r w:rsidRPr="00376B4E">
        <w:rPr>
          <w:color w:val="000000" w:themeColor="text1"/>
        </w:rPr>
      </w:r>
      <w:r w:rsidRPr="00376B4E">
        <w:rPr>
          <w:color w:val="000000" w:themeColor="text1"/>
        </w:rPr>
        <w:fldChar w:fldCharType="separate"/>
      </w:r>
      <w:r w:rsidRPr="00376B4E">
        <w:rPr>
          <w:color w:val="000000" w:themeColor="text1"/>
        </w:rPr>
        <w:t>26</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Windows Small Business Server 2011 Standard</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_Toc368310148 \h </w:instrText>
      </w:r>
      <w:r w:rsidRPr="00376B4E">
        <w:rPr>
          <w:color w:val="000000" w:themeColor="text1"/>
        </w:rPr>
      </w:r>
      <w:r w:rsidRPr="00376B4E">
        <w:rPr>
          <w:color w:val="000000" w:themeColor="text1"/>
        </w:rPr>
        <w:fldChar w:fldCharType="separate"/>
      </w:r>
      <w:r w:rsidRPr="00376B4E">
        <w:rPr>
          <w:color w:val="000000" w:themeColor="text1"/>
        </w:rPr>
        <w:t>26</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CAL Suite per Windows Small Business Server 2011 (1 client)</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_Toc368310149 \h </w:instrText>
      </w:r>
      <w:r w:rsidRPr="00376B4E">
        <w:rPr>
          <w:color w:val="000000" w:themeColor="text1"/>
        </w:rPr>
      </w:r>
      <w:r w:rsidRPr="00376B4E">
        <w:rPr>
          <w:color w:val="000000" w:themeColor="text1"/>
        </w:rPr>
        <w:fldChar w:fldCharType="separate"/>
      </w:r>
      <w:r w:rsidRPr="00376B4E">
        <w:rPr>
          <w:color w:val="000000" w:themeColor="text1"/>
        </w:rPr>
        <w:t>26</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CAL Suite per Windows Small Business Server 2011 (5 client)</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_Toc368310150 \h </w:instrText>
      </w:r>
      <w:r w:rsidRPr="00376B4E">
        <w:rPr>
          <w:color w:val="000000" w:themeColor="text1"/>
        </w:rPr>
      </w:r>
      <w:r w:rsidRPr="00376B4E">
        <w:rPr>
          <w:color w:val="000000" w:themeColor="text1"/>
        </w:rPr>
        <w:fldChar w:fldCharType="separate"/>
      </w:r>
      <w:r w:rsidRPr="00376B4E">
        <w:rPr>
          <w:color w:val="000000" w:themeColor="text1"/>
        </w:rPr>
        <w:t>26</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CAL Suite per Windows Small Business Server 2011 (20 client)</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_Toc368310151 \h </w:instrText>
      </w:r>
      <w:r w:rsidRPr="00376B4E">
        <w:rPr>
          <w:color w:val="000000" w:themeColor="text1"/>
        </w:rPr>
      </w:r>
      <w:r w:rsidRPr="00376B4E">
        <w:rPr>
          <w:color w:val="000000" w:themeColor="text1"/>
        </w:rPr>
        <w:fldChar w:fldCharType="separate"/>
      </w:r>
      <w:r w:rsidRPr="00376B4E">
        <w:rPr>
          <w:color w:val="000000" w:themeColor="text1"/>
        </w:rPr>
        <w:t>26</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Premium Add-on per Windows Small Business Server 2011</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_Toc368310152 \h </w:instrText>
      </w:r>
      <w:r w:rsidRPr="00376B4E">
        <w:rPr>
          <w:color w:val="000000" w:themeColor="text1"/>
        </w:rPr>
      </w:r>
      <w:r w:rsidRPr="00376B4E">
        <w:rPr>
          <w:color w:val="000000" w:themeColor="text1"/>
        </w:rPr>
        <w:fldChar w:fldCharType="separate"/>
      </w:r>
      <w:r w:rsidRPr="00376B4E">
        <w:rPr>
          <w:color w:val="000000" w:themeColor="text1"/>
        </w:rPr>
        <w:t>26</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Premium Add-on CAL Suite per Windows Small Business Server 2011</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_Toc368310153 \h </w:instrText>
      </w:r>
      <w:r w:rsidRPr="00376B4E">
        <w:rPr>
          <w:color w:val="000000" w:themeColor="text1"/>
        </w:rPr>
      </w:r>
      <w:r w:rsidRPr="00376B4E">
        <w:rPr>
          <w:color w:val="000000" w:themeColor="text1"/>
        </w:rPr>
        <w:fldChar w:fldCharType="separate"/>
      </w:r>
      <w:r w:rsidRPr="00376B4E">
        <w:rPr>
          <w:color w:val="000000" w:themeColor="text1"/>
        </w:rPr>
        <w:t>27</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Premium Add-on CAL Suite per Windows Small Business Server 2011 (5 client)</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_Toc368310154 \h </w:instrText>
      </w:r>
      <w:r w:rsidRPr="00376B4E">
        <w:rPr>
          <w:color w:val="000000" w:themeColor="text1"/>
        </w:rPr>
      </w:r>
      <w:r w:rsidRPr="00376B4E">
        <w:rPr>
          <w:color w:val="000000" w:themeColor="text1"/>
        </w:rPr>
        <w:fldChar w:fldCharType="separate"/>
      </w:r>
      <w:r w:rsidRPr="00376B4E">
        <w:rPr>
          <w:color w:val="000000" w:themeColor="text1"/>
        </w:rPr>
        <w:t>27</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Premium Add-on CAL Suite per Windows Small Business Server 2011 (20 client)</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_Toc368310155 \h </w:instrText>
      </w:r>
      <w:r w:rsidRPr="00376B4E">
        <w:rPr>
          <w:color w:val="000000" w:themeColor="text1"/>
        </w:rPr>
      </w:r>
      <w:r w:rsidRPr="00376B4E">
        <w:rPr>
          <w:color w:val="000000" w:themeColor="text1"/>
        </w:rPr>
        <w:fldChar w:fldCharType="separate"/>
      </w:r>
      <w:r w:rsidRPr="00376B4E">
        <w:rPr>
          <w:color w:val="000000" w:themeColor="text1"/>
        </w:rPr>
        <w:t>27</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Windows Server Essentials 2012</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_Toc368310156 \h </w:instrText>
      </w:r>
      <w:r w:rsidRPr="00376B4E">
        <w:rPr>
          <w:color w:val="000000" w:themeColor="text1"/>
        </w:rPr>
      </w:r>
      <w:r w:rsidRPr="00376B4E">
        <w:rPr>
          <w:color w:val="000000" w:themeColor="text1"/>
        </w:rPr>
        <w:fldChar w:fldCharType="separate"/>
      </w:r>
      <w:r w:rsidRPr="00376B4E">
        <w:rPr>
          <w:color w:val="000000" w:themeColor="text1"/>
        </w:rPr>
        <w:t>27</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Windows Small Business Server 2011 Essentials</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_Toc368310157 \h </w:instrText>
      </w:r>
      <w:r w:rsidRPr="00376B4E">
        <w:rPr>
          <w:color w:val="000000" w:themeColor="text1"/>
        </w:rPr>
      </w:r>
      <w:r w:rsidRPr="00376B4E">
        <w:rPr>
          <w:color w:val="000000" w:themeColor="text1"/>
        </w:rPr>
        <w:fldChar w:fldCharType="separate"/>
      </w:r>
      <w:r w:rsidRPr="00376B4E">
        <w:rPr>
          <w:color w:val="000000" w:themeColor="text1"/>
        </w:rPr>
        <w:t>27</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Windows Web Server 2008 R2</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_Toc368310158 \h </w:instrText>
      </w:r>
      <w:r w:rsidRPr="00376B4E">
        <w:rPr>
          <w:color w:val="000000" w:themeColor="text1"/>
        </w:rPr>
      </w:r>
      <w:r w:rsidRPr="00376B4E">
        <w:rPr>
          <w:color w:val="000000" w:themeColor="text1"/>
        </w:rPr>
        <w:fldChar w:fldCharType="separate"/>
      </w:r>
      <w:r w:rsidRPr="00376B4E">
        <w:rPr>
          <w:color w:val="000000" w:themeColor="text1"/>
        </w:rPr>
        <w:t>27</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Yammer Enterprise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_Toc368310159 \h </w:instrText>
      </w:r>
      <w:r w:rsidRPr="00376B4E">
        <w:rPr>
          <w:color w:val="000000" w:themeColor="text1"/>
        </w:rPr>
      </w:r>
      <w:r w:rsidRPr="00376B4E">
        <w:rPr>
          <w:color w:val="000000" w:themeColor="text1"/>
        </w:rPr>
        <w:fldChar w:fldCharType="separate"/>
      </w:r>
      <w:r w:rsidRPr="00376B4E">
        <w:rPr>
          <w:color w:val="000000" w:themeColor="text1"/>
        </w:rPr>
        <w:t>27</w:t>
      </w:r>
      <w:r w:rsidRPr="00376B4E">
        <w:rPr>
          <w:color w:val="000000" w:themeColor="text1"/>
        </w:rPr>
        <w:fldChar w:fldCharType="end"/>
      </w:r>
    </w:p>
    <w:p w:rsidR="00376B4E" w:rsidRPr="00376B4E" w:rsidRDefault="00376B4E">
      <w:pPr>
        <w:pStyle w:val="TOC1"/>
        <w:rPr>
          <w:rFonts w:asciiTheme="minorHAnsi" w:eastAsiaTheme="minorEastAsia" w:hAnsiTheme="minorHAnsi" w:cstheme="minorBidi"/>
          <w:b w:val="0"/>
          <w:caps w:val="0"/>
          <w:color w:val="000000" w:themeColor="text1"/>
          <w:szCs w:val="22"/>
        </w:rPr>
      </w:pPr>
      <w:r w:rsidRPr="00376B4E">
        <w:rPr>
          <w:color w:val="000000" w:themeColor="text1"/>
        </w:rPr>
        <w:t>ARTICOLO 1 - Modifiche apportate alla LISTA DEI PRODOTTI negli ultimi 12 mesi</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_Toc368310160 \h </w:instrText>
      </w:r>
      <w:r w:rsidRPr="00376B4E">
        <w:rPr>
          <w:color w:val="000000" w:themeColor="text1"/>
        </w:rPr>
      </w:r>
      <w:r w:rsidRPr="00376B4E">
        <w:rPr>
          <w:color w:val="000000" w:themeColor="text1"/>
        </w:rPr>
        <w:fldChar w:fldCharType="separate"/>
      </w:r>
      <w:r w:rsidRPr="00376B4E">
        <w:rPr>
          <w:color w:val="000000" w:themeColor="text1"/>
        </w:rPr>
        <w:t>28</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MODIFICHE APPORTATE NEL MESE DI OTTOBRE 2013</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_Toc368310161 \h </w:instrText>
      </w:r>
      <w:r w:rsidRPr="00376B4E">
        <w:rPr>
          <w:color w:val="000000" w:themeColor="text1"/>
        </w:rPr>
      </w:r>
      <w:r w:rsidRPr="00376B4E">
        <w:rPr>
          <w:color w:val="000000" w:themeColor="text1"/>
        </w:rPr>
        <w:fldChar w:fldCharType="separate"/>
      </w:r>
      <w:r w:rsidRPr="00376B4E">
        <w:rPr>
          <w:color w:val="000000" w:themeColor="text1"/>
        </w:rPr>
        <w:t>28</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MODIFICHE APPORTATE NEL MESE DI SETTEMBRE 2013</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_Toc368310162 \h </w:instrText>
      </w:r>
      <w:r w:rsidRPr="00376B4E">
        <w:rPr>
          <w:color w:val="000000" w:themeColor="text1"/>
        </w:rPr>
      </w:r>
      <w:r w:rsidRPr="00376B4E">
        <w:rPr>
          <w:color w:val="000000" w:themeColor="text1"/>
        </w:rPr>
        <w:fldChar w:fldCharType="separate"/>
      </w:r>
      <w:r w:rsidRPr="00376B4E">
        <w:rPr>
          <w:color w:val="000000" w:themeColor="text1"/>
        </w:rPr>
        <w:t>28</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MODIFICHE APPORTATE NEL MESE DI AGOSTO 2013</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_Toc368310163 \h </w:instrText>
      </w:r>
      <w:r w:rsidRPr="00376B4E">
        <w:rPr>
          <w:color w:val="000000" w:themeColor="text1"/>
        </w:rPr>
      </w:r>
      <w:r w:rsidRPr="00376B4E">
        <w:rPr>
          <w:color w:val="000000" w:themeColor="text1"/>
        </w:rPr>
        <w:fldChar w:fldCharType="separate"/>
      </w:r>
      <w:r w:rsidRPr="00376B4E">
        <w:rPr>
          <w:color w:val="000000" w:themeColor="text1"/>
        </w:rPr>
        <w:t>29</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MODIFICHE APPORTATE NEL MESE DI LUGLIO 2013</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_Toc368310164 \h </w:instrText>
      </w:r>
      <w:r w:rsidRPr="00376B4E">
        <w:rPr>
          <w:color w:val="000000" w:themeColor="text1"/>
        </w:rPr>
      </w:r>
      <w:r w:rsidRPr="00376B4E">
        <w:rPr>
          <w:color w:val="000000" w:themeColor="text1"/>
        </w:rPr>
        <w:fldChar w:fldCharType="separate"/>
      </w:r>
      <w:r w:rsidRPr="00376B4E">
        <w:rPr>
          <w:color w:val="000000" w:themeColor="text1"/>
        </w:rPr>
        <w:t>30</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MODIFICHE APPORTATE NEL MESE DI GIUGNO 2013</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_Toc368310165 \h </w:instrText>
      </w:r>
      <w:r w:rsidRPr="00376B4E">
        <w:rPr>
          <w:color w:val="000000" w:themeColor="text1"/>
        </w:rPr>
      </w:r>
      <w:r w:rsidRPr="00376B4E">
        <w:rPr>
          <w:color w:val="000000" w:themeColor="text1"/>
        </w:rPr>
        <w:fldChar w:fldCharType="separate"/>
      </w:r>
      <w:r w:rsidRPr="00376B4E">
        <w:rPr>
          <w:color w:val="000000" w:themeColor="text1"/>
        </w:rPr>
        <w:t>30</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MODIFICHE APPORTATE NEL MESE DI MAGGIO 2013</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_Toc368310166 \h </w:instrText>
      </w:r>
      <w:r w:rsidRPr="00376B4E">
        <w:rPr>
          <w:color w:val="000000" w:themeColor="text1"/>
        </w:rPr>
      </w:r>
      <w:r w:rsidRPr="00376B4E">
        <w:rPr>
          <w:color w:val="000000" w:themeColor="text1"/>
        </w:rPr>
        <w:fldChar w:fldCharType="separate"/>
      </w:r>
      <w:r w:rsidRPr="00376B4E">
        <w:rPr>
          <w:color w:val="000000" w:themeColor="text1"/>
        </w:rPr>
        <w:t>30</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MODIFICHE APPORTATE NEL MESE DI APRILE 2013</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_Toc368310167 \h </w:instrText>
      </w:r>
      <w:r w:rsidRPr="00376B4E">
        <w:rPr>
          <w:color w:val="000000" w:themeColor="text1"/>
        </w:rPr>
      </w:r>
      <w:r w:rsidRPr="00376B4E">
        <w:rPr>
          <w:color w:val="000000" w:themeColor="text1"/>
        </w:rPr>
        <w:fldChar w:fldCharType="separate"/>
      </w:r>
      <w:r w:rsidRPr="00376B4E">
        <w:rPr>
          <w:color w:val="000000" w:themeColor="text1"/>
        </w:rPr>
        <w:t>31</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MODIFICHE APPORTATE NEL MESE DI MARZO 2013</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_Toc368310168 \h </w:instrText>
      </w:r>
      <w:r w:rsidRPr="00376B4E">
        <w:rPr>
          <w:color w:val="000000" w:themeColor="text1"/>
        </w:rPr>
      </w:r>
      <w:r w:rsidRPr="00376B4E">
        <w:rPr>
          <w:color w:val="000000" w:themeColor="text1"/>
        </w:rPr>
        <w:fldChar w:fldCharType="separate"/>
      </w:r>
      <w:r w:rsidRPr="00376B4E">
        <w:rPr>
          <w:color w:val="000000" w:themeColor="text1"/>
        </w:rPr>
        <w:t>33</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MODIFICHE APPORTATE NEL MESE DI FEBBRAIO 2013</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_Toc368310169 \h </w:instrText>
      </w:r>
      <w:r w:rsidRPr="00376B4E">
        <w:rPr>
          <w:color w:val="000000" w:themeColor="text1"/>
        </w:rPr>
      </w:r>
      <w:r w:rsidRPr="00376B4E">
        <w:rPr>
          <w:color w:val="000000" w:themeColor="text1"/>
        </w:rPr>
        <w:fldChar w:fldCharType="separate"/>
      </w:r>
      <w:r w:rsidRPr="00376B4E">
        <w:rPr>
          <w:color w:val="000000" w:themeColor="text1"/>
        </w:rPr>
        <w:t>34</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MODIFICHE APPORTATE NEL MESE DI GENNAIO 2013</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_Toc368310170 \h </w:instrText>
      </w:r>
      <w:r w:rsidRPr="00376B4E">
        <w:rPr>
          <w:color w:val="000000" w:themeColor="text1"/>
        </w:rPr>
      </w:r>
      <w:r w:rsidRPr="00376B4E">
        <w:rPr>
          <w:color w:val="000000" w:themeColor="text1"/>
        </w:rPr>
        <w:fldChar w:fldCharType="separate"/>
      </w:r>
      <w:r w:rsidRPr="00376B4E">
        <w:rPr>
          <w:color w:val="000000" w:themeColor="text1"/>
        </w:rPr>
        <w:t>34</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MODIFICHE APPORTATE NEL MESE DI DICEMBRE 2012</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_Toc368310171 \h </w:instrText>
      </w:r>
      <w:r w:rsidRPr="00376B4E">
        <w:rPr>
          <w:color w:val="000000" w:themeColor="text1"/>
        </w:rPr>
      </w:r>
      <w:r w:rsidRPr="00376B4E">
        <w:rPr>
          <w:color w:val="000000" w:themeColor="text1"/>
        </w:rPr>
        <w:fldChar w:fldCharType="separate"/>
      </w:r>
      <w:r w:rsidRPr="00376B4E">
        <w:rPr>
          <w:color w:val="000000" w:themeColor="text1"/>
        </w:rPr>
        <w:t>35</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MODIFICHE APPORTATE NEL MESE DI NOVEMBRE 2012</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_Toc368310172 \h </w:instrText>
      </w:r>
      <w:r w:rsidRPr="00376B4E">
        <w:rPr>
          <w:color w:val="000000" w:themeColor="text1"/>
        </w:rPr>
      </w:r>
      <w:r w:rsidRPr="00376B4E">
        <w:rPr>
          <w:color w:val="000000" w:themeColor="text1"/>
        </w:rPr>
        <w:fldChar w:fldCharType="separate"/>
      </w:r>
      <w:r w:rsidRPr="00376B4E">
        <w:rPr>
          <w:color w:val="000000" w:themeColor="text1"/>
        </w:rPr>
        <w:t>37</w:t>
      </w:r>
      <w:r w:rsidRPr="00376B4E">
        <w:rPr>
          <w:color w:val="000000" w:themeColor="text1"/>
        </w:rPr>
        <w:fldChar w:fldCharType="end"/>
      </w:r>
    </w:p>
    <w:p w:rsidR="00376B4E" w:rsidRPr="00376B4E" w:rsidRDefault="00376B4E">
      <w:pPr>
        <w:pStyle w:val="TOC1"/>
        <w:rPr>
          <w:rFonts w:asciiTheme="minorHAnsi" w:eastAsiaTheme="minorEastAsia" w:hAnsiTheme="minorHAnsi" w:cstheme="minorBidi"/>
          <w:b w:val="0"/>
          <w:caps w:val="0"/>
          <w:color w:val="000000" w:themeColor="text1"/>
          <w:szCs w:val="22"/>
        </w:rPr>
      </w:pPr>
      <w:r w:rsidRPr="00376B4E">
        <w:rPr>
          <w:color w:val="000000" w:themeColor="text1"/>
        </w:rPr>
        <w:t>ARTICOLO 2 - PROMOZIONI DI PRODOTTI</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_Toc368310173 \h </w:instrText>
      </w:r>
      <w:r w:rsidRPr="00376B4E">
        <w:rPr>
          <w:color w:val="000000" w:themeColor="text1"/>
        </w:rPr>
      </w:r>
      <w:r w:rsidRPr="00376B4E">
        <w:rPr>
          <w:color w:val="000000" w:themeColor="text1"/>
        </w:rPr>
        <w:fldChar w:fldCharType="separate"/>
      </w:r>
      <w:r w:rsidRPr="00376B4E">
        <w:rPr>
          <w:color w:val="000000" w:themeColor="text1"/>
        </w:rPr>
        <w:t>38</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Microsoft Dynamics AX 2012 R2 - Promozione EA Starter</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_Toc368310174 \h </w:instrText>
      </w:r>
      <w:r w:rsidRPr="00376B4E">
        <w:rPr>
          <w:color w:val="000000" w:themeColor="text1"/>
        </w:rPr>
      </w:r>
      <w:r w:rsidRPr="00376B4E">
        <w:rPr>
          <w:color w:val="000000" w:themeColor="text1"/>
        </w:rPr>
        <w:fldChar w:fldCharType="separate"/>
      </w:r>
      <w:r w:rsidRPr="00376B4E">
        <w:rPr>
          <w:color w:val="000000" w:themeColor="text1"/>
        </w:rPr>
        <w:t>38</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bCs/>
          <w:color w:val="000000" w:themeColor="text1"/>
          <w:bdr w:val="none" w:sz="0" w:space="0" w:color="auto" w:frame="1"/>
          <w:shd w:val="clear" w:color="auto" w:fill="FFFFFF"/>
        </w:rPr>
        <w:t>Promozione di Windows Companion Kickstart</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_Toc368310175 \h </w:instrText>
      </w:r>
      <w:r w:rsidRPr="00376B4E">
        <w:rPr>
          <w:color w:val="000000" w:themeColor="text1"/>
        </w:rPr>
      </w:r>
      <w:r w:rsidRPr="00376B4E">
        <w:rPr>
          <w:color w:val="000000" w:themeColor="text1"/>
        </w:rPr>
        <w:fldChar w:fldCharType="separate"/>
      </w:r>
      <w:r w:rsidRPr="00376B4E">
        <w:rPr>
          <w:color w:val="000000" w:themeColor="text1"/>
        </w:rPr>
        <w:t>38</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eastAsia="Times New Roman" w:cs="Tahoma"/>
          <w:color w:val="000000" w:themeColor="text1"/>
        </w:rPr>
        <w:t>Windows Legalization Drive: mercati Select</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_Toc368310176 \h </w:instrText>
      </w:r>
      <w:r w:rsidRPr="00376B4E">
        <w:rPr>
          <w:color w:val="000000" w:themeColor="text1"/>
        </w:rPr>
      </w:r>
      <w:r w:rsidRPr="00376B4E">
        <w:rPr>
          <w:color w:val="000000" w:themeColor="text1"/>
        </w:rPr>
        <w:fldChar w:fldCharType="separate"/>
      </w:r>
      <w:r w:rsidRPr="00376B4E">
        <w:rPr>
          <w:color w:val="000000" w:themeColor="text1"/>
        </w:rPr>
        <w:t>38</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bCs/>
          <w:color w:val="000000" w:themeColor="text1"/>
          <w:bdr w:val="none" w:sz="0" w:space="0" w:color="auto" w:frame="1"/>
          <w:shd w:val="clear" w:color="auto" w:fill="FFFFFF"/>
        </w:rPr>
        <w:t>Promozione di</w:t>
      </w:r>
      <w:r w:rsidRPr="00376B4E">
        <w:rPr>
          <w:rFonts w:cs="Tahoma"/>
          <w:color w:val="000000" w:themeColor="text1"/>
          <w:bdr w:val="none" w:sz="0" w:space="0" w:color="auto" w:frame="1"/>
          <w:shd w:val="clear" w:color="auto" w:fill="FFFFFF"/>
        </w:rPr>
        <w:t xml:space="preserve"> </w:t>
      </w:r>
      <w:r w:rsidRPr="00376B4E">
        <w:rPr>
          <w:rFonts w:cs="Tahoma"/>
          <w:bCs/>
          <w:color w:val="000000" w:themeColor="text1"/>
          <w:bdr w:val="none" w:sz="0" w:space="0" w:color="auto" w:frame="1"/>
          <w:shd w:val="clear" w:color="auto" w:fill="FFFFFF"/>
        </w:rPr>
        <w:t>Windows Intune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_Toc368310177 \h </w:instrText>
      </w:r>
      <w:r w:rsidRPr="00376B4E">
        <w:rPr>
          <w:color w:val="000000" w:themeColor="text1"/>
        </w:rPr>
      </w:r>
      <w:r w:rsidRPr="00376B4E">
        <w:rPr>
          <w:color w:val="000000" w:themeColor="text1"/>
        </w:rPr>
        <w:fldChar w:fldCharType="separate"/>
      </w:r>
      <w:r w:rsidRPr="00376B4E">
        <w:rPr>
          <w:color w:val="000000" w:themeColor="text1"/>
        </w:rPr>
        <w:t>38</w:t>
      </w:r>
      <w:r w:rsidRPr="00376B4E">
        <w:rPr>
          <w:color w:val="000000" w:themeColor="text1"/>
        </w:rPr>
        <w:fldChar w:fldCharType="end"/>
      </w:r>
    </w:p>
    <w:p w:rsidR="00376B4E" w:rsidRPr="00376B4E" w:rsidRDefault="00376B4E">
      <w:pPr>
        <w:pStyle w:val="TOC1"/>
        <w:rPr>
          <w:rFonts w:asciiTheme="minorHAnsi" w:eastAsiaTheme="minorEastAsia" w:hAnsiTheme="minorHAnsi" w:cstheme="minorBidi"/>
          <w:b w:val="0"/>
          <w:caps w:val="0"/>
          <w:color w:val="000000" w:themeColor="text1"/>
          <w:szCs w:val="22"/>
        </w:rPr>
      </w:pPr>
      <w:r w:rsidRPr="00376B4E">
        <w:rPr>
          <w:color w:val="000000" w:themeColor="text1"/>
        </w:rPr>
        <w:t>ARTICOLO 3 - CONDIZIONI Dei Programmi Multilicenza</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_Toc368310178 \h </w:instrText>
      </w:r>
      <w:r w:rsidRPr="00376B4E">
        <w:rPr>
          <w:color w:val="000000" w:themeColor="text1"/>
        </w:rPr>
      </w:r>
      <w:r w:rsidRPr="00376B4E">
        <w:rPr>
          <w:color w:val="000000" w:themeColor="text1"/>
        </w:rPr>
        <w:fldChar w:fldCharType="separate"/>
      </w:r>
      <w:r w:rsidRPr="00376B4E">
        <w:rPr>
          <w:color w:val="000000" w:themeColor="text1"/>
        </w:rPr>
        <w:t>39</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olor w:val="000000" w:themeColor="text1"/>
        </w:rPr>
        <w:t>Programmi di Contratti Multilicenza Applicabili</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_Toc368310179 \h </w:instrText>
      </w:r>
      <w:r w:rsidRPr="00376B4E">
        <w:rPr>
          <w:color w:val="000000" w:themeColor="text1"/>
        </w:rPr>
      </w:r>
      <w:r w:rsidRPr="00376B4E">
        <w:rPr>
          <w:color w:val="000000" w:themeColor="text1"/>
        </w:rPr>
        <w:fldChar w:fldCharType="separate"/>
      </w:r>
      <w:r w:rsidRPr="00376B4E">
        <w:rPr>
          <w:color w:val="000000" w:themeColor="text1"/>
        </w:rPr>
        <w:t>39</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olor w:val="000000" w:themeColor="text1"/>
        </w:rPr>
        <w:t>Punti e Requisiti Minimi per gli Ordini</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_Toc368310180 \h </w:instrText>
      </w:r>
      <w:r w:rsidRPr="00376B4E">
        <w:rPr>
          <w:color w:val="000000" w:themeColor="text1"/>
        </w:rPr>
      </w:r>
      <w:r w:rsidRPr="00376B4E">
        <w:rPr>
          <w:color w:val="000000" w:themeColor="text1"/>
        </w:rPr>
        <w:fldChar w:fldCharType="separate"/>
      </w:r>
      <w:r w:rsidRPr="00376B4E">
        <w:rPr>
          <w:color w:val="000000" w:themeColor="text1"/>
        </w:rPr>
        <w:t>39</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Requisiti Minimi dell’Ordine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_Toc368310181 \h </w:instrText>
      </w:r>
      <w:r w:rsidRPr="00376B4E">
        <w:rPr>
          <w:color w:val="000000" w:themeColor="text1"/>
        </w:rPr>
      </w:r>
      <w:r w:rsidRPr="00376B4E">
        <w:rPr>
          <w:color w:val="000000" w:themeColor="text1"/>
        </w:rPr>
        <w:fldChar w:fldCharType="separate"/>
      </w:r>
      <w:r w:rsidRPr="00376B4E">
        <w:rPr>
          <w:color w:val="000000" w:themeColor="text1"/>
        </w:rPr>
        <w:t>39</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olor w:val="000000" w:themeColor="text1"/>
        </w:rPr>
        <w:t>Piattaforme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_Toc368310182 \h </w:instrText>
      </w:r>
      <w:r w:rsidRPr="00376B4E">
        <w:rPr>
          <w:color w:val="000000" w:themeColor="text1"/>
        </w:rPr>
      </w:r>
      <w:r w:rsidRPr="00376B4E">
        <w:rPr>
          <w:color w:val="000000" w:themeColor="text1"/>
        </w:rPr>
        <w:fldChar w:fldCharType="separate"/>
      </w:r>
      <w:r w:rsidRPr="00376B4E">
        <w:rPr>
          <w:color w:val="000000" w:themeColor="text1"/>
        </w:rPr>
        <w:t>42</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olor w:val="000000" w:themeColor="text1"/>
        </w:rPr>
        <w:t>Definizione di Gestione per i Dispositivi Qualificanti</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_Toc368310183 \h </w:instrText>
      </w:r>
      <w:r w:rsidRPr="00376B4E">
        <w:rPr>
          <w:color w:val="000000" w:themeColor="text1"/>
        </w:rPr>
      </w:r>
      <w:r w:rsidRPr="00376B4E">
        <w:rPr>
          <w:color w:val="000000" w:themeColor="text1"/>
        </w:rPr>
        <w:fldChar w:fldCharType="separate"/>
      </w:r>
      <w:r w:rsidRPr="00376B4E">
        <w:rPr>
          <w:color w:val="000000" w:themeColor="text1"/>
        </w:rPr>
        <w:t>43</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olor w:val="000000" w:themeColor="text1"/>
        </w:rPr>
        <w:t>Prodotti Qualificati per lo Sconto Up-to-Date (UTD)</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_Toc368310184 \h </w:instrText>
      </w:r>
      <w:r w:rsidRPr="00376B4E">
        <w:rPr>
          <w:color w:val="000000" w:themeColor="text1"/>
        </w:rPr>
      </w:r>
      <w:r w:rsidRPr="00376B4E">
        <w:rPr>
          <w:color w:val="000000" w:themeColor="text1"/>
        </w:rPr>
        <w:fldChar w:fldCharType="separate"/>
      </w:r>
      <w:r w:rsidRPr="00376B4E">
        <w:rPr>
          <w:color w:val="000000" w:themeColor="text1"/>
        </w:rPr>
        <w:t>44</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lastRenderedPageBreak/>
        <w:t>Condizioni Aggiornate per i Programmi Contratto Enterprise e Contratto Subscription</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_Toc368310185 \h </w:instrText>
      </w:r>
      <w:r w:rsidRPr="00376B4E">
        <w:rPr>
          <w:color w:val="000000" w:themeColor="text1"/>
        </w:rPr>
      </w:r>
      <w:r w:rsidRPr="00376B4E">
        <w:rPr>
          <w:color w:val="000000" w:themeColor="text1"/>
        </w:rPr>
        <w:fldChar w:fldCharType="separate"/>
      </w:r>
      <w:r w:rsidRPr="00376B4E">
        <w:rPr>
          <w:color w:val="000000" w:themeColor="text1"/>
        </w:rPr>
        <w:t>45</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Continuità del Servizio per Proroga del Periodo di Validità</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_Toc368310186 \h </w:instrText>
      </w:r>
      <w:r w:rsidRPr="00376B4E">
        <w:rPr>
          <w:color w:val="000000" w:themeColor="text1"/>
        </w:rPr>
      </w:r>
      <w:r w:rsidRPr="00376B4E">
        <w:rPr>
          <w:color w:val="000000" w:themeColor="text1"/>
        </w:rPr>
        <w:fldChar w:fldCharType="separate"/>
      </w:r>
      <w:r w:rsidRPr="00376B4E">
        <w:rPr>
          <w:color w:val="000000" w:themeColor="text1"/>
        </w:rPr>
        <w:t>48</w:t>
      </w:r>
      <w:r w:rsidRPr="00376B4E">
        <w:rPr>
          <w:color w:val="000000" w:themeColor="text1"/>
        </w:rPr>
        <w:fldChar w:fldCharType="end"/>
      </w:r>
    </w:p>
    <w:p w:rsidR="00376B4E" w:rsidRPr="00376B4E" w:rsidRDefault="00376B4E">
      <w:pPr>
        <w:pStyle w:val="TOC1"/>
        <w:rPr>
          <w:rFonts w:asciiTheme="minorHAnsi" w:eastAsiaTheme="minorEastAsia" w:hAnsiTheme="minorHAnsi" w:cstheme="minorBidi"/>
          <w:b w:val="0"/>
          <w:caps w:val="0"/>
          <w:color w:val="000000" w:themeColor="text1"/>
          <w:szCs w:val="22"/>
        </w:rPr>
      </w:pPr>
      <w:r w:rsidRPr="00376B4E">
        <w:rPr>
          <w:color w:val="000000" w:themeColor="text1"/>
        </w:rPr>
        <w:t>ARTICOLO 4 - Tipi di Licenze e Corrispettivi</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_Toc368310187 \h </w:instrText>
      </w:r>
      <w:r w:rsidRPr="00376B4E">
        <w:rPr>
          <w:color w:val="000000" w:themeColor="text1"/>
        </w:rPr>
      </w:r>
      <w:r w:rsidRPr="00376B4E">
        <w:rPr>
          <w:color w:val="000000" w:themeColor="text1"/>
        </w:rPr>
        <w:fldChar w:fldCharType="separate"/>
      </w:r>
      <w:r w:rsidRPr="00376B4E">
        <w:rPr>
          <w:color w:val="000000" w:themeColor="text1"/>
        </w:rPr>
        <w:t>49</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Corrispettivi</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_Toc368310188 \h </w:instrText>
      </w:r>
      <w:r w:rsidRPr="00376B4E">
        <w:rPr>
          <w:color w:val="000000" w:themeColor="text1"/>
        </w:rPr>
      </w:r>
      <w:r w:rsidRPr="00376B4E">
        <w:rPr>
          <w:color w:val="000000" w:themeColor="text1"/>
        </w:rPr>
        <w:fldChar w:fldCharType="separate"/>
      </w:r>
      <w:r w:rsidRPr="00376B4E">
        <w:rPr>
          <w:color w:val="000000" w:themeColor="text1"/>
        </w:rPr>
        <w:t>49</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Licenza</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_Toc368310189 \h </w:instrText>
      </w:r>
      <w:r w:rsidRPr="00376B4E">
        <w:rPr>
          <w:color w:val="000000" w:themeColor="text1"/>
        </w:rPr>
      </w:r>
      <w:r w:rsidRPr="00376B4E">
        <w:rPr>
          <w:color w:val="000000" w:themeColor="text1"/>
        </w:rPr>
        <w:fldChar w:fldCharType="separate"/>
      </w:r>
      <w:r w:rsidRPr="00376B4E">
        <w:rPr>
          <w:color w:val="000000" w:themeColor="text1"/>
        </w:rPr>
        <w:t>49</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Licenza e Software Assurance (L&amp;SA)</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_Toc368310190 \h </w:instrText>
      </w:r>
      <w:r w:rsidRPr="00376B4E">
        <w:rPr>
          <w:color w:val="000000" w:themeColor="text1"/>
        </w:rPr>
      </w:r>
      <w:r w:rsidRPr="00376B4E">
        <w:rPr>
          <w:color w:val="000000" w:themeColor="text1"/>
        </w:rPr>
        <w:fldChar w:fldCharType="separate"/>
      </w:r>
      <w:r w:rsidRPr="00376B4E">
        <w:rPr>
          <w:color w:val="000000" w:themeColor="text1"/>
        </w:rPr>
        <w:t>49</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Software Assurance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_Toc368310191 \h </w:instrText>
      </w:r>
      <w:r w:rsidRPr="00376B4E">
        <w:rPr>
          <w:color w:val="000000" w:themeColor="text1"/>
        </w:rPr>
      </w:r>
      <w:r w:rsidRPr="00376B4E">
        <w:rPr>
          <w:color w:val="000000" w:themeColor="text1"/>
        </w:rPr>
        <w:fldChar w:fldCharType="separate"/>
      </w:r>
      <w:r w:rsidRPr="00376B4E">
        <w:rPr>
          <w:color w:val="000000" w:themeColor="text1"/>
        </w:rPr>
        <w:t>49</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Licenze Step-Up</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_Toc368310192 \h </w:instrText>
      </w:r>
      <w:r w:rsidRPr="00376B4E">
        <w:rPr>
          <w:color w:val="000000" w:themeColor="text1"/>
        </w:rPr>
      </w:r>
      <w:r w:rsidRPr="00376B4E">
        <w:rPr>
          <w:color w:val="000000" w:themeColor="text1"/>
        </w:rPr>
        <w:fldChar w:fldCharType="separate"/>
      </w:r>
      <w:r w:rsidRPr="00376B4E">
        <w:rPr>
          <w:color w:val="000000" w:themeColor="text1"/>
        </w:rPr>
        <w:t>51</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Licenze “Subscription”</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_Toc368310193 \h </w:instrText>
      </w:r>
      <w:r w:rsidRPr="00376B4E">
        <w:rPr>
          <w:color w:val="000000" w:themeColor="text1"/>
        </w:rPr>
      </w:r>
      <w:r w:rsidRPr="00376B4E">
        <w:rPr>
          <w:color w:val="000000" w:themeColor="text1"/>
        </w:rPr>
        <w:fldChar w:fldCharType="separate"/>
      </w:r>
      <w:r w:rsidRPr="00376B4E">
        <w:rPr>
          <w:color w:val="000000" w:themeColor="text1"/>
        </w:rPr>
        <w:t>51</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Aggiornamento</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_Toc368310194 \h </w:instrText>
      </w:r>
      <w:r w:rsidRPr="00376B4E">
        <w:rPr>
          <w:color w:val="000000" w:themeColor="text1"/>
        </w:rPr>
      </w:r>
      <w:r w:rsidRPr="00376B4E">
        <w:rPr>
          <w:color w:val="000000" w:themeColor="text1"/>
        </w:rPr>
        <w:fldChar w:fldCharType="separate"/>
      </w:r>
      <w:r w:rsidRPr="00376B4E">
        <w:rPr>
          <w:color w:val="000000" w:themeColor="text1"/>
        </w:rPr>
        <w:t>51</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Aggiornamento e Software Assurance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_Toc368310195 \h </w:instrText>
      </w:r>
      <w:r w:rsidRPr="00376B4E">
        <w:rPr>
          <w:color w:val="000000" w:themeColor="text1"/>
        </w:rPr>
      </w:r>
      <w:r w:rsidRPr="00376B4E">
        <w:rPr>
          <w:color w:val="000000" w:themeColor="text1"/>
        </w:rPr>
        <w:fldChar w:fldCharType="separate"/>
      </w:r>
      <w:r w:rsidRPr="00376B4E">
        <w:rPr>
          <w:color w:val="000000" w:themeColor="text1"/>
        </w:rPr>
        <w:t>52</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Licenze Work at Home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_Toc368310196 \h </w:instrText>
      </w:r>
      <w:r w:rsidRPr="00376B4E">
        <w:rPr>
          <w:color w:val="000000" w:themeColor="text1"/>
        </w:rPr>
      </w:r>
      <w:r w:rsidRPr="00376B4E">
        <w:rPr>
          <w:color w:val="000000" w:themeColor="text1"/>
        </w:rPr>
        <w:fldChar w:fldCharType="separate"/>
      </w:r>
      <w:r w:rsidRPr="00376B4E">
        <w:rPr>
          <w:color w:val="000000" w:themeColor="text1"/>
        </w:rPr>
        <w:t>52</w:t>
      </w:r>
      <w:r w:rsidRPr="00376B4E">
        <w:rPr>
          <w:color w:val="000000" w:themeColor="text1"/>
        </w:rPr>
        <w:fldChar w:fldCharType="end"/>
      </w:r>
    </w:p>
    <w:p w:rsidR="00376B4E" w:rsidRPr="00376B4E" w:rsidRDefault="00376B4E">
      <w:pPr>
        <w:pStyle w:val="TOC1"/>
        <w:rPr>
          <w:rFonts w:asciiTheme="minorHAnsi" w:eastAsiaTheme="minorEastAsia" w:hAnsiTheme="minorHAnsi" w:cstheme="minorBidi"/>
          <w:b w:val="0"/>
          <w:caps w:val="0"/>
          <w:color w:val="000000" w:themeColor="text1"/>
          <w:szCs w:val="22"/>
        </w:rPr>
      </w:pPr>
      <w:r w:rsidRPr="00376B4E">
        <w:rPr>
          <w:color w:val="000000" w:themeColor="text1"/>
        </w:rPr>
        <w:t>Articolo 5 - PREZZI DEI SERVIZI ONLINE e CONDIZIONI DI PAGAMENTO</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_Toc368310197 \h </w:instrText>
      </w:r>
      <w:r w:rsidRPr="00376B4E">
        <w:rPr>
          <w:color w:val="000000" w:themeColor="text1"/>
        </w:rPr>
      </w:r>
      <w:r w:rsidRPr="00376B4E">
        <w:rPr>
          <w:color w:val="000000" w:themeColor="text1"/>
        </w:rPr>
        <w:fldChar w:fldCharType="separate"/>
      </w:r>
      <w:r w:rsidRPr="00376B4E">
        <w:rPr>
          <w:color w:val="000000" w:themeColor="text1"/>
        </w:rPr>
        <w:t>53</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Prezzi dei Servizi Online e Condizioni di Pagamento</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_Toc368310198 \h </w:instrText>
      </w:r>
      <w:r w:rsidRPr="00376B4E">
        <w:rPr>
          <w:color w:val="000000" w:themeColor="text1"/>
        </w:rPr>
      </w:r>
      <w:r w:rsidRPr="00376B4E">
        <w:rPr>
          <w:color w:val="000000" w:themeColor="text1"/>
        </w:rPr>
        <w:fldChar w:fldCharType="separate"/>
      </w:r>
      <w:r w:rsidRPr="00376B4E">
        <w:rPr>
          <w:color w:val="000000" w:themeColor="text1"/>
        </w:rPr>
        <w:t>53</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Periodo di Validità dell’Abbonamento ai Servizi Online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_Toc368310199 \h </w:instrText>
      </w:r>
      <w:r w:rsidRPr="00376B4E">
        <w:rPr>
          <w:color w:val="000000" w:themeColor="text1"/>
        </w:rPr>
      </w:r>
      <w:r w:rsidRPr="00376B4E">
        <w:rPr>
          <w:color w:val="000000" w:themeColor="text1"/>
        </w:rPr>
        <w:fldChar w:fldCharType="separate"/>
      </w:r>
      <w:r w:rsidRPr="00376B4E">
        <w:rPr>
          <w:color w:val="000000" w:themeColor="text1"/>
        </w:rPr>
        <w:t>54</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Acquisti e Rinnovo Automatico di Servizi Online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_Toc368310200 \h </w:instrText>
      </w:r>
      <w:r w:rsidRPr="00376B4E">
        <w:rPr>
          <w:color w:val="000000" w:themeColor="text1"/>
        </w:rPr>
      </w:r>
      <w:r w:rsidRPr="00376B4E">
        <w:rPr>
          <w:color w:val="000000" w:themeColor="text1"/>
        </w:rPr>
        <w:fldChar w:fldCharType="separate"/>
      </w:r>
      <w:r w:rsidRPr="00376B4E">
        <w:rPr>
          <w:color w:val="000000" w:themeColor="text1"/>
        </w:rPr>
        <w:t>55</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Gestione degli Stati di Rinnovo e di Rinnovo Automatico</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_Toc368310201 \h </w:instrText>
      </w:r>
      <w:r w:rsidRPr="00376B4E">
        <w:rPr>
          <w:color w:val="000000" w:themeColor="text1"/>
        </w:rPr>
      </w:r>
      <w:r w:rsidRPr="00376B4E">
        <w:rPr>
          <w:color w:val="000000" w:themeColor="text1"/>
        </w:rPr>
        <w:fldChar w:fldCharType="separate"/>
      </w:r>
      <w:r w:rsidRPr="00376B4E">
        <w:rPr>
          <w:color w:val="000000" w:themeColor="text1"/>
        </w:rPr>
        <w:t>55</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Annullamento dei Servizi Online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_Toc368310202 \h </w:instrText>
      </w:r>
      <w:r w:rsidRPr="00376B4E">
        <w:rPr>
          <w:color w:val="000000" w:themeColor="text1"/>
        </w:rPr>
      </w:r>
      <w:r w:rsidRPr="00376B4E">
        <w:rPr>
          <w:color w:val="000000" w:themeColor="text1"/>
        </w:rPr>
        <w:fldChar w:fldCharType="separate"/>
      </w:r>
      <w:r w:rsidRPr="00376B4E">
        <w:rPr>
          <w:color w:val="000000" w:themeColor="text1"/>
        </w:rPr>
        <w:t>55</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Opzioni relative alle Condizioni di Pagamento dei Servizi Online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_Toc368310203 \h </w:instrText>
      </w:r>
      <w:r w:rsidRPr="00376B4E">
        <w:rPr>
          <w:color w:val="000000" w:themeColor="text1"/>
        </w:rPr>
      </w:r>
      <w:r w:rsidRPr="00376B4E">
        <w:rPr>
          <w:color w:val="000000" w:themeColor="text1"/>
        </w:rPr>
        <w:fldChar w:fldCharType="separate"/>
      </w:r>
      <w:r w:rsidRPr="00376B4E">
        <w:rPr>
          <w:color w:val="000000" w:themeColor="text1"/>
        </w:rPr>
        <w:t>55</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Requisiti di Acquisto Minimo per i Servizi Online in Volume Licensing</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_Toc368310204 \h </w:instrText>
      </w:r>
      <w:r w:rsidRPr="00376B4E">
        <w:rPr>
          <w:color w:val="000000" w:themeColor="text1"/>
        </w:rPr>
      </w:r>
      <w:r w:rsidRPr="00376B4E">
        <w:rPr>
          <w:color w:val="000000" w:themeColor="text1"/>
        </w:rPr>
        <w:fldChar w:fldCharType="separate"/>
      </w:r>
      <w:r w:rsidRPr="00376B4E">
        <w:rPr>
          <w:color w:val="000000" w:themeColor="text1"/>
        </w:rPr>
        <w:t>56</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olor w:val="000000" w:themeColor="text1"/>
        </w:rPr>
        <w:t>Servizi Windows Azure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_Toc368310205 \h </w:instrText>
      </w:r>
      <w:r w:rsidRPr="00376B4E">
        <w:rPr>
          <w:color w:val="000000" w:themeColor="text1"/>
        </w:rPr>
      </w:r>
      <w:r w:rsidRPr="00376B4E">
        <w:rPr>
          <w:color w:val="000000" w:themeColor="text1"/>
        </w:rPr>
        <w:fldChar w:fldCharType="separate"/>
      </w:r>
      <w:r w:rsidRPr="00376B4E">
        <w:rPr>
          <w:color w:val="000000" w:themeColor="text1"/>
        </w:rPr>
        <w:t>56</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Disponibilità internazionale del Servizio Online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_Toc368310206 \h </w:instrText>
      </w:r>
      <w:r w:rsidRPr="00376B4E">
        <w:rPr>
          <w:color w:val="000000" w:themeColor="text1"/>
        </w:rPr>
      </w:r>
      <w:r w:rsidRPr="00376B4E">
        <w:rPr>
          <w:color w:val="000000" w:themeColor="text1"/>
        </w:rPr>
        <w:fldChar w:fldCharType="separate"/>
      </w:r>
      <w:r w:rsidRPr="00376B4E">
        <w:rPr>
          <w:color w:val="000000" w:themeColor="text1"/>
        </w:rPr>
        <w:t>58</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Condizioni Aggiuntive per i Servizi Online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_Toc368310207 \h </w:instrText>
      </w:r>
      <w:r w:rsidRPr="00376B4E">
        <w:rPr>
          <w:color w:val="000000" w:themeColor="text1"/>
        </w:rPr>
      </w:r>
      <w:r w:rsidRPr="00376B4E">
        <w:rPr>
          <w:color w:val="000000" w:themeColor="text1"/>
        </w:rPr>
        <w:fldChar w:fldCharType="separate"/>
      </w:r>
      <w:r w:rsidRPr="00376B4E">
        <w:rPr>
          <w:color w:val="000000" w:themeColor="text1"/>
        </w:rPr>
        <w:t>58</w:t>
      </w:r>
      <w:r w:rsidRPr="00376B4E">
        <w:rPr>
          <w:color w:val="000000" w:themeColor="text1"/>
        </w:rPr>
        <w:fldChar w:fldCharType="end"/>
      </w:r>
    </w:p>
    <w:p w:rsidR="00376B4E" w:rsidRPr="00376B4E" w:rsidRDefault="00376B4E">
      <w:pPr>
        <w:pStyle w:val="TOC1"/>
        <w:rPr>
          <w:rFonts w:asciiTheme="minorHAnsi" w:eastAsiaTheme="minorEastAsia" w:hAnsiTheme="minorHAnsi" w:cstheme="minorBidi"/>
          <w:b w:val="0"/>
          <w:caps w:val="0"/>
          <w:color w:val="000000" w:themeColor="text1"/>
          <w:szCs w:val="22"/>
        </w:rPr>
      </w:pPr>
      <w:r w:rsidRPr="00376B4E">
        <w:rPr>
          <w:color w:val="000000" w:themeColor="text1"/>
        </w:rPr>
        <w:t>ARTICOLO 6 - Regole per il Rinnovo di Software Assurance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_Toc368310208 \h </w:instrText>
      </w:r>
      <w:r w:rsidRPr="00376B4E">
        <w:rPr>
          <w:color w:val="000000" w:themeColor="text1"/>
        </w:rPr>
      </w:r>
      <w:r w:rsidRPr="00376B4E">
        <w:rPr>
          <w:color w:val="000000" w:themeColor="text1"/>
        </w:rPr>
        <w:fldChar w:fldCharType="separate"/>
      </w:r>
      <w:r w:rsidRPr="00376B4E">
        <w:rPr>
          <w:color w:val="000000" w:themeColor="text1"/>
        </w:rPr>
        <w:t>59</w:t>
      </w:r>
      <w:r w:rsidRPr="00376B4E">
        <w:rPr>
          <w:color w:val="000000" w:themeColor="text1"/>
        </w:rPr>
        <w:fldChar w:fldCharType="end"/>
      </w:r>
    </w:p>
    <w:p w:rsidR="00376B4E" w:rsidRPr="00376B4E" w:rsidRDefault="00376B4E">
      <w:pPr>
        <w:pStyle w:val="TOC4"/>
        <w:rPr>
          <w:rFonts w:asciiTheme="minorHAnsi" w:eastAsiaTheme="minorEastAsia" w:hAnsiTheme="minorHAnsi" w:cstheme="minorBidi"/>
          <w:noProof/>
          <w:color w:val="000000" w:themeColor="text1"/>
          <w:sz w:val="22"/>
          <w:szCs w:val="22"/>
        </w:rPr>
      </w:pPr>
      <w:r w:rsidRPr="00376B4E">
        <w:rPr>
          <w:rFonts w:cs="Tahoma"/>
          <w:noProof/>
          <w:color w:val="000000" w:themeColor="text1"/>
        </w:rPr>
        <w:t>Licenza Open</w:t>
      </w:r>
      <w:r w:rsidRPr="00376B4E">
        <w:rPr>
          <w:noProof/>
          <w:color w:val="000000" w:themeColor="text1"/>
        </w:rPr>
        <w:tab/>
      </w:r>
      <w:r w:rsidRPr="00376B4E">
        <w:rPr>
          <w:noProof/>
          <w:color w:val="000000" w:themeColor="text1"/>
        </w:rPr>
        <w:fldChar w:fldCharType="begin"/>
      </w:r>
      <w:r w:rsidRPr="00376B4E">
        <w:rPr>
          <w:noProof/>
          <w:color w:val="000000" w:themeColor="text1"/>
        </w:rPr>
        <w:instrText xml:space="preserve"> PAGEREF _Toc368310209 \h </w:instrText>
      </w:r>
      <w:r w:rsidRPr="00376B4E">
        <w:rPr>
          <w:noProof/>
          <w:color w:val="000000" w:themeColor="text1"/>
        </w:rPr>
      </w:r>
      <w:r w:rsidRPr="00376B4E">
        <w:rPr>
          <w:noProof/>
          <w:color w:val="000000" w:themeColor="text1"/>
        </w:rPr>
        <w:fldChar w:fldCharType="separate"/>
      </w:r>
      <w:r w:rsidRPr="00376B4E">
        <w:rPr>
          <w:noProof/>
          <w:color w:val="000000" w:themeColor="text1"/>
        </w:rPr>
        <w:t>59</w:t>
      </w:r>
      <w:r w:rsidRPr="00376B4E">
        <w:rPr>
          <w:noProof/>
          <w:color w:val="000000" w:themeColor="text1"/>
        </w:rPr>
        <w:fldChar w:fldCharType="end"/>
      </w:r>
    </w:p>
    <w:p w:rsidR="00376B4E" w:rsidRPr="00376B4E" w:rsidRDefault="00376B4E">
      <w:pPr>
        <w:pStyle w:val="TOC4"/>
        <w:rPr>
          <w:rFonts w:asciiTheme="minorHAnsi" w:eastAsiaTheme="minorEastAsia" w:hAnsiTheme="minorHAnsi" w:cstheme="minorBidi"/>
          <w:noProof/>
          <w:color w:val="000000" w:themeColor="text1"/>
          <w:sz w:val="22"/>
          <w:szCs w:val="22"/>
        </w:rPr>
      </w:pPr>
      <w:r w:rsidRPr="00376B4E">
        <w:rPr>
          <w:rFonts w:cs="Tahoma"/>
          <w:noProof/>
          <w:color w:val="000000" w:themeColor="text1"/>
        </w:rPr>
        <w:t>Open Value 20xx</w:t>
      </w:r>
      <w:r w:rsidRPr="00376B4E">
        <w:rPr>
          <w:noProof/>
          <w:color w:val="000000" w:themeColor="text1"/>
        </w:rPr>
        <w:tab/>
      </w:r>
      <w:r w:rsidRPr="00376B4E">
        <w:rPr>
          <w:noProof/>
          <w:color w:val="000000" w:themeColor="text1"/>
        </w:rPr>
        <w:fldChar w:fldCharType="begin"/>
      </w:r>
      <w:r w:rsidRPr="00376B4E">
        <w:rPr>
          <w:noProof/>
          <w:color w:val="000000" w:themeColor="text1"/>
        </w:rPr>
        <w:instrText xml:space="preserve"> PAGEREF _Toc368310210 \h </w:instrText>
      </w:r>
      <w:r w:rsidRPr="00376B4E">
        <w:rPr>
          <w:noProof/>
          <w:color w:val="000000" w:themeColor="text1"/>
        </w:rPr>
      </w:r>
      <w:r w:rsidRPr="00376B4E">
        <w:rPr>
          <w:noProof/>
          <w:color w:val="000000" w:themeColor="text1"/>
        </w:rPr>
        <w:fldChar w:fldCharType="separate"/>
      </w:r>
      <w:r w:rsidRPr="00376B4E">
        <w:rPr>
          <w:noProof/>
          <w:color w:val="000000" w:themeColor="text1"/>
        </w:rPr>
        <w:t>59</w:t>
      </w:r>
      <w:r w:rsidRPr="00376B4E">
        <w:rPr>
          <w:noProof/>
          <w:color w:val="000000" w:themeColor="text1"/>
        </w:rPr>
        <w:fldChar w:fldCharType="end"/>
      </w:r>
    </w:p>
    <w:p w:rsidR="00376B4E" w:rsidRPr="00376B4E" w:rsidRDefault="00376B4E">
      <w:pPr>
        <w:pStyle w:val="TOC4"/>
        <w:rPr>
          <w:rFonts w:asciiTheme="minorHAnsi" w:eastAsiaTheme="minorEastAsia" w:hAnsiTheme="minorHAnsi" w:cstheme="minorBidi"/>
          <w:noProof/>
          <w:color w:val="000000" w:themeColor="text1"/>
          <w:sz w:val="22"/>
          <w:szCs w:val="22"/>
        </w:rPr>
      </w:pPr>
      <w:r w:rsidRPr="00376B4E">
        <w:rPr>
          <w:rFonts w:cs="Tahoma"/>
          <w:noProof/>
          <w:color w:val="000000" w:themeColor="text1"/>
        </w:rPr>
        <w:t>Select 20xx</w:t>
      </w:r>
      <w:r w:rsidRPr="00376B4E">
        <w:rPr>
          <w:noProof/>
          <w:color w:val="000000" w:themeColor="text1"/>
        </w:rPr>
        <w:tab/>
      </w:r>
      <w:r w:rsidRPr="00376B4E">
        <w:rPr>
          <w:noProof/>
          <w:color w:val="000000" w:themeColor="text1"/>
        </w:rPr>
        <w:fldChar w:fldCharType="begin"/>
      </w:r>
      <w:r w:rsidRPr="00376B4E">
        <w:rPr>
          <w:noProof/>
          <w:color w:val="000000" w:themeColor="text1"/>
        </w:rPr>
        <w:instrText xml:space="preserve"> PAGEREF _Toc368310211 \h </w:instrText>
      </w:r>
      <w:r w:rsidRPr="00376B4E">
        <w:rPr>
          <w:noProof/>
          <w:color w:val="000000" w:themeColor="text1"/>
        </w:rPr>
      </w:r>
      <w:r w:rsidRPr="00376B4E">
        <w:rPr>
          <w:noProof/>
          <w:color w:val="000000" w:themeColor="text1"/>
        </w:rPr>
        <w:fldChar w:fldCharType="separate"/>
      </w:r>
      <w:r w:rsidRPr="00376B4E">
        <w:rPr>
          <w:noProof/>
          <w:color w:val="000000" w:themeColor="text1"/>
        </w:rPr>
        <w:t>59</w:t>
      </w:r>
      <w:r w:rsidRPr="00376B4E">
        <w:rPr>
          <w:noProof/>
          <w:color w:val="000000" w:themeColor="text1"/>
        </w:rPr>
        <w:fldChar w:fldCharType="end"/>
      </w:r>
    </w:p>
    <w:p w:rsidR="00376B4E" w:rsidRPr="00376B4E" w:rsidRDefault="00376B4E">
      <w:pPr>
        <w:pStyle w:val="TOC4"/>
        <w:rPr>
          <w:rFonts w:asciiTheme="minorHAnsi" w:eastAsiaTheme="minorEastAsia" w:hAnsiTheme="minorHAnsi" w:cstheme="minorBidi"/>
          <w:noProof/>
          <w:color w:val="000000" w:themeColor="text1"/>
          <w:sz w:val="22"/>
          <w:szCs w:val="22"/>
        </w:rPr>
      </w:pPr>
      <w:r w:rsidRPr="00376B4E">
        <w:rPr>
          <w:rFonts w:cs="Tahoma"/>
          <w:noProof/>
          <w:color w:val="000000" w:themeColor="text1"/>
        </w:rPr>
        <w:t>Rinnovo della Copertura ai sensi del Medesimo Contratto</w:t>
      </w:r>
      <w:r w:rsidRPr="00376B4E">
        <w:rPr>
          <w:noProof/>
          <w:color w:val="000000" w:themeColor="text1"/>
        </w:rPr>
        <w:tab/>
      </w:r>
      <w:r w:rsidRPr="00376B4E">
        <w:rPr>
          <w:noProof/>
          <w:color w:val="000000" w:themeColor="text1"/>
        </w:rPr>
        <w:fldChar w:fldCharType="begin"/>
      </w:r>
      <w:r w:rsidRPr="00376B4E">
        <w:rPr>
          <w:noProof/>
          <w:color w:val="000000" w:themeColor="text1"/>
        </w:rPr>
        <w:instrText xml:space="preserve"> PAGEREF _Toc368310212 \h </w:instrText>
      </w:r>
      <w:r w:rsidRPr="00376B4E">
        <w:rPr>
          <w:noProof/>
          <w:color w:val="000000" w:themeColor="text1"/>
        </w:rPr>
      </w:r>
      <w:r w:rsidRPr="00376B4E">
        <w:rPr>
          <w:noProof/>
          <w:color w:val="000000" w:themeColor="text1"/>
        </w:rPr>
        <w:fldChar w:fldCharType="separate"/>
      </w:r>
      <w:r w:rsidRPr="00376B4E">
        <w:rPr>
          <w:noProof/>
          <w:color w:val="000000" w:themeColor="text1"/>
        </w:rPr>
        <w:t>59</w:t>
      </w:r>
      <w:r w:rsidRPr="00376B4E">
        <w:rPr>
          <w:noProof/>
          <w:color w:val="000000" w:themeColor="text1"/>
        </w:rPr>
        <w:fldChar w:fldCharType="end"/>
      </w:r>
    </w:p>
    <w:p w:rsidR="00376B4E" w:rsidRPr="00376B4E" w:rsidRDefault="00376B4E">
      <w:pPr>
        <w:pStyle w:val="TOC4"/>
        <w:rPr>
          <w:rFonts w:asciiTheme="minorHAnsi" w:eastAsiaTheme="minorEastAsia" w:hAnsiTheme="minorHAnsi" w:cstheme="minorBidi"/>
          <w:noProof/>
          <w:color w:val="000000" w:themeColor="text1"/>
          <w:sz w:val="22"/>
          <w:szCs w:val="22"/>
        </w:rPr>
      </w:pPr>
      <w:r w:rsidRPr="00376B4E">
        <w:rPr>
          <w:rFonts w:cs="Tahoma"/>
          <w:noProof/>
          <w:color w:val="000000" w:themeColor="text1"/>
        </w:rPr>
        <w:t>Rinnovo della Copertura con un Contratto Separato</w:t>
      </w:r>
      <w:r w:rsidRPr="00376B4E">
        <w:rPr>
          <w:noProof/>
          <w:color w:val="000000" w:themeColor="text1"/>
        </w:rPr>
        <w:tab/>
      </w:r>
      <w:r w:rsidRPr="00376B4E">
        <w:rPr>
          <w:noProof/>
          <w:color w:val="000000" w:themeColor="text1"/>
        </w:rPr>
        <w:fldChar w:fldCharType="begin"/>
      </w:r>
      <w:r w:rsidRPr="00376B4E">
        <w:rPr>
          <w:noProof/>
          <w:color w:val="000000" w:themeColor="text1"/>
        </w:rPr>
        <w:instrText xml:space="preserve"> PAGEREF _Toc368310213 \h </w:instrText>
      </w:r>
      <w:r w:rsidRPr="00376B4E">
        <w:rPr>
          <w:noProof/>
          <w:color w:val="000000" w:themeColor="text1"/>
        </w:rPr>
      </w:r>
      <w:r w:rsidRPr="00376B4E">
        <w:rPr>
          <w:noProof/>
          <w:color w:val="000000" w:themeColor="text1"/>
        </w:rPr>
        <w:fldChar w:fldCharType="separate"/>
      </w:r>
      <w:r w:rsidRPr="00376B4E">
        <w:rPr>
          <w:noProof/>
          <w:color w:val="000000" w:themeColor="text1"/>
        </w:rPr>
        <w:t>60</w:t>
      </w:r>
      <w:r w:rsidRPr="00376B4E">
        <w:rPr>
          <w:noProof/>
          <w:color w:val="000000" w:themeColor="text1"/>
        </w:rPr>
        <w:fldChar w:fldCharType="end"/>
      </w:r>
    </w:p>
    <w:p w:rsidR="00376B4E" w:rsidRPr="00376B4E" w:rsidRDefault="00376B4E">
      <w:pPr>
        <w:pStyle w:val="TOC4"/>
        <w:rPr>
          <w:rFonts w:asciiTheme="minorHAnsi" w:eastAsiaTheme="minorEastAsia" w:hAnsiTheme="minorHAnsi" w:cstheme="minorBidi"/>
          <w:noProof/>
          <w:color w:val="000000" w:themeColor="text1"/>
          <w:sz w:val="22"/>
          <w:szCs w:val="22"/>
        </w:rPr>
      </w:pPr>
      <w:r w:rsidRPr="00376B4E">
        <w:rPr>
          <w:rFonts w:cs="Tahoma"/>
          <w:noProof/>
          <w:color w:val="000000" w:themeColor="text1"/>
        </w:rPr>
        <w:t>Select Plus 20xx</w:t>
      </w:r>
      <w:r w:rsidRPr="00376B4E">
        <w:rPr>
          <w:noProof/>
          <w:color w:val="000000" w:themeColor="text1"/>
        </w:rPr>
        <w:tab/>
      </w:r>
      <w:r w:rsidRPr="00376B4E">
        <w:rPr>
          <w:noProof/>
          <w:color w:val="000000" w:themeColor="text1"/>
        </w:rPr>
        <w:fldChar w:fldCharType="begin"/>
      </w:r>
      <w:r w:rsidRPr="00376B4E">
        <w:rPr>
          <w:noProof/>
          <w:color w:val="000000" w:themeColor="text1"/>
        </w:rPr>
        <w:instrText xml:space="preserve"> PAGEREF _Toc368310214 \h </w:instrText>
      </w:r>
      <w:r w:rsidRPr="00376B4E">
        <w:rPr>
          <w:noProof/>
          <w:color w:val="000000" w:themeColor="text1"/>
        </w:rPr>
      </w:r>
      <w:r w:rsidRPr="00376B4E">
        <w:rPr>
          <w:noProof/>
          <w:color w:val="000000" w:themeColor="text1"/>
        </w:rPr>
        <w:fldChar w:fldCharType="separate"/>
      </w:r>
      <w:r w:rsidRPr="00376B4E">
        <w:rPr>
          <w:noProof/>
          <w:color w:val="000000" w:themeColor="text1"/>
        </w:rPr>
        <w:t>60</w:t>
      </w:r>
      <w:r w:rsidRPr="00376B4E">
        <w:rPr>
          <w:noProof/>
          <w:color w:val="000000" w:themeColor="text1"/>
        </w:rPr>
        <w:fldChar w:fldCharType="end"/>
      </w:r>
    </w:p>
    <w:p w:rsidR="00376B4E" w:rsidRPr="00376B4E" w:rsidRDefault="00376B4E">
      <w:pPr>
        <w:pStyle w:val="TOC4"/>
        <w:rPr>
          <w:rFonts w:asciiTheme="minorHAnsi" w:eastAsiaTheme="minorEastAsia" w:hAnsiTheme="minorHAnsi" w:cstheme="minorBidi"/>
          <w:noProof/>
          <w:color w:val="000000" w:themeColor="text1"/>
          <w:sz w:val="22"/>
          <w:szCs w:val="22"/>
        </w:rPr>
      </w:pPr>
      <w:r w:rsidRPr="00376B4E">
        <w:rPr>
          <w:rFonts w:cs="Tahoma"/>
          <w:noProof/>
          <w:color w:val="000000" w:themeColor="text1"/>
        </w:rPr>
        <w:t>Contratto Enterprise 2011 e versioni successive</w:t>
      </w:r>
      <w:r w:rsidRPr="00376B4E">
        <w:rPr>
          <w:noProof/>
          <w:color w:val="000000" w:themeColor="text1"/>
        </w:rPr>
        <w:tab/>
      </w:r>
      <w:r w:rsidRPr="00376B4E">
        <w:rPr>
          <w:noProof/>
          <w:color w:val="000000" w:themeColor="text1"/>
        </w:rPr>
        <w:fldChar w:fldCharType="begin"/>
      </w:r>
      <w:r w:rsidRPr="00376B4E">
        <w:rPr>
          <w:noProof/>
          <w:color w:val="000000" w:themeColor="text1"/>
        </w:rPr>
        <w:instrText xml:space="preserve"> PAGEREF _Toc368310215 \h </w:instrText>
      </w:r>
      <w:r w:rsidRPr="00376B4E">
        <w:rPr>
          <w:noProof/>
          <w:color w:val="000000" w:themeColor="text1"/>
        </w:rPr>
      </w:r>
      <w:r w:rsidRPr="00376B4E">
        <w:rPr>
          <w:noProof/>
          <w:color w:val="000000" w:themeColor="text1"/>
        </w:rPr>
        <w:fldChar w:fldCharType="separate"/>
      </w:r>
      <w:r w:rsidRPr="00376B4E">
        <w:rPr>
          <w:noProof/>
          <w:color w:val="000000" w:themeColor="text1"/>
        </w:rPr>
        <w:t>60</w:t>
      </w:r>
      <w:r w:rsidRPr="00376B4E">
        <w:rPr>
          <w:noProof/>
          <w:color w:val="000000" w:themeColor="text1"/>
        </w:rPr>
        <w:fldChar w:fldCharType="end"/>
      </w:r>
    </w:p>
    <w:p w:rsidR="00376B4E" w:rsidRPr="00376B4E" w:rsidRDefault="00376B4E">
      <w:pPr>
        <w:pStyle w:val="TOC4"/>
        <w:rPr>
          <w:rFonts w:asciiTheme="minorHAnsi" w:eastAsiaTheme="minorEastAsia" w:hAnsiTheme="minorHAnsi" w:cstheme="minorBidi"/>
          <w:noProof/>
          <w:color w:val="000000" w:themeColor="text1"/>
          <w:sz w:val="22"/>
          <w:szCs w:val="22"/>
        </w:rPr>
      </w:pPr>
      <w:r w:rsidRPr="00376B4E">
        <w:rPr>
          <w:rFonts w:cs="Tahoma"/>
          <w:noProof/>
          <w:color w:val="000000" w:themeColor="text1"/>
        </w:rPr>
        <w:t>Contratto Enterprise Prima del 2011</w:t>
      </w:r>
      <w:r w:rsidRPr="00376B4E">
        <w:rPr>
          <w:noProof/>
          <w:color w:val="000000" w:themeColor="text1"/>
        </w:rPr>
        <w:tab/>
      </w:r>
      <w:r w:rsidRPr="00376B4E">
        <w:rPr>
          <w:noProof/>
          <w:color w:val="000000" w:themeColor="text1"/>
        </w:rPr>
        <w:fldChar w:fldCharType="begin"/>
      </w:r>
      <w:r w:rsidRPr="00376B4E">
        <w:rPr>
          <w:noProof/>
          <w:color w:val="000000" w:themeColor="text1"/>
        </w:rPr>
        <w:instrText xml:space="preserve"> PAGEREF _Toc368310216 \h </w:instrText>
      </w:r>
      <w:r w:rsidRPr="00376B4E">
        <w:rPr>
          <w:noProof/>
          <w:color w:val="000000" w:themeColor="text1"/>
        </w:rPr>
      </w:r>
      <w:r w:rsidRPr="00376B4E">
        <w:rPr>
          <w:noProof/>
          <w:color w:val="000000" w:themeColor="text1"/>
        </w:rPr>
        <w:fldChar w:fldCharType="separate"/>
      </w:r>
      <w:r w:rsidRPr="00376B4E">
        <w:rPr>
          <w:noProof/>
          <w:color w:val="000000" w:themeColor="text1"/>
        </w:rPr>
        <w:t>61</w:t>
      </w:r>
      <w:r w:rsidRPr="00376B4E">
        <w:rPr>
          <w:noProof/>
          <w:color w:val="000000" w:themeColor="text1"/>
        </w:rPr>
        <w:fldChar w:fldCharType="end"/>
      </w:r>
    </w:p>
    <w:p w:rsidR="00376B4E" w:rsidRPr="00376B4E" w:rsidRDefault="00376B4E">
      <w:pPr>
        <w:pStyle w:val="TOC4"/>
        <w:rPr>
          <w:rFonts w:asciiTheme="minorHAnsi" w:eastAsiaTheme="minorEastAsia" w:hAnsiTheme="minorHAnsi" w:cstheme="minorBidi"/>
          <w:noProof/>
          <w:color w:val="000000" w:themeColor="text1"/>
          <w:sz w:val="22"/>
          <w:szCs w:val="22"/>
        </w:rPr>
      </w:pPr>
      <w:r w:rsidRPr="00376B4E">
        <w:rPr>
          <w:rFonts w:cs="Tahoma"/>
          <w:noProof/>
          <w:color w:val="000000" w:themeColor="text1"/>
        </w:rPr>
        <w:t>Rinnovo Incrociato dei Programmi</w:t>
      </w:r>
      <w:r w:rsidRPr="00376B4E">
        <w:rPr>
          <w:noProof/>
          <w:color w:val="000000" w:themeColor="text1"/>
        </w:rPr>
        <w:tab/>
      </w:r>
      <w:r w:rsidRPr="00376B4E">
        <w:rPr>
          <w:noProof/>
          <w:color w:val="000000" w:themeColor="text1"/>
        </w:rPr>
        <w:fldChar w:fldCharType="begin"/>
      </w:r>
      <w:r w:rsidRPr="00376B4E">
        <w:rPr>
          <w:noProof/>
          <w:color w:val="000000" w:themeColor="text1"/>
        </w:rPr>
        <w:instrText xml:space="preserve"> PAGEREF _Toc368310217 \h </w:instrText>
      </w:r>
      <w:r w:rsidRPr="00376B4E">
        <w:rPr>
          <w:noProof/>
          <w:color w:val="000000" w:themeColor="text1"/>
        </w:rPr>
      </w:r>
      <w:r w:rsidRPr="00376B4E">
        <w:rPr>
          <w:noProof/>
          <w:color w:val="000000" w:themeColor="text1"/>
        </w:rPr>
        <w:fldChar w:fldCharType="separate"/>
      </w:r>
      <w:r w:rsidRPr="00376B4E">
        <w:rPr>
          <w:noProof/>
          <w:color w:val="000000" w:themeColor="text1"/>
        </w:rPr>
        <w:t>61</w:t>
      </w:r>
      <w:r w:rsidRPr="00376B4E">
        <w:rPr>
          <w:noProof/>
          <w:color w:val="000000" w:themeColor="text1"/>
        </w:rPr>
        <w:fldChar w:fldCharType="end"/>
      </w:r>
    </w:p>
    <w:p w:rsidR="00376B4E" w:rsidRPr="00376B4E" w:rsidRDefault="00376B4E">
      <w:pPr>
        <w:pStyle w:val="TOC1"/>
        <w:rPr>
          <w:rFonts w:asciiTheme="minorHAnsi" w:eastAsiaTheme="minorEastAsia" w:hAnsiTheme="minorHAnsi" w:cstheme="minorBidi"/>
          <w:b w:val="0"/>
          <w:caps w:val="0"/>
          <w:color w:val="000000" w:themeColor="text1"/>
          <w:szCs w:val="22"/>
        </w:rPr>
      </w:pPr>
      <w:r w:rsidRPr="00376B4E">
        <w:rPr>
          <w:color w:val="000000" w:themeColor="text1"/>
        </w:rPr>
        <w:t>ARTICOLO 7 - Vantaggi di Software Assurance (SA) e dei Servizi Online (OLS)</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_Toc368310218 \h </w:instrText>
      </w:r>
      <w:r w:rsidRPr="00376B4E">
        <w:rPr>
          <w:color w:val="000000" w:themeColor="text1"/>
        </w:rPr>
      </w:r>
      <w:r w:rsidRPr="00376B4E">
        <w:rPr>
          <w:color w:val="000000" w:themeColor="text1"/>
        </w:rPr>
        <w:fldChar w:fldCharType="separate"/>
      </w:r>
      <w:r w:rsidRPr="00376B4E">
        <w:rPr>
          <w:color w:val="000000" w:themeColor="text1"/>
        </w:rPr>
        <w:t>62</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Diritti su Versioni Nuove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_Toc368310219 \h </w:instrText>
      </w:r>
      <w:r w:rsidRPr="00376B4E">
        <w:rPr>
          <w:color w:val="000000" w:themeColor="text1"/>
        </w:rPr>
      </w:r>
      <w:r w:rsidRPr="00376B4E">
        <w:rPr>
          <w:color w:val="000000" w:themeColor="text1"/>
        </w:rPr>
        <w:fldChar w:fldCharType="separate"/>
      </w:r>
      <w:r w:rsidRPr="00376B4E">
        <w:rPr>
          <w:color w:val="000000" w:themeColor="text1"/>
        </w:rPr>
        <w:t>64</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Office Multi Language Pack</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_Toc368310220 \h </w:instrText>
      </w:r>
      <w:r w:rsidRPr="00376B4E">
        <w:rPr>
          <w:color w:val="000000" w:themeColor="text1"/>
        </w:rPr>
      </w:r>
      <w:r w:rsidRPr="00376B4E">
        <w:rPr>
          <w:color w:val="000000" w:themeColor="text1"/>
        </w:rPr>
        <w:fldChar w:fldCharType="separate"/>
      </w:r>
      <w:r w:rsidRPr="00376B4E">
        <w:rPr>
          <w:color w:val="000000" w:themeColor="text1"/>
        </w:rPr>
        <w:t>64</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olor w:val="000000" w:themeColor="text1"/>
        </w:rPr>
        <w:t>Windows 8 Enterprise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_Toc368310221 \h </w:instrText>
      </w:r>
      <w:r w:rsidRPr="00376B4E">
        <w:rPr>
          <w:color w:val="000000" w:themeColor="text1"/>
        </w:rPr>
      </w:r>
      <w:r w:rsidRPr="00376B4E">
        <w:rPr>
          <w:color w:val="000000" w:themeColor="text1"/>
        </w:rPr>
        <w:fldChar w:fldCharType="separate"/>
      </w:r>
      <w:r w:rsidRPr="00376B4E">
        <w:rPr>
          <w:color w:val="000000" w:themeColor="text1"/>
        </w:rPr>
        <w:t>69</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olor w:val="000000" w:themeColor="text1"/>
        </w:rPr>
        <w:t>Windows 8 Enterprise Sideloading</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_Toc368310222 \h </w:instrText>
      </w:r>
      <w:r w:rsidRPr="00376B4E">
        <w:rPr>
          <w:color w:val="000000" w:themeColor="text1"/>
        </w:rPr>
      </w:r>
      <w:r w:rsidRPr="00376B4E">
        <w:rPr>
          <w:color w:val="000000" w:themeColor="text1"/>
        </w:rPr>
        <w:fldChar w:fldCharType="separate"/>
      </w:r>
      <w:r w:rsidRPr="00376B4E">
        <w:rPr>
          <w:color w:val="000000" w:themeColor="text1"/>
        </w:rPr>
        <w:t>69</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olor w:val="000000" w:themeColor="text1"/>
        </w:rPr>
        <w:t>Licenza “Subscription” per Windows Companion</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_Toc368310223 \h </w:instrText>
      </w:r>
      <w:r w:rsidRPr="00376B4E">
        <w:rPr>
          <w:color w:val="000000" w:themeColor="text1"/>
        </w:rPr>
      </w:r>
      <w:r w:rsidRPr="00376B4E">
        <w:rPr>
          <w:color w:val="000000" w:themeColor="text1"/>
        </w:rPr>
        <w:fldChar w:fldCharType="separate"/>
      </w:r>
      <w:r w:rsidRPr="00376B4E">
        <w:rPr>
          <w:color w:val="000000" w:themeColor="text1"/>
        </w:rPr>
        <w:t>69</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olor w:val="000000" w:themeColor="text1"/>
        </w:rPr>
        <w:t>Voucher Corsi</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_Toc368310224 \h </w:instrText>
      </w:r>
      <w:r w:rsidRPr="00376B4E">
        <w:rPr>
          <w:color w:val="000000" w:themeColor="text1"/>
        </w:rPr>
      </w:r>
      <w:r w:rsidRPr="00376B4E">
        <w:rPr>
          <w:color w:val="000000" w:themeColor="text1"/>
        </w:rPr>
        <w:fldChar w:fldCharType="separate"/>
      </w:r>
      <w:r w:rsidRPr="00376B4E">
        <w:rPr>
          <w:color w:val="000000" w:themeColor="text1"/>
        </w:rPr>
        <w:t>69</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olor w:val="000000" w:themeColor="text1"/>
        </w:rPr>
        <w:t>E-Learning</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_Toc368310225 \h </w:instrText>
      </w:r>
      <w:r w:rsidRPr="00376B4E">
        <w:rPr>
          <w:color w:val="000000" w:themeColor="text1"/>
        </w:rPr>
      </w:r>
      <w:r w:rsidRPr="00376B4E">
        <w:rPr>
          <w:color w:val="000000" w:themeColor="text1"/>
        </w:rPr>
        <w:fldChar w:fldCharType="separate"/>
      </w:r>
      <w:r w:rsidRPr="00376B4E">
        <w:rPr>
          <w:color w:val="000000" w:themeColor="text1"/>
        </w:rPr>
        <w:t>72</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olor w:val="000000" w:themeColor="text1"/>
        </w:rPr>
        <w:t>Home Use Program</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_Toc368310226 \h </w:instrText>
      </w:r>
      <w:r w:rsidRPr="00376B4E">
        <w:rPr>
          <w:color w:val="000000" w:themeColor="text1"/>
        </w:rPr>
      </w:r>
      <w:r w:rsidRPr="00376B4E">
        <w:rPr>
          <w:color w:val="000000" w:themeColor="text1"/>
        </w:rPr>
        <w:fldChar w:fldCharType="separate"/>
      </w:r>
      <w:r w:rsidRPr="00376B4E">
        <w:rPr>
          <w:color w:val="000000" w:themeColor="text1"/>
        </w:rPr>
        <w:t>73</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olor w:val="000000" w:themeColor="text1"/>
        </w:rPr>
        <w:t>Supporto per la Risoluzione dei Problemi 24x7</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_Toc368310227 \h </w:instrText>
      </w:r>
      <w:r w:rsidRPr="00376B4E">
        <w:rPr>
          <w:color w:val="000000" w:themeColor="text1"/>
        </w:rPr>
      </w:r>
      <w:r w:rsidRPr="00376B4E">
        <w:rPr>
          <w:color w:val="000000" w:themeColor="text1"/>
        </w:rPr>
        <w:fldChar w:fldCharType="separate"/>
      </w:r>
      <w:r w:rsidRPr="00376B4E">
        <w:rPr>
          <w:color w:val="000000" w:themeColor="text1"/>
        </w:rPr>
        <w:t>75</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olor w:val="000000" w:themeColor="text1"/>
        </w:rPr>
        <w:t>Supporto Illimitato per la Risoluzione dei Problemi 24x7</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_Toc368310228 \h </w:instrText>
      </w:r>
      <w:r w:rsidRPr="00376B4E">
        <w:rPr>
          <w:color w:val="000000" w:themeColor="text1"/>
        </w:rPr>
      </w:r>
      <w:r w:rsidRPr="00376B4E">
        <w:rPr>
          <w:color w:val="000000" w:themeColor="text1"/>
        </w:rPr>
        <w:fldChar w:fldCharType="separate"/>
      </w:r>
      <w:r w:rsidRPr="00376B4E">
        <w:rPr>
          <w:color w:val="000000" w:themeColor="text1"/>
        </w:rPr>
        <w:t>80</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olor w:val="000000" w:themeColor="text1"/>
        </w:rPr>
        <w:t>System Center Advisor</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_Toc368310229 \h </w:instrText>
      </w:r>
      <w:r w:rsidRPr="00376B4E">
        <w:rPr>
          <w:color w:val="000000" w:themeColor="text1"/>
        </w:rPr>
      </w:r>
      <w:r w:rsidRPr="00376B4E">
        <w:rPr>
          <w:color w:val="000000" w:themeColor="text1"/>
        </w:rPr>
        <w:fldChar w:fldCharType="separate"/>
      </w:r>
      <w:r w:rsidRPr="00376B4E">
        <w:rPr>
          <w:color w:val="000000" w:themeColor="text1"/>
        </w:rPr>
        <w:t>82</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olor w:val="000000" w:themeColor="text1"/>
        </w:rPr>
        <w:t>Back-up per Ripristino di Emergenza “a Freddo”</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_Toc368310230 \h </w:instrText>
      </w:r>
      <w:r w:rsidRPr="00376B4E">
        <w:rPr>
          <w:color w:val="000000" w:themeColor="text1"/>
        </w:rPr>
      </w:r>
      <w:r w:rsidRPr="00376B4E">
        <w:rPr>
          <w:color w:val="000000" w:themeColor="text1"/>
        </w:rPr>
        <w:fldChar w:fldCharType="separate"/>
      </w:r>
      <w:r w:rsidRPr="00376B4E">
        <w:rPr>
          <w:color w:val="000000" w:themeColor="text1"/>
        </w:rPr>
        <w:t>83</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olor w:val="000000" w:themeColor="text1"/>
        </w:rPr>
        <w:t>Servizi in Abbonamento TechNet SA</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_Toc368310231 \h </w:instrText>
      </w:r>
      <w:r w:rsidRPr="00376B4E">
        <w:rPr>
          <w:color w:val="000000" w:themeColor="text1"/>
        </w:rPr>
      </w:r>
      <w:r w:rsidRPr="00376B4E">
        <w:rPr>
          <w:color w:val="000000" w:themeColor="text1"/>
        </w:rPr>
        <w:fldChar w:fldCharType="separate"/>
      </w:r>
      <w:r w:rsidRPr="00376B4E">
        <w:rPr>
          <w:color w:val="000000" w:themeColor="text1"/>
        </w:rPr>
        <w:t>83</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olor w:val="000000" w:themeColor="text1"/>
        </w:rPr>
        <w:t>TechNet Plus Direct</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_Toc368310232 \h </w:instrText>
      </w:r>
      <w:r w:rsidRPr="00376B4E">
        <w:rPr>
          <w:color w:val="000000" w:themeColor="text1"/>
        </w:rPr>
      </w:r>
      <w:r w:rsidRPr="00376B4E">
        <w:rPr>
          <w:color w:val="000000" w:themeColor="text1"/>
        </w:rPr>
        <w:fldChar w:fldCharType="separate"/>
      </w:r>
      <w:r w:rsidRPr="00376B4E">
        <w:rPr>
          <w:color w:val="000000" w:themeColor="text1"/>
        </w:rPr>
        <w:t>84</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olor w:val="000000" w:themeColor="text1"/>
        </w:rPr>
        <w:t>Mobilità delle Licenze tramite Software Assurance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_Toc368310233 \h </w:instrText>
      </w:r>
      <w:r w:rsidRPr="00376B4E">
        <w:rPr>
          <w:color w:val="000000" w:themeColor="text1"/>
        </w:rPr>
      </w:r>
      <w:r w:rsidRPr="00376B4E">
        <w:rPr>
          <w:color w:val="000000" w:themeColor="text1"/>
        </w:rPr>
        <w:fldChar w:fldCharType="separate"/>
      </w:r>
      <w:r w:rsidRPr="00376B4E">
        <w:rPr>
          <w:color w:val="000000" w:themeColor="text1"/>
        </w:rPr>
        <w:t>85</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olor w:val="000000" w:themeColor="text1"/>
        </w:rPr>
        <w:t>Windows Thin PC</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_Toc368310234 \h </w:instrText>
      </w:r>
      <w:r w:rsidRPr="00376B4E">
        <w:rPr>
          <w:color w:val="000000" w:themeColor="text1"/>
        </w:rPr>
      </w:r>
      <w:r w:rsidRPr="00376B4E">
        <w:rPr>
          <w:color w:val="000000" w:themeColor="text1"/>
        </w:rPr>
        <w:fldChar w:fldCharType="separate"/>
      </w:r>
      <w:r w:rsidRPr="00376B4E">
        <w:rPr>
          <w:color w:val="000000" w:themeColor="text1"/>
        </w:rPr>
        <w:t>86</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olor w:val="000000" w:themeColor="text1"/>
        </w:rPr>
        <w:t>Microsoft Desktop Optimization Pack per Software Assurance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_Toc368310235 \h </w:instrText>
      </w:r>
      <w:r w:rsidRPr="00376B4E">
        <w:rPr>
          <w:color w:val="000000" w:themeColor="text1"/>
        </w:rPr>
      </w:r>
      <w:r w:rsidRPr="00376B4E">
        <w:rPr>
          <w:color w:val="000000" w:themeColor="text1"/>
        </w:rPr>
        <w:fldChar w:fldCharType="separate"/>
      </w:r>
      <w:r w:rsidRPr="00376B4E">
        <w:rPr>
          <w:color w:val="000000" w:themeColor="text1"/>
        </w:rPr>
        <w:t>86</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olor w:val="000000" w:themeColor="text1"/>
        </w:rPr>
        <w:t>Diritti per Windows Virtual Desktop Access (VDA)</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_Toc368310236 \h </w:instrText>
      </w:r>
      <w:r w:rsidRPr="00376B4E">
        <w:rPr>
          <w:color w:val="000000" w:themeColor="text1"/>
        </w:rPr>
      </w:r>
      <w:r w:rsidRPr="00376B4E">
        <w:rPr>
          <w:color w:val="000000" w:themeColor="text1"/>
        </w:rPr>
        <w:fldChar w:fldCharType="separate"/>
      </w:r>
      <w:r w:rsidRPr="00376B4E">
        <w:rPr>
          <w:color w:val="000000" w:themeColor="text1"/>
        </w:rPr>
        <w:t>87</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olor w:val="000000" w:themeColor="text1"/>
        </w:rPr>
        <w:t>Disponibilità di Licenze Step-Up</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_Toc368310237 \h </w:instrText>
      </w:r>
      <w:r w:rsidRPr="00376B4E">
        <w:rPr>
          <w:color w:val="000000" w:themeColor="text1"/>
        </w:rPr>
      </w:r>
      <w:r w:rsidRPr="00376B4E">
        <w:rPr>
          <w:color w:val="000000" w:themeColor="text1"/>
        </w:rPr>
        <w:fldChar w:fldCharType="separate"/>
      </w:r>
      <w:r w:rsidRPr="00376B4E">
        <w:rPr>
          <w:color w:val="000000" w:themeColor="text1"/>
        </w:rPr>
        <w:t>87</w:t>
      </w:r>
      <w:r w:rsidRPr="00376B4E">
        <w:rPr>
          <w:color w:val="000000" w:themeColor="text1"/>
        </w:rPr>
        <w:fldChar w:fldCharType="end"/>
      </w:r>
    </w:p>
    <w:p w:rsidR="00376B4E" w:rsidRPr="00376B4E" w:rsidRDefault="00376B4E">
      <w:pPr>
        <w:pStyle w:val="TOC1"/>
        <w:rPr>
          <w:rFonts w:asciiTheme="minorHAnsi" w:eastAsiaTheme="minorEastAsia" w:hAnsiTheme="minorHAnsi" w:cstheme="minorBidi"/>
          <w:b w:val="0"/>
          <w:caps w:val="0"/>
          <w:color w:val="000000" w:themeColor="text1"/>
          <w:szCs w:val="22"/>
        </w:rPr>
      </w:pPr>
      <w:r w:rsidRPr="00376B4E">
        <w:rPr>
          <w:color w:val="000000" w:themeColor="text1"/>
        </w:rPr>
        <w:lastRenderedPageBreak/>
        <w:t>ARTICOLO 8 - Servizi</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_Toc368310238 \h </w:instrText>
      </w:r>
      <w:r w:rsidRPr="00376B4E">
        <w:rPr>
          <w:color w:val="000000" w:themeColor="text1"/>
        </w:rPr>
      </w:r>
      <w:r w:rsidRPr="00376B4E">
        <w:rPr>
          <w:color w:val="000000" w:themeColor="text1"/>
        </w:rPr>
        <w:fldChar w:fldCharType="separate"/>
      </w:r>
      <w:r w:rsidRPr="00376B4E">
        <w:rPr>
          <w:color w:val="000000" w:themeColor="text1"/>
        </w:rPr>
        <w:t>89</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Diritti sull’utilizzo, di titolarità e di licenza</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_Toc368310239 \h </w:instrText>
      </w:r>
      <w:r w:rsidRPr="00376B4E">
        <w:rPr>
          <w:color w:val="000000" w:themeColor="text1"/>
        </w:rPr>
      </w:r>
      <w:r w:rsidRPr="00376B4E">
        <w:rPr>
          <w:color w:val="000000" w:themeColor="text1"/>
        </w:rPr>
        <w:fldChar w:fldCharType="separate"/>
      </w:r>
      <w:r w:rsidRPr="00376B4E">
        <w:rPr>
          <w:color w:val="000000" w:themeColor="text1"/>
        </w:rPr>
        <w:t>96</w:t>
      </w:r>
      <w:r w:rsidRPr="00376B4E">
        <w:rPr>
          <w:color w:val="000000" w:themeColor="text1"/>
        </w:rPr>
        <w:fldChar w:fldCharType="end"/>
      </w:r>
    </w:p>
    <w:p w:rsidR="00376B4E" w:rsidRPr="00376B4E" w:rsidRDefault="00376B4E">
      <w:pPr>
        <w:pStyle w:val="TOC1"/>
        <w:rPr>
          <w:rFonts w:asciiTheme="minorHAnsi" w:eastAsiaTheme="minorEastAsia" w:hAnsiTheme="minorHAnsi" w:cstheme="minorBidi"/>
          <w:b w:val="0"/>
          <w:caps w:val="0"/>
          <w:color w:val="000000" w:themeColor="text1"/>
          <w:szCs w:val="22"/>
        </w:rPr>
      </w:pPr>
      <w:r w:rsidRPr="00376B4E">
        <w:rPr>
          <w:color w:val="000000" w:themeColor="text1"/>
        </w:rPr>
        <w:t>ARTICOLO 9 - Condizioni Aggiuntive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_Toc368310240 \h </w:instrText>
      </w:r>
      <w:r w:rsidRPr="00376B4E">
        <w:rPr>
          <w:color w:val="000000" w:themeColor="text1"/>
        </w:rPr>
      </w:r>
      <w:r w:rsidRPr="00376B4E">
        <w:rPr>
          <w:color w:val="000000" w:themeColor="text1"/>
        </w:rPr>
        <w:fldChar w:fldCharType="separate"/>
      </w:r>
      <w:r w:rsidRPr="00376B4E">
        <w:rPr>
          <w:color w:val="000000" w:themeColor="text1"/>
        </w:rPr>
        <w:t>101</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rFonts w:eastAsia="Times New Roman"/>
          <w:color w:val="000000" w:themeColor="text1"/>
        </w:rPr>
        <w:t>Client Access Licenses (CAL) e Licenze di Gestione Client (ML)</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_Toc368310241 \h </w:instrText>
      </w:r>
      <w:r w:rsidRPr="00376B4E">
        <w:rPr>
          <w:color w:val="000000" w:themeColor="text1"/>
        </w:rPr>
      </w:r>
      <w:r w:rsidRPr="00376B4E">
        <w:rPr>
          <w:color w:val="000000" w:themeColor="text1"/>
        </w:rPr>
        <w:fldChar w:fldCharType="separate"/>
      </w:r>
      <w:r w:rsidRPr="00376B4E">
        <w:rPr>
          <w:color w:val="000000" w:themeColor="text1"/>
        </w:rPr>
        <w:t>101</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olor w:val="000000" w:themeColor="text1"/>
        </w:rPr>
        <w:t>Limitazioni dei Controlli EI</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_Toc368310242 \h </w:instrText>
      </w:r>
      <w:r w:rsidRPr="00376B4E">
        <w:rPr>
          <w:color w:val="000000" w:themeColor="text1"/>
        </w:rPr>
      </w:r>
      <w:r w:rsidRPr="00376B4E">
        <w:rPr>
          <w:color w:val="000000" w:themeColor="text1"/>
        </w:rPr>
        <w:fldChar w:fldCharType="separate"/>
      </w:r>
      <w:r w:rsidRPr="00376B4E">
        <w:rPr>
          <w:color w:val="000000" w:themeColor="text1"/>
        </w:rPr>
        <w:t>101</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olor w:val="000000" w:themeColor="text1"/>
        </w:rPr>
        <w:t>Multilanguage Pack (MLP), Funzionalità Multilanguage User Interface (MUI) e Nuovi Diritti sulle Lingue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_Toc368310243 \h </w:instrText>
      </w:r>
      <w:r w:rsidRPr="00376B4E">
        <w:rPr>
          <w:color w:val="000000" w:themeColor="text1"/>
        </w:rPr>
      </w:r>
      <w:r w:rsidRPr="00376B4E">
        <w:rPr>
          <w:color w:val="000000" w:themeColor="text1"/>
        </w:rPr>
        <w:fldChar w:fldCharType="separate"/>
      </w:r>
      <w:r w:rsidRPr="00376B4E">
        <w:rPr>
          <w:color w:val="000000" w:themeColor="text1"/>
        </w:rPr>
        <w:t>102</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Licenze Indipendenti dalla Piattaforma</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_Toc368310244 \h </w:instrText>
      </w:r>
      <w:r w:rsidRPr="00376B4E">
        <w:rPr>
          <w:color w:val="000000" w:themeColor="text1"/>
        </w:rPr>
      </w:r>
      <w:r w:rsidRPr="00376B4E">
        <w:rPr>
          <w:color w:val="000000" w:themeColor="text1"/>
        </w:rPr>
        <w:fldChar w:fldCharType="separate"/>
      </w:r>
      <w:r w:rsidRPr="00376B4E">
        <w:rPr>
          <w:color w:val="000000" w:themeColor="text1"/>
        </w:rPr>
        <w:t>102</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Codice “Product Key” per Volume Licensing</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_Toc368310245 \h </w:instrText>
      </w:r>
      <w:r w:rsidRPr="00376B4E">
        <w:rPr>
          <w:color w:val="000000" w:themeColor="text1"/>
        </w:rPr>
      </w:r>
      <w:r w:rsidRPr="00376B4E">
        <w:rPr>
          <w:color w:val="000000" w:themeColor="text1"/>
        </w:rPr>
        <w:fldChar w:fldCharType="separate"/>
      </w:r>
      <w:r w:rsidRPr="00376B4E">
        <w:rPr>
          <w:color w:val="000000" w:themeColor="text1"/>
        </w:rPr>
        <w:t>103</w:t>
      </w:r>
      <w:r w:rsidRPr="00376B4E">
        <w:rPr>
          <w:color w:val="000000" w:themeColor="text1"/>
        </w:rPr>
        <w:fldChar w:fldCharType="end"/>
      </w:r>
    </w:p>
    <w:p w:rsidR="00376B4E" w:rsidRPr="00376B4E" w:rsidRDefault="00376B4E">
      <w:pPr>
        <w:pStyle w:val="TOC1"/>
        <w:rPr>
          <w:rFonts w:asciiTheme="minorHAnsi" w:eastAsiaTheme="minorEastAsia" w:hAnsiTheme="minorHAnsi" w:cstheme="minorBidi"/>
          <w:b w:val="0"/>
          <w:caps w:val="0"/>
          <w:color w:val="000000" w:themeColor="text1"/>
          <w:szCs w:val="22"/>
        </w:rPr>
      </w:pPr>
      <w:r w:rsidRPr="00376B4E">
        <w:rPr>
          <w:color w:val="000000" w:themeColor="text1"/>
        </w:rPr>
        <w:t>Articolo 10 - Condizioni Supplementari per i Servizi Online Utilizzati con il Software On-Premise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_Toc368310246 \h </w:instrText>
      </w:r>
      <w:r w:rsidRPr="00376B4E">
        <w:rPr>
          <w:color w:val="000000" w:themeColor="text1"/>
        </w:rPr>
      </w:r>
      <w:r w:rsidRPr="00376B4E">
        <w:rPr>
          <w:color w:val="000000" w:themeColor="text1"/>
        </w:rPr>
        <w:fldChar w:fldCharType="separate"/>
      </w:r>
      <w:r w:rsidRPr="00376B4E">
        <w:rPr>
          <w:color w:val="000000" w:themeColor="text1"/>
        </w:rPr>
        <w:t>104</w:t>
      </w:r>
      <w:r w:rsidRPr="00376B4E">
        <w:rPr>
          <w:color w:val="000000" w:themeColor="text1"/>
        </w:rPr>
        <w:fldChar w:fldCharType="end"/>
      </w:r>
    </w:p>
    <w:p w:rsidR="00376B4E" w:rsidRPr="00376B4E" w:rsidRDefault="00376B4E">
      <w:pPr>
        <w:pStyle w:val="TOC1"/>
        <w:rPr>
          <w:rFonts w:asciiTheme="minorHAnsi" w:eastAsiaTheme="minorEastAsia" w:hAnsiTheme="minorHAnsi" w:cstheme="minorBidi"/>
          <w:b w:val="0"/>
          <w:caps w:val="0"/>
          <w:color w:val="000000" w:themeColor="text1"/>
          <w:szCs w:val="22"/>
        </w:rPr>
      </w:pPr>
      <w:r w:rsidRPr="00376B4E">
        <w:rPr>
          <w:color w:val="000000" w:themeColor="text1"/>
        </w:rPr>
        <w:t>NOTE del Prodotto</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_Toc368310247 \h </w:instrText>
      </w:r>
      <w:r w:rsidRPr="00376B4E">
        <w:rPr>
          <w:color w:val="000000" w:themeColor="text1"/>
        </w:rPr>
      </w:r>
      <w:r w:rsidRPr="00376B4E">
        <w:rPr>
          <w:color w:val="000000" w:themeColor="text1"/>
        </w:rPr>
        <w:fldChar w:fldCharType="separate"/>
      </w:r>
      <w:r w:rsidRPr="00376B4E">
        <w:rPr>
          <w:color w:val="000000" w:themeColor="text1"/>
        </w:rPr>
        <w:t>107</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Pool di Applicazioni</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_Toc368310248 \h </w:instrText>
      </w:r>
      <w:r w:rsidRPr="00376B4E">
        <w:rPr>
          <w:color w:val="000000" w:themeColor="text1"/>
        </w:rPr>
      </w:r>
      <w:r w:rsidRPr="00376B4E">
        <w:rPr>
          <w:color w:val="000000" w:themeColor="text1"/>
        </w:rPr>
        <w:fldChar w:fldCharType="separate"/>
      </w:r>
      <w:r w:rsidRPr="00376B4E">
        <w:rPr>
          <w:color w:val="000000" w:themeColor="text1"/>
        </w:rPr>
        <w:t>107</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aps/>
          <w:color w:val="000000" w:themeColor="text1"/>
          <w:vertAlign w:val="superscript"/>
        </w:rPr>
        <w:t>1</w:t>
      </w:r>
      <w:r w:rsidRPr="00376B4E">
        <w:rPr>
          <w:color w:val="000000" w:themeColor="text1"/>
        </w:rPr>
        <w:t xml:space="preserve"> Expression Encoder Pro 4</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_Toc368310249 \h </w:instrText>
      </w:r>
      <w:r w:rsidRPr="00376B4E">
        <w:rPr>
          <w:color w:val="000000" w:themeColor="text1"/>
        </w:rPr>
      </w:r>
      <w:r w:rsidRPr="00376B4E">
        <w:rPr>
          <w:color w:val="000000" w:themeColor="text1"/>
        </w:rPr>
        <w:fldChar w:fldCharType="separate"/>
      </w:r>
      <w:r w:rsidRPr="00376B4E">
        <w:rPr>
          <w:color w:val="000000" w:themeColor="text1"/>
        </w:rPr>
        <w:t>107</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aps/>
          <w:color w:val="000000" w:themeColor="text1"/>
          <w:vertAlign w:val="superscript"/>
        </w:rPr>
        <w:t>2</w:t>
      </w:r>
      <w:r w:rsidRPr="00376B4E">
        <w:rPr>
          <w:color w:val="000000" w:themeColor="text1"/>
        </w:rPr>
        <w:t xml:space="preserve"> Lync per Mac 2011</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_Toc368310250 \h </w:instrText>
      </w:r>
      <w:r w:rsidRPr="00376B4E">
        <w:rPr>
          <w:color w:val="000000" w:themeColor="text1"/>
        </w:rPr>
      </w:r>
      <w:r w:rsidRPr="00376B4E">
        <w:rPr>
          <w:color w:val="000000" w:themeColor="text1"/>
        </w:rPr>
        <w:fldChar w:fldCharType="separate"/>
      </w:r>
      <w:r w:rsidRPr="00376B4E">
        <w:rPr>
          <w:color w:val="000000" w:themeColor="text1"/>
        </w:rPr>
        <w:t>107</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aps/>
          <w:color w:val="000000" w:themeColor="text1"/>
          <w:vertAlign w:val="superscript"/>
        </w:rPr>
        <w:t>3</w:t>
      </w:r>
      <w:r w:rsidRPr="00376B4E">
        <w:rPr>
          <w:color w:val="000000" w:themeColor="text1"/>
        </w:rPr>
        <w:t xml:space="preserve"> Sistemi Operativi MSDN</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_Toc368310251 \h </w:instrText>
      </w:r>
      <w:r w:rsidRPr="00376B4E">
        <w:rPr>
          <w:color w:val="000000" w:themeColor="text1"/>
        </w:rPr>
      </w:r>
      <w:r w:rsidRPr="00376B4E">
        <w:rPr>
          <w:color w:val="000000" w:themeColor="text1"/>
        </w:rPr>
        <w:fldChar w:fldCharType="separate"/>
      </w:r>
      <w:r w:rsidRPr="00376B4E">
        <w:rPr>
          <w:color w:val="000000" w:themeColor="text1"/>
        </w:rPr>
        <w:t>107</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aps/>
          <w:color w:val="000000" w:themeColor="text1"/>
          <w:vertAlign w:val="superscript"/>
        </w:rPr>
        <w:t>4</w:t>
      </w:r>
      <w:r w:rsidRPr="00376B4E">
        <w:rPr>
          <w:rFonts w:cs="Tahoma"/>
          <w:color w:val="000000" w:themeColor="text1"/>
        </w:rPr>
        <w:t xml:space="preserve"> Piattaforme MSDN</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_Toc368310252 \h </w:instrText>
      </w:r>
      <w:r w:rsidRPr="00376B4E">
        <w:rPr>
          <w:color w:val="000000" w:themeColor="text1"/>
        </w:rPr>
      </w:r>
      <w:r w:rsidRPr="00376B4E">
        <w:rPr>
          <w:color w:val="000000" w:themeColor="text1"/>
        </w:rPr>
        <w:fldChar w:fldCharType="separate"/>
      </w:r>
      <w:r w:rsidRPr="00376B4E">
        <w:rPr>
          <w:color w:val="000000" w:themeColor="text1"/>
        </w:rPr>
        <w:t>108</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aps/>
          <w:color w:val="000000" w:themeColor="text1"/>
          <w:vertAlign w:val="superscript"/>
        </w:rPr>
        <w:t>5</w:t>
      </w:r>
      <w:r w:rsidRPr="00376B4E">
        <w:rPr>
          <w:rFonts w:cs="Tahoma"/>
          <w:color w:val="000000" w:themeColor="text1"/>
        </w:rPr>
        <w:t xml:space="preserve"> Office 365 Education A2-A4 (SL per Utente)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_Toc368310253 \h </w:instrText>
      </w:r>
      <w:r w:rsidRPr="00376B4E">
        <w:rPr>
          <w:color w:val="000000" w:themeColor="text1"/>
        </w:rPr>
      </w:r>
      <w:r w:rsidRPr="00376B4E">
        <w:rPr>
          <w:color w:val="000000" w:themeColor="text1"/>
        </w:rPr>
        <w:fldChar w:fldCharType="separate"/>
      </w:r>
      <w:r w:rsidRPr="00376B4E">
        <w:rPr>
          <w:color w:val="000000" w:themeColor="text1"/>
        </w:rPr>
        <w:t>108</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aps/>
          <w:color w:val="000000" w:themeColor="text1"/>
          <w:vertAlign w:val="superscript"/>
        </w:rPr>
        <w:t>6</w:t>
      </w:r>
      <w:r w:rsidRPr="00376B4E">
        <w:rPr>
          <w:rFonts w:cs="Tahoma"/>
          <w:color w:val="000000" w:themeColor="text1"/>
        </w:rPr>
        <w:t xml:space="preserve"> Office 365 Midsize Business (SL per Utente)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_Toc368310254 \h </w:instrText>
      </w:r>
      <w:r w:rsidRPr="00376B4E">
        <w:rPr>
          <w:color w:val="000000" w:themeColor="text1"/>
        </w:rPr>
      </w:r>
      <w:r w:rsidRPr="00376B4E">
        <w:rPr>
          <w:color w:val="000000" w:themeColor="text1"/>
        </w:rPr>
        <w:fldChar w:fldCharType="separate"/>
      </w:r>
      <w:r w:rsidRPr="00376B4E">
        <w:rPr>
          <w:color w:val="000000" w:themeColor="text1"/>
        </w:rPr>
        <w:t>109</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aps/>
          <w:color w:val="000000" w:themeColor="text1"/>
          <w:vertAlign w:val="superscript"/>
        </w:rPr>
        <w:t xml:space="preserve">7 </w:t>
      </w:r>
      <w:r w:rsidRPr="00376B4E">
        <w:rPr>
          <w:rFonts w:cs="Tahoma"/>
          <w:color w:val="000000" w:themeColor="text1"/>
        </w:rPr>
        <w:t>Licenze Subscription Add-on per Utente per Carichi di Lavoro di Office 365 ed Enterprise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_Toc368310255 \h </w:instrText>
      </w:r>
      <w:r w:rsidRPr="00376B4E">
        <w:rPr>
          <w:color w:val="000000" w:themeColor="text1"/>
        </w:rPr>
      </w:r>
      <w:r w:rsidRPr="00376B4E">
        <w:rPr>
          <w:color w:val="000000" w:themeColor="text1"/>
        </w:rPr>
        <w:fldChar w:fldCharType="separate"/>
      </w:r>
      <w:r w:rsidRPr="00376B4E">
        <w:rPr>
          <w:color w:val="000000" w:themeColor="text1"/>
        </w:rPr>
        <w:t>109</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aps/>
          <w:color w:val="000000" w:themeColor="text1"/>
          <w:vertAlign w:val="superscript"/>
        </w:rPr>
        <w:t xml:space="preserve">8 </w:t>
      </w:r>
      <w:r w:rsidRPr="00376B4E">
        <w:rPr>
          <w:rFonts w:cs="Tahoma"/>
          <w:color w:val="000000" w:themeColor="text1"/>
        </w:rPr>
        <w:t>Office 365 Enterprise E3-E4</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_Toc368310256 \h </w:instrText>
      </w:r>
      <w:r w:rsidRPr="00376B4E">
        <w:rPr>
          <w:color w:val="000000" w:themeColor="text1"/>
        </w:rPr>
      </w:r>
      <w:r w:rsidRPr="00376B4E">
        <w:rPr>
          <w:color w:val="000000" w:themeColor="text1"/>
        </w:rPr>
        <w:fldChar w:fldCharType="separate"/>
      </w:r>
      <w:r w:rsidRPr="00376B4E">
        <w:rPr>
          <w:color w:val="000000" w:themeColor="text1"/>
        </w:rPr>
        <w:t>112</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aps/>
          <w:color w:val="000000" w:themeColor="text1"/>
          <w:vertAlign w:val="superscript"/>
        </w:rPr>
        <w:t xml:space="preserve">9 </w:t>
      </w:r>
      <w:r w:rsidRPr="00376B4E">
        <w:rPr>
          <w:color w:val="000000" w:themeColor="text1"/>
        </w:rPr>
        <w:t>Office per Mac Standard 2011</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_Toc368310257 \h </w:instrText>
      </w:r>
      <w:r w:rsidRPr="00376B4E">
        <w:rPr>
          <w:color w:val="000000" w:themeColor="text1"/>
        </w:rPr>
      </w:r>
      <w:r w:rsidRPr="00376B4E">
        <w:rPr>
          <w:color w:val="000000" w:themeColor="text1"/>
        </w:rPr>
        <w:fldChar w:fldCharType="separate"/>
      </w:r>
      <w:r w:rsidRPr="00376B4E">
        <w:rPr>
          <w:color w:val="000000" w:themeColor="text1"/>
        </w:rPr>
        <w:t>112</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aps/>
          <w:color w:val="000000" w:themeColor="text1"/>
          <w:vertAlign w:val="superscript"/>
        </w:rPr>
        <w:t>10</w:t>
      </w:r>
      <w:r w:rsidRPr="00376B4E">
        <w:rPr>
          <w:color w:val="000000" w:themeColor="text1"/>
        </w:rPr>
        <w:t xml:space="preserve"> Office Multi-Language Pack 2013</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_Toc368310258 \h </w:instrText>
      </w:r>
      <w:r w:rsidRPr="00376B4E">
        <w:rPr>
          <w:color w:val="000000" w:themeColor="text1"/>
        </w:rPr>
      </w:r>
      <w:r w:rsidRPr="00376B4E">
        <w:rPr>
          <w:color w:val="000000" w:themeColor="text1"/>
        </w:rPr>
        <w:fldChar w:fldCharType="separate"/>
      </w:r>
      <w:r w:rsidRPr="00376B4E">
        <w:rPr>
          <w:color w:val="000000" w:themeColor="text1"/>
        </w:rPr>
        <w:t>113</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aps/>
          <w:color w:val="000000" w:themeColor="text1"/>
          <w:vertAlign w:val="superscript"/>
        </w:rPr>
        <w:t>11</w:t>
      </w:r>
      <w:r w:rsidRPr="00376B4E">
        <w:rPr>
          <w:color w:val="000000" w:themeColor="text1"/>
        </w:rPr>
        <w:t xml:space="preserve"> Office Professional Plus 2013</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_Toc368310259 \h </w:instrText>
      </w:r>
      <w:r w:rsidRPr="00376B4E">
        <w:rPr>
          <w:color w:val="000000" w:themeColor="text1"/>
        </w:rPr>
      </w:r>
      <w:r w:rsidRPr="00376B4E">
        <w:rPr>
          <w:color w:val="000000" w:themeColor="text1"/>
        </w:rPr>
        <w:fldChar w:fldCharType="separate"/>
      </w:r>
      <w:r w:rsidRPr="00376B4E">
        <w:rPr>
          <w:color w:val="000000" w:themeColor="text1"/>
        </w:rPr>
        <w:t>113</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aps/>
          <w:color w:val="000000" w:themeColor="text1"/>
          <w:vertAlign w:val="superscript"/>
        </w:rPr>
        <w:t>12</w:t>
      </w:r>
      <w:r w:rsidRPr="00376B4E">
        <w:rPr>
          <w:color w:val="000000" w:themeColor="text1"/>
        </w:rPr>
        <w:t xml:space="preserve"> Office Standard 2013</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_Toc368310260 \h </w:instrText>
      </w:r>
      <w:r w:rsidRPr="00376B4E">
        <w:rPr>
          <w:color w:val="000000" w:themeColor="text1"/>
        </w:rPr>
      </w:r>
      <w:r w:rsidRPr="00376B4E">
        <w:rPr>
          <w:color w:val="000000" w:themeColor="text1"/>
        </w:rPr>
        <w:fldChar w:fldCharType="separate"/>
      </w:r>
      <w:r w:rsidRPr="00376B4E">
        <w:rPr>
          <w:color w:val="000000" w:themeColor="text1"/>
        </w:rPr>
        <w:t>113</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aps/>
          <w:color w:val="000000" w:themeColor="text1"/>
          <w:vertAlign w:val="superscript"/>
        </w:rPr>
        <w:t>13</w:t>
      </w:r>
      <w:r w:rsidRPr="00376B4E">
        <w:rPr>
          <w:color w:val="000000" w:themeColor="text1"/>
        </w:rPr>
        <w:t xml:space="preserve"> Office 365 ProPlus (SL per Utente)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_Toc368310261 \h </w:instrText>
      </w:r>
      <w:r w:rsidRPr="00376B4E">
        <w:rPr>
          <w:color w:val="000000" w:themeColor="text1"/>
        </w:rPr>
      </w:r>
      <w:r w:rsidRPr="00376B4E">
        <w:rPr>
          <w:color w:val="000000" w:themeColor="text1"/>
        </w:rPr>
        <w:fldChar w:fldCharType="separate"/>
      </w:r>
      <w:r w:rsidRPr="00376B4E">
        <w:rPr>
          <w:color w:val="000000" w:themeColor="text1"/>
        </w:rPr>
        <w:t>114</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aps/>
          <w:color w:val="000000" w:themeColor="text1"/>
          <w:vertAlign w:val="superscript"/>
        </w:rPr>
        <w:t>14</w:t>
      </w:r>
      <w:r w:rsidRPr="00376B4E">
        <w:rPr>
          <w:color w:val="000000" w:themeColor="text1"/>
        </w:rPr>
        <w:t xml:space="preserve"> Outlook per Mac 2011</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_Toc368310262 \h </w:instrText>
      </w:r>
      <w:r w:rsidRPr="00376B4E">
        <w:rPr>
          <w:color w:val="000000" w:themeColor="text1"/>
        </w:rPr>
      </w:r>
      <w:r w:rsidRPr="00376B4E">
        <w:rPr>
          <w:color w:val="000000" w:themeColor="text1"/>
        </w:rPr>
        <w:fldChar w:fldCharType="separate"/>
      </w:r>
      <w:r w:rsidRPr="00376B4E">
        <w:rPr>
          <w:color w:val="000000" w:themeColor="text1"/>
        </w:rPr>
        <w:t>114</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aps/>
          <w:color w:val="000000" w:themeColor="text1"/>
          <w:vertAlign w:val="superscript"/>
        </w:rPr>
        <w:t>15</w:t>
      </w:r>
      <w:r w:rsidRPr="00376B4E">
        <w:rPr>
          <w:color w:val="000000" w:themeColor="text1"/>
        </w:rPr>
        <w:t xml:space="preserve"> Project Professional 2013</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_Toc368310263 \h </w:instrText>
      </w:r>
      <w:r w:rsidRPr="00376B4E">
        <w:rPr>
          <w:color w:val="000000" w:themeColor="text1"/>
        </w:rPr>
      </w:r>
      <w:r w:rsidRPr="00376B4E">
        <w:rPr>
          <w:color w:val="000000" w:themeColor="text1"/>
        </w:rPr>
        <w:fldChar w:fldCharType="separate"/>
      </w:r>
      <w:r w:rsidRPr="00376B4E">
        <w:rPr>
          <w:color w:val="000000" w:themeColor="text1"/>
        </w:rPr>
        <w:t>115</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aps/>
          <w:color w:val="000000" w:themeColor="text1"/>
          <w:vertAlign w:val="superscript"/>
        </w:rPr>
        <w:t xml:space="preserve">16 </w:t>
      </w:r>
      <w:r w:rsidRPr="00376B4E">
        <w:rPr>
          <w:color w:val="000000" w:themeColor="text1"/>
        </w:rPr>
        <w:t>Project Pro per Office 365</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_Toc368310264 \h </w:instrText>
      </w:r>
      <w:r w:rsidRPr="00376B4E">
        <w:rPr>
          <w:color w:val="000000" w:themeColor="text1"/>
        </w:rPr>
      </w:r>
      <w:r w:rsidRPr="00376B4E">
        <w:rPr>
          <w:color w:val="000000" w:themeColor="text1"/>
        </w:rPr>
        <w:fldChar w:fldCharType="separate"/>
      </w:r>
      <w:r w:rsidRPr="00376B4E">
        <w:rPr>
          <w:color w:val="000000" w:themeColor="text1"/>
        </w:rPr>
        <w:t>115</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aps/>
          <w:color w:val="000000" w:themeColor="text1"/>
          <w:vertAlign w:val="superscript"/>
        </w:rPr>
        <w:t>17</w:t>
      </w:r>
      <w:r w:rsidRPr="00376B4E">
        <w:rPr>
          <w:color w:val="000000" w:themeColor="text1"/>
        </w:rPr>
        <w:t xml:space="preserve"> Diritti di Noleggio per Office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_Toc368310265 \h </w:instrText>
      </w:r>
      <w:r w:rsidRPr="00376B4E">
        <w:rPr>
          <w:color w:val="000000" w:themeColor="text1"/>
        </w:rPr>
      </w:r>
      <w:r w:rsidRPr="00376B4E">
        <w:rPr>
          <w:color w:val="000000" w:themeColor="text1"/>
        </w:rPr>
        <w:fldChar w:fldCharType="separate"/>
      </w:r>
      <w:r w:rsidRPr="00376B4E">
        <w:rPr>
          <w:color w:val="000000" w:themeColor="text1"/>
        </w:rPr>
        <w:t>115</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aps/>
          <w:color w:val="000000" w:themeColor="text1"/>
          <w:vertAlign w:val="superscript"/>
        </w:rPr>
        <w:t>18</w:t>
      </w:r>
      <w:r w:rsidRPr="00376B4E">
        <w:rPr>
          <w:color w:val="000000" w:themeColor="text1"/>
        </w:rPr>
        <w:t xml:space="preserve"> Visio Professional 2013</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_Toc368310266 \h </w:instrText>
      </w:r>
      <w:r w:rsidRPr="00376B4E">
        <w:rPr>
          <w:color w:val="000000" w:themeColor="text1"/>
        </w:rPr>
      </w:r>
      <w:r w:rsidRPr="00376B4E">
        <w:rPr>
          <w:color w:val="000000" w:themeColor="text1"/>
        </w:rPr>
        <w:fldChar w:fldCharType="separate"/>
      </w:r>
      <w:r w:rsidRPr="00376B4E">
        <w:rPr>
          <w:color w:val="000000" w:themeColor="text1"/>
        </w:rPr>
        <w:t>116</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aps/>
          <w:color w:val="000000" w:themeColor="text1"/>
          <w:vertAlign w:val="superscript"/>
        </w:rPr>
        <w:t>19</w:t>
      </w:r>
      <w:r w:rsidRPr="00376B4E">
        <w:rPr>
          <w:color w:val="000000" w:themeColor="text1"/>
        </w:rPr>
        <w:t xml:space="preserve"> Visio Pro per Office 365</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_Toc368310267 \h </w:instrText>
      </w:r>
      <w:r w:rsidRPr="00376B4E">
        <w:rPr>
          <w:color w:val="000000" w:themeColor="text1"/>
        </w:rPr>
      </w:r>
      <w:r w:rsidRPr="00376B4E">
        <w:rPr>
          <w:color w:val="000000" w:themeColor="text1"/>
        </w:rPr>
        <w:fldChar w:fldCharType="separate"/>
      </w:r>
      <w:r w:rsidRPr="00376B4E">
        <w:rPr>
          <w:color w:val="000000" w:themeColor="text1"/>
        </w:rPr>
        <w:t>116</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aps/>
          <w:color w:val="000000" w:themeColor="text1"/>
          <w:vertAlign w:val="superscript"/>
        </w:rPr>
        <w:t>20</w:t>
      </w:r>
      <w:r w:rsidRPr="00376B4E">
        <w:rPr>
          <w:color w:val="000000" w:themeColor="text1"/>
        </w:rPr>
        <w:t xml:space="preserve"> Visual Studio Professional 2012</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_Toc368310268 \h </w:instrText>
      </w:r>
      <w:r w:rsidRPr="00376B4E">
        <w:rPr>
          <w:color w:val="000000" w:themeColor="text1"/>
        </w:rPr>
      </w:r>
      <w:r w:rsidRPr="00376B4E">
        <w:rPr>
          <w:color w:val="000000" w:themeColor="text1"/>
        </w:rPr>
        <w:fldChar w:fldCharType="separate"/>
      </w:r>
      <w:r w:rsidRPr="00376B4E">
        <w:rPr>
          <w:color w:val="000000" w:themeColor="text1"/>
        </w:rPr>
        <w:t>117</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aps/>
          <w:color w:val="000000" w:themeColor="text1"/>
          <w:vertAlign w:val="superscript"/>
        </w:rPr>
        <w:t>21</w:t>
      </w:r>
      <w:r w:rsidRPr="00376B4E">
        <w:rPr>
          <w:color w:val="000000" w:themeColor="text1"/>
        </w:rPr>
        <w:t xml:space="preserve"> Visual Studio Professional 2012 con MSDN</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_Toc368310269 \h </w:instrText>
      </w:r>
      <w:r w:rsidRPr="00376B4E">
        <w:rPr>
          <w:color w:val="000000" w:themeColor="text1"/>
        </w:rPr>
      </w:r>
      <w:r w:rsidRPr="00376B4E">
        <w:rPr>
          <w:color w:val="000000" w:themeColor="text1"/>
        </w:rPr>
        <w:fldChar w:fldCharType="separate"/>
      </w:r>
      <w:r w:rsidRPr="00376B4E">
        <w:rPr>
          <w:color w:val="000000" w:themeColor="text1"/>
        </w:rPr>
        <w:t>117</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aps/>
          <w:color w:val="000000" w:themeColor="text1"/>
          <w:vertAlign w:val="superscript"/>
        </w:rPr>
        <w:t>22</w:t>
      </w:r>
      <w:r w:rsidRPr="00376B4E">
        <w:rPr>
          <w:color w:val="000000" w:themeColor="text1"/>
        </w:rPr>
        <w:t xml:space="preserve"> Visual Studio Premium 2012 con MSDN</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_Toc368310270 \h </w:instrText>
      </w:r>
      <w:r w:rsidRPr="00376B4E">
        <w:rPr>
          <w:color w:val="000000" w:themeColor="text1"/>
        </w:rPr>
      </w:r>
      <w:r w:rsidRPr="00376B4E">
        <w:rPr>
          <w:color w:val="000000" w:themeColor="text1"/>
        </w:rPr>
        <w:fldChar w:fldCharType="separate"/>
      </w:r>
      <w:r w:rsidRPr="00376B4E">
        <w:rPr>
          <w:color w:val="000000" w:themeColor="text1"/>
        </w:rPr>
        <w:t>118</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aps/>
          <w:color w:val="000000" w:themeColor="text1"/>
          <w:vertAlign w:val="superscript"/>
        </w:rPr>
        <w:t>23</w:t>
      </w:r>
      <w:r w:rsidRPr="00376B4E">
        <w:rPr>
          <w:color w:val="000000" w:themeColor="text1"/>
        </w:rPr>
        <w:t xml:space="preserve"> Visual Studio Ultimate 2012 con MSDN</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_Toc368310271 \h </w:instrText>
      </w:r>
      <w:r w:rsidRPr="00376B4E">
        <w:rPr>
          <w:color w:val="000000" w:themeColor="text1"/>
        </w:rPr>
      </w:r>
      <w:r w:rsidRPr="00376B4E">
        <w:rPr>
          <w:color w:val="000000" w:themeColor="text1"/>
        </w:rPr>
        <w:fldChar w:fldCharType="separate"/>
      </w:r>
      <w:r w:rsidRPr="00376B4E">
        <w:rPr>
          <w:color w:val="000000" w:themeColor="text1"/>
        </w:rPr>
        <w:t>119</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aps/>
          <w:color w:val="000000" w:themeColor="text1"/>
          <w:vertAlign w:val="superscript"/>
        </w:rPr>
        <w:t>24</w:t>
      </w:r>
      <w:r w:rsidRPr="00376B4E">
        <w:rPr>
          <w:color w:val="000000" w:themeColor="text1"/>
        </w:rPr>
        <w:t xml:space="preserve"> Visual Studio Test Professional 2012 con MSDN</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_Toc368310272 \h </w:instrText>
      </w:r>
      <w:r w:rsidRPr="00376B4E">
        <w:rPr>
          <w:color w:val="000000" w:themeColor="text1"/>
        </w:rPr>
      </w:r>
      <w:r w:rsidRPr="00376B4E">
        <w:rPr>
          <w:color w:val="000000" w:themeColor="text1"/>
        </w:rPr>
        <w:fldChar w:fldCharType="separate"/>
      </w:r>
      <w:r w:rsidRPr="00376B4E">
        <w:rPr>
          <w:color w:val="000000" w:themeColor="text1"/>
        </w:rPr>
        <w:t>120</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Pool di Sistemi</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_Toc368310273 \h </w:instrText>
      </w:r>
      <w:r w:rsidRPr="00376B4E">
        <w:rPr>
          <w:color w:val="000000" w:themeColor="text1"/>
        </w:rPr>
      </w:r>
      <w:r w:rsidRPr="00376B4E">
        <w:rPr>
          <w:color w:val="000000" w:themeColor="text1"/>
        </w:rPr>
        <w:fldChar w:fldCharType="separate"/>
      </w:r>
      <w:r w:rsidRPr="00376B4E">
        <w:rPr>
          <w:color w:val="000000" w:themeColor="text1"/>
        </w:rPr>
        <w:t>121</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aps/>
          <w:color w:val="000000" w:themeColor="text1"/>
          <w:vertAlign w:val="superscript"/>
        </w:rPr>
        <w:t>25</w:t>
      </w:r>
      <w:r w:rsidRPr="00376B4E">
        <w:rPr>
          <w:color w:val="000000" w:themeColor="text1"/>
        </w:rPr>
        <w:t xml:space="preserve"> Microsoft Desktop Optimization Pack per Software Assurance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_Toc368310274 \h </w:instrText>
      </w:r>
      <w:r w:rsidRPr="00376B4E">
        <w:rPr>
          <w:color w:val="000000" w:themeColor="text1"/>
        </w:rPr>
      </w:r>
      <w:r w:rsidRPr="00376B4E">
        <w:rPr>
          <w:color w:val="000000" w:themeColor="text1"/>
        </w:rPr>
        <w:fldChar w:fldCharType="separate"/>
      </w:r>
      <w:r w:rsidRPr="00376B4E">
        <w:rPr>
          <w:color w:val="000000" w:themeColor="text1"/>
        </w:rPr>
        <w:t>121</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aps/>
          <w:color w:val="000000" w:themeColor="text1"/>
          <w:vertAlign w:val="superscript"/>
        </w:rPr>
        <w:t xml:space="preserve">26 </w:t>
      </w:r>
      <w:r w:rsidRPr="00376B4E">
        <w:rPr>
          <w:color w:val="000000" w:themeColor="text1"/>
        </w:rPr>
        <w:t>Windows Embedded 8 Standard Enterprise Kit</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_Toc368310275 \h </w:instrText>
      </w:r>
      <w:r w:rsidRPr="00376B4E">
        <w:rPr>
          <w:color w:val="000000" w:themeColor="text1"/>
        </w:rPr>
      </w:r>
      <w:r w:rsidRPr="00376B4E">
        <w:rPr>
          <w:color w:val="000000" w:themeColor="text1"/>
        </w:rPr>
        <w:fldChar w:fldCharType="separate"/>
      </w:r>
      <w:r w:rsidRPr="00376B4E">
        <w:rPr>
          <w:color w:val="000000" w:themeColor="text1"/>
        </w:rPr>
        <w:t>122</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aps/>
          <w:color w:val="000000" w:themeColor="text1"/>
          <w:vertAlign w:val="superscript"/>
        </w:rPr>
        <w:t xml:space="preserve">27 </w:t>
      </w:r>
      <w:r w:rsidRPr="00376B4E">
        <w:rPr>
          <w:color w:val="000000" w:themeColor="text1"/>
        </w:rPr>
        <w:t>Windows Embedded 8 Industry Pro Sideloading</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_Toc368310276 \h </w:instrText>
      </w:r>
      <w:r w:rsidRPr="00376B4E">
        <w:rPr>
          <w:color w:val="000000" w:themeColor="text1"/>
        </w:rPr>
      </w:r>
      <w:r w:rsidRPr="00376B4E">
        <w:rPr>
          <w:color w:val="000000" w:themeColor="text1"/>
        </w:rPr>
        <w:fldChar w:fldCharType="separate"/>
      </w:r>
      <w:r w:rsidRPr="00376B4E">
        <w:rPr>
          <w:color w:val="000000" w:themeColor="text1"/>
        </w:rPr>
        <w:t>122</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aps/>
          <w:color w:val="000000" w:themeColor="text1"/>
          <w:vertAlign w:val="superscript"/>
        </w:rPr>
        <w:t xml:space="preserve">28 </w:t>
      </w:r>
      <w:r w:rsidRPr="00376B4E">
        <w:rPr>
          <w:color w:val="000000" w:themeColor="text1"/>
        </w:rPr>
        <w:t>Windows</w:t>
      </w:r>
      <w:r w:rsidRPr="00376B4E">
        <w:rPr>
          <w:color w:val="000000" w:themeColor="text1"/>
          <w:vertAlign w:val="superscript"/>
        </w:rPr>
        <w:t>®</w:t>
      </w:r>
      <w:r w:rsidRPr="00376B4E">
        <w:rPr>
          <w:color w:val="000000" w:themeColor="text1"/>
        </w:rPr>
        <w:t xml:space="preserve"> Embedded 8 Industry Pro Upgrade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_Toc368310277 \h </w:instrText>
      </w:r>
      <w:r w:rsidRPr="00376B4E">
        <w:rPr>
          <w:color w:val="000000" w:themeColor="text1"/>
        </w:rPr>
      </w:r>
      <w:r w:rsidRPr="00376B4E">
        <w:rPr>
          <w:color w:val="000000" w:themeColor="text1"/>
        </w:rPr>
        <w:fldChar w:fldCharType="separate"/>
      </w:r>
      <w:r w:rsidRPr="00376B4E">
        <w:rPr>
          <w:color w:val="000000" w:themeColor="text1"/>
        </w:rPr>
        <w:t>122</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aps/>
          <w:color w:val="000000" w:themeColor="text1"/>
          <w:vertAlign w:val="superscript"/>
        </w:rPr>
        <w:t xml:space="preserve">29 </w:t>
      </w:r>
      <w:r w:rsidRPr="00376B4E">
        <w:rPr>
          <w:color w:val="000000" w:themeColor="text1"/>
        </w:rPr>
        <w:t>Licenza “Subscription” per Windows</w:t>
      </w:r>
      <w:r w:rsidRPr="00376B4E">
        <w:rPr>
          <w:color w:val="000000" w:themeColor="text1"/>
          <w:vertAlign w:val="superscript"/>
        </w:rPr>
        <w:t>®</w:t>
      </w:r>
      <w:r w:rsidRPr="00376B4E">
        <w:rPr>
          <w:color w:val="000000" w:themeColor="text1"/>
        </w:rPr>
        <w:t xml:space="preserve"> Companion</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_Toc368310278 \h </w:instrText>
      </w:r>
      <w:r w:rsidRPr="00376B4E">
        <w:rPr>
          <w:color w:val="000000" w:themeColor="text1"/>
        </w:rPr>
      </w:r>
      <w:r w:rsidRPr="00376B4E">
        <w:rPr>
          <w:color w:val="000000" w:themeColor="text1"/>
        </w:rPr>
        <w:fldChar w:fldCharType="separate"/>
      </w:r>
      <w:r w:rsidRPr="00376B4E">
        <w:rPr>
          <w:color w:val="000000" w:themeColor="text1"/>
        </w:rPr>
        <w:t>124</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aps/>
          <w:color w:val="000000" w:themeColor="text1"/>
          <w:vertAlign w:val="superscript"/>
        </w:rPr>
        <w:t>30</w:t>
      </w:r>
      <w:r w:rsidRPr="00376B4E">
        <w:rPr>
          <w:rFonts w:eastAsia="Times New Roman"/>
          <w:color w:val="000000" w:themeColor="text1"/>
        </w:rPr>
        <w:t xml:space="preserve"> Windows Vista DVD Playback Pack</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_Toc368310279 \h </w:instrText>
      </w:r>
      <w:r w:rsidRPr="00376B4E">
        <w:rPr>
          <w:color w:val="000000" w:themeColor="text1"/>
        </w:rPr>
      </w:r>
      <w:r w:rsidRPr="00376B4E">
        <w:rPr>
          <w:color w:val="000000" w:themeColor="text1"/>
        </w:rPr>
        <w:fldChar w:fldCharType="separate"/>
      </w:r>
      <w:r w:rsidRPr="00376B4E">
        <w:rPr>
          <w:color w:val="000000" w:themeColor="text1"/>
        </w:rPr>
        <w:t>124</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aps/>
          <w:color w:val="000000" w:themeColor="text1"/>
          <w:vertAlign w:val="superscript"/>
        </w:rPr>
        <w:t>31</w:t>
      </w:r>
      <w:r w:rsidRPr="00376B4E">
        <w:rPr>
          <w:color w:val="000000" w:themeColor="text1"/>
        </w:rPr>
        <w:t xml:space="preserve"> Windows</w:t>
      </w:r>
      <w:r w:rsidRPr="00376B4E">
        <w:rPr>
          <w:color w:val="000000" w:themeColor="text1"/>
          <w:vertAlign w:val="superscript"/>
        </w:rPr>
        <w:t>®</w:t>
      </w:r>
      <w:r w:rsidRPr="00376B4E">
        <w:rPr>
          <w:color w:val="000000" w:themeColor="text1"/>
        </w:rPr>
        <w:t xml:space="preserve"> 7 Partners in Learning</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_Toc368310280 \h </w:instrText>
      </w:r>
      <w:r w:rsidRPr="00376B4E">
        <w:rPr>
          <w:color w:val="000000" w:themeColor="text1"/>
        </w:rPr>
      </w:r>
      <w:r w:rsidRPr="00376B4E">
        <w:rPr>
          <w:color w:val="000000" w:themeColor="text1"/>
        </w:rPr>
        <w:fldChar w:fldCharType="separate"/>
      </w:r>
      <w:r w:rsidRPr="00376B4E">
        <w:rPr>
          <w:color w:val="000000" w:themeColor="text1"/>
        </w:rPr>
        <w:t>124</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aps/>
          <w:color w:val="000000" w:themeColor="text1"/>
          <w:vertAlign w:val="superscript"/>
        </w:rPr>
        <w:t>32</w:t>
      </w:r>
      <w:r w:rsidRPr="00376B4E">
        <w:rPr>
          <w:color w:val="000000" w:themeColor="text1"/>
        </w:rPr>
        <w:t xml:space="preserve"> Windows</w:t>
      </w:r>
      <w:r w:rsidRPr="00376B4E">
        <w:rPr>
          <w:color w:val="000000" w:themeColor="text1"/>
          <w:vertAlign w:val="superscript"/>
        </w:rPr>
        <w:t>®</w:t>
      </w:r>
      <w:r w:rsidRPr="00376B4E">
        <w:rPr>
          <w:color w:val="000000" w:themeColor="text1"/>
        </w:rPr>
        <w:t xml:space="preserve"> 8 Enterprise Sideloading</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_Toc368310281 \h </w:instrText>
      </w:r>
      <w:r w:rsidRPr="00376B4E">
        <w:rPr>
          <w:color w:val="000000" w:themeColor="text1"/>
        </w:rPr>
      </w:r>
      <w:r w:rsidRPr="00376B4E">
        <w:rPr>
          <w:color w:val="000000" w:themeColor="text1"/>
        </w:rPr>
        <w:fldChar w:fldCharType="separate"/>
      </w:r>
      <w:r w:rsidRPr="00376B4E">
        <w:rPr>
          <w:color w:val="000000" w:themeColor="text1"/>
        </w:rPr>
        <w:t>124</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aps/>
          <w:color w:val="000000" w:themeColor="text1"/>
          <w:vertAlign w:val="superscript"/>
        </w:rPr>
        <w:t>33</w:t>
      </w:r>
      <w:r w:rsidRPr="00376B4E">
        <w:rPr>
          <w:color w:val="000000" w:themeColor="text1"/>
        </w:rPr>
        <w:t xml:space="preserve"> Aggiornamento per Windows</w:t>
      </w:r>
      <w:r w:rsidRPr="00376B4E">
        <w:rPr>
          <w:color w:val="000000" w:themeColor="text1"/>
          <w:vertAlign w:val="superscript"/>
        </w:rPr>
        <w:t>®</w:t>
      </w:r>
      <w:r w:rsidRPr="00376B4E">
        <w:rPr>
          <w:color w:val="000000" w:themeColor="text1"/>
        </w:rPr>
        <w:t xml:space="preserve"> 8 Pro e Windows Intune (Per Dispositivo)</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_Toc368310282 \h </w:instrText>
      </w:r>
      <w:r w:rsidRPr="00376B4E">
        <w:rPr>
          <w:color w:val="000000" w:themeColor="text1"/>
        </w:rPr>
      </w:r>
      <w:r w:rsidRPr="00376B4E">
        <w:rPr>
          <w:color w:val="000000" w:themeColor="text1"/>
        </w:rPr>
        <w:fldChar w:fldCharType="separate"/>
      </w:r>
      <w:r w:rsidRPr="00376B4E">
        <w:rPr>
          <w:color w:val="000000" w:themeColor="text1"/>
        </w:rPr>
        <w:t>125</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aps/>
          <w:color w:val="000000" w:themeColor="text1"/>
          <w:vertAlign w:val="superscript"/>
        </w:rPr>
        <w:t xml:space="preserve">34 </w:t>
      </w:r>
      <w:r w:rsidRPr="00376B4E">
        <w:rPr>
          <w:rFonts w:cs="Tahoma"/>
          <w:color w:val="000000" w:themeColor="text1"/>
        </w:rPr>
        <w:t>Componente Aggiuntivo per Windows Intune (Per Dispositivo)</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_Toc368310283 \h </w:instrText>
      </w:r>
      <w:r w:rsidRPr="00376B4E">
        <w:rPr>
          <w:color w:val="000000" w:themeColor="text1"/>
        </w:rPr>
      </w:r>
      <w:r w:rsidRPr="00376B4E">
        <w:rPr>
          <w:color w:val="000000" w:themeColor="text1"/>
        </w:rPr>
        <w:fldChar w:fldCharType="separate"/>
      </w:r>
      <w:r w:rsidRPr="00376B4E">
        <w:rPr>
          <w:color w:val="000000" w:themeColor="text1"/>
        </w:rPr>
        <w:t>132</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rPr>
        <w:t>Pool di Server</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_Toc368310284 \h </w:instrText>
      </w:r>
      <w:r w:rsidRPr="00376B4E">
        <w:rPr>
          <w:color w:val="000000" w:themeColor="text1"/>
        </w:rPr>
      </w:r>
      <w:r w:rsidRPr="00376B4E">
        <w:rPr>
          <w:color w:val="000000" w:themeColor="text1"/>
        </w:rPr>
        <w:fldChar w:fldCharType="separate"/>
      </w:r>
      <w:r w:rsidRPr="00376B4E">
        <w:rPr>
          <w:color w:val="000000" w:themeColor="text1"/>
        </w:rPr>
        <w:t>134</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aps/>
          <w:color w:val="000000" w:themeColor="text1"/>
          <w:vertAlign w:val="superscript"/>
        </w:rPr>
        <w:t>35</w:t>
      </w:r>
      <w:r w:rsidRPr="00376B4E">
        <w:rPr>
          <w:rFonts w:cs="Tahoma"/>
          <w:color w:val="000000" w:themeColor="text1"/>
        </w:rPr>
        <w:t xml:space="preserve"> SL Add-On per Bing Maps Public Website Usage e SL Add-On per Bing Maps Internal Website Usage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_Toc368310285 \h </w:instrText>
      </w:r>
      <w:r w:rsidRPr="00376B4E">
        <w:rPr>
          <w:color w:val="000000" w:themeColor="text1"/>
        </w:rPr>
      </w:r>
      <w:r w:rsidRPr="00376B4E">
        <w:rPr>
          <w:color w:val="000000" w:themeColor="text1"/>
        </w:rPr>
        <w:fldChar w:fldCharType="separate"/>
      </w:r>
      <w:r w:rsidRPr="00376B4E">
        <w:rPr>
          <w:color w:val="000000" w:themeColor="text1"/>
        </w:rPr>
        <w:t>134</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aps/>
          <w:color w:val="000000" w:themeColor="text1"/>
          <w:vertAlign w:val="superscript"/>
        </w:rPr>
        <w:t xml:space="preserve">36 </w:t>
      </w:r>
      <w:r w:rsidRPr="00376B4E">
        <w:rPr>
          <w:color w:val="000000" w:themeColor="text1"/>
        </w:rPr>
        <w:t>BizTalk Server</w:t>
      </w:r>
      <w:r w:rsidRPr="00376B4E">
        <w:rPr>
          <w:color w:val="000000" w:themeColor="text1"/>
          <w:vertAlign w:val="superscript"/>
        </w:rPr>
        <w:t>®</w:t>
      </w:r>
      <w:r w:rsidRPr="00376B4E">
        <w:rPr>
          <w:color w:val="000000" w:themeColor="text1"/>
        </w:rPr>
        <w:t xml:space="preserve"> 2013 Branch</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_Toc368310286 \h </w:instrText>
      </w:r>
      <w:r w:rsidRPr="00376B4E">
        <w:rPr>
          <w:color w:val="000000" w:themeColor="text1"/>
        </w:rPr>
      </w:r>
      <w:r w:rsidRPr="00376B4E">
        <w:rPr>
          <w:color w:val="000000" w:themeColor="text1"/>
        </w:rPr>
        <w:fldChar w:fldCharType="separate"/>
      </w:r>
      <w:r w:rsidRPr="00376B4E">
        <w:rPr>
          <w:color w:val="000000" w:themeColor="text1"/>
        </w:rPr>
        <w:t>136</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aps/>
          <w:color w:val="000000" w:themeColor="text1"/>
          <w:vertAlign w:val="superscript"/>
        </w:rPr>
        <w:t xml:space="preserve">37 </w:t>
      </w:r>
      <w:r w:rsidRPr="00376B4E">
        <w:rPr>
          <w:color w:val="000000" w:themeColor="text1"/>
        </w:rPr>
        <w:t>BizTalk Server</w:t>
      </w:r>
      <w:r w:rsidRPr="00376B4E">
        <w:rPr>
          <w:color w:val="000000" w:themeColor="text1"/>
          <w:vertAlign w:val="superscript"/>
        </w:rPr>
        <w:t>®</w:t>
      </w:r>
      <w:r w:rsidRPr="00376B4E">
        <w:rPr>
          <w:color w:val="000000" w:themeColor="text1"/>
        </w:rPr>
        <w:t xml:space="preserve"> 2013 Enterprise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_Toc368310287 \h </w:instrText>
      </w:r>
      <w:r w:rsidRPr="00376B4E">
        <w:rPr>
          <w:color w:val="000000" w:themeColor="text1"/>
        </w:rPr>
      </w:r>
      <w:r w:rsidRPr="00376B4E">
        <w:rPr>
          <w:color w:val="000000" w:themeColor="text1"/>
        </w:rPr>
        <w:fldChar w:fldCharType="separate"/>
      </w:r>
      <w:r w:rsidRPr="00376B4E">
        <w:rPr>
          <w:color w:val="000000" w:themeColor="text1"/>
        </w:rPr>
        <w:t>137</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aps/>
          <w:color w:val="000000" w:themeColor="text1"/>
          <w:vertAlign w:val="superscript"/>
        </w:rPr>
        <w:t>38</w:t>
      </w:r>
      <w:r w:rsidRPr="00376B4E">
        <w:rPr>
          <w:color w:val="000000" w:themeColor="text1"/>
        </w:rPr>
        <w:t xml:space="preserve"> BizTalk Server</w:t>
      </w:r>
      <w:r w:rsidRPr="00376B4E">
        <w:rPr>
          <w:color w:val="000000" w:themeColor="text1"/>
          <w:vertAlign w:val="superscript"/>
        </w:rPr>
        <w:t>®</w:t>
      </w:r>
      <w:r w:rsidRPr="00376B4E">
        <w:rPr>
          <w:color w:val="000000" w:themeColor="text1"/>
        </w:rPr>
        <w:t xml:space="preserve"> 2013 Standard</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_Toc368310288 \h </w:instrText>
      </w:r>
      <w:r w:rsidRPr="00376B4E">
        <w:rPr>
          <w:color w:val="000000" w:themeColor="text1"/>
        </w:rPr>
      </w:r>
      <w:r w:rsidRPr="00376B4E">
        <w:rPr>
          <w:color w:val="000000" w:themeColor="text1"/>
        </w:rPr>
        <w:fldChar w:fldCharType="separate"/>
      </w:r>
      <w:r w:rsidRPr="00376B4E">
        <w:rPr>
          <w:color w:val="000000" w:themeColor="text1"/>
        </w:rPr>
        <w:t>139</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aps/>
          <w:color w:val="000000" w:themeColor="text1"/>
          <w:vertAlign w:val="superscript"/>
        </w:rPr>
        <w:t xml:space="preserve">39 </w:t>
      </w:r>
      <w:r w:rsidRPr="00376B4E">
        <w:rPr>
          <w:color w:val="000000" w:themeColor="text1"/>
        </w:rPr>
        <w:t>Business Intelligence Appliance 2012</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_Toc368310289 \h </w:instrText>
      </w:r>
      <w:r w:rsidRPr="00376B4E">
        <w:rPr>
          <w:color w:val="000000" w:themeColor="text1"/>
        </w:rPr>
      </w:r>
      <w:r w:rsidRPr="00376B4E">
        <w:rPr>
          <w:color w:val="000000" w:themeColor="text1"/>
        </w:rPr>
        <w:fldChar w:fldCharType="separate"/>
      </w:r>
      <w:r w:rsidRPr="00376B4E">
        <w:rPr>
          <w:color w:val="000000" w:themeColor="text1"/>
        </w:rPr>
        <w:t>140</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aps/>
          <w:color w:val="000000" w:themeColor="text1"/>
          <w:vertAlign w:val="superscript"/>
        </w:rPr>
        <w:t>40</w:t>
      </w:r>
      <w:r w:rsidRPr="00376B4E">
        <w:rPr>
          <w:color w:val="000000" w:themeColor="text1"/>
        </w:rPr>
        <w:t xml:space="preserve"> Core CAL Suite Bridge per Office 365, Core CAL Suite Bridge per Office 365 e Windows Intune e Core CAL Suite Bridge per Windows Intune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_Toc368310290 \h </w:instrText>
      </w:r>
      <w:r w:rsidRPr="00376B4E">
        <w:rPr>
          <w:color w:val="000000" w:themeColor="text1"/>
        </w:rPr>
      </w:r>
      <w:r w:rsidRPr="00376B4E">
        <w:rPr>
          <w:color w:val="000000" w:themeColor="text1"/>
        </w:rPr>
        <w:fldChar w:fldCharType="separate"/>
      </w:r>
      <w:r w:rsidRPr="00376B4E">
        <w:rPr>
          <w:color w:val="000000" w:themeColor="text1"/>
        </w:rPr>
        <w:t>140</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aps/>
          <w:color w:val="000000" w:themeColor="text1"/>
          <w:vertAlign w:val="superscript"/>
        </w:rPr>
        <w:t>41</w:t>
      </w:r>
      <w:r w:rsidRPr="00376B4E">
        <w:rPr>
          <w:color w:val="000000" w:themeColor="text1"/>
        </w:rPr>
        <w:t xml:space="preserve"> Core CAL Suite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_Toc368310291 \h </w:instrText>
      </w:r>
      <w:r w:rsidRPr="00376B4E">
        <w:rPr>
          <w:color w:val="000000" w:themeColor="text1"/>
        </w:rPr>
      </w:r>
      <w:r w:rsidRPr="00376B4E">
        <w:rPr>
          <w:color w:val="000000" w:themeColor="text1"/>
        </w:rPr>
        <w:fldChar w:fldCharType="separate"/>
      </w:r>
      <w:r w:rsidRPr="00376B4E">
        <w:rPr>
          <w:color w:val="000000" w:themeColor="text1"/>
        </w:rPr>
        <w:t>141</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aps/>
          <w:color w:val="000000" w:themeColor="text1"/>
          <w:vertAlign w:val="superscript"/>
        </w:rPr>
        <w:lastRenderedPageBreak/>
        <w:t>42</w:t>
      </w:r>
      <w:r w:rsidRPr="00376B4E">
        <w:rPr>
          <w:color w:val="000000" w:themeColor="text1"/>
        </w:rPr>
        <w:t xml:space="preserve"> Core Infrastructure Server Suite Standard</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_Toc368310292 \h </w:instrText>
      </w:r>
      <w:r w:rsidRPr="00376B4E">
        <w:rPr>
          <w:color w:val="000000" w:themeColor="text1"/>
        </w:rPr>
      </w:r>
      <w:r w:rsidRPr="00376B4E">
        <w:rPr>
          <w:color w:val="000000" w:themeColor="text1"/>
        </w:rPr>
        <w:fldChar w:fldCharType="separate"/>
      </w:r>
      <w:r w:rsidRPr="00376B4E">
        <w:rPr>
          <w:color w:val="000000" w:themeColor="text1"/>
        </w:rPr>
        <w:t>141</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aps/>
          <w:color w:val="000000" w:themeColor="text1"/>
          <w:vertAlign w:val="superscript"/>
        </w:rPr>
        <w:t>43</w:t>
      </w:r>
      <w:r w:rsidRPr="00376B4E">
        <w:rPr>
          <w:color w:val="000000" w:themeColor="text1"/>
        </w:rPr>
        <w:t xml:space="preserve"> Core Infrastructure Server Suite Enterprise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_Toc368310293 \h </w:instrText>
      </w:r>
      <w:r w:rsidRPr="00376B4E">
        <w:rPr>
          <w:color w:val="000000" w:themeColor="text1"/>
        </w:rPr>
      </w:r>
      <w:r w:rsidRPr="00376B4E">
        <w:rPr>
          <w:color w:val="000000" w:themeColor="text1"/>
        </w:rPr>
        <w:fldChar w:fldCharType="separate"/>
      </w:r>
      <w:r w:rsidRPr="00376B4E">
        <w:rPr>
          <w:color w:val="000000" w:themeColor="text1"/>
        </w:rPr>
        <w:t>143</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aps/>
          <w:color w:val="000000" w:themeColor="text1"/>
          <w:vertAlign w:val="superscript"/>
        </w:rPr>
        <w:t>44</w:t>
      </w:r>
      <w:r w:rsidRPr="00376B4E">
        <w:rPr>
          <w:color w:val="000000" w:themeColor="text1"/>
        </w:rPr>
        <w:t xml:space="preserve"> Core Infrastructure Server Suite Datacenter</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_Toc368310294 \h </w:instrText>
      </w:r>
      <w:r w:rsidRPr="00376B4E">
        <w:rPr>
          <w:color w:val="000000" w:themeColor="text1"/>
        </w:rPr>
      </w:r>
      <w:r w:rsidRPr="00376B4E">
        <w:rPr>
          <w:color w:val="000000" w:themeColor="text1"/>
        </w:rPr>
        <w:fldChar w:fldCharType="separate"/>
      </w:r>
      <w:r w:rsidRPr="00376B4E">
        <w:rPr>
          <w:color w:val="000000" w:themeColor="text1"/>
        </w:rPr>
        <w:t>143</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eastAsia="Times New Roman" w:cs="Tahoma"/>
          <w:caps/>
          <w:color w:val="000000" w:themeColor="text1"/>
          <w:vertAlign w:val="superscript"/>
        </w:rPr>
        <w:t xml:space="preserve">45 </w:t>
      </w:r>
      <w:r w:rsidRPr="00376B4E">
        <w:rPr>
          <w:rFonts w:eastAsia="Times New Roman" w:cs="Tahoma"/>
          <w:color w:val="000000" w:themeColor="text1"/>
        </w:rPr>
        <w:t>Duet Enterprise 2.0</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_Toc368310295 \h </w:instrText>
      </w:r>
      <w:r w:rsidRPr="00376B4E">
        <w:rPr>
          <w:color w:val="000000" w:themeColor="text1"/>
        </w:rPr>
      </w:r>
      <w:r w:rsidRPr="00376B4E">
        <w:rPr>
          <w:color w:val="000000" w:themeColor="text1"/>
        </w:rPr>
        <w:fldChar w:fldCharType="separate"/>
      </w:r>
      <w:r w:rsidRPr="00376B4E">
        <w:rPr>
          <w:color w:val="000000" w:themeColor="text1"/>
        </w:rPr>
        <w:t>144</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aps/>
          <w:color w:val="000000" w:themeColor="text1"/>
          <w:vertAlign w:val="superscript"/>
        </w:rPr>
        <w:t xml:space="preserve">46 </w:t>
      </w:r>
      <w:r w:rsidRPr="00376B4E">
        <w:rPr>
          <w:color w:val="000000" w:themeColor="text1"/>
        </w:rPr>
        <w:t>Enterprise CAL Suite Bridge per Office 365, Enterprise CAL Suite Bridge per Office 365 e Windows Intune e Enterprise CAL Suite Bridge per Windows Intune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_Toc368310296 \h </w:instrText>
      </w:r>
      <w:r w:rsidRPr="00376B4E">
        <w:rPr>
          <w:color w:val="000000" w:themeColor="text1"/>
        </w:rPr>
      </w:r>
      <w:r w:rsidRPr="00376B4E">
        <w:rPr>
          <w:color w:val="000000" w:themeColor="text1"/>
        </w:rPr>
        <w:fldChar w:fldCharType="separate"/>
      </w:r>
      <w:r w:rsidRPr="00376B4E">
        <w:rPr>
          <w:color w:val="000000" w:themeColor="text1"/>
        </w:rPr>
        <w:t>145</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aps/>
          <w:color w:val="000000" w:themeColor="text1"/>
          <w:vertAlign w:val="superscript"/>
        </w:rPr>
        <w:t>47</w:t>
      </w:r>
      <w:r w:rsidRPr="00376B4E">
        <w:rPr>
          <w:color w:val="000000" w:themeColor="text1"/>
        </w:rPr>
        <w:t xml:space="preserve"> Enterprise CAL Suite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_Toc368310297 \h </w:instrText>
      </w:r>
      <w:r w:rsidRPr="00376B4E">
        <w:rPr>
          <w:color w:val="000000" w:themeColor="text1"/>
        </w:rPr>
      </w:r>
      <w:r w:rsidRPr="00376B4E">
        <w:rPr>
          <w:color w:val="000000" w:themeColor="text1"/>
        </w:rPr>
        <w:fldChar w:fldCharType="separate"/>
      </w:r>
      <w:r w:rsidRPr="00376B4E">
        <w:rPr>
          <w:color w:val="000000" w:themeColor="text1"/>
        </w:rPr>
        <w:t>145</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aps/>
          <w:color w:val="000000" w:themeColor="text1"/>
          <w:vertAlign w:val="superscript"/>
        </w:rPr>
        <w:t>48</w:t>
      </w:r>
      <w:r w:rsidRPr="00376B4E">
        <w:rPr>
          <w:color w:val="000000" w:themeColor="text1"/>
        </w:rPr>
        <w:t xml:space="preserve"> Enterprise CAL per Exchange 2013 con Servizi</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_Toc368310298 \h </w:instrText>
      </w:r>
      <w:r w:rsidRPr="00376B4E">
        <w:rPr>
          <w:color w:val="000000" w:themeColor="text1"/>
        </w:rPr>
      </w:r>
      <w:r w:rsidRPr="00376B4E">
        <w:rPr>
          <w:color w:val="000000" w:themeColor="text1"/>
        </w:rPr>
        <w:fldChar w:fldCharType="separate"/>
      </w:r>
      <w:r w:rsidRPr="00376B4E">
        <w:rPr>
          <w:color w:val="000000" w:themeColor="text1"/>
        </w:rPr>
        <w:t>147</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vertAlign w:val="superscript"/>
        </w:rPr>
        <w:t>49</w:t>
      </w:r>
      <w:r w:rsidRPr="00376B4E">
        <w:rPr>
          <w:rFonts w:cs="Tahoma"/>
          <w:color w:val="000000" w:themeColor="text1"/>
        </w:rPr>
        <w:t xml:space="preserve"> Archiviazione Exchange Online per Exchange Server (SL per Utente)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_Toc368310299 \h </w:instrText>
      </w:r>
      <w:r w:rsidRPr="00376B4E">
        <w:rPr>
          <w:color w:val="000000" w:themeColor="text1"/>
        </w:rPr>
      </w:r>
      <w:r w:rsidRPr="00376B4E">
        <w:rPr>
          <w:color w:val="000000" w:themeColor="text1"/>
        </w:rPr>
        <w:fldChar w:fldCharType="separate"/>
      </w:r>
      <w:r w:rsidRPr="00376B4E">
        <w:rPr>
          <w:color w:val="000000" w:themeColor="text1"/>
        </w:rPr>
        <w:t>147</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vertAlign w:val="superscript"/>
        </w:rPr>
        <w:t>50</w:t>
      </w:r>
      <w:r w:rsidRPr="00376B4E">
        <w:rPr>
          <w:rFonts w:cs="Tahoma"/>
          <w:color w:val="000000" w:themeColor="text1"/>
        </w:rPr>
        <w:t xml:space="preserve"> Archiviazione Exchange Online per Exchange Server A (SL per Utente)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_Toc368310300 \h </w:instrText>
      </w:r>
      <w:r w:rsidRPr="00376B4E">
        <w:rPr>
          <w:color w:val="000000" w:themeColor="text1"/>
        </w:rPr>
      </w:r>
      <w:r w:rsidRPr="00376B4E">
        <w:rPr>
          <w:color w:val="000000" w:themeColor="text1"/>
        </w:rPr>
        <w:fldChar w:fldCharType="separate"/>
      </w:r>
      <w:r w:rsidRPr="00376B4E">
        <w:rPr>
          <w:color w:val="000000" w:themeColor="text1"/>
        </w:rPr>
        <w:t>148</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vertAlign w:val="superscript"/>
        </w:rPr>
        <w:t>51</w:t>
      </w:r>
      <w:r w:rsidRPr="00376B4E">
        <w:rPr>
          <w:rFonts w:cs="Tahoma"/>
          <w:color w:val="000000" w:themeColor="text1"/>
        </w:rPr>
        <w:t xml:space="preserve"> Exchange Hosted Archive (SL per Utente), Exchange Hosted Archive Extra Storage (SL Add-on)</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_Toc368310301 \h </w:instrText>
      </w:r>
      <w:r w:rsidRPr="00376B4E">
        <w:rPr>
          <w:color w:val="000000" w:themeColor="text1"/>
        </w:rPr>
      </w:r>
      <w:r w:rsidRPr="00376B4E">
        <w:rPr>
          <w:color w:val="000000" w:themeColor="text1"/>
        </w:rPr>
        <w:fldChar w:fldCharType="separate"/>
      </w:r>
      <w:r w:rsidRPr="00376B4E">
        <w:rPr>
          <w:color w:val="000000" w:themeColor="text1"/>
        </w:rPr>
        <w:t>148</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vertAlign w:val="superscript"/>
        </w:rPr>
        <w:t>52</w:t>
      </w:r>
      <w:r w:rsidRPr="00376B4E">
        <w:rPr>
          <w:rFonts w:cs="Tahoma"/>
          <w:color w:val="000000" w:themeColor="text1"/>
        </w:rPr>
        <w:t xml:space="preserve"> Exchange Hosted Encryption (SL per Utente)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_Toc368310302 \h </w:instrText>
      </w:r>
      <w:r w:rsidRPr="00376B4E">
        <w:rPr>
          <w:color w:val="000000" w:themeColor="text1"/>
        </w:rPr>
      </w:r>
      <w:r w:rsidRPr="00376B4E">
        <w:rPr>
          <w:color w:val="000000" w:themeColor="text1"/>
        </w:rPr>
        <w:fldChar w:fldCharType="separate"/>
      </w:r>
      <w:r w:rsidRPr="00376B4E">
        <w:rPr>
          <w:color w:val="000000" w:themeColor="text1"/>
        </w:rPr>
        <w:t>149</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aps/>
          <w:color w:val="000000" w:themeColor="text1"/>
          <w:vertAlign w:val="superscript"/>
        </w:rPr>
        <w:t>53</w:t>
      </w:r>
      <w:r w:rsidRPr="00376B4E">
        <w:rPr>
          <w:color w:val="000000" w:themeColor="text1"/>
        </w:rPr>
        <w:t xml:space="preserve"> Chiosco Exchange Online (SL per Utente)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_Toc368310303 \h </w:instrText>
      </w:r>
      <w:r w:rsidRPr="00376B4E">
        <w:rPr>
          <w:color w:val="000000" w:themeColor="text1"/>
        </w:rPr>
      </w:r>
      <w:r w:rsidRPr="00376B4E">
        <w:rPr>
          <w:color w:val="000000" w:themeColor="text1"/>
        </w:rPr>
        <w:fldChar w:fldCharType="separate"/>
      </w:r>
      <w:r w:rsidRPr="00376B4E">
        <w:rPr>
          <w:color w:val="000000" w:themeColor="text1"/>
        </w:rPr>
        <w:t>149</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aps/>
          <w:color w:val="000000" w:themeColor="text1"/>
          <w:vertAlign w:val="superscript"/>
        </w:rPr>
        <w:t xml:space="preserve">54 </w:t>
      </w:r>
      <w:r w:rsidRPr="00376B4E">
        <w:rPr>
          <w:color w:val="000000" w:themeColor="text1"/>
        </w:rPr>
        <w:t>Exchange Online Piano 1</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_Toc368310304 \h </w:instrText>
      </w:r>
      <w:r w:rsidRPr="00376B4E">
        <w:rPr>
          <w:color w:val="000000" w:themeColor="text1"/>
        </w:rPr>
      </w:r>
      <w:r w:rsidRPr="00376B4E">
        <w:rPr>
          <w:color w:val="000000" w:themeColor="text1"/>
        </w:rPr>
        <w:fldChar w:fldCharType="separate"/>
      </w:r>
      <w:r w:rsidRPr="00376B4E">
        <w:rPr>
          <w:color w:val="000000" w:themeColor="text1"/>
        </w:rPr>
        <w:t>149</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aps/>
          <w:color w:val="000000" w:themeColor="text1"/>
          <w:vertAlign w:val="superscript"/>
        </w:rPr>
        <w:t>55</w:t>
      </w:r>
      <w:r w:rsidRPr="00376B4E">
        <w:rPr>
          <w:rFonts w:cs="Tahoma"/>
          <w:color w:val="000000" w:themeColor="text1"/>
        </w:rPr>
        <w:t xml:space="preserve"> Exchange Online Piano 2</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_Toc368310305 \h </w:instrText>
      </w:r>
      <w:r w:rsidRPr="00376B4E">
        <w:rPr>
          <w:color w:val="000000" w:themeColor="text1"/>
        </w:rPr>
      </w:r>
      <w:r w:rsidRPr="00376B4E">
        <w:rPr>
          <w:color w:val="000000" w:themeColor="text1"/>
        </w:rPr>
        <w:fldChar w:fldCharType="separate"/>
      </w:r>
      <w:r w:rsidRPr="00376B4E">
        <w:rPr>
          <w:color w:val="000000" w:themeColor="text1"/>
        </w:rPr>
        <w:t>150</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aps/>
          <w:color w:val="000000" w:themeColor="text1"/>
          <w:vertAlign w:val="superscript"/>
        </w:rPr>
        <w:t xml:space="preserve">56 </w:t>
      </w:r>
      <w:r w:rsidRPr="00376B4E">
        <w:rPr>
          <w:rFonts w:cs="Tahoma"/>
          <w:color w:val="000000" w:themeColor="text1"/>
        </w:rPr>
        <w:t>Exchange Online Protection (SL per Utente)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_Toc368310306 \h </w:instrText>
      </w:r>
      <w:r w:rsidRPr="00376B4E">
        <w:rPr>
          <w:color w:val="000000" w:themeColor="text1"/>
        </w:rPr>
      </w:r>
      <w:r w:rsidRPr="00376B4E">
        <w:rPr>
          <w:color w:val="000000" w:themeColor="text1"/>
        </w:rPr>
        <w:fldChar w:fldCharType="separate"/>
      </w:r>
      <w:r w:rsidRPr="00376B4E">
        <w:rPr>
          <w:color w:val="000000" w:themeColor="text1"/>
        </w:rPr>
        <w:t>150</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aps/>
          <w:color w:val="000000" w:themeColor="text1"/>
          <w:vertAlign w:val="superscript"/>
        </w:rPr>
        <w:t xml:space="preserve">57 </w:t>
      </w:r>
      <w:r w:rsidRPr="00376B4E">
        <w:rPr>
          <w:rFonts w:cs="Tahoma"/>
          <w:color w:val="000000" w:themeColor="text1"/>
        </w:rPr>
        <w:t>Exchange Server 2013, Edizioni Enterprise e Standard</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_Toc368310307 \h </w:instrText>
      </w:r>
      <w:r w:rsidRPr="00376B4E">
        <w:rPr>
          <w:color w:val="000000" w:themeColor="text1"/>
        </w:rPr>
      </w:r>
      <w:r w:rsidRPr="00376B4E">
        <w:rPr>
          <w:color w:val="000000" w:themeColor="text1"/>
        </w:rPr>
        <w:fldChar w:fldCharType="separate"/>
      </w:r>
      <w:r w:rsidRPr="00376B4E">
        <w:rPr>
          <w:color w:val="000000" w:themeColor="text1"/>
        </w:rPr>
        <w:t>151</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aps/>
          <w:color w:val="000000" w:themeColor="text1"/>
          <w:vertAlign w:val="superscript"/>
        </w:rPr>
        <w:t>58</w:t>
      </w:r>
      <w:r w:rsidRPr="00376B4E">
        <w:rPr>
          <w:color w:val="000000" w:themeColor="text1"/>
        </w:rPr>
        <w:t xml:space="preserve"> Standard CAL per Exchange Server 2010</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_Toc368310308 \h </w:instrText>
      </w:r>
      <w:r w:rsidRPr="00376B4E">
        <w:rPr>
          <w:color w:val="000000" w:themeColor="text1"/>
        </w:rPr>
      </w:r>
      <w:r w:rsidRPr="00376B4E">
        <w:rPr>
          <w:color w:val="000000" w:themeColor="text1"/>
        </w:rPr>
        <w:fldChar w:fldCharType="separate"/>
      </w:r>
      <w:r w:rsidRPr="00376B4E">
        <w:rPr>
          <w:color w:val="000000" w:themeColor="text1"/>
        </w:rPr>
        <w:t>152</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aps/>
          <w:color w:val="000000" w:themeColor="text1"/>
          <w:vertAlign w:val="superscript"/>
        </w:rPr>
        <w:t>59</w:t>
      </w:r>
      <w:r w:rsidRPr="00376B4E">
        <w:rPr>
          <w:color w:val="000000" w:themeColor="text1"/>
        </w:rPr>
        <w:t xml:space="preserve"> Forefront Endpoint Protection</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_Toc368310309 \h </w:instrText>
      </w:r>
      <w:r w:rsidRPr="00376B4E">
        <w:rPr>
          <w:color w:val="000000" w:themeColor="text1"/>
        </w:rPr>
      </w:r>
      <w:r w:rsidRPr="00376B4E">
        <w:rPr>
          <w:color w:val="000000" w:themeColor="text1"/>
        </w:rPr>
        <w:fldChar w:fldCharType="separate"/>
      </w:r>
      <w:r w:rsidRPr="00376B4E">
        <w:rPr>
          <w:color w:val="000000" w:themeColor="text1"/>
        </w:rPr>
        <w:t>152</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aps/>
          <w:color w:val="000000" w:themeColor="text1"/>
          <w:vertAlign w:val="superscript"/>
        </w:rPr>
        <w:t xml:space="preserve">60 </w:t>
      </w:r>
      <w:r w:rsidRPr="00376B4E">
        <w:rPr>
          <w:color w:val="000000" w:themeColor="text1"/>
        </w:rPr>
        <w:t>Forefront Identity Manager 2010 R2</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_Toc368310310 \h </w:instrText>
      </w:r>
      <w:r w:rsidRPr="00376B4E">
        <w:rPr>
          <w:color w:val="000000" w:themeColor="text1"/>
        </w:rPr>
      </w:r>
      <w:r w:rsidRPr="00376B4E">
        <w:rPr>
          <w:color w:val="000000" w:themeColor="text1"/>
        </w:rPr>
        <w:fldChar w:fldCharType="separate"/>
      </w:r>
      <w:r w:rsidRPr="00376B4E">
        <w:rPr>
          <w:color w:val="000000" w:themeColor="text1"/>
        </w:rPr>
        <w:t>152</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aps/>
          <w:color w:val="000000" w:themeColor="text1"/>
          <w:vertAlign w:val="superscript"/>
        </w:rPr>
        <w:t>61</w:t>
      </w:r>
      <w:r w:rsidRPr="00376B4E">
        <w:rPr>
          <w:rFonts w:cs="Tahoma"/>
          <w:color w:val="000000" w:themeColor="text1"/>
        </w:rPr>
        <w:t xml:space="preserve"> Forefront Identity Manager 2010 - Windows Live Edition</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_Toc368310311 \h </w:instrText>
      </w:r>
      <w:r w:rsidRPr="00376B4E">
        <w:rPr>
          <w:color w:val="000000" w:themeColor="text1"/>
        </w:rPr>
      </w:r>
      <w:r w:rsidRPr="00376B4E">
        <w:rPr>
          <w:color w:val="000000" w:themeColor="text1"/>
        </w:rPr>
        <w:fldChar w:fldCharType="separate"/>
      </w:r>
      <w:r w:rsidRPr="00376B4E">
        <w:rPr>
          <w:color w:val="000000" w:themeColor="text1"/>
        </w:rPr>
        <w:t>153</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aps/>
          <w:color w:val="000000" w:themeColor="text1"/>
          <w:vertAlign w:val="superscript"/>
        </w:rPr>
        <w:t>62</w:t>
      </w:r>
      <w:r w:rsidRPr="00376B4E">
        <w:rPr>
          <w:color w:val="000000" w:themeColor="text1"/>
        </w:rPr>
        <w:t xml:space="preserve"> Forefront Online Protection for Exchange (SL per Dispositivo e Utente)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_Toc368310312 \h </w:instrText>
      </w:r>
      <w:r w:rsidRPr="00376B4E">
        <w:rPr>
          <w:color w:val="000000" w:themeColor="text1"/>
        </w:rPr>
      </w:r>
      <w:r w:rsidRPr="00376B4E">
        <w:rPr>
          <w:color w:val="000000" w:themeColor="text1"/>
        </w:rPr>
        <w:fldChar w:fldCharType="separate"/>
      </w:r>
      <w:r w:rsidRPr="00376B4E">
        <w:rPr>
          <w:color w:val="000000" w:themeColor="text1"/>
        </w:rPr>
        <w:t>153</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aps/>
          <w:color w:val="000000" w:themeColor="text1"/>
          <w:vertAlign w:val="superscript"/>
        </w:rPr>
        <w:t>63</w:t>
      </w:r>
      <w:r w:rsidRPr="00376B4E">
        <w:rPr>
          <w:color w:val="000000" w:themeColor="text1"/>
        </w:rPr>
        <w:t xml:space="preserve"> Forefront Protection 2010 for Exchange Server (SL per Dispositivo e Utente), Forefront Protection 2010 for SharePoint (SL per Dispositivo e Utente) e Forefront Protection 2010 per Siti Internet (SL Add-on)</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_Toc368310313 \h </w:instrText>
      </w:r>
      <w:r w:rsidRPr="00376B4E">
        <w:rPr>
          <w:color w:val="000000" w:themeColor="text1"/>
        </w:rPr>
      </w:r>
      <w:r w:rsidRPr="00376B4E">
        <w:rPr>
          <w:color w:val="000000" w:themeColor="text1"/>
        </w:rPr>
        <w:fldChar w:fldCharType="separate"/>
      </w:r>
      <w:r w:rsidRPr="00376B4E">
        <w:rPr>
          <w:color w:val="000000" w:themeColor="text1"/>
        </w:rPr>
        <w:t>153</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aps/>
          <w:color w:val="000000" w:themeColor="text1"/>
          <w:vertAlign w:val="superscript"/>
        </w:rPr>
        <w:t>64</w:t>
      </w:r>
      <w:r w:rsidRPr="00376B4E">
        <w:rPr>
          <w:color w:val="000000" w:themeColor="text1"/>
        </w:rPr>
        <w:t xml:space="preserve"> Forefront Protection Suite (Dispositivo e Utente)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_Toc368310314 \h </w:instrText>
      </w:r>
      <w:r w:rsidRPr="00376B4E">
        <w:rPr>
          <w:color w:val="000000" w:themeColor="text1"/>
        </w:rPr>
      </w:r>
      <w:r w:rsidRPr="00376B4E">
        <w:rPr>
          <w:color w:val="000000" w:themeColor="text1"/>
        </w:rPr>
        <w:fldChar w:fldCharType="separate"/>
      </w:r>
      <w:r w:rsidRPr="00376B4E">
        <w:rPr>
          <w:color w:val="000000" w:themeColor="text1"/>
        </w:rPr>
        <w:t>154</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aps/>
          <w:color w:val="000000" w:themeColor="text1"/>
          <w:vertAlign w:val="superscript"/>
        </w:rPr>
        <w:t xml:space="preserve">65 </w:t>
      </w:r>
      <w:r w:rsidRPr="00376B4E">
        <w:rPr>
          <w:color w:val="000000" w:themeColor="text1"/>
        </w:rPr>
        <w:t>Forefront Security for Office Communications Server (SL per Utente e Dispositivo)</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_Toc368310315 \h </w:instrText>
      </w:r>
      <w:r w:rsidRPr="00376B4E">
        <w:rPr>
          <w:color w:val="000000" w:themeColor="text1"/>
        </w:rPr>
      </w:r>
      <w:r w:rsidRPr="00376B4E">
        <w:rPr>
          <w:color w:val="000000" w:themeColor="text1"/>
        </w:rPr>
        <w:fldChar w:fldCharType="separate"/>
      </w:r>
      <w:r w:rsidRPr="00376B4E">
        <w:rPr>
          <w:color w:val="000000" w:themeColor="text1"/>
        </w:rPr>
        <w:t>154</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aps/>
          <w:color w:val="000000" w:themeColor="text1"/>
          <w:vertAlign w:val="superscript"/>
        </w:rPr>
        <w:t xml:space="preserve">66 </w:t>
      </w:r>
      <w:r w:rsidRPr="00376B4E">
        <w:rPr>
          <w:color w:val="000000" w:themeColor="text1"/>
        </w:rPr>
        <w:t>Forefront Threat Management Gateway Web Protection Service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_Toc368310316 \h </w:instrText>
      </w:r>
      <w:r w:rsidRPr="00376B4E">
        <w:rPr>
          <w:color w:val="000000" w:themeColor="text1"/>
        </w:rPr>
      </w:r>
      <w:r w:rsidRPr="00376B4E">
        <w:rPr>
          <w:color w:val="000000" w:themeColor="text1"/>
        </w:rPr>
        <w:fldChar w:fldCharType="separate"/>
      </w:r>
      <w:r w:rsidRPr="00376B4E">
        <w:rPr>
          <w:color w:val="000000" w:themeColor="text1"/>
        </w:rPr>
        <w:t>154</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aps/>
          <w:color w:val="000000" w:themeColor="text1"/>
          <w:vertAlign w:val="superscript"/>
        </w:rPr>
        <w:t xml:space="preserve">67 </w:t>
      </w:r>
      <w:r w:rsidRPr="00376B4E">
        <w:rPr>
          <w:color w:val="000000" w:themeColor="text1"/>
        </w:rPr>
        <w:t>Forefront Unified Access Gateway 2010</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_Toc368310317 \h </w:instrText>
      </w:r>
      <w:r w:rsidRPr="00376B4E">
        <w:rPr>
          <w:color w:val="000000" w:themeColor="text1"/>
        </w:rPr>
      </w:r>
      <w:r w:rsidRPr="00376B4E">
        <w:rPr>
          <w:color w:val="000000" w:themeColor="text1"/>
        </w:rPr>
        <w:fldChar w:fldCharType="separate"/>
      </w:r>
      <w:r w:rsidRPr="00376B4E">
        <w:rPr>
          <w:color w:val="000000" w:themeColor="text1"/>
        </w:rPr>
        <w:t>155</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aps/>
          <w:color w:val="000000" w:themeColor="text1"/>
          <w:vertAlign w:val="superscript"/>
        </w:rPr>
        <w:t xml:space="preserve">68 </w:t>
      </w:r>
      <w:r w:rsidRPr="00376B4E">
        <w:rPr>
          <w:color w:val="000000" w:themeColor="text1"/>
        </w:rPr>
        <w:t>HPC Pack 2008 R2 Enterprise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_Toc368310318 \h </w:instrText>
      </w:r>
      <w:r w:rsidRPr="00376B4E">
        <w:rPr>
          <w:color w:val="000000" w:themeColor="text1"/>
        </w:rPr>
      </w:r>
      <w:r w:rsidRPr="00376B4E">
        <w:rPr>
          <w:color w:val="000000" w:themeColor="text1"/>
        </w:rPr>
        <w:fldChar w:fldCharType="separate"/>
      </w:r>
      <w:r w:rsidRPr="00376B4E">
        <w:rPr>
          <w:color w:val="000000" w:themeColor="text1"/>
        </w:rPr>
        <w:t>155</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aps/>
          <w:color w:val="000000" w:themeColor="text1"/>
          <w:vertAlign w:val="superscript"/>
        </w:rPr>
        <w:t>69</w:t>
      </w:r>
      <w:r w:rsidRPr="00376B4E">
        <w:rPr>
          <w:rFonts w:cs="Tahoma"/>
          <w:color w:val="000000" w:themeColor="text1"/>
        </w:rPr>
        <w:t xml:space="preserve"> Lync Online Piani 1, 2 e 3</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_Toc368310319 \h </w:instrText>
      </w:r>
      <w:r w:rsidRPr="00376B4E">
        <w:rPr>
          <w:color w:val="000000" w:themeColor="text1"/>
        </w:rPr>
      </w:r>
      <w:r w:rsidRPr="00376B4E">
        <w:rPr>
          <w:color w:val="000000" w:themeColor="text1"/>
        </w:rPr>
        <w:fldChar w:fldCharType="separate"/>
      </w:r>
      <w:r w:rsidRPr="00376B4E">
        <w:rPr>
          <w:color w:val="000000" w:themeColor="text1"/>
        </w:rPr>
        <w:t>155</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aps/>
          <w:color w:val="000000" w:themeColor="text1"/>
          <w:vertAlign w:val="superscript"/>
        </w:rPr>
        <w:t xml:space="preserve">70 </w:t>
      </w:r>
      <w:r w:rsidRPr="00376B4E">
        <w:rPr>
          <w:rFonts w:cs="Tahoma"/>
          <w:color w:val="000000" w:themeColor="text1"/>
        </w:rPr>
        <w:t>Lync Server 2013</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_Toc368310320 \h </w:instrText>
      </w:r>
      <w:r w:rsidRPr="00376B4E">
        <w:rPr>
          <w:color w:val="000000" w:themeColor="text1"/>
        </w:rPr>
      </w:r>
      <w:r w:rsidRPr="00376B4E">
        <w:rPr>
          <w:color w:val="000000" w:themeColor="text1"/>
        </w:rPr>
        <w:fldChar w:fldCharType="separate"/>
      </w:r>
      <w:r w:rsidRPr="00376B4E">
        <w:rPr>
          <w:color w:val="000000" w:themeColor="text1"/>
        </w:rPr>
        <w:t>156</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olor w:val="000000" w:themeColor="text1"/>
          <w:vertAlign w:val="superscript"/>
        </w:rPr>
        <w:t>71</w:t>
      </w:r>
      <w:r w:rsidRPr="00376B4E">
        <w:rPr>
          <w:color w:val="000000" w:themeColor="text1"/>
        </w:rPr>
        <w:t xml:space="preserve"> Microsoft Dynamics AX 2012 R2</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_Toc368310321 \h </w:instrText>
      </w:r>
      <w:r w:rsidRPr="00376B4E">
        <w:rPr>
          <w:color w:val="000000" w:themeColor="text1"/>
        </w:rPr>
      </w:r>
      <w:r w:rsidRPr="00376B4E">
        <w:rPr>
          <w:color w:val="000000" w:themeColor="text1"/>
        </w:rPr>
        <w:fldChar w:fldCharType="separate"/>
      </w:r>
      <w:r w:rsidRPr="00376B4E">
        <w:rPr>
          <w:color w:val="000000" w:themeColor="text1"/>
        </w:rPr>
        <w:t>157</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olor w:val="000000" w:themeColor="text1"/>
          <w:vertAlign w:val="superscript"/>
        </w:rPr>
        <w:t>72</w:t>
      </w:r>
      <w:r w:rsidRPr="00376B4E">
        <w:rPr>
          <w:color w:val="000000" w:themeColor="text1"/>
        </w:rPr>
        <w:t xml:space="preserve"> Microsoft Dynamics CRM 2013</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_Toc368310322 \h </w:instrText>
      </w:r>
      <w:r w:rsidRPr="00376B4E">
        <w:rPr>
          <w:color w:val="000000" w:themeColor="text1"/>
        </w:rPr>
      </w:r>
      <w:r w:rsidRPr="00376B4E">
        <w:rPr>
          <w:color w:val="000000" w:themeColor="text1"/>
        </w:rPr>
        <w:fldChar w:fldCharType="separate"/>
      </w:r>
      <w:r w:rsidRPr="00376B4E">
        <w:rPr>
          <w:color w:val="000000" w:themeColor="text1"/>
        </w:rPr>
        <w:t>158</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olor w:val="000000" w:themeColor="text1"/>
          <w:vertAlign w:val="superscript"/>
        </w:rPr>
        <w:t>73</w:t>
      </w:r>
      <w:r w:rsidRPr="00376B4E">
        <w:rPr>
          <w:color w:val="000000" w:themeColor="text1"/>
        </w:rPr>
        <w:t xml:space="preserve"> Microsoft Dynamics CRM 2011 External Connector</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_Toc368310323 \h </w:instrText>
      </w:r>
      <w:r w:rsidRPr="00376B4E">
        <w:rPr>
          <w:color w:val="000000" w:themeColor="text1"/>
        </w:rPr>
      </w:r>
      <w:r w:rsidRPr="00376B4E">
        <w:rPr>
          <w:color w:val="000000" w:themeColor="text1"/>
        </w:rPr>
        <w:fldChar w:fldCharType="separate"/>
      </w:r>
      <w:r w:rsidRPr="00376B4E">
        <w:rPr>
          <w:color w:val="000000" w:themeColor="text1"/>
        </w:rPr>
        <w:t>161</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aps/>
          <w:color w:val="000000" w:themeColor="text1"/>
          <w:vertAlign w:val="superscript"/>
        </w:rPr>
        <w:t>74</w:t>
      </w:r>
      <w:r w:rsidRPr="00376B4E">
        <w:rPr>
          <w:color w:val="000000" w:themeColor="text1"/>
        </w:rPr>
        <w:t xml:space="preserve"> Microsoft Dynamics CRM Online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_Toc368310324 \h </w:instrText>
      </w:r>
      <w:r w:rsidRPr="00376B4E">
        <w:rPr>
          <w:color w:val="000000" w:themeColor="text1"/>
        </w:rPr>
      </w:r>
      <w:r w:rsidRPr="00376B4E">
        <w:rPr>
          <w:color w:val="000000" w:themeColor="text1"/>
        </w:rPr>
        <w:fldChar w:fldCharType="separate"/>
      </w:r>
      <w:r w:rsidRPr="00376B4E">
        <w:rPr>
          <w:color w:val="000000" w:themeColor="text1"/>
        </w:rPr>
        <w:t>162</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aps/>
          <w:color w:val="000000" w:themeColor="text1"/>
          <w:vertAlign w:val="superscript"/>
        </w:rPr>
        <w:t>75</w:t>
      </w:r>
      <w:r w:rsidRPr="00376B4E">
        <w:rPr>
          <w:color w:val="000000" w:themeColor="text1"/>
        </w:rPr>
        <w:t xml:space="preserve"> Microsoft Learning MCP Exam Vouchers</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_Toc368310325 \h </w:instrText>
      </w:r>
      <w:r w:rsidRPr="00376B4E">
        <w:rPr>
          <w:color w:val="000000" w:themeColor="text1"/>
        </w:rPr>
      </w:r>
      <w:r w:rsidRPr="00376B4E">
        <w:rPr>
          <w:color w:val="000000" w:themeColor="text1"/>
        </w:rPr>
        <w:fldChar w:fldCharType="separate"/>
      </w:r>
      <w:r w:rsidRPr="00376B4E">
        <w:rPr>
          <w:color w:val="000000" w:themeColor="text1"/>
        </w:rPr>
        <w:t>162</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aps/>
          <w:color w:val="000000" w:themeColor="text1"/>
          <w:vertAlign w:val="superscript"/>
        </w:rPr>
        <w:t xml:space="preserve">76 </w:t>
      </w:r>
      <w:r w:rsidRPr="00376B4E">
        <w:rPr>
          <w:rFonts w:cs="Tahoma"/>
          <w:color w:val="000000" w:themeColor="text1"/>
        </w:rPr>
        <w:t>Office 365 Enterprise K1 (SL per Utente)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_Toc368310326 \h </w:instrText>
      </w:r>
      <w:r w:rsidRPr="00376B4E">
        <w:rPr>
          <w:color w:val="000000" w:themeColor="text1"/>
        </w:rPr>
      </w:r>
      <w:r w:rsidRPr="00376B4E">
        <w:rPr>
          <w:color w:val="000000" w:themeColor="text1"/>
        </w:rPr>
        <w:fldChar w:fldCharType="separate"/>
      </w:r>
      <w:r w:rsidRPr="00376B4E">
        <w:rPr>
          <w:color w:val="000000" w:themeColor="text1"/>
        </w:rPr>
        <w:t>163</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aps/>
          <w:color w:val="000000" w:themeColor="text1"/>
          <w:vertAlign w:val="superscript"/>
        </w:rPr>
        <w:t>77</w:t>
      </w:r>
      <w:r w:rsidRPr="00376B4E">
        <w:rPr>
          <w:rFonts w:cs="Tahoma"/>
          <w:color w:val="000000" w:themeColor="text1"/>
        </w:rPr>
        <w:t xml:space="preserve"> Office 365 Government G1, G3, G4</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_Toc368310327 \h </w:instrText>
      </w:r>
      <w:r w:rsidRPr="00376B4E">
        <w:rPr>
          <w:color w:val="000000" w:themeColor="text1"/>
        </w:rPr>
      </w:r>
      <w:r w:rsidRPr="00376B4E">
        <w:rPr>
          <w:color w:val="000000" w:themeColor="text1"/>
        </w:rPr>
        <w:fldChar w:fldCharType="separate"/>
      </w:r>
      <w:r w:rsidRPr="00376B4E">
        <w:rPr>
          <w:color w:val="000000" w:themeColor="text1"/>
        </w:rPr>
        <w:t>163</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aps/>
          <w:color w:val="000000" w:themeColor="text1"/>
          <w:vertAlign w:val="superscript"/>
        </w:rPr>
        <w:t>78</w:t>
      </w:r>
      <w:r w:rsidRPr="00376B4E">
        <w:rPr>
          <w:rFonts w:cs="Tahoma"/>
          <w:color w:val="000000" w:themeColor="text1"/>
        </w:rPr>
        <w:t xml:space="preserve"> SharePoint Online Piano 1 e Piano 2</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_Toc368310328 \h </w:instrText>
      </w:r>
      <w:r w:rsidRPr="00376B4E">
        <w:rPr>
          <w:color w:val="000000" w:themeColor="text1"/>
        </w:rPr>
      </w:r>
      <w:r w:rsidRPr="00376B4E">
        <w:rPr>
          <w:color w:val="000000" w:themeColor="text1"/>
        </w:rPr>
        <w:fldChar w:fldCharType="separate"/>
      </w:r>
      <w:r w:rsidRPr="00376B4E">
        <w:rPr>
          <w:color w:val="000000" w:themeColor="text1"/>
        </w:rPr>
        <w:t>164</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aps/>
          <w:color w:val="000000" w:themeColor="text1"/>
          <w:vertAlign w:val="superscript"/>
        </w:rPr>
        <w:t xml:space="preserve">79 </w:t>
      </w:r>
      <w:r w:rsidRPr="00376B4E">
        <w:rPr>
          <w:rFonts w:cs="Tahoma"/>
          <w:color w:val="000000" w:themeColor="text1"/>
        </w:rPr>
        <w:t>SharePoint Server 2013</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_Toc368310329 \h </w:instrText>
      </w:r>
      <w:r w:rsidRPr="00376B4E">
        <w:rPr>
          <w:color w:val="000000" w:themeColor="text1"/>
        </w:rPr>
      </w:r>
      <w:r w:rsidRPr="00376B4E">
        <w:rPr>
          <w:color w:val="000000" w:themeColor="text1"/>
        </w:rPr>
        <w:fldChar w:fldCharType="separate"/>
      </w:r>
      <w:r w:rsidRPr="00376B4E">
        <w:rPr>
          <w:color w:val="000000" w:themeColor="text1"/>
        </w:rPr>
        <w:t>165</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aps/>
          <w:color w:val="000000" w:themeColor="text1"/>
          <w:vertAlign w:val="superscript"/>
        </w:rPr>
        <w:t>80</w:t>
      </w:r>
      <w:r w:rsidRPr="00376B4E">
        <w:rPr>
          <w:color w:val="000000" w:themeColor="text1"/>
        </w:rPr>
        <w:t xml:space="preserve"> SQL Server</w:t>
      </w:r>
      <w:r w:rsidRPr="00376B4E">
        <w:rPr>
          <w:color w:val="000000" w:themeColor="text1"/>
          <w:vertAlign w:val="superscript"/>
        </w:rPr>
        <w:t>®</w:t>
      </w:r>
      <w:r w:rsidRPr="00376B4E">
        <w:rPr>
          <w:color w:val="000000" w:themeColor="text1"/>
        </w:rPr>
        <w:t xml:space="preserve"> 2008 R2 Datacenter</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_Toc368310330 \h </w:instrText>
      </w:r>
      <w:r w:rsidRPr="00376B4E">
        <w:rPr>
          <w:color w:val="000000" w:themeColor="text1"/>
        </w:rPr>
      </w:r>
      <w:r w:rsidRPr="00376B4E">
        <w:rPr>
          <w:color w:val="000000" w:themeColor="text1"/>
        </w:rPr>
        <w:fldChar w:fldCharType="separate"/>
      </w:r>
      <w:r w:rsidRPr="00376B4E">
        <w:rPr>
          <w:color w:val="000000" w:themeColor="text1"/>
        </w:rPr>
        <w:t>166</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aps/>
          <w:color w:val="000000" w:themeColor="text1"/>
          <w:vertAlign w:val="superscript"/>
        </w:rPr>
        <w:t xml:space="preserve">81 </w:t>
      </w:r>
      <w:r w:rsidRPr="00376B4E">
        <w:rPr>
          <w:color w:val="000000" w:themeColor="text1"/>
        </w:rPr>
        <w:t>SQL Server</w:t>
      </w:r>
      <w:r w:rsidRPr="00376B4E">
        <w:rPr>
          <w:color w:val="000000" w:themeColor="text1"/>
          <w:vertAlign w:val="superscript"/>
        </w:rPr>
        <w:t>®</w:t>
      </w:r>
      <w:r w:rsidRPr="00376B4E">
        <w:rPr>
          <w:color w:val="000000" w:themeColor="text1"/>
        </w:rPr>
        <w:t xml:space="preserve"> 2008 R2 Small Business</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_Toc368310331 \h </w:instrText>
      </w:r>
      <w:r w:rsidRPr="00376B4E">
        <w:rPr>
          <w:color w:val="000000" w:themeColor="text1"/>
        </w:rPr>
      </w:r>
      <w:r w:rsidRPr="00376B4E">
        <w:rPr>
          <w:color w:val="000000" w:themeColor="text1"/>
        </w:rPr>
        <w:fldChar w:fldCharType="separate"/>
      </w:r>
      <w:r w:rsidRPr="00376B4E">
        <w:rPr>
          <w:color w:val="000000" w:themeColor="text1"/>
        </w:rPr>
        <w:t>169</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aps/>
          <w:color w:val="000000" w:themeColor="text1"/>
          <w:vertAlign w:val="superscript"/>
        </w:rPr>
        <w:t>82</w:t>
      </w:r>
      <w:r w:rsidRPr="00376B4E">
        <w:rPr>
          <w:color w:val="000000" w:themeColor="text1"/>
        </w:rPr>
        <w:t xml:space="preserve"> Processore per SQL Server</w:t>
      </w:r>
      <w:r w:rsidRPr="00376B4E">
        <w:rPr>
          <w:color w:val="000000" w:themeColor="text1"/>
          <w:vertAlign w:val="superscript"/>
        </w:rPr>
        <w:t>®</w:t>
      </w:r>
      <w:r w:rsidRPr="00376B4E">
        <w:rPr>
          <w:color w:val="000000" w:themeColor="text1"/>
        </w:rPr>
        <w:t xml:space="preserve"> 2008 R2 Web</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_Toc368310332 \h </w:instrText>
      </w:r>
      <w:r w:rsidRPr="00376B4E">
        <w:rPr>
          <w:color w:val="000000" w:themeColor="text1"/>
        </w:rPr>
      </w:r>
      <w:r w:rsidRPr="00376B4E">
        <w:rPr>
          <w:color w:val="000000" w:themeColor="text1"/>
        </w:rPr>
        <w:fldChar w:fldCharType="separate"/>
      </w:r>
      <w:r w:rsidRPr="00376B4E">
        <w:rPr>
          <w:color w:val="000000" w:themeColor="text1"/>
        </w:rPr>
        <w:t>169</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olor w:val="000000" w:themeColor="text1"/>
          <w:vertAlign w:val="superscript"/>
        </w:rPr>
        <w:t>83</w:t>
      </w:r>
      <w:r w:rsidRPr="00376B4E">
        <w:rPr>
          <w:color w:val="000000" w:themeColor="text1"/>
        </w:rPr>
        <w:t xml:space="preserve"> SQL Server</w:t>
      </w:r>
      <w:r w:rsidRPr="00376B4E">
        <w:rPr>
          <w:color w:val="000000" w:themeColor="text1"/>
          <w:vertAlign w:val="superscript"/>
        </w:rPr>
        <w:t>®</w:t>
      </w:r>
      <w:r w:rsidRPr="00376B4E">
        <w:rPr>
          <w:color w:val="000000" w:themeColor="text1"/>
        </w:rPr>
        <w:t xml:space="preserve"> 2008 R2 Workgroup (5 Add-On Client)</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_Toc368310333 \h </w:instrText>
      </w:r>
      <w:r w:rsidRPr="00376B4E">
        <w:rPr>
          <w:color w:val="000000" w:themeColor="text1"/>
        </w:rPr>
      </w:r>
      <w:r w:rsidRPr="00376B4E">
        <w:rPr>
          <w:color w:val="000000" w:themeColor="text1"/>
        </w:rPr>
        <w:fldChar w:fldCharType="separate"/>
      </w:r>
      <w:r w:rsidRPr="00376B4E">
        <w:rPr>
          <w:color w:val="000000" w:themeColor="text1"/>
        </w:rPr>
        <w:t>171</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olor w:val="000000" w:themeColor="text1"/>
          <w:vertAlign w:val="superscript"/>
        </w:rPr>
        <w:t>84</w:t>
      </w:r>
      <w:r w:rsidRPr="00376B4E">
        <w:rPr>
          <w:color w:val="000000" w:themeColor="text1"/>
        </w:rPr>
        <w:t xml:space="preserve"> Processore per SQL Server</w:t>
      </w:r>
      <w:r w:rsidRPr="00376B4E">
        <w:rPr>
          <w:color w:val="000000" w:themeColor="text1"/>
          <w:vertAlign w:val="superscript"/>
        </w:rPr>
        <w:t>®</w:t>
      </w:r>
      <w:r w:rsidRPr="00376B4E">
        <w:rPr>
          <w:color w:val="000000" w:themeColor="text1"/>
        </w:rPr>
        <w:t xml:space="preserve"> 2008 R2 Workgroup</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_Toc368310334 \h </w:instrText>
      </w:r>
      <w:r w:rsidRPr="00376B4E">
        <w:rPr>
          <w:color w:val="000000" w:themeColor="text1"/>
        </w:rPr>
      </w:r>
      <w:r w:rsidRPr="00376B4E">
        <w:rPr>
          <w:color w:val="000000" w:themeColor="text1"/>
        </w:rPr>
        <w:fldChar w:fldCharType="separate"/>
      </w:r>
      <w:r w:rsidRPr="00376B4E">
        <w:rPr>
          <w:color w:val="000000" w:themeColor="text1"/>
        </w:rPr>
        <w:t>172</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olor w:val="000000" w:themeColor="text1"/>
          <w:vertAlign w:val="superscript"/>
        </w:rPr>
        <w:t>85</w:t>
      </w:r>
      <w:r w:rsidRPr="00376B4E">
        <w:rPr>
          <w:color w:val="000000" w:themeColor="text1"/>
        </w:rPr>
        <w:t xml:space="preserve"> SQL Server</w:t>
      </w:r>
      <w:r w:rsidRPr="00376B4E">
        <w:rPr>
          <w:color w:val="000000" w:themeColor="text1"/>
          <w:vertAlign w:val="superscript"/>
        </w:rPr>
        <w:t>®</w:t>
      </w:r>
      <w:r w:rsidRPr="00376B4E">
        <w:rPr>
          <w:color w:val="000000" w:themeColor="text1"/>
        </w:rPr>
        <w:t xml:space="preserve"> 2012 Developer</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_Toc368310335 \h </w:instrText>
      </w:r>
      <w:r w:rsidRPr="00376B4E">
        <w:rPr>
          <w:color w:val="000000" w:themeColor="text1"/>
        </w:rPr>
      </w:r>
      <w:r w:rsidRPr="00376B4E">
        <w:rPr>
          <w:color w:val="000000" w:themeColor="text1"/>
        </w:rPr>
        <w:fldChar w:fldCharType="separate"/>
      </w:r>
      <w:r w:rsidRPr="00376B4E">
        <w:rPr>
          <w:color w:val="000000" w:themeColor="text1"/>
        </w:rPr>
        <w:t>174</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olor w:val="000000" w:themeColor="text1"/>
          <w:vertAlign w:val="superscript"/>
        </w:rPr>
        <w:t>86</w:t>
      </w:r>
      <w:r w:rsidRPr="00376B4E">
        <w:rPr>
          <w:color w:val="000000" w:themeColor="text1"/>
        </w:rPr>
        <w:t xml:space="preserve"> SQL Server</w:t>
      </w:r>
      <w:r w:rsidRPr="00376B4E">
        <w:rPr>
          <w:color w:val="000000" w:themeColor="text1"/>
          <w:vertAlign w:val="superscript"/>
        </w:rPr>
        <w:t>®</w:t>
      </w:r>
      <w:r w:rsidRPr="00376B4E">
        <w:rPr>
          <w:color w:val="000000" w:themeColor="text1"/>
        </w:rPr>
        <w:t xml:space="preserve"> 2012 Enterprise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_Toc368310336 \h </w:instrText>
      </w:r>
      <w:r w:rsidRPr="00376B4E">
        <w:rPr>
          <w:color w:val="000000" w:themeColor="text1"/>
        </w:rPr>
      </w:r>
      <w:r w:rsidRPr="00376B4E">
        <w:rPr>
          <w:color w:val="000000" w:themeColor="text1"/>
        </w:rPr>
        <w:fldChar w:fldCharType="separate"/>
      </w:r>
      <w:r w:rsidRPr="00376B4E">
        <w:rPr>
          <w:color w:val="000000" w:themeColor="text1"/>
        </w:rPr>
        <w:t>174</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aps/>
          <w:color w:val="000000" w:themeColor="text1"/>
          <w:vertAlign w:val="superscript"/>
        </w:rPr>
        <w:t xml:space="preserve">87 </w:t>
      </w:r>
      <w:r w:rsidRPr="00376B4E">
        <w:rPr>
          <w:color w:val="000000" w:themeColor="text1"/>
        </w:rPr>
        <w:t>SQL Server</w:t>
      </w:r>
      <w:r w:rsidRPr="00376B4E">
        <w:rPr>
          <w:color w:val="000000" w:themeColor="text1"/>
          <w:vertAlign w:val="superscript"/>
        </w:rPr>
        <w:t>®</w:t>
      </w:r>
      <w:r w:rsidRPr="00376B4E">
        <w:rPr>
          <w:color w:val="000000" w:themeColor="text1"/>
        </w:rPr>
        <w:t xml:space="preserve"> 2012 Enterprise Core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_Toc368310337 \h </w:instrText>
      </w:r>
      <w:r w:rsidRPr="00376B4E">
        <w:rPr>
          <w:color w:val="000000" w:themeColor="text1"/>
        </w:rPr>
      </w:r>
      <w:r w:rsidRPr="00376B4E">
        <w:rPr>
          <w:color w:val="000000" w:themeColor="text1"/>
        </w:rPr>
        <w:fldChar w:fldCharType="separate"/>
      </w:r>
      <w:r w:rsidRPr="00376B4E">
        <w:rPr>
          <w:color w:val="000000" w:themeColor="text1"/>
        </w:rPr>
        <w:t>175</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aps/>
          <w:color w:val="000000" w:themeColor="text1"/>
          <w:vertAlign w:val="superscript"/>
        </w:rPr>
        <w:t>88</w:t>
      </w:r>
      <w:r w:rsidRPr="00376B4E">
        <w:rPr>
          <w:color w:val="000000" w:themeColor="text1"/>
        </w:rPr>
        <w:t xml:space="preserve"> SQL Server</w:t>
      </w:r>
      <w:r w:rsidRPr="00376B4E">
        <w:rPr>
          <w:color w:val="000000" w:themeColor="text1"/>
          <w:vertAlign w:val="superscript"/>
        </w:rPr>
        <w:t>®</w:t>
      </w:r>
      <w:r w:rsidRPr="00376B4E">
        <w:rPr>
          <w:color w:val="000000" w:themeColor="text1"/>
        </w:rPr>
        <w:t xml:space="preserve"> 2012 Parallel Data Warehouse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_Toc368310338 \h </w:instrText>
      </w:r>
      <w:r w:rsidRPr="00376B4E">
        <w:rPr>
          <w:color w:val="000000" w:themeColor="text1"/>
        </w:rPr>
      </w:r>
      <w:r w:rsidRPr="00376B4E">
        <w:rPr>
          <w:color w:val="000000" w:themeColor="text1"/>
        </w:rPr>
        <w:fldChar w:fldCharType="separate"/>
      </w:r>
      <w:r w:rsidRPr="00376B4E">
        <w:rPr>
          <w:color w:val="000000" w:themeColor="text1"/>
        </w:rPr>
        <w:t>177</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aps/>
          <w:color w:val="000000" w:themeColor="text1"/>
          <w:vertAlign w:val="superscript"/>
        </w:rPr>
        <w:t>89</w:t>
      </w:r>
      <w:r w:rsidRPr="00376B4E">
        <w:rPr>
          <w:color w:val="000000" w:themeColor="text1"/>
        </w:rPr>
        <w:t xml:space="preserve"> SQL Server</w:t>
      </w:r>
      <w:r w:rsidRPr="00376B4E">
        <w:rPr>
          <w:color w:val="000000" w:themeColor="text1"/>
          <w:vertAlign w:val="superscript"/>
        </w:rPr>
        <w:t>®</w:t>
      </w:r>
      <w:r w:rsidRPr="00376B4E">
        <w:rPr>
          <w:color w:val="000000" w:themeColor="text1"/>
        </w:rPr>
        <w:t xml:space="preserve"> 2012 Standard</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_Toc368310339 \h </w:instrText>
      </w:r>
      <w:r w:rsidRPr="00376B4E">
        <w:rPr>
          <w:color w:val="000000" w:themeColor="text1"/>
        </w:rPr>
      </w:r>
      <w:r w:rsidRPr="00376B4E">
        <w:rPr>
          <w:color w:val="000000" w:themeColor="text1"/>
        </w:rPr>
        <w:fldChar w:fldCharType="separate"/>
      </w:r>
      <w:r w:rsidRPr="00376B4E">
        <w:rPr>
          <w:color w:val="000000" w:themeColor="text1"/>
        </w:rPr>
        <w:t>178</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aps/>
          <w:color w:val="000000" w:themeColor="text1"/>
          <w:vertAlign w:val="superscript"/>
        </w:rPr>
        <w:t>90</w:t>
      </w:r>
      <w:r w:rsidRPr="00376B4E">
        <w:rPr>
          <w:color w:val="000000" w:themeColor="text1"/>
        </w:rPr>
        <w:t xml:space="preserve"> SQL Server</w:t>
      </w:r>
      <w:r w:rsidRPr="00376B4E">
        <w:rPr>
          <w:color w:val="000000" w:themeColor="text1"/>
          <w:vertAlign w:val="superscript"/>
        </w:rPr>
        <w:t>®</w:t>
      </w:r>
      <w:r w:rsidRPr="00376B4E">
        <w:rPr>
          <w:color w:val="000000" w:themeColor="text1"/>
        </w:rPr>
        <w:t xml:space="preserve"> 2012 Standard</w:t>
      </w:r>
      <w:r w:rsidRPr="00376B4E">
        <w:rPr>
          <w:rFonts w:eastAsia="Calibri"/>
          <w:color w:val="000000" w:themeColor="text1"/>
        </w:rPr>
        <w:t xml:space="preserve"> Core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_Toc368310340 \h </w:instrText>
      </w:r>
      <w:r w:rsidRPr="00376B4E">
        <w:rPr>
          <w:color w:val="000000" w:themeColor="text1"/>
        </w:rPr>
      </w:r>
      <w:r w:rsidRPr="00376B4E">
        <w:rPr>
          <w:color w:val="000000" w:themeColor="text1"/>
        </w:rPr>
        <w:fldChar w:fldCharType="separate"/>
      </w:r>
      <w:r w:rsidRPr="00376B4E">
        <w:rPr>
          <w:color w:val="000000" w:themeColor="text1"/>
        </w:rPr>
        <w:t>178</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aps/>
          <w:color w:val="000000" w:themeColor="text1"/>
          <w:vertAlign w:val="superscript"/>
        </w:rPr>
        <w:t>91</w:t>
      </w:r>
      <w:r w:rsidRPr="00376B4E">
        <w:rPr>
          <w:color w:val="000000" w:themeColor="text1"/>
        </w:rPr>
        <w:t xml:space="preserve"> System Center Essentials 2010</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_Toc368310341 \h </w:instrText>
      </w:r>
      <w:r w:rsidRPr="00376B4E">
        <w:rPr>
          <w:color w:val="000000" w:themeColor="text1"/>
        </w:rPr>
      </w:r>
      <w:r w:rsidRPr="00376B4E">
        <w:rPr>
          <w:color w:val="000000" w:themeColor="text1"/>
        </w:rPr>
        <w:fldChar w:fldCharType="separate"/>
      </w:r>
      <w:r w:rsidRPr="00376B4E">
        <w:rPr>
          <w:color w:val="000000" w:themeColor="text1"/>
        </w:rPr>
        <w:t>181</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aps/>
          <w:color w:val="000000" w:themeColor="text1"/>
          <w:vertAlign w:val="superscript"/>
        </w:rPr>
        <w:t>92</w:t>
      </w:r>
      <w:r w:rsidRPr="00376B4E">
        <w:rPr>
          <w:color w:val="000000" w:themeColor="text1"/>
        </w:rPr>
        <w:t xml:space="preserve"> System Center Reporting Manager 2006</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_Toc368310342 \h </w:instrText>
      </w:r>
      <w:r w:rsidRPr="00376B4E">
        <w:rPr>
          <w:color w:val="000000" w:themeColor="text1"/>
        </w:rPr>
      </w:r>
      <w:r w:rsidRPr="00376B4E">
        <w:rPr>
          <w:color w:val="000000" w:themeColor="text1"/>
        </w:rPr>
        <w:fldChar w:fldCharType="separate"/>
      </w:r>
      <w:r w:rsidRPr="00376B4E">
        <w:rPr>
          <w:color w:val="000000" w:themeColor="text1"/>
        </w:rPr>
        <w:t>182</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aps/>
          <w:color w:val="000000" w:themeColor="text1"/>
          <w:vertAlign w:val="superscript"/>
        </w:rPr>
        <w:t xml:space="preserve">93 </w:t>
      </w:r>
      <w:r w:rsidRPr="00376B4E">
        <w:rPr>
          <w:color w:val="000000" w:themeColor="text1"/>
        </w:rPr>
        <w:t>System Center Server Management Suite Enterprise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_Toc368310343 \h </w:instrText>
      </w:r>
      <w:r w:rsidRPr="00376B4E">
        <w:rPr>
          <w:color w:val="000000" w:themeColor="text1"/>
        </w:rPr>
      </w:r>
      <w:r w:rsidRPr="00376B4E">
        <w:rPr>
          <w:color w:val="000000" w:themeColor="text1"/>
        </w:rPr>
        <w:fldChar w:fldCharType="separate"/>
      </w:r>
      <w:r w:rsidRPr="00376B4E">
        <w:rPr>
          <w:color w:val="000000" w:themeColor="text1"/>
        </w:rPr>
        <w:t>183</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aps/>
          <w:color w:val="000000" w:themeColor="text1"/>
          <w:vertAlign w:val="superscript"/>
        </w:rPr>
        <w:t xml:space="preserve">94 </w:t>
      </w:r>
      <w:r w:rsidRPr="00376B4E">
        <w:rPr>
          <w:color w:val="000000" w:themeColor="text1"/>
        </w:rPr>
        <w:t>System Center Server Management Suite Datacenter</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_Toc368310344 \h </w:instrText>
      </w:r>
      <w:r w:rsidRPr="00376B4E">
        <w:rPr>
          <w:color w:val="000000" w:themeColor="text1"/>
        </w:rPr>
      </w:r>
      <w:r w:rsidRPr="00376B4E">
        <w:rPr>
          <w:color w:val="000000" w:themeColor="text1"/>
        </w:rPr>
        <w:fldChar w:fldCharType="separate"/>
      </w:r>
      <w:r w:rsidRPr="00376B4E">
        <w:rPr>
          <w:color w:val="000000" w:themeColor="text1"/>
        </w:rPr>
        <w:t>184</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aps/>
          <w:color w:val="000000" w:themeColor="text1"/>
          <w:vertAlign w:val="superscript"/>
        </w:rPr>
        <w:t>95</w:t>
      </w:r>
      <w:r w:rsidRPr="00376B4E">
        <w:rPr>
          <w:color w:val="000000" w:themeColor="text1"/>
        </w:rPr>
        <w:t xml:space="preserve"> System Center Virtual Machine Manager 2008 R2 - Licenze di Gestione Client e Server</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_Toc368310345 \h </w:instrText>
      </w:r>
      <w:r w:rsidRPr="00376B4E">
        <w:rPr>
          <w:color w:val="000000" w:themeColor="text1"/>
        </w:rPr>
      </w:r>
      <w:r w:rsidRPr="00376B4E">
        <w:rPr>
          <w:color w:val="000000" w:themeColor="text1"/>
        </w:rPr>
        <w:fldChar w:fldCharType="separate"/>
      </w:r>
      <w:r w:rsidRPr="00376B4E">
        <w:rPr>
          <w:color w:val="000000" w:themeColor="text1"/>
        </w:rPr>
        <w:t>185</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aps/>
          <w:color w:val="000000" w:themeColor="text1"/>
          <w:vertAlign w:val="superscript"/>
        </w:rPr>
        <w:t>96</w:t>
      </w:r>
      <w:r w:rsidRPr="00376B4E">
        <w:rPr>
          <w:color w:val="000000" w:themeColor="text1"/>
        </w:rPr>
        <w:t xml:space="preserve"> System Center 2012</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_Toc368310346 \h </w:instrText>
      </w:r>
      <w:r w:rsidRPr="00376B4E">
        <w:rPr>
          <w:color w:val="000000" w:themeColor="text1"/>
        </w:rPr>
      </w:r>
      <w:r w:rsidRPr="00376B4E">
        <w:rPr>
          <w:color w:val="000000" w:themeColor="text1"/>
        </w:rPr>
        <w:fldChar w:fldCharType="separate"/>
      </w:r>
      <w:r w:rsidRPr="00376B4E">
        <w:rPr>
          <w:color w:val="000000" w:themeColor="text1"/>
        </w:rPr>
        <w:t>185</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aps/>
          <w:color w:val="000000" w:themeColor="text1"/>
          <w:vertAlign w:val="superscript"/>
        </w:rPr>
        <w:t>97</w:t>
      </w:r>
      <w:r w:rsidRPr="00376B4E">
        <w:rPr>
          <w:color w:val="000000" w:themeColor="text1"/>
        </w:rPr>
        <w:t xml:space="preserve"> System Center 2012 Endpoint Protection</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_Toc368310347 \h </w:instrText>
      </w:r>
      <w:r w:rsidRPr="00376B4E">
        <w:rPr>
          <w:color w:val="000000" w:themeColor="text1"/>
        </w:rPr>
      </w:r>
      <w:r w:rsidRPr="00376B4E">
        <w:rPr>
          <w:color w:val="000000" w:themeColor="text1"/>
        </w:rPr>
        <w:fldChar w:fldCharType="separate"/>
      </w:r>
      <w:r w:rsidRPr="00376B4E">
        <w:rPr>
          <w:color w:val="000000" w:themeColor="text1"/>
        </w:rPr>
        <w:t>188</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aps/>
          <w:color w:val="000000" w:themeColor="text1"/>
          <w:vertAlign w:val="superscript"/>
        </w:rPr>
        <w:t xml:space="preserve">98 </w:t>
      </w:r>
      <w:r w:rsidRPr="00376B4E">
        <w:rPr>
          <w:color w:val="000000" w:themeColor="text1"/>
        </w:rPr>
        <w:t>VDI Standard e Premium Suite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_Toc368310348 \h </w:instrText>
      </w:r>
      <w:r w:rsidRPr="00376B4E">
        <w:rPr>
          <w:color w:val="000000" w:themeColor="text1"/>
        </w:rPr>
      </w:r>
      <w:r w:rsidRPr="00376B4E">
        <w:rPr>
          <w:color w:val="000000" w:themeColor="text1"/>
        </w:rPr>
        <w:fldChar w:fldCharType="separate"/>
      </w:r>
      <w:r w:rsidRPr="00376B4E">
        <w:rPr>
          <w:color w:val="000000" w:themeColor="text1"/>
        </w:rPr>
        <w:t>189</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aps/>
          <w:color w:val="000000" w:themeColor="text1"/>
          <w:vertAlign w:val="superscript"/>
        </w:rPr>
        <w:lastRenderedPageBreak/>
        <w:t xml:space="preserve">99 </w:t>
      </w:r>
      <w:r w:rsidRPr="00376B4E">
        <w:rPr>
          <w:rFonts w:cs="Tahoma"/>
          <w:color w:val="000000" w:themeColor="text1"/>
        </w:rPr>
        <w:t>Servizi Windows Azure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_Toc368310349 \h </w:instrText>
      </w:r>
      <w:r w:rsidRPr="00376B4E">
        <w:rPr>
          <w:color w:val="000000" w:themeColor="text1"/>
        </w:rPr>
      </w:r>
      <w:r w:rsidRPr="00376B4E">
        <w:rPr>
          <w:color w:val="000000" w:themeColor="text1"/>
        </w:rPr>
        <w:fldChar w:fldCharType="separate"/>
      </w:r>
      <w:r w:rsidRPr="00376B4E">
        <w:rPr>
          <w:color w:val="000000" w:themeColor="text1"/>
        </w:rPr>
        <w:t>189</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aps/>
          <w:color w:val="000000" w:themeColor="text1"/>
          <w:vertAlign w:val="superscript"/>
        </w:rPr>
        <w:t>100</w:t>
      </w:r>
      <w:r w:rsidRPr="00376B4E">
        <w:rPr>
          <w:rFonts w:cs="Tahoma"/>
          <w:color w:val="000000" w:themeColor="text1"/>
        </w:rPr>
        <w:t xml:space="preserve"> Licenza Server di Gestione per Windows Embedded Device Manager 2011</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_Toc368310350 \h </w:instrText>
      </w:r>
      <w:r w:rsidRPr="00376B4E">
        <w:rPr>
          <w:color w:val="000000" w:themeColor="text1"/>
        </w:rPr>
      </w:r>
      <w:r w:rsidRPr="00376B4E">
        <w:rPr>
          <w:color w:val="000000" w:themeColor="text1"/>
        </w:rPr>
        <w:fldChar w:fldCharType="separate"/>
      </w:r>
      <w:r w:rsidRPr="00376B4E">
        <w:rPr>
          <w:color w:val="000000" w:themeColor="text1"/>
        </w:rPr>
        <w:t>189</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aps/>
          <w:color w:val="000000" w:themeColor="text1"/>
          <w:vertAlign w:val="superscript"/>
        </w:rPr>
        <w:t>101</w:t>
      </w:r>
      <w:r w:rsidRPr="00376B4E">
        <w:rPr>
          <w:rFonts w:cs="Tahoma"/>
          <w:color w:val="000000" w:themeColor="text1"/>
        </w:rPr>
        <w:t xml:space="preserve"> Licenza di Gestione Client per Windows Embedded Device Manager 2011</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_Toc368310351 \h </w:instrText>
      </w:r>
      <w:r w:rsidRPr="00376B4E">
        <w:rPr>
          <w:color w:val="000000" w:themeColor="text1"/>
        </w:rPr>
      </w:r>
      <w:r w:rsidRPr="00376B4E">
        <w:rPr>
          <w:color w:val="000000" w:themeColor="text1"/>
        </w:rPr>
        <w:fldChar w:fldCharType="separate"/>
      </w:r>
      <w:r w:rsidRPr="00376B4E">
        <w:rPr>
          <w:color w:val="000000" w:themeColor="text1"/>
        </w:rPr>
        <w:t>190</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aps/>
          <w:color w:val="000000" w:themeColor="text1"/>
          <w:vertAlign w:val="superscript"/>
        </w:rPr>
        <w:t xml:space="preserve">102 </w:t>
      </w:r>
      <w:r w:rsidRPr="00376B4E">
        <w:rPr>
          <w:color w:val="000000" w:themeColor="text1"/>
        </w:rPr>
        <w:t>Windows EBS 2008 Standard ed EBS 2008 Premium</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_Toc368310352 \h </w:instrText>
      </w:r>
      <w:r w:rsidRPr="00376B4E">
        <w:rPr>
          <w:color w:val="000000" w:themeColor="text1"/>
        </w:rPr>
      </w:r>
      <w:r w:rsidRPr="00376B4E">
        <w:rPr>
          <w:color w:val="000000" w:themeColor="text1"/>
        </w:rPr>
        <w:fldChar w:fldCharType="separate"/>
      </w:r>
      <w:r w:rsidRPr="00376B4E">
        <w:rPr>
          <w:color w:val="000000" w:themeColor="text1"/>
        </w:rPr>
        <w:t>191</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aps/>
          <w:color w:val="000000" w:themeColor="text1"/>
          <w:vertAlign w:val="superscript"/>
        </w:rPr>
        <w:t xml:space="preserve">103 </w:t>
      </w:r>
      <w:r w:rsidRPr="00376B4E">
        <w:rPr>
          <w:color w:val="000000" w:themeColor="text1"/>
        </w:rPr>
        <w:t>Windows HPC Server 2008 R2 Suite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_Toc368310353 \h </w:instrText>
      </w:r>
      <w:r w:rsidRPr="00376B4E">
        <w:rPr>
          <w:color w:val="000000" w:themeColor="text1"/>
        </w:rPr>
      </w:r>
      <w:r w:rsidRPr="00376B4E">
        <w:rPr>
          <w:color w:val="000000" w:themeColor="text1"/>
        </w:rPr>
        <w:fldChar w:fldCharType="separate"/>
      </w:r>
      <w:r w:rsidRPr="00376B4E">
        <w:rPr>
          <w:color w:val="000000" w:themeColor="text1"/>
        </w:rPr>
        <w:t>193</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aps/>
          <w:color w:val="000000" w:themeColor="text1"/>
          <w:vertAlign w:val="superscript"/>
        </w:rPr>
        <w:t xml:space="preserve">104 </w:t>
      </w:r>
      <w:r w:rsidRPr="00376B4E">
        <w:rPr>
          <w:rFonts w:cs="Tahoma"/>
          <w:color w:val="000000" w:themeColor="text1"/>
        </w:rPr>
        <w:t>Windows Multipoint Server 2012 Standard</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_Toc368310354 \h </w:instrText>
      </w:r>
      <w:r w:rsidRPr="00376B4E">
        <w:rPr>
          <w:color w:val="000000" w:themeColor="text1"/>
        </w:rPr>
      </w:r>
      <w:r w:rsidRPr="00376B4E">
        <w:rPr>
          <w:color w:val="000000" w:themeColor="text1"/>
        </w:rPr>
        <w:fldChar w:fldCharType="separate"/>
      </w:r>
      <w:r w:rsidRPr="00376B4E">
        <w:rPr>
          <w:color w:val="000000" w:themeColor="text1"/>
        </w:rPr>
        <w:t>193</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aps/>
          <w:color w:val="000000" w:themeColor="text1"/>
          <w:vertAlign w:val="superscript"/>
        </w:rPr>
        <w:t xml:space="preserve">105 </w:t>
      </w:r>
      <w:r w:rsidRPr="00376B4E">
        <w:rPr>
          <w:rFonts w:cs="Tahoma"/>
          <w:color w:val="000000" w:themeColor="text1"/>
        </w:rPr>
        <w:t>Windows Multipoint Server 2012 Premium</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_Toc368310355 \h </w:instrText>
      </w:r>
      <w:r w:rsidRPr="00376B4E">
        <w:rPr>
          <w:color w:val="000000" w:themeColor="text1"/>
        </w:rPr>
      </w:r>
      <w:r w:rsidRPr="00376B4E">
        <w:rPr>
          <w:color w:val="000000" w:themeColor="text1"/>
        </w:rPr>
        <w:fldChar w:fldCharType="separate"/>
      </w:r>
      <w:r w:rsidRPr="00376B4E">
        <w:rPr>
          <w:color w:val="000000" w:themeColor="text1"/>
        </w:rPr>
        <w:t>193</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aps/>
          <w:color w:val="000000" w:themeColor="text1"/>
          <w:vertAlign w:val="superscript"/>
        </w:rPr>
        <w:t>106</w:t>
      </w:r>
      <w:r w:rsidRPr="00376B4E">
        <w:rPr>
          <w:rFonts w:cs="Tahoma"/>
          <w:color w:val="000000" w:themeColor="text1"/>
        </w:rPr>
        <w:t xml:space="preserve"> Licenza CAL per Windows Multipoint Server 2012</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_Toc368310356 \h </w:instrText>
      </w:r>
      <w:r w:rsidRPr="00376B4E">
        <w:rPr>
          <w:color w:val="000000" w:themeColor="text1"/>
        </w:rPr>
      </w:r>
      <w:r w:rsidRPr="00376B4E">
        <w:rPr>
          <w:color w:val="000000" w:themeColor="text1"/>
        </w:rPr>
        <w:fldChar w:fldCharType="separate"/>
      </w:r>
      <w:r w:rsidRPr="00376B4E">
        <w:rPr>
          <w:color w:val="000000" w:themeColor="text1"/>
        </w:rPr>
        <w:t>194</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aps/>
          <w:color w:val="000000" w:themeColor="text1"/>
          <w:vertAlign w:val="superscript"/>
        </w:rPr>
        <w:t>107</w:t>
      </w:r>
      <w:r w:rsidRPr="00376B4E">
        <w:rPr>
          <w:color w:val="000000" w:themeColor="text1"/>
        </w:rPr>
        <w:t xml:space="preserve"> Windows Server 2008 R2 HPC Edition</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_Toc368310357 \h </w:instrText>
      </w:r>
      <w:r w:rsidRPr="00376B4E">
        <w:rPr>
          <w:color w:val="000000" w:themeColor="text1"/>
        </w:rPr>
      </w:r>
      <w:r w:rsidRPr="00376B4E">
        <w:rPr>
          <w:color w:val="000000" w:themeColor="text1"/>
        </w:rPr>
        <w:fldChar w:fldCharType="separate"/>
      </w:r>
      <w:r w:rsidRPr="00376B4E">
        <w:rPr>
          <w:color w:val="000000" w:themeColor="text1"/>
        </w:rPr>
        <w:t>194</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aps/>
          <w:color w:val="000000" w:themeColor="text1"/>
          <w:vertAlign w:val="superscript"/>
        </w:rPr>
        <w:t>108</w:t>
      </w:r>
      <w:r w:rsidRPr="00376B4E">
        <w:rPr>
          <w:color w:val="000000" w:themeColor="text1"/>
        </w:rPr>
        <w:t xml:space="preserve"> Windows Server 2008 R2 Enterprise</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_Toc368310358 \h </w:instrText>
      </w:r>
      <w:r w:rsidRPr="00376B4E">
        <w:rPr>
          <w:color w:val="000000" w:themeColor="text1"/>
        </w:rPr>
      </w:r>
      <w:r w:rsidRPr="00376B4E">
        <w:rPr>
          <w:color w:val="000000" w:themeColor="text1"/>
        </w:rPr>
        <w:fldChar w:fldCharType="separate"/>
      </w:r>
      <w:r w:rsidRPr="00376B4E">
        <w:rPr>
          <w:color w:val="000000" w:themeColor="text1"/>
        </w:rPr>
        <w:t>194</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aps/>
          <w:color w:val="000000" w:themeColor="text1"/>
          <w:vertAlign w:val="superscript"/>
        </w:rPr>
        <w:t xml:space="preserve">109 </w:t>
      </w:r>
      <w:r w:rsidRPr="00376B4E">
        <w:rPr>
          <w:color w:val="000000" w:themeColor="text1"/>
        </w:rPr>
        <w:t>Windows Server 2008 R2 per Sistemi Itanium</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_Toc368310359 \h </w:instrText>
      </w:r>
      <w:r w:rsidRPr="00376B4E">
        <w:rPr>
          <w:color w:val="000000" w:themeColor="text1"/>
        </w:rPr>
      </w:r>
      <w:r w:rsidRPr="00376B4E">
        <w:rPr>
          <w:color w:val="000000" w:themeColor="text1"/>
        </w:rPr>
        <w:fldChar w:fldCharType="separate"/>
      </w:r>
      <w:r w:rsidRPr="00376B4E">
        <w:rPr>
          <w:color w:val="000000" w:themeColor="text1"/>
        </w:rPr>
        <w:t>195</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aps/>
          <w:color w:val="000000" w:themeColor="text1"/>
          <w:vertAlign w:val="superscript"/>
        </w:rPr>
        <w:t xml:space="preserve">110 </w:t>
      </w:r>
      <w:r w:rsidRPr="00376B4E">
        <w:rPr>
          <w:color w:val="000000" w:themeColor="text1"/>
        </w:rPr>
        <w:t>CAL per Windows Server 2012</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_Toc368310360 \h </w:instrText>
      </w:r>
      <w:r w:rsidRPr="00376B4E">
        <w:rPr>
          <w:color w:val="000000" w:themeColor="text1"/>
        </w:rPr>
      </w:r>
      <w:r w:rsidRPr="00376B4E">
        <w:rPr>
          <w:color w:val="000000" w:themeColor="text1"/>
        </w:rPr>
        <w:fldChar w:fldCharType="separate"/>
      </w:r>
      <w:r w:rsidRPr="00376B4E">
        <w:rPr>
          <w:color w:val="000000" w:themeColor="text1"/>
        </w:rPr>
        <w:t>196</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aps/>
          <w:color w:val="000000" w:themeColor="text1"/>
          <w:vertAlign w:val="superscript"/>
        </w:rPr>
        <w:t xml:space="preserve">111 </w:t>
      </w:r>
      <w:r w:rsidRPr="00376B4E">
        <w:rPr>
          <w:color w:val="000000" w:themeColor="text1"/>
        </w:rPr>
        <w:t>Windows Server 2008 R2 Datacenter</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_Toc368310361 \h </w:instrText>
      </w:r>
      <w:r w:rsidRPr="00376B4E">
        <w:rPr>
          <w:color w:val="000000" w:themeColor="text1"/>
        </w:rPr>
      </w:r>
      <w:r w:rsidRPr="00376B4E">
        <w:rPr>
          <w:color w:val="000000" w:themeColor="text1"/>
        </w:rPr>
        <w:fldChar w:fldCharType="separate"/>
      </w:r>
      <w:r w:rsidRPr="00376B4E">
        <w:rPr>
          <w:color w:val="000000" w:themeColor="text1"/>
        </w:rPr>
        <w:t>196</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aps/>
          <w:color w:val="000000" w:themeColor="text1"/>
          <w:vertAlign w:val="superscript"/>
        </w:rPr>
        <w:t xml:space="preserve">112 </w:t>
      </w:r>
      <w:r w:rsidRPr="00376B4E">
        <w:rPr>
          <w:color w:val="000000" w:themeColor="text1"/>
        </w:rPr>
        <w:t>Windows Server 2008 R2 Standard</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_Toc368310362 \h </w:instrText>
      </w:r>
      <w:r w:rsidRPr="00376B4E">
        <w:rPr>
          <w:color w:val="000000" w:themeColor="text1"/>
        </w:rPr>
      </w:r>
      <w:r w:rsidRPr="00376B4E">
        <w:rPr>
          <w:color w:val="000000" w:themeColor="text1"/>
        </w:rPr>
        <w:fldChar w:fldCharType="separate"/>
      </w:r>
      <w:r w:rsidRPr="00376B4E">
        <w:rPr>
          <w:color w:val="000000" w:themeColor="text1"/>
        </w:rPr>
        <w:t>197</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aps/>
          <w:color w:val="000000" w:themeColor="text1"/>
          <w:vertAlign w:val="superscript"/>
        </w:rPr>
        <w:t>113</w:t>
      </w:r>
      <w:r w:rsidRPr="00376B4E">
        <w:rPr>
          <w:rFonts w:cs="Tahoma"/>
          <w:color w:val="000000" w:themeColor="text1"/>
        </w:rPr>
        <w:t xml:space="preserve"> Windows Small Business Server (SBS) 2008 Premium</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_Toc368310363 \h </w:instrText>
      </w:r>
      <w:r w:rsidRPr="00376B4E">
        <w:rPr>
          <w:color w:val="000000" w:themeColor="text1"/>
        </w:rPr>
      </w:r>
      <w:r w:rsidRPr="00376B4E">
        <w:rPr>
          <w:color w:val="000000" w:themeColor="text1"/>
        </w:rPr>
        <w:fldChar w:fldCharType="separate"/>
      </w:r>
      <w:r w:rsidRPr="00376B4E">
        <w:rPr>
          <w:color w:val="000000" w:themeColor="text1"/>
        </w:rPr>
        <w:t>198</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aps/>
          <w:color w:val="000000" w:themeColor="text1"/>
          <w:vertAlign w:val="superscript"/>
        </w:rPr>
        <w:t>114</w:t>
      </w:r>
      <w:r w:rsidRPr="00376B4E">
        <w:rPr>
          <w:color w:val="000000" w:themeColor="text1"/>
        </w:rPr>
        <w:t xml:space="preserve"> Windows Small Business Server (2011) Standard</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_Toc368310364 \h </w:instrText>
      </w:r>
      <w:r w:rsidRPr="00376B4E">
        <w:rPr>
          <w:color w:val="000000" w:themeColor="text1"/>
        </w:rPr>
      </w:r>
      <w:r w:rsidRPr="00376B4E">
        <w:rPr>
          <w:color w:val="000000" w:themeColor="text1"/>
        </w:rPr>
        <w:fldChar w:fldCharType="separate"/>
      </w:r>
      <w:r w:rsidRPr="00376B4E">
        <w:rPr>
          <w:color w:val="000000" w:themeColor="text1"/>
        </w:rPr>
        <w:t>199</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aps/>
          <w:color w:val="000000" w:themeColor="text1"/>
          <w:vertAlign w:val="superscript"/>
        </w:rPr>
        <w:t xml:space="preserve">115 </w:t>
      </w:r>
      <w:r w:rsidRPr="00376B4E">
        <w:rPr>
          <w:rFonts w:cs="Tahoma"/>
          <w:color w:val="000000" w:themeColor="text1"/>
        </w:rPr>
        <w:t>CAL Suite per Windows Small Business Server (SBS) 2011</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_Toc368310365 \h </w:instrText>
      </w:r>
      <w:r w:rsidRPr="00376B4E">
        <w:rPr>
          <w:color w:val="000000" w:themeColor="text1"/>
        </w:rPr>
      </w:r>
      <w:r w:rsidRPr="00376B4E">
        <w:rPr>
          <w:color w:val="000000" w:themeColor="text1"/>
        </w:rPr>
        <w:fldChar w:fldCharType="separate"/>
      </w:r>
      <w:r w:rsidRPr="00376B4E">
        <w:rPr>
          <w:color w:val="000000" w:themeColor="text1"/>
        </w:rPr>
        <w:t>200</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aps/>
          <w:color w:val="000000" w:themeColor="text1"/>
          <w:vertAlign w:val="superscript"/>
        </w:rPr>
        <w:t xml:space="preserve">116 </w:t>
      </w:r>
      <w:r w:rsidRPr="00376B4E">
        <w:rPr>
          <w:rFonts w:cs="Tahoma"/>
          <w:color w:val="000000" w:themeColor="text1"/>
        </w:rPr>
        <w:t>Premium Add-on per Windows Small Business Server (SBS) 2011</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_Toc368310366 \h </w:instrText>
      </w:r>
      <w:r w:rsidRPr="00376B4E">
        <w:rPr>
          <w:color w:val="000000" w:themeColor="text1"/>
        </w:rPr>
      </w:r>
      <w:r w:rsidRPr="00376B4E">
        <w:rPr>
          <w:color w:val="000000" w:themeColor="text1"/>
        </w:rPr>
        <w:fldChar w:fldCharType="separate"/>
      </w:r>
      <w:r w:rsidRPr="00376B4E">
        <w:rPr>
          <w:color w:val="000000" w:themeColor="text1"/>
        </w:rPr>
        <w:t>200</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aps/>
          <w:color w:val="000000" w:themeColor="text1"/>
          <w:vertAlign w:val="superscript"/>
        </w:rPr>
        <w:t>117</w:t>
      </w:r>
      <w:r w:rsidRPr="00376B4E">
        <w:rPr>
          <w:rFonts w:cs="Tahoma"/>
          <w:color w:val="000000" w:themeColor="text1"/>
        </w:rPr>
        <w:t xml:space="preserve"> Premium Add-on CAL Suite per Windows Small Business Server (SBS) 2011</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_Toc368310367 \h </w:instrText>
      </w:r>
      <w:r w:rsidRPr="00376B4E">
        <w:rPr>
          <w:color w:val="000000" w:themeColor="text1"/>
        </w:rPr>
      </w:r>
      <w:r w:rsidRPr="00376B4E">
        <w:rPr>
          <w:color w:val="000000" w:themeColor="text1"/>
        </w:rPr>
        <w:fldChar w:fldCharType="separate"/>
      </w:r>
      <w:r w:rsidRPr="00376B4E">
        <w:rPr>
          <w:color w:val="000000" w:themeColor="text1"/>
        </w:rPr>
        <w:t>201</w:t>
      </w:r>
      <w:r w:rsidRPr="00376B4E">
        <w:rPr>
          <w:color w:val="000000" w:themeColor="text1"/>
        </w:rPr>
        <w:fldChar w:fldCharType="end"/>
      </w:r>
    </w:p>
    <w:p w:rsidR="00376B4E" w:rsidRPr="00376B4E" w:rsidRDefault="00376B4E">
      <w:pPr>
        <w:pStyle w:val="TOC2"/>
        <w:rPr>
          <w:rFonts w:asciiTheme="minorHAnsi" w:eastAsiaTheme="minorEastAsia" w:hAnsiTheme="minorHAnsi" w:cstheme="minorBidi"/>
          <w:color w:val="000000" w:themeColor="text1"/>
          <w:sz w:val="22"/>
          <w:szCs w:val="22"/>
        </w:rPr>
      </w:pPr>
      <w:r w:rsidRPr="00376B4E">
        <w:rPr>
          <w:rFonts w:cs="Tahoma"/>
          <w:color w:val="000000" w:themeColor="text1"/>
          <w:vertAlign w:val="superscript"/>
        </w:rPr>
        <w:t xml:space="preserve">118 </w:t>
      </w:r>
      <w:r w:rsidRPr="00376B4E">
        <w:rPr>
          <w:rFonts w:cs="Tahoma"/>
          <w:color w:val="000000" w:themeColor="text1"/>
        </w:rPr>
        <w:t>Windows Small Business Server 2011 Essentials</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_Toc368310368 \h </w:instrText>
      </w:r>
      <w:r w:rsidRPr="00376B4E">
        <w:rPr>
          <w:color w:val="000000" w:themeColor="text1"/>
        </w:rPr>
      </w:r>
      <w:r w:rsidRPr="00376B4E">
        <w:rPr>
          <w:color w:val="000000" w:themeColor="text1"/>
        </w:rPr>
        <w:fldChar w:fldCharType="separate"/>
      </w:r>
      <w:r w:rsidRPr="00376B4E">
        <w:rPr>
          <w:color w:val="000000" w:themeColor="text1"/>
        </w:rPr>
        <w:t>202</w:t>
      </w:r>
      <w:r w:rsidRPr="00376B4E">
        <w:rPr>
          <w:color w:val="000000" w:themeColor="text1"/>
        </w:rPr>
        <w:fldChar w:fldCharType="end"/>
      </w:r>
    </w:p>
    <w:p w:rsidR="00376B4E" w:rsidRPr="00376B4E" w:rsidRDefault="00376B4E">
      <w:pPr>
        <w:pStyle w:val="TOC3"/>
        <w:rPr>
          <w:rFonts w:asciiTheme="minorHAnsi" w:eastAsiaTheme="minorEastAsia" w:hAnsiTheme="minorHAnsi" w:cstheme="minorBidi"/>
          <w:bCs w:val="0"/>
          <w:color w:val="000000" w:themeColor="text1"/>
          <w:sz w:val="22"/>
          <w:szCs w:val="22"/>
        </w:rPr>
      </w:pPr>
      <w:r w:rsidRPr="00376B4E">
        <w:rPr>
          <w:caps/>
          <w:color w:val="000000" w:themeColor="text1"/>
          <w:vertAlign w:val="superscript"/>
        </w:rPr>
        <w:t>119</w:t>
      </w:r>
      <w:r w:rsidRPr="00376B4E">
        <w:rPr>
          <w:color w:val="000000" w:themeColor="text1"/>
        </w:rPr>
        <w:t xml:space="preserve"> Windows Web Server</w:t>
      </w:r>
      <w:r w:rsidRPr="00376B4E">
        <w:rPr>
          <w:color w:val="000000" w:themeColor="text1"/>
          <w:vertAlign w:val="superscript"/>
        </w:rPr>
        <w:t>®</w:t>
      </w:r>
      <w:r w:rsidRPr="00376B4E">
        <w:rPr>
          <w:color w:val="000000" w:themeColor="text1"/>
        </w:rPr>
        <w:t xml:space="preserve"> 2008 R2</w:t>
      </w:r>
      <w:r w:rsidRPr="00376B4E">
        <w:rPr>
          <w:color w:val="000000" w:themeColor="text1"/>
        </w:rPr>
        <w:tab/>
      </w:r>
      <w:r w:rsidRPr="00376B4E">
        <w:rPr>
          <w:color w:val="000000" w:themeColor="text1"/>
        </w:rPr>
        <w:fldChar w:fldCharType="begin"/>
      </w:r>
      <w:r w:rsidRPr="00376B4E">
        <w:rPr>
          <w:color w:val="000000" w:themeColor="text1"/>
        </w:rPr>
        <w:instrText xml:space="preserve"> PAGEREF _Toc368310369 \h </w:instrText>
      </w:r>
      <w:r w:rsidRPr="00376B4E">
        <w:rPr>
          <w:color w:val="000000" w:themeColor="text1"/>
        </w:rPr>
      </w:r>
      <w:r w:rsidRPr="00376B4E">
        <w:rPr>
          <w:color w:val="000000" w:themeColor="text1"/>
        </w:rPr>
        <w:fldChar w:fldCharType="separate"/>
      </w:r>
      <w:r w:rsidRPr="00376B4E">
        <w:rPr>
          <w:color w:val="000000" w:themeColor="text1"/>
        </w:rPr>
        <w:t>203</w:t>
      </w:r>
      <w:r w:rsidRPr="00376B4E">
        <w:rPr>
          <w:color w:val="000000" w:themeColor="text1"/>
        </w:rPr>
        <w:fldChar w:fldCharType="end"/>
      </w:r>
    </w:p>
    <w:p w:rsidR="007E0CC6" w:rsidRPr="00376B4E" w:rsidRDefault="00734B17" w:rsidP="00461CA9">
      <w:pPr>
        <w:pStyle w:val="TOC4"/>
        <w:tabs>
          <w:tab w:val="clear" w:pos="9360"/>
          <w:tab w:val="center" w:pos="4680"/>
        </w:tabs>
        <w:rPr>
          <w:rFonts w:cs="Tahoma"/>
          <w:color w:val="000000" w:themeColor="text1"/>
        </w:rPr>
      </w:pPr>
      <w:r w:rsidRPr="00376B4E">
        <w:rPr>
          <w:rFonts w:cs="Tahoma"/>
          <w:color w:val="000000" w:themeColor="text1"/>
          <w:szCs w:val="18"/>
        </w:rPr>
        <w:fldChar w:fldCharType="end"/>
      </w:r>
    </w:p>
    <w:p w:rsidR="00023FE7" w:rsidRPr="00A75DF9" w:rsidRDefault="00ED3854" w:rsidP="007E0CC6">
      <w:pPr>
        <w:pStyle w:val="Heading2"/>
        <w:rPr>
          <w:rFonts w:ascii="Tahoma" w:hAnsi="Tahoma" w:cs="Tahoma"/>
        </w:rPr>
      </w:pPr>
      <w:bookmarkStart w:id="7" w:name="_Toc246850065"/>
      <w:r w:rsidRPr="00A75DF9">
        <w:rPr>
          <w:rFonts w:ascii="Tahoma" w:hAnsi="Tahoma" w:cs="Tahoma"/>
          <w:sz w:val="36"/>
        </w:rPr>
        <w:br w:type="page"/>
      </w:r>
      <w:bookmarkStart w:id="8" w:name="_Toc336337840"/>
      <w:bookmarkStart w:id="9" w:name="_Toc368309843"/>
      <w:r w:rsidRPr="00A75DF9">
        <w:rPr>
          <w:rFonts w:ascii="Tahoma" w:hAnsi="Tahoma" w:cs="Tahoma"/>
          <w:sz w:val="36"/>
        </w:rPr>
        <w:lastRenderedPageBreak/>
        <w:t>Codici Tabella</w:t>
      </w:r>
      <w:bookmarkEnd w:id="7"/>
      <w:bookmarkEnd w:id="8"/>
      <w:bookmarkEnd w:id="9"/>
    </w:p>
    <w:p w:rsidR="00023FE7" w:rsidRPr="00A75DF9" w:rsidRDefault="00023FE7">
      <w:pPr>
        <w:pStyle w:val="ChartKeyHeadings"/>
        <w:ind w:right="-180"/>
        <w:rPr>
          <w:rFonts w:ascii="Tahoma" w:hAnsi="Tahoma" w:cs="Tahoma"/>
        </w:rPr>
      </w:pPr>
    </w:p>
    <w:p w:rsidR="00023FE7" w:rsidRPr="00A75DF9" w:rsidRDefault="00023FE7">
      <w:pPr>
        <w:pStyle w:val="ChartKeyHeadings"/>
        <w:ind w:right="-180"/>
        <w:rPr>
          <w:rFonts w:ascii="Tahoma" w:hAnsi="Tahoma" w:cs="Tahoma"/>
        </w:rPr>
      </w:pPr>
      <w:r w:rsidRPr="00A75DF9">
        <w:rPr>
          <w:rFonts w:ascii="Tahoma" w:hAnsi="Tahoma" w:cs="Tahoma"/>
          <w:szCs w:val="24"/>
        </w:rPr>
        <w:t>Intestazioni Colonne</w:t>
      </w:r>
    </w:p>
    <w:p w:rsidR="00023FE7" w:rsidRPr="00A75DF9" w:rsidRDefault="00023FE7">
      <w:pPr>
        <w:pStyle w:val="ChartKeyHeadings"/>
        <w:ind w:right="-180"/>
        <w:rPr>
          <w:rFonts w:ascii="Tahoma" w:hAnsi="Tahoma" w:cs="Tahoma"/>
        </w:rPr>
      </w:pPr>
    </w:p>
    <w:p w:rsidR="00664EE9" w:rsidRPr="00A75DF9" w:rsidRDefault="00664EE9" w:rsidP="00A75DF9">
      <w:pPr>
        <w:pStyle w:val="Bodywithspace"/>
        <w:spacing w:before="0" w:after="0" w:line="276" w:lineRule="auto"/>
        <w:ind w:right="-180"/>
        <w:rPr>
          <w:rFonts w:ascii="Tahoma" w:hAnsi="Tahoma" w:cs="Tahoma"/>
        </w:rPr>
      </w:pPr>
      <w:r w:rsidRPr="00A75DF9">
        <w:rPr>
          <w:rStyle w:val="BodyChar"/>
          <w:rFonts w:ascii="Tahoma" w:hAnsi="Tahoma" w:cs="Tahoma"/>
          <w:b/>
          <w:color w:val="000000"/>
          <w:sz w:val="18"/>
          <w:szCs w:val="18"/>
        </w:rPr>
        <w:t>Unità Campus e School =</w:t>
      </w:r>
      <w:r w:rsidRPr="00A75DF9">
        <w:rPr>
          <w:rFonts w:ascii="Tahoma" w:hAnsi="Tahoma" w:cs="Tahoma"/>
          <w:color w:val="000000"/>
          <w:sz w:val="18"/>
          <w:szCs w:val="18"/>
        </w:rPr>
        <w:t xml:space="preserve"> I numeri visualizzati in questa colonna rappresentano le unità designate quando il</w:t>
      </w:r>
      <w:r w:rsidR="00A75DF9" w:rsidRPr="00A75DF9">
        <w:rPr>
          <w:rFonts w:ascii="Tahoma" w:hAnsi="Tahoma" w:cs="Tahoma"/>
          <w:color w:val="000000"/>
          <w:sz w:val="18"/>
          <w:szCs w:val="18"/>
        </w:rPr>
        <w:t> </w:t>
      </w:r>
      <w:r w:rsidRPr="00A75DF9">
        <w:rPr>
          <w:rFonts w:ascii="Tahoma" w:hAnsi="Tahoma" w:cs="Tahoma"/>
          <w:color w:val="000000"/>
          <w:sz w:val="18"/>
          <w:szCs w:val="18"/>
        </w:rPr>
        <w:t>software viene offerto attraverso l</w:t>
      </w:r>
      <w:r w:rsidR="00F2643E">
        <w:rPr>
          <w:rFonts w:ascii="Tahoma" w:hAnsi="Tahoma" w:cs="Tahoma"/>
          <w:color w:val="000000"/>
          <w:sz w:val="18"/>
          <w:szCs w:val="18"/>
        </w:rPr>
        <w:t>’</w:t>
      </w:r>
      <w:r w:rsidRPr="00A75DF9">
        <w:rPr>
          <w:rFonts w:ascii="Tahoma" w:hAnsi="Tahoma" w:cs="Tahoma"/>
          <w:color w:val="000000"/>
          <w:sz w:val="18"/>
          <w:szCs w:val="18"/>
        </w:rPr>
        <w:t>Iscrizione School ai sensi del Contratto Campus e School. I prodotti non vengono offerti in questi programmi quando la colonna CA/SA è vuota.</w:t>
      </w:r>
    </w:p>
    <w:p w:rsidR="00023FE7" w:rsidRPr="00A75DF9" w:rsidRDefault="00023FE7" w:rsidP="00A75DF9">
      <w:pPr>
        <w:pStyle w:val="Bodywithspace"/>
        <w:spacing w:before="0" w:after="0" w:line="276" w:lineRule="auto"/>
        <w:ind w:right="-180"/>
        <w:rPr>
          <w:rFonts w:ascii="Tahoma" w:hAnsi="Tahoma" w:cs="Tahoma"/>
        </w:rPr>
      </w:pPr>
      <w:r w:rsidRPr="00A75DF9">
        <w:rPr>
          <w:rStyle w:val="BodyChar"/>
          <w:rFonts w:ascii="Tahoma" w:hAnsi="Tahoma" w:cs="Tahoma"/>
          <w:b/>
          <w:sz w:val="18"/>
          <w:szCs w:val="18"/>
        </w:rPr>
        <w:t xml:space="preserve">Data Disponibilità = </w:t>
      </w:r>
      <w:r w:rsidRPr="00A75DF9">
        <w:rPr>
          <w:rStyle w:val="BodyChar"/>
          <w:rFonts w:ascii="Tahoma" w:hAnsi="Tahoma" w:cs="Tahoma"/>
          <w:sz w:val="18"/>
          <w:szCs w:val="18"/>
        </w:rPr>
        <w:t>È la data in cui il prodotto è disponibile per la prima volta,</w:t>
      </w:r>
      <w:r w:rsidRPr="00A75DF9">
        <w:rPr>
          <w:rStyle w:val="BodyChar"/>
          <w:rFonts w:ascii="Tahoma" w:hAnsi="Tahoma" w:cs="Tahoma"/>
          <w:color w:val="000000"/>
          <w:sz w:val="18"/>
          <w:szCs w:val="18"/>
        </w:rPr>
        <w:t xml:space="preserve"> indicata nel formato mese/anno. </w:t>
      </w:r>
      <w:r w:rsidRPr="00A75DF9">
        <w:rPr>
          <w:rStyle w:val="BodyChar"/>
          <w:rFonts w:ascii="Tahoma" w:hAnsi="Tahoma" w:cs="Tahoma"/>
          <w:sz w:val="18"/>
          <w:szCs w:val="18"/>
        </w:rPr>
        <w:t>È la prima tra la data in cui Microsoft dà la possibilità di ordinare le licenze per il prodotto e quella</w:t>
      </w:r>
      <w:r w:rsidR="00A75DF9" w:rsidRPr="00A75DF9">
        <w:rPr>
          <w:rStyle w:val="BodyChar"/>
          <w:rFonts w:ascii="Tahoma" w:hAnsi="Tahoma" w:cs="Tahoma"/>
          <w:sz w:val="18"/>
          <w:szCs w:val="18"/>
        </w:rPr>
        <w:t> </w:t>
      </w:r>
      <w:r w:rsidRPr="00A75DF9">
        <w:rPr>
          <w:rStyle w:val="BodyChar"/>
          <w:rFonts w:ascii="Tahoma" w:hAnsi="Tahoma" w:cs="Tahoma"/>
          <w:sz w:val="18"/>
          <w:szCs w:val="18"/>
        </w:rPr>
        <w:t>in cui consente di scaricare il software per il prodotto dal Volume Licensing Services Center (VLSC).</w:t>
      </w:r>
    </w:p>
    <w:p w:rsidR="00023FE7" w:rsidRPr="00A75DF9" w:rsidRDefault="00023FE7">
      <w:pPr>
        <w:pStyle w:val="Bodywithspace"/>
        <w:spacing w:before="0" w:after="0" w:line="276" w:lineRule="auto"/>
        <w:ind w:right="-180"/>
        <w:rPr>
          <w:rFonts w:ascii="Tahoma" w:hAnsi="Tahoma" w:cs="Tahoma"/>
        </w:rPr>
      </w:pPr>
      <w:r w:rsidRPr="00A75DF9">
        <w:rPr>
          <w:rStyle w:val="BodyChar"/>
          <w:rFonts w:ascii="Tahoma" w:hAnsi="Tahoma" w:cs="Tahoma"/>
          <w:b/>
          <w:sz w:val="18"/>
          <w:szCs w:val="18"/>
        </w:rPr>
        <w:t>EA (Contratto Enterprise) =</w:t>
      </w:r>
      <w:r w:rsidRPr="00A75DF9">
        <w:rPr>
          <w:rFonts w:ascii="Tahoma" w:hAnsi="Tahoma" w:cs="Tahoma"/>
          <w:sz w:val="18"/>
          <w:szCs w:val="18"/>
        </w:rPr>
        <w:t xml:space="preserve"> Contratto Enterprise 20xx.</w:t>
      </w:r>
    </w:p>
    <w:p w:rsidR="00023FE7" w:rsidRPr="00A75DF9" w:rsidRDefault="00023FE7">
      <w:pPr>
        <w:pStyle w:val="Bodywithspace"/>
        <w:spacing w:before="0" w:after="0" w:line="276" w:lineRule="auto"/>
        <w:ind w:right="-180"/>
        <w:rPr>
          <w:rFonts w:ascii="Tahoma" w:hAnsi="Tahoma" w:cs="Tahoma"/>
        </w:rPr>
      </w:pPr>
      <w:r w:rsidRPr="00A75DF9">
        <w:rPr>
          <w:rStyle w:val="BodyChar"/>
          <w:rFonts w:ascii="Tahoma" w:hAnsi="Tahoma" w:cs="Tahoma"/>
          <w:b/>
          <w:sz w:val="18"/>
          <w:szCs w:val="18"/>
        </w:rPr>
        <w:t xml:space="preserve">EA Sub (Contratto Enterprise Subscription) = </w:t>
      </w:r>
      <w:r w:rsidRPr="00A75DF9">
        <w:rPr>
          <w:rFonts w:ascii="Tahoma" w:hAnsi="Tahoma" w:cs="Tahoma"/>
          <w:sz w:val="18"/>
          <w:szCs w:val="18"/>
        </w:rPr>
        <w:t>Contratto Enterprise Subscription 200x.</w:t>
      </w:r>
      <w:r w:rsidR="009D3B41" w:rsidRPr="00A75DF9">
        <w:rPr>
          <w:rFonts w:ascii="Tahoma" w:hAnsi="Tahoma" w:cs="Tahoma"/>
          <w:sz w:val="18"/>
          <w:szCs w:val="18"/>
        </w:rPr>
        <w:t xml:space="preserve"> </w:t>
      </w:r>
    </w:p>
    <w:p w:rsidR="00456002" w:rsidRPr="00A75DF9" w:rsidRDefault="00456002" w:rsidP="00A75DF9">
      <w:pPr>
        <w:pStyle w:val="Bodywithspace"/>
        <w:spacing w:before="0" w:after="0" w:line="276" w:lineRule="auto"/>
        <w:ind w:right="-180"/>
        <w:rPr>
          <w:rFonts w:ascii="Tahoma" w:hAnsi="Tahoma" w:cs="Tahoma"/>
        </w:rPr>
      </w:pPr>
      <w:r w:rsidRPr="00A75DF9">
        <w:rPr>
          <w:rStyle w:val="BodyChar"/>
          <w:rFonts w:ascii="Tahoma" w:hAnsi="Tahoma" w:cs="Tahoma"/>
          <w:b/>
          <w:sz w:val="18"/>
          <w:szCs w:val="18"/>
        </w:rPr>
        <w:t>Requisito Minimo per i Programmi Open =</w:t>
      </w:r>
      <w:r w:rsidRPr="00A75DF9">
        <w:rPr>
          <w:rFonts w:ascii="Tahoma" w:hAnsi="Tahoma" w:cs="Tahoma"/>
          <w:sz w:val="18"/>
          <w:szCs w:val="18"/>
        </w:rPr>
        <w:t xml:space="preserve"> Ogni Licenza conta esclusivamente come 5 Licenze ai fini del</w:t>
      </w:r>
      <w:r w:rsidR="00A75DF9" w:rsidRPr="00A75DF9">
        <w:rPr>
          <w:rFonts w:ascii="Tahoma" w:hAnsi="Tahoma" w:cs="Tahoma"/>
          <w:sz w:val="18"/>
          <w:szCs w:val="18"/>
        </w:rPr>
        <w:t> </w:t>
      </w:r>
      <w:r w:rsidRPr="00A75DF9">
        <w:rPr>
          <w:rFonts w:ascii="Tahoma" w:hAnsi="Tahoma" w:cs="Tahoma"/>
          <w:sz w:val="18"/>
          <w:szCs w:val="18"/>
        </w:rPr>
        <w:t>requisito minimo per l</w:t>
      </w:r>
      <w:r w:rsidR="00F2643E">
        <w:rPr>
          <w:rFonts w:ascii="Tahoma" w:hAnsi="Tahoma" w:cs="Tahoma"/>
          <w:sz w:val="18"/>
          <w:szCs w:val="18"/>
        </w:rPr>
        <w:t>’</w:t>
      </w:r>
      <w:r w:rsidRPr="00A75DF9">
        <w:rPr>
          <w:rFonts w:ascii="Tahoma" w:hAnsi="Tahoma" w:cs="Tahoma"/>
          <w:sz w:val="18"/>
          <w:szCs w:val="18"/>
        </w:rPr>
        <w:t>ordine iniziale nei programmi Open License e/o Open Value. Il valore indica il programma per cui è in vigore.</w:t>
      </w:r>
    </w:p>
    <w:p w:rsidR="00456002" w:rsidRPr="00A75DF9" w:rsidRDefault="00456002" w:rsidP="00456002">
      <w:pPr>
        <w:pStyle w:val="Bodywithspace"/>
        <w:spacing w:before="0" w:after="0" w:line="276" w:lineRule="auto"/>
        <w:ind w:right="-180"/>
        <w:rPr>
          <w:rFonts w:ascii="Tahoma" w:hAnsi="Tahoma" w:cs="Tahoma"/>
        </w:rPr>
      </w:pPr>
      <w:r w:rsidRPr="00A75DF9">
        <w:rPr>
          <w:rStyle w:val="BodyChar"/>
          <w:rFonts w:ascii="Tahoma" w:hAnsi="Tahoma" w:cs="Tahoma"/>
          <w:b/>
          <w:sz w:val="18"/>
          <w:szCs w:val="18"/>
        </w:rPr>
        <w:t>Open License =</w:t>
      </w:r>
      <w:r w:rsidRPr="00A75DF9">
        <w:rPr>
          <w:rFonts w:ascii="Tahoma" w:hAnsi="Tahoma" w:cs="Tahoma"/>
          <w:sz w:val="18"/>
          <w:szCs w:val="18"/>
        </w:rPr>
        <w:t xml:space="preserve"> L</w:t>
      </w:r>
      <w:r w:rsidR="00F2643E">
        <w:rPr>
          <w:rFonts w:ascii="Tahoma" w:hAnsi="Tahoma" w:cs="Tahoma"/>
          <w:sz w:val="18"/>
          <w:szCs w:val="18"/>
        </w:rPr>
        <w:t>’</w:t>
      </w:r>
      <w:r w:rsidRPr="00A75DF9">
        <w:rPr>
          <w:rFonts w:ascii="Tahoma" w:hAnsi="Tahoma" w:cs="Tahoma"/>
          <w:sz w:val="18"/>
          <w:szCs w:val="18"/>
        </w:rPr>
        <w:t>unico componente Open License dei Programmi Open. Open License include Open License, Open License for Academic, Open License for Government e Open License for Charity, ove disponibili.</w:t>
      </w:r>
    </w:p>
    <w:p w:rsidR="00456002" w:rsidRPr="00A75DF9" w:rsidRDefault="00456002" w:rsidP="00456002">
      <w:pPr>
        <w:pStyle w:val="Bodywithspace"/>
        <w:spacing w:before="0" w:after="0" w:line="276" w:lineRule="auto"/>
        <w:ind w:right="-180"/>
        <w:rPr>
          <w:rFonts w:ascii="Tahoma" w:hAnsi="Tahoma" w:cs="Tahoma"/>
        </w:rPr>
      </w:pPr>
      <w:r w:rsidRPr="00A75DF9">
        <w:rPr>
          <w:rStyle w:val="BodyChar"/>
          <w:rFonts w:ascii="Tahoma" w:hAnsi="Tahoma" w:cs="Tahoma"/>
          <w:b/>
          <w:sz w:val="18"/>
          <w:szCs w:val="18"/>
        </w:rPr>
        <w:t>Open Value (OV)=</w:t>
      </w:r>
      <w:r w:rsidRPr="00A75DF9">
        <w:rPr>
          <w:rFonts w:ascii="Tahoma" w:hAnsi="Tahoma" w:cs="Tahoma"/>
          <w:sz w:val="18"/>
          <w:szCs w:val="18"/>
        </w:rPr>
        <w:t xml:space="preserve"> Open Value include Open Value e Open Value for Government.</w:t>
      </w:r>
    </w:p>
    <w:p w:rsidR="00456002" w:rsidRPr="00A75DF9" w:rsidRDefault="00456002" w:rsidP="00456002">
      <w:pPr>
        <w:pStyle w:val="Bodywithspace"/>
        <w:spacing w:before="0" w:after="0" w:line="276" w:lineRule="auto"/>
        <w:ind w:right="-180"/>
        <w:rPr>
          <w:rFonts w:ascii="Tahoma" w:hAnsi="Tahoma" w:cs="Tahoma"/>
        </w:rPr>
      </w:pPr>
      <w:r w:rsidRPr="00A75DF9">
        <w:rPr>
          <w:rStyle w:val="BodyChar"/>
          <w:rFonts w:ascii="Tahoma" w:hAnsi="Tahoma" w:cs="Tahoma"/>
          <w:b/>
          <w:sz w:val="18"/>
          <w:szCs w:val="18"/>
        </w:rPr>
        <w:t>Open Value Subscription (OVS)=</w:t>
      </w:r>
      <w:r w:rsidRPr="00A75DF9">
        <w:rPr>
          <w:rFonts w:ascii="Tahoma" w:hAnsi="Tahoma" w:cs="Tahoma"/>
          <w:sz w:val="18"/>
          <w:szCs w:val="18"/>
        </w:rPr>
        <w:t xml:space="preserve"> Open Value Subscription include Open Value Subscription e Open Value Subscription for Government. </w:t>
      </w:r>
    </w:p>
    <w:p w:rsidR="00456002" w:rsidRPr="00A75DF9" w:rsidRDefault="00456002" w:rsidP="00456002">
      <w:pPr>
        <w:pStyle w:val="Bodywithspace"/>
        <w:spacing w:before="0" w:after="0" w:line="276" w:lineRule="auto"/>
        <w:ind w:right="-180"/>
        <w:rPr>
          <w:rFonts w:ascii="Tahoma" w:hAnsi="Tahoma" w:cs="Tahoma"/>
        </w:rPr>
      </w:pPr>
      <w:r w:rsidRPr="00A75DF9">
        <w:rPr>
          <w:rStyle w:val="BodyChar"/>
          <w:rFonts w:ascii="Tahoma" w:hAnsi="Tahoma" w:cs="Tahoma"/>
          <w:b/>
          <w:sz w:val="18"/>
          <w:szCs w:val="18"/>
        </w:rPr>
        <w:t xml:space="preserve">EES/OVS-ES = </w:t>
      </w:r>
      <w:r w:rsidRPr="00A75DF9">
        <w:rPr>
          <w:rStyle w:val="BodyChar"/>
          <w:rFonts w:ascii="Tahoma" w:hAnsi="Tahoma" w:cs="Tahoma"/>
          <w:sz w:val="18"/>
          <w:szCs w:val="18"/>
        </w:rPr>
        <w:t>Enrollment for Education Solutions/Open Value Subscription – Education Solutions</w:t>
      </w:r>
    </w:p>
    <w:p w:rsidR="00456002" w:rsidRPr="00A75DF9" w:rsidRDefault="00456002" w:rsidP="00456002">
      <w:pPr>
        <w:pStyle w:val="Bodywithspace"/>
        <w:spacing w:before="0" w:after="0" w:line="276" w:lineRule="auto"/>
        <w:ind w:right="-180"/>
        <w:rPr>
          <w:rFonts w:ascii="Tahoma" w:hAnsi="Tahoma" w:cs="Tahoma"/>
        </w:rPr>
      </w:pPr>
      <w:r w:rsidRPr="00A75DF9">
        <w:rPr>
          <w:rStyle w:val="BodyChar"/>
          <w:rFonts w:ascii="Tahoma" w:hAnsi="Tahoma" w:cs="Tahoma"/>
          <w:b/>
          <w:sz w:val="18"/>
          <w:szCs w:val="18"/>
        </w:rPr>
        <w:t>Promozioni e Migrazioni =</w:t>
      </w:r>
      <w:r w:rsidRPr="00A75DF9">
        <w:rPr>
          <w:rFonts w:ascii="Tahoma" w:hAnsi="Tahoma" w:cs="Tahoma"/>
          <w:sz w:val="18"/>
          <w:szCs w:val="18"/>
        </w:rPr>
        <w:t xml:space="preserve"> È già in corso una promozione o è disponibile una migrazione di software.</w:t>
      </w:r>
    </w:p>
    <w:p w:rsidR="00456002" w:rsidRPr="00A75DF9" w:rsidRDefault="00456002" w:rsidP="00456002">
      <w:pPr>
        <w:pStyle w:val="Bodywithspace"/>
        <w:spacing w:before="0" w:after="0" w:line="276" w:lineRule="auto"/>
        <w:ind w:right="-180"/>
        <w:rPr>
          <w:rFonts w:ascii="Tahoma" w:hAnsi="Tahoma" w:cs="Tahoma"/>
        </w:rPr>
      </w:pPr>
      <w:r w:rsidRPr="00A75DF9">
        <w:rPr>
          <w:rStyle w:val="BodyChar"/>
          <w:rFonts w:ascii="Tahoma" w:hAnsi="Tahoma" w:cs="Tahoma"/>
          <w:b/>
          <w:sz w:val="18"/>
          <w:szCs w:val="18"/>
        </w:rPr>
        <w:t>SAB =</w:t>
      </w:r>
      <w:r w:rsidRPr="00A75DF9">
        <w:rPr>
          <w:rFonts w:ascii="Tahoma" w:hAnsi="Tahoma" w:cs="Tahoma"/>
          <w:sz w:val="18"/>
          <w:szCs w:val="18"/>
        </w:rPr>
        <w:t xml:space="preserve"> Per le società idonee all</w:t>
      </w:r>
      <w:r w:rsidR="00F2643E">
        <w:rPr>
          <w:rFonts w:ascii="Tahoma" w:hAnsi="Tahoma" w:cs="Tahoma"/>
          <w:sz w:val="18"/>
          <w:szCs w:val="18"/>
        </w:rPr>
        <w:t>’</w:t>
      </w:r>
      <w:r w:rsidRPr="00A75DF9">
        <w:rPr>
          <w:rFonts w:ascii="Tahoma" w:hAnsi="Tahoma" w:cs="Tahoma"/>
          <w:sz w:val="18"/>
          <w:szCs w:val="18"/>
        </w:rPr>
        <w:t>acquisto del software sono disponibili i Vantaggi di Software Assurance (Software Assurance Benefits o SAB).</w:t>
      </w:r>
    </w:p>
    <w:p w:rsidR="00456002" w:rsidRPr="00A75DF9" w:rsidRDefault="00456002" w:rsidP="00456002">
      <w:pPr>
        <w:pStyle w:val="Bodywithspace"/>
        <w:spacing w:before="0" w:after="0" w:line="276" w:lineRule="auto"/>
        <w:ind w:right="-180"/>
        <w:rPr>
          <w:rFonts w:ascii="Tahoma" w:hAnsi="Tahoma" w:cs="Tahoma"/>
        </w:rPr>
      </w:pPr>
      <w:r w:rsidRPr="00A75DF9">
        <w:rPr>
          <w:rStyle w:val="BodyChar"/>
          <w:rFonts w:ascii="Tahoma" w:hAnsi="Tahoma" w:cs="Tahoma"/>
          <w:b/>
          <w:sz w:val="18"/>
          <w:szCs w:val="18"/>
        </w:rPr>
        <w:t>Select =</w:t>
      </w:r>
      <w:r w:rsidRPr="00A75DF9">
        <w:rPr>
          <w:rFonts w:ascii="Tahoma" w:hAnsi="Tahoma" w:cs="Tahoma"/>
          <w:sz w:val="18"/>
          <w:szCs w:val="18"/>
        </w:rPr>
        <w:t xml:space="preserve"> Select 20xx. Sono inclusi anche i Contratti Select for Academic e Select for Government.</w:t>
      </w:r>
    </w:p>
    <w:p w:rsidR="00456002" w:rsidRPr="00A75DF9" w:rsidRDefault="00456002" w:rsidP="00456002">
      <w:pPr>
        <w:pStyle w:val="Bodywithspace"/>
        <w:spacing w:before="0" w:after="0" w:line="276" w:lineRule="auto"/>
        <w:ind w:right="-180"/>
        <w:rPr>
          <w:rFonts w:ascii="Tahoma" w:hAnsi="Tahoma" w:cs="Tahoma"/>
        </w:rPr>
      </w:pPr>
      <w:r w:rsidRPr="00A75DF9">
        <w:rPr>
          <w:rStyle w:val="BodyChar"/>
          <w:rFonts w:ascii="Tahoma" w:hAnsi="Tahoma" w:cs="Tahoma"/>
          <w:b/>
          <w:sz w:val="18"/>
          <w:szCs w:val="18"/>
        </w:rPr>
        <w:t>Select Plus</w:t>
      </w:r>
      <w:r w:rsidRPr="00A75DF9">
        <w:rPr>
          <w:rStyle w:val="BodyChar"/>
          <w:rFonts w:ascii="Tahoma" w:hAnsi="Tahoma" w:cs="Tahoma"/>
          <w:sz w:val="18"/>
          <w:szCs w:val="18"/>
        </w:rPr>
        <w:t xml:space="preserve"> = Select Plus 20xx.</w:t>
      </w:r>
      <w:r w:rsidR="009D3B41" w:rsidRPr="00A75DF9">
        <w:rPr>
          <w:rStyle w:val="BodyChar"/>
          <w:rFonts w:ascii="Tahoma" w:hAnsi="Tahoma" w:cs="Tahoma"/>
          <w:sz w:val="18"/>
          <w:szCs w:val="18"/>
        </w:rPr>
        <w:t xml:space="preserve"> </w:t>
      </w:r>
      <w:r w:rsidRPr="00A75DF9">
        <w:rPr>
          <w:rStyle w:val="BodyChar"/>
          <w:rFonts w:ascii="Tahoma" w:hAnsi="Tahoma" w:cs="Tahoma"/>
          <w:sz w:val="18"/>
          <w:szCs w:val="18"/>
        </w:rPr>
        <w:t>Sono inclusi anche i Contratti Plus License for Academic e Select Plus for Government.</w:t>
      </w:r>
    </w:p>
    <w:p w:rsidR="00023FE7" w:rsidRPr="00A75DF9" w:rsidRDefault="00023FE7">
      <w:pPr>
        <w:pStyle w:val="Bodywithspace"/>
        <w:spacing w:before="0" w:after="0"/>
        <w:ind w:right="-180"/>
        <w:rPr>
          <w:rFonts w:ascii="Tahoma" w:hAnsi="Tahoma" w:cs="Tahoma"/>
        </w:rPr>
      </w:pPr>
    </w:p>
    <w:p w:rsidR="00023FE7" w:rsidRPr="00A75DF9" w:rsidRDefault="00023FE7">
      <w:pPr>
        <w:pStyle w:val="ChartKeyHeadings"/>
        <w:ind w:right="-180"/>
        <w:rPr>
          <w:rFonts w:ascii="Tahoma" w:hAnsi="Tahoma" w:cs="Tahoma"/>
        </w:rPr>
      </w:pPr>
      <w:r w:rsidRPr="00A75DF9">
        <w:rPr>
          <w:rFonts w:ascii="Tahoma" w:hAnsi="Tahoma" w:cs="Tahoma"/>
          <w:szCs w:val="28"/>
        </w:rPr>
        <w:t>Valori delle colonne</w:t>
      </w:r>
    </w:p>
    <w:p w:rsidR="00023FE7" w:rsidRPr="00A75DF9" w:rsidRDefault="00023FE7">
      <w:pPr>
        <w:pStyle w:val="ChartKeyHeadings"/>
        <w:ind w:right="-180"/>
        <w:rPr>
          <w:rFonts w:ascii="Tahoma" w:hAnsi="Tahoma" w:cs="Tahoma"/>
        </w:rPr>
      </w:pPr>
    </w:p>
    <w:p w:rsidR="00023FE7" w:rsidRPr="00A75DF9" w:rsidRDefault="00023FE7">
      <w:pPr>
        <w:pStyle w:val="Bodywithspace"/>
        <w:spacing w:before="0" w:after="0" w:line="276" w:lineRule="auto"/>
        <w:ind w:right="-180"/>
        <w:rPr>
          <w:rFonts w:ascii="Tahoma" w:hAnsi="Tahoma" w:cs="Tahoma"/>
        </w:rPr>
      </w:pPr>
      <w:r w:rsidRPr="00A75DF9">
        <w:rPr>
          <w:rStyle w:val="BodyChar"/>
          <w:rFonts w:ascii="Tahoma" w:hAnsi="Tahoma" w:cs="Tahoma"/>
          <w:b/>
          <w:sz w:val="18"/>
          <w:szCs w:val="18"/>
        </w:rPr>
        <w:t xml:space="preserve">1 An = </w:t>
      </w:r>
      <w:r w:rsidRPr="00A75DF9">
        <w:rPr>
          <w:rFonts w:ascii="Tahoma" w:hAnsi="Tahoma" w:cs="Tahoma"/>
          <w:sz w:val="18"/>
          <w:szCs w:val="18"/>
        </w:rPr>
        <w:t>(ancora 1 anno alla scadenza del periodo di validità del contratto).</w:t>
      </w:r>
    </w:p>
    <w:p w:rsidR="00023FE7" w:rsidRPr="00A75DF9" w:rsidRDefault="00023FE7">
      <w:pPr>
        <w:pStyle w:val="Bodywithspace"/>
        <w:spacing w:before="0" w:after="0" w:line="276" w:lineRule="auto"/>
        <w:ind w:right="-180"/>
        <w:rPr>
          <w:rFonts w:ascii="Tahoma" w:hAnsi="Tahoma" w:cs="Tahoma"/>
        </w:rPr>
      </w:pPr>
      <w:r w:rsidRPr="00A75DF9">
        <w:rPr>
          <w:rStyle w:val="BodyChar"/>
          <w:rFonts w:ascii="Tahoma" w:hAnsi="Tahoma" w:cs="Tahoma"/>
          <w:b/>
          <w:sz w:val="18"/>
          <w:szCs w:val="18"/>
        </w:rPr>
        <w:t>2 An =</w:t>
      </w:r>
      <w:r w:rsidRPr="00A75DF9">
        <w:rPr>
          <w:rFonts w:ascii="Tahoma" w:hAnsi="Tahoma" w:cs="Tahoma"/>
          <w:sz w:val="18"/>
          <w:szCs w:val="18"/>
        </w:rPr>
        <w:t xml:space="preserve"> (ancora 2 anni alla scadenza del periodo di validità del contratto).</w:t>
      </w:r>
    </w:p>
    <w:p w:rsidR="00023FE7" w:rsidRPr="00A75DF9" w:rsidRDefault="00023FE7">
      <w:pPr>
        <w:pStyle w:val="Bodywithspace"/>
        <w:spacing w:before="0" w:after="0" w:line="276" w:lineRule="auto"/>
        <w:ind w:right="-180"/>
        <w:rPr>
          <w:rFonts w:ascii="Tahoma" w:hAnsi="Tahoma" w:cs="Tahoma"/>
        </w:rPr>
      </w:pPr>
      <w:r w:rsidRPr="00A75DF9">
        <w:rPr>
          <w:rStyle w:val="BodyChar"/>
          <w:rFonts w:ascii="Tahoma" w:hAnsi="Tahoma" w:cs="Tahoma"/>
          <w:b/>
          <w:sz w:val="18"/>
          <w:szCs w:val="18"/>
        </w:rPr>
        <w:t>3 An =</w:t>
      </w:r>
      <w:r w:rsidRPr="00A75DF9">
        <w:rPr>
          <w:rFonts w:ascii="Tahoma" w:hAnsi="Tahoma" w:cs="Tahoma"/>
          <w:sz w:val="18"/>
          <w:szCs w:val="18"/>
        </w:rPr>
        <w:t xml:space="preserve"> (ancora 3 anni alla scadenza del periodo di validità del contratto).</w:t>
      </w:r>
    </w:p>
    <w:p w:rsidR="00023FE7" w:rsidRPr="00A75DF9" w:rsidRDefault="00023FE7">
      <w:pPr>
        <w:pStyle w:val="Bodywithspace"/>
        <w:spacing w:before="0" w:after="0" w:line="276" w:lineRule="auto"/>
        <w:ind w:right="-180"/>
        <w:rPr>
          <w:rFonts w:ascii="Tahoma" w:hAnsi="Tahoma" w:cs="Tahoma"/>
        </w:rPr>
      </w:pPr>
      <w:r w:rsidRPr="00A75DF9">
        <w:rPr>
          <w:rStyle w:val="BodyChar"/>
          <w:rFonts w:ascii="Tahoma" w:hAnsi="Tahoma" w:cs="Tahoma"/>
          <w:b/>
          <w:sz w:val="18"/>
          <w:szCs w:val="18"/>
        </w:rPr>
        <w:t>A =</w:t>
      </w:r>
      <w:r w:rsidRPr="00A75DF9">
        <w:rPr>
          <w:rFonts w:ascii="Tahoma" w:hAnsi="Tahoma" w:cs="Tahoma"/>
          <w:sz w:val="18"/>
          <w:szCs w:val="18"/>
        </w:rPr>
        <w:t xml:space="preserve"> Indica che il software è offerto come prodotto aggiuntivo.</w:t>
      </w:r>
    </w:p>
    <w:p w:rsidR="009E22D0" w:rsidRPr="00A75DF9" w:rsidRDefault="009E22D0" w:rsidP="009E22D0">
      <w:pPr>
        <w:pStyle w:val="Bodywithspace"/>
        <w:spacing w:before="0" w:after="0" w:line="276" w:lineRule="auto"/>
        <w:ind w:right="-180"/>
        <w:rPr>
          <w:rFonts w:ascii="Tahoma" w:hAnsi="Tahoma" w:cs="Tahoma"/>
        </w:rPr>
      </w:pPr>
      <w:r w:rsidRPr="00A75DF9">
        <w:rPr>
          <w:rStyle w:val="BodyChar"/>
          <w:rFonts w:ascii="Tahoma" w:hAnsi="Tahoma" w:cs="Tahoma"/>
          <w:b/>
          <w:sz w:val="18"/>
          <w:szCs w:val="18"/>
        </w:rPr>
        <w:t>AO</w:t>
      </w:r>
      <w:r w:rsidRPr="00A75DF9">
        <w:rPr>
          <w:rStyle w:val="BodyChar"/>
          <w:rFonts w:ascii="Tahoma" w:hAnsi="Tahoma" w:cs="Tahoma"/>
          <w:sz w:val="18"/>
          <w:szCs w:val="18"/>
        </w:rPr>
        <w:t xml:space="preserve"> </w:t>
      </w:r>
      <w:r w:rsidRPr="00A75DF9">
        <w:rPr>
          <w:rStyle w:val="BodyChar"/>
          <w:rFonts w:ascii="Tahoma" w:hAnsi="Tahoma" w:cs="Tahoma"/>
          <w:b/>
          <w:sz w:val="18"/>
          <w:szCs w:val="18"/>
        </w:rPr>
        <w:t xml:space="preserve">– </w:t>
      </w:r>
      <w:r w:rsidRPr="00A75DF9">
        <w:rPr>
          <w:rFonts w:ascii="Tahoma" w:hAnsi="Tahoma" w:cs="Tahoma"/>
          <w:sz w:val="18"/>
          <w:szCs w:val="18"/>
        </w:rPr>
        <w:t>Indica software offerto come prodotto aggiuntivo ordinabile per l</w:t>
      </w:r>
      <w:r w:rsidR="00F2643E">
        <w:rPr>
          <w:rFonts w:ascii="Tahoma" w:hAnsi="Tahoma" w:cs="Tahoma"/>
          <w:sz w:val="18"/>
          <w:szCs w:val="18"/>
        </w:rPr>
        <w:t>’</w:t>
      </w:r>
      <w:r w:rsidRPr="00A75DF9">
        <w:rPr>
          <w:rFonts w:ascii="Tahoma" w:hAnsi="Tahoma" w:cs="Tahoma"/>
          <w:sz w:val="18"/>
          <w:szCs w:val="18"/>
        </w:rPr>
        <w:t>intera organizzazione.</w:t>
      </w:r>
    </w:p>
    <w:p w:rsidR="009F5F37" w:rsidRPr="00A75DF9" w:rsidRDefault="009F5F37">
      <w:pPr>
        <w:pStyle w:val="Bodywithspace"/>
        <w:spacing w:before="0" w:after="0" w:line="276" w:lineRule="auto"/>
        <w:ind w:right="-180"/>
        <w:rPr>
          <w:rFonts w:ascii="Tahoma" w:hAnsi="Tahoma" w:cs="Tahoma"/>
        </w:rPr>
      </w:pPr>
      <w:r w:rsidRPr="00A75DF9">
        <w:rPr>
          <w:rStyle w:val="BodyChar"/>
          <w:rFonts w:ascii="Tahoma" w:hAnsi="Tahoma" w:cs="Tahoma"/>
          <w:b/>
          <w:sz w:val="18"/>
          <w:szCs w:val="18"/>
        </w:rPr>
        <w:t xml:space="preserve">C = </w:t>
      </w:r>
      <w:r w:rsidRPr="00A75DF9">
        <w:rPr>
          <w:rFonts w:ascii="Tahoma" w:hAnsi="Tahoma" w:cs="Tahoma"/>
          <w:sz w:val="18"/>
          <w:szCs w:val="18"/>
        </w:rPr>
        <w:t>Indica che il software è offerto come prodotto per le infrastrutture core.</w:t>
      </w:r>
    </w:p>
    <w:p w:rsidR="009F5F37" w:rsidRPr="00A75DF9" w:rsidRDefault="009F5F37" w:rsidP="009F5F37">
      <w:pPr>
        <w:pStyle w:val="ListParagraph"/>
        <w:rPr>
          <w:rFonts w:ascii="Tahoma" w:hAnsi="Tahoma" w:cs="Tahoma"/>
        </w:rPr>
      </w:pPr>
      <w:r w:rsidRPr="00A75DF9">
        <w:rPr>
          <w:rStyle w:val="BodyChar"/>
          <w:rFonts w:ascii="Tahoma" w:hAnsi="Tahoma" w:cs="Tahoma"/>
          <w:b/>
          <w:sz w:val="18"/>
          <w:szCs w:val="18"/>
        </w:rPr>
        <w:t xml:space="preserve">D = </w:t>
      </w:r>
      <w:r w:rsidRPr="00A75DF9">
        <w:rPr>
          <w:rFonts w:ascii="Tahoma" w:hAnsi="Tahoma" w:cs="Tahoma"/>
          <w:sz w:val="18"/>
          <w:szCs w:val="18"/>
        </w:rPr>
        <w:t>Indica che il software è offerto come prodotto del Programma Industry Device.</w:t>
      </w:r>
    </w:p>
    <w:p w:rsidR="00023FE7" w:rsidRPr="00A75DF9" w:rsidRDefault="00023FE7">
      <w:pPr>
        <w:pStyle w:val="Bodywithspace"/>
        <w:spacing w:before="0" w:after="0" w:line="276" w:lineRule="auto"/>
        <w:ind w:right="-180"/>
        <w:rPr>
          <w:rFonts w:ascii="Tahoma" w:hAnsi="Tahoma" w:cs="Tahoma"/>
        </w:rPr>
      </w:pPr>
      <w:r w:rsidRPr="00A75DF9">
        <w:rPr>
          <w:rStyle w:val="BodyChar"/>
          <w:rFonts w:ascii="Tahoma" w:hAnsi="Tahoma" w:cs="Tahoma"/>
          <w:b/>
          <w:sz w:val="18"/>
          <w:szCs w:val="18"/>
        </w:rPr>
        <w:t>DT =</w:t>
      </w:r>
      <w:r w:rsidRPr="00A75DF9">
        <w:rPr>
          <w:rFonts w:ascii="Tahoma" w:hAnsi="Tahoma" w:cs="Tahoma"/>
          <w:sz w:val="18"/>
          <w:szCs w:val="18"/>
        </w:rPr>
        <w:t xml:space="preserve"> Vantaggi di Software Assurance per le Offerte di Desktop. </w:t>
      </w:r>
    </w:p>
    <w:p w:rsidR="00F90F21" w:rsidRPr="00A75DF9" w:rsidRDefault="009055B7">
      <w:pPr>
        <w:pStyle w:val="Bodywithspace"/>
        <w:spacing w:before="0" w:after="0" w:line="276" w:lineRule="auto"/>
        <w:ind w:right="-180"/>
        <w:rPr>
          <w:rFonts w:ascii="Tahoma" w:hAnsi="Tahoma" w:cs="Tahoma"/>
        </w:rPr>
      </w:pPr>
      <w:r w:rsidRPr="00A75DF9">
        <w:rPr>
          <w:rFonts w:ascii="Tahoma" w:hAnsi="Tahoma" w:cs="Tahoma"/>
          <w:b/>
          <w:color w:val="000000"/>
          <w:sz w:val="18"/>
          <w:szCs w:val="22"/>
        </w:rPr>
        <w:t>E</w:t>
      </w:r>
      <w:r w:rsidRPr="00A75DF9">
        <w:rPr>
          <w:rFonts w:ascii="Tahoma" w:hAnsi="Tahoma" w:cs="Tahoma"/>
          <w:color w:val="000000"/>
          <w:sz w:val="18"/>
          <w:szCs w:val="22"/>
        </w:rPr>
        <w:t xml:space="preserve"> = Indica che il prodotto è offerto come prodotto enterprise o della piattaforma desktop.</w:t>
      </w:r>
    </w:p>
    <w:p w:rsidR="00B23BE6" w:rsidRPr="00A75DF9" w:rsidRDefault="00B23BE6" w:rsidP="00B23BE6">
      <w:pPr>
        <w:spacing w:line="276" w:lineRule="auto"/>
        <w:ind w:left="720" w:right="-180"/>
        <w:rPr>
          <w:rFonts w:cs="Tahoma"/>
        </w:rPr>
      </w:pPr>
      <w:r w:rsidRPr="00A75DF9">
        <w:rPr>
          <w:rFonts w:cs="Tahoma"/>
          <w:b/>
          <w:color w:val="000000"/>
        </w:rPr>
        <w:t>EOLS =</w:t>
      </w:r>
      <w:r w:rsidRPr="00A75DF9">
        <w:rPr>
          <w:rFonts w:cs="Tahoma"/>
          <w:color w:val="000000"/>
        </w:rPr>
        <w:t xml:space="preserve"> Indica che il prodotto è offerto come servizio online enterprise o servizio online della piattaforma.</w:t>
      </w:r>
    </w:p>
    <w:p w:rsidR="00E97819" w:rsidRPr="00A75DF9" w:rsidRDefault="00E97819" w:rsidP="00A75DF9">
      <w:pPr>
        <w:pStyle w:val="Bodywithspace"/>
        <w:spacing w:before="0" w:after="0" w:line="276" w:lineRule="auto"/>
        <w:ind w:right="-180"/>
        <w:rPr>
          <w:rFonts w:ascii="Tahoma" w:hAnsi="Tahoma" w:cs="Tahoma"/>
        </w:rPr>
      </w:pPr>
      <w:r w:rsidRPr="00A75DF9">
        <w:rPr>
          <w:rFonts w:ascii="Tahoma" w:hAnsi="Tahoma" w:cs="Tahoma"/>
          <w:b/>
          <w:color w:val="000000"/>
          <w:sz w:val="18"/>
          <w:szCs w:val="22"/>
        </w:rPr>
        <w:t xml:space="preserve">ST = </w:t>
      </w:r>
      <w:r w:rsidRPr="00A75DF9">
        <w:rPr>
          <w:rFonts w:ascii="Tahoma" w:hAnsi="Tahoma" w:cs="Tahoma"/>
          <w:color w:val="000000"/>
          <w:sz w:val="18"/>
          <w:szCs w:val="22"/>
        </w:rPr>
        <w:t>Indica che il software è offerto come Offerta Studente e deve essere ordinato per l</w:t>
      </w:r>
      <w:r w:rsidR="00F2643E">
        <w:rPr>
          <w:rFonts w:ascii="Tahoma" w:hAnsi="Tahoma" w:cs="Tahoma"/>
          <w:color w:val="000000"/>
          <w:sz w:val="18"/>
          <w:szCs w:val="22"/>
        </w:rPr>
        <w:t>’</w:t>
      </w:r>
      <w:r w:rsidRPr="00A75DF9">
        <w:rPr>
          <w:rFonts w:ascii="Tahoma" w:hAnsi="Tahoma" w:cs="Tahoma"/>
          <w:color w:val="000000"/>
          <w:sz w:val="18"/>
          <w:szCs w:val="22"/>
        </w:rPr>
        <w:t>intero Numero degli</w:t>
      </w:r>
      <w:r w:rsidR="00A75DF9" w:rsidRPr="00A75DF9">
        <w:rPr>
          <w:rFonts w:ascii="Tahoma" w:hAnsi="Tahoma" w:cs="Tahoma"/>
          <w:color w:val="000000"/>
          <w:sz w:val="18"/>
          <w:szCs w:val="22"/>
        </w:rPr>
        <w:t> </w:t>
      </w:r>
      <w:r w:rsidRPr="00A75DF9">
        <w:rPr>
          <w:rFonts w:ascii="Tahoma" w:hAnsi="Tahoma" w:cs="Tahoma"/>
          <w:color w:val="000000"/>
          <w:sz w:val="18"/>
          <w:szCs w:val="22"/>
        </w:rPr>
        <w:t>Studenti.</w:t>
      </w:r>
    </w:p>
    <w:p w:rsidR="00023FE7" w:rsidRPr="00A75DF9" w:rsidRDefault="00023FE7">
      <w:pPr>
        <w:pStyle w:val="Bodywithspace"/>
        <w:spacing w:before="0" w:after="0" w:line="276" w:lineRule="auto"/>
        <w:ind w:right="-180"/>
        <w:rPr>
          <w:rFonts w:ascii="Tahoma" w:hAnsi="Tahoma" w:cs="Tahoma"/>
        </w:rPr>
      </w:pPr>
      <w:r w:rsidRPr="00A75DF9">
        <w:rPr>
          <w:rStyle w:val="BodyChar"/>
          <w:rFonts w:ascii="Tahoma" w:hAnsi="Tahoma" w:cs="Tahoma"/>
          <w:b/>
          <w:sz w:val="18"/>
          <w:szCs w:val="18"/>
        </w:rPr>
        <w:t>L (Licenza) =</w:t>
      </w:r>
      <w:r w:rsidRPr="00A75DF9">
        <w:rPr>
          <w:rFonts w:ascii="Tahoma" w:hAnsi="Tahoma" w:cs="Tahoma"/>
          <w:sz w:val="18"/>
          <w:szCs w:val="18"/>
        </w:rPr>
        <w:t xml:space="preserve"> Valore di punti attribuito quando per il software indicato viene offerta una Licenza Standard.</w:t>
      </w:r>
    </w:p>
    <w:p w:rsidR="00023FE7" w:rsidRPr="00A75DF9" w:rsidRDefault="00023FE7">
      <w:pPr>
        <w:pStyle w:val="Bodywithspace"/>
        <w:spacing w:before="0" w:after="0" w:line="276" w:lineRule="auto"/>
        <w:ind w:right="-180"/>
        <w:rPr>
          <w:rFonts w:ascii="Tahoma" w:hAnsi="Tahoma" w:cs="Tahoma"/>
        </w:rPr>
      </w:pPr>
      <w:r w:rsidRPr="00A75DF9">
        <w:rPr>
          <w:rStyle w:val="BodyChar"/>
          <w:rFonts w:ascii="Tahoma" w:hAnsi="Tahoma" w:cs="Tahoma"/>
          <w:b/>
          <w:sz w:val="18"/>
          <w:szCs w:val="18"/>
        </w:rPr>
        <w:t>L&amp;SA (Licenza e Software Assurance) =</w:t>
      </w:r>
      <w:r w:rsidRPr="00A75DF9">
        <w:rPr>
          <w:rFonts w:ascii="Tahoma" w:hAnsi="Tahoma" w:cs="Tahoma"/>
          <w:sz w:val="18"/>
          <w:szCs w:val="18"/>
        </w:rPr>
        <w:t xml:space="preserve"> Valore di punti attribuito quando per il software indicato viene offerta una copertura Licenza e Software Assurance (L&amp;SA).</w:t>
      </w:r>
    </w:p>
    <w:p w:rsidR="00023FE7" w:rsidRPr="00A75DF9" w:rsidRDefault="00023FE7">
      <w:pPr>
        <w:pStyle w:val="Bodywithspace"/>
        <w:spacing w:before="0" w:after="0" w:line="276" w:lineRule="auto"/>
        <w:rPr>
          <w:rFonts w:ascii="Tahoma" w:hAnsi="Tahoma" w:cs="Tahoma"/>
        </w:rPr>
      </w:pPr>
      <w:r w:rsidRPr="00A75DF9">
        <w:rPr>
          <w:rStyle w:val="BodyChar"/>
          <w:rFonts w:ascii="Tahoma" w:hAnsi="Tahoma" w:cs="Tahoma"/>
          <w:b/>
          <w:bCs/>
          <w:color w:val="000000"/>
          <w:sz w:val="18"/>
          <w:szCs w:val="18"/>
        </w:rPr>
        <w:t>OL =</w:t>
      </w:r>
      <w:r w:rsidRPr="00A75DF9">
        <w:rPr>
          <w:rFonts w:ascii="Tahoma" w:hAnsi="Tahoma" w:cs="Tahoma"/>
          <w:color w:val="000000"/>
          <w:sz w:val="18"/>
          <w:szCs w:val="18"/>
        </w:rPr>
        <w:t xml:space="preserve"> Disponibile in Open License.</w:t>
      </w:r>
    </w:p>
    <w:p w:rsidR="001D3F04" w:rsidRPr="00A75DF9" w:rsidRDefault="001D3F04" w:rsidP="00A75DF9">
      <w:pPr>
        <w:pStyle w:val="Bodywithspace"/>
        <w:spacing w:before="0" w:after="0" w:line="276" w:lineRule="auto"/>
        <w:ind w:right="-180"/>
        <w:rPr>
          <w:rFonts w:ascii="Tahoma" w:hAnsi="Tahoma" w:cs="Tahoma"/>
        </w:rPr>
      </w:pPr>
      <w:r w:rsidRPr="00A75DF9">
        <w:rPr>
          <w:rStyle w:val="BodyChar"/>
          <w:rFonts w:ascii="Tahoma" w:hAnsi="Tahoma" w:cs="Tahoma"/>
          <w:b/>
          <w:sz w:val="18"/>
          <w:szCs w:val="18"/>
        </w:rPr>
        <w:t xml:space="preserve">OSB </w:t>
      </w:r>
      <w:r w:rsidRPr="00A75DF9">
        <w:rPr>
          <w:rStyle w:val="BodyChar"/>
          <w:rFonts w:ascii="Tahoma" w:hAnsi="Tahoma" w:cs="Tahoma"/>
          <w:sz w:val="18"/>
          <w:szCs w:val="18"/>
        </w:rPr>
        <w:t>= Vantaggi dei Servizi Online per le società idonee.</w:t>
      </w:r>
      <w:r w:rsidR="009D3B41" w:rsidRPr="00A75DF9">
        <w:rPr>
          <w:rStyle w:val="BodyChar"/>
          <w:rFonts w:ascii="Tahoma" w:hAnsi="Tahoma" w:cs="Tahoma"/>
          <w:sz w:val="18"/>
          <w:szCs w:val="18"/>
        </w:rPr>
        <w:t xml:space="preserve"> </w:t>
      </w:r>
      <w:r w:rsidRPr="00A75DF9">
        <w:rPr>
          <w:rFonts w:ascii="Tahoma" w:hAnsi="Tahoma" w:cs="Tahoma"/>
          <w:sz w:val="18"/>
          <w:szCs w:val="18"/>
        </w:rPr>
        <w:t>I prodotti idonei per i vantaggi dei Servizi Online possono essere presenti in più di una tabella di pool di prodotti</w:t>
      </w:r>
      <w:r w:rsidR="009D3B41" w:rsidRPr="00A75DF9">
        <w:rPr>
          <w:rFonts w:ascii="Tahoma" w:hAnsi="Tahoma" w:cs="Tahoma"/>
          <w:sz w:val="18"/>
          <w:szCs w:val="18"/>
        </w:rPr>
        <w:t xml:space="preserve"> </w:t>
      </w:r>
      <w:r w:rsidRPr="00A75DF9">
        <w:rPr>
          <w:rFonts w:ascii="Tahoma" w:hAnsi="Tahoma" w:cs="Tahoma"/>
          <w:sz w:val="18"/>
          <w:szCs w:val="18"/>
        </w:rPr>
        <w:t>al solo scopo di evidenziare che tali offerte possono essere idonee per vantaggi di software assurance associati a più di un pool di prodotti e che non è</w:t>
      </w:r>
      <w:r w:rsidR="00A75DF9" w:rsidRPr="00A75DF9">
        <w:rPr>
          <w:rFonts w:ascii="Tahoma" w:hAnsi="Tahoma" w:cs="Tahoma"/>
          <w:sz w:val="18"/>
          <w:szCs w:val="18"/>
        </w:rPr>
        <w:t> </w:t>
      </w:r>
      <w:r w:rsidRPr="00A75DF9">
        <w:rPr>
          <w:rFonts w:ascii="Tahoma" w:hAnsi="Tahoma" w:cs="Tahoma"/>
          <w:sz w:val="18"/>
          <w:szCs w:val="18"/>
        </w:rPr>
        <w:t>necessario scegliere tra i vantaggi di diversi pool.</w:t>
      </w:r>
    </w:p>
    <w:p w:rsidR="00023FE7" w:rsidRPr="00A75DF9" w:rsidRDefault="00023FE7">
      <w:pPr>
        <w:pStyle w:val="Bodywithspace"/>
        <w:spacing w:before="0" w:after="0" w:line="276" w:lineRule="auto"/>
        <w:rPr>
          <w:rFonts w:ascii="Tahoma" w:hAnsi="Tahoma" w:cs="Tahoma"/>
        </w:rPr>
      </w:pPr>
      <w:r w:rsidRPr="00A75DF9">
        <w:rPr>
          <w:rStyle w:val="BodyChar"/>
          <w:rFonts w:ascii="Tahoma" w:hAnsi="Tahoma" w:cs="Tahoma"/>
          <w:b/>
          <w:bCs/>
          <w:color w:val="000000"/>
          <w:sz w:val="18"/>
          <w:szCs w:val="18"/>
        </w:rPr>
        <w:lastRenderedPageBreak/>
        <w:t xml:space="preserve">OL/SA = </w:t>
      </w:r>
      <w:r w:rsidRPr="00A75DF9">
        <w:rPr>
          <w:rStyle w:val="BodyChar"/>
          <w:rFonts w:ascii="Tahoma" w:hAnsi="Tahoma" w:cs="Tahoma"/>
          <w:color w:val="000000"/>
          <w:sz w:val="18"/>
          <w:szCs w:val="18"/>
        </w:rPr>
        <w:t>Disponibile esclusivamente in Open License per L&amp;SA e SA.</w:t>
      </w:r>
    </w:p>
    <w:p w:rsidR="00023FE7" w:rsidRPr="00A75DF9" w:rsidRDefault="00023FE7">
      <w:pPr>
        <w:pStyle w:val="Bodywithspace"/>
        <w:spacing w:before="0" w:after="0" w:line="276" w:lineRule="auto"/>
        <w:rPr>
          <w:rFonts w:ascii="Tahoma" w:hAnsi="Tahoma" w:cs="Tahoma"/>
        </w:rPr>
      </w:pPr>
      <w:r w:rsidRPr="00A75DF9">
        <w:rPr>
          <w:rStyle w:val="BodyChar"/>
          <w:rFonts w:ascii="Tahoma" w:hAnsi="Tahoma" w:cs="Tahoma"/>
          <w:b/>
          <w:bCs/>
          <w:color w:val="000000"/>
          <w:sz w:val="18"/>
          <w:szCs w:val="18"/>
        </w:rPr>
        <w:t xml:space="preserve">OSP = </w:t>
      </w:r>
      <w:r w:rsidRPr="00A75DF9">
        <w:rPr>
          <w:rStyle w:val="BodyChar"/>
          <w:rFonts w:ascii="Tahoma" w:hAnsi="Tahoma" w:cs="Tahoma"/>
          <w:bCs/>
          <w:color w:val="000000"/>
          <w:sz w:val="18"/>
          <w:szCs w:val="18"/>
        </w:rPr>
        <w:t>Disponibile nel programma Online Subscription.</w:t>
      </w:r>
    </w:p>
    <w:p w:rsidR="00023FE7" w:rsidRPr="00A75DF9" w:rsidRDefault="00023FE7">
      <w:pPr>
        <w:pStyle w:val="Bodywithspace"/>
        <w:spacing w:before="0" w:after="0" w:line="276" w:lineRule="auto"/>
        <w:rPr>
          <w:rFonts w:ascii="Tahoma" w:hAnsi="Tahoma" w:cs="Tahoma"/>
        </w:rPr>
      </w:pPr>
      <w:r w:rsidRPr="00A75DF9">
        <w:rPr>
          <w:rStyle w:val="BodyChar"/>
          <w:rFonts w:ascii="Tahoma" w:hAnsi="Tahoma" w:cs="Tahoma"/>
          <w:b/>
          <w:bCs/>
          <w:color w:val="000000"/>
          <w:sz w:val="18"/>
          <w:szCs w:val="18"/>
        </w:rPr>
        <w:t>OV/OVS =</w:t>
      </w:r>
      <w:r w:rsidRPr="00A75DF9">
        <w:rPr>
          <w:rFonts w:ascii="Tahoma" w:hAnsi="Tahoma" w:cs="Tahoma"/>
          <w:color w:val="000000"/>
          <w:sz w:val="18"/>
          <w:szCs w:val="18"/>
        </w:rPr>
        <w:t xml:space="preserve"> Disponibile nei programmi Open Value e Open Value Subscription.</w:t>
      </w:r>
    </w:p>
    <w:p w:rsidR="00023FE7" w:rsidRPr="00A75DF9" w:rsidRDefault="00023FE7">
      <w:pPr>
        <w:pStyle w:val="Bodywithspace"/>
        <w:spacing w:before="0" w:after="0" w:line="276" w:lineRule="auto"/>
        <w:ind w:right="-180"/>
        <w:rPr>
          <w:rFonts w:ascii="Tahoma" w:hAnsi="Tahoma" w:cs="Tahoma"/>
        </w:rPr>
      </w:pPr>
      <w:r w:rsidRPr="00A75DF9">
        <w:rPr>
          <w:rStyle w:val="BodyChar"/>
          <w:rFonts w:ascii="Tahoma" w:hAnsi="Tahoma" w:cs="Tahoma"/>
          <w:b/>
          <w:sz w:val="18"/>
          <w:szCs w:val="18"/>
        </w:rPr>
        <w:t>P =</w:t>
      </w:r>
      <w:r w:rsidRPr="00A75DF9">
        <w:rPr>
          <w:rFonts w:ascii="Tahoma" w:hAnsi="Tahoma" w:cs="Tahoma"/>
          <w:sz w:val="18"/>
          <w:szCs w:val="18"/>
        </w:rPr>
        <w:t xml:space="preserve"> Indica il software offerto in un programma Open Value non a livello aziendale. </w:t>
      </w:r>
    </w:p>
    <w:p w:rsidR="009F5F37" w:rsidRPr="00A75DF9" w:rsidRDefault="009F5F37">
      <w:pPr>
        <w:pStyle w:val="Bodywithspace"/>
        <w:spacing w:before="0" w:after="0" w:line="276" w:lineRule="auto"/>
        <w:rPr>
          <w:rFonts w:ascii="Tahoma" w:hAnsi="Tahoma" w:cs="Tahoma"/>
        </w:rPr>
      </w:pPr>
      <w:r w:rsidRPr="00A75DF9">
        <w:rPr>
          <w:rStyle w:val="BodyChar"/>
          <w:rFonts w:ascii="Tahoma" w:hAnsi="Tahoma" w:cs="Tahoma"/>
          <w:b/>
          <w:sz w:val="18"/>
          <w:szCs w:val="18"/>
        </w:rPr>
        <w:t xml:space="preserve">S = </w:t>
      </w:r>
      <w:r w:rsidRPr="00A75DF9">
        <w:rPr>
          <w:rFonts w:ascii="Tahoma" w:hAnsi="Tahoma" w:cs="Tahoma"/>
          <w:sz w:val="18"/>
          <w:szCs w:val="18"/>
        </w:rPr>
        <w:t>Indica che il software è offerto come prodotto della piattaforma applicativa.</w:t>
      </w:r>
    </w:p>
    <w:p w:rsidR="00023FE7" w:rsidRPr="00A75DF9" w:rsidRDefault="00023FE7">
      <w:pPr>
        <w:pStyle w:val="Bodywithspace"/>
        <w:spacing w:before="0" w:after="0" w:line="276" w:lineRule="auto"/>
        <w:rPr>
          <w:rFonts w:ascii="Tahoma" w:hAnsi="Tahoma" w:cs="Tahoma"/>
        </w:rPr>
      </w:pPr>
      <w:r w:rsidRPr="00A75DF9">
        <w:rPr>
          <w:rStyle w:val="BodyChar"/>
          <w:rFonts w:ascii="Tahoma" w:hAnsi="Tahoma" w:cs="Tahoma"/>
          <w:b/>
          <w:sz w:val="18"/>
          <w:szCs w:val="18"/>
        </w:rPr>
        <w:t>SA (Software Assurance) =</w:t>
      </w:r>
      <w:r w:rsidRPr="00A75DF9">
        <w:rPr>
          <w:rFonts w:ascii="Tahoma" w:hAnsi="Tahoma" w:cs="Tahoma"/>
          <w:sz w:val="18"/>
          <w:szCs w:val="18"/>
        </w:rPr>
        <w:t xml:space="preserve"> Valore di punti attribuito quando per il software indicato viene offerta la copertura Software Assurance. </w:t>
      </w:r>
    </w:p>
    <w:p w:rsidR="00023FE7" w:rsidRPr="00A75DF9" w:rsidRDefault="00023FE7">
      <w:pPr>
        <w:pStyle w:val="Bodywithspace"/>
        <w:spacing w:before="0" w:after="0" w:line="276" w:lineRule="auto"/>
        <w:ind w:right="-180"/>
        <w:rPr>
          <w:rFonts w:ascii="Tahoma" w:hAnsi="Tahoma" w:cs="Tahoma"/>
        </w:rPr>
      </w:pPr>
      <w:r w:rsidRPr="00A75DF9">
        <w:rPr>
          <w:rStyle w:val="BodyChar"/>
          <w:rFonts w:ascii="Tahoma" w:hAnsi="Tahoma" w:cs="Tahoma"/>
          <w:b/>
          <w:sz w:val="18"/>
          <w:szCs w:val="18"/>
        </w:rPr>
        <w:t>SRV =</w:t>
      </w:r>
      <w:r w:rsidRPr="00A75DF9">
        <w:rPr>
          <w:rFonts w:ascii="Tahoma" w:hAnsi="Tahoma" w:cs="Tahoma"/>
          <w:sz w:val="18"/>
          <w:szCs w:val="18"/>
        </w:rPr>
        <w:t xml:space="preserve"> Vantaggi di Software Assurance per le Offerte di Pool di Server. </w:t>
      </w:r>
    </w:p>
    <w:p w:rsidR="00023FE7" w:rsidRPr="00A75DF9" w:rsidRDefault="00023FE7">
      <w:pPr>
        <w:pStyle w:val="Bodywithspace"/>
        <w:tabs>
          <w:tab w:val="left" w:pos="9360"/>
        </w:tabs>
        <w:spacing w:before="0" w:after="0" w:line="276" w:lineRule="auto"/>
        <w:ind w:right="-180"/>
        <w:rPr>
          <w:rFonts w:ascii="Tahoma" w:hAnsi="Tahoma" w:cs="Tahoma"/>
        </w:rPr>
      </w:pPr>
      <w:r w:rsidRPr="00A75DF9">
        <w:rPr>
          <w:rStyle w:val="BodyChar"/>
          <w:rFonts w:ascii="Tahoma" w:hAnsi="Tahoma" w:cs="Tahoma"/>
          <w:b/>
          <w:sz w:val="18"/>
          <w:szCs w:val="18"/>
        </w:rPr>
        <w:t>U (Licenza di Aggiornamento) =</w:t>
      </w:r>
      <w:r w:rsidRPr="00A75DF9">
        <w:rPr>
          <w:rFonts w:ascii="Tahoma" w:hAnsi="Tahoma" w:cs="Tahoma"/>
          <w:sz w:val="18"/>
          <w:szCs w:val="18"/>
        </w:rPr>
        <w:t xml:space="preserve"> Valore di punti attribuito quando per il software indicato viene offerto un aggiornamento.</w:t>
      </w:r>
    </w:p>
    <w:p w:rsidR="00023FE7" w:rsidRPr="00A75DF9" w:rsidRDefault="00023FE7">
      <w:pPr>
        <w:pStyle w:val="Bodywithspace"/>
        <w:spacing w:before="0" w:after="0" w:line="276" w:lineRule="auto"/>
        <w:ind w:right="-180"/>
        <w:rPr>
          <w:rFonts w:ascii="Tahoma" w:hAnsi="Tahoma" w:cs="Tahoma"/>
        </w:rPr>
      </w:pPr>
      <w:r w:rsidRPr="00A75DF9">
        <w:rPr>
          <w:rStyle w:val="BodyChar"/>
          <w:rFonts w:ascii="Tahoma" w:hAnsi="Tahoma" w:cs="Tahoma"/>
          <w:b/>
          <w:sz w:val="18"/>
          <w:szCs w:val="18"/>
        </w:rPr>
        <w:t>U &amp; SA (Aggiornamento &amp; Software Assurance)</w:t>
      </w:r>
      <w:r w:rsidRPr="00A75DF9">
        <w:rPr>
          <w:rFonts w:ascii="Tahoma" w:hAnsi="Tahoma" w:cs="Tahoma"/>
          <w:sz w:val="18"/>
          <w:szCs w:val="18"/>
        </w:rPr>
        <w:t xml:space="preserve"> = Valore di punti attribuito quando per il software indicato viene offerto il programma Aggiornamento e Software Assurance.</w:t>
      </w:r>
    </w:p>
    <w:p w:rsidR="00023FE7" w:rsidRPr="00A75DF9" w:rsidRDefault="00023FE7" w:rsidP="00A75DF9">
      <w:pPr>
        <w:pStyle w:val="Heading1"/>
        <w:spacing w:before="0"/>
        <w:rPr>
          <w:rFonts w:cs="Tahoma"/>
        </w:rPr>
      </w:pPr>
      <w:r w:rsidRPr="00A75DF9">
        <w:rPr>
          <w:rFonts w:cs="Tahoma"/>
        </w:rPr>
        <w:br w:type="page"/>
      </w:r>
      <w:bookmarkStart w:id="10" w:name="_Toc336337841"/>
      <w:bookmarkStart w:id="11" w:name="_Toc368309844"/>
      <w:r w:rsidRPr="00A75DF9">
        <w:rPr>
          <w:rFonts w:cs="Tahoma"/>
        </w:rPr>
        <w:lastRenderedPageBreak/>
        <w:t>LISTA DEI ProdottI</w:t>
      </w:r>
      <w:bookmarkEnd w:id="10"/>
      <w:bookmarkEnd w:id="11"/>
    </w:p>
    <w:p w:rsidR="000E5145" w:rsidRPr="00A75DF9" w:rsidRDefault="000E5145" w:rsidP="004E292A">
      <w:pPr>
        <w:pStyle w:val="Heading3"/>
        <w:rPr>
          <w:rFonts w:ascii="Tahoma" w:hAnsi="Tahoma" w:cs="Tahoma"/>
          <w:b w:val="0"/>
          <w:bCs/>
          <w:sz w:val="18"/>
          <w:szCs w:val="18"/>
        </w:rPr>
      </w:pPr>
      <w:bookmarkStart w:id="12" w:name="_Toc300391149"/>
      <w:bookmarkStart w:id="13" w:name="_Toc312398873"/>
      <w:bookmarkStart w:id="14" w:name="_Toc336337842"/>
    </w:p>
    <w:p w:rsidR="00F70479" w:rsidRPr="00A75DF9" w:rsidRDefault="00F70479" w:rsidP="00F70479">
      <w:pPr>
        <w:rPr>
          <w:rFonts w:cs="Tahoma"/>
        </w:rPr>
      </w:pPr>
    </w:p>
    <w:p w:rsidR="00023FE7" w:rsidRPr="00A75DF9" w:rsidRDefault="00023FE7" w:rsidP="004E292A">
      <w:pPr>
        <w:pStyle w:val="Heading3"/>
        <w:rPr>
          <w:rFonts w:ascii="Tahoma" w:hAnsi="Tahoma" w:cs="Tahoma"/>
        </w:rPr>
      </w:pPr>
      <w:bookmarkStart w:id="15" w:name="_Toc368309845"/>
      <w:r w:rsidRPr="00A75DF9">
        <w:rPr>
          <w:rFonts w:ascii="Tahoma" w:hAnsi="Tahoma" w:cs="Tahoma"/>
          <w:sz w:val="22"/>
          <w:szCs w:val="22"/>
        </w:rPr>
        <w:t>POOL DI APPLICAZIONI</w:t>
      </w:r>
      <w:bookmarkEnd w:id="12"/>
      <w:bookmarkEnd w:id="13"/>
      <w:bookmarkEnd w:id="14"/>
      <w:bookmarkEnd w:id="15"/>
    </w:p>
    <w:p w:rsidR="006949F0" w:rsidRPr="00A75DF9" w:rsidRDefault="006949F0" w:rsidP="006949F0">
      <w:pPr>
        <w:rPr>
          <w:rFonts w:cs="Tahoma"/>
        </w:rPr>
      </w:pPr>
    </w:p>
    <w:tbl>
      <w:tblPr>
        <w:tblW w:w="10531" w:type="dxa"/>
        <w:tblInd w:w="-2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34"/>
        <w:gridCol w:w="427"/>
        <w:gridCol w:w="427"/>
        <w:gridCol w:w="429"/>
        <w:gridCol w:w="429"/>
        <w:gridCol w:w="429"/>
        <w:gridCol w:w="429"/>
        <w:gridCol w:w="429"/>
        <w:gridCol w:w="429"/>
        <w:gridCol w:w="429"/>
        <w:gridCol w:w="429"/>
        <w:gridCol w:w="405"/>
        <w:gridCol w:w="288"/>
        <w:gridCol w:w="315"/>
        <w:gridCol w:w="477"/>
        <w:gridCol w:w="396"/>
        <w:gridCol w:w="378"/>
        <w:gridCol w:w="702"/>
        <w:gridCol w:w="650"/>
      </w:tblGrid>
      <w:tr w:rsidR="00A75DF9" w:rsidRPr="00A75DF9" w:rsidTr="00337A7D">
        <w:trPr>
          <w:cantSplit/>
          <w:trHeight w:val="872"/>
          <w:tblHeader/>
        </w:trPr>
        <w:tc>
          <w:tcPr>
            <w:tcW w:w="2634" w:type="dxa"/>
            <w:tcBorders>
              <w:top w:val="single" w:sz="4" w:space="0" w:color="FFFFFF"/>
              <w:left w:val="nil"/>
              <w:bottom w:val="nil"/>
            </w:tcBorders>
          </w:tcPr>
          <w:p w:rsidR="00B27742" w:rsidRPr="00A75DF9" w:rsidRDefault="00B27742">
            <w:pPr>
              <w:widowControl w:val="0"/>
              <w:ind w:left="-360"/>
              <w:rPr>
                <w:rFonts w:cs="Tahoma"/>
              </w:rPr>
            </w:pPr>
          </w:p>
        </w:tc>
        <w:tc>
          <w:tcPr>
            <w:tcW w:w="427" w:type="dxa"/>
            <w:textDirection w:val="btLr"/>
            <w:vAlign w:val="center"/>
          </w:tcPr>
          <w:p w:rsidR="00B27742" w:rsidRPr="00A75DF9" w:rsidRDefault="00B27742" w:rsidP="00EB37F5">
            <w:pPr>
              <w:pStyle w:val="TableVerticalText"/>
              <w:widowControl w:val="0"/>
              <w:rPr>
                <w:rFonts w:ascii="Tahoma" w:hAnsi="Tahoma" w:cs="Tahoma"/>
              </w:rPr>
            </w:pPr>
            <w:r w:rsidRPr="00A75DF9">
              <w:rPr>
                <w:rFonts w:ascii="Tahoma" w:hAnsi="Tahoma" w:cs="Tahoma"/>
              </w:rPr>
              <w:t>Note del Prodotto</w:t>
            </w:r>
          </w:p>
        </w:tc>
        <w:tc>
          <w:tcPr>
            <w:tcW w:w="427" w:type="dxa"/>
            <w:textDirection w:val="btLr"/>
          </w:tcPr>
          <w:p w:rsidR="00B27742" w:rsidRPr="00A75DF9" w:rsidRDefault="00B27742">
            <w:pPr>
              <w:pStyle w:val="TableVerticalText"/>
              <w:widowControl w:val="0"/>
              <w:rPr>
                <w:rFonts w:ascii="Tahoma" w:hAnsi="Tahoma" w:cs="Tahoma"/>
              </w:rPr>
            </w:pPr>
            <w:r w:rsidRPr="00A75DF9">
              <w:rPr>
                <w:rFonts w:ascii="Tahoma" w:hAnsi="Tahoma" w:cs="Tahoma"/>
              </w:rPr>
              <w:t>Data Disponibilità</w:t>
            </w:r>
          </w:p>
        </w:tc>
        <w:tc>
          <w:tcPr>
            <w:tcW w:w="429" w:type="dxa"/>
            <w:tcBorders>
              <w:right w:val="single" w:sz="18" w:space="0" w:color="auto"/>
            </w:tcBorders>
            <w:textDirection w:val="btLr"/>
            <w:vAlign w:val="center"/>
          </w:tcPr>
          <w:p w:rsidR="00B27742" w:rsidRPr="00A75DF9" w:rsidRDefault="00B27742">
            <w:pPr>
              <w:pStyle w:val="TableVerticalText"/>
              <w:widowControl w:val="0"/>
              <w:rPr>
                <w:rFonts w:ascii="Tahoma" w:hAnsi="Tahoma" w:cs="Tahoma"/>
              </w:rPr>
            </w:pPr>
            <w:r w:rsidRPr="00A75DF9">
              <w:rPr>
                <w:rFonts w:ascii="Tahoma" w:hAnsi="Tahoma" w:cs="Tahoma"/>
              </w:rPr>
              <w:t>SAB</w:t>
            </w:r>
          </w:p>
        </w:tc>
        <w:tc>
          <w:tcPr>
            <w:tcW w:w="3003" w:type="dxa"/>
            <w:gridSpan w:val="7"/>
            <w:tcBorders>
              <w:left w:val="single" w:sz="18" w:space="0" w:color="auto"/>
              <w:right w:val="single" w:sz="18" w:space="0" w:color="auto"/>
            </w:tcBorders>
            <w:vAlign w:val="center"/>
          </w:tcPr>
          <w:p w:rsidR="00B27742" w:rsidRPr="00A75DF9" w:rsidRDefault="00B27742">
            <w:pPr>
              <w:pStyle w:val="TableHeadingsBlack"/>
              <w:widowControl w:val="0"/>
              <w:rPr>
                <w:rFonts w:ascii="Tahoma" w:hAnsi="Tahoma" w:cs="Tahoma"/>
              </w:rPr>
            </w:pPr>
            <w:r w:rsidRPr="00A75DF9">
              <w:rPr>
                <w:rFonts w:ascii="Tahoma" w:hAnsi="Tahoma" w:cs="Tahoma"/>
              </w:rPr>
              <w:t>Select / Select Plus*</w:t>
            </w:r>
          </w:p>
        </w:tc>
        <w:tc>
          <w:tcPr>
            <w:tcW w:w="1008" w:type="dxa"/>
            <w:gridSpan w:val="3"/>
            <w:tcBorders>
              <w:left w:val="single" w:sz="18" w:space="0" w:color="auto"/>
              <w:right w:val="single" w:sz="18" w:space="0" w:color="auto"/>
            </w:tcBorders>
            <w:vAlign w:val="center"/>
          </w:tcPr>
          <w:p w:rsidR="00B27742" w:rsidRPr="00A75DF9" w:rsidRDefault="00B27742">
            <w:pPr>
              <w:pStyle w:val="TableHeadingsBlack"/>
              <w:widowControl w:val="0"/>
              <w:rPr>
                <w:rFonts w:ascii="Tahoma" w:hAnsi="Tahoma" w:cs="Tahoma"/>
              </w:rPr>
            </w:pPr>
            <w:r w:rsidRPr="00A75DF9">
              <w:rPr>
                <w:rFonts w:ascii="Tahoma" w:hAnsi="Tahoma" w:cs="Tahoma"/>
              </w:rPr>
              <w:t>Licenza Open</w:t>
            </w:r>
          </w:p>
        </w:tc>
        <w:tc>
          <w:tcPr>
            <w:tcW w:w="477" w:type="dxa"/>
            <w:tcBorders>
              <w:left w:val="single" w:sz="18" w:space="0" w:color="auto"/>
            </w:tcBorders>
            <w:textDirection w:val="btLr"/>
            <w:vAlign w:val="center"/>
          </w:tcPr>
          <w:p w:rsidR="00B27742" w:rsidRPr="00A75DF9" w:rsidRDefault="00B27742">
            <w:pPr>
              <w:pStyle w:val="TableVerticalText"/>
              <w:widowControl w:val="0"/>
              <w:rPr>
                <w:rFonts w:ascii="Tahoma" w:hAnsi="Tahoma" w:cs="Tahoma"/>
              </w:rPr>
            </w:pPr>
            <w:r w:rsidRPr="00A75DF9">
              <w:rPr>
                <w:rFonts w:ascii="Tahoma" w:hAnsi="Tahoma" w:cs="Tahoma"/>
              </w:rPr>
              <w:t>Unità Campus/</w:t>
            </w:r>
            <w:r w:rsidR="00337A7D">
              <w:rPr>
                <w:rFonts w:ascii="Tahoma" w:hAnsi="Tahoma" w:cs="Tahoma"/>
              </w:rPr>
              <w:br/>
            </w:r>
            <w:r w:rsidRPr="00A75DF9">
              <w:rPr>
                <w:rFonts w:ascii="Tahoma" w:hAnsi="Tahoma" w:cs="Tahoma"/>
              </w:rPr>
              <w:t>School</w:t>
            </w:r>
          </w:p>
        </w:tc>
        <w:tc>
          <w:tcPr>
            <w:tcW w:w="396" w:type="dxa"/>
            <w:tcBorders>
              <w:right w:val="single" w:sz="18" w:space="0" w:color="auto"/>
            </w:tcBorders>
            <w:textDirection w:val="btLr"/>
            <w:vAlign w:val="center"/>
          </w:tcPr>
          <w:p w:rsidR="00B27742" w:rsidRPr="00A75DF9" w:rsidRDefault="00B27742">
            <w:pPr>
              <w:pStyle w:val="TableVerticalText"/>
              <w:widowControl w:val="0"/>
              <w:rPr>
                <w:rFonts w:ascii="Tahoma" w:hAnsi="Tahoma" w:cs="Tahoma"/>
              </w:rPr>
            </w:pPr>
            <w:r w:rsidRPr="00A75DF9">
              <w:rPr>
                <w:rFonts w:ascii="Tahoma" w:hAnsi="Tahoma" w:cs="Tahoma"/>
              </w:rPr>
              <w:t>EA ed EA Sub</w:t>
            </w:r>
          </w:p>
        </w:tc>
        <w:tc>
          <w:tcPr>
            <w:tcW w:w="378" w:type="dxa"/>
            <w:tcBorders>
              <w:left w:val="single" w:sz="18" w:space="0" w:color="auto"/>
              <w:right w:val="single" w:sz="18" w:space="0" w:color="auto"/>
            </w:tcBorders>
            <w:textDirection w:val="btLr"/>
            <w:vAlign w:val="center"/>
          </w:tcPr>
          <w:p w:rsidR="00B27742" w:rsidRPr="00A75DF9" w:rsidRDefault="00B27742">
            <w:pPr>
              <w:pStyle w:val="TableVerticalText"/>
              <w:widowControl w:val="0"/>
              <w:rPr>
                <w:rFonts w:ascii="Tahoma" w:hAnsi="Tahoma" w:cs="Tahoma"/>
              </w:rPr>
            </w:pPr>
            <w:r w:rsidRPr="00A75DF9">
              <w:rPr>
                <w:rFonts w:ascii="Tahoma" w:hAnsi="Tahoma" w:cs="Tahoma"/>
              </w:rPr>
              <w:t>OV / OVS</w:t>
            </w:r>
          </w:p>
        </w:tc>
        <w:tc>
          <w:tcPr>
            <w:tcW w:w="702" w:type="dxa"/>
            <w:textDirection w:val="btLr"/>
          </w:tcPr>
          <w:p w:rsidR="00B27742" w:rsidRPr="00A75DF9" w:rsidRDefault="00B0036E" w:rsidP="00E67091">
            <w:pPr>
              <w:pStyle w:val="TableVerticalText"/>
              <w:widowControl w:val="0"/>
              <w:spacing w:before="120"/>
              <w:rPr>
                <w:rFonts w:ascii="Tahoma" w:hAnsi="Tahoma" w:cs="Tahoma"/>
              </w:rPr>
            </w:pPr>
            <w:r w:rsidRPr="00A75DF9">
              <w:rPr>
                <w:rFonts w:ascii="Tahoma" w:hAnsi="Tahoma" w:cs="Tahoma"/>
              </w:rPr>
              <w:t>EES / OVS -ES</w:t>
            </w:r>
          </w:p>
        </w:tc>
        <w:tc>
          <w:tcPr>
            <w:tcW w:w="650" w:type="dxa"/>
            <w:textDirection w:val="btLr"/>
            <w:vAlign w:val="center"/>
          </w:tcPr>
          <w:p w:rsidR="00B27742" w:rsidRPr="00A75DF9" w:rsidRDefault="00B27742" w:rsidP="00456002">
            <w:pPr>
              <w:pStyle w:val="TableVerticalText"/>
              <w:widowControl w:val="0"/>
              <w:rPr>
                <w:rFonts w:ascii="Tahoma" w:hAnsi="Tahoma" w:cs="Tahoma"/>
              </w:rPr>
            </w:pPr>
            <w:r w:rsidRPr="00A75DF9">
              <w:rPr>
                <w:rFonts w:ascii="Tahoma" w:hAnsi="Tahoma" w:cs="Tahoma"/>
              </w:rPr>
              <w:t>Requisito minimo per i Programmi Open</w:t>
            </w:r>
          </w:p>
        </w:tc>
      </w:tr>
      <w:tr w:rsidR="00A75DF9" w:rsidRPr="00A75DF9" w:rsidTr="00337A7D">
        <w:trPr>
          <w:cantSplit/>
          <w:trHeight w:val="271"/>
          <w:tblHeader/>
        </w:trPr>
        <w:tc>
          <w:tcPr>
            <w:tcW w:w="2634" w:type="dxa"/>
            <w:vMerge w:val="restart"/>
            <w:tcBorders>
              <w:top w:val="nil"/>
              <w:left w:val="nil"/>
            </w:tcBorders>
          </w:tcPr>
          <w:p w:rsidR="00B27742" w:rsidRPr="00A75DF9" w:rsidRDefault="00B27742">
            <w:pPr>
              <w:widowControl w:val="0"/>
              <w:rPr>
                <w:rFonts w:cs="Tahoma"/>
                <w:b/>
              </w:rPr>
            </w:pPr>
          </w:p>
        </w:tc>
        <w:tc>
          <w:tcPr>
            <w:tcW w:w="427" w:type="dxa"/>
            <w:vMerge w:val="restart"/>
          </w:tcPr>
          <w:p w:rsidR="00B27742" w:rsidRPr="00A75DF9" w:rsidRDefault="00B27742">
            <w:pPr>
              <w:keepNext/>
              <w:widowControl w:val="0"/>
              <w:spacing w:before="200" w:after="120"/>
              <w:jc w:val="center"/>
              <w:outlineLvl w:val="0"/>
              <w:rPr>
                <w:rFonts w:cs="Tahoma"/>
                <w:b/>
                <w:color w:val="0000FF"/>
                <w:sz w:val="10"/>
              </w:rPr>
            </w:pPr>
            <w:r w:rsidRPr="00A75DF9">
              <w:rPr>
                <w:rFonts w:cs="Tahoma"/>
                <w:b/>
                <w:color w:val="0000FF"/>
                <w:sz w:val="10"/>
              </w:rPr>
              <w:t>(Ctrl + Clic)</w:t>
            </w:r>
          </w:p>
        </w:tc>
        <w:tc>
          <w:tcPr>
            <w:tcW w:w="427" w:type="dxa"/>
            <w:vMerge w:val="restart"/>
          </w:tcPr>
          <w:p w:rsidR="00B27742" w:rsidRPr="00A75DF9" w:rsidRDefault="00B27742">
            <w:pPr>
              <w:widowControl w:val="0"/>
              <w:rPr>
                <w:rFonts w:cs="Tahoma"/>
              </w:rPr>
            </w:pPr>
          </w:p>
        </w:tc>
        <w:tc>
          <w:tcPr>
            <w:tcW w:w="429" w:type="dxa"/>
            <w:vMerge w:val="restart"/>
            <w:tcBorders>
              <w:right w:val="single" w:sz="18" w:space="0" w:color="auto"/>
            </w:tcBorders>
          </w:tcPr>
          <w:p w:rsidR="00B27742" w:rsidRPr="00A75DF9" w:rsidRDefault="00B27742">
            <w:pPr>
              <w:widowControl w:val="0"/>
              <w:rPr>
                <w:rFonts w:cs="Tahoma"/>
              </w:rPr>
            </w:pPr>
          </w:p>
        </w:tc>
        <w:tc>
          <w:tcPr>
            <w:tcW w:w="429" w:type="dxa"/>
            <w:vMerge w:val="restart"/>
            <w:tcBorders>
              <w:left w:val="single" w:sz="18" w:space="0" w:color="auto"/>
            </w:tcBorders>
            <w:vAlign w:val="center"/>
          </w:tcPr>
          <w:p w:rsidR="00B27742" w:rsidRPr="00A75DF9" w:rsidRDefault="00B27742">
            <w:pPr>
              <w:pStyle w:val="TableHeadingsRed"/>
              <w:widowControl w:val="0"/>
              <w:rPr>
                <w:rFonts w:ascii="Tahoma" w:hAnsi="Tahoma" w:cs="Tahoma"/>
              </w:rPr>
            </w:pPr>
            <w:r w:rsidRPr="00A75DF9">
              <w:rPr>
                <w:rFonts w:ascii="Tahoma" w:hAnsi="Tahoma" w:cs="Tahoma"/>
              </w:rPr>
              <w:t>L</w:t>
            </w:r>
          </w:p>
        </w:tc>
        <w:tc>
          <w:tcPr>
            <w:tcW w:w="1287" w:type="dxa"/>
            <w:gridSpan w:val="3"/>
            <w:vAlign w:val="center"/>
          </w:tcPr>
          <w:p w:rsidR="00B27742" w:rsidRPr="00A75DF9" w:rsidRDefault="00B27742">
            <w:pPr>
              <w:pStyle w:val="TableHeadingsGreen"/>
              <w:widowControl w:val="0"/>
              <w:rPr>
                <w:rFonts w:ascii="Tahoma" w:hAnsi="Tahoma" w:cs="Tahoma"/>
              </w:rPr>
            </w:pPr>
            <w:r w:rsidRPr="00A75DF9">
              <w:rPr>
                <w:rFonts w:ascii="Tahoma" w:hAnsi="Tahoma" w:cs="Tahoma"/>
              </w:rPr>
              <w:t>L&amp;SA</w:t>
            </w:r>
          </w:p>
        </w:tc>
        <w:tc>
          <w:tcPr>
            <w:tcW w:w="1287" w:type="dxa"/>
            <w:gridSpan w:val="3"/>
            <w:tcBorders>
              <w:right w:val="single" w:sz="18" w:space="0" w:color="auto"/>
            </w:tcBorders>
            <w:vAlign w:val="center"/>
          </w:tcPr>
          <w:p w:rsidR="00B27742" w:rsidRPr="00A75DF9" w:rsidRDefault="00B27742">
            <w:pPr>
              <w:pStyle w:val="TableHeadingsBlue"/>
              <w:widowControl w:val="0"/>
              <w:rPr>
                <w:rFonts w:ascii="Tahoma" w:hAnsi="Tahoma" w:cs="Tahoma"/>
              </w:rPr>
            </w:pPr>
            <w:r w:rsidRPr="00A75DF9">
              <w:rPr>
                <w:rFonts w:ascii="Tahoma" w:hAnsi="Tahoma" w:cs="Tahoma"/>
              </w:rPr>
              <w:t>SA</w:t>
            </w:r>
          </w:p>
        </w:tc>
        <w:tc>
          <w:tcPr>
            <w:tcW w:w="405" w:type="dxa"/>
            <w:vMerge w:val="restart"/>
            <w:tcBorders>
              <w:left w:val="single" w:sz="18" w:space="0" w:color="auto"/>
            </w:tcBorders>
            <w:vAlign w:val="center"/>
          </w:tcPr>
          <w:p w:rsidR="00B27742" w:rsidRPr="00A75DF9" w:rsidRDefault="00B27742">
            <w:pPr>
              <w:pStyle w:val="TableHeadingsRed"/>
              <w:widowControl w:val="0"/>
              <w:rPr>
                <w:rFonts w:ascii="Tahoma" w:hAnsi="Tahoma" w:cs="Tahoma"/>
              </w:rPr>
            </w:pPr>
            <w:r w:rsidRPr="00A75DF9">
              <w:rPr>
                <w:rFonts w:ascii="Tahoma" w:hAnsi="Tahoma" w:cs="Tahoma"/>
              </w:rPr>
              <w:t>L</w:t>
            </w:r>
          </w:p>
        </w:tc>
        <w:tc>
          <w:tcPr>
            <w:tcW w:w="288" w:type="dxa"/>
            <w:vAlign w:val="center"/>
          </w:tcPr>
          <w:p w:rsidR="00B27742" w:rsidRPr="00A75DF9" w:rsidRDefault="00B27742">
            <w:pPr>
              <w:pStyle w:val="TableHeadingsGreen"/>
              <w:widowControl w:val="0"/>
              <w:rPr>
                <w:rFonts w:ascii="Tahoma" w:hAnsi="Tahoma" w:cs="Tahoma"/>
              </w:rPr>
            </w:pPr>
            <w:r w:rsidRPr="00A75DF9">
              <w:rPr>
                <w:rFonts w:ascii="Tahoma" w:hAnsi="Tahoma" w:cs="Tahoma"/>
              </w:rPr>
              <w:t>L&amp;SA</w:t>
            </w:r>
          </w:p>
        </w:tc>
        <w:tc>
          <w:tcPr>
            <w:tcW w:w="315" w:type="dxa"/>
            <w:vMerge w:val="restart"/>
            <w:tcBorders>
              <w:right w:val="single" w:sz="18" w:space="0" w:color="auto"/>
            </w:tcBorders>
            <w:vAlign w:val="center"/>
          </w:tcPr>
          <w:p w:rsidR="00B27742" w:rsidRPr="00A75DF9" w:rsidRDefault="00B27742">
            <w:pPr>
              <w:pStyle w:val="TableHeadingsBlue"/>
              <w:widowControl w:val="0"/>
              <w:rPr>
                <w:rFonts w:ascii="Tahoma" w:hAnsi="Tahoma" w:cs="Tahoma"/>
              </w:rPr>
            </w:pPr>
            <w:r w:rsidRPr="00A75DF9">
              <w:rPr>
                <w:rFonts w:ascii="Tahoma" w:hAnsi="Tahoma" w:cs="Tahoma"/>
              </w:rPr>
              <w:t>SA</w:t>
            </w:r>
          </w:p>
        </w:tc>
        <w:tc>
          <w:tcPr>
            <w:tcW w:w="477" w:type="dxa"/>
            <w:vMerge w:val="restart"/>
            <w:tcBorders>
              <w:left w:val="single" w:sz="18" w:space="0" w:color="auto"/>
            </w:tcBorders>
          </w:tcPr>
          <w:p w:rsidR="00B27742" w:rsidRPr="00A75DF9" w:rsidRDefault="00B27742" w:rsidP="00097B90">
            <w:pPr>
              <w:widowControl w:val="0"/>
              <w:rPr>
                <w:rFonts w:cs="Tahoma"/>
              </w:rPr>
            </w:pPr>
          </w:p>
        </w:tc>
        <w:tc>
          <w:tcPr>
            <w:tcW w:w="396" w:type="dxa"/>
            <w:vMerge w:val="restart"/>
            <w:tcBorders>
              <w:right w:val="single" w:sz="18" w:space="0" w:color="auto"/>
            </w:tcBorders>
          </w:tcPr>
          <w:p w:rsidR="00B27742" w:rsidRPr="00A75DF9" w:rsidRDefault="00B27742">
            <w:pPr>
              <w:widowControl w:val="0"/>
              <w:rPr>
                <w:rFonts w:cs="Tahoma"/>
              </w:rPr>
            </w:pPr>
          </w:p>
        </w:tc>
        <w:tc>
          <w:tcPr>
            <w:tcW w:w="378" w:type="dxa"/>
            <w:vMerge w:val="restart"/>
            <w:tcBorders>
              <w:left w:val="single" w:sz="18" w:space="0" w:color="auto"/>
              <w:right w:val="single" w:sz="18" w:space="0" w:color="auto"/>
            </w:tcBorders>
          </w:tcPr>
          <w:p w:rsidR="00B27742" w:rsidRPr="00A75DF9" w:rsidRDefault="00B27742">
            <w:pPr>
              <w:widowControl w:val="0"/>
              <w:rPr>
                <w:rFonts w:cs="Tahoma"/>
              </w:rPr>
            </w:pPr>
          </w:p>
        </w:tc>
        <w:tc>
          <w:tcPr>
            <w:tcW w:w="702" w:type="dxa"/>
            <w:vMerge w:val="restart"/>
          </w:tcPr>
          <w:p w:rsidR="00B27742" w:rsidRPr="00A75DF9" w:rsidRDefault="00B27742">
            <w:pPr>
              <w:widowControl w:val="0"/>
              <w:rPr>
                <w:rFonts w:cs="Tahoma"/>
              </w:rPr>
            </w:pPr>
          </w:p>
        </w:tc>
        <w:tc>
          <w:tcPr>
            <w:tcW w:w="650" w:type="dxa"/>
            <w:vMerge w:val="restart"/>
          </w:tcPr>
          <w:p w:rsidR="00B27742" w:rsidRPr="00A75DF9" w:rsidRDefault="00B27742">
            <w:pPr>
              <w:widowControl w:val="0"/>
              <w:rPr>
                <w:rFonts w:cs="Tahoma"/>
              </w:rPr>
            </w:pPr>
          </w:p>
        </w:tc>
      </w:tr>
      <w:tr w:rsidR="00A75DF9" w:rsidRPr="00A75DF9" w:rsidTr="00337A7D">
        <w:trPr>
          <w:cantSplit/>
          <w:trHeight w:val="262"/>
          <w:tblHeader/>
        </w:trPr>
        <w:tc>
          <w:tcPr>
            <w:tcW w:w="2634" w:type="dxa"/>
            <w:vMerge/>
            <w:tcBorders>
              <w:top w:val="single" w:sz="4" w:space="0" w:color="auto"/>
              <w:left w:val="nil"/>
              <w:bottom w:val="single" w:sz="4" w:space="0" w:color="auto"/>
            </w:tcBorders>
          </w:tcPr>
          <w:p w:rsidR="00B27742" w:rsidRPr="00A75DF9" w:rsidRDefault="00B27742">
            <w:pPr>
              <w:widowControl w:val="0"/>
              <w:rPr>
                <w:rFonts w:cs="Tahoma"/>
              </w:rPr>
            </w:pPr>
          </w:p>
        </w:tc>
        <w:tc>
          <w:tcPr>
            <w:tcW w:w="427" w:type="dxa"/>
            <w:vMerge/>
            <w:tcBorders>
              <w:bottom w:val="single" w:sz="4" w:space="0" w:color="auto"/>
            </w:tcBorders>
          </w:tcPr>
          <w:p w:rsidR="00B27742" w:rsidRPr="00A75DF9" w:rsidRDefault="00B27742">
            <w:pPr>
              <w:keepNext/>
              <w:widowControl w:val="0"/>
              <w:spacing w:before="200" w:after="120"/>
              <w:outlineLvl w:val="0"/>
              <w:rPr>
                <w:rFonts w:cs="Tahoma"/>
                <w:b/>
              </w:rPr>
            </w:pPr>
          </w:p>
        </w:tc>
        <w:tc>
          <w:tcPr>
            <w:tcW w:w="427" w:type="dxa"/>
            <w:vMerge/>
            <w:tcBorders>
              <w:bottom w:val="single" w:sz="4" w:space="0" w:color="auto"/>
            </w:tcBorders>
          </w:tcPr>
          <w:p w:rsidR="00B27742" w:rsidRPr="00A75DF9" w:rsidRDefault="00B27742">
            <w:pPr>
              <w:widowControl w:val="0"/>
              <w:rPr>
                <w:rFonts w:cs="Tahoma"/>
              </w:rPr>
            </w:pPr>
          </w:p>
        </w:tc>
        <w:tc>
          <w:tcPr>
            <w:tcW w:w="429" w:type="dxa"/>
            <w:vMerge/>
            <w:tcBorders>
              <w:bottom w:val="single" w:sz="4" w:space="0" w:color="auto"/>
              <w:right w:val="single" w:sz="18" w:space="0" w:color="auto"/>
            </w:tcBorders>
          </w:tcPr>
          <w:p w:rsidR="00B27742" w:rsidRPr="00A75DF9" w:rsidRDefault="00B27742">
            <w:pPr>
              <w:widowControl w:val="0"/>
              <w:rPr>
                <w:rFonts w:cs="Tahoma"/>
              </w:rPr>
            </w:pPr>
          </w:p>
        </w:tc>
        <w:tc>
          <w:tcPr>
            <w:tcW w:w="429" w:type="dxa"/>
            <w:vMerge/>
            <w:tcBorders>
              <w:left w:val="single" w:sz="18" w:space="0" w:color="auto"/>
              <w:bottom w:val="single" w:sz="4" w:space="0" w:color="auto"/>
            </w:tcBorders>
            <w:vAlign w:val="center"/>
          </w:tcPr>
          <w:p w:rsidR="00B27742" w:rsidRPr="00A75DF9" w:rsidRDefault="00B27742">
            <w:pPr>
              <w:widowControl w:val="0"/>
              <w:jc w:val="center"/>
              <w:rPr>
                <w:rFonts w:cs="Tahoma"/>
              </w:rPr>
            </w:pPr>
          </w:p>
        </w:tc>
        <w:tc>
          <w:tcPr>
            <w:tcW w:w="429" w:type="dxa"/>
            <w:tcBorders>
              <w:bottom w:val="single" w:sz="4" w:space="0" w:color="auto"/>
            </w:tcBorders>
            <w:vAlign w:val="center"/>
          </w:tcPr>
          <w:p w:rsidR="00B27742" w:rsidRPr="00A75DF9" w:rsidRDefault="00B27742">
            <w:pPr>
              <w:pStyle w:val="TableHeadingsGreen"/>
              <w:widowControl w:val="0"/>
              <w:rPr>
                <w:rFonts w:ascii="Tahoma" w:hAnsi="Tahoma" w:cs="Tahoma"/>
              </w:rPr>
            </w:pPr>
            <w:r w:rsidRPr="00A75DF9">
              <w:rPr>
                <w:rFonts w:ascii="Tahoma" w:hAnsi="Tahoma" w:cs="Tahoma"/>
              </w:rPr>
              <w:t>3An</w:t>
            </w:r>
          </w:p>
        </w:tc>
        <w:tc>
          <w:tcPr>
            <w:tcW w:w="429" w:type="dxa"/>
            <w:tcBorders>
              <w:bottom w:val="single" w:sz="4" w:space="0" w:color="auto"/>
            </w:tcBorders>
            <w:vAlign w:val="center"/>
          </w:tcPr>
          <w:p w:rsidR="00B27742" w:rsidRPr="00A75DF9" w:rsidRDefault="00B27742">
            <w:pPr>
              <w:pStyle w:val="TableHeadingsGreen"/>
              <w:widowControl w:val="0"/>
              <w:rPr>
                <w:rFonts w:ascii="Tahoma" w:hAnsi="Tahoma" w:cs="Tahoma"/>
              </w:rPr>
            </w:pPr>
            <w:r w:rsidRPr="00A75DF9">
              <w:rPr>
                <w:rFonts w:ascii="Tahoma" w:hAnsi="Tahoma" w:cs="Tahoma"/>
              </w:rPr>
              <w:t>2An</w:t>
            </w:r>
          </w:p>
        </w:tc>
        <w:tc>
          <w:tcPr>
            <w:tcW w:w="429" w:type="dxa"/>
            <w:tcBorders>
              <w:bottom w:val="single" w:sz="4" w:space="0" w:color="auto"/>
            </w:tcBorders>
            <w:vAlign w:val="center"/>
          </w:tcPr>
          <w:p w:rsidR="00B27742" w:rsidRPr="00A75DF9" w:rsidRDefault="00B27742">
            <w:pPr>
              <w:pStyle w:val="TableHeadingsGreen"/>
              <w:widowControl w:val="0"/>
              <w:rPr>
                <w:rFonts w:ascii="Tahoma" w:hAnsi="Tahoma" w:cs="Tahoma"/>
              </w:rPr>
            </w:pPr>
            <w:r w:rsidRPr="00A75DF9">
              <w:rPr>
                <w:rFonts w:ascii="Tahoma" w:hAnsi="Tahoma" w:cs="Tahoma"/>
              </w:rPr>
              <w:t>1An</w:t>
            </w:r>
          </w:p>
        </w:tc>
        <w:tc>
          <w:tcPr>
            <w:tcW w:w="429" w:type="dxa"/>
            <w:tcBorders>
              <w:bottom w:val="single" w:sz="4" w:space="0" w:color="auto"/>
            </w:tcBorders>
            <w:vAlign w:val="center"/>
          </w:tcPr>
          <w:p w:rsidR="00B27742" w:rsidRPr="00A75DF9" w:rsidRDefault="00B27742">
            <w:pPr>
              <w:pStyle w:val="TableHeadingsBlue"/>
              <w:widowControl w:val="0"/>
              <w:rPr>
                <w:rFonts w:ascii="Tahoma" w:hAnsi="Tahoma" w:cs="Tahoma"/>
              </w:rPr>
            </w:pPr>
            <w:r w:rsidRPr="00A75DF9">
              <w:rPr>
                <w:rFonts w:ascii="Tahoma" w:hAnsi="Tahoma" w:cs="Tahoma"/>
              </w:rPr>
              <w:t>3An</w:t>
            </w:r>
          </w:p>
        </w:tc>
        <w:tc>
          <w:tcPr>
            <w:tcW w:w="429" w:type="dxa"/>
            <w:tcBorders>
              <w:bottom w:val="single" w:sz="4" w:space="0" w:color="auto"/>
            </w:tcBorders>
            <w:vAlign w:val="center"/>
          </w:tcPr>
          <w:p w:rsidR="00B27742" w:rsidRPr="00A75DF9" w:rsidRDefault="00B27742">
            <w:pPr>
              <w:pStyle w:val="TableHeadingsBlue"/>
              <w:widowControl w:val="0"/>
              <w:rPr>
                <w:rFonts w:ascii="Tahoma" w:hAnsi="Tahoma" w:cs="Tahoma"/>
              </w:rPr>
            </w:pPr>
            <w:r w:rsidRPr="00A75DF9">
              <w:rPr>
                <w:rFonts w:ascii="Tahoma" w:hAnsi="Tahoma" w:cs="Tahoma"/>
              </w:rPr>
              <w:t>2An</w:t>
            </w:r>
          </w:p>
        </w:tc>
        <w:tc>
          <w:tcPr>
            <w:tcW w:w="429" w:type="dxa"/>
            <w:tcBorders>
              <w:bottom w:val="single" w:sz="4" w:space="0" w:color="auto"/>
              <w:right w:val="single" w:sz="18" w:space="0" w:color="auto"/>
            </w:tcBorders>
            <w:vAlign w:val="center"/>
          </w:tcPr>
          <w:p w:rsidR="00B27742" w:rsidRPr="00A75DF9" w:rsidRDefault="00B27742">
            <w:pPr>
              <w:pStyle w:val="TableHeadingsBlue"/>
              <w:widowControl w:val="0"/>
              <w:rPr>
                <w:rFonts w:ascii="Tahoma" w:hAnsi="Tahoma" w:cs="Tahoma"/>
              </w:rPr>
            </w:pPr>
            <w:r w:rsidRPr="00A75DF9">
              <w:rPr>
                <w:rFonts w:ascii="Tahoma" w:hAnsi="Tahoma" w:cs="Tahoma"/>
              </w:rPr>
              <w:t>1An</w:t>
            </w:r>
          </w:p>
        </w:tc>
        <w:tc>
          <w:tcPr>
            <w:tcW w:w="405" w:type="dxa"/>
            <w:vMerge/>
            <w:tcBorders>
              <w:left w:val="single" w:sz="18" w:space="0" w:color="auto"/>
              <w:bottom w:val="single" w:sz="4" w:space="0" w:color="auto"/>
            </w:tcBorders>
            <w:vAlign w:val="center"/>
          </w:tcPr>
          <w:p w:rsidR="00B27742" w:rsidRPr="00A75DF9" w:rsidRDefault="00B27742">
            <w:pPr>
              <w:widowControl w:val="0"/>
              <w:jc w:val="center"/>
              <w:rPr>
                <w:rFonts w:cs="Tahoma"/>
              </w:rPr>
            </w:pPr>
          </w:p>
        </w:tc>
        <w:tc>
          <w:tcPr>
            <w:tcW w:w="288" w:type="dxa"/>
            <w:tcBorders>
              <w:bottom w:val="single" w:sz="4" w:space="0" w:color="auto"/>
            </w:tcBorders>
            <w:vAlign w:val="center"/>
          </w:tcPr>
          <w:p w:rsidR="00B27742" w:rsidRPr="00A75DF9" w:rsidRDefault="00B27742">
            <w:pPr>
              <w:pStyle w:val="TableHeadingsGreen"/>
              <w:widowControl w:val="0"/>
              <w:rPr>
                <w:rFonts w:ascii="Tahoma" w:hAnsi="Tahoma" w:cs="Tahoma"/>
              </w:rPr>
            </w:pPr>
            <w:r w:rsidRPr="00A75DF9">
              <w:rPr>
                <w:rFonts w:ascii="Tahoma" w:hAnsi="Tahoma" w:cs="Tahoma"/>
              </w:rPr>
              <w:t>P</w:t>
            </w:r>
          </w:p>
        </w:tc>
        <w:tc>
          <w:tcPr>
            <w:tcW w:w="315" w:type="dxa"/>
            <w:vMerge/>
            <w:tcBorders>
              <w:bottom w:val="single" w:sz="4" w:space="0" w:color="auto"/>
              <w:right w:val="single" w:sz="18" w:space="0" w:color="auto"/>
            </w:tcBorders>
          </w:tcPr>
          <w:p w:rsidR="00B27742" w:rsidRPr="00A75DF9" w:rsidRDefault="00B27742">
            <w:pPr>
              <w:widowControl w:val="0"/>
              <w:rPr>
                <w:rFonts w:cs="Tahoma"/>
              </w:rPr>
            </w:pPr>
          </w:p>
        </w:tc>
        <w:tc>
          <w:tcPr>
            <w:tcW w:w="477" w:type="dxa"/>
            <w:vMerge/>
            <w:tcBorders>
              <w:left w:val="single" w:sz="18" w:space="0" w:color="auto"/>
              <w:bottom w:val="single" w:sz="4" w:space="0" w:color="auto"/>
            </w:tcBorders>
          </w:tcPr>
          <w:p w:rsidR="00B27742" w:rsidRPr="00A75DF9" w:rsidRDefault="00B27742">
            <w:pPr>
              <w:widowControl w:val="0"/>
              <w:rPr>
                <w:rFonts w:cs="Tahoma"/>
              </w:rPr>
            </w:pPr>
          </w:p>
        </w:tc>
        <w:tc>
          <w:tcPr>
            <w:tcW w:w="396" w:type="dxa"/>
            <w:vMerge/>
            <w:tcBorders>
              <w:bottom w:val="single" w:sz="4" w:space="0" w:color="auto"/>
              <w:right w:val="single" w:sz="18" w:space="0" w:color="auto"/>
            </w:tcBorders>
          </w:tcPr>
          <w:p w:rsidR="00B27742" w:rsidRPr="00A75DF9" w:rsidRDefault="00B27742">
            <w:pPr>
              <w:widowControl w:val="0"/>
              <w:rPr>
                <w:rFonts w:cs="Tahoma"/>
              </w:rPr>
            </w:pPr>
          </w:p>
        </w:tc>
        <w:tc>
          <w:tcPr>
            <w:tcW w:w="378" w:type="dxa"/>
            <w:vMerge/>
            <w:tcBorders>
              <w:left w:val="single" w:sz="18" w:space="0" w:color="auto"/>
              <w:bottom w:val="single" w:sz="4" w:space="0" w:color="auto"/>
              <w:right w:val="single" w:sz="18" w:space="0" w:color="auto"/>
            </w:tcBorders>
          </w:tcPr>
          <w:p w:rsidR="00B27742" w:rsidRPr="00A75DF9" w:rsidRDefault="00B27742">
            <w:pPr>
              <w:widowControl w:val="0"/>
              <w:rPr>
                <w:rFonts w:cs="Tahoma"/>
              </w:rPr>
            </w:pPr>
          </w:p>
        </w:tc>
        <w:tc>
          <w:tcPr>
            <w:tcW w:w="702" w:type="dxa"/>
            <w:vMerge/>
            <w:tcBorders>
              <w:bottom w:val="single" w:sz="4" w:space="0" w:color="auto"/>
            </w:tcBorders>
          </w:tcPr>
          <w:p w:rsidR="00B27742" w:rsidRPr="00A75DF9" w:rsidRDefault="00B27742">
            <w:pPr>
              <w:widowControl w:val="0"/>
              <w:rPr>
                <w:rFonts w:cs="Tahoma"/>
              </w:rPr>
            </w:pPr>
          </w:p>
        </w:tc>
        <w:tc>
          <w:tcPr>
            <w:tcW w:w="650" w:type="dxa"/>
            <w:vMerge/>
            <w:tcBorders>
              <w:bottom w:val="single" w:sz="4" w:space="0" w:color="auto"/>
            </w:tcBorders>
          </w:tcPr>
          <w:p w:rsidR="00B27742" w:rsidRPr="00A75DF9" w:rsidRDefault="00B27742">
            <w:pPr>
              <w:widowControl w:val="0"/>
              <w:rPr>
                <w:rFonts w:cs="Tahoma"/>
              </w:rPr>
            </w:pPr>
          </w:p>
        </w:tc>
      </w:tr>
      <w:tr w:rsidR="00A75DF9" w:rsidRPr="00A75DF9" w:rsidTr="00337A7D">
        <w:trPr>
          <w:cantSplit/>
          <w:trHeight w:val="287"/>
        </w:trPr>
        <w:tc>
          <w:tcPr>
            <w:tcW w:w="2634" w:type="dxa"/>
            <w:tcBorders>
              <w:bottom w:val="single" w:sz="4" w:space="0" w:color="auto"/>
            </w:tcBorders>
            <w:shd w:val="clear" w:color="auto" w:fill="FABF8F"/>
            <w:vAlign w:val="center"/>
          </w:tcPr>
          <w:p w:rsidR="00B27742" w:rsidRPr="00A75DF9" w:rsidRDefault="00B27742" w:rsidP="008B1245">
            <w:pPr>
              <w:pStyle w:val="ProductNames"/>
              <w:spacing w:beforeLines="20" w:before="48" w:afterLines="20" w:after="48"/>
              <w:rPr>
                <w:rFonts w:ascii="Tahoma" w:hAnsi="Tahoma" w:cs="Tahoma"/>
                <w:sz w:val="14"/>
              </w:rPr>
            </w:pPr>
            <w:bookmarkStart w:id="16" w:name="_Toc336337843"/>
            <w:bookmarkStart w:id="17" w:name="_Toc368309846"/>
            <w:r w:rsidRPr="00A75DF9">
              <w:rPr>
                <w:rFonts w:ascii="Tahoma" w:hAnsi="Tahoma" w:cs="Tahoma"/>
                <w:sz w:val="14"/>
              </w:rPr>
              <w:t xml:space="preserve">Access </w:t>
            </w:r>
            <w:bookmarkEnd w:id="16"/>
            <w:r w:rsidRPr="00A75DF9">
              <w:rPr>
                <w:rFonts w:ascii="Tahoma" w:hAnsi="Tahoma" w:cs="Tahoma"/>
                <w:sz w:val="14"/>
              </w:rPr>
              <w:t>2013</w:t>
            </w:r>
            <w:bookmarkEnd w:id="17"/>
          </w:p>
        </w:tc>
        <w:tc>
          <w:tcPr>
            <w:tcW w:w="427" w:type="dxa"/>
            <w:tcBorders>
              <w:bottom w:val="single" w:sz="4" w:space="0" w:color="auto"/>
            </w:tcBorders>
            <w:shd w:val="clear" w:color="auto" w:fill="FABF8F"/>
            <w:vAlign w:val="center"/>
          </w:tcPr>
          <w:p w:rsidR="00B27742" w:rsidRPr="00A75DF9" w:rsidRDefault="00B27742">
            <w:pPr>
              <w:pStyle w:val="TableText"/>
              <w:widowControl w:val="0"/>
              <w:rPr>
                <w:rStyle w:val="EndnoteReference"/>
                <w:rFonts w:cs="Tahoma"/>
                <w:b w:val="0"/>
                <w:color w:val="0000FF"/>
                <w:sz w:val="13"/>
                <w:szCs w:val="13"/>
                <w:u w:val="single"/>
              </w:rPr>
            </w:pPr>
          </w:p>
        </w:tc>
        <w:tc>
          <w:tcPr>
            <w:tcW w:w="427" w:type="dxa"/>
            <w:tcBorders>
              <w:bottom w:val="single" w:sz="4" w:space="0" w:color="auto"/>
            </w:tcBorders>
            <w:shd w:val="clear" w:color="auto" w:fill="FABF8F"/>
            <w:vAlign w:val="center"/>
          </w:tcPr>
          <w:p w:rsidR="00B27742" w:rsidRPr="00A75DF9" w:rsidRDefault="00014EAD" w:rsidP="004000C7">
            <w:pPr>
              <w:pStyle w:val="TableText"/>
              <w:widowControl w:val="0"/>
              <w:rPr>
                <w:rFonts w:ascii="Tahoma" w:hAnsi="Tahoma" w:cs="Tahoma"/>
                <w:color w:val="000000"/>
                <w:sz w:val="13"/>
              </w:rPr>
            </w:pPr>
            <w:r w:rsidRPr="00A75DF9">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rsidR="00B27742" w:rsidRPr="00A75DF9" w:rsidRDefault="00B27742" w:rsidP="004B3534">
            <w:pPr>
              <w:pStyle w:val="TableText"/>
              <w:widowControl w:val="0"/>
              <w:rPr>
                <w:rFonts w:ascii="Tahoma" w:hAnsi="Tahoma" w:cs="Tahoma"/>
                <w:color w:val="000000"/>
                <w:sz w:val="13"/>
              </w:rPr>
            </w:pPr>
            <w:r w:rsidRPr="00A75DF9">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1</w:t>
            </w:r>
          </w:p>
        </w:tc>
        <w:tc>
          <w:tcPr>
            <w:tcW w:w="429" w:type="dxa"/>
            <w:tcBorders>
              <w:bottom w:val="single" w:sz="4" w:space="0" w:color="auto"/>
            </w:tcBorders>
            <w:shd w:val="clear" w:color="auto" w:fill="FABF8F"/>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3</w:t>
            </w:r>
          </w:p>
        </w:tc>
        <w:tc>
          <w:tcPr>
            <w:tcW w:w="429" w:type="dxa"/>
            <w:tcBorders>
              <w:bottom w:val="single" w:sz="4" w:space="0" w:color="auto"/>
            </w:tcBorders>
            <w:shd w:val="clear" w:color="auto" w:fill="FABF8F"/>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2</w:t>
            </w:r>
          </w:p>
        </w:tc>
        <w:tc>
          <w:tcPr>
            <w:tcW w:w="429" w:type="dxa"/>
            <w:tcBorders>
              <w:bottom w:val="single" w:sz="4" w:space="0" w:color="auto"/>
            </w:tcBorders>
            <w:shd w:val="clear" w:color="auto" w:fill="FABF8F"/>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2</w:t>
            </w:r>
          </w:p>
        </w:tc>
        <w:tc>
          <w:tcPr>
            <w:tcW w:w="429" w:type="dxa"/>
            <w:tcBorders>
              <w:bottom w:val="single" w:sz="4" w:space="0" w:color="auto"/>
            </w:tcBorders>
            <w:shd w:val="clear" w:color="auto" w:fill="FABF8F"/>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2</w:t>
            </w:r>
          </w:p>
        </w:tc>
        <w:tc>
          <w:tcPr>
            <w:tcW w:w="429" w:type="dxa"/>
            <w:tcBorders>
              <w:bottom w:val="single" w:sz="4" w:space="0" w:color="auto"/>
            </w:tcBorders>
            <w:shd w:val="clear" w:color="auto" w:fill="FABF8F"/>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1</w:t>
            </w:r>
          </w:p>
        </w:tc>
        <w:tc>
          <w:tcPr>
            <w:tcW w:w="405" w:type="dxa"/>
            <w:tcBorders>
              <w:left w:val="single" w:sz="18" w:space="0" w:color="auto"/>
              <w:bottom w:val="single" w:sz="4" w:space="0" w:color="auto"/>
            </w:tcBorders>
            <w:shd w:val="clear" w:color="auto" w:fill="FABF8F"/>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1</w:t>
            </w:r>
          </w:p>
        </w:tc>
        <w:tc>
          <w:tcPr>
            <w:tcW w:w="288" w:type="dxa"/>
            <w:tcBorders>
              <w:bottom w:val="single" w:sz="4" w:space="0" w:color="auto"/>
            </w:tcBorders>
            <w:shd w:val="clear" w:color="auto" w:fill="FABF8F"/>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2</w:t>
            </w:r>
          </w:p>
        </w:tc>
        <w:tc>
          <w:tcPr>
            <w:tcW w:w="315" w:type="dxa"/>
            <w:tcBorders>
              <w:bottom w:val="single" w:sz="4" w:space="0" w:color="auto"/>
              <w:right w:val="single" w:sz="18" w:space="0" w:color="auto"/>
            </w:tcBorders>
            <w:shd w:val="clear" w:color="auto" w:fill="FABF8F"/>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1</w:t>
            </w:r>
          </w:p>
        </w:tc>
        <w:tc>
          <w:tcPr>
            <w:tcW w:w="477" w:type="dxa"/>
            <w:tcBorders>
              <w:left w:val="single" w:sz="18" w:space="0" w:color="auto"/>
              <w:bottom w:val="single" w:sz="4" w:space="0" w:color="auto"/>
            </w:tcBorders>
            <w:shd w:val="clear" w:color="auto" w:fill="FABF8F"/>
            <w:vAlign w:val="center"/>
          </w:tcPr>
          <w:p w:rsidR="00B27742" w:rsidRPr="00A75DF9" w:rsidRDefault="00B27742" w:rsidP="004B3534">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B27742" w:rsidRPr="00A75DF9" w:rsidRDefault="00B27742" w:rsidP="004B3534">
            <w:pPr>
              <w:pStyle w:val="TableText"/>
              <w:widowControl w:val="0"/>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FABF8F"/>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P</w:t>
            </w:r>
          </w:p>
        </w:tc>
        <w:tc>
          <w:tcPr>
            <w:tcW w:w="702" w:type="dxa"/>
            <w:tcBorders>
              <w:bottom w:val="single" w:sz="4" w:space="0" w:color="auto"/>
            </w:tcBorders>
            <w:shd w:val="clear" w:color="auto" w:fill="FABF8F"/>
          </w:tcPr>
          <w:p w:rsidR="00B27742" w:rsidRPr="00A75DF9" w:rsidRDefault="00B27742" w:rsidP="004B3534">
            <w:pPr>
              <w:pStyle w:val="TableText"/>
              <w:widowControl w:val="0"/>
              <w:rPr>
                <w:rFonts w:ascii="Tahoma" w:hAnsi="Tahoma" w:cs="Tahoma"/>
                <w:sz w:val="13"/>
              </w:rPr>
            </w:pPr>
          </w:p>
        </w:tc>
        <w:tc>
          <w:tcPr>
            <w:tcW w:w="650" w:type="dxa"/>
            <w:tcBorders>
              <w:bottom w:val="single" w:sz="4" w:space="0" w:color="auto"/>
            </w:tcBorders>
            <w:shd w:val="clear" w:color="auto" w:fill="FABF8F"/>
            <w:vAlign w:val="center"/>
          </w:tcPr>
          <w:p w:rsidR="00B27742" w:rsidRPr="00A75DF9" w:rsidRDefault="00B27742" w:rsidP="004B3534">
            <w:pPr>
              <w:pStyle w:val="TableText"/>
              <w:widowControl w:val="0"/>
              <w:rPr>
                <w:rFonts w:ascii="Tahoma" w:hAnsi="Tahoma" w:cs="Tahoma"/>
                <w:sz w:val="13"/>
              </w:rPr>
            </w:pPr>
          </w:p>
        </w:tc>
      </w:tr>
      <w:tr w:rsidR="00A75DF9" w:rsidRPr="00A75DF9" w:rsidTr="00337A7D">
        <w:trPr>
          <w:cantSplit/>
          <w:trHeight w:val="287"/>
        </w:trPr>
        <w:tc>
          <w:tcPr>
            <w:tcW w:w="2634" w:type="dxa"/>
            <w:tcBorders>
              <w:bottom w:val="single" w:sz="4" w:space="0" w:color="auto"/>
            </w:tcBorders>
            <w:shd w:val="clear" w:color="auto" w:fill="FFFFFF"/>
            <w:vAlign w:val="center"/>
          </w:tcPr>
          <w:p w:rsidR="00B27742" w:rsidRPr="00A75DF9" w:rsidRDefault="00B27742" w:rsidP="008B1245">
            <w:pPr>
              <w:pStyle w:val="ProductNames"/>
              <w:spacing w:beforeLines="20" w:before="48" w:afterLines="20" w:after="48"/>
              <w:rPr>
                <w:rFonts w:ascii="Tahoma" w:hAnsi="Tahoma" w:cs="Tahoma"/>
                <w:sz w:val="14"/>
              </w:rPr>
            </w:pPr>
            <w:bookmarkStart w:id="18" w:name="_Toc336337844"/>
            <w:bookmarkStart w:id="19" w:name="_Toc368309847"/>
            <w:r w:rsidRPr="00A75DF9">
              <w:rPr>
                <w:rFonts w:ascii="Tahoma" w:hAnsi="Tahoma" w:cs="Tahoma"/>
                <w:sz w:val="14"/>
              </w:rPr>
              <w:t>AutoRoute 2013</w:t>
            </w:r>
            <w:bookmarkEnd w:id="18"/>
            <w:bookmarkEnd w:id="19"/>
          </w:p>
        </w:tc>
        <w:tc>
          <w:tcPr>
            <w:tcW w:w="427" w:type="dxa"/>
            <w:tcBorders>
              <w:bottom w:val="single" w:sz="4" w:space="0" w:color="auto"/>
            </w:tcBorders>
            <w:shd w:val="clear" w:color="auto" w:fill="FFFFFF"/>
            <w:vAlign w:val="center"/>
          </w:tcPr>
          <w:p w:rsidR="00B27742" w:rsidRPr="00A75DF9" w:rsidRDefault="00B27742">
            <w:pPr>
              <w:pStyle w:val="TableText"/>
              <w:widowControl w:val="0"/>
              <w:rPr>
                <w:rFonts w:cs="Tahoma"/>
                <w:color w:val="0000FF"/>
                <w:sz w:val="13"/>
                <w:szCs w:val="13"/>
                <w:u w:val="single"/>
              </w:rPr>
            </w:pPr>
          </w:p>
        </w:tc>
        <w:tc>
          <w:tcPr>
            <w:tcW w:w="427" w:type="dxa"/>
            <w:tcBorders>
              <w:bottom w:val="single" w:sz="4" w:space="0" w:color="auto"/>
            </w:tcBorders>
            <w:shd w:val="clear" w:color="auto" w:fill="FFFFFF"/>
            <w:vAlign w:val="center"/>
          </w:tcPr>
          <w:p w:rsidR="00B27742" w:rsidRPr="00A75DF9" w:rsidRDefault="00E64830" w:rsidP="004000C7">
            <w:pPr>
              <w:pStyle w:val="TableText"/>
              <w:widowControl w:val="0"/>
              <w:rPr>
                <w:rFonts w:ascii="Tahoma" w:hAnsi="Tahoma" w:cs="Tahoma"/>
                <w:sz w:val="13"/>
              </w:rPr>
            </w:pPr>
            <w:r w:rsidRPr="00A75DF9">
              <w:rPr>
                <w:rFonts w:ascii="Tahoma" w:hAnsi="Tahoma" w:cs="Tahoma"/>
                <w:sz w:val="13"/>
              </w:rPr>
              <w:t>10/12</w:t>
            </w:r>
          </w:p>
        </w:tc>
        <w:tc>
          <w:tcPr>
            <w:tcW w:w="429" w:type="dxa"/>
            <w:tcBorders>
              <w:bottom w:val="single" w:sz="4" w:space="0" w:color="auto"/>
              <w:right w:val="single" w:sz="18" w:space="0" w:color="auto"/>
            </w:tcBorders>
            <w:shd w:val="clear" w:color="auto" w:fill="FFFFFF"/>
            <w:vAlign w:val="center"/>
          </w:tcPr>
          <w:p w:rsidR="00B27742" w:rsidRPr="00A75DF9" w:rsidRDefault="00B2774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1</w:t>
            </w:r>
          </w:p>
        </w:tc>
        <w:tc>
          <w:tcPr>
            <w:tcW w:w="429" w:type="dxa"/>
            <w:tcBorders>
              <w:bottom w:val="single" w:sz="4" w:space="0" w:color="auto"/>
            </w:tcBorders>
            <w:shd w:val="clear" w:color="auto" w:fill="FFFFFF"/>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3</w:t>
            </w:r>
          </w:p>
        </w:tc>
        <w:tc>
          <w:tcPr>
            <w:tcW w:w="429" w:type="dxa"/>
            <w:tcBorders>
              <w:bottom w:val="single" w:sz="4" w:space="0" w:color="auto"/>
            </w:tcBorders>
            <w:shd w:val="clear" w:color="auto" w:fill="FFFFFF"/>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2</w:t>
            </w:r>
          </w:p>
        </w:tc>
        <w:tc>
          <w:tcPr>
            <w:tcW w:w="429" w:type="dxa"/>
            <w:tcBorders>
              <w:bottom w:val="single" w:sz="4" w:space="0" w:color="auto"/>
            </w:tcBorders>
            <w:shd w:val="clear" w:color="auto" w:fill="FFFFFF"/>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2</w:t>
            </w:r>
          </w:p>
        </w:tc>
        <w:tc>
          <w:tcPr>
            <w:tcW w:w="429" w:type="dxa"/>
            <w:tcBorders>
              <w:bottom w:val="single" w:sz="4" w:space="0" w:color="auto"/>
            </w:tcBorders>
            <w:shd w:val="clear" w:color="auto" w:fill="FFFFFF"/>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2</w:t>
            </w:r>
          </w:p>
        </w:tc>
        <w:tc>
          <w:tcPr>
            <w:tcW w:w="429" w:type="dxa"/>
            <w:tcBorders>
              <w:bottom w:val="single" w:sz="4" w:space="0" w:color="auto"/>
            </w:tcBorders>
            <w:shd w:val="clear" w:color="auto" w:fill="FFFFFF"/>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1</w:t>
            </w:r>
          </w:p>
        </w:tc>
        <w:tc>
          <w:tcPr>
            <w:tcW w:w="429" w:type="dxa"/>
            <w:tcBorders>
              <w:bottom w:val="single" w:sz="4" w:space="0" w:color="auto"/>
              <w:right w:val="single" w:sz="18" w:space="0" w:color="auto"/>
            </w:tcBorders>
            <w:shd w:val="clear" w:color="auto" w:fill="FFFFFF"/>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1</w:t>
            </w:r>
          </w:p>
        </w:tc>
        <w:tc>
          <w:tcPr>
            <w:tcW w:w="405" w:type="dxa"/>
            <w:tcBorders>
              <w:left w:val="single" w:sz="18" w:space="0" w:color="auto"/>
              <w:bottom w:val="single" w:sz="4" w:space="0" w:color="auto"/>
            </w:tcBorders>
            <w:shd w:val="clear" w:color="auto" w:fill="FFFFFF"/>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1</w:t>
            </w:r>
          </w:p>
        </w:tc>
        <w:tc>
          <w:tcPr>
            <w:tcW w:w="288" w:type="dxa"/>
            <w:tcBorders>
              <w:bottom w:val="single" w:sz="4" w:space="0" w:color="auto"/>
            </w:tcBorders>
            <w:shd w:val="clear" w:color="auto" w:fill="FFFFFF"/>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2</w:t>
            </w:r>
          </w:p>
        </w:tc>
        <w:tc>
          <w:tcPr>
            <w:tcW w:w="315" w:type="dxa"/>
            <w:tcBorders>
              <w:bottom w:val="single" w:sz="4" w:space="0" w:color="auto"/>
              <w:right w:val="single" w:sz="18" w:space="0" w:color="auto"/>
            </w:tcBorders>
            <w:shd w:val="clear" w:color="auto" w:fill="FFFFFF"/>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1</w:t>
            </w:r>
          </w:p>
        </w:tc>
        <w:tc>
          <w:tcPr>
            <w:tcW w:w="477" w:type="dxa"/>
            <w:tcBorders>
              <w:left w:val="single" w:sz="18" w:space="0" w:color="auto"/>
              <w:bottom w:val="single" w:sz="4" w:space="0" w:color="auto"/>
            </w:tcBorders>
            <w:shd w:val="clear" w:color="auto" w:fill="FFFFFF"/>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1</w:t>
            </w:r>
          </w:p>
        </w:tc>
        <w:tc>
          <w:tcPr>
            <w:tcW w:w="396" w:type="dxa"/>
            <w:tcBorders>
              <w:bottom w:val="single" w:sz="4" w:space="0" w:color="auto"/>
              <w:right w:val="single" w:sz="18" w:space="0" w:color="auto"/>
            </w:tcBorders>
            <w:shd w:val="clear" w:color="auto" w:fill="FFFFFF"/>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A</w:t>
            </w:r>
          </w:p>
        </w:tc>
        <w:tc>
          <w:tcPr>
            <w:tcW w:w="378" w:type="dxa"/>
            <w:tcBorders>
              <w:left w:val="single" w:sz="18" w:space="0" w:color="auto"/>
              <w:bottom w:val="single" w:sz="4" w:space="0" w:color="auto"/>
              <w:right w:val="single" w:sz="18" w:space="0" w:color="auto"/>
            </w:tcBorders>
            <w:shd w:val="clear" w:color="auto" w:fill="FFFFFF"/>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P</w:t>
            </w:r>
          </w:p>
        </w:tc>
        <w:tc>
          <w:tcPr>
            <w:tcW w:w="702" w:type="dxa"/>
            <w:tcBorders>
              <w:bottom w:val="single" w:sz="4" w:space="0" w:color="auto"/>
            </w:tcBorders>
            <w:shd w:val="clear" w:color="auto" w:fill="FFFFFF"/>
            <w:vAlign w:val="center"/>
          </w:tcPr>
          <w:p w:rsidR="00B27742" w:rsidRPr="00A75DF9" w:rsidRDefault="00F440FF" w:rsidP="00080B33">
            <w:pPr>
              <w:pStyle w:val="TableText"/>
              <w:widowControl w:val="0"/>
              <w:rPr>
                <w:rFonts w:ascii="Tahoma" w:hAnsi="Tahoma" w:cs="Tahoma"/>
                <w:sz w:val="13"/>
              </w:rPr>
            </w:pPr>
            <w:r w:rsidRPr="00A75DF9">
              <w:rPr>
                <w:rFonts w:ascii="Tahoma" w:hAnsi="Tahoma" w:cs="Tahoma"/>
                <w:sz w:val="13"/>
              </w:rPr>
              <w:t>A</w:t>
            </w:r>
          </w:p>
        </w:tc>
        <w:tc>
          <w:tcPr>
            <w:tcW w:w="650" w:type="dxa"/>
            <w:tcBorders>
              <w:bottom w:val="single" w:sz="4" w:space="0" w:color="auto"/>
            </w:tcBorders>
            <w:shd w:val="clear" w:color="auto" w:fill="FFFFFF"/>
            <w:vAlign w:val="center"/>
          </w:tcPr>
          <w:p w:rsidR="00B27742" w:rsidRPr="00A75DF9" w:rsidRDefault="00B27742" w:rsidP="004B3534">
            <w:pPr>
              <w:pStyle w:val="TableText"/>
              <w:widowControl w:val="0"/>
              <w:rPr>
                <w:rFonts w:ascii="Tahoma" w:hAnsi="Tahoma" w:cs="Tahoma"/>
                <w:sz w:val="13"/>
              </w:rPr>
            </w:pPr>
          </w:p>
        </w:tc>
      </w:tr>
      <w:tr w:rsidR="00A75DF9" w:rsidRPr="00A75DF9" w:rsidTr="00337A7D">
        <w:trPr>
          <w:cantSplit/>
          <w:trHeight w:val="287"/>
        </w:trPr>
        <w:tc>
          <w:tcPr>
            <w:tcW w:w="2634" w:type="dxa"/>
            <w:tcBorders>
              <w:bottom w:val="single" w:sz="4" w:space="0" w:color="auto"/>
            </w:tcBorders>
            <w:shd w:val="clear" w:color="auto" w:fill="FABF8F"/>
            <w:vAlign w:val="center"/>
          </w:tcPr>
          <w:p w:rsidR="00B27742" w:rsidRPr="00A75DF9" w:rsidRDefault="00B27742" w:rsidP="008B1245">
            <w:pPr>
              <w:pStyle w:val="ProductNames"/>
              <w:spacing w:beforeLines="20" w:before="48" w:afterLines="20" w:after="48"/>
              <w:rPr>
                <w:rFonts w:ascii="Tahoma" w:hAnsi="Tahoma" w:cs="Tahoma"/>
                <w:sz w:val="14"/>
              </w:rPr>
            </w:pPr>
            <w:bookmarkStart w:id="20" w:name="_Toc336337846"/>
            <w:bookmarkStart w:id="21" w:name="_Toc368309848"/>
            <w:r w:rsidRPr="00A75DF9">
              <w:rPr>
                <w:rFonts w:ascii="Tahoma" w:hAnsi="Tahoma" w:cs="Tahoma"/>
                <w:sz w:val="14"/>
              </w:rPr>
              <w:t xml:space="preserve">Excel </w:t>
            </w:r>
            <w:bookmarkEnd w:id="20"/>
            <w:r w:rsidRPr="00A75DF9">
              <w:rPr>
                <w:rFonts w:ascii="Tahoma" w:hAnsi="Tahoma" w:cs="Tahoma"/>
                <w:sz w:val="14"/>
              </w:rPr>
              <w:t>2013</w:t>
            </w:r>
            <w:bookmarkEnd w:id="21"/>
          </w:p>
        </w:tc>
        <w:tc>
          <w:tcPr>
            <w:tcW w:w="427" w:type="dxa"/>
            <w:tcBorders>
              <w:bottom w:val="single" w:sz="4" w:space="0" w:color="auto"/>
            </w:tcBorders>
            <w:shd w:val="clear" w:color="auto" w:fill="FABF8F"/>
            <w:vAlign w:val="center"/>
          </w:tcPr>
          <w:p w:rsidR="00B27742" w:rsidRPr="00A75DF9" w:rsidRDefault="00B27742">
            <w:pPr>
              <w:pStyle w:val="TableText"/>
              <w:widowControl w:val="0"/>
              <w:rPr>
                <w:rStyle w:val="EndnoteReference"/>
                <w:rFonts w:cs="Tahoma"/>
                <w:b w:val="0"/>
                <w:color w:val="0000FF"/>
                <w:sz w:val="13"/>
                <w:szCs w:val="13"/>
                <w:u w:val="single"/>
              </w:rPr>
            </w:pPr>
          </w:p>
        </w:tc>
        <w:tc>
          <w:tcPr>
            <w:tcW w:w="427" w:type="dxa"/>
            <w:tcBorders>
              <w:bottom w:val="single" w:sz="4" w:space="0" w:color="auto"/>
            </w:tcBorders>
            <w:shd w:val="clear" w:color="auto" w:fill="FABF8F"/>
            <w:vAlign w:val="center"/>
          </w:tcPr>
          <w:p w:rsidR="00B27742" w:rsidRPr="00A75DF9" w:rsidRDefault="00014EAD" w:rsidP="004000C7">
            <w:pPr>
              <w:pStyle w:val="TableText"/>
              <w:widowControl w:val="0"/>
              <w:rPr>
                <w:rFonts w:ascii="Tahoma" w:hAnsi="Tahoma" w:cs="Tahoma"/>
                <w:color w:val="000000"/>
                <w:sz w:val="13"/>
              </w:rPr>
            </w:pPr>
            <w:r w:rsidRPr="00A75DF9">
              <w:rPr>
                <w:rFonts w:ascii="Tahoma" w:hAnsi="Tahoma" w:cs="Tahoma"/>
                <w:color w:val="000000"/>
                <w:sz w:val="13"/>
              </w:rPr>
              <w:t>10/12</w:t>
            </w:r>
          </w:p>
        </w:tc>
        <w:tc>
          <w:tcPr>
            <w:tcW w:w="429" w:type="dxa"/>
            <w:tcBorders>
              <w:bottom w:val="single" w:sz="4" w:space="0" w:color="auto"/>
              <w:right w:val="single" w:sz="18" w:space="0" w:color="auto"/>
            </w:tcBorders>
            <w:shd w:val="clear" w:color="auto" w:fill="FABF8F"/>
            <w:vAlign w:val="center"/>
          </w:tcPr>
          <w:p w:rsidR="00B27742" w:rsidRPr="00A75DF9" w:rsidRDefault="00B27742" w:rsidP="004B3534">
            <w:pPr>
              <w:pStyle w:val="TableText"/>
              <w:widowControl w:val="0"/>
              <w:rPr>
                <w:rFonts w:ascii="Tahoma" w:hAnsi="Tahoma" w:cs="Tahoma"/>
                <w:color w:val="000000"/>
                <w:sz w:val="13"/>
              </w:rPr>
            </w:pPr>
            <w:r w:rsidRPr="00A75DF9">
              <w:rPr>
                <w:rFonts w:ascii="Tahoma" w:hAnsi="Tahoma" w:cs="Tahoma"/>
                <w:color w:val="000000"/>
                <w:sz w:val="13"/>
              </w:rPr>
              <w:t>DT</w:t>
            </w:r>
          </w:p>
        </w:tc>
        <w:tc>
          <w:tcPr>
            <w:tcW w:w="429" w:type="dxa"/>
            <w:tcBorders>
              <w:left w:val="single" w:sz="18" w:space="0" w:color="auto"/>
              <w:bottom w:val="single" w:sz="4" w:space="0" w:color="auto"/>
            </w:tcBorders>
            <w:shd w:val="clear" w:color="auto" w:fill="FABF8F"/>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1</w:t>
            </w:r>
          </w:p>
        </w:tc>
        <w:tc>
          <w:tcPr>
            <w:tcW w:w="429" w:type="dxa"/>
            <w:tcBorders>
              <w:bottom w:val="single" w:sz="4" w:space="0" w:color="auto"/>
            </w:tcBorders>
            <w:shd w:val="clear" w:color="auto" w:fill="FABF8F"/>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3</w:t>
            </w:r>
          </w:p>
        </w:tc>
        <w:tc>
          <w:tcPr>
            <w:tcW w:w="429" w:type="dxa"/>
            <w:tcBorders>
              <w:bottom w:val="single" w:sz="4" w:space="0" w:color="auto"/>
            </w:tcBorders>
            <w:shd w:val="clear" w:color="auto" w:fill="FABF8F"/>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2</w:t>
            </w:r>
          </w:p>
        </w:tc>
        <w:tc>
          <w:tcPr>
            <w:tcW w:w="429" w:type="dxa"/>
            <w:tcBorders>
              <w:bottom w:val="single" w:sz="4" w:space="0" w:color="auto"/>
            </w:tcBorders>
            <w:shd w:val="clear" w:color="auto" w:fill="FABF8F"/>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2</w:t>
            </w:r>
          </w:p>
        </w:tc>
        <w:tc>
          <w:tcPr>
            <w:tcW w:w="429" w:type="dxa"/>
            <w:tcBorders>
              <w:bottom w:val="single" w:sz="4" w:space="0" w:color="auto"/>
            </w:tcBorders>
            <w:shd w:val="clear" w:color="auto" w:fill="FABF8F"/>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2</w:t>
            </w:r>
          </w:p>
        </w:tc>
        <w:tc>
          <w:tcPr>
            <w:tcW w:w="429" w:type="dxa"/>
            <w:tcBorders>
              <w:bottom w:val="single" w:sz="4" w:space="0" w:color="auto"/>
            </w:tcBorders>
            <w:shd w:val="clear" w:color="auto" w:fill="FABF8F"/>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1</w:t>
            </w:r>
          </w:p>
        </w:tc>
        <w:tc>
          <w:tcPr>
            <w:tcW w:w="405" w:type="dxa"/>
            <w:tcBorders>
              <w:left w:val="single" w:sz="18" w:space="0" w:color="auto"/>
              <w:bottom w:val="single" w:sz="4" w:space="0" w:color="auto"/>
            </w:tcBorders>
            <w:shd w:val="clear" w:color="auto" w:fill="FABF8F"/>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1</w:t>
            </w:r>
          </w:p>
        </w:tc>
        <w:tc>
          <w:tcPr>
            <w:tcW w:w="288" w:type="dxa"/>
            <w:tcBorders>
              <w:bottom w:val="single" w:sz="4" w:space="0" w:color="auto"/>
            </w:tcBorders>
            <w:shd w:val="clear" w:color="auto" w:fill="FABF8F"/>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2</w:t>
            </w:r>
          </w:p>
        </w:tc>
        <w:tc>
          <w:tcPr>
            <w:tcW w:w="315" w:type="dxa"/>
            <w:tcBorders>
              <w:bottom w:val="single" w:sz="4" w:space="0" w:color="auto"/>
              <w:right w:val="single" w:sz="18" w:space="0" w:color="auto"/>
            </w:tcBorders>
            <w:shd w:val="clear" w:color="auto" w:fill="FABF8F"/>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1</w:t>
            </w:r>
          </w:p>
        </w:tc>
        <w:tc>
          <w:tcPr>
            <w:tcW w:w="477" w:type="dxa"/>
            <w:tcBorders>
              <w:left w:val="single" w:sz="18" w:space="0" w:color="auto"/>
              <w:bottom w:val="single" w:sz="4" w:space="0" w:color="auto"/>
            </w:tcBorders>
            <w:shd w:val="clear" w:color="auto" w:fill="FABF8F"/>
            <w:vAlign w:val="center"/>
          </w:tcPr>
          <w:p w:rsidR="00B27742" w:rsidRPr="00A75DF9" w:rsidRDefault="00B27742" w:rsidP="004B3534">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B27742" w:rsidRPr="00A75DF9" w:rsidRDefault="00B27742" w:rsidP="004B3534">
            <w:pPr>
              <w:pStyle w:val="TableText"/>
              <w:widowControl w:val="0"/>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FABF8F"/>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P</w:t>
            </w:r>
          </w:p>
        </w:tc>
        <w:tc>
          <w:tcPr>
            <w:tcW w:w="702" w:type="dxa"/>
            <w:tcBorders>
              <w:bottom w:val="single" w:sz="4" w:space="0" w:color="auto"/>
            </w:tcBorders>
            <w:shd w:val="clear" w:color="auto" w:fill="FABF8F"/>
            <w:vAlign w:val="center"/>
          </w:tcPr>
          <w:p w:rsidR="00B27742" w:rsidRPr="00A75DF9" w:rsidRDefault="00B27742" w:rsidP="00080B33">
            <w:pPr>
              <w:pStyle w:val="TableText"/>
              <w:widowControl w:val="0"/>
              <w:rPr>
                <w:rFonts w:ascii="Tahoma" w:hAnsi="Tahoma" w:cs="Tahoma"/>
                <w:sz w:val="13"/>
              </w:rPr>
            </w:pPr>
          </w:p>
        </w:tc>
        <w:tc>
          <w:tcPr>
            <w:tcW w:w="650" w:type="dxa"/>
            <w:tcBorders>
              <w:bottom w:val="single" w:sz="4" w:space="0" w:color="auto"/>
            </w:tcBorders>
            <w:shd w:val="clear" w:color="auto" w:fill="FABF8F"/>
            <w:vAlign w:val="center"/>
          </w:tcPr>
          <w:p w:rsidR="00B27742" w:rsidRPr="00A75DF9" w:rsidRDefault="00B27742" w:rsidP="004B3534">
            <w:pPr>
              <w:pStyle w:val="TableText"/>
              <w:widowControl w:val="0"/>
              <w:rPr>
                <w:rFonts w:ascii="Tahoma" w:hAnsi="Tahoma" w:cs="Tahoma"/>
                <w:sz w:val="13"/>
              </w:rPr>
            </w:pPr>
          </w:p>
        </w:tc>
      </w:tr>
      <w:tr w:rsidR="00A75DF9" w:rsidRPr="00A75DF9" w:rsidTr="00337A7D">
        <w:trPr>
          <w:cantSplit/>
          <w:trHeight w:val="278"/>
        </w:trPr>
        <w:tc>
          <w:tcPr>
            <w:tcW w:w="2634" w:type="dxa"/>
            <w:tcBorders>
              <w:bottom w:val="single" w:sz="4" w:space="0" w:color="auto"/>
            </w:tcBorders>
            <w:shd w:val="clear" w:color="auto" w:fill="auto"/>
            <w:vAlign w:val="center"/>
          </w:tcPr>
          <w:p w:rsidR="00B27742" w:rsidRPr="00A75DF9" w:rsidRDefault="00B27742" w:rsidP="008B1245">
            <w:pPr>
              <w:pStyle w:val="ProductNames"/>
              <w:spacing w:beforeLines="20" w:before="48" w:afterLines="20" w:after="48"/>
              <w:rPr>
                <w:rFonts w:ascii="Tahoma" w:hAnsi="Tahoma" w:cs="Tahoma"/>
                <w:sz w:val="14"/>
              </w:rPr>
            </w:pPr>
            <w:bookmarkStart w:id="22" w:name="_Toc336337847"/>
            <w:bookmarkStart w:id="23" w:name="_Toc368309849"/>
            <w:r w:rsidRPr="00A75DF9">
              <w:rPr>
                <w:rFonts w:ascii="Tahoma" w:hAnsi="Tahoma" w:cs="Tahoma"/>
                <w:sz w:val="14"/>
              </w:rPr>
              <w:t>Excel per Mac 2011</w:t>
            </w:r>
            <w:bookmarkEnd w:id="22"/>
            <w:bookmarkEnd w:id="23"/>
          </w:p>
        </w:tc>
        <w:tc>
          <w:tcPr>
            <w:tcW w:w="427" w:type="dxa"/>
            <w:tcBorders>
              <w:bottom w:val="single" w:sz="4" w:space="0" w:color="auto"/>
            </w:tcBorders>
            <w:shd w:val="clear" w:color="auto" w:fill="auto"/>
            <w:vAlign w:val="center"/>
          </w:tcPr>
          <w:p w:rsidR="00B27742" w:rsidRPr="00A75DF9" w:rsidRDefault="00B27742">
            <w:pPr>
              <w:pStyle w:val="TableText"/>
              <w:widowControl w:val="0"/>
              <w:rPr>
                <w:rStyle w:val="EndnoteReference"/>
                <w:rFonts w:cs="Tahoma"/>
                <w:b w:val="0"/>
                <w:color w:val="0000FF"/>
                <w:sz w:val="13"/>
                <w:szCs w:val="13"/>
                <w:u w:val="single"/>
              </w:rPr>
            </w:pPr>
          </w:p>
        </w:tc>
        <w:tc>
          <w:tcPr>
            <w:tcW w:w="427" w:type="dxa"/>
            <w:tcBorders>
              <w:bottom w:val="single" w:sz="4" w:space="0" w:color="auto"/>
            </w:tcBorders>
            <w:shd w:val="clear" w:color="auto" w:fill="auto"/>
            <w:vAlign w:val="center"/>
          </w:tcPr>
          <w:p w:rsidR="00B27742" w:rsidRPr="00A75DF9" w:rsidRDefault="00B27742" w:rsidP="004000C7">
            <w:pPr>
              <w:pStyle w:val="TableText"/>
              <w:widowControl w:val="0"/>
              <w:rPr>
                <w:rFonts w:ascii="Tahoma" w:hAnsi="Tahoma" w:cs="Tahoma"/>
                <w:color w:val="000000"/>
                <w:sz w:val="13"/>
              </w:rPr>
            </w:pPr>
            <w:r w:rsidRPr="00A75DF9">
              <w:rPr>
                <w:rFonts w:ascii="Tahoma" w:hAnsi="Tahoma" w:cs="Tahoma"/>
                <w:color w:val="000000"/>
                <w:sz w:val="13"/>
              </w:rPr>
              <w:t>09/10</w:t>
            </w:r>
          </w:p>
        </w:tc>
        <w:tc>
          <w:tcPr>
            <w:tcW w:w="429" w:type="dxa"/>
            <w:tcBorders>
              <w:bottom w:val="single" w:sz="4" w:space="0" w:color="auto"/>
              <w:right w:val="single" w:sz="18" w:space="0" w:color="auto"/>
            </w:tcBorders>
            <w:shd w:val="clear" w:color="auto" w:fill="auto"/>
            <w:vAlign w:val="center"/>
          </w:tcPr>
          <w:p w:rsidR="00B27742" w:rsidRPr="00A75DF9" w:rsidRDefault="00B27742" w:rsidP="004B3534">
            <w:pPr>
              <w:pStyle w:val="TableText"/>
              <w:widowControl w:val="0"/>
              <w:rPr>
                <w:rFonts w:ascii="Tahoma" w:hAnsi="Tahoma" w:cs="Tahoma"/>
                <w:color w:val="000000"/>
                <w:sz w:val="13"/>
              </w:rPr>
            </w:pPr>
            <w:r w:rsidRPr="00A75DF9">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1</w:t>
            </w:r>
          </w:p>
        </w:tc>
        <w:tc>
          <w:tcPr>
            <w:tcW w:w="429" w:type="dxa"/>
            <w:tcBorders>
              <w:bottom w:val="single" w:sz="4" w:space="0" w:color="auto"/>
            </w:tcBorders>
            <w:shd w:val="clear" w:color="auto" w:fill="auto"/>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3</w:t>
            </w:r>
          </w:p>
        </w:tc>
        <w:tc>
          <w:tcPr>
            <w:tcW w:w="429" w:type="dxa"/>
            <w:tcBorders>
              <w:bottom w:val="single" w:sz="4" w:space="0" w:color="auto"/>
            </w:tcBorders>
            <w:shd w:val="clear" w:color="auto" w:fill="auto"/>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2</w:t>
            </w:r>
          </w:p>
        </w:tc>
        <w:tc>
          <w:tcPr>
            <w:tcW w:w="429" w:type="dxa"/>
            <w:tcBorders>
              <w:bottom w:val="single" w:sz="4" w:space="0" w:color="auto"/>
            </w:tcBorders>
            <w:shd w:val="clear" w:color="auto" w:fill="auto"/>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2</w:t>
            </w:r>
          </w:p>
        </w:tc>
        <w:tc>
          <w:tcPr>
            <w:tcW w:w="429" w:type="dxa"/>
            <w:tcBorders>
              <w:bottom w:val="single" w:sz="4" w:space="0" w:color="auto"/>
            </w:tcBorders>
            <w:shd w:val="clear" w:color="auto" w:fill="auto"/>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2</w:t>
            </w:r>
          </w:p>
        </w:tc>
        <w:tc>
          <w:tcPr>
            <w:tcW w:w="429" w:type="dxa"/>
            <w:tcBorders>
              <w:bottom w:val="single" w:sz="4" w:space="0" w:color="auto"/>
            </w:tcBorders>
            <w:shd w:val="clear" w:color="auto" w:fill="auto"/>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1</w:t>
            </w:r>
          </w:p>
        </w:tc>
        <w:tc>
          <w:tcPr>
            <w:tcW w:w="405" w:type="dxa"/>
            <w:tcBorders>
              <w:left w:val="single" w:sz="18" w:space="0" w:color="auto"/>
              <w:bottom w:val="single" w:sz="4" w:space="0" w:color="auto"/>
            </w:tcBorders>
            <w:shd w:val="clear" w:color="auto" w:fill="auto"/>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1</w:t>
            </w:r>
          </w:p>
        </w:tc>
        <w:tc>
          <w:tcPr>
            <w:tcW w:w="288" w:type="dxa"/>
            <w:tcBorders>
              <w:bottom w:val="single" w:sz="4" w:space="0" w:color="auto"/>
            </w:tcBorders>
            <w:shd w:val="clear" w:color="auto" w:fill="auto"/>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2</w:t>
            </w:r>
          </w:p>
        </w:tc>
        <w:tc>
          <w:tcPr>
            <w:tcW w:w="315" w:type="dxa"/>
            <w:tcBorders>
              <w:bottom w:val="single" w:sz="4" w:space="0" w:color="auto"/>
              <w:right w:val="single" w:sz="18" w:space="0" w:color="auto"/>
            </w:tcBorders>
            <w:shd w:val="clear" w:color="auto" w:fill="auto"/>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1</w:t>
            </w:r>
          </w:p>
        </w:tc>
        <w:tc>
          <w:tcPr>
            <w:tcW w:w="477" w:type="dxa"/>
            <w:tcBorders>
              <w:left w:val="single" w:sz="18" w:space="0" w:color="auto"/>
              <w:bottom w:val="single" w:sz="4" w:space="0" w:color="auto"/>
            </w:tcBorders>
            <w:shd w:val="clear" w:color="auto" w:fill="auto"/>
            <w:vAlign w:val="center"/>
          </w:tcPr>
          <w:p w:rsidR="00B27742" w:rsidRPr="00A75DF9" w:rsidRDefault="00B27742" w:rsidP="004B3534">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auto"/>
            <w:vAlign w:val="center"/>
          </w:tcPr>
          <w:p w:rsidR="00B27742" w:rsidRPr="00A75DF9" w:rsidRDefault="00B27742" w:rsidP="004B3534">
            <w:pPr>
              <w:pStyle w:val="TableText"/>
              <w:widowControl w:val="0"/>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auto"/>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P</w:t>
            </w:r>
          </w:p>
        </w:tc>
        <w:tc>
          <w:tcPr>
            <w:tcW w:w="702" w:type="dxa"/>
            <w:tcBorders>
              <w:bottom w:val="single" w:sz="4" w:space="0" w:color="auto"/>
            </w:tcBorders>
            <w:shd w:val="clear" w:color="auto" w:fill="auto"/>
            <w:vAlign w:val="center"/>
          </w:tcPr>
          <w:p w:rsidR="00B27742" w:rsidRPr="00A75DF9" w:rsidRDefault="00B27742" w:rsidP="00080B33">
            <w:pPr>
              <w:pStyle w:val="TableText"/>
              <w:widowControl w:val="0"/>
              <w:rPr>
                <w:rFonts w:ascii="Tahoma" w:hAnsi="Tahoma" w:cs="Tahoma"/>
                <w:sz w:val="13"/>
              </w:rPr>
            </w:pPr>
          </w:p>
        </w:tc>
        <w:tc>
          <w:tcPr>
            <w:tcW w:w="650" w:type="dxa"/>
            <w:tcBorders>
              <w:bottom w:val="single" w:sz="4" w:space="0" w:color="auto"/>
            </w:tcBorders>
            <w:shd w:val="clear" w:color="auto" w:fill="auto"/>
            <w:vAlign w:val="center"/>
          </w:tcPr>
          <w:p w:rsidR="00B27742" w:rsidRPr="00A75DF9" w:rsidRDefault="00B27742" w:rsidP="004B3534">
            <w:pPr>
              <w:pStyle w:val="TableText"/>
              <w:widowControl w:val="0"/>
              <w:rPr>
                <w:rFonts w:ascii="Tahoma" w:hAnsi="Tahoma" w:cs="Tahoma"/>
                <w:sz w:val="13"/>
              </w:rPr>
            </w:pPr>
          </w:p>
        </w:tc>
      </w:tr>
      <w:tr w:rsidR="00A75DF9" w:rsidRPr="00A75DF9" w:rsidTr="00337A7D">
        <w:trPr>
          <w:cantSplit/>
          <w:trHeight w:val="287"/>
        </w:trPr>
        <w:tc>
          <w:tcPr>
            <w:tcW w:w="2634" w:type="dxa"/>
            <w:tcBorders>
              <w:bottom w:val="single" w:sz="4" w:space="0" w:color="auto"/>
            </w:tcBorders>
            <w:shd w:val="clear" w:color="auto" w:fill="FABF8F"/>
            <w:vAlign w:val="center"/>
          </w:tcPr>
          <w:p w:rsidR="00B27742" w:rsidRPr="00A75DF9" w:rsidRDefault="00B27742" w:rsidP="008B1245">
            <w:pPr>
              <w:pStyle w:val="Heading2"/>
              <w:spacing w:beforeLines="20" w:before="48" w:afterLines="20" w:after="48"/>
              <w:ind w:left="0"/>
              <w:rPr>
                <w:rFonts w:ascii="Tahoma" w:hAnsi="Tahoma" w:cs="Tahoma"/>
                <w:b w:val="0"/>
                <w:sz w:val="14"/>
              </w:rPr>
            </w:pPr>
            <w:bookmarkStart w:id="24" w:name="_Toc336337850"/>
            <w:bookmarkStart w:id="25" w:name="_Toc368309850"/>
            <w:r w:rsidRPr="00A75DF9">
              <w:rPr>
                <w:rFonts w:ascii="Tahoma" w:hAnsi="Tahoma" w:cs="Tahoma"/>
                <w:b w:val="0"/>
                <w:sz w:val="14"/>
              </w:rPr>
              <w:t>Expression Encoder Pro 4</w:t>
            </w:r>
            <w:bookmarkEnd w:id="24"/>
            <w:bookmarkEnd w:id="25"/>
          </w:p>
        </w:tc>
        <w:tc>
          <w:tcPr>
            <w:tcW w:w="427" w:type="dxa"/>
            <w:tcBorders>
              <w:bottom w:val="single" w:sz="4" w:space="0" w:color="auto"/>
            </w:tcBorders>
            <w:shd w:val="clear" w:color="auto" w:fill="FABF8F"/>
            <w:vAlign w:val="center"/>
          </w:tcPr>
          <w:p w:rsidR="00B27742" w:rsidRPr="00A75DF9" w:rsidRDefault="00B54770" w:rsidP="00F9515B">
            <w:pPr>
              <w:pStyle w:val="TableText"/>
              <w:widowControl w:val="0"/>
              <w:rPr>
                <w:rStyle w:val="EndnoteReference"/>
                <w:rFonts w:cs="Tahoma"/>
                <w:b w:val="0"/>
                <w:color w:val="0000FF"/>
                <w:sz w:val="13"/>
                <w:szCs w:val="13"/>
                <w:u w:val="single"/>
              </w:rPr>
            </w:pPr>
            <w:hyperlink w:anchor="_1_Expression_Encoder" w:history="1">
              <w:r w:rsidR="00734B17" w:rsidRPr="00A75DF9">
                <w:rPr>
                  <w:rStyle w:val="Hyperlink"/>
                  <w:rFonts w:cs="Tahoma"/>
                  <w:b/>
                  <w:sz w:val="13"/>
                  <w:szCs w:val="13"/>
                </w:rPr>
                <w:t>1</w:t>
              </w:r>
            </w:hyperlink>
          </w:p>
        </w:tc>
        <w:tc>
          <w:tcPr>
            <w:tcW w:w="427" w:type="dxa"/>
            <w:tcBorders>
              <w:bottom w:val="single" w:sz="4" w:space="0" w:color="auto"/>
            </w:tcBorders>
            <w:shd w:val="clear" w:color="auto" w:fill="FABF8F"/>
            <w:vAlign w:val="center"/>
          </w:tcPr>
          <w:p w:rsidR="00B27742" w:rsidRPr="00A75DF9" w:rsidRDefault="00913F3F" w:rsidP="004000C7">
            <w:pPr>
              <w:pStyle w:val="TableText"/>
              <w:widowControl w:val="0"/>
              <w:rPr>
                <w:rFonts w:ascii="Tahoma" w:hAnsi="Tahoma" w:cs="Tahoma"/>
                <w:sz w:val="13"/>
              </w:rPr>
            </w:pPr>
            <w:r w:rsidRPr="00A75DF9">
              <w:rPr>
                <w:rFonts w:ascii="Tahoma" w:hAnsi="Tahoma" w:cs="Tahoma"/>
                <w:sz w:val="13"/>
              </w:rPr>
              <w:t>07/10</w:t>
            </w:r>
          </w:p>
        </w:tc>
        <w:tc>
          <w:tcPr>
            <w:tcW w:w="429" w:type="dxa"/>
            <w:tcBorders>
              <w:bottom w:val="single" w:sz="4" w:space="0" w:color="auto"/>
              <w:right w:val="single" w:sz="18" w:space="0" w:color="auto"/>
            </w:tcBorders>
            <w:shd w:val="clear" w:color="auto" w:fill="FABF8F"/>
            <w:vAlign w:val="center"/>
          </w:tcPr>
          <w:p w:rsidR="00B27742" w:rsidRPr="00A75DF9" w:rsidRDefault="00B27742" w:rsidP="00F9515B">
            <w:pPr>
              <w:pStyle w:val="TableText"/>
              <w:widowControl w:val="0"/>
              <w:rPr>
                <w:rFonts w:ascii="Tahoma" w:hAnsi="Tahoma" w:cs="Tahoma"/>
                <w:sz w:val="13"/>
              </w:rPr>
            </w:pPr>
            <w:r w:rsidRPr="00A75DF9">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A75DF9" w:rsidRDefault="00B27742" w:rsidP="00F9515B">
            <w:pPr>
              <w:pStyle w:val="TableText"/>
              <w:widowControl w:val="0"/>
              <w:rPr>
                <w:rFonts w:ascii="Tahoma" w:hAnsi="Tahoma" w:cs="Tahoma"/>
                <w:sz w:val="13"/>
              </w:rPr>
            </w:pPr>
            <w:r w:rsidRPr="00A75DF9">
              <w:rPr>
                <w:rFonts w:ascii="Tahoma" w:hAnsi="Tahoma" w:cs="Tahoma"/>
                <w:sz w:val="13"/>
              </w:rPr>
              <w:t>1</w:t>
            </w:r>
          </w:p>
        </w:tc>
        <w:tc>
          <w:tcPr>
            <w:tcW w:w="429" w:type="dxa"/>
            <w:tcBorders>
              <w:bottom w:val="single" w:sz="4" w:space="0" w:color="auto"/>
            </w:tcBorders>
            <w:shd w:val="clear" w:color="auto" w:fill="FABF8F"/>
            <w:vAlign w:val="center"/>
          </w:tcPr>
          <w:p w:rsidR="00B27742" w:rsidRPr="00A75DF9" w:rsidRDefault="00B27742" w:rsidP="00F9515B">
            <w:pPr>
              <w:pStyle w:val="TableText"/>
              <w:widowControl w:val="0"/>
              <w:rPr>
                <w:rFonts w:ascii="Tahoma" w:hAnsi="Tahoma" w:cs="Tahoma"/>
                <w:sz w:val="13"/>
              </w:rPr>
            </w:pPr>
            <w:r w:rsidRPr="00A75DF9">
              <w:rPr>
                <w:rFonts w:ascii="Tahoma" w:hAnsi="Tahoma" w:cs="Tahoma"/>
                <w:sz w:val="13"/>
              </w:rPr>
              <w:t>3</w:t>
            </w:r>
          </w:p>
        </w:tc>
        <w:tc>
          <w:tcPr>
            <w:tcW w:w="429" w:type="dxa"/>
            <w:tcBorders>
              <w:bottom w:val="single" w:sz="4" w:space="0" w:color="auto"/>
            </w:tcBorders>
            <w:shd w:val="clear" w:color="auto" w:fill="FABF8F"/>
            <w:vAlign w:val="center"/>
          </w:tcPr>
          <w:p w:rsidR="00B27742" w:rsidRPr="00A75DF9" w:rsidRDefault="00B27742" w:rsidP="00F9515B">
            <w:pPr>
              <w:pStyle w:val="TableText"/>
              <w:widowControl w:val="0"/>
              <w:rPr>
                <w:rFonts w:ascii="Tahoma" w:hAnsi="Tahoma" w:cs="Tahoma"/>
                <w:sz w:val="13"/>
              </w:rPr>
            </w:pPr>
            <w:r w:rsidRPr="00A75DF9">
              <w:rPr>
                <w:rFonts w:ascii="Tahoma" w:hAnsi="Tahoma" w:cs="Tahoma"/>
                <w:sz w:val="13"/>
              </w:rPr>
              <w:t>2</w:t>
            </w:r>
          </w:p>
        </w:tc>
        <w:tc>
          <w:tcPr>
            <w:tcW w:w="429" w:type="dxa"/>
            <w:tcBorders>
              <w:bottom w:val="single" w:sz="4" w:space="0" w:color="auto"/>
            </w:tcBorders>
            <w:shd w:val="clear" w:color="auto" w:fill="FABF8F"/>
            <w:vAlign w:val="center"/>
          </w:tcPr>
          <w:p w:rsidR="00B27742" w:rsidRPr="00A75DF9" w:rsidRDefault="00B27742" w:rsidP="00F9515B">
            <w:pPr>
              <w:pStyle w:val="TableText"/>
              <w:widowControl w:val="0"/>
              <w:rPr>
                <w:rFonts w:ascii="Tahoma" w:hAnsi="Tahoma" w:cs="Tahoma"/>
                <w:sz w:val="13"/>
              </w:rPr>
            </w:pPr>
            <w:r w:rsidRPr="00A75DF9">
              <w:rPr>
                <w:rFonts w:ascii="Tahoma" w:hAnsi="Tahoma" w:cs="Tahoma"/>
                <w:sz w:val="13"/>
              </w:rPr>
              <w:t>2</w:t>
            </w:r>
          </w:p>
        </w:tc>
        <w:tc>
          <w:tcPr>
            <w:tcW w:w="429" w:type="dxa"/>
            <w:tcBorders>
              <w:bottom w:val="single" w:sz="4" w:space="0" w:color="auto"/>
            </w:tcBorders>
            <w:shd w:val="clear" w:color="auto" w:fill="FABF8F"/>
            <w:vAlign w:val="center"/>
          </w:tcPr>
          <w:p w:rsidR="00B27742" w:rsidRPr="00A75DF9" w:rsidRDefault="00B27742" w:rsidP="00F9515B">
            <w:pPr>
              <w:pStyle w:val="TableText"/>
              <w:widowControl w:val="0"/>
              <w:rPr>
                <w:rFonts w:ascii="Tahoma" w:hAnsi="Tahoma" w:cs="Tahoma"/>
                <w:sz w:val="13"/>
              </w:rPr>
            </w:pPr>
            <w:r w:rsidRPr="00A75DF9">
              <w:rPr>
                <w:rFonts w:ascii="Tahoma" w:hAnsi="Tahoma" w:cs="Tahoma"/>
                <w:sz w:val="13"/>
              </w:rPr>
              <w:t>2</w:t>
            </w:r>
          </w:p>
        </w:tc>
        <w:tc>
          <w:tcPr>
            <w:tcW w:w="429" w:type="dxa"/>
            <w:tcBorders>
              <w:bottom w:val="single" w:sz="4" w:space="0" w:color="auto"/>
            </w:tcBorders>
            <w:shd w:val="clear" w:color="auto" w:fill="FABF8F"/>
            <w:vAlign w:val="center"/>
          </w:tcPr>
          <w:p w:rsidR="00B27742" w:rsidRPr="00A75DF9" w:rsidRDefault="00B27742" w:rsidP="00F9515B">
            <w:pPr>
              <w:pStyle w:val="TableText"/>
              <w:widowControl w:val="0"/>
              <w:rPr>
                <w:rFonts w:ascii="Tahoma" w:hAnsi="Tahoma" w:cs="Tahoma"/>
                <w:sz w:val="13"/>
              </w:rPr>
            </w:pPr>
            <w:r w:rsidRPr="00A75DF9">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A75DF9" w:rsidRDefault="00B27742" w:rsidP="00F9515B">
            <w:pPr>
              <w:pStyle w:val="TableText"/>
              <w:widowControl w:val="0"/>
              <w:rPr>
                <w:rFonts w:ascii="Tahoma" w:hAnsi="Tahoma" w:cs="Tahoma"/>
                <w:sz w:val="13"/>
              </w:rPr>
            </w:pPr>
            <w:r w:rsidRPr="00A75DF9">
              <w:rPr>
                <w:rFonts w:ascii="Tahoma" w:hAnsi="Tahoma" w:cs="Tahoma"/>
                <w:sz w:val="13"/>
              </w:rPr>
              <w:t>1</w:t>
            </w:r>
          </w:p>
        </w:tc>
        <w:tc>
          <w:tcPr>
            <w:tcW w:w="405" w:type="dxa"/>
            <w:tcBorders>
              <w:left w:val="single" w:sz="18" w:space="0" w:color="auto"/>
              <w:bottom w:val="single" w:sz="4" w:space="0" w:color="auto"/>
            </w:tcBorders>
            <w:shd w:val="clear" w:color="auto" w:fill="FABF8F"/>
            <w:vAlign w:val="center"/>
          </w:tcPr>
          <w:p w:rsidR="00B27742" w:rsidRPr="00A75DF9" w:rsidRDefault="00B27742" w:rsidP="00F9515B">
            <w:pPr>
              <w:pStyle w:val="TableText"/>
              <w:widowControl w:val="0"/>
              <w:rPr>
                <w:rFonts w:ascii="Tahoma" w:hAnsi="Tahoma" w:cs="Tahoma"/>
                <w:sz w:val="13"/>
              </w:rPr>
            </w:pPr>
            <w:r w:rsidRPr="00A75DF9">
              <w:rPr>
                <w:rFonts w:ascii="Tahoma" w:hAnsi="Tahoma" w:cs="Tahoma"/>
                <w:sz w:val="13"/>
              </w:rPr>
              <w:t>1</w:t>
            </w:r>
          </w:p>
        </w:tc>
        <w:tc>
          <w:tcPr>
            <w:tcW w:w="288" w:type="dxa"/>
            <w:tcBorders>
              <w:bottom w:val="single" w:sz="4" w:space="0" w:color="auto"/>
            </w:tcBorders>
            <w:shd w:val="clear" w:color="auto" w:fill="FABF8F"/>
            <w:vAlign w:val="center"/>
          </w:tcPr>
          <w:p w:rsidR="00B27742" w:rsidRPr="00A75DF9" w:rsidRDefault="00B27742" w:rsidP="00F9515B">
            <w:pPr>
              <w:pStyle w:val="TableText"/>
              <w:widowControl w:val="0"/>
              <w:rPr>
                <w:rFonts w:ascii="Tahoma" w:hAnsi="Tahoma" w:cs="Tahoma"/>
                <w:sz w:val="13"/>
              </w:rPr>
            </w:pPr>
            <w:r w:rsidRPr="00A75DF9">
              <w:rPr>
                <w:rFonts w:ascii="Tahoma" w:hAnsi="Tahoma" w:cs="Tahoma"/>
                <w:sz w:val="13"/>
              </w:rPr>
              <w:t>2</w:t>
            </w:r>
          </w:p>
        </w:tc>
        <w:tc>
          <w:tcPr>
            <w:tcW w:w="315" w:type="dxa"/>
            <w:tcBorders>
              <w:bottom w:val="single" w:sz="4" w:space="0" w:color="auto"/>
              <w:right w:val="single" w:sz="18" w:space="0" w:color="auto"/>
            </w:tcBorders>
            <w:shd w:val="clear" w:color="auto" w:fill="FABF8F"/>
            <w:vAlign w:val="center"/>
          </w:tcPr>
          <w:p w:rsidR="00B27742" w:rsidRPr="00A75DF9" w:rsidRDefault="00B27742" w:rsidP="00F9515B">
            <w:pPr>
              <w:pStyle w:val="TableText"/>
              <w:widowControl w:val="0"/>
              <w:rPr>
                <w:rFonts w:ascii="Tahoma" w:hAnsi="Tahoma" w:cs="Tahoma"/>
                <w:sz w:val="13"/>
              </w:rPr>
            </w:pPr>
            <w:r w:rsidRPr="00A75DF9">
              <w:rPr>
                <w:rFonts w:ascii="Tahoma" w:hAnsi="Tahoma" w:cs="Tahoma"/>
                <w:sz w:val="13"/>
              </w:rPr>
              <w:t>1</w:t>
            </w:r>
          </w:p>
        </w:tc>
        <w:tc>
          <w:tcPr>
            <w:tcW w:w="477" w:type="dxa"/>
            <w:tcBorders>
              <w:left w:val="single" w:sz="18" w:space="0" w:color="auto"/>
              <w:bottom w:val="single" w:sz="4" w:space="0" w:color="auto"/>
            </w:tcBorders>
            <w:shd w:val="clear" w:color="auto" w:fill="FABF8F"/>
            <w:vAlign w:val="center"/>
          </w:tcPr>
          <w:p w:rsidR="00B27742" w:rsidRPr="00A75DF9" w:rsidRDefault="00B27742" w:rsidP="00F9515B">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B27742" w:rsidRPr="00A75DF9" w:rsidRDefault="00B27742" w:rsidP="00F9515B">
            <w:pPr>
              <w:pStyle w:val="TableText"/>
              <w:widowControl w:val="0"/>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FABF8F"/>
            <w:vAlign w:val="center"/>
          </w:tcPr>
          <w:p w:rsidR="00B27742" w:rsidRPr="00A75DF9" w:rsidRDefault="00B27742" w:rsidP="00F9515B">
            <w:pPr>
              <w:pStyle w:val="TableText"/>
              <w:widowControl w:val="0"/>
              <w:rPr>
                <w:rFonts w:ascii="Tahoma" w:hAnsi="Tahoma" w:cs="Tahoma"/>
                <w:sz w:val="13"/>
              </w:rPr>
            </w:pPr>
            <w:r w:rsidRPr="00A75DF9">
              <w:rPr>
                <w:rFonts w:ascii="Tahoma" w:hAnsi="Tahoma" w:cs="Tahoma"/>
                <w:sz w:val="13"/>
              </w:rPr>
              <w:t>P</w:t>
            </w:r>
          </w:p>
        </w:tc>
        <w:tc>
          <w:tcPr>
            <w:tcW w:w="702" w:type="dxa"/>
            <w:tcBorders>
              <w:bottom w:val="single" w:sz="4" w:space="0" w:color="auto"/>
            </w:tcBorders>
            <w:shd w:val="clear" w:color="auto" w:fill="FABF8F"/>
            <w:vAlign w:val="center"/>
          </w:tcPr>
          <w:p w:rsidR="00B27742" w:rsidRPr="00A75DF9" w:rsidRDefault="00B27742" w:rsidP="00080B33">
            <w:pPr>
              <w:pStyle w:val="TableText"/>
              <w:widowControl w:val="0"/>
              <w:rPr>
                <w:rFonts w:ascii="Tahoma" w:hAnsi="Tahoma" w:cs="Tahoma"/>
                <w:sz w:val="13"/>
              </w:rPr>
            </w:pPr>
          </w:p>
        </w:tc>
        <w:tc>
          <w:tcPr>
            <w:tcW w:w="650" w:type="dxa"/>
            <w:tcBorders>
              <w:bottom w:val="single" w:sz="4" w:space="0" w:color="auto"/>
            </w:tcBorders>
            <w:shd w:val="clear" w:color="auto" w:fill="FABF8F"/>
            <w:vAlign w:val="center"/>
          </w:tcPr>
          <w:p w:rsidR="00B27742" w:rsidRPr="00A75DF9" w:rsidRDefault="00B27742" w:rsidP="00F9515B">
            <w:pPr>
              <w:pStyle w:val="TableText"/>
              <w:widowControl w:val="0"/>
              <w:rPr>
                <w:rFonts w:ascii="Tahoma" w:hAnsi="Tahoma" w:cs="Tahoma"/>
                <w:sz w:val="13"/>
              </w:rPr>
            </w:pPr>
          </w:p>
        </w:tc>
      </w:tr>
      <w:tr w:rsidR="00A75DF9" w:rsidRPr="00A75DF9" w:rsidTr="00337A7D">
        <w:trPr>
          <w:cantSplit/>
          <w:trHeight w:val="287"/>
        </w:trPr>
        <w:tc>
          <w:tcPr>
            <w:tcW w:w="2634" w:type="dxa"/>
            <w:tcBorders>
              <w:bottom w:val="single" w:sz="4" w:space="0" w:color="auto"/>
            </w:tcBorders>
            <w:shd w:val="clear" w:color="auto" w:fill="auto"/>
            <w:vAlign w:val="center"/>
          </w:tcPr>
          <w:p w:rsidR="00B27742" w:rsidRPr="00A75DF9" w:rsidRDefault="00B27742" w:rsidP="008B1245">
            <w:pPr>
              <w:pStyle w:val="Heading2"/>
              <w:spacing w:beforeLines="20" w:before="48" w:afterLines="20" w:after="48"/>
              <w:ind w:left="0"/>
              <w:rPr>
                <w:rFonts w:ascii="Tahoma" w:hAnsi="Tahoma" w:cs="Tahoma"/>
                <w:b w:val="0"/>
                <w:sz w:val="14"/>
              </w:rPr>
            </w:pPr>
            <w:bookmarkStart w:id="26" w:name="_Toc336337853"/>
            <w:bookmarkStart w:id="27" w:name="_Toc368309851"/>
            <w:r w:rsidRPr="00A75DF9">
              <w:rPr>
                <w:rFonts w:ascii="Tahoma" w:hAnsi="Tahoma" w:cs="Tahoma"/>
                <w:b w:val="0"/>
                <w:sz w:val="14"/>
              </w:rPr>
              <w:t>InfoPath</w:t>
            </w:r>
            <w:r w:rsidR="009D5D7B" w:rsidRPr="00A75DF9">
              <w:rPr>
                <w:rFonts w:ascii="Tahoma" w:hAnsi="Tahoma" w:cs="Tahoma"/>
                <w:b w:val="0"/>
                <w:sz w:val="14"/>
                <w:vertAlign w:val="superscript"/>
              </w:rPr>
              <w:t>®</w:t>
            </w:r>
            <w:r w:rsidRPr="00A75DF9">
              <w:rPr>
                <w:rFonts w:ascii="Tahoma" w:hAnsi="Tahoma" w:cs="Tahoma"/>
                <w:b w:val="0"/>
                <w:sz w:val="14"/>
              </w:rPr>
              <w:t xml:space="preserve"> </w:t>
            </w:r>
            <w:bookmarkEnd w:id="26"/>
            <w:r w:rsidRPr="00A75DF9">
              <w:rPr>
                <w:rFonts w:ascii="Tahoma" w:hAnsi="Tahoma" w:cs="Tahoma"/>
                <w:b w:val="0"/>
                <w:sz w:val="14"/>
              </w:rPr>
              <w:t>2013</w:t>
            </w:r>
            <w:bookmarkEnd w:id="27"/>
          </w:p>
        </w:tc>
        <w:tc>
          <w:tcPr>
            <w:tcW w:w="427" w:type="dxa"/>
            <w:tcBorders>
              <w:bottom w:val="single" w:sz="4" w:space="0" w:color="auto"/>
            </w:tcBorders>
            <w:shd w:val="clear" w:color="auto" w:fill="auto"/>
            <w:vAlign w:val="center"/>
          </w:tcPr>
          <w:p w:rsidR="00B27742" w:rsidRPr="00A75DF9" w:rsidRDefault="00B27742">
            <w:pPr>
              <w:pStyle w:val="TableText"/>
              <w:widowControl w:val="0"/>
              <w:rPr>
                <w:rStyle w:val="EndnoteReference"/>
                <w:rFonts w:cs="Tahoma"/>
                <w:b w:val="0"/>
                <w:color w:val="0000FF"/>
                <w:sz w:val="13"/>
                <w:szCs w:val="13"/>
                <w:u w:val="single"/>
              </w:rPr>
            </w:pPr>
          </w:p>
        </w:tc>
        <w:tc>
          <w:tcPr>
            <w:tcW w:w="427" w:type="dxa"/>
            <w:tcBorders>
              <w:bottom w:val="single" w:sz="4" w:space="0" w:color="auto"/>
            </w:tcBorders>
            <w:shd w:val="clear" w:color="auto" w:fill="auto"/>
            <w:vAlign w:val="center"/>
          </w:tcPr>
          <w:p w:rsidR="00B27742" w:rsidRPr="00A75DF9" w:rsidRDefault="00B27742" w:rsidP="004000C7">
            <w:pPr>
              <w:pStyle w:val="TableText"/>
              <w:widowControl w:val="0"/>
              <w:rPr>
                <w:rFonts w:ascii="Tahoma" w:hAnsi="Tahoma" w:cs="Tahoma"/>
                <w:sz w:val="13"/>
              </w:rPr>
            </w:pPr>
            <w:r w:rsidRPr="00A75DF9">
              <w:rPr>
                <w:rFonts w:ascii="Tahoma" w:hAnsi="Tahoma" w:cs="Tahoma"/>
                <w:sz w:val="13"/>
              </w:rPr>
              <w:t>04/10</w:t>
            </w:r>
          </w:p>
        </w:tc>
        <w:tc>
          <w:tcPr>
            <w:tcW w:w="429" w:type="dxa"/>
            <w:tcBorders>
              <w:bottom w:val="single" w:sz="4" w:space="0" w:color="auto"/>
              <w:right w:val="single" w:sz="18" w:space="0" w:color="auto"/>
            </w:tcBorders>
            <w:shd w:val="clear" w:color="auto" w:fill="auto"/>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1</w:t>
            </w:r>
          </w:p>
        </w:tc>
        <w:tc>
          <w:tcPr>
            <w:tcW w:w="429" w:type="dxa"/>
            <w:tcBorders>
              <w:bottom w:val="single" w:sz="4" w:space="0" w:color="auto"/>
            </w:tcBorders>
            <w:shd w:val="clear" w:color="auto" w:fill="auto"/>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3</w:t>
            </w:r>
          </w:p>
        </w:tc>
        <w:tc>
          <w:tcPr>
            <w:tcW w:w="429" w:type="dxa"/>
            <w:tcBorders>
              <w:bottom w:val="single" w:sz="4" w:space="0" w:color="auto"/>
            </w:tcBorders>
            <w:shd w:val="clear" w:color="auto" w:fill="auto"/>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2</w:t>
            </w:r>
          </w:p>
        </w:tc>
        <w:tc>
          <w:tcPr>
            <w:tcW w:w="429" w:type="dxa"/>
            <w:tcBorders>
              <w:bottom w:val="single" w:sz="4" w:space="0" w:color="auto"/>
            </w:tcBorders>
            <w:shd w:val="clear" w:color="auto" w:fill="auto"/>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2</w:t>
            </w:r>
          </w:p>
        </w:tc>
        <w:tc>
          <w:tcPr>
            <w:tcW w:w="429" w:type="dxa"/>
            <w:tcBorders>
              <w:bottom w:val="single" w:sz="4" w:space="0" w:color="auto"/>
            </w:tcBorders>
            <w:shd w:val="clear" w:color="auto" w:fill="auto"/>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2</w:t>
            </w:r>
          </w:p>
        </w:tc>
        <w:tc>
          <w:tcPr>
            <w:tcW w:w="429" w:type="dxa"/>
            <w:tcBorders>
              <w:bottom w:val="single" w:sz="4" w:space="0" w:color="auto"/>
            </w:tcBorders>
            <w:shd w:val="clear" w:color="auto" w:fill="auto"/>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1</w:t>
            </w:r>
          </w:p>
        </w:tc>
        <w:tc>
          <w:tcPr>
            <w:tcW w:w="405" w:type="dxa"/>
            <w:tcBorders>
              <w:left w:val="single" w:sz="18" w:space="0" w:color="auto"/>
              <w:bottom w:val="single" w:sz="4" w:space="0" w:color="auto"/>
            </w:tcBorders>
            <w:shd w:val="clear" w:color="auto" w:fill="auto"/>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1</w:t>
            </w:r>
          </w:p>
        </w:tc>
        <w:tc>
          <w:tcPr>
            <w:tcW w:w="288" w:type="dxa"/>
            <w:tcBorders>
              <w:bottom w:val="single" w:sz="4" w:space="0" w:color="auto"/>
            </w:tcBorders>
            <w:shd w:val="clear" w:color="auto" w:fill="auto"/>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2</w:t>
            </w:r>
          </w:p>
        </w:tc>
        <w:tc>
          <w:tcPr>
            <w:tcW w:w="315" w:type="dxa"/>
            <w:tcBorders>
              <w:bottom w:val="single" w:sz="4" w:space="0" w:color="auto"/>
              <w:right w:val="single" w:sz="18" w:space="0" w:color="auto"/>
            </w:tcBorders>
            <w:shd w:val="clear" w:color="auto" w:fill="auto"/>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1</w:t>
            </w:r>
          </w:p>
        </w:tc>
        <w:tc>
          <w:tcPr>
            <w:tcW w:w="477" w:type="dxa"/>
            <w:tcBorders>
              <w:left w:val="single" w:sz="18" w:space="0" w:color="auto"/>
              <w:bottom w:val="single" w:sz="4" w:space="0" w:color="auto"/>
            </w:tcBorders>
            <w:shd w:val="clear" w:color="auto" w:fill="auto"/>
            <w:vAlign w:val="center"/>
          </w:tcPr>
          <w:p w:rsidR="00B27742" w:rsidRPr="00A75DF9" w:rsidRDefault="00B27742" w:rsidP="004B3534">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auto"/>
            <w:vAlign w:val="center"/>
          </w:tcPr>
          <w:p w:rsidR="00B27742" w:rsidRPr="00A75DF9" w:rsidRDefault="00B27742" w:rsidP="004B3534">
            <w:pPr>
              <w:pStyle w:val="TableText"/>
              <w:widowControl w:val="0"/>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auto"/>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P</w:t>
            </w:r>
          </w:p>
        </w:tc>
        <w:tc>
          <w:tcPr>
            <w:tcW w:w="702" w:type="dxa"/>
            <w:tcBorders>
              <w:bottom w:val="single" w:sz="4" w:space="0" w:color="auto"/>
            </w:tcBorders>
            <w:shd w:val="clear" w:color="auto" w:fill="auto"/>
            <w:vAlign w:val="center"/>
          </w:tcPr>
          <w:p w:rsidR="00B27742" w:rsidRPr="00A75DF9" w:rsidRDefault="00B27742" w:rsidP="00080B33">
            <w:pPr>
              <w:pStyle w:val="TableText"/>
              <w:widowControl w:val="0"/>
              <w:rPr>
                <w:rFonts w:ascii="Tahoma" w:hAnsi="Tahoma" w:cs="Tahoma"/>
                <w:sz w:val="13"/>
              </w:rPr>
            </w:pPr>
          </w:p>
        </w:tc>
        <w:tc>
          <w:tcPr>
            <w:tcW w:w="650" w:type="dxa"/>
            <w:tcBorders>
              <w:bottom w:val="single" w:sz="4" w:space="0" w:color="auto"/>
            </w:tcBorders>
            <w:shd w:val="clear" w:color="auto" w:fill="auto"/>
            <w:vAlign w:val="center"/>
          </w:tcPr>
          <w:p w:rsidR="00B27742" w:rsidRPr="00A75DF9" w:rsidRDefault="00B27742" w:rsidP="004B3534">
            <w:pPr>
              <w:pStyle w:val="TableText"/>
              <w:widowControl w:val="0"/>
              <w:rPr>
                <w:rFonts w:ascii="Tahoma" w:hAnsi="Tahoma" w:cs="Tahoma"/>
                <w:sz w:val="13"/>
              </w:rPr>
            </w:pPr>
          </w:p>
        </w:tc>
      </w:tr>
      <w:tr w:rsidR="00A75DF9" w:rsidRPr="00A75DF9" w:rsidTr="00337A7D">
        <w:trPr>
          <w:cantSplit/>
          <w:trHeight w:val="287"/>
        </w:trPr>
        <w:tc>
          <w:tcPr>
            <w:tcW w:w="2634" w:type="dxa"/>
            <w:tcBorders>
              <w:bottom w:val="single" w:sz="4" w:space="0" w:color="auto"/>
            </w:tcBorders>
            <w:shd w:val="clear" w:color="auto" w:fill="FABF8F"/>
            <w:vAlign w:val="center"/>
          </w:tcPr>
          <w:p w:rsidR="00B27742" w:rsidRPr="00A75DF9" w:rsidRDefault="00B27742" w:rsidP="008B1245">
            <w:pPr>
              <w:pStyle w:val="Heading2"/>
              <w:spacing w:beforeLines="20" w:before="48" w:afterLines="20" w:after="48"/>
              <w:ind w:left="0"/>
              <w:rPr>
                <w:rFonts w:ascii="Tahoma" w:hAnsi="Tahoma" w:cs="Tahoma"/>
                <w:b w:val="0"/>
                <w:sz w:val="14"/>
              </w:rPr>
            </w:pPr>
            <w:bookmarkStart w:id="28" w:name="_Toc336337854"/>
            <w:bookmarkStart w:id="29" w:name="_Toc368309852"/>
            <w:r w:rsidRPr="00A75DF9">
              <w:rPr>
                <w:rFonts w:ascii="Tahoma" w:hAnsi="Tahoma" w:cs="Tahoma"/>
                <w:b w:val="0"/>
                <w:sz w:val="14"/>
              </w:rPr>
              <w:t xml:space="preserve">Lync </w:t>
            </w:r>
            <w:bookmarkEnd w:id="28"/>
            <w:r w:rsidRPr="00A75DF9">
              <w:rPr>
                <w:rFonts w:ascii="Tahoma" w:hAnsi="Tahoma" w:cs="Tahoma"/>
                <w:b w:val="0"/>
                <w:sz w:val="14"/>
              </w:rPr>
              <w:t>2013</w:t>
            </w:r>
            <w:bookmarkEnd w:id="29"/>
          </w:p>
        </w:tc>
        <w:tc>
          <w:tcPr>
            <w:tcW w:w="427" w:type="dxa"/>
            <w:tcBorders>
              <w:bottom w:val="single" w:sz="4" w:space="0" w:color="auto"/>
            </w:tcBorders>
            <w:shd w:val="clear" w:color="auto" w:fill="FABF8F"/>
            <w:vAlign w:val="center"/>
          </w:tcPr>
          <w:p w:rsidR="00B27742" w:rsidRPr="00A75DF9" w:rsidRDefault="00B27742">
            <w:pPr>
              <w:pStyle w:val="TableText"/>
              <w:widowControl w:val="0"/>
              <w:rPr>
                <w:rStyle w:val="EndnoteReference"/>
                <w:rFonts w:cs="Tahoma"/>
                <w:b w:val="0"/>
                <w:color w:val="0000FF"/>
                <w:sz w:val="13"/>
                <w:szCs w:val="13"/>
                <w:u w:val="single"/>
              </w:rPr>
            </w:pPr>
            <w:bookmarkStart w:id="30" w:name="_Hlt301882262"/>
            <w:bookmarkStart w:id="31" w:name="_Hlt336250688"/>
          </w:p>
        </w:tc>
        <w:bookmarkEnd w:id="30"/>
        <w:bookmarkEnd w:id="31"/>
        <w:tc>
          <w:tcPr>
            <w:tcW w:w="427" w:type="dxa"/>
            <w:tcBorders>
              <w:bottom w:val="single" w:sz="4" w:space="0" w:color="auto"/>
            </w:tcBorders>
            <w:shd w:val="clear" w:color="auto" w:fill="FABF8F"/>
            <w:vAlign w:val="center"/>
          </w:tcPr>
          <w:p w:rsidR="00B27742" w:rsidRPr="00A75DF9" w:rsidRDefault="00B27742" w:rsidP="004000C7">
            <w:pPr>
              <w:pStyle w:val="TableText"/>
              <w:widowControl w:val="0"/>
              <w:rPr>
                <w:rFonts w:ascii="Tahoma" w:hAnsi="Tahoma" w:cs="Tahoma"/>
                <w:sz w:val="13"/>
              </w:rPr>
            </w:pPr>
            <w:r w:rsidRPr="00A75DF9">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1</w:t>
            </w:r>
          </w:p>
        </w:tc>
        <w:tc>
          <w:tcPr>
            <w:tcW w:w="429" w:type="dxa"/>
            <w:tcBorders>
              <w:bottom w:val="single" w:sz="4" w:space="0" w:color="auto"/>
            </w:tcBorders>
            <w:shd w:val="clear" w:color="auto" w:fill="FABF8F"/>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3</w:t>
            </w:r>
          </w:p>
        </w:tc>
        <w:tc>
          <w:tcPr>
            <w:tcW w:w="429" w:type="dxa"/>
            <w:tcBorders>
              <w:bottom w:val="single" w:sz="4" w:space="0" w:color="auto"/>
            </w:tcBorders>
            <w:shd w:val="clear" w:color="auto" w:fill="FABF8F"/>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2</w:t>
            </w:r>
          </w:p>
        </w:tc>
        <w:tc>
          <w:tcPr>
            <w:tcW w:w="429" w:type="dxa"/>
            <w:tcBorders>
              <w:bottom w:val="single" w:sz="4" w:space="0" w:color="auto"/>
            </w:tcBorders>
            <w:shd w:val="clear" w:color="auto" w:fill="FABF8F"/>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2</w:t>
            </w:r>
          </w:p>
        </w:tc>
        <w:tc>
          <w:tcPr>
            <w:tcW w:w="429" w:type="dxa"/>
            <w:tcBorders>
              <w:bottom w:val="single" w:sz="4" w:space="0" w:color="auto"/>
            </w:tcBorders>
            <w:shd w:val="clear" w:color="auto" w:fill="FABF8F"/>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2</w:t>
            </w:r>
          </w:p>
        </w:tc>
        <w:tc>
          <w:tcPr>
            <w:tcW w:w="429" w:type="dxa"/>
            <w:tcBorders>
              <w:bottom w:val="single" w:sz="4" w:space="0" w:color="auto"/>
            </w:tcBorders>
            <w:shd w:val="clear" w:color="auto" w:fill="FABF8F"/>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1</w:t>
            </w:r>
          </w:p>
        </w:tc>
        <w:tc>
          <w:tcPr>
            <w:tcW w:w="405" w:type="dxa"/>
            <w:tcBorders>
              <w:left w:val="single" w:sz="18" w:space="0" w:color="auto"/>
              <w:bottom w:val="single" w:sz="4" w:space="0" w:color="auto"/>
            </w:tcBorders>
            <w:shd w:val="clear" w:color="auto" w:fill="FABF8F"/>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1</w:t>
            </w:r>
          </w:p>
        </w:tc>
        <w:tc>
          <w:tcPr>
            <w:tcW w:w="288" w:type="dxa"/>
            <w:tcBorders>
              <w:bottom w:val="single" w:sz="4" w:space="0" w:color="auto"/>
            </w:tcBorders>
            <w:shd w:val="clear" w:color="auto" w:fill="FABF8F"/>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2</w:t>
            </w:r>
          </w:p>
        </w:tc>
        <w:tc>
          <w:tcPr>
            <w:tcW w:w="315" w:type="dxa"/>
            <w:tcBorders>
              <w:bottom w:val="single" w:sz="4" w:space="0" w:color="auto"/>
              <w:right w:val="single" w:sz="18" w:space="0" w:color="auto"/>
            </w:tcBorders>
            <w:shd w:val="clear" w:color="auto" w:fill="FABF8F"/>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1</w:t>
            </w:r>
          </w:p>
        </w:tc>
        <w:tc>
          <w:tcPr>
            <w:tcW w:w="477" w:type="dxa"/>
            <w:tcBorders>
              <w:left w:val="single" w:sz="18" w:space="0" w:color="auto"/>
              <w:bottom w:val="single" w:sz="4" w:space="0" w:color="auto"/>
            </w:tcBorders>
            <w:shd w:val="clear" w:color="auto" w:fill="FABF8F"/>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1</w:t>
            </w:r>
          </w:p>
        </w:tc>
        <w:tc>
          <w:tcPr>
            <w:tcW w:w="396" w:type="dxa"/>
            <w:tcBorders>
              <w:bottom w:val="single" w:sz="4" w:space="0" w:color="auto"/>
              <w:right w:val="single" w:sz="18" w:space="0" w:color="auto"/>
            </w:tcBorders>
            <w:shd w:val="clear" w:color="auto" w:fill="FABF8F"/>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A</w:t>
            </w:r>
          </w:p>
        </w:tc>
        <w:tc>
          <w:tcPr>
            <w:tcW w:w="378" w:type="dxa"/>
            <w:tcBorders>
              <w:left w:val="single" w:sz="18" w:space="0" w:color="auto"/>
              <w:bottom w:val="single" w:sz="4" w:space="0" w:color="auto"/>
              <w:right w:val="single" w:sz="18" w:space="0" w:color="auto"/>
            </w:tcBorders>
            <w:shd w:val="clear" w:color="auto" w:fill="FABF8F"/>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P</w:t>
            </w:r>
          </w:p>
        </w:tc>
        <w:tc>
          <w:tcPr>
            <w:tcW w:w="702" w:type="dxa"/>
            <w:tcBorders>
              <w:bottom w:val="single" w:sz="4" w:space="0" w:color="auto"/>
            </w:tcBorders>
            <w:shd w:val="clear" w:color="auto" w:fill="FABF8F"/>
            <w:vAlign w:val="center"/>
          </w:tcPr>
          <w:p w:rsidR="00B27742" w:rsidRPr="00A75DF9" w:rsidRDefault="00F440FF" w:rsidP="00080B33">
            <w:pPr>
              <w:pStyle w:val="TableText"/>
              <w:widowControl w:val="0"/>
              <w:rPr>
                <w:rFonts w:ascii="Tahoma" w:hAnsi="Tahoma" w:cs="Tahoma"/>
                <w:sz w:val="13"/>
              </w:rPr>
            </w:pPr>
            <w:r w:rsidRPr="00A75DF9">
              <w:rPr>
                <w:rFonts w:ascii="Tahoma" w:hAnsi="Tahoma" w:cs="Tahoma"/>
                <w:sz w:val="13"/>
              </w:rPr>
              <w:t>A, ST</w:t>
            </w:r>
          </w:p>
        </w:tc>
        <w:tc>
          <w:tcPr>
            <w:tcW w:w="650" w:type="dxa"/>
            <w:tcBorders>
              <w:bottom w:val="single" w:sz="4" w:space="0" w:color="auto"/>
            </w:tcBorders>
            <w:shd w:val="clear" w:color="auto" w:fill="FABF8F"/>
            <w:vAlign w:val="center"/>
          </w:tcPr>
          <w:p w:rsidR="00B27742" w:rsidRPr="00A75DF9" w:rsidRDefault="00B27742" w:rsidP="004B3534">
            <w:pPr>
              <w:pStyle w:val="TableText"/>
              <w:widowControl w:val="0"/>
              <w:rPr>
                <w:rFonts w:ascii="Tahoma" w:hAnsi="Tahoma" w:cs="Tahoma"/>
                <w:sz w:val="13"/>
              </w:rPr>
            </w:pPr>
          </w:p>
        </w:tc>
      </w:tr>
      <w:tr w:rsidR="00A75DF9" w:rsidRPr="00A75DF9" w:rsidTr="00337A7D">
        <w:trPr>
          <w:cantSplit/>
          <w:trHeight w:val="287"/>
        </w:trPr>
        <w:tc>
          <w:tcPr>
            <w:tcW w:w="2634" w:type="dxa"/>
            <w:tcBorders>
              <w:bottom w:val="single" w:sz="4" w:space="0" w:color="auto"/>
            </w:tcBorders>
            <w:shd w:val="clear" w:color="auto" w:fill="auto"/>
            <w:vAlign w:val="center"/>
          </w:tcPr>
          <w:p w:rsidR="00CA606E" w:rsidRPr="00A75DF9" w:rsidRDefault="00CA606E" w:rsidP="008B1245">
            <w:pPr>
              <w:pStyle w:val="Heading2"/>
              <w:spacing w:beforeLines="20" w:before="48" w:afterLines="20" w:after="48"/>
              <w:ind w:left="0"/>
              <w:rPr>
                <w:rFonts w:ascii="Tahoma" w:hAnsi="Tahoma" w:cs="Tahoma"/>
                <w:b w:val="0"/>
                <w:sz w:val="14"/>
              </w:rPr>
            </w:pPr>
            <w:bookmarkStart w:id="32" w:name="_Toc336337855"/>
            <w:bookmarkStart w:id="33" w:name="_Toc368309853"/>
            <w:r w:rsidRPr="00A75DF9">
              <w:rPr>
                <w:rFonts w:ascii="Tahoma" w:hAnsi="Tahoma" w:cs="Tahoma"/>
                <w:b w:val="0"/>
                <w:sz w:val="14"/>
              </w:rPr>
              <w:t>Lync per Mac 2011</w:t>
            </w:r>
            <w:bookmarkEnd w:id="32"/>
            <w:bookmarkEnd w:id="33"/>
          </w:p>
        </w:tc>
        <w:tc>
          <w:tcPr>
            <w:tcW w:w="427" w:type="dxa"/>
            <w:tcBorders>
              <w:bottom w:val="single" w:sz="4" w:space="0" w:color="auto"/>
            </w:tcBorders>
            <w:shd w:val="clear" w:color="auto" w:fill="auto"/>
            <w:vAlign w:val="center"/>
          </w:tcPr>
          <w:p w:rsidR="00CA606E" w:rsidRPr="00A75DF9" w:rsidRDefault="00B54770" w:rsidP="009832D3">
            <w:pPr>
              <w:pStyle w:val="TableText"/>
              <w:widowControl w:val="0"/>
              <w:rPr>
                <w:rStyle w:val="EndnoteReference"/>
                <w:rFonts w:cs="Tahoma"/>
                <w:b w:val="0"/>
                <w:color w:val="0000FF"/>
                <w:sz w:val="13"/>
                <w:szCs w:val="13"/>
                <w:u w:val="single"/>
              </w:rPr>
            </w:pPr>
            <w:hyperlink w:anchor="_2_Lync_for" w:history="1">
              <w:r w:rsidR="00734B17" w:rsidRPr="00A75DF9">
                <w:rPr>
                  <w:rStyle w:val="Hyperlink"/>
                  <w:rFonts w:cs="Tahoma"/>
                  <w:b/>
                  <w:sz w:val="13"/>
                  <w:szCs w:val="13"/>
                </w:rPr>
                <w:t>2</w:t>
              </w:r>
            </w:hyperlink>
          </w:p>
        </w:tc>
        <w:tc>
          <w:tcPr>
            <w:tcW w:w="427" w:type="dxa"/>
            <w:tcBorders>
              <w:bottom w:val="single" w:sz="4" w:space="0" w:color="auto"/>
            </w:tcBorders>
            <w:shd w:val="clear" w:color="auto" w:fill="auto"/>
            <w:vAlign w:val="center"/>
          </w:tcPr>
          <w:p w:rsidR="00CA606E" w:rsidRPr="00A75DF9" w:rsidRDefault="00C4684B" w:rsidP="004000C7">
            <w:pPr>
              <w:pStyle w:val="TableText"/>
              <w:widowControl w:val="0"/>
              <w:rPr>
                <w:rFonts w:ascii="Tahoma" w:hAnsi="Tahoma" w:cs="Tahoma"/>
                <w:sz w:val="13"/>
              </w:rPr>
            </w:pPr>
            <w:r w:rsidRPr="00A75DF9">
              <w:rPr>
                <w:rFonts w:ascii="Tahoma" w:hAnsi="Tahoma" w:cs="Tahoma"/>
                <w:sz w:val="13"/>
              </w:rPr>
              <w:t>10/11</w:t>
            </w:r>
          </w:p>
        </w:tc>
        <w:tc>
          <w:tcPr>
            <w:tcW w:w="429" w:type="dxa"/>
            <w:tcBorders>
              <w:bottom w:val="single" w:sz="4" w:space="0" w:color="auto"/>
              <w:right w:val="single" w:sz="18" w:space="0" w:color="auto"/>
            </w:tcBorders>
            <w:shd w:val="clear" w:color="auto" w:fill="auto"/>
            <w:vAlign w:val="center"/>
          </w:tcPr>
          <w:p w:rsidR="00CA606E" w:rsidRPr="00A75DF9" w:rsidRDefault="00CA606E" w:rsidP="00703595">
            <w:pPr>
              <w:pStyle w:val="TableText"/>
              <w:widowControl w:val="0"/>
              <w:rPr>
                <w:rFonts w:ascii="Tahoma" w:hAnsi="Tahoma" w:cs="Tahoma"/>
                <w:sz w:val="13"/>
              </w:rPr>
            </w:pPr>
            <w:r w:rsidRPr="00A75DF9">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CA606E" w:rsidRPr="00A75DF9" w:rsidRDefault="00CA606E" w:rsidP="00703595">
            <w:pPr>
              <w:pStyle w:val="TableText"/>
              <w:widowControl w:val="0"/>
              <w:rPr>
                <w:rFonts w:ascii="Tahoma" w:hAnsi="Tahoma" w:cs="Tahoma"/>
                <w:sz w:val="13"/>
              </w:rPr>
            </w:pPr>
            <w:r w:rsidRPr="00A75DF9">
              <w:rPr>
                <w:rFonts w:ascii="Tahoma" w:hAnsi="Tahoma" w:cs="Tahoma"/>
                <w:sz w:val="13"/>
              </w:rPr>
              <w:t>1</w:t>
            </w:r>
          </w:p>
        </w:tc>
        <w:tc>
          <w:tcPr>
            <w:tcW w:w="429" w:type="dxa"/>
            <w:tcBorders>
              <w:bottom w:val="single" w:sz="4" w:space="0" w:color="auto"/>
            </w:tcBorders>
            <w:shd w:val="clear" w:color="auto" w:fill="auto"/>
            <w:vAlign w:val="center"/>
          </w:tcPr>
          <w:p w:rsidR="00CA606E" w:rsidRPr="00A75DF9" w:rsidRDefault="00CA606E" w:rsidP="00703595">
            <w:pPr>
              <w:pStyle w:val="TableText"/>
              <w:widowControl w:val="0"/>
              <w:rPr>
                <w:rFonts w:ascii="Tahoma" w:hAnsi="Tahoma" w:cs="Tahoma"/>
                <w:sz w:val="13"/>
              </w:rPr>
            </w:pPr>
            <w:r w:rsidRPr="00A75DF9">
              <w:rPr>
                <w:rFonts w:ascii="Tahoma" w:hAnsi="Tahoma" w:cs="Tahoma"/>
                <w:sz w:val="13"/>
              </w:rPr>
              <w:t>3</w:t>
            </w:r>
          </w:p>
        </w:tc>
        <w:tc>
          <w:tcPr>
            <w:tcW w:w="429" w:type="dxa"/>
            <w:tcBorders>
              <w:bottom w:val="single" w:sz="4" w:space="0" w:color="auto"/>
            </w:tcBorders>
            <w:shd w:val="clear" w:color="auto" w:fill="auto"/>
            <w:vAlign w:val="center"/>
          </w:tcPr>
          <w:p w:rsidR="00CA606E" w:rsidRPr="00A75DF9" w:rsidRDefault="00CA606E" w:rsidP="00703595">
            <w:pPr>
              <w:pStyle w:val="TableText"/>
              <w:widowControl w:val="0"/>
              <w:rPr>
                <w:rFonts w:ascii="Tahoma" w:hAnsi="Tahoma" w:cs="Tahoma"/>
                <w:sz w:val="13"/>
              </w:rPr>
            </w:pPr>
            <w:r w:rsidRPr="00A75DF9">
              <w:rPr>
                <w:rFonts w:ascii="Tahoma" w:hAnsi="Tahoma" w:cs="Tahoma"/>
                <w:sz w:val="13"/>
              </w:rPr>
              <w:t>2</w:t>
            </w:r>
          </w:p>
        </w:tc>
        <w:tc>
          <w:tcPr>
            <w:tcW w:w="429" w:type="dxa"/>
            <w:tcBorders>
              <w:bottom w:val="single" w:sz="4" w:space="0" w:color="auto"/>
            </w:tcBorders>
            <w:shd w:val="clear" w:color="auto" w:fill="auto"/>
            <w:vAlign w:val="center"/>
          </w:tcPr>
          <w:p w:rsidR="00CA606E" w:rsidRPr="00A75DF9" w:rsidRDefault="00CA606E" w:rsidP="00703595">
            <w:pPr>
              <w:pStyle w:val="TableText"/>
              <w:widowControl w:val="0"/>
              <w:rPr>
                <w:rFonts w:ascii="Tahoma" w:hAnsi="Tahoma" w:cs="Tahoma"/>
                <w:sz w:val="13"/>
              </w:rPr>
            </w:pPr>
            <w:r w:rsidRPr="00A75DF9">
              <w:rPr>
                <w:rFonts w:ascii="Tahoma" w:hAnsi="Tahoma" w:cs="Tahoma"/>
                <w:sz w:val="13"/>
              </w:rPr>
              <w:t>2</w:t>
            </w:r>
          </w:p>
        </w:tc>
        <w:tc>
          <w:tcPr>
            <w:tcW w:w="429" w:type="dxa"/>
            <w:tcBorders>
              <w:bottom w:val="single" w:sz="4" w:space="0" w:color="auto"/>
            </w:tcBorders>
            <w:shd w:val="clear" w:color="auto" w:fill="auto"/>
            <w:vAlign w:val="center"/>
          </w:tcPr>
          <w:p w:rsidR="00CA606E" w:rsidRPr="00A75DF9" w:rsidRDefault="00CA606E" w:rsidP="00703595">
            <w:pPr>
              <w:pStyle w:val="TableText"/>
              <w:widowControl w:val="0"/>
              <w:rPr>
                <w:rFonts w:ascii="Tahoma" w:hAnsi="Tahoma" w:cs="Tahoma"/>
                <w:sz w:val="13"/>
              </w:rPr>
            </w:pPr>
            <w:r w:rsidRPr="00A75DF9">
              <w:rPr>
                <w:rFonts w:ascii="Tahoma" w:hAnsi="Tahoma" w:cs="Tahoma"/>
                <w:sz w:val="13"/>
              </w:rPr>
              <w:t>2</w:t>
            </w:r>
          </w:p>
        </w:tc>
        <w:tc>
          <w:tcPr>
            <w:tcW w:w="429" w:type="dxa"/>
            <w:tcBorders>
              <w:bottom w:val="single" w:sz="4" w:space="0" w:color="auto"/>
            </w:tcBorders>
            <w:shd w:val="clear" w:color="auto" w:fill="auto"/>
            <w:vAlign w:val="center"/>
          </w:tcPr>
          <w:p w:rsidR="00CA606E" w:rsidRPr="00A75DF9" w:rsidRDefault="00CA606E" w:rsidP="00703595">
            <w:pPr>
              <w:pStyle w:val="TableText"/>
              <w:widowControl w:val="0"/>
              <w:rPr>
                <w:rFonts w:ascii="Tahoma" w:hAnsi="Tahoma" w:cs="Tahoma"/>
                <w:sz w:val="13"/>
              </w:rPr>
            </w:pPr>
            <w:r w:rsidRPr="00A75DF9">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CA606E" w:rsidRPr="00A75DF9" w:rsidRDefault="00CA606E" w:rsidP="00703595">
            <w:pPr>
              <w:pStyle w:val="TableText"/>
              <w:widowControl w:val="0"/>
              <w:rPr>
                <w:rFonts w:ascii="Tahoma" w:hAnsi="Tahoma" w:cs="Tahoma"/>
                <w:sz w:val="13"/>
              </w:rPr>
            </w:pPr>
            <w:r w:rsidRPr="00A75DF9">
              <w:rPr>
                <w:rFonts w:ascii="Tahoma" w:hAnsi="Tahoma" w:cs="Tahoma"/>
                <w:sz w:val="13"/>
              </w:rPr>
              <w:t>1</w:t>
            </w:r>
          </w:p>
        </w:tc>
        <w:tc>
          <w:tcPr>
            <w:tcW w:w="405" w:type="dxa"/>
            <w:tcBorders>
              <w:left w:val="single" w:sz="18" w:space="0" w:color="auto"/>
              <w:bottom w:val="single" w:sz="4" w:space="0" w:color="auto"/>
            </w:tcBorders>
            <w:shd w:val="clear" w:color="auto" w:fill="auto"/>
            <w:vAlign w:val="center"/>
          </w:tcPr>
          <w:p w:rsidR="00CA606E" w:rsidRPr="00A75DF9" w:rsidRDefault="00CA606E" w:rsidP="00703595">
            <w:pPr>
              <w:pStyle w:val="TableText"/>
              <w:widowControl w:val="0"/>
              <w:rPr>
                <w:rFonts w:ascii="Tahoma" w:hAnsi="Tahoma" w:cs="Tahoma"/>
                <w:sz w:val="13"/>
              </w:rPr>
            </w:pPr>
            <w:r w:rsidRPr="00A75DF9">
              <w:rPr>
                <w:rFonts w:ascii="Tahoma" w:hAnsi="Tahoma" w:cs="Tahoma"/>
                <w:sz w:val="13"/>
              </w:rPr>
              <w:t>1</w:t>
            </w:r>
          </w:p>
        </w:tc>
        <w:tc>
          <w:tcPr>
            <w:tcW w:w="288" w:type="dxa"/>
            <w:tcBorders>
              <w:bottom w:val="single" w:sz="4" w:space="0" w:color="auto"/>
            </w:tcBorders>
            <w:shd w:val="clear" w:color="auto" w:fill="auto"/>
            <w:vAlign w:val="center"/>
          </w:tcPr>
          <w:p w:rsidR="00CA606E" w:rsidRPr="00A75DF9" w:rsidRDefault="00CA606E" w:rsidP="00703595">
            <w:pPr>
              <w:pStyle w:val="TableText"/>
              <w:widowControl w:val="0"/>
              <w:rPr>
                <w:rFonts w:ascii="Tahoma" w:hAnsi="Tahoma" w:cs="Tahoma"/>
                <w:sz w:val="13"/>
              </w:rPr>
            </w:pPr>
            <w:r w:rsidRPr="00A75DF9">
              <w:rPr>
                <w:rFonts w:ascii="Tahoma" w:hAnsi="Tahoma" w:cs="Tahoma"/>
                <w:sz w:val="13"/>
              </w:rPr>
              <w:t>2</w:t>
            </w:r>
          </w:p>
        </w:tc>
        <w:tc>
          <w:tcPr>
            <w:tcW w:w="315" w:type="dxa"/>
            <w:tcBorders>
              <w:bottom w:val="single" w:sz="4" w:space="0" w:color="auto"/>
              <w:right w:val="single" w:sz="18" w:space="0" w:color="auto"/>
            </w:tcBorders>
            <w:shd w:val="clear" w:color="auto" w:fill="auto"/>
            <w:vAlign w:val="center"/>
          </w:tcPr>
          <w:p w:rsidR="00CA606E" w:rsidRPr="00A75DF9" w:rsidRDefault="00CA606E" w:rsidP="00703595">
            <w:pPr>
              <w:pStyle w:val="TableText"/>
              <w:widowControl w:val="0"/>
              <w:rPr>
                <w:rFonts w:ascii="Tahoma" w:hAnsi="Tahoma" w:cs="Tahoma"/>
                <w:sz w:val="13"/>
              </w:rPr>
            </w:pPr>
            <w:r w:rsidRPr="00A75DF9">
              <w:rPr>
                <w:rFonts w:ascii="Tahoma" w:hAnsi="Tahoma" w:cs="Tahoma"/>
                <w:sz w:val="13"/>
              </w:rPr>
              <w:t>1</w:t>
            </w:r>
          </w:p>
        </w:tc>
        <w:tc>
          <w:tcPr>
            <w:tcW w:w="477" w:type="dxa"/>
            <w:tcBorders>
              <w:left w:val="single" w:sz="18" w:space="0" w:color="auto"/>
              <w:bottom w:val="single" w:sz="4" w:space="0" w:color="auto"/>
            </w:tcBorders>
            <w:shd w:val="clear" w:color="auto" w:fill="auto"/>
            <w:vAlign w:val="center"/>
          </w:tcPr>
          <w:p w:rsidR="00CA606E" w:rsidRPr="00A75DF9" w:rsidRDefault="00CA606E" w:rsidP="00703595">
            <w:pPr>
              <w:pStyle w:val="TableText"/>
              <w:widowControl w:val="0"/>
              <w:rPr>
                <w:rFonts w:ascii="Tahoma" w:hAnsi="Tahoma" w:cs="Tahoma"/>
                <w:sz w:val="13"/>
              </w:rPr>
            </w:pPr>
            <w:r w:rsidRPr="00A75DF9">
              <w:rPr>
                <w:rFonts w:ascii="Tahoma" w:hAnsi="Tahoma" w:cs="Tahoma"/>
                <w:sz w:val="13"/>
              </w:rPr>
              <w:t>1</w:t>
            </w:r>
          </w:p>
        </w:tc>
        <w:tc>
          <w:tcPr>
            <w:tcW w:w="396" w:type="dxa"/>
            <w:tcBorders>
              <w:bottom w:val="single" w:sz="4" w:space="0" w:color="auto"/>
              <w:right w:val="single" w:sz="18" w:space="0" w:color="auto"/>
            </w:tcBorders>
            <w:shd w:val="clear" w:color="auto" w:fill="auto"/>
            <w:vAlign w:val="center"/>
          </w:tcPr>
          <w:p w:rsidR="00CA606E" w:rsidRPr="00A75DF9" w:rsidRDefault="00CA606E" w:rsidP="00703595">
            <w:pPr>
              <w:pStyle w:val="TableText"/>
              <w:widowControl w:val="0"/>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auto"/>
            <w:vAlign w:val="center"/>
          </w:tcPr>
          <w:p w:rsidR="00CA606E" w:rsidRPr="00A75DF9" w:rsidRDefault="00CA606E" w:rsidP="00703595">
            <w:pPr>
              <w:pStyle w:val="TableText"/>
              <w:widowControl w:val="0"/>
              <w:rPr>
                <w:rFonts w:ascii="Tahoma" w:hAnsi="Tahoma" w:cs="Tahoma"/>
                <w:sz w:val="13"/>
              </w:rPr>
            </w:pPr>
            <w:r w:rsidRPr="00A75DF9">
              <w:rPr>
                <w:rFonts w:ascii="Tahoma" w:hAnsi="Tahoma" w:cs="Tahoma"/>
                <w:sz w:val="13"/>
              </w:rPr>
              <w:t>P</w:t>
            </w:r>
          </w:p>
        </w:tc>
        <w:tc>
          <w:tcPr>
            <w:tcW w:w="702" w:type="dxa"/>
            <w:tcBorders>
              <w:bottom w:val="single" w:sz="4" w:space="0" w:color="auto"/>
            </w:tcBorders>
            <w:shd w:val="clear" w:color="auto" w:fill="auto"/>
            <w:vAlign w:val="center"/>
          </w:tcPr>
          <w:p w:rsidR="00CA606E" w:rsidRPr="00A75DF9" w:rsidRDefault="00CA606E" w:rsidP="00080B33">
            <w:pPr>
              <w:pStyle w:val="TableText"/>
              <w:widowControl w:val="0"/>
              <w:rPr>
                <w:rFonts w:ascii="Tahoma" w:hAnsi="Tahoma" w:cs="Tahoma"/>
                <w:sz w:val="13"/>
              </w:rPr>
            </w:pPr>
          </w:p>
        </w:tc>
        <w:tc>
          <w:tcPr>
            <w:tcW w:w="650" w:type="dxa"/>
            <w:tcBorders>
              <w:bottom w:val="single" w:sz="4" w:space="0" w:color="auto"/>
            </w:tcBorders>
            <w:shd w:val="clear" w:color="auto" w:fill="auto"/>
            <w:vAlign w:val="center"/>
          </w:tcPr>
          <w:p w:rsidR="00CA606E" w:rsidRPr="00A75DF9" w:rsidRDefault="00CA606E" w:rsidP="00703595">
            <w:pPr>
              <w:pStyle w:val="TableText"/>
              <w:widowControl w:val="0"/>
              <w:rPr>
                <w:rFonts w:ascii="Tahoma" w:hAnsi="Tahoma" w:cs="Tahoma"/>
                <w:sz w:val="13"/>
              </w:rPr>
            </w:pPr>
          </w:p>
        </w:tc>
      </w:tr>
      <w:tr w:rsidR="00A75DF9" w:rsidRPr="00A75DF9" w:rsidTr="00337A7D">
        <w:trPr>
          <w:cantSplit/>
          <w:trHeight w:val="287"/>
        </w:trPr>
        <w:tc>
          <w:tcPr>
            <w:tcW w:w="2634" w:type="dxa"/>
            <w:tcBorders>
              <w:bottom w:val="single" w:sz="4" w:space="0" w:color="auto"/>
            </w:tcBorders>
            <w:shd w:val="clear" w:color="auto" w:fill="FABF8F"/>
            <w:vAlign w:val="center"/>
          </w:tcPr>
          <w:p w:rsidR="00B27742" w:rsidRPr="00A75DF9" w:rsidRDefault="00B27742" w:rsidP="008B1245">
            <w:pPr>
              <w:pStyle w:val="Heading2"/>
              <w:spacing w:beforeLines="20" w:before="48" w:afterLines="20" w:after="48"/>
              <w:ind w:left="0"/>
              <w:rPr>
                <w:rFonts w:ascii="Tahoma" w:hAnsi="Tahoma" w:cs="Tahoma"/>
                <w:b w:val="0"/>
                <w:sz w:val="14"/>
              </w:rPr>
            </w:pPr>
            <w:bookmarkStart w:id="34" w:name="_Toc235859737"/>
            <w:bookmarkStart w:id="35" w:name="_Toc336337856"/>
            <w:bookmarkStart w:id="36" w:name="_Toc368309854"/>
            <w:r w:rsidRPr="00A75DF9">
              <w:rPr>
                <w:rFonts w:ascii="Tahoma" w:hAnsi="Tahoma" w:cs="Tahoma"/>
                <w:b w:val="0"/>
                <w:sz w:val="14"/>
              </w:rPr>
              <w:t>MapPoint</w:t>
            </w:r>
            <w:r w:rsidR="009D5D7B" w:rsidRPr="00A75DF9">
              <w:rPr>
                <w:rFonts w:ascii="Tahoma" w:hAnsi="Tahoma" w:cs="Tahoma"/>
                <w:b w:val="0"/>
                <w:sz w:val="14"/>
                <w:vertAlign w:val="superscript"/>
              </w:rPr>
              <w:t>®</w:t>
            </w:r>
            <w:r w:rsidRPr="00A75DF9">
              <w:rPr>
                <w:rFonts w:ascii="Tahoma" w:hAnsi="Tahoma" w:cs="Tahoma"/>
                <w:b w:val="0"/>
                <w:sz w:val="14"/>
              </w:rPr>
              <w:t xml:space="preserve"> Fleet Edition </w:t>
            </w:r>
            <w:bookmarkEnd w:id="34"/>
            <w:r w:rsidRPr="00A75DF9">
              <w:rPr>
                <w:rFonts w:ascii="Tahoma" w:hAnsi="Tahoma" w:cs="Tahoma"/>
                <w:b w:val="0"/>
                <w:sz w:val="14"/>
              </w:rPr>
              <w:t>2013</w:t>
            </w:r>
            <w:bookmarkEnd w:id="35"/>
            <w:bookmarkEnd w:id="36"/>
          </w:p>
        </w:tc>
        <w:tc>
          <w:tcPr>
            <w:tcW w:w="427" w:type="dxa"/>
            <w:tcBorders>
              <w:bottom w:val="single" w:sz="4" w:space="0" w:color="auto"/>
            </w:tcBorders>
            <w:shd w:val="clear" w:color="auto" w:fill="FABF8F"/>
            <w:vAlign w:val="center"/>
          </w:tcPr>
          <w:p w:rsidR="00B27742" w:rsidRPr="00A75DF9" w:rsidRDefault="00B27742">
            <w:pPr>
              <w:pStyle w:val="TableText"/>
              <w:widowControl w:val="0"/>
              <w:rPr>
                <w:rStyle w:val="EndnoteReference"/>
                <w:rFonts w:cs="Tahoma"/>
                <w:b w:val="0"/>
                <w:color w:val="0000FF"/>
                <w:sz w:val="13"/>
                <w:szCs w:val="13"/>
                <w:u w:val="single"/>
              </w:rPr>
            </w:pPr>
          </w:p>
        </w:tc>
        <w:tc>
          <w:tcPr>
            <w:tcW w:w="427" w:type="dxa"/>
            <w:tcBorders>
              <w:bottom w:val="single" w:sz="4" w:space="0" w:color="auto"/>
            </w:tcBorders>
            <w:shd w:val="clear" w:color="auto" w:fill="FABF8F"/>
            <w:vAlign w:val="center"/>
          </w:tcPr>
          <w:p w:rsidR="00B27742" w:rsidRPr="00A75DF9" w:rsidRDefault="00097B90" w:rsidP="004000C7">
            <w:pPr>
              <w:pStyle w:val="TableText"/>
              <w:widowControl w:val="0"/>
              <w:rPr>
                <w:rFonts w:ascii="Tahoma" w:hAnsi="Tahoma" w:cs="Tahoma"/>
                <w:sz w:val="13"/>
              </w:rPr>
            </w:pPr>
            <w:r w:rsidRPr="00A75DF9">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4</w:t>
            </w:r>
          </w:p>
        </w:tc>
        <w:tc>
          <w:tcPr>
            <w:tcW w:w="429" w:type="dxa"/>
            <w:tcBorders>
              <w:bottom w:val="single" w:sz="4" w:space="0" w:color="auto"/>
            </w:tcBorders>
            <w:shd w:val="clear" w:color="auto" w:fill="FABF8F"/>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10</w:t>
            </w:r>
          </w:p>
        </w:tc>
        <w:tc>
          <w:tcPr>
            <w:tcW w:w="429" w:type="dxa"/>
            <w:tcBorders>
              <w:bottom w:val="single" w:sz="4" w:space="0" w:color="auto"/>
            </w:tcBorders>
            <w:shd w:val="clear" w:color="auto" w:fill="FABF8F"/>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8</w:t>
            </w:r>
          </w:p>
        </w:tc>
        <w:tc>
          <w:tcPr>
            <w:tcW w:w="429" w:type="dxa"/>
            <w:tcBorders>
              <w:bottom w:val="single" w:sz="4" w:space="0" w:color="auto"/>
            </w:tcBorders>
            <w:shd w:val="clear" w:color="auto" w:fill="FABF8F"/>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6</w:t>
            </w:r>
          </w:p>
        </w:tc>
        <w:tc>
          <w:tcPr>
            <w:tcW w:w="429" w:type="dxa"/>
            <w:tcBorders>
              <w:bottom w:val="single" w:sz="4" w:space="0" w:color="auto"/>
            </w:tcBorders>
            <w:shd w:val="clear" w:color="auto" w:fill="FABF8F"/>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6</w:t>
            </w:r>
          </w:p>
        </w:tc>
        <w:tc>
          <w:tcPr>
            <w:tcW w:w="429" w:type="dxa"/>
            <w:tcBorders>
              <w:bottom w:val="single" w:sz="4" w:space="0" w:color="auto"/>
            </w:tcBorders>
            <w:shd w:val="clear" w:color="auto" w:fill="FABF8F"/>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4</w:t>
            </w:r>
          </w:p>
        </w:tc>
        <w:tc>
          <w:tcPr>
            <w:tcW w:w="429" w:type="dxa"/>
            <w:tcBorders>
              <w:bottom w:val="single" w:sz="4" w:space="0" w:color="auto"/>
              <w:right w:val="single" w:sz="18" w:space="0" w:color="auto"/>
            </w:tcBorders>
            <w:shd w:val="clear" w:color="auto" w:fill="FABF8F"/>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2</w:t>
            </w:r>
          </w:p>
        </w:tc>
        <w:tc>
          <w:tcPr>
            <w:tcW w:w="405" w:type="dxa"/>
            <w:tcBorders>
              <w:left w:val="single" w:sz="18" w:space="0" w:color="auto"/>
              <w:bottom w:val="single" w:sz="4" w:space="0" w:color="auto"/>
            </w:tcBorders>
            <w:shd w:val="clear" w:color="auto" w:fill="FABF8F"/>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4</w:t>
            </w:r>
          </w:p>
        </w:tc>
        <w:tc>
          <w:tcPr>
            <w:tcW w:w="288" w:type="dxa"/>
            <w:tcBorders>
              <w:bottom w:val="single" w:sz="4" w:space="0" w:color="auto"/>
            </w:tcBorders>
            <w:shd w:val="clear" w:color="auto" w:fill="FABF8F"/>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8</w:t>
            </w:r>
          </w:p>
        </w:tc>
        <w:tc>
          <w:tcPr>
            <w:tcW w:w="315" w:type="dxa"/>
            <w:tcBorders>
              <w:bottom w:val="single" w:sz="4" w:space="0" w:color="auto"/>
              <w:right w:val="single" w:sz="18" w:space="0" w:color="auto"/>
            </w:tcBorders>
            <w:shd w:val="clear" w:color="auto" w:fill="FABF8F"/>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4</w:t>
            </w:r>
          </w:p>
        </w:tc>
        <w:tc>
          <w:tcPr>
            <w:tcW w:w="477" w:type="dxa"/>
            <w:tcBorders>
              <w:left w:val="single" w:sz="18" w:space="0" w:color="auto"/>
              <w:bottom w:val="single" w:sz="4" w:space="0" w:color="auto"/>
            </w:tcBorders>
            <w:shd w:val="clear" w:color="auto" w:fill="FABF8F"/>
            <w:vAlign w:val="center"/>
          </w:tcPr>
          <w:p w:rsidR="00B27742" w:rsidRPr="00A75DF9" w:rsidRDefault="00B27742" w:rsidP="004B3534">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A</w:t>
            </w:r>
          </w:p>
        </w:tc>
        <w:tc>
          <w:tcPr>
            <w:tcW w:w="378" w:type="dxa"/>
            <w:tcBorders>
              <w:left w:val="single" w:sz="18" w:space="0" w:color="auto"/>
              <w:bottom w:val="single" w:sz="4" w:space="0" w:color="auto"/>
              <w:right w:val="single" w:sz="18" w:space="0" w:color="auto"/>
            </w:tcBorders>
            <w:shd w:val="clear" w:color="auto" w:fill="FABF8F"/>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P</w:t>
            </w:r>
          </w:p>
        </w:tc>
        <w:tc>
          <w:tcPr>
            <w:tcW w:w="702" w:type="dxa"/>
            <w:tcBorders>
              <w:bottom w:val="single" w:sz="4" w:space="0" w:color="auto"/>
            </w:tcBorders>
            <w:shd w:val="clear" w:color="auto" w:fill="FABF8F"/>
            <w:vAlign w:val="center"/>
          </w:tcPr>
          <w:p w:rsidR="00B27742" w:rsidRPr="00A75DF9" w:rsidRDefault="00B27742" w:rsidP="00080B33">
            <w:pPr>
              <w:pStyle w:val="TableText"/>
              <w:widowControl w:val="0"/>
              <w:rPr>
                <w:rFonts w:ascii="Tahoma" w:hAnsi="Tahoma" w:cs="Tahoma"/>
                <w:sz w:val="13"/>
              </w:rPr>
            </w:pPr>
          </w:p>
        </w:tc>
        <w:tc>
          <w:tcPr>
            <w:tcW w:w="650" w:type="dxa"/>
            <w:tcBorders>
              <w:bottom w:val="single" w:sz="4" w:space="0" w:color="auto"/>
            </w:tcBorders>
            <w:shd w:val="clear" w:color="auto" w:fill="FABF8F"/>
            <w:vAlign w:val="center"/>
          </w:tcPr>
          <w:p w:rsidR="00B27742" w:rsidRPr="00A75DF9" w:rsidRDefault="00B27742" w:rsidP="004B3534">
            <w:pPr>
              <w:pStyle w:val="TableText"/>
              <w:widowControl w:val="0"/>
              <w:rPr>
                <w:rFonts w:ascii="Tahoma" w:hAnsi="Tahoma" w:cs="Tahoma"/>
                <w:sz w:val="13"/>
              </w:rPr>
            </w:pPr>
          </w:p>
        </w:tc>
      </w:tr>
      <w:tr w:rsidR="00A75DF9" w:rsidRPr="00A75DF9" w:rsidTr="00337A7D">
        <w:trPr>
          <w:cantSplit/>
          <w:trHeight w:val="323"/>
        </w:trPr>
        <w:tc>
          <w:tcPr>
            <w:tcW w:w="2634" w:type="dxa"/>
            <w:tcBorders>
              <w:bottom w:val="single" w:sz="4" w:space="0" w:color="auto"/>
            </w:tcBorders>
            <w:shd w:val="clear" w:color="auto" w:fill="auto"/>
            <w:vAlign w:val="center"/>
          </w:tcPr>
          <w:p w:rsidR="00B27742" w:rsidRPr="00A75DF9" w:rsidRDefault="00B27742" w:rsidP="008B1245">
            <w:pPr>
              <w:pStyle w:val="Heading2"/>
              <w:spacing w:beforeLines="20" w:before="48" w:afterLines="20" w:after="48"/>
              <w:ind w:left="0"/>
              <w:rPr>
                <w:rFonts w:ascii="Tahoma" w:hAnsi="Tahoma" w:cs="Tahoma"/>
                <w:b w:val="0"/>
                <w:sz w:val="14"/>
              </w:rPr>
            </w:pPr>
            <w:bookmarkStart w:id="37" w:name="_Toc235859738"/>
            <w:bookmarkStart w:id="38" w:name="_Toc336337857"/>
            <w:bookmarkStart w:id="39" w:name="_Toc368309855"/>
            <w:r w:rsidRPr="00A75DF9">
              <w:rPr>
                <w:rFonts w:ascii="Tahoma" w:hAnsi="Tahoma" w:cs="Tahoma"/>
                <w:b w:val="0"/>
                <w:sz w:val="14"/>
              </w:rPr>
              <w:t>MapPoint</w:t>
            </w:r>
            <w:r w:rsidR="009D5D7B" w:rsidRPr="00A75DF9">
              <w:rPr>
                <w:rFonts w:ascii="Tahoma" w:hAnsi="Tahoma" w:cs="Tahoma"/>
                <w:b w:val="0"/>
                <w:sz w:val="14"/>
                <w:vertAlign w:val="superscript"/>
              </w:rPr>
              <w:t>®</w:t>
            </w:r>
            <w:r w:rsidRPr="00A75DF9">
              <w:rPr>
                <w:rFonts w:ascii="Tahoma" w:hAnsi="Tahoma" w:cs="Tahoma"/>
                <w:b w:val="0"/>
                <w:sz w:val="14"/>
              </w:rPr>
              <w:t xml:space="preserve"> 2013 per Windows</w:t>
            </w:r>
            <w:bookmarkEnd w:id="37"/>
            <w:bookmarkEnd w:id="38"/>
            <w:bookmarkEnd w:id="39"/>
          </w:p>
        </w:tc>
        <w:tc>
          <w:tcPr>
            <w:tcW w:w="427" w:type="dxa"/>
            <w:tcBorders>
              <w:bottom w:val="single" w:sz="4" w:space="0" w:color="auto"/>
            </w:tcBorders>
            <w:shd w:val="clear" w:color="auto" w:fill="auto"/>
            <w:vAlign w:val="center"/>
          </w:tcPr>
          <w:p w:rsidR="00B27742" w:rsidRPr="00A75DF9" w:rsidRDefault="00B27742">
            <w:pPr>
              <w:pStyle w:val="TableText"/>
              <w:widowControl w:val="0"/>
              <w:rPr>
                <w:rStyle w:val="EndnoteReference"/>
                <w:rFonts w:cs="Tahoma"/>
                <w:b w:val="0"/>
                <w:color w:val="0000FF"/>
                <w:sz w:val="13"/>
                <w:szCs w:val="13"/>
                <w:u w:val="single"/>
              </w:rPr>
            </w:pPr>
          </w:p>
        </w:tc>
        <w:tc>
          <w:tcPr>
            <w:tcW w:w="427" w:type="dxa"/>
            <w:tcBorders>
              <w:bottom w:val="single" w:sz="4" w:space="0" w:color="auto"/>
            </w:tcBorders>
            <w:shd w:val="clear" w:color="auto" w:fill="auto"/>
            <w:vAlign w:val="center"/>
          </w:tcPr>
          <w:p w:rsidR="00B27742" w:rsidRPr="00A75DF9" w:rsidRDefault="00097B90" w:rsidP="004000C7">
            <w:pPr>
              <w:pStyle w:val="TableText"/>
              <w:widowControl w:val="0"/>
              <w:rPr>
                <w:rFonts w:ascii="Tahoma" w:hAnsi="Tahoma" w:cs="Tahoma"/>
                <w:color w:val="000000"/>
                <w:sz w:val="13"/>
              </w:rPr>
            </w:pPr>
            <w:r w:rsidRPr="00A75DF9">
              <w:rPr>
                <w:rFonts w:ascii="Tahoma" w:hAnsi="Tahoma" w:cs="Tahoma"/>
                <w:color w:val="000000"/>
                <w:sz w:val="13"/>
              </w:rPr>
              <w:t>03/11</w:t>
            </w:r>
          </w:p>
        </w:tc>
        <w:tc>
          <w:tcPr>
            <w:tcW w:w="429" w:type="dxa"/>
            <w:tcBorders>
              <w:bottom w:val="single" w:sz="4" w:space="0" w:color="auto"/>
              <w:right w:val="single" w:sz="18" w:space="0" w:color="auto"/>
            </w:tcBorders>
            <w:shd w:val="clear" w:color="auto" w:fill="auto"/>
            <w:vAlign w:val="center"/>
          </w:tcPr>
          <w:p w:rsidR="00B27742" w:rsidRPr="00A75DF9" w:rsidRDefault="00B27742" w:rsidP="004B3534">
            <w:pPr>
              <w:pStyle w:val="TableText"/>
              <w:widowControl w:val="0"/>
              <w:rPr>
                <w:rFonts w:ascii="Tahoma" w:hAnsi="Tahoma" w:cs="Tahoma"/>
                <w:color w:val="000000"/>
                <w:sz w:val="13"/>
              </w:rPr>
            </w:pPr>
            <w:r w:rsidRPr="00A75DF9">
              <w:rPr>
                <w:rFonts w:ascii="Tahoma" w:hAnsi="Tahoma" w:cs="Tahoma"/>
                <w:color w:val="000000"/>
                <w:sz w:val="13"/>
              </w:rPr>
              <w:t>DT</w:t>
            </w:r>
          </w:p>
        </w:tc>
        <w:tc>
          <w:tcPr>
            <w:tcW w:w="429" w:type="dxa"/>
            <w:tcBorders>
              <w:left w:val="single" w:sz="18" w:space="0" w:color="auto"/>
              <w:bottom w:val="single" w:sz="4" w:space="0" w:color="auto"/>
            </w:tcBorders>
            <w:shd w:val="clear" w:color="auto" w:fill="auto"/>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1</w:t>
            </w:r>
          </w:p>
        </w:tc>
        <w:tc>
          <w:tcPr>
            <w:tcW w:w="429" w:type="dxa"/>
            <w:tcBorders>
              <w:bottom w:val="single" w:sz="4" w:space="0" w:color="auto"/>
            </w:tcBorders>
            <w:shd w:val="clear" w:color="auto" w:fill="auto"/>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3</w:t>
            </w:r>
          </w:p>
        </w:tc>
        <w:tc>
          <w:tcPr>
            <w:tcW w:w="429" w:type="dxa"/>
            <w:tcBorders>
              <w:bottom w:val="single" w:sz="4" w:space="0" w:color="auto"/>
            </w:tcBorders>
            <w:shd w:val="clear" w:color="auto" w:fill="auto"/>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2</w:t>
            </w:r>
          </w:p>
        </w:tc>
        <w:tc>
          <w:tcPr>
            <w:tcW w:w="429" w:type="dxa"/>
            <w:tcBorders>
              <w:bottom w:val="single" w:sz="4" w:space="0" w:color="auto"/>
            </w:tcBorders>
            <w:shd w:val="clear" w:color="auto" w:fill="auto"/>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2</w:t>
            </w:r>
          </w:p>
        </w:tc>
        <w:tc>
          <w:tcPr>
            <w:tcW w:w="429" w:type="dxa"/>
            <w:tcBorders>
              <w:bottom w:val="single" w:sz="4" w:space="0" w:color="auto"/>
            </w:tcBorders>
            <w:shd w:val="clear" w:color="auto" w:fill="auto"/>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2</w:t>
            </w:r>
          </w:p>
        </w:tc>
        <w:tc>
          <w:tcPr>
            <w:tcW w:w="429" w:type="dxa"/>
            <w:tcBorders>
              <w:bottom w:val="single" w:sz="4" w:space="0" w:color="auto"/>
            </w:tcBorders>
            <w:shd w:val="clear" w:color="auto" w:fill="auto"/>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1</w:t>
            </w:r>
          </w:p>
        </w:tc>
        <w:tc>
          <w:tcPr>
            <w:tcW w:w="405" w:type="dxa"/>
            <w:tcBorders>
              <w:left w:val="single" w:sz="18" w:space="0" w:color="auto"/>
              <w:bottom w:val="single" w:sz="4" w:space="0" w:color="auto"/>
            </w:tcBorders>
            <w:shd w:val="clear" w:color="auto" w:fill="auto"/>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1</w:t>
            </w:r>
          </w:p>
        </w:tc>
        <w:tc>
          <w:tcPr>
            <w:tcW w:w="288" w:type="dxa"/>
            <w:tcBorders>
              <w:bottom w:val="single" w:sz="4" w:space="0" w:color="auto"/>
            </w:tcBorders>
            <w:shd w:val="clear" w:color="auto" w:fill="auto"/>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2</w:t>
            </w:r>
          </w:p>
        </w:tc>
        <w:tc>
          <w:tcPr>
            <w:tcW w:w="315" w:type="dxa"/>
            <w:tcBorders>
              <w:bottom w:val="single" w:sz="4" w:space="0" w:color="auto"/>
              <w:right w:val="single" w:sz="18" w:space="0" w:color="auto"/>
            </w:tcBorders>
            <w:shd w:val="clear" w:color="auto" w:fill="auto"/>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1</w:t>
            </w:r>
          </w:p>
        </w:tc>
        <w:tc>
          <w:tcPr>
            <w:tcW w:w="477" w:type="dxa"/>
            <w:tcBorders>
              <w:left w:val="single" w:sz="18" w:space="0" w:color="auto"/>
              <w:bottom w:val="single" w:sz="4" w:space="0" w:color="auto"/>
            </w:tcBorders>
            <w:shd w:val="clear" w:color="auto" w:fill="auto"/>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1</w:t>
            </w:r>
          </w:p>
        </w:tc>
        <w:tc>
          <w:tcPr>
            <w:tcW w:w="396" w:type="dxa"/>
            <w:tcBorders>
              <w:bottom w:val="single" w:sz="4" w:space="0" w:color="auto"/>
              <w:right w:val="single" w:sz="18" w:space="0" w:color="auto"/>
            </w:tcBorders>
            <w:shd w:val="clear" w:color="auto" w:fill="auto"/>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A</w:t>
            </w:r>
          </w:p>
        </w:tc>
        <w:tc>
          <w:tcPr>
            <w:tcW w:w="378" w:type="dxa"/>
            <w:tcBorders>
              <w:left w:val="single" w:sz="18" w:space="0" w:color="auto"/>
              <w:bottom w:val="single" w:sz="4" w:space="0" w:color="auto"/>
              <w:right w:val="single" w:sz="18" w:space="0" w:color="auto"/>
            </w:tcBorders>
            <w:shd w:val="clear" w:color="auto" w:fill="auto"/>
            <w:vAlign w:val="center"/>
          </w:tcPr>
          <w:p w:rsidR="00B27742" w:rsidRPr="00A75DF9" w:rsidRDefault="00B27742" w:rsidP="004B3534">
            <w:pPr>
              <w:pStyle w:val="TableText"/>
              <w:widowControl w:val="0"/>
              <w:rPr>
                <w:rFonts w:ascii="Tahoma" w:hAnsi="Tahoma" w:cs="Tahoma"/>
                <w:sz w:val="13"/>
              </w:rPr>
            </w:pPr>
            <w:r w:rsidRPr="00A75DF9">
              <w:rPr>
                <w:rFonts w:ascii="Tahoma" w:hAnsi="Tahoma" w:cs="Tahoma"/>
                <w:sz w:val="13"/>
              </w:rPr>
              <w:t>P</w:t>
            </w:r>
          </w:p>
        </w:tc>
        <w:tc>
          <w:tcPr>
            <w:tcW w:w="702" w:type="dxa"/>
            <w:tcBorders>
              <w:bottom w:val="single" w:sz="4" w:space="0" w:color="auto"/>
            </w:tcBorders>
            <w:shd w:val="clear" w:color="auto" w:fill="auto"/>
            <w:vAlign w:val="center"/>
          </w:tcPr>
          <w:p w:rsidR="00B27742" w:rsidRPr="00A75DF9" w:rsidRDefault="00F440FF" w:rsidP="00080B33">
            <w:pPr>
              <w:pStyle w:val="TableText"/>
              <w:widowControl w:val="0"/>
              <w:rPr>
                <w:rFonts w:ascii="Tahoma" w:hAnsi="Tahoma" w:cs="Tahoma"/>
                <w:sz w:val="13"/>
              </w:rPr>
            </w:pPr>
            <w:r w:rsidRPr="00A75DF9">
              <w:rPr>
                <w:rFonts w:ascii="Tahoma" w:hAnsi="Tahoma" w:cs="Tahoma"/>
                <w:sz w:val="13"/>
              </w:rPr>
              <w:t>A, AO, ST</w:t>
            </w:r>
          </w:p>
        </w:tc>
        <w:tc>
          <w:tcPr>
            <w:tcW w:w="650" w:type="dxa"/>
            <w:tcBorders>
              <w:bottom w:val="single" w:sz="4" w:space="0" w:color="auto"/>
            </w:tcBorders>
            <w:shd w:val="clear" w:color="auto" w:fill="auto"/>
            <w:vAlign w:val="center"/>
          </w:tcPr>
          <w:p w:rsidR="00B27742" w:rsidRPr="00A75DF9" w:rsidRDefault="00B27742" w:rsidP="004B3534">
            <w:pPr>
              <w:pStyle w:val="TableText"/>
              <w:widowControl w:val="0"/>
              <w:rPr>
                <w:rFonts w:ascii="Tahoma" w:hAnsi="Tahoma" w:cs="Tahoma"/>
                <w:sz w:val="13"/>
              </w:rPr>
            </w:pPr>
          </w:p>
        </w:tc>
      </w:tr>
      <w:tr w:rsidR="00A75DF9" w:rsidRPr="00A75DF9" w:rsidTr="00337A7D">
        <w:trPr>
          <w:cantSplit/>
          <w:trHeight w:val="323"/>
        </w:trPr>
        <w:tc>
          <w:tcPr>
            <w:tcW w:w="2634" w:type="dxa"/>
            <w:tcBorders>
              <w:bottom w:val="single" w:sz="4" w:space="0" w:color="auto"/>
            </w:tcBorders>
            <w:shd w:val="clear" w:color="auto" w:fill="FABF8F"/>
            <w:vAlign w:val="center"/>
          </w:tcPr>
          <w:p w:rsidR="00BB54E8" w:rsidRPr="00A75DF9" w:rsidRDefault="0075377C" w:rsidP="008B1245">
            <w:pPr>
              <w:pStyle w:val="Heading2"/>
              <w:spacing w:beforeLines="20" w:before="48" w:afterLines="20" w:after="48"/>
              <w:ind w:left="0"/>
              <w:rPr>
                <w:rFonts w:ascii="Tahoma" w:hAnsi="Tahoma" w:cs="Tahoma"/>
                <w:b w:val="0"/>
                <w:sz w:val="14"/>
              </w:rPr>
            </w:pPr>
            <w:bookmarkStart w:id="40" w:name="_Toc368309856"/>
            <w:r w:rsidRPr="00A75DF9">
              <w:rPr>
                <w:rFonts w:ascii="Tahoma" w:hAnsi="Tahoma" w:cs="Tahoma"/>
                <w:b w:val="0"/>
                <w:sz w:val="14"/>
              </w:rPr>
              <w:t>Microsoft Dynamics CRM Online Basic</w:t>
            </w:r>
            <w:bookmarkEnd w:id="40"/>
          </w:p>
        </w:tc>
        <w:tc>
          <w:tcPr>
            <w:tcW w:w="427" w:type="dxa"/>
            <w:tcBorders>
              <w:bottom w:val="single" w:sz="4" w:space="0" w:color="auto"/>
            </w:tcBorders>
            <w:shd w:val="clear" w:color="auto" w:fill="FABF8F"/>
            <w:vAlign w:val="center"/>
          </w:tcPr>
          <w:p w:rsidR="00BB54E8" w:rsidRPr="00A75DF9" w:rsidRDefault="00B54770" w:rsidP="00362445">
            <w:pPr>
              <w:pStyle w:val="TableText"/>
              <w:widowControl w:val="0"/>
              <w:rPr>
                <w:rStyle w:val="EndnoteReference"/>
                <w:rFonts w:cs="Tahoma"/>
                <w:b w:val="0"/>
                <w:color w:val="0000FF"/>
                <w:sz w:val="13"/>
                <w:szCs w:val="13"/>
                <w:u w:val="single"/>
              </w:rPr>
            </w:pPr>
            <w:hyperlink w:anchor="_70_Microsoft_Dynamics" w:history="1">
              <w:hyperlink w:anchor="_70_Microsoft_Dynamics" w:history="1">
                <w:r w:rsidR="00982110" w:rsidRPr="00982110">
                  <w:rPr>
                    <w:rStyle w:val="Hyperlink"/>
                    <w:rFonts w:cs="Tahoma"/>
                    <w:b/>
                    <w:sz w:val="13"/>
                    <w:szCs w:val="13"/>
                  </w:rPr>
                  <w:t>7</w:t>
                </w:r>
              </w:hyperlink>
              <w:r w:rsidR="00982110" w:rsidRPr="00982110">
                <w:rPr>
                  <w:rStyle w:val="Hyperlink"/>
                  <w:rFonts w:cs="Tahoma"/>
                  <w:b/>
                  <w:sz w:val="13"/>
                  <w:szCs w:val="13"/>
                </w:rPr>
                <w:t>4</w:t>
              </w:r>
            </w:hyperlink>
          </w:p>
        </w:tc>
        <w:tc>
          <w:tcPr>
            <w:tcW w:w="427" w:type="dxa"/>
            <w:tcBorders>
              <w:bottom w:val="single" w:sz="4" w:space="0" w:color="auto"/>
            </w:tcBorders>
            <w:shd w:val="clear" w:color="auto" w:fill="FABF8F"/>
            <w:vAlign w:val="center"/>
          </w:tcPr>
          <w:p w:rsidR="00BB54E8" w:rsidRPr="00A75DF9" w:rsidRDefault="0075377C" w:rsidP="004000C7">
            <w:pPr>
              <w:pStyle w:val="TableText"/>
              <w:widowControl w:val="0"/>
              <w:rPr>
                <w:rFonts w:ascii="Tahoma" w:hAnsi="Tahoma" w:cs="Tahoma"/>
                <w:color w:val="000000"/>
                <w:sz w:val="13"/>
              </w:rPr>
            </w:pPr>
            <w:r w:rsidRPr="00A75DF9">
              <w:rPr>
                <w:rFonts w:ascii="Tahoma" w:hAnsi="Tahoma" w:cs="Tahoma"/>
                <w:color w:val="000000"/>
                <w:sz w:val="13"/>
              </w:rPr>
              <w:t>10/13</w:t>
            </w:r>
          </w:p>
        </w:tc>
        <w:tc>
          <w:tcPr>
            <w:tcW w:w="429" w:type="dxa"/>
            <w:tcBorders>
              <w:bottom w:val="single" w:sz="4" w:space="0" w:color="auto"/>
              <w:right w:val="single" w:sz="18" w:space="0" w:color="auto"/>
            </w:tcBorders>
            <w:shd w:val="clear" w:color="auto" w:fill="FABF8F"/>
            <w:vAlign w:val="center"/>
          </w:tcPr>
          <w:p w:rsidR="00BB54E8" w:rsidRPr="00A75DF9" w:rsidRDefault="00BB54E8" w:rsidP="004B3534">
            <w:pPr>
              <w:pStyle w:val="TableText"/>
              <w:widowControl w:val="0"/>
              <w:rPr>
                <w:rFonts w:ascii="Tahoma" w:hAnsi="Tahoma" w:cs="Tahoma"/>
                <w:color w:val="000000"/>
                <w:sz w:val="13"/>
              </w:rPr>
            </w:pPr>
          </w:p>
        </w:tc>
        <w:tc>
          <w:tcPr>
            <w:tcW w:w="429" w:type="dxa"/>
            <w:tcBorders>
              <w:left w:val="single" w:sz="18" w:space="0" w:color="auto"/>
              <w:bottom w:val="single" w:sz="4" w:space="0" w:color="auto"/>
            </w:tcBorders>
            <w:shd w:val="clear" w:color="auto" w:fill="FABF8F"/>
            <w:vAlign w:val="center"/>
          </w:tcPr>
          <w:p w:rsidR="00BB54E8" w:rsidRPr="00A75DF9" w:rsidRDefault="00BB54E8"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BB54E8" w:rsidRPr="00A75DF9" w:rsidRDefault="00BB54E8"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BB54E8" w:rsidRPr="00A75DF9" w:rsidRDefault="00BB54E8"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BB54E8" w:rsidRPr="00A75DF9" w:rsidRDefault="00BB54E8"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BB54E8" w:rsidRPr="00A75DF9" w:rsidRDefault="00BB54E8"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BB54E8" w:rsidRPr="00A75DF9" w:rsidRDefault="00BB54E8"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B54E8" w:rsidRPr="00A75DF9" w:rsidRDefault="00BB54E8" w:rsidP="004B3534">
            <w:pPr>
              <w:pStyle w:val="TableText"/>
              <w:widowControl w:val="0"/>
              <w:rPr>
                <w:rFonts w:ascii="Tahoma" w:hAnsi="Tahoma" w:cs="Tahoma"/>
                <w:sz w:val="13"/>
              </w:rPr>
            </w:pPr>
          </w:p>
        </w:tc>
        <w:tc>
          <w:tcPr>
            <w:tcW w:w="405" w:type="dxa"/>
            <w:tcBorders>
              <w:left w:val="single" w:sz="18" w:space="0" w:color="auto"/>
              <w:bottom w:val="single" w:sz="4" w:space="0" w:color="auto"/>
            </w:tcBorders>
            <w:shd w:val="clear" w:color="auto" w:fill="FABF8F"/>
            <w:vAlign w:val="center"/>
          </w:tcPr>
          <w:p w:rsidR="00BB54E8" w:rsidRPr="00A75DF9" w:rsidRDefault="00BB54E8" w:rsidP="004B3534">
            <w:pPr>
              <w:pStyle w:val="TableText"/>
              <w:widowControl w:val="0"/>
              <w:rPr>
                <w:rFonts w:ascii="Tahoma" w:hAnsi="Tahoma" w:cs="Tahoma"/>
                <w:sz w:val="13"/>
              </w:rPr>
            </w:pPr>
          </w:p>
        </w:tc>
        <w:tc>
          <w:tcPr>
            <w:tcW w:w="288" w:type="dxa"/>
            <w:tcBorders>
              <w:bottom w:val="single" w:sz="4" w:space="0" w:color="auto"/>
            </w:tcBorders>
            <w:shd w:val="clear" w:color="auto" w:fill="FABF8F"/>
            <w:vAlign w:val="center"/>
          </w:tcPr>
          <w:p w:rsidR="00BB54E8" w:rsidRPr="00A75DF9" w:rsidRDefault="00BB54E8" w:rsidP="004B3534">
            <w:pPr>
              <w:pStyle w:val="TableText"/>
              <w:widowControl w:val="0"/>
              <w:rPr>
                <w:rFonts w:ascii="Tahoma" w:hAnsi="Tahoma" w:cs="Tahoma"/>
                <w:sz w:val="13"/>
              </w:rPr>
            </w:pPr>
          </w:p>
        </w:tc>
        <w:tc>
          <w:tcPr>
            <w:tcW w:w="315" w:type="dxa"/>
            <w:tcBorders>
              <w:bottom w:val="single" w:sz="4" w:space="0" w:color="auto"/>
              <w:right w:val="single" w:sz="18" w:space="0" w:color="auto"/>
            </w:tcBorders>
            <w:shd w:val="clear" w:color="auto" w:fill="FABF8F"/>
            <w:vAlign w:val="center"/>
          </w:tcPr>
          <w:p w:rsidR="00BB54E8" w:rsidRPr="00A75DF9" w:rsidRDefault="00BB54E8" w:rsidP="004B3534">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FABF8F"/>
            <w:vAlign w:val="center"/>
          </w:tcPr>
          <w:p w:rsidR="00BB54E8" w:rsidRPr="00A75DF9" w:rsidRDefault="00BB54E8" w:rsidP="004B3534">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BB54E8" w:rsidRPr="00A75DF9" w:rsidRDefault="00BB54E8" w:rsidP="004B3534">
            <w:pPr>
              <w:pStyle w:val="TableText"/>
              <w:widowControl w:val="0"/>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FABF8F"/>
            <w:vAlign w:val="center"/>
          </w:tcPr>
          <w:p w:rsidR="00BB54E8" w:rsidRPr="00A75DF9" w:rsidRDefault="00BB54E8" w:rsidP="004B3534">
            <w:pPr>
              <w:pStyle w:val="TableText"/>
              <w:widowControl w:val="0"/>
              <w:rPr>
                <w:rFonts w:ascii="Tahoma" w:hAnsi="Tahoma" w:cs="Tahoma"/>
                <w:sz w:val="13"/>
              </w:rPr>
            </w:pPr>
          </w:p>
        </w:tc>
        <w:tc>
          <w:tcPr>
            <w:tcW w:w="702" w:type="dxa"/>
            <w:tcBorders>
              <w:bottom w:val="single" w:sz="4" w:space="0" w:color="auto"/>
            </w:tcBorders>
            <w:shd w:val="clear" w:color="auto" w:fill="FABF8F"/>
            <w:vAlign w:val="center"/>
          </w:tcPr>
          <w:p w:rsidR="00BB54E8" w:rsidRPr="00A75DF9" w:rsidRDefault="00BB54E8" w:rsidP="00080B33">
            <w:pPr>
              <w:pStyle w:val="TableText"/>
              <w:widowControl w:val="0"/>
              <w:rPr>
                <w:rFonts w:ascii="Tahoma" w:hAnsi="Tahoma" w:cs="Tahoma"/>
                <w:sz w:val="13"/>
              </w:rPr>
            </w:pPr>
          </w:p>
        </w:tc>
        <w:tc>
          <w:tcPr>
            <w:tcW w:w="650" w:type="dxa"/>
            <w:tcBorders>
              <w:bottom w:val="single" w:sz="4" w:space="0" w:color="auto"/>
            </w:tcBorders>
            <w:shd w:val="clear" w:color="auto" w:fill="FABF8F"/>
            <w:vAlign w:val="center"/>
          </w:tcPr>
          <w:p w:rsidR="00BB54E8" w:rsidRPr="00A75DF9" w:rsidRDefault="00BB54E8" w:rsidP="004B3534">
            <w:pPr>
              <w:pStyle w:val="TableText"/>
              <w:widowControl w:val="0"/>
              <w:rPr>
                <w:rFonts w:ascii="Tahoma" w:hAnsi="Tahoma" w:cs="Tahoma"/>
                <w:sz w:val="13"/>
              </w:rPr>
            </w:pPr>
          </w:p>
        </w:tc>
      </w:tr>
      <w:tr w:rsidR="00A75DF9" w:rsidRPr="00A75DF9" w:rsidTr="00337A7D">
        <w:trPr>
          <w:cantSplit/>
          <w:trHeight w:val="323"/>
        </w:trPr>
        <w:tc>
          <w:tcPr>
            <w:tcW w:w="2634" w:type="dxa"/>
            <w:tcBorders>
              <w:bottom w:val="single" w:sz="4" w:space="0" w:color="auto"/>
            </w:tcBorders>
            <w:shd w:val="clear" w:color="auto" w:fill="auto"/>
            <w:vAlign w:val="center"/>
          </w:tcPr>
          <w:p w:rsidR="0075377C" w:rsidRPr="00A75DF9" w:rsidRDefault="0075377C" w:rsidP="008B1245">
            <w:pPr>
              <w:pStyle w:val="Heading2"/>
              <w:spacing w:beforeLines="20" w:before="48" w:afterLines="20" w:after="48"/>
              <w:ind w:left="0"/>
              <w:rPr>
                <w:rFonts w:ascii="Tahoma" w:hAnsi="Tahoma" w:cs="Tahoma"/>
                <w:b w:val="0"/>
                <w:sz w:val="14"/>
              </w:rPr>
            </w:pPr>
            <w:bookmarkStart w:id="41" w:name="_Toc368309857"/>
            <w:r w:rsidRPr="00A75DF9">
              <w:rPr>
                <w:rFonts w:ascii="Tahoma" w:hAnsi="Tahoma" w:cs="Tahoma"/>
                <w:b w:val="0"/>
                <w:sz w:val="14"/>
              </w:rPr>
              <w:t>Microsoft Dynamics CRM Online Enhanced Support</w:t>
            </w:r>
            <w:bookmarkEnd w:id="41"/>
          </w:p>
        </w:tc>
        <w:tc>
          <w:tcPr>
            <w:tcW w:w="427" w:type="dxa"/>
            <w:tcBorders>
              <w:bottom w:val="single" w:sz="4" w:space="0" w:color="auto"/>
            </w:tcBorders>
            <w:shd w:val="clear" w:color="auto" w:fill="auto"/>
            <w:vAlign w:val="center"/>
          </w:tcPr>
          <w:p w:rsidR="0075377C" w:rsidRPr="00A75DF9" w:rsidRDefault="00B54770">
            <w:pPr>
              <w:pStyle w:val="TableText"/>
              <w:widowControl w:val="0"/>
              <w:rPr>
                <w:rStyle w:val="EndnoteReference"/>
                <w:rFonts w:cs="Tahoma"/>
                <w:b w:val="0"/>
                <w:color w:val="0000FF"/>
                <w:sz w:val="13"/>
                <w:szCs w:val="13"/>
                <w:u w:val="single"/>
              </w:rPr>
            </w:pPr>
            <w:hyperlink w:anchor="_70_Microsoft_Dynamics" w:history="1">
              <w:hyperlink w:anchor="_70_Microsoft_Dynamics" w:history="1">
                <w:r w:rsidR="00982110" w:rsidRPr="00982110">
                  <w:rPr>
                    <w:rStyle w:val="Hyperlink"/>
                    <w:rFonts w:cs="Tahoma"/>
                    <w:b/>
                    <w:sz w:val="13"/>
                    <w:szCs w:val="13"/>
                  </w:rPr>
                  <w:t>7</w:t>
                </w:r>
              </w:hyperlink>
              <w:r w:rsidR="00982110" w:rsidRPr="00982110">
                <w:rPr>
                  <w:rStyle w:val="Hyperlink"/>
                  <w:rFonts w:cs="Tahoma"/>
                  <w:b/>
                  <w:sz w:val="13"/>
                  <w:szCs w:val="13"/>
                </w:rPr>
                <w:t>4</w:t>
              </w:r>
            </w:hyperlink>
          </w:p>
        </w:tc>
        <w:tc>
          <w:tcPr>
            <w:tcW w:w="427" w:type="dxa"/>
            <w:tcBorders>
              <w:bottom w:val="single" w:sz="4" w:space="0" w:color="auto"/>
            </w:tcBorders>
            <w:shd w:val="clear" w:color="auto" w:fill="auto"/>
            <w:vAlign w:val="center"/>
          </w:tcPr>
          <w:p w:rsidR="0075377C" w:rsidRPr="00A75DF9" w:rsidRDefault="0075377C" w:rsidP="004000C7">
            <w:pPr>
              <w:pStyle w:val="TableText"/>
              <w:widowControl w:val="0"/>
              <w:rPr>
                <w:rFonts w:ascii="Tahoma" w:hAnsi="Tahoma" w:cs="Tahoma"/>
                <w:color w:val="000000"/>
                <w:sz w:val="13"/>
              </w:rPr>
            </w:pPr>
            <w:r w:rsidRPr="00A75DF9">
              <w:rPr>
                <w:rFonts w:ascii="Tahoma" w:hAnsi="Tahoma" w:cs="Tahoma"/>
                <w:color w:val="000000"/>
                <w:sz w:val="13"/>
              </w:rPr>
              <w:t>10/13</w:t>
            </w:r>
          </w:p>
        </w:tc>
        <w:tc>
          <w:tcPr>
            <w:tcW w:w="429" w:type="dxa"/>
            <w:tcBorders>
              <w:bottom w:val="single" w:sz="4" w:space="0" w:color="auto"/>
              <w:right w:val="single" w:sz="18" w:space="0" w:color="auto"/>
            </w:tcBorders>
            <w:shd w:val="clear" w:color="auto" w:fill="auto"/>
            <w:vAlign w:val="center"/>
          </w:tcPr>
          <w:p w:rsidR="0075377C" w:rsidRPr="00A75DF9" w:rsidRDefault="0075377C" w:rsidP="004B3534">
            <w:pPr>
              <w:pStyle w:val="TableText"/>
              <w:widowControl w:val="0"/>
              <w:rPr>
                <w:rFonts w:ascii="Tahoma" w:hAnsi="Tahoma" w:cs="Tahoma"/>
                <w:color w:val="000000"/>
                <w:sz w:val="13"/>
              </w:rPr>
            </w:pPr>
          </w:p>
        </w:tc>
        <w:tc>
          <w:tcPr>
            <w:tcW w:w="429" w:type="dxa"/>
            <w:tcBorders>
              <w:left w:val="single" w:sz="18" w:space="0" w:color="auto"/>
              <w:bottom w:val="single" w:sz="4" w:space="0" w:color="auto"/>
            </w:tcBorders>
            <w:shd w:val="clear" w:color="auto" w:fill="auto"/>
            <w:vAlign w:val="center"/>
          </w:tcPr>
          <w:p w:rsidR="0075377C" w:rsidRPr="00A75DF9" w:rsidRDefault="0075377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5377C" w:rsidRPr="00A75DF9" w:rsidRDefault="0075377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5377C" w:rsidRPr="00A75DF9" w:rsidRDefault="0075377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5377C" w:rsidRPr="00A75DF9" w:rsidRDefault="0075377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5377C" w:rsidRPr="00A75DF9" w:rsidRDefault="0075377C"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75377C" w:rsidRPr="00A75DF9" w:rsidRDefault="0075377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75377C" w:rsidRPr="00A75DF9" w:rsidRDefault="0075377C" w:rsidP="004B3534">
            <w:pPr>
              <w:pStyle w:val="TableText"/>
              <w:widowControl w:val="0"/>
              <w:rPr>
                <w:rFonts w:ascii="Tahoma" w:hAnsi="Tahoma" w:cs="Tahoma"/>
                <w:sz w:val="13"/>
              </w:rPr>
            </w:pPr>
          </w:p>
        </w:tc>
        <w:tc>
          <w:tcPr>
            <w:tcW w:w="405" w:type="dxa"/>
            <w:tcBorders>
              <w:left w:val="single" w:sz="18" w:space="0" w:color="auto"/>
              <w:bottom w:val="single" w:sz="4" w:space="0" w:color="auto"/>
            </w:tcBorders>
            <w:shd w:val="clear" w:color="auto" w:fill="auto"/>
            <w:vAlign w:val="center"/>
          </w:tcPr>
          <w:p w:rsidR="0075377C" w:rsidRPr="00A75DF9" w:rsidRDefault="0075377C" w:rsidP="004B3534">
            <w:pPr>
              <w:pStyle w:val="TableText"/>
              <w:widowControl w:val="0"/>
              <w:rPr>
                <w:rFonts w:ascii="Tahoma" w:hAnsi="Tahoma" w:cs="Tahoma"/>
                <w:sz w:val="13"/>
              </w:rPr>
            </w:pPr>
          </w:p>
        </w:tc>
        <w:tc>
          <w:tcPr>
            <w:tcW w:w="288" w:type="dxa"/>
            <w:tcBorders>
              <w:bottom w:val="single" w:sz="4" w:space="0" w:color="auto"/>
            </w:tcBorders>
            <w:shd w:val="clear" w:color="auto" w:fill="auto"/>
            <w:vAlign w:val="center"/>
          </w:tcPr>
          <w:p w:rsidR="0075377C" w:rsidRPr="00A75DF9" w:rsidRDefault="0075377C" w:rsidP="004B3534">
            <w:pPr>
              <w:pStyle w:val="TableText"/>
              <w:widowControl w:val="0"/>
              <w:rPr>
                <w:rFonts w:ascii="Tahoma" w:hAnsi="Tahoma" w:cs="Tahoma"/>
                <w:sz w:val="13"/>
              </w:rPr>
            </w:pPr>
          </w:p>
        </w:tc>
        <w:tc>
          <w:tcPr>
            <w:tcW w:w="315" w:type="dxa"/>
            <w:tcBorders>
              <w:bottom w:val="single" w:sz="4" w:space="0" w:color="auto"/>
              <w:right w:val="single" w:sz="18" w:space="0" w:color="auto"/>
            </w:tcBorders>
            <w:shd w:val="clear" w:color="auto" w:fill="auto"/>
            <w:vAlign w:val="center"/>
          </w:tcPr>
          <w:p w:rsidR="0075377C" w:rsidRPr="00A75DF9" w:rsidRDefault="0075377C" w:rsidP="004B3534">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auto"/>
            <w:vAlign w:val="center"/>
          </w:tcPr>
          <w:p w:rsidR="0075377C" w:rsidRPr="00A75DF9" w:rsidRDefault="0075377C" w:rsidP="004B3534">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auto"/>
            <w:vAlign w:val="center"/>
          </w:tcPr>
          <w:p w:rsidR="0075377C" w:rsidRPr="00A75DF9" w:rsidRDefault="0075377C" w:rsidP="004B3534">
            <w:pPr>
              <w:pStyle w:val="TableText"/>
              <w:widowControl w:val="0"/>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auto"/>
            <w:vAlign w:val="center"/>
          </w:tcPr>
          <w:p w:rsidR="0075377C" w:rsidRPr="00A75DF9" w:rsidRDefault="0075377C" w:rsidP="004B3534">
            <w:pPr>
              <w:pStyle w:val="TableText"/>
              <w:widowControl w:val="0"/>
              <w:rPr>
                <w:rFonts w:ascii="Tahoma" w:hAnsi="Tahoma" w:cs="Tahoma"/>
                <w:sz w:val="13"/>
              </w:rPr>
            </w:pPr>
          </w:p>
        </w:tc>
        <w:tc>
          <w:tcPr>
            <w:tcW w:w="702" w:type="dxa"/>
            <w:tcBorders>
              <w:bottom w:val="single" w:sz="4" w:space="0" w:color="auto"/>
            </w:tcBorders>
            <w:shd w:val="clear" w:color="auto" w:fill="auto"/>
            <w:vAlign w:val="center"/>
          </w:tcPr>
          <w:p w:rsidR="0075377C" w:rsidRPr="00A75DF9" w:rsidRDefault="0075377C" w:rsidP="00080B33">
            <w:pPr>
              <w:pStyle w:val="TableText"/>
              <w:widowControl w:val="0"/>
              <w:rPr>
                <w:rFonts w:ascii="Tahoma" w:hAnsi="Tahoma" w:cs="Tahoma"/>
                <w:sz w:val="13"/>
              </w:rPr>
            </w:pPr>
          </w:p>
        </w:tc>
        <w:tc>
          <w:tcPr>
            <w:tcW w:w="650" w:type="dxa"/>
            <w:tcBorders>
              <w:bottom w:val="single" w:sz="4" w:space="0" w:color="auto"/>
            </w:tcBorders>
            <w:shd w:val="clear" w:color="auto" w:fill="auto"/>
            <w:vAlign w:val="center"/>
          </w:tcPr>
          <w:p w:rsidR="0075377C" w:rsidRPr="00A75DF9" w:rsidRDefault="0075377C" w:rsidP="004B3534">
            <w:pPr>
              <w:pStyle w:val="TableText"/>
              <w:widowControl w:val="0"/>
              <w:rPr>
                <w:rFonts w:ascii="Tahoma" w:hAnsi="Tahoma" w:cs="Tahoma"/>
                <w:sz w:val="13"/>
              </w:rPr>
            </w:pPr>
          </w:p>
        </w:tc>
      </w:tr>
      <w:tr w:rsidR="00A75DF9" w:rsidRPr="00A75DF9" w:rsidTr="00337A7D">
        <w:trPr>
          <w:cantSplit/>
          <w:trHeight w:val="323"/>
        </w:trPr>
        <w:tc>
          <w:tcPr>
            <w:tcW w:w="2634" w:type="dxa"/>
            <w:tcBorders>
              <w:bottom w:val="single" w:sz="4" w:space="0" w:color="auto"/>
            </w:tcBorders>
            <w:shd w:val="clear" w:color="auto" w:fill="FABF8F"/>
            <w:vAlign w:val="center"/>
          </w:tcPr>
          <w:p w:rsidR="00BB54E8" w:rsidRPr="00A75DF9" w:rsidRDefault="0075377C" w:rsidP="008B1245">
            <w:pPr>
              <w:pStyle w:val="Heading2"/>
              <w:spacing w:beforeLines="20" w:before="48" w:afterLines="20" w:after="48"/>
              <w:ind w:left="0"/>
              <w:rPr>
                <w:rFonts w:ascii="Tahoma" w:hAnsi="Tahoma" w:cs="Tahoma"/>
                <w:b w:val="0"/>
                <w:sz w:val="14"/>
              </w:rPr>
            </w:pPr>
            <w:bookmarkStart w:id="42" w:name="_Toc368309858"/>
            <w:r w:rsidRPr="00A75DF9">
              <w:rPr>
                <w:rFonts w:ascii="Tahoma" w:hAnsi="Tahoma" w:cs="Tahoma"/>
                <w:b w:val="0"/>
                <w:sz w:val="14"/>
              </w:rPr>
              <w:t>Microsoft Dynamics CRM Online Essential</w:t>
            </w:r>
            <w:bookmarkEnd w:id="42"/>
          </w:p>
        </w:tc>
        <w:tc>
          <w:tcPr>
            <w:tcW w:w="427" w:type="dxa"/>
            <w:tcBorders>
              <w:bottom w:val="single" w:sz="4" w:space="0" w:color="auto"/>
            </w:tcBorders>
            <w:shd w:val="clear" w:color="auto" w:fill="FABF8F"/>
            <w:vAlign w:val="center"/>
          </w:tcPr>
          <w:p w:rsidR="00BB54E8" w:rsidRPr="00A75DF9" w:rsidRDefault="00B54770">
            <w:pPr>
              <w:pStyle w:val="TableText"/>
              <w:widowControl w:val="0"/>
              <w:rPr>
                <w:rStyle w:val="EndnoteReference"/>
                <w:rFonts w:cs="Tahoma"/>
                <w:b w:val="0"/>
                <w:color w:val="0000FF"/>
                <w:sz w:val="13"/>
                <w:szCs w:val="13"/>
                <w:u w:val="single"/>
              </w:rPr>
            </w:pPr>
            <w:hyperlink w:anchor="_70_Microsoft_Dynamics" w:history="1">
              <w:hyperlink w:anchor="_70_Microsoft_Dynamics" w:history="1">
                <w:r w:rsidR="00982110" w:rsidRPr="00982110">
                  <w:rPr>
                    <w:rStyle w:val="Hyperlink"/>
                    <w:rFonts w:cs="Tahoma"/>
                    <w:b/>
                    <w:sz w:val="13"/>
                    <w:szCs w:val="13"/>
                  </w:rPr>
                  <w:t>7</w:t>
                </w:r>
              </w:hyperlink>
              <w:r w:rsidR="00982110" w:rsidRPr="00982110">
                <w:rPr>
                  <w:rStyle w:val="Hyperlink"/>
                  <w:rFonts w:cs="Tahoma"/>
                  <w:b/>
                  <w:sz w:val="13"/>
                  <w:szCs w:val="13"/>
                </w:rPr>
                <w:t>4</w:t>
              </w:r>
            </w:hyperlink>
          </w:p>
        </w:tc>
        <w:tc>
          <w:tcPr>
            <w:tcW w:w="427" w:type="dxa"/>
            <w:tcBorders>
              <w:bottom w:val="single" w:sz="4" w:space="0" w:color="auto"/>
            </w:tcBorders>
            <w:shd w:val="clear" w:color="auto" w:fill="FABF8F"/>
            <w:vAlign w:val="center"/>
          </w:tcPr>
          <w:p w:rsidR="00BB54E8" w:rsidRPr="00A75DF9" w:rsidRDefault="0075377C" w:rsidP="004000C7">
            <w:pPr>
              <w:pStyle w:val="TableText"/>
              <w:widowControl w:val="0"/>
              <w:rPr>
                <w:rFonts w:ascii="Tahoma" w:hAnsi="Tahoma" w:cs="Tahoma"/>
                <w:color w:val="000000"/>
                <w:sz w:val="13"/>
              </w:rPr>
            </w:pPr>
            <w:r w:rsidRPr="00A75DF9">
              <w:rPr>
                <w:rFonts w:ascii="Tahoma" w:hAnsi="Tahoma" w:cs="Tahoma"/>
                <w:color w:val="000000"/>
                <w:sz w:val="13"/>
              </w:rPr>
              <w:t>10/13</w:t>
            </w:r>
          </w:p>
        </w:tc>
        <w:tc>
          <w:tcPr>
            <w:tcW w:w="429" w:type="dxa"/>
            <w:tcBorders>
              <w:bottom w:val="single" w:sz="4" w:space="0" w:color="auto"/>
              <w:right w:val="single" w:sz="18" w:space="0" w:color="auto"/>
            </w:tcBorders>
            <w:shd w:val="clear" w:color="auto" w:fill="FABF8F"/>
            <w:vAlign w:val="center"/>
          </w:tcPr>
          <w:p w:rsidR="00BB54E8" w:rsidRPr="00A75DF9" w:rsidRDefault="00BB54E8" w:rsidP="004B3534">
            <w:pPr>
              <w:pStyle w:val="TableText"/>
              <w:widowControl w:val="0"/>
              <w:rPr>
                <w:rFonts w:ascii="Tahoma" w:hAnsi="Tahoma" w:cs="Tahoma"/>
                <w:color w:val="000000"/>
                <w:sz w:val="13"/>
              </w:rPr>
            </w:pPr>
          </w:p>
        </w:tc>
        <w:tc>
          <w:tcPr>
            <w:tcW w:w="429" w:type="dxa"/>
            <w:tcBorders>
              <w:left w:val="single" w:sz="18" w:space="0" w:color="auto"/>
              <w:bottom w:val="single" w:sz="4" w:space="0" w:color="auto"/>
            </w:tcBorders>
            <w:shd w:val="clear" w:color="auto" w:fill="FABF8F"/>
            <w:vAlign w:val="center"/>
          </w:tcPr>
          <w:p w:rsidR="00BB54E8" w:rsidRPr="00A75DF9" w:rsidRDefault="00BB54E8"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BB54E8" w:rsidRPr="00A75DF9" w:rsidRDefault="00BB54E8"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BB54E8" w:rsidRPr="00A75DF9" w:rsidRDefault="00BB54E8"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BB54E8" w:rsidRPr="00A75DF9" w:rsidRDefault="00BB54E8"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BB54E8" w:rsidRPr="00A75DF9" w:rsidRDefault="00BB54E8"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BB54E8" w:rsidRPr="00A75DF9" w:rsidRDefault="00BB54E8"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B54E8" w:rsidRPr="00A75DF9" w:rsidRDefault="00BB54E8" w:rsidP="004B3534">
            <w:pPr>
              <w:pStyle w:val="TableText"/>
              <w:widowControl w:val="0"/>
              <w:rPr>
                <w:rFonts w:ascii="Tahoma" w:hAnsi="Tahoma" w:cs="Tahoma"/>
                <w:sz w:val="13"/>
              </w:rPr>
            </w:pPr>
          </w:p>
        </w:tc>
        <w:tc>
          <w:tcPr>
            <w:tcW w:w="405" w:type="dxa"/>
            <w:tcBorders>
              <w:left w:val="single" w:sz="18" w:space="0" w:color="auto"/>
              <w:bottom w:val="single" w:sz="4" w:space="0" w:color="auto"/>
            </w:tcBorders>
            <w:shd w:val="clear" w:color="auto" w:fill="FABF8F"/>
            <w:vAlign w:val="center"/>
          </w:tcPr>
          <w:p w:rsidR="00BB54E8" w:rsidRPr="00A75DF9" w:rsidRDefault="00BB54E8" w:rsidP="004B3534">
            <w:pPr>
              <w:pStyle w:val="TableText"/>
              <w:widowControl w:val="0"/>
              <w:rPr>
                <w:rFonts w:ascii="Tahoma" w:hAnsi="Tahoma" w:cs="Tahoma"/>
                <w:sz w:val="13"/>
              </w:rPr>
            </w:pPr>
          </w:p>
        </w:tc>
        <w:tc>
          <w:tcPr>
            <w:tcW w:w="288" w:type="dxa"/>
            <w:tcBorders>
              <w:bottom w:val="single" w:sz="4" w:space="0" w:color="auto"/>
            </w:tcBorders>
            <w:shd w:val="clear" w:color="auto" w:fill="FABF8F"/>
            <w:vAlign w:val="center"/>
          </w:tcPr>
          <w:p w:rsidR="00BB54E8" w:rsidRPr="00A75DF9" w:rsidRDefault="00BB54E8" w:rsidP="004B3534">
            <w:pPr>
              <w:pStyle w:val="TableText"/>
              <w:widowControl w:val="0"/>
              <w:rPr>
                <w:rFonts w:ascii="Tahoma" w:hAnsi="Tahoma" w:cs="Tahoma"/>
                <w:sz w:val="13"/>
              </w:rPr>
            </w:pPr>
          </w:p>
        </w:tc>
        <w:tc>
          <w:tcPr>
            <w:tcW w:w="315" w:type="dxa"/>
            <w:tcBorders>
              <w:bottom w:val="single" w:sz="4" w:space="0" w:color="auto"/>
              <w:right w:val="single" w:sz="18" w:space="0" w:color="auto"/>
            </w:tcBorders>
            <w:shd w:val="clear" w:color="auto" w:fill="FABF8F"/>
            <w:vAlign w:val="center"/>
          </w:tcPr>
          <w:p w:rsidR="00BB54E8" w:rsidRPr="00A75DF9" w:rsidRDefault="00BB54E8" w:rsidP="004B3534">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FABF8F"/>
            <w:vAlign w:val="center"/>
          </w:tcPr>
          <w:p w:rsidR="00BB54E8" w:rsidRPr="00A75DF9" w:rsidRDefault="00BB54E8" w:rsidP="004B3534">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BB54E8" w:rsidRPr="00A75DF9" w:rsidRDefault="00BB54E8" w:rsidP="004B3534">
            <w:pPr>
              <w:pStyle w:val="TableText"/>
              <w:widowControl w:val="0"/>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FABF8F"/>
            <w:vAlign w:val="center"/>
          </w:tcPr>
          <w:p w:rsidR="00BB54E8" w:rsidRPr="00A75DF9" w:rsidRDefault="00BB54E8" w:rsidP="004B3534">
            <w:pPr>
              <w:pStyle w:val="TableText"/>
              <w:widowControl w:val="0"/>
              <w:rPr>
                <w:rFonts w:ascii="Tahoma" w:hAnsi="Tahoma" w:cs="Tahoma"/>
                <w:sz w:val="13"/>
              </w:rPr>
            </w:pPr>
          </w:p>
        </w:tc>
        <w:tc>
          <w:tcPr>
            <w:tcW w:w="702" w:type="dxa"/>
            <w:tcBorders>
              <w:bottom w:val="single" w:sz="4" w:space="0" w:color="auto"/>
            </w:tcBorders>
            <w:shd w:val="clear" w:color="auto" w:fill="FABF8F"/>
            <w:vAlign w:val="center"/>
          </w:tcPr>
          <w:p w:rsidR="00BB54E8" w:rsidRPr="00A75DF9" w:rsidRDefault="00BB54E8" w:rsidP="00080B33">
            <w:pPr>
              <w:pStyle w:val="TableText"/>
              <w:widowControl w:val="0"/>
              <w:rPr>
                <w:rFonts w:ascii="Tahoma" w:hAnsi="Tahoma" w:cs="Tahoma"/>
                <w:sz w:val="13"/>
              </w:rPr>
            </w:pPr>
          </w:p>
        </w:tc>
        <w:tc>
          <w:tcPr>
            <w:tcW w:w="650" w:type="dxa"/>
            <w:tcBorders>
              <w:bottom w:val="single" w:sz="4" w:space="0" w:color="auto"/>
            </w:tcBorders>
            <w:shd w:val="clear" w:color="auto" w:fill="FABF8F"/>
            <w:vAlign w:val="center"/>
          </w:tcPr>
          <w:p w:rsidR="00BB54E8" w:rsidRPr="00A75DF9" w:rsidRDefault="00BB54E8" w:rsidP="004B3534">
            <w:pPr>
              <w:pStyle w:val="TableText"/>
              <w:widowControl w:val="0"/>
              <w:rPr>
                <w:rFonts w:ascii="Tahoma" w:hAnsi="Tahoma" w:cs="Tahoma"/>
                <w:sz w:val="13"/>
              </w:rPr>
            </w:pPr>
          </w:p>
        </w:tc>
      </w:tr>
      <w:tr w:rsidR="00A75DF9" w:rsidRPr="00A75DF9" w:rsidTr="00337A7D">
        <w:trPr>
          <w:cantSplit/>
          <w:trHeight w:val="323"/>
        </w:trPr>
        <w:tc>
          <w:tcPr>
            <w:tcW w:w="2634" w:type="dxa"/>
            <w:tcBorders>
              <w:bottom w:val="single" w:sz="4" w:space="0" w:color="auto"/>
            </w:tcBorders>
            <w:shd w:val="clear" w:color="auto" w:fill="auto"/>
            <w:vAlign w:val="center"/>
          </w:tcPr>
          <w:p w:rsidR="004D5959" w:rsidRPr="00A75DF9" w:rsidRDefault="004D5959" w:rsidP="008B1245">
            <w:pPr>
              <w:pStyle w:val="Heading2"/>
              <w:spacing w:beforeLines="20" w:before="48" w:afterLines="20" w:after="48"/>
              <w:ind w:left="0"/>
              <w:rPr>
                <w:rFonts w:ascii="Tahoma" w:hAnsi="Tahoma" w:cs="Tahoma"/>
                <w:b w:val="0"/>
                <w:sz w:val="14"/>
              </w:rPr>
            </w:pPr>
            <w:bookmarkStart w:id="43" w:name="_Toc368309859"/>
            <w:r w:rsidRPr="00A75DF9">
              <w:rPr>
                <w:rFonts w:ascii="Tahoma" w:hAnsi="Tahoma" w:cs="Tahoma"/>
                <w:b w:val="0"/>
                <w:sz w:val="14"/>
              </w:rPr>
              <w:t xml:space="preserve">Microsoft Dynamics CRM Online </w:t>
            </w:r>
            <w:r w:rsidR="00A75DF9">
              <w:rPr>
                <w:rFonts w:ascii="Tahoma" w:hAnsi="Tahoma" w:cs="Tahoma"/>
                <w:b w:val="0"/>
                <w:sz w:val="14"/>
              </w:rPr>
              <w:br/>
            </w:r>
            <w:r w:rsidRPr="00A75DF9">
              <w:rPr>
                <w:rFonts w:ascii="Tahoma" w:hAnsi="Tahoma" w:cs="Tahoma"/>
                <w:b w:val="0"/>
                <w:sz w:val="14"/>
              </w:rPr>
              <w:t>Non-Production Instance</w:t>
            </w:r>
            <w:bookmarkEnd w:id="43"/>
          </w:p>
        </w:tc>
        <w:tc>
          <w:tcPr>
            <w:tcW w:w="427" w:type="dxa"/>
            <w:tcBorders>
              <w:bottom w:val="single" w:sz="4" w:space="0" w:color="auto"/>
            </w:tcBorders>
            <w:shd w:val="clear" w:color="auto" w:fill="auto"/>
            <w:vAlign w:val="center"/>
          </w:tcPr>
          <w:p w:rsidR="004D5959" w:rsidRPr="00A75DF9" w:rsidRDefault="00B54770">
            <w:pPr>
              <w:pStyle w:val="TableText"/>
              <w:widowControl w:val="0"/>
              <w:rPr>
                <w:rStyle w:val="EndnoteReference"/>
                <w:rFonts w:cs="Tahoma"/>
                <w:b w:val="0"/>
                <w:color w:val="0000FF"/>
                <w:sz w:val="13"/>
                <w:szCs w:val="13"/>
                <w:u w:val="single"/>
              </w:rPr>
            </w:pPr>
            <w:hyperlink w:anchor="_70_Microsoft_Dynamics" w:history="1">
              <w:hyperlink w:anchor="_70_Microsoft_Dynamics" w:history="1">
                <w:r w:rsidR="00982110" w:rsidRPr="00982110">
                  <w:rPr>
                    <w:rStyle w:val="Hyperlink"/>
                    <w:rFonts w:cs="Tahoma"/>
                    <w:b/>
                    <w:sz w:val="13"/>
                    <w:szCs w:val="13"/>
                  </w:rPr>
                  <w:t>7</w:t>
                </w:r>
              </w:hyperlink>
              <w:r w:rsidR="00982110" w:rsidRPr="00982110">
                <w:rPr>
                  <w:rStyle w:val="Hyperlink"/>
                  <w:rFonts w:cs="Tahoma"/>
                  <w:b/>
                  <w:sz w:val="13"/>
                  <w:szCs w:val="13"/>
                </w:rPr>
                <w:t>4</w:t>
              </w:r>
            </w:hyperlink>
          </w:p>
        </w:tc>
        <w:tc>
          <w:tcPr>
            <w:tcW w:w="427" w:type="dxa"/>
            <w:tcBorders>
              <w:bottom w:val="single" w:sz="4" w:space="0" w:color="auto"/>
            </w:tcBorders>
            <w:shd w:val="clear" w:color="auto" w:fill="auto"/>
            <w:vAlign w:val="center"/>
          </w:tcPr>
          <w:p w:rsidR="004D5959" w:rsidRPr="00A75DF9" w:rsidRDefault="005D777A" w:rsidP="004000C7">
            <w:pPr>
              <w:pStyle w:val="TableText"/>
              <w:widowControl w:val="0"/>
              <w:rPr>
                <w:rFonts w:ascii="Tahoma" w:hAnsi="Tahoma" w:cs="Tahoma"/>
                <w:color w:val="000000"/>
                <w:sz w:val="13"/>
              </w:rPr>
            </w:pPr>
            <w:r w:rsidRPr="00A75DF9">
              <w:rPr>
                <w:rFonts w:ascii="Tahoma" w:hAnsi="Tahoma" w:cs="Tahoma"/>
                <w:color w:val="000000"/>
                <w:sz w:val="13"/>
              </w:rPr>
              <w:t>10/13</w:t>
            </w:r>
          </w:p>
        </w:tc>
        <w:tc>
          <w:tcPr>
            <w:tcW w:w="429" w:type="dxa"/>
            <w:tcBorders>
              <w:bottom w:val="single" w:sz="4" w:space="0" w:color="auto"/>
              <w:right w:val="single" w:sz="18" w:space="0" w:color="auto"/>
            </w:tcBorders>
            <w:shd w:val="clear" w:color="auto" w:fill="auto"/>
            <w:vAlign w:val="center"/>
          </w:tcPr>
          <w:p w:rsidR="004D5959" w:rsidRPr="00A75DF9" w:rsidRDefault="004D5959" w:rsidP="004B3534">
            <w:pPr>
              <w:pStyle w:val="TableText"/>
              <w:widowControl w:val="0"/>
              <w:rPr>
                <w:rFonts w:ascii="Tahoma" w:hAnsi="Tahoma" w:cs="Tahoma"/>
                <w:color w:val="000000"/>
                <w:sz w:val="13"/>
              </w:rPr>
            </w:pPr>
          </w:p>
        </w:tc>
        <w:tc>
          <w:tcPr>
            <w:tcW w:w="429" w:type="dxa"/>
            <w:tcBorders>
              <w:left w:val="single" w:sz="18" w:space="0" w:color="auto"/>
              <w:bottom w:val="single" w:sz="4" w:space="0" w:color="auto"/>
            </w:tcBorders>
            <w:shd w:val="clear" w:color="auto" w:fill="auto"/>
            <w:vAlign w:val="center"/>
          </w:tcPr>
          <w:p w:rsidR="004D5959" w:rsidRPr="00A75DF9" w:rsidRDefault="004D5959"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4D5959" w:rsidRPr="00A75DF9" w:rsidRDefault="004D5959"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4D5959" w:rsidRPr="00A75DF9" w:rsidRDefault="004D5959"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4D5959" w:rsidRPr="00A75DF9" w:rsidRDefault="004D5959"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4D5959" w:rsidRPr="00A75DF9" w:rsidRDefault="004D5959"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4D5959" w:rsidRPr="00A75DF9" w:rsidRDefault="004D5959"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4D5959" w:rsidRPr="00A75DF9" w:rsidRDefault="004D5959" w:rsidP="004B3534">
            <w:pPr>
              <w:pStyle w:val="TableText"/>
              <w:widowControl w:val="0"/>
              <w:rPr>
                <w:rFonts w:ascii="Tahoma" w:hAnsi="Tahoma" w:cs="Tahoma"/>
                <w:sz w:val="13"/>
              </w:rPr>
            </w:pPr>
          </w:p>
        </w:tc>
        <w:tc>
          <w:tcPr>
            <w:tcW w:w="405" w:type="dxa"/>
            <w:tcBorders>
              <w:left w:val="single" w:sz="18" w:space="0" w:color="auto"/>
              <w:bottom w:val="single" w:sz="4" w:space="0" w:color="auto"/>
            </w:tcBorders>
            <w:shd w:val="clear" w:color="auto" w:fill="auto"/>
            <w:vAlign w:val="center"/>
          </w:tcPr>
          <w:p w:rsidR="004D5959" w:rsidRPr="00A75DF9" w:rsidRDefault="004D5959" w:rsidP="004B3534">
            <w:pPr>
              <w:pStyle w:val="TableText"/>
              <w:widowControl w:val="0"/>
              <w:rPr>
                <w:rFonts w:ascii="Tahoma" w:hAnsi="Tahoma" w:cs="Tahoma"/>
                <w:sz w:val="13"/>
              </w:rPr>
            </w:pPr>
          </w:p>
        </w:tc>
        <w:tc>
          <w:tcPr>
            <w:tcW w:w="288" w:type="dxa"/>
            <w:tcBorders>
              <w:bottom w:val="single" w:sz="4" w:space="0" w:color="auto"/>
            </w:tcBorders>
            <w:shd w:val="clear" w:color="auto" w:fill="auto"/>
            <w:vAlign w:val="center"/>
          </w:tcPr>
          <w:p w:rsidR="004D5959" w:rsidRPr="00A75DF9" w:rsidRDefault="004D5959" w:rsidP="004B3534">
            <w:pPr>
              <w:pStyle w:val="TableText"/>
              <w:widowControl w:val="0"/>
              <w:rPr>
                <w:rFonts w:ascii="Tahoma" w:hAnsi="Tahoma" w:cs="Tahoma"/>
                <w:sz w:val="13"/>
              </w:rPr>
            </w:pPr>
          </w:p>
        </w:tc>
        <w:tc>
          <w:tcPr>
            <w:tcW w:w="315" w:type="dxa"/>
            <w:tcBorders>
              <w:bottom w:val="single" w:sz="4" w:space="0" w:color="auto"/>
              <w:right w:val="single" w:sz="18" w:space="0" w:color="auto"/>
            </w:tcBorders>
            <w:shd w:val="clear" w:color="auto" w:fill="auto"/>
            <w:vAlign w:val="center"/>
          </w:tcPr>
          <w:p w:rsidR="004D5959" w:rsidRPr="00A75DF9" w:rsidRDefault="004D5959" w:rsidP="004B3534">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auto"/>
            <w:vAlign w:val="center"/>
          </w:tcPr>
          <w:p w:rsidR="004D5959" w:rsidRPr="00A75DF9" w:rsidRDefault="004D5959" w:rsidP="004B3534">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auto"/>
            <w:vAlign w:val="center"/>
          </w:tcPr>
          <w:p w:rsidR="004D5959" w:rsidRPr="00A75DF9" w:rsidRDefault="004D5959" w:rsidP="004B3534">
            <w:pPr>
              <w:pStyle w:val="TableText"/>
              <w:widowControl w:val="0"/>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auto"/>
            <w:vAlign w:val="center"/>
          </w:tcPr>
          <w:p w:rsidR="004D5959" w:rsidRPr="00A75DF9" w:rsidRDefault="004D5959" w:rsidP="004B3534">
            <w:pPr>
              <w:pStyle w:val="TableText"/>
              <w:widowControl w:val="0"/>
              <w:rPr>
                <w:rFonts w:ascii="Tahoma" w:hAnsi="Tahoma" w:cs="Tahoma"/>
                <w:sz w:val="13"/>
              </w:rPr>
            </w:pPr>
          </w:p>
        </w:tc>
        <w:tc>
          <w:tcPr>
            <w:tcW w:w="702" w:type="dxa"/>
            <w:tcBorders>
              <w:bottom w:val="single" w:sz="4" w:space="0" w:color="auto"/>
            </w:tcBorders>
            <w:shd w:val="clear" w:color="auto" w:fill="auto"/>
            <w:vAlign w:val="center"/>
          </w:tcPr>
          <w:p w:rsidR="004D5959" w:rsidRPr="00A75DF9" w:rsidRDefault="004D5959" w:rsidP="00080B33">
            <w:pPr>
              <w:pStyle w:val="TableText"/>
              <w:widowControl w:val="0"/>
              <w:rPr>
                <w:rFonts w:ascii="Tahoma" w:hAnsi="Tahoma" w:cs="Tahoma"/>
                <w:sz w:val="13"/>
              </w:rPr>
            </w:pPr>
          </w:p>
        </w:tc>
        <w:tc>
          <w:tcPr>
            <w:tcW w:w="650" w:type="dxa"/>
            <w:tcBorders>
              <w:bottom w:val="single" w:sz="4" w:space="0" w:color="auto"/>
            </w:tcBorders>
            <w:shd w:val="clear" w:color="auto" w:fill="auto"/>
            <w:vAlign w:val="center"/>
          </w:tcPr>
          <w:p w:rsidR="004D5959" w:rsidRPr="00A75DF9" w:rsidRDefault="004D5959" w:rsidP="004B3534">
            <w:pPr>
              <w:pStyle w:val="TableText"/>
              <w:widowControl w:val="0"/>
              <w:rPr>
                <w:rFonts w:ascii="Tahoma" w:hAnsi="Tahoma" w:cs="Tahoma"/>
                <w:sz w:val="13"/>
              </w:rPr>
            </w:pPr>
          </w:p>
        </w:tc>
      </w:tr>
      <w:tr w:rsidR="00A75DF9" w:rsidRPr="00A75DF9" w:rsidTr="00337A7D">
        <w:trPr>
          <w:cantSplit/>
          <w:trHeight w:val="323"/>
        </w:trPr>
        <w:tc>
          <w:tcPr>
            <w:tcW w:w="2634" w:type="dxa"/>
            <w:tcBorders>
              <w:bottom w:val="single" w:sz="4" w:space="0" w:color="auto"/>
            </w:tcBorders>
            <w:shd w:val="clear" w:color="auto" w:fill="FABF8F"/>
            <w:vAlign w:val="center"/>
          </w:tcPr>
          <w:p w:rsidR="004D5959" w:rsidRPr="00A75DF9" w:rsidRDefault="00C128E2" w:rsidP="008B1245">
            <w:pPr>
              <w:pStyle w:val="Heading2"/>
              <w:spacing w:beforeLines="20" w:before="48" w:afterLines="20" w:after="48"/>
              <w:ind w:left="0"/>
              <w:rPr>
                <w:rFonts w:ascii="Tahoma" w:hAnsi="Tahoma" w:cs="Tahoma"/>
                <w:b w:val="0"/>
                <w:sz w:val="14"/>
              </w:rPr>
            </w:pPr>
            <w:bookmarkStart w:id="44" w:name="_Toc368309860"/>
            <w:r w:rsidRPr="00A75DF9">
              <w:rPr>
                <w:rFonts w:ascii="Tahoma" w:hAnsi="Tahoma" w:cs="Tahoma"/>
                <w:b w:val="0"/>
                <w:sz w:val="14"/>
              </w:rPr>
              <w:t>Microsoft Dynamics CRM Online Production Instance</w:t>
            </w:r>
            <w:bookmarkEnd w:id="44"/>
          </w:p>
        </w:tc>
        <w:tc>
          <w:tcPr>
            <w:tcW w:w="427" w:type="dxa"/>
            <w:tcBorders>
              <w:bottom w:val="single" w:sz="4" w:space="0" w:color="auto"/>
            </w:tcBorders>
            <w:shd w:val="clear" w:color="auto" w:fill="FABF8F"/>
            <w:vAlign w:val="center"/>
          </w:tcPr>
          <w:p w:rsidR="004D5959" w:rsidRPr="00A75DF9" w:rsidRDefault="00B54770">
            <w:pPr>
              <w:pStyle w:val="TableText"/>
              <w:widowControl w:val="0"/>
              <w:rPr>
                <w:rStyle w:val="EndnoteReference"/>
                <w:rFonts w:cs="Tahoma"/>
                <w:b w:val="0"/>
                <w:color w:val="0000FF"/>
                <w:sz w:val="13"/>
                <w:szCs w:val="13"/>
                <w:u w:val="single"/>
              </w:rPr>
            </w:pPr>
            <w:hyperlink w:anchor="_70_Microsoft_Dynamics" w:history="1">
              <w:hyperlink w:anchor="_70_Microsoft_Dynamics" w:history="1">
                <w:r w:rsidR="00982110" w:rsidRPr="00982110">
                  <w:rPr>
                    <w:rStyle w:val="Hyperlink"/>
                    <w:rFonts w:cs="Tahoma"/>
                    <w:b/>
                    <w:sz w:val="13"/>
                    <w:szCs w:val="13"/>
                  </w:rPr>
                  <w:t>7</w:t>
                </w:r>
              </w:hyperlink>
              <w:r w:rsidR="00982110" w:rsidRPr="00982110">
                <w:rPr>
                  <w:rStyle w:val="Hyperlink"/>
                  <w:rFonts w:cs="Tahoma"/>
                  <w:b/>
                  <w:sz w:val="13"/>
                  <w:szCs w:val="13"/>
                </w:rPr>
                <w:t>4</w:t>
              </w:r>
            </w:hyperlink>
          </w:p>
        </w:tc>
        <w:tc>
          <w:tcPr>
            <w:tcW w:w="427" w:type="dxa"/>
            <w:tcBorders>
              <w:bottom w:val="single" w:sz="4" w:space="0" w:color="auto"/>
            </w:tcBorders>
            <w:shd w:val="clear" w:color="auto" w:fill="FABF8F"/>
            <w:vAlign w:val="center"/>
          </w:tcPr>
          <w:p w:rsidR="004D5959" w:rsidRPr="00A75DF9" w:rsidRDefault="005D777A" w:rsidP="004000C7">
            <w:pPr>
              <w:pStyle w:val="TableText"/>
              <w:widowControl w:val="0"/>
              <w:rPr>
                <w:rFonts w:ascii="Tahoma" w:hAnsi="Tahoma" w:cs="Tahoma"/>
                <w:color w:val="000000"/>
                <w:sz w:val="13"/>
              </w:rPr>
            </w:pPr>
            <w:r w:rsidRPr="00A75DF9">
              <w:rPr>
                <w:rFonts w:ascii="Tahoma" w:hAnsi="Tahoma" w:cs="Tahoma"/>
                <w:color w:val="000000"/>
                <w:sz w:val="13"/>
              </w:rPr>
              <w:t>10/13</w:t>
            </w:r>
          </w:p>
        </w:tc>
        <w:tc>
          <w:tcPr>
            <w:tcW w:w="429" w:type="dxa"/>
            <w:tcBorders>
              <w:bottom w:val="single" w:sz="4" w:space="0" w:color="auto"/>
              <w:right w:val="single" w:sz="18" w:space="0" w:color="auto"/>
            </w:tcBorders>
            <w:shd w:val="clear" w:color="auto" w:fill="FABF8F"/>
            <w:vAlign w:val="center"/>
          </w:tcPr>
          <w:p w:rsidR="004D5959" w:rsidRPr="00A75DF9" w:rsidRDefault="004D5959" w:rsidP="004B3534">
            <w:pPr>
              <w:pStyle w:val="TableText"/>
              <w:widowControl w:val="0"/>
              <w:rPr>
                <w:rFonts w:ascii="Tahoma" w:hAnsi="Tahoma" w:cs="Tahoma"/>
                <w:color w:val="000000"/>
                <w:sz w:val="13"/>
              </w:rPr>
            </w:pPr>
          </w:p>
        </w:tc>
        <w:tc>
          <w:tcPr>
            <w:tcW w:w="429" w:type="dxa"/>
            <w:tcBorders>
              <w:left w:val="single" w:sz="18" w:space="0" w:color="auto"/>
              <w:bottom w:val="single" w:sz="4" w:space="0" w:color="auto"/>
            </w:tcBorders>
            <w:shd w:val="clear" w:color="auto" w:fill="FABF8F"/>
            <w:vAlign w:val="center"/>
          </w:tcPr>
          <w:p w:rsidR="004D5959" w:rsidRPr="00A75DF9" w:rsidRDefault="004D5959"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4D5959" w:rsidRPr="00A75DF9" w:rsidRDefault="004D5959"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4D5959" w:rsidRPr="00A75DF9" w:rsidRDefault="004D5959"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4D5959" w:rsidRPr="00A75DF9" w:rsidRDefault="004D5959"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4D5959" w:rsidRPr="00A75DF9" w:rsidRDefault="004D5959"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4D5959" w:rsidRPr="00A75DF9" w:rsidRDefault="004D5959"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4D5959" w:rsidRPr="00A75DF9" w:rsidRDefault="004D5959" w:rsidP="004B3534">
            <w:pPr>
              <w:pStyle w:val="TableText"/>
              <w:widowControl w:val="0"/>
              <w:rPr>
                <w:rFonts w:ascii="Tahoma" w:hAnsi="Tahoma" w:cs="Tahoma"/>
                <w:sz w:val="13"/>
              </w:rPr>
            </w:pPr>
          </w:p>
        </w:tc>
        <w:tc>
          <w:tcPr>
            <w:tcW w:w="405" w:type="dxa"/>
            <w:tcBorders>
              <w:left w:val="single" w:sz="18" w:space="0" w:color="auto"/>
              <w:bottom w:val="single" w:sz="4" w:space="0" w:color="auto"/>
            </w:tcBorders>
            <w:shd w:val="clear" w:color="auto" w:fill="FABF8F"/>
            <w:vAlign w:val="center"/>
          </w:tcPr>
          <w:p w:rsidR="004D5959" w:rsidRPr="00A75DF9" w:rsidRDefault="004D5959" w:rsidP="004B3534">
            <w:pPr>
              <w:pStyle w:val="TableText"/>
              <w:widowControl w:val="0"/>
              <w:rPr>
                <w:rFonts w:ascii="Tahoma" w:hAnsi="Tahoma" w:cs="Tahoma"/>
                <w:sz w:val="13"/>
              </w:rPr>
            </w:pPr>
          </w:p>
        </w:tc>
        <w:tc>
          <w:tcPr>
            <w:tcW w:w="288" w:type="dxa"/>
            <w:tcBorders>
              <w:bottom w:val="single" w:sz="4" w:space="0" w:color="auto"/>
            </w:tcBorders>
            <w:shd w:val="clear" w:color="auto" w:fill="FABF8F"/>
            <w:vAlign w:val="center"/>
          </w:tcPr>
          <w:p w:rsidR="004D5959" w:rsidRPr="00A75DF9" w:rsidRDefault="004D5959" w:rsidP="004B3534">
            <w:pPr>
              <w:pStyle w:val="TableText"/>
              <w:widowControl w:val="0"/>
              <w:rPr>
                <w:rFonts w:ascii="Tahoma" w:hAnsi="Tahoma" w:cs="Tahoma"/>
                <w:sz w:val="13"/>
              </w:rPr>
            </w:pPr>
          </w:p>
        </w:tc>
        <w:tc>
          <w:tcPr>
            <w:tcW w:w="315" w:type="dxa"/>
            <w:tcBorders>
              <w:bottom w:val="single" w:sz="4" w:space="0" w:color="auto"/>
              <w:right w:val="single" w:sz="18" w:space="0" w:color="auto"/>
            </w:tcBorders>
            <w:shd w:val="clear" w:color="auto" w:fill="FABF8F"/>
            <w:vAlign w:val="center"/>
          </w:tcPr>
          <w:p w:rsidR="004D5959" w:rsidRPr="00A75DF9" w:rsidRDefault="004D5959" w:rsidP="004B3534">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FABF8F"/>
            <w:vAlign w:val="center"/>
          </w:tcPr>
          <w:p w:rsidR="004D5959" w:rsidRPr="00A75DF9" w:rsidRDefault="004D5959" w:rsidP="004B3534">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4D5959" w:rsidRPr="00A75DF9" w:rsidRDefault="004D5959" w:rsidP="004B3534">
            <w:pPr>
              <w:pStyle w:val="TableText"/>
              <w:widowControl w:val="0"/>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FABF8F"/>
            <w:vAlign w:val="center"/>
          </w:tcPr>
          <w:p w:rsidR="004D5959" w:rsidRPr="00A75DF9" w:rsidRDefault="004D5959" w:rsidP="004B3534">
            <w:pPr>
              <w:pStyle w:val="TableText"/>
              <w:widowControl w:val="0"/>
              <w:rPr>
                <w:rFonts w:ascii="Tahoma" w:hAnsi="Tahoma" w:cs="Tahoma"/>
                <w:sz w:val="13"/>
              </w:rPr>
            </w:pPr>
          </w:p>
        </w:tc>
        <w:tc>
          <w:tcPr>
            <w:tcW w:w="702" w:type="dxa"/>
            <w:tcBorders>
              <w:bottom w:val="single" w:sz="4" w:space="0" w:color="auto"/>
            </w:tcBorders>
            <w:shd w:val="clear" w:color="auto" w:fill="FABF8F"/>
            <w:vAlign w:val="center"/>
          </w:tcPr>
          <w:p w:rsidR="004D5959" w:rsidRPr="00A75DF9" w:rsidRDefault="004D5959" w:rsidP="00080B33">
            <w:pPr>
              <w:pStyle w:val="TableText"/>
              <w:widowControl w:val="0"/>
              <w:rPr>
                <w:rFonts w:ascii="Tahoma" w:hAnsi="Tahoma" w:cs="Tahoma"/>
                <w:sz w:val="13"/>
              </w:rPr>
            </w:pPr>
          </w:p>
        </w:tc>
        <w:tc>
          <w:tcPr>
            <w:tcW w:w="650" w:type="dxa"/>
            <w:tcBorders>
              <w:bottom w:val="single" w:sz="4" w:space="0" w:color="auto"/>
            </w:tcBorders>
            <w:shd w:val="clear" w:color="auto" w:fill="FABF8F"/>
            <w:vAlign w:val="center"/>
          </w:tcPr>
          <w:p w:rsidR="004D5959" w:rsidRPr="00A75DF9" w:rsidRDefault="004D5959" w:rsidP="004B3534">
            <w:pPr>
              <w:pStyle w:val="TableText"/>
              <w:widowControl w:val="0"/>
              <w:rPr>
                <w:rFonts w:ascii="Tahoma" w:hAnsi="Tahoma" w:cs="Tahoma"/>
                <w:sz w:val="13"/>
              </w:rPr>
            </w:pPr>
          </w:p>
        </w:tc>
      </w:tr>
      <w:tr w:rsidR="00A75DF9" w:rsidRPr="00A75DF9" w:rsidTr="00337A7D">
        <w:trPr>
          <w:cantSplit/>
          <w:trHeight w:val="323"/>
        </w:trPr>
        <w:tc>
          <w:tcPr>
            <w:tcW w:w="2634" w:type="dxa"/>
            <w:tcBorders>
              <w:bottom w:val="single" w:sz="4" w:space="0" w:color="auto"/>
            </w:tcBorders>
            <w:shd w:val="clear" w:color="auto" w:fill="auto"/>
            <w:vAlign w:val="center"/>
          </w:tcPr>
          <w:p w:rsidR="00BB54E8" w:rsidRPr="00A75DF9" w:rsidRDefault="0075377C" w:rsidP="008B1245">
            <w:pPr>
              <w:pStyle w:val="Heading2"/>
              <w:spacing w:beforeLines="20" w:before="48" w:afterLines="20" w:after="48"/>
              <w:ind w:left="0"/>
              <w:rPr>
                <w:rFonts w:ascii="Tahoma" w:hAnsi="Tahoma" w:cs="Tahoma"/>
                <w:b w:val="0"/>
                <w:sz w:val="14"/>
              </w:rPr>
            </w:pPr>
            <w:bookmarkStart w:id="45" w:name="_Toc368309861"/>
            <w:r w:rsidRPr="00A75DF9">
              <w:rPr>
                <w:rFonts w:ascii="Tahoma" w:hAnsi="Tahoma" w:cs="Tahoma"/>
                <w:b w:val="0"/>
                <w:sz w:val="14"/>
              </w:rPr>
              <w:t>Microsoft Dynamics CRM Online Professional</w:t>
            </w:r>
            <w:bookmarkEnd w:id="45"/>
          </w:p>
        </w:tc>
        <w:tc>
          <w:tcPr>
            <w:tcW w:w="427" w:type="dxa"/>
            <w:tcBorders>
              <w:bottom w:val="single" w:sz="4" w:space="0" w:color="auto"/>
            </w:tcBorders>
            <w:shd w:val="clear" w:color="auto" w:fill="auto"/>
            <w:vAlign w:val="center"/>
          </w:tcPr>
          <w:p w:rsidR="00BB54E8" w:rsidRPr="00A75DF9" w:rsidRDefault="00B54770">
            <w:pPr>
              <w:pStyle w:val="TableText"/>
              <w:widowControl w:val="0"/>
              <w:rPr>
                <w:rStyle w:val="EndnoteReference"/>
                <w:rFonts w:cs="Tahoma"/>
                <w:b w:val="0"/>
                <w:color w:val="0000FF"/>
                <w:sz w:val="13"/>
                <w:szCs w:val="13"/>
                <w:u w:val="single"/>
              </w:rPr>
            </w:pPr>
            <w:hyperlink w:anchor="_70_Microsoft_Dynamics" w:history="1">
              <w:hyperlink w:anchor="_70_Microsoft_Dynamics" w:history="1">
                <w:r w:rsidR="00982110" w:rsidRPr="00982110">
                  <w:rPr>
                    <w:rStyle w:val="Hyperlink"/>
                    <w:rFonts w:cs="Tahoma"/>
                    <w:b/>
                    <w:sz w:val="13"/>
                    <w:szCs w:val="13"/>
                  </w:rPr>
                  <w:t>7</w:t>
                </w:r>
              </w:hyperlink>
              <w:r w:rsidR="00982110" w:rsidRPr="00982110">
                <w:rPr>
                  <w:rStyle w:val="Hyperlink"/>
                  <w:rFonts w:cs="Tahoma"/>
                  <w:b/>
                  <w:sz w:val="13"/>
                  <w:szCs w:val="13"/>
                </w:rPr>
                <w:t>4</w:t>
              </w:r>
            </w:hyperlink>
          </w:p>
        </w:tc>
        <w:tc>
          <w:tcPr>
            <w:tcW w:w="427" w:type="dxa"/>
            <w:tcBorders>
              <w:bottom w:val="single" w:sz="4" w:space="0" w:color="auto"/>
            </w:tcBorders>
            <w:shd w:val="clear" w:color="auto" w:fill="auto"/>
            <w:vAlign w:val="center"/>
          </w:tcPr>
          <w:p w:rsidR="00BB54E8" w:rsidRPr="00A75DF9" w:rsidRDefault="0075377C" w:rsidP="004000C7">
            <w:pPr>
              <w:pStyle w:val="TableText"/>
              <w:widowControl w:val="0"/>
              <w:rPr>
                <w:rFonts w:ascii="Tahoma" w:hAnsi="Tahoma" w:cs="Tahoma"/>
                <w:color w:val="000000"/>
                <w:sz w:val="13"/>
              </w:rPr>
            </w:pPr>
            <w:r w:rsidRPr="00A75DF9">
              <w:rPr>
                <w:rFonts w:ascii="Tahoma" w:hAnsi="Tahoma" w:cs="Tahoma"/>
                <w:color w:val="000000"/>
                <w:sz w:val="13"/>
              </w:rPr>
              <w:t>10/13</w:t>
            </w:r>
          </w:p>
        </w:tc>
        <w:tc>
          <w:tcPr>
            <w:tcW w:w="429" w:type="dxa"/>
            <w:tcBorders>
              <w:bottom w:val="single" w:sz="4" w:space="0" w:color="auto"/>
              <w:right w:val="single" w:sz="18" w:space="0" w:color="auto"/>
            </w:tcBorders>
            <w:shd w:val="clear" w:color="auto" w:fill="auto"/>
            <w:vAlign w:val="center"/>
          </w:tcPr>
          <w:p w:rsidR="00BB54E8" w:rsidRPr="00A75DF9" w:rsidRDefault="00BB54E8" w:rsidP="004B3534">
            <w:pPr>
              <w:pStyle w:val="TableText"/>
              <w:widowControl w:val="0"/>
              <w:rPr>
                <w:rFonts w:ascii="Tahoma" w:hAnsi="Tahoma" w:cs="Tahoma"/>
                <w:color w:val="000000"/>
                <w:sz w:val="13"/>
              </w:rPr>
            </w:pPr>
          </w:p>
        </w:tc>
        <w:tc>
          <w:tcPr>
            <w:tcW w:w="429" w:type="dxa"/>
            <w:tcBorders>
              <w:left w:val="single" w:sz="18" w:space="0" w:color="auto"/>
              <w:bottom w:val="single" w:sz="4" w:space="0" w:color="auto"/>
            </w:tcBorders>
            <w:shd w:val="clear" w:color="auto" w:fill="auto"/>
            <w:vAlign w:val="center"/>
          </w:tcPr>
          <w:p w:rsidR="00BB54E8" w:rsidRPr="00A75DF9" w:rsidRDefault="00BB54E8"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BB54E8" w:rsidRPr="00A75DF9" w:rsidRDefault="00BB54E8"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BB54E8" w:rsidRPr="00A75DF9" w:rsidRDefault="00BB54E8"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BB54E8" w:rsidRPr="00A75DF9" w:rsidRDefault="00BB54E8"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BB54E8" w:rsidRPr="00A75DF9" w:rsidRDefault="00BB54E8"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BB54E8" w:rsidRPr="00A75DF9" w:rsidRDefault="00BB54E8"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BB54E8" w:rsidRPr="00A75DF9" w:rsidRDefault="00BB54E8" w:rsidP="004B3534">
            <w:pPr>
              <w:pStyle w:val="TableText"/>
              <w:widowControl w:val="0"/>
              <w:rPr>
                <w:rFonts w:ascii="Tahoma" w:hAnsi="Tahoma" w:cs="Tahoma"/>
                <w:sz w:val="13"/>
              </w:rPr>
            </w:pPr>
          </w:p>
        </w:tc>
        <w:tc>
          <w:tcPr>
            <w:tcW w:w="405" w:type="dxa"/>
            <w:tcBorders>
              <w:left w:val="single" w:sz="18" w:space="0" w:color="auto"/>
              <w:bottom w:val="single" w:sz="4" w:space="0" w:color="auto"/>
            </w:tcBorders>
            <w:shd w:val="clear" w:color="auto" w:fill="auto"/>
            <w:vAlign w:val="center"/>
          </w:tcPr>
          <w:p w:rsidR="00BB54E8" w:rsidRPr="00A75DF9" w:rsidRDefault="00BB54E8" w:rsidP="004B3534">
            <w:pPr>
              <w:pStyle w:val="TableText"/>
              <w:widowControl w:val="0"/>
              <w:rPr>
                <w:rFonts w:ascii="Tahoma" w:hAnsi="Tahoma" w:cs="Tahoma"/>
                <w:sz w:val="13"/>
              </w:rPr>
            </w:pPr>
          </w:p>
        </w:tc>
        <w:tc>
          <w:tcPr>
            <w:tcW w:w="288" w:type="dxa"/>
            <w:tcBorders>
              <w:bottom w:val="single" w:sz="4" w:space="0" w:color="auto"/>
            </w:tcBorders>
            <w:shd w:val="clear" w:color="auto" w:fill="auto"/>
            <w:vAlign w:val="center"/>
          </w:tcPr>
          <w:p w:rsidR="00BB54E8" w:rsidRPr="00A75DF9" w:rsidRDefault="00BB54E8" w:rsidP="004B3534">
            <w:pPr>
              <w:pStyle w:val="TableText"/>
              <w:widowControl w:val="0"/>
              <w:rPr>
                <w:rFonts w:ascii="Tahoma" w:hAnsi="Tahoma" w:cs="Tahoma"/>
                <w:sz w:val="13"/>
              </w:rPr>
            </w:pPr>
          </w:p>
        </w:tc>
        <w:tc>
          <w:tcPr>
            <w:tcW w:w="315" w:type="dxa"/>
            <w:tcBorders>
              <w:bottom w:val="single" w:sz="4" w:space="0" w:color="auto"/>
              <w:right w:val="single" w:sz="18" w:space="0" w:color="auto"/>
            </w:tcBorders>
            <w:shd w:val="clear" w:color="auto" w:fill="auto"/>
            <w:vAlign w:val="center"/>
          </w:tcPr>
          <w:p w:rsidR="00BB54E8" w:rsidRPr="00A75DF9" w:rsidRDefault="00BB54E8" w:rsidP="004B3534">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auto"/>
            <w:vAlign w:val="center"/>
          </w:tcPr>
          <w:p w:rsidR="00BB54E8" w:rsidRPr="00A75DF9" w:rsidRDefault="00BB54E8" w:rsidP="004B3534">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auto"/>
            <w:vAlign w:val="center"/>
          </w:tcPr>
          <w:p w:rsidR="00BB54E8" w:rsidRPr="00A75DF9" w:rsidRDefault="00BB54E8" w:rsidP="004B3534">
            <w:pPr>
              <w:pStyle w:val="TableText"/>
              <w:widowControl w:val="0"/>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auto"/>
            <w:vAlign w:val="center"/>
          </w:tcPr>
          <w:p w:rsidR="00BB54E8" w:rsidRPr="00A75DF9" w:rsidRDefault="00BB54E8" w:rsidP="004B3534">
            <w:pPr>
              <w:pStyle w:val="TableText"/>
              <w:widowControl w:val="0"/>
              <w:rPr>
                <w:rFonts w:ascii="Tahoma" w:hAnsi="Tahoma" w:cs="Tahoma"/>
                <w:sz w:val="13"/>
              </w:rPr>
            </w:pPr>
          </w:p>
        </w:tc>
        <w:tc>
          <w:tcPr>
            <w:tcW w:w="702" w:type="dxa"/>
            <w:tcBorders>
              <w:bottom w:val="single" w:sz="4" w:space="0" w:color="auto"/>
            </w:tcBorders>
            <w:shd w:val="clear" w:color="auto" w:fill="auto"/>
            <w:vAlign w:val="center"/>
          </w:tcPr>
          <w:p w:rsidR="00BB54E8" w:rsidRPr="00A75DF9" w:rsidRDefault="00BB54E8" w:rsidP="00080B33">
            <w:pPr>
              <w:pStyle w:val="TableText"/>
              <w:widowControl w:val="0"/>
              <w:rPr>
                <w:rFonts w:ascii="Tahoma" w:hAnsi="Tahoma" w:cs="Tahoma"/>
                <w:sz w:val="13"/>
              </w:rPr>
            </w:pPr>
          </w:p>
        </w:tc>
        <w:tc>
          <w:tcPr>
            <w:tcW w:w="650" w:type="dxa"/>
            <w:tcBorders>
              <w:bottom w:val="single" w:sz="4" w:space="0" w:color="auto"/>
            </w:tcBorders>
            <w:shd w:val="clear" w:color="auto" w:fill="auto"/>
            <w:vAlign w:val="center"/>
          </w:tcPr>
          <w:p w:rsidR="00BB54E8" w:rsidRPr="00A75DF9" w:rsidRDefault="00BB54E8" w:rsidP="004B3534">
            <w:pPr>
              <w:pStyle w:val="TableText"/>
              <w:widowControl w:val="0"/>
              <w:rPr>
                <w:rFonts w:ascii="Tahoma" w:hAnsi="Tahoma" w:cs="Tahoma"/>
                <w:sz w:val="13"/>
              </w:rPr>
            </w:pPr>
          </w:p>
        </w:tc>
      </w:tr>
      <w:tr w:rsidR="00A75DF9" w:rsidRPr="00A75DF9" w:rsidTr="00337A7D">
        <w:trPr>
          <w:cantSplit/>
          <w:trHeight w:val="323"/>
        </w:trPr>
        <w:tc>
          <w:tcPr>
            <w:tcW w:w="2634" w:type="dxa"/>
            <w:tcBorders>
              <w:bottom w:val="single" w:sz="4" w:space="0" w:color="auto"/>
            </w:tcBorders>
            <w:shd w:val="clear" w:color="auto" w:fill="FABF8F"/>
            <w:vAlign w:val="center"/>
          </w:tcPr>
          <w:p w:rsidR="00BB54E8" w:rsidRPr="00A75DF9" w:rsidRDefault="0075377C" w:rsidP="008B1245">
            <w:pPr>
              <w:pStyle w:val="Heading2"/>
              <w:spacing w:beforeLines="20" w:before="48" w:afterLines="20" w:after="48"/>
              <w:ind w:left="0"/>
              <w:rPr>
                <w:rFonts w:ascii="Tahoma" w:hAnsi="Tahoma" w:cs="Tahoma"/>
                <w:b w:val="0"/>
                <w:sz w:val="14"/>
              </w:rPr>
            </w:pPr>
            <w:bookmarkStart w:id="46" w:name="_Toc368309862"/>
            <w:r w:rsidRPr="00A75DF9">
              <w:rPr>
                <w:rFonts w:ascii="Tahoma" w:hAnsi="Tahoma" w:cs="Tahoma"/>
                <w:b w:val="0"/>
                <w:sz w:val="14"/>
              </w:rPr>
              <w:t>Microsoft Dynamics CRM Online Professional Direct Support</w:t>
            </w:r>
            <w:bookmarkEnd w:id="46"/>
          </w:p>
        </w:tc>
        <w:tc>
          <w:tcPr>
            <w:tcW w:w="427" w:type="dxa"/>
            <w:tcBorders>
              <w:bottom w:val="single" w:sz="4" w:space="0" w:color="auto"/>
            </w:tcBorders>
            <w:shd w:val="clear" w:color="auto" w:fill="FABF8F"/>
            <w:vAlign w:val="center"/>
          </w:tcPr>
          <w:p w:rsidR="00BB54E8" w:rsidRPr="00A75DF9" w:rsidRDefault="00B54770">
            <w:pPr>
              <w:pStyle w:val="TableText"/>
              <w:widowControl w:val="0"/>
              <w:rPr>
                <w:rStyle w:val="EndnoteReference"/>
                <w:rFonts w:cs="Tahoma"/>
                <w:b w:val="0"/>
                <w:color w:val="0000FF"/>
                <w:sz w:val="13"/>
                <w:szCs w:val="13"/>
                <w:u w:val="single"/>
              </w:rPr>
            </w:pPr>
            <w:hyperlink w:anchor="_70_Microsoft_Dynamics" w:history="1">
              <w:hyperlink w:anchor="_70_Microsoft_Dynamics" w:history="1">
                <w:r w:rsidR="00982110" w:rsidRPr="00982110">
                  <w:rPr>
                    <w:rStyle w:val="Hyperlink"/>
                    <w:rFonts w:cs="Tahoma"/>
                    <w:b/>
                    <w:sz w:val="13"/>
                    <w:szCs w:val="13"/>
                  </w:rPr>
                  <w:t>7</w:t>
                </w:r>
              </w:hyperlink>
              <w:r w:rsidR="00982110" w:rsidRPr="00982110">
                <w:rPr>
                  <w:rStyle w:val="Hyperlink"/>
                  <w:rFonts w:cs="Tahoma"/>
                  <w:b/>
                  <w:sz w:val="13"/>
                  <w:szCs w:val="13"/>
                </w:rPr>
                <w:t>4</w:t>
              </w:r>
            </w:hyperlink>
          </w:p>
        </w:tc>
        <w:tc>
          <w:tcPr>
            <w:tcW w:w="427" w:type="dxa"/>
            <w:tcBorders>
              <w:bottom w:val="single" w:sz="4" w:space="0" w:color="auto"/>
            </w:tcBorders>
            <w:shd w:val="clear" w:color="auto" w:fill="FABF8F"/>
            <w:vAlign w:val="center"/>
          </w:tcPr>
          <w:p w:rsidR="00BB54E8" w:rsidRPr="00A75DF9" w:rsidRDefault="0075377C" w:rsidP="004000C7">
            <w:pPr>
              <w:pStyle w:val="TableText"/>
              <w:widowControl w:val="0"/>
              <w:rPr>
                <w:rFonts w:ascii="Tahoma" w:hAnsi="Tahoma" w:cs="Tahoma"/>
                <w:color w:val="000000"/>
                <w:sz w:val="13"/>
              </w:rPr>
            </w:pPr>
            <w:r w:rsidRPr="00A75DF9">
              <w:rPr>
                <w:rFonts w:ascii="Tahoma" w:hAnsi="Tahoma" w:cs="Tahoma"/>
                <w:color w:val="000000"/>
                <w:sz w:val="13"/>
              </w:rPr>
              <w:t>10/13</w:t>
            </w:r>
          </w:p>
        </w:tc>
        <w:tc>
          <w:tcPr>
            <w:tcW w:w="429" w:type="dxa"/>
            <w:tcBorders>
              <w:bottom w:val="single" w:sz="4" w:space="0" w:color="auto"/>
              <w:right w:val="single" w:sz="18" w:space="0" w:color="auto"/>
            </w:tcBorders>
            <w:shd w:val="clear" w:color="auto" w:fill="FABF8F"/>
            <w:vAlign w:val="center"/>
          </w:tcPr>
          <w:p w:rsidR="00BB54E8" w:rsidRPr="00A75DF9" w:rsidRDefault="00BB54E8" w:rsidP="004B3534">
            <w:pPr>
              <w:pStyle w:val="TableText"/>
              <w:widowControl w:val="0"/>
              <w:rPr>
                <w:rFonts w:ascii="Tahoma" w:hAnsi="Tahoma" w:cs="Tahoma"/>
                <w:color w:val="000000"/>
                <w:sz w:val="13"/>
              </w:rPr>
            </w:pPr>
          </w:p>
        </w:tc>
        <w:tc>
          <w:tcPr>
            <w:tcW w:w="429" w:type="dxa"/>
            <w:tcBorders>
              <w:left w:val="single" w:sz="18" w:space="0" w:color="auto"/>
              <w:bottom w:val="single" w:sz="4" w:space="0" w:color="auto"/>
            </w:tcBorders>
            <w:shd w:val="clear" w:color="auto" w:fill="FABF8F"/>
            <w:vAlign w:val="center"/>
          </w:tcPr>
          <w:p w:rsidR="00BB54E8" w:rsidRPr="00A75DF9" w:rsidRDefault="00BB54E8"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BB54E8" w:rsidRPr="00A75DF9" w:rsidRDefault="00BB54E8"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BB54E8" w:rsidRPr="00A75DF9" w:rsidRDefault="00BB54E8"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BB54E8" w:rsidRPr="00A75DF9" w:rsidRDefault="00BB54E8"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BB54E8" w:rsidRPr="00A75DF9" w:rsidRDefault="00BB54E8"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BB54E8" w:rsidRPr="00A75DF9" w:rsidRDefault="00BB54E8"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BB54E8" w:rsidRPr="00A75DF9" w:rsidRDefault="00BB54E8" w:rsidP="004B3534">
            <w:pPr>
              <w:pStyle w:val="TableText"/>
              <w:widowControl w:val="0"/>
              <w:rPr>
                <w:rFonts w:ascii="Tahoma" w:hAnsi="Tahoma" w:cs="Tahoma"/>
                <w:sz w:val="13"/>
              </w:rPr>
            </w:pPr>
          </w:p>
        </w:tc>
        <w:tc>
          <w:tcPr>
            <w:tcW w:w="405" w:type="dxa"/>
            <w:tcBorders>
              <w:left w:val="single" w:sz="18" w:space="0" w:color="auto"/>
              <w:bottom w:val="single" w:sz="4" w:space="0" w:color="auto"/>
            </w:tcBorders>
            <w:shd w:val="clear" w:color="auto" w:fill="FABF8F"/>
            <w:vAlign w:val="center"/>
          </w:tcPr>
          <w:p w:rsidR="00BB54E8" w:rsidRPr="00A75DF9" w:rsidRDefault="00BB54E8" w:rsidP="004B3534">
            <w:pPr>
              <w:pStyle w:val="TableText"/>
              <w:widowControl w:val="0"/>
              <w:rPr>
                <w:rFonts w:ascii="Tahoma" w:hAnsi="Tahoma" w:cs="Tahoma"/>
                <w:sz w:val="13"/>
              </w:rPr>
            </w:pPr>
          </w:p>
        </w:tc>
        <w:tc>
          <w:tcPr>
            <w:tcW w:w="288" w:type="dxa"/>
            <w:tcBorders>
              <w:bottom w:val="single" w:sz="4" w:space="0" w:color="auto"/>
            </w:tcBorders>
            <w:shd w:val="clear" w:color="auto" w:fill="FABF8F"/>
            <w:vAlign w:val="center"/>
          </w:tcPr>
          <w:p w:rsidR="00BB54E8" w:rsidRPr="00A75DF9" w:rsidRDefault="00BB54E8" w:rsidP="004B3534">
            <w:pPr>
              <w:pStyle w:val="TableText"/>
              <w:widowControl w:val="0"/>
              <w:rPr>
                <w:rFonts w:ascii="Tahoma" w:hAnsi="Tahoma" w:cs="Tahoma"/>
                <w:sz w:val="13"/>
              </w:rPr>
            </w:pPr>
          </w:p>
        </w:tc>
        <w:tc>
          <w:tcPr>
            <w:tcW w:w="315" w:type="dxa"/>
            <w:tcBorders>
              <w:bottom w:val="single" w:sz="4" w:space="0" w:color="auto"/>
              <w:right w:val="single" w:sz="18" w:space="0" w:color="auto"/>
            </w:tcBorders>
            <w:shd w:val="clear" w:color="auto" w:fill="FABF8F"/>
            <w:vAlign w:val="center"/>
          </w:tcPr>
          <w:p w:rsidR="00BB54E8" w:rsidRPr="00A75DF9" w:rsidRDefault="00BB54E8" w:rsidP="004B3534">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FABF8F"/>
            <w:vAlign w:val="center"/>
          </w:tcPr>
          <w:p w:rsidR="00BB54E8" w:rsidRPr="00A75DF9" w:rsidRDefault="00BB54E8" w:rsidP="004B3534">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BB54E8" w:rsidRPr="00A75DF9" w:rsidRDefault="00BB54E8" w:rsidP="004B3534">
            <w:pPr>
              <w:pStyle w:val="TableText"/>
              <w:widowControl w:val="0"/>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FABF8F"/>
            <w:vAlign w:val="center"/>
          </w:tcPr>
          <w:p w:rsidR="00BB54E8" w:rsidRPr="00A75DF9" w:rsidRDefault="00BB54E8" w:rsidP="004B3534">
            <w:pPr>
              <w:pStyle w:val="TableText"/>
              <w:widowControl w:val="0"/>
              <w:rPr>
                <w:rFonts w:ascii="Tahoma" w:hAnsi="Tahoma" w:cs="Tahoma"/>
                <w:sz w:val="13"/>
              </w:rPr>
            </w:pPr>
          </w:p>
        </w:tc>
        <w:tc>
          <w:tcPr>
            <w:tcW w:w="702" w:type="dxa"/>
            <w:tcBorders>
              <w:bottom w:val="single" w:sz="4" w:space="0" w:color="auto"/>
            </w:tcBorders>
            <w:shd w:val="clear" w:color="auto" w:fill="FABF8F"/>
            <w:vAlign w:val="center"/>
          </w:tcPr>
          <w:p w:rsidR="00BB54E8" w:rsidRPr="00A75DF9" w:rsidRDefault="00BB54E8" w:rsidP="00080B33">
            <w:pPr>
              <w:pStyle w:val="TableText"/>
              <w:widowControl w:val="0"/>
              <w:rPr>
                <w:rFonts w:ascii="Tahoma" w:hAnsi="Tahoma" w:cs="Tahoma"/>
                <w:sz w:val="13"/>
              </w:rPr>
            </w:pPr>
          </w:p>
        </w:tc>
        <w:tc>
          <w:tcPr>
            <w:tcW w:w="650" w:type="dxa"/>
            <w:tcBorders>
              <w:bottom w:val="single" w:sz="4" w:space="0" w:color="auto"/>
            </w:tcBorders>
            <w:shd w:val="clear" w:color="auto" w:fill="FABF8F"/>
            <w:vAlign w:val="center"/>
          </w:tcPr>
          <w:p w:rsidR="00BB54E8" w:rsidRPr="00A75DF9" w:rsidRDefault="00BB54E8" w:rsidP="004B3534">
            <w:pPr>
              <w:pStyle w:val="TableText"/>
              <w:widowControl w:val="0"/>
              <w:rPr>
                <w:rFonts w:ascii="Tahoma" w:hAnsi="Tahoma" w:cs="Tahoma"/>
                <w:sz w:val="13"/>
              </w:rPr>
            </w:pPr>
          </w:p>
        </w:tc>
      </w:tr>
      <w:tr w:rsidR="00A75DF9" w:rsidRPr="00A75DF9" w:rsidTr="00337A7D">
        <w:trPr>
          <w:cantSplit/>
          <w:trHeight w:val="323"/>
        </w:trPr>
        <w:tc>
          <w:tcPr>
            <w:tcW w:w="2634" w:type="dxa"/>
            <w:tcBorders>
              <w:bottom w:val="single" w:sz="4" w:space="0" w:color="auto"/>
            </w:tcBorders>
            <w:shd w:val="clear" w:color="auto" w:fill="auto"/>
            <w:vAlign w:val="center"/>
          </w:tcPr>
          <w:p w:rsidR="00BB54E8" w:rsidRPr="00A75DF9" w:rsidRDefault="0075377C" w:rsidP="008B1245">
            <w:pPr>
              <w:pStyle w:val="Heading2"/>
              <w:spacing w:beforeLines="20" w:before="48" w:afterLines="20" w:after="48"/>
              <w:ind w:left="0"/>
              <w:rPr>
                <w:rFonts w:ascii="Tahoma" w:hAnsi="Tahoma" w:cs="Tahoma"/>
                <w:b w:val="0"/>
                <w:sz w:val="14"/>
              </w:rPr>
            </w:pPr>
            <w:bookmarkStart w:id="47" w:name="_Toc368309863"/>
            <w:r w:rsidRPr="00A75DF9">
              <w:rPr>
                <w:rFonts w:ascii="Tahoma" w:hAnsi="Tahoma" w:cs="Tahoma"/>
                <w:b w:val="0"/>
                <w:sz w:val="14"/>
              </w:rPr>
              <w:t>Microsoft Dynamics CRM Online Storage</w:t>
            </w:r>
            <w:bookmarkEnd w:id="47"/>
          </w:p>
        </w:tc>
        <w:tc>
          <w:tcPr>
            <w:tcW w:w="427" w:type="dxa"/>
            <w:tcBorders>
              <w:bottom w:val="single" w:sz="4" w:space="0" w:color="auto"/>
            </w:tcBorders>
            <w:shd w:val="clear" w:color="auto" w:fill="auto"/>
            <w:vAlign w:val="center"/>
          </w:tcPr>
          <w:p w:rsidR="00BB54E8" w:rsidRPr="00A75DF9" w:rsidRDefault="00B54770">
            <w:pPr>
              <w:pStyle w:val="TableText"/>
              <w:widowControl w:val="0"/>
              <w:rPr>
                <w:rStyle w:val="EndnoteReference"/>
                <w:rFonts w:cs="Tahoma"/>
                <w:b w:val="0"/>
                <w:color w:val="0000FF"/>
                <w:sz w:val="13"/>
                <w:szCs w:val="13"/>
                <w:u w:val="single"/>
              </w:rPr>
            </w:pPr>
            <w:hyperlink w:anchor="_70_Microsoft_Dynamics" w:history="1">
              <w:hyperlink w:anchor="_70_Microsoft_Dynamics" w:history="1">
                <w:r w:rsidR="00734B17" w:rsidRPr="00982110">
                  <w:rPr>
                    <w:rStyle w:val="Hyperlink"/>
                    <w:rFonts w:cs="Tahoma"/>
                    <w:b/>
                    <w:sz w:val="13"/>
                    <w:szCs w:val="13"/>
                  </w:rPr>
                  <w:t>7</w:t>
                </w:r>
              </w:hyperlink>
              <w:r w:rsidR="00734B17" w:rsidRPr="00982110">
                <w:rPr>
                  <w:rStyle w:val="Hyperlink"/>
                  <w:rFonts w:cs="Tahoma"/>
                  <w:b/>
                  <w:sz w:val="13"/>
                  <w:szCs w:val="13"/>
                </w:rPr>
                <w:t>4</w:t>
              </w:r>
            </w:hyperlink>
          </w:p>
        </w:tc>
        <w:tc>
          <w:tcPr>
            <w:tcW w:w="427" w:type="dxa"/>
            <w:tcBorders>
              <w:bottom w:val="single" w:sz="4" w:space="0" w:color="auto"/>
            </w:tcBorders>
            <w:shd w:val="clear" w:color="auto" w:fill="auto"/>
            <w:vAlign w:val="center"/>
          </w:tcPr>
          <w:p w:rsidR="00BB54E8" w:rsidRPr="00A75DF9" w:rsidRDefault="0075377C" w:rsidP="004000C7">
            <w:pPr>
              <w:pStyle w:val="TableText"/>
              <w:widowControl w:val="0"/>
              <w:rPr>
                <w:rFonts w:ascii="Tahoma" w:hAnsi="Tahoma" w:cs="Tahoma"/>
                <w:color w:val="000000"/>
                <w:sz w:val="13"/>
              </w:rPr>
            </w:pPr>
            <w:r w:rsidRPr="00A75DF9">
              <w:rPr>
                <w:rFonts w:ascii="Tahoma" w:hAnsi="Tahoma" w:cs="Tahoma"/>
                <w:color w:val="000000"/>
                <w:sz w:val="13"/>
              </w:rPr>
              <w:t>10/13</w:t>
            </w:r>
          </w:p>
        </w:tc>
        <w:tc>
          <w:tcPr>
            <w:tcW w:w="429" w:type="dxa"/>
            <w:tcBorders>
              <w:bottom w:val="single" w:sz="4" w:space="0" w:color="auto"/>
              <w:right w:val="single" w:sz="18" w:space="0" w:color="auto"/>
            </w:tcBorders>
            <w:shd w:val="clear" w:color="auto" w:fill="auto"/>
            <w:vAlign w:val="center"/>
          </w:tcPr>
          <w:p w:rsidR="00BB54E8" w:rsidRPr="00A75DF9" w:rsidRDefault="00BB54E8" w:rsidP="004B3534">
            <w:pPr>
              <w:pStyle w:val="TableText"/>
              <w:widowControl w:val="0"/>
              <w:rPr>
                <w:rFonts w:ascii="Tahoma" w:hAnsi="Tahoma" w:cs="Tahoma"/>
                <w:color w:val="000000"/>
                <w:sz w:val="13"/>
              </w:rPr>
            </w:pPr>
          </w:p>
        </w:tc>
        <w:tc>
          <w:tcPr>
            <w:tcW w:w="429" w:type="dxa"/>
            <w:tcBorders>
              <w:left w:val="single" w:sz="18" w:space="0" w:color="auto"/>
              <w:bottom w:val="single" w:sz="4" w:space="0" w:color="auto"/>
            </w:tcBorders>
            <w:shd w:val="clear" w:color="auto" w:fill="auto"/>
            <w:vAlign w:val="center"/>
          </w:tcPr>
          <w:p w:rsidR="00BB54E8" w:rsidRPr="00A75DF9" w:rsidRDefault="00BB54E8"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BB54E8" w:rsidRPr="00A75DF9" w:rsidRDefault="00BB54E8"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BB54E8" w:rsidRPr="00A75DF9" w:rsidRDefault="00BB54E8"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BB54E8" w:rsidRPr="00A75DF9" w:rsidRDefault="00BB54E8"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BB54E8" w:rsidRPr="00A75DF9" w:rsidRDefault="00BB54E8"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BB54E8" w:rsidRPr="00A75DF9" w:rsidRDefault="00BB54E8"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BB54E8" w:rsidRPr="00A75DF9" w:rsidRDefault="00BB54E8" w:rsidP="004B3534">
            <w:pPr>
              <w:pStyle w:val="TableText"/>
              <w:widowControl w:val="0"/>
              <w:rPr>
                <w:rFonts w:ascii="Tahoma" w:hAnsi="Tahoma" w:cs="Tahoma"/>
                <w:sz w:val="13"/>
              </w:rPr>
            </w:pPr>
          </w:p>
        </w:tc>
        <w:tc>
          <w:tcPr>
            <w:tcW w:w="405" w:type="dxa"/>
            <w:tcBorders>
              <w:left w:val="single" w:sz="18" w:space="0" w:color="auto"/>
              <w:bottom w:val="single" w:sz="4" w:space="0" w:color="auto"/>
            </w:tcBorders>
            <w:shd w:val="clear" w:color="auto" w:fill="auto"/>
            <w:vAlign w:val="center"/>
          </w:tcPr>
          <w:p w:rsidR="00BB54E8" w:rsidRPr="00A75DF9" w:rsidRDefault="00BB54E8" w:rsidP="004B3534">
            <w:pPr>
              <w:pStyle w:val="TableText"/>
              <w:widowControl w:val="0"/>
              <w:rPr>
                <w:rFonts w:ascii="Tahoma" w:hAnsi="Tahoma" w:cs="Tahoma"/>
                <w:sz w:val="13"/>
              </w:rPr>
            </w:pPr>
          </w:p>
        </w:tc>
        <w:tc>
          <w:tcPr>
            <w:tcW w:w="288" w:type="dxa"/>
            <w:tcBorders>
              <w:bottom w:val="single" w:sz="4" w:space="0" w:color="auto"/>
            </w:tcBorders>
            <w:shd w:val="clear" w:color="auto" w:fill="auto"/>
            <w:vAlign w:val="center"/>
          </w:tcPr>
          <w:p w:rsidR="00BB54E8" w:rsidRPr="00A75DF9" w:rsidRDefault="00BB54E8" w:rsidP="004B3534">
            <w:pPr>
              <w:pStyle w:val="TableText"/>
              <w:widowControl w:val="0"/>
              <w:rPr>
                <w:rFonts w:ascii="Tahoma" w:hAnsi="Tahoma" w:cs="Tahoma"/>
                <w:sz w:val="13"/>
              </w:rPr>
            </w:pPr>
          </w:p>
        </w:tc>
        <w:tc>
          <w:tcPr>
            <w:tcW w:w="315" w:type="dxa"/>
            <w:tcBorders>
              <w:bottom w:val="single" w:sz="4" w:space="0" w:color="auto"/>
              <w:right w:val="single" w:sz="18" w:space="0" w:color="auto"/>
            </w:tcBorders>
            <w:shd w:val="clear" w:color="auto" w:fill="auto"/>
            <w:vAlign w:val="center"/>
          </w:tcPr>
          <w:p w:rsidR="00BB54E8" w:rsidRPr="00A75DF9" w:rsidRDefault="00BB54E8" w:rsidP="004B3534">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auto"/>
            <w:vAlign w:val="center"/>
          </w:tcPr>
          <w:p w:rsidR="00BB54E8" w:rsidRPr="00A75DF9" w:rsidRDefault="00BB54E8" w:rsidP="004B3534">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auto"/>
            <w:vAlign w:val="center"/>
          </w:tcPr>
          <w:p w:rsidR="00BB54E8" w:rsidRPr="00A75DF9" w:rsidRDefault="00BB54E8" w:rsidP="004B3534">
            <w:pPr>
              <w:pStyle w:val="TableText"/>
              <w:widowControl w:val="0"/>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auto"/>
            <w:vAlign w:val="center"/>
          </w:tcPr>
          <w:p w:rsidR="00BB54E8" w:rsidRPr="00A75DF9" w:rsidRDefault="00BB54E8" w:rsidP="004B3534">
            <w:pPr>
              <w:pStyle w:val="TableText"/>
              <w:widowControl w:val="0"/>
              <w:rPr>
                <w:rFonts w:ascii="Tahoma" w:hAnsi="Tahoma" w:cs="Tahoma"/>
                <w:sz w:val="13"/>
              </w:rPr>
            </w:pPr>
          </w:p>
        </w:tc>
        <w:tc>
          <w:tcPr>
            <w:tcW w:w="702" w:type="dxa"/>
            <w:tcBorders>
              <w:bottom w:val="single" w:sz="4" w:space="0" w:color="auto"/>
            </w:tcBorders>
            <w:shd w:val="clear" w:color="auto" w:fill="auto"/>
            <w:vAlign w:val="center"/>
          </w:tcPr>
          <w:p w:rsidR="00BB54E8" w:rsidRPr="00A75DF9" w:rsidRDefault="00BB54E8" w:rsidP="00080B33">
            <w:pPr>
              <w:pStyle w:val="TableText"/>
              <w:widowControl w:val="0"/>
              <w:rPr>
                <w:rFonts w:ascii="Tahoma" w:hAnsi="Tahoma" w:cs="Tahoma"/>
                <w:sz w:val="13"/>
              </w:rPr>
            </w:pPr>
          </w:p>
        </w:tc>
        <w:tc>
          <w:tcPr>
            <w:tcW w:w="650" w:type="dxa"/>
            <w:tcBorders>
              <w:bottom w:val="single" w:sz="4" w:space="0" w:color="auto"/>
            </w:tcBorders>
            <w:shd w:val="clear" w:color="auto" w:fill="auto"/>
            <w:vAlign w:val="center"/>
          </w:tcPr>
          <w:p w:rsidR="00BB54E8" w:rsidRPr="00A75DF9" w:rsidRDefault="00BB54E8" w:rsidP="004B3534">
            <w:pPr>
              <w:pStyle w:val="TableText"/>
              <w:widowControl w:val="0"/>
              <w:rPr>
                <w:rFonts w:ascii="Tahoma" w:hAnsi="Tahoma" w:cs="Tahoma"/>
                <w:sz w:val="13"/>
              </w:rPr>
            </w:pPr>
          </w:p>
        </w:tc>
      </w:tr>
      <w:tr w:rsidR="00A75DF9" w:rsidRPr="00A75DF9" w:rsidTr="00337A7D">
        <w:trPr>
          <w:cantSplit/>
          <w:trHeight w:val="269"/>
        </w:trPr>
        <w:tc>
          <w:tcPr>
            <w:tcW w:w="2634" w:type="dxa"/>
            <w:tcBorders>
              <w:bottom w:val="single" w:sz="4" w:space="0" w:color="auto"/>
            </w:tcBorders>
            <w:shd w:val="clear" w:color="auto" w:fill="FABF8F"/>
            <w:vAlign w:val="center"/>
          </w:tcPr>
          <w:p w:rsidR="00B27742" w:rsidRPr="00A75DF9" w:rsidRDefault="00B27742" w:rsidP="008B1245">
            <w:pPr>
              <w:pStyle w:val="Heading2"/>
              <w:spacing w:beforeLines="20" w:before="48" w:afterLines="20" w:after="48"/>
              <w:ind w:left="0"/>
              <w:rPr>
                <w:rFonts w:ascii="Tahoma" w:hAnsi="Tahoma" w:cs="Tahoma"/>
                <w:b w:val="0"/>
                <w:sz w:val="14"/>
              </w:rPr>
            </w:pPr>
            <w:bookmarkStart w:id="48" w:name="_Toc336337858"/>
            <w:bookmarkStart w:id="49" w:name="_Toc368309864"/>
            <w:r w:rsidRPr="00A75DF9">
              <w:rPr>
                <w:rFonts w:ascii="Tahoma" w:hAnsi="Tahoma" w:cs="Tahoma"/>
                <w:b w:val="0"/>
                <w:sz w:val="14"/>
              </w:rPr>
              <w:t>Sistemi Operativi MSDN</w:t>
            </w:r>
            <w:bookmarkEnd w:id="48"/>
            <w:bookmarkEnd w:id="49"/>
          </w:p>
        </w:tc>
        <w:tc>
          <w:tcPr>
            <w:tcW w:w="427" w:type="dxa"/>
            <w:tcBorders>
              <w:bottom w:val="single" w:sz="4" w:space="0" w:color="auto"/>
            </w:tcBorders>
            <w:shd w:val="clear" w:color="auto" w:fill="FABF8F"/>
            <w:vAlign w:val="center"/>
          </w:tcPr>
          <w:p w:rsidR="00B27742" w:rsidRPr="00A75DF9" w:rsidRDefault="00B54770" w:rsidP="009832D3">
            <w:pPr>
              <w:pStyle w:val="TableText"/>
              <w:widowControl w:val="0"/>
              <w:rPr>
                <w:rStyle w:val="EndnoteReference"/>
                <w:rFonts w:cs="Tahoma"/>
                <w:b w:val="0"/>
                <w:color w:val="0000FF"/>
                <w:sz w:val="13"/>
                <w:szCs w:val="13"/>
                <w:u w:val="single"/>
              </w:rPr>
            </w:pPr>
            <w:hyperlink w:anchor="_3_MSDN_Operating" w:history="1">
              <w:r w:rsidR="00734B17" w:rsidRPr="00A75DF9">
                <w:rPr>
                  <w:rStyle w:val="Hyperlink"/>
                  <w:rFonts w:cs="Tahoma"/>
                  <w:b/>
                  <w:sz w:val="13"/>
                  <w:szCs w:val="13"/>
                </w:rPr>
                <w:t>3</w:t>
              </w:r>
            </w:hyperlink>
          </w:p>
        </w:tc>
        <w:tc>
          <w:tcPr>
            <w:tcW w:w="427" w:type="dxa"/>
            <w:tcBorders>
              <w:bottom w:val="single" w:sz="4" w:space="0" w:color="auto"/>
            </w:tcBorders>
            <w:shd w:val="clear" w:color="auto" w:fill="FABF8F"/>
            <w:vAlign w:val="center"/>
          </w:tcPr>
          <w:p w:rsidR="00B27742" w:rsidRPr="00A75DF9" w:rsidRDefault="00B27742" w:rsidP="004000C7">
            <w:pPr>
              <w:pStyle w:val="TableText"/>
              <w:rPr>
                <w:rFonts w:ascii="Tahoma" w:hAnsi="Tahoma" w:cs="Tahoma"/>
                <w:sz w:val="13"/>
              </w:rPr>
            </w:pPr>
            <w:r w:rsidRPr="00A75DF9">
              <w:rPr>
                <w:rFonts w:ascii="Tahoma" w:hAnsi="Tahoma" w:cs="Tahoma"/>
                <w:sz w:val="13"/>
              </w:rPr>
              <w:t>01/06</w:t>
            </w:r>
          </w:p>
        </w:tc>
        <w:tc>
          <w:tcPr>
            <w:tcW w:w="429" w:type="dxa"/>
            <w:tcBorders>
              <w:bottom w:val="single" w:sz="4" w:space="0" w:color="auto"/>
              <w:right w:val="single" w:sz="18" w:space="0" w:color="auto"/>
            </w:tcBorders>
            <w:shd w:val="clear" w:color="auto" w:fill="FABF8F"/>
            <w:vAlign w:val="center"/>
          </w:tcPr>
          <w:p w:rsidR="00B27742" w:rsidRPr="00A75DF9" w:rsidRDefault="00B27742" w:rsidP="004B3534">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B27742" w:rsidRPr="00A75DF9" w:rsidRDefault="00B27742" w:rsidP="004B3534">
            <w:pPr>
              <w:pStyle w:val="TableText"/>
              <w:rPr>
                <w:rFonts w:ascii="Tahoma" w:hAnsi="Tahoma" w:cs="Tahoma"/>
                <w:sz w:val="13"/>
              </w:rPr>
            </w:pPr>
          </w:p>
        </w:tc>
        <w:tc>
          <w:tcPr>
            <w:tcW w:w="429" w:type="dxa"/>
            <w:tcBorders>
              <w:bottom w:val="single" w:sz="4" w:space="0" w:color="auto"/>
            </w:tcBorders>
            <w:shd w:val="clear" w:color="auto" w:fill="FABF8F"/>
            <w:vAlign w:val="center"/>
          </w:tcPr>
          <w:p w:rsidR="00B27742" w:rsidRPr="00A75DF9" w:rsidRDefault="00B27742" w:rsidP="004B3534">
            <w:pPr>
              <w:pStyle w:val="TableText"/>
              <w:rPr>
                <w:rFonts w:ascii="Tahoma" w:hAnsi="Tahoma" w:cs="Tahoma"/>
                <w:sz w:val="13"/>
              </w:rPr>
            </w:pPr>
            <w:r w:rsidRPr="00A75DF9">
              <w:rPr>
                <w:rFonts w:ascii="Tahoma" w:hAnsi="Tahoma" w:cs="Tahoma"/>
                <w:sz w:val="13"/>
              </w:rPr>
              <w:t>5</w:t>
            </w:r>
          </w:p>
        </w:tc>
        <w:tc>
          <w:tcPr>
            <w:tcW w:w="429" w:type="dxa"/>
            <w:tcBorders>
              <w:bottom w:val="single" w:sz="4" w:space="0" w:color="auto"/>
            </w:tcBorders>
            <w:shd w:val="clear" w:color="auto" w:fill="FABF8F"/>
            <w:vAlign w:val="center"/>
          </w:tcPr>
          <w:p w:rsidR="00B27742" w:rsidRPr="00A75DF9" w:rsidRDefault="00B27742" w:rsidP="004B3534">
            <w:pPr>
              <w:pStyle w:val="TableText"/>
              <w:rPr>
                <w:rFonts w:ascii="Tahoma" w:hAnsi="Tahoma" w:cs="Tahoma"/>
                <w:sz w:val="13"/>
              </w:rPr>
            </w:pPr>
            <w:r w:rsidRPr="00A75DF9">
              <w:rPr>
                <w:rFonts w:ascii="Tahoma" w:hAnsi="Tahoma" w:cs="Tahoma"/>
                <w:sz w:val="13"/>
              </w:rPr>
              <w:t>4</w:t>
            </w:r>
          </w:p>
        </w:tc>
        <w:tc>
          <w:tcPr>
            <w:tcW w:w="429" w:type="dxa"/>
            <w:tcBorders>
              <w:bottom w:val="single" w:sz="4" w:space="0" w:color="auto"/>
            </w:tcBorders>
            <w:shd w:val="clear" w:color="auto" w:fill="FABF8F"/>
            <w:vAlign w:val="center"/>
          </w:tcPr>
          <w:p w:rsidR="00B27742" w:rsidRPr="00A75DF9" w:rsidRDefault="00B27742" w:rsidP="004B3534">
            <w:pPr>
              <w:pStyle w:val="TableText"/>
              <w:rPr>
                <w:rFonts w:ascii="Tahoma" w:hAnsi="Tahoma" w:cs="Tahoma"/>
                <w:sz w:val="13"/>
              </w:rPr>
            </w:pPr>
            <w:r w:rsidRPr="00A75DF9">
              <w:rPr>
                <w:rFonts w:ascii="Tahoma" w:hAnsi="Tahoma" w:cs="Tahoma"/>
                <w:sz w:val="13"/>
              </w:rPr>
              <w:t>3</w:t>
            </w:r>
          </w:p>
        </w:tc>
        <w:tc>
          <w:tcPr>
            <w:tcW w:w="429" w:type="dxa"/>
            <w:tcBorders>
              <w:bottom w:val="single" w:sz="4" w:space="0" w:color="auto"/>
            </w:tcBorders>
            <w:shd w:val="clear" w:color="auto" w:fill="FABF8F"/>
            <w:vAlign w:val="center"/>
          </w:tcPr>
          <w:p w:rsidR="00B27742" w:rsidRPr="00A75DF9" w:rsidRDefault="00B27742" w:rsidP="004B3534">
            <w:pPr>
              <w:pStyle w:val="TableText"/>
              <w:rPr>
                <w:rFonts w:ascii="Tahoma" w:hAnsi="Tahoma" w:cs="Tahoma"/>
                <w:sz w:val="13"/>
              </w:rPr>
            </w:pPr>
            <w:r w:rsidRPr="00A75DF9">
              <w:rPr>
                <w:rFonts w:ascii="Tahoma" w:hAnsi="Tahoma" w:cs="Tahoma"/>
                <w:sz w:val="13"/>
              </w:rPr>
              <w:t>3</w:t>
            </w:r>
          </w:p>
        </w:tc>
        <w:tc>
          <w:tcPr>
            <w:tcW w:w="429" w:type="dxa"/>
            <w:tcBorders>
              <w:bottom w:val="single" w:sz="4" w:space="0" w:color="auto"/>
            </w:tcBorders>
            <w:shd w:val="clear" w:color="auto" w:fill="FABF8F"/>
            <w:vAlign w:val="center"/>
          </w:tcPr>
          <w:p w:rsidR="00B27742" w:rsidRPr="00A75DF9" w:rsidRDefault="00B27742" w:rsidP="004B3534">
            <w:pPr>
              <w:pStyle w:val="TableText"/>
              <w:rPr>
                <w:rFonts w:ascii="Tahoma" w:hAnsi="Tahoma" w:cs="Tahoma"/>
                <w:sz w:val="13"/>
              </w:rPr>
            </w:pPr>
            <w:r w:rsidRPr="00A75DF9">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B27742" w:rsidRPr="00A75DF9" w:rsidRDefault="00B27742" w:rsidP="004B3534">
            <w:pPr>
              <w:pStyle w:val="TableText"/>
              <w:rPr>
                <w:rFonts w:ascii="Tahoma" w:hAnsi="Tahoma" w:cs="Tahoma"/>
                <w:sz w:val="13"/>
              </w:rPr>
            </w:pPr>
            <w:r w:rsidRPr="00A75DF9">
              <w:rPr>
                <w:rFonts w:ascii="Tahoma" w:hAnsi="Tahoma" w:cs="Tahoma"/>
                <w:sz w:val="13"/>
              </w:rPr>
              <w:t>1</w:t>
            </w:r>
          </w:p>
        </w:tc>
        <w:tc>
          <w:tcPr>
            <w:tcW w:w="405" w:type="dxa"/>
            <w:tcBorders>
              <w:left w:val="single" w:sz="18" w:space="0" w:color="auto"/>
              <w:bottom w:val="single" w:sz="4" w:space="0" w:color="auto"/>
            </w:tcBorders>
            <w:shd w:val="clear" w:color="auto" w:fill="FABF8F"/>
            <w:vAlign w:val="center"/>
          </w:tcPr>
          <w:p w:rsidR="00B27742" w:rsidRPr="00A75DF9" w:rsidRDefault="00B27742" w:rsidP="004B3534">
            <w:pPr>
              <w:pStyle w:val="TableText"/>
              <w:rPr>
                <w:rFonts w:ascii="Tahoma" w:hAnsi="Tahoma" w:cs="Tahoma"/>
                <w:sz w:val="13"/>
              </w:rPr>
            </w:pPr>
          </w:p>
        </w:tc>
        <w:tc>
          <w:tcPr>
            <w:tcW w:w="288" w:type="dxa"/>
            <w:tcBorders>
              <w:bottom w:val="single" w:sz="4" w:space="0" w:color="auto"/>
            </w:tcBorders>
            <w:shd w:val="clear" w:color="auto" w:fill="FABF8F"/>
            <w:vAlign w:val="center"/>
          </w:tcPr>
          <w:p w:rsidR="00B27742" w:rsidRPr="00A75DF9" w:rsidRDefault="00B27742" w:rsidP="004B3534">
            <w:pPr>
              <w:pStyle w:val="TableText"/>
              <w:rPr>
                <w:rFonts w:ascii="Tahoma" w:hAnsi="Tahoma" w:cs="Tahoma"/>
                <w:sz w:val="13"/>
              </w:rPr>
            </w:pPr>
            <w:r w:rsidRPr="00A75DF9">
              <w:rPr>
                <w:rFonts w:ascii="Tahoma" w:hAnsi="Tahoma" w:cs="Tahoma"/>
                <w:sz w:val="13"/>
              </w:rPr>
              <w:t>4</w:t>
            </w:r>
          </w:p>
        </w:tc>
        <w:tc>
          <w:tcPr>
            <w:tcW w:w="315" w:type="dxa"/>
            <w:tcBorders>
              <w:bottom w:val="single" w:sz="4" w:space="0" w:color="auto"/>
              <w:right w:val="single" w:sz="18" w:space="0" w:color="auto"/>
            </w:tcBorders>
            <w:shd w:val="clear" w:color="auto" w:fill="FABF8F"/>
            <w:vAlign w:val="center"/>
          </w:tcPr>
          <w:p w:rsidR="00B27742" w:rsidRPr="00A75DF9" w:rsidRDefault="00B27742" w:rsidP="004B3534">
            <w:pPr>
              <w:pStyle w:val="TableText"/>
              <w:rPr>
                <w:rFonts w:ascii="Tahoma" w:hAnsi="Tahoma" w:cs="Tahoma"/>
                <w:sz w:val="13"/>
              </w:rPr>
            </w:pPr>
            <w:r w:rsidRPr="00A75DF9">
              <w:rPr>
                <w:rFonts w:ascii="Tahoma" w:hAnsi="Tahoma" w:cs="Tahoma"/>
                <w:sz w:val="13"/>
              </w:rPr>
              <w:t>2</w:t>
            </w:r>
          </w:p>
        </w:tc>
        <w:tc>
          <w:tcPr>
            <w:tcW w:w="477" w:type="dxa"/>
            <w:tcBorders>
              <w:left w:val="single" w:sz="18" w:space="0" w:color="auto"/>
              <w:bottom w:val="single" w:sz="4" w:space="0" w:color="auto"/>
            </w:tcBorders>
            <w:shd w:val="clear" w:color="auto" w:fill="FABF8F"/>
            <w:vAlign w:val="center"/>
          </w:tcPr>
          <w:p w:rsidR="00B27742" w:rsidRPr="00A75DF9" w:rsidRDefault="00B27742" w:rsidP="004B3534">
            <w:pPr>
              <w:pStyle w:val="TableText"/>
              <w:rPr>
                <w:rFonts w:ascii="Tahoma" w:hAnsi="Tahoma" w:cs="Tahoma"/>
                <w:sz w:val="13"/>
              </w:rPr>
            </w:pPr>
            <w:r w:rsidRPr="00A75DF9">
              <w:rPr>
                <w:rFonts w:ascii="Tahoma" w:hAnsi="Tahoma" w:cs="Tahoma"/>
                <w:sz w:val="13"/>
              </w:rPr>
              <w:t>1</w:t>
            </w:r>
          </w:p>
        </w:tc>
        <w:tc>
          <w:tcPr>
            <w:tcW w:w="396" w:type="dxa"/>
            <w:tcBorders>
              <w:bottom w:val="single" w:sz="4" w:space="0" w:color="auto"/>
              <w:right w:val="single" w:sz="18" w:space="0" w:color="auto"/>
            </w:tcBorders>
            <w:shd w:val="clear" w:color="auto" w:fill="FABF8F"/>
            <w:vAlign w:val="center"/>
          </w:tcPr>
          <w:p w:rsidR="00B27742" w:rsidRPr="00A75DF9" w:rsidRDefault="00B27742" w:rsidP="004B3534">
            <w:pPr>
              <w:pStyle w:val="TableText"/>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FABF8F"/>
            <w:vAlign w:val="center"/>
          </w:tcPr>
          <w:p w:rsidR="00B27742" w:rsidRPr="00A75DF9" w:rsidRDefault="00B27742" w:rsidP="004B3534">
            <w:pPr>
              <w:pStyle w:val="TableText"/>
              <w:rPr>
                <w:rFonts w:ascii="Tahoma" w:hAnsi="Tahoma" w:cs="Tahoma"/>
                <w:sz w:val="13"/>
              </w:rPr>
            </w:pPr>
            <w:r w:rsidRPr="00A75DF9">
              <w:rPr>
                <w:rFonts w:ascii="Tahoma" w:hAnsi="Tahoma" w:cs="Tahoma"/>
                <w:sz w:val="13"/>
              </w:rPr>
              <w:t>P</w:t>
            </w:r>
          </w:p>
        </w:tc>
        <w:tc>
          <w:tcPr>
            <w:tcW w:w="702" w:type="dxa"/>
            <w:tcBorders>
              <w:bottom w:val="single" w:sz="4" w:space="0" w:color="auto"/>
            </w:tcBorders>
            <w:shd w:val="clear" w:color="auto" w:fill="FABF8F"/>
            <w:vAlign w:val="center"/>
          </w:tcPr>
          <w:p w:rsidR="00B27742" w:rsidRPr="00A75DF9" w:rsidRDefault="00052BF4" w:rsidP="00080B33">
            <w:pPr>
              <w:pStyle w:val="TableText"/>
              <w:rPr>
                <w:rFonts w:ascii="Tahoma" w:hAnsi="Tahoma" w:cs="Tahoma"/>
                <w:sz w:val="13"/>
              </w:rPr>
            </w:pPr>
            <w:r w:rsidRPr="00A75DF9">
              <w:rPr>
                <w:rFonts w:ascii="Tahoma" w:hAnsi="Tahoma" w:cs="Tahoma"/>
                <w:sz w:val="13"/>
              </w:rPr>
              <w:t>A</w:t>
            </w:r>
          </w:p>
        </w:tc>
        <w:tc>
          <w:tcPr>
            <w:tcW w:w="650" w:type="dxa"/>
            <w:tcBorders>
              <w:bottom w:val="single" w:sz="4" w:space="0" w:color="auto"/>
            </w:tcBorders>
            <w:shd w:val="clear" w:color="auto" w:fill="FABF8F"/>
            <w:vAlign w:val="center"/>
          </w:tcPr>
          <w:p w:rsidR="00B27742" w:rsidRPr="00A75DF9" w:rsidRDefault="00B27742" w:rsidP="004B3534">
            <w:pPr>
              <w:pStyle w:val="TableText"/>
              <w:rPr>
                <w:rFonts w:ascii="Tahoma" w:hAnsi="Tahoma" w:cs="Tahoma"/>
              </w:rPr>
            </w:pPr>
            <w:r w:rsidRPr="00A75DF9">
              <w:rPr>
                <w:rFonts w:ascii="Tahoma" w:hAnsi="Tahoma" w:cs="Tahoma"/>
                <w:sz w:val="13"/>
              </w:rPr>
              <w:t>OL/SA/</w:t>
            </w:r>
          </w:p>
          <w:p w:rsidR="00B27742" w:rsidRPr="00A75DF9" w:rsidRDefault="00B27742" w:rsidP="004B3534">
            <w:pPr>
              <w:pStyle w:val="TableText"/>
              <w:rPr>
                <w:rFonts w:ascii="Tahoma" w:hAnsi="Tahoma" w:cs="Tahoma"/>
                <w:sz w:val="13"/>
              </w:rPr>
            </w:pPr>
            <w:r w:rsidRPr="00A75DF9">
              <w:rPr>
                <w:rFonts w:ascii="Tahoma" w:hAnsi="Tahoma" w:cs="Tahoma"/>
                <w:sz w:val="13"/>
              </w:rPr>
              <w:t>OV</w:t>
            </w:r>
          </w:p>
        </w:tc>
      </w:tr>
      <w:tr w:rsidR="00A75DF9" w:rsidRPr="00A75DF9" w:rsidTr="00337A7D">
        <w:trPr>
          <w:cantSplit/>
          <w:trHeight w:val="287"/>
        </w:trPr>
        <w:tc>
          <w:tcPr>
            <w:tcW w:w="2634" w:type="dxa"/>
            <w:tcBorders>
              <w:bottom w:val="single" w:sz="4" w:space="0" w:color="auto"/>
            </w:tcBorders>
            <w:shd w:val="clear" w:color="auto" w:fill="auto"/>
            <w:vAlign w:val="center"/>
          </w:tcPr>
          <w:p w:rsidR="00A4054A" w:rsidRPr="00A75DF9" w:rsidRDefault="00A4054A" w:rsidP="008B1245">
            <w:pPr>
              <w:pStyle w:val="Heading2"/>
              <w:spacing w:beforeLines="20" w:before="48" w:afterLines="20" w:after="48"/>
              <w:ind w:left="0"/>
              <w:rPr>
                <w:rFonts w:ascii="Tahoma" w:hAnsi="Tahoma" w:cs="Tahoma"/>
                <w:b w:val="0"/>
                <w:sz w:val="14"/>
              </w:rPr>
            </w:pPr>
            <w:bookmarkStart w:id="50" w:name="_Toc368309865"/>
            <w:r w:rsidRPr="00A75DF9">
              <w:rPr>
                <w:rFonts w:ascii="Tahoma" w:hAnsi="Tahoma" w:cs="Tahoma"/>
                <w:b w:val="0"/>
                <w:sz w:val="14"/>
              </w:rPr>
              <w:t>Piattaforme MSDN</w:t>
            </w:r>
            <w:bookmarkEnd w:id="50"/>
          </w:p>
        </w:tc>
        <w:tc>
          <w:tcPr>
            <w:tcW w:w="427" w:type="dxa"/>
            <w:tcBorders>
              <w:bottom w:val="single" w:sz="4" w:space="0" w:color="auto"/>
            </w:tcBorders>
            <w:shd w:val="clear" w:color="auto" w:fill="auto"/>
            <w:vAlign w:val="center"/>
          </w:tcPr>
          <w:p w:rsidR="00A4054A" w:rsidRPr="00A75DF9" w:rsidRDefault="00B54770" w:rsidP="009832D3">
            <w:pPr>
              <w:pStyle w:val="TableText"/>
              <w:widowControl w:val="0"/>
              <w:rPr>
                <w:rFonts w:cs="Tahoma"/>
              </w:rPr>
            </w:pPr>
            <w:hyperlink w:anchor="_4_Piattaforme_MSDN" w:history="1">
              <w:r w:rsidR="00734B17" w:rsidRPr="00A75DF9">
                <w:rPr>
                  <w:rStyle w:val="Hyperlink"/>
                  <w:rFonts w:cs="Tahoma"/>
                  <w:b/>
                  <w:sz w:val="13"/>
                  <w:szCs w:val="13"/>
                </w:rPr>
                <w:t>4</w:t>
              </w:r>
            </w:hyperlink>
          </w:p>
        </w:tc>
        <w:tc>
          <w:tcPr>
            <w:tcW w:w="427" w:type="dxa"/>
            <w:tcBorders>
              <w:bottom w:val="single" w:sz="4" w:space="0" w:color="auto"/>
            </w:tcBorders>
            <w:shd w:val="clear" w:color="auto" w:fill="auto"/>
            <w:vAlign w:val="center"/>
          </w:tcPr>
          <w:p w:rsidR="00A4054A" w:rsidRPr="00A75DF9" w:rsidRDefault="00A4054A" w:rsidP="004000C7">
            <w:pPr>
              <w:pStyle w:val="TableText"/>
              <w:widowControl w:val="0"/>
              <w:rPr>
                <w:rFonts w:ascii="Tahoma" w:hAnsi="Tahoma" w:cs="Tahoma"/>
                <w:sz w:val="13"/>
              </w:rPr>
            </w:pPr>
            <w:r w:rsidRPr="00A75DF9">
              <w:rPr>
                <w:rFonts w:ascii="Tahoma" w:hAnsi="Tahoma" w:cs="Tahoma"/>
                <w:sz w:val="13"/>
              </w:rPr>
              <w:t>06/13</w:t>
            </w:r>
          </w:p>
        </w:tc>
        <w:tc>
          <w:tcPr>
            <w:tcW w:w="429" w:type="dxa"/>
            <w:tcBorders>
              <w:bottom w:val="single" w:sz="4" w:space="0" w:color="auto"/>
              <w:right w:val="single" w:sz="18" w:space="0" w:color="auto"/>
            </w:tcBorders>
            <w:shd w:val="clear" w:color="auto" w:fill="auto"/>
            <w:vAlign w:val="center"/>
          </w:tcPr>
          <w:p w:rsidR="00A4054A" w:rsidRPr="00A75DF9" w:rsidRDefault="00A4054A"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A4054A" w:rsidRPr="00A75DF9" w:rsidRDefault="00A4054A" w:rsidP="004B3534">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A4054A" w:rsidRPr="00A75DF9" w:rsidRDefault="007C0DA4" w:rsidP="004B3534">
            <w:pPr>
              <w:pStyle w:val="TableText"/>
              <w:widowControl w:val="0"/>
              <w:rPr>
                <w:rFonts w:ascii="Tahoma" w:hAnsi="Tahoma" w:cs="Tahoma"/>
                <w:sz w:val="13"/>
              </w:rPr>
            </w:pPr>
            <w:r w:rsidRPr="00A75DF9">
              <w:rPr>
                <w:rFonts w:ascii="Tahoma" w:hAnsi="Tahoma" w:cs="Tahoma"/>
                <w:sz w:val="13"/>
              </w:rPr>
              <w:t>15</w:t>
            </w:r>
          </w:p>
        </w:tc>
        <w:tc>
          <w:tcPr>
            <w:tcW w:w="429" w:type="dxa"/>
            <w:tcBorders>
              <w:bottom w:val="single" w:sz="4" w:space="0" w:color="auto"/>
            </w:tcBorders>
            <w:shd w:val="clear" w:color="auto" w:fill="auto"/>
            <w:vAlign w:val="center"/>
          </w:tcPr>
          <w:p w:rsidR="00A4054A" w:rsidRPr="00A75DF9" w:rsidRDefault="007C0DA4" w:rsidP="004B3534">
            <w:pPr>
              <w:pStyle w:val="TableText"/>
              <w:widowControl w:val="0"/>
              <w:rPr>
                <w:rFonts w:ascii="Tahoma" w:hAnsi="Tahoma" w:cs="Tahoma"/>
                <w:sz w:val="13"/>
              </w:rPr>
            </w:pPr>
            <w:r w:rsidRPr="00A75DF9">
              <w:rPr>
                <w:rFonts w:ascii="Tahoma" w:hAnsi="Tahoma" w:cs="Tahoma"/>
                <w:sz w:val="13"/>
              </w:rPr>
              <w:t>12</w:t>
            </w:r>
          </w:p>
        </w:tc>
        <w:tc>
          <w:tcPr>
            <w:tcW w:w="429" w:type="dxa"/>
            <w:tcBorders>
              <w:bottom w:val="single" w:sz="4" w:space="0" w:color="auto"/>
            </w:tcBorders>
            <w:shd w:val="clear" w:color="auto" w:fill="auto"/>
            <w:vAlign w:val="center"/>
          </w:tcPr>
          <w:p w:rsidR="00A4054A" w:rsidRPr="00A75DF9" w:rsidRDefault="007C0DA4" w:rsidP="004B3534">
            <w:pPr>
              <w:pStyle w:val="TableText"/>
              <w:widowControl w:val="0"/>
              <w:rPr>
                <w:rFonts w:ascii="Tahoma" w:hAnsi="Tahoma" w:cs="Tahoma"/>
                <w:sz w:val="13"/>
              </w:rPr>
            </w:pPr>
            <w:r w:rsidRPr="00A75DF9">
              <w:rPr>
                <w:rFonts w:ascii="Tahoma" w:hAnsi="Tahoma" w:cs="Tahoma"/>
                <w:sz w:val="13"/>
              </w:rPr>
              <w:t>9</w:t>
            </w:r>
          </w:p>
        </w:tc>
        <w:tc>
          <w:tcPr>
            <w:tcW w:w="429" w:type="dxa"/>
            <w:tcBorders>
              <w:bottom w:val="single" w:sz="4" w:space="0" w:color="auto"/>
            </w:tcBorders>
            <w:shd w:val="clear" w:color="auto" w:fill="auto"/>
            <w:vAlign w:val="center"/>
          </w:tcPr>
          <w:p w:rsidR="00A4054A" w:rsidRPr="00A75DF9" w:rsidRDefault="007C0DA4" w:rsidP="004B3534">
            <w:pPr>
              <w:pStyle w:val="TableText"/>
              <w:widowControl w:val="0"/>
              <w:rPr>
                <w:rFonts w:ascii="Tahoma" w:hAnsi="Tahoma" w:cs="Tahoma"/>
                <w:sz w:val="13"/>
              </w:rPr>
            </w:pPr>
            <w:r w:rsidRPr="00A75DF9">
              <w:rPr>
                <w:rFonts w:ascii="Tahoma" w:hAnsi="Tahoma" w:cs="Tahoma"/>
                <w:sz w:val="13"/>
              </w:rPr>
              <w:t>9</w:t>
            </w:r>
          </w:p>
        </w:tc>
        <w:tc>
          <w:tcPr>
            <w:tcW w:w="429" w:type="dxa"/>
            <w:tcBorders>
              <w:bottom w:val="single" w:sz="4" w:space="0" w:color="auto"/>
            </w:tcBorders>
            <w:shd w:val="clear" w:color="auto" w:fill="auto"/>
            <w:vAlign w:val="center"/>
          </w:tcPr>
          <w:p w:rsidR="00A4054A" w:rsidRPr="00A75DF9" w:rsidRDefault="007C0DA4" w:rsidP="004B3534">
            <w:pPr>
              <w:pStyle w:val="TableText"/>
              <w:widowControl w:val="0"/>
              <w:rPr>
                <w:rFonts w:ascii="Tahoma" w:hAnsi="Tahoma" w:cs="Tahoma"/>
                <w:sz w:val="13"/>
              </w:rPr>
            </w:pPr>
            <w:r w:rsidRPr="00A75DF9">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rsidR="00A4054A" w:rsidRPr="00A75DF9" w:rsidRDefault="007C0DA4" w:rsidP="004B3534">
            <w:pPr>
              <w:pStyle w:val="TableText"/>
              <w:widowControl w:val="0"/>
              <w:rPr>
                <w:rFonts w:ascii="Tahoma" w:hAnsi="Tahoma" w:cs="Tahoma"/>
                <w:sz w:val="13"/>
              </w:rPr>
            </w:pPr>
            <w:r w:rsidRPr="00A75DF9">
              <w:rPr>
                <w:rFonts w:ascii="Tahoma" w:hAnsi="Tahoma" w:cs="Tahoma"/>
                <w:sz w:val="13"/>
              </w:rPr>
              <w:t>3</w:t>
            </w:r>
          </w:p>
        </w:tc>
        <w:tc>
          <w:tcPr>
            <w:tcW w:w="405" w:type="dxa"/>
            <w:tcBorders>
              <w:left w:val="single" w:sz="18" w:space="0" w:color="auto"/>
              <w:bottom w:val="single" w:sz="4" w:space="0" w:color="auto"/>
            </w:tcBorders>
            <w:shd w:val="clear" w:color="auto" w:fill="auto"/>
            <w:vAlign w:val="center"/>
          </w:tcPr>
          <w:p w:rsidR="00A4054A" w:rsidRPr="00A75DF9" w:rsidRDefault="00A4054A" w:rsidP="004B3534">
            <w:pPr>
              <w:pStyle w:val="TableText"/>
              <w:widowControl w:val="0"/>
              <w:rPr>
                <w:rFonts w:ascii="Tahoma" w:hAnsi="Tahoma" w:cs="Tahoma"/>
                <w:sz w:val="13"/>
              </w:rPr>
            </w:pPr>
          </w:p>
        </w:tc>
        <w:tc>
          <w:tcPr>
            <w:tcW w:w="288" w:type="dxa"/>
            <w:tcBorders>
              <w:bottom w:val="single" w:sz="4" w:space="0" w:color="auto"/>
            </w:tcBorders>
            <w:shd w:val="clear" w:color="auto" w:fill="auto"/>
            <w:vAlign w:val="center"/>
          </w:tcPr>
          <w:p w:rsidR="00A4054A" w:rsidRPr="00A75DF9" w:rsidRDefault="007C0DA4" w:rsidP="004B3534">
            <w:pPr>
              <w:pStyle w:val="TableText"/>
              <w:widowControl w:val="0"/>
              <w:rPr>
                <w:rFonts w:ascii="Tahoma" w:hAnsi="Tahoma" w:cs="Tahoma"/>
                <w:sz w:val="13"/>
              </w:rPr>
            </w:pPr>
            <w:r w:rsidRPr="00A75DF9">
              <w:rPr>
                <w:rFonts w:ascii="Tahoma" w:hAnsi="Tahoma" w:cs="Tahoma"/>
                <w:sz w:val="13"/>
              </w:rPr>
              <w:t>12</w:t>
            </w:r>
          </w:p>
        </w:tc>
        <w:tc>
          <w:tcPr>
            <w:tcW w:w="315" w:type="dxa"/>
            <w:tcBorders>
              <w:bottom w:val="single" w:sz="4" w:space="0" w:color="auto"/>
              <w:right w:val="single" w:sz="18" w:space="0" w:color="auto"/>
            </w:tcBorders>
            <w:shd w:val="clear" w:color="auto" w:fill="auto"/>
            <w:vAlign w:val="center"/>
          </w:tcPr>
          <w:p w:rsidR="00A4054A" w:rsidRPr="00A75DF9" w:rsidRDefault="007C0DA4" w:rsidP="004B3534">
            <w:pPr>
              <w:pStyle w:val="TableText"/>
              <w:widowControl w:val="0"/>
              <w:rPr>
                <w:rFonts w:ascii="Tahoma" w:hAnsi="Tahoma" w:cs="Tahoma"/>
                <w:sz w:val="13"/>
              </w:rPr>
            </w:pPr>
            <w:r w:rsidRPr="00A75DF9">
              <w:rPr>
                <w:rFonts w:ascii="Tahoma" w:hAnsi="Tahoma" w:cs="Tahoma"/>
                <w:sz w:val="13"/>
              </w:rPr>
              <w:t>6</w:t>
            </w:r>
          </w:p>
        </w:tc>
        <w:tc>
          <w:tcPr>
            <w:tcW w:w="477" w:type="dxa"/>
            <w:tcBorders>
              <w:left w:val="single" w:sz="18" w:space="0" w:color="auto"/>
              <w:bottom w:val="single" w:sz="4" w:space="0" w:color="auto"/>
            </w:tcBorders>
            <w:shd w:val="clear" w:color="auto" w:fill="auto"/>
            <w:vAlign w:val="center"/>
          </w:tcPr>
          <w:p w:rsidR="00A4054A" w:rsidRPr="00A75DF9" w:rsidRDefault="007C0DA4" w:rsidP="004B3534">
            <w:pPr>
              <w:pStyle w:val="TableText"/>
              <w:widowControl w:val="0"/>
              <w:rPr>
                <w:rFonts w:ascii="Tahoma" w:hAnsi="Tahoma" w:cs="Tahoma"/>
                <w:sz w:val="13"/>
              </w:rPr>
            </w:pPr>
            <w:r w:rsidRPr="00A75DF9">
              <w:rPr>
                <w:rFonts w:ascii="Tahoma" w:hAnsi="Tahoma" w:cs="Tahoma"/>
                <w:sz w:val="13"/>
              </w:rPr>
              <w:t>1</w:t>
            </w:r>
          </w:p>
        </w:tc>
        <w:tc>
          <w:tcPr>
            <w:tcW w:w="396" w:type="dxa"/>
            <w:tcBorders>
              <w:bottom w:val="single" w:sz="4" w:space="0" w:color="auto"/>
              <w:right w:val="single" w:sz="18" w:space="0" w:color="auto"/>
            </w:tcBorders>
            <w:shd w:val="clear" w:color="auto" w:fill="auto"/>
            <w:vAlign w:val="center"/>
          </w:tcPr>
          <w:p w:rsidR="00A4054A" w:rsidRPr="00A75DF9" w:rsidDel="000365B0" w:rsidRDefault="000C676D" w:rsidP="004B3534">
            <w:pPr>
              <w:pStyle w:val="TableText"/>
              <w:widowControl w:val="0"/>
              <w:rPr>
                <w:rFonts w:ascii="Tahoma" w:hAnsi="Tahoma" w:cs="Tahoma"/>
                <w:sz w:val="13"/>
              </w:rPr>
            </w:pPr>
            <w:r w:rsidRPr="00A75DF9">
              <w:rPr>
                <w:rFonts w:ascii="Tahoma" w:hAnsi="Tahoma" w:cs="Tahoma"/>
                <w:sz w:val="13"/>
              </w:rPr>
              <w:t>A,S</w:t>
            </w:r>
          </w:p>
        </w:tc>
        <w:tc>
          <w:tcPr>
            <w:tcW w:w="378" w:type="dxa"/>
            <w:tcBorders>
              <w:left w:val="single" w:sz="18" w:space="0" w:color="auto"/>
              <w:bottom w:val="single" w:sz="4" w:space="0" w:color="auto"/>
              <w:right w:val="single" w:sz="18" w:space="0" w:color="auto"/>
            </w:tcBorders>
            <w:shd w:val="clear" w:color="auto" w:fill="auto"/>
            <w:vAlign w:val="center"/>
          </w:tcPr>
          <w:p w:rsidR="00A4054A" w:rsidRPr="00A75DF9" w:rsidRDefault="000C676D" w:rsidP="004B3534">
            <w:pPr>
              <w:pStyle w:val="TableText"/>
              <w:widowControl w:val="0"/>
              <w:rPr>
                <w:rFonts w:ascii="Tahoma" w:hAnsi="Tahoma" w:cs="Tahoma"/>
                <w:sz w:val="13"/>
              </w:rPr>
            </w:pPr>
            <w:r w:rsidRPr="00A75DF9">
              <w:rPr>
                <w:rFonts w:ascii="Tahoma" w:hAnsi="Tahoma" w:cs="Tahoma"/>
                <w:sz w:val="13"/>
              </w:rPr>
              <w:t>P</w:t>
            </w:r>
          </w:p>
        </w:tc>
        <w:tc>
          <w:tcPr>
            <w:tcW w:w="702" w:type="dxa"/>
            <w:tcBorders>
              <w:bottom w:val="single" w:sz="4" w:space="0" w:color="auto"/>
            </w:tcBorders>
            <w:shd w:val="clear" w:color="auto" w:fill="auto"/>
            <w:vAlign w:val="center"/>
          </w:tcPr>
          <w:p w:rsidR="00A4054A" w:rsidRPr="00A75DF9" w:rsidRDefault="000C676D" w:rsidP="00080B33">
            <w:pPr>
              <w:pStyle w:val="TableText"/>
              <w:widowControl w:val="0"/>
              <w:rPr>
                <w:rFonts w:ascii="Tahoma" w:hAnsi="Tahoma" w:cs="Tahoma"/>
                <w:sz w:val="13"/>
              </w:rPr>
            </w:pPr>
            <w:r w:rsidRPr="00A75DF9">
              <w:rPr>
                <w:rFonts w:ascii="Tahoma" w:hAnsi="Tahoma" w:cs="Tahoma"/>
                <w:sz w:val="13"/>
              </w:rPr>
              <w:t>A (Solo EES)</w:t>
            </w:r>
          </w:p>
        </w:tc>
        <w:tc>
          <w:tcPr>
            <w:tcW w:w="650" w:type="dxa"/>
            <w:tcBorders>
              <w:bottom w:val="single" w:sz="4" w:space="0" w:color="auto"/>
            </w:tcBorders>
            <w:shd w:val="clear" w:color="auto" w:fill="auto"/>
            <w:vAlign w:val="center"/>
          </w:tcPr>
          <w:p w:rsidR="00A4054A" w:rsidRPr="00A75DF9" w:rsidRDefault="00406C4D" w:rsidP="004B3534">
            <w:pPr>
              <w:pStyle w:val="TableText"/>
              <w:widowControl w:val="0"/>
              <w:rPr>
                <w:rFonts w:ascii="Tahoma" w:hAnsi="Tahoma" w:cs="Tahoma"/>
                <w:sz w:val="13"/>
              </w:rPr>
            </w:pPr>
            <w:r w:rsidRPr="00A75DF9">
              <w:rPr>
                <w:rFonts w:ascii="Tahoma" w:hAnsi="Tahoma" w:cs="Tahoma"/>
                <w:sz w:val="13"/>
              </w:rPr>
              <w:t>OL/SA/OV</w:t>
            </w:r>
          </w:p>
        </w:tc>
      </w:tr>
      <w:tr w:rsidR="00A75DF9" w:rsidRPr="00A75DF9" w:rsidTr="00337A7D">
        <w:trPr>
          <w:cantSplit/>
          <w:trHeight w:val="287"/>
        </w:trPr>
        <w:tc>
          <w:tcPr>
            <w:tcW w:w="2634" w:type="dxa"/>
            <w:tcBorders>
              <w:bottom w:val="single" w:sz="4" w:space="0" w:color="auto"/>
            </w:tcBorders>
            <w:shd w:val="clear" w:color="auto" w:fill="FABF8F"/>
            <w:vAlign w:val="center"/>
          </w:tcPr>
          <w:p w:rsidR="009578A2" w:rsidRPr="00A75DF9" w:rsidRDefault="009578A2" w:rsidP="008B1245">
            <w:pPr>
              <w:pStyle w:val="Heading2"/>
              <w:spacing w:beforeLines="20" w:before="48" w:afterLines="20" w:after="48"/>
              <w:ind w:left="0"/>
              <w:rPr>
                <w:rFonts w:ascii="Tahoma" w:hAnsi="Tahoma" w:cs="Tahoma"/>
                <w:b w:val="0"/>
                <w:sz w:val="14"/>
              </w:rPr>
            </w:pPr>
            <w:bookmarkStart w:id="51" w:name="_Toc336337860"/>
            <w:bookmarkStart w:id="52" w:name="_Toc368309866"/>
            <w:r w:rsidRPr="00A75DF9">
              <w:rPr>
                <w:rFonts w:ascii="Tahoma" w:hAnsi="Tahoma" w:cs="Tahoma"/>
                <w:b w:val="0"/>
                <w:sz w:val="14"/>
              </w:rPr>
              <w:t>Office 365 Education A3 (SL per Utente)</w:t>
            </w:r>
            <w:bookmarkEnd w:id="51"/>
            <w:bookmarkEnd w:id="52"/>
          </w:p>
        </w:tc>
        <w:tc>
          <w:tcPr>
            <w:tcW w:w="427" w:type="dxa"/>
            <w:tcBorders>
              <w:bottom w:val="single" w:sz="4" w:space="0" w:color="auto"/>
            </w:tcBorders>
            <w:shd w:val="clear" w:color="auto" w:fill="FABF8F"/>
            <w:vAlign w:val="center"/>
          </w:tcPr>
          <w:p w:rsidR="009578A2" w:rsidRPr="00A75DF9" w:rsidRDefault="00B54770" w:rsidP="009832D3">
            <w:pPr>
              <w:pStyle w:val="TableText"/>
              <w:widowControl w:val="0"/>
              <w:rPr>
                <w:rFonts w:cs="Tahoma"/>
                <w:b/>
                <w:color w:val="0000FF"/>
                <w:sz w:val="13"/>
                <w:szCs w:val="13"/>
                <w:u w:val="single"/>
              </w:rPr>
            </w:pPr>
            <w:hyperlink w:anchor="_5_Office_365_1" w:history="1">
              <w:r w:rsidR="00734B17" w:rsidRPr="00A75DF9">
                <w:rPr>
                  <w:rStyle w:val="Hyperlink"/>
                  <w:rFonts w:cs="Tahoma"/>
                  <w:b/>
                  <w:sz w:val="13"/>
                  <w:szCs w:val="13"/>
                </w:rPr>
                <w:t>5</w:t>
              </w:r>
            </w:hyperlink>
          </w:p>
        </w:tc>
        <w:tc>
          <w:tcPr>
            <w:tcW w:w="427" w:type="dxa"/>
            <w:tcBorders>
              <w:bottom w:val="single" w:sz="4" w:space="0" w:color="auto"/>
            </w:tcBorders>
            <w:shd w:val="clear" w:color="auto" w:fill="FABF8F"/>
            <w:vAlign w:val="center"/>
          </w:tcPr>
          <w:p w:rsidR="009578A2" w:rsidRPr="00A75DF9" w:rsidRDefault="009578A2" w:rsidP="004000C7">
            <w:pPr>
              <w:pStyle w:val="TableText"/>
              <w:widowControl w:val="0"/>
              <w:rPr>
                <w:rFonts w:ascii="Tahoma" w:hAnsi="Tahoma" w:cs="Tahoma"/>
                <w:sz w:val="13"/>
              </w:rPr>
            </w:pPr>
            <w:r w:rsidRPr="00A75DF9">
              <w:rPr>
                <w:rFonts w:ascii="Tahoma" w:hAnsi="Tahoma" w:cs="Tahoma"/>
                <w:sz w:val="13"/>
              </w:rPr>
              <w:t>06/12</w:t>
            </w:r>
          </w:p>
        </w:tc>
        <w:tc>
          <w:tcPr>
            <w:tcW w:w="429" w:type="dxa"/>
            <w:tcBorders>
              <w:bottom w:val="single" w:sz="4" w:space="0" w:color="auto"/>
              <w:right w:val="single" w:sz="18" w:space="0" w:color="auto"/>
            </w:tcBorders>
            <w:shd w:val="clear" w:color="auto" w:fill="FABF8F"/>
            <w:vAlign w:val="center"/>
          </w:tcPr>
          <w:p w:rsidR="009578A2" w:rsidRPr="00A75DF9" w:rsidRDefault="009578A2" w:rsidP="004B3534">
            <w:pPr>
              <w:pStyle w:val="TableText"/>
              <w:widowControl w:val="0"/>
              <w:rPr>
                <w:rFonts w:ascii="Tahoma" w:hAnsi="Tahoma" w:cs="Tahoma"/>
                <w:sz w:val="13"/>
              </w:rPr>
            </w:pPr>
            <w:r w:rsidRPr="00A75DF9">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9578A2" w:rsidRPr="00A75DF9" w:rsidRDefault="009578A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578A2" w:rsidRPr="00A75DF9" w:rsidRDefault="009578A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578A2" w:rsidRPr="00A75DF9" w:rsidRDefault="009578A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578A2" w:rsidRPr="00A75DF9" w:rsidRDefault="009578A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578A2" w:rsidRPr="00A75DF9" w:rsidRDefault="009578A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9578A2" w:rsidRPr="00A75DF9" w:rsidRDefault="009578A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9578A2" w:rsidRPr="00A75DF9" w:rsidRDefault="009578A2" w:rsidP="004B3534">
            <w:pPr>
              <w:pStyle w:val="TableText"/>
              <w:widowControl w:val="0"/>
              <w:rPr>
                <w:rFonts w:ascii="Tahoma" w:hAnsi="Tahoma" w:cs="Tahoma"/>
                <w:sz w:val="13"/>
              </w:rPr>
            </w:pPr>
          </w:p>
        </w:tc>
        <w:tc>
          <w:tcPr>
            <w:tcW w:w="1008" w:type="dxa"/>
            <w:gridSpan w:val="3"/>
            <w:tcBorders>
              <w:left w:val="single" w:sz="18" w:space="0" w:color="auto"/>
              <w:bottom w:val="single" w:sz="4" w:space="0" w:color="auto"/>
              <w:right w:val="single" w:sz="18" w:space="0" w:color="auto"/>
            </w:tcBorders>
            <w:shd w:val="clear" w:color="auto" w:fill="FABF8F"/>
            <w:vAlign w:val="center"/>
          </w:tcPr>
          <w:p w:rsidR="009578A2" w:rsidRPr="00A75DF9" w:rsidRDefault="009578A2" w:rsidP="004B3534">
            <w:pPr>
              <w:pStyle w:val="TableText"/>
              <w:widowControl w:val="0"/>
              <w:rPr>
                <w:rFonts w:ascii="Tahoma" w:hAnsi="Tahoma" w:cs="Tahoma"/>
                <w:sz w:val="13"/>
              </w:rPr>
            </w:pPr>
            <w:r w:rsidRPr="00A75DF9">
              <w:rPr>
                <w:rFonts w:ascii="Tahoma" w:hAnsi="Tahoma" w:cs="Tahoma"/>
                <w:sz w:val="13"/>
              </w:rPr>
              <w:t>2</w:t>
            </w:r>
          </w:p>
        </w:tc>
        <w:tc>
          <w:tcPr>
            <w:tcW w:w="477" w:type="dxa"/>
            <w:tcBorders>
              <w:left w:val="single" w:sz="18" w:space="0" w:color="auto"/>
              <w:bottom w:val="single" w:sz="4" w:space="0" w:color="auto"/>
            </w:tcBorders>
            <w:shd w:val="clear" w:color="auto" w:fill="FABF8F"/>
            <w:vAlign w:val="center"/>
          </w:tcPr>
          <w:p w:rsidR="009578A2" w:rsidRPr="00A75DF9" w:rsidRDefault="009578A2" w:rsidP="004B3534">
            <w:pPr>
              <w:pStyle w:val="TableText"/>
              <w:widowControl w:val="0"/>
              <w:rPr>
                <w:rFonts w:ascii="Tahoma" w:hAnsi="Tahoma" w:cs="Tahoma"/>
                <w:sz w:val="13"/>
              </w:rPr>
            </w:pPr>
            <w:r w:rsidRPr="00A75DF9">
              <w:rPr>
                <w:rFonts w:ascii="Tahoma" w:hAnsi="Tahoma" w:cs="Tahoma"/>
                <w:sz w:val="13"/>
              </w:rPr>
              <w:t>2</w:t>
            </w:r>
          </w:p>
        </w:tc>
        <w:tc>
          <w:tcPr>
            <w:tcW w:w="396" w:type="dxa"/>
            <w:tcBorders>
              <w:bottom w:val="single" w:sz="4" w:space="0" w:color="auto"/>
              <w:right w:val="single" w:sz="18" w:space="0" w:color="auto"/>
            </w:tcBorders>
            <w:shd w:val="clear" w:color="auto" w:fill="FABF8F"/>
            <w:vAlign w:val="center"/>
          </w:tcPr>
          <w:p w:rsidR="009578A2" w:rsidRPr="00A75DF9" w:rsidDel="000365B0" w:rsidRDefault="009578A2" w:rsidP="004B3534">
            <w:pPr>
              <w:pStyle w:val="TableText"/>
              <w:widowControl w:val="0"/>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FABF8F"/>
            <w:vAlign w:val="center"/>
          </w:tcPr>
          <w:p w:rsidR="009578A2" w:rsidRPr="00A75DF9" w:rsidRDefault="009578A2" w:rsidP="004B3534">
            <w:pPr>
              <w:pStyle w:val="TableText"/>
              <w:widowControl w:val="0"/>
              <w:rPr>
                <w:rFonts w:ascii="Tahoma" w:hAnsi="Tahoma" w:cs="Tahoma"/>
                <w:sz w:val="13"/>
              </w:rPr>
            </w:pPr>
            <w:r w:rsidRPr="00A75DF9">
              <w:rPr>
                <w:rFonts w:ascii="Tahoma" w:hAnsi="Tahoma" w:cs="Tahoma"/>
                <w:sz w:val="13"/>
              </w:rPr>
              <w:t>P</w:t>
            </w:r>
          </w:p>
        </w:tc>
        <w:tc>
          <w:tcPr>
            <w:tcW w:w="702" w:type="dxa"/>
            <w:tcBorders>
              <w:bottom w:val="single" w:sz="4" w:space="0" w:color="auto"/>
            </w:tcBorders>
            <w:shd w:val="clear" w:color="auto" w:fill="FABF8F"/>
            <w:vAlign w:val="center"/>
          </w:tcPr>
          <w:p w:rsidR="009578A2" w:rsidRPr="00A75DF9" w:rsidRDefault="009578A2" w:rsidP="009578A2">
            <w:pPr>
              <w:pStyle w:val="TableText"/>
              <w:widowControl w:val="0"/>
              <w:rPr>
                <w:rFonts w:ascii="Tahoma" w:hAnsi="Tahoma" w:cs="Tahoma"/>
                <w:sz w:val="13"/>
              </w:rPr>
            </w:pPr>
            <w:r w:rsidRPr="00A75DF9">
              <w:rPr>
                <w:rFonts w:ascii="Tahoma" w:hAnsi="Tahoma" w:cs="Tahoma"/>
                <w:sz w:val="13"/>
              </w:rPr>
              <w:t>EOLS (solo EES), A (OVS-ES)</w:t>
            </w:r>
          </w:p>
        </w:tc>
        <w:tc>
          <w:tcPr>
            <w:tcW w:w="650" w:type="dxa"/>
            <w:tcBorders>
              <w:bottom w:val="single" w:sz="4" w:space="0" w:color="auto"/>
            </w:tcBorders>
            <w:shd w:val="clear" w:color="auto" w:fill="FABF8F"/>
            <w:vAlign w:val="center"/>
          </w:tcPr>
          <w:p w:rsidR="009578A2" w:rsidRPr="00A75DF9" w:rsidRDefault="009578A2" w:rsidP="004B3534">
            <w:pPr>
              <w:pStyle w:val="TableText"/>
              <w:widowControl w:val="0"/>
              <w:rPr>
                <w:rFonts w:ascii="Tahoma" w:hAnsi="Tahoma" w:cs="Tahoma"/>
                <w:sz w:val="13"/>
              </w:rPr>
            </w:pPr>
            <w:r w:rsidRPr="00A75DF9">
              <w:rPr>
                <w:rFonts w:ascii="Tahoma" w:hAnsi="Tahoma" w:cs="Tahoma"/>
                <w:sz w:val="13"/>
              </w:rPr>
              <w:t>OL</w:t>
            </w:r>
          </w:p>
        </w:tc>
      </w:tr>
      <w:tr w:rsidR="00A75DF9" w:rsidRPr="00A75DF9" w:rsidTr="00337A7D">
        <w:trPr>
          <w:cantSplit/>
          <w:trHeight w:val="287"/>
        </w:trPr>
        <w:tc>
          <w:tcPr>
            <w:tcW w:w="2634" w:type="dxa"/>
            <w:tcBorders>
              <w:bottom w:val="single" w:sz="4" w:space="0" w:color="auto"/>
            </w:tcBorders>
            <w:shd w:val="clear" w:color="auto" w:fill="auto"/>
            <w:vAlign w:val="center"/>
          </w:tcPr>
          <w:p w:rsidR="009578A2" w:rsidRPr="00A75DF9" w:rsidRDefault="009578A2" w:rsidP="008B1245">
            <w:pPr>
              <w:pStyle w:val="Heading2"/>
              <w:spacing w:beforeLines="20" w:before="48" w:afterLines="20" w:after="48"/>
              <w:ind w:left="0"/>
              <w:rPr>
                <w:rFonts w:ascii="Tahoma" w:hAnsi="Tahoma" w:cs="Tahoma"/>
                <w:b w:val="0"/>
                <w:sz w:val="14"/>
              </w:rPr>
            </w:pPr>
            <w:bookmarkStart w:id="53" w:name="_Toc368309867"/>
            <w:r w:rsidRPr="00A75DF9">
              <w:rPr>
                <w:rFonts w:ascii="Tahoma" w:hAnsi="Tahoma" w:cs="Tahoma"/>
                <w:b w:val="0"/>
                <w:sz w:val="14"/>
              </w:rPr>
              <w:t>Office 365 Education A4 (SL per Utente)</w:t>
            </w:r>
            <w:bookmarkEnd w:id="53"/>
          </w:p>
        </w:tc>
        <w:tc>
          <w:tcPr>
            <w:tcW w:w="427" w:type="dxa"/>
            <w:tcBorders>
              <w:bottom w:val="single" w:sz="4" w:space="0" w:color="auto"/>
            </w:tcBorders>
            <w:shd w:val="clear" w:color="auto" w:fill="auto"/>
            <w:vAlign w:val="center"/>
          </w:tcPr>
          <w:p w:rsidR="009578A2" w:rsidRPr="00A75DF9" w:rsidRDefault="00B54770" w:rsidP="009578A2">
            <w:pPr>
              <w:pStyle w:val="TableText"/>
              <w:widowControl w:val="0"/>
              <w:rPr>
                <w:rFonts w:cs="Tahoma"/>
              </w:rPr>
            </w:pPr>
            <w:hyperlink w:anchor="_5_Office_365_1" w:history="1">
              <w:r w:rsidR="00734B17" w:rsidRPr="00A75DF9">
                <w:rPr>
                  <w:rStyle w:val="Hyperlink"/>
                  <w:rFonts w:cs="Tahoma"/>
                  <w:b/>
                  <w:sz w:val="13"/>
                  <w:szCs w:val="13"/>
                </w:rPr>
                <w:t>5</w:t>
              </w:r>
            </w:hyperlink>
          </w:p>
        </w:tc>
        <w:tc>
          <w:tcPr>
            <w:tcW w:w="427" w:type="dxa"/>
            <w:tcBorders>
              <w:bottom w:val="single" w:sz="4" w:space="0" w:color="auto"/>
            </w:tcBorders>
            <w:shd w:val="clear" w:color="auto" w:fill="auto"/>
            <w:vAlign w:val="center"/>
          </w:tcPr>
          <w:p w:rsidR="009578A2" w:rsidRPr="00A75DF9" w:rsidRDefault="009578A2" w:rsidP="009578A2">
            <w:pPr>
              <w:pStyle w:val="TableText"/>
              <w:widowControl w:val="0"/>
              <w:rPr>
                <w:rFonts w:ascii="Tahoma" w:hAnsi="Tahoma" w:cs="Tahoma"/>
                <w:sz w:val="13"/>
              </w:rPr>
            </w:pPr>
            <w:r w:rsidRPr="00A75DF9">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rsidR="009578A2" w:rsidRPr="00A75DF9" w:rsidRDefault="009578A2" w:rsidP="009578A2">
            <w:pPr>
              <w:pStyle w:val="TableText"/>
              <w:widowControl w:val="0"/>
              <w:rPr>
                <w:rFonts w:ascii="Tahoma" w:hAnsi="Tahoma" w:cs="Tahoma"/>
                <w:sz w:val="13"/>
              </w:rPr>
            </w:pPr>
            <w:r w:rsidRPr="00A75DF9">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rsidR="009578A2" w:rsidRPr="00A75DF9" w:rsidRDefault="009578A2"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9578A2" w:rsidRPr="00A75DF9" w:rsidRDefault="009578A2"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9578A2" w:rsidRPr="00A75DF9" w:rsidRDefault="009578A2"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9578A2" w:rsidRPr="00A75DF9" w:rsidRDefault="009578A2"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9578A2" w:rsidRPr="00A75DF9" w:rsidRDefault="009578A2" w:rsidP="009578A2">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9578A2" w:rsidRPr="00A75DF9" w:rsidRDefault="009578A2" w:rsidP="009578A2">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578A2" w:rsidRPr="00A75DF9" w:rsidRDefault="009578A2" w:rsidP="009578A2">
            <w:pPr>
              <w:pStyle w:val="TableText"/>
              <w:widowControl w:val="0"/>
              <w:rPr>
                <w:rFonts w:ascii="Tahoma" w:hAnsi="Tahoma" w:cs="Tahoma"/>
                <w:sz w:val="13"/>
              </w:rPr>
            </w:pPr>
          </w:p>
        </w:tc>
        <w:tc>
          <w:tcPr>
            <w:tcW w:w="1008" w:type="dxa"/>
            <w:gridSpan w:val="3"/>
            <w:tcBorders>
              <w:left w:val="single" w:sz="18" w:space="0" w:color="auto"/>
              <w:bottom w:val="single" w:sz="4" w:space="0" w:color="auto"/>
              <w:right w:val="single" w:sz="18" w:space="0" w:color="auto"/>
            </w:tcBorders>
            <w:shd w:val="clear" w:color="auto" w:fill="auto"/>
            <w:vAlign w:val="center"/>
          </w:tcPr>
          <w:p w:rsidR="009578A2" w:rsidRPr="00A75DF9" w:rsidRDefault="009578A2" w:rsidP="009578A2">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auto"/>
            <w:vAlign w:val="center"/>
          </w:tcPr>
          <w:p w:rsidR="009578A2" w:rsidRPr="00A75DF9" w:rsidRDefault="009578A2" w:rsidP="009578A2">
            <w:pPr>
              <w:pStyle w:val="TableText"/>
              <w:widowControl w:val="0"/>
              <w:rPr>
                <w:rFonts w:ascii="Tahoma" w:hAnsi="Tahoma" w:cs="Tahoma"/>
                <w:sz w:val="13"/>
              </w:rPr>
            </w:pPr>
            <w:r w:rsidRPr="00A75DF9">
              <w:rPr>
                <w:rFonts w:ascii="Tahoma" w:hAnsi="Tahoma" w:cs="Tahoma"/>
                <w:sz w:val="13"/>
              </w:rPr>
              <w:t>2</w:t>
            </w:r>
          </w:p>
        </w:tc>
        <w:tc>
          <w:tcPr>
            <w:tcW w:w="396" w:type="dxa"/>
            <w:tcBorders>
              <w:bottom w:val="single" w:sz="4" w:space="0" w:color="auto"/>
              <w:right w:val="single" w:sz="18" w:space="0" w:color="auto"/>
            </w:tcBorders>
            <w:shd w:val="clear" w:color="auto" w:fill="auto"/>
            <w:vAlign w:val="center"/>
          </w:tcPr>
          <w:p w:rsidR="009578A2" w:rsidRPr="00A75DF9" w:rsidRDefault="009578A2" w:rsidP="009578A2">
            <w:pPr>
              <w:pStyle w:val="TableText"/>
              <w:widowControl w:val="0"/>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auto"/>
            <w:vAlign w:val="center"/>
          </w:tcPr>
          <w:p w:rsidR="009578A2" w:rsidRPr="00A75DF9" w:rsidRDefault="009578A2" w:rsidP="009578A2">
            <w:pPr>
              <w:pStyle w:val="TableText"/>
              <w:widowControl w:val="0"/>
              <w:rPr>
                <w:rFonts w:ascii="Tahoma" w:hAnsi="Tahoma" w:cs="Tahoma"/>
                <w:sz w:val="13"/>
              </w:rPr>
            </w:pPr>
          </w:p>
        </w:tc>
        <w:tc>
          <w:tcPr>
            <w:tcW w:w="702" w:type="dxa"/>
            <w:tcBorders>
              <w:bottom w:val="single" w:sz="4" w:space="0" w:color="auto"/>
            </w:tcBorders>
            <w:shd w:val="clear" w:color="auto" w:fill="auto"/>
            <w:vAlign w:val="center"/>
          </w:tcPr>
          <w:p w:rsidR="009578A2" w:rsidRPr="00A75DF9" w:rsidRDefault="009578A2" w:rsidP="009578A2">
            <w:pPr>
              <w:pStyle w:val="TableText"/>
              <w:widowControl w:val="0"/>
              <w:rPr>
                <w:rFonts w:ascii="Tahoma" w:hAnsi="Tahoma" w:cs="Tahoma"/>
                <w:sz w:val="13"/>
              </w:rPr>
            </w:pPr>
            <w:r w:rsidRPr="00A75DF9">
              <w:rPr>
                <w:rFonts w:ascii="Tahoma" w:hAnsi="Tahoma" w:cs="Tahoma"/>
                <w:sz w:val="13"/>
              </w:rPr>
              <w:t xml:space="preserve">EOLS </w:t>
            </w:r>
            <w:r w:rsidR="00A75DF9">
              <w:rPr>
                <w:rFonts w:ascii="Tahoma" w:hAnsi="Tahoma" w:cs="Tahoma"/>
                <w:sz w:val="13"/>
              </w:rPr>
              <w:br/>
            </w:r>
            <w:r w:rsidRPr="00A75DF9">
              <w:rPr>
                <w:rFonts w:ascii="Tahoma" w:hAnsi="Tahoma" w:cs="Tahoma"/>
                <w:sz w:val="13"/>
              </w:rPr>
              <w:t>(Solo EES)</w:t>
            </w:r>
          </w:p>
        </w:tc>
        <w:tc>
          <w:tcPr>
            <w:tcW w:w="650" w:type="dxa"/>
            <w:tcBorders>
              <w:bottom w:val="single" w:sz="4" w:space="0" w:color="auto"/>
            </w:tcBorders>
            <w:shd w:val="clear" w:color="auto" w:fill="auto"/>
            <w:vAlign w:val="center"/>
          </w:tcPr>
          <w:p w:rsidR="009578A2" w:rsidRPr="00A75DF9" w:rsidRDefault="009578A2" w:rsidP="009578A2">
            <w:pPr>
              <w:pStyle w:val="TableText"/>
              <w:widowControl w:val="0"/>
              <w:rPr>
                <w:rFonts w:ascii="Tahoma" w:hAnsi="Tahoma" w:cs="Tahoma"/>
                <w:sz w:val="13"/>
              </w:rPr>
            </w:pPr>
          </w:p>
        </w:tc>
      </w:tr>
      <w:tr w:rsidR="00A75DF9" w:rsidRPr="00A75DF9" w:rsidTr="00337A7D">
        <w:trPr>
          <w:cantSplit/>
          <w:trHeight w:val="287"/>
        </w:trPr>
        <w:tc>
          <w:tcPr>
            <w:tcW w:w="2634" w:type="dxa"/>
            <w:tcBorders>
              <w:bottom w:val="single" w:sz="4" w:space="0" w:color="auto"/>
            </w:tcBorders>
            <w:shd w:val="clear" w:color="auto" w:fill="FABF8F"/>
            <w:vAlign w:val="center"/>
          </w:tcPr>
          <w:p w:rsidR="003E5902" w:rsidRPr="00A75DF9" w:rsidRDefault="003E5902" w:rsidP="008B1245">
            <w:pPr>
              <w:pStyle w:val="Heading2"/>
              <w:spacing w:beforeLines="20" w:before="48" w:afterLines="20" w:after="48"/>
              <w:ind w:left="0"/>
              <w:rPr>
                <w:rFonts w:ascii="Tahoma" w:hAnsi="Tahoma" w:cs="Tahoma"/>
                <w:b w:val="0"/>
                <w:sz w:val="14"/>
              </w:rPr>
            </w:pPr>
            <w:bookmarkStart w:id="54" w:name="_Toc368309868"/>
            <w:r w:rsidRPr="00A75DF9">
              <w:rPr>
                <w:rFonts w:ascii="Tahoma" w:hAnsi="Tahoma" w:cs="Tahoma"/>
                <w:b w:val="0"/>
                <w:sz w:val="14"/>
              </w:rPr>
              <w:t>Office 365 Midsize Business (SL per Utente)</w:t>
            </w:r>
            <w:bookmarkEnd w:id="54"/>
          </w:p>
        </w:tc>
        <w:tc>
          <w:tcPr>
            <w:tcW w:w="427" w:type="dxa"/>
            <w:tcBorders>
              <w:bottom w:val="single" w:sz="4" w:space="0" w:color="auto"/>
            </w:tcBorders>
            <w:shd w:val="clear" w:color="auto" w:fill="FABF8F"/>
            <w:vAlign w:val="center"/>
          </w:tcPr>
          <w:p w:rsidR="003E5902" w:rsidRPr="00A75DF9" w:rsidRDefault="00B54770" w:rsidP="009832D3">
            <w:pPr>
              <w:pStyle w:val="TableText"/>
              <w:widowControl w:val="0"/>
              <w:rPr>
                <w:rFonts w:cs="Tahoma"/>
                <w:b/>
                <w:sz w:val="13"/>
                <w:szCs w:val="13"/>
              </w:rPr>
            </w:pPr>
            <w:hyperlink w:anchor="_7_Office_365" w:history="1">
              <w:r w:rsidR="00734B17" w:rsidRPr="00A75DF9">
                <w:rPr>
                  <w:rStyle w:val="Hyperlink"/>
                  <w:rFonts w:cs="Tahoma"/>
                  <w:b/>
                  <w:sz w:val="13"/>
                  <w:szCs w:val="13"/>
                </w:rPr>
                <w:t>6</w:t>
              </w:r>
            </w:hyperlink>
          </w:p>
        </w:tc>
        <w:tc>
          <w:tcPr>
            <w:tcW w:w="427" w:type="dxa"/>
            <w:tcBorders>
              <w:bottom w:val="single" w:sz="4" w:space="0" w:color="auto"/>
            </w:tcBorders>
            <w:shd w:val="clear" w:color="auto" w:fill="FABF8F"/>
            <w:vAlign w:val="center"/>
          </w:tcPr>
          <w:p w:rsidR="003E5902" w:rsidRPr="00A75DF9" w:rsidRDefault="003E5902" w:rsidP="004000C7">
            <w:pPr>
              <w:pStyle w:val="TableText"/>
              <w:widowControl w:val="0"/>
              <w:rPr>
                <w:rFonts w:ascii="Tahoma" w:hAnsi="Tahoma" w:cs="Tahoma"/>
                <w:sz w:val="13"/>
              </w:rPr>
            </w:pPr>
            <w:r w:rsidRPr="00A75DF9">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3E5902" w:rsidRPr="00A75DF9" w:rsidRDefault="003E5902"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3E5902" w:rsidRPr="00A75DF9"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3E5902" w:rsidRPr="00A75DF9"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3E5902" w:rsidRPr="00A75DF9"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3E5902" w:rsidRPr="00A75DF9"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3E5902" w:rsidRPr="00A75DF9" w:rsidRDefault="003E5902"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3E5902" w:rsidRPr="00A75DF9" w:rsidRDefault="003E5902"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3E5902" w:rsidRPr="00A75DF9" w:rsidRDefault="003E5902" w:rsidP="004B3534">
            <w:pPr>
              <w:pStyle w:val="TableText"/>
              <w:widowControl w:val="0"/>
              <w:rPr>
                <w:rFonts w:ascii="Tahoma" w:hAnsi="Tahoma" w:cs="Tahoma"/>
                <w:sz w:val="13"/>
              </w:rPr>
            </w:pPr>
          </w:p>
        </w:tc>
        <w:tc>
          <w:tcPr>
            <w:tcW w:w="1008" w:type="dxa"/>
            <w:gridSpan w:val="3"/>
            <w:tcBorders>
              <w:left w:val="single" w:sz="18" w:space="0" w:color="auto"/>
              <w:bottom w:val="single" w:sz="4" w:space="0" w:color="auto"/>
              <w:right w:val="single" w:sz="18" w:space="0" w:color="auto"/>
            </w:tcBorders>
            <w:shd w:val="clear" w:color="auto" w:fill="FABF8F"/>
            <w:vAlign w:val="center"/>
          </w:tcPr>
          <w:p w:rsidR="003E5902" w:rsidRPr="00A75DF9" w:rsidRDefault="003E5902" w:rsidP="004B3534">
            <w:pPr>
              <w:pStyle w:val="TableText"/>
              <w:widowControl w:val="0"/>
              <w:rPr>
                <w:rFonts w:ascii="Tahoma" w:hAnsi="Tahoma" w:cs="Tahoma"/>
                <w:sz w:val="13"/>
              </w:rPr>
            </w:pPr>
            <w:r w:rsidRPr="00A75DF9">
              <w:rPr>
                <w:rFonts w:ascii="Tahoma" w:hAnsi="Tahoma" w:cs="Tahoma"/>
                <w:sz w:val="13"/>
              </w:rPr>
              <w:t>1</w:t>
            </w:r>
          </w:p>
        </w:tc>
        <w:tc>
          <w:tcPr>
            <w:tcW w:w="477" w:type="dxa"/>
            <w:tcBorders>
              <w:left w:val="single" w:sz="18" w:space="0" w:color="auto"/>
              <w:bottom w:val="single" w:sz="4" w:space="0" w:color="auto"/>
            </w:tcBorders>
            <w:shd w:val="clear" w:color="auto" w:fill="FABF8F"/>
            <w:vAlign w:val="center"/>
          </w:tcPr>
          <w:p w:rsidR="003E5902" w:rsidRPr="00A75DF9" w:rsidRDefault="003E5902" w:rsidP="004B3534">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3E5902" w:rsidRPr="00A75DF9" w:rsidRDefault="003E5902" w:rsidP="00CC19FC">
            <w:pPr>
              <w:pStyle w:val="TableText"/>
              <w:widowControl w:val="0"/>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FABF8F"/>
            <w:vAlign w:val="center"/>
          </w:tcPr>
          <w:p w:rsidR="003E5902" w:rsidRPr="00A75DF9" w:rsidRDefault="003E5902" w:rsidP="004B3534">
            <w:pPr>
              <w:pStyle w:val="TableText"/>
              <w:widowControl w:val="0"/>
              <w:rPr>
                <w:rFonts w:ascii="Tahoma" w:hAnsi="Tahoma" w:cs="Tahoma"/>
                <w:sz w:val="13"/>
              </w:rPr>
            </w:pPr>
            <w:r w:rsidRPr="00A75DF9">
              <w:rPr>
                <w:rFonts w:ascii="Tahoma" w:hAnsi="Tahoma" w:cs="Tahoma"/>
                <w:sz w:val="13"/>
              </w:rPr>
              <w:t>P</w:t>
            </w:r>
          </w:p>
        </w:tc>
        <w:tc>
          <w:tcPr>
            <w:tcW w:w="702" w:type="dxa"/>
            <w:tcBorders>
              <w:bottom w:val="single" w:sz="4" w:space="0" w:color="auto"/>
            </w:tcBorders>
            <w:shd w:val="clear" w:color="auto" w:fill="FABF8F"/>
            <w:vAlign w:val="center"/>
          </w:tcPr>
          <w:p w:rsidR="003E5902" w:rsidRPr="00A75DF9" w:rsidRDefault="003E5902" w:rsidP="00080B33">
            <w:pPr>
              <w:pStyle w:val="TableText"/>
              <w:widowControl w:val="0"/>
              <w:rPr>
                <w:rFonts w:ascii="Tahoma" w:hAnsi="Tahoma" w:cs="Tahoma"/>
                <w:sz w:val="13"/>
              </w:rPr>
            </w:pPr>
          </w:p>
        </w:tc>
        <w:tc>
          <w:tcPr>
            <w:tcW w:w="650" w:type="dxa"/>
            <w:tcBorders>
              <w:bottom w:val="single" w:sz="4" w:space="0" w:color="auto"/>
            </w:tcBorders>
            <w:shd w:val="clear" w:color="auto" w:fill="FABF8F"/>
            <w:vAlign w:val="center"/>
          </w:tcPr>
          <w:p w:rsidR="003E5902" w:rsidRPr="00A75DF9" w:rsidRDefault="003E5902" w:rsidP="004B3534">
            <w:pPr>
              <w:pStyle w:val="TableText"/>
              <w:widowControl w:val="0"/>
              <w:rPr>
                <w:rFonts w:ascii="Tahoma" w:hAnsi="Tahoma" w:cs="Tahoma"/>
                <w:sz w:val="13"/>
              </w:rPr>
            </w:pPr>
            <w:r w:rsidRPr="00A75DF9">
              <w:rPr>
                <w:rFonts w:ascii="Tahoma" w:hAnsi="Tahoma" w:cs="Tahoma"/>
                <w:sz w:val="13"/>
              </w:rPr>
              <w:t>OL/OV</w:t>
            </w:r>
          </w:p>
        </w:tc>
      </w:tr>
      <w:tr w:rsidR="00A75DF9" w:rsidRPr="00A75DF9" w:rsidTr="00337A7D">
        <w:trPr>
          <w:cantSplit/>
          <w:trHeight w:val="287"/>
        </w:trPr>
        <w:tc>
          <w:tcPr>
            <w:tcW w:w="2634" w:type="dxa"/>
            <w:tcBorders>
              <w:bottom w:val="single" w:sz="4" w:space="0" w:color="auto"/>
            </w:tcBorders>
            <w:shd w:val="clear" w:color="auto" w:fill="FFFFFF" w:themeFill="background1"/>
            <w:vAlign w:val="center"/>
          </w:tcPr>
          <w:p w:rsidR="000F1BE7" w:rsidRPr="00A75DF9" w:rsidRDefault="00541ED5" w:rsidP="008B1245">
            <w:pPr>
              <w:pStyle w:val="Heading2"/>
              <w:spacing w:beforeLines="20" w:before="48" w:afterLines="20" w:after="48"/>
              <w:ind w:left="0"/>
              <w:rPr>
                <w:rFonts w:ascii="Tahoma" w:hAnsi="Tahoma" w:cs="Tahoma"/>
                <w:b w:val="0"/>
                <w:sz w:val="14"/>
              </w:rPr>
            </w:pPr>
            <w:bookmarkStart w:id="55" w:name="_Toc368309869"/>
            <w:r w:rsidRPr="00A75DF9">
              <w:rPr>
                <w:rFonts w:ascii="Tahoma" w:hAnsi="Tahoma" w:cs="Tahoma"/>
                <w:b w:val="0"/>
                <w:sz w:val="14"/>
              </w:rPr>
              <w:t>Componente Aggiuntivo di Office 365 Enterprise E3, E4 (SL per Utente)</w:t>
            </w:r>
            <w:bookmarkEnd w:id="55"/>
          </w:p>
        </w:tc>
        <w:tc>
          <w:tcPr>
            <w:tcW w:w="427" w:type="dxa"/>
            <w:tcBorders>
              <w:bottom w:val="single" w:sz="4" w:space="0" w:color="auto"/>
            </w:tcBorders>
            <w:shd w:val="clear" w:color="auto" w:fill="FFFFFF" w:themeFill="background1"/>
            <w:vAlign w:val="center"/>
          </w:tcPr>
          <w:p w:rsidR="000F1BE7" w:rsidRPr="00A75DF9" w:rsidRDefault="00B54770" w:rsidP="009832D3">
            <w:pPr>
              <w:pStyle w:val="TableText"/>
              <w:widowControl w:val="0"/>
              <w:rPr>
                <w:rFonts w:cs="Tahoma"/>
                <w:b/>
                <w:sz w:val="13"/>
                <w:szCs w:val="13"/>
              </w:rPr>
            </w:pPr>
            <w:hyperlink w:anchor="_7_Licenze_Subscription" w:history="1">
              <w:r w:rsidR="00734B17" w:rsidRPr="00A75DF9">
                <w:rPr>
                  <w:rStyle w:val="Hyperlink"/>
                  <w:rFonts w:cs="Tahoma"/>
                  <w:b/>
                  <w:sz w:val="13"/>
                  <w:szCs w:val="13"/>
                </w:rPr>
                <w:t>7</w:t>
              </w:r>
            </w:hyperlink>
          </w:p>
        </w:tc>
        <w:tc>
          <w:tcPr>
            <w:tcW w:w="427" w:type="dxa"/>
            <w:tcBorders>
              <w:bottom w:val="single" w:sz="4" w:space="0" w:color="auto"/>
            </w:tcBorders>
            <w:shd w:val="clear" w:color="auto" w:fill="FFFFFF" w:themeFill="background1"/>
            <w:vAlign w:val="center"/>
          </w:tcPr>
          <w:p w:rsidR="000F1BE7" w:rsidRPr="00A75DF9" w:rsidRDefault="000F1BE7" w:rsidP="004000C7">
            <w:pPr>
              <w:pStyle w:val="TableText"/>
              <w:widowControl w:val="0"/>
              <w:rPr>
                <w:rFonts w:ascii="Tahoma" w:hAnsi="Tahoma" w:cs="Tahoma"/>
                <w:sz w:val="13"/>
              </w:rPr>
            </w:pPr>
            <w:r w:rsidRPr="00A75DF9">
              <w:rPr>
                <w:rFonts w:ascii="Tahoma" w:hAnsi="Tahoma" w:cs="Tahoma"/>
                <w:sz w:val="13"/>
              </w:rPr>
              <w:t>08/13</w:t>
            </w:r>
          </w:p>
        </w:tc>
        <w:tc>
          <w:tcPr>
            <w:tcW w:w="429" w:type="dxa"/>
            <w:tcBorders>
              <w:bottom w:val="single" w:sz="4" w:space="0" w:color="auto"/>
              <w:right w:val="single" w:sz="18" w:space="0" w:color="auto"/>
            </w:tcBorders>
            <w:shd w:val="clear" w:color="auto" w:fill="FFFFFF" w:themeFill="background1"/>
            <w:vAlign w:val="center"/>
          </w:tcPr>
          <w:p w:rsidR="000F1BE7" w:rsidRPr="00A75DF9" w:rsidRDefault="000F1BE7" w:rsidP="004B3534">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FFFFF" w:themeFill="background1"/>
            <w:vAlign w:val="center"/>
          </w:tcPr>
          <w:p w:rsidR="000F1BE7" w:rsidRPr="00A75DF9" w:rsidRDefault="000F1BE7"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A75DF9" w:rsidRDefault="000F1BE7"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A75DF9" w:rsidRDefault="000F1BE7"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A75DF9" w:rsidRDefault="000F1BE7"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A75DF9" w:rsidRDefault="000F1BE7" w:rsidP="004B3534">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0F1BE7" w:rsidRPr="00A75DF9" w:rsidRDefault="000F1BE7"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0F1BE7" w:rsidRPr="00A75DF9" w:rsidRDefault="000F1BE7" w:rsidP="004B3534">
            <w:pPr>
              <w:pStyle w:val="TableText"/>
              <w:widowControl w:val="0"/>
              <w:rPr>
                <w:rFonts w:ascii="Tahoma" w:hAnsi="Tahoma" w:cs="Tahoma"/>
                <w:sz w:val="13"/>
              </w:rPr>
            </w:pPr>
          </w:p>
        </w:tc>
        <w:tc>
          <w:tcPr>
            <w:tcW w:w="405" w:type="dxa"/>
            <w:tcBorders>
              <w:left w:val="single" w:sz="18" w:space="0" w:color="auto"/>
              <w:bottom w:val="single" w:sz="4" w:space="0" w:color="auto"/>
            </w:tcBorders>
            <w:shd w:val="clear" w:color="auto" w:fill="FFFFFF" w:themeFill="background1"/>
            <w:vAlign w:val="center"/>
          </w:tcPr>
          <w:p w:rsidR="000F1BE7" w:rsidRPr="00A75DF9" w:rsidRDefault="000F1BE7" w:rsidP="004B3534">
            <w:pPr>
              <w:pStyle w:val="TableText"/>
              <w:widowControl w:val="0"/>
              <w:rPr>
                <w:rFonts w:ascii="Tahoma" w:hAnsi="Tahoma" w:cs="Tahoma"/>
                <w:sz w:val="13"/>
              </w:rPr>
            </w:pPr>
          </w:p>
        </w:tc>
        <w:tc>
          <w:tcPr>
            <w:tcW w:w="288" w:type="dxa"/>
            <w:tcBorders>
              <w:bottom w:val="single" w:sz="4" w:space="0" w:color="auto"/>
            </w:tcBorders>
            <w:shd w:val="clear" w:color="auto" w:fill="FFFFFF" w:themeFill="background1"/>
            <w:vAlign w:val="center"/>
          </w:tcPr>
          <w:p w:rsidR="000F1BE7" w:rsidRPr="00A75DF9" w:rsidRDefault="000F1BE7" w:rsidP="004B3534">
            <w:pPr>
              <w:pStyle w:val="TableText"/>
              <w:widowControl w:val="0"/>
              <w:rPr>
                <w:rFonts w:ascii="Tahoma" w:hAnsi="Tahoma" w:cs="Tahoma"/>
                <w:sz w:val="13"/>
              </w:rPr>
            </w:pPr>
          </w:p>
        </w:tc>
        <w:tc>
          <w:tcPr>
            <w:tcW w:w="315" w:type="dxa"/>
            <w:tcBorders>
              <w:bottom w:val="single" w:sz="4" w:space="0" w:color="auto"/>
              <w:right w:val="single" w:sz="18" w:space="0" w:color="auto"/>
            </w:tcBorders>
            <w:shd w:val="clear" w:color="auto" w:fill="FFFFFF" w:themeFill="background1"/>
            <w:vAlign w:val="center"/>
          </w:tcPr>
          <w:p w:rsidR="000F1BE7" w:rsidRPr="00A75DF9" w:rsidRDefault="000F1BE7" w:rsidP="004B3534">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FFFFFF" w:themeFill="background1"/>
            <w:vAlign w:val="center"/>
          </w:tcPr>
          <w:p w:rsidR="000F1BE7" w:rsidRPr="00A75DF9" w:rsidRDefault="000F1BE7" w:rsidP="004B3534">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FFFFFF" w:themeFill="background1"/>
            <w:vAlign w:val="center"/>
          </w:tcPr>
          <w:p w:rsidR="000F1BE7" w:rsidRPr="00A75DF9" w:rsidRDefault="000F1BE7" w:rsidP="00CC19FC">
            <w:pPr>
              <w:pStyle w:val="TableText"/>
              <w:widowControl w:val="0"/>
              <w:rPr>
                <w:rFonts w:ascii="Tahoma" w:hAnsi="Tahoma" w:cs="Tahoma"/>
                <w:sz w:val="13"/>
              </w:rPr>
            </w:pPr>
            <w:r w:rsidRPr="00A75DF9">
              <w:rPr>
                <w:rFonts w:ascii="Tahoma" w:hAnsi="Tahoma" w:cs="Tahoma"/>
                <w:sz w:val="13"/>
              </w:rPr>
              <w:t>A</w:t>
            </w:r>
          </w:p>
        </w:tc>
        <w:tc>
          <w:tcPr>
            <w:tcW w:w="378" w:type="dxa"/>
            <w:tcBorders>
              <w:left w:val="single" w:sz="18" w:space="0" w:color="auto"/>
              <w:bottom w:val="single" w:sz="4" w:space="0" w:color="auto"/>
              <w:right w:val="single" w:sz="18" w:space="0" w:color="auto"/>
            </w:tcBorders>
            <w:shd w:val="clear" w:color="auto" w:fill="FFFFFF" w:themeFill="background1"/>
            <w:vAlign w:val="center"/>
          </w:tcPr>
          <w:p w:rsidR="000F1BE7" w:rsidRPr="00A75DF9" w:rsidRDefault="000F1BE7" w:rsidP="004B3534">
            <w:pPr>
              <w:pStyle w:val="TableText"/>
              <w:widowControl w:val="0"/>
              <w:rPr>
                <w:rFonts w:ascii="Tahoma" w:hAnsi="Tahoma" w:cs="Tahoma"/>
                <w:sz w:val="13"/>
              </w:rPr>
            </w:pPr>
          </w:p>
        </w:tc>
        <w:tc>
          <w:tcPr>
            <w:tcW w:w="702" w:type="dxa"/>
            <w:tcBorders>
              <w:bottom w:val="single" w:sz="4" w:space="0" w:color="auto"/>
            </w:tcBorders>
            <w:shd w:val="clear" w:color="auto" w:fill="FFFFFF" w:themeFill="background1"/>
            <w:vAlign w:val="center"/>
          </w:tcPr>
          <w:p w:rsidR="000F1BE7" w:rsidRPr="00A75DF9" w:rsidRDefault="000F1BE7" w:rsidP="00080B33">
            <w:pPr>
              <w:pStyle w:val="TableText"/>
              <w:widowControl w:val="0"/>
              <w:rPr>
                <w:rFonts w:ascii="Tahoma" w:hAnsi="Tahoma" w:cs="Tahoma"/>
                <w:sz w:val="13"/>
              </w:rPr>
            </w:pPr>
          </w:p>
        </w:tc>
        <w:tc>
          <w:tcPr>
            <w:tcW w:w="650" w:type="dxa"/>
            <w:tcBorders>
              <w:bottom w:val="single" w:sz="4" w:space="0" w:color="auto"/>
            </w:tcBorders>
            <w:shd w:val="clear" w:color="auto" w:fill="FFFFFF" w:themeFill="background1"/>
            <w:vAlign w:val="center"/>
          </w:tcPr>
          <w:p w:rsidR="000F1BE7" w:rsidRPr="00A75DF9" w:rsidRDefault="000F1BE7" w:rsidP="004B3534">
            <w:pPr>
              <w:pStyle w:val="TableText"/>
              <w:widowControl w:val="0"/>
              <w:rPr>
                <w:rFonts w:ascii="Tahoma" w:hAnsi="Tahoma" w:cs="Tahoma"/>
                <w:sz w:val="13"/>
              </w:rPr>
            </w:pPr>
          </w:p>
        </w:tc>
      </w:tr>
      <w:tr w:rsidR="00A75DF9" w:rsidRPr="00A75DF9" w:rsidTr="00337A7D">
        <w:trPr>
          <w:cantSplit/>
          <w:trHeight w:val="287"/>
        </w:trPr>
        <w:tc>
          <w:tcPr>
            <w:tcW w:w="2634" w:type="dxa"/>
            <w:tcBorders>
              <w:bottom w:val="single" w:sz="4" w:space="0" w:color="auto"/>
            </w:tcBorders>
            <w:shd w:val="clear" w:color="auto" w:fill="FABF8F"/>
            <w:vAlign w:val="center"/>
          </w:tcPr>
          <w:p w:rsidR="00CC19FC" w:rsidRPr="00A75DF9" w:rsidRDefault="00CC19FC" w:rsidP="008B1245">
            <w:pPr>
              <w:pStyle w:val="Heading2"/>
              <w:spacing w:beforeLines="20" w:before="48" w:afterLines="20" w:after="48"/>
              <w:ind w:left="0"/>
              <w:rPr>
                <w:rFonts w:ascii="Tahoma" w:hAnsi="Tahoma" w:cs="Tahoma"/>
                <w:b w:val="0"/>
                <w:sz w:val="14"/>
              </w:rPr>
            </w:pPr>
            <w:bookmarkStart w:id="56" w:name="_Toc291024473"/>
            <w:bookmarkStart w:id="57" w:name="_Toc336337862"/>
            <w:bookmarkStart w:id="58" w:name="_Toc368309870"/>
            <w:r w:rsidRPr="00A75DF9">
              <w:rPr>
                <w:rFonts w:ascii="Tahoma" w:hAnsi="Tahoma" w:cs="Tahoma"/>
                <w:b w:val="0"/>
                <w:sz w:val="14"/>
              </w:rPr>
              <w:t>Office 365 Enterprise E3 (SL per Utente)</w:t>
            </w:r>
            <w:bookmarkEnd w:id="56"/>
            <w:bookmarkEnd w:id="57"/>
            <w:bookmarkEnd w:id="58"/>
          </w:p>
        </w:tc>
        <w:tc>
          <w:tcPr>
            <w:tcW w:w="427" w:type="dxa"/>
            <w:tcBorders>
              <w:bottom w:val="single" w:sz="4" w:space="0" w:color="auto"/>
            </w:tcBorders>
            <w:shd w:val="clear" w:color="auto" w:fill="FABF8F"/>
            <w:vAlign w:val="center"/>
          </w:tcPr>
          <w:p w:rsidR="00CC19FC" w:rsidRPr="00A75DF9" w:rsidRDefault="00B54770" w:rsidP="006F114F">
            <w:pPr>
              <w:pStyle w:val="TableText"/>
              <w:widowControl w:val="0"/>
              <w:rPr>
                <w:rFonts w:cs="Tahoma"/>
                <w:b/>
                <w:color w:val="0000FF"/>
                <w:sz w:val="13"/>
                <w:szCs w:val="13"/>
                <w:u w:val="single"/>
              </w:rPr>
            </w:pPr>
            <w:hyperlink w:anchor="_8_Office_365" w:history="1">
              <w:r w:rsidR="00734B17" w:rsidRPr="00A75DF9">
                <w:rPr>
                  <w:rStyle w:val="Hyperlink"/>
                  <w:rFonts w:cs="Tahoma"/>
                  <w:b/>
                  <w:sz w:val="13"/>
                  <w:szCs w:val="13"/>
                </w:rPr>
                <w:t>8</w:t>
              </w:r>
            </w:hyperlink>
          </w:p>
        </w:tc>
        <w:tc>
          <w:tcPr>
            <w:tcW w:w="427" w:type="dxa"/>
            <w:tcBorders>
              <w:bottom w:val="single" w:sz="4" w:space="0" w:color="auto"/>
            </w:tcBorders>
            <w:shd w:val="clear" w:color="auto" w:fill="FABF8F"/>
            <w:vAlign w:val="center"/>
          </w:tcPr>
          <w:p w:rsidR="00CC19FC" w:rsidRPr="00A75DF9" w:rsidRDefault="00CC19FC" w:rsidP="004000C7">
            <w:pPr>
              <w:pStyle w:val="TableText"/>
              <w:widowControl w:val="0"/>
              <w:rPr>
                <w:rFonts w:ascii="Tahoma" w:hAnsi="Tahoma" w:cs="Tahoma"/>
                <w:sz w:val="13"/>
              </w:rPr>
            </w:pPr>
            <w:r w:rsidRPr="00A75DF9">
              <w:rPr>
                <w:rFonts w:ascii="Tahoma" w:hAnsi="Tahoma" w:cs="Tahoma"/>
                <w:sz w:val="13"/>
              </w:rPr>
              <w:t>06/11</w:t>
            </w:r>
          </w:p>
        </w:tc>
        <w:tc>
          <w:tcPr>
            <w:tcW w:w="429" w:type="dxa"/>
            <w:tcBorders>
              <w:bottom w:val="single" w:sz="4" w:space="0" w:color="auto"/>
              <w:right w:val="single" w:sz="18" w:space="0" w:color="auto"/>
            </w:tcBorders>
            <w:shd w:val="clear" w:color="auto" w:fill="FABF8F"/>
            <w:vAlign w:val="center"/>
          </w:tcPr>
          <w:p w:rsidR="00CC19FC" w:rsidRPr="00A75DF9" w:rsidRDefault="00CC19FC" w:rsidP="004B3534">
            <w:pPr>
              <w:pStyle w:val="TableText"/>
              <w:widowControl w:val="0"/>
              <w:rPr>
                <w:rFonts w:ascii="Tahoma" w:hAnsi="Tahoma" w:cs="Tahoma"/>
                <w:sz w:val="13"/>
              </w:rPr>
            </w:pPr>
            <w:r w:rsidRPr="00A75DF9">
              <w:rPr>
                <w:rFonts w:ascii="Tahoma" w:hAnsi="Tahoma" w:cs="Tahoma"/>
                <w:sz w:val="13"/>
              </w:rPr>
              <w:t>OSB</w:t>
            </w:r>
          </w:p>
        </w:tc>
        <w:tc>
          <w:tcPr>
            <w:tcW w:w="429" w:type="dxa"/>
            <w:tcBorders>
              <w:left w:val="single" w:sz="18" w:space="0" w:color="auto"/>
              <w:bottom w:val="single" w:sz="4" w:space="0" w:color="auto"/>
            </w:tcBorders>
            <w:shd w:val="clear" w:color="auto" w:fill="FABF8F"/>
            <w:vAlign w:val="center"/>
          </w:tcPr>
          <w:p w:rsidR="00CC19FC" w:rsidRPr="00A75DF9"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A75DF9"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A75DF9"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A75DF9"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A75DF9" w:rsidRDefault="00CC19FC" w:rsidP="004B3534">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CC19FC" w:rsidRPr="00A75DF9" w:rsidRDefault="00CC19FC" w:rsidP="004B3534">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CC19FC" w:rsidRPr="00A75DF9" w:rsidRDefault="00CC19FC" w:rsidP="004B3534">
            <w:pPr>
              <w:pStyle w:val="TableText"/>
              <w:widowControl w:val="0"/>
              <w:rPr>
                <w:rFonts w:ascii="Tahoma" w:hAnsi="Tahoma" w:cs="Tahoma"/>
                <w:sz w:val="13"/>
              </w:rPr>
            </w:pPr>
          </w:p>
        </w:tc>
        <w:tc>
          <w:tcPr>
            <w:tcW w:w="405" w:type="dxa"/>
            <w:tcBorders>
              <w:left w:val="single" w:sz="18" w:space="0" w:color="auto"/>
              <w:bottom w:val="single" w:sz="4" w:space="0" w:color="auto"/>
            </w:tcBorders>
            <w:shd w:val="clear" w:color="auto" w:fill="FABF8F"/>
            <w:vAlign w:val="center"/>
          </w:tcPr>
          <w:p w:rsidR="00CC19FC" w:rsidRPr="00A75DF9" w:rsidRDefault="00CC19FC" w:rsidP="004B3534">
            <w:pPr>
              <w:pStyle w:val="TableText"/>
              <w:widowControl w:val="0"/>
              <w:rPr>
                <w:rFonts w:ascii="Tahoma" w:hAnsi="Tahoma" w:cs="Tahoma"/>
                <w:sz w:val="13"/>
              </w:rPr>
            </w:pPr>
          </w:p>
        </w:tc>
        <w:tc>
          <w:tcPr>
            <w:tcW w:w="288" w:type="dxa"/>
            <w:tcBorders>
              <w:bottom w:val="single" w:sz="4" w:space="0" w:color="auto"/>
            </w:tcBorders>
            <w:shd w:val="clear" w:color="auto" w:fill="FABF8F"/>
            <w:vAlign w:val="center"/>
          </w:tcPr>
          <w:p w:rsidR="00CC19FC" w:rsidRPr="00A75DF9" w:rsidRDefault="00CC19FC" w:rsidP="004B3534">
            <w:pPr>
              <w:pStyle w:val="TableText"/>
              <w:widowControl w:val="0"/>
              <w:rPr>
                <w:rFonts w:ascii="Tahoma" w:hAnsi="Tahoma" w:cs="Tahoma"/>
                <w:sz w:val="13"/>
              </w:rPr>
            </w:pPr>
          </w:p>
        </w:tc>
        <w:tc>
          <w:tcPr>
            <w:tcW w:w="315" w:type="dxa"/>
            <w:tcBorders>
              <w:bottom w:val="single" w:sz="4" w:space="0" w:color="auto"/>
              <w:right w:val="single" w:sz="18" w:space="0" w:color="auto"/>
            </w:tcBorders>
            <w:shd w:val="clear" w:color="auto" w:fill="FABF8F"/>
            <w:vAlign w:val="center"/>
          </w:tcPr>
          <w:p w:rsidR="00CC19FC" w:rsidRPr="00A75DF9" w:rsidRDefault="00CC19FC" w:rsidP="004B3534">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FABF8F"/>
            <w:vAlign w:val="center"/>
          </w:tcPr>
          <w:p w:rsidR="00CC19FC" w:rsidRPr="00A75DF9" w:rsidRDefault="00CC19FC" w:rsidP="004B3534">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CC19FC" w:rsidRPr="00A75DF9" w:rsidRDefault="00CC19FC" w:rsidP="004B3534">
            <w:pPr>
              <w:pStyle w:val="TableText"/>
              <w:widowControl w:val="0"/>
              <w:rPr>
                <w:rFonts w:ascii="Tahoma" w:hAnsi="Tahoma" w:cs="Tahoma"/>
                <w:sz w:val="13"/>
              </w:rPr>
            </w:pPr>
            <w:r w:rsidRPr="00A75DF9">
              <w:rPr>
                <w:rFonts w:ascii="Tahoma" w:hAnsi="Tahoma" w:cs="Tahoma"/>
                <w:sz w:val="13"/>
              </w:rPr>
              <w:t>EOLS</w:t>
            </w:r>
          </w:p>
        </w:tc>
        <w:tc>
          <w:tcPr>
            <w:tcW w:w="378" w:type="dxa"/>
            <w:tcBorders>
              <w:left w:val="single" w:sz="18" w:space="0" w:color="auto"/>
              <w:bottom w:val="single" w:sz="4" w:space="0" w:color="auto"/>
              <w:right w:val="single" w:sz="18" w:space="0" w:color="auto"/>
            </w:tcBorders>
            <w:shd w:val="clear" w:color="auto" w:fill="FABF8F"/>
            <w:vAlign w:val="center"/>
          </w:tcPr>
          <w:p w:rsidR="00CC19FC" w:rsidRPr="00A75DF9" w:rsidRDefault="00D55AB9" w:rsidP="004B3534">
            <w:pPr>
              <w:pStyle w:val="TableText"/>
              <w:widowControl w:val="0"/>
              <w:rPr>
                <w:rFonts w:ascii="Tahoma" w:hAnsi="Tahoma" w:cs="Tahoma"/>
                <w:sz w:val="13"/>
              </w:rPr>
            </w:pPr>
            <w:r w:rsidRPr="00A75DF9">
              <w:rPr>
                <w:rFonts w:ascii="Tahoma" w:hAnsi="Tahoma" w:cs="Tahoma"/>
                <w:sz w:val="13"/>
              </w:rPr>
              <w:t>P</w:t>
            </w:r>
          </w:p>
        </w:tc>
        <w:tc>
          <w:tcPr>
            <w:tcW w:w="702" w:type="dxa"/>
            <w:tcBorders>
              <w:bottom w:val="single" w:sz="4" w:space="0" w:color="auto"/>
            </w:tcBorders>
            <w:shd w:val="clear" w:color="auto" w:fill="FABF8F"/>
            <w:vAlign w:val="center"/>
          </w:tcPr>
          <w:p w:rsidR="00CC19FC" w:rsidRPr="00A75DF9" w:rsidRDefault="00CC19FC" w:rsidP="00080B33">
            <w:pPr>
              <w:pStyle w:val="TableText"/>
              <w:widowControl w:val="0"/>
              <w:rPr>
                <w:rFonts w:ascii="Tahoma" w:hAnsi="Tahoma" w:cs="Tahoma"/>
                <w:sz w:val="13"/>
              </w:rPr>
            </w:pPr>
          </w:p>
        </w:tc>
        <w:tc>
          <w:tcPr>
            <w:tcW w:w="650" w:type="dxa"/>
            <w:tcBorders>
              <w:bottom w:val="single" w:sz="4" w:space="0" w:color="auto"/>
            </w:tcBorders>
            <w:shd w:val="clear" w:color="auto" w:fill="FABF8F"/>
            <w:vAlign w:val="center"/>
          </w:tcPr>
          <w:p w:rsidR="00CC19FC" w:rsidRPr="00A75DF9" w:rsidRDefault="00D55AB9" w:rsidP="004B3534">
            <w:pPr>
              <w:pStyle w:val="TableText"/>
              <w:widowControl w:val="0"/>
              <w:rPr>
                <w:rFonts w:ascii="Tahoma" w:hAnsi="Tahoma" w:cs="Tahoma"/>
                <w:sz w:val="13"/>
              </w:rPr>
            </w:pPr>
            <w:r w:rsidRPr="00A75DF9">
              <w:rPr>
                <w:rFonts w:ascii="Tahoma" w:hAnsi="Tahoma" w:cs="Tahoma"/>
                <w:sz w:val="13"/>
              </w:rPr>
              <w:t>OL</w:t>
            </w:r>
          </w:p>
        </w:tc>
      </w:tr>
      <w:tr w:rsidR="00A75DF9" w:rsidRPr="00A75DF9" w:rsidTr="00337A7D">
        <w:trPr>
          <w:cantSplit/>
          <w:trHeight w:val="287"/>
        </w:trPr>
        <w:tc>
          <w:tcPr>
            <w:tcW w:w="2634" w:type="dxa"/>
            <w:tcBorders>
              <w:bottom w:val="single" w:sz="4" w:space="0" w:color="auto"/>
            </w:tcBorders>
            <w:shd w:val="clear" w:color="auto" w:fill="FFFFFF" w:themeFill="background1"/>
            <w:vAlign w:val="center"/>
          </w:tcPr>
          <w:p w:rsidR="00D55AB9" w:rsidRPr="00A75DF9" w:rsidRDefault="00D55AB9" w:rsidP="008B1245">
            <w:pPr>
              <w:pStyle w:val="Heading2"/>
              <w:spacing w:beforeLines="20" w:before="48" w:afterLines="20" w:after="48"/>
              <w:ind w:left="0"/>
              <w:rPr>
                <w:rFonts w:ascii="Tahoma" w:hAnsi="Tahoma" w:cs="Tahoma"/>
                <w:b w:val="0"/>
                <w:sz w:val="14"/>
              </w:rPr>
            </w:pPr>
            <w:bookmarkStart w:id="59" w:name="_Toc368309871"/>
            <w:r w:rsidRPr="00A75DF9">
              <w:rPr>
                <w:rFonts w:ascii="Tahoma" w:hAnsi="Tahoma" w:cs="Tahoma"/>
                <w:b w:val="0"/>
                <w:sz w:val="14"/>
              </w:rPr>
              <w:t>Office 365 Enterprise E4 (SL per Utente)</w:t>
            </w:r>
            <w:bookmarkEnd w:id="59"/>
          </w:p>
        </w:tc>
        <w:tc>
          <w:tcPr>
            <w:tcW w:w="427" w:type="dxa"/>
            <w:tcBorders>
              <w:bottom w:val="single" w:sz="4" w:space="0" w:color="auto"/>
            </w:tcBorders>
            <w:shd w:val="clear" w:color="auto" w:fill="FFFFFF" w:themeFill="background1"/>
            <w:vAlign w:val="center"/>
          </w:tcPr>
          <w:p w:rsidR="00D55AB9" w:rsidRPr="00A75DF9" w:rsidRDefault="00B54770" w:rsidP="00D55AB9">
            <w:pPr>
              <w:pStyle w:val="TableText"/>
              <w:widowControl w:val="0"/>
              <w:rPr>
                <w:rFonts w:cs="Tahoma"/>
              </w:rPr>
            </w:pPr>
            <w:hyperlink w:anchor="_8_Office_365" w:history="1">
              <w:r w:rsidR="006F114F" w:rsidRPr="00A75DF9">
                <w:rPr>
                  <w:rStyle w:val="Hyperlink"/>
                  <w:rFonts w:cs="Tahoma"/>
                  <w:b/>
                  <w:sz w:val="13"/>
                  <w:szCs w:val="13"/>
                </w:rPr>
                <w:t>8</w:t>
              </w:r>
            </w:hyperlink>
            <w:hyperlink w:anchor="_65_Office_365" w:history="1"/>
          </w:p>
        </w:tc>
        <w:tc>
          <w:tcPr>
            <w:tcW w:w="427" w:type="dxa"/>
            <w:tcBorders>
              <w:bottom w:val="single" w:sz="4" w:space="0" w:color="auto"/>
            </w:tcBorders>
            <w:shd w:val="clear" w:color="auto" w:fill="FFFFFF" w:themeFill="background1"/>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06/11</w:t>
            </w:r>
          </w:p>
        </w:tc>
        <w:tc>
          <w:tcPr>
            <w:tcW w:w="429" w:type="dxa"/>
            <w:tcBorders>
              <w:bottom w:val="single" w:sz="4" w:space="0" w:color="auto"/>
              <w:right w:val="single" w:sz="18" w:space="0" w:color="auto"/>
            </w:tcBorders>
            <w:shd w:val="clear" w:color="auto" w:fill="FFFFFF" w:themeFill="background1"/>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OSB</w:t>
            </w:r>
          </w:p>
        </w:tc>
        <w:tc>
          <w:tcPr>
            <w:tcW w:w="429" w:type="dxa"/>
            <w:tcBorders>
              <w:left w:val="single" w:sz="18" w:space="0" w:color="auto"/>
              <w:bottom w:val="single" w:sz="4" w:space="0" w:color="auto"/>
            </w:tcBorders>
            <w:shd w:val="clear" w:color="auto" w:fill="FFFFFF" w:themeFill="background1"/>
            <w:vAlign w:val="center"/>
          </w:tcPr>
          <w:p w:rsidR="00D55AB9" w:rsidRPr="00A75DF9" w:rsidRDefault="00D55AB9"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D55AB9" w:rsidRPr="00A75DF9" w:rsidRDefault="00D55AB9"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D55AB9" w:rsidRPr="00A75DF9" w:rsidRDefault="00D55AB9"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D55AB9" w:rsidRPr="00A75DF9" w:rsidRDefault="00D55AB9"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D55AB9" w:rsidRPr="00A75DF9" w:rsidRDefault="00D55AB9" w:rsidP="00D55AB9">
            <w:pPr>
              <w:pStyle w:val="TableText"/>
              <w:widowControl w:val="0"/>
              <w:rPr>
                <w:rFonts w:ascii="Tahoma" w:hAnsi="Tahoma" w:cs="Tahoma"/>
                <w:sz w:val="13"/>
              </w:rPr>
            </w:pPr>
          </w:p>
        </w:tc>
        <w:tc>
          <w:tcPr>
            <w:tcW w:w="429" w:type="dxa"/>
            <w:tcBorders>
              <w:bottom w:val="single" w:sz="4" w:space="0" w:color="auto"/>
            </w:tcBorders>
            <w:shd w:val="clear" w:color="auto" w:fill="FFFFFF" w:themeFill="background1"/>
            <w:vAlign w:val="center"/>
          </w:tcPr>
          <w:p w:rsidR="00D55AB9" w:rsidRPr="00A75DF9" w:rsidRDefault="00D55AB9"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FFFFF" w:themeFill="background1"/>
            <w:vAlign w:val="center"/>
          </w:tcPr>
          <w:p w:rsidR="00D55AB9" w:rsidRPr="00A75DF9" w:rsidRDefault="00D55AB9" w:rsidP="00D55AB9">
            <w:pPr>
              <w:pStyle w:val="TableText"/>
              <w:widowControl w:val="0"/>
              <w:rPr>
                <w:rFonts w:ascii="Tahoma" w:hAnsi="Tahoma" w:cs="Tahoma"/>
                <w:sz w:val="13"/>
              </w:rPr>
            </w:pPr>
          </w:p>
        </w:tc>
        <w:tc>
          <w:tcPr>
            <w:tcW w:w="405" w:type="dxa"/>
            <w:tcBorders>
              <w:left w:val="single" w:sz="18" w:space="0" w:color="auto"/>
              <w:bottom w:val="single" w:sz="4" w:space="0" w:color="auto"/>
            </w:tcBorders>
            <w:shd w:val="clear" w:color="auto" w:fill="FFFFFF" w:themeFill="background1"/>
            <w:vAlign w:val="center"/>
          </w:tcPr>
          <w:p w:rsidR="00D55AB9" w:rsidRPr="00A75DF9" w:rsidRDefault="00D55AB9" w:rsidP="00D55AB9">
            <w:pPr>
              <w:pStyle w:val="TableText"/>
              <w:widowControl w:val="0"/>
              <w:rPr>
                <w:rFonts w:ascii="Tahoma" w:hAnsi="Tahoma" w:cs="Tahoma"/>
                <w:sz w:val="13"/>
              </w:rPr>
            </w:pPr>
          </w:p>
        </w:tc>
        <w:tc>
          <w:tcPr>
            <w:tcW w:w="288" w:type="dxa"/>
            <w:tcBorders>
              <w:bottom w:val="single" w:sz="4" w:space="0" w:color="auto"/>
            </w:tcBorders>
            <w:shd w:val="clear" w:color="auto" w:fill="FFFFFF" w:themeFill="background1"/>
            <w:vAlign w:val="center"/>
          </w:tcPr>
          <w:p w:rsidR="00D55AB9" w:rsidRPr="00A75DF9" w:rsidRDefault="00D55AB9" w:rsidP="00D55AB9">
            <w:pPr>
              <w:pStyle w:val="TableText"/>
              <w:widowControl w:val="0"/>
              <w:rPr>
                <w:rFonts w:ascii="Tahoma" w:hAnsi="Tahoma" w:cs="Tahoma"/>
                <w:sz w:val="13"/>
              </w:rPr>
            </w:pPr>
          </w:p>
        </w:tc>
        <w:tc>
          <w:tcPr>
            <w:tcW w:w="315" w:type="dxa"/>
            <w:tcBorders>
              <w:bottom w:val="single" w:sz="4" w:space="0" w:color="auto"/>
              <w:right w:val="single" w:sz="18" w:space="0" w:color="auto"/>
            </w:tcBorders>
            <w:shd w:val="clear" w:color="auto" w:fill="FFFFFF" w:themeFill="background1"/>
            <w:vAlign w:val="center"/>
          </w:tcPr>
          <w:p w:rsidR="00D55AB9" w:rsidRPr="00A75DF9" w:rsidRDefault="00D55AB9" w:rsidP="00D55AB9">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FFFFFF" w:themeFill="background1"/>
            <w:vAlign w:val="center"/>
          </w:tcPr>
          <w:p w:rsidR="00D55AB9" w:rsidRPr="00A75DF9" w:rsidRDefault="00D55AB9" w:rsidP="00D55AB9">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FFFFFF" w:themeFill="background1"/>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EOLS</w:t>
            </w:r>
          </w:p>
        </w:tc>
        <w:tc>
          <w:tcPr>
            <w:tcW w:w="378" w:type="dxa"/>
            <w:tcBorders>
              <w:left w:val="single" w:sz="18" w:space="0" w:color="auto"/>
              <w:bottom w:val="single" w:sz="4" w:space="0" w:color="auto"/>
              <w:right w:val="single" w:sz="18" w:space="0" w:color="auto"/>
            </w:tcBorders>
            <w:shd w:val="clear" w:color="auto" w:fill="FFFFFF" w:themeFill="background1"/>
            <w:vAlign w:val="center"/>
          </w:tcPr>
          <w:p w:rsidR="00D55AB9" w:rsidRPr="00A75DF9" w:rsidRDefault="00D55AB9" w:rsidP="00D55AB9">
            <w:pPr>
              <w:pStyle w:val="TableText"/>
              <w:widowControl w:val="0"/>
              <w:rPr>
                <w:rFonts w:ascii="Tahoma" w:hAnsi="Tahoma" w:cs="Tahoma"/>
                <w:sz w:val="13"/>
              </w:rPr>
            </w:pPr>
          </w:p>
        </w:tc>
        <w:tc>
          <w:tcPr>
            <w:tcW w:w="702" w:type="dxa"/>
            <w:tcBorders>
              <w:bottom w:val="single" w:sz="4" w:space="0" w:color="auto"/>
            </w:tcBorders>
            <w:shd w:val="clear" w:color="auto" w:fill="FFFFFF" w:themeFill="background1"/>
            <w:vAlign w:val="center"/>
          </w:tcPr>
          <w:p w:rsidR="00D55AB9" w:rsidRPr="00A75DF9" w:rsidRDefault="00D55AB9" w:rsidP="00D55AB9">
            <w:pPr>
              <w:pStyle w:val="TableText"/>
              <w:widowControl w:val="0"/>
              <w:rPr>
                <w:rFonts w:ascii="Tahoma" w:hAnsi="Tahoma" w:cs="Tahoma"/>
                <w:sz w:val="13"/>
              </w:rPr>
            </w:pPr>
          </w:p>
        </w:tc>
        <w:tc>
          <w:tcPr>
            <w:tcW w:w="650" w:type="dxa"/>
            <w:tcBorders>
              <w:bottom w:val="single" w:sz="4" w:space="0" w:color="auto"/>
            </w:tcBorders>
            <w:shd w:val="clear" w:color="auto" w:fill="FFFFFF" w:themeFill="background1"/>
            <w:vAlign w:val="center"/>
          </w:tcPr>
          <w:p w:rsidR="00D55AB9" w:rsidRPr="00A75DF9" w:rsidRDefault="00D55AB9" w:rsidP="00D55AB9">
            <w:pPr>
              <w:pStyle w:val="TableText"/>
              <w:widowControl w:val="0"/>
              <w:rPr>
                <w:rFonts w:ascii="Tahoma" w:hAnsi="Tahoma" w:cs="Tahoma"/>
                <w:sz w:val="13"/>
              </w:rPr>
            </w:pPr>
          </w:p>
        </w:tc>
      </w:tr>
      <w:tr w:rsidR="00A75DF9" w:rsidRPr="00A75DF9" w:rsidTr="00337A7D">
        <w:trPr>
          <w:cantSplit/>
          <w:trHeight w:val="287"/>
        </w:trPr>
        <w:tc>
          <w:tcPr>
            <w:tcW w:w="2634" w:type="dxa"/>
            <w:tcBorders>
              <w:bottom w:val="single" w:sz="4" w:space="0" w:color="auto"/>
            </w:tcBorders>
            <w:shd w:val="clear" w:color="auto" w:fill="FABF8F"/>
            <w:vAlign w:val="center"/>
          </w:tcPr>
          <w:p w:rsidR="00D55AB9" w:rsidRPr="00A75DF9" w:rsidRDefault="00D55AB9" w:rsidP="008B1245">
            <w:pPr>
              <w:pStyle w:val="Heading2"/>
              <w:spacing w:beforeLines="20" w:before="48" w:afterLines="20" w:after="48"/>
              <w:ind w:left="0"/>
              <w:rPr>
                <w:rFonts w:ascii="Tahoma" w:hAnsi="Tahoma" w:cs="Tahoma"/>
                <w:b w:val="0"/>
                <w:sz w:val="14"/>
              </w:rPr>
            </w:pPr>
            <w:bookmarkStart w:id="60" w:name="_Toc368309872"/>
            <w:r w:rsidRPr="00A75DF9">
              <w:rPr>
                <w:rFonts w:ascii="Tahoma" w:hAnsi="Tahoma" w:cs="Tahoma"/>
                <w:b w:val="0"/>
                <w:sz w:val="14"/>
              </w:rPr>
              <w:t>Componente Aggiuntivo di Office 365 Government G3, G4 (SL per Utente)</w:t>
            </w:r>
            <w:bookmarkEnd w:id="60"/>
          </w:p>
        </w:tc>
        <w:tc>
          <w:tcPr>
            <w:tcW w:w="427" w:type="dxa"/>
            <w:tcBorders>
              <w:bottom w:val="single" w:sz="4" w:space="0" w:color="auto"/>
            </w:tcBorders>
            <w:shd w:val="clear" w:color="auto" w:fill="FABF8F"/>
            <w:vAlign w:val="center"/>
          </w:tcPr>
          <w:p w:rsidR="00D55AB9" w:rsidRPr="00A75DF9" w:rsidRDefault="00B54770" w:rsidP="00D55AB9">
            <w:pPr>
              <w:pStyle w:val="TableText"/>
              <w:widowControl w:val="0"/>
              <w:rPr>
                <w:rFonts w:cs="Tahoma"/>
              </w:rPr>
            </w:pPr>
            <w:hyperlink w:anchor="_7_Licenze_Subscription" w:history="1">
              <w:r w:rsidR="00624E65" w:rsidRPr="00A75DF9">
                <w:rPr>
                  <w:rStyle w:val="Hyperlink"/>
                  <w:rFonts w:cs="Tahoma"/>
                  <w:b/>
                  <w:sz w:val="13"/>
                  <w:szCs w:val="13"/>
                </w:rPr>
                <w:t>7</w:t>
              </w:r>
            </w:hyperlink>
          </w:p>
        </w:tc>
        <w:tc>
          <w:tcPr>
            <w:tcW w:w="427" w:type="dxa"/>
            <w:tcBorders>
              <w:bottom w:val="single" w:sz="4" w:space="0" w:color="auto"/>
            </w:tcBorders>
            <w:shd w:val="clear" w:color="auto" w:fill="FABF8F"/>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08/13</w:t>
            </w:r>
          </w:p>
        </w:tc>
        <w:tc>
          <w:tcPr>
            <w:tcW w:w="429" w:type="dxa"/>
            <w:tcBorders>
              <w:bottom w:val="single" w:sz="4" w:space="0" w:color="auto"/>
              <w:right w:val="single" w:sz="18" w:space="0" w:color="auto"/>
            </w:tcBorders>
            <w:shd w:val="clear" w:color="auto" w:fill="FABF8F"/>
            <w:vAlign w:val="center"/>
          </w:tcPr>
          <w:p w:rsidR="00D55AB9" w:rsidRPr="00A75DF9" w:rsidRDefault="00D55AB9"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A75DF9" w:rsidRDefault="00D55AB9"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D55AB9" w:rsidRPr="00A75DF9" w:rsidRDefault="00D55AB9"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D55AB9" w:rsidRPr="00A75DF9" w:rsidRDefault="00D55AB9"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D55AB9" w:rsidRPr="00A75DF9" w:rsidRDefault="00D55AB9"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D55AB9" w:rsidRPr="00A75DF9" w:rsidRDefault="00D55AB9" w:rsidP="00D55AB9">
            <w:pPr>
              <w:pStyle w:val="TableText"/>
              <w:widowControl w:val="0"/>
              <w:rPr>
                <w:rFonts w:ascii="Tahoma" w:hAnsi="Tahoma" w:cs="Tahoma"/>
                <w:sz w:val="13"/>
              </w:rPr>
            </w:pPr>
          </w:p>
        </w:tc>
        <w:tc>
          <w:tcPr>
            <w:tcW w:w="429" w:type="dxa"/>
            <w:tcBorders>
              <w:bottom w:val="single" w:sz="4" w:space="0" w:color="auto"/>
            </w:tcBorders>
            <w:shd w:val="clear" w:color="auto" w:fill="FABF8F"/>
            <w:vAlign w:val="center"/>
          </w:tcPr>
          <w:p w:rsidR="00D55AB9" w:rsidRPr="00A75DF9" w:rsidRDefault="00D55AB9"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A75DF9" w:rsidRDefault="00D55AB9" w:rsidP="00D55AB9">
            <w:pPr>
              <w:pStyle w:val="TableText"/>
              <w:widowControl w:val="0"/>
              <w:rPr>
                <w:rFonts w:ascii="Tahoma" w:hAnsi="Tahoma" w:cs="Tahoma"/>
                <w:sz w:val="13"/>
              </w:rPr>
            </w:pPr>
          </w:p>
        </w:tc>
        <w:tc>
          <w:tcPr>
            <w:tcW w:w="405" w:type="dxa"/>
            <w:tcBorders>
              <w:left w:val="single" w:sz="18" w:space="0" w:color="auto"/>
              <w:bottom w:val="single" w:sz="4" w:space="0" w:color="auto"/>
            </w:tcBorders>
            <w:shd w:val="clear" w:color="auto" w:fill="FABF8F"/>
            <w:vAlign w:val="center"/>
          </w:tcPr>
          <w:p w:rsidR="00D55AB9" w:rsidRPr="00A75DF9" w:rsidRDefault="00D55AB9" w:rsidP="00D55AB9">
            <w:pPr>
              <w:pStyle w:val="TableText"/>
              <w:widowControl w:val="0"/>
              <w:rPr>
                <w:rFonts w:ascii="Tahoma" w:hAnsi="Tahoma" w:cs="Tahoma"/>
                <w:sz w:val="13"/>
              </w:rPr>
            </w:pPr>
          </w:p>
        </w:tc>
        <w:tc>
          <w:tcPr>
            <w:tcW w:w="288" w:type="dxa"/>
            <w:tcBorders>
              <w:bottom w:val="single" w:sz="4" w:space="0" w:color="auto"/>
            </w:tcBorders>
            <w:shd w:val="clear" w:color="auto" w:fill="FABF8F"/>
            <w:vAlign w:val="center"/>
          </w:tcPr>
          <w:p w:rsidR="00D55AB9" w:rsidRPr="00A75DF9" w:rsidRDefault="00D55AB9" w:rsidP="00D55AB9">
            <w:pPr>
              <w:pStyle w:val="TableText"/>
              <w:widowControl w:val="0"/>
              <w:rPr>
                <w:rFonts w:ascii="Tahoma" w:hAnsi="Tahoma" w:cs="Tahoma"/>
                <w:sz w:val="13"/>
              </w:rPr>
            </w:pPr>
          </w:p>
        </w:tc>
        <w:tc>
          <w:tcPr>
            <w:tcW w:w="315" w:type="dxa"/>
            <w:tcBorders>
              <w:bottom w:val="single" w:sz="4" w:space="0" w:color="auto"/>
              <w:right w:val="single" w:sz="18" w:space="0" w:color="auto"/>
            </w:tcBorders>
            <w:shd w:val="clear" w:color="auto" w:fill="FABF8F"/>
            <w:vAlign w:val="center"/>
          </w:tcPr>
          <w:p w:rsidR="00D55AB9" w:rsidRPr="00A75DF9" w:rsidRDefault="00D55AB9" w:rsidP="00D55AB9">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FABF8F"/>
            <w:vAlign w:val="center"/>
          </w:tcPr>
          <w:p w:rsidR="00D55AB9" w:rsidRPr="00A75DF9" w:rsidRDefault="00D55AB9" w:rsidP="00D55AB9">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A</w:t>
            </w:r>
          </w:p>
        </w:tc>
        <w:tc>
          <w:tcPr>
            <w:tcW w:w="378" w:type="dxa"/>
            <w:tcBorders>
              <w:left w:val="single" w:sz="18" w:space="0" w:color="auto"/>
              <w:bottom w:val="single" w:sz="4" w:space="0" w:color="auto"/>
              <w:right w:val="single" w:sz="18" w:space="0" w:color="auto"/>
            </w:tcBorders>
            <w:shd w:val="clear" w:color="auto" w:fill="FABF8F"/>
            <w:vAlign w:val="center"/>
          </w:tcPr>
          <w:p w:rsidR="00D55AB9" w:rsidRPr="00A75DF9" w:rsidRDefault="00D55AB9" w:rsidP="00D55AB9">
            <w:pPr>
              <w:pStyle w:val="TableText"/>
              <w:widowControl w:val="0"/>
              <w:rPr>
                <w:rFonts w:ascii="Tahoma" w:hAnsi="Tahoma" w:cs="Tahoma"/>
                <w:sz w:val="13"/>
              </w:rPr>
            </w:pPr>
          </w:p>
        </w:tc>
        <w:tc>
          <w:tcPr>
            <w:tcW w:w="702" w:type="dxa"/>
            <w:tcBorders>
              <w:bottom w:val="single" w:sz="4" w:space="0" w:color="auto"/>
            </w:tcBorders>
            <w:shd w:val="clear" w:color="auto" w:fill="FABF8F"/>
            <w:vAlign w:val="center"/>
          </w:tcPr>
          <w:p w:rsidR="00D55AB9" w:rsidRPr="00A75DF9" w:rsidRDefault="00D55AB9" w:rsidP="00D55AB9">
            <w:pPr>
              <w:pStyle w:val="TableText"/>
              <w:widowControl w:val="0"/>
              <w:rPr>
                <w:rFonts w:ascii="Tahoma" w:hAnsi="Tahoma" w:cs="Tahoma"/>
                <w:sz w:val="13"/>
              </w:rPr>
            </w:pPr>
          </w:p>
        </w:tc>
        <w:tc>
          <w:tcPr>
            <w:tcW w:w="650" w:type="dxa"/>
            <w:tcBorders>
              <w:bottom w:val="single" w:sz="4" w:space="0" w:color="auto"/>
            </w:tcBorders>
            <w:shd w:val="clear" w:color="auto" w:fill="FABF8F"/>
            <w:vAlign w:val="center"/>
          </w:tcPr>
          <w:p w:rsidR="00D55AB9" w:rsidRPr="00A75DF9" w:rsidRDefault="00D55AB9" w:rsidP="00D55AB9">
            <w:pPr>
              <w:pStyle w:val="TableText"/>
              <w:widowControl w:val="0"/>
              <w:rPr>
                <w:rFonts w:ascii="Tahoma" w:hAnsi="Tahoma" w:cs="Tahoma"/>
                <w:sz w:val="13"/>
              </w:rPr>
            </w:pPr>
          </w:p>
        </w:tc>
      </w:tr>
      <w:tr w:rsidR="00A75DF9" w:rsidRPr="00A75DF9" w:rsidTr="00337A7D">
        <w:trPr>
          <w:cantSplit/>
          <w:trHeight w:val="287"/>
        </w:trPr>
        <w:tc>
          <w:tcPr>
            <w:tcW w:w="2634" w:type="dxa"/>
            <w:tcBorders>
              <w:bottom w:val="single" w:sz="4" w:space="0" w:color="auto"/>
            </w:tcBorders>
            <w:shd w:val="clear" w:color="auto" w:fill="auto"/>
            <w:vAlign w:val="center"/>
          </w:tcPr>
          <w:p w:rsidR="00D55AB9" w:rsidRPr="00A75DF9" w:rsidRDefault="00D55AB9" w:rsidP="008B1245">
            <w:pPr>
              <w:pStyle w:val="Heading2"/>
              <w:spacing w:beforeLines="20" w:before="48" w:afterLines="20" w:after="48"/>
              <w:ind w:left="0"/>
              <w:rPr>
                <w:rFonts w:ascii="Tahoma" w:hAnsi="Tahoma" w:cs="Tahoma"/>
                <w:b w:val="0"/>
                <w:sz w:val="14"/>
              </w:rPr>
            </w:pPr>
            <w:bookmarkStart w:id="61" w:name="_Toc291024474"/>
            <w:bookmarkStart w:id="62" w:name="_Toc336337863"/>
            <w:bookmarkStart w:id="63" w:name="_Toc368309873"/>
            <w:r w:rsidRPr="00A75DF9">
              <w:rPr>
                <w:rFonts w:ascii="Tahoma" w:hAnsi="Tahoma" w:cs="Tahoma"/>
                <w:b w:val="0"/>
                <w:sz w:val="14"/>
              </w:rPr>
              <w:lastRenderedPageBreak/>
              <w:t xml:space="preserve">Office 365 </w:t>
            </w:r>
            <w:bookmarkEnd w:id="61"/>
            <w:bookmarkEnd w:id="62"/>
            <w:r w:rsidRPr="00A75DF9">
              <w:rPr>
                <w:rFonts w:ascii="Tahoma" w:hAnsi="Tahoma" w:cs="Tahoma"/>
                <w:b w:val="0"/>
                <w:sz w:val="14"/>
              </w:rPr>
              <w:t xml:space="preserve">Government G3—G4 </w:t>
            </w:r>
            <w:r w:rsidR="00A75DF9">
              <w:rPr>
                <w:rFonts w:ascii="Tahoma" w:hAnsi="Tahoma" w:cs="Tahoma"/>
                <w:b w:val="0"/>
                <w:sz w:val="14"/>
              </w:rPr>
              <w:br/>
            </w:r>
            <w:r w:rsidRPr="00A75DF9">
              <w:rPr>
                <w:rFonts w:ascii="Tahoma" w:hAnsi="Tahoma" w:cs="Tahoma"/>
                <w:b w:val="0"/>
                <w:sz w:val="14"/>
              </w:rPr>
              <w:t>(SL per Utente)</w:t>
            </w:r>
            <w:bookmarkEnd w:id="63"/>
          </w:p>
        </w:tc>
        <w:tc>
          <w:tcPr>
            <w:tcW w:w="427" w:type="dxa"/>
            <w:tcBorders>
              <w:bottom w:val="single" w:sz="4" w:space="0" w:color="auto"/>
            </w:tcBorders>
            <w:shd w:val="clear" w:color="auto" w:fill="auto"/>
            <w:vAlign w:val="center"/>
          </w:tcPr>
          <w:p w:rsidR="00D55AB9" w:rsidRPr="00A75DF9" w:rsidRDefault="00B54770" w:rsidP="00D55AB9">
            <w:pPr>
              <w:pStyle w:val="TableText"/>
              <w:widowControl w:val="0"/>
              <w:rPr>
                <w:rFonts w:cs="Tahoma"/>
                <w:b/>
                <w:color w:val="0000FF"/>
                <w:sz w:val="13"/>
                <w:szCs w:val="13"/>
                <w:u w:val="single"/>
              </w:rPr>
            </w:pPr>
            <w:hyperlink w:anchor="_77_Office_365" w:history="1">
              <w:r w:rsidR="00734B17" w:rsidRPr="00A75DF9">
                <w:rPr>
                  <w:rStyle w:val="Hyperlink"/>
                  <w:rFonts w:cs="Tahoma"/>
                  <w:b/>
                  <w:sz w:val="13"/>
                  <w:szCs w:val="13"/>
                </w:rPr>
                <w:t>77</w:t>
              </w:r>
            </w:hyperlink>
            <w:hyperlink w:anchor="_65_Office_365" w:history="1"/>
          </w:p>
        </w:tc>
        <w:tc>
          <w:tcPr>
            <w:tcW w:w="427" w:type="dxa"/>
            <w:tcBorders>
              <w:bottom w:val="single" w:sz="4" w:space="0" w:color="auto"/>
            </w:tcBorders>
            <w:shd w:val="clear" w:color="auto" w:fill="auto"/>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08/12</w:t>
            </w:r>
          </w:p>
        </w:tc>
        <w:tc>
          <w:tcPr>
            <w:tcW w:w="429" w:type="dxa"/>
            <w:tcBorders>
              <w:bottom w:val="single" w:sz="4" w:space="0" w:color="auto"/>
              <w:right w:val="single" w:sz="18" w:space="0" w:color="auto"/>
            </w:tcBorders>
            <w:shd w:val="clear" w:color="auto" w:fill="auto"/>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OSB</w:t>
            </w:r>
          </w:p>
        </w:tc>
        <w:tc>
          <w:tcPr>
            <w:tcW w:w="429" w:type="dxa"/>
            <w:tcBorders>
              <w:left w:val="single" w:sz="18" w:space="0" w:color="auto"/>
              <w:bottom w:val="single" w:sz="4" w:space="0" w:color="auto"/>
            </w:tcBorders>
            <w:shd w:val="clear" w:color="auto" w:fill="auto"/>
            <w:vAlign w:val="center"/>
          </w:tcPr>
          <w:p w:rsidR="00D55AB9" w:rsidRPr="00A75DF9" w:rsidRDefault="00D55AB9"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D55AB9" w:rsidRPr="00A75DF9" w:rsidRDefault="00D55AB9"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D55AB9" w:rsidRPr="00A75DF9" w:rsidRDefault="00D55AB9"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D55AB9" w:rsidRPr="00A75DF9" w:rsidRDefault="00D55AB9"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D55AB9" w:rsidRPr="00A75DF9" w:rsidRDefault="00D55AB9" w:rsidP="00D55AB9">
            <w:pPr>
              <w:pStyle w:val="TableText"/>
              <w:widowControl w:val="0"/>
              <w:rPr>
                <w:rFonts w:ascii="Tahoma" w:hAnsi="Tahoma" w:cs="Tahoma"/>
                <w:sz w:val="13"/>
              </w:rPr>
            </w:pPr>
          </w:p>
        </w:tc>
        <w:tc>
          <w:tcPr>
            <w:tcW w:w="429" w:type="dxa"/>
            <w:tcBorders>
              <w:bottom w:val="single" w:sz="4" w:space="0" w:color="auto"/>
            </w:tcBorders>
            <w:shd w:val="clear" w:color="auto" w:fill="auto"/>
            <w:vAlign w:val="center"/>
          </w:tcPr>
          <w:p w:rsidR="00D55AB9" w:rsidRPr="00A75DF9" w:rsidRDefault="00D55AB9" w:rsidP="00D55AB9">
            <w:pPr>
              <w:pStyle w:val="TableText"/>
              <w:widowControl w:val="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A75DF9" w:rsidRDefault="00D55AB9" w:rsidP="00D55AB9">
            <w:pPr>
              <w:pStyle w:val="TableText"/>
              <w:widowControl w:val="0"/>
              <w:rPr>
                <w:rFonts w:ascii="Tahoma" w:hAnsi="Tahoma" w:cs="Tahoma"/>
                <w:sz w:val="13"/>
              </w:rPr>
            </w:pPr>
          </w:p>
        </w:tc>
        <w:tc>
          <w:tcPr>
            <w:tcW w:w="405" w:type="dxa"/>
            <w:tcBorders>
              <w:left w:val="single" w:sz="18" w:space="0" w:color="auto"/>
              <w:bottom w:val="single" w:sz="4" w:space="0" w:color="auto"/>
            </w:tcBorders>
            <w:shd w:val="clear" w:color="auto" w:fill="auto"/>
            <w:vAlign w:val="center"/>
          </w:tcPr>
          <w:p w:rsidR="00D55AB9" w:rsidRPr="00A75DF9" w:rsidRDefault="00D55AB9" w:rsidP="00D55AB9">
            <w:pPr>
              <w:pStyle w:val="TableText"/>
              <w:widowControl w:val="0"/>
              <w:rPr>
                <w:rFonts w:ascii="Tahoma" w:hAnsi="Tahoma" w:cs="Tahoma"/>
                <w:sz w:val="13"/>
              </w:rPr>
            </w:pPr>
          </w:p>
        </w:tc>
        <w:tc>
          <w:tcPr>
            <w:tcW w:w="288" w:type="dxa"/>
            <w:tcBorders>
              <w:bottom w:val="single" w:sz="4" w:space="0" w:color="auto"/>
            </w:tcBorders>
            <w:shd w:val="clear" w:color="auto" w:fill="auto"/>
            <w:vAlign w:val="center"/>
          </w:tcPr>
          <w:p w:rsidR="00D55AB9" w:rsidRPr="00A75DF9" w:rsidRDefault="00D55AB9" w:rsidP="00D55AB9">
            <w:pPr>
              <w:pStyle w:val="TableText"/>
              <w:widowControl w:val="0"/>
              <w:rPr>
                <w:rFonts w:ascii="Tahoma" w:hAnsi="Tahoma" w:cs="Tahoma"/>
                <w:sz w:val="13"/>
              </w:rPr>
            </w:pPr>
          </w:p>
        </w:tc>
        <w:tc>
          <w:tcPr>
            <w:tcW w:w="315" w:type="dxa"/>
            <w:tcBorders>
              <w:bottom w:val="single" w:sz="4" w:space="0" w:color="auto"/>
              <w:right w:val="single" w:sz="18" w:space="0" w:color="auto"/>
            </w:tcBorders>
            <w:shd w:val="clear" w:color="auto" w:fill="auto"/>
            <w:vAlign w:val="center"/>
          </w:tcPr>
          <w:p w:rsidR="00D55AB9" w:rsidRPr="00A75DF9" w:rsidRDefault="00D55AB9" w:rsidP="00D55AB9">
            <w:pPr>
              <w:pStyle w:val="TableText"/>
              <w:widowControl w:val="0"/>
              <w:rPr>
                <w:rFonts w:ascii="Tahoma" w:hAnsi="Tahoma" w:cs="Tahoma"/>
                <w:sz w:val="13"/>
              </w:rPr>
            </w:pPr>
          </w:p>
        </w:tc>
        <w:tc>
          <w:tcPr>
            <w:tcW w:w="477" w:type="dxa"/>
            <w:tcBorders>
              <w:left w:val="single" w:sz="18" w:space="0" w:color="auto"/>
              <w:bottom w:val="single" w:sz="4" w:space="0" w:color="auto"/>
            </w:tcBorders>
            <w:shd w:val="clear" w:color="auto" w:fill="auto"/>
            <w:vAlign w:val="center"/>
          </w:tcPr>
          <w:p w:rsidR="00D55AB9" w:rsidRPr="00A75DF9" w:rsidRDefault="00D55AB9" w:rsidP="00D55AB9">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auto"/>
            <w:vAlign w:val="center"/>
          </w:tcPr>
          <w:p w:rsidR="00D55AB9" w:rsidRPr="00A75DF9" w:rsidRDefault="00947901" w:rsidP="00D55AB9">
            <w:pPr>
              <w:pStyle w:val="TableText"/>
              <w:widowControl w:val="0"/>
              <w:rPr>
                <w:rFonts w:ascii="Tahoma" w:hAnsi="Tahoma" w:cs="Tahoma"/>
                <w:sz w:val="13"/>
              </w:rPr>
            </w:pPr>
            <w:r w:rsidRPr="00A75DF9">
              <w:rPr>
                <w:rFonts w:ascii="Tahoma" w:hAnsi="Tahoma" w:cs="Tahoma"/>
                <w:sz w:val="13"/>
              </w:rPr>
              <w:t xml:space="preserve">EOLS </w:t>
            </w:r>
          </w:p>
        </w:tc>
        <w:tc>
          <w:tcPr>
            <w:tcW w:w="378" w:type="dxa"/>
            <w:tcBorders>
              <w:left w:val="single" w:sz="18" w:space="0" w:color="auto"/>
              <w:bottom w:val="single" w:sz="4" w:space="0" w:color="auto"/>
              <w:right w:val="single" w:sz="18" w:space="0" w:color="auto"/>
            </w:tcBorders>
            <w:shd w:val="clear" w:color="auto" w:fill="auto"/>
            <w:vAlign w:val="center"/>
          </w:tcPr>
          <w:p w:rsidR="00D55AB9" w:rsidRPr="00A75DF9" w:rsidRDefault="00D55AB9" w:rsidP="00D55AB9">
            <w:pPr>
              <w:pStyle w:val="TableText"/>
              <w:widowControl w:val="0"/>
              <w:rPr>
                <w:rFonts w:ascii="Tahoma" w:hAnsi="Tahoma" w:cs="Tahoma"/>
                <w:sz w:val="13"/>
              </w:rPr>
            </w:pPr>
          </w:p>
        </w:tc>
        <w:tc>
          <w:tcPr>
            <w:tcW w:w="702" w:type="dxa"/>
            <w:tcBorders>
              <w:bottom w:val="single" w:sz="4" w:space="0" w:color="auto"/>
            </w:tcBorders>
            <w:shd w:val="clear" w:color="auto" w:fill="auto"/>
            <w:vAlign w:val="center"/>
          </w:tcPr>
          <w:p w:rsidR="00D55AB9" w:rsidRPr="00A75DF9" w:rsidRDefault="00D55AB9" w:rsidP="00D55AB9">
            <w:pPr>
              <w:pStyle w:val="TableText"/>
              <w:widowControl w:val="0"/>
              <w:rPr>
                <w:rFonts w:ascii="Tahoma" w:hAnsi="Tahoma" w:cs="Tahoma"/>
                <w:sz w:val="13"/>
              </w:rPr>
            </w:pPr>
          </w:p>
        </w:tc>
        <w:tc>
          <w:tcPr>
            <w:tcW w:w="650" w:type="dxa"/>
            <w:tcBorders>
              <w:bottom w:val="single" w:sz="4" w:space="0" w:color="auto"/>
            </w:tcBorders>
            <w:shd w:val="clear" w:color="auto" w:fill="auto"/>
            <w:vAlign w:val="center"/>
          </w:tcPr>
          <w:p w:rsidR="00D55AB9" w:rsidRPr="00A75DF9" w:rsidRDefault="00D55AB9" w:rsidP="00D55AB9">
            <w:pPr>
              <w:pStyle w:val="TableText"/>
              <w:widowControl w:val="0"/>
              <w:rPr>
                <w:rFonts w:ascii="Tahoma" w:hAnsi="Tahoma" w:cs="Tahoma"/>
                <w:sz w:val="13"/>
              </w:rPr>
            </w:pPr>
          </w:p>
        </w:tc>
      </w:tr>
      <w:tr w:rsidR="00A75DF9" w:rsidRPr="00A75DF9" w:rsidTr="00337A7D">
        <w:trPr>
          <w:cantSplit/>
          <w:trHeight w:val="287"/>
        </w:trPr>
        <w:tc>
          <w:tcPr>
            <w:tcW w:w="2634" w:type="dxa"/>
            <w:tcBorders>
              <w:bottom w:val="single" w:sz="4" w:space="0" w:color="auto"/>
            </w:tcBorders>
            <w:shd w:val="clear" w:color="auto" w:fill="FABF8F"/>
            <w:vAlign w:val="center"/>
          </w:tcPr>
          <w:p w:rsidR="00D55AB9" w:rsidRPr="00A75DF9" w:rsidRDefault="00D55AB9" w:rsidP="008B1245">
            <w:pPr>
              <w:pStyle w:val="Heading2"/>
              <w:spacing w:beforeLines="20" w:before="48" w:afterLines="20" w:after="48"/>
              <w:ind w:left="0"/>
              <w:rPr>
                <w:rFonts w:ascii="Tahoma" w:hAnsi="Tahoma" w:cs="Tahoma"/>
                <w:b w:val="0"/>
                <w:sz w:val="14"/>
              </w:rPr>
            </w:pPr>
            <w:bookmarkStart w:id="64" w:name="_Toc368309874"/>
            <w:r w:rsidRPr="00A75DF9">
              <w:rPr>
                <w:rFonts w:ascii="Tahoma" w:hAnsi="Tahoma" w:cs="Tahoma"/>
                <w:b w:val="0"/>
                <w:sz w:val="14"/>
              </w:rPr>
              <w:t>Diritti di Utilizzo Commerciale di Office Home and Student RT 2013</w:t>
            </w:r>
            <w:bookmarkEnd w:id="64"/>
          </w:p>
        </w:tc>
        <w:tc>
          <w:tcPr>
            <w:tcW w:w="427" w:type="dxa"/>
            <w:tcBorders>
              <w:bottom w:val="single" w:sz="4" w:space="0" w:color="auto"/>
            </w:tcBorders>
            <w:shd w:val="clear" w:color="auto" w:fill="FABF8F"/>
            <w:vAlign w:val="center"/>
          </w:tcPr>
          <w:p w:rsidR="00D55AB9" w:rsidRPr="00A75DF9" w:rsidRDefault="00D55AB9" w:rsidP="00D55AB9">
            <w:pPr>
              <w:pStyle w:val="TableText"/>
              <w:widowControl w:val="0"/>
              <w:rPr>
                <w:rFonts w:cs="Tahoma"/>
                <w:b/>
                <w:color w:val="0000FF"/>
                <w:sz w:val="13"/>
                <w:szCs w:val="13"/>
                <w:u w:val="single"/>
              </w:rPr>
            </w:pPr>
          </w:p>
        </w:tc>
        <w:tc>
          <w:tcPr>
            <w:tcW w:w="427" w:type="dxa"/>
            <w:tcBorders>
              <w:bottom w:val="single" w:sz="4" w:space="0" w:color="auto"/>
            </w:tcBorders>
            <w:shd w:val="clear" w:color="auto" w:fill="FABF8F"/>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12/12</w:t>
            </w:r>
          </w:p>
        </w:tc>
        <w:tc>
          <w:tcPr>
            <w:tcW w:w="429" w:type="dxa"/>
            <w:tcBorders>
              <w:bottom w:val="single" w:sz="4" w:space="0" w:color="auto"/>
              <w:right w:val="single" w:sz="18" w:space="0" w:color="auto"/>
            </w:tcBorders>
            <w:shd w:val="clear" w:color="auto" w:fill="FABF8F"/>
            <w:vAlign w:val="center"/>
          </w:tcPr>
          <w:p w:rsidR="00D55AB9" w:rsidRPr="00A75DF9" w:rsidRDefault="00D55AB9"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1</w:t>
            </w:r>
          </w:p>
        </w:tc>
        <w:tc>
          <w:tcPr>
            <w:tcW w:w="429" w:type="dxa"/>
            <w:tcBorders>
              <w:bottom w:val="single" w:sz="4" w:space="0" w:color="auto"/>
            </w:tcBorders>
            <w:shd w:val="clear" w:color="auto" w:fill="FABF8F"/>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3</w:t>
            </w:r>
          </w:p>
        </w:tc>
        <w:tc>
          <w:tcPr>
            <w:tcW w:w="429" w:type="dxa"/>
            <w:tcBorders>
              <w:bottom w:val="single" w:sz="4" w:space="0" w:color="auto"/>
            </w:tcBorders>
            <w:shd w:val="clear" w:color="auto" w:fill="FABF8F"/>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2</w:t>
            </w:r>
          </w:p>
        </w:tc>
        <w:tc>
          <w:tcPr>
            <w:tcW w:w="429" w:type="dxa"/>
            <w:tcBorders>
              <w:bottom w:val="single" w:sz="4" w:space="0" w:color="auto"/>
            </w:tcBorders>
            <w:shd w:val="clear" w:color="auto" w:fill="FABF8F"/>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2</w:t>
            </w:r>
          </w:p>
        </w:tc>
        <w:tc>
          <w:tcPr>
            <w:tcW w:w="429" w:type="dxa"/>
            <w:tcBorders>
              <w:bottom w:val="single" w:sz="4" w:space="0" w:color="auto"/>
            </w:tcBorders>
            <w:shd w:val="clear" w:color="auto" w:fill="FABF8F"/>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2</w:t>
            </w:r>
          </w:p>
        </w:tc>
        <w:tc>
          <w:tcPr>
            <w:tcW w:w="429" w:type="dxa"/>
            <w:tcBorders>
              <w:bottom w:val="single" w:sz="4" w:space="0" w:color="auto"/>
            </w:tcBorders>
            <w:shd w:val="clear" w:color="auto" w:fill="FABF8F"/>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1</w:t>
            </w:r>
          </w:p>
        </w:tc>
        <w:tc>
          <w:tcPr>
            <w:tcW w:w="405" w:type="dxa"/>
            <w:tcBorders>
              <w:left w:val="single" w:sz="18" w:space="0" w:color="auto"/>
              <w:bottom w:val="single" w:sz="4" w:space="0" w:color="auto"/>
            </w:tcBorders>
            <w:shd w:val="clear" w:color="auto" w:fill="FABF8F"/>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1</w:t>
            </w:r>
          </w:p>
        </w:tc>
        <w:tc>
          <w:tcPr>
            <w:tcW w:w="288" w:type="dxa"/>
            <w:tcBorders>
              <w:bottom w:val="single" w:sz="4" w:space="0" w:color="auto"/>
            </w:tcBorders>
            <w:shd w:val="clear" w:color="auto" w:fill="FABF8F"/>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2</w:t>
            </w:r>
          </w:p>
        </w:tc>
        <w:tc>
          <w:tcPr>
            <w:tcW w:w="315" w:type="dxa"/>
            <w:tcBorders>
              <w:bottom w:val="single" w:sz="4" w:space="0" w:color="auto"/>
              <w:right w:val="single" w:sz="18" w:space="0" w:color="auto"/>
            </w:tcBorders>
            <w:shd w:val="clear" w:color="auto" w:fill="FABF8F"/>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1</w:t>
            </w:r>
          </w:p>
        </w:tc>
        <w:tc>
          <w:tcPr>
            <w:tcW w:w="477" w:type="dxa"/>
            <w:tcBorders>
              <w:left w:val="single" w:sz="18" w:space="0" w:color="auto"/>
              <w:bottom w:val="single" w:sz="4" w:space="0" w:color="auto"/>
            </w:tcBorders>
            <w:shd w:val="clear" w:color="auto" w:fill="FABF8F"/>
            <w:vAlign w:val="center"/>
          </w:tcPr>
          <w:p w:rsidR="00D55AB9" w:rsidRPr="00A75DF9" w:rsidRDefault="00D55AB9" w:rsidP="00D55AB9">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D55AB9" w:rsidRPr="00A75DF9" w:rsidRDefault="00D55AB9" w:rsidP="00D55AB9">
            <w:pPr>
              <w:pStyle w:val="TableText"/>
              <w:widowControl w:val="0"/>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FABF8F"/>
            <w:vAlign w:val="center"/>
          </w:tcPr>
          <w:p w:rsidR="00D55AB9" w:rsidRPr="00A75DF9" w:rsidRDefault="00D55AB9" w:rsidP="00D55AB9">
            <w:pPr>
              <w:pStyle w:val="TableText"/>
              <w:widowControl w:val="0"/>
              <w:rPr>
                <w:rFonts w:ascii="Tahoma" w:hAnsi="Tahoma" w:cs="Tahoma"/>
                <w:sz w:val="13"/>
              </w:rPr>
            </w:pPr>
          </w:p>
        </w:tc>
        <w:tc>
          <w:tcPr>
            <w:tcW w:w="702" w:type="dxa"/>
            <w:tcBorders>
              <w:bottom w:val="single" w:sz="4" w:space="0" w:color="auto"/>
            </w:tcBorders>
            <w:shd w:val="clear" w:color="auto" w:fill="FABF8F"/>
            <w:vAlign w:val="center"/>
          </w:tcPr>
          <w:p w:rsidR="00D55AB9" w:rsidRPr="00A75DF9" w:rsidRDefault="00D55AB9" w:rsidP="00D55AB9">
            <w:pPr>
              <w:pStyle w:val="TableText"/>
              <w:widowControl w:val="0"/>
              <w:rPr>
                <w:rFonts w:ascii="Tahoma" w:hAnsi="Tahoma" w:cs="Tahoma"/>
                <w:sz w:val="13"/>
              </w:rPr>
            </w:pPr>
          </w:p>
        </w:tc>
        <w:tc>
          <w:tcPr>
            <w:tcW w:w="650" w:type="dxa"/>
            <w:tcBorders>
              <w:bottom w:val="single" w:sz="4" w:space="0" w:color="auto"/>
            </w:tcBorders>
            <w:shd w:val="clear" w:color="auto" w:fill="FABF8F"/>
            <w:vAlign w:val="center"/>
          </w:tcPr>
          <w:p w:rsidR="00D55AB9" w:rsidRPr="00A75DF9" w:rsidRDefault="00D55AB9" w:rsidP="00D55AB9">
            <w:pPr>
              <w:pStyle w:val="TableText"/>
              <w:widowControl w:val="0"/>
              <w:rPr>
                <w:rFonts w:ascii="Tahoma" w:hAnsi="Tahoma" w:cs="Tahoma"/>
                <w:sz w:val="13"/>
              </w:rPr>
            </w:pPr>
          </w:p>
        </w:tc>
      </w:tr>
      <w:tr w:rsidR="00A75DF9" w:rsidRPr="00A75DF9" w:rsidTr="00337A7D">
        <w:trPr>
          <w:cantSplit/>
          <w:trHeight w:val="287"/>
        </w:trPr>
        <w:tc>
          <w:tcPr>
            <w:tcW w:w="2634" w:type="dxa"/>
            <w:tcBorders>
              <w:bottom w:val="single" w:sz="4" w:space="0" w:color="auto"/>
            </w:tcBorders>
            <w:shd w:val="clear" w:color="auto" w:fill="auto"/>
            <w:vAlign w:val="center"/>
          </w:tcPr>
          <w:p w:rsidR="00D55AB9" w:rsidRPr="00A75DF9" w:rsidRDefault="00D55AB9" w:rsidP="008B1245">
            <w:pPr>
              <w:pStyle w:val="Heading2"/>
              <w:spacing w:beforeLines="20" w:before="48" w:afterLines="20" w:after="48"/>
              <w:ind w:left="0"/>
              <w:rPr>
                <w:rFonts w:ascii="Tahoma" w:hAnsi="Tahoma" w:cs="Tahoma"/>
                <w:b w:val="0"/>
                <w:sz w:val="14"/>
              </w:rPr>
            </w:pPr>
            <w:bookmarkStart w:id="65" w:name="_Toc336337865"/>
            <w:bookmarkStart w:id="66" w:name="_Toc368309875"/>
            <w:r w:rsidRPr="00A75DF9">
              <w:rPr>
                <w:rFonts w:ascii="Tahoma" w:hAnsi="Tahoma" w:cs="Tahoma"/>
                <w:b w:val="0"/>
                <w:sz w:val="14"/>
              </w:rPr>
              <w:t>Office per Mac Standard 2011</w:t>
            </w:r>
            <w:bookmarkEnd w:id="65"/>
            <w:bookmarkEnd w:id="66"/>
            <w:r w:rsidRPr="00A75DF9">
              <w:rPr>
                <w:rFonts w:ascii="Tahoma" w:hAnsi="Tahoma" w:cs="Tahoma"/>
                <w:b w:val="0"/>
                <w:sz w:val="14"/>
              </w:rPr>
              <w:t xml:space="preserve"> </w:t>
            </w:r>
          </w:p>
        </w:tc>
        <w:tc>
          <w:tcPr>
            <w:tcW w:w="427" w:type="dxa"/>
            <w:tcBorders>
              <w:bottom w:val="single" w:sz="4" w:space="0" w:color="auto"/>
            </w:tcBorders>
            <w:shd w:val="clear" w:color="auto" w:fill="auto"/>
            <w:vAlign w:val="center"/>
          </w:tcPr>
          <w:p w:rsidR="00D55AB9" w:rsidRPr="00A75DF9" w:rsidRDefault="00B54770" w:rsidP="00D55AB9">
            <w:pPr>
              <w:pStyle w:val="TableText"/>
              <w:widowControl w:val="0"/>
              <w:rPr>
                <w:rStyle w:val="EndnoteReference"/>
                <w:rFonts w:cs="Tahoma"/>
                <w:b w:val="0"/>
                <w:color w:val="0000FF"/>
                <w:sz w:val="13"/>
                <w:szCs w:val="13"/>
                <w:u w:val="single"/>
              </w:rPr>
            </w:pPr>
            <w:hyperlink w:anchor="_8_Office_for" w:history="1">
              <w:r w:rsidR="00734B17" w:rsidRPr="00A75DF9">
                <w:rPr>
                  <w:rStyle w:val="Hyperlink"/>
                  <w:rFonts w:cs="Tahoma"/>
                  <w:b/>
                  <w:sz w:val="13"/>
                  <w:szCs w:val="13"/>
                </w:rPr>
                <w:t>9</w:t>
              </w:r>
            </w:hyperlink>
            <w:hyperlink w:anchor="_76_Office_for" w:history="1"/>
          </w:p>
        </w:tc>
        <w:tc>
          <w:tcPr>
            <w:tcW w:w="427" w:type="dxa"/>
            <w:tcBorders>
              <w:bottom w:val="single" w:sz="4" w:space="0" w:color="auto"/>
            </w:tcBorders>
            <w:shd w:val="clear" w:color="auto" w:fill="auto"/>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2</w:t>
            </w:r>
          </w:p>
        </w:tc>
        <w:tc>
          <w:tcPr>
            <w:tcW w:w="429" w:type="dxa"/>
            <w:tcBorders>
              <w:bottom w:val="single" w:sz="4" w:space="0" w:color="auto"/>
            </w:tcBorders>
            <w:shd w:val="clear" w:color="auto" w:fill="auto"/>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5</w:t>
            </w:r>
          </w:p>
        </w:tc>
        <w:tc>
          <w:tcPr>
            <w:tcW w:w="429" w:type="dxa"/>
            <w:tcBorders>
              <w:bottom w:val="single" w:sz="4" w:space="0" w:color="auto"/>
            </w:tcBorders>
            <w:shd w:val="clear" w:color="auto" w:fill="auto"/>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4</w:t>
            </w:r>
          </w:p>
        </w:tc>
        <w:tc>
          <w:tcPr>
            <w:tcW w:w="429" w:type="dxa"/>
            <w:tcBorders>
              <w:bottom w:val="single" w:sz="4" w:space="0" w:color="auto"/>
            </w:tcBorders>
            <w:shd w:val="clear" w:color="auto" w:fill="auto"/>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3</w:t>
            </w:r>
          </w:p>
        </w:tc>
        <w:tc>
          <w:tcPr>
            <w:tcW w:w="429" w:type="dxa"/>
            <w:tcBorders>
              <w:bottom w:val="single" w:sz="4" w:space="0" w:color="auto"/>
            </w:tcBorders>
            <w:shd w:val="clear" w:color="auto" w:fill="auto"/>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3</w:t>
            </w:r>
          </w:p>
        </w:tc>
        <w:tc>
          <w:tcPr>
            <w:tcW w:w="429" w:type="dxa"/>
            <w:tcBorders>
              <w:bottom w:val="single" w:sz="4" w:space="0" w:color="auto"/>
            </w:tcBorders>
            <w:shd w:val="clear" w:color="auto" w:fill="auto"/>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1</w:t>
            </w:r>
          </w:p>
        </w:tc>
        <w:tc>
          <w:tcPr>
            <w:tcW w:w="405" w:type="dxa"/>
            <w:tcBorders>
              <w:left w:val="single" w:sz="18" w:space="0" w:color="auto"/>
              <w:bottom w:val="single" w:sz="4" w:space="0" w:color="auto"/>
            </w:tcBorders>
            <w:shd w:val="clear" w:color="auto" w:fill="auto"/>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2</w:t>
            </w:r>
          </w:p>
        </w:tc>
        <w:tc>
          <w:tcPr>
            <w:tcW w:w="288" w:type="dxa"/>
            <w:tcBorders>
              <w:bottom w:val="single" w:sz="4" w:space="0" w:color="auto"/>
            </w:tcBorders>
            <w:shd w:val="clear" w:color="auto" w:fill="auto"/>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4</w:t>
            </w:r>
          </w:p>
        </w:tc>
        <w:tc>
          <w:tcPr>
            <w:tcW w:w="315" w:type="dxa"/>
            <w:tcBorders>
              <w:bottom w:val="single" w:sz="4" w:space="0" w:color="auto"/>
              <w:right w:val="single" w:sz="18" w:space="0" w:color="auto"/>
            </w:tcBorders>
            <w:shd w:val="clear" w:color="auto" w:fill="auto"/>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2</w:t>
            </w:r>
          </w:p>
        </w:tc>
        <w:tc>
          <w:tcPr>
            <w:tcW w:w="477" w:type="dxa"/>
            <w:tcBorders>
              <w:left w:val="single" w:sz="18" w:space="0" w:color="auto"/>
              <w:bottom w:val="single" w:sz="4" w:space="0" w:color="auto"/>
            </w:tcBorders>
            <w:shd w:val="clear" w:color="auto" w:fill="auto"/>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1</w:t>
            </w:r>
          </w:p>
        </w:tc>
        <w:tc>
          <w:tcPr>
            <w:tcW w:w="396" w:type="dxa"/>
            <w:tcBorders>
              <w:bottom w:val="single" w:sz="4" w:space="0" w:color="auto"/>
              <w:right w:val="single" w:sz="18" w:space="0" w:color="auto"/>
            </w:tcBorders>
            <w:shd w:val="clear" w:color="auto" w:fill="auto"/>
            <w:vAlign w:val="center"/>
          </w:tcPr>
          <w:p w:rsidR="00D55AB9" w:rsidRPr="00A75DF9" w:rsidRDefault="00D55AB9" w:rsidP="00D55AB9">
            <w:pPr>
              <w:pStyle w:val="TableText"/>
              <w:widowControl w:val="0"/>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auto"/>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P</w:t>
            </w:r>
          </w:p>
        </w:tc>
        <w:tc>
          <w:tcPr>
            <w:tcW w:w="702" w:type="dxa"/>
            <w:tcBorders>
              <w:bottom w:val="single" w:sz="4" w:space="0" w:color="auto"/>
            </w:tcBorders>
            <w:shd w:val="clear" w:color="auto" w:fill="auto"/>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E</w:t>
            </w:r>
          </w:p>
        </w:tc>
        <w:tc>
          <w:tcPr>
            <w:tcW w:w="650" w:type="dxa"/>
            <w:tcBorders>
              <w:bottom w:val="single" w:sz="4" w:space="0" w:color="auto"/>
            </w:tcBorders>
            <w:shd w:val="clear" w:color="auto" w:fill="auto"/>
            <w:vAlign w:val="center"/>
          </w:tcPr>
          <w:p w:rsidR="00D55AB9" w:rsidRPr="00A75DF9" w:rsidRDefault="00D55AB9" w:rsidP="00D55AB9">
            <w:pPr>
              <w:pStyle w:val="TableText"/>
              <w:widowControl w:val="0"/>
              <w:rPr>
                <w:rFonts w:ascii="Tahoma" w:hAnsi="Tahoma" w:cs="Tahoma"/>
                <w:sz w:val="13"/>
              </w:rPr>
            </w:pPr>
          </w:p>
        </w:tc>
      </w:tr>
      <w:tr w:rsidR="00A75DF9" w:rsidRPr="00A75DF9" w:rsidTr="00337A7D">
        <w:trPr>
          <w:cantSplit/>
          <w:trHeight w:val="287"/>
        </w:trPr>
        <w:tc>
          <w:tcPr>
            <w:tcW w:w="2634" w:type="dxa"/>
            <w:tcBorders>
              <w:bottom w:val="single" w:sz="4" w:space="0" w:color="auto"/>
            </w:tcBorders>
            <w:shd w:val="clear" w:color="auto" w:fill="FABF8F"/>
            <w:vAlign w:val="center"/>
          </w:tcPr>
          <w:p w:rsidR="00D55AB9" w:rsidRPr="00A75DF9" w:rsidRDefault="00D55AB9" w:rsidP="008B1245">
            <w:pPr>
              <w:pStyle w:val="Heading2"/>
              <w:spacing w:beforeLines="20" w:before="48" w:afterLines="20" w:after="48"/>
              <w:ind w:left="0"/>
              <w:rPr>
                <w:rFonts w:ascii="Tahoma" w:hAnsi="Tahoma" w:cs="Tahoma"/>
                <w:b w:val="0"/>
                <w:sz w:val="14"/>
              </w:rPr>
            </w:pPr>
            <w:bookmarkStart w:id="67" w:name="_Office_Multi-Language_Pack"/>
            <w:bookmarkStart w:id="68" w:name="_Toc336337866"/>
            <w:bookmarkStart w:id="69" w:name="_Toc368309876"/>
            <w:bookmarkEnd w:id="67"/>
            <w:r w:rsidRPr="00A75DF9">
              <w:rPr>
                <w:rFonts w:ascii="Tahoma" w:hAnsi="Tahoma" w:cs="Tahoma"/>
                <w:b w:val="0"/>
                <w:sz w:val="14"/>
              </w:rPr>
              <w:t xml:space="preserve">Office Multi-Language Pack </w:t>
            </w:r>
            <w:bookmarkEnd w:id="68"/>
            <w:r w:rsidRPr="00A75DF9">
              <w:rPr>
                <w:rFonts w:ascii="Tahoma" w:hAnsi="Tahoma" w:cs="Tahoma"/>
                <w:b w:val="0"/>
                <w:sz w:val="14"/>
              </w:rPr>
              <w:t>2013</w:t>
            </w:r>
            <w:bookmarkEnd w:id="69"/>
          </w:p>
        </w:tc>
        <w:tc>
          <w:tcPr>
            <w:tcW w:w="427" w:type="dxa"/>
            <w:tcBorders>
              <w:bottom w:val="single" w:sz="4" w:space="0" w:color="auto"/>
            </w:tcBorders>
            <w:shd w:val="clear" w:color="auto" w:fill="FABF8F"/>
            <w:vAlign w:val="center"/>
          </w:tcPr>
          <w:p w:rsidR="00D55AB9" w:rsidRPr="00A75DF9" w:rsidRDefault="00B54770" w:rsidP="00D55AB9">
            <w:pPr>
              <w:pStyle w:val="TableText"/>
              <w:widowControl w:val="0"/>
              <w:rPr>
                <w:rStyle w:val="EndnoteReference"/>
                <w:rFonts w:cs="Tahoma"/>
                <w:b w:val="0"/>
                <w:color w:val="0000FF"/>
                <w:sz w:val="13"/>
                <w:szCs w:val="13"/>
                <w:u w:val="single"/>
              </w:rPr>
            </w:pPr>
            <w:hyperlink w:anchor="_9_Office_Multi-Language" w:history="1">
              <w:r w:rsidR="00734B17" w:rsidRPr="00A75DF9">
                <w:rPr>
                  <w:rStyle w:val="Hyperlink"/>
                  <w:rFonts w:cs="Tahoma"/>
                  <w:b/>
                  <w:sz w:val="13"/>
                  <w:szCs w:val="13"/>
                </w:rPr>
                <w:t>10</w:t>
              </w:r>
            </w:hyperlink>
            <w:hyperlink w:anchor="_87_Office_Multi-Language" w:history="1"/>
          </w:p>
        </w:tc>
        <w:tc>
          <w:tcPr>
            <w:tcW w:w="427" w:type="dxa"/>
            <w:tcBorders>
              <w:bottom w:val="single" w:sz="4" w:space="0" w:color="auto"/>
            </w:tcBorders>
            <w:shd w:val="clear" w:color="auto" w:fill="FABF8F"/>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D55AB9" w:rsidRPr="00A75DF9" w:rsidRDefault="00D55AB9" w:rsidP="00D55AB9">
            <w:pPr>
              <w:pStyle w:val="TableText"/>
              <w:widowControl w:val="0"/>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1</w:t>
            </w:r>
          </w:p>
        </w:tc>
        <w:tc>
          <w:tcPr>
            <w:tcW w:w="429" w:type="dxa"/>
            <w:tcBorders>
              <w:bottom w:val="single" w:sz="4" w:space="0" w:color="auto"/>
            </w:tcBorders>
            <w:shd w:val="clear" w:color="auto" w:fill="FABF8F"/>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3</w:t>
            </w:r>
          </w:p>
        </w:tc>
        <w:tc>
          <w:tcPr>
            <w:tcW w:w="429" w:type="dxa"/>
            <w:tcBorders>
              <w:bottom w:val="single" w:sz="4" w:space="0" w:color="auto"/>
            </w:tcBorders>
            <w:shd w:val="clear" w:color="auto" w:fill="FABF8F"/>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2</w:t>
            </w:r>
          </w:p>
        </w:tc>
        <w:tc>
          <w:tcPr>
            <w:tcW w:w="429" w:type="dxa"/>
            <w:tcBorders>
              <w:bottom w:val="single" w:sz="4" w:space="0" w:color="auto"/>
            </w:tcBorders>
            <w:shd w:val="clear" w:color="auto" w:fill="FABF8F"/>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2</w:t>
            </w:r>
          </w:p>
        </w:tc>
        <w:tc>
          <w:tcPr>
            <w:tcW w:w="429" w:type="dxa"/>
            <w:tcBorders>
              <w:bottom w:val="single" w:sz="4" w:space="0" w:color="auto"/>
            </w:tcBorders>
            <w:shd w:val="clear" w:color="auto" w:fill="FABF8F"/>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2</w:t>
            </w:r>
          </w:p>
        </w:tc>
        <w:tc>
          <w:tcPr>
            <w:tcW w:w="429" w:type="dxa"/>
            <w:tcBorders>
              <w:bottom w:val="single" w:sz="4" w:space="0" w:color="auto"/>
            </w:tcBorders>
            <w:shd w:val="clear" w:color="auto" w:fill="FABF8F"/>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1</w:t>
            </w:r>
          </w:p>
        </w:tc>
        <w:tc>
          <w:tcPr>
            <w:tcW w:w="405" w:type="dxa"/>
            <w:tcBorders>
              <w:left w:val="single" w:sz="18" w:space="0" w:color="auto"/>
              <w:bottom w:val="single" w:sz="4" w:space="0" w:color="auto"/>
            </w:tcBorders>
            <w:shd w:val="clear" w:color="auto" w:fill="FABF8F"/>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1</w:t>
            </w:r>
          </w:p>
        </w:tc>
        <w:tc>
          <w:tcPr>
            <w:tcW w:w="288" w:type="dxa"/>
            <w:tcBorders>
              <w:bottom w:val="single" w:sz="4" w:space="0" w:color="auto"/>
            </w:tcBorders>
            <w:shd w:val="clear" w:color="auto" w:fill="FABF8F"/>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2</w:t>
            </w:r>
          </w:p>
        </w:tc>
        <w:tc>
          <w:tcPr>
            <w:tcW w:w="315" w:type="dxa"/>
            <w:tcBorders>
              <w:bottom w:val="single" w:sz="4" w:space="0" w:color="auto"/>
              <w:right w:val="single" w:sz="18" w:space="0" w:color="auto"/>
            </w:tcBorders>
            <w:shd w:val="clear" w:color="auto" w:fill="FABF8F"/>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1</w:t>
            </w:r>
          </w:p>
        </w:tc>
        <w:tc>
          <w:tcPr>
            <w:tcW w:w="477" w:type="dxa"/>
            <w:tcBorders>
              <w:left w:val="single" w:sz="18" w:space="0" w:color="auto"/>
              <w:bottom w:val="single" w:sz="4" w:space="0" w:color="auto"/>
            </w:tcBorders>
            <w:shd w:val="clear" w:color="auto" w:fill="FABF8F"/>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1</w:t>
            </w:r>
          </w:p>
        </w:tc>
        <w:tc>
          <w:tcPr>
            <w:tcW w:w="396" w:type="dxa"/>
            <w:tcBorders>
              <w:bottom w:val="single" w:sz="4" w:space="0" w:color="auto"/>
              <w:right w:val="single" w:sz="18" w:space="0" w:color="auto"/>
            </w:tcBorders>
            <w:shd w:val="clear" w:color="auto" w:fill="FABF8F"/>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A</w:t>
            </w:r>
          </w:p>
        </w:tc>
        <w:tc>
          <w:tcPr>
            <w:tcW w:w="378" w:type="dxa"/>
            <w:tcBorders>
              <w:left w:val="single" w:sz="18" w:space="0" w:color="auto"/>
              <w:bottom w:val="single" w:sz="4" w:space="0" w:color="auto"/>
              <w:right w:val="single" w:sz="18" w:space="0" w:color="auto"/>
            </w:tcBorders>
            <w:shd w:val="clear" w:color="auto" w:fill="FABF8F"/>
            <w:vAlign w:val="center"/>
          </w:tcPr>
          <w:p w:rsidR="00D55AB9" w:rsidRPr="00A75DF9" w:rsidRDefault="00D55AB9" w:rsidP="00D55AB9">
            <w:pPr>
              <w:pStyle w:val="TableText"/>
              <w:widowControl w:val="0"/>
              <w:rPr>
                <w:rFonts w:ascii="Tahoma" w:hAnsi="Tahoma" w:cs="Tahoma"/>
                <w:sz w:val="13"/>
              </w:rPr>
            </w:pPr>
          </w:p>
        </w:tc>
        <w:tc>
          <w:tcPr>
            <w:tcW w:w="702" w:type="dxa"/>
            <w:tcBorders>
              <w:bottom w:val="single" w:sz="4" w:space="0" w:color="auto"/>
            </w:tcBorders>
            <w:shd w:val="clear" w:color="auto" w:fill="FABF8F"/>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A</w:t>
            </w:r>
          </w:p>
        </w:tc>
        <w:tc>
          <w:tcPr>
            <w:tcW w:w="650" w:type="dxa"/>
            <w:tcBorders>
              <w:bottom w:val="single" w:sz="4" w:space="0" w:color="auto"/>
            </w:tcBorders>
            <w:shd w:val="clear" w:color="auto" w:fill="FABF8F"/>
            <w:vAlign w:val="center"/>
          </w:tcPr>
          <w:p w:rsidR="00D55AB9" w:rsidRPr="00A75DF9" w:rsidRDefault="00D55AB9" w:rsidP="00D55AB9">
            <w:pPr>
              <w:pStyle w:val="TableText"/>
              <w:widowControl w:val="0"/>
              <w:rPr>
                <w:rFonts w:ascii="Tahoma" w:hAnsi="Tahoma" w:cs="Tahoma"/>
                <w:sz w:val="13"/>
              </w:rPr>
            </w:pPr>
          </w:p>
        </w:tc>
      </w:tr>
      <w:tr w:rsidR="00A75DF9" w:rsidRPr="00A75DF9" w:rsidTr="00337A7D">
        <w:trPr>
          <w:cantSplit/>
          <w:trHeight w:val="422"/>
        </w:trPr>
        <w:tc>
          <w:tcPr>
            <w:tcW w:w="2634" w:type="dxa"/>
            <w:tcBorders>
              <w:bottom w:val="single" w:sz="4" w:space="0" w:color="auto"/>
            </w:tcBorders>
            <w:shd w:val="clear" w:color="auto" w:fill="auto"/>
            <w:vAlign w:val="center"/>
          </w:tcPr>
          <w:p w:rsidR="00D55AB9" w:rsidRPr="00A75DF9" w:rsidRDefault="00D55AB9" w:rsidP="008B1245">
            <w:pPr>
              <w:pStyle w:val="ProductNames"/>
              <w:spacing w:beforeLines="20" w:before="48" w:afterLines="20" w:after="48"/>
              <w:rPr>
                <w:rFonts w:ascii="Tahoma" w:hAnsi="Tahoma" w:cs="Tahoma"/>
                <w:sz w:val="14"/>
              </w:rPr>
            </w:pPr>
            <w:bookmarkStart w:id="70" w:name="_Toc336337867"/>
            <w:bookmarkStart w:id="71" w:name="_Toc368309877"/>
            <w:r w:rsidRPr="00A75DF9">
              <w:rPr>
                <w:rFonts w:ascii="Tahoma" w:hAnsi="Tahoma" w:cs="Tahoma"/>
                <w:sz w:val="14"/>
              </w:rPr>
              <w:t xml:space="preserve">Office Professional Plus </w:t>
            </w:r>
            <w:bookmarkEnd w:id="70"/>
            <w:r w:rsidRPr="00A75DF9">
              <w:rPr>
                <w:rFonts w:ascii="Tahoma" w:hAnsi="Tahoma" w:cs="Tahoma"/>
                <w:sz w:val="14"/>
              </w:rPr>
              <w:t>2013</w:t>
            </w:r>
            <w:bookmarkEnd w:id="71"/>
          </w:p>
        </w:tc>
        <w:tc>
          <w:tcPr>
            <w:tcW w:w="427" w:type="dxa"/>
            <w:tcBorders>
              <w:bottom w:val="single" w:sz="4" w:space="0" w:color="auto"/>
            </w:tcBorders>
            <w:shd w:val="clear" w:color="auto" w:fill="auto"/>
            <w:vAlign w:val="center"/>
          </w:tcPr>
          <w:p w:rsidR="00D55AB9" w:rsidRPr="00A75DF9" w:rsidRDefault="00B54770" w:rsidP="00D55AB9">
            <w:pPr>
              <w:pStyle w:val="TableText"/>
              <w:widowControl w:val="0"/>
              <w:rPr>
                <w:rStyle w:val="EndnoteReference"/>
                <w:rFonts w:cs="Tahoma"/>
                <w:b w:val="0"/>
                <w:color w:val="0000FF"/>
                <w:sz w:val="13"/>
                <w:szCs w:val="13"/>
                <w:u w:val="single"/>
              </w:rPr>
            </w:pPr>
            <w:hyperlink w:anchor="_10_Office_Professional" w:history="1">
              <w:r w:rsidR="00734B17" w:rsidRPr="00A75DF9">
                <w:rPr>
                  <w:rStyle w:val="Hyperlink"/>
                  <w:rFonts w:cs="Tahoma"/>
                  <w:b/>
                  <w:sz w:val="13"/>
                  <w:szCs w:val="13"/>
                </w:rPr>
                <w:t>11</w:t>
              </w:r>
            </w:hyperlink>
            <w:hyperlink w:anchor="_98_Office_Professional" w:history="1"/>
          </w:p>
        </w:tc>
        <w:tc>
          <w:tcPr>
            <w:tcW w:w="427" w:type="dxa"/>
            <w:tcBorders>
              <w:bottom w:val="single" w:sz="4" w:space="0" w:color="auto"/>
            </w:tcBorders>
            <w:shd w:val="clear" w:color="auto" w:fill="auto"/>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2</w:t>
            </w:r>
          </w:p>
        </w:tc>
        <w:tc>
          <w:tcPr>
            <w:tcW w:w="429" w:type="dxa"/>
            <w:tcBorders>
              <w:bottom w:val="single" w:sz="4" w:space="0" w:color="auto"/>
            </w:tcBorders>
            <w:shd w:val="clear" w:color="auto" w:fill="auto"/>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5</w:t>
            </w:r>
          </w:p>
        </w:tc>
        <w:tc>
          <w:tcPr>
            <w:tcW w:w="429" w:type="dxa"/>
            <w:tcBorders>
              <w:bottom w:val="single" w:sz="4" w:space="0" w:color="auto"/>
            </w:tcBorders>
            <w:shd w:val="clear" w:color="auto" w:fill="auto"/>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4</w:t>
            </w:r>
          </w:p>
        </w:tc>
        <w:tc>
          <w:tcPr>
            <w:tcW w:w="429" w:type="dxa"/>
            <w:tcBorders>
              <w:bottom w:val="single" w:sz="4" w:space="0" w:color="auto"/>
            </w:tcBorders>
            <w:shd w:val="clear" w:color="auto" w:fill="auto"/>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3</w:t>
            </w:r>
          </w:p>
        </w:tc>
        <w:tc>
          <w:tcPr>
            <w:tcW w:w="429" w:type="dxa"/>
            <w:tcBorders>
              <w:bottom w:val="single" w:sz="4" w:space="0" w:color="auto"/>
            </w:tcBorders>
            <w:shd w:val="clear" w:color="auto" w:fill="auto"/>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3</w:t>
            </w:r>
          </w:p>
        </w:tc>
        <w:tc>
          <w:tcPr>
            <w:tcW w:w="429" w:type="dxa"/>
            <w:tcBorders>
              <w:bottom w:val="single" w:sz="4" w:space="0" w:color="auto"/>
            </w:tcBorders>
            <w:shd w:val="clear" w:color="auto" w:fill="auto"/>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1</w:t>
            </w:r>
          </w:p>
        </w:tc>
        <w:tc>
          <w:tcPr>
            <w:tcW w:w="405" w:type="dxa"/>
            <w:tcBorders>
              <w:left w:val="single" w:sz="18" w:space="0" w:color="auto"/>
              <w:bottom w:val="single" w:sz="4" w:space="0" w:color="auto"/>
            </w:tcBorders>
            <w:shd w:val="clear" w:color="auto" w:fill="auto"/>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2</w:t>
            </w:r>
          </w:p>
        </w:tc>
        <w:tc>
          <w:tcPr>
            <w:tcW w:w="288" w:type="dxa"/>
            <w:tcBorders>
              <w:bottom w:val="single" w:sz="4" w:space="0" w:color="auto"/>
            </w:tcBorders>
            <w:shd w:val="clear" w:color="auto" w:fill="auto"/>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4</w:t>
            </w:r>
          </w:p>
        </w:tc>
        <w:tc>
          <w:tcPr>
            <w:tcW w:w="315" w:type="dxa"/>
            <w:tcBorders>
              <w:bottom w:val="single" w:sz="4" w:space="0" w:color="auto"/>
              <w:right w:val="single" w:sz="18" w:space="0" w:color="auto"/>
            </w:tcBorders>
            <w:shd w:val="clear" w:color="auto" w:fill="auto"/>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2</w:t>
            </w:r>
          </w:p>
        </w:tc>
        <w:tc>
          <w:tcPr>
            <w:tcW w:w="477" w:type="dxa"/>
            <w:tcBorders>
              <w:left w:val="single" w:sz="18" w:space="0" w:color="auto"/>
              <w:bottom w:val="single" w:sz="4" w:space="0" w:color="auto"/>
            </w:tcBorders>
            <w:shd w:val="clear" w:color="auto" w:fill="auto"/>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1</w:t>
            </w:r>
          </w:p>
        </w:tc>
        <w:tc>
          <w:tcPr>
            <w:tcW w:w="396" w:type="dxa"/>
            <w:tcBorders>
              <w:bottom w:val="single" w:sz="4" w:space="0" w:color="auto"/>
              <w:right w:val="single" w:sz="18" w:space="0" w:color="auto"/>
            </w:tcBorders>
            <w:shd w:val="clear" w:color="auto" w:fill="auto"/>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E</w:t>
            </w:r>
          </w:p>
        </w:tc>
        <w:tc>
          <w:tcPr>
            <w:tcW w:w="378" w:type="dxa"/>
            <w:tcBorders>
              <w:left w:val="single" w:sz="18" w:space="0" w:color="auto"/>
              <w:bottom w:val="single" w:sz="4" w:space="0" w:color="auto"/>
              <w:right w:val="single" w:sz="18" w:space="0" w:color="auto"/>
            </w:tcBorders>
            <w:shd w:val="clear" w:color="auto" w:fill="auto"/>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E, P</w:t>
            </w:r>
          </w:p>
        </w:tc>
        <w:tc>
          <w:tcPr>
            <w:tcW w:w="702" w:type="dxa"/>
            <w:tcBorders>
              <w:bottom w:val="single" w:sz="4" w:space="0" w:color="auto"/>
            </w:tcBorders>
            <w:shd w:val="clear" w:color="auto" w:fill="auto"/>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E, ST</w:t>
            </w:r>
          </w:p>
        </w:tc>
        <w:tc>
          <w:tcPr>
            <w:tcW w:w="650" w:type="dxa"/>
            <w:tcBorders>
              <w:bottom w:val="single" w:sz="4" w:space="0" w:color="auto"/>
            </w:tcBorders>
            <w:shd w:val="clear" w:color="auto" w:fill="auto"/>
            <w:vAlign w:val="center"/>
          </w:tcPr>
          <w:p w:rsidR="00D55AB9" w:rsidRPr="00A75DF9" w:rsidRDefault="00D55AB9" w:rsidP="00D55AB9">
            <w:pPr>
              <w:pStyle w:val="TableText"/>
              <w:widowControl w:val="0"/>
              <w:rPr>
                <w:rFonts w:ascii="Tahoma" w:hAnsi="Tahoma" w:cs="Tahoma"/>
                <w:sz w:val="13"/>
              </w:rPr>
            </w:pPr>
          </w:p>
        </w:tc>
      </w:tr>
      <w:tr w:rsidR="00A75DF9" w:rsidRPr="00A75DF9" w:rsidTr="00337A7D">
        <w:trPr>
          <w:cantSplit/>
          <w:trHeight w:val="278"/>
        </w:trPr>
        <w:tc>
          <w:tcPr>
            <w:tcW w:w="2634" w:type="dxa"/>
            <w:tcBorders>
              <w:bottom w:val="single" w:sz="4" w:space="0" w:color="auto"/>
            </w:tcBorders>
            <w:shd w:val="clear" w:color="auto" w:fill="FABF8F"/>
            <w:vAlign w:val="center"/>
          </w:tcPr>
          <w:p w:rsidR="00D55AB9" w:rsidRPr="00A75DF9" w:rsidRDefault="00D55AB9" w:rsidP="008B1245">
            <w:pPr>
              <w:pStyle w:val="Heading3"/>
              <w:spacing w:beforeLines="20" w:before="48" w:afterLines="20" w:after="48"/>
              <w:rPr>
                <w:rFonts w:ascii="Tahoma" w:hAnsi="Tahoma" w:cs="Tahoma"/>
                <w:b w:val="0"/>
                <w:sz w:val="14"/>
              </w:rPr>
            </w:pPr>
            <w:bookmarkStart w:id="72" w:name="_Toc336337868"/>
            <w:bookmarkStart w:id="73" w:name="_Toc368309878"/>
            <w:r w:rsidRPr="00A75DF9">
              <w:rPr>
                <w:rFonts w:ascii="Tahoma" w:hAnsi="Tahoma" w:cs="Tahoma"/>
                <w:b w:val="0"/>
                <w:sz w:val="14"/>
              </w:rPr>
              <w:t xml:space="preserve">Office Standard </w:t>
            </w:r>
            <w:bookmarkEnd w:id="72"/>
            <w:r w:rsidRPr="00A75DF9">
              <w:rPr>
                <w:rFonts w:ascii="Tahoma" w:hAnsi="Tahoma" w:cs="Tahoma"/>
                <w:b w:val="0"/>
                <w:sz w:val="14"/>
              </w:rPr>
              <w:t>2013</w:t>
            </w:r>
            <w:bookmarkEnd w:id="73"/>
            <w:r w:rsidRPr="00A75DF9">
              <w:rPr>
                <w:rFonts w:ascii="Tahoma" w:hAnsi="Tahoma" w:cs="Tahoma"/>
                <w:b w:val="0"/>
                <w:sz w:val="14"/>
              </w:rPr>
              <w:t xml:space="preserve"> </w:t>
            </w:r>
          </w:p>
        </w:tc>
        <w:tc>
          <w:tcPr>
            <w:tcW w:w="427" w:type="dxa"/>
            <w:tcBorders>
              <w:bottom w:val="single" w:sz="4" w:space="0" w:color="auto"/>
            </w:tcBorders>
            <w:shd w:val="clear" w:color="auto" w:fill="FABF8F"/>
            <w:vAlign w:val="center"/>
          </w:tcPr>
          <w:p w:rsidR="00D55AB9" w:rsidRPr="00A75DF9" w:rsidRDefault="00B54770" w:rsidP="00D55AB9">
            <w:pPr>
              <w:pStyle w:val="TableText"/>
              <w:widowControl w:val="0"/>
              <w:rPr>
                <w:rStyle w:val="EndnoteReference"/>
                <w:rFonts w:cs="Tahoma"/>
                <w:b w:val="0"/>
                <w:color w:val="0000FF"/>
                <w:sz w:val="13"/>
                <w:szCs w:val="13"/>
                <w:u w:val="single"/>
              </w:rPr>
            </w:pPr>
            <w:hyperlink w:anchor="_11_Office_Standard" w:history="1">
              <w:r w:rsidR="00734B17" w:rsidRPr="00A75DF9">
                <w:rPr>
                  <w:rStyle w:val="Hyperlink"/>
                  <w:rFonts w:cs="Tahoma"/>
                  <w:b/>
                  <w:sz w:val="13"/>
                  <w:szCs w:val="13"/>
                </w:rPr>
                <w:t>12</w:t>
              </w:r>
            </w:hyperlink>
            <w:hyperlink w:anchor="_109_Office_Standard" w:history="1"/>
          </w:p>
        </w:tc>
        <w:tc>
          <w:tcPr>
            <w:tcW w:w="427" w:type="dxa"/>
            <w:tcBorders>
              <w:bottom w:val="single" w:sz="4" w:space="0" w:color="auto"/>
            </w:tcBorders>
            <w:shd w:val="clear" w:color="auto" w:fill="FABF8F"/>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D55AB9" w:rsidRPr="00A75DF9" w:rsidRDefault="00D55AB9" w:rsidP="00D55AB9">
            <w:pPr>
              <w:pStyle w:val="TableText"/>
              <w:widowControl w:val="0"/>
              <w:rPr>
                <w:rFonts w:ascii="Tahoma" w:hAnsi="Tahoma" w:cs="Tahoma"/>
                <w:b/>
                <w:sz w:val="13"/>
              </w:rPr>
            </w:pPr>
            <w:r w:rsidRPr="00A75DF9">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2</w:t>
            </w:r>
          </w:p>
        </w:tc>
        <w:tc>
          <w:tcPr>
            <w:tcW w:w="429" w:type="dxa"/>
            <w:tcBorders>
              <w:bottom w:val="single" w:sz="4" w:space="0" w:color="auto"/>
            </w:tcBorders>
            <w:shd w:val="clear" w:color="auto" w:fill="FABF8F"/>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5</w:t>
            </w:r>
          </w:p>
        </w:tc>
        <w:tc>
          <w:tcPr>
            <w:tcW w:w="429" w:type="dxa"/>
            <w:tcBorders>
              <w:bottom w:val="single" w:sz="4" w:space="0" w:color="auto"/>
            </w:tcBorders>
            <w:shd w:val="clear" w:color="auto" w:fill="FABF8F"/>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4</w:t>
            </w:r>
          </w:p>
        </w:tc>
        <w:tc>
          <w:tcPr>
            <w:tcW w:w="429" w:type="dxa"/>
            <w:tcBorders>
              <w:bottom w:val="single" w:sz="4" w:space="0" w:color="auto"/>
            </w:tcBorders>
            <w:shd w:val="clear" w:color="auto" w:fill="FABF8F"/>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3</w:t>
            </w:r>
          </w:p>
        </w:tc>
        <w:tc>
          <w:tcPr>
            <w:tcW w:w="429" w:type="dxa"/>
            <w:tcBorders>
              <w:bottom w:val="single" w:sz="4" w:space="0" w:color="auto"/>
            </w:tcBorders>
            <w:shd w:val="clear" w:color="auto" w:fill="FABF8F"/>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3</w:t>
            </w:r>
          </w:p>
        </w:tc>
        <w:tc>
          <w:tcPr>
            <w:tcW w:w="429" w:type="dxa"/>
            <w:tcBorders>
              <w:bottom w:val="single" w:sz="4" w:space="0" w:color="auto"/>
            </w:tcBorders>
            <w:shd w:val="clear" w:color="auto" w:fill="FABF8F"/>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2</w:t>
            </w:r>
          </w:p>
        </w:tc>
        <w:tc>
          <w:tcPr>
            <w:tcW w:w="429" w:type="dxa"/>
            <w:tcBorders>
              <w:bottom w:val="single" w:sz="4" w:space="0" w:color="auto"/>
              <w:right w:val="single" w:sz="18" w:space="0" w:color="auto"/>
            </w:tcBorders>
            <w:shd w:val="clear" w:color="auto" w:fill="FABF8F"/>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1</w:t>
            </w:r>
          </w:p>
        </w:tc>
        <w:tc>
          <w:tcPr>
            <w:tcW w:w="405" w:type="dxa"/>
            <w:tcBorders>
              <w:left w:val="single" w:sz="18" w:space="0" w:color="auto"/>
              <w:bottom w:val="single" w:sz="4" w:space="0" w:color="auto"/>
            </w:tcBorders>
            <w:shd w:val="clear" w:color="auto" w:fill="FABF8F"/>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2</w:t>
            </w:r>
          </w:p>
        </w:tc>
        <w:tc>
          <w:tcPr>
            <w:tcW w:w="288" w:type="dxa"/>
            <w:tcBorders>
              <w:bottom w:val="single" w:sz="4" w:space="0" w:color="auto"/>
            </w:tcBorders>
            <w:shd w:val="clear" w:color="auto" w:fill="FABF8F"/>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4</w:t>
            </w:r>
          </w:p>
        </w:tc>
        <w:tc>
          <w:tcPr>
            <w:tcW w:w="315" w:type="dxa"/>
            <w:tcBorders>
              <w:bottom w:val="single" w:sz="4" w:space="0" w:color="auto"/>
              <w:right w:val="single" w:sz="18" w:space="0" w:color="auto"/>
            </w:tcBorders>
            <w:shd w:val="clear" w:color="auto" w:fill="FABF8F"/>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2</w:t>
            </w:r>
          </w:p>
        </w:tc>
        <w:tc>
          <w:tcPr>
            <w:tcW w:w="477" w:type="dxa"/>
            <w:tcBorders>
              <w:left w:val="single" w:sz="18" w:space="0" w:color="auto"/>
              <w:bottom w:val="single" w:sz="4" w:space="0" w:color="auto"/>
            </w:tcBorders>
            <w:shd w:val="clear" w:color="auto" w:fill="FABF8F"/>
            <w:vAlign w:val="center"/>
          </w:tcPr>
          <w:p w:rsidR="00D55AB9" w:rsidRPr="00A75DF9" w:rsidRDefault="00D55AB9" w:rsidP="00D55AB9">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D55AB9" w:rsidRPr="00A75DF9" w:rsidRDefault="00D55AB9" w:rsidP="00D55AB9">
            <w:pPr>
              <w:pStyle w:val="TableText"/>
              <w:widowControl w:val="0"/>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FABF8F"/>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P</w:t>
            </w:r>
          </w:p>
        </w:tc>
        <w:tc>
          <w:tcPr>
            <w:tcW w:w="702" w:type="dxa"/>
            <w:tcBorders>
              <w:bottom w:val="single" w:sz="4" w:space="0" w:color="auto"/>
            </w:tcBorders>
            <w:shd w:val="clear" w:color="auto" w:fill="FABF8F"/>
            <w:vAlign w:val="center"/>
          </w:tcPr>
          <w:p w:rsidR="00D55AB9" w:rsidRPr="00A75DF9" w:rsidRDefault="00D55AB9" w:rsidP="00D55AB9">
            <w:pPr>
              <w:pStyle w:val="TableText"/>
              <w:widowControl w:val="0"/>
              <w:rPr>
                <w:rFonts w:ascii="Tahoma" w:hAnsi="Tahoma" w:cs="Tahoma"/>
                <w:sz w:val="13"/>
              </w:rPr>
            </w:pPr>
          </w:p>
        </w:tc>
        <w:tc>
          <w:tcPr>
            <w:tcW w:w="650" w:type="dxa"/>
            <w:tcBorders>
              <w:bottom w:val="single" w:sz="4" w:space="0" w:color="auto"/>
            </w:tcBorders>
            <w:shd w:val="clear" w:color="auto" w:fill="FABF8F"/>
            <w:vAlign w:val="center"/>
          </w:tcPr>
          <w:p w:rsidR="00D55AB9" w:rsidRPr="00A75DF9" w:rsidRDefault="00D55AB9" w:rsidP="00D55AB9">
            <w:pPr>
              <w:pStyle w:val="TableText"/>
              <w:widowControl w:val="0"/>
              <w:rPr>
                <w:rFonts w:ascii="Tahoma" w:hAnsi="Tahoma" w:cs="Tahoma"/>
                <w:sz w:val="13"/>
              </w:rPr>
            </w:pPr>
          </w:p>
        </w:tc>
      </w:tr>
      <w:tr w:rsidR="00A75DF9" w:rsidRPr="00A75DF9" w:rsidTr="00337A7D">
        <w:trPr>
          <w:cantSplit/>
          <w:trHeight w:val="305"/>
        </w:trPr>
        <w:tc>
          <w:tcPr>
            <w:tcW w:w="2634" w:type="dxa"/>
            <w:tcBorders>
              <w:bottom w:val="single" w:sz="4" w:space="0" w:color="auto"/>
            </w:tcBorders>
            <w:shd w:val="clear" w:color="auto" w:fill="auto"/>
          </w:tcPr>
          <w:p w:rsidR="00D55AB9" w:rsidRPr="00A75DF9" w:rsidRDefault="00D55AB9" w:rsidP="008B1245">
            <w:pPr>
              <w:pStyle w:val="Heading2"/>
              <w:spacing w:beforeLines="20" w:before="48" w:afterLines="20" w:after="48"/>
              <w:ind w:left="0"/>
              <w:rPr>
                <w:rFonts w:ascii="Tahoma" w:hAnsi="Tahoma" w:cs="Tahoma"/>
                <w:b w:val="0"/>
                <w:sz w:val="14"/>
              </w:rPr>
            </w:pPr>
            <w:bookmarkStart w:id="74" w:name="_Toc336337869"/>
            <w:bookmarkStart w:id="75" w:name="_Toc368309879"/>
            <w:r w:rsidRPr="00A75DF9">
              <w:rPr>
                <w:rFonts w:ascii="Tahoma" w:hAnsi="Tahoma" w:cs="Tahoma"/>
                <w:b w:val="0"/>
                <w:sz w:val="14"/>
              </w:rPr>
              <w:t>Office 365 ProPlus (SL per Utente)</w:t>
            </w:r>
            <w:bookmarkEnd w:id="74"/>
            <w:bookmarkEnd w:id="75"/>
          </w:p>
        </w:tc>
        <w:tc>
          <w:tcPr>
            <w:tcW w:w="427" w:type="dxa"/>
            <w:tcBorders>
              <w:bottom w:val="single" w:sz="4" w:space="0" w:color="auto"/>
            </w:tcBorders>
            <w:shd w:val="clear" w:color="auto" w:fill="auto"/>
          </w:tcPr>
          <w:p w:rsidR="00D55AB9" w:rsidRPr="00A75DF9" w:rsidRDefault="00B54770" w:rsidP="00D55AB9">
            <w:pPr>
              <w:pStyle w:val="TableText"/>
              <w:widowControl w:val="0"/>
              <w:spacing w:before="120"/>
              <w:rPr>
                <w:rFonts w:cs="Tahoma"/>
                <w:b/>
                <w:color w:val="0000FF"/>
                <w:sz w:val="13"/>
                <w:szCs w:val="13"/>
                <w:u w:val="single"/>
              </w:rPr>
            </w:pPr>
            <w:hyperlink w:anchor="_12_Office_365" w:history="1">
              <w:r w:rsidR="00734B17" w:rsidRPr="00A75DF9">
                <w:rPr>
                  <w:rStyle w:val="Hyperlink"/>
                  <w:rFonts w:cs="Tahoma"/>
                  <w:b/>
                  <w:sz w:val="13"/>
                  <w:szCs w:val="13"/>
                </w:rPr>
                <w:t>13</w:t>
              </w:r>
            </w:hyperlink>
            <w:hyperlink w:anchor="Aps_9OfficeProPlusSubUserSL" w:history="1"/>
          </w:p>
        </w:tc>
        <w:tc>
          <w:tcPr>
            <w:tcW w:w="427" w:type="dxa"/>
            <w:tcBorders>
              <w:bottom w:val="single" w:sz="4" w:space="0" w:color="auto"/>
            </w:tcBorders>
            <w:shd w:val="clear" w:color="auto" w:fill="auto"/>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06/11</w:t>
            </w:r>
          </w:p>
        </w:tc>
        <w:tc>
          <w:tcPr>
            <w:tcW w:w="429" w:type="dxa"/>
            <w:tcBorders>
              <w:bottom w:val="single" w:sz="4" w:space="0" w:color="auto"/>
              <w:right w:val="single" w:sz="18" w:space="0" w:color="auto"/>
            </w:tcBorders>
            <w:shd w:val="clear" w:color="auto" w:fill="auto"/>
          </w:tcPr>
          <w:p w:rsidR="00D55AB9" w:rsidRPr="00A75DF9" w:rsidRDefault="00D55AB9"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tcPr>
          <w:p w:rsidR="00D55AB9" w:rsidRPr="00A75DF9" w:rsidRDefault="00D55AB9" w:rsidP="00D55AB9">
            <w:pPr>
              <w:pStyle w:val="TableText"/>
              <w:rPr>
                <w:rFonts w:ascii="Tahoma" w:hAnsi="Tahoma" w:cs="Tahoma"/>
                <w:sz w:val="13"/>
              </w:rPr>
            </w:pPr>
          </w:p>
        </w:tc>
        <w:tc>
          <w:tcPr>
            <w:tcW w:w="429" w:type="dxa"/>
            <w:tcBorders>
              <w:bottom w:val="single" w:sz="4" w:space="0" w:color="auto"/>
            </w:tcBorders>
            <w:shd w:val="clear" w:color="auto" w:fill="auto"/>
          </w:tcPr>
          <w:p w:rsidR="00D55AB9" w:rsidRPr="00A75DF9" w:rsidRDefault="00D55AB9" w:rsidP="00D55AB9">
            <w:pPr>
              <w:pStyle w:val="TableText"/>
              <w:rPr>
                <w:rFonts w:ascii="Tahoma" w:hAnsi="Tahoma" w:cs="Tahoma"/>
                <w:sz w:val="13"/>
              </w:rPr>
            </w:pPr>
          </w:p>
        </w:tc>
        <w:tc>
          <w:tcPr>
            <w:tcW w:w="429" w:type="dxa"/>
            <w:tcBorders>
              <w:bottom w:val="single" w:sz="4" w:space="0" w:color="auto"/>
            </w:tcBorders>
            <w:shd w:val="clear" w:color="auto" w:fill="auto"/>
          </w:tcPr>
          <w:p w:rsidR="00D55AB9" w:rsidRPr="00A75DF9" w:rsidRDefault="00D55AB9" w:rsidP="00D55AB9">
            <w:pPr>
              <w:pStyle w:val="TableText"/>
              <w:rPr>
                <w:rFonts w:ascii="Tahoma" w:hAnsi="Tahoma" w:cs="Tahoma"/>
                <w:sz w:val="13"/>
              </w:rPr>
            </w:pPr>
          </w:p>
        </w:tc>
        <w:tc>
          <w:tcPr>
            <w:tcW w:w="429" w:type="dxa"/>
            <w:tcBorders>
              <w:bottom w:val="single" w:sz="4" w:space="0" w:color="auto"/>
            </w:tcBorders>
            <w:shd w:val="clear" w:color="auto" w:fill="auto"/>
          </w:tcPr>
          <w:p w:rsidR="00D55AB9" w:rsidRPr="00A75DF9" w:rsidRDefault="00D55AB9" w:rsidP="00D55AB9">
            <w:pPr>
              <w:pStyle w:val="TableText"/>
              <w:rPr>
                <w:rFonts w:ascii="Tahoma" w:hAnsi="Tahoma" w:cs="Tahoma"/>
                <w:sz w:val="13"/>
              </w:rPr>
            </w:pPr>
          </w:p>
        </w:tc>
        <w:tc>
          <w:tcPr>
            <w:tcW w:w="429" w:type="dxa"/>
            <w:tcBorders>
              <w:bottom w:val="single" w:sz="4" w:space="0" w:color="auto"/>
            </w:tcBorders>
            <w:shd w:val="clear" w:color="auto" w:fill="auto"/>
          </w:tcPr>
          <w:p w:rsidR="00D55AB9" w:rsidRPr="00A75DF9" w:rsidRDefault="00D55AB9" w:rsidP="00D55AB9">
            <w:pPr>
              <w:pStyle w:val="TableText"/>
              <w:rPr>
                <w:rFonts w:ascii="Tahoma" w:hAnsi="Tahoma" w:cs="Tahoma"/>
                <w:sz w:val="13"/>
              </w:rPr>
            </w:pPr>
          </w:p>
        </w:tc>
        <w:tc>
          <w:tcPr>
            <w:tcW w:w="429" w:type="dxa"/>
            <w:tcBorders>
              <w:bottom w:val="single" w:sz="4" w:space="0" w:color="auto"/>
            </w:tcBorders>
            <w:shd w:val="clear" w:color="auto" w:fill="auto"/>
          </w:tcPr>
          <w:p w:rsidR="00D55AB9" w:rsidRPr="00A75DF9" w:rsidRDefault="00D55AB9"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tcPr>
          <w:p w:rsidR="00D55AB9" w:rsidRPr="00A75DF9" w:rsidRDefault="00D55AB9" w:rsidP="00D55AB9">
            <w:pPr>
              <w:pStyle w:val="TableText"/>
              <w:rPr>
                <w:rFonts w:ascii="Tahoma" w:hAnsi="Tahoma" w:cs="Tahoma"/>
                <w:sz w:val="13"/>
              </w:rPr>
            </w:pPr>
          </w:p>
        </w:tc>
        <w:tc>
          <w:tcPr>
            <w:tcW w:w="405" w:type="dxa"/>
            <w:tcBorders>
              <w:left w:val="single" w:sz="18" w:space="0" w:color="auto"/>
              <w:bottom w:val="single" w:sz="4" w:space="0" w:color="auto"/>
            </w:tcBorders>
            <w:shd w:val="clear" w:color="auto" w:fill="auto"/>
          </w:tcPr>
          <w:p w:rsidR="00D55AB9" w:rsidRPr="00A75DF9" w:rsidRDefault="00D55AB9" w:rsidP="00D55AB9">
            <w:pPr>
              <w:pStyle w:val="TableText"/>
              <w:rPr>
                <w:rFonts w:ascii="Tahoma" w:hAnsi="Tahoma" w:cs="Tahoma"/>
                <w:sz w:val="13"/>
              </w:rPr>
            </w:pPr>
          </w:p>
        </w:tc>
        <w:tc>
          <w:tcPr>
            <w:tcW w:w="288" w:type="dxa"/>
            <w:tcBorders>
              <w:bottom w:val="single" w:sz="4" w:space="0" w:color="auto"/>
            </w:tcBorders>
            <w:shd w:val="clear" w:color="auto" w:fill="auto"/>
          </w:tcPr>
          <w:p w:rsidR="00D55AB9" w:rsidRPr="00A75DF9" w:rsidRDefault="00D55AB9" w:rsidP="00D55AB9">
            <w:pPr>
              <w:pStyle w:val="TableText"/>
              <w:rPr>
                <w:rFonts w:ascii="Tahoma" w:hAnsi="Tahoma" w:cs="Tahoma"/>
                <w:sz w:val="13"/>
              </w:rPr>
            </w:pPr>
          </w:p>
        </w:tc>
        <w:tc>
          <w:tcPr>
            <w:tcW w:w="315" w:type="dxa"/>
            <w:tcBorders>
              <w:bottom w:val="single" w:sz="4" w:space="0" w:color="auto"/>
              <w:right w:val="single" w:sz="18" w:space="0" w:color="auto"/>
            </w:tcBorders>
            <w:shd w:val="clear" w:color="auto" w:fill="auto"/>
          </w:tcPr>
          <w:p w:rsidR="00D55AB9" w:rsidRPr="00A75DF9" w:rsidRDefault="00D55AB9" w:rsidP="00D55AB9">
            <w:pPr>
              <w:pStyle w:val="TableText"/>
              <w:rPr>
                <w:rFonts w:ascii="Tahoma" w:hAnsi="Tahoma" w:cs="Tahoma"/>
                <w:sz w:val="13"/>
              </w:rPr>
            </w:pPr>
          </w:p>
        </w:tc>
        <w:tc>
          <w:tcPr>
            <w:tcW w:w="477" w:type="dxa"/>
            <w:tcBorders>
              <w:left w:val="single" w:sz="18" w:space="0" w:color="auto"/>
              <w:bottom w:val="single" w:sz="4" w:space="0" w:color="auto"/>
            </w:tcBorders>
            <w:shd w:val="clear" w:color="auto" w:fill="auto"/>
          </w:tcPr>
          <w:p w:rsidR="00D55AB9" w:rsidRPr="00A75DF9" w:rsidRDefault="00D55AB9" w:rsidP="00D55AB9">
            <w:pPr>
              <w:pStyle w:val="TableText"/>
              <w:rPr>
                <w:rFonts w:ascii="Tahoma" w:hAnsi="Tahoma" w:cs="Tahoma"/>
                <w:sz w:val="13"/>
              </w:rPr>
            </w:pPr>
          </w:p>
        </w:tc>
        <w:tc>
          <w:tcPr>
            <w:tcW w:w="396" w:type="dxa"/>
            <w:tcBorders>
              <w:bottom w:val="single" w:sz="4" w:space="0" w:color="auto"/>
              <w:right w:val="single" w:sz="18" w:space="0" w:color="auto"/>
            </w:tcBorders>
            <w:shd w:val="clear" w:color="auto" w:fill="auto"/>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E, S</w:t>
            </w:r>
          </w:p>
        </w:tc>
        <w:tc>
          <w:tcPr>
            <w:tcW w:w="378" w:type="dxa"/>
            <w:tcBorders>
              <w:left w:val="single" w:sz="18" w:space="0" w:color="auto"/>
              <w:bottom w:val="single" w:sz="4" w:space="0" w:color="auto"/>
              <w:right w:val="single" w:sz="18" w:space="0" w:color="auto"/>
            </w:tcBorders>
            <w:shd w:val="clear" w:color="auto" w:fill="auto"/>
          </w:tcPr>
          <w:p w:rsidR="00D55AB9" w:rsidRPr="00A75DF9" w:rsidRDefault="00D55AB9" w:rsidP="00D55AB9">
            <w:pPr>
              <w:pStyle w:val="TableText"/>
              <w:rPr>
                <w:rFonts w:ascii="Tahoma" w:hAnsi="Tahoma" w:cs="Tahoma"/>
                <w:sz w:val="13"/>
              </w:rPr>
            </w:pPr>
          </w:p>
        </w:tc>
        <w:tc>
          <w:tcPr>
            <w:tcW w:w="702" w:type="dxa"/>
            <w:tcBorders>
              <w:bottom w:val="single" w:sz="4" w:space="0" w:color="auto"/>
            </w:tcBorders>
            <w:shd w:val="clear" w:color="auto" w:fill="auto"/>
            <w:vAlign w:val="center"/>
          </w:tcPr>
          <w:p w:rsidR="00D55AB9" w:rsidRPr="00A75DF9" w:rsidRDefault="00D55AB9" w:rsidP="00D55AB9">
            <w:pPr>
              <w:pStyle w:val="TableText"/>
              <w:rPr>
                <w:rFonts w:ascii="Tahoma" w:hAnsi="Tahoma" w:cs="Tahoma"/>
                <w:sz w:val="13"/>
              </w:rPr>
            </w:pPr>
          </w:p>
        </w:tc>
        <w:tc>
          <w:tcPr>
            <w:tcW w:w="650" w:type="dxa"/>
            <w:tcBorders>
              <w:bottom w:val="single" w:sz="4" w:space="0" w:color="auto"/>
            </w:tcBorders>
            <w:shd w:val="clear" w:color="auto" w:fill="auto"/>
          </w:tcPr>
          <w:p w:rsidR="00D55AB9" w:rsidRPr="00A75DF9" w:rsidRDefault="00D55AB9" w:rsidP="00D55AB9">
            <w:pPr>
              <w:pStyle w:val="TableText"/>
              <w:rPr>
                <w:rFonts w:ascii="Tahoma" w:hAnsi="Tahoma" w:cs="Tahoma"/>
                <w:sz w:val="13"/>
              </w:rPr>
            </w:pPr>
          </w:p>
        </w:tc>
      </w:tr>
      <w:tr w:rsidR="00A75DF9" w:rsidRPr="00A75DF9" w:rsidTr="00337A7D">
        <w:trPr>
          <w:cantSplit/>
          <w:trHeight w:val="305"/>
        </w:trPr>
        <w:tc>
          <w:tcPr>
            <w:tcW w:w="2634" w:type="dxa"/>
            <w:tcBorders>
              <w:bottom w:val="single" w:sz="4" w:space="0" w:color="auto"/>
            </w:tcBorders>
            <w:shd w:val="clear" w:color="auto" w:fill="FABF8F"/>
            <w:vAlign w:val="center"/>
          </w:tcPr>
          <w:p w:rsidR="00D55AB9" w:rsidRPr="00A75DF9" w:rsidRDefault="00D55AB9" w:rsidP="008B1245">
            <w:pPr>
              <w:pStyle w:val="Heading2"/>
              <w:spacing w:beforeLines="20" w:before="48" w:afterLines="20" w:after="48"/>
              <w:ind w:left="0"/>
              <w:rPr>
                <w:rFonts w:ascii="Tahoma" w:hAnsi="Tahoma" w:cs="Tahoma"/>
                <w:b w:val="0"/>
                <w:sz w:val="14"/>
              </w:rPr>
            </w:pPr>
            <w:bookmarkStart w:id="76" w:name="_Toc368309880"/>
            <w:r w:rsidRPr="00A75DF9">
              <w:rPr>
                <w:rFonts w:ascii="Tahoma" w:hAnsi="Tahoma" w:cs="Tahoma"/>
                <w:b w:val="0"/>
                <w:sz w:val="14"/>
              </w:rPr>
              <w:t xml:space="preserve">Office 365 ProPlus SA Transition </w:t>
            </w:r>
            <w:r w:rsidR="00337A7D">
              <w:rPr>
                <w:rFonts w:ascii="Tahoma" w:hAnsi="Tahoma" w:cs="Tahoma"/>
                <w:b w:val="0"/>
                <w:sz w:val="14"/>
              </w:rPr>
              <w:br/>
            </w:r>
            <w:r w:rsidRPr="00A75DF9">
              <w:rPr>
                <w:rFonts w:ascii="Tahoma" w:hAnsi="Tahoma" w:cs="Tahoma"/>
                <w:b w:val="0"/>
                <w:sz w:val="14"/>
              </w:rPr>
              <w:t>(SL per Utente)</w:t>
            </w:r>
            <w:bookmarkEnd w:id="76"/>
          </w:p>
        </w:tc>
        <w:tc>
          <w:tcPr>
            <w:tcW w:w="427" w:type="dxa"/>
            <w:tcBorders>
              <w:bottom w:val="single" w:sz="4" w:space="0" w:color="auto"/>
            </w:tcBorders>
            <w:shd w:val="clear" w:color="auto" w:fill="FABF8F"/>
            <w:vAlign w:val="center"/>
          </w:tcPr>
          <w:p w:rsidR="00D55AB9" w:rsidRPr="00A75DF9" w:rsidRDefault="00B54770" w:rsidP="00D55AB9">
            <w:pPr>
              <w:pStyle w:val="TableText"/>
              <w:widowControl w:val="0"/>
              <w:rPr>
                <w:rFonts w:cs="Tahoma"/>
                <w:b/>
                <w:color w:val="0000FF"/>
                <w:sz w:val="13"/>
                <w:szCs w:val="13"/>
                <w:u w:val="single"/>
              </w:rPr>
            </w:pPr>
            <w:hyperlink w:anchor="_12_Office_365" w:history="1">
              <w:r w:rsidR="00734B17" w:rsidRPr="00A75DF9">
                <w:rPr>
                  <w:rStyle w:val="Hyperlink"/>
                  <w:rFonts w:cs="Tahoma"/>
                  <w:b/>
                  <w:sz w:val="13"/>
                  <w:szCs w:val="13"/>
                </w:rPr>
                <w:t>13</w:t>
              </w:r>
            </w:hyperlink>
          </w:p>
        </w:tc>
        <w:tc>
          <w:tcPr>
            <w:tcW w:w="427" w:type="dxa"/>
            <w:tcBorders>
              <w:bottom w:val="single" w:sz="4" w:space="0" w:color="auto"/>
            </w:tcBorders>
            <w:shd w:val="clear" w:color="auto" w:fill="FABF8F"/>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04/13</w:t>
            </w:r>
          </w:p>
        </w:tc>
        <w:tc>
          <w:tcPr>
            <w:tcW w:w="429" w:type="dxa"/>
            <w:tcBorders>
              <w:bottom w:val="single" w:sz="4" w:space="0" w:color="auto"/>
              <w:right w:val="single" w:sz="18" w:space="0" w:color="auto"/>
            </w:tcBorders>
            <w:shd w:val="clear" w:color="auto" w:fill="FABF8F"/>
            <w:vAlign w:val="center"/>
          </w:tcPr>
          <w:p w:rsidR="00D55AB9" w:rsidRPr="00A75DF9" w:rsidRDefault="00D55AB9"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FABF8F"/>
            <w:vAlign w:val="center"/>
          </w:tcPr>
          <w:p w:rsidR="00D55AB9" w:rsidRPr="00A75DF9" w:rsidRDefault="00D55AB9"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A75DF9" w:rsidRDefault="00D55AB9"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A75DF9" w:rsidRDefault="00D55AB9"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A75DF9" w:rsidRDefault="00D55AB9"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A75DF9" w:rsidRDefault="00D55AB9"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A75DF9" w:rsidRDefault="00D55AB9"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A75DF9" w:rsidRDefault="00D55AB9" w:rsidP="00D55AB9">
            <w:pPr>
              <w:pStyle w:val="TableText"/>
              <w:rPr>
                <w:rFonts w:ascii="Tahoma" w:hAnsi="Tahoma" w:cs="Tahoma"/>
                <w:sz w:val="13"/>
              </w:rPr>
            </w:pPr>
          </w:p>
        </w:tc>
        <w:tc>
          <w:tcPr>
            <w:tcW w:w="405" w:type="dxa"/>
            <w:tcBorders>
              <w:left w:val="single" w:sz="18" w:space="0" w:color="auto"/>
              <w:bottom w:val="single" w:sz="4" w:space="0" w:color="auto"/>
            </w:tcBorders>
            <w:shd w:val="clear" w:color="auto" w:fill="FABF8F"/>
            <w:vAlign w:val="center"/>
          </w:tcPr>
          <w:p w:rsidR="00D55AB9" w:rsidRPr="00A75DF9" w:rsidRDefault="00D55AB9" w:rsidP="00D55AB9">
            <w:pPr>
              <w:pStyle w:val="TableText"/>
              <w:rPr>
                <w:rFonts w:ascii="Tahoma" w:hAnsi="Tahoma" w:cs="Tahoma"/>
                <w:sz w:val="13"/>
              </w:rPr>
            </w:pPr>
          </w:p>
        </w:tc>
        <w:tc>
          <w:tcPr>
            <w:tcW w:w="288" w:type="dxa"/>
            <w:tcBorders>
              <w:bottom w:val="single" w:sz="4" w:space="0" w:color="auto"/>
            </w:tcBorders>
            <w:shd w:val="clear" w:color="auto" w:fill="FABF8F"/>
            <w:vAlign w:val="center"/>
          </w:tcPr>
          <w:p w:rsidR="00D55AB9" w:rsidRPr="00A75DF9" w:rsidRDefault="00D55AB9" w:rsidP="00D55AB9">
            <w:pPr>
              <w:pStyle w:val="TableText"/>
              <w:rPr>
                <w:rFonts w:ascii="Tahoma" w:hAnsi="Tahoma" w:cs="Tahoma"/>
                <w:sz w:val="13"/>
              </w:rPr>
            </w:pPr>
          </w:p>
        </w:tc>
        <w:tc>
          <w:tcPr>
            <w:tcW w:w="315" w:type="dxa"/>
            <w:tcBorders>
              <w:bottom w:val="single" w:sz="4" w:space="0" w:color="auto"/>
              <w:right w:val="single" w:sz="18" w:space="0" w:color="auto"/>
            </w:tcBorders>
            <w:shd w:val="clear" w:color="auto" w:fill="FABF8F"/>
            <w:vAlign w:val="center"/>
          </w:tcPr>
          <w:p w:rsidR="00D55AB9" w:rsidRPr="00A75DF9" w:rsidRDefault="00D55AB9" w:rsidP="00D55AB9">
            <w:pPr>
              <w:pStyle w:val="TableText"/>
              <w:rPr>
                <w:rFonts w:ascii="Tahoma" w:hAnsi="Tahoma" w:cs="Tahoma"/>
                <w:sz w:val="13"/>
              </w:rPr>
            </w:pPr>
          </w:p>
        </w:tc>
        <w:tc>
          <w:tcPr>
            <w:tcW w:w="477" w:type="dxa"/>
            <w:tcBorders>
              <w:left w:val="single" w:sz="18" w:space="0" w:color="auto"/>
              <w:bottom w:val="single" w:sz="4" w:space="0" w:color="auto"/>
            </w:tcBorders>
            <w:shd w:val="clear" w:color="auto" w:fill="FABF8F"/>
            <w:vAlign w:val="center"/>
          </w:tcPr>
          <w:p w:rsidR="00D55AB9" w:rsidRPr="00A75DF9" w:rsidRDefault="00D55AB9" w:rsidP="00D55AB9">
            <w:pPr>
              <w:pStyle w:val="TableText"/>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E, S</w:t>
            </w:r>
          </w:p>
        </w:tc>
        <w:tc>
          <w:tcPr>
            <w:tcW w:w="378" w:type="dxa"/>
            <w:tcBorders>
              <w:left w:val="single" w:sz="18" w:space="0" w:color="auto"/>
              <w:bottom w:val="single" w:sz="4" w:space="0" w:color="auto"/>
              <w:right w:val="single" w:sz="18" w:space="0" w:color="auto"/>
            </w:tcBorders>
            <w:shd w:val="clear" w:color="auto" w:fill="FABF8F"/>
            <w:vAlign w:val="center"/>
          </w:tcPr>
          <w:p w:rsidR="00D55AB9" w:rsidRPr="00A75DF9" w:rsidRDefault="00D55AB9" w:rsidP="00D55AB9">
            <w:pPr>
              <w:pStyle w:val="TableText"/>
              <w:rPr>
                <w:rFonts w:ascii="Tahoma" w:hAnsi="Tahoma" w:cs="Tahoma"/>
                <w:sz w:val="13"/>
              </w:rPr>
            </w:pPr>
          </w:p>
        </w:tc>
        <w:tc>
          <w:tcPr>
            <w:tcW w:w="702" w:type="dxa"/>
            <w:tcBorders>
              <w:bottom w:val="single" w:sz="4" w:space="0" w:color="auto"/>
            </w:tcBorders>
            <w:shd w:val="clear" w:color="auto" w:fill="FABF8F"/>
            <w:vAlign w:val="center"/>
          </w:tcPr>
          <w:p w:rsidR="00D55AB9" w:rsidRPr="00A75DF9" w:rsidRDefault="00D55AB9" w:rsidP="00D55AB9">
            <w:pPr>
              <w:pStyle w:val="TableText"/>
              <w:rPr>
                <w:rFonts w:ascii="Tahoma" w:hAnsi="Tahoma" w:cs="Tahoma"/>
                <w:sz w:val="13"/>
              </w:rPr>
            </w:pPr>
          </w:p>
        </w:tc>
        <w:tc>
          <w:tcPr>
            <w:tcW w:w="650" w:type="dxa"/>
            <w:tcBorders>
              <w:bottom w:val="single" w:sz="4" w:space="0" w:color="auto"/>
            </w:tcBorders>
            <w:shd w:val="clear" w:color="auto" w:fill="FABF8F"/>
            <w:vAlign w:val="center"/>
          </w:tcPr>
          <w:p w:rsidR="00D55AB9" w:rsidRPr="00A75DF9" w:rsidRDefault="00D55AB9" w:rsidP="00D55AB9">
            <w:pPr>
              <w:pStyle w:val="TableText"/>
              <w:rPr>
                <w:rFonts w:ascii="Tahoma" w:hAnsi="Tahoma" w:cs="Tahoma"/>
                <w:sz w:val="13"/>
              </w:rPr>
            </w:pPr>
          </w:p>
        </w:tc>
      </w:tr>
      <w:tr w:rsidR="00A75DF9" w:rsidRPr="00A75DF9" w:rsidTr="00337A7D">
        <w:trPr>
          <w:cantSplit/>
          <w:trHeight w:val="305"/>
        </w:trPr>
        <w:tc>
          <w:tcPr>
            <w:tcW w:w="2634" w:type="dxa"/>
            <w:tcBorders>
              <w:bottom w:val="single" w:sz="4" w:space="0" w:color="auto"/>
            </w:tcBorders>
            <w:shd w:val="clear" w:color="auto" w:fill="auto"/>
            <w:vAlign w:val="center"/>
          </w:tcPr>
          <w:p w:rsidR="009578A2" w:rsidRPr="00A75DF9" w:rsidRDefault="009578A2" w:rsidP="008B1245">
            <w:pPr>
              <w:pStyle w:val="Heading2"/>
              <w:spacing w:beforeLines="20" w:before="48" w:afterLines="20" w:after="48"/>
              <w:ind w:left="0"/>
              <w:rPr>
                <w:rFonts w:ascii="Tahoma" w:hAnsi="Tahoma" w:cs="Tahoma"/>
                <w:b w:val="0"/>
                <w:sz w:val="14"/>
              </w:rPr>
            </w:pPr>
            <w:bookmarkStart w:id="77" w:name="_Toc336337870"/>
            <w:bookmarkStart w:id="78" w:name="_Toc368309881"/>
            <w:r w:rsidRPr="00A75DF9">
              <w:rPr>
                <w:rFonts w:ascii="Tahoma" w:hAnsi="Tahoma" w:cs="Tahoma"/>
                <w:b w:val="0"/>
                <w:sz w:val="14"/>
              </w:rPr>
              <w:t>Sottoscrizione Office Professional Plus A (SL per Utente)</w:t>
            </w:r>
            <w:bookmarkEnd w:id="77"/>
            <w:bookmarkEnd w:id="78"/>
          </w:p>
        </w:tc>
        <w:tc>
          <w:tcPr>
            <w:tcW w:w="427" w:type="dxa"/>
            <w:tcBorders>
              <w:bottom w:val="single" w:sz="4" w:space="0" w:color="auto"/>
            </w:tcBorders>
            <w:shd w:val="clear" w:color="auto" w:fill="auto"/>
            <w:vAlign w:val="center"/>
          </w:tcPr>
          <w:p w:rsidR="009578A2" w:rsidRPr="00A75DF9" w:rsidRDefault="009578A2" w:rsidP="00D55AB9">
            <w:pPr>
              <w:pStyle w:val="TableText"/>
              <w:widowControl w:val="0"/>
              <w:rPr>
                <w:rFonts w:cs="Tahoma"/>
                <w:color w:val="0000FF"/>
                <w:sz w:val="13"/>
                <w:szCs w:val="13"/>
                <w:u w:val="single"/>
              </w:rPr>
            </w:pPr>
          </w:p>
        </w:tc>
        <w:tc>
          <w:tcPr>
            <w:tcW w:w="427" w:type="dxa"/>
            <w:tcBorders>
              <w:bottom w:val="single" w:sz="4" w:space="0" w:color="auto"/>
            </w:tcBorders>
            <w:shd w:val="clear" w:color="auto" w:fill="auto"/>
            <w:vAlign w:val="center"/>
          </w:tcPr>
          <w:p w:rsidR="009578A2" w:rsidRPr="00A75DF9" w:rsidRDefault="009578A2" w:rsidP="00D55AB9">
            <w:pPr>
              <w:pStyle w:val="TableText"/>
              <w:rPr>
                <w:rFonts w:ascii="Tahoma" w:hAnsi="Tahoma" w:cs="Tahoma"/>
                <w:sz w:val="13"/>
              </w:rPr>
            </w:pPr>
            <w:r w:rsidRPr="00A75DF9">
              <w:rPr>
                <w:rFonts w:ascii="Tahoma" w:hAnsi="Tahoma" w:cs="Tahoma"/>
                <w:sz w:val="13"/>
              </w:rPr>
              <w:t>06/12</w:t>
            </w:r>
          </w:p>
        </w:tc>
        <w:tc>
          <w:tcPr>
            <w:tcW w:w="429" w:type="dxa"/>
            <w:tcBorders>
              <w:bottom w:val="single" w:sz="4" w:space="0" w:color="auto"/>
              <w:right w:val="single" w:sz="18" w:space="0" w:color="auto"/>
            </w:tcBorders>
            <w:shd w:val="clear" w:color="auto" w:fill="auto"/>
            <w:vAlign w:val="center"/>
          </w:tcPr>
          <w:p w:rsidR="009578A2" w:rsidRPr="00A75DF9" w:rsidRDefault="009578A2"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9578A2" w:rsidRPr="00A75DF9" w:rsidRDefault="009578A2"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9578A2" w:rsidRPr="00A75DF9" w:rsidRDefault="009578A2"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9578A2" w:rsidRPr="00A75DF9" w:rsidRDefault="009578A2"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9578A2" w:rsidRPr="00A75DF9" w:rsidRDefault="009578A2"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9578A2" w:rsidRPr="00A75DF9" w:rsidRDefault="009578A2"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9578A2" w:rsidRPr="00A75DF9" w:rsidRDefault="009578A2"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9578A2" w:rsidRPr="00A75DF9" w:rsidRDefault="009578A2" w:rsidP="00D55AB9">
            <w:pPr>
              <w:pStyle w:val="TableText"/>
              <w:rPr>
                <w:rFonts w:ascii="Tahoma" w:hAnsi="Tahoma" w:cs="Tahoma"/>
                <w:sz w:val="13"/>
              </w:rPr>
            </w:pPr>
          </w:p>
        </w:tc>
        <w:tc>
          <w:tcPr>
            <w:tcW w:w="1008" w:type="dxa"/>
            <w:gridSpan w:val="3"/>
            <w:tcBorders>
              <w:left w:val="single" w:sz="18" w:space="0" w:color="auto"/>
              <w:bottom w:val="single" w:sz="4" w:space="0" w:color="auto"/>
              <w:right w:val="single" w:sz="18" w:space="0" w:color="auto"/>
            </w:tcBorders>
            <w:shd w:val="clear" w:color="auto" w:fill="auto"/>
            <w:vAlign w:val="center"/>
          </w:tcPr>
          <w:p w:rsidR="009578A2" w:rsidRPr="00A75DF9" w:rsidRDefault="009578A2" w:rsidP="00D55AB9">
            <w:pPr>
              <w:pStyle w:val="TableText"/>
              <w:rPr>
                <w:rFonts w:ascii="Tahoma" w:hAnsi="Tahoma" w:cs="Tahoma"/>
                <w:sz w:val="13"/>
              </w:rPr>
            </w:pPr>
            <w:r w:rsidRPr="00A75DF9">
              <w:rPr>
                <w:rFonts w:ascii="Tahoma" w:hAnsi="Tahoma" w:cs="Tahoma"/>
                <w:sz w:val="13"/>
              </w:rPr>
              <w:t>2</w:t>
            </w:r>
          </w:p>
        </w:tc>
        <w:tc>
          <w:tcPr>
            <w:tcW w:w="477" w:type="dxa"/>
            <w:tcBorders>
              <w:left w:val="single" w:sz="18" w:space="0" w:color="auto"/>
              <w:bottom w:val="single" w:sz="4" w:space="0" w:color="auto"/>
            </w:tcBorders>
            <w:shd w:val="clear" w:color="auto" w:fill="auto"/>
            <w:vAlign w:val="center"/>
          </w:tcPr>
          <w:p w:rsidR="009578A2" w:rsidRPr="00A75DF9" w:rsidRDefault="009578A2" w:rsidP="00D55AB9">
            <w:pPr>
              <w:pStyle w:val="TableText"/>
              <w:rPr>
                <w:rFonts w:ascii="Tahoma" w:hAnsi="Tahoma" w:cs="Tahoma"/>
                <w:sz w:val="13"/>
              </w:rPr>
            </w:pPr>
            <w:r w:rsidRPr="00A75DF9">
              <w:rPr>
                <w:rFonts w:ascii="Tahoma" w:hAnsi="Tahoma" w:cs="Tahoma"/>
                <w:sz w:val="13"/>
              </w:rPr>
              <w:t>1</w:t>
            </w:r>
          </w:p>
        </w:tc>
        <w:tc>
          <w:tcPr>
            <w:tcW w:w="396" w:type="dxa"/>
            <w:tcBorders>
              <w:bottom w:val="single" w:sz="4" w:space="0" w:color="auto"/>
              <w:right w:val="single" w:sz="18" w:space="0" w:color="auto"/>
            </w:tcBorders>
            <w:shd w:val="clear" w:color="auto" w:fill="auto"/>
            <w:vAlign w:val="center"/>
          </w:tcPr>
          <w:p w:rsidR="009578A2" w:rsidRPr="00A75DF9" w:rsidRDefault="009578A2" w:rsidP="00D55AB9">
            <w:pPr>
              <w:pStyle w:val="TableText"/>
              <w:rPr>
                <w:rFonts w:ascii="Tahoma" w:hAnsi="Tahoma" w:cs="Tahoma"/>
                <w:sz w:val="13"/>
              </w:rPr>
            </w:pPr>
            <w:r w:rsidRPr="00A75DF9">
              <w:rPr>
                <w:rFonts w:ascii="Tahoma" w:hAnsi="Tahoma" w:cs="Tahoma"/>
                <w:sz w:val="13"/>
              </w:rPr>
              <w:t>E</w:t>
            </w:r>
          </w:p>
        </w:tc>
        <w:tc>
          <w:tcPr>
            <w:tcW w:w="378" w:type="dxa"/>
            <w:tcBorders>
              <w:left w:val="single" w:sz="18" w:space="0" w:color="auto"/>
              <w:bottom w:val="single" w:sz="4" w:space="0" w:color="auto"/>
              <w:right w:val="single" w:sz="18" w:space="0" w:color="auto"/>
            </w:tcBorders>
            <w:shd w:val="clear" w:color="auto" w:fill="auto"/>
            <w:vAlign w:val="center"/>
          </w:tcPr>
          <w:p w:rsidR="009578A2" w:rsidRPr="00A75DF9" w:rsidRDefault="009578A2" w:rsidP="00D55AB9">
            <w:pPr>
              <w:pStyle w:val="TableText"/>
              <w:rPr>
                <w:rFonts w:ascii="Tahoma" w:hAnsi="Tahoma" w:cs="Tahoma"/>
                <w:sz w:val="13"/>
              </w:rPr>
            </w:pPr>
            <w:r w:rsidRPr="00A75DF9">
              <w:rPr>
                <w:rFonts w:ascii="Tahoma" w:hAnsi="Tahoma" w:cs="Tahoma"/>
                <w:sz w:val="13"/>
              </w:rPr>
              <w:t>P</w:t>
            </w:r>
          </w:p>
        </w:tc>
        <w:tc>
          <w:tcPr>
            <w:tcW w:w="702" w:type="dxa"/>
            <w:tcBorders>
              <w:bottom w:val="single" w:sz="4" w:space="0" w:color="auto"/>
            </w:tcBorders>
            <w:shd w:val="clear" w:color="auto" w:fill="auto"/>
            <w:vAlign w:val="center"/>
          </w:tcPr>
          <w:p w:rsidR="009578A2" w:rsidRPr="00A75DF9" w:rsidRDefault="009578A2" w:rsidP="00D55AB9">
            <w:pPr>
              <w:pStyle w:val="TableText"/>
              <w:rPr>
                <w:rFonts w:ascii="Tahoma" w:hAnsi="Tahoma" w:cs="Tahoma"/>
                <w:sz w:val="13"/>
              </w:rPr>
            </w:pPr>
            <w:r w:rsidRPr="00A75DF9">
              <w:rPr>
                <w:rFonts w:ascii="Tahoma" w:hAnsi="Tahoma" w:cs="Tahoma"/>
                <w:sz w:val="13"/>
              </w:rPr>
              <w:t>E (Solo EES), A (OVS-ES)</w:t>
            </w:r>
          </w:p>
        </w:tc>
        <w:tc>
          <w:tcPr>
            <w:tcW w:w="650" w:type="dxa"/>
            <w:tcBorders>
              <w:bottom w:val="single" w:sz="4" w:space="0" w:color="auto"/>
            </w:tcBorders>
            <w:shd w:val="clear" w:color="auto" w:fill="auto"/>
            <w:vAlign w:val="center"/>
          </w:tcPr>
          <w:p w:rsidR="009578A2" w:rsidRPr="00A75DF9" w:rsidRDefault="009578A2" w:rsidP="00D55AB9">
            <w:pPr>
              <w:pStyle w:val="TableText"/>
              <w:rPr>
                <w:rFonts w:ascii="Tahoma" w:hAnsi="Tahoma" w:cs="Tahoma"/>
                <w:sz w:val="13"/>
              </w:rPr>
            </w:pPr>
            <w:r w:rsidRPr="00A75DF9">
              <w:rPr>
                <w:rFonts w:ascii="Tahoma" w:hAnsi="Tahoma" w:cs="Tahoma"/>
                <w:sz w:val="13"/>
              </w:rPr>
              <w:t>OL</w:t>
            </w:r>
          </w:p>
        </w:tc>
      </w:tr>
      <w:tr w:rsidR="00A75DF9" w:rsidRPr="00A75DF9" w:rsidTr="00337A7D">
        <w:trPr>
          <w:cantSplit/>
          <w:trHeight w:val="305"/>
        </w:trPr>
        <w:tc>
          <w:tcPr>
            <w:tcW w:w="2634" w:type="dxa"/>
            <w:tcBorders>
              <w:bottom w:val="single" w:sz="4" w:space="0" w:color="auto"/>
            </w:tcBorders>
            <w:shd w:val="clear" w:color="auto" w:fill="FABF8F"/>
            <w:vAlign w:val="center"/>
          </w:tcPr>
          <w:p w:rsidR="00D55AB9" w:rsidRPr="00A75DF9" w:rsidRDefault="00D55AB9" w:rsidP="008B1245">
            <w:pPr>
              <w:pStyle w:val="Heading2"/>
              <w:spacing w:beforeLines="20" w:before="48" w:afterLines="20" w:after="48"/>
              <w:ind w:left="0"/>
              <w:rPr>
                <w:rFonts w:ascii="Tahoma" w:hAnsi="Tahoma" w:cs="Tahoma"/>
                <w:b w:val="0"/>
                <w:sz w:val="14"/>
              </w:rPr>
            </w:pPr>
            <w:bookmarkStart w:id="79" w:name="_Toc336337873"/>
            <w:bookmarkStart w:id="80" w:name="_Toc368309882"/>
            <w:r w:rsidRPr="00A75DF9">
              <w:rPr>
                <w:rFonts w:ascii="Tahoma" w:hAnsi="Tahoma" w:cs="Tahoma"/>
                <w:b w:val="0"/>
                <w:sz w:val="14"/>
              </w:rPr>
              <w:t>OneNote</w:t>
            </w:r>
            <w:r w:rsidR="009D5D7B" w:rsidRPr="00A75DF9">
              <w:rPr>
                <w:rFonts w:ascii="Tahoma" w:hAnsi="Tahoma" w:cs="Tahoma"/>
                <w:b w:val="0"/>
                <w:sz w:val="14"/>
                <w:vertAlign w:val="superscript"/>
              </w:rPr>
              <w:t>®</w:t>
            </w:r>
            <w:r w:rsidRPr="00A75DF9">
              <w:rPr>
                <w:rFonts w:ascii="Tahoma" w:hAnsi="Tahoma" w:cs="Tahoma"/>
                <w:b w:val="0"/>
                <w:sz w:val="14"/>
              </w:rPr>
              <w:t xml:space="preserve"> </w:t>
            </w:r>
            <w:bookmarkEnd w:id="79"/>
            <w:r w:rsidRPr="00A75DF9">
              <w:rPr>
                <w:rFonts w:ascii="Tahoma" w:hAnsi="Tahoma" w:cs="Tahoma"/>
                <w:b w:val="0"/>
                <w:sz w:val="14"/>
              </w:rPr>
              <w:t>2013</w:t>
            </w:r>
            <w:bookmarkEnd w:id="80"/>
          </w:p>
        </w:tc>
        <w:tc>
          <w:tcPr>
            <w:tcW w:w="427" w:type="dxa"/>
            <w:tcBorders>
              <w:bottom w:val="single" w:sz="4" w:space="0" w:color="auto"/>
            </w:tcBorders>
            <w:shd w:val="clear" w:color="auto" w:fill="FABF8F"/>
            <w:vAlign w:val="center"/>
          </w:tcPr>
          <w:p w:rsidR="00D55AB9" w:rsidRPr="00A75DF9" w:rsidRDefault="00D55AB9" w:rsidP="00D55AB9">
            <w:pPr>
              <w:pStyle w:val="TableText"/>
              <w:widowControl w:val="0"/>
              <w:rPr>
                <w:rStyle w:val="EndnoteReference"/>
                <w:rFonts w:cs="Tahoma"/>
                <w:b w:val="0"/>
                <w:color w:val="0000FF"/>
                <w:sz w:val="13"/>
                <w:szCs w:val="13"/>
                <w:u w:val="single"/>
              </w:rPr>
            </w:pPr>
          </w:p>
        </w:tc>
        <w:tc>
          <w:tcPr>
            <w:tcW w:w="427" w:type="dxa"/>
            <w:tcBorders>
              <w:bottom w:val="single" w:sz="4" w:space="0" w:color="auto"/>
            </w:tcBorders>
            <w:shd w:val="clear" w:color="auto" w:fill="FABF8F"/>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1</w:t>
            </w:r>
          </w:p>
        </w:tc>
        <w:tc>
          <w:tcPr>
            <w:tcW w:w="429" w:type="dxa"/>
            <w:tcBorders>
              <w:bottom w:val="single" w:sz="4" w:space="0" w:color="auto"/>
            </w:tcBorders>
            <w:shd w:val="clear" w:color="auto" w:fill="FABF8F"/>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3</w:t>
            </w:r>
          </w:p>
        </w:tc>
        <w:tc>
          <w:tcPr>
            <w:tcW w:w="429" w:type="dxa"/>
            <w:tcBorders>
              <w:bottom w:val="single" w:sz="4" w:space="0" w:color="auto"/>
            </w:tcBorders>
            <w:shd w:val="clear" w:color="auto" w:fill="FABF8F"/>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2</w:t>
            </w:r>
          </w:p>
        </w:tc>
        <w:tc>
          <w:tcPr>
            <w:tcW w:w="429" w:type="dxa"/>
            <w:tcBorders>
              <w:bottom w:val="single" w:sz="4" w:space="0" w:color="auto"/>
            </w:tcBorders>
            <w:shd w:val="clear" w:color="auto" w:fill="FABF8F"/>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2</w:t>
            </w:r>
          </w:p>
        </w:tc>
        <w:tc>
          <w:tcPr>
            <w:tcW w:w="429" w:type="dxa"/>
            <w:tcBorders>
              <w:bottom w:val="single" w:sz="4" w:space="0" w:color="auto"/>
            </w:tcBorders>
            <w:shd w:val="clear" w:color="auto" w:fill="FABF8F"/>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2</w:t>
            </w:r>
          </w:p>
        </w:tc>
        <w:tc>
          <w:tcPr>
            <w:tcW w:w="429" w:type="dxa"/>
            <w:tcBorders>
              <w:bottom w:val="single" w:sz="4" w:space="0" w:color="auto"/>
            </w:tcBorders>
            <w:shd w:val="clear" w:color="auto" w:fill="FABF8F"/>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1</w:t>
            </w:r>
          </w:p>
        </w:tc>
        <w:tc>
          <w:tcPr>
            <w:tcW w:w="405" w:type="dxa"/>
            <w:tcBorders>
              <w:left w:val="single" w:sz="18" w:space="0" w:color="auto"/>
              <w:bottom w:val="single" w:sz="4" w:space="0" w:color="auto"/>
            </w:tcBorders>
            <w:shd w:val="clear" w:color="auto" w:fill="FABF8F"/>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1</w:t>
            </w:r>
          </w:p>
        </w:tc>
        <w:tc>
          <w:tcPr>
            <w:tcW w:w="288" w:type="dxa"/>
            <w:tcBorders>
              <w:bottom w:val="single" w:sz="4" w:space="0" w:color="auto"/>
            </w:tcBorders>
            <w:shd w:val="clear" w:color="auto" w:fill="FABF8F"/>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2</w:t>
            </w:r>
          </w:p>
        </w:tc>
        <w:tc>
          <w:tcPr>
            <w:tcW w:w="315" w:type="dxa"/>
            <w:tcBorders>
              <w:bottom w:val="single" w:sz="4" w:space="0" w:color="auto"/>
              <w:right w:val="single" w:sz="18" w:space="0" w:color="auto"/>
            </w:tcBorders>
            <w:shd w:val="clear" w:color="auto" w:fill="FABF8F"/>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1</w:t>
            </w:r>
          </w:p>
        </w:tc>
        <w:tc>
          <w:tcPr>
            <w:tcW w:w="477" w:type="dxa"/>
            <w:tcBorders>
              <w:left w:val="single" w:sz="18" w:space="0" w:color="auto"/>
              <w:bottom w:val="single" w:sz="4" w:space="0" w:color="auto"/>
            </w:tcBorders>
            <w:shd w:val="clear" w:color="auto" w:fill="FABF8F"/>
            <w:vAlign w:val="center"/>
          </w:tcPr>
          <w:p w:rsidR="00D55AB9" w:rsidRPr="00A75DF9" w:rsidRDefault="00D55AB9" w:rsidP="00D55AB9">
            <w:pPr>
              <w:pStyle w:val="TableText"/>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D55AB9" w:rsidRPr="00A75DF9" w:rsidRDefault="00D55AB9" w:rsidP="00D55AB9">
            <w:pPr>
              <w:pStyle w:val="TableText"/>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FABF8F"/>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P</w:t>
            </w:r>
          </w:p>
        </w:tc>
        <w:tc>
          <w:tcPr>
            <w:tcW w:w="702" w:type="dxa"/>
            <w:tcBorders>
              <w:bottom w:val="single" w:sz="4" w:space="0" w:color="auto"/>
            </w:tcBorders>
            <w:shd w:val="clear" w:color="auto" w:fill="FABF8F"/>
          </w:tcPr>
          <w:p w:rsidR="00D55AB9" w:rsidRPr="00A75DF9" w:rsidRDefault="00D55AB9" w:rsidP="00D55AB9">
            <w:pPr>
              <w:pStyle w:val="TableText"/>
              <w:rPr>
                <w:rFonts w:ascii="Tahoma" w:hAnsi="Tahoma" w:cs="Tahoma"/>
                <w:sz w:val="13"/>
              </w:rPr>
            </w:pPr>
          </w:p>
        </w:tc>
        <w:tc>
          <w:tcPr>
            <w:tcW w:w="650" w:type="dxa"/>
            <w:tcBorders>
              <w:bottom w:val="single" w:sz="4" w:space="0" w:color="auto"/>
            </w:tcBorders>
            <w:shd w:val="clear" w:color="auto" w:fill="FABF8F"/>
            <w:vAlign w:val="center"/>
          </w:tcPr>
          <w:p w:rsidR="00D55AB9" w:rsidRPr="00A75DF9" w:rsidRDefault="00D55AB9" w:rsidP="00D55AB9">
            <w:pPr>
              <w:pStyle w:val="TableText"/>
              <w:rPr>
                <w:rFonts w:ascii="Tahoma" w:hAnsi="Tahoma" w:cs="Tahoma"/>
                <w:sz w:val="13"/>
              </w:rPr>
            </w:pPr>
          </w:p>
        </w:tc>
      </w:tr>
      <w:tr w:rsidR="00A75DF9" w:rsidRPr="00A75DF9" w:rsidTr="00337A7D">
        <w:trPr>
          <w:cantSplit/>
          <w:trHeight w:val="350"/>
        </w:trPr>
        <w:tc>
          <w:tcPr>
            <w:tcW w:w="2634" w:type="dxa"/>
            <w:tcBorders>
              <w:bottom w:val="single" w:sz="4" w:space="0" w:color="auto"/>
            </w:tcBorders>
            <w:shd w:val="clear" w:color="auto" w:fill="auto"/>
            <w:vAlign w:val="center"/>
          </w:tcPr>
          <w:p w:rsidR="00D55AB9" w:rsidRPr="00A75DF9" w:rsidRDefault="00D55AB9" w:rsidP="008B1245">
            <w:pPr>
              <w:pStyle w:val="Heading2"/>
              <w:spacing w:beforeLines="20" w:before="48" w:afterLines="20" w:after="48"/>
              <w:ind w:left="0"/>
              <w:rPr>
                <w:rFonts w:ascii="Tahoma" w:hAnsi="Tahoma" w:cs="Tahoma"/>
                <w:b w:val="0"/>
                <w:sz w:val="14"/>
              </w:rPr>
            </w:pPr>
            <w:bookmarkStart w:id="81" w:name="_Toc336337874"/>
            <w:bookmarkStart w:id="82" w:name="_Toc368309883"/>
            <w:r w:rsidRPr="00A75DF9">
              <w:rPr>
                <w:rFonts w:ascii="Tahoma" w:hAnsi="Tahoma" w:cs="Tahoma"/>
                <w:b w:val="0"/>
                <w:sz w:val="14"/>
              </w:rPr>
              <w:t>Outlook</w:t>
            </w:r>
            <w:r w:rsidR="009D5D7B" w:rsidRPr="00A75DF9">
              <w:rPr>
                <w:rFonts w:ascii="Tahoma" w:hAnsi="Tahoma" w:cs="Tahoma"/>
                <w:b w:val="0"/>
                <w:sz w:val="14"/>
                <w:vertAlign w:val="superscript"/>
              </w:rPr>
              <w:t>®</w:t>
            </w:r>
            <w:r w:rsidRPr="00A75DF9">
              <w:rPr>
                <w:rFonts w:ascii="Tahoma" w:hAnsi="Tahoma" w:cs="Tahoma"/>
                <w:b w:val="0"/>
                <w:sz w:val="14"/>
              </w:rPr>
              <w:t xml:space="preserve"> </w:t>
            </w:r>
            <w:bookmarkEnd w:id="81"/>
            <w:r w:rsidRPr="00A75DF9">
              <w:rPr>
                <w:rFonts w:ascii="Tahoma" w:hAnsi="Tahoma" w:cs="Tahoma"/>
                <w:b w:val="0"/>
                <w:sz w:val="14"/>
              </w:rPr>
              <w:t>2013</w:t>
            </w:r>
            <w:bookmarkEnd w:id="82"/>
          </w:p>
        </w:tc>
        <w:tc>
          <w:tcPr>
            <w:tcW w:w="427" w:type="dxa"/>
            <w:tcBorders>
              <w:bottom w:val="single" w:sz="4" w:space="0" w:color="auto"/>
            </w:tcBorders>
            <w:shd w:val="clear" w:color="auto" w:fill="auto"/>
            <w:vAlign w:val="center"/>
          </w:tcPr>
          <w:p w:rsidR="00D55AB9" w:rsidRPr="00A75DF9" w:rsidRDefault="00D55AB9" w:rsidP="00D55AB9">
            <w:pPr>
              <w:pStyle w:val="TableText"/>
              <w:widowControl w:val="0"/>
              <w:rPr>
                <w:rStyle w:val="EndnoteReference"/>
                <w:rFonts w:cs="Tahoma"/>
                <w:b w:val="0"/>
                <w:color w:val="0000FF"/>
                <w:sz w:val="13"/>
                <w:szCs w:val="13"/>
                <w:u w:val="single"/>
              </w:rPr>
            </w:pPr>
          </w:p>
        </w:tc>
        <w:tc>
          <w:tcPr>
            <w:tcW w:w="427" w:type="dxa"/>
            <w:tcBorders>
              <w:bottom w:val="single" w:sz="4" w:space="0" w:color="auto"/>
            </w:tcBorders>
            <w:shd w:val="clear" w:color="auto" w:fill="auto"/>
            <w:vAlign w:val="center"/>
          </w:tcPr>
          <w:p w:rsidR="00D55AB9" w:rsidRPr="00A75DF9" w:rsidRDefault="00D55AB9" w:rsidP="00D55AB9">
            <w:pPr>
              <w:pStyle w:val="TableText"/>
              <w:spacing w:before="60" w:after="60"/>
              <w:rPr>
                <w:rFonts w:ascii="Tahoma" w:hAnsi="Tahoma" w:cs="Tahoma"/>
                <w:sz w:val="13"/>
              </w:rPr>
            </w:pPr>
            <w:r w:rsidRPr="00A75DF9">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1</w:t>
            </w:r>
          </w:p>
        </w:tc>
        <w:tc>
          <w:tcPr>
            <w:tcW w:w="429" w:type="dxa"/>
            <w:tcBorders>
              <w:bottom w:val="single" w:sz="4" w:space="0" w:color="auto"/>
            </w:tcBorders>
            <w:shd w:val="clear" w:color="auto" w:fill="auto"/>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3</w:t>
            </w:r>
          </w:p>
        </w:tc>
        <w:tc>
          <w:tcPr>
            <w:tcW w:w="429" w:type="dxa"/>
            <w:tcBorders>
              <w:bottom w:val="single" w:sz="4" w:space="0" w:color="auto"/>
            </w:tcBorders>
            <w:shd w:val="clear" w:color="auto" w:fill="auto"/>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2</w:t>
            </w:r>
          </w:p>
        </w:tc>
        <w:tc>
          <w:tcPr>
            <w:tcW w:w="429" w:type="dxa"/>
            <w:tcBorders>
              <w:bottom w:val="single" w:sz="4" w:space="0" w:color="auto"/>
            </w:tcBorders>
            <w:shd w:val="clear" w:color="auto" w:fill="auto"/>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2</w:t>
            </w:r>
          </w:p>
        </w:tc>
        <w:tc>
          <w:tcPr>
            <w:tcW w:w="429" w:type="dxa"/>
            <w:tcBorders>
              <w:bottom w:val="single" w:sz="4" w:space="0" w:color="auto"/>
            </w:tcBorders>
            <w:shd w:val="clear" w:color="auto" w:fill="auto"/>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2</w:t>
            </w:r>
          </w:p>
        </w:tc>
        <w:tc>
          <w:tcPr>
            <w:tcW w:w="429" w:type="dxa"/>
            <w:tcBorders>
              <w:bottom w:val="single" w:sz="4" w:space="0" w:color="auto"/>
            </w:tcBorders>
            <w:shd w:val="clear" w:color="auto" w:fill="auto"/>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1</w:t>
            </w:r>
          </w:p>
        </w:tc>
        <w:tc>
          <w:tcPr>
            <w:tcW w:w="405" w:type="dxa"/>
            <w:tcBorders>
              <w:left w:val="single" w:sz="18" w:space="0" w:color="auto"/>
              <w:bottom w:val="single" w:sz="4" w:space="0" w:color="auto"/>
            </w:tcBorders>
            <w:shd w:val="clear" w:color="auto" w:fill="auto"/>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1</w:t>
            </w:r>
          </w:p>
        </w:tc>
        <w:tc>
          <w:tcPr>
            <w:tcW w:w="288" w:type="dxa"/>
            <w:tcBorders>
              <w:bottom w:val="single" w:sz="4" w:space="0" w:color="auto"/>
            </w:tcBorders>
            <w:shd w:val="clear" w:color="auto" w:fill="auto"/>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2</w:t>
            </w:r>
          </w:p>
        </w:tc>
        <w:tc>
          <w:tcPr>
            <w:tcW w:w="315" w:type="dxa"/>
            <w:tcBorders>
              <w:bottom w:val="single" w:sz="4" w:space="0" w:color="auto"/>
              <w:right w:val="single" w:sz="18" w:space="0" w:color="auto"/>
            </w:tcBorders>
            <w:shd w:val="clear" w:color="auto" w:fill="auto"/>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1</w:t>
            </w:r>
          </w:p>
        </w:tc>
        <w:tc>
          <w:tcPr>
            <w:tcW w:w="477" w:type="dxa"/>
            <w:tcBorders>
              <w:left w:val="single" w:sz="18" w:space="0" w:color="auto"/>
              <w:bottom w:val="single" w:sz="4" w:space="0" w:color="auto"/>
            </w:tcBorders>
            <w:shd w:val="clear" w:color="auto" w:fill="auto"/>
            <w:vAlign w:val="center"/>
          </w:tcPr>
          <w:p w:rsidR="00D55AB9" w:rsidRPr="00A75DF9" w:rsidRDefault="00D55AB9" w:rsidP="00D55AB9">
            <w:pPr>
              <w:pStyle w:val="TableText"/>
              <w:rPr>
                <w:rFonts w:ascii="Tahoma" w:hAnsi="Tahoma" w:cs="Tahoma"/>
                <w:sz w:val="13"/>
              </w:rPr>
            </w:pPr>
          </w:p>
        </w:tc>
        <w:tc>
          <w:tcPr>
            <w:tcW w:w="396" w:type="dxa"/>
            <w:tcBorders>
              <w:bottom w:val="single" w:sz="4" w:space="0" w:color="auto"/>
              <w:right w:val="single" w:sz="18" w:space="0" w:color="auto"/>
            </w:tcBorders>
            <w:shd w:val="clear" w:color="auto" w:fill="auto"/>
            <w:vAlign w:val="center"/>
          </w:tcPr>
          <w:p w:rsidR="00D55AB9" w:rsidRPr="00A75DF9" w:rsidRDefault="00D55AB9" w:rsidP="00D55AB9">
            <w:pPr>
              <w:pStyle w:val="TableText"/>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auto"/>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P</w:t>
            </w:r>
          </w:p>
        </w:tc>
        <w:tc>
          <w:tcPr>
            <w:tcW w:w="702" w:type="dxa"/>
            <w:tcBorders>
              <w:bottom w:val="single" w:sz="4" w:space="0" w:color="auto"/>
            </w:tcBorders>
            <w:shd w:val="clear" w:color="auto" w:fill="auto"/>
            <w:vAlign w:val="center"/>
          </w:tcPr>
          <w:p w:rsidR="00D55AB9" w:rsidRPr="00A75DF9" w:rsidRDefault="00D55AB9" w:rsidP="00D55AB9">
            <w:pPr>
              <w:pStyle w:val="TableText"/>
              <w:rPr>
                <w:rFonts w:ascii="Tahoma" w:hAnsi="Tahoma" w:cs="Tahoma"/>
                <w:sz w:val="13"/>
              </w:rPr>
            </w:pPr>
          </w:p>
        </w:tc>
        <w:tc>
          <w:tcPr>
            <w:tcW w:w="650" w:type="dxa"/>
            <w:tcBorders>
              <w:bottom w:val="single" w:sz="4" w:space="0" w:color="auto"/>
            </w:tcBorders>
            <w:shd w:val="clear" w:color="auto" w:fill="auto"/>
            <w:vAlign w:val="center"/>
          </w:tcPr>
          <w:p w:rsidR="00D55AB9" w:rsidRPr="00A75DF9" w:rsidRDefault="00D55AB9" w:rsidP="00D55AB9">
            <w:pPr>
              <w:pStyle w:val="TableText"/>
              <w:rPr>
                <w:rFonts w:ascii="Tahoma" w:hAnsi="Tahoma" w:cs="Tahoma"/>
                <w:sz w:val="13"/>
              </w:rPr>
            </w:pPr>
          </w:p>
        </w:tc>
      </w:tr>
      <w:tr w:rsidR="00A75DF9" w:rsidRPr="00A75DF9" w:rsidTr="00337A7D">
        <w:trPr>
          <w:cantSplit/>
          <w:trHeight w:val="305"/>
        </w:trPr>
        <w:tc>
          <w:tcPr>
            <w:tcW w:w="2634" w:type="dxa"/>
            <w:tcBorders>
              <w:bottom w:val="single" w:sz="4" w:space="0" w:color="auto"/>
            </w:tcBorders>
            <w:shd w:val="clear" w:color="auto" w:fill="FABF8F"/>
            <w:vAlign w:val="center"/>
          </w:tcPr>
          <w:p w:rsidR="00D55AB9" w:rsidRPr="00A75DF9" w:rsidRDefault="00D55AB9" w:rsidP="008B1245">
            <w:pPr>
              <w:pStyle w:val="Heading2"/>
              <w:spacing w:beforeLines="20" w:before="48" w:afterLines="20" w:after="48"/>
              <w:ind w:left="0"/>
              <w:rPr>
                <w:rFonts w:ascii="Tahoma" w:hAnsi="Tahoma" w:cs="Tahoma"/>
                <w:b w:val="0"/>
                <w:sz w:val="16"/>
                <w:szCs w:val="16"/>
              </w:rPr>
            </w:pPr>
            <w:bookmarkStart w:id="83" w:name="_Toc336337875"/>
            <w:bookmarkStart w:id="84" w:name="_Toc368309884"/>
            <w:r w:rsidRPr="00A75DF9">
              <w:rPr>
                <w:rFonts w:ascii="Tahoma" w:hAnsi="Tahoma" w:cs="Tahoma"/>
                <w:b w:val="0"/>
                <w:sz w:val="14"/>
                <w:szCs w:val="16"/>
              </w:rPr>
              <w:t xml:space="preserve">Outlook </w:t>
            </w:r>
            <w:bookmarkEnd w:id="83"/>
            <w:r w:rsidRPr="00A75DF9">
              <w:rPr>
                <w:rFonts w:ascii="Tahoma" w:hAnsi="Tahoma" w:cs="Tahoma"/>
                <w:b w:val="0"/>
                <w:sz w:val="14"/>
                <w:szCs w:val="16"/>
              </w:rPr>
              <w:t>per Mac 2011</w:t>
            </w:r>
            <w:bookmarkEnd w:id="84"/>
          </w:p>
        </w:tc>
        <w:tc>
          <w:tcPr>
            <w:tcW w:w="427" w:type="dxa"/>
            <w:tcBorders>
              <w:bottom w:val="single" w:sz="4" w:space="0" w:color="auto"/>
            </w:tcBorders>
            <w:shd w:val="clear" w:color="auto" w:fill="FABF8F"/>
            <w:vAlign w:val="center"/>
          </w:tcPr>
          <w:p w:rsidR="00D55AB9" w:rsidRPr="00A75DF9" w:rsidRDefault="00B54770" w:rsidP="00D55AB9">
            <w:pPr>
              <w:pStyle w:val="TableText"/>
              <w:widowControl w:val="0"/>
              <w:rPr>
                <w:rStyle w:val="EndnoteReference"/>
                <w:rFonts w:cs="Tahoma"/>
                <w:b w:val="0"/>
                <w:color w:val="0000FF"/>
                <w:sz w:val="13"/>
                <w:szCs w:val="13"/>
                <w:u w:val="single"/>
              </w:rPr>
            </w:pPr>
            <w:hyperlink w:anchor="_13_Outlook_for" w:history="1">
              <w:r w:rsidR="00734B17" w:rsidRPr="00A75DF9">
                <w:rPr>
                  <w:rStyle w:val="Hyperlink"/>
                  <w:rFonts w:cs="Tahoma"/>
                  <w:b/>
                  <w:sz w:val="13"/>
                  <w:szCs w:val="13"/>
                </w:rPr>
                <w:t>14</w:t>
              </w:r>
            </w:hyperlink>
            <w:hyperlink w:anchor="Srv_9OutlookMac2011" w:history="1"/>
          </w:p>
        </w:tc>
        <w:tc>
          <w:tcPr>
            <w:tcW w:w="427" w:type="dxa"/>
            <w:tcBorders>
              <w:bottom w:val="single" w:sz="4" w:space="0" w:color="auto"/>
            </w:tcBorders>
            <w:shd w:val="clear" w:color="auto" w:fill="FABF8F"/>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1</w:t>
            </w:r>
          </w:p>
        </w:tc>
        <w:tc>
          <w:tcPr>
            <w:tcW w:w="429" w:type="dxa"/>
            <w:tcBorders>
              <w:bottom w:val="single" w:sz="4" w:space="0" w:color="auto"/>
            </w:tcBorders>
            <w:shd w:val="clear" w:color="auto" w:fill="FABF8F"/>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3</w:t>
            </w:r>
          </w:p>
        </w:tc>
        <w:tc>
          <w:tcPr>
            <w:tcW w:w="429" w:type="dxa"/>
            <w:tcBorders>
              <w:bottom w:val="single" w:sz="4" w:space="0" w:color="auto"/>
            </w:tcBorders>
            <w:shd w:val="clear" w:color="auto" w:fill="FABF8F"/>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2</w:t>
            </w:r>
          </w:p>
        </w:tc>
        <w:tc>
          <w:tcPr>
            <w:tcW w:w="429" w:type="dxa"/>
            <w:tcBorders>
              <w:bottom w:val="single" w:sz="4" w:space="0" w:color="auto"/>
            </w:tcBorders>
            <w:shd w:val="clear" w:color="auto" w:fill="FABF8F"/>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2</w:t>
            </w:r>
          </w:p>
        </w:tc>
        <w:tc>
          <w:tcPr>
            <w:tcW w:w="429" w:type="dxa"/>
            <w:tcBorders>
              <w:bottom w:val="single" w:sz="4" w:space="0" w:color="auto"/>
            </w:tcBorders>
            <w:shd w:val="clear" w:color="auto" w:fill="FABF8F"/>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2</w:t>
            </w:r>
          </w:p>
        </w:tc>
        <w:tc>
          <w:tcPr>
            <w:tcW w:w="429" w:type="dxa"/>
            <w:tcBorders>
              <w:bottom w:val="single" w:sz="4" w:space="0" w:color="auto"/>
            </w:tcBorders>
            <w:shd w:val="clear" w:color="auto" w:fill="FABF8F"/>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1</w:t>
            </w:r>
          </w:p>
        </w:tc>
        <w:tc>
          <w:tcPr>
            <w:tcW w:w="405" w:type="dxa"/>
            <w:tcBorders>
              <w:left w:val="single" w:sz="18" w:space="0" w:color="auto"/>
              <w:bottom w:val="single" w:sz="4" w:space="0" w:color="auto"/>
            </w:tcBorders>
            <w:shd w:val="clear" w:color="auto" w:fill="FABF8F"/>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1</w:t>
            </w:r>
          </w:p>
        </w:tc>
        <w:tc>
          <w:tcPr>
            <w:tcW w:w="288" w:type="dxa"/>
            <w:tcBorders>
              <w:bottom w:val="single" w:sz="4" w:space="0" w:color="auto"/>
            </w:tcBorders>
            <w:shd w:val="clear" w:color="auto" w:fill="FABF8F"/>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2</w:t>
            </w:r>
          </w:p>
        </w:tc>
        <w:tc>
          <w:tcPr>
            <w:tcW w:w="315" w:type="dxa"/>
            <w:tcBorders>
              <w:bottom w:val="single" w:sz="4" w:space="0" w:color="auto"/>
              <w:right w:val="single" w:sz="18" w:space="0" w:color="auto"/>
            </w:tcBorders>
            <w:shd w:val="clear" w:color="auto" w:fill="FABF8F"/>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1</w:t>
            </w:r>
          </w:p>
        </w:tc>
        <w:tc>
          <w:tcPr>
            <w:tcW w:w="477" w:type="dxa"/>
            <w:tcBorders>
              <w:left w:val="single" w:sz="18" w:space="0" w:color="auto"/>
              <w:bottom w:val="single" w:sz="4" w:space="0" w:color="auto"/>
            </w:tcBorders>
            <w:shd w:val="clear" w:color="auto" w:fill="FABF8F"/>
            <w:vAlign w:val="center"/>
          </w:tcPr>
          <w:p w:rsidR="00D55AB9" w:rsidRPr="00A75DF9" w:rsidRDefault="00D55AB9" w:rsidP="00D55AB9">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D55AB9" w:rsidRPr="00A75DF9" w:rsidRDefault="00D55AB9" w:rsidP="00D55AB9">
            <w:pPr>
              <w:pStyle w:val="TableText"/>
              <w:widowControl w:val="0"/>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FABF8F"/>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P</w:t>
            </w:r>
          </w:p>
        </w:tc>
        <w:tc>
          <w:tcPr>
            <w:tcW w:w="702" w:type="dxa"/>
            <w:tcBorders>
              <w:bottom w:val="single" w:sz="4" w:space="0" w:color="auto"/>
            </w:tcBorders>
            <w:shd w:val="clear" w:color="auto" w:fill="FABF8F"/>
            <w:vAlign w:val="center"/>
          </w:tcPr>
          <w:p w:rsidR="00D55AB9" w:rsidRPr="00A75DF9" w:rsidRDefault="00D55AB9" w:rsidP="00D55AB9">
            <w:pPr>
              <w:pStyle w:val="TableText"/>
              <w:widowControl w:val="0"/>
              <w:rPr>
                <w:rFonts w:ascii="Tahoma" w:hAnsi="Tahoma" w:cs="Tahoma"/>
                <w:sz w:val="13"/>
              </w:rPr>
            </w:pPr>
          </w:p>
        </w:tc>
        <w:tc>
          <w:tcPr>
            <w:tcW w:w="650" w:type="dxa"/>
            <w:tcBorders>
              <w:bottom w:val="single" w:sz="4" w:space="0" w:color="auto"/>
            </w:tcBorders>
            <w:shd w:val="clear" w:color="auto" w:fill="FABF8F"/>
            <w:vAlign w:val="center"/>
          </w:tcPr>
          <w:p w:rsidR="00D55AB9" w:rsidRPr="00A75DF9" w:rsidRDefault="00D55AB9" w:rsidP="00D55AB9">
            <w:pPr>
              <w:pStyle w:val="TableText"/>
              <w:widowControl w:val="0"/>
              <w:rPr>
                <w:rFonts w:ascii="Tahoma" w:hAnsi="Tahoma" w:cs="Tahoma"/>
                <w:sz w:val="13"/>
              </w:rPr>
            </w:pPr>
          </w:p>
        </w:tc>
      </w:tr>
      <w:tr w:rsidR="00A75DF9" w:rsidRPr="00A75DF9" w:rsidTr="00337A7D">
        <w:trPr>
          <w:cantSplit/>
          <w:trHeight w:val="305"/>
        </w:trPr>
        <w:tc>
          <w:tcPr>
            <w:tcW w:w="2634" w:type="dxa"/>
            <w:tcBorders>
              <w:bottom w:val="single" w:sz="4" w:space="0" w:color="auto"/>
            </w:tcBorders>
            <w:shd w:val="clear" w:color="auto" w:fill="auto"/>
            <w:vAlign w:val="center"/>
          </w:tcPr>
          <w:p w:rsidR="00D55AB9" w:rsidRPr="00A75DF9" w:rsidRDefault="00D55AB9" w:rsidP="008B1245">
            <w:pPr>
              <w:pStyle w:val="Heading3"/>
              <w:spacing w:beforeLines="20" w:before="48" w:afterLines="20" w:after="48"/>
              <w:rPr>
                <w:rFonts w:ascii="Tahoma" w:hAnsi="Tahoma" w:cs="Tahoma"/>
                <w:b w:val="0"/>
                <w:sz w:val="14"/>
              </w:rPr>
            </w:pPr>
            <w:bookmarkStart w:id="85" w:name="_Toc368309885"/>
            <w:r w:rsidRPr="00A75DF9">
              <w:rPr>
                <w:rFonts w:ascii="Tahoma" w:hAnsi="Tahoma" w:cs="Tahoma"/>
                <w:b w:val="0"/>
                <w:sz w:val="14"/>
              </w:rPr>
              <w:t>PowerPoint 2013</w:t>
            </w:r>
            <w:bookmarkEnd w:id="85"/>
          </w:p>
        </w:tc>
        <w:tc>
          <w:tcPr>
            <w:tcW w:w="427" w:type="dxa"/>
            <w:tcBorders>
              <w:bottom w:val="single" w:sz="4" w:space="0" w:color="auto"/>
            </w:tcBorders>
            <w:shd w:val="clear" w:color="auto" w:fill="auto"/>
            <w:vAlign w:val="center"/>
          </w:tcPr>
          <w:p w:rsidR="00D55AB9" w:rsidRPr="00A75DF9" w:rsidRDefault="00D55AB9" w:rsidP="00D55AB9">
            <w:pPr>
              <w:pStyle w:val="TableText"/>
              <w:widowControl w:val="0"/>
              <w:rPr>
                <w:rStyle w:val="EndnoteReference"/>
                <w:rFonts w:cs="Tahoma"/>
                <w:color w:val="0000FF"/>
                <w:sz w:val="13"/>
                <w:szCs w:val="13"/>
                <w:u w:val="single"/>
              </w:rPr>
            </w:pPr>
          </w:p>
        </w:tc>
        <w:tc>
          <w:tcPr>
            <w:tcW w:w="427" w:type="dxa"/>
            <w:tcBorders>
              <w:bottom w:val="single" w:sz="4" w:space="0" w:color="auto"/>
            </w:tcBorders>
            <w:shd w:val="clear" w:color="auto" w:fill="auto"/>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1</w:t>
            </w:r>
          </w:p>
        </w:tc>
        <w:tc>
          <w:tcPr>
            <w:tcW w:w="429" w:type="dxa"/>
            <w:tcBorders>
              <w:bottom w:val="single" w:sz="4" w:space="0" w:color="auto"/>
            </w:tcBorders>
            <w:shd w:val="clear" w:color="auto" w:fill="auto"/>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3</w:t>
            </w:r>
          </w:p>
        </w:tc>
        <w:tc>
          <w:tcPr>
            <w:tcW w:w="429" w:type="dxa"/>
            <w:tcBorders>
              <w:bottom w:val="single" w:sz="4" w:space="0" w:color="auto"/>
            </w:tcBorders>
            <w:shd w:val="clear" w:color="auto" w:fill="auto"/>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2</w:t>
            </w:r>
          </w:p>
        </w:tc>
        <w:tc>
          <w:tcPr>
            <w:tcW w:w="429" w:type="dxa"/>
            <w:tcBorders>
              <w:bottom w:val="single" w:sz="4" w:space="0" w:color="auto"/>
            </w:tcBorders>
            <w:shd w:val="clear" w:color="auto" w:fill="auto"/>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2</w:t>
            </w:r>
          </w:p>
        </w:tc>
        <w:tc>
          <w:tcPr>
            <w:tcW w:w="429" w:type="dxa"/>
            <w:tcBorders>
              <w:bottom w:val="single" w:sz="4" w:space="0" w:color="auto"/>
            </w:tcBorders>
            <w:shd w:val="clear" w:color="auto" w:fill="auto"/>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2</w:t>
            </w:r>
          </w:p>
        </w:tc>
        <w:tc>
          <w:tcPr>
            <w:tcW w:w="429" w:type="dxa"/>
            <w:tcBorders>
              <w:bottom w:val="single" w:sz="4" w:space="0" w:color="auto"/>
            </w:tcBorders>
            <w:shd w:val="clear" w:color="auto" w:fill="auto"/>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1</w:t>
            </w:r>
          </w:p>
        </w:tc>
        <w:tc>
          <w:tcPr>
            <w:tcW w:w="405" w:type="dxa"/>
            <w:tcBorders>
              <w:left w:val="single" w:sz="18" w:space="0" w:color="auto"/>
              <w:bottom w:val="single" w:sz="4" w:space="0" w:color="auto"/>
            </w:tcBorders>
            <w:shd w:val="clear" w:color="auto" w:fill="auto"/>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1</w:t>
            </w:r>
          </w:p>
        </w:tc>
        <w:tc>
          <w:tcPr>
            <w:tcW w:w="288" w:type="dxa"/>
            <w:tcBorders>
              <w:bottom w:val="single" w:sz="4" w:space="0" w:color="auto"/>
            </w:tcBorders>
            <w:shd w:val="clear" w:color="auto" w:fill="auto"/>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2</w:t>
            </w:r>
          </w:p>
        </w:tc>
        <w:tc>
          <w:tcPr>
            <w:tcW w:w="315" w:type="dxa"/>
            <w:tcBorders>
              <w:bottom w:val="single" w:sz="4" w:space="0" w:color="auto"/>
              <w:right w:val="single" w:sz="18" w:space="0" w:color="auto"/>
            </w:tcBorders>
            <w:shd w:val="clear" w:color="auto" w:fill="auto"/>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1</w:t>
            </w:r>
          </w:p>
        </w:tc>
        <w:tc>
          <w:tcPr>
            <w:tcW w:w="477" w:type="dxa"/>
            <w:tcBorders>
              <w:left w:val="single" w:sz="18" w:space="0" w:color="auto"/>
              <w:bottom w:val="single" w:sz="4" w:space="0" w:color="auto"/>
            </w:tcBorders>
            <w:shd w:val="clear" w:color="auto" w:fill="auto"/>
            <w:vAlign w:val="center"/>
          </w:tcPr>
          <w:p w:rsidR="00D55AB9" w:rsidRPr="00A75DF9" w:rsidRDefault="00D55AB9" w:rsidP="00D55AB9">
            <w:pPr>
              <w:pStyle w:val="TableText"/>
              <w:widowControl w:val="0"/>
              <w:rPr>
                <w:rFonts w:ascii="Tahoma" w:hAnsi="Tahoma" w:cs="Tahoma"/>
                <w:sz w:val="13"/>
              </w:rPr>
            </w:pPr>
          </w:p>
        </w:tc>
        <w:tc>
          <w:tcPr>
            <w:tcW w:w="396" w:type="dxa"/>
            <w:tcBorders>
              <w:bottom w:val="single" w:sz="4" w:space="0" w:color="auto"/>
              <w:right w:val="single" w:sz="18" w:space="0" w:color="auto"/>
            </w:tcBorders>
            <w:shd w:val="clear" w:color="auto" w:fill="auto"/>
            <w:vAlign w:val="center"/>
          </w:tcPr>
          <w:p w:rsidR="00D55AB9" w:rsidRPr="00A75DF9" w:rsidRDefault="00D55AB9" w:rsidP="00D55AB9">
            <w:pPr>
              <w:pStyle w:val="TableText"/>
              <w:widowControl w:val="0"/>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auto"/>
            <w:vAlign w:val="center"/>
          </w:tcPr>
          <w:p w:rsidR="00D55AB9" w:rsidRPr="00A75DF9" w:rsidRDefault="00D55AB9" w:rsidP="00D55AB9">
            <w:pPr>
              <w:pStyle w:val="TableText"/>
              <w:widowControl w:val="0"/>
              <w:rPr>
                <w:rFonts w:ascii="Tahoma" w:hAnsi="Tahoma" w:cs="Tahoma"/>
                <w:sz w:val="13"/>
              </w:rPr>
            </w:pPr>
            <w:r w:rsidRPr="00A75DF9">
              <w:rPr>
                <w:rFonts w:ascii="Tahoma" w:hAnsi="Tahoma" w:cs="Tahoma"/>
                <w:sz w:val="13"/>
              </w:rPr>
              <w:t>P</w:t>
            </w:r>
          </w:p>
        </w:tc>
        <w:tc>
          <w:tcPr>
            <w:tcW w:w="702" w:type="dxa"/>
            <w:tcBorders>
              <w:bottom w:val="single" w:sz="4" w:space="0" w:color="auto"/>
            </w:tcBorders>
            <w:shd w:val="clear" w:color="auto" w:fill="auto"/>
            <w:vAlign w:val="center"/>
          </w:tcPr>
          <w:p w:rsidR="00D55AB9" w:rsidRPr="00A75DF9" w:rsidRDefault="00D55AB9" w:rsidP="00D55AB9">
            <w:pPr>
              <w:pStyle w:val="TableText"/>
              <w:widowControl w:val="0"/>
              <w:rPr>
                <w:rFonts w:ascii="Tahoma" w:hAnsi="Tahoma" w:cs="Tahoma"/>
                <w:sz w:val="13"/>
              </w:rPr>
            </w:pPr>
          </w:p>
        </w:tc>
        <w:tc>
          <w:tcPr>
            <w:tcW w:w="650" w:type="dxa"/>
            <w:tcBorders>
              <w:bottom w:val="single" w:sz="4" w:space="0" w:color="auto"/>
            </w:tcBorders>
            <w:shd w:val="clear" w:color="auto" w:fill="auto"/>
            <w:vAlign w:val="center"/>
          </w:tcPr>
          <w:p w:rsidR="00D55AB9" w:rsidRPr="00A75DF9" w:rsidRDefault="00D55AB9" w:rsidP="00D55AB9">
            <w:pPr>
              <w:pStyle w:val="TableText"/>
              <w:widowControl w:val="0"/>
              <w:rPr>
                <w:rFonts w:ascii="Tahoma" w:hAnsi="Tahoma" w:cs="Tahoma"/>
                <w:sz w:val="13"/>
              </w:rPr>
            </w:pPr>
          </w:p>
        </w:tc>
      </w:tr>
      <w:tr w:rsidR="00A75DF9" w:rsidRPr="00A75DF9" w:rsidTr="00337A7D">
        <w:trPr>
          <w:cantSplit/>
          <w:trHeight w:val="145"/>
        </w:trPr>
        <w:tc>
          <w:tcPr>
            <w:tcW w:w="2634" w:type="dxa"/>
            <w:tcBorders>
              <w:bottom w:val="single" w:sz="4" w:space="0" w:color="auto"/>
            </w:tcBorders>
            <w:shd w:val="clear" w:color="auto" w:fill="FABF8F"/>
          </w:tcPr>
          <w:p w:rsidR="00D55AB9" w:rsidRPr="00A75DF9" w:rsidRDefault="00D55AB9" w:rsidP="008B1245">
            <w:pPr>
              <w:pStyle w:val="Heading3"/>
              <w:spacing w:beforeLines="20" w:before="48" w:afterLines="20" w:after="48"/>
              <w:rPr>
                <w:rFonts w:ascii="Tahoma" w:hAnsi="Tahoma" w:cs="Tahoma"/>
                <w:b w:val="0"/>
                <w:sz w:val="14"/>
              </w:rPr>
            </w:pPr>
            <w:bookmarkStart w:id="86" w:name="_Toc336337878"/>
            <w:bookmarkStart w:id="87" w:name="_Toc368309886"/>
            <w:r w:rsidRPr="00A75DF9">
              <w:rPr>
                <w:rFonts w:ascii="Tahoma" w:hAnsi="Tahoma" w:cs="Tahoma"/>
                <w:b w:val="0"/>
                <w:sz w:val="14"/>
              </w:rPr>
              <w:t>Powerpoint per Mac 2011</w:t>
            </w:r>
            <w:bookmarkEnd w:id="86"/>
            <w:bookmarkEnd w:id="87"/>
          </w:p>
        </w:tc>
        <w:tc>
          <w:tcPr>
            <w:tcW w:w="427" w:type="dxa"/>
            <w:tcBorders>
              <w:bottom w:val="single" w:sz="4" w:space="0" w:color="auto"/>
            </w:tcBorders>
            <w:shd w:val="clear" w:color="auto" w:fill="FABF8F"/>
            <w:vAlign w:val="center"/>
          </w:tcPr>
          <w:p w:rsidR="00D55AB9" w:rsidRPr="00A75DF9" w:rsidRDefault="00D55AB9" w:rsidP="00D55AB9">
            <w:pPr>
              <w:pStyle w:val="TableText"/>
              <w:widowControl w:val="0"/>
              <w:rPr>
                <w:rStyle w:val="EndnoteReference"/>
                <w:rFonts w:cs="Tahoma"/>
                <w:color w:val="0000FF"/>
                <w:sz w:val="13"/>
                <w:szCs w:val="13"/>
                <w:u w:val="single"/>
              </w:rPr>
            </w:pPr>
          </w:p>
        </w:tc>
        <w:tc>
          <w:tcPr>
            <w:tcW w:w="427" w:type="dxa"/>
            <w:tcBorders>
              <w:bottom w:val="single" w:sz="4" w:space="0" w:color="auto"/>
            </w:tcBorders>
            <w:shd w:val="clear" w:color="auto" w:fill="FABF8F"/>
            <w:vAlign w:val="center"/>
          </w:tcPr>
          <w:p w:rsidR="00D55AB9" w:rsidRPr="00A75DF9" w:rsidRDefault="00D55AB9" w:rsidP="00D55AB9">
            <w:pPr>
              <w:pStyle w:val="TableText"/>
              <w:spacing w:before="60" w:after="60"/>
              <w:rPr>
                <w:rFonts w:ascii="Tahoma" w:hAnsi="Tahoma" w:cs="Tahoma"/>
                <w:sz w:val="13"/>
              </w:rPr>
            </w:pPr>
            <w:r w:rsidRPr="00A75DF9">
              <w:rPr>
                <w:rFonts w:ascii="Tahoma" w:hAnsi="Tahoma" w:cs="Tahoma"/>
                <w:sz w:val="13"/>
              </w:rPr>
              <w:t>09/10</w:t>
            </w:r>
          </w:p>
        </w:tc>
        <w:tc>
          <w:tcPr>
            <w:tcW w:w="429" w:type="dxa"/>
            <w:tcBorders>
              <w:bottom w:val="single" w:sz="4" w:space="0" w:color="auto"/>
              <w:right w:val="single" w:sz="18" w:space="0" w:color="auto"/>
            </w:tcBorders>
            <w:shd w:val="clear" w:color="auto" w:fill="FABF8F"/>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1</w:t>
            </w:r>
          </w:p>
        </w:tc>
        <w:tc>
          <w:tcPr>
            <w:tcW w:w="429" w:type="dxa"/>
            <w:tcBorders>
              <w:bottom w:val="single" w:sz="4" w:space="0" w:color="auto"/>
            </w:tcBorders>
            <w:shd w:val="clear" w:color="auto" w:fill="FABF8F"/>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3</w:t>
            </w:r>
          </w:p>
        </w:tc>
        <w:tc>
          <w:tcPr>
            <w:tcW w:w="429" w:type="dxa"/>
            <w:tcBorders>
              <w:bottom w:val="single" w:sz="4" w:space="0" w:color="auto"/>
            </w:tcBorders>
            <w:shd w:val="clear" w:color="auto" w:fill="FABF8F"/>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2</w:t>
            </w:r>
          </w:p>
        </w:tc>
        <w:tc>
          <w:tcPr>
            <w:tcW w:w="429" w:type="dxa"/>
            <w:tcBorders>
              <w:bottom w:val="single" w:sz="4" w:space="0" w:color="auto"/>
            </w:tcBorders>
            <w:shd w:val="clear" w:color="auto" w:fill="FABF8F"/>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2</w:t>
            </w:r>
          </w:p>
        </w:tc>
        <w:tc>
          <w:tcPr>
            <w:tcW w:w="429" w:type="dxa"/>
            <w:tcBorders>
              <w:bottom w:val="single" w:sz="4" w:space="0" w:color="auto"/>
            </w:tcBorders>
            <w:shd w:val="clear" w:color="auto" w:fill="FABF8F"/>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2</w:t>
            </w:r>
          </w:p>
        </w:tc>
        <w:tc>
          <w:tcPr>
            <w:tcW w:w="429" w:type="dxa"/>
            <w:tcBorders>
              <w:bottom w:val="single" w:sz="4" w:space="0" w:color="auto"/>
            </w:tcBorders>
            <w:shd w:val="clear" w:color="auto" w:fill="FABF8F"/>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1</w:t>
            </w:r>
          </w:p>
        </w:tc>
        <w:tc>
          <w:tcPr>
            <w:tcW w:w="405" w:type="dxa"/>
            <w:tcBorders>
              <w:left w:val="single" w:sz="18" w:space="0" w:color="auto"/>
              <w:bottom w:val="single" w:sz="4" w:space="0" w:color="auto"/>
            </w:tcBorders>
            <w:shd w:val="clear" w:color="auto" w:fill="FABF8F"/>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1</w:t>
            </w:r>
          </w:p>
        </w:tc>
        <w:tc>
          <w:tcPr>
            <w:tcW w:w="288" w:type="dxa"/>
            <w:tcBorders>
              <w:bottom w:val="single" w:sz="4" w:space="0" w:color="auto"/>
            </w:tcBorders>
            <w:shd w:val="clear" w:color="auto" w:fill="FABF8F"/>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2</w:t>
            </w:r>
          </w:p>
        </w:tc>
        <w:tc>
          <w:tcPr>
            <w:tcW w:w="315" w:type="dxa"/>
            <w:tcBorders>
              <w:bottom w:val="single" w:sz="4" w:space="0" w:color="auto"/>
              <w:right w:val="single" w:sz="18" w:space="0" w:color="auto"/>
            </w:tcBorders>
            <w:shd w:val="clear" w:color="auto" w:fill="FABF8F"/>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1</w:t>
            </w:r>
          </w:p>
        </w:tc>
        <w:tc>
          <w:tcPr>
            <w:tcW w:w="477" w:type="dxa"/>
            <w:tcBorders>
              <w:left w:val="single" w:sz="18" w:space="0" w:color="auto"/>
              <w:bottom w:val="single" w:sz="4" w:space="0" w:color="auto"/>
            </w:tcBorders>
            <w:shd w:val="clear" w:color="auto" w:fill="FABF8F"/>
            <w:vAlign w:val="center"/>
          </w:tcPr>
          <w:p w:rsidR="00D55AB9" w:rsidRPr="00A75DF9" w:rsidRDefault="00D55AB9" w:rsidP="00D55AB9">
            <w:pPr>
              <w:pStyle w:val="TableText"/>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D55AB9" w:rsidRPr="00A75DF9" w:rsidRDefault="00D55AB9" w:rsidP="00D55AB9">
            <w:pPr>
              <w:pStyle w:val="TableText"/>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FABF8F"/>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P</w:t>
            </w:r>
          </w:p>
        </w:tc>
        <w:tc>
          <w:tcPr>
            <w:tcW w:w="702" w:type="dxa"/>
            <w:tcBorders>
              <w:bottom w:val="single" w:sz="4" w:space="0" w:color="auto"/>
            </w:tcBorders>
            <w:shd w:val="clear" w:color="auto" w:fill="FABF8F"/>
            <w:vAlign w:val="center"/>
          </w:tcPr>
          <w:p w:rsidR="00D55AB9" w:rsidRPr="00A75DF9" w:rsidRDefault="00D55AB9" w:rsidP="00D55AB9">
            <w:pPr>
              <w:pStyle w:val="TableText"/>
              <w:rPr>
                <w:rFonts w:ascii="Tahoma" w:hAnsi="Tahoma" w:cs="Tahoma"/>
                <w:sz w:val="13"/>
              </w:rPr>
            </w:pPr>
          </w:p>
        </w:tc>
        <w:tc>
          <w:tcPr>
            <w:tcW w:w="650" w:type="dxa"/>
            <w:tcBorders>
              <w:bottom w:val="single" w:sz="4" w:space="0" w:color="auto"/>
            </w:tcBorders>
            <w:shd w:val="clear" w:color="auto" w:fill="FABF8F"/>
            <w:vAlign w:val="center"/>
          </w:tcPr>
          <w:p w:rsidR="00D55AB9" w:rsidRPr="00A75DF9" w:rsidRDefault="00D55AB9" w:rsidP="00D55AB9">
            <w:pPr>
              <w:pStyle w:val="TableText"/>
              <w:rPr>
                <w:rFonts w:ascii="Tahoma" w:hAnsi="Tahoma" w:cs="Tahoma"/>
                <w:sz w:val="13"/>
              </w:rPr>
            </w:pPr>
          </w:p>
        </w:tc>
      </w:tr>
      <w:tr w:rsidR="00A75DF9" w:rsidRPr="00A75DF9" w:rsidTr="00337A7D">
        <w:trPr>
          <w:cantSplit/>
          <w:trHeight w:val="145"/>
        </w:trPr>
        <w:tc>
          <w:tcPr>
            <w:tcW w:w="2634" w:type="dxa"/>
            <w:tcBorders>
              <w:bottom w:val="single" w:sz="4" w:space="0" w:color="auto"/>
            </w:tcBorders>
            <w:shd w:val="clear" w:color="auto" w:fill="auto"/>
          </w:tcPr>
          <w:p w:rsidR="00D55AB9" w:rsidRPr="00A75DF9" w:rsidRDefault="00D55AB9" w:rsidP="008B1245">
            <w:pPr>
              <w:pStyle w:val="Heading3"/>
              <w:spacing w:beforeLines="20" w:before="48" w:afterLines="20" w:after="48"/>
              <w:rPr>
                <w:rFonts w:ascii="Tahoma" w:hAnsi="Tahoma" w:cs="Tahoma"/>
                <w:b w:val="0"/>
                <w:sz w:val="14"/>
              </w:rPr>
            </w:pPr>
            <w:bookmarkStart w:id="88" w:name="_Toc336337879"/>
            <w:bookmarkStart w:id="89" w:name="_Toc368309887"/>
            <w:r w:rsidRPr="00A75DF9">
              <w:rPr>
                <w:rFonts w:ascii="Tahoma" w:hAnsi="Tahoma" w:cs="Tahoma"/>
                <w:b w:val="0"/>
                <w:sz w:val="14"/>
              </w:rPr>
              <w:t>Project Standard</w:t>
            </w:r>
            <w:bookmarkEnd w:id="88"/>
            <w:r w:rsidRPr="00A75DF9">
              <w:rPr>
                <w:rFonts w:ascii="Tahoma" w:hAnsi="Tahoma" w:cs="Tahoma"/>
                <w:b w:val="0"/>
                <w:sz w:val="14"/>
              </w:rPr>
              <w:t xml:space="preserve"> 2013</w:t>
            </w:r>
            <w:bookmarkEnd w:id="89"/>
            <w:r w:rsidRPr="00A75DF9">
              <w:rPr>
                <w:rFonts w:ascii="Tahoma" w:hAnsi="Tahoma" w:cs="Tahoma"/>
                <w:b w:val="0"/>
                <w:sz w:val="14"/>
              </w:rPr>
              <w:t xml:space="preserve"> </w:t>
            </w:r>
          </w:p>
        </w:tc>
        <w:tc>
          <w:tcPr>
            <w:tcW w:w="427" w:type="dxa"/>
            <w:tcBorders>
              <w:bottom w:val="single" w:sz="4" w:space="0" w:color="auto"/>
            </w:tcBorders>
            <w:shd w:val="clear" w:color="auto" w:fill="auto"/>
            <w:vAlign w:val="center"/>
          </w:tcPr>
          <w:p w:rsidR="00D55AB9" w:rsidRPr="00A75DF9" w:rsidRDefault="00D55AB9" w:rsidP="00D55AB9">
            <w:pPr>
              <w:pStyle w:val="TableText"/>
              <w:widowControl w:val="0"/>
              <w:rPr>
                <w:rStyle w:val="EndnoteReference"/>
                <w:rFonts w:cs="Tahoma"/>
                <w:color w:val="0000FF"/>
                <w:sz w:val="13"/>
                <w:szCs w:val="13"/>
                <w:u w:val="single"/>
              </w:rPr>
            </w:pPr>
          </w:p>
        </w:tc>
        <w:tc>
          <w:tcPr>
            <w:tcW w:w="427" w:type="dxa"/>
            <w:tcBorders>
              <w:bottom w:val="single" w:sz="4" w:space="0" w:color="auto"/>
            </w:tcBorders>
            <w:shd w:val="clear" w:color="auto" w:fill="auto"/>
            <w:vAlign w:val="center"/>
          </w:tcPr>
          <w:p w:rsidR="00D55AB9" w:rsidRPr="00A75DF9" w:rsidRDefault="00D55AB9" w:rsidP="00D55AB9">
            <w:pPr>
              <w:pStyle w:val="TableText"/>
              <w:spacing w:before="60" w:after="60"/>
              <w:rPr>
                <w:rFonts w:ascii="Tahoma" w:hAnsi="Tahoma" w:cs="Tahoma"/>
                <w:sz w:val="13"/>
              </w:rPr>
            </w:pPr>
            <w:r w:rsidRPr="00A75DF9">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2</w:t>
            </w:r>
          </w:p>
        </w:tc>
        <w:tc>
          <w:tcPr>
            <w:tcW w:w="429" w:type="dxa"/>
            <w:tcBorders>
              <w:bottom w:val="single" w:sz="4" w:space="0" w:color="auto"/>
            </w:tcBorders>
            <w:shd w:val="clear" w:color="auto" w:fill="auto"/>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5</w:t>
            </w:r>
          </w:p>
        </w:tc>
        <w:tc>
          <w:tcPr>
            <w:tcW w:w="429" w:type="dxa"/>
            <w:tcBorders>
              <w:bottom w:val="single" w:sz="4" w:space="0" w:color="auto"/>
            </w:tcBorders>
            <w:shd w:val="clear" w:color="auto" w:fill="auto"/>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4</w:t>
            </w:r>
          </w:p>
        </w:tc>
        <w:tc>
          <w:tcPr>
            <w:tcW w:w="429" w:type="dxa"/>
            <w:tcBorders>
              <w:bottom w:val="single" w:sz="4" w:space="0" w:color="auto"/>
            </w:tcBorders>
            <w:shd w:val="clear" w:color="auto" w:fill="auto"/>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3</w:t>
            </w:r>
          </w:p>
        </w:tc>
        <w:tc>
          <w:tcPr>
            <w:tcW w:w="429" w:type="dxa"/>
            <w:tcBorders>
              <w:bottom w:val="single" w:sz="4" w:space="0" w:color="auto"/>
            </w:tcBorders>
            <w:shd w:val="clear" w:color="auto" w:fill="auto"/>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3</w:t>
            </w:r>
          </w:p>
        </w:tc>
        <w:tc>
          <w:tcPr>
            <w:tcW w:w="429" w:type="dxa"/>
            <w:tcBorders>
              <w:bottom w:val="single" w:sz="4" w:space="0" w:color="auto"/>
            </w:tcBorders>
            <w:shd w:val="clear" w:color="auto" w:fill="auto"/>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1</w:t>
            </w:r>
          </w:p>
        </w:tc>
        <w:tc>
          <w:tcPr>
            <w:tcW w:w="405" w:type="dxa"/>
            <w:tcBorders>
              <w:left w:val="single" w:sz="18" w:space="0" w:color="auto"/>
              <w:bottom w:val="single" w:sz="4" w:space="0" w:color="auto"/>
            </w:tcBorders>
            <w:shd w:val="clear" w:color="auto" w:fill="auto"/>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2</w:t>
            </w:r>
          </w:p>
        </w:tc>
        <w:tc>
          <w:tcPr>
            <w:tcW w:w="288" w:type="dxa"/>
            <w:tcBorders>
              <w:bottom w:val="single" w:sz="4" w:space="0" w:color="auto"/>
            </w:tcBorders>
            <w:shd w:val="clear" w:color="auto" w:fill="auto"/>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4</w:t>
            </w:r>
          </w:p>
        </w:tc>
        <w:tc>
          <w:tcPr>
            <w:tcW w:w="315" w:type="dxa"/>
            <w:tcBorders>
              <w:bottom w:val="single" w:sz="4" w:space="0" w:color="auto"/>
              <w:right w:val="single" w:sz="18" w:space="0" w:color="auto"/>
            </w:tcBorders>
            <w:shd w:val="clear" w:color="auto" w:fill="auto"/>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2</w:t>
            </w:r>
          </w:p>
        </w:tc>
        <w:tc>
          <w:tcPr>
            <w:tcW w:w="477" w:type="dxa"/>
            <w:tcBorders>
              <w:left w:val="single" w:sz="18" w:space="0" w:color="auto"/>
              <w:bottom w:val="single" w:sz="4" w:space="0" w:color="auto"/>
            </w:tcBorders>
            <w:shd w:val="clear" w:color="auto" w:fill="auto"/>
            <w:vAlign w:val="center"/>
          </w:tcPr>
          <w:p w:rsidR="00D55AB9" w:rsidRPr="00A75DF9" w:rsidRDefault="00D55AB9" w:rsidP="00D55AB9">
            <w:pPr>
              <w:pStyle w:val="TableText"/>
              <w:rPr>
                <w:rFonts w:ascii="Tahoma" w:hAnsi="Tahoma" w:cs="Tahoma"/>
                <w:sz w:val="13"/>
              </w:rPr>
            </w:pPr>
          </w:p>
        </w:tc>
        <w:tc>
          <w:tcPr>
            <w:tcW w:w="396" w:type="dxa"/>
            <w:tcBorders>
              <w:bottom w:val="single" w:sz="4" w:space="0" w:color="auto"/>
              <w:right w:val="single" w:sz="18" w:space="0" w:color="auto"/>
            </w:tcBorders>
            <w:shd w:val="clear" w:color="auto" w:fill="auto"/>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A</w:t>
            </w:r>
          </w:p>
        </w:tc>
        <w:tc>
          <w:tcPr>
            <w:tcW w:w="378" w:type="dxa"/>
            <w:tcBorders>
              <w:left w:val="single" w:sz="18" w:space="0" w:color="auto"/>
              <w:bottom w:val="single" w:sz="4" w:space="0" w:color="auto"/>
              <w:right w:val="single" w:sz="18" w:space="0" w:color="auto"/>
            </w:tcBorders>
            <w:shd w:val="clear" w:color="auto" w:fill="auto"/>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P</w:t>
            </w:r>
          </w:p>
        </w:tc>
        <w:tc>
          <w:tcPr>
            <w:tcW w:w="702" w:type="dxa"/>
            <w:tcBorders>
              <w:bottom w:val="single" w:sz="4" w:space="0" w:color="auto"/>
            </w:tcBorders>
            <w:shd w:val="clear" w:color="auto" w:fill="auto"/>
            <w:vAlign w:val="center"/>
          </w:tcPr>
          <w:p w:rsidR="00D55AB9" w:rsidRPr="00A75DF9" w:rsidRDefault="00D55AB9" w:rsidP="00D55AB9">
            <w:pPr>
              <w:pStyle w:val="TableText"/>
              <w:rPr>
                <w:rFonts w:ascii="Tahoma" w:hAnsi="Tahoma" w:cs="Tahoma"/>
                <w:sz w:val="13"/>
              </w:rPr>
            </w:pPr>
          </w:p>
        </w:tc>
        <w:tc>
          <w:tcPr>
            <w:tcW w:w="650" w:type="dxa"/>
            <w:tcBorders>
              <w:bottom w:val="single" w:sz="4" w:space="0" w:color="auto"/>
            </w:tcBorders>
            <w:shd w:val="clear" w:color="auto" w:fill="auto"/>
            <w:vAlign w:val="center"/>
          </w:tcPr>
          <w:p w:rsidR="00D55AB9" w:rsidRPr="00A75DF9" w:rsidRDefault="00D55AB9" w:rsidP="00D55AB9">
            <w:pPr>
              <w:pStyle w:val="TableText"/>
              <w:rPr>
                <w:rFonts w:ascii="Tahoma" w:hAnsi="Tahoma" w:cs="Tahoma"/>
                <w:sz w:val="13"/>
              </w:rPr>
            </w:pPr>
          </w:p>
        </w:tc>
      </w:tr>
      <w:tr w:rsidR="00A75DF9" w:rsidRPr="00A75DF9" w:rsidTr="00337A7D">
        <w:trPr>
          <w:cantSplit/>
          <w:trHeight w:val="145"/>
        </w:trPr>
        <w:tc>
          <w:tcPr>
            <w:tcW w:w="2634" w:type="dxa"/>
            <w:tcBorders>
              <w:bottom w:val="single" w:sz="4" w:space="0" w:color="auto"/>
            </w:tcBorders>
            <w:shd w:val="clear" w:color="auto" w:fill="FABF8F"/>
          </w:tcPr>
          <w:p w:rsidR="00D55AB9" w:rsidRPr="00A75DF9" w:rsidRDefault="00D55AB9" w:rsidP="008B1245">
            <w:pPr>
              <w:pStyle w:val="Heading3"/>
              <w:spacing w:beforeLines="20" w:before="48" w:afterLines="20" w:after="48"/>
              <w:rPr>
                <w:rFonts w:ascii="Tahoma" w:hAnsi="Tahoma" w:cs="Tahoma"/>
                <w:b w:val="0"/>
                <w:sz w:val="14"/>
              </w:rPr>
            </w:pPr>
            <w:bookmarkStart w:id="90" w:name="_Toc336337880"/>
            <w:bookmarkStart w:id="91" w:name="_Toc368309888"/>
            <w:r w:rsidRPr="00A75DF9">
              <w:rPr>
                <w:rFonts w:ascii="Tahoma" w:hAnsi="Tahoma" w:cs="Tahoma"/>
                <w:b w:val="0"/>
                <w:sz w:val="14"/>
              </w:rPr>
              <w:t>Project Professional 2013</w:t>
            </w:r>
            <w:bookmarkEnd w:id="90"/>
            <w:bookmarkEnd w:id="91"/>
            <w:r w:rsidRPr="00A75DF9">
              <w:rPr>
                <w:rFonts w:ascii="Tahoma" w:hAnsi="Tahoma" w:cs="Tahoma"/>
                <w:b w:val="0"/>
                <w:sz w:val="14"/>
              </w:rPr>
              <w:t xml:space="preserve"> </w:t>
            </w:r>
          </w:p>
        </w:tc>
        <w:tc>
          <w:tcPr>
            <w:tcW w:w="427" w:type="dxa"/>
            <w:tcBorders>
              <w:bottom w:val="single" w:sz="4" w:space="0" w:color="auto"/>
            </w:tcBorders>
            <w:shd w:val="clear" w:color="auto" w:fill="FABF8F"/>
            <w:vAlign w:val="center"/>
          </w:tcPr>
          <w:p w:rsidR="00D55AB9" w:rsidRPr="00A75DF9" w:rsidRDefault="00B54770" w:rsidP="00D55AB9">
            <w:pPr>
              <w:pStyle w:val="TableText"/>
              <w:widowControl w:val="0"/>
              <w:rPr>
                <w:rStyle w:val="EndnoteReference"/>
                <w:rFonts w:cs="Tahoma"/>
                <w:b w:val="0"/>
                <w:color w:val="0000FF"/>
                <w:sz w:val="13"/>
                <w:szCs w:val="13"/>
                <w:u w:val="single"/>
              </w:rPr>
            </w:pPr>
            <w:hyperlink w:anchor="_14_Project_Professional" w:history="1">
              <w:r w:rsidR="00734B17" w:rsidRPr="00A75DF9">
                <w:rPr>
                  <w:rStyle w:val="Hyperlink"/>
                  <w:rFonts w:cs="Tahoma"/>
                  <w:b/>
                  <w:sz w:val="13"/>
                  <w:szCs w:val="13"/>
                </w:rPr>
                <w:t>15</w:t>
              </w:r>
            </w:hyperlink>
          </w:p>
        </w:tc>
        <w:tc>
          <w:tcPr>
            <w:tcW w:w="427" w:type="dxa"/>
            <w:tcBorders>
              <w:bottom w:val="single" w:sz="4" w:space="0" w:color="auto"/>
            </w:tcBorders>
            <w:shd w:val="clear" w:color="auto" w:fill="FABF8F"/>
            <w:vAlign w:val="center"/>
          </w:tcPr>
          <w:p w:rsidR="00D55AB9" w:rsidRPr="00A75DF9" w:rsidRDefault="00D55AB9" w:rsidP="00D55AB9">
            <w:pPr>
              <w:pStyle w:val="TableText"/>
              <w:spacing w:before="60" w:after="60"/>
              <w:rPr>
                <w:rFonts w:ascii="Tahoma" w:hAnsi="Tahoma" w:cs="Tahoma"/>
                <w:sz w:val="13"/>
              </w:rPr>
            </w:pPr>
            <w:r w:rsidRPr="00A75DF9">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A75DF9" w:rsidRDefault="00D55AB9" w:rsidP="00D55AB9">
            <w:pPr>
              <w:pStyle w:val="TableText"/>
              <w:rPr>
                <w:rFonts w:ascii="Tahoma" w:hAnsi="Tahoma" w:cs="Tahoma"/>
                <w:sz w:val="13"/>
                <w:szCs w:val="13"/>
              </w:rPr>
            </w:pPr>
            <w:r w:rsidRPr="00A75DF9">
              <w:rPr>
                <w:rFonts w:ascii="Tahoma" w:hAnsi="Tahoma" w:cs="Tahoma"/>
                <w:sz w:val="13"/>
                <w:szCs w:val="13"/>
              </w:rPr>
              <w:t>4</w:t>
            </w:r>
          </w:p>
        </w:tc>
        <w:tc>
          <w:tcPr>
            <w:tcW w:w="429" w:type="dxa"/>
            <w:tcBorders>
              <w:bottom w:val="single" w:sz="4" w:space="0" w:color="auto"/>
            </w:tcBorders>
            <w:shd w:val="clear" w:color="auto" w:fill="FABF8F"/>
            <w:vAlign w:val="center"/>
          </w:tcPr>
          <w:p w:rsidR="00D55AB9" w:rsidRPr="00A75DF9" w:rsidRDefault="00D55AB9" w:rsidP="00D55AB9">
            <w:pPr>
              <w:pStyle w:val="TableText"/>
              <w:rPr>
                <w:rFonts w:ascii="Tahoma" w:hAnsi="Tahoma" w:cs="Tahoma"/>
                <w:sz w:val="13"/>
                <w:szCs w:val="13"/>
              </w:rPr>
            </w:pPr>
            <w:r w:rsidRPr="00A75DF9">
              <w:rPr>
                <w:rFonts w:ascii="Tahoma" w:hAnsi="Tahoma" w:cs="Tahoma"/>
                <w:sz w:val="13"/>
                <w:szCs w:val="13"/>
              </w:rPr>
              <w:t>10</w:t>
            </w:r>
          </w:p>
        </w:tc>
        <w:tc>
          <w:tcPr>
            <w:tcW w:w="429" w:type="dxa"/>
            <w:tcBorders>
              <w:bottom w:val="single" w:sz="4" w:space="0" w:color="auto"/>
            </w:tcBorders>
            <w:shd w:val="clear" w:color="auto" w:fill="FABF8F"/>
            <w:vAlign w:val="center"/>
          </w:tcPr>
          <w:p w:rsidR="00D55AB9" w:rsidRPr="00A75DF9" w:rsidRDefault="00D55AB9" w:rsidP="00D55AB9">
            <w:pPr>
              <w:pStyle w:val="TableText"/>
              <w:rPr>
                <w:rFonts w:ascii="Tahoma" w:hAnsi="Tahoma" w:cs="Tahoma"/>
                <w:sz w:val="13"/>
                <w:szCs w:val="13"/>
              </w:rPr>
            </w:pPr>
            <w:r w:rsidRPr="00A75DF9">
              <w:rPr>
                <w:rFonts w:ascii="Tahoma" w:hAnsi="Tahoma" w:cs="Tahoma"/>
                <w:sz w:val="13"/>
                <w:szCs w:val="13"/>
              </w:rPr>
              <w:t>8</w:t>
            </w:r>
          </w:p>
        </w:tc>
        <w:tc>
          <w:tcPr>
            <w:tcW w:w="429" w:type="dxa"/>
            <w:tcBorders>
              <w:bottom w:val="single" w:sz="4" w:space="0" w:color="auto"/>
            </w:tcBorders>
            <w:shd w:val="clear" w:color="auto" w:fill="FABF8F"/>
            <w:vAlign w:val="center"/>
          </w:tcPr>
          <w:p w:rsidR="00D55AB9" w:rsidRPr="00A75DF9" w:rsidRDefault="00D55AB9" w:rsidP="00D55AB9">
            <w:pPr>
              <w:pStyle w:val="TableText"/>
              <w:rPr>
                <w:rFonts w:ascii="Tahoma" w:hAnsi="Tahoma" w:cs="Tahoma"/>
                <w:sz w:val="13"/>
                <w:szCs w:val="13"/>
              </w:rPr>
            </w:pPr>
            <w:r w:rsidRPr="00A75DF9">
              <w:rPr>
                <w:rFonts w:ascii="Tahoma" w:hAnsi="Tahoma" w:cs="Tahoma"/>
                <w:sz w:val="13"/>
                <w:szCs w:val="13"/>
              </w:rPr>
              <w:t>6</w:t>
            </w:r>
          </w:p>
        </w:tc>
        <w:tc>
          <w:tcPr>
            <w:tcW w:w="429" w:type="dxa"/>
            <w:tcBorders>
              <w:bottom w:val="single" w:sz="4" w:space="0" w:color="auto"/>
            </w:tcBorders>
            <w:shd w:val="clear" w:color="auto" w:fill="FABF8F"/>
            <w:vAlign w:val="center"/>
          </w:tcPr>
          <w:p w:rsidR="00D55AB9" w:rsidRPr="00A75DF9" w:rsidRDefault="00D55AB9" w:rsidP="00D55AB9">
            <w:pPr>
              <w:pStyle w:val="TableText"/>
              <w:rPr>
                <w:rFonts w:ascii="Tahoma" w:hAnsi="Tahoma" w:cs="Tahoma"/>
                <w:sz w:val="13"/>
                <w:szCs w:val="13"/>
              </w:rPr>
            </w:pPr>
            <w:r w:rsidRPr="00A75DF9">
              <w:rPr>
                <w:rFonts w:ascii="Tahoma" w:hAnsi="Tahoma" w:cs="Tahoma"/>
                <w:sz w:val="13"/>
                <w:szCs w:val="13"/>
              </w:rPr>
              <w:t>6</w:t>
            </w:r>
          </w:p>
        </w:tc>
        <w:tc>
          <w:tcPr>
            <w:tcW w:w="429" w:type="dxa"/>
            <w:tcBorders>
              <w:bottom w:val="single" w:sz="4" w:space="0" w:color="auto"/>
            </w:tcBorders>
            <w:shd w:val="clear" w:color="auto" w:fill="FABF8F"/>
            <w:vAlign w:val="center"/>
          </w:tcPr>
          <w:p w:rsidR="00D55AB9" w:rsidRPr="00A75DF9" w:rsidRDefault="00D55AB9" w:rsidP="00D55AB9">
            <w:pPr>
              <w:pStyle w:val="TableText"/>
              <w:rPr>
                <w:rFonts w:ascii="Tahoma" w:hAnsi="Tahoma" w:cs="Tahoma"/>
                <w:sz w:val="13"/>
                <w:szCs w:val="13"/>
              </w:rPr>
            </w:pPr>
            <w:r w:rsidRPr="00A75DF9">
              <w:rPr>
                <w:rFonts w:ascii="Tahoma" w:hAnsi="Tahoma" w:cs="Tahoma"/>
                <w:sz w:val="13"/>
                <w:szCs w:val="13"/>
              </w:rPr>
              <w:t>4</w:t>
            </w:r>
          </w:p>
        </w:tc>
        <w:tc>
          <w:tcPr>
            <w:tcW w:w="429" w:type="dxa"/>
            <w:tcBorders>
              <w:bottom w:val="single" w:sz="4" w:space="0" w:color="auto"/>
              <w:right w:val="single" w:sz="18" w:space="0" w:color="auto"/>
            </w:tcBorders>
            <w:shd w:val="clear" w:color="auto" w:fill="FABF8F"/>
            <w:vAlign w:val="center"/>
          </w:tcPr>
          <w:p w:rsidR="00D55AB9" w:rsidRPr="00A75DF9" w:rsidRDefault="00D55AB9" w:rsidP="00D55AB9">
            <w:pPr>
              <w:pStyle w:val="TableText"/>
              <w:rPr>
                <w:rFonts w:ascii="Tahoma" w:hAnsi="Tahoma" w:cs="Tahoma"/>
                <w:sz w:val="13"/>
                <w:szCs w:val="13"/>
              </w:rPr>
            </w:pPr>
            <w:r w:rsidRPr="00A75DF9">
              <w:rPr>
                <w:rFonts w:ascii="Tahoma" w:hAnsi="Tahoma" w:cs="Tahoma"/>
                <w:sz w:val="13"/>
                <w:szCs w:val="13"/>
              </w:rPr>
              <w:t>2</w:t>
            </w:r>
          </w:p>
        </w:tc>
        <w:tc>
          <w:tcPr>
            <w:tcW w:w="405" w:type="dxa"/>
            <w:tcBorders>
              <w:left w:val="single" w:sz="18" w:space="0" w:color="auto"/>
              <w:bottom w:val="single" w:sz="4" w:space="0" w:color="auto"/>
            </w:tcBorders>
            <w:shd w:val="clear" w:color="auto" w:fill="FABF8F"/>
            <w:vAlign w:val="center"/>
          </w:tcPr>
          <w:p w:rsidR="00D55AB9" w:rsidRPr="00A75DF9" w:rsidRDefault="00D55AB9" w:rsidP="00D55AB9">
            <w:pPr>
              <w:pStyle w:val="TableText"/>
              <w:rPr>
                <w:rFonts w:ascii="Tahoma" w:hAnsi="Tahoma" w:cs="Tahoma"/>
                <w:sz w:val="13"/>
                <w:szCs w:val="13"/>
              </w:rPr>
            </w:pPr>
            <w:r w:rsidRPr="00A75DF9">
              <w:rPr>
                <w:rFonts w:ascii="Tahoma" w:hAnsi="Tahoma" w:cs="Tahoma"/>
                <w:sz w:val="13"/>
                <w:szCs w:val="13"/>
              </w:rPr>
              <w:t>4</w:t>
            </w:r>
          </w:p>
        </w:tc>
        <w:tc>
          <w:tcPr>
            <w:tcW w:w="288" w:type="dxa"/>
            <w:tcBorders>
              <w:bottom w:val="single" w:sz="4" w:space="0" w:color="auto"/>
            </w:tcBorders>
            <w:shd w:val="clear" w:color="auto" w:fill="FABF8F"/>
            <w:vAlign w:val="center"/>
          </w:tcPr>
          <w:p w:rsidR="00D55AB9" w:rsidRPr="00A75DF9" w:rsidRDefault="00D55AB9" w:rsidP="00D55AB9">
            <w:pPr>
              <w:pStyle w:val="TableText"/>
              <w:rPr>
                <w:rFonts w:ascii="Tahoma" w:hAnsi="Tahoma" w:cs="Tahoma"/>
                <w:sz w:val="13"/>
                <w:szCs w:val="13"/>
              </w:rPr>
            </w:pPr>
            <w:r w:rsidRPr="00A75DF9">
              <w:rPr>
                <w:rFonts w:ascii="Tahoma" w:hAnsi="Tahoma" w:cs="Tahoma"/>
                <w:sz w:val="13"/>
                <w:szCs w:val="13"/>
              </w:rPr>
              <w:t>8</w:t>
            </w:r>
          </w:p>
        </w:tc>
        <w:tc>
          <w:tcPr>
            <w:tcW w:w="315" w:type="dxa"/>
            <w:tcBorders>
              <w:bottom w:val="single" w:sz="4" w:space="0" w:color="auto"/>
              <w:right w:val="single" w:sz="18" w:space="0" w:color="auto"/>
            </w:tcBorders>
            <w:shd w:val="clear" w:color="auto" w:fill="FABF8F"/>
            <w:vAlign w:val="center"/>
          </w:tcPr>
          <w:p w:rsidR="00D55AB9" w:rsidRPr="00A75DF9" w:rsidRDefault="00D55AB9" w:rsidP="00D55AB9">
            <w:pPr>
              <w:pStyle w:val="TableText"/>
              <w:rPr>
                <w:rFonts w:ascii="Tahoma" w:hAnsi="Tahoma" w:cs="Tahoma"/>
                <w:sz w:val="13"/>
                <w:szCs w:val="13"/>
              </w:rPr>
            </w:pPr>
            <w:r w:rsidRPr="00A75DF9">
              <w:rPr>
                <w:rFonts w:ascii="Tahoma" w:hAnsi="Tahoma" w:cs="Tahoma"/>
                <w:sz w:val="13"/>
                <w:szCs w:val="13"/>
              </w:rPr>
              <w:t>4</w:t>
            </w:r>
          </w:p>
        </w:tc>
        <w:tc>
          <w:tcPr>
            <w:tcW w:w="477" w:type="dxa"/>
            <w:tcBorders>
              <w:left w:val="single" w:sz="18" w:space="0" w:color="auto"/>
              <w:bottom w:val="single" w:sz="4" w:space="0" w:color="auto"/>
            </w:tcBorders>
            <w:shd w:val="clear" w:color="auto" w:fill="FABF8F"/>
            <w:vAlign w:val="center"/>
          </w:tcPr>
          <w:p w:rsidR="00D55AB9" w:rsidRPr="00A75DF9" w:rsidRDefault="00D55AB9" w:rsidP="00D55AB9">
            <w:pPr>
              <w:pStyle w:val="TableText"/>
              <w:rPr>
                <w:rFonts w:ascii="Tahoma" w:hAnsi="Tahoma" w:cs="Tahoma"/>
                <w:sz w:val="13"/>
                <w:szCs w:val="13"/>
              </w:rPr>
            </w:pPr>
            <w:r w:rsidRPr="00A75DF9">
              <w:rPr>
                <w:rFonts w:ascii="Tahoma" w:hAnsi="Tahoma" w:cs="Tahoma"/>
                <w:sz w:val="13"/>
                <w:szCs w:val="13"/>
              </w:rPr>
              <w:t>1</w:t>
            </w:r>
          </w:p>
        </w:tc>
        <w:tc>
          <w:tcPr>
            <w:tcW w:w="396" w:type="dxa"/>
            <w:tcBorders>
              <w:bottom w:val="single" w:sz="4" w:space="0" w:color="auto"/>
              <w:right w:val="single" w:sz="18" w:space="0" w:color="auto"/>
            </w:tcBorders>
            <w:shd w:val="clear" w:color="auto" w:fill="FABF8F"/>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A</w:t>
            </w:r>
          </w:p>
        </w:tc>
        <w:tc>
          <w:tcPr>
            <w:tcW w:w="378" w:type="dxa"/>
            <w:tcBorders>
              <w:left w:val="single" w:sz="18" w:space="0" w:color="auto"/>
              <w:bottom w:val="single" w:sz="4" w:space="0" w:color="auto"/>
              <w:right w:val="single" w:sz="18" w:space="0" w:color="auto"/>
            </w:tcBorders>
            <w:shd w:val="clear" w:color="auto" w:fill="FABF8F"/>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P</w:t>
            </w:r>
          </w:p>
        </w:tc>
        <w:tc>
          <w:tcPr>
            <w:tcW w:w="702" w:type="dxa"/>
            <w:tcBorders>
              <w:bottom w:val="single" w:sz="4" w:space="0" w:color="auto"/>
            </w:tcBorders>
            <w:shd w:val="clear" w:color="auto" w:fill="FABF8F"/>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A, AO, ST</w:t>
            </w:r>
          </w:p>
        </w:tc>
        <w:tc>
          <w:tcPr>
            <w:tcW w:w="650" w:type="dxa"/>
            <w:tcBorders>
              <w:bottom w:val="single" w:sz="4" w:space="0" w:color="auto"/>
            </w:tcBorders>
            <w:shd w:val="clear" w:color="auto" w:fill="FABF8F"/>
            <w:vAlign w:val="center"/>
          </w:tcPr>
          <w:p w:rsidR="00D55AB9" w:rsidRPr="00A75DF9" w:rsidRDefault="00D55AB9" w:rsidP="00D55AB9">
            <w:pPr>
              <w:pStyle w:val="TableText"/>
              <w:rPr>
                <w:rFonts w:ascii="Tahoma" w:hAnsi="Tahoma" w:cs="Tahoma"/>
                <w:sz w:val="13"/>
              </w:rPr>
            </w:pPr>
          </w:p>
        </w:tc>
      </w:tr>
      <w:tr w:rsidR="00A75DF9" w:rsidRPr="00A75DF9" w:rsidTr="00337A7D">
        <w:trPr>
          <w:cantSplit/>
          <w:trHeight w:val="145"/>
        </w:trPr>
        <w:tc>
          <w:tcPr>
            <w:tcW w:w="2634" w:type="dxa"/>
            <w:tcBorders>
              <w:bottom w:val="single" w:sz="4" w:space="0" w:color="auto"/>
            </w:tcBorders>
            <w:shd w:val="clear" w:color="auto" w:fill="auto"/>
          </w:tcPr>
          <w:p w:rsidR="00D55AB9" w:rsidRPr="00A75DF9" w:rsidRDefault="00D55AB9" w:rsidP="008B1245">
            <w:pPr>
              <w:pStyle w:val="Heading3"/>
              <w:spacing w:beforeLines="20" w:before="48" w:afterLines="20" w:after="48"/>
              <w:rPr>
                <w:rFonts w:ascii="Tahoma" w:hAnsi="Tahoma" w:cs="Tahoma"/>
                <w:b w:val="0"/>
                <w:sz w:val="14"/>
              </w:rPr>
            </w:pPr>
            <w:bookmarkStart w:id="92" w:name="_Toc368309889"/>
            <w:r w:rsidRPr="00A75DF9">
              <w:rPr>
                <w:rFonts w:ascii="Tahoma" w:hAnsi="Tahoma" w:cs="Tahoma"/>
                <w:b w:val="0"/>
                <w:sz w:val="14"/>
              </w:rPr>
              <w:t>Project Pro per Office 365</w:t>
            </w:r>
            <w:bookmarkEnd w:id="92"/>
            <w:r w:rsidR="009D3B41" w:rsidRPr="00A75DF9">
              <w:rPr>
                <w:rFonts w:ascii="Tahoma" w:hAnsi="Tahoma" w:cs="Tahoma"/>
                <w:b w:val="0"/>
                <w:sz w:val="14"/>
              </w:rPr>
              <w:t xml:space="preserve"> </w:t>
            </w:r>
          </w:p>
        </w:tc>
        <w:tc>
          <w:tcPr>
            <w:tcW w:w="427" w:type="dxa"/>
            <w:tcBorders>
              <w:bottom w:val="single" w:sz="4" w:space="0" w:color="auto"/>
            </w:tcBorders>
            <w:shd w:val="clear" w:color="auto" w:fill="auto"/>
            <w:vAlign w:val="center"/>
          </w:tcPr>
          <w:p w:rsidR="00D55AB9" w:rsidRPr="00A75DF9" w:rsidRDefault="00B54770" w:rsidP="00D55AB9">
            <w:pPr>
              <w:pStyle w:val="TableText"/>
              <w:widowControl w:val="0"/>
              <w:rPr>
                <w:rFonts w:cs="Tahoma"/>
                <w:b/>
                <w:color w:val="0000FF"/>
                <w:sz w:val="13"/>
                <w:szCs w:val="13"/>
                <w:u w:val="single"/>
              </w:rPr>
            </w:pPr>
            <w:hyperlink w:anchor="_15_Project_Pro" w:history="1">
              <w:r w:rsidR="00734B17" w:rsidRPr="00A75DF9">
                <w:rPr>
                  <w:rStyle w:val="Hyperlink"/>
                  <w:rFonts w:cs="Tahoma"/>
                  <w:b/>
                  <w:sz w:val="13"/>
                  <w:szCs w:val="13"/>
                </w:rPr>
                <w:t>16</w:t>
              </w:r>
            </w:hyperlink>
          </w:p>
        </w:tc>
        <w:tc>
          <w:tcPr>
            <w:tcW w:w="427" w:type="dxa"/>
            <w:tcBorders>
              <w:bottom w:val="single" w:sz="4" w:space="0" w:color="auto"/>
            </w:tcBorders>
            <w:shd w:val="clear" w:color="auto" w:fill="auto"/>
            <w:vAlign w:val="center"/>
          </w:tcPr>
          <w:p w:rsidR="00D55AB9" w:rsidRPr="00A75DF9" w:rsidRDefault="00D55AB9" w:rsidP="00D55AB9">
            <w:pPr>
              <w:pStyle w:val="TableText"/>
              <w:spacing w:before="60" w:after="60"/>
              <w:rPr>
                <w:rFonts w:ascii="Tahoma" w:hAnsi="Tahoma" w:cs="Tahoma"/>
                <w:sz w:val="13"/>
              </w:rPr>
            </w:pPr>
            <w:r w:rsidRPr="00A75DF9">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A75DF9" w:rsidRDefault="00D55AB9"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D55AB9" w:rsidRPr="00A75DF9" w:rsidRDefault="00D55AB9"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D55AB9" w:rsidRPr="00A75DF9" w:rsidRDefault="00D55AB9"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D55AB9" w:rsidRPr="00A75DF9" w:rsidRDefault="00D55AB9"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D55AB9" w:rsidRPr="00A75DF9" w:rsidRDefault="00D55AB9" w:rsidP="00D55AB9">
            <w:pPr>
              <w:pStyle w:val="TableText"/>
              <w:spacing w:after="120"/>
              <w:rPr>
                <w:rFonts w:ascii="Tahoma" w:hAnsi="Tahoma" w:cs="Tahoma"/>
                <w:sz w:val="13"/>
                <w:szCs w:val="13"/>
              </w:rPr>
            </w:pPr>
          </w:p>
        </w:tc>
        <w:tc>
          <w:tcPr>
            <w:tcW w:w="429" w:type="dxa"/>
            <w:tcBorders>
              <w:bottom w:val="single" w:sz="4" w:space="0" w:color="auto"/>
            </w:tcBorders>
            <w:shd w:val="clear" w:color="auto" w:fill="auto"/>
            <w:vAlign w:val="center"/>
          </w:tcPr>
          <w:p w:rsidR="00D55AB9" w:rsidRPr="00A75DF9" w:rsidRDefault="00D55AB9"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auto"/>
            <w:vAlign w:val="center"/>
          </w:tcPr>
          <w:p w:rsidR="00D55AB9" w:rsidRPr="00A75DF9" w:rsidRDefault="00D55AB9" w:rsidP="00D55AB9">
            <w:pPr>
              <w:pStyle w:val="TableText"/>
              <w:spacing w:after="120"/>
              <w:rPr>
                <w:rFonts w:ascii="Tahoma" w:hAnsi="Tahoma" w:cs="Tahoma"/>
                <w:sz w:val="13"/>
                <w:szCs w:val="13"/>
              </w:rPr>
            </w:pPr>
          </w:p>
        </w:tc>
        <w:tc>
          <w:tcPr>
            <w:tcW w:w="405" w:type="dxa"/>
            <w:tcBorders>
              <w:left w:val="single" w:sz="18" w:space="0" w:color="auto"/>
              <w:bottom w:val="single" w:sz="4" w:space="0" w:color="auto"/>
            </w:tcBorders>
            <w:shd w:val="clear" w:color="auto" w:fill="auto"/>
            <w:vAlign w:val="center"/>
          </w:tcPr>
          <w:p w:rsidR="00D55AB9" w:rsidRPr="00A75DF9" w:rsidRDefault="00D55AB9" w:rsidP="00D55AB9">
            <w:pPr>
              <w:pStyle w:val="TableText"/>
              <w:spacing w:after="120"/>
              <w:rPr>
                <w:rFonts w:ascii="Tahoma" w:hAnsi="Tahoma" w:cs="Tahoma"/>
                <w:sz w:val="13"/>
                <w:szCs w:val="13"/>
              </w:rPr>
            </w:pPr>
          </w:p>
        </w:tc>
        <w:tc>
          <w:tcPr>
            <w:tcW w:w="288" w:type="dxa"/>
            <w:tcBorders>
              <w:bottom w:val="single" w:sz="4" w:space="0" w:color="auto"/>
            </w:tcBorders>
            <w:shd w:val="clear" w:color="auto" w:fill="auto"/>
            <w:vAlign w:val="center"/>
          </w:tcPr>
          <w:p w:rsidR="00D55AB9" w:rsidRPr="00A75DF9" w:rsidRDefault="00D55AB9" w:rsidP="00D55AB9">
            <w:pPr>
              <w:pStyle w:val="TableText"/>
              <w:spacing w:after="120"/>
              <w:rPr>
                <w:rFonts w:ascii="Tahoma" w:hAnsi="Tahoma" w:cs="Tahoma"/>
                <w:sz w:val="13"/>
                <w:szCs w:val="13"/>
              </w:rPr>
            </w:pPr>
          </w:p>
        </w:tc>
        <w:tc>
          <w:tcPr>
            <w:tcW w:w="315" w:type="dxa"/>
            <w:tcBorders>
              <w:bottom w:val="single" w:sz="4" w:space="0" w:color="auto"/>
              <w:right w:val="single" w:sz="18" w:space="0" w:color="auto"/>
            </w:tcBorders>
            <w:shd w:val="clear" w:color="auto" w:fill="auto"/>
            <w:vAlign w:val="center"/>
          </w:tcPr>
          <w:p w:rsidR="00D55AB9" w:rsidRPr="00A75DF9" w:rsidRDefault="00D55AB9" w:rsidP="00D55AB9">
            <w:pPr>
              <w:pStyle w:val="TableText"/>
              <w:spacing w:after="120"/>
              <w:rPr>
                <w:rFonts w:ascii="Tahoma" w:hAnsi="Tahoma" w:cs="Tahoma"/>
                <w:sz w:val="13"/>
                <w:szCs w:val="13"/>
              </w:rPr>
            </w:pPr>
          </w:p>
        </w:tc>
        <w:tc>
          <w:tcPr>
            <w:tcW w:w="477" w:type="dxa"/>
            <w:tcBorders>
              <w:left w:val="single" w:sz="18" w:space="0" w:color="auto"/>
              <w:bottom w:val="single" w:sz="4" w:space="0" w:color="auto"/>
            </w:tcBorders>
            <w:shd w:val="clear" w:color="auto" w:fill="auto"/>
            <w:vAlign w:val="center"/>
          </w:tcPr>
          <w:p w:rsidR="00D55AB9" w:rsidRPr="00A75DF9" w:rsidRDefault="00D55AB9" w:rsidP="00D55AB9">
            <w:pPr>
              <w:pStyle w:val="TableText"/>
              <w:spacing w:after="120"/>
              <w:rPr>
                <w:rFonts w:ascii="Tahoma" w:hAnsi="Tahoma" w:cs="Tahoma"/>
                <w:sz w:val="13"/>
                <w:szCs w:val="13"/>
              </w:rPr>
            </w:pPr>
          </w:p>
        </w:tc>
        <w:tc>
          <w:tcPr>
            <w:tcW w:w="396" w:type="dxa"/>
            <w:tcBorders>
              <w:bottom w:val="single" w:sz="4" w:space="0" w:color="auto"/>
              <w:right w:val="single" w:sz="18" w:space="0" w:color="auto"/>
            </w:tcBorders>
            <w:shd w:val="clear" w:color="auto" w:fill="auto"/>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A</w:t>
            </w:r>
          </w:p>
        </w:tc>
        <w:tc>
          <w:tcPr>
            <w:tcW w:w="378" w:type="dxa"/>
            <w:tcBorders>
              <w:left w:val="single" w:sz="18" w:space="0" w:color="auto"/>
              <w:bottom w:val="single" w:sz="4" w:space="0" w:color="auto"/>
              <w:right w:val="single" w:sz="18" w:space="0" w:color="auto"/>
            </w:tcBorders>
            <w:shd w:val="clear" w:color="auto" w:fill="auto"/>
            <w:vAlign w:val="center"/>
          </w:tcPr>
          <w:p w:rsidR="00D55AB9" w:rsidRPr="00A75DF9" w:rsidRDefault="00D55AB9" w:rsidP="00D55AB9">
            <w:pPr>
              <w:pStyle w:val="TableText"/>
              <w:rPr>
                <w:rFonts w:ascii="Tahoma" w:hAnsi="Tahoma" w:cs="Tahoma"/>
                <w:sz w:val="13"/>
              </w:rPr>
            </w:pPr>
          </w:p>
        </w:tc>
        <w:tc>
          <w:tcPr>
            <w:tcW w:w="702" w:type="dxa"/>
            <w:tcBorders>
              <w:bottom w:val="single" w:sz="4" w:space="0" w:color="auto"/>
            </w:tcBorders>
            <w:shd w:val="clear" w:color="auto" w:fill="auto"/>
            <w:vAlign w:val="center"/>
          </w:tcPr>
          <w:p w:rsidR="00D55AB9" w:rsidRPr="00A75DF9" w:rsidRDefault="00D55AB9" w:rsidP="00D55AB9">
            <w:pPr>
              <w:pStyle w:val="TableText"/>
              <w:rPr>
                <w:rFonts w:ascii="Tahoma" w:hAnsi="Tahoma" w:cs="Tahoma"/>
                <w:sz w:val="13"/>
              </w:rPr>
            </w:pPr>
          </w:p>
        </w:tc>
        <w:tc>
          <w:tcPr>
            <w:tcW w:w="650" w:type="dxa"/>
            <w:tcBorders>
              <w:bottom w:val="single" w:sz="4" w:space="0" w:color="auto"/>
            </w:tcBorders>
            <w:shd w:val="clear" w:color="auto" w:fill="auto"/>
            <w:vAlign w:val="center"/>
          </w:tcPr>
          <w:p w:rsidR="00D55AB9" w:rsidRPr="00A75DF9" w:rsidRDefault="00D55AB9" w:rsidP="00D55AB9">
            <w:pPr>
              <w:pStyle w:val="TableText"/>
              <w:rPr>
                <w:rFonts w:ascii="Tahoma" w:hAnsi="Tahoma" w:cs="Tahoma"/>
                <w:sz w:val="13"/>
              </w:rPr>
            </w:pPr>
          </w:p>
        </w:tc>
      </w:tr>
      <w:tr w:rsidR="00A75DF9" w:rsidRPr="00A75DF9" w:rsidTr="00337A7D">
        <w:trPr>
          <w:cantSplit/>
          <w:trHeight w:val="145"/>
        </w:trPr>
        <w:tc>
          <w:tcPr>
            <w:tcW w:w="2634" w:type="dxa"/>
            <w:tcBorders>
              <w:bottom w:val="single" w:sz="4" w:space="0" w:color="auto"/>
            </w:tcBorders>
            <w:shd w:val="clear" w:color="auto" w:fill="FABF8F"/>
          </w:tcPr>
          <w:p w:rsidR="00D55AB9" w:rsidRPr="00A75DF9" w:rsidRDefault="00D55AB9" w:rsidP="008B1245">
            <w:pPr>
              <w:pStyle w:val="Heading3"/>
              <w:spacing w:beforeLines="20" w:before="48" w:afterLines="20" w:after="48"/>
              <w:rPr>
                <w:rFonts w:ascii="Tahoma" w:hAnsi="Tahoma" w:cs="Tahoma"/>
                <w:b w:val="0"/>
                <w:sz w:val="14"/>
              </w:rPr>
            </w:pPr>
            <w:bookmarkStart w:id="93" w:name="_Toc368309890"/>
            <w:r w:rsidRPr="00A75DF9">
              <w:rPr>
                <w:rFonts w:ascii="Tahoma" w:hAnsi="Tahoma" w:cs="Tahoma"/>
                <w:b w:val="0"/>
                <w:sz w:val="14"/>
              </w:rPr>
              <w:t>Project Pro per Office 365 A</w:t>
            </w:r>
            <w:bookmarkEnd w:id="93"/>
          </w:p>
        </w:tc>
        <w:tc>
          <w:tcPr>
            <w:tcW w:w="427" w:type="dxa"/>
            <w:tcBorders>
              <w:bottom w:val="single" w:sz="4" w:space="0" w:color="auto"/>
            </w:tcBorders>
            <w:shd w:val="clear" w:color="auto" w:fill="FABF8F"/>
            <w:vAlign w:val="center"/>
          </w:tcPr>
          <w:p w:rsidR="00D55AB9" w:rsidRPr="00A75DF9" w:rsidRDefault="00D55AB9" w:rsidP="00D55AB9">
            <w:pPr>
              <w:pStyle w:val="TableText"/>
              <w:widowControl w:val="0"/>
              <w:rPr>
                <w:rFonts w:cs="Tahoma"/>
                <w:b/>
                <w:color w:val="0000FF"/>
                <w:sz w:val="13"/>
                <w:szCs w:val="13"/>
                <w:u w:val="single"/>
              </w:rPr>
            </w:pPr>
          </w:p>
        </w:tc>
        <w:tc>
          <w:tcPr>
            <w:tcW w:w="427" w:type="dxa"/>
            <w:tcBorders>
              <w:bottom w:val="single" w:sz="4" w:space="0" w:color="auto"/>
            </w:tcBorders>
            <w:shd w:val="clear" w:color="auto" w:fill="FABF8F"/>
            <w:vAlign w:val="center"/>
          </w:tcPr>
          <w:p w:rsidR="00D55AB9" w:rsidRPr="00A75DF9" w:rsidRDefault="00D55AB9" w:rsidP="00D55AB9">
            <w:pPr>
              <w:pStyle w:val="TableText"/>
              <w:spacing w:before="60" w:after="60"/>
              <w:rPr>
                <w:rFonts w:ascii="Tahoma" w:hAnsi="Tahoma" w:cs="Tahoma"/>
                <w:sz w:val="13"/>
              </w:rPr>
            </w:pPr>
            <w:r w:rsidRPr="00A75DF9">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A75DF9" w:rsidRDefault="00D55AB9"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D55AB9" w:rsidRPr="00A75DF9" w:rsidRDefault="00D55AB9"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D55AB9" w:rsidRPr="00A75DF9" w:rsidRDefault="00D55AB9"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D55AB9" w:rsidRPr="00A75DF9" w:rsidRDefault="00D55AB9"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D55AB9" w:rsidRPr="00A75DF9" w:rsidRDefault="00D55AB9" w:rsidP="00D55AB9">
            <w:pPr>
              <w:pStyle w:val="TableText"/>
              <w:spacing w:after="120"/>
              <w:rPr>
                <w:rFonts w:ascii="Tahoma" w:hAnsi="Tahoma" w:cs="Tahoma"/>
                <w:sz w:val="13"/>
                <w:szCs w:val="13"/>
              </w:rPr>
            </w:pPr>
          </w:p>
        </w:tc>
        <w:tc>
          <w:tcPr>
            <w:tcW w:w="429" w:type="dxa"/>
            <w:tcBorders>
              <w:bottom w:val="single" w:sz="4" w:space="0" w:color="auto"/>
            </w:tcBorders>
            <w:shd w:val="clear" w:color="auto" w:fill="FABF8F"/>
            <w:vAlign w:val="center"/>
          </w:tcPr>
          <w:p w:rsidR="00D55AB9" w:rsidRPr="00A75DF9" w:rsidRDefault="00D55AB9" w:rsidP="00D55AB9">
            <w:pPr>
              <w:pStyle w:val="TableText"/>
              <w:spacing w:after="120"/>
              <w:rPr>
                <w:rFonts w:ascii="Tahoma" w:hAnsi="Tahoma" w:cs="Tahoma"/>
                <w:sz w:val="13"/>
                <w:szCs w:val="13"/>
              </w:rPr>
            </w:pPr>
          </w:p>
        </w:tc>
        <w:tc>
          <w:tcPr>
            <w:tcW w:w="429" w:type="dxa"/>
            <w:tcBorders>
              <w:bottom w:val="single" w:sz="4" w:space="0" w:color="auto"/>
              <w:right w:val="single" w:sz="18" w:space="0" w:color="auto"/>
            </w:tcBorders>
            <w:shd w:val="clear" w:color="auto" w:fill="FABF8F"/>
            <w:vAlign w:val="center"/>
          </w:tcPr>
          <w:p w:rsidR="00D55AB9" w:rsidRPr="00A75DF9" w:rsidRDefault="00D55AB9" w:rsidP="00D55AB9">
            <w:pPr>
              <w:pStyle w:val="TableText"/>
              <w:spacing w:after="120"/>
              <w:rPr>
                <w:rFonts w:ascii="Tahoma" w:hAnsi="Tahoma" w:cs="Tahoma"/>
                <w:sz w:val="13"/>
                <w:szCs w:val="13"/>
              </w:rPr>
            </w:pPr>
          </w:p>
        </w:tc>
        <w:tc>
          <w:tcPr>
            <w:tcW w:w="405" w:type="dxa"/>
            <w:tcBorders>
              <w:left w:val="single" w:sz="18" w:space="0" w:color="auto"/>
              <w:bottom w:val="single" w:sz="4" w:space="0" w:color="auto"/>
            </w:tcBorders>
            <w:shd w:val="clear" w:color="auto" w:fill="FABF8F"/>
            <w:vAlign w:val="center"/>
          </w:tcPr>
          <w:p w:rsidR="00D55AB9" w:rsidRPr="00A75DF9" w:rsidRDefault="00D55AB9" w:rsidP="00D55AB9">
            <w:pPr>
              <w:pStyle w:val="TableText"/>
              <w:spacing w:after="120"/>
              <w:rPr>
                <w:rFonts w:ascii="Tahoma" w:hAnsi="Tahoma" w:cs="Tahoma"/>
                <w:sz w:val="13"/>
                <w:szCs w:val="13"/>
              </w:rPr>
            </w:pPr>
          </w:p>
        </w:tc>
        <w:tc>
          <w:tcPr>
            <w:tcW w:w="288" w:type="dxa"/>
            <w:tcBorders>
              <w:bottom w:val="single" w:sz="4" w:space="0" w:color="auto"/>
            </w:tcBorders>
            <w:shd w:val="clear" w:color="auto" w:fill="FABF8F"/>
            <w:vAlign w:val="center"/>
          </w:tcPr>
          <w:p w:rsidR="00D55AB9" w:rsidRPr="00A75DF9" w:rsidRDefault="00D55AB9" w:rsidP="00D55AB9">
            <w:pPr>
              <w:pStyle w:val="TableText"/>
              <w:spacing w:after="120"/>
              <w:rPr>
                <w:rFonts w:ascii="Tahoma" w:hAnsi="Tahoma" w:cs="Tahoma"/>
                <w:sz w:val="13"/>
                <w:szCs w:val="13"/>
              </w:rPr>
            </w:pPr>
          </w:p>
        </w:tc>
        <w:tc>
          <w:tcPr>
            <w:tcW w:w="315" w:type="dxa"/>
            <w:tcBorders>
              <w:bottom w:val="single" w:sz="4" w:space="0" w:color="auto"/>
              <w:right w:val="single" w:sz="18" w:space="0" w:color="auto"/>
            </w:tcBorders>
            <w:shd w:val="clear" w:color="auto" w:fill="FABF8F"/>
            <w:vAlign w:val="center"/>
          </w:tcPr>
          <w:p w:rsidR="00D55AB9" w:rsidRPr="00A75DF9" w:rsidRDefault="00D55AB9" w:rsidP="00D55AB9">
            <w:pPr>
              <w:pStyle w:val="TableText"/>
              <w:spacing w:after="120"/>
              <w:rPr>
                <w:rFonts w:ascii="Tahoma" w:hAnsi="Tahoma" w:cs="Tahoma"/>
                <w:sz w:val="13"/>
                <w:szCs w:val="13"/>
              </w:rPr>
            </w:pPr>
          </w:p>
        </w:tc>
        <w:tc>
          <w:tcPr>
            <w:tcW w:w="477" w:type="dxa"/>
            <w:tcBorders>
              <w:left w:val="single" w:sz="18" w:space="0" w:color="auto"/>
              <w:bottom w:val="single" w:sz="4" w:space="0" w:color="auto"/>
            </w:tcBorders>
            <w:shd w:val="clear" w:color="auto" w:fill="FABF8F"/>
            <w:vAlign w:val="center"/>
          </w:tcPr>
          <w:p w:rsidR="00D55AB9" w:rsidRPr="00A75DF9" w:rsidRDefault="00D55AB9" w:rsidP="00D55AB9">
            <w:pPr>
              <w:pStyle w:val="TableText"/>
              <w:spacing w:after="120"/>
              <w:rPr>
                <w:rFonts w:ascii="Tahoma" w:hAnsi="Tahoma" w:cs="Tahoma"/>
                <w:sz w:val="13"/>
                <w:szCs w:val="13"/>
              </w:rPr>
            </w:pPr>
            <w:r w:rsidRPr="00A75DF9">
              <w:rPr>
                <w:rFonts w:ascii="Tahoma" w:hAnsi="Tahoma" w:cs="Tahoma"/>
                <w:sz w:val="13"/>
                <w:szCs w:val="13"/>
              </w:rPr>
              <w:t>1</w:t>
            </w:r>
          </w:p>
        </w:tc>
        <w:tc>
          <w:tcPr>
            <w:tcW w:w="396" w:type="dxa"/>
            <w:tcBorders>
              <w:bottom w:val="single" w:sz="4" w:space="0" w:color="auto"/>
              <w:right w:val="single" w:sz="18" w:space="0" w:color="auto"/>
            </w:tcBorders>
            <w:shd w:val="clear" w:color="auto" w:fill="FABF8F"/>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A</w:t>
            </w:r>
          </w:p>
        </w:tc>
        <w:tc>
          <w:tcPr>
            <w:tcW w:w="378" w:type="dxa"/>
            <w:tcBorders>
              <w:left w:val="single" w:sz="18" w:space="0" w:color="auto"/>
              <w:bottom w:val="single" w:sz="4" w:space="0" w:color="auto"/>
              <w:right w:val="single" w:sz="18" w:space="0" w:color="auto"/>
            </w:tcBorders>
            <w:shd w:val="clear" w:color="auto" w:fill="FABF8F"/>
            <w:vAlign w:val="center"/>
          </w:tcPr>
          <w:p w:rsidR="00D55AB9" w:rsidRPr="00A75DF9" w:rsidRDefault="00D55AB9" w:rsidP="00D55AB9">
            <w:pPr>
              <w:pStyle w:val="TableText"/>
              <w:rPr>
                <w:rFonts w:ascii="Tahoma" w:hAnsi="Tahoma" w:cs="Tahoma"/>
                <w:sz w:val="13"/>
              </w:rPr>
            </w:pPr>
          </w:p>
        </w:tc>
        <w:tc>
          <w:tcPr>
            <w:tcW w:w="702" w:type="dxa"/>
            <w:tcBorders>
              <w:bottom w:val="single" w:sz="4" w:space="0" w:color="auto"/>
            </w:tcBorders>
            <w:shd w:val="clear" w:color="auto" w:fill="FABF8F"/>
            <w:vAlign w:val="center"/>
          </w:tcPr>
          <w:p w:rsidR="00D55AB9" w:rsidRPr="00A75DF9" w:rsidRDefault="00D55AB9" w:rsidP="00337A7D">
            <w:pPr>
              <w:pStyle w:val="TableText"/>
              <w:rPr>
                <w:rFonts w:ascii="Tahoma" w:hAnsi="Tahoma" w:cs="Tahoma"/>
                <w:sz w:val="13"/>
              </w:rPr>
            </w:pPr>
            <w:r w:rsidRPr="00A75DF9">
              <w:rPr>
                <w:rFonts w:ascii="Tahoma" w:hAnsi="Tahoma" w:cs="Tahoma"/>
                <w:sz w:val="13"/>
              </w:rPr>
              <w:t xml:space="preserve">A, ST </w:t>
            </w:r>
            <w:r w:rsidR="00337A7D">
              <w:rPr>
                <w:rFonts w:ascii="Tahoma" w:hAnsi="Tahoma" w:cs="Tahoma"/>
                <w:sz w:val="13"/>
              </w:rPr>
              <w:br/>
            </w:r>
            <w:r w:rsidRPr="00A75DF9">
              <w:rPr>
                <w:rFonts w:ascii="Tahoma" w:hAnsi="Tahoma" w:cs="Tahoma"/>
                <w:sz w:val="13"/>
              </w:rPr>
              <w:t>Solo EES)</w:t>
            </w:r>
          </w:p>
        </w:tc>
        <w:tc>
          <w:tcPr>
            <w:tcW w:w="650" w:type="dxa"/>
            <w:tcBorders>
              <w:bottom w:val="single" w:sz="4" w:space="0" w:color="auto"/>
            </w:tcBorders>
            <w:shd w:val="clear" w:color="auto" w:fill="FABF8F"/>
            <w:vAlign w:val="center"/>
          </w:tcPr>
          <w:p w:rsidR="00D55AB9" w:rsidRPr="00A75DF9" w:rsidRDefault="00D55AB9" w:rsidP="00D55AB9">
            <w:pPr>
              <w:pStyle w:val="TableText"/>
              <w:rPr>
                <w:rFonts w:ascii="Tahoma" w:hAnsi="Tahoma" w:cs="Tahoma"/>
                <w:sz w:val="13"/>
              </w:rPr>
            </w:pPr>
          </w:p>
        </w:tc>
      </w:tr>
      <w:tr w:rsidR="00A75DF9" w:rsidRPr="00A75DF9" w:rsidTr="00337A7D">
        <w:trPr>
          <w:cantSplit/>
          <w:trHeight w:val="145"/>
        </w:trPr>
        <w:tc>
          <w:tcPr>
            <w:tcW w:w="2634" w:type="dxa"/>
            <w:tcBorders>
              <w:bottom w:val="single" w:sz="4" w:space="0" w:color="auto"/>
            </w:tcBorders>
            <w:shd w:val="clear" w:color="auto" w:fill="auto"/>
          </w:tcPr>
          <w:p w:rsidR="00D55AB9" w:rsidRPr="00A75DF9" w:rsidRDefault="00D55AB9" w:rsidP="008B1245">
            <w:pPr>
              <w:pStyle w:val="Heading3"/>
              <w:spacing w:beforeLines="20" w:before="48" w:afterLines="20" w:after="48"/>
              <w:rPr>
                <w:rFonts w:ascii="Tahoma" w:hAnsi="Tahoma" w:cs="Tahoma"/>
                <w:b w:val="0"/>
                <w:sz w:val="14"/>
              </w:rPr>
            </w:pPr>
            <w:bookmarkStart w:id="94" w:name="_Toc368309891"/>
            <w:r w:rsidRPr="00A75DF9">
              <w:rPr>
                <w:rFonts w:ascii="Tahoma" w:hAnsi="Tahoma" w:cs="Tahoma"/>
                <w:b w:val="0"/>
                <w:sz w:val="14"/>
              </w:rPr>
              <w:t>Publisher 2013</w:t>
            </w:r>
            <w:bookmarkEnd w:id="94"/>
          </w:p>
        </w:tc>
        <w:tc>
          <w:tcPr>
            <w:tcW w:w="427" w:type="dxa"/>
            <w:tcBorders>
              <w:bottom w:val="single" w:sz="4" w:space="0" w:color="auto"/>
            </w:tcBorders>
            <w:shd w:val="clear" w:color="auto" w:fill="auto"/>
            <w:vAlign w:val="center"/>
          </w:tcPr>
          <w:p w:rsidR="00D55AB9" w:rsidRPr="00A75DF9" w:rsidRDefault="00D55AB9" w:rsidP="00D55AB9">
            <w:pPr>
              <w:pStyle w:val="TableText"/>
              <w:widowControl w:val="0"/>
              <w:rPr>
                <w:rFonts w:cs="Tahoma"/>
                <w:b/>
                <w:color w:val="0000FF"/>
                <w:sz w:val="13"/>
                <w:szCs w:val="13"/>
                <w:u w:val="single"/>
              </w:rPr>
            </w:pPr>
            <w:bookmarkStart w:id="95" w:name="_Hlt335908485"/>
          </w:p>
        </w:tc>
        <w:bookmarkEnd w:id="95"/>
        <w:tc>
          <w:tcPr>
            <w:tcW w:w="427" w:type="dxa"/>
            <w:tcBorders>
              <w:bottom w:val="single" w:sz="4" w:space="0" w:color="auto"/>
            </w:tcBorders>
            <w:shd w:val="clear" w:color="auto" w:fill="auto"/>
            <w:vAlign w:val="center"/>
          </w:tcPr>
          <w:p w:rsidR="00D55AB9" w:rsidRPr="00A75DF9" w:rsidDel="00527D48" w:rsidRDefault="00D55AB9" w:rsidP="00D55AB9">
            <w:pPr>
              <w:pStyle w:val="TableText"/>
              <w:spacing w:before="60" w:after="60"/>
              <w:rPr>
                <w:rFonts w:ascii="Tahoma" w:hAnsi="Tahoma" w:cs="Tahoma"/>
                <w:sz w:val="13"/>
              </w:rPr>
            </w:pPr>
            <w:r w:rsidRPr="00A75DF9">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D55AB9" w:rsidRPr="00A75DF9" w:rsidRDefault="00D55AB9"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D55AB9" w:rsidRPr="00A75DF9" w:rsidRDefault="00D55AB9" w:rsidP="00D55AB9">
            <w:pPr>
              <w:pStyle w:val="TableText"/>
              <w:spacing w:after="120"/>
              <w:rPr>
                <w:rFonts w:ascii="Tahoma" w:hAnsi="Tahoma" w:cs="Tahoma"/>
                <w:sz w:val="13"/>
                <w:szCs w:val="13"/>
              </w:rPr>
            </w:pPr>
            <w:r w:rsidRPr="00A75DF9">
              <w:rPr>
                <w:rFonts w:ascii="Tahoma" w:hAnsi="Tahoma" w:cs="Tahoma"/>
                <w:sz w:val="13"/>
                <w:szCs w:val="13"/>
              </w:rPr>
              <w:t>1</w:t>
            </w:r>
          </w:p>
        </w:tc>
        <w:tc>
          <w:tcPr>
            <w:tcW w:w="429" w:type="dxa"/>
            <w:tcBorders>
              <w:bottom w:val="single" w:sz="4" w:space="0" w:color="auto"/>
            </w:tcBorders>
            <w:shd w:val="clear" w:color="auto" w:fill="auto"/>
            <w:vAlign w:val="center"/>
          </w:tcPr>
          <w:p w:rsidR="00D55AB9" w:rsidRPr="00A75DF9" w:rsidRDefault="00D55AB9" w:rsidP="00D55AB9">
            <w:pPr>
              <w:pStyle w:val="TableText"/>
              <w:spacing w:after="120"/>
              <w:rPr>
                <w:rFonts w:ascii="Tahoma" w:hAnsi="Tahoma" w:cs="Tahoma"/>
                <w:sz w:val="13"/>
                <w:szCs w:val="13"/>
              </w:rPr>
            </w:pPr>
            <w:r w:rsidRPr="00A75DF9">
              <w:rPr>
                <w:rFonts w:ascii="Tahoma" w:hAnsi="Tahoma" w:cs="Tahoma"/>
                <w:sz w:val="13"/>
                <w:szCs w:val="13"/>
              </w:rPr>
              <w:t>3</w:t>
            </w:r>
          </w:p>
        </w:tc>
        <w:tc>
          <w:tcPr>
            <w:tcW w:w="429" w:type="dxa"/>
            <w:tcBorders>
              <w:bottom w:val="single" w:sz="4" w:space="0" w:color="auto"/>
            </w:tcBorders>
            <w:shd w:val="clear" w:color="auto" w:fill="auto"/>
            <w:vAlign w:val="center"/>
          </w:tcPr>
          <w:p w:rsidR="00D55AB9" w:rsidRPr="00A75DF9" w:rsidRDefault="00D55AB9" w:rsidP="00D55AB9">
            <w:pPr>
              <w:pStyle w:val="TableText"/>
              <w:spacing w:after="120"/>
              <w:rPr>
                <w:rFonts w:ascii="Tahoma" w:hAnsi="Tahoma" w:cs="Tahoma"/>
                <w:sz w:val="13"/>
                <w:szCs w:val="13"/>
              </w:rPr>
            </w:pPr>
            <w:r w:rsidRPr="00A75DF9">
              <w:rPr>
                <w:rFonts w:ascii="Tahoma" w:hAnsi="Tahoma" w:cs="Tahoma"/>
                <w:sz w:val="13"/>
                <w:szCs w:val="13"/>
              </w:rPr>
              <w:t>2</w:t>
            </w:r>
          </w:p>
        </w:tc>
        <w:tc>
          <w:tcPr>
            <w:tcW w:w="429" w:type="dxa"/>
            <w:tcBorders>
              <w:bottom w:val="single" w:sz="4" w:space="0" w:color="auto"/>
            </w:tcBorders>
            <w:shd w:val="clear" w:color="auto" w:fill="auto"/>
            <w:vAlign w:val="center"/>
          </w:tcPr>
          <w:p w:rsidR="00D55AB9" w:rsidRPr="00A75DF9" w:rsidRDefault="00D55AB9" w:rsidP="00D55AB9">
            <w:pPr>
              <w:pStyle w:val="TableText"/>
              <w:spacing w:after="120"/>
              <w:rPr>
                <w:rFonts w:ascii="Tahoma" w:hAnsi="Tahoma" w:cs="Tahoma"/>
                <w:sz w:val="13"/>
                <w:szCs w:val="13"/>
              </w:rPr>
            </w:pPr>
            <w:r w:rsidRPr="00A75DF9">
              <w:rPr>
                <w:rFonts w:ascii="Tahoma" w:hAnsi="Tahoma" w:cs="Tahoma"/>
                <w:sz w:val="13"/>
                <w:szCs w:val="13"/>
              </w:rPr>
              <w:t>2</w:t>
            </w:r>
          </w:p>
        </w:tc>
        <w:tc>
          <w:tcPr>
            <w:tcW w:w="429" w:type="dxa"/>
            <w:tcBorders>
              <w:bottom w:val="single" w:sz="4" w:space="0" w:color="auto"/>
            </w:tcBorders>
            <w:shd w:val="clear" w:color="auto" w:fill="auto"/>
            <w:vAlign w:val="center"/>
          </w:tcPr>
          <w:p w:rsidR="00D55AB9" w:rsidRPr="00A75DF9" w:rsidRDefault="00D55AB9" w:rsidP="00D55AB9">
            <w:pPr>
              <w:pStyle w:val="TableText"/>
              <w:spacing w:after="120"/>
              <w:rPr>
                <w:rFonts w:ascii="Tahoma" w:hAnsi="Tahoma" w:cs="Tahoma"/>
                <w:sz w:val="13"/>
                <w:szCs w:val="13"/>
              </w:rPr>
            </w:pPr>
            <w:r w:rsidRPr="00A75DF9">
              <w:rPr>
                <w:rFonts w:ascii="Tahoma" w:hAnsi="Tahoma" w:cs="Tahoma"/>
                <w:sz w:val="13"/>
                <w:szCs w:val="13"/>
              </w:rPr>
              <w:t>2</w:t>
            </w:r>
          </w:p>
        </w:tc>
        <w:tc>
          <w:tcPr>
            <w:tcW w:w="429" w:type="dxa"/>
            <w:tcBorders>
              <w:bottom w:val="single" w:sz="4" w:space="0" w:color="auto"/>
            </w:tcBorders>
            <w:shd w:val="clear" w:color="auto" w:fill="auto"/>
            <w:vAlign w:val="center"/>
          </w:tcPr>
          <w:p w:rsidR="00D55AB9" w:rsidRPr="00A75DF9" w:rsidRDefault="00D55AB9" w:rsidP="00D55AB9">
            <w:pPr>
              <w:pStyle w:val="TableText"/>
              <w:spacing w:after="120"/>
              <w:rPr>
                <w:rFonts w:ascii="Tahoma" w:hAnsi="Tahoma" w:cs="Tahoma"/>
                <w:sz w:val="13"/>
                <w:szCs w:val="13"/>
              </w:rPr>
            </w:pPr>
            <w:r w:rsidRPr="00A75DF9">
              <w:rPr>
                <w:rFonts w:ascii="Tahoma" w:hAnsi="Tahoma" w:cs="Tahoma"/>
                <w:sz w:val="13"/>
                <w:szCs w:val="13"/>
              </w:rPr>
              <w:t>1</w:t>
            </w:r>
          </w:p>
        </w:tc>
        <w:tc>
          <w:tcPr>
            <w:tcW w:w="429" w:type="dxa"/>
            <w:tcBorders>
              <w:bottom w:val="single" w:sz="4" w:space="0" w:color="auto"/>
              <w:right w:val="single" w:sz="18" w:space="0" w:color="auto"/>
            </w:tcBorders>
            <w:shd w:val="clear" w:color="auto" w:fill="auto"/>
            <w:vAlign w:val="center"/>
          </w:tcPr>
          <w:p w:rsidR="00D55AB9" w:rsidRPr="00A75DF9" w:rsidRDefault="00D55AB9" w:rsidP="00D55AB9">
            <w:pPr>
              <w:pStyle w:val="TableText"/>
              <w:spacing w:after="120"/>
              <w:rPr>
                <w:rFonts w:ascii="Tahoma" w:hAnsi="Tahoma" w:cs="Tahoma"/>
                <w:sz w:val="13"/>
                <w:szCs w:val="13"/>
              </w:rPr>
            </w:pPr>
            <w:r w:rsidRPr="00A75DF9">
              <w:rPr>
                <w:rFonts w:ascii="Tahoma" w:hAnsi="Tahoma" w:cs="Tahoma"/>
                <w:sz w:val="13"/>
                <w:szCs w:val="13"/>
              </w:rPr>
              <w:t>1</w:t>
            </w:r>
          </w:p>
        </w:tc>
        <w:tc>
          <w:tcPr>
            <w:tcW w:w="405" w:type="dxa"/>
            <w:tcBorders>
              <w:left w:val="single" w:sz="18" w:space="0" w:color="auto"/>
              <w:bottom w:val="single" w:sz="4" w:space="0" w:color="auto"/>
            </w:tcBorders>
            <w:shd w:val="clear" w:color="auto" w:fill="auto"/>
            <w:vAlign w:val="center"/>
          </w:tcPr>
          <w:p w:rsidR="00D55AB9" w:rsidRPr="00A75DF9" w:rsidRDefault="00D55AB9" w:rsidP="00D55AB9">
            <w:pPr>
              <w:pStyle w:val="TableText"/>
              <w:spacing w:after="120"/>
              <w:rPr>
                <w:rFonts w:ascii="Tahoma" w:hAnsi="Tahoma" w:cs="Tahoma"/>
                <w:sz w:val="13"/>
                <w:szCs w:val="13"/>
              </w:rPr>
            </w:pPr>
            <w:r w:rsidRPr="00A75DF9">
              <w:rPr>
                <w:rFonts w:ascii="Tahoma" w:hAnsi="Tahoma" w:cs="Tahoma"/>
                <w:sz w:val="13"/>
                <w:szCs w:val="13"/>
              </w:rPr>
              <w:t>1</w:t>
            </w:r>
          </w:p>
        </w:tc>
        <w:tc>
          <w:tcPr>
            <w:tcW w:w="288" w:type="dxa"/>
            <w:tcBorders>
              <w:bottom w:val="single" w:sz="4" w:space="0" w:color="auto"/>
            </w:tcBorders>
            <w:shd w:val="clear" w:color="auto" w:fill="auto"/>
            <w:vAlign w:val="center"/>
          </w:tcPr>
          <w:p w:rsidR="00D55AB9" w:rsidRPr="00A75DF9" w:rsidRDefault="00D55AB9" w:rsidP="00D55AB9">
            <w:pPr>
              <w:pStyle w:val="TableText"/>
              <w:spacing w:after="120"/>
              <w:rPr>
                <w:rFonts w:ascii="Tahoma" w:hAnsi="Tahoma" w:cs="Tahoma"/>
                <w:sz w:val="13"/>
                <w:szCs w:val="13"/>
              </w:rPr>
            </w:pPr>
            <w:r w:rsidRPr="00A75DF9">
              <w:rPr>
                <w:rFonts w:ascii="Tahoma" w:hAnsi="Tahoma" w:cs="Tahoma"/>
                <w:sz w:val="13"/>
                <w:szCs w:val="13"/>
              </w:rPr>
              <w:t>2</w:t>
            </w:r>
          </w:p>
        </w:tc>
        <w:tc>
          <w:tcPr>
            <w:tcW w:w="315" w:type="dxa"/>
            <w:tcBorders>
              <w:bottom w:val="single" w:sz="4" w:space="0" w:color="auto"/>
              <w:right w:val="single" w:sz="18" w:space="0" w:color="auto"/>
            </w:tcBorders>
            <w:shd w:val="clear" w:color="auto" w:fill="auto"/>
            <w:vAlign w:val="center"/>
          </w:tcPr>
          <w:p w:rsidR="00D55AB9" w:rsidRPr="00A75DF9" w:rsidRDefault="00D55AB9" w:rsidP="00D55AB9">
            <w:pPr>
              <w:pStyle w:val="TableText"/>
              <w:spacing w:after="120"/>
              <w:rPr>
                <w:rFonts w:ascii="Tahoma" w:hAnsi="Tahoma" w:cs="Tahoma"/>
                <w:sz w:val="13"/>
                <w:szCs w:val="13"/>
              </w:rPr>
            </w:pPr>
            <w:r w:rsidRPr="00A75DF9">
              <w:rPr>
                <w:rFonts w:ascii="Tahoma" w:hAnsi="Tahoma" w:cs="Tahoma"/>
                <w:sz w:val="13"/>
                <w:szCs w:val="13"/>
              </w:rPr>
              <w:t>1</w:t>
            </w:r>
          </w:p>
        </w:tc>
        <w:tc>
          <w:tcPr>
            <w:tcW w:w="477" w:type="dxa"/>
            <w:tcBorders>
              <w:left w:val="single" w:sz="18" w:space="0" w:color="auto"/>
              <w:bottom w:val="single" w:sz="4" w:space="0" w:color="auto"/>
            </w:tcBorders>
            <w:shd w:val="clear" w:color="auto" w:fill="auto"/>
            <w:vAlign w:val="center"/>
          </w:tcPr>
          <w:p w:rsidR="00D55AB9" w:rsidRPr="00A75DF9" w:rsidRDefault="00D55AB9" w:rsidP="00D55AB9">
            <w:pPr>
              <w:pStyle w:val="TableText"/>
              <w:spacing w:after="120"/>
              <w:rPr>
                <w:rFonts w:ascii="Tahoma" w:hAnsi="Tahoma" w:cs="Tahoma"/>
                <w:sz w:val="13"/>
                <w:szCs w:val="13"/>
              </w:rPr>
            </w:pPr>
          </w:p>
        </w:tc>
        <w:tc>
          <w:tcPr>
            <w:tcW w:w="396" w:type="dxa"/>
            <w:tcBorders>
              <w:bottom w:val="single" w:sz="4" w:space="0" w:color="auto"/>
              <w:right w:val="single" w:sz="18" w:space="0" w:color="auto"/>
            </w:tcBorders>
            <w:shd w:val="clear" w:color="auto" w:fill="auto"/>
            <w:vAlign w:val="center"/>
          </w:tcPr>
          <w:p w:rsidR="00D55AB9" w:rsidRPr="00A75DF9" w:rsidRDefault="00D55AB9" w:rsidP="00D55AB9">
            <w:pPr>
              <w:pStyle w:val="TableText"/>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auto"/>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P</w:t>
            </w:r>
          </w:p>
        </w:tc>
        <w:tc>
          <w:tcPr>
            <w:tcW w:w="702" w:type="dxa"/>
            <w:tcBorders>
              <w:bottom w:val="single" w:sz="4" w:space="0" w:color="auto"/>
            </w:tcBorders>
            <w:shd w:val="clear" w:color="auto" w:fill="auto"/>
            <w:vAlign w:val="center"/>
          </w:tcPr>
          <w:p w:rsidR="00D55AB9" w:rsidRPr="00A75DF9" w:rsidRDefault="00D55AB9" w:rsidP="00D55AB9">
            <w:pPr>
              <w:pStyle w:val="TableText"/>
              <w:rPr>
                <w:rFonts w:ascii="Tahoma" w:hAnsi="Tahoma" w:cs="Tahoma"/>
                <w:sz w:val="13"/>
              </w:rPr>
            </w:pPr>
          </w:p>
        </w:tc>
        <w:tc>
          <w:tcPr>
            <w:tcW w:w="650" w:type="dxa"/>
            <w:tcBorders>
              <w:bottom w:val="single" w:sz="4" w:space="0" w:color="auto"/>
            </w:tcBorders>
            <w:shd w:val="clear" w:color="auto" w:fill="auto"/>
            <w:vAlign w:val="center"/>
          </w:tcPr>
          <w:p w:rsidR="00D55AB9" w:rsidRPr="00A75DF9" w:rsidRDefault="00D55AB9" w:rsidP="00D55AB9">
            <w:pPr>
              <w:pStyle w:val="TableText"/>
              <w:rPr>
                <w:rFonts w:ascii="Tahoma" w:hAnsi="Tahoma" w:cs="Tahoma"/>
                <w:sz w:val="13"/>
              </w:rPr>
            </w:pPr>
          </w:p>
        </w:tc>
      </w:tr>
      <w:tr w:rsidR="00A75DF9" w:rsidRPr="00A75DF9" w:rsidTr="00337A7D">
        <w:trPr>
          <w:cantSplit/>
          <w:trHeight w:val="145"/>
        </w:trPr>
        <w:tc>
          <w:tcPr>
            <w:tcW w:w="2634" w:type="dxa"/>
            <w:tcBorders>
              <w:bottom w:val="single" w:sz="4" w:space="0" w:color="auto"/>
            </w:tcBorders>
            <w:shd w:val="clear" w:color="auto" w:fill="FABF8F"/>
          </w:tcPr>
          <w:p w:rsidR="00D55AB9" w:rsidRPr="00A75DF9" w:rsidRDefault="00D55AB9" w:rsidP="008B1245">
            <w:pPr>
              <w:pStyle w:val="Heading3"/>
              <w:spacing w:beforeLines="20" w:before="48" w:afterLines="20" w:after="48"/>
              <w:rPr>
                <w:rFonts w:ascii="Tahoma" w:hAnsi="Tahoma" w:cs="Tahoma"/>
                <w:b w:val="0"/>
                <w:sz w:val="14"/>
              </w:rPr>
            </w:pPr>
            <w:bookmarkStart w:id="96" w:name="_Toc336337882"/>
            <w:bookmarkStart w:id="97" w:name="_Toc368309892"/>
            <w:r w:rsidRPr="00A75DF9">
              <w:rPr>
                <w:rFonts w:ascii="Tahoma" w:hAnsi="Tahoma" w:cs="Tahoma"/>
                <w:b w:val="0"/>
                <w:sz w:val="14"/>
              </w:rPr>
              <w:t xml:space="preserve">Diritti di Noleggio per Office </w:t>
            </w:r>
            <w:bookmarkEnd w:id="96"/>
            <w:r w:rsidRPr="00A75DF9">
              <w:rPr>
                <w:rFonts w:ascii="Tahoma" w:hAnsi="Tahoma" w:cs="Tahoma"/>
                <w:b w:val="0"/>
                <w:sz w:val="14"/>
              </w:rPr>
              <w:t>Standard</w:t>
            </w:r>
            <w:bookmarkEnd w:id="97"/>
          </w:p>
        </w:tc>
        <w:tc>
          <w:tcPr>
            <w:tcW w:w="427" w:type="dxa"/>
            <w:tcBorders>
              <w:bottom w:val="single" w:sz="4" w:space="0" w:color="auto"/>
            </w:tcBorders>
            <w:shd w:val="clear" w:color="auto" w:fill="FABF8F"/>
            <w:vAlign w:val="center"/>
          </w:tcPr>
          <w:p w:rsidR="00D55AB9" w:rsidRPr="00A75DF9" w:rsidRDefault="00B54770" w:rsidP="00D55AB9">
            <w:pPr>
              <w:pStyle w:val="TableText"/>
              <w:widowControl w:val="0"/>
              <w:rPr>
                <w:rStyle w:val="EndnoteReference"/>
                <w:rFonts w:cs="Tahoma"/>
                <w:b w:val="0"/>
                <w:color w:val="0000FF"/>
                <w:sz w:val="13"/>
                <w:szCs w:val="13"/>
                <w:u w:val="single"/>
              </w:rPr>
            </w:pPr>
            <w:hyperlink w:anchor="_16_Rental_Rights" w:history="1">
              <w:r w:rsidR="00734B17" w:rsidRPr="00A75DF9">
                <w:rPr>
                  <w:rStyle w:val="Hyperlink"/>
                  <w:rFonts w:cs="Tahoma"/>
                  <w:b/>
                  <w:sz w:val="13"/>
                  <w:szCs w:val="13"/>
                </w:rPr>
                <w:t>17</w:t>
              </w:r>
            </w:hyperlink>
          </w:p>
        </w:tc>
        <w:tc>
          <w:tcPr>
            <w:tcW w:w="427" w:type="dxa"/>
            <w:tcBorders>
              <w:bottom w:val="single" w:sz="4" w:space="0" w:color="auto"/>
            </w:tcBorders>
            <w:shd w:val="clear" w:color="auto" w:fill="FABF8F"/>
            <w:vAlign w:val="center"/>
          </w:tcPr>
          <w:p w:rsidR="00D55AB9" w:rsidRPr="00A75DF9" w:rsidRDefault="00D55AB9" w:rsidP="00D55AB9">
            <w:pPr>
              <w:pStyle w:val="TableText"/>
              <w:spacing w:before="60" w:after="60"/>
              <w:rPr>
                <w:rFonts w:ascii="Tahoma" w:hAnsi="Tahoma" w:cs="Tahoma"/>
                <w:sz w:val="13"/>
              </w:rPr>
            </w:pPr>
            <w:r w:rsidRPr="00A75DF9">
              <w:rPr>
                <w:rFonts w:ascii="Tahoma" w:hAnsi="Tahoma" w:cs="Tahoma"/>
                <w:sz w:val="13"/>
              </w:rPr>
              <w:t>4/09</w:t>
            </w:r>
          </w:p>
        </w:tc>
        <w:tc>
          <w:tcPr>
            <w:tcW w:w="429" w:type="dxa"/>
            <w:tcBorders>
              <w:bottom w:val="single" w:sz="4" w:space="0" w:color="auto"/>
              <w:right w:val="single" w:sz="18" w:space="0" w:color="auto"/>
            </w:tcBorders>
            <w:shd w:val="clear" w:color="auto" w:fill="FABF8F"/>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1</w:t>
            </w:r>
          </w:p>
        </w:tc>
        <w:tc>
          <w:tcPr>
            <w:tcW w:w="429" w:type="dxa"/>
            <w:tcBorders>
              <w:bottom w:val="single" w:sz="4" w:space="0" w:color="auto"/>
            </w:tcBorders>
            <w:shd w:val="clear" w:color="auto" w:fill="FABF8F"/>
            <w:vAlign w:val="center"/>
          </w:tcPr>
          <w:p w:rsidR="00D55AB9" w:rsidRPr="00A75DF9" w:rsidRDefault="00D55AB9"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A75DF9" w:rsidRDefault="00D55AB9"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A75DF9" w:rsidRDefault="00D55AB9"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A75DF9" w:rsidRDefault="00D55AB9"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A75DF9" w:rsidRDefault="00D55AB9"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A75DF9" w:rsidRDefault="00D55AB9" w:rsidP="00D55AB9">
            <w:pPr>
              <w:pStyle w:val="TableText"/>
              <w:rPr>
                <w:rFonts w:ascii="Tahoma" w:hAnsi="Tahoma" w:cs="Tahoma"/>
                <w:sz w:val="13"/>
              </w:rPr>
            </w:pPr>
          </w:p>
        </w:tc>
        <w:tc>
          <w:tcPr>
            <w:tcW w:w="405" w:type="dxa"/>
            <w:tcBorders>
              <w:left w:val="single" w:sz="18" w:space="0" w:color="auto"/>
              <w:bottom w:val="single" w:sz="4" w:space="0" w:color="auto"/>
            </w:tcBorders>
            <w:shd w:val="clear" w:color="auto" w:fill="FABF8F"/>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1</w:t>
            </w:r>
          </w:p>
        </w:tc>
        <w:tc>
          <w:tcPr>
            <w:tcW w:w="288" w:type="dxa"/>
            <w:tcBorders>
              <w:bottom w:val="single" w:sz="4" w:space="0" w:color="auto"/>
            </w:tcBorders>
            <w:shd w:val="clear" w:color="auto" w:fill="FABF8F"/>
            <w:vAlign w:val="center"/>
          </w:tcPr>
          <w:p w:rsidR="00D55AB9" w:rsidRPr="00A75DF9" w:rsidRDefault="00D55AB9" w:rsidP="00D55AB9">
            <w:pPr>
              <w:pStyle w:val="TableText"/>
              <w:rPr>
                <w:rFonts w:ascii="Tahoma" w:hAnsi="Tahoma" w:cs="Tahoma"/>
                <w:sz w:val="13"/>
              </w:rPr>
            </w:pPr>
          </w:p>
        </w:tc>
        <w:tc>
          <w:tcPr>
            <w:tcW w:w="315" w:type="dxa"/>
            <w:tcBorders>
              <w:bottom w:val="single" w:sz="4" w:space="0" w:color="auto"/>
              <w:right w:val="single" w:sz="18" w:space="0" w:color="auto"/>
            </w:tcBorders>
            <w:shd w:val="clear" w:color="auto" w:fill="FABF8F"/>
            <w:vAlign w:val="center"/>
          </w:tcPr>
          <w:p w:rsidR="00D55AB9" w:rsidRPr="00A75DF9" w:rsidRDefault="00D55AB9" w:rsidP="00D55AB9">
            <w:pPr>
              <w:pStyle w:val="TableText"/>
              <w:rPr>
                <w:rFonts w:ascii="Tahoma" w:hAnsi="Tahoma" w:cs="Tahoma"/>
                <w:sz w:val="13"/>
              </w:rPr>
            </w:pPr>
          </w:p>
        </w:tc>
        <w:tc>
          <w:tcPr>
            <w:tcW w:w="477" w:type="dxa"/>
            <w:tcBorders>
              <w:left w:val="single" w:sz="18" w:space="0" w:color="auto"/>
              <w:bottom w:val="single" w:sz="4" w:space="0" w:color="auto"/>
            </w:tcBorders>
            <w:shd w:val="clear" w:color="auto" w:fill="FABF8F"/>
            <w:vAlign w:val="center"/>
          </w:tcPr>
          <w:p w:rsidR="00D55AB9" w:rsidRPr="00A75DF9" w:rsidRDefault="00D55AB9" w:rsidP="00D55AB9">
            <w:pPr>
              <w:pStyle w:val="TableText"/>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D55AB9" w:rsidRPr="00A75DF9" w:rsidRDefault="00D55AB9" w:rsidP="00D55AB9">
            <w:pPr>
              <w:pStyle w:val="TableText"/>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FABF8F"/>
            <w:vAlign w:val="center"/>
          </w:tcPr>
          <w:p w:rsidR="00D55AB9" w:rsidRPr="00A75DF9" w:rsidRDefault="00D55AB9" w:rsidP="00D55AB9">
            <w:pPr>
              <w:pStyle w:val="TableText"/>
              <w:rPr>
                <w:rFonts w:ascii="Tahoma" w:hAnsi="Tahoma" w:cs="Tahoma"/>
                <w:sz w:val="13"/>
              </w:rPr>
            </w:pPr>
          </w:p>
        </w:tc>
        <w:tc>
          <w:tcPr>
            <w:tcW w:w="702" w:type="dxa"/>
            <w:tcBorders>
              <w:bottom w:val="single" w:sz="4" w:space="0" w:color="auto"/>
            </w:tcBorders>
            <w:shd w:val="clear" w:color="auto" w:fill="FABF8F"/>
            <w:vAlign w:val="center"/>
          </w:tcPr>
          <w:p w:rsidR="00D55AB9" w:rsidRPr="00A75DF9" w:rsidRDefault="00D55AB9" w:rsidP="00D55AB9">
            <w:pPr>
              <w:pStyle w:val="TableText"/>
              <w:rPr>
                <w:rFonts w:ascii="Tahoma" w:hAnsi="Tahoma" w:cs="Tahoma"/>
                <w:sz w:val="13"/>
              </w:rPr>
            </w:pPr>
          </w:p>
        </w:tc>
        <w:tc>
          <w:tcPr>
            <w:tcW w:w="650" w:type="dxa"/>
            <w:tcBorders>
              <w:bottom w:val="single" w:sz="4" w:space="0" w:color="auto"/>
            </w:tcBorders>
            <w:shd w:val="clear" w:color="auto" w:fill="FABF8F"/>
            <w:vAlign w:val="center"/>
          </w:tcPr>
          <w:p w:rsidR="00D55AB9" w:rsidRPr="00A75DF9" w:rsidRDefault="00D55AB9" w:rsidP="00D55AB9">
            <w:pPr>
              <w:pStyle w:val="TableText"/>
              <w:rPr>
                <w:rFonts w:ascii="Tahoma" w:hAnsi="Tahoma" w:cs="Tahoma"/>
                <w:sz w:val="13"/>
              </w:rPr>
            </w:pPr>
          </w:p>
        </w:tc>
      </w:tr>
      <w:tr w:rsidR="00A75DF9" w:rsidRPr="00A75DF9" w:rsidTr="00337A7D">
        <w:trPr>
          <w:cantSplit/>
          <w:trHeight w:val="145"/>
        </w:trPr>
        <w:tc>
          <w:tcPr>
            <w:tcW w:w="2634" w:type="dxa"/>
            <w:tcBorders>
              <w:bottom w:val="single" w:sz="4" w:space="0" w:color="auto"/>
            </w:tcBorders>
            <w:shd w:val="clear" w:color="auto" w:fill="auto"/>
          </w:tcPr>
          <w:p w:rsidR="00D55AB9" w:rsidRPr="00A75DF9" w:rsidRDefault="00D55AB9" w:rsidP="00337A7D">
            <w:pPr>
              <w:pStyle w:val="Heading3"/>
              <w:spacing w:beforeLines="20" w:before="48" w:afterLines="20" w:after="48"/>
              <w:rPr>
                <w:rFonts w:ascii="Tahoma" w:hAnsi="Tahoma" w:cs="Tahoma"/>
                <w:b w:val="0"/>
                <w:sz w:val="14"/>
              </w:rPr>
            </w:pPr>
            <w:bookmarkStart w:id="98" w:name="_Toc368309893"/>
            <w:r w:rsidRPr="00A75DF9">
              <w:rPr>
                <w:rFonts w:ascii="Tahoma" w:hAnsi="Tahoma" w:cs="Tahoma"/>
                <w:b w:val="0"/>
                <w:sz w:val="14"/>
              </w:rPr>
              <w:t>Diritto di Noleggio per Office Professional</w:t>
            </w:r>
            <w:r w:rsidR="00337A7D">
              <w:rPr>
                <w:rFonts w:ascii="Tahoma" w:hAnsi="Tahoma" w:cs="Tahoma"/>
                <w:b w:val="0"/>
                <w:sz w:val="14"/>
              </w:rPr>
              <w:t> </w:t>
            </w:r>
            <w:r w:rsidRPr="00A75DF9">
              <w:rPr>
                <w:rFonts w:ascii="Tahoma" w:hAnsi="Tahoma" w:cs="Tahoma"/>
                <w:b w:val="0"/>
                <w:sz w:val="14"/>
              </w:rPr>
              <w:t>Plus</w:t>
            </w:r>
            <w:bookmarkEnd w:id="98"/>
          </w:p>
        </w:tc>
        <w:tc>
          <w:tcPr>
            <w:tcW w:w="427" w:type="dxa"/>
            <w:tcBorders>
              <w:bottom w:val="single" w:sz="4" w:space="0" w:color="auto"/>
            </w:tcBorders>
            <w:shd w:val="clear" w:color="auto" w:fill="auto"/>
            <w:vAlign w:val="center"/>
          </w:tcPr>
          <w:p w:rsidR="00D55AB9" w:rsidRPr="00A75DF9" w:rsidRDefault="00B54770" w:rsidP="00D55AB9">
            <w:pPr>
              <w:pStyle w:val="TableText"/>
              <w:widowControl w:val="0"/>
              <w:rPr>
                <w:rStyle w:val="EndnoteReference"/>
                <w:rFonts w:cs="Tahoma"/>
                <w:b w:val="0"/>
                <w:color w:val="0000FF"/>
                <w:sz w:val="13"/>
                <w:szCs w:val="13"/>
                <w:u w:val="single"/>
              </w:rPr>
            </w:pPr>
            <w:hyperlink w:anchor="_16_Rental_Rights" w:history="1">
              <w:r w:rsidR="00734B17" w:rsidRPr="00A75DF9">
                <w:rPr>
                  <w:rStyle w:val="Hyperlink"/>
                  <w:rFonts w:cs="Tahoma"/>
                  <w:b/>
                  <w:sz w:val="13"/>
                  <w:szCs w:val="13"/>
                </w:rPr>
                <w:t>17</w:t>
              </w:r>
            </w:hyperlink>
          </w:p>
        </w:tc>
        <w:tc>
          <w:tcPr>
            <w:tcW w:w="427" w:type="dxa"/>
            <w:tcBorders>
              <w:bottom w:val="single" w:sz="4" w:space="0" w:color="auto"/>
            </w:tcBorders>
            <w:shd w:val="clear" w:color="auto" w:fill="auto"/>
            <w:vAlign w:val="center"/>
          </w:tcPr>
          <w:p w:rsidR="00D55AB9" w:rsidRPr="00A75DF9" w:rsidRDefault="00D55AB9" w:rsidP="00D55AB9">
            <w:pPr>
              <w:pStyle w:val="TableText"/>
              <w:spacing w:before="60" w:after="60"/>
              <w:rPr>
                <w:rFonts w:ascii="Tahoma" w:hAnsi="Tahoma" w:cs="Tahoma"/>
                <w:sz w:val="13"/>
              </w:rPr>
            </w:pPr>
            <w:r w:rsidRPr="00A75DF9">
              <w:rPr>
                <w:rFonts w:ascii="Tahoma" w:hAnsi="Tahoma" w:cs="Tahoma"/>
                <w:sz w:val="13"/>
              </w:rPr>
              <w:t>4/09</w:t>
            </w:r>
          </w:p>
        </w:tc>
        <w:tc>
          <w:tcPr>
            <w:tcW w:w="429" w:type="dxa"/>
            <w:tcBorders>
              <w:bottom w:val="single" w:sz="4" w:space="0" w:color="auto"/>
              <w:right w:val="single" w:sz="18" w:space="0" w:color="auto"/>
            </w:tcBorders>
            <w:shd w:val="clear" w:color="auto" w:fill="auto"/>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1</w:t>
            </w:r>
          </w:p>
        </w:tc>
        <w:tc>
          <w:tcPr>
            <w:tcW w:w="429" w:type="dxa"/>
            <w:tcBorders>
              <w:bottom w:val="single" w:sz="4" w:space="0" w:color="auto"/>
            </w:tcBorders>
            <w:shd w:val="clear" w:color="auto" w:fill="auto"/>
            <w:vAlign w:val="center"/>
          </w:tcPr>
          <w:p w:rsidR="00D55AB9" w:rsidRPr="00A75DF9" w:rsidRDefault="00D55AB9"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A75DF9" w:rsidRDefault="00D55AB9"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A75DF9" w:rsidRDefault="00D55AB9"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A75DF9" w:rsidRDefault="00D55AB9"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A75DF9" w:rsidRDefault="00D55AB9"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A75DF9" w:rsidRDefault="00D55AB9" w:rsidP="00D55AB9">
            <w:pPr>
              <w:pStyle w:val="TableText"/>
              <w:rPr>
                <w:rFonts w:ascii="Tahoma" w:hAnsi="Tahoma" w:cs="Tahoma"/>
                <w:sz w:val="13"/>
              </w:rPr>
            </w:pPr>
          </w:p>
        </w:tc>
        <w:tc>
          <w:tcPr>
            <w:tcW w:w="405" w:type="dxa"/>
            <w:tcBorders>
              <w:left w:val="single" w:sz="18" w:space="0" w:color="auto"/>
              <w:bottom w:val="single" w:sz="4" w:space="0" w:color="auto"/>
            </w:tcBorders>
            <w:shd w:val="clear" w:color="auto" w:fill="auto"/>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1</w:t>
            </w:r>
          </w:p>
        </w:tc>
        <w:tc>
          <w:tcPr>
            <w:tcW w:w="288" w:type="dxa"/>
            <w:tcBorders>
              <w:bottom w:val="single" w:sz="4" w:space="0" w:color="auto"/>
            </w:tcBorders>
            <w:shd w:val="clear" w:color="auto" w:fill="auto"/>
            <w:vAlign w:val="center"/>
          </w:tcPr>
          <w:p w:rsidR="00D55AB9" w:rsidRPr="00A75DF9" w:rsidRDefault="00D55AB9" w:rsidP="00D55AB9">
            <w:pPr>
              <w:pStyle w:val="TableText"/>
              <w:rPr>
                <w:rFonts w:ascii="Tahoma" w:hAnsi="Tahoma" w:cs="Tahoma"/>
                <w:sz w:val="13"/>
              </w:rPr>
            </w:pPr>
          </w:p>
        </w:tc>
        <w:tc>
          <w:tcPr>
            <w:tcW w:w="315" w:type="dxa"/>
            <w:tcBorders>
              <w:bottom w:val="single" w:sz="4" w:space="0" w:color="auto"/>
              <w:right w:val="single" w:sz="18" w:space="0" w:color="auto"/>
            </w:tcBorders>
            <w:shd w:val="clear" w:color="auto" w:fill="auto"/>
            <w:vAlign w:val="center"/>
          </w:tcPr>
          <w:p w:rsidR="00D55AB9" w:rsidRPr="00A75DF9" w:rsidRDefault="00D55AB9" w:rsidP="00D55AB9">
            <w:pPr>
              <w:pStyle w:val="TableText"/>
              <w:rPr>
                <w:rFonts w:ascii="Tahoma" w:hAnsi="Tahoma" w:cs="Tahoma"/>
                <w:sz w:val="13"/>
              </w:rPr>
            </w:pPr>
          </w:p>
        </w:tc>
        <w:tc>
          <w:tcPr>
            <w:tcW w:w="477" w:type="dxa"/>
            <w:tcBorders>
              <w:left w:val="single" w:sz="18" w:space="0" w:color="auto"/>
              <w:bottom w:val="single" w:sz="4" w:space="0" w:color="auto"/>
            </w:tcBorders>
            <w:shd w:val="clear" w:color="auto" w:fill="auto"/>
            <w:vAlign w:val="center"/>
          </w:tcPr>
          <w:p w:rsidR="00D55AB9" w:rsidRPr="00A75DF9" w:rsidRDefault="00D55AB9" w:rsidP="00D55AB9">
            <w:pPr>
              <w:pStyle w:val="TableText"/>
              <w:rPr>
                <w:rFonts w:ascii="Tahoma" w:hAnsi="Tahoma" w:cs="Tahoma"/>
                <w:sz w:val="13"/>
              </w:rPr>
            </w:pPr>
          </w:p>
        </w:tc>
        <w:tc>
          <w:tcPr>
            <w:tcW w:w="396" w:type="dxa"/>
            <w:tcBorders>
              <w:bottom w:val="single" w:sz="4" w:space="0" w:color="auto"/>
              <w:right w:val="single" w:sz="18" w:space="0" w:color="auto"/>
            </w:tcBorders>
            <w:shd w:val="clear" w:color="auto" w:fill="auto"/>
            <w:vAlign w:val="center"/>
          </w:tcPr>
          <w:p w:rsidR="00D55AB9" w:rsidRPr="00A75DF9" w:rsidRDefault="00D55AB9" w:rsidP="00D55AB9">
            <w:pPr>
              <w:pStyle w:val="TableText"/>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auto"/>
            <w:vAlign w:val="center"/>
          </w:tcPr>
          <w:p w:rsidR="00D55AB9" w:rsidRPr="00A75DF9" w:rsidRDefault="00D55AB9" w:rsidP="00D55AB9">
            <w:pPr>
              <w:pStyle w:val="TableText"/>
              <w:rPr>
                <w:rFonts w:ascii="Tahoma" w:hAnsi="Tahoma" w:cs="Tahoma"/>
                <w:sz w:val="13"/>
              </w:rPr>
            </w:pPr>
          </w:p>
        </w:tc>
        <w:tc>
          <w:tcPr>
            <w:tcW w:w="702" w:type="dxa"/>
            <w:tcBorders>
              <w:bottom w:val="single" w:sz="4" w:space="0" w:color="auto"/>
            </w:tcBorders>
            <w:shd w:val="clear" w:color="auto" w:fill="auto"/>
            <w:vAlign w:val="center"/>
          </w:tcPr>
          <w:p w:rsidR="00D55AB9" w:rsidRPr="00A75DF9" w:rsidRDefault="00D55AB9" w:rsidP="00D55AB9">
            <w:pPr>
              <w:pStyle w:val="TableText"/>
              <w:rPr>
                <w:rFonts w:ascii="Tahoma" w:hAnsi="Tahoma" w:cs="Tahoma"/>
                <w:sz w:val="13"/>
              </w:rPr>
            </w:pPr>
          </w:p>
        </w:tc>
        <w:tc>
          <w:tcPr>
            <w:tcW w:w="650" w:type="dxa"/>
            <w:tcBorders>
              <w:bottom w:val="single" w:sz="4" w:space="0" w:color="auto"/>
            </w:tcBorders>
            <w:shd w:val="clear" w:color="auto" w:fill="auto"/>
            <w:vAlign w:val="center"/>
          </w:tcPr>
          <w:p w:rsidR="00D55AB9" w:rsidRPr="00A75DF9" w:rsidRDefault="00D55AB9" w:rsidP="00D55AB9">
            <w:pPr>
              <w:pStyle w:val="TableText"/>
              <w:rPr>
                <w:rFonts w:ascii="Tahoma" w:hAnsi="Tahoma" w:cs="Tahoma"/>
                <w:sz w:val="13"/>
              </w:rPr>
            </w:pPr>
          </w:p>
        </w:tc>
      </w:tr>
      <w:tr w:rsidR="00A75DF9" w:rsidRPr="00A75DF9" w:rsidTr="00337A7D">
        <w:trPr>
          <w:cantSplit/>
          <w:trHeight w:val="145"/>
        </w:trPr>
        <w:tc>
          <w:tcPr>
            <w:tcW w:w="2634" w:type="dxa"/>
            <w:tcBorders>
              <w:bottom w:val="single" w:sz="4" w:space="0" w:color="auto"/>
            </w:tcBorders>
            <w:shd w:val="clear" w:color="auto" w:fill="FABF8F"/>
          </w:tcPr>
          <w:p w:rsidR="00D55AB9" w:rsidRPr="00A75DF9" w:rsidRDefault="00D55AB9" w:rsidP="008B1245">
            <w:pPr>
              <w:pStyle w:val="Heading3"/>
              <w:spacing w:beforeLines="20" w:before="48" w:afterLines="20" w:after="48"/>
              <w:rPr>
                <w:rFonts w:ascii="Tahoma" w:hAnsi="Tahoma" w:cs="Tahoma"/>
                <w:b w:val="0"/>
                <w:sz w:val="14"/>
              </w:rPr>
            </w:pPr>
            <w:bookmarkStart w:id="99" w:name="_Toc336337884"/>
            <w:bookmarkStart w:id="100" w:name="_Toc368309894"/>
            <w:r w:rsidRPr="00A75DF9">
              <w:rPr>
                <w:rFonts w:ascii="Tahoma" w:hAnsi="Tahoma" w:cs="Tahoma"/>
                <w:b w:val="0"/>
                <w:sz w:val="14"/>
              </w:rPr>
              <w:t>Streets and Trips 2013</w:t>
            </w:r>
            <w:bookmarkEnd w:id="99"/>
            <w:bookmarkEnd w:id="100"/>
          </w:p>
        </w:tc>
        <w:tc>
          <w:tcPr>
            <w:tcW w:w="427" w:type="dxa"/>
            <w:tcBorders>
              <w:bottom w:val="single" w:sz="4" w:space="0" w:color="auto"/>
            </w:tcBorders>
            <w:shd w:val="clear" w:color="auto" w:fill="FABF8F"/>
            <w:vAlign w:val="center"/>
          </w:tcPr>
          <w:p w:rsidR="00D55AB9" w:rsidRPr="00A75DF9" w:rsidRDefault="00D55AB9" w:rsidP="00D55AB9">
            <w:pPr>
              <w:pStyle w:val="TableText"/>
              <w:widowControl w:val="0"/>
              <w:rPr>
                <w:rStyle w:val="EndnoteReference"/>
                <w:rFonts w:cs="Tahoma"/>
                <w:color w:val="0000FF"/>
                <w:sz w:val="13"/>
                <w:szCs w:val="13"/>
                <w:u w:val="single"/>
              </w:rPr>
            </w:pPr>
          </w:p>
        </w:tc>
        <w:tc>
          <w:tcPr>
            <w:tcW w:w="427" w:type="dxa"/>
            <w:tcBorders>
              <w:bottom w:val="single" w:sz="4" w:space="0" w:color="auto"/>
            </w:tcBorders>
            <w:shd w:val="clear" w:color="auto" w:fill="FABF8F"/>
            <w:vAlign w:val="center"/>
          </w:tcPr>
          <w:p w:rsidR="00D55AB9" w:rsidRPr="00A75DF9" w:rsidRDefault="00D55AB9" w:rsidP="00D55AB9">
            <w:pPr>
              <w:pStyle w:val="TableText"/>
              <w:spacing w:before="60" w:after="60"/>
              <w:rPr>
                <w:rFonts w:ascii="Tahoma" w:hAnsi="Tahoma" w:cs="Tahoma"/>
                <w:sz w:val="13"/>
              </w:rPr>
            </w:pPr>
            <w:r w:rsidRPr="00A75DF9">
              <w:rPr>
                <w:rFonts w:ascii="Tahoma" w:hAnsi="Tahoma" w:cs="Tahoma"/>
                <w:sz w:val="13"/>
              </w:rPr>
              <w:t>03/11</w:t>
            </w:r>
          </w:p>
        </w:tc>
        <w:tc>
          <w:tcPr>
            <w:tcW w:w="429" w:type="dxa"/>
            <w:tcBorders>
              <w:bottom w:val="single" w:sz="4" w:space="0" w:color="auto"/>
              <w:right w:val="single" w:sz="18" w:space="0" w:color="auto"/>
            </w:tcBorders>
            <w:shd w:val="clear" w:color="auto" w:fill="FABF8F"/>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1</w:t>
            </w:r>
          </w:p>
        </w:tc>
        <w:tc>
          <w:tcPr>
            <w:tcW w:w="429" w:type="dxa"/>
            <w:tcBorders>
              <w:bottom w:val="single" w:sz="4" w:space="0" w:color="auto"/>
            </w:tcBorders>
            <w:shd w:val="clear" w:color="auto" w:fill="FABF8F"/>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3</w:t>
            </w:r>
          </w:p>
        </w:tc>
        <w:tc>
          <w:tcPr>
            <w:tcW w:w="429" w:type="dxa"/>
            <w:tcBorders>
              <w:bottom w:val="single" w:sz="4" w:space="0" w:color="auto"/>
            </w:tcBorders>
            <w:shd w:val="clear" w:color="auto" w:fill="FABF8F"/>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2</w:t>
            </w:r>
          </w:p>
        </w:tc>
        <w:tc>
          <w:tcPr>
            <w:tcW w:w="429" w:type="dxa"/>
            <w:tcBorders>
              <w:bottom w:val="single" w:sz="4" w:space="0" w:color="auto"/>
            </w:tcBorders>
            <w:shd w:val="clear" w:color="auto" w:fill="FABF8F"/>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2</w:t>
            </w:r>
          </w:p>
        </w:tc>
        <w:tc>
          <w:tcPr>
            <w:tcW w:w="429" w:type="dxa"/>
            <w:tcBorders>
              <w:bottom w:val="single" w:sz="4" w:space="0" w:color="auto"/>
            </w:tcBorders>
            <w:shd w:val="clear" w:color="auto" w:fill="FABF8F"/>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2</w:t>
            </w:r>
          </w:p>
        </w:tc>
        <w:tc>
          <w:tcPr>
            <w:tcW w:w="429" w:type="dxa"/>
            <w:tcBorders>
              <w:bottom w:val="single" w:sz="4" w:space="0" w:color="auto"/>
            </w:tcBorders>
            <w:shd w:val="clear" w:color="auto" w:fill="FABF8F"/>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1</w:t>
            </w:r>
          </w:p>
        </w:tc>
        <w:tc>
          <w:tcPr>
            <w:tcW w:w="405" w:type="dxa"/>
            <w:tcBorders>
              <w:left w:val="single" w:sz="18" w:space="0" w:color="auto"/>
              <w:bottom w:val="single" w:sz="4" w:space="0" w:color="auto"/>
            </w:tcBorders>
            <w:shd w:val="clear" w:color="auto" w:fill="FABF8F"/>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1</w:t>
            </w:r>
          </w:p>
        </w:tc>
        <w:tc>
          <w:tcPr>
            <w:tcW w:w="288" w:type="dxa"/>
            <w:tcBorders>
              <w:bottom w:val="single" w:sz="4" w:space="0" w:color="auto"/>
            </w:tcBorders>
            <w:shd w:val="clear" w:color="auto" w:fill="FABF8F"/>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2</w:t>
            </w:r>
          </w:p>
        </w:tc>
        <w:tc>
          <w:tcPr>
            <w:tcW w:w="315" w:type="dxa"/>
            <w:tcBorders>
              <w:bottom w:val="single" w:sz="4" w:space="0" w:color="auto"/>
              <w:right w:val="single" w:sz="18" w:space="0" w:color="auto"/>
            </w:tcBorders>
            <w:shd w:val="clear" w:color="auto" w:fill="FABF8F"/>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1</w:t>
            </w:r>
          </w:p>
        </w:tc>
        <w:tc>
          <w:tcPr>
            <w:tcW w:w="477" w:type="dxa"/>
            <w:tcBorders>
              <w:left w:val="single" w:sz="18" w:space="0" w:color="auto"/>
              <w:bottom w:val="single" w:sz="4" w:space="0" w:color="auto"/>
            </w:tcBorders>
            <w:shd w:val="clear" w:color="auto" w:fill="FABF8F"/>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1</w:t>
            </w:r>
          </w:p>
        </w:tc>
        <w:tc>
          <w:tcPr>
            <w:tcW w:w="396" w:type="dxa"/>
            <w:tcBorders>
              <w:bottom w:val="single" w:sz="4" w:space="0" w:color="auto"/>
              <w:right w:val="single" w:sz="18" w:space="0" w:color="auto"/>
            </w:tcBorders>
            <w:shd w:val="clear" w:color="auto" w:fill="FABF8F"/>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A</w:t>
            </w:r>
          </w:p>
        </w:tc>
        <w:tc>
          <w:tcPr>
            <w:tcW w:w="378" w:type="dxa"/>
            <w:tcBorders>
              <w:left w:val="single" w:sz="18" w:space="0" w:color="auto"/>
              <w:bottom w:val="single" w:sz="4" w:space="0" w:color="auto"/>
              <w:right w:val="single" w:sz="18" w:space="0" w:color="auto"/>
            </w:tcBorders>
            <w:shd w:val="clear" w:color="auto" w:fill="FABF8F"/>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P</w:t>
            </w:r>
          </w:p>
        </w:tc>
        <w:tc>
          <w:tcPr>
            <w:tcW w:w="702" w:type="dxa"/>
            <w:tcBorders>
              <w:bottom w:val="single" w:sz="4" w:space="0" w:color="auto"/>
            </w:tcBorders>
            <w:shd w:val="clear" w:color="auto" w:fill="FABF8F"/>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A, ST</w:t>
            </w:r>
          </w:p>
        </w:tc>
        <w:tc>
          <w:tcPr>
            <w:tcW w:w="650" w:type="dxa"/>
            <w:tcBorders>
              <w:bottom w:val="single" w:sz="4" w:space="0" w:color="auto"/>
            </w:tcBorders>
            <w:shd w:val="clear" w:color="auto" w:fill="FABF8F"/>
            <w:vAlign w:val="center"/>
          </w:tcPr>
          <w:p w:rsidR="00D55AB9" w:rsidRPr="00A75DF9" w:rsidRDefault="00D55AB9" w:rsidP="00D55AB9">
            <w:pPr>
              <w:pStyle w:val="TableText"/>
              <w:rPr>
                <w:rFonts w:ascii="Tahoma" w:hAnsi="Tahoma" w:cs="Tahoma"/>
                <w:sz w:val="13"/>
              </w:rPr>
            </w:pPr>
          </w:p>
        </w:tc>
      </w:tr>
      <w:tr w:rsidR="00A75DF9" w:rsidRPr="00A75DF9" w:rsidTr="00337A7D">
        <w:trPr>
          <w:cantSplit/>
          <w:trHeight w:val="145"/>
        </w:trPr>
        <w:tc>
          <w:tcPr>
            <w:tcW w:w="2634" w:type="dxa"/>
            <w:tcBorders>
              <w:bottom w:val="single" w:sz="4" w:space="0" w:color="auto"/>
            </w:tcBorders>
            <w:shd w:val="clear" w:color="auto" w:fill="auto"/>
          </w:tcPr>
          <w:p w:rsidR="00D55AB9" w:rsidRPr="00A75DF9" w:rsidRDefault="00D55AB9" w:rsidP="008B1245">
            <w:pPr>
              <w:pStyle w:val="Heading3"/>
              <w:spacing w:beforeLines="20" w:before="48" w:afterLines="20" w:after="48"/>
              <w:rPr>
                <w:rFonts w:ascii="Tahoma" w:hAnsi="Tahoma" w:cs="Tahoma"/>
                <w:b w:val="0"/>
                <w:sz w:val="14"/>
              </w:rPr>
            </w:pPr>
            <w:bookmarkStart w:id="101" w:name="_Toc336337886"/>
            <w:bookmarkStart w:id="102" w:name="_Toc368309895"/>
            <w:r w:rsidRPr="00A75DF9">
              <w:rPr>
                <w:rFonts w:ascii="Tahoma" w:hAnsi="Tahoma" w:cs="Tahoma"/>
                <w:b w:val="0"/>
                <w:sz w:val="14"/>
              </w:rPr>
              <w:t>Visio</w:t>
            </w:r>
            <w:r w:rsidR="009D5D7B" w:rsidRPr="00A75DF9">
              <w:rPr>
                <w:rFonts w:ascii="Tahoma" w:hAnsi="Tahoma" w:cs="Tahoma"/>
                <w:b w:val="0"/>
                <w:sz w:val="14"/>
                <w:vertAlign w:val="superscript"/>
              </w:rPr>
              <w:t>®</w:t>
            </w:r>
            <w:r w:rsidRPr="00A75DF9">
              <w:rPr>
                <w:rFonts w:ascii="Tahoma" w:hAnsi="Tahoma" w:cs="Tahoma"/>
                <w:b w:val="0"/>
                <w:sz w:val="14"/>
              </w:rPr>
              <w:t xml:space="preserve"> 2013 Professional</w:t>
            </w:r>
            <w:bookmarkEnd w:id="101"/>
            <w:bookmarkEnd w:id="102"/>
            <w:r w:rsidR="009D3B41" w:rsidRPr="00A75DF9">
              <w:rPr>
                <w:rFonts w:ascii="Tahoma" w:hAnsi="Tahoma" w:cs="Tahoma"/>
                <w:b w:val="0"/>
                <w:sz w:val="14"/>
              </w:rPr>
              <w:t xml:space="preserve"> </w:t>
            </w:r>
          </w:p>
        </w:tc>
        <w:tc>
          <w:tcPr>
            <w:tcW w:w="427" w:type="dxa"/>
            <w:tcBorders>
              <w:bottom w:val="single" w:sz="4" w:space="0" w:color="auto"/>
            </w:tcBorders>
            <w:shd w:val="clear" w:color="auto" w:fill="auto"/>
            <w:vAlign w:val="center"/>
          </w:tcPr>
          <w:p w:rsidR="00D55AB9" w:rsidRPr="00A75DF9" w:rsidRDefault="00B54770" w:rsidP="00D55AB9">
            <w:pPr>
              <w:pStyle w:val="TableText"/>
              <w:widowControl w:val="0"/>
              <w:rPr>
                <w:rStyle w:val="EndnoteReference"/>
                <w:rFonts w:cs="Tahoma"/>
                <w:b w:val="0"/>
                <w:color w:val="0000FF"/>
                <w:sz w:val="13"/>
                <w:szCs w:val="13"/>
                <w:u w:val="single"/>
              </w:rPr>
            </w:pPr>
            <w:hyperlink w:anchor="_17_Visio_Professional" w:history="1">
              <w:r w:rsidR="00734B17" w:rsidRPr="00A75DF9">
                <w:rPr>
                  <w:rStyle w:val="Hyperlink"/>
                  <w:rFonts w:cs="Tahoma"/>
                  <w:b/>
                  <w:sz w:val="13"/>
                  <w:szCs w:val="13"/>
                </w:rPr>
                <w:t>18</w:t>
              </w:r>
            </w:hyperlink>
          </w:p>
        </w:tc>
        <w:tc>
          <w:tcPr>
            <w:tcW w:w="427" w:type="dxa"/>
            <w:tcBorders>
              <w:bottom w:val="single" w:sz="4" w:space="0" w:color="auto"/>
            </w:tcBorders>
            <w:shd w:val="clear" w:color="auto" w:fill="auto"/>
            <w:vAlign w:val="center"/>
          </w:tcPr>
          <w:p w:rsidR="00D55AB9" w:rsidRPr="00A75DF9" w:rsidRDefault="00D55AB9" w:rsidP="00D55AB9">
            <w:pPr>
              <w:pStyle w:val="TableText"/>
              <w:spacing w:before="60" w:after="60"/>
              <w:rPr>
                <w:rFonts w:ascii="Tahoma" w:hAnsi="Tahoma" w:cs="Tahoma"/>
                <w:sz w:val="13"/>
              </w:rPr>
            </w:pPr>
            <w:r w:rsidRPr="00A75DF9">
              <w:rPr>
                <w:rFonts w:ascii="Tahoma" w:hAnsi="Tahoma" w:cs="Tahoma"/>
                <w:sz w:val="13"/>
              </w:rPr>
              <w:t>10/12</w:t>
            </w:r>
          </w:p>
        </w:tc>
        <w:tc>
          <w:tcPr>
            <w:tcW w:w="429" w:type="dxa"/>
            <w:tcBorders>
              <w:bottom w:val="single" w:sz="4" w:space="0" w:color="auto"/>
              <w:right w:val="single" w:sz="18" w:space="0" w:color="auto"/>
            </w:tcBorders>
            <w:shd w:val="clear" w:color="auto" w:fill="auto"/>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2</w:t>
            </w:r>
          </w:p>
        </w:tc>
        <w:tc>
          <w:tcPr>
            <w:tcW w:w="429" w:type="dxa"/>
            <w:tcBorders>
              <w:bottom w:val="single" w:sz="4" w:space="0" w:color="auto"/>
            </w:tcBorders>
            <w:shd w:val="clear" w:color="auto" w:fill="auto"/>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5</w:t>
            </w:r>
          </w:p>
        </w:tc>
        <w:tc>
          <w:tcPr>
            <w:tcW w:w="429" w:type="dxa"/>
            <w:tcBorders>
              <w:bottom w:val="single" w:sz="4" w:space="0" w:color="auto"/>
            </w:tcBorders>
            <w:shd w:val="clear" w:color="auto" w:fill="auto"/>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4</w:t>
            </w:r>
          </w:p>
        </w:tc>
        <w:tc>
          <w:tcPr>
            <w:tcW w:w="429" w:type="dxa"/>
            <w:tcBorders>
              <w:bottom w:val="single" w:sz="4" w:space="0" w:color="auto"/>
            </w:tcBorders>
            <w:shd w:val="clear" w:color="auto" w:fill="auto"/>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3</w:t>
            </w:r>
          </w:p>
        </w:tc>
        <w:tc>
          <w:tcPr>
            <w:tcW w:w="429" w:type="dxa"/>
            <w:tcBorders>
              <w:bottom w:val="single" w:sz="4" w:space="0" w:color="auto"/>
            </w:tcBorders>
            <w:shd w:val="clear" w:color="auto" w:fill="auto"/>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3</w:t>
            </w:r>
          </w:p>
        </w:tc>
        <w:tc>
          <w:tcPr>
            <w:tcW w:w="429" w:type="dxa"/>
            <w:tcBorders>
              <w:bottom w:val="single" w:sz="4" w:space="0" w:color="auto"/>
            </w:tcBorders>
            <w:shd w:val="clear" w:color="auto" w:fill="auto"/>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2</w:t>
            </w:r>
          </w:p>
        </w:tc>
        <w:tc>
          <w:tcPr>
            <w:tcW w:w="429" w:type="dxa"/>
            <w:tcBorders>
              <w:bottom w:val="single" w:sz="4" w:space="0" w:color="auto"/>
              <w:right w:val="single" w:sz="18" w:space="0" w:color="auto"/>
            </w:tcBorders>
            <w:shd w:val="clear" w:color="auto" w:fill="auto"/>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1</w:t>
            </w:r>
          </w:p>
        </w:tc>
        <w:tc>
          <w:tcPr>
            <w:tcW w:w="405" w:type="dxa"/>
            <w:tcBorders>
              <w:left w:val="single" w:sz="18" w:space="0" w:color="auto"/>
              <w:bottom w:val="single" w:sz="4" w:space="0" w:color="auto"/>
            </w:tcBorders>
            <w:shd w:val="clear" w:color="auto" w:fill="auto"/>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2</w:t>
            </w:r>
          </w:p>
        </w:tc>
        <w:tc>
          <w:tcPr>
            <w:tcW w:w="288" w:type="dxa"/>
            <w:tcBorders>
              <w:bottom w:val="single" w:sz="4" w:space="0" w:color="auto"/>
            </w:tcBorders>
            <w:shd w:val="clear" w:color="auto" w:fill="auto"/>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4</w:t>
            </w:r>
          </w:p>
        </w:tc>
        <w:tc>
          <w:tcPr>
            <w:tcW w:w="315" w:type="dxa"/>
            <w:tcBorders>
              <w:bottom w:val="single" w:sz="4" w:space="0" w:color="auto"/>
              <w:right w:val="single" w:sz="18" w:space="0" w:color="auto"/>
            </w:tcBorders>
            <w:shd w:val="clear" w:color="auto" w:fill="auto"/>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2</w:t>
            </w:r>
          </w:p>
        </w:tc>
        <w:tc>
          <w:tcPr>
            <w:tcW w:w="477" w:type="dxa"/>
            <w:tcBorders>
              <w:left w:val="single" w:sz="18" w:space="0" w:color="auto"/>
              <w:bottom w:val="single" w:sz="4" w:space="0" w:color="auto"/>
            </w:tcBorders>
            <w:shd w:val="clear" w:color="auto" w:fill="auto"/>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1</w:t>
            </w:r>
          </w:p>
        </w:tc>
        <w:tc>
          <w:tcPr>
            <w:tcW w:w="396" w:type="dxa"/>
            <w:tcBorders>
              <w:bottom w:val="single" w:sz="4" w:space="0" w:color="auto"/>
              <w:right w:val="single" w:sz="18" w:space="0" w:color="auto"/>
            </w:tcBorders>
            <w:shd w:val="clear" w:color="auto" w:fill="auto"/>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A</w:t>
            </w:r>
          </w:p>
        </w:tc>
        <w:tc>
          <w:tcPr>
            <w:tcW w:w="378" w:type="dxa"/>
            <w:tcBorders>
              <w:left w:val="single" w:sz="18" w:space="0" w:color="auto"/>
              <w:bottom w:val="single" w:sz="4" w:space="0" w:color="auto"/>
              <w:right w:val="single" w:sz="18" w:space="0" w:color="auto"/>
            </w:tcBorders>
            <w:shd w:val="clear" w:color="auto" w:fill="auto"/>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P</w:t>
            </w:r>
          </w:p>
        </w:tc>
        <w:tc>
          <w:tcPr>
            <w:tcW w:w="702" w:type="dxa"/>
            <w:tcBorders>
              <w:bottom w:val="single" w:sz="4" w:space="0" w:color="auto"/>
            </w:tcBorders>
            <w:shd w:val="clear" w:color="auto" w:fill="auto"/>
            <w:vAlign w:val="center"/>
          </w:tcPr>
          <w:p w:rsidR="00D55AB9" w:rsidRPr="00A75DF9" w:rsidRDefault="00D55AB9" w:rsidP="00D55AB9">
            <w:pPr>
              <w:pStyle w:val="TableText"/>
              <w:rPr>
                <w:rFonts w:ascii="Tahoma" w:hAnsi="Tahoma" w:cs="Tahoma"/>
                <w:sz w:val="13"/>
              </w:rPr>
            </w:pPr>
          </w:p>
        </w:tc>
        <w:tc>
          <w:tcPr>
            <w:tcW w:w="650" w:type="dxa"/>
            <w:tcBorders>
              <w:bottom w:val="single" w:sz="4" w:space="0" w:color="auto"/>
            </w:tcBorders>
            <w:shd w:val="clear" w:color="auto" w:fill="auto"/>
            <w:vAlign w:val="center"/>
          </w:tcPr>
          <w:p w:rsidR="00D55AB9" w:rsidRPr="00A75DF9" w:rsidRDefault="00D55AB9" w:rsidP="00D55AB9">
            <w:pPr>
              <w:pStyle w:val="TableText"/>
              <w:rPr>
                <w:rFonts w:ascii="Tahoma" w:hAnsi="Tahoma" w:cs="Tahoma"/>
                <w:sz w:val="13"/>
              </w:rPr>
            </w:pPr>
          </w:p>
        </w:tc>
      </w:tr>
      <w:tr w:rsidR="00A75DF9" w:rsidRPr="00A75DF9" w:rsidTr="00337A7D">
        <w:trPr>
          <w:cantSplit/>
          <w:trHeight w:val="145"/>
        </w:trPr>
        <w:tc>
          <w:tcPr>
            <w:tcW w:w="2634" w:type="dxa"/>
            <w:tcBorders>
              <w:bottom w:val="single" w:sz="4" w:space="0" w:color="auto"/>
            </w:tcBorders>
            <w:shd w:val="clear" w:color="auto" w:fill="FABF8F"/>
          </w:tcPr>
          <w:p w:rsidR="00D55AB9" w:rsidRPr="00A75DF9" w:rsidRDefault="00D55AB9" w:rsidP="008B1245">
            <w:pPr>
              <w:pStyle w:val="Heading3"/>
              <w:spacing w:beforeLines="20" w:before="48" w:afterLines="20" w:after="48"/>
              <w:rPr>
                <w:rFonts w:ascii="Tahoma" w:hAnsi="Tahoma" w:cs="Tahoma"/>
                <w:b w:val="0"/>
                <w:sz w:val="14"/>
              </w:rPr>
            </w:pPr>
            <w:bookmarkStart w:id="103" w:name="_Toc336337887"/>
            <w:bookmarkStart w:id="104" w:name="_Toc368309896"/>
            <w:r w:rsidRPr="00A75DF9">
              <w:rPr>
                <w:rFonts w:ascii="Tahoma" w:hAnsi="Tahoma" w:cs="Tahoma"/>
                <w:b w:val="0"/>
                <w:sz w:val="14"/>
              </w:rPr>
              <w:t>Visio</w:t>
            </w:r>
            <w:r w:rsidR="009D5D7B" w:rsidRPr="00A75DF9">
              <w:rPr>
                <w:rFonts w:ascii="Tahoma" w:hAnsi="Tahoma" w:cs="Tahoma"/>
                <w:b w:val="0"/>
                <w:sz w:val="14"/>
                <w:vertAlign w:val="superscript"/>
              </w:rPr>
              <w:t>®</w:t>
            </w:r>
            <w:r w:rsidRPr="00A75DF9">
              <w:rPr>
                <w:rFonts w:ascii="Tahoma" w:hAnsi="Tahoma" w:cs="Tahoma"/>
                <w:b w:val="0"/>
                <w:sz w:val="14"/>
              </w:rPr>
              <w:t xml:space="preserve"> 2013 Standard</w:t>
            </w:r>
            <w:bookmarkEnd w:id="103"/>
            <w:bookmarkEnd w:id="104"/>
            <w:r w:rsidRPr="00A75DF9">
              <w:rPr>
                <w:rFonts w:ascii="Tahoma" w:hAnsi="Tahoma" w:cs="Tahoma"/>
                <w:b w:val="0"/>
                <w:sz w:val="14"/>
              </w:rPr>
              <w:t xml:space="preserve"> </w:t>
            </w:r>
          </w:p>
        </w:tc>
        <w:tc>
          <w:tcPr>
            <w:tcW w:w="427" w:type="dxa"/>
            <w:tcBorders>
              <w:bottom w:val="single" w:sz="4" w:space="0" w:color="auto"/>
            </w:tcBorders>
            <w:shd w:val="clear" w:color="auto" w:fill="FABF8F"/>
            <w:vAlign w:val="center"/>
          </w:tcPr>
          <w:p w:rsidR="00D55AB9" w:rsidRPr="00A75DF9" w:rsidRDefault="00D55AB9" w:rsidP="00D55AB9">
            <w:pPr>
              <w:pStyle w:val="TableText"/>
              <w:widowControl w:val="0"/>
              <w:rPr>
                <w:rStyle w:val="EndnoteReference"/>
                <w:rFonts w:cs="Tahoma"/>
                <w:color w:val="0000FF"/>
                <w:sz w:val="13"/>
                <w:szCs w:val="13"/>
                <w:u w:val="single"/>
              </w:rPr>
            </w:pPr>
          </w:p>
        </w:tc>
        <w:tc>
          <w:tcPr>
            <w:tcW w:w="427" w:type="dxa"/>
            <w:tcBorders>
              <w:bottom w:val="single" w:sz="4" w:space="0" w:color="auto"/>
            </w:tcBorders>
            <w:shd w:val="clear" w:color="auto" w:fill="FABF8F"/>
            <w:vAlign w:val="center"/>
          </w:tcPr>
          <w:p w:rsidR="00D55AB9" w:rsidRPr="00A75DF9" w:rsidRDefault="00D55AB9" w:rsidP="00D55AB9">
            <w:pPr>
              <w:pStyle w:val="TableText"/>
              <w:spacing w:before="60" w:after="60"/>
              <w:rPr>
                <w:rFonts w:ascii="Tahoma" w:hAnsi="Tahoma" w:cs="Tahoma"/>
                <w:sz w:val="13"/>
              </w:rPr>
            </w:pPr>
            <w:r w:rsidRPr="00A75DF9">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1</w:t>
            </w:r>
          </w:p>
        </w:tc>
        <w:tc>
          <w:tcPr>
            <w:tcW w:w="429" w:type="dxa"/>
            <w:tcBorders>
              <w:bottom w:val="single" w:sz="4" w:space="0" w:color="auto"/>
            </w:tcBorders>
            <w:shd w:val="clear" w:color="auto" w:fill="FABF8F"/>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3</w:t>
            </w:r>
          </w:p>
        </w:tc>
        <w:tc>
          <w:tcPr>
            <w:tcW w:w="429" w:type="dxa"/>
            <w:tcBorders>
              <w:bottom w:val="single" w:sz="4" w:space="0" w:color="auto"/>
            </w:tcBorders>
            <w:shd w:val="clear" w:color="auto" w:fill="FABF8F"/>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2</w:t>
            </w:r>
          </w:p>
        </w:tc>
        <w:tc>
          <w:tcPr>
            <w:tcW w:w="429" w:type="dxa"/>
            <w:tcBorders>
              <w:bottom w:val="single" w:sz="4" w:space="0" w:color="auto"/>
            </w:tcBorders>
            <w:shd w:val="clear" w:color="auto" w:fill="FABF8F"/>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2</w:t>
            </w:r>
          </w:p>
        </w:tc>
        <w:tc>
          <w:tcPr>
            <w:tcW w:w="429" w:type="dxa"/>
            <w:tcBorders>
              <w:bottom w:val="single" w:sz="4" w:space="0" w:color="auto"/>
            </w:tcBorders>
            <w:shd w:val="clear" w:color="auto" w:fill="FABF8F"/>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2</w:t>
            </w:r>
          </w:p>
        </w:tc>
        <w:tc>
          <w:tcPr>
            <w:tcW w:w="429" w:type="dxa"/>
            <w:tcBorders>
              <w:bottom w:val="single" w:sz="4" w:space="0" w:color="auto"/>
            </w:tcBorders>
            <w:shd w:val="clear" w:color="auto" w:fill="FABF8F"/>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1</w:t>
            </w:r>
          </w:p>
        </w:tc>
        <w:tc>
          <w:tcPr>
            <w:tcW w:w="405" w:type="dxa"/>
            <w:tcBorders>
              <w:left w:val="single" w:sz="18" w:space="0" w:color="auto"/>
              <w:bottom w:val="single" w:sz="4" w:space="0" w:color="auto"/>
            </w:tcBorders>
            <w:shd w:val="clear" w:color="auto" w:fill="FABF8F"/>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1</w:t>
            </w:r>
          </w:p>
        </w:tc>
        <w:tc>
          <w:tcPr>
            <w:tcW w:w="288" w:type="dxa"/>
            <w:tcBorders>
              <w:bottom w:val="single" w:sz="4" w:space="0" w:color="auto"/>
            </w:tcBorders>
            <w:shd w:val="clear" w:color="auto" w:fill="FABF8F"/>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2</w:t>
            </w:r>
          </w:p>
        </w:tc>
        <w:tc>
          <w:tcPr>
            <w:tcW w:w="315" w:type="dxa"/>
            <w:tcBorders>
              <w:bottom w:val="single" w:sz="4" w:space="0" w:color="auto"/>
              <w:right w:val="single" w:sz="18" w:space="0" w:color="auto"/>
            </w:tcBorders>
            <w:shd w:val="clear" w:color="auto" w:fill="FABF8F"/>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1</w:t>
            </w:r>
          </w:p>
        </w:tc>
        <w:tc>
          <w:tcPr>
            <w:tcW w:w="477" w:type="dxa"/>
            <w:tcBorders>
              <w:left w:val="single" w:sz="18" w:space="0" w:color="auto"/>
              <w:bottom w:val="single" w:sz="4" w:space="0" w:color="auto"/>
            </w:tcBorders>
            <w:shd w:val="clear" w:color="auto" w:fill="FABF8F"/>
            <w:vAlign w:val="center"/>
          </w:tcPr>
          <w:p w:rsidR="00D55AB9" w:rsidRPr="00A75DF9" w:rsidRDefault="00D55AB9" w:rsidP="00D55AB9">
            <w:pPr>
              <w:pStyle w:val="TableText"/>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A</w:t>
            </w:r>
          </w:p>
        </w:tc>
        <w:tc>
          <w:tcPr>
            <w:tcW w:w="378" w:type="dxa"/>
            <w:tcBorders>
              <w:left w:val="single" w:sz="18" w:space="0" w:color="auto"/>
              <w:bottom w:val="single" w:sz="4" w:space="0" w:color="auto"/>
              <w:right w:val="single" w:sz="18" w:space="0" w:color="auto"/>
            </w:tcBorders>
            <w:shd w:val="clear" w:color="auto" w:fill="FABF8F"/>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P</w:t>
            </w:r>
          </w:p>
        </w:tc>
        <w:tc>
          <w:tcPr>
            <w:tcW w:w="702" w:type="dxa"/>
            <w:tcBorders>
              <w:bottom w:val="single" w:sz="4" w:space="0" w:color="auto"/>
            </w:tcBorders>
            <w:shd w:val="clear" w:color="auto" w:fill="FABF8F"/>
            <w:vAlign w:val="center"/>
          </w:tcPr>
          <w:p w:rsidR="00D55AB9" w:rsidRPr="00A75DF9" w:rsidRDefault="00D55AB9" w:rsidP="00D55AB9">
            <w:pPr>
              <w:pStyle w:val="TableText"/>
              <w:rPr>
                <w:rFonts w:ascii="Tahoma" w:hAnsi="Tahoma" w:cs="Tahoma"/>
                <w:sz w:val="13"/>
              </w:rPr>
            </w:pPr>
          </w:p>
        </w:tc>
        <w:tc>
          <w:tcPr>
            <w:tcW w:w="650" w:type="dxa"/>
            <w:tcBorders>
              <w:bottom w:val="single" w:sz="4" w:space="0" w:color="auto"/>
            </w:tcBorders>
            <w:shd w:val="clear" w:color="auto" w:fill="FABF8F"/>
            <w:vAlign w:val="center"/>
          </w:tcPr>
          <w:p w:rsidR="00D55AB9" w:rsidRPr="00A75DF9" w:rsidRDefault="00D55AB9" w:rsidP="00D55AB9">
            <w:pPr>
              <w:pStyle w:val="TableText"/>
              <w:rPr>
                <w:rFonts w:ascii="Tahoma" w:hAnsi="Tahoma" w:cs="Tahoma"/>
                <w:sz w:val="13"/>
              </w:rPr>
            </w:pPr>
          </w:p>
        </w:tc>
      </w:tr>
      <w:tr w:rsidR="00A75DF9" w:rsidRPr="00A75DF9" w:rsidTr="00337A7D">
        <w:trPr>
          <w:cantSplit/>
          <w:trHeight w:val="145"/>
        </w:trPr>
        <w:tc>
          <w:tcPr>
            <w:tcW w:w="2634" w:type="dxa"/>
            <w:tcBorders>
              <w:bottom w:val="single" w:sz="4" w:space="0" w:color="auto"/>
            </w:tcBorders>
            <w:shd w:val="clear" w:color="auto" w:fill="auto"/>
          </w:tcPr>
          <w:p w:rsidR="00D55AB9" w:rsidRPr="00A75DF9" w:rsidRDefault="00D55AB9" w:rsidP="008B1245">
            <w:pPr>
              <w:pStyle w:val="ProductNames"/>
              <w:spacing w:beforeLines="20" w:before="48" w:afterLines="20" w:after="48"/>
              <w:rPr>
                <w:rFonts w:ascii="Tahoma" w:hAnsi="Tahoma" w:cs="Tahoma"/>
                <w:sz w:val="14"/>
              </w:rPr>
            </w:pPr>
            <w:bookmarkStart w:id="105" w:name="_Toc368309897"/>
            <w:r w:rsidRPr="00A75DF9">
              <w:rPr>
                <w:rFonts w:ascii="Tahoma" w:hAnsi="Tahoma" w:cs="Tahoma"/>
                <w:sz w:val="14"/>
              </w:rPr>
              <w:t>Visio Pro per Office 365</w:t>
            </w:r>
            <w:bookmarkEnd w:id="105"/>
          </w:p>
        </w:tc>
        <w:tc>
          <w:tcPr>
            <w:tcW w:w="427" w:type="dxa"/>
            <w:tcBorders>
              <w:bottom w:val="single" w:sz="4" w:space="0" w:color="auto"/>
            </w:tcBorders>
            <w:shd w:val="clear" w:color="auto" w:fill="auto"/>
            <w:vAlign w:val="center"/>
          </w:tcPr>
          <w:p w:rsidR="00D55AB9" w:rsidRPr="00A75DF9" w:rsidRDefault="00B54770" w:rsidP="00D55AB9">
            <w:pPr>
              <w:pStyle w:val="TableText"/>
              <w:widowControl w:val="0"/>
              <w:rPr>
                <w:rStyle w:val="EndnoteReference"/>
                <w:rFonts w:cs="Tahoma"/>
                <w:b w:val="0"/>
                <w:color w:val="0000FF"/>
                <w:sz w:val="13"/>
                <w:szCs w:val="13"/>
                <w:u w:val="single"/>
              </w:rPr>
            </w:pPr>
            <w:hyperlink w:anchor="_18_Visio_Pro" w:history="1">
              <w:r w:rsidR="00734B17" w:rsidRPr="00A75DF9">
                <w:rPr>
                  <w:rStyle w:val="Hyperlink"/>
                  <w:rFonts w:cs="Tahoma"/>
                  <w:b/>
                  <w:sz w:val="13"/>
                  <w:szCs w:val="13"/>
                </w:rPr>
                <w:t>19</w:t>
              </w:r>
            </w:hyperlink>
          </w:p>
        </w:tc>
        <w:tc>
          <w:tcPr>
            <w:tcW w:w="427" w:type="dxa"/>
            <w:tcBorders>
              <w:bottom w:val="single" w:sz="4" w:space="0" w:color="auto"/>
            </w:tcBorders>
            <w:shd w:val="clear" w:color="auto" w:fill="auto"/>
            <w:vAlign w:val="center"/>
          </w:tcPr>
          <w:p w:rsidR="00D55AB9" w:rsidRPr="00A75DF9" w:rsidRDefault="00D55AB9" w:rsidP="00D55AB9">
            <w:pPr>
              <w:pStyle w:val="TableText"/>
              <w:spacing w:before="60" w:after="60"/>
              <w:rPr>
                <w:rFonts w:ascii="Tahoma" w:hAnsi="Tahoma" w:cs="Tahoma"/>
                <w:sz w:val="13"/>
              </w:rPr>
            </w:pPr>
            <w:r w:rsidRPr="00A75DF9">
              <w:rPr>
                <w:rFonts w:ascii="Tahoma" w:hAnsi="Tahoma" w:cs="Tahoma"/>
                <w:sz w:val="13"/>
              </w:rPr>
              <w:t>03/13</w:t>
            </w:r>
          </w:p>
        </w:tc>
        <w:tc>
          <w:tcPr>
            <w:tcW w:w="429" w:type="dxa"/>
            <w:tcBorders>
              <w:bottom w:val="single" w:sz="4" w:space="0" w:color="auto"/>
              <w:right w:val="single" w:sz="18" w:space="0" w:color="auto"/>
            </w:tcBorders>
            <w:shd w:val="clear" w:color="auto" w:fill="auto"/>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A75DF9" w:rsidRDefault="00D55AB9"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A75DF9" w:rsidRDefault="00D55AB9"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A75DF9" w:rsidRDefault="00D55AB9"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A75DF9" w:rsidRDefault="00D55AB9"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A75DF9" w:rsidRDefault="00D55AB9" w:rsidP="00D55AB9">
            <w:pPr>
              <w:pStyle w:val="TableText"/>
              <w:rPr>
                <w:rFonts w:ascii="Tahoma" w:hAnsi="Tahoma" w:cs="Tahoma"/>
                <w:sz w:val="13"/>
              </w:rPr>
            </w:pPr>
          </w:p>
        </w:tc>
        <w:tc>
          <w:tcPr>
            <w:tcW w:w="429" w:type="dxa"/>
            <w:tcBorders>
              <w:bottom w:val="single" w:sz="4" w:space="0" w:color="auto"/>
            </w:tcBorders>
            <w:shd w:val="clear" w:color="auto" w:fill="auto"/>
            <w:vAlign w:val="center"/>
          </w:tcPr>
          <w:p w:rsidR="00D55AB9" w:rsidRPr="00A75DF9" w:rsidRDefault="00D55AB9"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A75DF9" w:rsidRDefault="00D55AB9" w:rsidP="00D55AB9">
            <w:pPr>
              <w:pStyle w:val="TableText"/>
              <w:rPr>
                <w:rFonts w:ascii="Tahoma" w:hAnsi="Tahoma" w:cs="Tahoma"/>
                <w:sz w:val="13"/>
              </w:rPr>
            </w:pPr>
          </w:p>
        </w:tc>
        <w:tc>
          <w:tcPr>
            <w:tcW w:w="405" w:type="dxa"/>
            <w:tcBorders>
              <w:left w:val="single" w:sz="18" w:space="0" w:color="auto"/>
              <w:bottom w:val="single" w:sz="4" w:space="0" w:color="auto"/>
            </w:tcBorders>
            <w:shd w:val="clear" w:color="auto" w:fill="auto"/>
            <w:vAlign w:val="center"/>
          </w:tcPr>
          <w:p w:rsidR="00D55AB9" w:rsidRPr="00A75DF9" w:rsidRDefault="00D55AB9" w:rsidP="00D55AB9">
            <w:pPr>
              <w:pStyle w:val="TableText"/>
              <w:rPr>
                <w:rFonts w:ascii="Tahoma" w:hAnsi="Tahoma" w:cs="Tahoma"/>
                <w:sz w:val="13"/>
              </w:rPr>
            </w:pPr>
          </w:p>
        </w:tc>
        <w:tc>
          <w:tcPr>
            <w:tcW w:w="288" w:type="dxa"/>
            <w:tcBorders>
              <w:bottom w:val="single" w:sz="4" w:space="0" w:color="auto"/>
            </w:tcBorders>
            <w:shd w:val="clear" w:color="auto" w:fill="auto"/>
            <w:vAlign w:val="center"/>
          </w:tcPr>
          <w:p w:rsidR="00D55AB9" w:rsidRPr="00A75DF9" w:rsidRDefault="00D55AB9" w:rsidP="00D55AB9">
            <w:pPr>
              <w:pStyle w:val="TableText"/>
              <w:rPr>
                <w:rFonts w:ascii="Tahoma" w:hAnsi="Tahoma" w:cs="Tahoma"/>
                <w:sz w:val="13"/>
              </w:rPr>
            </w:pPr>
          </w:p>
        </w:tc>
        <w:tc>
          <w:tcPr>
            <w:tcW w:w="315" w:type="dxa"/>
            <w:tcBorders>
              <w:bottom w:val="single" w:sz="4" w:space="0" w:color="auto"/>
              <w:right w:val="single" w:sz="18" w:space="0" w:color="auto"/>
            </w:tcBorders>
            <w:shd w:val="clear" w:color="auto" w:fill="auto"/>
            <w:vAlign w:val="center"/>
          </w:tcPr>
          <w:p w:rsidR="00D55AB9" w:rsidRPr="00A75DF9" w:rsidRDefault="00D55AB9" w:rsidP="00D55AB9">
            <w:pPr>
              <w:pStyle w:val="TableText"/>
              <w:rPr>
                <w:rFonts w:ascii="Tahoma" w:hAnsi="Tahoma" w:cs="Tahoma"/>
                <w:sz w:val="13"/>
              </w:rPr>
            </w:pPr>
          </w:p>
        </w:tc>
        <w:tc>
          <w:tcPr>
            <w:tcW w:w="477" w:type="dxa"/>
            <w:tcBorders>
              <w:left w:val="single" w:sz="18" w:space="0" w:color="auto"/>
              <w:bottom w:val="single" w:sz="4" w:space="0" w:color="auto"/>
            </w:tcBorders>
            <w:shd w:val="clear" w:color="auto" w:fill="auto"/>
            <w:vAlign w:val="center"/>
          </w:tcPr>
          <w:p w:rsidR="00D55AB9" w:rsidRPr="00A75DF9" w:rsidRDefault="00D55AB9" w:rsidP="00D55AB9">
            <w:pPr>
              <w:pStyle w:val="TableText"/>
              <w:rPr>
                <w:rFonts w:ascii="Tahoma" w:hAnsi="Tahoma" w:cs="Tahoma"/>
                <w:sz w:val="13"/>
              </w:rPr>
            </w:pPr>
          </w:p>
        </w:tc>
        <w:tc>
          <w:tcPr>
            <w:tcW w:w="396" w:type="dxa"/>
            <w:tcBorders>
              <w:bottom w:val="single" w:sz="4" w:space="0" w:color="auto"/>
              <w:right w:val="single" w:sz="18" w:space="0" w:color="auto"/>
            </w:tcBorders>
            <w:shd w:val="clear" w:color="auto" w:fill="auto"/>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A</w:t>
            </w:r>
          </w:p>
        </w:tc>
        <w:tc>
          <w:tcPr>
            <w:tcW w:w="378" w:type="dxa"/>
            <w:tcBorders>
              <w:left w:val="single" w:sz="18" w:space="0" w:color="auto"/>
              <w:bottom w:val="single" w:sz="4" w:space="0" w:color="auto"/>
              <w:right w:val="single" w:sz="18" w:space="0" w:color="auto"/>
            </w:tcBorders>
            <w:shd w:val="clear" w:color="auto" w:fill="auto"/>
            <w:vAlign w:val="center"/>
          </w:tcPr>
          <w:p w:rsidR="00D55AB9" w:rsidRPr="00A75DF9" w:rsidRDefault="00D55AB9" w:rsidP="00D55AB9">
            <w:pPr>
              <w:pStyle w:val="TableText"/>
              <w:rPr>
                <w:rFonts w:ascii="Tahoma" w:hAnsi="Tahoma" w:cs="Tahoma"/>
                <w:sz w:val="13"/>
              </w:rPr>
            </w:pPr>
          </w:p>
        </w:tc>
        <w:tc>
          <w:tcPr>
            <w:tcW w:w="702" w:type="dxa"/>
            <w:tcBorders>
              <w:bottom w:val="single" w:sz="4" w:space="0" w:color="auto"/>
            </w:tcBorders>
            <w:shd w:val="clear" w:color="auto" w:fill="auto"/>
            <w:vAlign w:val="center"/>
          </w:tcPr>
          <w:p w:rsidR="00D55AB9" w:rsidRPr="00A75DF9" w:rsidRDefault="00D55AB9" w:rsidP="00D55AB9">
            <w:pPr>
              <w:pStyle w:val="TableText"/>
              <w:rPr>
                <w:rFonts w:ascii="Tahoma" w:hAnsi="Tahoma" w:cs="Tahoma"/>
                <w:sz w:val="13"/>
              </w:rPr>
            </w:pPr>
          </w:p>
        </w:tc>
        <w:tc>
          <w:tcPr>
            <w:tcW w:w="650" w:type="dxa"/>
            <w:tcBorders>
              <w:bottom w:val="single" w:sz="4" w:space="0" w:color="auto"/>
            </w:tcBorders>
            <w:shd w:val="clear" w:color="auto" w:fill="auto"/>
            <w:vAlign w:val="center"/>
          </w:tcPr>
          <w:p w:rsidR="00D55AB9" w:rsidRPr="00A75DF9" w:rsidRDefault="00D55AB9" w:rsidP="00D55AB9">
            <w:pPr>
              <w:pStyle w:val="TableText"/>
              <w:rPr>
                <w:rFonts w:ascii="Tahoma" w:hAnsi="Tahoma" w:cs="Tahoma"/>
                <w:sz w:val="13"/>
              </w:rPr>
            </w:pPr>
          </w:p>
        </w:tc>
      </w:tr>
      <w:tr w:rsidR="00A75DF9" w:rsidRPr="00A75DF9" w:rsidTr="00337A7D">
        <w:trPr>
          <w:cantSplit/>
          <w:trHeight w:val="145"/>
        </w:trPr>
        <w:tc>
          <w:tcPr>
            <w:tcW w:w="2634" w:type="dxa"/>
            <w:tcBorders>
              <w:bottom w:val="single" w:sz="4" w:space="0" w:color="auto"/>
            </w:tcBorders>
            <w:shd w:val="clear" w:color="auto" w:fill="FABF8F"/>
            <w:vAlign w:val="center"/>
          </w:tcPr>
          <w:p w:rsidR="00D55AB9" w:rsidRPr="00A75DF9" w:rsidRDefault="00D55AB9" w:rsidP="008B1245">
            <w:pPr>
              <w:pStyle w:val="ProductNames"/>
              <w:spacing w:beforeLines="20" w:before="48" w:afterLines="20" w:after="48"/>
              <w:rPr>
                <w:rFonts w:ascii="Tahoma" w:hAnsi="Tahoma" w:cs="Tahoma"/>
                <w:sz w:val="14"/>
              </w:rPr>
            </w:pPr>
            <w:bookmarkStart w:id="106" w:name="_Toc368309898"/>
            <w:r w:rsidRPr="00A75DF9">
              <w:rPr>
                <w:rFonts w:ascii="Tahoma" w:hAnsi="Tahoma" w:cs="Tahoma"/>
                <w:sz w:val="14"/>
              </w:rPr>
              <w:t>Visio Pro per Office 365 A</w:t>
            </w:r>
            <w:bookmarkEnd w:id="106"/>
          </w:p>
        </w:tc>
        <w:tc>
          <w:tcPr>
            <w:tcW w:w="427" w:type="dxa"/>
            <w:tcBorders>
              <w:bottom w:val="single" w:sz="4" w:space="0" w:color="auto"/>
            </w:tcBorders>
            <w:shd w:val="clear" w:color="auto" w:fill="FABF8F"/>
            <w:vAlign w:val="center"/>
          </w:tcPr>
          <w:p w:rsidR="00D55AB9" w:rsidRPr="00A75DF9" w:rsidRDefault="00D55AB9" w:rsidP="00D55AB9">
            <w:pPr>
              <w:pStyle w:val="TableText"/>
              <w:widowControl w:val="0"/>
              <w:rPr>
                <w:rStyle w:val="EndnoteReference"/>
                <w:rFonts w:cs="Tahoma"/>
                <w:color w:val="0000FF"/>
                <w:sz w:val="13"/>
                <w:szCs w:val="13"/>
                <w:u w:val="single"/>
              </w:rPr>
            </w:pPr>
          </w:p>
        </w:tc>
        <w:tc>
          <w:tcPr>
            <w:tcW w:w="427" w:type="dxa"/>
            <w:tcBorders>
              <w:bottom w:val="single" w:sz="4" w:space="0" w:color="auto"/>
            </w:tcBorders>
            <w:shd w:val="clear" w:color="auto" w:fill="FABF8F"/>
            <w:vAlign w:val="center"/>
          </w:tcPr>
          <w:p w:rsidR="00D55AB9" w:rsidRPr="00A75DF9" w:rsidRDefault="00D55AB9" w:rsidP="00D55AB9">
            <w:pPr>
              <w:pStyle w:val="TableText"/>
              <w:spacing w:before="60" w:after="60"/>
              <w:rPr>
                <w:rFonts w:ascii="Tahoma" w:hAnsi="Tahoma" w:cs="Tahoma"/>
                <w:sz w:val="13"/>
              </w:rPr>
            </w:pPr>
            <w:r w:rsidRPr="00A75DF9">
              <w:rPr>
                <w:rFonts w:ascii="Tahoma" w:hAnsi="Tahoma" w:cs="Tahoma"/>
                <w:sz w:val="13"/>
              </w:rPr>
              <w:t>03/13</w:t>
            </w:r>
          </w:p>
        </w:tc>
        <w:tc>
          <w:tcPr>
            <w:tcW w:w="429" w:type="dxa"/>
            <w:tcBorders>
              <w:bottom w:val="single" w:sz="4" w:space="0" w:color="auto"/>
              <w:right w:val="single" w:sz="18" w:space="0" w:color="auto"/>
            </w:tcBorders>
            <w:shd w:val="clear" w:color="auto" w:fill="FABF8F"/>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A75DF9" w:rsidRDefault="00D55AB9"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A75DF9" w:rsidRDefault="00D55AB9"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A75DF9" w:rsidRDefault="00D55AB9"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A75DF9" w:rsidRDefault="00D55AB9"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A75DF9" w:rsidRDefault="00D55AB9" w:rsidP="00D55AB9">
            <w:pPr>
              <w:pStyle w:val="TableText"/>
              <w:rPr>
                <w:rFonts w:ascii="Tahoma" w:hAnsi="Tahoma" w:cs="Tahoma"/>
                <w:sz w:val="13"/>
              </w:rPr>
            </w:pPr>
          </w:p>
        </w:tc>
        <w:tc>
          <w:tcPr>
            <w:tcW w:w="429" w:type="dxa"/>
            <w:tcBorders>
              <w:bottom w:val="single" w:sz="4" w:space="0" w:color="auto"/>
            </w:tcBorders>
            <w:shd w:val="clear" w:color="auto" w:fill="FABF8F"/>
            <w:vAlign w:val="center"/>
          </w:tcPr>
          <w:p w:rsidR="00D55AB9" w:rsidRPr="00A75DF9" w:rsidRDefault="00D55AB9" w:rsidP="00D55AB9">
            <w:pPr>
              <w:pStyle w:val="TableText"/>
              <w:rPr>
                <w:rFonts w:ascii="Tahoma" w:hAnsi="Tahoma" w:cs="Tahoma"/>
                <w:sz w:val="13"/>
              </w:rPr>
            </w:pPr>
          </w:p>
        </w:tc>
        <w:tc>
          <w:tcPr>
            <w:tcW w:w="429" w:type="dxa"/>
            <w:tcBorders>
              <w:bottom w:val="single" w:sz="4" w:space="0" w:color="auto"/>
              <w:right w:val="single" w:sz="18" w:space="0" w:color="auto"/>
            </w:tcBorders>
            <w:shd w:val="clear" w:color="auto" w:fill="FABF8F"/>
            <w:vAlign w:val="center"/>
          </w:tcPr>
          <w:p w:rsidR="00D55AB9" w:rsidRPr="00A75DF9" w:rsidRDefault="00D55AB9" w:rsidP="00D55AB9">
            <w:pPr>
              <w:pStyle w:val="TableText"/>
              <w:rPr>
                <w:rFonts w:ascii="Tahoma" w:hAnsi="Tahoma" w:cs="Tahoma"/>
                <w:sz w:val="13"/>
              </w:rPr>
            </w:pPr>
          </w:p>
        </w:tc>
        <w:tc>
          <w:tcPr>
            <w:tcW w:w="405" w:type="dxa"/>
            <w:tcBorders>
              <w:left w:val="single" w:sz="18" w:space="0" w:color="auto"/>
              <w:bottom w:val="single" w:sz="4" w:space="0" w:color="auto"/>
            </w:tcBorders>
            <w:shd w:val="clear" w:color="auto" w:fill="FABF8F"/>
            <w:vAlign w:val="center"/>
          </w:tcPr>
          <w:p w:rsidR="00D55AB9" w:rsidRPr="00A75DF9" w:rsidRDefault="00D55AB9" w:rsidP="00D55AB9">
            <w:pPr>
              <w:pStyle w:val="TableText"/>
              <w:rPr>
                <w:rFonts w:ascii="Tahoma" w:hAnsi="Tahoma" w:cs="Tahoma"/>
                <w:sz w:val="13"/>
              </w:rPr>
            </w:pPr>
          </w:p>
        </w:tc>
        <w:tc>
          <w:tcPr>
            <w:tcW w:w="288" w:type="dxa"/>
            <w:tcBorders>
              <w:bottom w:val="single" w:sz="4" w:space="0" w:color="auto"/>
            </w:tcBorders>
            <w:shd w:val="clear" w:color="auto" w:fill="FABF8F"/>
            <w:vAlign w:val="center"/>
          </w:tcPr>
          <w:p w:rsidR="00D55AB9" w:rsidRPr="00A75DF9" w:rsidRDefault="00D55AB9" w:rsidP="00D55AB9">
            <w:pPr>
              <w:pStyle w:val="TableText"/>
              <w:rPr>
                <w:rFonts w:ascii="Tahoma" w:hAnsi="Tahoma" w:cs="Tahoma"/>
                <w:sz w:val="13"/>
              </w:rPr>
            </w:pPr>
          </w:p>
        </w:tc>
        <w:tc>
          <w:tcPr>
            <w:tcW w:w="315" w:type="dxa"/>
            <w:tcBorders>
              <w:bottom w:val="single" w:sz="4" w:space="0" w:color="auto"/>
              <w:right w:val="single" w:sz="18" w:space="0" w:color="auto"/>
            </w:tcBorders>
            <w:shd w:val="clear" w:color="auto" w:fill="FABF8F"/>
            <w:vAlign w:val="center"/>
          </w:tcPr>
          <w:p w:rsidR="00D55AB9" w:rsidRPr="00A75DF9" w:rsidRDefault="00D55AB9" w:rsidP="00D55AB9">
            <w:pPr>
              <w:pStyle w:val="TableText"/>
              <w:rPr>
                <w:rFonts w:ascii="Tahoma" w:hAnsi="Tahoma" w:cs="Tahoma"/>
                <w:sz w:val="13"/>
              </w:rPr>
            </w:pPr>
          </w:p>
        </w:tc>
        <w:tc>
          <w:tcPr>
            <w:tcW w:w="477" w:type="dxa"/>
            <w:tcBorders>
              <w:left w:val="single" w:sz="18" w:space="0" w:color="auto"/>
              <w:bottom w:val="single" w:sz="4" w:space="0" w:color="auto"/>
            </w:tcBorders>
            <w:shd w:val="clear" w:color="auto" w:fill="FABF8F"/>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1</w:t>
            </w:r>
          </w:p>
        </w:tc>
        <w:tc>
          <w:tcPr>
            <w:tcW w:w="396" w:type="dxa"/>
            <w:tcBorders>
              <w:bottom w:val="single" w:sz="4" w:space="0" w:color="auto"/>
              <w:right w:val="single" w:sz="18" w:space="0" w:color="auto"/>
            </w:tcBorders>
            <w:shd w:val="clear" w:color="auto" w:fill="FABF8F"/>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A</w:t>
            </w:r>
          </w:p>
        </w:tc>
        <w:tc>
          <w:tcPr>
            <w:tcW w:w="378" w:type="dxa"/>
            <w:tcBorders>
              <w:left w:val="single" w:sz="18" w:space="0" w:color="auto"/>
              <w:bottom w:val="single" w:sz="4" w:space="0" w:color="auto"/>
              <w:right w:val="single" w:sz="18" w:space="0" w:color="auto"/>
            </w:tcBorders>
            <w:shd w:val="clear" w:color="auto" w:fill="FABF8F"/>
            <w:vAlign w:val="center"/>
          </w:tcPr>
          <w:p w:rsidR="00D55AB9" w:rsidRPr="00A75DF9" w:rsidRDefault="00D55AB9" w:rsidP="00D55AB9">
            <w:pPr>
              <w:pStyle w:val="TableText"/>
              <w:rPr>
                <w:rFonts w:ascii="Tahoma" w:hAnsi="Tahoma" w:cs="Tahoma"/>
                <w:sz w:val="13"/>
              </w:rPr>
            </w:pPr>
          </w:p>
        </w:tc>
        <w:tc>
          <w:tcPr>
            <w:tcW w:w="702" w:type="dxa"/>
            <w:tcBorders>
              <w:bottom w:val="single" w:sz="4" w:space="0" w:color="auto"/>
            </w:tcBorders>
            <w:shd w:val="clear" w:color="auto" w:fill="FABF8F"/>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 xml:space="preserve">A, ST </w:t>
            </w:r>
            <w:r w:rsidR="00337A7D">
              <w:rPr>
                <w:rFonts w:ascii="Tahoma" w:hAnsi="Tahoma" w:cs="Tahoma"/>
                <w:sz w:val="13"/>
              </w:rPr>
              <w:br/>
            </w:r>
            <w:r w:rsidRPr="00A75DF9">
              <w:rPr>
                <w:rFonts w:ascii="Tahoma" w:hAnsi="Tahoma" w:cs="Tahoma"/>
                <w:sz w:val="13"/>
              </w:rPr>
              <w:t>(Solo EES)</w:t>
            </w:r>
          </w:p>
        </w:tc>
        <w:tc>
          <w:tcPr>
            <w:tcW w:w="650" w:type="dxa"/>
            <w:tcBorders>
              <w:bottom w:val="single" w:sz="4" w:space="0" w:color="auto"/>
            </w:tcBorders>
            <w:shd w:val="clear" w:color="auto" w:fill="FABF8F"/>
            <w:vAlign w:val="center"/>
          </w:tcPr>
          <w:p w:rsidR="00D55AB9" w:rsidRPr="00A75DF9" w:rsidRDefault="00D55AB9" w:rsidP="00D55AB9">
            <w:pPr>
              <w:pStyle w:val="TableText"/>
              <w:rPr>
                <w:rFonts w:ascii="Tahoma" w:hAnsi="Tahoma" w:cs="Tahoma"/>
                <w:sz w:val="13"/>
              </w:rPr>
            </w:pPr>
          </w:p>
        </w:tc>
      </w:tr>
      <w:tr w:rsidR="00A75DF9" w:rsidRPr="00A75DF9" w:rsidTr="00337A7D">
        <w:trPr>
          <w:cantSplit/>
          <w:trHeight w:val="145"/>
        </w:trPr>
        <w:tc>
          <w:tcPr>
            <w:tcW w:w="2634" w:type="dxa"/>
            <w:tcBorders>
              <w:bottom w:val="single" w:sz="4" w:space="0" w:color="auto"/>
            </w:tcBorders>
            <w:shd w:val="clear" w:color="auto" w:fill="auto"/>
          </w:tcPr>
          <w:p w:rsidR="00D55AB9" w:rsidRPr="00A75DF9" w:rsidRDefault="00D55AB9" w:rsidP="008B1245">
            <w:pPr>
              <w:pStyle w:val="ProductNames"/>
              <w:spacing w:beforeLines="20" w:before="48" w:afterLines="20" w:after="48"/>
              <w:rPr>
                <w:rFonts w:ascii="Tahoma" w:hAnsi="Tahoma" w:cs="Tahoma"/>
                <w:sz w:val="14"/>
              </w:rPr>
            </w:pPr>
            <w:bookmarkStart w:id="107" w:name="_Toc336337889"/>
            <w:bookmarkStart w:id="108" w:name="_Toc368309899"/>
            <w:r w:rsidRPr="00A75DF9">
              <w:rPr>
                <w:rFonts w:ascii="Tahoma" w:hAnsi="Tahoma" w:cs="Tahoma"/>
                <w:sz w:val="14"/>
              </w:rPr>
              <w:t>Visual Studio</w:t>
            </w:r>
            <w:r w:rsidR="009D5D7B" w:rsidRPr="00A75DF9">
              <w:rPr>
                <w:rFonts w:ascii="Tahoma" w:hAnsi="Tahoma" w:cs="Tahoma"/>
                <w:sz w:val="14"/>
                <w:vertAlign w:val="superscript"/>
              </w:rPr>
              <w:t>®</w:t>
            </w:r>
            <w:r w:rsidRPr="00A75DF9">
              <w:rPr>
                <w:rFonts w:ascii="Tahoma" w:hAnsi="Tahoma" w:cs="Tahoma"/>
                <w:sz w:val="14"/>
              </w:rPr>
              <w:t xml:space="preserve"> Professional 2012</w:t>
            </w:r>
            <w:bookmarkEnd w:id="107"/>
            <w:bookmarkEnd w:id="108"/>
          </w:p>
        </w:tc>
        <w:tc>
          <w:tcPr>
            <w:tcW w:w="427" w:type="dxa"/>
            <w:tcBorders>
              <w:bottom w:val="single" w:sz="4" w:space="0" w:color="auto"/>
            </w:tcBorders>
            <w:shd w:val="clear" w:color="auto" w:fill="auto"/>
            <w:vAlign w:val="center"/>
          </w:tcPr>
          <w:p w:rsidR="00D55AB9" w:rsidRPr="00A75DF9" w:rsidRDefault="00B54770" w:rsidP="00D55AB9">
            <w:pPr>
              <w:pStyle w:val="TableText"/>
              <w:widowControl w:val="0"/>
              <w:rPr>
                <w:rFonts w:cs="Tahoma"/>
                <w:b/>
                <w:color w:val="0000FF"/>
                <w:sz w:val="13"/>
                <w:szCs w:val="13"/>
                <w:u w:val="single"/>
              </w:rPr>
            </w:pPr>
            <w:hyperlink w:anchor="_19_Visual_Studio" w:history="1">
              <w:r w:rsidR="00734B17" w:rsidRPr="00A75DF9">
                <w:rPr>
                  <w:rStyle w:val="Hyperlink"/>
                  <w:rFonts w:cs="Tahoma"/>
                  <w:b/>
                  <w:sz w:val="13"/>
                  <w:szCs w:val="13"/>
                </w:rPr>
                <w:t>20</w:t>
              </w:r>
            </w:hyperlink>
          </w:p>
        </w:tc>
        <w:tc>
          <w:tcPr>
            <w:tcW w:w="427" w:type="dxa"/>
            <w:tcBorders>
              <w:bottom w:val="single" w:sz="4" w:space="0" w:color="auto"/>
            </w:tcBorders>
            <w:shd w:val="clear" w:color="auto" w:fill="auto"/>
            <w:vAlign w:val="center"/>
          </w:tcPr>
          <w:p w:rsidR="00D55AB9" w:rsidRPr="00A75DF9" w:rsidRDefault="00D55AB9" w:rsidP="00D55AB9">
            <w:pPr>
              <w:pStyle w:val="TableText"/>
              <w:spacing w:before="60" w:after="60"/>
              <w:rPr>
                <w:rFonts w:ascii="Tahoma" w:hAnsi="Tahoma" w:cs="Tahoma"/>
                <w:sz w:val="13"/>
              </w:rPr>
            </w:pPr>
            <w:r w:rsidRPr="00A75DF9">
              <w:rPr>
                <w:rFonts w:ascii="Tahoma" w:hAnsi="Tahoma" w:cs="Tahoma"/>
                <w:sz w:val="13"/>
              </w:rPr>
              <w:t>08/12</w:t>
            </w:r>
          </w:p>
        </w:tc>
        <w:tc>
          <w:tcPr>
            <w:tcW w:w="429" w:type="dxa"/>
            <w:tcBorders>
              <w:bottom w:val="single" w:sz="4" w:space="0" w:color="auto"/>
              <w:right w:val="single" w:sz="18" w:space="0" w:color="auto"/>
            </w:tcBorders>
            <w:shd w:val="clear" w:color="auto" w:fill="auto"/>
            <w:vAlign w:val="center"/>
          </w:tcPr>
          <w:p w:rsidR="00D55AB9" w:rsidRPr="00A75DF9" w:rsidRDefault="00D55AB9" w:rsidP="00D55AB9">
            <w:pPr>
              <w:pStyle w:val="TableText"/>
              <w:rPr>
                <w:rFonts w:ascii="Tahoma" w:hAnsi="Tahoma" w:cs="Tahoma"/>
                <w:sz w:val="13"/>
              </w:rPr>
            </w:pPr>
          </w:p>
        </w:tc>
        <w:tc>
          <w:tcPr>
            <w:tcW w:w="429" w:type="dxa"/>
            <w:tcBorders>
              <w:left w:val="single" w:sz="18" w:space="0" w:color="auto"/>
              <w:bottom w:val="single" w:sz="4" w:space="0" w:color="auto"/>
            </w:tcBorders>
            <w:shd w:val="clear" w:color="auto" w:fill="auto"/>
            <w:vAlign w:val="center"/>
          </w:tcPr>
          <w:p w:rsidR="00D55AB9" w:rsidRPr="00A75DF9" w:rsidRDefault="00D55AB9" w:rsidP="00D55AB9">
            <w:pPr>
              <w:pStyle w:val="TableText"/>
              <w:spacing w:after="120"/>
              <w:rPr>
                <w:rFonts w:ascii="Tahoma" w:hAnsi="Tahoma" w:cs="Tahoma"/>
                <w:sz w:val="13"/>
              </w:rPr>
            </w:pPr>
            <w:r w:rsidRPr="00A75DF9">
              <w:rPr>
                <w:rFonts w:ascii="Tahoma" w:hAnsi="Tahoma" w:cs="Tahoma"/>
                <w:sz w:val="13"/>
              </w:rPr>
              <w:t>2</w:t>
            </w:r>
          </w:p>
        </w:tc>
        <w:tc>
          <w:tcPr>
            <w:tcW w:w="429" w:type="dxa"/>
            <w:tcBorders>
              <w:bottom w:val="single" w:sz="4" w:space="0" w:color="auto"/>
            </w:tcBorders>
            <w:shd w:val="clear" w:color="auto" w:fill="auto"/>
            <w:vAlign w:val="center"/>
          </w:tcPr>
          <w:p w:rsidR="00D55AB9" w:rsidRPr="00A75DF9" w:rsidRDefault="00D55AB9"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D55AB9" w:rsidRPr="00A75DF9" w:rsidRDefault="00D55AB9"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D55AB9" w:rsidRPr="00A75DF9" w:rsidRDefault="00D55AB9"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D55AB9" w:rsidRPr="00A75DF9" w:rsidRDefault="00D55AB9"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D55AB9" w:rsidRPr="00A75DF9" w:rsidRDefault="00D55AB9" w:rsidP="00D55AB9">
            <w:pPr>
              <w:pStyle w:val="TableText"/>
              <w:spacing w:after="120"/>
              <w:rPr>
                <w:rFonts w:ascii="Tahoma" w:hAnsi="Tahoma" w:cs="Tahoma"/>
                <w:sz w:val="13"/>
              </w:rPr>
            </w:pPr>
          </w:p>
        </w:tc>
        <w:tc>
          <w:tcPr>
            <w:tcW w:w="429" w:type="dxa"/>
            <w:tcBorders>
              <w:bottom w:val="single" w:sz="4" w:space="0" w:color="auto"/>
              <w:right w:val="single" w:sz="18" w:space="0" w:color="auto"/>
            </w:tcBorders>
            <w:shd w:val="clear" w:color="auto" w:fill="auto"/>
            <w:vAlign w:val="center"/>
          </w:tcPr>
          <w:p w:rsidR="00D55AB9" w:rsidRPr="00A75DF9" w:rsidRDefault="00D55AB9" w:rsidP="00D55AB9">
            <w:pPr>
              <w:pStyle w:val="TableText"/>
              <w:spacing w:after="120"/>
              <w:rPr>
                <w:rFonts w:ascii="Tahoma" w:hAnsi="Tahoma" w:cs="Tahoma"/>
                <w:sz w:val="13"/>
              </w:rPr>
            </w:pPr>
          </w:p>
        </w:tc>
        <w:tc>
          <w:tcPr>
            <w:tcW w:w="405" w:type="dxa"/>
            <w:tcBorders>
              <w:left w:val="single" w:sz="18" w:space="0" w:color="auto"/>
              <w:bottom w:val="single" w:sz="4" w:space="0" w:color="auto"/>
            </w:tcBorders>
            <w:shd w:val="clear" w:color="auto" w:fill="auto"/>
            <w:vAlign w:val="center"/>
          </w:tcPr>
          <w:p w:rsidR="00D55AB9" w:rsidRPr="00A75DF9" w:rsidRDefault="00D55AB9" w:rsidP="00D55AB9">
            <w:pPr>
              <w:pStyle w:val="TableText"/>
              <w:spacing w:after="120"/>
              <w:rPr>
                <w:rFonts w:ascii="Tahoma" w:hAnsi="Tahoma" w:cs="Tahoma"/>
                <w:sz w:val="13"/>
              </w:rPr>
            </w:pPr>
            <w:r w:rsidRPr="00A75DF9">
              <w:rPr>
                <w:rFonts w:ascii="Tahoma" w:hAnsi="Tahoma" w:cs="Tahoma"/>
                <w:sz w:val="13"/>
              </w:rPr>
              <w:t>2</w:t>
            </w:r>
          </w:p>
        </w:tc>
        <w:tc>
          <w:tcPr>
            <w:tcW w:w="288" w:type="dxa"/>
            <w:tcBorders>
              <w:bottom w:val="single" w:sz="4" w:space="0" w:color="auto"/>
            </w:tcBorders>
            <w:shd w:val="clear" w:color="auto" w:fill="auto"/>
            <w:vAlign w:val="center"/>
          </w:tcPr>
          <w:p w:rsidR="00D55AB9" w:rsidRPr="00A75DF9" w:rsidRDefault="00D55AB9" w:rsidP="00D55AB9">
            <w:pPr>
              <w:pStyle w:val="TableText"/>
              <w:spacing w:after="120"/>
              <w:rPr>
                <w:rFonts w:ascii="Tahoma" w:hAnsi="Tahoma" w:cs="Tahoma"/>
                <w:sz w:val="13"/>
              </w:rPr>
            </w:pPr>
          </w:p>
        </w:tc>
        <w:tc>
          <w:tcPr>
            <w:tcW w:w="315" w:type="dxa"/>
            <w:tcBorders>
              <w:bottom w:val="single" w:sz="4" w:space="0" w:color="auto"/>
              <w:right w:val="single" w:sz="18" w:space="0" w:color="auto"/>
            </w:tcBorders>
            <w:shd w:val="clear" w:color="auto" w:fill="auto"/>
            <w:vAlign w:val="center"/>
          </w:tcPr>
          <w:p w:rsidR="00D55AB9" w:rsidRPr="00A75DF9" w:rsidRDefault="00D55AB9" w:rsidP="00D55AB9">
            <w:pPr>
              <w:pStyle w:val="TableText"/>
              <w:spacing w:after="120"/>
              <w:rPr>
                <w:rFonts w:ascii="Tahoma" w:hAnsi="Tahoma" w:cs="Tahoma"/>
                <w:sz w:val="13"/>
              </w:rPr>
            </w:pPr>
          </w:p>
        </w:tc>
        <w:tc>
          <w:tcPr>
            <w:tcW w:w="477" w:type="dxa"/>
            <w:tcBorders>
              <w:left w:val="single" w:sz="18" w:space="0" w:color="auto"/>
              <w:bottom w:val="single" w:sz="4" w:space="0" w:color="auto"/>
            </w:tcBorders>
            <w:shd w:val="clear" w:color="auto" w:fill="auto"/>
            <w:vAlign w:val="center"/>
          </w:tcPr>
          <w:p w:rsidR="00D55AB9" w:rsidRPr="00A75DF9" w:rsidRDefault="00D55AB9" w:rsidP="00D55AB9">
            <w:pPr>
              <w:pStyle w:val="TableText"/>
              <w:spacing w:before="120" w:after="120"/>
              <w:rPr>
                <w:rFonts w:ascii="Tahoma" w:hAnsi="Tahoma" w:cs="Tahoma"/>
                <w:sz w:val="13"/>
              </w:rPr>
            </w:pPr>
          </w:p>
        </w:tc>
        <w:tc>
          <w:tcPr>
            <w:tcW w:w="396" w:type="dxa"/>
            <w:tcBorders>
              <w:bottom w:val="single" w:sz="4" w:space="0" w:color="auto"/>
              <w:right w:val="single" w:sz="18" w:space="0" w:color="auto"/>
            </w:tcBorders>
            <w:shd w:val="clear" w:color="auto" w:fill="auto"/>
            <w:vAlign w:val="center"/>
          </w:tcPr>
          <w:p w:rsidR="00D55AB9" w:rsidRPr="00A75DF9" w:rsidRDefault="00D55AB9" w:rsidP="00D55AB9">
            <w:pPr>
              <w:pStyle w:val="TableText"/>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auto"/>
            <w:vAlign w:val="center"/>
          </w:tcPr>
          <w:p w:rsidR="00D55AB9" w:rsidRPr="00A75DF9" w:rsidRDefault="00D55AB9" w:rsidP="00D55AB9">
            <w:pPr>
              <w:pStyle w:val="TableText"/>
              <w:rPr>
                <w:rFonts w:ascii="Tahoma" w:hAnsi="Tahoma" w:cs="Tahoma"/>
                <w:sz w:val="13"/>
              </w:rPr>
            </w:pPr>
          </w:p>
        </w:tc>
        <w:tc>
          <w:tcPr>
            <w:tcW w:w="702" w:type="dxa"/>
            <w:tcBorders>
              <w:bottom w:val="single" w:sz="4" w:space="0" w:color="auto"/>
            </w:tcBorders>
            <w:shd w:val="clear" w:color="auto" w:fill="auto"/>
            <w:vAlign w:val="center"/>
          </w:tcPr>
          <w:p w:rsidR="00D55AB9" w:rsidRPr="00A75DF9" w:rsidRDefault="00D55AB9" w:rsidP="00D55AB9">
            <w:pPr>
              <w:pStyle w:val="TableText"/>
              <w:rPr>
                <w:rFonts w:ascii="Tahoma" w:hAnsi="Tahoma" w:cs="Tahoma"/>
                <w:sz w:val="13"/>
              </w:rPr>
            </w:pPr>
          </w:p>
        </w:tc>
        <w:tc>
          <w:tcPr>
            <w:tcW w:w="650" w:type="dxa"/>
            <w:tcBorders>
              <w:bottom w:val="single" w:sz="4" w:space="0" w:color="auto"/>
            </w:tcBorders>
            <w:shd w:val="clear" w:color="auto" w:fill="auto"/>
            <w:vAlign w:val="center"/>
          </w:tcPr>
          <w:p w:rsidR="00D55AB9" w:rsidRPr="00A75DF9" w:rsidRDefault="00D55AB9" w:rsidP="00D55AB9">
            <w:pPr>
              <w:pStyle w:val="TableText"/>
              <w:rPr>
                <w:rFonts w:ascii="Tahoma" w:hAnsi="Tahoma" w:cs="Tahoma"/>
                <w:sz w:val="13"/>
              </w:rPr>
            </w:pPr>
          </w:p>
        </w:tc>
      </w:tr>
      <w:tr w:rsidR="00A75DF9" w:rsidRPr="00A75DF9" w:rsidTr="00337A7D">
        <w:trPr>
          <w:cantSplit/>
          <w:trHeight w:val="145"/>
        </w:trPr>
        <w:tc>
          <w:tcPr>
            <w:tcW w:w="2634" w:type="dxa"/>
            <w:tcBorders>
              <w:bottom w:val="single" w:sz="4" w:space="0" w:color="auto"/>
            </w:tcBorders>
            <w:shd w:val="clear" w:color="auto" w:fill="FABF8F"/>
          </w:tcPr>
          <w:p w:rsidR="00D55AB9" w:rsidRPr="00A75DF9" w:rsidRDefault="00D55AB9" w:rsidP="00337A7D">
            <w:pPr>
              <w:pStyle w:val="ProductNames"/>
              <w:spacing w:beforeLines="20" w:before="48" w:afterLines="20" w:after="48"/>
              <w:rPr>
                <w:rFonts w:ascii="Tahoma" w:hAnsi="Tahoma" w:cs="Tahoma"/>
                <w:sz w:val="14"/>
              </w:rPr>
            </w:pPr>
            <w:bookmarkStart w:id="109" w:name="_Toc336337890"/>
            <w:bookmarkStart w:id="110" w:name="_Toc368309900"/>
            <w:r w:rsidRPr="00A75DF9">
              <w:rPr>
                <w:rFonts w:ascii="Tahoma" w:hAnsi="Tahoma" w:cs="Tahoma"/>
                <w:sz w:val="14"/>
              </w:rPr>
              <w:t>Visual Studio</w:t>
            </w:r>
            <w:r w:rsidR="009D5D7B" w:rsidRPr="00A75DF9">
              <w:rPr>
                <w:rFonts w:ascii="Tahoma" w:hAnsi="Tahoma" w:cs="Tahoma"/>
                <w:sz w:val="14"/>
                <w:vertAlign w:val="superscript"/>
              </w:rPr>
              <w:t>®</w:t>
            </w:r>
            <w:r w:rsidRPr="00A75DF9">
              <w:rPr>
                <w:rFonts w:ascii="Tahoma" w:hAnsi="Tahoma" w:cs="Tahoma"/>
                <w:sz w:val="14"/>
              </w:rPr>
              <w:t xml:space="preserve"> Professional 2012 con</w:t>
            </w:r>
            <w:r w:rsidR="00337A7D">
              <w:rPr>
                <w:rFonts w:ascii="Tahoma" w:hAnsi="Tahoma" w:cs="Tahoma"/>
                <w:sz w:val="14"/>
              </w:rPr>
              <w:t> </w:t>
            </w:r>
            <w:r w:rsidRPr="00A75DF9">
              <w:rPr>
                <w:rFonts w:ascii="Tahoma" w:hAnsi="Tahoma" w:cs="Tahoma"/>
                <w:sz w:val="14"/>
              </w:rPr>
              <w:t>MSDN</w:t>
            </w:r>
            <w:bookmarkEnd w:id="109"/>
            <w:bookmarkEnd w:id="110"/>
            <w:r w:rsidRPr="00A75DF9">
              <w:rPr>
                <w:rFonts w:ascii="Tahoma" w:hAnsi="Tahoma" w:cs="Tahoma"/>
                <w:sz w:val="14"/>
              </w:rPr>
              <w:t xml:space="preserve"> </w:t>
            </w:r>
          </w:p>
        </w:tc>
        <w:tc>
          <w:tcPr>
            <w:tcW w:w="427" w:type="dxa"/>
            <w:tcBorders>
              <w:bottom w:val="single" w:sz="4" w:space="0" w:color="auto"/>
            </w:tcBorders>
            <w:shd w:val="clear" w:color="auto" w:fill="FABF8F"/>
            <w:vAlign w:val="center"/>
          </w:tcPr>
          <w:p w:rsidR="00D55AB9" w:rsidRPr="00A75DF9" w:rsidRDefault="00B54770" w:rsidP="00D55AB9">
            <w:pPr>
              <w:pStyle w:val="TableText"/>
              <w:widowControl w:val="0"/>
              <w:rPr>
                <w:rStyle w:val="EndnoteReference"/>
                <w:rFonts w:cs="Tahoma"/>
                <w:b w:val="0"/>
                <w:color w:val="0000FF"/>
                <w:sz w:val="13"/>
                <w:szCs w:val="13"/>
                <w:u w:val="single"/>
              </w:rPr>
            </w:pPr>
            <w:hyperlink w:anchor="_20_Visual_Studio" w:history="1">
              <w:r w:rsidR="00734B17" w:rsidRPr="00A75DF9">
                <w:rPr>
                  <w:rStyle w:val="Hyperlink"/>
                  <w:rFonts w:cs="Tahoma"/>
                  <w:b/>
                  <w:sz w:val="13"/>
                  <w:szCs w:val="13"/>
                </w:rPr>
                <w:t>21</w:t>
              </w:r>
            </w:hyperlink>
            <w:hyperlink w:anchor="Aps_13VS2010ProfessionalMSDN" w:history="1"/>
          </w:p>
        </w:tc>
        <w:tc>
          <w:tcPr>
            <w:tcW w:w="427" w:type="dxa"/>
            <w:tcBorders>
              <w:bottom w:val="single" w:sz="4" w:space="0" w:color="auto"/>
            </w:tcBorders>
            <w:shd w:val="clear" w:color="auto" w:fill="FABF8F"/>
            <w:vAlign w:val="center"/>
          </w:tcPr>
          <w:p w:rsidR="00D55AB9" w:rsidRPr="00A75DF9" w:rsidRDefault="00D55AB9" w:rsidP="00D55AB9">
            <w:pPr>
              <w:pStyle w:val="TableText"/>
              <w:spacing w:before="60" w:after="60"/>
              <w:rPr>
                <w:rFonts w:ascii="Tahoma" w:hAnsi="Tahoma" w:cs="Tahoma"/>
                <w:sz w:val="13"/>
              </w:rPr>
            </w:pPr>
            <w:r w:rsidRPr="00A75DF9">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A75DF9" w:rsidRDefault="00D55AB9" w:rsidP="00D55AB9">
            <w:pPr>
              <w:pStyle w:val="TableText"/>
              <w:spacing w:after="120"/>
              <w:rPr>
                <w:rFonts w:ascii="Tahoma" w:hAnsi="Tahoma" w:cs="Tahoma"/>
                <w:sz w:val="13"/>
              </w:rPr>
            </w:pPr>
          </w:p>
        </w:tc>
        <w:tc>
          <w:tcPr>
            <w:tcW w:w="429" w:type="dxa"/>
            <w:tcBorders>
              <w:bottom w:val="single" w:sz="4" w:space="0" w:color="auto"/>
            </w:tcBorders>
            <w:shd w:val="clear" w:color="auto" w:fill="FABF8F"/>
            <w:vAlign w:val="center"/>
          </w:tcPr>
          <w:p w:rsidR="00D55AB9" w:rsidRPr="00A75DF9" w:rsidRDefault="00D55AB9" w:rsidP="00D55AB9">
            <w:pPr>
              <w:pStyle w:val="TableText"/>
              <w:spacing w:after="120"/>
              <w:rPr>
                <w:rFonts w:ascii="Tahoma" w:hAnsi="Tahoma" w:cs="Tahoma"/>
                <w:sz w:val="13"/>
              </w:rPr>
            </w:pPr>
            <w:r w:rsidRPr="00A75DF9">
              <w:rPr>
                <w:rFonts w:ascii="Tahoma" w:hAnsi="Tahoma" w:cs="Tahoma"/>
                <w:sz w:val="13"/>
              </w:rPr>
              <w:t>3</w:t>
            </w:r>
          </w:p>
        </w:tc>
        <w:tc>
          <w:tcPr>
            <w:tcW w:w="429" w:type="dxa"/>
            <w:tcBorders>
              <w:bottom w:val="single" w:sz="4" w:space="0" w:color="auto"/>
            </w:tcBorders>
            <w:shd w:val="clear" w:color="auto" w:fill="FABF8F"/>
            <w:vAlign w:val="center"/>
          </w:tcPr>
          <w:p w:rsidR="00D55AB9" w:rsidRPr="00A75DF9" w:rsidRDefault="00D55AB9" w:rsidP="00D55AB9">
            <w:pPr>
              <w:pStyle w:val="TableText"/>
              <w:spacing w:after="120"/>
              <w:rPr>
                <w:rFonts w:ascii="Tahoma" w:hAnsi="Tahoma" w:cs="Tahoma"/>
                <w:sz w:val="13"/>
              </w:rPr>
            </w:pPr>
            <w:r w:rsidRPr="00A75DF9">
              <w:rPr>
                <w:rFonts w:ascii="Tahoma" w:hAnsi="Tahoma" w:cs="Tahoma"/>
                <w:sz w:val="13"/>
              </w:rPr>
              <w:t>2</w:t>
            </w:r>
          </w:p>
        </w:tc>
        <w:tc>
          <w:tcPr>
            <w:tcW w:w="429" w:type="dxa"/>
            <w:tcBorders>
              <w:bottom w:val="single" w:sz="4" w:space="0" w:color="auto"/>
            </w:tcBorders>
            <w:shd w:val="clear" w:color="auto" w:fill="FABF8F"/>
            <w:vAlign w:val="center"/>
          </w:tcPr>
          <w:p w:rsidR="00D55AB9" w:rsidRPr="00A75DF9" w:rsidRDefault="00D55AB9" w:rsidP="00D55AB9">
            <w:pPr>
              <w:pStyle w:val="TableText"/>
              <w:spacing w:after="120"/>
              <w:rPr>
                <w:rFonts w:ascii="Tahoma" w:hAnsi="Tahoma" w:cs="Tahoma"/>
                <w:sz w:val="13"/>
              </w:rPr>
            </w:pPr>
            <w:r w:rsidRPr="00A75DF9">
              <w:rPr>
                <w:rFonts w:ascii="Tahoma" w:hAnsi="Tahoma" w:cs="Tahoma"/>
                <w:sz w:val="13"/>
              </w:rPr>
              <w:t>2</w:t>
            </w:r>
          </w:p>
        </w:tc>
        <w:tc>
          <w:tcPr>
            <w:tcW w:w="429" w:type="dxa"/>
            <w:tcBorders>
              <w:bottom w:val="single" w:sz="4" w:space="0" w:color="auto"/>
            </w:tcBorders>
            <w:shd w:val="clear" w:color="auto" w:fill="FABF8F"/>
            <w:vAlign w:val="center"/>
          </w:tcPr>
          <w:p w:rsidR="00D55AB9" w:rsidRPr="00A75DF9" w:rsidRDefault="00D55AB9" w:rsidP="00D55AB9">
            <w:pPr>
              <w:pStyle w:val="TableText"/>
              <w:spacing w:after="120"/>
              <w:rPr>
                <w:rFonts w:ascii="Tahoma" w:hAnsi="Tahoma" w:cs="Tahoma"/>
                <w:sz w:val="13"/>
              </w:rPr>
            </w:pPr>
            <w:r w:rsidRPr="00A75DF9">
              <w:rPr>
                <w:rFonts w:ascii="Tahoma" w:hAnsi="Tahoma" w:cs="Tahoma"/>
                <w:sz w:val="13"/>
              </w:rPr>
              <w:t>2</w:t>
            </w:r>
          </w:p>
        </w:tc>
        <w:tc>
          <w:tcPr>
            <w:tcW w:w="429" w:type="dxa"/>
            <w:tcBorders>
              <w:bottom w:val="single" w:sz="4" w:space="0" w:color="auto"/>
            </w:tcBorders>
            <w:shd w:val="clear" w:color="auto" w:fill="FABF8F"/>
            <w:vAlign w:val="center"/>
          </w:tcPr>
          <w:p w:rsidR="00D55AB9" w:rsidRPr="00A75DF9" w:rsidRDefault="00D55AB9" w:rsidP="00D55AB9">
            <w:pPr>
              <w:pStyle w:val="TableText"/>
              <w:spacing w:after="120"/>
              <w:rPr>
                <w:rFonts w:ascii="Tahoma" w:hAnsi="Tahoma" w:cs="Tahoma"/>
                <w:sz w:val="13"/>
              </w:rPr>
            </w:pPr>
            <w:r w:rsidRPr="00A75DF9">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A75DF9" w:rsidRDefault="00D55AB9" w:rsidP="00D55AB9">
            <w:pPr>
              <w:pStyle w:val="TableText"/>
              <w:spacing w:after="120"/>
              <w:rPr>
                <w:rFonts w:ascii="Tahoma" w:hAnsi="Tahoma" w:cs="Tahoma"/>
                <w:sz w:val="13"/>
              </w:rPr>
            </w:pPr>
            <w:r w:rsidRPr="00A75DF9">
              <w:rPr>
                <w:rFonts w:ascii="Tahoma" w:hAnsi="Tahoma" w:cs="Tahoma"/>
                <w:sz w:val="13"/>
              </w:rPr>
              <w:t>1</w:t>
            </w:r>
          </w:p>
        </w:tc>
        <w:tc>
          <w:tcPr>
            <w:tcW w:w="405" w:type="dxa"/>
            <w:tcBorders>
              <w:left w:val="single" w:sz="18" w:space="0" w:color="auto"/>
              <w:bottom w:val="single" w:sz="4" w:space="0" w:color="auto"/>
            </w:tcBorders>
            <w:shd w:val="clear" w:color="auto" w:fill="FABF8F"/>
            <w:vAlign w:val="center"/>
          </w:tcPr>
          <w:p w:rsidR="00D55AB9" w:rsidRPr="00A75DF9" w:rsidRDefault="00D55AB9" w:rsidP="00D55AB9">
            <w:pPr>
              <w:pStyle w:val="TableText"/>
              <w:spacing w:after="120"/>
              <w:rPr>
                <w:rFonts w:ascii="Tahoma" w:hAnsi="Tahoma" w:cs="Tahoma"/>
                <w:sz w:val="13"/>
              </w:rPr>
            </w:pPr>
          </w:p>
        </w:tc>
        <w:tc>
          <w:tcPr>
            <w:tcW w:w="288" w:type="dxa"/>
            <w:tcBorders>
              <w:bottom w:val="single" w:sz="4" w:space="0" w:color="auto"/>
            </w:tcBorders>
            <w:shd w:val="clear" w:color="auto" w:fill="FABF8F"/>
            <w:vAlign w:val="center"/>
          </w:tcPr>
          <w:p w:rsidR="00D55AB9" w:rsidRPr="00A75DF9" w:rsidRDefault="00D55AB9" w:rsidP="00D55AB9">
            <w:pPr>
              <w:pStyle w:val="TableText"/>
              <w:spacing w:after="120"/>
              <w:rPr>
                <w:rFonts w:ascii="Tahoma" w:hAnsi="Tahoma" w:cs="Tahoma"/>
                <w:sz w:val="13"/>
              </w:rPr>
            </w:pPr>
            <w:r w:rsidRPr="00A75DF9">
              <w:rPr>
                <w:rFonts w:ascii="Tahoma" w:hAnsi="Tahoma" w:cs="Tahoma"/>
                <w:sz w:val="13"/>
              </w:rPr>
              <w:t>2</w:t>
            </w:r>
          </w:p>
        </w:tc>
        <w:tc>
          <w:tcPr>
            <w:tcW w:w="315" w:type="dxa"/>
            <w:tcBorders>
              <w:bottom w:val="single" w:sz="4" w:space="0" w:color="auto"/>
              <w:right w:val="single" w:sz="18" w:space="0" w:color="auto"/>
            </w:tcBorders>
            <w:shd w:val="clear" w:color="auto" w:fill="FABF8F"/>
            <w:vAlign w:val="center"/>
          </w:tcPr>
          <w:p w:rsidR="00D55AB9" w:rsidRPr="00A75DF9" w:rsidRDefault="00D55AB9" w:rsidP="00D55AB9">
            <w:pPr>
              <w:pStyle w:val="TableText"/>
              <w:spacing w:after="120"/>
              <w:rPr>
                <w:rFonts w:ascii="Tahoma" w:hAnsi="Tahoma" w:cs="Tahoma"/>
                <w:sz w:val="13"/>
              </w:rPr>
            </w:pPr>
            <w:r w:rsidRPr="00A75DF9">
              <w:rPr>
                <w:rFonts w:ascii="Tahoma" w:hAnsi="Tahoma" w:cs="Tahoma"/>
                <w:sz w:val="13"/>
              </w:rPr>
              <w:t>1</w:t>
            </w:r>
          </w:p>
        </w:tc>
        <w:tc>
          <w:tcPr>
            <w:tcW w:w="477" w:type="dxa"/>
            <w:tcBorders>
              <w:left w:val="single" w:sz="18" w:space="0" w:color="auto"/>
              <w:bottom w:val="single" w:sz="4" w:space="0" w:color="auto"/>
            </w:tcBorders>
            <w:shd w:val="clear" w:color="auto" w:fill="FABF8F"/>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1</w:t>
            </w:r>
          </w:p>
        </w:tc>
        <w:tc>
          <w:tcPr>
            <w:tcW w:w="396" w:type="dxa"/>
            <w:tcBorders>
              <w:bottom w:val="single" w:sz="4" w:space="0" w:color="auto"/>
              <w:right w:val="single" w:sz="18" w:space="0" w:color="auto"/>
            </w:tcBorders>
            <w:shd w:val="clear" w:color="auto" w:fill="FABF8F"/>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A,S</w:t>
            </w:r>
          </w:p>
        </w:tc>
        <w:tc>
          <w:tcPr>
            <w:tcW w:w="378" w:type="dxa"/>
            <w:tcBorders>
              <w:left w:val="single" w:sz="18" w:space="0" w:color="auto"/>
              <w:bottom w:val="single" w:sz="4" w:space="0" w:color="auto"/>
              <w:right w:val="single" w:sz="18" w:space="0" w:color="auto"/>
            </w:tcBorders>
            <w:shd w:val="clear" w:color="auto" w:fill="FABF8F"/>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P</w:t>
            </w:r>
          </w:p>
        </w:tc>
        <w:tc>
          <w:tcPr>
            <w:tcW w:w="702" w:type="dxa"/>
            <w:tcBorders>
              <w:bottom w:val="single" w:sz="4" w:space="0" w:color="auto"/>
            </w:tcBorders>
            <w:shd w:val="clear" w:color="auto" w:fill="FABF8F"/>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A</w:t>
            </w:r>
          </w:p>
        </w:tc>
        <w:tc>
          <w:tcPr>
            <w:tcW w:w="650" w:type="dxa"/>
            <w:tcBorders>
              <w:bottom w:val="single" w:sz="4" w:space="0" w:color="auto"/>
            </w:tcBorders>
            <w:shd w:val="clear" w:color="auto" w:fill="FABF8F"/>
            <w:vAlign w:val="center"/>
          </w:tcPr>
          <w:p w:rsidR="00D55AB9" w:rsidRPr="00A75DF9" w:rsidRDefault="00D55AB9" w:rsidP="00D55AB9">
            <w:pPr>
              <w:pStyle w:val="TableText"/>
              <w:rPr>
                <w:rFonts w:ascii="Tahoma" w:hAnsi="Tahoma" w:cs="Tahoma"/>
              </w:rPr>
            </w:pPr>
            <w:r w:rsidRPr="00A75DF9">
              <w:rPr>
                <w:rFonts w:ascii="Tahoma" w:hAnsi="Tahoma" w:cs="Tahoma"/>
                <w:sz w:val="13"/>
              </w:rPr>
              <w:t>OL/SA/</w:t>
            </w:r>
          </w:p>
          <w:p w:rsidR="00D55AB9" w:rsidRPr="00A75DF9" w:rsidRDefault="00D55AB9" w:rsidP="00D55AB9">
            <w:pPr>
              <w:pStyle w:val="TableText"/>
              <w:rPr>
                <w:rFonts w:ascii="Tahoma" w:hAnsi="Tahoma" w:cs="Tahoma"/>
                <w:sz w:val="13"/>
              </w:rPr>
            </w:pPr>
            <w:r w:rsidRPr="00A75DF9">
              <w:rPr>
                <w:rFonts w:ascii="Tahoma" w:hAnsi="Tahoma" w:cs="Tahoma"/>
                <w:sz w:val="13"/>
              </w:rPr>
              <w:t>OV</w:t>
            </w:r>
          </w:p>
        </w:tc>
      </w:tr>
      <w:tr w:rsidR="00A75DF9" w:rsidRPr="00A75DF9" w:rsidTr="00337A7D">
        <w:trPr>
          <w:cantSplit/>
          <w:trHeight w:val="145"/>
        </w:trPr>
        <w:tc>
          <w:tcPr>
            <w:tcW w:w="2634" w:type="dxa"/>
            <w:tcBorders>
              <w:bottom w:val="single" w:sz="4" w:space="0" w:color="auto"/>
            </w:tcBorders>
            <w:shd w:val="clear" w:color="auto" w:fill="auto"/>
          </w:tcPr>
          <w:p w:rsidR="00D55AB9" w:rsidRPr="00A75DF9" w:rsidRDefault="00D55AB9" w:rsidP="008B1245">
            <w:pPr>
              <w:pStyle w:val="Heading2"/>
              <w:spacing w:beforeLines="20" w:before="48" w:afterLines="20" w:after="48"/>
              <w:ind w:left="0"/>
              <w:rPr>
                <w:rFonts w:ascii="Tahoma" w:hAnsi="Tahoma" w:cs="Tahoma"/>
                <w:b w:val="0"/>
                <w:sz w:val="14"/>
              </w:rPr>
            </w:pPr>
            <w:bookmarkStart w:id="111" w:name="_Toc336337891"/>
            <w:bookmarkStart w:id="112" w:name="_Toc368309901"/>
            <w:r w:rsidRPr="00A75DF9">
              <w:rPr>
                <w:rFonts w:ascii="Tahoma" w:hAnsi="Tahoma" w:cs="Tahoma"/>
                <w:b w:val="0"/>
                <w:sz w:val="14"/>
              </w:rPr>
              <w:t>Visual Studio</w:t>
            </w:r>
            <w:r w:rsidR="009D5D7B" w:rsidRPr="00A75DF9">
              <w:rPr>
                <w:rFonts w:ascii="Tahoma" w:hAnsi="Tahoma" w:cs="Tahoma"/>
                <w:sz w:val="14"/>
                <w:vertAlign w:val="superscript"/>
              </w:rPr>
              <w:t>®</w:t>
            </w:r>
            <w:r w:rsidRPr="00A75DF9">
              <w:rPr>
                <w:rFonts w:ascii="Tahoma" w:hAnsi="Tahoma" w:cs="Tahoma"/>
                <w:b w:val="0"/>
                <w:sz w:val="14"/>
              </w:rPr>
              <w:t xml:space="preserve"> Premium 2012 con MSDN</w:t>
            </w:r>
            <w:bookmarkEnd w:id="111"/>
            <w:bookmarkEnd w:id="112"/>
          </w:p>
        </w:tc>
        <w:tc>
          <w:tcPr>
            <w:tcW w:w="427" w:type="dxa"/>
            <w:tcBorders>
              <w:bottom w:val="single" w:sz="4" w:space="0" w:color="auto"/>
            </w:tcBorders>
            <w:shd w:val="clear" w:color="auto" w:fill="auto"/>
            <w:vAlign w:val="center"/>
          </w:tcPr>
          <w:p w:rsidR="00D55AB9" w:rsidRPr="00A75DF9" w:rsidRDefault="00B54770" w:rsidP="00D55AB9">
            <w:pPr>
              <w:pStyle w:val="TableText"/>
              <w:widowControl w:val="0"/>
              <w:rPr>
                <w:rFonts w:cs="Tahoma"/>
                <w:b/>
                <w:sz w:val="13"/>
                <w:szCs w:val="13"/>
                <w:u w:val="single"/>
              </w:rPr>
            </w:pPr>
            <w:hyperlink w:anchor="_21_Visual_Studio" w:history="1">
              <w:r w:rsidR="00734B17" w:rsidRPr="00A75DF9">
                <w:rPr>
                  <w:rStyle w:val="Hyperlink"/>
                  <w:rFonts w:cs="Tahoma"/>
                  <w:b/>
                  <w:sz w:val="13"/>
                  <w:szCs w:val="13"/>
                </w:rPr>
                <w:t>22</w:t>
              </w:r>
            </w:hyperlink>
          </w:p>
        </w:tc>
        <w:tc>
          <w:tcPr>
            <w:tcW w:w="427" w:type="dxa"/>
            <w:tcBorders>
              <w:bottom w:val="single" w:sz="4" w:space="0" w:color="auto"/>
            </w:tcBorders>
            <w:shd w:val="clear" w:color="auto" w:fill="auto"/>
            <w:vAlign w:val="center"/>
          </w:tcPr>
          <w:p w:rsidR="00D55AB9" w:rsidRPr="00A75DF9" w:rsidRDefault="00D55AB9" w:rsidP="00D55AB9">
            <w:pPr>
              <w:pStyle w:val="TableText"/>
              <w:spacing w:before="60" w:after="60"/>
              <w:rPr>
                <w:rFonts w:ascii="Tahoma" w:hAnsi="Tahoma" w:cs="Tahoma"/>
                <w:sz w:val="13"/>
              </w:rPr>
            </w:pPr>
            <w:r w:rsidRPr="00A75DF9">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A75DF9" w:rsidRDefault="00D55AB9" w:rsidP="00D55AB9">
            <w:pPr>
              <w:pStyle w:val="TableText"/>
              <w:spacing w:after="120"/>
              <w:rPr>
                <w:rFonts w:ascii="Tahoma" w:hAnsi="Tahoma" w:cs="Tahoma"/>
                <w:sz w:val="13"/>
              </w:rPr>
            </w:pPr>
          </w:p>
        </w:tc>
        <w:tc>
          <w:tcPr>
            <w:tcW w:w="429" w:type="dxa"/>
            <w:tcBorders>
              <w:bottom w:val="single" w:sz="4" w:space="0" w:color="auto"/>
            </w:tcBorders>
            <w:shd w:val="clear" w:color="auto" w:fill="auto"/>
            <w:vAlign w:val="center"/>
          </w:tcPr>
          <w:p w:rsidR="00D55AB9" w:rsidRPr="00A75DF9" w:rsidRDefault="00D55AB9" w:rsidP="00D55AB9">
            <w:pPr>
              <w:pStyle w:val="TableText"/>
              <w:spacing w:after="120"/>
              <w:rPr>
                <w:rFonts w:ascii="Tahoma" w:hAnsi="Tahoma" w:cs="Tahoma"/>
                <w:sz w:val="13"/>
              </w:rPr>
            </w:pPr>
            <w:r w:rsidRPr="00A75DF9">
              <w:rPr>
                <w:rFonts w:ascii="Tahoma" w:hAnsi="Tahoma" w:cs="Tahoma"/>
                <w:sz w:val="13"/>
              </w:rPr>
              <w:t>40</w:t>
            </w:r>
          </w:p>
        </w:tc>
        <w:tc>
          <w:tcPr>
            <w:tcW w:w="429" w:type="dxa"/>
            <w:tcBorders>
              <w:bottom w:val="single" w:sz="4" w:space="0" w:color="auto"/>
            </w:tcBorders>
            <w:shd w:val="clear" w:color="auto" w:fill="auto"/>
            <w:vAlign w:val="center"/>
          </w:tcPr>
          <w:p w:rsidR="00D55AB9" w:rsidRPr="00A75DF9" w:rsidRDefault="00D55AB9" w:rsidP="00D55AB9">
            <w:pPr>
              <w:pStyle w:val="TableText"/>
              <w:spacing w:after="120"/>
              <w:rPr>
                <w:rFonts w:ascii="Tahoma" w:hAnsi="Tahoma" w:cs="Tahoma"/>
                <w:sz w:val="13"/>
              </w:rPr>
            </w:pPr>
            <w:r w:rsidRPr="00A75DF9">
              <w:rPr>
                <w:rFonts w:ascii="Tahoma" w:hAnsi="Tahoma" w:cs="Tahoma"/>
                <w:sz w:val="13"/>
              </w:rPr>
              <w:t>32</w:t>
            </w:r>
          </w:p>
        </w:tc>
        <w:tc>
          <w:tcPr>
            <w:tcW w:w="429" w:type="dxa"/>
            <w:tcBorders>
              <w:bottom w:val="single" w:sz="4" w:space="0" w:color="auto"/>
            </w:tcBorders>
            <w:shd w:val="clear" w:color="auto" w:fill="auto"/>
            <w:vAlign w:val="center"/>
          </w:tcPr>
          <w:p w:rsidR="00D55AB9" w:rsidRPr="00A75DF9" w:rsidRDefault="00D55AB9" w:rsidP="00D55AB9">
            <w:pPr>
              <w:pStyle w:val="TableText"/>
              <w:spacing w:after="120"/>
              <w:rPr>
                <w:rFonts w:ascii="Tahoma" w:hAnsi="Tahoma" w:cs="Tahoma"/>
                <w:sz w:val="13"/>
              </w:rPr>
            </w:pPr>
            <w:r w:rsidRPr="00A75DF9">
              <w:rPr>
                <w:rFonts w:ascii="Tahoma" w:hAnsi="Tahoma" w:cs="Tahoma"/>
                <w:sz w:val="13"/>
              </w:rPr>
              <w:t>24</w:t>
            </w:r>
          </w:p>
        </w:tc>
        <w:tc>
          <w:tcPr>
            <w:tcW w:w="429" w:type="dxa"/>
            <w:tcBorders>
              <w:bottom w:val="single" w:sz="4" w:space="0" w:color="auto"/>
            </w:tcBorders>
            <w:shd w:val="clear" w:color="auto" w:fill="auto"/>
            <w:vAlign w:val="center"/>
          </w:tcPr>
          <w:p w:rsidR="00D55AB9" w:rsidRPr="00A75DF9" w:rsidRDefault="00D55AB9" w:rsidP="00D55AB9">
            <w:pPr>
              <w:pStyle w:val="TableText"/>
              <w:spacing w:after="120"/>
              <w:rPr>
                <w:rFonts w:ascii="Tahoma" w:hAnsi="Tahoma" w:cs="Tahoma"/>
                <w:sz w:val="13"/>
              </w:rPr>
            </w:pPr>
            <w:r w:rsidRPr="00A75DF9">
              <w:rPr>
                <w:rFonts w:ascii="Tahoma" w:hAnsi="Tahoma" w:cs="Tahoma"/>
                <w:sz w:val="13"/>
              </w:rPr>
              <w:t>24</w:t>
            </w:r>
          </w:p>
        </w:tc>
        <w:tc>
          <w:tcPr>
            <w:tcW w:w="429" w:type="dxa"/>
            <w:tcBorders>
              <w:bottom w:val="single" w:sz="4" w:space="0" w:color="auto"/>
            </w:tcBorders>
            <w:shd w:val="clear" w:color="auto" w:fill="auto"/>
            <w:vAlign w:val="center"/>
          </w:tcPr>
          <w:p w:rsidR="00D55AB9" w:rsidRPr="00A75DF9" w:rsidRDefault="00D55AB9" w:rsidP="00D55AB9">
            <w:pPr>
              <w:pStyle w:val="TableText"/>
              <w:spacing w:after="120"/>
              <w:rPr>
                <w:rFonts w:ascii="Tahoma" w:hAnsi="Tahoma" w:cs="Tahoma"/>
                <w:sz w:val="13"/>
              </w:rPr>
            </w:pPr>
            <w:r w:rsidRPr="00A75DF9">
              <w:rPr>
                <w:rFonts w:ascii="Tahoma" w:hAnsi="Tahoma" w:cs="Tahoma"/>
                <w:sz w:val="13"/>
              </w:rPr>
              <w:t>16</w:t>
            </w:r>
          </w:p>
        </w:tc>
        <w:tc>
          <w:tcPr>
            <w:tcW w:w="429" w:type="dxa"/>
            <w:tcBorders>
              <w:bottom w:val="single" w:sz="4" w:space="0" w:color="auto"/>
              <w:right w:val="single" w:sz="18" w:space="0" w:color="auto"/>
            </w:tcBorders>
            <w:shd w:val="clear" w:color="auto" w:fill="auto"/>
            <w:vAlign w:val="center"/>
          </w:tcPr>
          <w:p w:rsidR="00D55AB9" w:rsidRPr="00A75DF9" w:rsidRDefault="00D55AB9" w:rsidP="00D55AB9">
            <w:pPr>
              <w:pStyle w:val="TableText"/>
              <w:spacing w:after="120"/>
              <w:rPr>
                <w:rFonts w:ascii="Tahoma" w:hAnsi="Tahoma" w:cs="Tahoma"/>
                <w:sz w:val="13"/>
              </w:rPr>
            </w:pPr>
            <w:r w:rsidRPr="00A75DF9">
              <w:rPr>
                <w:rFonts w:ascii="Tahoma" w:hAnsi="Tahoma" w:cs="Tahoma"/>
                <w:sz w:val="13"/>
              </w:rPr>
              <w:t>8</w:t>
            </w:r>
          </w:p>
        </w:tc>
        <w:tc>
          <w:tcPr>
            <w:tcW w:w="405" w:type="dxa"/>
            <w:tcBorders>
              <w:left w:val="single" w:sz="18" w:space="0" w:color="auto"/>
              <w:bottom w:val="single" w:sz="4" w:space="0" w:color="auto"/>
            </w:tcBorders>
            <w:shd w:val="clear" w:color="auto" w:fill="auto"/>
            <w:vAlign w:val="center"/>
          </w:tcPr>
          <w:p w:rsidR="00D55AB9" w:rsidRPr="00A75DF9" w:rsidRDefault="00D55AB9" w:rsidP="00D55AB9">
            <w:pPr>
              <w:pStyle w:val="TableText"/>
              <w:spacing w:after="120"/>
              <w:rPr>
                <w:rFonts w:ascii="Tahoma" w:hAnsi="Tahoma" w:cs="Tahoma"/>
                <w:sz w:val="13"/>
              </w:rPr>
            </w:pPr>
          </w:p>
        </w:tc>
        <w:tc>
          <w:tcPr>
            <w:tcW w:w="288" w:type="dxa"/>
            <w:tcBorders>
              <w:bottom w:val="single" w:sz="4" w:space="0" w:color="auto"/>
            </w:tcBorders>
            <w:shd w:val="clear" w:color="auto" w:fill="auto"/>
            <w:vAlign w:val="center"/>
          </w:tcPr>
          <w:p w:rsidR="00D55AB9" w:rsidRPr="00A75DF9" w:rsidRDefault="00D55AB9" w:rsidP="00D55AB9">
            <w:pPr>
              <w:pStyle w:val="TableText"/>
              <w:spacing w:after="120"/>
              <w:rPr>
                <w:rFonts w:ascii="Tahoma" w:hAnsi="Tahoma" w:cs="Tahoma"/>
                <w:sz w:val="13"/>
              </w:rPr>
            </w:pPr>
            <w:r w:rsidRPr="00A75DF9">
              <w:rPr>
                <w:rFonts w:ascii="Tahoma" w:hAnsi="Tahoma" w:cs="Tahoma"/>
                <w:sz w:val="13"/>
              </w:rPr>
              <w:t>32</w:t>
            </w:r>
          </w:p>
        </w:tc>
        <w:tc>
          <w:tcPr>
            <w:tcW w:w="315" w:type="dxa"/>
            <w:tcBorders>
              <w:bottom w:val="single" w:sz="4" w:space="0" w:color="auto"/>
              <w:right w:val="single" w:sz="18" w:space="0" w:color="auto"/>
            </w:tcBorders>
            <w:shd w:val="clear" w:color="auto" w:fill="auto"/>
            <w:vAlign w:val="center"/>
          </w:tcPr>
          <w:p w:rsidR="00D55AB9" w:rsidRPr="00A75DF9" w:rsidRDefault="00D55AB9" w:rsidP="00D55AB9">
            <w:pPr>
              <w:pStyle w:val="TableText"/>
              <w:spacing w:after="120"/>
              <w:rPr>
                <w:rFonts w:ascii="Tahoma" w:hAnsi="Tahoma" w:cs="Tahoma"/>
                <w:sz w:val="13"/>
              </w:rPr>
            </w:pPr>
            <w:r w:rsidRPr="00A75DF9">
              <w:rPr>
                <w:rFonts w:ascii="Tahoma" w:hAnsi="Tahoma" w:cs="Tahoma"/>
                <w:sz w:val="13"/>
              </w:rPr>
              <w:t>16</w:t>
            </w:r>
          </w:p>
        </w:tc>
        <w:tc>
          <w:tcPr>
            <w:tcW w:w="477" w:type="dxa"/>
            <w:tcBorders>
              <w:left w:val="single" w:sz="18" w:space="0" w:color="auto"/>
              <w:bottom w:val="single" w:sz="4" w:space="0" w:color="auto"/>
            </w:tcBorders>
            <w:shd w:val="clear" w:color="auto" w:fill="auto"/>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1</w:t>
            </w:r>
          </w:p>
        </w:tc>
        <w:tc>
          <w:tcPr>
            <w:tcW w:w="396" w:type="dxa"/>
            <w:tcBorders>
              <w:bottom w:val="single" w:sz="4" w:space="0" w:color="auto"/>
              <w:right w:val="single" w:sz="18" w:space="0" w:color="auto"/>
            </w:tcBorders>
            <w:shd w:val="clear" w:color="auto" w:fill="auto"/>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A,S</w:t>
            </w:r>
          </w:p>
        </w:tc>
        <w:tc>
          <w:tcPr>
            <w:tcW w:w="378" w:type="dxa"/>
            <w:tcBorders>
              <w:left w:val="single" w:sz="18" w:space="0" w:color="auto"/>
              <w:bottom w:val="single" w:sz="4" w:space="0" w:color="auto"/>
              <w:right w:val="single" w:sz="18" w:space="0" w:color="auto"/>
            </w:tcBorders>
            <w:shd w:val="clear" w:color="auto" w:fill="auto"/>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P</w:t>
            </w:r>
          </w:p>
        </w:tc>
        <w:tc>
          <w:tcPr>
            <w:tcW w:w="702" w:type="dxa"/>
            <w:tcBorders>
              <w:bottom w:val="single" w:sz="4" w:space="0" w:color="auto"/>
            </w:tcBorders>
            <w:shd w:val="clear" w:color="auto" w:fill="auto"/>
            <w:vAlign w:val="center"/>
          </w:tcPr>
          <w:p w:rsidR="00D55AB9" w:rsidRPr="00A75DF9" w:rsidRDefault="00D55AB9" w:rsidP="00D55AB9">
            <w:pPr>
              <w:pStyle w:val="TableText"/>
              <w:rPr>
                <w:rFonts w:ascii="Tahoma" w:hAnsi="Tahoma" w:cs="Tahoma"/>
                <w:sz w:val="13"/>
              </w:rPr>
            </w:pPr>
            <w:r w:rsidRPr="00A75DF9">
              <w:rPr>
                <w:rFonts w:ascii="Tahoma" w:hAnsi="Tahoma" w:cs="Tahoma"/>
                <w:sz w:val="13"/>
              </w:rPr>
              <w:t>A</w:t>
            </w:r>
          </w:p>
        </w:tc>
        <w:tc>
          <w:tcPr>
            <w:tcW w:w="650" w:type="dxa"/>
            <w:tcBorders>
              <w:bottom w:val="single" w:sz="4" w:space="0" w:color="auto"/>
            </w:tcBorders>
            <w:shd w:val="clear" w:color="auto" w:fill="auto"/>
            <w:vAlign w:val="center"/>
          </w:tcPr>
          <w:p w:rsidR="00D55AB9" w:rsidRPr="00A75DF9" w:rsidRDefault="00D55AB9" w:rsidP="00D55AB9">
            <w:pPr>
              <w:pStyle w:val="TableText"/>
              <w:rPr>
                <w:rFonts w:ascii="Tahoma" w:hAnsi="Tahoma" w:cs="Tahoma"/>
              </w:rPr>
            </w:pPr>
            <w:r w:rsidRPr="00A75DF9">
              <w:rPr>
                <w:rFonts w:ascii="Tahoma" w:hAnsi="Tahoma" w:cs="Tahoma"/>
                <w:sz w:val="13"/>
              </w:rPr>
              <w:t>OL/SA/</w:t>
            </w:r>
          </w:p>
          <w:p w:rsidR="00D55AB9" w:rsidRPr="00A75DF9" w:rsidRDefault="00D55AB9" w:rsidP="00D55AB9">
            <w:pPr>
              <w:pStyle w:val="TableText"/>
              <w:rPr>
                <w:rFonts w:ascii="Tahoma" w:hAnsi="Tahoma" w:cs="Tahoma"/>
                <w:sz w:val="13"/>
              </w:rPr>
            </w:pPr>
            <w:r w:rsidRPr="00A75DF9">
              <w:rPr>
                <w:rFonts w:ascii="Tahoma" w:hAnsi="Tahoma" w:cs="Tahoma"/>
                <w:sz w:val="13"/>
              </w:rPr>
              <w:t>OV</w:t>
            </w:r>
          </w:p>
        </w:tc>
      </w:tr>
      <w:tr w:rsidR="00A75DF9" w:rsidRPr="00A75DF9" w:rsidTr="00337A7D">
        <w:trPr>
          <w:cantSplit/>
          <w:trHeight w:val="145"/>
        </w:trPr>
        <w:tc>
          <w:tcPr>
            <w:tcW w:w="2634" w:type="dxa"/>
            <w:tcBorders>
              <w:bottom w:val="single" w:sz="4" w:space="0" w:color="auto"/>
            </w:tcBorders>
            <w:shd w:val="clear" w:color="auto" w:fill="FABF8F"/>
          </w:tcPr>
          <w:p w:rsidR="00D55AB9" w:rsidRPr="00A75DF9" w:rsidRDefault="00D55AB9" w:rsidP="00337A7D">
            <w:pPr>
              <w:pStyle w:val="Heading2"/>
              <w:pageBreakBefore/>
              <w:spacing w:beforeLines="20" w:before="48" w:afterLines="20" w:after="48"/>
              <w:ind w:left="0"/>
              <w:rPr>
                <w:rFonts w:ascii="Tahoma" w:hAnsi="Tahoma" w:cs="Tahoma"/>
                <w:b w:val="0"/>
                <w:sz w:val="14"/>
              </w:rPr>
            </w:pPr>
            <w:bookmarkStart w:id="113" w:name="_Toc336337892"/>
            <w:bookmarkStart w:id="114" w:name="_Toc368309902"/>
            <w:r w:rsidRPr="00A75DF9">
              <w:rPr>
                <w:rFonts w:ascii="Tahoma" w:hAnsi="Tahoma" w:cs="Tahoma"/>
                <w:b w:val="0"/>
                <w:sz w:val="14"/>
              </w:rPr>
              <w:lastRenderedPageBreak/>
              <w:t>Visual Studio</w:t>
            </w:r>
            <w:r w:rsidR="009D5D7B" w:rsidRPr="00A75DF9">
              <w:rPr>
                <w:rFonts w:ascii="Tahoma" w:hAnsi="Tahoma" w:cs="Tahoma"/>
                <w:sz w:val="14"/>
                <w:vertAlign w:val="superscript"/>
              </w:rPr>
              <w:t>®</w:t>
            </w:r>
            <w:r w:rsidRPr="00A75DF9">
              <w:rPr>
                <w:rFonts w:ascii="Tahoma" w:hAnsi="Tahoma" w:cs="Tahoma"/>
                <w:b w:val="0"/>
                <w:sz w:val="14"/>
              </w:rPr>
              <w:t xml:space="preserve"> Ultimate 2012 con MSDN</w:t>
            </w:r>
            <w:bookmarkEnd w:id="113"/>
            <w:bookmarkEnd w:id="114"/>
          </w:p>
        </w:tc>
        <w:tc>
          <w:tcPr>
            <w:tcW w:w="427" w:type="dxa"/>
            <w:tcBorders>
              <w:bottom w:val="single" w:sz="4" w:space="0" w:color="auto"/>
            </w:tcBorders>
            <w:shd w:val="clear" w:color="auto" w:fill="FABF8F"/>
            <w:vAlign w:val="center"/>
          </w:tcPr>
          <w:p w:rsidR="00D55AB9" w:rsidRPr="00A75DF9" w:rsidRDefault="00B54770" w:rsidP="00337A7D">
            <w:pPr>
              <w:pStyle w:val="TableText"/>
              <w:pageBreakBefore/>
              <w:widowControl w:val="0"/>
              <w:rPr>
                <w:rFonts w:cs="Tahoma"/>
                <w:b/>
                <w:sz w:val="13"/>
                <w:szCs w:val="13"/>
                <w:u w:val="single"/>
              </w:rPr>
            </w:pPr>
            <w:hyperlink w:anchor="_22_Visual_Studio" w:history="1">
              <w:r w:rsidR="00734B17" w:rsidRPr="00A75DF9">
                <w:rPr>
                  <w:rStyle w:val="Hyperlink"/>
                  <w:rFonts w:cs="Tahoma"/>
                  <w:b/>
                  <w:sz w:val="13"/>
                  <w:szCs w:val="13"/>
                </w:rPr>
                <w:t>23</w:t>
              </w:r>
            </w:hyperlink>
          </w:p>
        </w:tc>
        <w:tc>
          <w:tcPr>
            <w:tcW w:w="427" w:type="dxa"/>
            <w:tcBorders>
              <w:bottom w:val="single" w:sz="4" w:space="0" w:color="auto"/>
            </w:tcBorders>
            <w:shd w:val="clear" w:color="auto" w:fill="FABF8F"/>
            <w:vAlign w:val="center"/>
          </w:tcPr>
          <w:p w:rsidR="00D55AB9" w:rsidRPr="00A75DF9" w:rsidRDefault="00D55AB9" w:rsidP="00337A7D">
            <w:pPr>
              <w:pStyle w:val="TableText"/>
              <w:pageBreakBefore/>
              <w:spacing w:before="60" w:after="60"/>
              <w:rPr>
                <w:rFonts w:ascii="Tahoma" w:hAnsi="Tahoma" w:cs="Tahoma"/>
                <w:sz w:val="13"/>
              </w:rPr>
            </w:pPr>
            <w:r w:rsidRPr="00A75DF9">
              <w:rPr>
                <w:rFonts w:ascii="Tahoma" w:hAnsi="Tahoma" w:cs="Tahoma"/>
                <w:sz w:val="13"/>
              </w:rPr>
              <w:t>09/12</w:t>
            </w:r>
          </w:p>
        </w:tc>
        <w:tc>
          <w:tcPr>
            <w:tcW w:w="429" w:type="dxa"/>
            <w:tcBorders>
              <w:bottom w:val="single" w:sz="4" w:space="0" w:color="auto"/>
              <w:right w:val="single" w:sz="18" w:space="0" w:color="auto"/>
            </w:tcBorders>
            <w:shd w:val="clear" w:color="auto" w:fill="FABF8F"/>
            <w:vAlign w:val="center"/>
          </w:tcPr>
          <w:p w:rsidR="00D55AB9" w:rsidRPr="00A75DF9" w:rsidRDefault="00D55AB9" w:rsidP="00337A7D">
            <w:pPr>
              <w:pStyle w:val="TableText"/>
              <w:pageBreakBefore/>
              <w:rPr>
                <w:rFonts w:ascii="Tahoma" w:hAnsi="Tahoma" w:cs="Tahoma"/>
                <w:sz w:val="13"/>
              </w:rPr>
            </w:pPr>
            <w:r w:rsidRPr="00A75DF9">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A75DF9" w:rsidRDefault="00D55AB9" w:rsidP="00337A7D">
            <w:pPr>
              <w:pStyle w:val="TableText"/>
              <w:pageBreakBefore/>
              <w:rPr>
                <w:rFonts w:ascii="Tahoma" w:hAnsi="Tahoma" w:cs="Tahoma"/>
                <w:sz w:val="13"/>
              </w:rPr>
            </w:pPr>
          </w:p>
        </w:tc>
        <w:tc>
          <w:tcPr>
            <w:tcW w:w="429" w:type="dxa"/>
            <w:tcBorders>
              <w:bottom w:val="single" w:sz="4" w:space="0" w:color="auto"/>
            </w:tcBorders>
            <w:shd w:val="clear" w:color="auto" w:fill="FABF8F"/>
            <w:vAlign w:val="center"/>
          </w:tcPr>
          <w:p w:rsidR="00D55AB9" w:rsidRPr="00A75DF9" w:rsidRDefault="00D55AB9" w:rsidP="00337A7D">
            <w:pPr>
              <w:pStyle w:val="TableText"/>
              <w:pageBreakBefore/>
              <w:rPr>
                <w:rFonts w:ascii="Tahoma" w:hAnsi="Tahoma" w:cs="Tahoma"/>
                <w:sz w:val="13"/>
              </w:rPr>
            </w:pPr>
            <w:r w:rsidRPr="00A75DF9">
              <w:rPr>
                <w:rFonts w:ascii="Tahoma" w:hAnsi="Tahoma" w:cs="Tahoma"/>
                <w:sz w:val="13"/>
              </w:rPr>
              <w:t>85</w:t>
            </w:r>
          </w:p>
        </w:tc>
        <w:tc>
          <w:tcPr>
            <w:tcW w:w="429" w:type="dxa"/>
            <w:tcBorders>
              <w:bottom w:val="single" w:sz="4" w:space="0" w:color="auto"/>
            </w:tcBorders>
            <w:shd w:val="clear" w:color="auto" w:fill="FABF8F"/>
            <w:vAlign w:val="center"/>
          </w:tcPr>
          <w:p w:rsidR="00D55AB9" w:rsidRPr="00A75DF9" w:rsidRDefault="00D55AB9" w:rsidP="00337A7D">
            <w:pPr>
              <w:pStyle w:val="TableText"/>
              <w:pageBreakBefore/>
              <w:rPr>
                <w:rFonts w:ascii="Tahoma" w:hAnsi="Tahoma" w:cs="Tahoma"/>
                <w:sz w:val="13"/>
              </w:rPr>
            </w:pPr>
            <w:r w:rsidRPr="00A75DF9">
              <w:rPr>
                <w:rFonts w:ascii="Tahoma" w:hAnsi="Tahoma" w:cs="Tahoma"/>
                <w:sz w:val="13"/>
              </w:rPr>
              <w:t>68</w:t>
            </w:r>
          </w:p>
        </w:tc>
        <w:tc>
          <w:tcPr>
            <w:tcW w:w="429" w:type="dxa"/>
            <w:tcBorders>
              <w:bottom w:val="single" w:sz="4" w:space="0" w:color="auto"/>
            </w:tcBorders>
            <w:shd w:val="clear" w:color="auto" w:fill="FABF8F"/>
            <w:vAlign w:val="center"/>
          </w:tcPr>
          <w:p w:rsidR="00D55AB9" w:rsidRPr="00A75DF9" w:rsidRDefault="00D55AB9" w:rsidP="00337A7D">
            <w:pPr>
              <w:pStyle w:val="TableText"/>
              <w:pageBreakBefore/>
              <w:rPr>
                <w:rFonts w:ascii="Tahoma" w:hAnsi="Tahoma" w:cs="Tahoma"/>
                <w:sz w:val="13"/>
              </w:rPr>
            </w:pPr>
            <w:r w:rsidRPr="00A75DF9">
              <w:rPr>
                <w:rFonts w:ascii="Tahoma" w:hAnsi="Tahoma" w:cs="Tahoma"/>
                <w:sz w:val="13"/>
              </w:rPr>
              <w:t>51</w:t>
            </w:r>
          </w:p>
        </w:tc>
        <w:tc>
          <w:tcPr>
            <w:tcW w:w="429" w:type="dxa"/>
            <w:tcBorders>
              <w:bottom w:val="single" w:sz="4" w:space="0" w:color="auto"/>
            </w:tcBorders>
            <w:shd w:val="clear" w:color="auto" w:fill="FABF8F"/>
            <w:vAlign w:val="center"/>
          </w:tcPr>
          <w:p w:rsidR="00D55AB9" w:rsidRPr="00A75DF9" w:rsidRDefault="00D55AB9" w:rsidP="00337A7D">
            <w:pPr>
              <w:pStyle w:val="TableText"/>
              <w:pageBreakBefore/>
              <w:rPr>
                <w:rFonts w:ascii="Tahoma" w:hAnsi="Tahoma" w:cs="Tahoma"/>
                <w:sz w:val="13"/>
              </w:rPr>
            </w:pPr>
            <w:r w:rsidRPr="00A75DF9">
              <w:rPr>
                <w:rFonts w:ascii="Tahoma" w:hAnsi="Tahoma" w:cs="Tahoma"/>
                <w:sz w:val="13"/>
              </w:rPr>
              <w:t>51</w:t>
            </w:r>
          </w:p>
        </w:tc>
        <w:tc>
          <w:tcPr>
            <w:tcW w:w="429" w:type="dxa"/>
            <w:tcBorders>
              <w:bottom w:val="single" w:sz="4" w:space="0" w:color="auto"/>
            </w:tcBorders>
            <w:shd w:val="clear" w:color="auto" w:fill="FABF8F"/>
            <w:vAlign w:val="center"/>
          </w:tcPr>
          <w:p w:rsidR="00D55AB9" w:rsidRPr="00A75DF9" w:rsidRDefault="00D55AB9" w:rsidP="00337A7D">
            <w:pPr>
              <w:pStyle w:val="TableText"/>
              <w:pageBreakBefore/>
              <w:rPr>
                <w:rFonts w:ascii="Tahoma" w:hAnsi="Tahoma" w:cs="Tahoma"/>
                <w:sz w:val="13"/>
              </w:rPr>
            </w:pPr>
            <w:r w:rsidRPr="00A75DF9">
              <w:rPr>
                <w:rFonts w:ascii="Tahoma" w:hAnsi="Tahoma" w:cs="Tahoma"/>
                <w:sz w:val="13"/>
              </w:rPr>
              <w:t>34</w:t>
            </w:r>
          </w:p>
        </w:tc>
        <w:tc>
          <w:tcPr>
            <w:tcW w:w="429" w:type="dxa"/>
            <w:tcBorders>
              <w:bottom w:val="single" w:sz="4" w:space="0" w:color="auto"/>
              <w:right w:val="single" w:sz="18" w:space="0" w:color="auto"/>
            </w:tcBorders>
            <w:shd w:val="clear" w:color="auto" w:fill="FABF8F"/>
            <w:vAlign w:val="center"/>
          </w:tcPr>
          <w:p w:rsidR="00D55AB9" w:rsidRPr="00A75DF9" w:rsidRDefault="00D55AB9" w:rsidP="00337A7D">
            <w:pPr>
              <w:pStyle w:val="TableText"/>
              <w:pageBreakBefore/>
              <w:rPr>
                <w:rFonts w:ascii="Tahoma" w:hAnsi="Tahoma" w:cs="Tahoma"/>
                <w:sz w:val="13"/>
              </w:rPr>
            </w:pPr>
            <w:r w:rsidRPr="00A75DF9">
              <w:rPr>
                <w:rFonts w:ascii="Tahoma" w:hAnsi="Tahoma" w:cs="Tahoma"/>
                <w:sz w:val="13"/>
              </w:rPr>
              <w:t>17</w:t>
            </w:r>
          </w:p>
        </w:tc>
        <w:tc>
          <w:tcPr>
            <w:tcW w:w="405" w:type="dxa"/>
            <w:tcBorders>
              <w:left w:val="single" w:sz="18" w:space="0" w:color="auto"/>
              <w:bottom w:val="single" w:sz="4" w:space="0" w:color="auto"/>
            </w:tcBorders>
            <w:shd w:val="clear" w:color="auto" w:fill="FABF8F"/>
            <w:vAlign w:val="center"/>
          </w:tcPr>
          <w:p w:rsidR="00D55AB9" w:rsidRPr="00A75DF9" w:rsidRDefault="00D55AB9" w:rsidP="00337A7D">
            <w:pPr>
              <w:pStyle w:val="TableText"/>
              <w:pageBreakBefore/>
              <w:rPr>
                <w:rFonts w:ascii="Tahoma" w:hAnsi="Tahoma" w:cs="Tahoma"/>
                <w:sz w:val="13"/>
              </w:rPr>
            </w:pPr>
          </w:p>
        </w:tc>
        <w:tc>
          <w:tcPr>
            <w:tcW w:w="288" w:type="dxa"/>
            <w:tcBorders>
              <w:bottom w:val="single" w:sz="4" w:space="0" w:color="auto"/>
            </w:tcBorders>
            <w:shd w:val="clear" w:color="auto" w:fill="FABF8F"/>
            <w:vAlign w:val="center"/>
          </w:tcPr>
          <w:p w:rsidR="00D55AB9" w:rsidRPr="00A75DF9" w:rsidRDefault="00D55AB9" w:rsidP="00337A7D">
            <w:pPr>
              <w:pStyle w:val="TableText"/>
              <w:pageBreakBefore/>
              <w:rPr>
                <w:rFonts w:ascii="Tahoma" w:hAnsi="Tahoma" w:cs="Tahoma"/>
                <w:sz w:val="13"/>
              </w:rPr>
            </w:pPr>
            <w:r w:rsidRPr="00A75DF9">
              <w:rPr>
                <w:rFonts w:ascii="Tahoma" w:hAnsi="Tahoma" w:cs="Tahoma"/>
                <w:sz w:val="13"/>
              </w:rPr>
              <w:t>68</w:t>
            </w:r>
          </w:p>
        </w:tc>
        <w:tc>
          <w:tcPr>
            <w:tcW w:w="315" w:type="dxa"/>
            <w:tcBorders>
              <w:bottom w:val="single" w:sz="4" w:space="0" w:color="auto"/>
              <w:right w:val="single" w:sz="18" w:space="0" w:color="auto"/>
            </w:tcBorders>
            <w:shd w:val="clear" w:color="auto" w:fill="FABF8F"/>
            <w:vAlign w:val="center"/>
          </w:tcPr>
          <w:p w:rsidR="00D55AB9" w:rsidRPr="00A75DF9" w:rsidRDefault="00D55AB9" w:rsidP="00337A7D">
            <w:pPr>
              <w:pStyle w:val="TableText"/>
              <w:pageBreakBefore/>
              <w:rPr>
                <w:rFonts w:ascii="Tahoma" w:hAnsi="Tahoma" w:cs="Tahoma"/>
                <w:sz w:val="13"/>
              </w:rPr>
            </w:pPr>
            <w:r w:rsidRPr="00A75DF9">
              <w:rPr>
                <w:rFonts w:ascii="Tahoma" w:hAnsi="Tahoma" w:cs="Tahoma"/>
                <w:sz w:val="13"/>
              </w:rPr>
              <w:t>34</w:t>
            </w:r>
          </w:p>
        </w:tc>
        <w:tc>
          <w:tcPr>
            <w:tcW w:w="477" w:type="dxa"/>
            <w:tcBorders>
              <w:left w:val="single" w:sz="18" w:space="0" w:color="auto"/>
              <w:bottom w:val="single" w:sz="4" w:space="0" w:color="auto"/>
            </w:tcBorders>
            <w:shd w:val="clear" w:color="auto" w:fill="FABF8F"/>
            <w:vAlign w:val="center"/>
          </w:tcPr>
          <w:p w:rsidR="00D55AB9" w:rsidRPr="00A75DF9" w:rsidRDefault="00D55AB9" w:rsidP="00337A7D">
            <w:pPr>
              <w:pStyle w:val="TableText"/>
              <w:pageBreakBefore/>
              <w:rPr>
                <w:rFonts w:ascii="Tahoma" w:hAnsi="Tahoma" w:cs="Tahoma"/>
                <w:sz w:val="13"/>
              </w:rPr>
            </w:pPr>
            <w:r w:rsidRPr="00A75DF9">
              <w:rPr>
                <w:rFonts w:ascii="Tahoma" w:hAnsi="Tahoma" w:cs="Tahoma"/>
                <w:sz w:val="13"/>
              </w:rPr>
              <w:t>1</w:t>
            </w:r>
          </w:p>
        </w:tc>
        <w:tc>
          <w:tcPr>
            <w:tcW w:w="396" w:type="dxa"/>
            <w:tcBorders>
              <w:bottom w:val="single" w:sz="4" w:space="0" w:color="auto"/>
              <w:right w:val="single" w:sz="18" w:space="0" w:color="auto"/>
            </w:tcBorders>
            <w:shd w:val="clear" w:color="auto" w:fill="FABF8F"/>
            <w:vAlign w:val="center"/>
          </w:tcPr>
          <w:p w:rsidR="00D55AB9" w:rsidRPr="00A75DF9" w:rsidRDefault="00D55AB9" w:rsidP="00337A7D">
            <w:pPr>
              <w:pStyle w:val="TableText"/>
              <w:pageBreakBefore/>
              <w:rPr>
                <w:rFonts w:ascii="Tahoma" w:hAnsi="Tahoma" w:cs="Tahoma"/>
                <w:sz w:val="13"/>
              </w:rPr>
            </w:pPr>
            <w:r w:rsidRPr="00A75DF9">
              <w:rPr>
                <w:rFonts w:ascii="Tahoma" w:hAnsi="Tahoma" w:cs="Tahoma"/>
                <w:sz w:val="13"/>
              </w:rPr>
              <w:t>A,S</w:t>
            </w:r>
          </w:p>
        </w:tc>
        <w:tc>
          <w:tcPr>
            <w:tcW w:w="378" w:type="dxa"/>
            <w:tcBorders>
              <w:left w:val="single" w:sz="18" w:space="0" w:color="auto"/>
              <w:bottom w:val="single" w:sz="4" w:space="0" w:color="auto"/>
              <w:right w:val="single" w:sz="18" w:space="0" w:color="auto"/>
            </w:tcBorders>
            <w:shd w:val="clear" w:color="auto" w:fill="FABF8F"/>
            <w:vAlign w:val="center"/>
          </w:tcPr>
          <w:p w:rsidR="00D55AB9" w:rsidRPr="00A75DF9" w:rsidRDefault="00D55AB9" w:rsidP="00337A7D">
            <w:pPr>
              <w:pStyle w:val="TableText"/>
              <w:pageBreakBefore/>
              <w:rPr>
                <w:rFonts w:ascii="Tahoma" w:hAnsi="Tahoma" w:cs="Tahoma"/>
                <w:sz w:val="13"/>
              </w:rPr>
            </w:pPr>
            <w:r w:rsidRPr="00A75DF9">
              <w:rPr>
                <w:rFonts w:ascii="Tahoma" w:hAnsi="Tahoma" w:cs="Tahoma"/>
                <w:sz w:val="13"/>
              </w:rPr>
              <w:t>P</w:t>
            </w:r>
          </w:p>
        </w:tc>
        <w:tc>
          <w:tcPr>
            <w:tcW w:w="702" w:type="dxa"/>
            <w:tcBorders>
              <w:bottom w:val="single" w:sz="4" w:space="0" w:color="auto"/>
            </w:tcBorders>
            <w:shd w:val="clear" w:color="auto" w:fill="FABF8F"/>
            <w:vAlign w:val="center"/>
          </w:tcPr>
          <w:p w:rsidR="00D55AB9" w:rsidRPr="00A75DF9" w:rsidRDefault="00D55AB9" w:rsidP="00337A7D">
            <w:pPr>
              <w:pStyle w:val="TableText"/>
              <w:pageBreakBefore/>
              <w:rPr>
                <w:rFonts w:ascii="Tahoma" w:hAnsi="Tahoma" w:cs="Tahoma"/>
                <w:sz w:val="13"/>
              </w:rPr>
            </w:pPr>
            <w:r w:rsidRPr="00A75DF9">
              <w:rPr>
                <w:rFonts w:ascii="Tahoma" w:hAnsi="Tahoma" w:cs="Tahoma"/>
                <w:sz w:val="13"/>
              </w:rPr>
              <w:t>A</w:t>
            </w:r>
          </w:p>
        </w:tc>
        <w:tc>
          <w:tcPr>
            <w:tcW w:w="650" w:type="dxa"/>
            <w:tcBorders>
              <w:bottom w:val="single" w:sz="4" w:space="0" w:color="auto"/>
            </w:tcBorders>
            <w:shd w:val="clear" w:color="auto" w:fill="FABF8F"/>
            <w:vAlign w:val="center"/>
          </w:tcPr>
          <w:p w:rsidR="00D55AB9" w:rsidRPr="00A75DF9" w:rsidRDefault="00D55AB9" w:rsidP="00337A7D">
            <w:pPr>
              <w:pStyle w:val="TableText"/>
              <w:pageBreakBefore/>
              <w:rPr>
                <w:rFonts w:ascii="Tahoma" w:hAnsi="Tahoma" w:cs="Tahoma"/>
              </w:rPr>
            </w:pPr>
            <w:r w:rsidRPr="00A75DF9">
              <w:rPr>
                <w:rFonts w:ascii="Tahoma" w:hAnsi="Tahoma" w:cs="Tahoma"/>
                <w:sz w:val="13"/>
              </w:rPr>
              <w:t>OL/SA/</w:t>
            </w:r>
          </w:p>
          <w:p w:rsidR="00D55AB9" w:rsidRPr="00A75DF9" w:rsidRDefault="00D55AB9" w:rsidP="00337A7D">
            <w:pPr>
              <w:pStyle w:val="TableText"/>
              <w:pageBreakBefore/>
              <w:rPr>
                <w:rFonts w:ascii="Tahoma" w:hAnsi="Tahoma" w:cs="Tahoma"/>
                <w:sz w:val="13"/>
              </w:rPr>
            </w:pPr>
            <w:r w:rsidRPr="00A75DF9">
              <w:rPr>
                <w:rFonts w:ascii="Tahoma" w:hAnsi="Tahoma" w:cs="Tahoma"/>
                <w:sz w:val="13"/>
              </w:rPr>
              <w:t>OV</w:t>
            </w:r>
          </w:p>
        </w:tc>
      </w:tr>
      <w:tr w:rsidR="00A75DF9" w:rsidRPr="00A75DF9" w:rsidTr="00337A7D">
        <w:trPr>
          <w:cantSplit/>
          <w:trHeight w:val="145"/>
        </w:trPr>
        <w:tc>
          <w:tcPr>
            <w:tcW w:w="2634" w:type="dxa"/>
            <w:tcBorders>
              <w:bottom w:val="single" w:sz="4" w:space="0" w:color="auto"/>
            </w:tcBorders>
            <w:shd w:val="clear" w:color="auto" w:fill="auto"/>
          </w:tcPr>
          <w:p w:rsidR="00D55AB9" w:rsidRPr="00A75DF9" w:rsidRDefault="00D55AB9" w:rsidP="00337A7D">
            <w:pPr>
              <w:pStyle w:val="Heading2"/>
              <w:keepNext/>
              <w:keepLines/>
              <w:spacing w:beforeLines="20" w:before="48" w:afterLines="20" w:after="48"/>
              <w:ind w:left="0"/>
              <w:rPr>
                <w:rFonts w:ascii="Tahoma" w:hAnsi="Tahoma" w:cs="Tahoma"/>
                <w:b w:val="0"/>
                <w:sz w:val="14"/>
              </w:rPr>
            </w:pPr>
            <w:bookmarkStart w:id="115" w:name="_Toc336337893"/>
            <w:bookmarkStart w:id="116" w:name="_Toc368309903"/>
            <w:r w:rsidRPr="00A75DF9">
              <w:rPr>
                <w:rFonts w:ascii="Tahoma" w:hAnsi="Tahoma" w:cs="Tahoma"/>
                <w:b w:val="0"/>
                <w:sz w:val="14"/>
              </w:rPr>
              <w:t>Visual Studio</w:t>
            </w:r>
            <w:r w:rsidR="009D5D7B" w:rsidRPr="00A75DF9">
              <w:rPr>
                <w:rFonts w:ascii="Tahoma" w:hAnsi="Tahoma" w:cs="Tahoma"/>
                <w:sz w:val="14"/>
                <w:vertAlign w:val="superscript"/>
              </w:rPr>
              <w:t>®</w:t>
            </w:r>
            <w:r w:rsidRPr="00A75DF9">
              <w:rPr>
                <w:rFonts w:ascii="Tahoma" w:hAnsi="Tahoma" w:cs="Tahoma"/>
                <w:b w:val="0"/>
                <w:sz w:val="14"/>
              </w:rPr>
              <w:t xml:space="preserve"> Test Professional 2012 con MSDN</w:t>
            </w:r>
            <w:bookmarkEnd w:id="115"/>
            <w:bookmarkEnd w:id="116"/>
          </w:p>
        </w:tc>
        <w:tc>
          <w:tcPr>
            <w:tcW w:w="427" w:type="dxa"/>
            <w:tcBorders>
              <w:bottom w:val="single" w:sz="4" w:space="0" w:color="auto"/>
            </w:tcBorders>
            <w:shd w:val="clear" w:color="auto" w:fill="auto"/>
            <w:vAlign w:val="center"/>
          </w:tcPr>
          <w:p w:rsidR="00D55AB9" w:rsidRPr="00A75DF9" w:rsidRDefault="00B54770" w:rsidP="00337A7D">
            <w:pPr>
              <w:pStyle w:val="TableText"/>
              <w:keepNext/>
              <w:keepLines/>
              <w:widowControl w:val="0"/>
              <w:rPr>
                <w:rFonts w:cs="Tahoma"/>
                <w:b/>
                <w:sz w:val="13"/>
                <w:szCs w:val="13"/>
                <w:u w:val="single"/>
              </w:rPr>
            </w:pPr>
            <w:hyperlink w:anchor="_23_Visual_Studio" w:history="1">
              <w:r w:rsidR="00734B17" w:rsidRPr="00A75DF9">
                <w:rPr>
                  <w:rStyle w:val="Hyperlink"/>
                  <w:rFonts w:cs="Tahoma"/>
                  <w:b/>
                  <w:sz w:val="13"/>
                  <w:szCs w:val="13"/>
                </w:rPr>
                <w:t>24</w:t>
              </w:r>
            </w:hyperlink>
          </w:p>
        </w:tc>
        <w:tc>
          <w:tcPr>
            <w:tcW w:w="427" w:type="dxa"/>
            <w:tcBorders>
              <w:bottom w:val="single" w:sz="4" w:space="0" w:color="auto"/>
            </w:tcBorders>
            <w:shd w:val="clear" w:color="auto" w:fill="auto"/>
            <w:vAlign w:val="center"/>
          </w:tcPr>
          <w:p w:rsidR="00D55AB9" w:rsidRPr="00A75DF9" w:rsidRDefault="00D55AB9" w:rsidP="00337A7D">
            <w:pPr>
              <w:pStyle w:val="TableText"/>
              <w:keepNext/>
              <w:keepLines/>
              <w:spacing w:before="60" w:after="60"/>
              <w:rPr>
                <w:rFonts w:ascii="Tahoma" w:hAnsi="Tahoma" w:cs="Tahoma"/>
                <w:sz w:val="13"/>
              </w:rPr>
            </w:pPr>
            <w:r w:rsidRPr="00A75DF9">
              <w:rPr>
                <w:rFonts w:ascii="Tahoma" w:hAnsi="Tahoma" w:cs="Tahoma"/>
                <w:sz w:val="13"/>
              </w:rPr>
              <w:t>09/12</w:t>
            </w:r>
          </w:p>
        </w:tc>
        <w:tc>
          <w:tcPr>
            <w:tcW w:w="429" w:type="dxa"/>
            <w:tcBorders>
              <w:bottom w:val="single" w:sz="4" w:space="0" w:color="auto"/>
              <w:right w:val="single" w:sz="18" w:space="0" w:color="auto"/>
            </w:tcBorders>
            <w:shd w:val="clear" w:color="auto" w:fill="auto"/>
            <w:vAlign w:val="center"/>
          </w:tcPr>
          <w:p w:rsidR="00D55AB9" w:rsidRPr="00A75DF9" w:rsidRDefault="00D55AB9" w:rsidP="00337A7D">
            <w:pPr>
              <w:pStyle w:val="TableText"/>
              <w:keepNext/>
              <w:keepLines/>
              <w:rPr>
                <w:rFonts w:ascii="Tahoma" w:hAnsi="Tahoma" w:cs="Tahoma"/>
                <w:sz w:val="13"/>
              </w:rPr>
            </w:pPr>
            <w:r w:rsidRPr="00A75DF9">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A75DF9" w:rsidRDefault="00D55AB9" w:rsidP="00337A7D">
            <w:pPr>
              <w:pStyle w:val="TableText"/>
              <w:keepNext/>
              <w:keepLines/>
              <w:rPr>
                <w:rFonts w:ascii="Tahoma" w:hAnsi="Tahoma" w:cs="Tahoma"/>
                <w:sz w:val="13"/>
              </w:rPr>
            </w:pPr>
          </w:p>
        </w:tc>
        <w:tc>
          <w:tcPr>
            <w:tcW w:w="429" w:type="dxa"/>
            <w:tcBorders>
              <w:bottom w:val="single" w:sz="4" w:space="0" w:color="auto"/>
            </w:tcBorders>
            <w:shd w:val="clear" w:color="auto" w:fill="auto"/>
            <w:vAlign w:val="center"/>
          </w:tcPr>
          <w:p w:rsidR="00D55AB9" w:rsidRPr="00A75DF9" w:rsidRDefault="00D55AB9" w:rsidP="00337A7D">
            <w:pPr>
              <w:pStyle w:val="TableText"/>
              <w:keepNext/>
              <w:keepLines/>
              <w:rPr>
                <w:rFonts w:ascii="Tahoma" w:hAnsi="Tahoma" w:cs="Tahoma"/>
                <w:sz w:val="13"/>
              </w:rPr>
            </w:pPr>
            <w:r w:rsidRPr="00A75DF9">
              <w:rPr>
                <w:rFonts w:ascii="Tahoma" w:hAnsi="Tahoma" w:cs="Tahoma"/>
                <w:sz w:val="13"/>
              </w:rPr>
              <w:t>15</w:t>
            </w:r>
          </w:p>
        </w:tc>
        <w:tc>
          <w:tcPr>
            <w:tcW w:w="429" w:type="dxa"/>
            <w:tcBorders>
              <w:bottom w:val="single" w:sz="4" w:space="0" w:color="auto"/>
            </w:tcBorders>
            <w:shd w:val="clear" w:color="auto" w:fill="auto"/>
            <w:vAlign w:val="center"/>
          </w:tcPr>
          <w:p w:rsidR="00D55AB9" w:rsidRPr="00A75DF9" w:rsidRDefault="00D55AB9" w:rsidP="00337A7D">
            <w:pPr>
              <w:pStyle w:val="TableText"/>
              <w:keepNext/>
              <w:keepLines/>
              <w:rPr>
                <w:rFonts w:ascii="Tahoma" w:hAnsi="Tahoma" w:cs="Tahoma"/>
                <w:sz w:val="13"/>
              </w:rPr>
            </w:pPr>
            <w:r w:rsidRPr="00A75DF9">
              <w:rPr>
                <w:rFonts w:ascii="Tahoma" w:hAnsi="Tahoma" w:cs="Tahoma"/>
                <w:sz w:val="13"/>
              </w:rPr>
              <w:t>12</w:t>
            </w:r>
          </w:p>
        </w:tc>
        <w:tc>
          <w:tcPr>
            <w:tcW w:w="429" w:type="dxa"/>
            <w:tcBorders>
              <w:bottom w:val="single" w:sz="4" w:space="0" w:color="auto"/>
            </w:tcBorders>
            <w:shd w:val="clear" w:color="auto" w:fill="auto"/>
            <w:vAlign w:val="center"/>
          </w:tcPr>
          <w:p w:rsidR="00D55AB9" w:rsidRPr="00A75DF9" w:rsidRDefault="00D55AB9" w:rsidP="00337A7D">
            <w:pPr>
              <w:pStyle w:val="TableText"/>
              <w:keepNext/>
              <w:keepLines/>
              <w:rPr>
                <w:rFonts w:ascii="Tahoma" w:hAnsi="Tahoma" w:cs="Tahoma"/>
                <w:sz w:val="13"/>
              </w:rPr>
            </w:pPr>
            <w:r w:rsidRPr="00A75DF9">
              <w:rPr>
                <w:rFonts w:ascii="Tahoma" w:hAnsi="Tahoma" w:cs="Tahoma"/>
                <w:sz w:val="13"/>
              </w:rPr>
              <w:t>9</w:t>
            </w:r>
          </w:p>
        </w:tc>
        <w:tc>
          <w:tcPr>
            <w:tcW w:w="429" w:type="dxa"/>
            <w:tcBorders>
              <w:bottom w:val="single" w:sz="4" w:space="0" w:color="auto"/>
            </w:tcBorders>
            <w:shd w:val="clear" w:color="auto" w:fill="auto"/>
            <w:vAlign w:val="center"/>
          </w:tcPr>
          <w:p w:rsidR="00D55AB9" w:rsidRPr="00A75DF9" w:rsidRDefault="00D55AB9" w:rsidP="00337A7D">
            <w:pPr>
              <w:pStyle w:val="TableText"/>
              <w:keepNext/>
              <w:keepLines/>
              <w:rPr>
                <w:rFonts w:ascii="Tahoma" w:hAnsi="Tahoma" w:cs="Tahoma"/>
                <w:sz w:val="13"/>
              </w:rPr>
            </w:pPr>
            <w:r w:rsidRPr="00A75DF9">
              <w:rPr>
                <w:rFonts w:ascii="Tahoma" w:hAnsi="Tahoma" w:cs="Tahoma"/>
                <w:sz w:val="13"/>
              </w:rPr>
              <w:t>9</w:t>
            </w:r>
          </w:p>
        </w:tc>
        <w:tc>
          <w:tcPr>
            <w:tcW w:w="429" w:type="dxa"/>
            <w:tcBorders>
              <w:bottom w:val="single" w:sz="4" w:space="0" w:color="auto"/>
            </w:tcBorders>
            <w:shd w:val="clear" w:color="auto" w:fill="auto"/>
            <w:vAlign w:val="center"/>
          </w:tcPr>
          <w:p w:rsidR="00D55AB9" w:rsidRPr="00A75DF9" w:rsidRDefault="00D55AB9" w:rsidP="00337A7D">
            <w:pPr>
              <w:pStyle w:val="TableText"/>
              <w:keepNext/>
              <w:keepLines/>
              <w:rPr>
                <w:rFonts w:ascii="Tahoma" w:hAnsi="Tahoma" w:cs="Tahoma"/>
                <w:sz w:val="13"/>
              </w:rPr>
            </w:pPr>
            <w:r w:rsidRPr="00A75DF9">
              <w:rPr>
                <w:rFonts w:ascii="Tahoma" w:hAnsi="Tahoma" w:cs="Tahoma"/>
                <w:sz w:val="13"/>
              </w:rPr>
              <w:t>6</w:t>
            </w:r>
          </w:p>
        </w:tc>
        <w:tc>
          <w:tcPr>
            <w:tcW w:w="429" w:type="dxa"/>
            <w:tcBorders>
              <w:bottom w:val="single" w:sz="4" w:space="0" w:color="auto"/>
              <w:right w:val="single" w:sz="18" w:space="0" w:color="auto"/>
            </w:tcBorders>
            <w:shd w:val="clear" w:color="auto" w:fill="auto"/>
            <w:vAlign w:val="center"/>
          </w:tcPr>
          <w:p w:rsidR="00D55AB9" w:rsidRPr="00A75DF9" w:rsidRDefault="00D55AB9" w:rsidP="00337A7D">
            <w:pPr>
              <w:pStyle w:val="TableText"/>
              <w:keepNext/>
              <w:keepLines/>
              <w:rPr>
                <w:rFonts w:ascii="Tahoma" w:hAnsi="Tahoma" w:cs="Tahoma"/>
                <w:sz w:val="13"/>
              </w:rPr>
            </w:pPr>
            <w:r w:rsidRPr="00A75DF9">
              <w:rPr>
                <w:rFonts w:ascii="Tahoma" w:hAnsi="Tahoma" w:cs="Tahoma"/>
                <w:sz w:val="13"/>
              </w:rPr>
              <w:t>3</w:t>
            </w:r>
          </w:p>
        </w:tc>
        <w:tc>
          <w:tcPr>
            <w:tcW w:w="405" w:type="dxa"/>
            <w:tcBorders>
              <w:left w:val="single" w:sz="18" w:space="0" w:color="auto"/>
              <w:bottom w:val="single" w:sz="4" w:space="0" w:color="auto"/>
            </w:tcBorders>
            <w:shd w:val="clear" w:color="auto" w:fill="auto"/>
            <w:vAlign w:val="center"/>
          </w:tcPr>
          <w:p w:rsidR="00D55AB9" w:rsidRPr="00A75DF9" w:rsidRDefault="00D55AB9" w:rsidP="00337A7D">
            <w:pPr>
              <w:pStyle w:val="TableText"/>
              <w:keepNext/>
              <w:keepLines/>
              <w:rPr>
                <w:rFonts w:ascii="Tahoma" w:hAnsi="Tahoma" w:cs="Tahoma"/>
                <w:sz w:val="13"/>
              </w:rPr>
            </w:pPr>
          </w:p>
        </w:tc>
        <w:tc>
          <w:tcPr>
            <w:tcW w:w="288" w:type="dxa"/>
            <w:tcBorders>
              <w:bottom w:val="single" w:sz="4" w:space="0" w:color="auto"/>
            </w:tcBorders>
            <w:shd w:val="clear" w:color="auto" w:fill="auto"/>
            <w:vAlign w:val="center"/>
          </w:tcPr>
          <w:p w:rsidR="00D55AB9" w:rsidRPr="00A75DF9" w:rsidRDefault="00D55AB9" w:rsidP="00337A7D">
            <w:pPr>
              <w:pStyle w:val="TableText"/>
              <w:keepNext/>
              <w:keepLines/>
              <w:rPr>
                <w:rFonts w:ascii="Tahoma" w:hAnsi="Tahoma" w:cs="Tahoma"/>
                <w:sz w:val="13"/>
              </w:rPr>
            </w:pPr>
            <w:r w:rsidRPr="00A75DF9">
              <w:rPr>
                <w:rFonts w:ascii="Tahoma" w:hAnsi="Tahoma" w:cs="Tahoma"/>
                <w:sz w:val="13"/>
              </w:rPr>
              <w:t>12</w:t>
            </w:r>
          </w:p>
        </w:tc>
        <w:tc>
          <w:tcPr>
            <w:tcW w:w="315" w:type="dxa"/>
            <w:tcBorders>
              <w:bottom w:val="single" w:sz="4" w:space="0" w:color="auto"/>
              <w:right w:val="single" w:sz="18" w:space="0" w:color="auto"/>
            </w:tcBorders>
            <w:shd w:val="clear" w:color="auto" w:fill="auto"/>
            <w:vAlign w:val="center"/>
          </w:tcPr>
          <w:p w:rsidR="00D55AB9" w:rsidRPr="00A75DF9" w:rsidRDefault="00D55AB9" w:rsidP="00337A7D">
            <w:pPr>
              <w:pStyle w:val="TableText"/>
              <w:keepNext/>
              <w:keepLines/>
              <w:rPr>
                <w:rFonts w:ascii="Tahoma" w:hAnsi="Tahoma" w:cs="Tahoma"/>
                <w:sz w:val="13"/>
              </w:rPr>
            </w:pPr>
            <w:r w:rsidRPr="00A75DF9">
              <w:rPr>
                <w:rFonts w:ascii="Tahoma" w:hAnsi="Tahoma" w:cs="Tahoma"/>
                <w:sz w:val="13"/>
              </w:rPr>
              <w:t>6</w:t>
            </w:r>
          </w:p>
        </w:tc>
        <w:tc>
          <w:tcPr>
            <w:tcW w:w="477" w:type="dxa"/>
            <w:tcBorders>
              <w:left w:val="single" w:sz="18" w:space="0" w:color="auto"/>
              <w:bottom w:val="single" w:sz="4" w:space="0" w:color="auto"/>
            </w:tcBorders>
            <w:shd w:val="clear" w:color="auto" w:fill="auto"/>
            <w:vAlign w:val="center"/>
          </w:tcPr>
          <w:p w:rsidR="00D55AB9" w:rsidRPr="00A75DF9" w:rsidRDefault="00D55AB9" w:rsidP="00337A7D">
            <w:pPr>
              <w:pStyle w:val="TableText"/>
              <w:keepNext/>
              <w:keepLines/>
              <w:rPr>
                <w:rFonts w:ascii="Tahoma" w:hAnsi="Tahoma" w:cs="Tahoma"/>
                <w:sz w:val="13"/>
              </w:rPr>
            </w:pPr>
            <w:r w:rsidRPr="00A75DF9">
              <w:rPr>
                <w:rFonts w:ascii="Tahoma" w:hAnsi="Tahoma" w:cs="Tahoma"/>
                <w:sz w:val="13"/>
              </w:rPr>
              <w:t>1</w:t>
            </w:r>
          </w:p>
        </w:tc>
        <w:tc>
          <w:tcPr>
            <w:tcW w:w="396" w:type="dxa"/>
            <w:tcBorders>
              <w:bottom w:val="single" w:sz="4" w:space="0" w:color="auto"/>
              <w:right w:val="single" w:sz="18" w:space="0" w:color="auto"/>
            </w:tcBorders>
            <w:shd w:val="clear" w:color="auto" w:fill="auto"/>
            <w:vAlign w:val="center"/>
          </w:tcPr>
          <w:p w:rsidR="00D55AB9" w:rsidRPr="00A75DF9" w:rsidRDefault="00D55AB9" w:rsidP="00337A7D">
            <w:pPr>
              <w:pStyle w:val="TableText"/>
              <w:keepNext/>
              <w:keepLines/>
              <w:rPr>
                <w:rFonts w:ascii="Tahoma" w:hAnsi="Tahoma" w:cs="Tahoma"/>
                <w:sz w:val="13"/>
              </w:rPr>
            </w:pPr>
            <w:r w:rsidRPr="00A75DF9">
              <w:rPr>
                <w:rFonts w:ascii="Tahoma" w:hAnsi="Tahoma" w:cs="Tahoma"/>
                <w:sz w:val="13"/>
              </w:rPr>
              <w:t>A,S</w:t>
            </w:r>
          </w:p>
        </w:tc>
        <w:tc>
          <w:tcPr>
            <w:tcW w:w="378" w:type="dxa"/>
            <w:tcBorders>
              <w:left w:val="single" w:sz="18" w:space="0" w:color="auto"/>
              <w:bottom w:val="single" w:sz="4" w:space="0" w:color="auto"/>
              <w:right w:val="single" w:sz="18" w:space="0" w:color="auto"/>
            </w:tcBorders>
            <w:shd w:val="clear" w:color="auto" w:fill="auto"/>
            <w:vAlign w:val="center"/>
          </w:tcPr>
          <w:p w:rsidR="00D55AB9" w:rsidRPr="00A75DF9" w:rsidRDefault="00D55AB9" w:rsidP="00337A7D">
            <w:pPr>
              <w:pStyle w:val="TableText"/>
              <w:keepNext/>
              <w:keepLines/>
              <w:rPr>
                <w:rFonts w:ascii="Tahoma" w:hAnsi="Tahoma" w:cs="Tahoma"/>
                <w:sz w:val="13"/>
              </w:rPr>
            </w:pPr>
            <w:r w:rsidRPr="00A75DF9">
              <w:rPr>
                <w:rFonts w:ascii="Tahoma" w:hAnsi="Tahoma" w:cs="Tahoma"/>
                <w:sz w:val="13"/>
              </w:rPr>
              <w:t>P</w:t>
            </w:r>
          </w:p>
        </w:tc>
        <w:tc>
          <w:tcPr>
            <w:tcW w:w="702" w:type="dxa"/>
            <w:tcBorders>
              <w:bottom w:val="single" w:sz="4" w:space="0" w:color="auto"/>
            </w:tcBorders>
            <w:shd w:val="clear" w:color="auto" w:fill="auto"/>
            <w:vAlign w:val="center"/>
          </w:tcPr>
          <w:p w:rsidR="00D55AB9" w:rsidRPr="00A75DF9" w:rsidRDefault="00D55AB9" w:rsidP="00337A7D">
            <w:pPr>
              <w:pStyle w:val="TableText"/>
              <w:keepNext/>
              <w:keepLines/>
              <w:rPr>
                <w:rFonts w:ascii="Tahoma" w:hAnsi="Tahoma" w:cs="Tahoma"/>
                <w:sz w:val="13"/>
              </w:rPr>
            </w:pPr>
            <w:r w:rsidRPr="00A75DF9">
              <w:rPr>
                <w:rFonts w:ascii="Tahoma" w:hAnsi="Tahoma" w:cs="Tahoma"/>
                <w:sz w:val="13"/>
              </w:rPr>
              <w:t>A</w:t>
            </w:r>
          </w:p>
        </w:tc>
        <w:tc>
          <w:tcPr>
            <w:tcW w:w="650" w:type="dxa"/>
            <w:tcBorders>
              <w:bottom w:val="single" w:sz="4" w:space="0" w:color="auto"/>
            </w:tcBorders>
            <w:shd w:val="clear" w:color="auto" w:fill="auto"/>
            <w:vAlign w:val="center"/>
          </w:tcPr>
          <w:p w:rsidR="00D55AB9" w:rsidRPr="00A75DF9" w:rsidRDefault="00D55AB9" w:rsidP="00337A7D">
            <w:pPr>
              <w:pStyle w:val="TableText"/>
              <w:keepNext/>
              <w:keepLines/>
              <w:rPr>
                <w:rFonts w:ascii="Tahoma" w:hAnsi="Tahoma" w:cs="Tahoma"/>
              </w:rPr>
            </w:pPr>
            <w:r w:rsidRPr="00A75DF9">
              <w:rPr>
                <w:rFonts w:ascii="Tahoma" w:hAnsi="Tahoma" w:cs="Tahoma"/>
                <w:sz w:val="13"/>
              </w:rPr>
              <w:t>OL/SA/</w:t>
            </w:r>
          </w:p>
          <w:p w:rsidR="00D55AB9" w:rsidRPr="00A75DF9" w:rsidRDefault="00D55AB9" w:rsidP="00337A7D">
            <w:pPr>
              <w:pStyle w:val="TableText"/>
              <w:keepNext/>
              <w:keepLines/>
              <w:rPr>
                <w:rFonts w:ascii="Tahoma" w:hAnsi="Tahoma" w:cs="Tahoma"/>
                <w:sz w:val="13"/>
              </w:rPr>
            </w:pPr>
            <w:r w:rsidRPr="00A75DF9">
              <w:rPr>
                <w:rFonts w:ascii="Tahoma" w:hAnsi="Tahoma" w:cs="Tahoma"/>
                <w:sz w:val="13"/>
              </w:rPr>
              <w:t>OV</w:t>
            </w:r>
          </w:p>
        </w:tc>
      </w:tr>
      <w:tr w:rsidR="00A75DF9" w:rsidRPr="00A75DF9" w:rsidTr="00337A7D">
        <w:trPr>
          <w:cantSplit/>
          <w:trHeight w:val="70"/>
        </w:trPr>
        <w:tc>
          <w:tcPr>
            <w:tcW w:w="2634" w:type="dxa"/>
            <w:tcBorders>
              <w:bottom w:val="single" w:sz="4" w:space="0" w:color="auto"/>
            </w:tcBorders>
            <w:shd w:val="clear" w:color="auto" w:fill="FABF8F"/>
          </w:tcPr>
          <w:p w:rsidR="00D55AB9" w:rsidRPr="00A75DF9" w:rsidRDefault="00D55AB9" w:rsidP="00337A7D">
            <w:pPr>
              <w:pStyle w:val="Heading2"/>
              <w:keepNext/>
              <w:keepLines/>
              <w:spacing w:beforeLines="20" w:before="48" w:afterLines="20" w:after="48"/>
              <w:ind w:left="0"/>
              <w:rPr>
                <w:rFonts w:ascii="Tahoma" w:hAnsi="Tahoma" w:cs="Tahoma"/>
                <w:b w:val="0"/>
                <w:sz w:val="14"/>
              </w:rPr>
            </w:pPr>
            <w:bookmarkStart w:id="117" w:name="_Toc336337894"/>
            <w:bookmarkStart w:id="118" w:name="_Toc368309904"/>
            <w:r w:rsidRPr="00A75DF9">
              <w:rPr>
                <w:rFonts w:ascii="Tahoma" w:hAnsi="Tahoma" w:cs="Tahoma"/>
                <w:b w:val="0"/>
                <w:sz w:val="14"/>
              </w:rPr>
              <w:t xml:space="preserve">Word </w:t>
            </w:r>
            <w:bookmarkEnd w:id="117"/>
            <w:r w:rsidRPr="00A75DF9">
              <w:rPr>
                <w:rFonts w:ascii="Tahoma" w:hAnsi="Tahoma" w:cs="Tahoma"/>
                <w:b w:val="0"/>
                <w:sz w:val="14"/>
              </w:rPr>
              <w:t>2013</w:t>
            </w:r>
            <w:bookmarkEnd w:id="118"/>
          </w:p>
        </w:tc>
        <w:tc>
          <w:tcPr>
            <w:tcW w:w="427" w:type="dxa"/>
            <w:tcBorders>
              <w:bottom w:val="single" w:sz="4" w:space="0" w:color="auto"/>
            </w:tcBorders>
            <w:shd w:val="clear" w:color="auto" w:fill="FABF8F"/>
            <w:vAlign w:val="center"/>
          </w:tcPr>
          <w:p w:rsidR="00D55AB9" w:rsidRPr="00A75DF9" w:rsidRDefault="00D55AB9" w:rsidP="00337A7D">
            <w:pPr>
              <w:pStyle w:val="TableText"/>
              <w:keepNext/>
              <w:keepLines/>
              <w:widowControl w:val="0"/>
              <w:rPr>
                <w:rStyle w:val="EndnoteReference"/>
                <w:rFonts w:cs="Tahoma"/>
                <w:color w:val="0000FF"/>
                <w:sz w:val="13"/>
                <w:szCs w:val="13"/>
                <w:u w:val="single"/>
              </w:rPr>
            </w:pPr>
          </w:p>
        </w:tc>
        <w:tc>
          <w:tcPr>
            <w:tcW w:w="427" w:type="dxa"/>
            <w:tcBorders>
              <w:bottom w:val="single" w:sz="4" w:space="0" w:color="auto"/>
            </w:tcBorders>
            <w:shd w:val="clear" w:color="auto" w:fill="FABF8F"/>
            <w:vAlign w:val="center"/>
          </w:tcPr>
          <w:p w:rsidR="00D55AB9" w:rsidRPr="00A75DF9" w:rsidRDefault="00D55AB9" w:rsidP="00337A7D">
            <w:pPr>
              <w:pStyle w:val="TableText"/>
              <w:keepNext/>
              <w:keepLines/>
              <w:spacing w:before="60" w:after="60"/>
              <w:rPr>
                <w:rFonts w:ascii="Tahoma" w:hAnsi="Tahoma" w:cs="Tahoma"/>
                <w:sz w:val="13"/>
              </w:rPr>
            </w:pPr>
            <w:r w:rsidRPr="00A75DF9">
              <w:rPr>
                <w:rFonts w:ascii="Tahoma" w:hAnsi="Tahoma" w:cs="Tahoma"/>
                <w:sz w:val="13"/>
              </w:rPr>
              <w:t>10/12</w:t>
            </w:r>
          </w:p>
        </w:tc>
        <w:tc>
          <w:tcPr>
            <w:tcW w:w="429" w:type="dxa"/>
            <w:tcBorders>
              <w:bottom w:val="single" w:sz="4" w:space="0" w:color="auto"/>
              <w:right w:val="single" w:sz="18" w:space="0" w:color="auto"/>
            </w:tcBorders>
            <w:shd w:val="clear" w:color="auto" w:fill="FABF8F"/>
            <w:vAlign w:val="center"/>
          </w:tcPr>
          <w:p w:rsidR="00D55AB9" w:rsidRPr="00A75DF9" w:rsidRDefault="00D55AB9" w:rsidP="00337A7D">
            <w:pPr>
              <w:pStyle w:val="TableText"/>
              <w:keepNext/>
              <w:keepLines/>
              <w:rPr>
                <w:rFonts w:ascii="Tahoma" w:hAnsi="Tahoma" w:cs="Tahoma"/>
                <w:sz w:val="13"/>
              </w:rPr>
            </w:pPr>
            <w:r w:rsidRPr="00A75DF9">
              <w:rPr>
                <w:rFonts w:ascii="Tahoma" w:hAnsi="Tahoma" w:cs="Tahoma"/>
                <w:sz w:val="13"/>
              </w:rPr>
              <w:t>DT</w:t>
            </w:r>
          </w:p>
        </w:tc>
        <w:tc>
          <w:tcPr>
            <w:tcW w:w="429" w:type="dxa"/>
            <w:tcBorders>
              <w:left w:val="single" w:sz="18" w:space="0" w:color="auto"/>
              <w:bottom w:val="single" w:sz="4" w:space="0" w:color="auto"/>
            </w:tcBorders>
            <w:shd w:val="clear" w:color="auto" w:fill="FABF8F"/>
            <w:vAlign w:val="center"/>
          </w:tcPr>
          <w:p w:rsidR="00D55AB9" w:rsidRPr="00A75DF9" w:rsidRDefault="00D55AB9" w:rsidP="00337A7D">
            <w:pPr>
              <w:pStyle w:val="TableText"/>
              <w:keepNext/>
              <w:keepLines/>
              <w:spacing w:after="120"/>
              <w:rPr>
                <w:rFonts w:ascii="Tahoma" w:hAnsi="Tahoma" w:cs="Tahoma"/>
                <w:sz w:val="13"/>
              </w:rPr>
            </w:pPr>
            <w:r w:rsidRPr="00A75DF9">
              <w:rPr>
                <w:rFonts w:ascii="Tahoma" w:hAnsi="Tahoma" w:cs="Tahoma"/>
                <w:sz w:val="13"/>
              </w:rPr>
              <w:t>1</w:t>
            </w:r>
          </w:p>
        </w:tc>
        <w:tc>
          <w:tcPr>
            <w:tcW w:w="429" w:type="dxa"/>
            <w:tcBorders>
              <w:bottom w:val="single" w:sz="4" w:space="0" w:color="auto"/>
            </w:tcBorders>
            <w:shd w:val="clear" w:color="auto" w:fill="FABF8F"/>
            <w:vAlign w:val="center"/>
          </w:tcPr>
          <w:p w:rsidR="00D55AB9" w:rsidRPr="00A75DF9" w:rsidRDefault="00D55AB9" w:rsidP="00337A7D">
            <w:pPr>
              <w:pStyle w:val="TableText"/>
              <w:keepNext/>
              <w:keepLines/>
              <w:rPr>
                <w:rFonts w:ascii="Tahoma" w:hAnsi="Tahoma" w:cs="Tahoma"/>
                <w:sz w:val="13"/>
              </w:rPr>
            </w:pPr>
            <w:r w:rsidRPr="00A75DF9">
              <w:rPr>
                <w:rFonts w:ascii="Tahoma" w:hAnsi="Tahoma" w:cs="Tahoma"/>
                <w:sz w:val="13"/>
              </w:rPr>
              <w:t>3</w:t>
            </w:r>
          </w:p>
        </w:tc>
        <w:tc>
          <w:tcPr>
            <w:tcW w:w="429" w:type="dxa"/>
            <w:tcBorders>
              <w:bottom w:val="single" w:sz="4" w:space="0" w:color="auto"/>
            </w:tcBorders>
            <w:shd w:val="clear" w:color="auto" w:fill="FABF8F"/>
            <w:vAlign w:val="center"/>
          </w:tcPr>
          <w:p w:rsidR="00D55AB9" w:rsidRPr="00A75DF9" w:rsidRDefault="00D55AB9" w:rsidP="00337A7D">
            <w:pPr>
              <w:pStyle w:val="TableText"/>
              <w:keepNext/>
              <w:keepLines/>
              <w:rPr>
                <w:rFonts w:ascii="Tahoma" w:hAnsi="Tahoma" w:cs="Tahoma"/>
                <w:sz w:val="13"/>
              </w:rPr>
            </w:pPr>
            <w:r w:rsidRPr="00A75DF9">
              <w:rPr>
                <w:rFonts w:ascii="Tahoma" w:hAnsi="Tahoma" w:cs="Tahoma"/>
                <w:sz w:val="13"/>
              </w:rPr>
              <w:t>2</w:t>
            </w:r>
          </w:p>
        </w:tc>
        <w:tc>
          <w:tcPr>
            <w:tcW w:w="429" w:type="dxa"/>
            <w:tcBorders>
              <w:bottom w:val="single" w:sz="4" w:space="0" w:color="auto"/>
            </w:tcBorders>
            <w:shd w:val="clear" w:color="auto" w:fill="FABF8F"/>
            <w:vAlign w:val="center"/>
          </w:tcPr>
          <w:p w:rsidR="00D55AB9" w:rsidRPr="00A75DF9" w:rsidRDefault="00D55AB9" w:rsidP="00337A7D">
            <w:pPr>
              <w:pStyle w:val="TableText"/>
              <w:keepNext/>
              <w:keepLines/>
              <w:rPr>
                <w:rFonts w:ascii="Tahoma" w:hAnsi="Tahoma" w:cs="Tahoma"/>
                <w:sz w:val="13"/>
              </w:rPr>
            </w:pPr>
            <w:r w:rsidRPr="00A75DF9">
              <w:rPr>
                <w:rFonts w:ascii="Tahoma" w:hAnsi="Tahoma" w:cs="Tahoma"/>
                <w:sz w:val="13"/>
              </w:rPr>
              <w:t>2</w:t>
            </w:r>
          </w:p>
        </w:tc>
        <w:tc>
          <w:tcPr>
            <w:tcW w:w="429" w:type="dxa"/>
            <w:tcBorders>
              <w:bottom w:val="single" w:sz="4" w:space="0" w:color="auto"/>
            </w:tcBorders>
            <w:shd w:val="clear" w:color="auto" w:fill="FABF8F"/>
            <w:vAlign w:val="center"/>
          </w:tcPr>
          <w:p w:rsidR="00D55AB9" w:rsidRPr="00A75DF9" w:rsidRDefault="00D55AB9" w:rsidP="00337A7D">
            <w:pPr>
              <w:pStyle w:val="TableText"/>
              <w:keepNext/>
              <w:keepLines/>
              <w:rPr>
                <w:rFonts w:ascii="Tahoma" w:hAnsi="Tahoma" w:cs="Tahoma"/>
                <w:sz w:val="13"/>
              </w:rPr>
            </w:pPr>
            <w:r w:rsidRPr="00A75DF9">
              <w:rPr>
                <w:rFonts w:ascii="Tahoma" w:hAnsi="Tahoma" w:cs="Tahoma"/>
                <w:sz w:val="13"/>
              </w:rPr>
              <w:t>2</w:t>
            </w:r>
          </w:p>
        </w:tc>
        <w:tc>
          <w:tcPr>
            <w:tcW w:w="429" w:type="dxa"/>
            <w:tcBorders>
              <w:bottom w:val="single" w:sz="4" w:space="0" w:color="auto"/>
            </w:tcBorders>
            <w:shd w:val="clear" w:color="auto" w:fill="FABF8F"/>
            <w:vAlign w:val="center"/>
          </w:tcPr>
          <w:p w:rsidR="00D55AB9" w:rsidRPr="00A75DF9" w:rsidRDefault="00D55AB9" w:rsidP="00337A7D">
            <w:pPr>
              <w:pStyle w:val="TableText"/>
              <w:keepNext/>
              <w:keepLines/>
              <w:rPr>
                <w:rFonts w:ascii="Tahoma" w:hAnsi="Tahoma" w:cs="Tahoma"/>
                <w:sz w:val="13"/>
              </w:rPr>
            </w:pPr>
            <w:r w:rsidRPr="00A75DF9">
              <w:rPr>
                <w:rFonts w:ascii="Tahoma" w:hAnsi="Tahoma" w:cs="Tahoma"/>
                <w:sz w:val="13"/>
              </w:rPr>
              <w:t>1</w:t>
            </w:r>
          </w:p>
        </w:tc>
        <w:tc>
          <w:tcPr>
            <w:tcW w:w="429" w:type="dxa"/>
            <w:tcBorders>
              <w:bottom w:val="single" w:sz="4" w:space="0" w:color="auto"/>
              <w:right w:val="single" w:sz="18" w:space="0" w:color="auto"/>
            </w:tcBorders>
            <w:shd w:val="clear" w:color="auto" w:fill="FABF8F"/>
            <w:vAlign w:val="center"/>
          </w:tcPr>
          <w:p w:rsidR="00D55AB9" w:rsidRPr="00A75DF9" w:rsidRDefault="00D55AB9" w:rsidP="00337A7D">
            <w:pPr>
              <w:pStyle w:val="TableText"/>
              <w:keepNext/>
              <w:keepLines/>
              <w:rPr>
                <w:rFonts w:ascii="Tahoma" w:hAnsi="Tahoma" w:cs="Tahoma"/>
                <w:sz w:val="13"/>
              </w:rPr>
            </w:pPr>
            <w:r w:rsidRPr="00A75DF9">
              <w:rPr>
                <w:rFonts w:ascii="Tahoma" w:hAnsi="Tahoma" w:cs="Tahoma"/>
                <w:sz w:val="13"/>
              </w:rPr>
              <w:t>1</w:t>
            </w:r>
          </w:p>
        </w:tc>
        <w:tc>
          <w:tcPr>
            <w:tcW w:w="405" w:type="dxa"/>
            <w:tcBorders>
              <w:left w:val="single" w:sz="18" w:space="0" w:color="auto"/>
              <w:bottom w:val="single" w:sz="4" w:space="0" w:color="auto"/>
            </w:tcBorders>
            <w:shd w:val="clear" w:color="auto" w:fill="FABF8F"/>
            <w:vAlign w:val="center"/>
          </w:tcPr>
          <w:p w:rsidR="00D55AB9" w:rsidRPr="00A75DF9" w:rsidRDefault="00D55AB9" w:rsidP="00337A7D">
            <w:pPr>
              <w:pStyle w:val="TableText"/>
              <w:keepNext/>
              <w:keepLines/>
              <w:rPr>
                <w:rFonts w:ascii="Tahoma" w:hAnsi="Tahoma" w:cs="Tahoma"/>
                <w:sz w:val="13"/>
              </w:rPr>
            </w:pPr>
            <w:r w:rsidRPr="00A75DF9">
              <w:rPr>
                <w:rFonts w:ascii="Tahoma" w:hAnsi="Tahoma" w:cs="Tahoma"/>
                <w:sz w:val="13"/>
              </w:rPr>
              <w:t>1</w:t>
            </w:r>
          </w:p>
        </w:tc>
        <w:tc>
          <w:tcPr>
            <w:tcW w:w="288" w:type="dxa"/>
            <w:tcBorders>
              <w:bottom w:val="single" w:sz="4" w:space="0" w:color="auto"/>
            </w:tcBorders>
            <w:shd w:val="clear" w:color="auto" w:fill="FABF8F"/>
            <w:vAlign w:val="center"/>
          </w:tcPr>
          <w:p w:rsidR="00D55AB9" w:rsidRPr="00A75DF9" w:rsidRDefault="00D55AB9" w:rsidP="00337A7D">
            <w:pPr>
              <w:pStyle w:val="TableText"/>
              <w:keepNext/>
              <w:keepLines/>
              <w:rPr>
                <w:rFonts w:ascii="Tahoma" w:hAnsi="Tahoma" w:cs="Tahoma"/>
                <w:sz w:val="13"/>
              </w:rPr>
            </w:pPr>
            <w:r w:rsidRPr="00A75DF9">
              <w:rPr>
                <w:rFonts w:ascii="Tahoma" w:hAnsi="Tahoma" w:cs="Tahoma"/>
                <w:sz w:val="13"/>
              </w:rPr>
              <w:t>2</w:t>
            </w:r>
          </w:p>
        </w:tc>
        <w:tc>
          <w:tcPr>
            <w:tcW w:w="315" w:type="dxa"/>
            <w:tcBorders>
              <w:bottom w:val="single" w:sz="4" w:space="0" w:color="auto"/>
              <w:right w:val="single" w:sz="18" w:space="0" w:color="auto"/>
            </w:tcBorders>
            <w:shd w:val="clear" w:color="auto" w:fill="FABF8F"/>
            <w:vAlign w:val="center"/>
          </w:tcPr>
          <w:p w:rsidR="00D55AB9" w:rsidRPr="00A75DF9" w:rsidRDefault="00D55AB9" w:rsidP="00337A7D">
            <w:pPr>
              <w:pStyle w:val="TableText"/>
              <w:keepNext/>
              <w:keepLines/>
              <w:rPr>
                <w:rFonts w:ascii="Tahoma" w:hAnsi="Tahoma" w:cs="Tahoma"/>
                <w:sz w:val="13"/>
              </w:rPr>
            </w:pPr>
            <w:r w:rsidRPr="00A75DF9">
              <w:rPr>
                <w:rFonts w:ascii="Tahoma" w:hAnsi="Tahoma" w:cs="Tahoma"/>
                <w:sz w:val="13"/>
              </w:rPr>
              <w:t>1</w:t>
            </w:r>
          </w:p>
        </w:tc>
        <w:tc>
          <w:tcPr>
            <w:tcW w:w="477" w:type="dxa"/>
            <w:tcBorders>
              <w:left w:val="single" w:sz="18" w:space="0" w:color="auto"/>
              <w:bottom w:val="single" w:sz="4" w:space="0" w:color="auto"/>
            </w:tcBorders>
            <w:shd w:val="clear" w:color="auto" w:fill="FABF8F"/>
            <w:vAlign w:val="center"/>
          </w:tcPr>
          <w:p w:rsidR="00D55AB9" w:rsidRPr="00A75DF9" w:rsidRDefault="00D55AB9" w:rsidP="00337A7D">
            <w:pPr>
              <w:pStyle w:val="TableText"/>
              <w:keepNext/>
              <w:keepLines/>
              <w:rPr>
                <w:rFonts w:ascii="Tahoma" w:hAnsi="Tahoma" w:cs="Tahoma"/>
                <w:sz w:val="13"/>
              </w:rPr>
            </w:pPr>
          </w:p>
        </w:tc>
        <w:tc>
          <w:tcPr>
            <w:tcW w:w="396" w:type="dxa"/>
            <w:tcBorders>
              <w:bottom w:val="single" w:sz="4" w:space="0" w:color="auto"/>
              <w:right w:val="single" w:sz="18" w:space="0" w:color="auto"/>
            </w:tcBorders>
            <w:shd w:val="clear" w:color="auto" w:fill="FABF8F"/>
            <w:vAlign w:val="center"/>
          </w:tcPr>
          <w:p w:rsidR="00D55AB9" w:rsidRPr="00A75DF9" w:rsidRDefault="00D55AB9" w:rsidP="00337A7D">
            <w:pPr>
              <w:pStyle w:val="TableText"/>
              <w:keepNext/>
              <w:keepLines/>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FABF8F"/>
            <w:vAlign w:val="center"/>
          </w:tcPr>
          <w:p w:rsidR="00D55AB9" w:rsidRPr="00A75DF9" w:rsidRDefault="00D55AB9" w:rsidP="00337A7D">
            <w:pPr>
              <w:pStyle w:val="TableText"/>
              <w:keepNext/>
              <w:keepLines/>
              <w:rPr>
                <w:rFonts w:ascii="Tahoma" w:hAnsi="Tahoma" w:cs="Tahoma"/>
                <w:sz w:val="13"/>
              </w:rPr>
            </w:pPr>
            <w:r w:rsidRPr="00A75DF9">
              <w:rPr>
                <w:rFonts w:ascii="Tahoma" w:hAnsi="Tahoma" w:cs="Tahoma"/>
                <w:sz w:val="13"/>
              </w:rPr>
              <w:t>P</w:t>
            </w:r>
          </w:p>
        </w:tc>
        <w:tc>
          <w:tcPr>
            <w:tcW w:w="702" w:type="dxa"/>
            <w:tcBorders>
              <w:bottom w:val="single" w:sz="4" w:space="0" w:color="auto"/>
            </w:tcBorders>
            <w:shd w:val="clear" w:color="auto" w:fill="FABF8F"/>
            <w:vAlign w:val="center"/>
          </w:tcPr>
          <w:p w:rsidR="00D55AB9" w:rsidRPr="00A75DF9" w:rsidRDefault="00D55AB9" w:rsidP="00337A7D">
            <w:pPr>
              <w:pStyle w:val="TableText"/>
              <w:keepNext/>
              <w:keepLines/>
              <w:rPr>
                <w:rFonts w:ascii="Tahoma" w:hAnsi="Tahoma" w:cs="Tahoma"/>
                <w:sz w:val="13"/>
              </w:rPr>
            </w:pPr>
          </w:p>
        </w:tc>
        <w:tc>
          <w:tcPr>
            <w:tcW w:w="650" w:type="dxa"/>
            <w:tcBorders>
              <w:bottom w:val="single" w:sz="4" w:space="0" w:color="auto"/>
            </w:tcBorders>
            <w:shd w:val="clear" w:color="auto" w:fill="FABF8F"/>
            <w:vAlign w:val="center"/>
          </w:tcPr>
          <w:p w:rsidR="00D55AB9" w:rsidRPr="00A75DF9" w:rsidRDefault="00D55AB9" w:rsidP="00337A7D">
            <w:pPr>
              <w:pStyle w:val="TableText"/>
              <w:keepNext/>
              <w:keepLines/>
              <w:rPr>
                <w:rFonts w:ascii="Tahoma" w:hAnsi="Tahoma" w:cs="Tahoma"/>
                <w:sz w:val="13"/>
              </w:rPr>
            </w:pPr>
          </w:p>
        </w:tc>
      </w:tr>
      <w:tr w:rsidR="00A75DF9" w:rsidRPr="00A75DF9" w:rsidTr="00337A7D">
        <w:trPr>
          <w:cantSplit/>
          <w:trHeight w:val="323"/>
        </w:trPr>
        <w:tc>
          <w:tcPr>
            <w:tcW w:w="2634" w:type="dxa"/>
            <w:tcBorders>
              <w:bottom w:val="single" w:sz="4" w:space="0" w:color="auto"/>
            </w:tcBorders>
            <w:shd w:val="clear" w:color="auto" w:fill="auto"/>
          </w:tcPr>
          <w:p w:rsidR="00D55AB9" w:rsidRPr="00A75DF9" w:rsidRDefault="00D55AB9" w:rsidP="00337A7D">
            <w:pPr>
              <w:pStyle w:val="Heading2"/>
              <w:keepNext/>
              <w:keepLines/>
              <w:spacing w:beforeLines="20" w:before="48" w:afterLines="20" w:after="48"/>
              <w:ind w:left="0"/>
              <w:rPr>
                <w:rFonts w:ascii="Tahoma" w:hAnsi="Tahoma" w:cs="Tahoma"/>
                <w:b w:val="0"/>
                <w:sz w:val="14"/>
              </w:rPr>
            </w:pPr>
            <w:bookmarkStart w:id="119" w:name="_Toc336337895"/>
            <w:bookmarkStart w:id="120" w:name="_Toc368309905"/>
            <w:r w:rsidRPr="00A75DF9">
              <w:rPr>
                <w:rFonts w:ascii="Tahoma" w:hAnsi="Tahoma" w:cs="Tahoma"/>
                <w:b w:val="0"/>
                <w:sz w:val="14"/>
              </w:rPr>
              <w:t>Word per Mac 2011</w:t>
            </w:r>
            <w:bookmarkEnd w:id="119"/>
            <w:bookmarkEnd w:id="120"/>
          </w:p>
        </w:tc>
        <w:tc>
          <w:tcPr>
            <w:tcW w:w="427" w:type="dxa"/>
            <w:tcBorders>
              <w:bottom w:val="single" w:sz="4" w:space="0" w:color="auto"/>
            </w:tcBorders>
            <w:shd w:val="clear" w:color="auto" w:fill="auto"/>
            <w:vAlign w:val="center"/>
          </w:tcPr>
          <w:p w:rsidR="00D55AB9" w:rsidRPr="00A75DF9" w:rsidRDefault="00D55AB9" w:rsidP="00337A7D">
            <w:pPr>
              <w:pStyle w:val="TableText"/>
              <w:keepNext/>
              <w:keepLines/>
              <w:widowControl w:val="0"/>
              <w:rPr>
                <w:rStyle w:val="EndnoteReference"/>
                <w:rFonts w:ascii="Tahoma" w:hAnsi="Tahoma" w:cs="Tahoma"/>
                <w:color w:val="0000FF"/>
                <w:sz w:val="14"/>
              </w:rPr>
            </w:pPr>
          </w:p>
        </w:tc>
        <w:tc>
          <w:tcPr>
            <w:tcW w:w="427" w:type="dxa"/>
            <w:tcBorders>
              <w:bottom w:val="single" w:sz="4" w:space="0" w:color="auto"/>
            </w:tcBorders>
            <w:shd w:val="clear" w:color="auto" w:fill="auto"/>
            <w:vAlign w:val="center"/>
          </w:tcPr>
          <w:p w:rsidR="00D55AB9" w:rsidRPr="00A75DF9" w:rsidRDefault="00D55AB9" w:rsidP="00337A7D">
            <w:pPr>
              <w:pStyle w:val="TableText"/>
              <w:keepNext/>
              <w:keepLines/>
              <w:spacing w:before="60" w:after="60"/>
              <w:rPr>
                <w:rFonts w:ascii="Tahoma" w:hAnsi="Tahoma" w:cs="Tahoma"/>
                <w:sz w:val="13"/>
              </w:rPr>
            </w:pPr>
            <w:r w:rsidRPr="00A75DF9">
              <w:rPr>
                <w:rFonts w:ascii="Tahoma" w:hAnsi="Tahoma" w:cs="Tahoma"/>
                <w:sz w:val="13"/>
              </w:rPr>
              <w:t>09/10</w:t>
            </w:r>
          </w:p>
        </w:tc>
        <w:tc>
          <w:tcPr>
            <w:tcW w:w="429" w:type="dxa"/>
            <w:tcBorders>
              <w:bottom w:val="single" w:sz="4" w:space="0" w:color="auto"/>
              <w:right w:val="single" w:sz="18" w:space="0" w:color="auto"/>
            </w:tcBorders>
            <w:shd w:val="clear" w:color="auto" w:fill="auto"/>
            <w:vAlign w:val="center"/>
          </w:tcPr>
          <w:p w:rsidR="00D55AB9" w:rsidRPr="00A75DF9" w:rsidRDefault="00D55AB9" w:rsidP="00337A7D">
            <w:pPr>
              <w:pStyle w:val="TableText"/>
              <w:keepNext/>
              <w:keepLines/>
              <w:rPr>
                <w:rFonts w:ascii="Tahoma" w:hAnsi="Tahoma" w:cs="Tahoma"/>
                <w:sz w:val="13"/>
              </w:rPr>
            </w:pPr>
            <w:r w:rsidRPr="00A75DF9">
              <w:rPr>
                <w:rFonts w:ascii="Tahoma" w:hAnsi="Tahoma" w:cs="Tahoma"/>
                <w:sz w:val="13"/>
              </w:rPr>
              <w:t>DT</w:t>
            </w:r>
          </w:p>
        </w:tc>
        <w:tc>
          <w:tcPr>
            <w:tcW w:w="429" w:type="dxa"/>
            <w:tcBorders>
              <w:left w:val="single" w:sz="18" w:space="0" w:color="auto"/>
              <w:bottom w:val="single" w:sz="4" w:space="0" w:color="auto"/>
            </w:tcBorders>
            <w:shd w:val="clear" w:color="auto" w:fill="auto"/>
            <w:vAlign w:val="center"/>
          </w:tcPr>
          <w:p w:rsidR="00D55AB9" w:rsidRPr="00A75DF9" w:rsidRDefault="00D55AB9" w:rsidP="00337A7D">
            <w:pPr>
              <w:pStyle w:val="TableText"/>
              <w:keepNext/>
              <w:keepLines/>
              <w:spacing w:after="120"/>
              <w:rPr>
                <w:rFonts w:ascii="Tahoma" w:hAnsi="Tahoma" w:cs="Tahoma"/>
                <w:sz w:val="13"/>
              </w:rPr>
            </w:pPr>
            <w:r w:rsidRPr="00A75DF9">
              <w:rPr>
                <w:rFonts w:ascii="Tahoma" w:hAnsi="Tahoma" w:cs="Tahoma"/>
                <w:sz w:val="13"/>
              </w:rPr>
              <w:t>1</w:t>
            </w:r>
          </w:p>
        </w:tc>
        <w:tc>
          <w:tcPr>
            <w:tcW w:w="429" w:type="dxa"/>
            <w:tcBorders>
              <w:bottom w:val="single" w:sz="4" w:space="0" w:color="auto"/>
            </w:tcBorders>
            <w:shd w:val="clear" w:color="auto" w:fill="auto"/>
            <w:vAlign w:val="center"/>
          </w:tcPr>
          <w:p w:rsidR="00D55AB9" w:rsidRPr="00A75DF9" w:rsidRDefault="00D55AB9" w:rsidP="00337A7D">
            <w:pPr>
              <w:pStyle w:val="TableText"/>
              <w:keepNext/>
              <w:keepLines/>
              <w:rPr>
                <w:rFonts w:ascii="Tahoma" w:hAnsi="Tahoma" w:cs="Tahoma"/>
                <w:sz w:val="13"/>
              </w:rPr>
            </w:pPr>
            <w:r w:rsidRPr="00A75DF9">
              <w:rPr>
                <w:rFonts w:ascii="Tahoma" w:hAnsi="Tahoma" w:cs="Tahoma"/>
                <w:sz w:val="13"/>
              </w:rPr>
              <w:t>3</w:t>
            </w:r>
          </w:p>
        </w:tc>
        <w:tc>
          <w:tcPr>
            <w:tcW w:w="429" w:type="dxa"/>
            <w:tcBorders>
              <w:bottom w:val="single" w:sz="4" w:space="0" w:color="auto"/>
            </w:tcBorders>
            <w:shd w:val="clear" w:color="auto" w:fill="auto"/>
            <w:vAlign w:val="center"/>
          </w:tcPr>
          <w:p w:rsidR="00D55AB9" w:rsidRPr="00A75DF9" w:rsidRDefault="00D55AB9" w:rsidP="00337A7D">
            <w:pPr>
              <w:pStyle w:val="TableText"/>
              <w:keepNext/>
              <w:keepLines/>
              <w:rPr>
                <w:rFonts w:ascii="Tahoma" w:hAnsi="Tahoma" w:cs="Tahoma"/>
                <w:sz w:val="13"/>
              </w:rPr>
            </w:pPr>
            <w:r w:rsidRPr="00A75DF9">
              <w:rPr>
                <w:rFonts w:ascii="Tahoma" w:hAnsi="Tahoma" w:cs="Tahoma"/>
                <w:sz w:val="13"/>
              </w:rPr>
              <w:t>2</w:t>
            </w:r>
          </w:p>
        </w:tc>
        <w:tc>
          <w:tcPr>
            <w:tcW w:w="429" w:type="dxa"/>
            <w:tcBorders>
              <w:bottom w:val="single" w:sz="4" w:space="0" w:color="auto"/>
            </w:tcBorders>
            <w:shd w:val="clear" w:color="auto" w:fill="auto"/>
            <w:vAlign w:val="center"/>
          </w:tcPr>
          <w:p w:rsidR="00D55AB9" w:rsidRPr="00A75DF9" w:rsidRDefault="00D55AB9" w:rsidP="00337A7D">
            <w:pPr>
              <w:pStyle w:val="TableText"/>
              <w:keepNext/>
              <w:keepLines/>
              <w:rPr>
                <w:rFonts w:ascii="Tahoma" w:hAnsi="Tahoma" w:cs="Tahoma"/>
                <w:sz w:val="13"/>
              </w:rPr>
            </w:pPr>
            <w:r w:rsidRPr="00A75DF9">
              <w:rPr>
                <w:rFonts w:ascii="Tahoma" w:hAnsi="Tahoma" w:cs="Tahoma"/>
                <w:sz w:val="13"/>
              </w:rPr>
              <w:t>2</w:t>
            </w:r>
          </w:p>
        </w:tc>
        <w:tc>
          <w:tcPr>
            <w:tcW w:w="429" w:type="dxa"/>
            <w:tcBorders>
              <w:bottom w:val="single" w:sz="4" w:space="0" w:color="auto"/>
            </w:tcBorders>
            <w:shd w:val="clear" w:color="auto" w:fill="auto"/>
            <w:vAlign w:val="center"/>
          </w:tcPr>
          <w:p w:rsidR="00D55AB9" w:rsidRPr="00A75DF9" w:rsidRDefault="00D55AB9" w:rsidP="00337A7D">
            <w:pPr>
              <w:pStyle w:val="TableText"/>
              <w:keepNext/>
              <w:keepLines/>
              <w:rPr>
                <w:rFonts w:ascii="Tahoma" w:hAnsi="Tahoma" w:cs="Tahoma"/>
                <w:sz w:val="13"/>
              </w:rPr>
            </w:pPr>
            <w:r w:rsidRPr="00A75DF9">
              <w:rPr>
                <w:rFonts w:ascii="Tahoma" w:hAnsi="Tahoma" w:cs="Tahoma"/>
                <w:sz w:val="13"/>
              </w:rPr>
              <w:t>2</w:t>
            </w:r>
          </w:p>
        </w:tc>
        <w:tc>
          <w:tcPr>
            <w:tcW w:w="429" w:type="dxa"/>
            <w:tcBorders>
              <w:bottom w:val="single" w:sz="4" w:space="0" w:color="auto"/>
            </w:tcBorders>
            <w:shd w:val="clear" w:color="auto" w:fill="auto"/>
            <w:vAlign w:val="center"/>
          </w:tcPr>
          <w:p w:rsidR="00D55AB9" w:rsidRPr="00A75DF9" w:rsidRDefault="00D55AB9" w:rsidP="00337A7D">
            <w:pPr>
              <w:pStyle w:val="TableText"/>
              <w:keepNext/>
              <w:keepLines/>
              <w:rPr>
                <w:rFonts w:ascii="Tahoma" w:hAnsi="Tahoma" w:cs="Tahoma"/>
                <w:sz w:val="13"/>
              </w:rPr>
            </w:pPr>
            <w:r w:rsidRPr="00A75DF9">
              <w:rPr>
                <w:rFonts w:ascii="Tahoma" w:hAnsi="Tahoma" w:cs="Tahoma"/>
                <w:sz w:val="13"/>
              </w:rPr>
              <w:t>1</w:t>
            </w:r>
          </w:p>
        </w:tc>
        <w:tc>
          <w:tcPr>
            <w:tcW w:w="429" w:type="dxa"/>
            <w:tcBorders>
              <w:bottom w:val="single" w:sz="4" w:space="0" w:color="auto"/>
              <w:right w:val="single" w:sz="18" w:space="0" w:color="auto"/>
            </w:tcBorders>
            <w:shd w:val="clear" w:color="auto" w:fill="auto"/>
            <w:vAlign w:val="center"/>
          </w:tcPr>
          <w:p w:rsidR="00D55AB9" w:rsidRPr="00A75DF9" w:rsidRDefault="00D55AB9" w:rsidP="00337A7D">
            <w:pPr>
              <w:pStyle w:val="TableText"/>
              <w:keepNext/>
              <w:keepLines/>
              <w:rPr>
                <w:rFonts w:ascii="Tahoma" w:hAnsi="Tahoma" w:cs="Tahoma"/>
                <w:sz w:val="13"/>
              </w:rPr>
            </w:pPr>
            <w:r w:rsidRPr="00A75DF9">
              <w:rPr>
                <w:rFonts w:ascii="Tahoma" w:hAnsi="Tahoma" w:cs="Tahoma"/>
                <w:sz w:val="13"/>
              </w:rPr>
              <w:t>1</w:t>
            </w:r>
          </w:p>
        </w:tc>
        <w:tc>
          <w:tcPr>
            <w:tcW w:w="405" w:type="dxa"/>
            <w:tcBorders>
              <w:left w:val="single" w:sz="18" w:space="0" w:color="auto"/>
              <w:bottom w:val="single" w:sz="4" w:space="0" w:color="auto"/>
            </w:tcBorders>
            <w:shd w:val="clear" w:color="auto" w:fill="auto"/>
            <w:vAlign w:val="center"/>
          </w:tcPr>
          <w:p w:rsidR="00D55AB9" w:rsidRPr="00A75DF9" w:rsidRDefault="00D55AB9" w:rsidP="00337A7D">
            <w:pPr>
              <w:pStyle w:val="TableText"/>
              <w:keepNext/>
              <w:keepLines/>
              <w:rPr>
                <w:rFonts w:ascii="Tahoma" w:hAnsi="Tahoma" w:cs="Tahoma"/>
                <w:sz w:val="13"/>
              </w:rPr>
            </w:pPr>
            <w:r w:rsidRPr="00A75DF9">
              <w:rPr>
                <w:rFonts w:ascii="Tahoma" w:hAnsi="Tahoma" w:cs="Tahoma"/>
                <w:sz w:val="13"/>
              </w:rPr>
              <w:t>1</w:t>
            </w:r>
          </w:p>
        </w:tc>
        <w:tc>
          <w:tcPr>
            <w:tcW w:w="288" w:type="dxa"/>
            <w:tcBorders>
              <w:bottom w:val="single" w:sz="4" w:space="0" w:color="auto"/>
            </w:tcBorders>
            <w:shd w:val="clear" w:color="auto" w:fill="auto"/>
            <w:vAlign w:val="center"/>
          </w:tcPr>
          <w:p w:rsidR="00D55AB9" w:rsidRPr="00A75DF9" w:rsidRDefault="00D55AB9" w:rsidP="00337A7D">
            <w:pPr>
              <w:pStyle w:val="TableText"/>
              <w:keepNext/>
              <w:keepLines/>
              <w:rPr>
                <w:rFonts w:ascii="Tahoma" w:hAnsi="Tahoma" w:cs="Tahoma"/>
                <w:sz w:val="13"/>
              </w:rPr>
            </w:pPr>
            <w:r w:rsidRPr="00A75DF9">
              <w:rPr>
                <w:rFonts w:ascii="Tahoma" w:hAnsi="Tahoma" w:cs="Tahoma"/>
                <w:sz w:val="13"/>
              </w:rPr>
              <w:t>2</w:t>
            </w:r>
          </w:p>
        </w:tc>
        <w:tc>
          <w:tcPr>
            <w:tcW w:w="315" w:type="dxa"/>
            <w:tcBorders>
              <w:bottom w:val="single" w:sz="4" w:space="0" w:color="auto"/>
              <w:right w:val="single" w:sz="18" w:space="0" w:color="auto"/>
            </w:tcBorders>
            <w:shd w:val="clear" w:color="auto" w:fill="auto"/>
            <w:vAlign w:val="center"/>
          </w:tcPr>
          <w:p w:rsidR="00D55AB9" w:rsidRPr="00A75DF9" w:rsidRDefault="00D55AB9" w:rsidP="00337A7D">
            <w:pPr>
              <w:pStyle w:val="TableText"/>
              <w:keepNext/>
              <w:keepLines/>
              <w:rPr>
                <w:rFonts w:ascii="Tahoma" w:hAnsi="Tahoma" w:cs="Tahoma"/>
                <w:sz w:val="13"/>
              </w:rPr>
            </w:pPr>
            <w:r w:rsidRPr="00A75DF9">
              <w:rPr>
                <w:rFonts w:ascii="Tahoma" w:hAnsi="Tahoma" w:cs="Tahoma"/>
                <w:sz w:val="13"/>
              </w:rPr>
              <w:t>1</w:t>
            </w:r>
          </w:p>
        </w:tc>
        <w:tc>
          <w:tcPr>
            <w:tcW w:w="477" w:type="dxa"/>
            <w:tcBorders>
              <w:left w:val="single" w:sz="18" w:space="0" w:color="auto"/>
              <w:bottom w:val="single" w:sz="4" w:space="0" w:color="auto"/>
            </w:tcBorders>
            <w:shd w:val="clear" w:color="auto" w:fill="auto"/>
            <w:vAlign w:val="center"/>
          </w:tcPr>
          <w:p w:rsidR="00D55AB9" w:rsidRPr="00A75DF9" w:rsidRDefault="00D55AB9" w:rsidP="00337A7D">
            <w:pPr>
              <w:pStyle w:val="TableText"/>
              <w:keepNext/>
              <w:keepLines/>
              <w:rPr>
                <w:rFonts w:ascii="Tahoma" w:hAnsi="Tahoma" w:cs="Tahoma"/>
                <w:sz w:val="13"/>
              </w:rPr>
            </w:pPr>
          </w:p>
        </w:tc>
        <w:tc>
          <w:tcPr>
            <w:tcW w:w="396" w:type="dxa"/>
            <w:tcBorders>
              <w:bottom w:val="single" w:sz="4" w:space="0" w:color="auto"/>
              <w:right w:val="single" w:sz="18" w:space="0" w:color="auto"/>
            </w:tcBorders>
            <w:shd w:val="clear" w:color="auto" w:fill="auto"/>
            <w:vAlign w:val="center"/>
          </w:tcPr>
          <w:p w:rsidR="00D55AB9" w:rsidRPr="00A75DF9" w:rsidRDefault="00D55AB9" w:rsidP="00337A7D">
            <w:pPr>
              <w:pStyle w:val="TableText"/>
              <w:keepNext/>
              <w:keepLines/>
              <w:rPr>
                <w:rFonts w:ascii="Tahoma" w:hAnsi="Tahoma" w:cs="Tahoma"/>
                <w:sz w:val="13"/>
              </w:rPr>
            </w:pPr>
          </w:p>
        </w:tc>
        <w:tc>
          <w:tcPr>
            <w:tcW w:w="378" w:type="dxa"/>
            <w:tcBorders>
              <w:left w:val="single" w:sz="18" w:space="0" w:color="auto"/>
              <w:bottom w:val="single" w:sz="4" w:space="0" w:color="auto"/>
              <w:right w:val="single" w:sz="18" w:space="0" w:color="auto"/>
            </w:tcBorders>
            <w:shd w:val="clear" w:color="auto" w:fill="auto"/>
            <w:vAlign w:val="center"/>
          </w:tcPr>
          <w:p w:rsidR="00D55AB9" w:rsidRPr="00A75DF9" w:rsidRDefault="00D55AB9" w:rsidP="00337A7D">
            <w:pPr>
              <w:pStyle w:val="TableText"/>
              <w:keepNext/>
              <w:keepLines/>
              <w:rPr>
                <w:rFonts w:ascii="Tahoma" w:hAnsi="Tahoma" w:cs="Tahoma"/>
                <w:sz w:val="13"/>
              </w:rPr>
            </w:pPr>
            <w:r w:rsidRPr="00A75DF9">
              <w:rPr>
                <w:rFonts w:ascii="Tahoma" w:hAnsi="Tahoma" w:cs="Tahoma"/>
                <w:sz w:val="13"/>
              </w:rPr>
              <w:t>P</w:t>
            </w:r>
          </w:p>
        </w:tc>
        <w:tc>
          <w:tcPr>
            <w:tcW w:w="702" w:type="dxa"/>
            <w:tcBorders>
              <w:bottom w:val="single" w:sz="4" w:space="0" w:color="auto"/>
            </w:tcBorders>
            <w:shd w:val="clear" w:color="auto" w:fill="auto"/>
            <w:vAlign w:val="center"/>
          </w:tcPr>
          <w:p w:rsidR="00D55AB9" w:rsidRPr="00A75DF9" w:rsidRDefault="00D55AB9" w:rsidP="00337A7D">
            <w:pPr>
              <w:pStyle w:val="TableText"/>
              <w:keepNext/>
              <w:keepLines/>
              <w:rPr>
                <w:rFonts w:ascii="Tahoma" w:hAnsi="Tahoma" w:cs="Tahoma"/>
                <w:sz w:val="13"/>
              </w:rPr>
            </w:pPr>
          </w:p>
        </w:tc>
        <w:tc>
          <w:tcPr>
            <w:tcW w:w="650" w:type="dxa"/>
            <w:tcBorders>
              <w:bottom w:val="single" w:sz="4" w:space="0" w:color="auto"/>
            </w:tcBorders>
            <w:shd w:val="clear" w:color="auto" w:fill="auto"/>
            <w:vAlign w:val="center"/>
          </w:tcPr>
          <w:p w:rsidR="00D55AB9" w:rsidRPr="00A75DF9" w:rsidRDefault="00D55AB9" w:rsidP="00337A7D">
            <w:pPr>
              <w:pStyle w:val="TableText"/>
              <w:keepNext/>
              <w:keepLines/>
              <w:rPr>
                <w:rFonts w:ascii="Tahoma" w:hAnsi="Tahoma" w:cs="Tahoma"/>
                <w:sz w:val="13"/>
              </w:rPr>
            </w:pPr>
          </w:p>
        </w:tc>
      </w:tr>
    </w:tbl>
    <w:p w:rsidR="00023FE7" w:rsidRPr="00A75DF9" w:rsidRDefault="000B31FC">
      <w:pPr>
        <w:pStyle w:val="Bodywithspace"/>
        <w:ind w:left="0"/>
        <w:rPr>
          <w:rFonts w:ascii="Tahoma" w:hAnsi="Tahoma" w:cs="Tahoma"/>
        </w:rPr>
      </w:pPr>
      <w:r>
        <w:rPr>
          <w:rFonts w:ascii="Tahoma" w:hAnsi="Tahoma" w:cs="Tahoma"/>
          <w:noProof/>
          <w:sz w:val="14"/>
        </w:rPr>
        <mc:AlternateContent>
          <mc:Choice Requires="wps">
            <w:drawing>
              <wp:anchor distT="0" distB="0" distL="114300" distR="114300" simplePos="0" relativeHeight="251653632" behindDoc="0" locked="0" layoutInCell="1" allowOverlap="1">
                <wp:simplePos x="0" y="0"/>
                <wp:positionH relativeFrom="column">
                  <wp:posOffset>-317500</wp:posOffset>
                </wp:positionH>
                <wp:positionV relativeFrom="paragraph">
                  <wp:posOffset>19685</wp:posOffset>
                </wp:positionV>
                <wp:extent cx="6547485" cy="427355"/>
                <wp:effectExtent l="0" t="0" r="0" b="0"/>
                <wp:wrapNone/>
                <wp:docPr id="11"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4273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C5829" w:rsidRDefault="001C5829">
                            <w:pPr>
                              <w:rPr>
                                <w:rFonts w:cs="Tahoma"/>
                                <w:i/>
                                <w:color w:val="000000"/>
                                <w:sz w:val="14"/>
                                <w:szCs w:val="14"/>
                              </w:rPr>
                            </w:pPr>
                            <w:proofErr w:type="spellStart"/>
                            <w:r>
                              <w:rPr>
                                <w:rFonts w:cs="Tahoma"/>
                                <w:i/>
                                <w:color w:val="000000"/>
                                <w:sz w:val="14"/>
                                <w:szCs w:val="14"/>
                              </w:rPr>
                              <w:t>Nota</w:t>
                            </w:r>
                            <w:proofErr w:type="spellEnd"/>
                            <w:r>
                              <w:rPr>
                                <w:rFonts w:cs="Tahoma"/>
                                <w:i/>
                                <w:color w:val="000000"/>
                                <w:sz w:val="14"/>
                                <w:szCs w:val="14"/>
                              </w:rPr>
                              <w:t xml:space="preserve">: se la </w:t>
                            </w:r>
                            <w:proofErr w:type="spellStart"/>
                            <w:r>
                              <w:rPr>
                                <w:rFonts w:cs="Tahoma"/>
                                <w:i/>
                                <w:color w:val="000000"/>
                                <w:sz w:val="14"/>
                                <w:szCs w:val="14"/>
                              </w:rPr>
                              <w:t>cella</w:t>
                            </w:r>
                            <w:proofErr w:type="spellEnd"/>
                            <w:r>
                              <w:rPr>
                                <w:rFonts w:cs="Tahoma"/>
                                <w:i/>
                                <w:color w:val="000000"/>
                                <w:sz w:val="14"/>
                                <w:szCs w:val="14"/>
                              </w:rPr>
                              <w:t xml:space="preserve"> </w:t>
                            </w:r>
                            <w:proofErr w:type="gramStart"/>
                            <w:r>
                              <w:rPr>
                                <w:rFonts w:cs="Tahoma"/>
                                <w:i/>
                                <w:color w:val="000000"/>
                                <w:sz w:val="14"/>
                                <w:szCs w:val="14"/>
                              </w:rPr>
                              <w:t>del</w:t>
                            </w:r>
                            <w:proofErr w:type="gramEnd"/>
                            <w:r>
                              <w:rPr>
                                <w:rFonts w:cs="Tahoma"/>
                                <w:i/>
                                <w:color w:val="000000"/>
                                <w:sz w:val="14"/>
                                <w:szCs w:val="14"/>
                              </w:rPr>
                              <w:t xml:space="preserve"> </w:t>
                            </w:r>
                            <w:proofErr w:type="spellStart"/>
                            <w:r>
                              <w:rPr>
                                <w:rFonts w:cs="Tahoma"/>
                                <w:i/>
                                <w:color w:val="000000"/>
                                <w:sz w:val="14"/>
                                <w:szCs w:val="14"/>
                              </w:rPr>
                              <w:t>prodotto</w:t>
                            </w:r>
                            <w:proofErr w:type="spellEnd"/>
                            <w:r>
                              <w:rPr>
                                <w:rFonts w:cs="Tahoma"/>
                                <w:i/>
                                <w:color w:val="000000"/>
                                <w:sz w:val="14"/>
                                <w:szCs w:val="14"/>
                              </w:rPr>
                              <w:t xml:space="preserve"> è </w:t>
                            </w:r>
                            <w:proofErr w:type="spellStart"/>
                            <w:r>
                              <w:rPr>
                                <w:rFonts w:cs="Tahoma"/>
                                <w:i/>
                                <w:color w:val="000000"/>
                                <w:sz w:val="14"/>
                                <w:szCs w:val="14"/>
                              </w:rPr>
                              <w:t>vuota</w:t>
                            </w:r>
                            <w:proofErr w:type="spellEnd"/>
                            <w:r>
                              <w:rPr>
                                <w:rFonts w:cs="Tahoma"/>
                                <w:i/>
                                <w:color w:val="000000"/>
                                <w:sz w:val="14"/>
                                <w:szCs w:val="14"/>
                              </w:rPr>
                              <w:t xml:space="preserve"> </w:t>
                            </w:r>
                            <w:proofErr w:type="spellStart"/>
                            <w:r>
                              <w:rPr>
                                <w:rFonts w:cs="Tahoma"/>
                                <w:i/>
                                <w:color w:val="000000"/>
                                <w:sz w:val="14"/>
                                <w:szCs w:val="14"/>
                              </w:rPr>
                              <w:t>significa</w:t>
                            </w:r>
                            <w:proofErr w:type="spellEnd"/>
                            <w:r>
                              <w:rPr>
                                <w:rFonts w:cs="Tahoma"/>
                                <w:i/>
                                <w:color w:val="000000"/>
                                <w:sz w:val="14"/>
                                <w:szCs w:val="14"/>
                              </w:rPr>
                              <w:t xml:space="preserve"> </w:t>
                            </w:r>
                            <w:proofErr w:type="spellStart"/>
                            <w:r>
                              <w:rPr>
                                <w:rFonts w:cs="Tahoma"/>
                                <w:i/>
                                <w:color w:val="000000"/>
                                <w:sz w:val="14"/>
                                <w:szCs w:val="14"/>
                              </w:rPr>
                              <w:t>che</w:t>
                            </w:r>
                            <w:proofErr w:type="spellEnd"/>
                            <w:r>
                              <w:rPr>
                                <w:rFonts w:cs="Tahoma"/>
                                <w:i/>
                                <w:color w:val="000000"/>
                                <w:sz w:val="14"/>
                                <w:szCs w:val="14"/>
                              </w:rPr>
                              <w:t xml:space="preserve"> </w:t>
                            </w:r>
                            <w:proofErr w:type="spellStart"/>
                            <w:r>
                              <w:rPr>
                                <w:rFonts w:cs="Tahoma"/>
                                <w:i/>
                                <w:color w:val="000000"/>
                                <w:sz w:val="14"/>
                                <w:szCs w:val="14"/>
                              </w:rPr>
                              <w:t>il</w:t>
                            </w:r>
                            <w:proofErr w:type="spellEnd"/>
                            <w:r>
                              <w:rPr>
                                <w:rFonts w:cs="Tahoma"/>
                                <w:i/>
                                <w:color w:val="000000"/>
                                <w:sz w:val="14"/>
                                <w:szCs w:val="14"/>
                              </w:rPr>
                              <w:t xml:space="preserve"> </w:t>
                            </w:r>
                            <w:proofErr w:type="spellStart"/>
                            <w:r>
                              <w:rPr>
                                <w:rFonts w:cs="Tahoma"/>
                                <w:i/>
                                <w:color w:val="000000"/>
                                <w:sz w:val="14"/>
                                <w:szCs w:val="14"/>
                              </w:rPr>
                              <w:t>prodotto</w:t>
                            </w:r>
                            <w:proofErr w:type="spellEnd"/>
                            <w:r>
                              <w:rPr>
                                <w:rFonts w:cs="Tahoma"/>
                                <w:i/>
                                <w:color w:val="000000"/>
                                <w:sz w:val="14"/>
                                <w:szCs w:val="14"/>
                              </w:rPr>
                              <w:t xml:space="preserve"> non è </w:t>
                            </w:r>
                            <w:proofErr w:type="spellStart"/>
                            <w:r>
                              <w:rPr>
                                <w:rFonts w:cs="Tahoma"/>
                                <w:i/>
                                <w:color w:val="000000"/>
                                <w:sz w:val="14"/>
                                <w:szCs w:val="14"/>
                              </w:rPr>
                              <w:t>attualmente</w:t>
                            </w:r>
                            <w:proofErr w:type="spellEnd"/>
                            <w:r>
                              <w:rPr>
                                <w:rFonts w:cs="Tahoma"/>
                                <w:i/>
                                <w:color w:val="000000"/>
                                <w:sz w:val="14"/>
                                <w:szCs w:val="14"/>
                              </w:rPr>
                              <w:t xml:space="preserve"> </w:t>
                            </w:r>
                            <w:proofErr w:type="spellStart"/>
                            <w:r>
                              <w:rPr>
                                <w:rFonts w:cs="Tahoma"/>
                                <w:i/>
                                <w:color w:val="000000"/>
                                <w:sz w:val="14"/>
                                <w:szCs w:val="14"/>
                              </w:rPr>
                              <w:t>offerto</w:t>
                            </w:r>
                            <w:proofErr w:type="spellEnd"/>
                            <w:r>
                              <w:rPr>
                                <w:rFonts w:cs="Tahoma"/>
                                <w:i/>
                                <w:color w:val="000000"/>
                                <w:sz w:val="14"/>
                                <w:szCs w:val="14"/>
                              </w:rPr>
                              <w:t xml:space="preserve"> </w:t>
                            </w:r>
                            <w:proofErr w:type="spellStart"/>
                            <w:r>
                              <w:rPr>
                                <w:rFonts w:cs="Tahoma"/>
                                <w:i/>
                                <w:color w:val="000000"/>
                                <w:sz w:val="14"/>
                                <w:szCs w:val="14"/>
                              </w:rPr>
                              <w:t>nel</w:t>
                            </w:r>
                            <w:proofErr w:type="spellEnd"/>
                            <w:r>
                              <w:rPr>
                                <w:rFonts w:cs="Tahoma"/>
                                <w:i/>
                                <w:color w:val="000000"/>
                                <w:sz w:val="14"/>
                                <w:szCs w:val="14"/>
                              </w:rPr>
                              <w:t xml:space="preserve"> </w:t>
                            </w:r>
                            <w:proofErr w:type="spellStart"/>
                            <w:r>
                              <w:rPr>
                                <w:rFonts w:cs="Tahoma"/>
                                <w:i/>
                                <w:color w:val="000000"/>
                                <w:sz w:val="14"/>
                                <w:szCs w:val="14"/>
                              </w:rPr>
                              <w:t>programma</w:t>
                            </w:r>
                            <w:proofErr w:type="spellEnd"/>
                            <w:r>
                              <w:rPr>
                                <w:rFonts w:cs="Tahoma"/>
                                <w:i/>
                                <w:color w:val="000000"/>
                                <w:sz w:val="14"/>
                                <w:szCs w:val="14"/>
                              </w:rPr>
                              <w:t>.</w:t>
                            </w:r>
                          </w:p>
                          <w:p w:rsidR="001C5829" w:rsidRDefault="001C5829">
                            <w:pPr>
                              <w:rPr>
                                <w:rFonts w:cs="Tahoma"/>
                                <w:i/>
                                <w:color w:val="000000"/>
                                <w:sz w:val="14"/>
                                <w:szCs w:val="14"/>
                              </w:rPr>
                            </w:pPr>
                            <w:r>
                              <w:rPr>
                                <w:rFonts w:cs="Tahoma"/>
                                <w:i/>
                                <w:color w:val="000000"/>
                                <w:sz w:val="14"/>
                                <w:szCs w:val="14"/>
                              </w:rPr>
                              <w:t xml:space="preserve">*Per </w:t>
                            </w:r>
                            <w:proofErr w:type="spellStart"/>
                            <w:r>
                              <w:rPr>
                                <w:rFonts w:cs="Tahoma"/>
                                <w:i/>
                                <w:color w:val="000000"/>
                                <w:sz w:val="14"/>
                                <w:szCs w:val="14"/>
                              </w:rPr>
                              <w:t>quanto</w:t>
                            </w:r>
                            <w:proofErr w:type="spellEnd"/>
                            <w:r>
                              <w:rPr>
                                <w:rFonts w:cs="Tahoma"/>
                                <w:i/>
                                <w:color w:val="000000"/>
                                <w:sz w:val="14"/>
                                <w:szCs w:val="14"/>
                              </w:rPr>
                              <w:t xml:space="preserve"> </w:t>
                            </w:r>
                            <w:proofErr w:type="spellStart"/>
                            <w:r>
                              <w:rPr>
                                <w:rFonts w:cs="Tahoma"/>
                                <w:i/>
                                <w:color w:val="000000"/>
                                <w:sz w:val="14"/>
                                <w:szCs w:val="14"/>
                              </w:rPr>
                              <w:t>riguarda</w:t>
                            </w:r>
                            <w:proofErr w:type="spellEnd"/>
                            <w:r>
                              <w:rPr>
                                <w:rFonts w:cs="Tahoma"/>
                                <w:i/>
                                <w:color w:val="000000"/>
                                <w:sz w:val="14"/>
                                <w:szCs w:val="14"/>
                              </w:rPr>
                              <w:t xml:space="preserve"> Select Plus </w:t>
                            </w:r>
                            <w:proofErr w:type="spellStart"/>
                            <w:r>
                              <w:rPr>
                                <w:rFonts w:cs="Tahoma"/>
                                <w:i/>
                                <w:color w:val="000000"/>
                                <w:sz w:val="14"/>
                                <w:szCs w:val="14"/>
                              </w:rPr>
                              <w:t>verranno</w:t>
                            </w:r>
                            <w:proofErr w:type="spellEnd"/>
                            <w:r>
                              <w:rPr>
                                <w:rFonts w:cs="Tahoma"/>
                                <w:i/>
                                <w:color w:val="000000"/>
                                <w:sz w:val="14"/>
                                <w:szCs w:val="14"/>
                              </w:rPr>
                              <w:t xml:space="preserve"> </w:t>
                            </w:r>
                            <w:proofErr w:type="spellStart"/>
                            <w:r>
                              <w:rPr>
                                <w:rFonts w:cs="Tahoma"/>
                                <w:i/>
                                <w:color w:val="000000"/>
                                <w:sz w:val="14"/>
                                <w:szCs w:val="14"/>
                              </w:rPr>
                              <w:t>utilizzati</w:t>
                            </w:r>
                            <w:proofErr w:type="spellEnd"/>
                            <w:r>
                              <w:rPr>
                                <w:rFonts w:cs="Tahoma"/>
                                <w:i/>
                                <w:color w:val="000000"/>
                                <w:sz w:val="14"/>
                                <w:szCs w:val="14"/>
                              </w:rPr>
                              <w:t xml:space="preserve"> solo </w:t>
                            </w:r>
                            <w:proofErr w:type="spellStart"/>
                            <w:r>
                              <w:rPr>
                                <w:rFonts w:cs="Tahoma"/>
                                <w:i/>
                                <w:color w:val="000000"/>
                                <w:sz w:val="14"/>
                                <w:szCs w:val="14"/>
                              </w:rPr>
                              <w:t>i</w:t>
                            </w:r>
                            <w:proofErr w:type="spellEnd"/>
                            <w:r>
                              <w:rPr>
                                <w:rFonts w:cs="Tahoma"/>
                                <w:i/>
                                <w:color w:val="000000"/>
                                <w:sz w:val="14"/>
                                <w:szCs w:val="14"/>
                              </w:rPr>
                              <w:t xml:space="preserve"> </w:t>
                            </w:r>
                            <w:proofErr w:type="spellStart"/>
                            <w:r>
                              <w:rPr>
                                <w:rFonts w:cs="Tahoma"/>
                                <w:i/>
                                <w:color w:val="000000"/>
                                <w:sz w:val="14"/>
                                <w:szCs w:val="14"/>
                              </w:rPr>
                              <w:t>valori</w:t>
                            </w:r>
                            <w:proofErr w:type="spellEnd"/>
                            <w:r>
                              <w:rPr>
                                <w:rFonts w:cs="Tahoma"/>
                                <w:i/>
                                <w:color w:val="000000"/>
                                <w:sz w:val="14"/>
                                <w:szCs w:val="14"/>
                              </w:rPr>
                              <w:t xml:space="preserve"> "L" e </w:t>
                            </w:r>
                            <w:proofErr w:type="spellStart"/>
                            <w:r>
                              <w:rPr>
                                <w:rFonts w:cs="Tahoma"/>
                                <w:i/>
                                <w:color w:val="000000"/>
                                <w:sz w:val="14"/>
                                <w:szCs w:val="14"/>
                              </w:rPr>
                              <w:t>tre</w:t>
                            </w:r>
                            <w:proofErr w:type="spellEnd"/>
                            <w:r>
                              <w:rPr>
                                <w:rFonts w:cs="Tahoma"/>
                                <w:i/>
                                <w:color w:val="000000"/>
                                <w:sz w:val="14"/>
                                <w:szCs w:val="14"/>
                              </w:rPr>
                              <w:t xml:space="preserve"> </w:t>
                            </w:r>
                            <w:proofErr w:type="spellStart"/>
                            <w:r>
                              <w:rPr>
                                <w:rFonts w:cs="Tahoma"/>
                                <w:i/>
                                <w:color w:val="000000"/>
                                <w:sz w:val="14"/>
                                <w:szCs w:val="14"/>
                              </w:rPr>
                              <w:t>anni</w:t>
                            </w:r>
                            <w:proofErr w:type="spellEnd"/>
                            <w:r>
                              <w:rPr>
                                <w:rFonts w:cs="Tahoma"/>
                                <w:i/>
                                <w:color w:val="000000"/>
                                <w:sz w:val="14"/>
                                <w:szCs w:val="14"/>
                              </w:rPr>
                              <w:t xml:space="preserve"> per "L&amp;SA" / "SA".</w:t>
                            </w:r>
                          </w:p>
                          <w:p w:rsidR="001C5829" w:rsidRDefault="001C582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3" o:spid="_x0000_s1026" type="#_x0000_t202" style="position:absolute;margin-left:-25pt;margin-top:1.55pt;width:515.55pt;height:33.65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gAwtgIAALs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" filled="f" stroked="f">
                <v:textbox>
                  <w:txbxContent>
                    <w:p w:rsidR="001C5829" w:rsidRDefault="001C5829">
                      <w:pPr>
                        <w:rPr>
                          <w:rFonts w:cs="Tahoma"/>
                          <w:i/>
                          <w:color w:val="000000"/>
                          <w:sz w:val="14"/>
                          <w:szCs w:val="14"/>
                        </w:rPr>
                      </w:pPr>
                      <w:r>
                        <w:rPr>
                          <w:rFonts w:cs="Tahoma"/>
                          <w:i/>
                          <w:color w:val="000000"/>
                          <w:sz w:val="14"/>
                          <w:szCs w:val="14"/>
                        </w:rPr>
                        <w:t>Nota: se la cella del prodotto è vuota significa che il prodotto non è attualmente offerto nel programma.</w:t>
                      </w:r>
                    </w:p>
                    <w:p w:rsidR="001C5829" w:rsidRDefault="001C5829">
                      <w:pPr>
                        <w:rPr>
                          <w:rFonts w:cs="Tahoma"/>
                          <w:i/>
                          <w:color w:val="000000"/>
                          <w:sz w:val="14"/>
                          <w:szCs w:val="14"/>
                        </w:rPr>
                      </w:pPr>
                      <w:r>
                        <w:rPr>
                          <w:rFonts w:cs="Tahoma"/>
                          <w:i/>
                          <w:color w:val="000000"/>
                          <w:sz w:val="14"/>
                          <w:szCs w:val="14"/>
                        </w:rPr>
                        <w:t>*Per quanto riguarda Select Plus verranno utilizzati solo i valori "L" e tre anni per "L&amp;SA" / "SA".</w:t>
                      </w:r>
                    </w:p>
                    <w:p w:rsidR="001C5829" w:rsidRDefault="001C5829"/>
                  </w:txbxContent>
                </v:textbox>
              </v:shape>
            </w:pict>
          </mc:Fallback>
        </mc:AlternateContent>
      </w:r>
    </w:p>
    <w:p w:rsidR="00023FE7" w:rsidRPr="00A75DF9" w:rsidRDefault="00023FE7">
      <w:pPr>
        <w:pStyle w:val="ProductPool"/>
        <w:rPr>
          <w:rFonts w:ascii="Tahoma" w:hAnsi="Tahoma" w:cs="Tahoma"/>
        </w:rPr>
      </w:pPr>
    </w:p>
    <w:p w:rsidR="00E5334D" w:rsidRPr="00A75DF9" w:rsidRDefault="00E5334D">
      <w:pPr>
        <w:rPr>
          <w:rFonts w:cs="Tahoma"/>
        </w:rPr>
      </w:pPr>
    </w:p>
    <w:p w:rsidR="00023FE7" w:rsidRPr="00A75DF9" w:rsidRDefault="00023FE7" w:rsidP="004E292A">
      <w:pPr>
        <w:pStyle w:val="Heading3"/>
        <w:rPr>
          <w:rFonts w:ascii="Tahoma" w:hAnsi="Tahoma" w:cs="Tahoma"/>
        </w:rPr>
      </w:pPr>
      <w:bookmarkStart w:id="121" w:name="_Toc336337896"/>
      <w:bookmarkStart w:id="122" w:name="_Toc368309906"/>
      <w:r w:rsidRPr="00A75DF9">
        <w:rPr>
          <w:rFonts w:ascii="Tahoma" w:hAnsi="Tahoma" w:cs="Tahoma"/>
          <w:sz w:val="22"/>
        </w:rPr>
        <w:t>POOL DI SISTEMI</w:t>
      </w:r>
      <w:bookmarkEnd w:id="121"/>
      <w:bookmarkEnd w:id="122"/>
    </w:p>
    <w:p w:rsidR="00023FE7" w:rsidRPr="00A75DF9" w:rsidRDefault="00023FE7">
      <w:pPr>
        <w:rPr>
          <w:rFonts w:cs="Tahoma"/>
        </w:rPr>
      </w:pPr>
    </w:p>
    <w:tbl>
      <w:tblPr>
        <w:tblW w:w="10530" w:type="dxa"/>
        <w:tblInd w:w="-4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2610"/>
        <w:gridCol w:w="450"/>
        <w:gridCol w:w="450"/>
        <w:gridCol w:w="378"/>
        <w:gridCol w:w="378"/>
        <w:gridCol w:w="18"/>
        <w:gridCol w:w="362"/>
        <w:gridCol w:w="450"/>
        <w:gridCol w:w="450"/>
        <w:gridCol w:w="450"/>
        <w:gridCol w:w="450"/>
        <w:gridCol w:w="394"/>
        <w:gridCol w:w="450"/>
        <w:gridCol w:w="450"/>
        <w:gridCol w:w="450"/>
        <w:gridCol w:w="450"/>
        <w:gridCol w:w="450"/>
        <w:gridCol w:w="450"/>
        <w:gridCol w:w="450"/>
        <w:gridCol w:w="540"/>
      </w:tblGrid>
      <w:tr w:rsidR="00AF4B30" w:rsidRPr="00A75DF9" w:rsidTr="00337A7D">
        <w:trPr>
          <w:cantSplit/>
          <w:trHeight w:val="389"/>
          <w:tblHeader/>
        </w:trPr>
        <w:tc>
          <w:tcPr>
            <w:tcW w:w="2610" w:type="dxa"/>
            <w:vMerge w:val="restart"/>
            <w:tcBorders>
              <w:top w:val="single" w:sz="4" w:space="0" w:color="FFFFFF"/>
              <w:left w:val="single" w:sz="4" w:space="0" w:color="FFFFFF"/>
            </w:tcBorders>
          </w:tcPr>
          <w:p w:rsidR="00B27742" w:rsidRPr="00A75DF9" w:rsidRDefault="000B31FC">
            <w:pPr>
              <w:rPr>
                <w:rFonts w:cs="Tahoma"/>
                <w:sz w:val="20"/>
              </w:rPr>
            </w:pPr>
            <w:r>
              <w:rPr>
                <w:rFonts w:cs="Tahoma"/>
                <w:noProof/>
                <w:sz w:val="9"/>
              </w:rPr>
              <mc:AlternateContent>
                <mc:Choice Requires="wps">
                  <w:drawing>
                    <wp:anchor distT="0" distB="0" distL="114300" distR="114300" simplePos="0" relativeHeight="251660800" behindDoc="0" locked="0" layoutInCell="1" allowOverlap="1">
                      <wp:simplePos x="0" y="0"/>
                      <wp:positionH relativeFrom="column">
                        <wp:posOffset>1600835</wp:posOffset>
                      </wp:positionH>
                      <wp:positionV relativeFrom="paragraph">
                        <wp:posOffset>421005</wp:posOffset>
                      </wp:positionV>
                      <wp:extent cx="367030" cy="213995"/>
                      <wp:effectExtent l="0" t="0" r="0" b="0"/>
                      <wp:wrapNone/>
                      <wp:docPr id="5" name="Text Box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0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C5829" w:rsidRDefault="001C5829">
                                  <w:pPr>
                                    <w:rPr>
                                      <w:color w:val="0000FF"/>
                                      <w:sz w:val="20"/>
                                    </w:rPr>
                                  </w:pPr>
                                  <w:r>
                                    <w:rPr>
                                      <w:rFonts w:cs="Tahoma"/>
                                      <w:b/>
                                      <w:color w:val="0000FF"/>
                                      <w:sz w:val="8"/>
                                    </w:rPr>
                                    <w:t xml:space="preserve">(Ctrl + </w:t>
                                  </w:r>
                                  <w:proofErr w:type="spellStart"/>
                                  <w:r>
                                    <w:rPr>
                                      <w:rFonts w:cs="Tahoma"/>
                                      <w:b/>
                                      <w:color w:val="0000FF"/>
                                      <w:sz w:val="8"/>
                                    </w:rPr>
                                    <w:t>Clic</w:t>
                                  </w:r>
                                  <w:proofErr w:type="spellEnd"/>
                                  <w:r>
                                    <w:rPr>
                                      <w:rFonts w:cs="Tahoma"/>
                                      <w:b/>
                                      <w:color w:val="0000FF"/>
                                      <w:sz w:val="8"/>
                                    </w:rPr>
                                    <w:t>)</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61" o:spid="_x0000_s1027" type="#_x0000_t202" style="position:absolute;margin-left:126.05pt;margin-top:33.15pt;width:28.9pt;height:16.85pt;z-index:25166080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" filled="f" stroked="f">
                      <v:textbox style="mso-fit-shape-to-text:t">
                        <w:txbxContent>
                          <w:p w:rsidR="001C5829" w:rsidRDefault="001C5829">
                            <w:pPr>
                              <w:rPr>
                                <w:color w:val="0000FF"/>
                                <w:sz w:val="20"/>
                              </w:rPr>
                            </w:pPr>
                            <w:r>
                              <w:rPr>
                                <w:rFonts w:cs="Tahoma"/>
                                <w:b/>
                                <w:color w:val="0000FF"/>
                                <w:sz w:val="8"/>
                              </w:rPr>
                              <w:t>(Ctrl + Clic)</w:t>
                            </w:r>
                          </w:p>
                        </w:txbxContent>
                      </v:textbox>
                    </v:shape>
                  </w:pict>
                </mc:Fallback>
              </mc:AlternateContent>
            </w:r>
          </w:p>
        </w:tc>
        <w:tc>
          <w:tcPr>
            <w:tcW w:w="450" w:type="dxa"/>
            <w:vMerge w:val="restart"/>
            <w:tcBorders>
              <w:top w:val="single" w:sz="12" w:space="0" w:color="auto"/>
            </w:tcBorders>
            <w:textDirection w:val="btLr"/>
            <w:vAlign w:val="center"/>
          </w:tcPr>
          <w:p w:rsidR="00B27742" w:rsidRPr="00A75DF9" w:rsidRDefault="00B27742" w:rsidP="00852E22">
            <w:pPr>
              <w:pStyle w:val="TableVerticalText"/>
              <w:rPr>
                <w:rFonts w:ascii="Tahoma" w:hAnsi="Tahoma" w:cs="Tahoma"/>
                <w:sz w:val="9"/>
              </w:rPr>
            </w:pPr>
            <w:r w:rsidRPr="00A75DF9">
              <w:rPr>
                <w:rFonts w:ascii="Tahoma" w:hAnsi="Tahoma" w:cs="Tahoma"/>
                <w:sz w:val="9"/>
              </w:rPr>
              <w:t xml:space="preserve">Note del </w:t>
            </w:r>
            <w:r w:rsidR="00337A7D">
              <w:rPr>
                <w:rFonts w:ascii="Tahoma" w:hAnsi="Tahoma" w:cs="Tahoma"/>
                <w:sz w:val="9"/>
              </w:rPr>
              <w:br/>
            </w:r>
            <w:r w:rsidRPr="00A75DF9">
              <w:rPr>
                <w:rFonts w:ascii="Tahoma" w:hAnsi="Tahoma" w:cs="Tahoma"/>
                <w:sz w:val="9"/>
              </w:rPr>
              <w:t>Prodotto</w:t>
            </w:r>
          </w:p>
        </w:tc>
        <w:tc>
          <w:tcPr>
            <w:tcW w:w="450" w:type="dxa"/>
            <w:vMerge w:val="restart"/>
            <w:tcBorders>
              <w:top w:val="single" w:sz="12" w:space="0" w:color="auto"/>
            </w:tcBorders>
            <w:textDirection w:val="btLr"/>
          </w:tcPr>
          <w:p w:rsidR="00B27742" w:rsidRPr="00A75DF9" w:rsidRDefault="00B27742" w:rsidP="0019788A">
            <w:pPr>
              <w:pStyle w:val="TableVerticalText"/>
              <w:spacing w:before="120"/>
              <w:rPr>
                <w:rFonts w:ascii="Tahoma" w:hAnsi="Tahoma" w:cs="Tahoma"/>
                <w:sz w:val="9"/>
              </w:rPr>
            </w:pPr>
            <w:r w:rsidRPr="00A75DF9">
              <w:rPr>
                <w:rFonts w:ascii="Tahoma" w:hAnsi="Tahoma" w:cs="Tahoma"/>
                <w:sz w:val="9"/>
              </w:rPr>
              <w:t>Data Disponibilità</w:t>
            </w:r>
          </w:p>
        </w:tc>
        <w:tc>
          <w:tcPr>
            <w:tcW w:w="378" w:type="dxa"/>
            <w:vMerge w:val="restart"/>
            <w:tcBorders>
              <w:top w:val="single" w:sz="12" w:space="0" w:color="auto"/>
              <w:right w:val="single" w:sz="18" w:space="0" w:color="auto"/>
            </w:tcBorders>
            <w:textDirection w:val="btLr"/>
            <w:vAlign w:val="center"/>
          </w:tcPr>
          <w:p w:rsidR="00B27742" w:rsidRPr="00A75DF9" w:rsidRDefault="00B27742">
            <w:pPr>
              <w:pStyle w:val="TableVerticalText"/>
              <w:rPr>
                <w:rFonts w:ascii="Tahoma" w:hAnsi="Tahoma" w:cs="Tahoma"/>
                <w:sz w:val="9"/>
              </w:rPr>
            </w:pPr>
            <w:r w:rsidRPr="00A75DF9">
              <w:rPr>
                <w:rFonts w:ascii="Tahoma" w:hAnsi="Tahoma" w:cs="Tahoma"/>
                <w:sz w:val="9"/>
              </w:rPr>
              <w:t>SAB</w:t>
            </w:r>
          </w:p>
        </w:tc>
        <w:tc>
          <w:tcPr>
            <w:tcW w:w="2952" w:type="dxa"/>
            <w:gridSpan w:val="8"/>
            <w:tcBorders>
              <w:top w:val="single" w:sz="12" w:space="0" w:color="auto"/>
              <w:left w:val="single" w:sz="18" w:space="0" w:color="auto"/>
              <w:right w:val="single" w:sz="18" w:space="0" w:color="auto"/>
            </w:tcBorders>
            <w:vAlign w:val="center"/>
          </w:tcPr>
          <w:p w:rsidR="00B27742" w:rsidRPr="00A75DF9" w:rsidRDefault="00B27742">
            <w:pPr>
              <w:pStyle w:val="TableHeadingsBlack"/>
              <w:rPr>
                <w:rFonts w:ascii="Tahoma" w:hAnsi="Tahoma" w:cs="Tahoma"/>
                <w:sz w:val="9"/>
              </w:rPr>
            </w:pPr>
            <w:r w:rsidRPr="00A75DF9">
              <w:rPr>
                <w:rFonts w:ascii="Tahoma" w:hAnsi="Tahoma" w:cs="Tahoma"/>
                <w:sz w:val="9"/>
              </w:rPr>
              <w:t>Select</w:t>
            </w:r>
          </w:p>
        </w:tc>
        <w:tc>
          <w:tcPr>
            <w:tcW w:w="1350" w:type="dxa"/>
            <w:gridSpan w:val="3"/>
            <w:tcBorders>
              <w:top w:val="single" w:sz="12" w:space="0" w:color="auto"/>
              <w:left w:val="single" w:sz="18" w:space="0" w:color="auto"/>
              <w:right w:val="single" w:sz="18" w:space="0" w:color="auto"/>
            </w:tcBorders>
            <w:vAlign w:val="center"/>
          </w:tcPr>
          <w:p w:rsidR="00B27742" w:rsidRPr="00A75DF9" w:rsidRDefault="00B27742">
            <w:pPr>
              <w:pStyle w:val="TableHeadingsBlack"/>
              <w:rPr>
                <w:rFonts w:ascii="Tahoma" w:hAnsi="Tahoma" w:cs="Tahoma"/>
                <w:sz w:val="9"/>
              </w:rPr>
            </w:pPr>
            <w:r w:rsidRPr="00A75DF9">
              <w:rPr>
                <w:rFonts w:ascii="Tahoma" w:hAnsi="Tahoma" w:cs="Tahoma"/>
                <w:sz w:val="9"/>
              </w:rPr>
              <w:t>Licenza Open</w:t>
            </w:r>
          </w:p>
        </w:tc>
        <w:tc>
          <w:tcPr>
            <w:tcW w:w="450" w:type="dxa"/>
            <w:vMerge w:val="restart"/>
            <w:tcBorders>
              <w:top w:val="single" w:sz="12" w:space="0" w:color="auto"/>
              <w:left w:val="single" w:sz="18" w:space="0" w:color="auto"/>
            </w:tcBorders>
            <w:textDirection w:val="btLr"/>
            <w:vAlign w:val="center"/>
          </w:tcPr>
          <w:p w:rsidR="00B27742" w:rsidRPr="00A75DF9" w:rsidRDefault="00B27742">
            <w:pPr>
              <w:pStyle w:val="TableVerticalText"/>
              <w:rPr>
                <w:rFonts w:ascii="Tahoma" w:hAnsi="Tahoma" w:cs="Tahoma"/>
                <w:sz w:val="9"/>
              </w:rPr>
            </w:pPr>
            <w:r w:rsidRPr="00A75DF9">
              <w:rPr>
                <w:rFonts w:ascii="Tahoma" w:hAnsi="Tahoma" w:cs="Tahoma"/>
                <w:sz w:val="9"/>
              </w:rPr>
              <w:t>Unità Campus/School</w:t>
            </w:r>
          </w:p>
        </w:tc>
        <w:tc>
          <w:tcPr>
            <w:tcW w:w="450" w:type="dxa"/>
            <w:vMerge w:val="restart"/>
            <w:tcBorders>
              <w:top w:val="single" w:sz="12" w:space="0" w:color="auto"/>
              <w:right w:val="single" w:sz="18" w:space="0" w:color="auto"/>
            </w:tcBorders>
            <w:textDirection w:val="btLr"/>
            <w:vAlign w:val="center"/>
          </w:tcPr>
          <w:p w:rsidR="00B27742" w:rsidRPr="00A75DF9" w:rsidRDefault="00B27742">
            <w:pPr>
              <w:pStyle w:val="TableVerticalText"/>
              <w:rPr>
                <w:rFonts w:ascii="Tahoma" w:hAnsi="Tahoma" w:cs="Tahoma"/>
                <w:sz w:val="9"/>
              </w:rPr>
            </w:pPr>
            <w:r w:rsidRPr="00A75DF9">
              <w:rPr>
                <w:rFonts w:ascii="Tahoma" w:hAnsi="Tahoma" w:cs="Tahoma"/>
                <w:sz w:val="9"/>
              </w:rPr>
              <w:t xml:space="preserve">EA ed </w:t>
            </w:r>
            <w:r w:rsidRPr="00A75DF9">
              <w:rPr>
                <w:rFonts w:ascii="Tahoma"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rsidR="00B27742" w:rsidRPr="00A75DF9" w:rsidRDefault="00B27742">
            <w:pPr>
              <w:pStyle w:val="TableVerticalText"/>
              <w:rPr>
                <w:rFonts w:ascii="Tahoma" w:hAnsi="Tahoma" w:cs="Tahoma"/>
                <w:sz w:val="9"/>
              </w:rPr>
            </w:pPr>
            <w:r w:rsidRPr="00A75DF9">
              <w:rPr>
                <w:rFonts w:ascii="Tahoma" w:hAnsi="Tahoma" w:cs="Tahoma"/>
                <w:sz w:val="9"/>
              </w:rPr>
              <w:t>OV / OVS</w:t>
            </w:r>
          </w:p>
        </w:tc>
        <w:tc>
          <w:tcPr>
            <w:tcW w:w="450" w:type="dxa"/>
            <w:vMerge w:val="restart"/>
            <w:tcBorders>
              <w:top w:val="single" w:sz="12" w:space="0" w:color="auto"/>
            </w:tcBorders>
            <w:textDirection w:val="btLr"/>
          </w:tcPr>
          <w:p w:rsidR="00B27742" w:rsidRPr="00A75DF9" w:rsidRDefault="009D3B41" w:rsidP="00E67091">
            <w:pPr>
              <w:pStyle w:val="TableVerticalText"/>
              <w:spacing w:before="120"/>
              <w:jc w:val="left"/>
              <w:rPr>
                <w:rFonts w:ascii="Tahoma" w:hAnsi="Tahoma" w:cs="Tahoma"/>
                <w:sz w:val="9"/>
              </w:rPr>
            </w:pPr>
            <w:r w:rsidRPr="00A75DF9">
              <w:rPr>
                <w:rFonts w:ascii="Tahoma" w:hAnsi="Tahoma" w:cs="Tahoma"/>
                <w:sz w:val="9"/>
              </w:rPr>
              <w:t xml:space="preserve"> </w:t>
            </w:r>
            <w:r w:rsidR="00B0036E" w:rsidRPr="00A75DF9">
              <w:rPr>
                <w:rFonts w:ascii="Tahoma" w:hAnsi="Tahoma" w:cs="Tahoma"/>
                <w:sz w:val="9"/>
              </w:rPr>
              <w:t>EES / OVS ES</w:t>
            </w:r>
          </w:p>
        </w:tc>
        <w:tc>
          <w:tcPr>
            <w:tcW w:w="540" w:type="dxa"/>
            <w:vMerge w:val="restart"/>
            <w:tcBorders>
              <w:top w:val="single" w:sz="12" w:space="0" w:color="auto"/>
            </w:tcBorders>
            <w:textDirection w:val="btLr"/>
            <w:vAlign w:val="center"/>
          </w:tcPr>
          <w:p w:rsidR="00B27742" w:rsidRPr="00A75DF9" w:rsidRDefault="00B27742" w:rsidP="00456002">
            <w:pPr>
              <w:pStyle w:val="TableVerticalText"/>
              <w:rPr>
                <w:rFonts w:ascii="Tahoma" w:hAnsi="Tahoma" w:cs="Tahoma"/>
                <w:sz w:val="9"/>
              </w:rPr>
            </w:pPr>
            <w:r w:rsidRPr="00A75DF9">
              <w:rPr>
                <w:rFonts w:ascii="Tahoma" w:hAnsi="Tahoma" w:cs="Tahoma"/>
                <w:sz w:val="9"/>
              </w:rPr>
              <w:t>Requisito minimo per i Programmi Open</w:t>
            </w:r>
          </w:p>
        </w:tc>
      </w:tr>
      <w:tr w:rsidR="00CE5AB1" w:rsidRPr="00A75DF9" w:rsidTr="00337A7D">
        <w:trPr>
          <w:cantSplit/>
          <w:trHeight w:val="262"/>
          <w:tblHeader/>
        </w:trPr>
        <w:tc>
          <w:tcPr>
            <w:tcW w:w="2610" w:type="dxa"/>
            <w:vMerge/>
            <w:tcBorders>
              <w:left w:val="single" w:sz="4" w:space="0" w:color="FFFFFF"/>
            </w:tcBorders>
          </w:tcPr>
          <w:p w:rsidR="00B27742" w:rsidRPr="00A75DF9" w:rsidRDefault="00B27742">
            <w:pPr>
              <w:rPr>
                <w:rFonts w:cs="Tahoma"/>
                <w:sz w:val="20"/>
              </w:rPr>
            </w:pPr>
          </w:p>
        </w:tc>
        <w:tc>
          <w:tcPr>
            <w:tcW w:w="450" w:type="dxa"/>
            <w:vMerge/>
          </w:tcPr>
          <w:p w:rsidR="00B27742" w:rsidRPr="00A75DF9" w:rsidRDefault="00B27742">
            <w:pPr>
              <w:rPr>
                <w:rFonts w:cs="Tahoma"/>
                <w:b/>
                <w:sz w:val="20"/>
              </w:rPr>
            </w:pPr>
          </w:p>
        </w:tc>
        <w:tc>
          <w:tcPr>
            <w:tcW w:w="450" w:type="dxa"/>
            <w:vMerge/>
          </w:tcPr>
          <w:p w:rsidR="00B27742" w:rsidRPr="00A75DF9" w:rsidRDefault="00B27742">
            <w:pPr>
              <w:rPr>
                <w:rFonts w:cs="Tahoma"/>
                <w:sz w:val="20"/>
              </w:rPr>
            </w:pPr>
          </w:p>
        </w:tc>
        <w:tc>
          <w:tcPr>
            <w:tcW w:w="378" w:type="dxa"/>
            <w:vMerge/>
            <w:tcBorders>
              <w:right w:val="single" w:sz="18" w:space="0" w:color="auto"/>
            </w:tcBorders>
          </w:tcPr>
          <w:p w:rsidR="00B27742" w:rsidRPr="00A75DF9" w:rsidRDefault="00B27742">
            <w:pPr>
              <w:rPr>
                <w:rFonts w:cs="Tahoma"/>
                <w:sz w:val="20"/>
              </w:rPr>
            </w:pPr>
          </w:p>
        </w:tc>
        <w:tc>
          <w:tcPr>
            <w:tcW w:w="396" w:type="dxa"/>
            <w:gridSpan w:val="2"/>
            <w:vMerge w:val="restart"/>
            <w:tcBorders>
              <w:left w:val="single" w:sz="18" w:space="0" w:color="auto"/>
            </w:tcBorders>
            <w:vAlign w:val="center"/>
          </w:tcPr>
          <w:p w:rsidR="00B27742" w:rsidRPr="00A75DF9" w:rsidRDefault="00B27742">
            <w:pPr>
              <w:pStyle w:val="TableHeadingsRed"/>
              <w:rPr>
                <w:rFonts w:ascii="Tahoma" w:hAnsi="Tahoma" w:cs="Tahoma"/>
                <w:sz w:val="9"/>
              </w:rPr>
            </w:pPr>
            <w:r w:rsidRPr="00A75DF9">
              <w:rPr>
                <w:rFonts w:ascii="Tahoma" w:hAnsi="Tahoma" w:cs="Tahoma"/>
                <w:sz w:val="9"/>
              </w:rPr>
              <w:t>L</w:t>
            </w:r>
          </w:p>
        </w:tc>
        <w:tc>
          <w:tcPr>
            <w:tcW w:w="1262" w:type="dxa"/>
            <w:gridSpan w:val="3"/>
            <w:vAlign w:val="center"/>
          </w:tcPr>
          <w:p w:rsidR="00B27742" w:rsidRPr="00A75DF9" w:rsidRDefault="00B27742">
            <w:pPr>
              <w:pStyle w:val="TableHeadingsGreen"/>
              <w:rPr>
                <w:rFonts w:ascii="Tahoma" w:hAnsi="Tahoma" w:cs="Tahoma"/>
                <w:sz w:val="9"/>
              </w:rPr>
            </w:pPr>
            <w:r w:rsidRPr="00A75DF9">
              <w:rPr>
                <w:rFonts w:ascii="Tahoma" w:hAnsi="Tahoma" w:cs="Tahoma"/>
                <w:sz w:val="9"/>
              </w:rPr>
              <w:t>L&amp;SA</w:t>
            </w:r>
          </w:p>
        </w:tc>
        <w:tc>
          <w:tcPr>
            <w:tcW w:w="1294" w:type="dxa"/>
            <w:gridSpan w:val="3"/>
            <w:tcBorders>
              <w:right w:val="single" w:sz="18" w:space="0" w:color="auto"/>
            </w:tcBorders>
            <w:vAlign w:val="center"/>
          </w:tcPr>
          <w:p w:rsidR="00B27742" w:rsidRPr="00A75DF9" w:rsidRDefault="00B27742">
            <w:pPr>
              <w:pStyle w:val="TableHeadingsBlue"/>
              <w:rPr>
                <w:rFonts w:ascii="Tahoma" w:hAnsi="Tahoma" w:cs="Tahoma"/>
                <w:sz w:val="9"/>
              </w:rPr>
            </w:pPr>
            <w:r w:rsidRPr="00A75DF9">
              <w:rPr>
                <w:rFonts w:ascii="Tahoma" w:hAnsi="Tahoma" w:cs="Tahoma"/>
                <w:sz w:val="9"/>
              </w:rPr>
              <w:t>SA</w:t>
            </w:r>
          </w:p>
        </w:tc>
        <w:tc>
          <w:tcPr>
            <w:tcW w:w="450" w:type="dxa"/>
            <w:vMerge w:val="restart"/>
            <w:tcBorders>
              <w:left w:val="single" w:sz="18" w:space="0" w:color="auto"/>
            </w:tcBorders>
            <w:vAlign w:val="center"/>
          </w:tcPr>
          <w:p w:rsidR="00B27742" w:rsidRPr="00A75DF9" w:rsidRDefault="00B27742">
            <w:pPr>
              <w:pStyle w:val="TableHeadingsRed"/>
              <w:rPr>
                <w:rFonts w:ascii="Tahoma" w:hAnsi="Tahoma" w:cs="Tahoma"/>
                <w:sz w:val="9"/>
              </w:rPr>
            </w:pPr>
            <w:r w:rsidRPr="00A75DF9">
              <w:rPr>
                <w:rFonts w:ascii="Tahoma" w:hAnsi="Tahoma" w:cs="Tahoma"/>
                <w:sz w:val="9"/>
              </w:rPr>
              <w:t>L</w:t>
            </w:r>
          </w:p>
        </w:tc>
        <w:tc>
          <w:tcPr>
            <w:tcW w:w="450" w:type="dxa"/>
            <w:vAlign w:val="center"/>
          </w:tcPr>
          <w:p w:rsidR="00B27742" w:rsidRPr="00A75DF9" w:rsidRDefault="00B27742">
            <w:pPr>
              <w:pStyle w:val="TableHeadingsGreen"/>
              <w:rPr>
                <w:rFonts w:ascii="Tahoma" w:hAnsi="Tahoma" w:cs="Tahoma"/>
                <w:sz w:val="9"/>
              </w:rPr>
            </w:pPr>
            <w:r w:rsidRPr="00A75DF9">
              <w:rPr>
                <w:rFonts w:ascii="Tahoma" w:hAnsi="Tahoma" w:cs="Tahoma"/>
                <w:sz w:val="9"/>
              </w:rPr>
              <w:t>L&amp;SA</w:t>
            </w:r>
          </w:p>
        </w:tc>
        <w:tc>
          <w:tcPr>
            <w:tcW w:w="450" w:type="dxa"/>
            <w:vMerge w:val="restart"/>
            <w:tcBorders>
              <w:right w:val="single" w:sz="18" w:space="0" w:color="auto"/>
            </w:tcBorders>
            <w:vAlign w:val="center"/>
          </w:tcPr>
          <w:p w:rsidR="00B27742" w:rsidRPr="00A75DF9" w:rsidRDefault="00B27742">
            <w:pPr>
              <w:pStyle w:val="TableHeadingsBlue"/>
              <w:rPr>
                <w:rFonts w:ascii="Tahoma" w:hAnsi="Tahoma" w:cs="Tahoma"/>
                <w:sz w:val="9"/>
              </w:rPr>
            </w:pPr>
            <w:r w:rsidRPr="00A75DF9">
              <w:rPr>
                <w:rFonts w:ascii="Tahoma" w:hAnsi="Tahoma" w:cs="Tahoma"/>
                <w:sz w:val="9"/>
              </w:rPr>
              <w:t>SA</w:t>
            </w:r>
          </w:p>
        </w:tc>
        <w:tc>
          <w:tcPr>
            <w:tcW w:w="450" w:type="dxa"/>
            <w:vMerge/>
            <w:tcBorders>
              <w:left w:val="single" w:sz="18" w:space="0" w:color="auto"/>
            </w:tcBorders>
          </w:tcPr>
          <w:p w:rsidR="00B27742" w:rsidRPr="00A75DF9" w:rsidRDefault="00B27742">
            <w:pPr>
              <w:rPr>
                <w:rFonts w:cs="Tahoma"/>
                <w:sz w:val="20"/>
              </w:rPr>
            </w:pPr>
          </w:p>
        </w:tc>
        <w:tc>
          <w:tcPr>
            <w:tcW w:w="450" w:type="dxa"/>
            <w:vMerge/>
            <w:tcBorders>
              <w:right w:val="single" w:sz="18" w:space="0" w:color="auto"/>
            </w:tcBorders>
          </w:tcPr>
          <w:p w:rsidR="00B27742" w:rsidRPr="00A75DF9" w:rsidRDefault="00B27742">
            <w:pPr>
              <w:rPr>
                <w:rFonts w:cs="Tahoma"/>
                <w:sz w:val="20"/>
              </w:rPr>
            </w:pPr>
          </w:p>
        </w:tc>
        <w:tc>
          <w:tcPr>
            <w:tcW w:w="450" w:type="dxa"/>
            <w:vMerge/>
            <w:tcBorders>
              <w:left w:val="single" w:sz="18" w:space="0" w:color="auto"/>
              <w:right w:val="single" w:sz="18" w:space="0" w:color="auto"/>
            </w:tcBorders>
          </w:tcPr>
          <w:p w:rsidR="00B27742" w:rsidRPr="00A75DF9" w:rsidRDefault="00B27742">
            <w:pPr>
              <w:rPr>
                <w:rFonts w:cs="Tahoma"/>
                <w:sz w:val="20"/>
              </w:rPr>
            </w:pPr>
          </w:p>
        </w:tc>
        <w:tc>
          <w:tcPr>
            <w:tcW w:w="450" w:type="dxa"/>
            <w:vMerge/>
          </w:tcPr>
          <w:p w:rsidR="00B27742" w:rsidRPr="00A75DF9" w:rsidRDefault="00B27742">
            <w:pPr>
              <w:rPr>
                <w:rFonts w:cs="Tahoma"/>
                <w:sz w:val="20"/>
              </w:rPr>
            </w:pPr>
          </w:p>
        </w:tc>
        <w:tc>
          <w:tcPr>
            <w:tcW w:w="540" w:type="dxa"/>
            <w:vMerge/>
          </w:tcPr>
          <w:p w:rsidR="00B27742" w:rsidRPr="00A75DF9" w:rsidRDefault="00B27742">
            <w:pPr>
              <w:rPr>
                <w:rFonts w:cs="Tahoma"/>
                <w:sz w:val="20"/>
              </w:rPr>
            </w:pPr>
          </w:p>
        </w:tc>
      </w:tr>
      <w:tr w:rsidR="00AF4B30" w:rsidRPr="00A75DF9" w:rsidTr="00337A7D">
        <w:trPr>
          <w:cantSplit/>
          <w:trHeight w:val="287"/>
          <w:tblHeader/>
        </w:trPr>
        <w:tc>
          <w:tcPr>
            <w:tcW w:w="2610" w:type="dxa"/>
            <w:vMerge/>
            <w:tcBorders>
              <w:left w:val="single" w:sz="4" w:space="0" w:color="FFFFFF"/>
              <w:bottom w:val="single" w:sz="4" w:space="0" w:color="auto"/>
            </w:tcBorders>
          </w:tcPr>
          <w:p w:rsidR="00B27742" w:rsidRPr="00A75DF9" w:rsidRDefault="00B27742">
            <w:pPr>
              <w:rPr>
                <w:rFonts w:cs="Tahoma"/>
                <w:sz w:val="20"/>
              </w:rPr>
            </w:pPr>
          </w:p>
        </w:tc>
        <w:tc>
          <w:tcPr>
            <w:tcW w:w="450" w:type="dxa"/>
            <w:vMerge/>
            <w:tcBorders>
              <w:bottom w:val="single" w:sz="4" w:space="0" w:color="auto"/>
            </w:tcBorders>
          </w:tcPr>
          <w:p w:rsidR="00B27742" w:rsidRPr="00A75DF9" w:rsidRDefault="00B27742">
            <w:pPr>
              <w:rPr>
                <w:rFonts w:cs="Tahoma"/>
                <w:b/>
                <w:sz w:val="20"/>
              </w:rPr>
            </w:pPr>
          </w:p>
        </w:tc>
        <w:tc>
          <w:tcPr>
            <w:tcW w:w="450" w:type="dxa"/>
            <w:vMerge/>
            <w:tcBorders>
              <w:bottom w:val="single" w:sz="4" w:space="0" w:color="auto"/>
            </w:tcBorders>
          </w:tcPr>
          <w:p w:rsidR="00B27742" w:rsidRPr="00A75DF9" w:rsidRDefault="00B27742">
            <w:pPr>
              <w:rPr>
                <w:rFonts w:cs="Tahoma"/>
                <w:sz w:val="20"/>
              </w:rPr>
            </w:pPr>
          </w:p>
        </w:tc>
        <w:tc>
          <w:tcPr>
            <w:tcW w:w="378" w:type="dxa"/>
            <w:vMerge/>
            <w:tcBorders>
              <w:bottom w:val="single" w:sz="4" w:space="0" w:color="auto"/>
              <w:right w:val="single" w:sz="18" w:space="0" w:color="auto"/>
            </w:tcBorders>
          </w:tcPr>
          <w:p w:rsidR="00B27742" w:rsidRPr="00A75DF9" w:rsidRDefault="00B27742">
            <w:pPr>
              <w:rPr>
                <w:rFonts w:cs="Tahoma"/>
                <w:sz w:val="20"/>
              </w:rPr>
            </w:pPr>
          </w:p>
        </w:tc>
        <w:tc>
          <w:tcPr>
            <w:tcW w:w="396" w:type="dxa"/>
            <w:gridSpan w:val="2"/>
            <w:vMerge/>
            <w:tcBorders>
              <w:left w:val="single" w:sz="18" w:space="0" w:color="auto"/>
              <w:bottom w:val="single" w:sz="4" w:space="0" w:color="auto"/>
            </w:tcBorders>
            <w:vAlign w:val="center"/>
          </w:tcPr>
          <w:p w:rsidR="00B27742" w:rsidRPr="00A75DF9" w:rsidRDefault="00B27742">
            <w:pPr>
              <w:jc w:val="center"/>
              <w:rPr>
                <w:rFonts w:cs="Tahoma"/>
                <w:sz w:val="20"/>
              </w:rPr>
            </w:pPr>
          </w:p>
        </w:tc>
        <w:tc>
          <w:tcPr>
            <w:tcW w:w="362" w:type="dxa"/>
            <w:tcBorders>
              <w:bottom w:val="single" w:sz="4" w:space="0" w:color="auto"/>
            </w:tcBorders>
            <w:vAlign w:val="center"/>
          </w:tcPr>
          <w:p w:rsidR="00B27742" w:rsidRPr="00A75DF9" w:rsidRDefault="00B27742">
            <w:pPr>
              <w:pStyle w:val="TableHeadingsGreen"/>
              <w:rPr>
                <w:rFonts w:ascii="Tahoma" w:hAnsi="Tahoma" w:cs="Tahoma"/>
                <w:sz w:val="9"/>
              </w:rPr>
            </w:pPr>
            <w:r w:rsidRPr="00A75DF9">
              <w:rPr>
                <w:rFonts w:ascii="Tahoma" w:hAnsi="Tahoma" w:cs="Tahoma"/>
                <w:sz w:val="9"/>
              </w:rPr>
              <w:t>3An</w:t>
            </w:r>
          </w:p>
        </w:tc>
        <w:tc>
          <w:tcPr>
            <w:tcW w:w="450" w:type="dxa"/>
            <w:tcBorders>
              <w:bottom w:val="single" w:sz="4" w:space="0" w:color="auto"/>
            </w:tcBorders>
            <w:vAlign w:val="center"/>
          </w:tcPr>
          <w:p w:rsidR="00B27742" w:rsidRPr="00A75DF9" w:rsidRDefault="00B27742">
            <w:pPr>
              <w:pStyle w:val="TableHeadingsGreen"/>
              <w:rPr>
                <w:rFonts w:ascii="Tahoma" w:hAnsi="Tahoma" w:cs="Tahoma"/>
                <w:sz w:val="9"/>
              </w:rPr>
            </w:pPr>
            <w:r w:rsidRPr="00A75DF9">
              <w:rPr>
                <w:rFonts w:ascii="Tahoma" w:hAnsi="Tahoma" w:cs="Tahoma"/>
                <w:sz w:val="9"/>
              </w:rPr>
              <w:t>2An</w:t>
            </w:r>
          </w:p>
        </w:tc>
        <w:tc>
          <w:tcPr>
            <w:tcW w:w="450" w:type="dxa"/>
            <w:tcBorders>
              <w:bottom w:val="single" w:sz="4" w:space="0" w:color="auto"/>
            </w:tcBorders>
            <w:vAlign w:val="center"/>
          </w:tcPr>
          <w:p w:rsidR="00B27742" w:rsidRPr="00A75DF9" w:rsidRDefault="00B27742">
            <w:pPr>
              <w:pStyle w:val="TableHeadingsGreen"/>
              <w:rPr>
                <w:rFonts w:ascii="Tahoma" w:hAnsi="Tahoma" w:cs="Tahoma"/>
                <w:sz w:val="9"/>
              </w:rPr>
            </w:pPr>
            <w:r w:rsidRPr="00A75DF9">
              <w:rPr>
                <w:rFonts w:ascii="Tahoma" w:hAnsi="Tahoma" w:cs="Tahoma"/>
                <w:sz w:val="9"/>
              </w:rPr>
              <w:t>1An</w:t>
            </w:r>
          </w:p>
        </w:tc>
        <w:tc>
          <w:tcPr>
            <w:tcW w:w="450" w:type="dxa"/>
            <w:tcBorders>
              <w:bottom w:val="single" w:sz="4" w:space="0" w:color="auto"/>
            </w:tcBorders>
            <w:vAlign w:val="center"/>
          </w:tcPr>
          <w:p w:rsidR="00B27742" w:rsidRPr="00A75DF9" w:rsidRDefault="00B27742">
            <w:pPr>
              <w:pStyle w:val="TableHeadingsBlue"/>
              <w:rPr>
                <w:rFonts w:ascii="Tahoma" w:hAnsi="Tahoma" w:cs="Tahoma"/>
                <w:sz w:val="9"/>
              </w:rPr>
            </w:pPr>
            <w:r w:rsidRPr="00A75DF9">
              <w:rPr>
                <w:rFonts w:ascii="Tahoma" w:hAnsi="Tahoma" w:cs="Tahoma"/>
                <w:sz w:val="9"/>
              </w:rPr>
              <w:t>3An</w:t>
            </w:r>
          </w:p>
        </w:tc>
        <w:tc>
          <w:tcPr>
            <w:tcW w:w="450" w:type="dxa"/>
            <w:tcBorders>
              <w:bottom w:val="single" w:sz="4" w:space="0" w:color="auto"/>
            </w:tcBorders>
            <w:vAlign w:val="center"/>
          </w:tcPr>
          <w:p w:rsidR="00B27742" w:rsidRPr="00A75DF9" w:rsidRDefault="00B27742">
            <w:pPr>
              <w:pStyle w:val="TableHeadingsBlue"/>
              <w:rPr>
                <w:rFonts w:ascii="Tahoma" w:hAnsi="Tahoma" w:cs="Tahoma"/>
                <w:sz w:val="9"/>
              </w:rPr>
            </w:pPr>
            <w:r w:rsidRPr="00A75DF9">
              <w:rPr>
                <w:rFonts w:ascii="Tahoma" w:hAnsi="Tahoma" w:cs="Tahoma"/>
                <w:sz w:val="9"/>
              </w:rPr>
              <w:t>2An</w:t>
            </w:r>
          </w:p>
        </w:tc>
        <w:tc>
          <w:tcPr>
            <w:tcW w:w="394" w:type="dxa"/>
            <w:tcBorders>
              <w:bottom w:val="single" w:sz="4" w:space="0" w:color="auto"/>
              <w:right w:val="single" w:sz="18" w:space="0" w:color="auto"/>
            </w:tcBorders>
            <w:vAlign w:val="center"/>
          </w:tcPr>
          <w:p w:rsidR="00B27742" w:rsidRPr="00A75DF9" w:rsidRDefault="00B27742">
            <w:pPr>
              <w:pStyle w:val="TableHeadingsBlue"/>
              <w:rPr>
                <w:rFonts w:ascii="Tahoma" w:hAnsi="Tahoma" w:cs="Tahoma"/>
                <w:sz w:val="9"/>
              </w:rPr>
            </w:pPr>
            <w:r w:rsidRPr="00A75DF9">
              <w:rPr>
                <w:rFonts w:ascii="Tahoma" w:hAnsi="Tahoma" w:cs="Tahoma"/>
                <w:sz w:val="9"/>
              </w:rPr>
              <w:t>1An</w:t>
            </w:r>
          </w:p>
        </w:tc>
        <w:tc>
          <w:tcPr>
            <w:tcW w:w="450" w:type="dxa"/>
            <w:vMerge/>
            <w:tcBorders>
              <w:left w:val="single" w:sz="18" w:space="0" w:color="auto"/>
              <w:bottom w:val="single" w:sz="4" w:space="0" w:color="auto"/>
            </w:tcBorders>
            <w:vAlign w:val="center"/>
          </w:tcPr>
          <w:p w:rsidR="00B27742" w:rsidRPr="00A75DF9" w:rsidRDefault="00B27742">
            <w:pPr>
              <w:jc w:val="center"/>
              <w:rPr>
                <w:rFonts w:cs="Tahoma"/>
                <w:sz w:val="20"/>
              </w:rPr>
            </w:pPr>
          </w:p>
        </w:tc>
        <w:tc>
          <w:tcPr>
            <w:tcW w:w="450" w:type="dxa"/>
            <w:tcBorders>
              <w:bottom w:val="single" w:sz="4" w:space="0" w:color="auto"/>
            </w:tcBorders>
            <w:vAlign w:val="center"/>
          </w:tcPr>
          <w:p w:rsidR="00B27742" w:rsidRPr="00A75DF9" w:rsidRDefault="00B27742">
            <w:pPr>
              <w:pStyle w:val="TableHeadingsGreen"/>
              <w:rPr>
                <w:rFonts w:ascii="Tahoma" w:hAnsi="Tahoma" w:cs="Tahoma"/>
                <w:sz w:val="9"/>
              </w:rPr>
            </w:pPr>
            <w:r w:rsidRPr="00A75DF9">
              <w:rPr>
                <w:rFonts w:ascii="Tahoma" w:hAnsi="Tahoma" w:cs="Tahoma"/>
                <w:sz w:val="9"/>
              </w:rPr>
              <w:t>P</w:t>
            </w:r>
          </w:p>
        </w:tc>
        <w:tc>
          <w:tcPr>
            <w:tcW w:w="450" w:type="dxa"/>
            <w:vMerge/>
            <w:tcBorders>
              <w:bottom w:val="single" w:sz="4" w:space="0" w:color="auto"/>
              <w:right w:val="single" w:sz="18" w:space="0" w:color="auto"/>
            </w:tcBorders>
            <w:vAlign w:val="center"/>
          </w:tcPr>
          <w:p w:rsidR="00B27742" w:rsidRPr="00A75DF9" w:rsidRDefault="00B27742">
            <w:pPr>
              <w:jc w:val="center"/>
              <w:rPr>
                <w:rFonts w:cs="Tahoma"/>
                <w:sz w:val="20"/>
              </w:rPr>
            </w:pPr>
          </w:p>
        </w:tc>
        <w:tc>
          <w:tcPr>
            <w:tcW w:w="450" w:type="dxa"/>
            <w:vMerge/>
            <w:tcBorders>
              <w:left w:val="single" w:sz="18" w:space="0" w:color="auto"/>
              <w:bottom w:val="single" w:sz="4" w:space="0" w:color="auto"/>
            </w:tcBorders>
          </w:tcPr>
          <w:p w:rsidR="00B27742" w:rsidRPr="00A75DF9" w:rsidRDefault="00B27742">
            <w:pPr>
              <w:rPr>
                <w:rFonts w:cs="Tahoma"/>
                <w:sz w:val="20"/>
              </w:rPr>
            </w:pPr>
          </w:p>
        </w:tc>
        <w:tc>
          <w:tcPr>
            <w:tcW w:w="450" w:type="dxa"/>
            <w:vMerge/>
            <w:tcBorders>
              <w:bottom w:val="single" w:sz="4" w:space="0" w:color="auto"/>
              <w:right w:val="single" w:sz="18" w:space="0" w:color="auto"/>
            </w:tcBorders>
          </w:tcPr>
          <w:p w:rsidR="00B27742" w:rsidRPr="00A75DF9" w:rsidRDefault="00B27742">
            <w:pPr>
              <w:rPr>
                <w:rFonts w:cs="Tahoma"/>
                <w:sz w:val="20"/>
              </w:rPr>
            </w:pPr>
          </w:p>
        </w:tc>
        <w:tc>
          <w:tcPr>
            <w:tcW w:w="450" w:type="dxa"/>
            <w:vMerge/>
            <w:tcBorders>
              <w:left w:val="single" w:sz="18" w:space="0" w:color="auto"/>
              <w:bottom w:val="single" w:sz="4" w:space="0" w:color="auto"/>
              <w:right w:val="single" w:sz="18" w:space="0" w:color="auto"/>
            </w:tcBorders>
          </w:tcPr>
          <w:p w:rsidR="00B27742" w:rsidRPr="00A75DF9" w:rsidRDefault="00B27742">
            <w:pPr>
              <w:rPr>
                <w:rFonts w:cs="Tahoma"/>
                <w:sz w:val="20"/>
              </w:rPr>
            </w:pPr>
          </w:p>
        </w:tc>
        <w:tc>
          <w:tcPr>
            <w:tcW w:w="450" w:type="dxa"/>
            <w:vMerge/>
            <w:tcBorders>
              <w:bottom w:val="single" w:sz="4" w:space="0" w:color="auto"/>
            </w:tcBorders>
          </w:tcPr>
          <w:p w:rsidR="00B27742" w:rsidRPr="00A75DF9" w:rsidRDefault="00B27742">
            <w:pPr>
              <w:rPr>
                <w:rFonts w:cs="Tahoma"/>
                <w:sz w:val="20"/>
              </w:rPr>
            </w:pPr>
          </w:p>
        </w:tc>
        <w:tc>
          <w:tcPr>
            <w:tcW w:w="540" w:type="dxa"/>
            <w:vMerge/>
            <w:tcBorders>
              <w:bottom w:val="single" w:sz="4" w:space="0" w:color="auto"/>
            </w:tcBorders>
          </w:tcPr>
          <w:p w:rsidR="00B27742" w:rsidRPr="00A75DF9" w:rsidRDefault="00B27742">
            <w:pPr>
              <w:rPr>
                <w:rFonts w:cs="Tahoma"/>
                <w:sz w:val="20"/>
              </w:rPr>
            </w:pPr>
          </w:p>
        </w:tc>
      </w:tr>
      <w:tr w:rsidR="001A63C6" w:rsidRPr="00A75DF9" w:rsidTr="00337A7D">
        <w:trPr>
          <w:trHeight w:val="145"/>
        </w:trPr>
        <w:tc>
          <w:tcPr>
            <w:tcW w:w="2610" w:type="dxa"/>
            <w:tcBorders>
              <w:bottom w:val="single" w:sz="4" w:space="0" w:color="auto"/>
            </w:tcBorders>
            <w:shd w:val="clear" w:color="auto" w:fill="FABF8F"/>
          </w:tcPr>
          <w:p w:rsidR="001A63C6" w:rsidRPr="00A75DF9" w:rsidRDefault="001A63C6" w:rsidP="00F70479">
            <w:pPr>
              <w:pStyle w:val="ProductNames"/>
              <w:rPr>
                <w:rFonts w:ascii="Tahoma" w:hAnsi="Tahoma" w:cs="Tahoma"/>
                <w:sz w:val="14"/>
              </w:rPr>
            </w:pPr>
            <w:bookmarkStart w:id="123" w:name="_Toc368309907"/>
            <w:r w:rsidRPr="00A75DF9">
              <w:rPr>
                <w:rFonts w:ascii="Tahoma" w:hAnsi="Tahoma" w:cs="Tahoma"/>
                <w:sz w:val="14"/>
              </w:rPr>
              <w:t>Microsoft Desktop Optimization Pack per Software Assurance</w:t>
            </w:r>
            <w:bookmarkEnd w:id="123"/>
          </w:p>
        </w:tc>
        <w:tc>
          <w:tcPr>
            <w:tcW w:w="450" w:type="dxa"/>
            <w:tcBorders>
              <w:bottom w:val="single" w:sz="4" w:space="0" w:color="auto"/>
            </w:tcBorders>
            <w:shd w:val="clear" w:color="auto" w:fill="FABF8F"/>
            <w:vAlign w:val="center"/>
          </w:tcPr>
          <w:p w:rsidR="001A63C6" w:rsidRPr="00337A7D" w:rsidRDefault="00B54770" w:rsidP="009D43FB">
            <w:pPr>
              <w:pStyle w:val="TableText"/>
              <w:widowControl w:val="0"/>
              <w:rPr>
                <w:rFonts w:cs="Tahoma"/>
                <w:b/>
                <w:color w:val="0000FF"/>
                <w:sz w:val="13"/>
                <w:szCs w:val="13"/>
                <w:u w:val="single"/>
              </w:rPr>
            </w:pPr>
            <w:hyperlink w:anchor="_24_Microsoft_Desktop" w:history="1">
              <w:r w:rsidR="00734B17" w:rsidRPr="00337A7D">
                <w:rPr>
                  <w:rStyle w:val="Hyperlink"/>
                  <w:rFonts w:cs="Tahoma"/>
                  <w:b/>
                  <w:sz w:val="13"/>
                  <w:szCs w:val="13"/>
                </w:rPr>
                <w:t>25</w:t>
              </w:r>
            </w:hyperlink>
          </w:p>
        </w:tc>
        <w:tc>
          <w:tcPr>
            <w:tcW w:w="450" w:type="dxa"/>
            <w:tcBorders>
              <w:bottom w:val="single" w:sz="4" w:space="0" w:color="auto"/>
            </w:tcBorders>
            <w:shd w:val="clear" w:color="auto" w:fill="FABF8F"/>
            <w:vAlign w:val="center"/>
          </w:tcPr>
          <w:p w:rsidR="001A63C6" w:rsidRPr="00A75DF9" w:rsidRDefault="004D199A" w:rsidP="004D199A">
            <w:pPr>
              <w:pStyle w:val="TableText"/>
              <w:rPr>
                <w:rFonts w:ascii="Tahoma" w:hAnsi="Tahoma" w:cs="Tahoma"/>
                <w:sz w:val="13"/>
              </w:rPr>
            </w:pPr>
            <w:r w:rsidRPr="00A75DF9">
              <w:rPr>
                <w:rFonts w:ascii="Tahoma" w:hAnsi="Tahoma" w:cs="Tahoma"/>
                <w:sz w:val="13"/>
              </w:rPr>
              <w:t>11/12</w:t>
            </w:r>
          </w:p>
        </w:tc>
        <w:tc>
          <w:tcPr>
            <w:tcW w:w="378" w:type="dxa"/>
            <w:tcBorders>
              <w:bottom w:val="single" w:sz="4" w:space="0" w:color="auto"/>
              <w:right w:val="single" w:sz="18" w:space="0" w:color="auto"/>
            </w:tcBorders>
            <w:shd w:val="clear" w:color="auto" w:fill="FABF8F"/>
            <w:vAlign w:val="center"/>
          </w:tcPr>
          <w:p w:rsidR="001A63C6" w:rsidRPr="00A75DF9" w:rsidRDefault="001A63C6">
            <w:pPr>
              <w:pStyle w:val="TableText"/>
              <w:rPr>
                <w:rFonts w:ascii="Tahoma" w:hAnsi="Tahoma" w:cs="Tahoma"/>
                <w:sz w:val="13"/>
              </w:rPr>
            </w:pPr>
          </w:p>
        </w:tc>
        <w:tc>
          <w:tcPr>
            <w:tcW w:w="2952" w:type="dxa"/>
            <w:gridSpan w:val="8"/>
            <w:tcBorders>
              <w:left w:val="single" w:sz="18" w:space="0" w:color="auto"/>
              <w:bottom w:val="single" w:sz="4" w:space="0" w:color="auto"/>
              <w:right w:val="single" w:sz="18" w:space="0" w:color="auto"/>
            </w:tcBorders>
            <w:shd w:val="clear" w:color="auto" w:fill="FABF8F"/>
            <w:vAlign w:val="center"/>
          </w:tcPr>
          <w:p w:rsidR="001A63C6" w:rsidRPr="00A75DF9" w:rsidRDefault="009A015E">
            <w:pPr>
              <w:pStyle w:val="TableText"/>
              <w:rPr>
                <w:rFonts w:ascii="Tahoma" w:hAnsi="Tahoma" w:cs="Tahoma"/>
                <w:sz w:val="13"/>
              </w:rPr>
            </w:pPr>
            <w:r w:rsidRPr="00A75DF9">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A75DF9" w:rsidRDefault="001A63C6">
            <w:pPr>
              <w:pStyle w:val="TableText"/>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75DF9" w:rsidRDefault="001A63C6">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75DF9" w:rsidRDefault="004D199A" w:rsidP="004479EA">
            <w:pPr>
              <w:pStyle w:val="TableText"/>
              <w:rPr>
                <w:rFonts w:ascii="Tahoma" w:hAnsi="Tahoma" w:cs="Tahoma"/>
                <w:sz w:val="13"/>
              </w:rPr>
            </w:pPr>
            <w:r w:rsidRPr="00A75DF9">
              <w:rPr>
                <w:rFonts w:ascii="Tahoma" w:hAnsi="Tahoma" w:cs="Tahoma"/>
                <w:sz w:val="13"/>
              </w:rPr>
              <w:t>1,E</w:t>
            </w:r>
          </w:p>
        </w:tc>
        <w:tc>
          <w:tcPr>
            <w:tcW w:w="450" w:type="dxa"/>
            <w:tcBorders>
              <w:bottom w:val="single" w:sz="4" w:space="0" w:color="auto"/>
              <w:right w:val="single" w:sz="18" w:space="0" w:color="auto"/>
            </w:tcBorders>
            <w:shd w:val="clear" w:color="auto" w:fill="FABF8F"/>
            <w:vAlign w:val="center"/>
          </w:tcPr>
          <w:p w:rsidR="001A63C6" w:rsidRPr="00A75DF9" w:rsidRDefault="004D199A" w:rsidP="008925CF">
            <w:pPr>
              <w:pStyle w:val="TableText"/>
              <w:rPr>
                <w:rFonts w:ascii="Tahoma" w:hAnsi="Tahoma" w:cs="Tahoma"/>
                <w:sz w:val="13"/>
              </w:rPr>
            </w:pPr>
            <w:r w:rsidRPr="00A75DF9">
              <w:rPr>
                <w:rFonts w:ascii="Tahoma" w:hAnsi="Tahoma" w:cs="Tahoma"/>
                <w:sz w:val="13"/>
              </w:rPr>
              <w:t>E,A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75DF9" w:rsidRDefault="004D199A">
            <w:pPr>
              <w:pStyle w:val="TableText"/>
              <w:rPr>
                <w:rFonts w:ascii="Tahoma" w:hAnsi="Tahoma" w:cs="Tahoma"/>
                <w:sz w:val="13"/>
              </w:rPr>
            </w:pPr>
            <w:r w:rsidRPr="00A75DF9">
              <w:rPr>
                <w:rFonts w:ascii="Tahoma" w:hAnsi="Tahoma" w:cs="Tahoma"/>
                <w:sz w:val="13"/>
              </w:rPr>
              <w:t>P</w:t>
            </w:r>
          </w:p>
        </w:tc>
        <w:tc>
          <w:tcPr>
            <w:tcW w:w="450" w:type="dxa"/>
            <w:tcBorders>
              <w:bottom w:val="single" w:sz="4" w:space="0" w:color="auto"/>
            </w:tcBorders>
            <w:shd w:val="clear" w:color="auto" w:fill="FABF8F"/>
            <w:vAlign w:val="center"/>
          </w:tcPr>
          <w:p w:rsidR="001A63C6" w:rsidRPr="00A75DF9" w:rsidRDefault="009A015E" w:rsidP="009A015E">
            <w:pPr>
              <w:pStyle w:val="TableText"/>
              <w:rPr>
                <w:rFonts w:ascii="Tahoma" w:hAnsi="Tahoma" w:cs="Tahoma"/>
                <w:sz w:val="13"/>
              </w:rPr>
            </w:pPr>
            <w:r w:rsidRPr="00A75DF9">
              <w:rPr>
                <w:rFonts w:ascii="Tahoma" w:hAnsi="Tahoma" w:cs="Tahoma"/>
                <w:sz w:val="13"/>
              </w:rPr>
              <w:t>A, ST</w:t>
            </w:r>
          </w:p>
        </w:tc>
        <w:tc>
          <w:tcPr>
            <w:tcW w:w="540" w:type="dxa"/>
            <w:tcBorders>
              <w:bottom w:val="single" w:sz="4" w:space="0" w:color="auto"/>
            </w:tcBorders>
            <w:shd w:val="clear" w:color="auto" w:fill="FABF8F"/>
            <w:vAlign w:val="center"/>
          </w:tcPr>
          <w:p w:rsidR="001A63C6" w:rsidRPr="00A75DF9" w:rsidRDefault="001A63C6">
            <w:pPr>
              <w:pStyle w:val="TableText"/>
              <w:rPr>
                <w:rFonts w:ascii="Tahoma" w:hAnsi="Tahoma" w:cs="Tahoma"/>
                <w:sz w:val="13"/>
              </w:rPr>
            </w:pPr>
          </w:p>
        </w:tc>
      </w:tr>
      <w:tr w:rsidR="002854D4" w:rsidRPr="00A75DF9" w:rsidTr="00337A7D">
        <w:trPr>
          <w:trHeight w:val="145"/>
        </w:trPr>
        <w:tc>
          <w:tcPr>
            <w:tcW w:w="2610" w:type="dxa"/>
            <w:tcBorders>
              <w:bottom w:val="single" w:sz="4" w:space="0" w:color="auto"/>
            </w:tcBorders>
            <w:shd w:val="clear" w:color="auto" w:fill="auto"/>
          </w:tcPr>
          <w:p w:rsidR="002854D4" w:rsidRPr="00A75DF9" w:rsidRDefault="002854D4" w:rsidP="00F70479">
            <w:pPr>
              <w:pStyle w:val="ProductNames"/>
              <w:rPr>
                <w:rFonts w:ascii="Tahoma" w:hAnsi="Tahoma" w:cs="Tahoma"/>
                <w:sz w:val="14"/>
              </w:rPr>
            </w:pPr>
            <w:bookmarkStart w:id="124" w:name="_Toc336337897"/>
            <w:bookmarkStart w:id="125" w:name="_Toc368309908"/>
            <w:r w:rsidRPr="00A75DF9">
              <w:rPr>
                <w:rFonts w:ascii="Tahoma" w:hAnsi="Tahoma" w:cs="Tahoma"/>
                <w:sz w:val="14"/>
              </w:rPr>
              <w:t>Licenza “Subscription” per Windows Companion</w:t>
            </w:r>
            <w:bookmarkEnd w:id="124"/>
            <w:bookmarkEnd w:id="125"/>
          </w:p>
        </w:tc>
        <w:tc>
          <w:tcPr>
            <w:tcW w:w="450" w:type="dxa"/>
            <w:tcBorders>
              <w:bottom w:val="single" w:sz="4" w:space="0" w:color="auto"/>
            </w:tcBorders>
            <w:shd w:val="clear" w:color="auto" w:fill="auto"/>
            <w:vAlign w:val="center"/>
          </w:tcPr>
          <w:p w:rsidR="002854D4" w:rsidRPr="00337A7D" w:rsidRDefault="00B54770" w:rsidP="006D5161">
            <w:pPr>
              <w:pStyle w:val="TableText"/>
              <w:widowControl w:val="0"/>
              <w:rPr>
                <w:rFonts w:cs="Tahoma"/>
                <w:b/>
                <w:color w:val="0000FF"/>
                <w:sz w:val="13"/>
                <w:szCs w:val="13"/>
                <w:u w:val="single"/>
              </w:rPr>
            </w:pPr>
            <w:hyperlink w:anchor="_25_Windows®_Companion" w:history="1">
              <w:r w:rsidR="00734B17" w:rsidRPr="00337A7D">
                <w:rPr>
                  <w:rStyle w:val="Hyperlink"/>
                  <w:rFonts w:cs="Tahoma"/>
                  <w:b/>
                  <w:sz w:val="13"/>
                  <w:szCs w:val="13"/>
                </w:rPr>
                <w:t>29</w:t>
              </w:r>
            </w:hyperlink>
            <w:hyperlink w:anchor="_25_Windows®_Companion" w:history="1"/>
          </w:p>
        </w:tc>
        <w:tc>
          <w:tcPr>
            <w:tcW w:w="450" w:type="dxa"/>
            <w:tcBorders>
              <w:bottom w:val="single" w:sz="4" w:space="0" w:color="auto"/>
            </w:tcBorders>
            <w:shd w:val="clear" w:color="auto" w:fill="auto"/>
            <w:vAlign w:val="center"/>
          </w:tcPr>
          <w:p w:rsidR="002854D4" w:rsidRPr="00A75DF9" w:rsidRDefault="002854D4" w:rsidP="004D199A">
            <w:pPr>
              <w:pStyle w:val="TableText"/>
              <w:rPr>
                <w:rFonts w:ascii="Tahoma" w:hAnsi="Tahoma" w:cs="Tahoma"/>
                <w:sz w:val="13"/>
              </w:rPr>
            </w:pPr>
            <w:r w:rsidRPr="00A75DF9">
              <w:rPr>
                <w:rFonts w:ascii="Tahoma" w:hAnsi="Tahoma" w:cs="Tahoma"/>
                <w:sz w:val="13"/>
              </w:rPr>
              <w:t>10/12</w:t>
            </w:r>
          </w:p>
        </w:tc>
        <w:tc>
          <w:tcPr>
            <w:tcW w:w="378" w:type="dxa"/>
            <w:tcBorders>
              <w:bottom w:val="single" w:sz="4" w:space="0" w:color="auto"/>
              <w:right w:val="single" w:sz="18" w:space="0" w:color="auto"/>
            </w:tcBorders>
            <w:shd w:val="clear" w:color="auto" w:fill="auto"/>
            <w:vAlign w:val="center"/>
          </w:tcPr>
          <w:p w:rsidR="002854D4" w:rsidRPr="00A75DF9" w:rsidRDefault="002854D4">
            <w:pPr>
              <w:pStyle w:val="TableText"/>
              <w:rPr>
                <w:rFonts w:ascii="Tahoma" w:hAnsi="Tahoma" w:cs="Tahoma"/>
                <w:sz w:val="13"/>
              </w:rPr>
            </w:pPr>
          </w:p>
        </w:tc>
        <w:tc>
          <w:tcPr>
            <w:tcW w:w="2952" w:type="dxa"/>
            <w:gridSpan w:val="8"/>
            <w:tcBorders>
              <w:left w:val="single" w:sz="18" w:space="0" w:color="auto"/>
              <w:bottom w:val="single" w:sz="4" w:space="0" w:color="auto"/>
              <w:right w:val="single" w:sz="18" w:space="0" w:color="auto"/>
            </w:tcBorders>
            <w:shd w:val="clear" w:color="auto" w:fill="auto"/>
            <w:vAlign w:val="center"/>
          </w:tcPr>
          <w:p w:rsidR="002854D4" w:rsidRPr="00A75DF9" w:rsidRDefault="002854D4">
            <w:pPr>
              <w:pStyle w:val="TableText"/>
              <w:rPr>
                <w:rFonts w:ascii="Tahoma" w:hAnsi="Tahoma" w:cs="Tahoma"/>
                <w:sz w:val="13"/>
              </w:rPr>
            </w:pPr>
            <w:r w:rsidRPr="00A75DF9">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rsidR="002854D4" w:rsidRPr="00A75DF9" w:rsidRDefault="002854D4">
            <w:pPr>
              <w:pStyle w:val="TableText"/>
              <w:rPr>
                <w:rFonts w:ascii="Tahoma" w:hAnsi="Tahoma" w:cs="Tahoma"/>
                <w:sz w:val="13"/>
              </w:rPr>
            </w:pPr>
          </w:p>
        </w:tc>
        <w:tc>
          <w:tcPr>
            <w:tcW w:w="450" w:type="dxa"/>
            <w:tcBorders>
              <w:bottom w:val="single" w:sz="4" w:space="0" w:color="auto"/>
            </w:tcBorders>
            <w:shd w:val="clear" w:color="auto" w:fill="auto"/>
            <w:vAlign w:val="center"/>
          </w:tcPr>
          <w:p w:rsidR="002854D4" w:rsidRPr="00A75DF9" w:rsidRDefault="002854D4">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2854D4" w:rsidRPr="00A75DF9" w:rsidRDefault="002854D4">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2854D4" w:rsidRPr="00A75DF9" w:rsidRDefault="002854D4" w:rsidP="004479EA">
            <w:pPr>
              <w:pStyle w:val="TableText"/>
              <w:rPr>
                <w:rFonts w:ascii="Tahoma" w:hAnsi="Tahoma" w:cs="Tahoma"/>
                <w:sz w:val="13"/>
              </w:rPr>
            </w:pPr>
            <w:r w:rsidRPr="00A75DF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2854D4" w:rsidRPr="00A75DF9" w:rsidRDefault="002854D4" w:rsidP="008925CF">
            <w:pPr>
              <w:pStyle w:val="TableText"/>
              <w:rPr>
                <w:rFonts w:ascii="Tahoma" w:hAnsi="Tahoma" w:cs="Tahoma"/>
                <w:sz w:val="13"/>
              </w:rPr>
            </w:pPr>
            <w:r w:rsidRPr="00A75DF9">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2854D4" w:rsidRPr="00A75DF9" w:rsidRDefault="002854D4">
            <w:pPr>
              <w:pStyle w:val="TableText"/>
              <w:rPr>
                <w:rFonts w:ascii="Tahoma" w:hAnsi="Tahoma" w:cs="Tahoma"/>
                <w:sz w:val="13"/>
              </w:rPr>
            </w:pPr>
          </w:p>
        </w:tc>
        <w:tc>
          <w:tcPr>
            <w:tcW w:w="450" w:type="dxa"/>
            <w:tcBorders>
              <w:bottom w:val="single" w:sz="4" w:space="0" w:color="auto"/>
            </w:tcBorders>
            <w:shd w:val="clear" w:color="auto" w:fill="auto"/>
          </w:tcPr>
          <w:p w:rsidR="002854D4" w:rsidRPr="00A75DF9" w:rsidRDefault="002854D4">
            <w:pPr>
              <w:pStyle w:val="TableText"/>
              <w:rPr>
                <w:rFonts w:ascii="Tahoma" w:hAnsi="Tahoma" w:cs="Tahoma"/>
                <w:sz w:val="13"/>
              </w:rPr>
            </w:pPr>
            <w:r w:rsidRPr="00A75DF9">
              <w:rPr>
                <w:rFonts w:ascii="Tahoma" w:hAnsi="Tahoma" w:cs="Tahoma"/>
                <w:sz w:val="13"/>
              </w:rPr>
              <w:t>A (Solo EES)</w:t>
            </w:r>
          </w:p>
        </w:tc>
        <w:tc>
          <w:tcPr>
            <w:tcW w:w="540" w:type="dxa"/>
            <w:tcBorders>
              <w:bottom w:val="single" w:sz="4" w:space="0" w:color="auto"/>
            </w:tcBorders>
            <w:shd w:val="clear" w:color="auto" w:fill="auto"/>
            <w:vAlign w:val="center"/>
          </w:tcPr>
          <w:p w:rsidR="002854D4" w:rsidRPr="00A75DF9" w:rsidRDefault="002854D4">
            <w:pPr>
              <w:pStyle w:val="TableText"/>
              <w:rPr>
                <w:rFonts w:ascii="Tahoma" w:hAnsi="Tahoma" w:cs="Tahoma"/>
                <w:sz w:val="13"/>
              </w:rPr>
            </w:pPr>
          </w:p>
        </w:tc>
      </w:tr>
      <w:tr w:rsidR="00365DF7" w:rsidRPr="00A75DF9" w:rsidTr="00337A7D">
        <w:trPr>
          <w:trHeight w:val="145"/>
        </w:trPr>
        <w:tc>
          <w:tcPr>
            <w:tcW w:w="2610" w:type="dxa"/>
            <w:tcBorders>
              <w:bottom w:val="single" w:sz="4" w:space="0" w:color="auto"/>
            </w:tcBorders>
            <w:shd w:val="clear" w:color="auto" w:fill="FABF8F"/>
          </w:tcPr>
          <w:p w:rsidR="00365DF7" w:rsidRPr="00A75DF9" w:rsidRDefault="00365DF7" w:rsidP="00F70479">
            <w:pPr>
              <w:pStyle w:val="ProductNames"/>
              <w:rPr>
                <w:rFonts w:ascii="Tahoma" w:hAnsi="Tahoma" w:cs="Tahoma"/>
                <w:sz w:val="14"/>
              </w:rPr>
            </w:pPr>
            <w:bookmarkStart w:id="126" w:name="_Toc368309909"/>
            <w:r w:rsidRPr="00A75DF9">
              <w:rPr>
                <w:rFonts w:ascii="Tahoma" w:hAnsi="Tahoma" w:cs="Tahoma"/>
                <w:sz w:val="14"/>
              </w:rPr>
              <w:t>Windows</w:t>
            </w:r>
            <w:r w:rsidR="009D5D7B" w:rsidRPr="00A75DF9">
              <w:rPr>
                <w:rFonts w:ascii="Tahoma" w:hAnsi="Tahoma" w:cs="Tahoma"/>
                <w:sz w:val="14"/>
                <w:vertAlign w:val="superscript"/>
              </w:rPr>
              <w:t>®</w:t>
            </w:r>
            <w:r w:rsidRPr="00A75DF9">
              <w:rPr>
                <w:rFonts w:ascii="Tahoma" w:hAnsi="Tahoma" w:cs="Tahoma"/>
                <w:sz w:val="14"/>
              </w:rPr>
              <w:t xml:space="preserve"> Embedded 8 Industry Pro</w:t>
            </w:r>
            <w:bookmarkEnd w:id="126"/>
          </w:p>
        </w:tc>
        <w:tc>
          <w:tcPr>
            <w:tcW w:w="450" w:type="dxa"/>
            <w:tcBorders>
              <w:bottom w:val="single" w:sz="4" w:space="0" w:color="auto"/>
            </w:tcBorders>
            <w:shd w:val="clear" w:color="auto" w:fill="FABF8F"/>
            <w:vAlign w:val="center"/>
          </w:tcPr>
          <w:p w:rsidR="00365DF7" w:rsidRPr="00337A7D" w:rsidRDefault="00B54770" w:rsidP="003D5C46">
            <w:pPr>
              <w:pStyle w:val="TableText"/>
              <w:widowControl w:val="0"/>
              <w:rPr>
                <w:rFonts w:cs="Tahoma"/>
                <w:b/>
                <w:sz w:val="13"/>
                <w:szCs w:val="13"/>
              </w:rPr>
            </w:pPr>
            <w:hyperlink w:anchor="_27_Windows®_Embedded" w:history="1">
              <w:r w:rsidR="00734B17" w:rsidRPr="00337A7D">
                <w:rPr>
                  <w:rStyle w:val="Hyperlink"/>
                  <w:rFonts w:cs="Tahoma"/>
                  <w:b/>
                  <w:sz w:val="13"/>
                  <w:szCs w:val="13"/>
                </w:rPr>
                <w:t>28</w:t>
              </w:r>
            </w:hyperlink>
          </w:p>
        </w:tc>
        <w:tc>
          <w:tcPr>
            <w:tcW w:w="450" w:type="dxa"/>
            <w:tcBorders>
              <w:bottom w:val="single" w:sz="4" w:space="0" w:color="auto"/>
            </w:tcBorders>
            <w:shd w:val="clear" w:color="auto" w:fill="FABF8F"/>
            <w:vAlign w:val="center"/>
          </w:tcPr>
          <w:p w:rsidR="00365DF7" w:rsidRPr="00A75DF9" w:rsidRDefault="00365DF7" w:rsidP="004D199A">
            <w:pPr>
              <w:pStyle w:val="TableText"/>
              <w:rPr>
                <w:rFonts w:ascii="Tahoma" w:hAnsi="Tahoma" w:cs="Tahoma"/>
                <w:sz w:val="13"/>
              </w:rPr>
            </w:pPr>
            <w:r w:rsidRPr="00A75DF9">
              <w:rPr>
                <w:rFonts w:ascii="Tahoma" w:hAnsi="Tahoma" w:cs="Tahoma"/>
                <w:sz w:val="13"/>
              </w:rPr>
              <w:t>07/13</w:t>
            </w:r>
          </w:p>
        </w:tc>
        <w:tc>
          <w:tcPr>
            <w:tcW w:w="378" w:type="dxa"/>
            <w:tcBorders>
              <w:bottom w:val="single" w:sz="4" w:space="0" w:color="auto"/>
              <w:right w:val="single" w:sz="18" w:space="0" w:color="auto"/>
            </w:tcBorders>
            <w:shd w:val="clear" w:color="auto" w:fill="FABF8F"/>
            <w:vAlign w:val="center"/>
          </w:tcPr>
          <w:p w:rsidR="00365DF7" w:rsidRPr="00A75DF9" w:rsidRDefault="00365DF7">
            <w:pPr>
              <w:pStyle w:val="TableText"/>
              <w:rPr>
                <w:rFonts w:ascii="Tahoma" w:hAnsi="Tahoma" w:cs="Tahoma"/>
                <w:sz w:val="13"/>
              </w:rPr>
            </w:pPr>
          </w:p>
        </w:tc>
        <w:tc>
          <w:tcPr>
            <w:tcW w:w="396" w:type="dxa"/>
            <w:gridSpan w:val="2"/>
            <w:tcBorders>
              <w:left w:val="single" w:sz="18" w:space="0" w:color="auto"/>
              <w:bottom w:val="single" w:sz="4" w:space="0" w:color="auto"/>
              <w:right w:val="single" w:sz="4" w:space="0" w:color="auto"/>
            </w:tcBorders>
            <w:shd w:val="clear" w:color="auto" w:fill="FABF8F"/>
            <w:vAlign w:val="center"/>
          </w:tcPr>
          <w:p w:rsidR="00365DF7" w:rsidRPr="00A75DF9" w:rsidRDefault="00365DF7">
            <w:pPr>
              <w:pStyle w:val="TableText"/>
              <w:rPr>
                <w:rFonts w:ascii="Tahoma" w:hAnsi="Tahoma" w:cs="Tahoma"/>
                <w:sz w:val="13"/>
              </w:rPr>
            </w:pPr>
            <w:r w:rsidRPr="00A75DF9">
              <w:rPr>
                <w:rFonts w:ascii="Tahoma" w:hAnsi="Tahoma" w:cs="Tahoma"/>
                <w:sz w:val="13"/>
              </w:rPr>
              <w:t>2</w:t>
            </w:r>
          </w:p>
        </w:tc>
        <w:tc>
          <w:tcPr>
            <w:tcW w:w="362" w:type="dxa"/>
            <w:tcBorders>
              <w:left w:val="single" w:sz="4" w:space="0" w:color="auto"/>
              <w:bottom w:val="single" w:sz="4" w:space="0" w:color="auto"/>
              <w:right w:val="single" w:sz="4" w:space="0" w:color="auto"/>
            </w:tcBorders>
            <w:shd w:val="clear" w:color="auto" w:fill="FABF8F"/>
            <w:vAlign w:val="center"/>
          </w:tcPr>
          <w:p w:rsidR="00365DF7" w:rsidRPr="00A75DF9" w:rsidRDefault="00365DF7">
            <w:pPr>
              <w:pStyle w:val="TableText"/>
              <w:rPr>
                <w:rFonts w:ascii="Tahoma" w:hAnsi="Tahoma" w:cs="Tahoma"/>
                <w:sz w:val="13"/>
              </w:rPr>
            </w:pPr>
            <w:r w:rsidRPr="00A75DF9">
              <w:rPr>
                <w:rFonts w:ascii="Tahoma" w:hAnsi="Tahoma" w:cs="Tahoma"/>
                <w:sz w:val="13"/>
              </w:rPr>
              <w:t>5</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A75DF9" w:rsidRDefault="00365DF7">
            <w:pPr>
              <w:pStyle w:val="TableText"/>
              <w:rPr>
                <w:rFonts w:ascii="Tahoma" w:hAnsi="Tahoma" w:cs="Tahoma"/>
                <w:sz w:val="13"/>
              </w:rPr>
            </w:pPr>
            <w:r w:rsidRPr="00A75DF9">
              <w:rPr>
                <w:rFonts w:ascii="Tahoma" w:hAnsi="Tahoma" w:cs="Tahoma"/>
                <w:sz w:val="13"/>
              </w:rPr>
              <w:t>4</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A75DF9" w:rsidRDefault="00365DF7">
            <w:pPr>
              <w:pStyle w:val="TableText"/>
              <w:rPr>
                <w:rFonts w:ascii="Tahoma" w:hAnsi="Tahoma" w:cs="Tahoma"/>
                <w:sz w:val="13"/>
              </w:rPr>
            </w:pPr>
            <w:r w:rsidRPr="00A75DF9">
              <w:rPr>
                <w:rFonts w:ascii="Tahoma" w:hAnsi="Tahoma" w:cs="Tahoma"/>
                <w:sz w:val="13"/>
              </w:rPr>
              <w:t>3</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A75DF9" w:rsidRDefault="00365DF7">
            <w:pPr>
              <w:pStyle w:val="TableText"/>
              <w:rPr>
                <w:rFonts w:ascii="Tahoma" w:hAnsi="Tahoma" w:cs="Tahoma"/>
                <w:sz w:val="13"/>
              </w:rPr>
            </w:pPr>
            <w:r w:rsidRPr="00A75DF9">
              <w:rPr>
                <w:rFonts w:ascii="Tahoma" w:hAnsi="Tahoma" w:cs="Tahoma"/>
                <w:sz w:val="13"/>
              </w:rPr>
              <w:t>3</w:t>
            </w:r>
          </w:p>
        </w:tc>
        <w:tc>
          <w:tcPr>
            <w:tcW w:w="450" w:type="dxa"/>
            <w:tcBorders>
              <w:left w:val="single" w:sz="4" w:space="0" w:color="auto"/>
              <w:bottom w:val="single" w:sz="4" w:space="0" w:color="auto"/>
              <w:right w:val="single" w:sz="4" w:space="0" w:color="auto"/>
            </w:tcBorders>
            <w:shd w:val="clear" w:color="auto" w:fill="FABF8F"/>
            <w:vAlign w:val="center"/>
          </w:tcPr>
          <w:p w:rsidR="00365DF7" w:rsidRPr="00A75DF9" w:rsidRDefault="00365DF7">
            <w:pPr>
              <w:pStyle w:val="TableText"/>
              <w:rPr>
                <w:rFonts w:ascii="Tahoma" w:hAnsi="Tahoma" w:cs="Tahoma"/>
                <w:sz w:val="13"/>
              </w:rPr>
            </w:pPr>
            <w:r w:rsidRPr="00A75DF9">
              <w:rPr>
                <w:rFonts w:ascii="Tahoma" w:hAnsi="Tahoma" w:cs="Tahoma"/>
                <w:sz w:val="13"/>
              </w:rPr>
              <w:t>2</w:t>
            </w:r>
          </w:p>
        </w:tc>
        <w:tc>
          <w:tcPr>
            <w:tcW w:w="394" w:type="dxa"/>
            <w:tcBorders>
              <w:left w:val="single" w:sz="4" w:space="0" w:color="auto"/>
              <w:bottom w:val="single" w:sz="4" w:space="0" w:color="auto"/>
              <w:right w:val="single" w:sz="18" w:space="0" w:color="auto"/>
            </w:tcBorders>
            <w:shd w:val="clear" w:color="auto" w:fill="FABF8F"/>
            <w:vAlign w:val="center"/>
          </w:tcPr>
          <w:p w:rsidR="00365DF7" w:rsidRPr="00A75DF9" w:rsidRDefault="00365DF7">
            <w:pPr>
              <w:pStyle w:val="TableText"/>
              <w:rPr>
                <w:rFonts w:ascii="Tahoma" w:hAnsi="Tahoma" w:cs="Tahoma"/>
                <w:sz w:val="13"/>
              </w:rPr>
            </w:pPr>
            <w:r w:rsidRPr="00A75DF9">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365DF7" w:rsidRPr="00A75DF9" w:rsidRDefault="00365DF7">
            <w:pPr>
              <w:pStyle w:val="TableText"/>
              <w:rPr>
                <w:rFonts w:ascii="Tahoma" w:hAnsi="Tahoma" w:cs="Tahoma"/>
                <w:sz w:val="13"/>
              </w:rPr>
            </w:pPr>
            <w:r w:rsidRPr="00A75DF9">
              <w:rPr>
                <w:rFonts w:ascii="Tahoma" w:hAnsi="Tahoma" w:cs="Tahoma"/>
                <w:sz w:val="13"/>
              </w:rPr>
              <w:t>2</w:t>
            </w:r>
          </w:p>
        </w:tc>
        <w:tc>
          <w:tcPr>
            <w:tcW w:w="450" w:type="dxa"/>
            <w:tcBorders>
              <w:bottom w:val="single" w:sz="4" w:space="0" w:color="auto"/>
            </w:tcBorders>
            <w:shd w:val="clear" w:color="auto" w:fill="FABF8F"/>
            <w:vAlign w:val="center"/>
          </w:tcPr>
          <w:p w:rsidR="00365DF7" w:rsidRPr="00A75DF9" w:rsidRDefault="00365DF7">
            <w:pPr>
              <w:pStyle w:val="TableText"/>
              <w:rPr>
                <w:rFonts w:ascii="Tahoma" w:hAnsi="Tahoma" w:cs="Tahoma"/>
                <w:sz w:val="13"/>
              </w:rPr>
            </w:pPr>
            <w:r w:rsidRPr="00A75DF9">
              <w:rPr>
                <w:rFonts w:ascii="Tahoma" w:hAnsi="Tahoma" w:cs="Tahoma"/>
                <w:sz w:val="13"/>
              </w:rPr>
              <w:t>4</w:t>
            </w:r>
          </w:p>
        </w:tc>
        <w:tc>
          <w:tcPr>
            <w:tcW w:w="450" w:type="dxa"/>
            <w:tcBorders>
              <w:bottom w:val="single" w:sz="4" w:space="0" w:color="auto"/>
              <w:right w:val="single" w:sz="18" w:space="0" w:color="auto"/>
            </w:tcBorders>
            <w:shd w:val="clear" w:color="auto" w:fill="FABF8F"/>
            <w:vAlign w:val="center"/>
          </w:tcPr>
          <w:p w:rsidR="00365DF7" w:rsidRPr="00A75DF9" w:rsidRDefault="00365DF7">
            <w:pPr>
              <w:pStyle w:val="TableText"/>
              <w:rPr>
                <w:rFonts w:ascii="Tahoma" w:hAnsi="Tahoma" w:cs="Tahoma"/>
                <w:sz w:val="13"/>
              </w:rPr>
            </w:pPr>
            <w:r w:rsidRPr="00A75DF9">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rsidR="00365DF7" w:rsidRPr="00A75DF9" w:rsidRDefault="00365DF7" w:rsidP="004479EA">
            <w:pPr>
              <w:pStyle w:val="TableText"/>
              <w:rPr>
                <w:rFonts w:ascii="Tahoma" w:hAnsi="Tahoma" w:cs="Tahoma"/>
                <w:sz w:val="13"/>
              </w:rPr>
            </w:pPr>
            <w:r w:rsidRPr="00A75DF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365DF7" w:rsidRPr="00A75DF9" w:rsidRDefault="00365DF7" w:rsidP="008925CF">
            <w:pPr>
              <w:pStyle w:val="TableText"/>
              <w:rPr>
                <w:rFonts w:ascii="Tahoma" w:hAnsi="Tahoma" w:cs="Tahoma"/>
                <w:sz w:val="13"/>
              </w:rPr>
            </w:pPr>
            <w:r w:rsidRPr="00A75D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365DF7" w:rsidRPr="00A75DF9" w:rsidRDefault="00365DF7">
            <w:pPr>
              <w:pStyle w:val="TableText"/>
              <w:rPr>
                <w:rFonts w:ascii="Tahoma" w:hAnsi="Tahoma" w:cs="Tahoma"/>
                <w:sz w:val="13"/>
              </w:rPr>
            </w:pPr>
            <w:r w:rsidRPr="00A75DF9">
              <w:rPr>
                <w:rFonts w:ascii="Tahoma" w:hAnsi="Tahoma" w:cs="Tahoma"/>
                <w:sz w:val="13"/>
              </w:rPr>
              <w:t>P</w:t>
            </w:r>
          </w:p>
        </w:tc>
        <w:tc>
          <w:tcPr>
            <w:tcW w:w="450" w:type="dxa"/>
            <w:tcBorders>
              <w:bottom w:val="single" w:sz="4" w:space="0" w:color="auto"/>
            </w:tcBorders>
            <w:shd w:val="clear" w:color="auto" w:fill="FABF8F"/>
          </w:tcPr>
          <w:p w:rsidR="00365DF7" w:rsidRPr="00A75DF9" w:rsidRDefault="00365DF7">
            <w:pPr>
              <w:pStyle w:val="TableText"/>
              <w:rPr>
                <w:rFonts w:ascii="Tahoma" w:hAnsi="Tahoma" w:cs="Tahoma"/>
                <w:sz w:val="13"/>
              </w:rPr>
            </w:pPr>
          </w:p>
        </w:tc>
        <w:tc>
          <w:tcPr>
            <w:tcW w:w="540" w:type="dxa"/>
            <w:tcBorders>
              <w:bottom w:val="single" w:sz="4" w:space="0" w:color="auto"/>
            </w:tcBorders>
            <w:shd w:val="clear" w:color="auto" w:fill="FABF8F"/>
            <w:vAlign w:val="center"/>
          </w:tcPr>
          <w:p w:rsidR="00365DF7" w:rsidRPr="00A75DF9" w:rsidRDefault="00365DF7">
            <w:pPr>
              <w:pStyle w:val="TableText"/>
              <w:rPr>
                <w:rFonts w:ascii="Tahoma" w:hAnsi="Tahoma" w:cs="Tahoma"/>
                <w:sz w:val="13"/>
              </w:rPr>
            </w:pPr>
          </w:p>
        </w:tc>
      </w:tr>
      <w:tr w:rsidR="00365DF7" w:rsidRPr="00A75DF9" w:rsidTr="00337A7D">
        <w:trPr>
          <w:trHeight w:val="145"/>
        </w:trPr>
        <w:tc>
          <w:tcPr>
            <w:tcW w:w="2610" w:type="dxa"/>
            <w:tcBorders>
              <w:bottom w:val="single" w:sz="4" w:space="0" w:color="auto"/>
            </w:tcBorders>
            <w:shd w:val="clear" w:color="auto" w:fill="auto"/>
          </w:tcPr>
          <w:p w:rsidR="00365DF7" w:rsidRPr="00A75DF9" w:rsidRDefault="003234A7" w:rsidP="00337A7D">
            <w:pPr>
              <w:pStyle w:val="ProductNames"/>
              <w:rPr>
                <w:rFonts w:ascii="Tahoma" w:hAnsi="Tahoma" w:cs="Tahoma"/>
                <w:sz w:val="14"/>
              </w:rPr>
            </w:pPr>
            <w:bookmarkStart w:id="127" w:name="_Toc368309910"/>
            <w:r w:rsidRPr="00A75DF9">
              <w:rPr>
                <w:rFonts w:ascii="Tahoma" w:hAnsi="Tahoma" w:cs="Tahoma"/>
                <w:sz w:val="14"/>
              </w:rPr>
              <w:t>Windows</w:t>
            </w:r>
            <w:r w:rsidR="009D5D7B" w:rsidRPr="00A75DF9">
              <w:rPr>
                <w:rFonts w:ascii="Tahoma" w:hAnsi="Tahoma" w:cs="Tahoma"/>
                <w:sz w:val="14"/>
                <w:vertAlign w:val="superscript"/>
              </w:rPr>
              <w:t>®</w:t>
            </w:r>
            <w:r w:rsidRPr="00A75DF9">
              <w:rPr>
                <w:rFonts w:ascii="Tahoma" w:hAnsi="Tahoma" w:cs="Tahoma"/>
                <w:sz w:val="14"/>
              </w:rPr>
              <w:t xml:space="preserve"> Embedded 8 Industry Pro</w:t>
            </w:r>
            <w:r w:rsidR="00337A7D">
              <w:rPr>
                <w:rFonts w:ascii="Tahoma" w:hAnsi="Tahoma" w:cs="Tahoma"/>
                <w:sz w:val="14"/>
              </w:rPr>
              <w:t> </w:t>
            </w:r>
            <w:r w:rsidRPr="00A75DF9">
              <w:rPr>
                <w:rFonts w:ascii="Tahoma" w:hAnsi="Tahoma" w:cs="Tahoma"/>
                <w:sz w:val="14"/>
              </w:rPr>
              <w:t>Sideloading</w:t>
            </w:r>
            <w:bookmarkEnd w:id="127"/>
          </w:p>
        </w:tc>
        <w:tc>
          <w:tcPr>
            <w:tcW w:w="450" w:type="dxa"/>
            <w:tcBorders>
              <w:bottom w:val="single" w:sz="4" w:space="0" w:color="auto"/>
            </w:tcBorders>
            <w:shd w:val="clear" w:color="auto" w:fill="auto"/>
            <w:vAlign w:val="center"/>
          </w:tcPr>
          <w:p w:rsidR="00365DF7" w:rsidRPr="00337A7D" w:rsidRDefault="00B54770" w:rsidP="003D5C46">
            <w:pPr>
              <w:pStyle w:val="TableText"/>
              <w:widowControl w:val="0"/>
              <w:rPr>
                <w:rFonts w:cs="Tahoma"/>
                <w:b/>
                <w:sz w:val="13"/>
                <w:szCs w:val="13"/>
              </w:rPr>
            </w:pPr>
            <w:hyperlink w:anchor="_26_Windows_Embedded" w:history="1">
              <w:r w:rsidR="00734B17" w:rsidRPr="00337A7D">
                <w:rPr>
                  <w:rStyle w:val="Hyperlink"/>
                  <w:rFonts w:cs="Tahoma"/>
                  <w:b/>
                  <w:sz w:val="13"/>
                  <w:szCs w:val="13"/>
                </w:rPr>
                <w:t>27</w:t>
              </w:r>
            </w:hyperlink>
          </w:p>
        </w:tc>
        <w:tc>
          <w:tcPr>
            <w:tcW w:w="450" w:type="dxa"/>
            <w:tcBorders>
              <w:bottom w:val="single" w:sz="4" w:space="0" w:color="auto"/>
            </w:tcBorders>
            <w:shd w:val="clear" w:color="auto" w:fill="auto"/>
            <w:vAlign w:val="center"/>
          </w:tcPr>
          <w:p w:rsidR="00365DF7" w:rsidRPr="00A75DF9" w:rsidRDefault="00365DF7" w:rsidP="004D199A">
            <w:pPr>
              <w:pStyle w:val="TableText"/>
              <w:rPr>
                <w:rFonts w:ascii="Tahoma" w:hAnsi="Tahoma" w:cs="Tahoma"/>
                <w:sz w:val="13"/>
              </w:rPr>
            </w:pPr>
            <w:r w:rsidRPr="00A75DF9">
              <w:rPr>
                <w:rFonts w:ascii="Tahoma" w:hAnsi="Tahoma" w:cs="Tahoma"/>
                <w:sz w:val="13"/>
              </w:rPr>
              <w:t>07/13</w:t>
            </w:r>
          </w:p>
        </w:tc>
        <w:tc>
          <w:tcPr>
            <w:tcW w:w="378" w:type="dxa"/>
            <w:tcBorders>
              <w:bottom w:val="single" w:sz="4" w:space="0" w:color="auto"/>
              <w:right w:val="single" w:sz="18" w:space="0" w:color="auto"/>
            </w:tcBorders>
            <w:shd w:val="clear" w:color="auto" w:fill="auto"/>
            <w:vAlign w:val="center"/>
          </w:tcPr>
          <w:p w:rsidR="00365DF7" w:rsidRPr="00A75DF9" w:rsidRDefault="00365DF7">
            <w:pPr>
              <w:pStyle w:val="TableText"/>
              <w:rPr>
                <w:rFonts w:ascii="Tahoma" w:hAnsi="Tahoma" w:cs="Tahoma"/>
                <w:sz w:val="13"/>
              </w:rPr>
            </w:pPr>
          </w:p>
        </w:tc>
        <w:tc>
          <w:tcPr>
            <w:tcW w:w="396" w:type="dxa"/>
            <w:gridSpan w:val="2"/>
            <w:tcBorders>
              <w:left w:val="single" w:sz="18" w:space="0" w:color="auto"/>
              <w:bottom w:val="single" w:sz="4" w:space="0" w:color="auto"/>
              <w:right w:val="single" w:sz="4" w:space="0" w:color="auto"/>
            </w:tcBorders>
            <w:shd w:val="clear" w:color="auto" w:fill="auto"/>
            <w:vAlign w:val="center"/>
          </w:tcPr>
          <w:p w:rsidR="00365DF7" w:rsidRPr="00A75DF9" w:rsidRDefault="00365DF7">
            <w:pPr>
              <w:pStyle w:val="TableText"/>
              <w:rPr>
                <w:rFonts w:ascii="Tahoma" w:hAnsi="Tahoma" w:cs="Tahoma"/>
                <w:sz w:val="13"/>
              </w:rPr>
            </w:pPr>
            <w:r w:rsidRPr="00A75DF9">
              <w:rPr>
                <w:rFonts w:ascii="Tahoma" w:hAnsi="Tahoma" w:cs="Tahoma"/>
                <w:sz w:val="13"/>
              </w:rPr>
              <w:t>2</w:t>
            </w:r>
          </w:p>
        </w:tc>
        <w:tc>
          <w:tcPr>
            <w:tcW w:w="362" w:type="dxa"/>
            <w:tcBorders>
              <w:left w:val="single" w:sz="4" w:space="0" w:color="auto"/>
              <w:bottom w:val="single" w:sz="4" w:space="0" w:color="auto"/>
              <w:right w:val="single" w:sz="4" w:space="0" w:color="auto"/>
            </w:tcBorders>
            <w:shd w:val="clear" w:color="auto" w:fill="auto"/>
            <w:vAlign w:val="center"/>
          </w:tcPr>
          <w:p w:rsidR="00365DF7" w:rsidRPr="00A75DF9" w:rsidRDefault="00365DF7">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A75DF9" w:rsidRDefault="00365DF7">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A75DF9" w:rsidRDefault="00365DF7">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A75DF9" w:rsidRDefault="00365DF7">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365DF7" w:rsidRPr="00A75DF9" w:rsidRDefault="00365DF7">
            <w:pPr>
              <w:pStyle w:val="TableText"/>
              <w:rPr>
                <w:rFonts w:ascii="Tahoma" w:hAnsi="Tahoma" w:cs="Tahoma"/>
                <w:sz w:val="13"/>
              </w:rPr>
            </w:pPr>
          </w:p>
        </w:tc>
        <w:tc>
          <w:tcPr>
            <w:tcW w:w="394" w:type="dxa"/>
            <w:tcBorders>
              <w:left w:val="single" w:sz="4" w:space="0" w:color="auto"/>
              <w:bottom w:val="single" w:sz="4" w:space="0" w:color="auto"/>
              <w:right w:val="single" w:sz="18" w:space="0" w:color="auto"/>
            </w:tcBorders>
            <w:shd w:val="clear" w:color="auto" w:fill="auto"/>
            <w:vAlign w:val="center"/>
          </w:tcPr>
          <w:p w:rsidR="00365DF7" w:rsidRPr="00A75DF9" w:rsidRDefault="00365DF7">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365DF7" w:rsidRPr="00A75DF9" w:rsidRDefault="00365DF7">
            <w:pPr>
              <w:pStyle w:val="TableText"/>
              <w:rPr>
                <w:rFonts w:ascii="Tahoma" w:hAnsi="Tahoma" w:cs="Tahoma"/>
                <w:sz w:val="13"/>
              </w:rPr>
            </w:pPr>
            <w:r w:rsidRPr="00A75DF9">
              <w:rPr>
                <w:rFonts w:ascii="Tahoma" w:hAnsi="Tahoma" w:cs="Tahoma"/>
                <w:sz w:val="13"/>
              </w:rPr>
              <w:t>2</w:t>
            </w:r>
          </w:p>
        </w:tc>
        <w:tc>
          <w:tcPr>
            <w:tcW w:w="450" w:type="dxa"/>
            <w:tcBorders>
              <w:bottom w:val="single" w:sz="4" w:space="0" w:color="auto"/>
            </w:tcBorders>
            <w:shd w:val="clear" w:color="auto" w:fill="auto"/>
            <w:vAlign w:val="center"/>
          </w:tcPr>
          <w:p w:rsidR="00365DF7" w:rsidRPr="00A75DF9" w:rsidRDefault="00365DF7">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365DF7" w:rsidRPr="00A75DF9" w:rsidRDefault="00365DF7">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365DF7" w:rsidRPr="00A75DF9" w:rsidRDefault="00365DF7" w:rsidP="004479EA">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365DF7" w:rsidRPr="00A75DF9" w:rsidRDefault="00365DF7" w:rsidP="008925CF">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365DF7" w:rsidRPr="00A75DF9" w:rsidRDefault="00365DF7">
            <w:pPr>
              <w:pStyle w:val="TableText"/>
              <w:rPr>
                <w:rFonts w:ascii="Tahoma" w:hAnsi="Tahoma" w:cs="Tahoma"/>
                <w:sz w:val="13"/>
              </w:rPr>
            </w:pPr>
          </w:p>
        </w:tc>
        <w:tc>
          <w:tcPr>
            <w:tcW w:w="450" w:type="dxa"/>
            <w:tcBorders>
              <w:bottom w:val="single" w:sz="4" w:space="0" w:color="auto"/>
            </w:tcBorders>
            <w:shd w:val="clear" w:color="auto" w:fill="auto"/>
          </w:tcPr>
          <w:p w:rsidR="00365DF7" w:rsidRPr="00A75DF9" w:rsidRDefault="00365DF7">
            <w:pPr>
              <w:pStyle w:val="TableText"/>
              <w:rPr>
                <w:rFonts w:ascii="Tahoma" w:hAnsi="Tahoma" w:cs="Tahoma"/>
                <w:sz w:val="13"/>
              </w:rPr>
            </w:pPr>
          </w:p>
        </w:tc>
        <w:tc>
          <w:tcPr>
            <w:tcW w:w="540" w:type="dxa"/>
            <w:tcBorders>
              <w:bottom w:val="single" w:sz="4" w:space="0" w:color="auto"/>
            </w:tcBorders>
            <w:shd w:val="clear" w:color="auto" w:fill="auto"/>
            <w:vAlign w:val="center"/>
          </w:tcPr>
          <w:p w:rsidR="00365DF7" w:rsidRPr="00A75DF9" w:rsidRDefault="00365DF7">
            <w:pPr>
              <w:pStyle w:val="TableText"/>
              <w:rPr>
                <w:rFonts w:ascii="Tahoma" w:hAnsi="Tahoma" w:cs="Tahoma"/>
                <w:sz w:val="13"/>
              </w:rPr>
            </w:pPr>
          </w:p>
        </w:tc>
      </w:tr>
      <w:tr w:rsidR="00637914" w:rsidRPr="00A75DF9" w:rsidTr="00337A7D">
        <w:trPr>
          <w:trHeight w:val="145"/>
        </w:trPr>
        <w:tc>
          <w:tcPr>
            <w:tcW w:w="2610" w:type="dxa"/>
            <w:tcBorders>
              <w:bottom w:val="single" w:sz="4" w:space="0" w:color="auto"/>
            </w:tcBorders>
            <w:shd w:val="clear" w:color="auto" w:fill="FABF8F"/>
          </w:tcPr>
          <w:p w:rsidR="00637914" w:rsidRPr="00A75DF9" w:rsidRDefault="00637914" w:rsidP="003234A7">
            <w:pPr>
              <w:pStyle w:val="ProductNames"/>
              <w:rPr>
                <w:rFonts w:ascii="Tahoma" w:hAnsi="Tahoma" w:cs="Tahoma"/>
                <w:sz w:val="14"/>
              </w:rPr>
            </w:pPr>
            <w:bookmarkStart w:id="128" w:name="_Toc368309911"/>
            <w:r w:rsidRPr="00A75DF9">
              <w:rPr>
                <w:rFonts w:ascii="Tahoma" w:hAnsi="Tahoma" w:cs="Tahoma"/>
                <w:sz w:val="14"/>
              </w:rPr>
              <w:t>Windows</w:t>
            </w:r>
            <w:r w:rsidR="009D5D7B" w:rsidRPr="00A75DF9">
              <w:rPr>
                <w:rFonts w:ascii="Tahoma" w:hAnsi="Tahoma" w:cs="Tahoma"/>
                <w:sz w:val="14"/>
                <w:vertAlign w:val="superscript"/>
              </w:rPr>
              <w:t>®</w:t>
            </w:r>
            <w:r w:rsidRPr="00A75DF9">
              <w:rPr>
                <w:rFonts w:ascii="Tahoma" w:hAnsi="Tahoma" w:cs="Tahoma"/>
                <w:sz w:val="14"/>
              </w:rPr>
              <w:t xml:space="preserve"> Embedded 8 Standard Enterprise Kit</w:t>
            </w:r>
            <w:bookmarkEnd w:id="128"/>
          </w:p>
        </w:tc>
        <w:tc>
          <w:tcPr>
            <w:tcW w:w="450" w:type="dxa"/>
            <w:tcBorders>
              <w:bottom w:val="single" w:sz="4" w:space="0" w:color="auto"/>
            </w:tcBorders>
            <w:shd w:val="clear" w:color="auto" w:fill="FABF8F"/>
            <w:vAlign w:val="center"/>
          </w:tcPr>
          <w:p w:rsidR="00637914" w:rsidRPr="00337A7D" w:rsidRDefault="00B54770" w:rsidP="003D5C46">
            <w:pPr>
              <w:pStyle w:val="TableText"/>
              <w:widowControl w:val="0"/>
              <w:rPr>
                <w:rFonts w:cs="Tahoma"/>
                <w:b/>
                <w:sz w:val="13"/>
                <w:szCs w:val="13"/>
              </w:rPr>
            </w:pPr>
            <w:hyperlink w:anchor="_25_Windows_Embedded" w:history="1">
              <w:r w:rsidR="00734B17" w:rsidRPr="00337A7D">
                <w:rPr>
                  <w:rStyle w:val="Hyperlink"/>
                  <w:rFonts w:cs="Tahoma"/>
                  <w:b/>
                  <w:sz w:val="13"/>
                  <w:szCs w:val="13"/>
                </w:rPr>
                <w:t>26</w:t>
              </w:r>
            </w:hyperlink>
          </w:p>
        </w:tc>
        <w:tc>
          <w:tcPr>
            <w:tcW w:w="450" w:type="dxa"/>
            <w:tcBorders>
              <w:bottom w:val="single" w:sz="4" w:space="0" w:color="auto"/>
            </w:tcBorders>
            <w:shd w:val="clear" w:color="auto" w:fill="FABF8F"/>
            <w:vAlign w:val="center"/>
          </w:tcPr>
          <w:p w:rsidR="00637914" w:rsidRPr="00A75DF9" w:rsidRDefault="00637914" w:rsidP="004D199A">
            <w:pPr>
              <w:pStyle w:val="TableText"/>
              <w:rPr>
                <w:rFonts w:ascii="Tahoma" w:hAnsi="Tahoma" w:cs="Tahoma"/>
                <w:sz w:val="13"/>
              </w:rPr>
            </w:pPr>
            <w:r w:rsidRPr="00A75DF9">
              <w:rPr>
                <w:rFonts w:ascii="Tahoma" w:hAnsi="Tahoma" w:cs="Tahoma"/>
                <w:sz w:val="13"/>
              </w:rPr>
              <w:t>07/13</w:t>
            </w:r>
          </w:p>
        </w:tc>
        <w:tc>
          <w:tcPr>
            <w:tcW w:w="378" w:type="dxa"/>
            <w:tcBorders>
              <w:bottom w:val="single" w:sz="4" w:space="0" w:color="auto"/>
              <w:right w:val="single" w:sz="18" w:space="0" w:color="auto"/>
            </w:tcBorders>
            <w:shd w:val="clear" w:color="auto" w:fill="FABF8F"/>
            <w:vAlign w:val="center"/>
          </w:tcPr>
          <w:p w:rsidR="00637914" w:rsidRPr="00A75DF9" w:rsidRDefault="00637914">
            <w:pPr>
              <w:pStyle w:val="TableText"/>
              <w:rPr>
                <w:rFonts w:ascii="Tahoma" w:hAnsi="Tahoma" w:cs="Tahoma"/>
                <w:sz w:val="13"/>
              </w:rPr>
            </w:pPr>
          </w:p>
        </w:tc>
        <w:tc>
          <w:tcPr>
            <w:tcW w:w="396" w:type="dxa"/>
            <w:gridSpan w:val="2"/>
            <w:tcBorders>
              <w:left w:val="single" w:sz="18" w:space="0" w:color="auto"/>
              <w:bottom w:val="single" w:sz="4" w:space="0" w:color="auto"/>
              <w:right w:val="single" w:sz="4" w:space="0" w:color="auto"/>
            </w:tcBorders>
            <w:shd w:val="clear" w:color="auto" w:fill="FABF8F"/>
            <w:vAlign w:val="center"/>
          </w:tcPr>
          <w:p w:rsidR="00637914" w:rsidRPr="00A75DF9" w:rsidRDefault="00637914">
            <w:pPr>
              <w:pStyle w:val="TableText"/>
              <w:rPr>
                <w:rFonts w:ascii="Tahoma" w:hAnsi="Tahoma" w:cs="Tahoma"/>
                <w:sz w:val="13"/>
              </w:rPr>
            </w:pPr>
            <w:r w:rsidRPr="00A75DF9">
              <w:rPr>
                <w:rFonts w:ascii="Tahoma" w:hAnsi="Tahoma" w:cs="Tahoma"/>
                <w:sz w:val="13"/>
              </w:rPr>
              <w:t>2</w:t>
            </w:r>
          </w:p>
        </w:tc>
        <w:tc>
          <w:tcPr>
            <w:tcW w:w="362" w:type="dxa"/>
            <w:tcBorders>
              <w:left w:val="single" w:sz="4" w:space="0" w:color="auto"/>
              <w:bottom w:val="single" w:sz="4" w:space="0" w:color="auto"/>
              <w:right w:val="single" w:sz="4" w:space="0" w:color="auto"/>
            </w:tcBorders>
            <w:shd w:val="clear" w:color="auto" w:fill="FABF8F"/>
            <w:vAlign w:val="center"/>
          </w:tcPr>
          <w:p w:rsidR="00637914" w:rsidRPr="00A75DF9" w:rsidRDefault="00637914">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A75DF9" w:rsidRDefault="00637914">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A75DF9" w:rsidRDefault="00637914">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A75DF9" w:rsidRDefault="00637914">
            <w:pPr>
              <w:pStyle w:val="TableText"/>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637914" w:rsidRPr="00A75DF9" w:rsidRDefault="00637914">
            <w:pPr>
              <w:pStyle w:val="TableText"/>
              <w:rPr>
                <w:rFonts w:ascii="Tahoma" w:hAnsi="Tahoma" w:cs="Tahoma"/>
                <w:sz w:val="13"/>
              </w:rPr>
            </w:pPr>
          </w:p>
        </w:tc>
        <w:tc>
          <w:tcPr>
            <w:tcW w:w="394" w:type="dxa"/>
            <w:tcBorders>
              <w:left w:val="single" w:sz="4" w:space="0" w:color="auto"/>
              <w:bottom w:val="single" w:sz="4" w:space="0" w:color="auto"/>
              <w:right w:val="single" w:sz="18" w:space="0" w:color="auto"/>
            </w:tcBorders>
            <w:shd w:val="clear" w:color="auto" w:fill="FABF8F"/>
            <w:vAlign w:val="center"/>
          </w:tcPr>
          <w:p w:rsidR="00637914" w:rsidRPr="00A75DF9" w:rsidRDefault="00637914">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637914" w:rsidRPr="00A75DF9" w:rsidRDefault="00637914">
            <w:pPr>
              <w:pStyle w:val="TableText"/>
              <w:rPr>
                <w:rFonts w:ascii="Tahoma" w:hAnsi="Tahoma" w:cs="Tahoma"/>
                <w:sz w:val="13"/>
              </w:rPr>
            </w:pPr>
            <w:r w:rsidRPr="00A75DF9">
              <w:rPr>
                <w:rFonts w:ascii="Tahoma" w:hAnsi="Tahoma" w:cs="Tahoma"/>
                <w:sz w:val="13"/>
              </w:rPr>
              <w:t>2</w:t>
            </w:r>
          </w:p>
        </w:tc>
        <w:tc>
          <w:tcPr>
            <w:tcW w:w="450" w:type="dxa"/>
            <w:tcBorders>
              <w:bottom w:val="single" w:sz="4" w:space="0" w:color="auto"/>
            </w:tcBorders>
            <w:shd w:val="clear" w:color="auto" w:fill="FABF8F"/>
            <w:vAlign w:val="center"/>
          </w:tcPr>
          <w:p w:rsidR="00637914" w:rsidRPr="00A75DF9" w:rsidRDefault="00637914">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37914" w:rsidRPr="00A75DF9" w:rsidRDefault="00637914">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637914" w:rsidRPr="00A75DF9" w:rsidRDefault="00637914" w:rsidP="004479EA">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37914" w:rsidRPr="00A75DF9" w:rsidRDefault="00637914" w:rsidP="008925CF">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637914" w:rsidRPr="00A75DF9" w:rsidRDefault="00637914">
            <w:pPr>
              <w:pStyle w:val="TableText"/>
              <w:rPr>
                <w:rFonts w:ascii="Tahoma" w:hAnsi="Tahoma" w:cs="Tahoma"/>
                <w:sz w:val="13"/>
              </w:rPr>
            </w:pPr>
          </w:p>
        </w:tc>
        <w:tc>
          <w:tcPr>
            <w:tcW w:w="450" w:type="dxa"/>
            <w:tcBorders>
              <w:bottom w:val="single" w:sz="4" w:space="0" w:color="auto"/>
            </w:tcBorders>
            <w:shd w:val="clear" w:color="auto" w:fill="FABF8F"/>
          </w:tcPr>
          <w:p w:rsidR="00637914" w:rsidRPr="00A75DF9" w:rsidRDefault="00637914">
            <w:pPr>
              <w:pStyle w:val="TableText"/>
              <w:rPr>
                <w:rFonts w:ascii="Tahoma" w:hAnsi="Tahoma" w:cs="Tahoma"/>
                <w:sz w:val="13"/>
              </w:rPr>
            </w:pPr>
          </w:p>
        </w:tc>
        <w:tc>
          <w:tcPr>
            <w:tcW w:w="540" w:type="dxa"/>
            <w:tcBorders>
              <w:bottom w:val="single" w:sz="4" w:space="0" w:color="auto"/>
            </w:tcBorders>
            <w:shd w:val="clear" w:color="auto" w:fill="FABF8F"/>
            <w:vAlign w:val="center"/>
          </w:tcPr>
          <w:p w:rsidR="00637914" w:rsidRPr="00A75DF9" w:rsidRDefault="00637914">
            <w:pPr>
              <w:pStyle w:val="TableText"/>
              <w:rPr>
                <w:rFonts w:ascii="Tahoma" w:hAnsi="Tahoma" w:cs="Tahoma"/>
                <w:sz w:val="13"/>
              </w:rPr>
            </w:pPr>
          </w:p>
        </w:tc>
      </w:tr>
      <w:tr w:rsidR="001C61C9" w:rsidRPr="00A75DF9" w:rsidTr="00337A7D">
        <w:trPr>
          <w:trHeight w:val="145"/>
        </w:trPr>
        <w:tc>
          <w:tcPr>
            <w:tcW w:w="2610" w:type="dxa"/>
            <w:tcBorders>
              <w:bottom w:val="single" w:sz="4" w:space="0" w:color="auto"/>
            </w:tcBorders>
            <w:shd w:val="clear" w:color="auto" w:fill="auto"/>
          </w:tcPr>
          <w:p w:rsidR="001C61C9" w:rsidRPr="00A75DF9" w:rsidRDefault="001C61C9" w:rsidP="00F70479">
            <w:pPr>
              <w:pStyle w:val="ProductNames"/>
              <w:rPr>
                <w:rFonts w:ascii="Tahoma" w:hAnsi="Tahoma" w:cs="Tahoma"/>
                <w:sz w:val="14"/>
              </w:rPr>
            </w:pPr>
            <w:bookmarkStart w:id="129" w:name="_Toc368309912"/>
            <w:r w:rsidRPr="00A75DF9">
              <w:rPr>
                <w:rFonts w:ascii="Tahoma" w:hAnsi="Tahoma" w:cs="Tahoma"/>
                <w:sz w:val="14"/>
              </w:rPr>
              <w:t>Windows Vista DVD Playback Pack</w:t>
            </w:r>
            <w:bookmarkEnd w:id="129"/>
          </w:p>
        </w:tc>
        <w:tc>
          <w:tcPr>
            <w:tcW w:w="450" w:type="dxa"/>
            <w:tcBorders>
              <w:bottom w:val="single" w:sz="4" w:space="0" w:color="auto"/>
            </w:tcBorders>
            <w:shd w:val="clear" w:color="auto" w:fill="auto"/>
            <w:vAlign w:val="center"/>
          </w:tcPr>
          <w:p w:rsidR="001C61C9" w:rsidRPr="00337A7D" w:rsidRDefault="00B54770" w:rsidP="009D43FB">
            <w:pPr>
              <w:pStyle w:val="TableText"/>
              <w:widowControl w:val="0"/>
              <w:rPr>
                <w:rFonts w:cs="Tahoma"/>
                <w:sz w:val="13"/>
                <w:szCs w:val="13"/>
              </w:rPr>
            </w:pPr>
            <w:hyperlink w:anchor="_29_Windows_Vista" w:history="1">
              <w:r w:rsidR="00734B17" w:rsidRPr="00337A7D">
                <w:rPr>
                  <w:rStyle w:val="Hyperlink"/>
                  <w:rFonts w:cs="Tahoma"/>
                  <w:b/>
                  <w:sz w:val="13"/>
                  <w:szCs w:val="13"/>
                </w:rPr>
                <w:t>30</w:t>
              </w:r>
            </w:hyperlink>
          </w:p>
        </w:tc>
        <w:tc>
          <w:tcPr>
            <w:tcW w:w="450" w:type="dxa"/>
            <w:tcBorders>
              <w:bottom w:val="single" w:sz="4" w:space="0" w:color="auto"/>
            </w:tcBorders>
            <w:shd w:val="clear" w:color="auto" w:fill="auto"/>
            <w:vAlign w:val="center"/>
          </w:tcPr>
          <w:p w:rsidR="001C61C9" w:rsidRPr="00A75DF9" w:rsidRDefault="001C61C9" w:rsidP="004D199A">
            <w:pPr>
              <w:pStyle w:val="TableText"/>
              <w:rPr>
                <w:rFonts w:ascii="Tahoma" w:hAnsi="Tahoma" w:cs="Tahoma"/>
                <w:sz w:val="13"/>
              </w:rPr>
            </w:pPr>
            <w:r w:rsidRPr="00A75DF9">
              <w:rPr>
                <w:rFonts w:ascii="Tahoma" w:hAnsi="Tahoma" w:cs="Tahoma"/>
                <w:sz w:val="13"/>
              </w:rPr>
              <w:t>03/11</w:t>
            </w:r>
          </w:p>
        </w:tc>
        <w:tc>
          <w:tcPr>
            <w:tcW w:w="378" w:type="dxa"/>
            <w:tcBorders>
              <w:bottom w:val="single" w:sz="4" w:space="0" w:color="auto"/>
              <w:right w:val="single" w:sz="18" w:space="0" w:color="auto"/>
            </w:tcBorders>
            <w:shd w:val="clear" w:color="auto" w:fill="auto"/>
            <w:vAlign w:val="center"/>
          </w:tcPr>
          <w:p w:rsidR="001C61C9" w:rsidRPr="00A75DF9" w:rsidRDefault="001C61C9">
            <w:pPr>
              <w:pStyle w:val="TableText"/>
              <w:rPr>
                <w:rFonts w:ascii="Tahoma" w:hAnsi="Tahoma" w:cs="Tahoma"/>
                <w:sz w:val="13"/>
              </w:rPr>
            </w:pPr>
          </w:p>
        </w:tc>
        <w:tc>
          <w:tcPr>
            <w:tcW w:w="396" w:type="dxa"/>
            <w:gridSpan w:val="2"/>
            <w:tcBorders>
              <w:left w:val="single" w:sz="18" w:space="0" w:color="auto"/>
              <w:bottom w:val="single" w:sz="4" w:space="0" w:color="auto"/>
            </w:tcBorders>
            <w:shd w:val="clear" w:color="auto" w:fill="auto"/>
            <w:vAlign w:val="center"/>
          </w:tcPr>
          <w:p w:rsidR="001C61C9" w:rsidRPr="00A75DF9" w:rsidRDefault="001C61C9">
            <w:pPr>
              <w:pStyle w:val="TableText"/>
              <w:rPr>
                <w:rFonts w:ascii="Tahoma" w:hAnsi="Tahoma" w:cs="Tahoma"/>
                <w:sz w:val="13"/>
              </w:rPr>
            </w:pPr>
            <w:r w:rsidRPr="00A75DF9">
              <w:rPr>
                <w:rFonts w:ascii="Tahoma" w:hAnsi="Tahoma" w:cs="Tahoma"/>
                <w:sz w:val="13"/>
              </w:rPr>
              <w:t>2</w:t>
            </w:r>
          </w:p>
        </w:tc>
        <w:tc>
          <w:tcPr>
            <w:tcW w:w="362" w:type="dxa"/>
            <w:tcBorders>
              <w:bottom w:val="single" w:sz="4" w:space="0" w:color="auto"/>
            </w:tcBorders>
            <w:shd w:val="clear" w:color="auto" w:fill="auto"/>
            <w:vAlign w:val="center"/>
          </w:tcPr>
          <w:p w:rsidR="001C61C9" w:rsidRPr="00A75DF9" w:rsidRDefault="001C61C9">
            <w:pPr>
              <w:pStyle w:val="TableText"/>
              <w:rPr>
                <w:rFonts w:ascii="Tahoma" w:hAnsi="Tahoma" w:cs="Tahoma"/>
                <w:sz w:val="13"/>
              </w:rPr>
            </w:pPr>
          </w:p>
        </w:tc>
        <w:tc>
          <w:tcPr>
            <w:tcW w:w="450" w:type="dxa"/>
            <w:tcBorders>
              <w:bottom w:val="single" w:sz="4" w:space="0" w:color="auto"/>
            </w:tcBorders>
            <w:shd w:val="clear" w:color="auto" w:fill="auto"/>
            <w:vAlign w:val="center"/>
          </w:tcPr>
          <w:p w:rsidR="001C61C9" w:rsidRPr="00A75DF9" w:rsidRDefault="001C61C9">
            <w:pPr>
              <w:pStyle w:val="TableText"/>
              <w:rPr>
                <w:rFonts w:ascii="Tahoma" w:hAnsi="Tahoma" w:cs="Tahoma"/>
                <w:sz w:val="13"/>
              </w:rPr>
            </w:pPr>
          </w:p>
        </w:tc>
        <w:tc>
          <w:tcPr>
            <w:tcW w:w="450" w:type="dxa"/>
            <w:tcBorders>
              <w:bottom w:val="single" w:sz="4" w:space="0" w:color="auto"/>
            </w:tcBorders>
            <w:shd w:val="clear" w:color="auto" w:fill="auto"/>
            <w:vAlign w:val="center"/>
          </w:tcPr>
          <w:p w:rsidR="001C61C9" w:rsidRPr="00A75DF9" w:rsidRDefault="001C61C9">
            <w:pPr>
              <w:pStyle w:val="TableText"/>
              <w:rPr>
                <w:rFonts w:ascii="Tahoma" w:hAnsi="Tahoma" w:cs="Tahoma"/>
                <w:sz w:val="13"/>
              </w:rPr>
            </w:pPr>
          </w:p>
        </w:tc>
        <w:tc>
          <w:tcPr>
            <w:tcW w:w="450" w:type="dxa"/>
            <w:tcBorders>
              <w:bottom w:val="single" w:sz="4" w:space="0" w:color="auto"/>
            </w:tcBorders>
            <w:shd w:val="clear" w:color="auto" w:fill="auto"/>
            <w:vAlign w:val="center"/>
          </w:tcPr>
          <w:p w:rsidR="001C61C9" w:rsidRPr="00A75DF9" w:rsidRDefault="001C61C9">
            <w:pPr>
              <w:pStyle w:val="TableText"/>
              <w:rPr>
                <w:rFonts w:ascii="Tahoma" w:hAnsi="Tahoma" w:cs="Tahoma"/>
                <w:sz w:val="13"/>
              </w:rPr>
            </w:pPr>
          </w:p>
        </w:tc>
        <w:tc>
          <w:tcPr>
            <w:tcW w:w="450" w:type="dxa"/>
            <w:tcBorders>
              <w:bottom w:val="single" w:sz="4" w:space="0" w:color="auto"/>
            </w:tcBorders>
            <w:shd w:val="clear" w:color="auto" w:fill="auto"/>
            <w:vAlign w:val="center"/>
          </w:tcPr>
          <w:p w:rsidR="001C61C9" w:rsidRPr="00A75DF9" w:rsidRDefault="001C61C9">
            <w:pPr>
              <w:pStyle w:val="TableText"/>
              <w:rPr>
                <w:rFonts w:ascii="Tahoma" w:hAnsi="Tahoma" w:cs="Tahoma"/>
                <w:sz w:val="13"/>
              </w:rPr>
            </w:pPr>
          </w:p>
        </w:tc>
        <w:tc>
          <w:tcPr>
            <w:tcW w:w="394" w:type="dxa"/>
            <w:tcBorders>
              <w:bottom w:val="single" w:sz="4" w:space="0" w:color="auto"/>
              <w:right w:val="single" w:sz="18" w:space="0" w:color="auto"/>
            </w:tcBorders>
            <w:shd w:val="clear" w:color="auto" w:fill="auto"/>
            <w:vAlign w:val="center"/>
          </w:tcPr>
          <w:p w:rsidR="001C61C9" w:rsidRPr="00A75DF9" w:rsidRDefault="001C61C9">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C61C9" w:rsidRPr="00A75DF9" w:rsidRDefault="001C61C9">
            <w:pPr>
              <w:pStyle w:val="TableText"/>
              <w:rPr>
                <w:rFonts w:ascii="Tahoma" w:hAnsi="Tahoma" w:cs="Tahoma"/>
                <w:sz w:val="13"/>
              </w:rPr>
            </w:pPr>
            <w:r w:rsidRPr="00A75DF9">
              <w:rPr>
                <w:rFonts w:ascii="Tahoma" w:hAnsi="Tahoma" w:cs="Tahoma"/>
                <w:sz w:val="13"/>
              </w:rPr>
              <w:t>2</w:t>
            </w:r>
          </w:p>
        </w:tc>
        <w:tc>
          <w:tcPr>
            <w:tcW w:w="450" w:type="dxa"/>
            <w:tcBorders>
              <w:bottom w:val="single" w:sz="4" w:space="0" w:color="auto"/>
            </w:tcBorders>
            <w:shd w:val="clear" w:color="auto" w:fill="auto"/>
            <w:vAlign w:val="center"/>
          </w:tcPr>
          <w:p w:rsidR="001C61C9" w:rsidRPr="00A75DF9" w:rsidRDefault="001C61C9">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C61C9" w:rsidRPr="00A75DF9" w:rsidRDefault="001C61C9">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C61C9" w:rsidRPr="00A75DF9" w:rsidRDefault="001C61C9">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C61C9" w:rsidRPr="00A75DF9" w:rsidRDefault="001C61C9">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C61C9" w:rsidRPr="00A75DF9" w:rsidRDefault="001C61C9">
            <w:pPr>
              <w:pStyle w:val="TableText"/>
              <w:rPr>
                <w:rFonts w:ascii="Tahoma" w:hAnsi="Tahoma" w:cs="Tahoma"/>
                <w:sz w:val="13"/>
              </w:rPr>
            </w:pPr>
          </w:p>
        </w:tc>
        <w:tc>
          <w:tcPr>
            <w:tcW w:w="450" w:type="dxa"/>
            <w:tcBorders>
              <w:bottom w:val="single" w:sz="4" w:space="0" w:color="auto"/>
            </w:tcBorders>
            <w:shd w:val="clear" w:color="auto" w:fill="auto"/>
          </w:tcPr>
          <w:p w:rsidR="001C61C9" w:rsidRPr="00A75DF9" w:rsidRDefault="001C61C9" w:rsidP="00A0765A">
            <w:pPr>
              <w:pStyle w:val="TableText"/>
              <w:spacing w:before="120"/>
              <w:rPr>
                <w:rFonts w:ascii="Tahoma" w:hAnsi="Tahoma" w:cs="Tahoma"/>
                <w:sz w:val="13"/>
              </w:rPr>
            </w:pPr>
          </w:p>
        </w:tc>
        <w:tc>
          <w:tcPr>
            <w:tcW w:w="540" w:type="dxa"/>
            <w:tcBorders>
              <w:bottom w:val="single" w:sz="4" w:space="0" w:color="auto"/>
            </w:tcBorders>
            <w:shd w:val="clear" w:color="auto" w:fill="auto"/>
            <w:vAlign w:val="center"/>
          </w:tcPr>
          <w:p w:rsidR="001C61C9" w:rsidRPr="00A75DF9" w:rsidRDefault="001C61C9">
            <w:pPr>
              <w:pStyle w:val="TableText"/>
              <w:rPr>
                <w:rFonts w:ascii="Tahoma" w:hAnsi="Tahoma" w:cs="Tahoma"/>
                <w:sz w:val="13"/>
              </w:rPr>
            </w:pPr>
          </w:p>
        </w:tc>
      </w:tr>
      <w:tr w:rsidR="00B50A5B" w:rsidRPr="00A75DF9" w:rsidTr="00337A7D">
        <w:trPr>
          <w:trHeight w:val="145"/>
        </w:trPr>
        <w:tc>
          <w:tcPr>
            <w:tcW w:w="2610" w:type="dxa"/>
            <w:tcBorders>
              <w:bottom w:val="single" w:sz="4" w:space="0" w:color="auto"/>
            </w:tcBorders>
            <w:shd w:val="clear" w:color="auto" w:fill="FABF8F"/>
          </w:tcPr>
          <w:p w:rsidR="00B27742" w:rsidRPr="00A75DF9" w:rsidRDefault="00B27742" w:rsidP="00F70479">
            <w:pPr>
              <w:pStyle w:val="ProductNames"/>
              <w:rPr>
                <w:rFonts w:ascii="Tahoma" w:hAnsi="Tahoma" w:cs="Tahoma"/>
                <w:sz w:val="14"/>
              </w:rPr>
            </w:pPr>
            <w:bookmarkStart w:id="130" w:name="_Toc336337901"/>
            <w:bookmarkStart w:id="131" w:name="_Toc368309913"/>
            <w:r w:rsidRPr="00A75DF9">
              <w:rPr>
                <w:rFonts w:ascii="Tahoma" w:hAnsi="Tahoma" w:cs="Tahoma"/>
                <w:sz w:val="14"/>
              </w:rPr>
              <w:t>Diritti di Noleggio per Windows</w:t>
            </w:r>
            <w:bookmarkEnd w:id="130"/>
            <w:bookmarkEnd w:id="131"/>
          </w:p>
        </w:tc>
        <w:tc>
          <w:tcPr>
            <w:tcW w:w="450" w:type="dxa"/>
            <w:tcBorders>
              <w:bottom w:val="single" w:sz="4" w:space="0" w:color="auto"/>
            </w:tcBorders>
            <w:shd w:val="clear" w:color="auto" w:fill="FABF8F"/>
            <w:vAlign w:val="center"/>
          </w:tcPr>
          <w:p w:rsidR="00B27742" w:rsidRPr="00337A7D" w:rsidRDefault="00B54770" w:rsidP="008A7B14">
            <w:pPr>
              <w:pStyle w:val="TableText"/>
              <w:widowControl w:val="0"/>
              <w:rPr>
                <w:rFonts w:cs="Tahoma"/>
                <w:b/>
                <w:sz w:val="13"/>
                <w:szCs w:val="13"/>
              </w:rPr>
            </w:pPr>
            <w:hyperlink w:anchor="_29_30_Windows" w:history="1">
              <w:r w:rsidR="00734B17" w:rsidRPr="00337A7D">
                <w:rPr>
                  <w:rStyle w:val="Hyperlink"/>
                  <w:rFonts w:cs="Tahoma"/>
                  <w:b/>
                  <w:sz w:val="13"/>
                  <w:szCs w:val="13"/>
                </w:rPr>
                <w:t>30</w:t>
              </w:r>
            </w:hyperlink>
          </w:p>
        </w:tc>
        <w:tc>
          <w:tcPr>
            <w:tcW w:w="450" w:type="dxa"/>
            <w:tcBorders>
              <w:bottom w:val="single" w:sz="4" w:space="0" w:color="auto"/>
            </w:tcBorders>
            <w:shd w:val="clear" w:color="auto" w:fill="FABF8F"/>
            <w:vAlign w:val="center"/>
          </w:tcPr>
          <w:p w:rsidR="00B27742" w:rsidRPr="00A75DF9" w:rsidRDefault="00B27742" w:rsidP="004D199A">
            <w:pPr>
              <w:pStyle w:val="TableText"/>
              <w:rPr>
                <w:rFonts w:ascii="Tahoma" w:hAnsi="Tahoma" w:cs="Tahoma"/>
                <w:sz w:val="13"/>
              </w:rPr>
            </w:pPr>
            <w:r w:rsidRPr="00A75DF9">
              <w:rPr>
                <w:rFonts w:ascii="Tahoma" w:hAnsi="Tahoma" w:cs="Tahoma"/>
                <w:sz w:val="13"/>
              </w:rPr>
              <w:t>04/09</w:t>
            </w:r>
          </w:p>
        </w:tc>
        <w:tc>
          <w:tcPr>
            <w:tcW w:w="378" w:type="dxa"/>
            <w:tcBorders>
              <w:bottom w:val="single" w:sz="4" w:space="0" w:color="auto"/>
              <w:right w:val="single" w:sz="18" w:space="0" w:color="auto"/>
            </w:tcBorders>
            <w:shd w:val="clear" w:color="auto" w:fill="FABF8F"/>
            <w:vAlign w:val="center"/>
          </w:tcPr>
          <w:p w:rsidR="00B27742" w:rsidRPr="00A75DF9" w:rsidRDefault="00B27742">
            <w:pPr>
              <w:pStyle w:val="TableText"/>
              <w:rPr>
                <w:rFonts w:ascii="Tahoma" w:hAnsi="Tahoma" w:cs="Tahoma"/>
                <w:sz w:val="13"/>
              </w:rPr>
            </w:pPr>
          </w:p>
        </w:tc>
        <w:tc>
          <w:tcPr>
            <w:tcW w:w="396" w:type="dxa"/>
            <w:gridSpan w:val="2"/>
            <w:tcBorders>
              <w:left w:val="single" w:sz="18" w:space="0" w:color="auto"/>
              <w:bottom w:val="single" w:sz="4" w:space="0" w:color="auto"/>
            </w:tcBorders>
            <w:shd w:val="clear" w:color="auto" w:fill="FABF8F"/>
            <w:vAlign w:val="center"/>
          </w:tcPr>
          <w:p w:rsidR="00B27742" w:rsidRPr="00A75DF9" w:rsidRDefault="00391582">
            <w:pPr>
              <w:pStyle w:val="TableText"/>
              <w:rPr>
                <w:rFonts w:ascii="Tahoma" w:hAnsi="Tahoma" w:cs="Tahoma"/>
                <w:sz w:val="13"/>
              </w:rPr>
            </w:pPr>
            <w:r w:rsidRPr="00A75DF9">
              <w:rPr>
                <w:rFonts w:ascii="Tahoma" w:hAnsi="Tahoma" w:cs="Tahoma"/>
                <w:sz w:val="13"/>
              </w:rPr>
              <w:t>2</w:t>
            </w:r>
          </w:p>
        </w:tc>
        <w:tc>
          <w:tcPr>
            <w:tcW w:w="362" w:type="dxa"/>
            <w:tcBorders>
              <w:bottom w:val="single" w:sz="4" w:space="0" w:color="auto"/>
            </w:tcBorders>
            <w:shd w:val="clear" w:color="auto" w:fill="FABF8F"/>
            <w:vAlign w:val="center"/>
          </w:tcPr>
          <w:p w:rsidR="00B27742" w:rsidRPr="00A75DF9" w:rsidRDefault="00B27742">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A75DF9" w:rsidRDefault="00B27742">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A75DF9" w:rsidRDefault="00B27742">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A75DF9" w:rsidRDefault="00B27742">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A75DF9" w:rsidRDefault="00B27742">
            <w:pPr>
              <w:pStyle w:val="TableText"/>
              <w:rPr>
                <w:rFonts w:ascii="Tahoma" w:hAnsi="Tahoma" w:cs="Tahoma"/>
                <w:sz w:val="13"/>
              </w:rPr>
            </w:pPr>
          </w:p>
        </w:tc>
        <w:tc>
          <w:tcPr>
            <w:tcW w:w="394" w:type="dxa"/>
            <w:tcBorders>
              <w:bottom w:val="single" w:sz="4" w:space="0" w:color="auto"/>
              <w:right w:val="single" w:sz="18" w:space="0" w:color="auto"/>
            </w:tcBorders>
            <w:shd w:val="clear" w:color="auto" w:fill="FABF8F"/>
            <w:vAlign w:val="center"/>
          </w:tcPr>
          <w:p w:rsidR="00B27742" w:rsidRPr="00A75DF9"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27742" w:rsidRPr="00A75DF9" w:rsidRDefault="00391582">
            <w:pPr>
              <w:pStyle w:val="TableText"/>
              <w:rPr>
                <w:rFonts w:ascii="Tahoma" w:hAnsi="Tahoma" w:cs="Tahoma"/>
                <w:sz w:val="13"/>
              </w:rPr>
            </w:pPr>
            <w:r w:rsidRPr="00A75DF9">
              <w:rPr>
                <w:rFonts w:ascii="Tahoma" w:hAnsi="Tahoma" w:cs="Tahoma"/>
                <w:sz w:val="13"/>
              </w:rPr>
              <w:t>2</w:t>
            </w:r>
          </w:p>
        </w:tc>
        <w:tc>
          <w:tcPr>
            <w:tcW w:w="450" w:type="dxa"/>
            <w:tcBorders>
              <w:bottom w:val="single" w:sz="4" w:space="0" w:color="auto"/>
            </w:tcBorders>
            <w:shd w:val="clear" w:color="auto" w:fill="FABF8F"/>
            <w:vAlign w:val="center"/>
          </w:tcPr>
          <w:p w:rsidR="00B27742" w:rsidRPr="00A75DF9" w:rsidRDefault="00B27742">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A75DF9" w:rsidRDefault="00B27742">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27742" w:rsidRPr="00A75DF9" w:rsidRDefault="00B27742">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A75DF9" w:rsidRDefault="00B27742">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B27742" w:rsidRPr="00A75DF9" w:rsidRDefault="00B27742">
            <w:pPr>
              <w:pStyle w:val="TableText"/>
              <w:rPr>
                <w:rFonts w:ascii="Tahoma" w:hAnsi="Tahoma" w:cs="Tahoma"/>
                <w:sz w:val="13"/>
              </w:rPr>
            </w:pPr>
          </w:p>
        </w:tc>
        <w:tc>
          <w:tcPr>
            <w:tcW w:w="450" w:type="dxa"/>
            <w:tcBorders>
              <w:bottom w:val="single" w:sz="4" w:space="0" w:color="auto"/>
            </w:tcBorders>
            <w:shd w:val="clear" w:color="auto" w:fill="FABF8F"/>
          </w:tcPr>
          <w:p w:rsidR="00B27742" w:rsidRPr="00A75DF9" w:rsidRDefault="00B27742" w:rsidP="00A0765A">
            <w:pPr>
              <w:pStyle w:val="TableText"/>
              <w:spacing w:before="120"/>
              <w:rPr>
                <w:rFonts w:ascii="Tahoma" w:hAnsi="Tahoma" w:cs="Tahoma"/>
                <w:sz w:val="13"/>
              </w:rPr>
            </w:pPr>
          </w:p>
        </w:tc>
        <w:tc>
          <w:tcPr>
            <w:tcW w:w="540" w:type="dxa"/>
            <w:tcBorders>
              <w:bottom w:val="single" w:sz="4" w:space="0" w:color="auto"/>
            </w:tcBorders>
            <w:shd w:val="clear" w:color="auto" w:fill="FABF8F"/>
            <w:vAlign w:val="center"/>
          </w:tcPr>
          <w:p w:rsidR="00B27742" w:rsidRPr="00A75DF9" w:rsidRDefault="00B27742">
            <w:pPr>
              <w:pStyle w:val="TableText"/>
              <w:rPr>
                <w:rFonts w:ascii="Tahoma" w:hAnsi="Tahoma" w:cs="Tahoma"/>
                <w:sz w:val="13"/>
              </w:rPr>
            </w:pPr>
          </w:p>
        </w:tc>
      </w:tr>
      <w:tr w:rsidR="00024DF4" w:rsidRPr="00A75DF9" w:rsidTr="00337A7D">
        <w:trPr>
          <w:trHeight w:val="145"/>
        </w:trPr>
        <w:tc>
          <w:tcPr>
            <w:tcW w:w="2610" w:type="dxa"/>
            <w:tcBorders>
              <w:bottom w:val="single" w:sz="4" w:space="0" w:color="auto"/>
            </w:tcBorders>
            <w:shd w:val="clear" w:color="auto" w:fill="auto"/>
          </w:tcPr>
          <w:p w:rsidR="00024DF4" w:rsidRPr="00A75DF9" w:rsidRDefault="00D513A8" w:rsidP="00D513A8">
            <w:pPr>
              <w:pStyle w:val="ProductNames"/>
              <w:rPr>
                <w:rFonts w:ascii="Tahoma" w:hAnsi="Tahoma" w:cs="Tahoma"/>
                <w:sz w:val="14"/>
              </w:rPr>
            </w:pPr>
            <w:bookmarkStart w:id="132" w:name="_Toc336337903"/>
            <w:bookmarkStart w:id="133" w:name="_Toc336337902"/>
            <w:bookmarkStart w:id="134" w:name="_Toc368309914"/>
            <w:r w:rsidRPr="00A75DF9">
              <w:rPr>
                <w:rFonts w:ascii="Tahoma" w:hAnsi="Tahoma" w:cs="Tahoma"/>
                <w:sz w:val="14"/>
              </w:rPr>
              <w:t>Windows</w:t>
            </w:r>
            <w:r w:rsidR="009D5D7B" w:rsidRPr="00A75DF9">
              <w:rPr>
                <w:rFonts w:ascii="Tahoma" w:hAnsi="Tahoma" w:cs="Tahoma"/>
                <w:sz w:val="14"/>
                <w:vertAlign w:val="superscript"/>
              </w:rPr>
              <w:t>®</w:t>
            </w:r>
            <w:r w:rsidRPr="00A75DF9">
              <w:rPr>
                <w:rFonts w:ascii="Tahoma" w:hAnsi="Tahoma" w:cs="Tahoma"/>
                <w:sz w:val="14"/>
              </w:rPr>
              <w:t xml:space="preserve"> 7 Partners in Learning</w:t>
            </w:r>
            <w:bookmarkEnd w:id="132"/>
            <w:bookmarkEnd w:id="134"/>
            <w:r w:rsidRPr="00A75DF9">
              <w:rPr>
                <w:rFonts w:ascii="Tahoma" w:hAnsi="Tahoma" w:cs="Tahoma"/>
                <w:sz w:val="14"/>
              </w:rPr>
              <w:t xml:space="preserve"> </w:t>
            </w:r>
            <w:bookmarkEnd w:id="133"/>
          </w:p>
        </w:tc>
        <w:tc>
          <w:tcPr>
            <w:tcW w:w="450" w:type="dxa"/>
            <w:tcBorders>
              <w:bottom w:val="single" w:sz="4" w:space="0" w:color="auto"/>
            </w:tcBorders>
            <w:shd w:val="clear" w:color="auto" w:fill="auto"/>
            <w:vAlign w:val="center"/>
          </w:tcPr>
          <w:p w:rsidR="00024DF4" w:rsidRPr="00337A7D" w:rsidRDefault="00B54770" w:rsidP="00D2429E">
            <w:pPr>
              <w:pStyle w:val="TableText"/>
              <w:widowControl w:val="0"/>
              <w:rPr>
                <w:rFonts w:cs="Tahoma"/>
                <w:b/>
                <w:sz w:val="13"/>
                <w:szCs w:val="13"/>
                <w:u w:val="single"/>
              </w:rPr>
            </w:pPr>
            <w:hyperlink w:anchor="_30_Windows®_7" w:history="1">
              <w:r w:rsidR="00734B17" w:rsidRPr="00337A7D">
                <w:rPr>
                  <w:rStyle w:val="Hyperlink"/>
                  <w:rFonts w:cs="Tahoma"/>
                  <w:b/>
                  <w:sz w:val="13"/>
                  <w:szCs w:val="13"/>
                </w:rPr>
                <w:t>31</w:t>
              </w:r>
            </w:hyperlink>
          </w:p>
        </w:tc>
        <w:tc>
          <w:tcPr>
            <w:tcW w:w="450" w:type="dxa"/>
            <w:tcBorders>
              <w:bottom w:val="single" w:sz="4" w:space="0" w:color="auto"/>
            </w:tcBorders>
            <w:shd w:val="clear" w:color="auto" w:fill="auto"/>
          </w:tcPr>
          <w:p w:rsidR="00024DF4" w:rsidRPr="00A75DF9" w:rsidRDefault="00D513A8" w:rsidP="009124DC">
            <w:pPr>
              <w:pStyle w:val="TableText"/>
              <w:spacing w:before="120"/>
              <w:rPr>
                <w:rFonts w:ascii="Tahoma" w:hAnsi="Tahoma" w:cs="Tahoma"/>
                <w:sz w:val="13"/>
              </w:rPr>
            </w:pPr>
            <w:r w:rsidRPr="00A75DF9">
              <w:rPr>
                <w:rFonts w:ascii="Tahoma" w:hAnsi="Tahoma" w:cs="Tahoma"/>
                <w:sz w:val="13"/>
              </w:rPr>
              <w:t>11/09</w:t>
            </w:r>
          </w:p>
        </w:tc>
        <w:tc>
          <w:tcPr>
            <w:tcW w:w="378" w:type="dxa"/>
            <w:tcBorders>
              <w:bottom w:val="single" w:sz="4" w:space="0" w:color="auto"/>
              <w:right w:val="single" w:sz="18" w:space="0" w:color="auto"/>
            </w:tcBorders>
            <w:shd w:val="clear" w:color="auto" w:fill="auto"/>
            <w:vAlign w:val="center"/>
          </w:tcPr>
          <w:p w:rsidR="00024DF4" w:rsidRPr="00A75DF9" w:rsidRDefault="00024DF4">
            <w:pPr>
              <w:pStyle w:val="TableText"/>
              <w:rPr>
                <w:rFonts w:ascii="Tahoma" w:hAnsi="Tahoma" w:cs="Tahoma"/>
                <w:sz w:val="13"/>
              </w:rPr>
            </w:pPr>
            <w:r w:rsidRPr="00A75DF9">
              <w:rPr>
                <w:rFonts w:ascii="Tahoma" w:hAnsi="Tahoma" w:cs="Tahoma"/>
                <w:sz w:val="13"/>
              </w:rPr>
              <w:t>DT</w:t>
            </w:r>
          </w:p>
        </w:tc>
        <w:tc>
          <w:tcPr>
            <w:tcW w:w="2952" w:type="dxa"/>
            <w:gridSpan w:val="8"/>
            <w:tcBorders>
              <w:left w:val="single" w:sz="18" w:space="0" w:color="auto"/>
              <w:bottom w:val="single" w:sz="4" w:space="0" w:color="auto"/>
              <w:right w:val="single" w:sz="18" w:space="0" w:color="auto"/>
            </w:tcBorders>
            <w:shd w:val="clear" w:color="auto" w:fill="auto"/>
            <w:vAlign w:val="center"/>
          </w:tcPr>
          <w:p w:rsidR="00024DF4" w:rsidRPr="00A75DF9" w:rsidRDefault="00024DF4">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024DF4" w:rsidRPr="00A75DF9" w:rsidRDefault="00024DF4">
            <w:pPr>
              <w:pStyle w:val="TableText"/>
              <w:rPr>
                <w:rFonts w:ascii="Tahoma" w:hAnsi="Tahoma" w:cs="Tahoma"/>
                <w:sz w:val="13"/>
              </w:rPr>
            </w:pPr>
          </w:p>
        </w:tc>
        <w:tc>
          <w:tcPr>
            <w:tcW w:w="450" w:type="dxa"/>
            <w:tcBorders>
              <w:bottom w:val="single" w:sz="4" w:space="0" w:color="auto"/>
            </w:tcBorders>
            <w:shd w:val="clear" w:color="auto" w:fill="auto"/>
            <w:vAlign w:val="center"/>
          </w:tcPr>
          <w:p w:rsidR="00024DF4" w:rsidRPr="00A75DF9" w:rsidRDefault="00024DF4">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024DF4" w:rsidRPr="00A75DF9" w:rsidRDefault="00024DF4">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024DF4" w:rsidRPr="00A75DF9" w:rsidRDefault="00D513A8">
            <w:pPr>
              <w:pStyle w:val="TableText"/>
              <w:rPr>
                <w:rFonts w:ascii="Tahoma" w:hAnsi="Tahoma" w:cs="Tahoma"/>
                <w:sz w:val="13"/>
              </w:rPr>
            </w:pPr>
            <w:r w:rsidRPr="00A75DF9">
              <w:rPr>
                <w:rFonts w:ascii="Tahoma" w:hAnsi="Tahoma" w:cs="Tahoma"/>
                <w:sz w:val="13"/>
              </w:rPr>
              <w:t xml:space="preserve">2 </w:t>
            </w:r>
            <w:r w:rsidRPr="00A75DF9">
              <w:rPr>
                <w:rFonts w:ascii="Tahoma" w:hAnsi="Tahoma" w:cs="Tahoma"/>
                <w:sz w:val="10"/>
                <w:szCs w:val="12"/>
              </w:rPr>
              <w:t>(solo School)</w:t>
            </w:r>
          </w:p>
        </w:tc>
        <w:tc>
          <w:tcPr>
            <w:tcW w:w="450" w:type="dxa"/>
            <w:tcBorders>
              <w:bottom w:val="single" w:sz="4" w:space="0" w:color="auto"/>
              <w:right w:val="single" w:sz="18" w:space="0" w:color="auto"/>
            </w:tcBorders>
            <w:shd w:val="clear" w:color="auto" w:fill="auto"/>
            <w:vAlign w:val="center"/>
          </w:tcPr>
          <w:p w:rsidR="00024DF4" w:rsidRPr="00A75DF9" w:rsidRDefault="00024DF4">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024DF4" w:rsidRPr="00A75DF9" w:rsidRDefault="00024DF4">
            <w:pPr>
              <w:pStyle w:val="TableText"/>
              <w:rPr>
                <w:rFonts w:ascii="Tahoma" w:hAnsi="Tahoma" w:cs="Tahoma"/>
                <w:sz w:val="13"/>
              </w:rPr>
            </w:pPr>
          </w:p>
        </w:tc>
        <w:tc>
          <w:tcPr>
            <w:tcW w:w="450" w:type="dxa"/>
            <w:tcBorders>
              <w:bottom w:val="single" w:sz="4" w:space="0" w:color="auto"/>
            </w:tcBorders>
            <w:shd w:val="clear" w:color="auto" w:fill="auto"/>
          </w:tcPr>
          <w:p w:rsidR="00024DF4" w:rsidRPr="00A75DF9" w:rsidRDefault="00024DF4" w:rsidP="00A0765A">
            <w:pPr>
              <w:pStyle w:val="TableText"/>
              <w:spacing w:before="120"/>
              <w:rPr>
                <w:rFonts w:ascii="Tahoma" w:hAnsi="Tahoma" w:cs="Tahoma"/>
                <w:sz w:val="13"/>
              </w:rPr>
            </w:pPr>
          </w:p>
        </w:tc>
        <w:tc>
          <w:tcPr>
            <w:tcW w:w="540" w:type="dxa"/>
            <w:tcBorders>
              <w:bottom w:val="single" w:sz="4" w:space="0" w:color="auto"/>
            </w:tcBorders>
            <w:shd w:val="clear" w:color="auto" w:fill="auto"/>
            <w:vAlign w:val="center"/>
          </w:tcPr>
          <w:p w:rsidR="00024DF4" w:rsidRPr="00A75DF9" w:rsidRDefault="00024DF4">
            <w:pPr>
              <w:pStyle w:val="TableText"/>
              <w:rPr>
                <w:rFonts w:ascii="Tahoma" w:hAnsi="Tahoma" w:cs="Tahoma"/>
                <w:sz w:val="13"/>
              </w:rPr>
            </w:pPr>
          </w:p>
        </w:tc>
      </w:tr>
      <w:tr w:rsidR="00F23DD6" w:rsidRPr="00A75DF9" w:rsidTr="00337A7D">
        <w:trPr>
          <w:trHeight w:val="145"/>
        </w:trPr>
        <w:tc>
          <w:tcPr>
            <w:tcW w:w="2610" w:type="dxa"/>
            <w:tcBorders>
              <w:bottom w:val="single" w:sz="4" w:space="0" w:color="auto"/>
            </w:tcBorders>
            <w:shd w:val="clear" w:color="auto" w:fill="FABF8F"/>
          </w:tcPr>
          <w:p w:rsidR="001C61C9" w:rsidRPr="00A75DF9" w:rsidRDefault="001C61C9" w:rsidP="00337A7D">
            <w:pPr>
              <w:pStyle w:val="ProductNames"/>
              <w:rPr>
                <w:rFonts w:ascii="Tahoma" w:hAnsi="Tahoma" w:cs="Tahoma"/>
                <w:sz w:val="14"/>
              </w:rPr>
            </w:pPr>
            <w:bookmarkStart w:id="135" w:name="_Toc368309915"/>
            <w:r w:rsidRPr="00A75DF9">
              <w:rPr>
                <w:rFonts w:ascii="Tahoma" w:hAnsi="Tahoma" w:cs="Tahoma"/>
                <w:sz w:val="14"/>
              </w:rPr>
              <w:t>Windows 8 Enterprise Sideloading (100</w:t>
            </w:r>
            <w:r w:rsidR="00337A7D">
              <w:rPr>
                <w:rFonts w:ascii="Tahoma" w:hAnsi="Tahoma" w:cs="Tahoma"/>
                <w:sz w:val="14"/>
              </w:rPr>
              <w:t> </w:t>
            </w:r>
            <w:r w:rsidRPr="00A75DF9">
              <w:rPr>
                <w:rFonts w:ascii="Tahoma" w:hAnsi="Tahoma" w:cs="Tahoma"/>
                <w:sz w:val="14"/>
              </w:rPr>
              <w:t>Confezioni)</w:t>
            </w:r>
            <w:bookmarkEnd w:id="135"/>
          </w:p>
        </w:tc>
        <w:tc>
          <w:tcPr>
            <w:tcW w:w="450" w:type="dxa"/>
            <w:tcBorders>
              <w:bottom w:val="single" w:sz="4" w:space="0" w:color="auto"/>
            </w:tcBorders>
            <w:shd w:val="clear" w:color="auto" w:fill="FABF8F"/>
            <w:vAlign w:val="center"/>
          </w:tcPr>
          <w:p w:rsidR="001C61C9" w:rsidRPr="00337A7D" w:rsidRDefault="00B54770" w:rsidP="003D5C46">
            <w:pPr>
              <w:pStyle w:val="TableText"/>
              <w:widowControl w:val="0"/>
              <w:rPr>
                <w:rFonts w:cs="Tahoma"/>
              </w:rPr>
            </w:pPr>
            <w:hyperlink w:anchor="_28_Windows®_8" w:history="1">
              <w:r w:rsidR="00734B17" w:rsidRPr="00337A7D">
                <w:rPr>
                  <w:rStyle w:val="Hyperlink"/>
                  <w:rFonts w:cs="Tahoma"/>
                  <w:b/>
                  <w:sz w:val="13"/>
                  <w:szCs w:val="13"/>
                </w:rPr>
                <w:t>32</w:t>
              </w:r>
            </w:hyperlink>
          </w:p>
        </w:tc>
        <w:tc>
          <w:tcPr>
            <w:tcW w:w="450" w:type="dxa"/>
            <w:tcBorders>
              <w:bottom w:val="single" w:sz="4" w:space="0" w:color="auto"/>
            </w:tcBorders>
            <w:shd w:val="clear" w:color="auto" w:fill="FABF8F"/>
          </w:tcPr>
          <w:p w:rsidR="001C61C9" w:rsidRPr="00A75DF9" w:rsidRDefault="001C61C9" w:rsidP="009124DC">
            <w:pPr>
              <w:pStyle w:val="TableText"/>
              <w:spacing w:before="120"/>
              <w:rPr>
                <w:rFonts w:ascii="Tahoma" w:hAnsi="Tahoma" w:cs="Tahoma"/>
                <w:sz w:val="13"/>
              </w:rPr>
            </w:pPr>
            <w:r w:rsidRPr="00A75DF9">
              <w:rPr>
                <w:rFonts w:ascii="Tahoma" w:hAnsi="Tahoma" w:cs="Tahoma"/>
                <w:sz w:val="13"/>
              </w:rPr>
              <w:t>09/12</w:t>
            </w:r>
          </w:p>
        </w:tc>
        <w:tc>
          <w:tcPr>
            <w:tcW w:w="378" w:type="dxa"/>
            <w:tcBorders>
              <w:bottom w:val="single" w:sz="4" w:space="0" w:color="auto"/>
              <w:right w:val="single" w:sz="18" w:space="0" w:color="auto"/>
            </w:tcBorders>
            <w:shd w:val="clear" w:color="auto" w:fill="FABF8F"/>
            <w:vAlign w:val="center"/>
          </w:tcPr>
          <w:p w:rsidR="001C61C9" w:rsidRPr="00A75DF9" w:rsidRDefault="001C61C9">
            <w:pPr>
              <w:pStyle w:val="TableText"/>
              <w:rPr>
                <w:rFonts w:ascii="Tahoma" w:hAnsi="Tahoma" w:cs="Tahoma"/>
                <w:sz w:val="13"/>
              </w:rPr>
            </w:pPr>
          </w:p>
        </w:tc>
        <w:tc>
          <w:tcPr>
            <w:tcW w:w="378" w:type="dxa"/>
            <w:tcBorders>
              <w:left w:val="single" w:sz="18" w:space="0" w:color="auto"/>
              <w:bottom w:val="single" w:sz="4" w:space="0" w:color="auto"/>
            </w:tcBorders>
            <w:shd w:val="clear" w:color="auto" w:fill="FABF8F"/>
            <w:vAlign w:val="center"/>
          </w:tcPr>
          <w:p w:rsidR="001C61C9" w:rsidRPr="00A75DF9" w:rsidRDefault="001C61C9">
            <w:pPr>
              <w:pStyle w:val="TableText"/>
              <w:rPr>
                <w:rFonts w:ascii="Tahoma" w:hAnsi="Tahoma" w:cs="Tahoma"/>
                <w:sz w:val="13"/>
              </w:rPr>
            </w:pPr>
            <w:r w:rsidRPr="00A75DF9">
              <w:rPr>
                <w:rFonts w:ascii="Tahoma" w:hAnsi="Tahoma" w:cs="Tahoma"/>
                <w:sz w:val="13"/>
              </w:rPr>
              <w:t>12</w:t>
            </w:r>
          </w:p>
        </w:tc>
        <w:tc>
          <w:tcPr>
            <w:tcW w:w="380" w:type="dxa"/>
            <w:gridSpan w:val="2"/>
            <w:tcBorders>
              <w:bottom w:val="single" w:sz="4" w:space="0" w:color="auto"/>
            </w:tcBorders>
            <w:shd w:val="clear" w:color="auto" w:fill="FABF8F"/>
            <w:vAlign w:val="center"/>
          </w:tcPr>
          <w:p w:rsidR="001C61C9" w:rsidRPr="00A75DF9" w:rsidRDefault="001C61C9">
            <w:pPr>
              <w:pStyle w:val="TableText"/>
              <w:rPr>
                <w:rFonts w:ascii="Tahoma" w:hAnsi="Tahoma" w:cs="Tahoma"/>
                <w:sz w:val="13"/>
              </w:rPr>
            </w:pPr>
          </w:p>
        </w:tc>
        <w:tc>
          <w:tcPr>
            <w:tcW w:w="450" w:type="dxa"/>
            <w:tcBorders>
              <w:bottom w:val="single" w:sz="4" w:space="0" w:color="auto"/>
            </w:tcBorders>
            <w:shd w:val="clear" w:color="auto" w:fill="FABF8F"/>
            <w:vAlign w:val="center"/>
          </w:tcPr>
          <w:p w:rsidR="001C61C9" w:rsidRPr="00A75DF9" w:rsidRDefault="001C61C9">
            <w:pPr>
              <w:pStyle w:val="TableText"/>
              <w:rPr>
                <w:rFonts w:ascii="Tahoma" w:hAnsi="Tahoma" w:cs="Tahoma"/>
                <w:sz w:val="13"/>
              </w:rPr>
            </w:pPr>
          </w:p>
        </w:tc>
        <w:tc>
          <w:tcPr>
            <w:tcW w:w="450" w:type="dxa"/>
            <w:tcBorders>
              <w:bottom w:val="single" w:sz="4" w:space="0" w:color="auto"/>
            </w:tcBorders>
            <w:shd w:val="clear" w:color="auto" w:fill="FABF8F"/>
            <w:vAlign w:val="center"/>
          </w:tcPr>
          <w:p w:rsidR="001C61C9" w:rsidRPr="00A75DF9" w:rsidRDefault="001C61C9">
            <w:pPr>
              <w:pStyle w:val="TableText"/>
              <w:rPr>
                <w:rFonts w:ascii="Tahoma" w:hAnsi="Tahoma" w:cs="Tahoma"/>
                <w:sz w:val="13"/>
              </w:rPr>
            </w:pPr>
          </w:p>
        </w:tc>
        <w:tc>
          <w:tcPr>
            <w:tcW w:w="450" w:type="dxa"/>
            <w:tcBorders>
              <w:bottom w:val="single" w:sz="4" w:space="0" w:color="auto"/>
            </w:tcBorders>
            <w:shd w:val="clear" w:color="auto" w:fill="FABF8F"/>
            <w:vAlign w:val="center"/>
          </w:tcPr>
          <w:p w:rsidR="001C61C9" w:rsidRPr="00A75DF9" w:rsidRDefault="001C61C9">
            <w:pPr>
              <w:pStyle w:val="TableText"/>
              <w:rPr>
                <w:rFonts w:ascii="Tahoma" w:hAnsi="Tahoma" w:cs="Tahoma"/>
                <w:sz w:val="13"/>
              </w:rPr>
            </w:pPr>
          </w:p>
        </w:tc>
        <w:tc>
          <w:tcPr>
            <w:tcW w:w="450" w:type="dxa"/>
            <w:tcBorders>
              <w:bottom w:val="single" w:sz="4" w:space="0" w:color="auto"/>
            </w:tcBorders>
            <w:shd w:val="clear" w:color="auto" w:fill="FABF8F"/>
            <w:vAlign w:val="center"/>
          </w:tcPr>
          <w:p w:rsidR="001C61C9" w:rsidRPr="00A75DF9" w:rsidRDefault="001C61C9">
            <w:pPr>
              <w:pStyle w:val="TableText"/>
              <w:rPr>
                <w:rFonts w:ascii="Tahoma" w:hAnsi="Tahoma" w:cs="Tahoma"/>
                <w:sz w:val="13"/>
              </w:rPr>
            </w:pPr>
          </w:p>
        </w:tc>
        <w:tc>
          <w:tcPr>
            <w:tcW w:w="394" w:type="dxa"/>
            <w:tcBorders>
              <w:bottom w:val="single" w:sz="4" w:space="0" w:color="auto"/>
              <w:right w:val="single" w:sz="18" w:space="0" w:color="auto"/>
            </w:tcBorders>
            <w:shd w:val="clear" w:color="auto" w:fill="FABF8F"/>
            <w:vAlign w:val="center"/>
          </w:tcPr>
          <w:p w:rsidR="001C61C9" w:rsidRPr="00A75DF9" w:rsidRDefault="001C61C9">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C61C9" w:rsidRPr="00A75DF9" w:rsidRDefault="001C61C9">
            <w:pPr>
              <w:pStyle w:val="TableText"/>
              <w:rPr>
                <w:rFonts w:ascii="Tahoma" w:hAnsi="Tahoma" w:cs="Tahoma"/>
                <w:sz w:val="13"/>
              </w:rPr>
            </w:pPr>
            <w:r w:rsidRPr="00A75DF9">
              <w:rPr>
                <w:rFonts w:ascii="Tahoma" w:hAnsi="Tahoma" w:cs="Tahoma"/>
                <w:sz w:val="13"/>
              </w:rPr>
              <w:t>12</w:t>
            </w:r>
          </w:p>
        </w:tc>
        <w:tc>
          <w:tcPr>
            <w:tcW w:w="450" w:type="dxa"/>
            <w:tcBorders>
              <w:bottom w:val="single" w:sz="4" w:space="0" w:color="auto"/>
            </w:tcBorders>
            <w:shd w:val="clear" w:color="auto" w:fill="FABF8F"/>
            <w:vAlign w:val="center"/>
          </w:tcPr>
          <w:p w:rsidR="001C61C9" w:rsidRPr="00A75DF9" w:rsidRDefault="001C61C9">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C61C9" w:rsidRPr="00A75DF9" w:rsidRDefault="001C61C9">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C61C9" w:rsidRPr="00A75DF9" w:rsidRDefault="001C61C9">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C61C9" w:rsidRPr="00A75DF9" w:rsidRDefault="001C61C9">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C61C9" w:rsidRPr="00A75DF9" w:rsidRDefault="001C61C9">
            <w:pPr>
              <w:pStyle w:val="TableText"/>
              <w:rPr>
                <w:rFonts w:ascii="Tahoma" w:hAnsi="Tahoma" w:cs="Tahoma"/>
                <w:sz w:val="13"/>
              </w:rPr>
            </w:pPr>
          </w:p>
        </w:tc>
        <w:tc>
          <w:tcPr>
            <w:tcW w:w="450" w:type="dxa"/>
            <w:tcBorders>
              <w:bottom w:val="single" w:sz="4" w:space="0" w:color="auto"/>
            </w:tcBorders>
            <w:shd w:val="clear" w:color="auto" w:fill="FABF8F"/>
            <w:vAlign w:val="center"/>
          </w:tcPr>
          <w:p w:rsidR="001C61C9" w:rsidRPr="00A75DF9" w:rsidRDefault="001C61C9" w:rsidP="004000C7">
            <w:pPr>
              <w:pStyle w:val="TableText"/>
              <w:rPr>
                <w:rFonts w:ascii="Tahoma" w:hAnsi="Tahoma" w:cs="Tahoma"/>
                <w:sz w:val="13"/>
              </w:rPr>
            </w:pPr>
          </w:p>
        </w:tc>
        <w:tc>
          <w:tcPr>
            <w:tcW w:w="540" w:type="dxa"/>
            <w:tcBorders>
              <w:bottom w:val="single" w:sz="4" w:space="0" w:color="auto"/>
            </w:tcBorders>
            <w:shd w:val="clear" w:color="auto" w:fill="FABF8F"/>
            <w:vAlign w:val="center"/>
          </w:tcPr>
          <w:p w:rsidR="001C61C9" w:rsidRPr="00A75DF9" w:rsidRDefault="009D43FB">
            <w:pPr>
              <w:pStyle w:val="TableText"/>
              <w:rPr>
                <w:rFonts w:ascii="Tahoma" w:hAnsi="Tahoma" w:cs="Tahoma"/>
                <w:sz w:val="13"/>
              </w:rPr>
            </w:pPr>
            <w:r w:rsidRPr="00A75DF9">
              <w:rPr>
                <w:rFonts w:ascii="Tahoma" w:hAnsi="Tahoma" w:cs="Tahoma"/>
                <w:sz w:val="13"/>
              </w:rPr>
              <w:t>OL</w:t>
            </w:r>
          </w:p>
        </w:tc>
      </w:tr>
      <w:tr w:rsidR="00B50A5B" w:rsidRPr="00A75DF9" w:rsidTr="00337A7D">
        <w:trPr>
          <w:trHeight w:val="145"/>
        </w:trPr>
        <w:tc>
          <w:tcPr>
            <w:tcW w:w="2610" w:type="dxa"/>
            <w:tcBorders>
              <w:bottom w:val="single" w:sz="4" w:space="0" w:color="auto"/>
            </w:tcBorders>
            <w:shd w:val="clear" w:color="auto" w:fill="auto"/>
          </w:tcPr>
          <w:p w:rsidR="00B27742" w:rsidRPr="00A75DF9" w:rsidRDefault="00B27742" w:rsidP="00F70479">
            <w:pPr>
              <w:pStyle w:val="ProductNames"/>
              <w:rPr>
                <w:rFonts w:ascii="Tahoma" w:hAnsi="Tahoma" w:cs="Tahoma"/>
                <w:sz w:val="14"/>
              </w:rPr>
            </w:pPr>
            <w:bookmarkStart w:id="136" w:name="_Toc336337904"/>
            <w:bookmarkStart w:id="137" w:name="_Toc368309916"/>
            <w:r w:rsidRPr="00A75DF9">
              <w:rPr>
                <w:rFonts w:ascii="Tahoma" w:hAnsi="Tahoma" w:cs="Tahoma"/>
                <w:sz w:val="14"/>
              </w:rPr>
              <w:t>Windows</w:t>
            </w:r>
            <w:r w:rsidR="009D5D7B" w:rsidRPr="00A75DF9">
              <w:rPr>
                <w:rFonts w:ascii="Tahoma" w:hAnsi="Tahoma" w:cs="Tahoma"/>
                <w:sz w:val="14"/>
                <w:vertAlign w:val="superscript"/>
              </w:rPr>
              <w:t>®</w:t>
            </w:r>
            <w:r w:rsidRPr="00A75DF9">
              <w:rPr>
                <w:rFonts w:ascii="Tahoma" w:hAnsi="Tahoma" w:cs="Tahoma"/>
                <w:sz w:val="14"/>
              </w:rPr>
              <w:t xml:space="preserve"> 8 Pro</w:t>
            </w:r>
            <w:bookmarkEnd w:id="136"/>
            <w:bookmarkEnd w:id="137"/>
            <w:r w:rsidRPr="00A75DF9">
              <w:rPr>
                <w:rFonts w:ascii="Tahoma" w:hAnsi="Tahoma" w:cs="Tahoma"/>
                <w:sz w:val="14"/>
              </w:rPr>
              <w:t xml:space="preserve"> </w:t>
            </w:r>
          </w:p>
        </w:tc>
        <w:tc>
          <w:tcPr>
            <w:tcW w:w="450" w:type="dxa"/>
            <w:tcBorders>
              <w:bottom w:val="single" w:sz="4" w:space="0" w:color="auto"/>
            </w:tcBorders>
            <w:shd w:val="clear" w:color="auto" w:fill="auto"/>
            <w:vAlign w:val="center"/>
          </w:tcPr>
          <w:p w:rsidR="00B27742" w:rsidRPr="00337A7D" w:rsidRDefault="00B54770" w:rsidP="009D43FB">
            <w:pPr>
              <w:pStyle w:val="TableText"/>
              <w:widowControl w:val="0"/>
              <w:rPr>
                <w:rStyle w:val="EndnoteReference"/>
                <w:rFonts w:cs="Tahoma"/>
                <w:b w:val="0"/>
                <w:color w:val="0000FF"/>
                <w:sz w:val="13"/>
                <w:szCs w:val="13"/>
                <w:u w:val="single"/>
              </w:rPr>
            </w:pPr>
            <w:hyperlink w:anchor="_29_Windows®_8" w:history="1">
              <w:r w:rsidR="00734B17" w:rsidRPr="00337A7D">
                <w:rPr>
                  <w:rStyle w:val="Hyperlink"/>
                  <w:rFonts w:cs="Tahoma"/>
                  <w:b/>
                  <w:sz w:val="13"/>
                  <w:szCs w:val="13"/>
                </w:rPr>
                <w:t>33</w:t>
              </w:r>
            </w:hyperlink>
            <w:hyperlink w:anchor="_29_Windows®_8" w:history="1"/>
          </w:p>
        </w:tc>
        <w:tc>
          <w:tcPr>
            <w:tcW w:w="450" w:type="dxa"/>
            <w:tcBorders>
              <w:bottom w:val="single" w:sz="4" w:space="0" w:color="auto"/>
            </w:tcBorders>
            <w:shd w:val="clear" w:color="auto" w:fill="auto"/>
          </w:tcPr>
          <w:p w:rsidR="00B27742" w:rsidRPr="00A75DF9" w:rsidRDefault="00B27742" w:rsidP="009124DC">
            <w:pPr>
              <w:pStyle w:val="TableText"/>
              <w:spacing w:before="120"/>
              <w:rPr>
                <w:rFonts w:ascii="Tahoma" w:hAnsi="Tahoma" w:cs="Tahoma"/>
                <w:sz w:val="13"/>
              </w:rPr>
            </w:pPr>
            <w:r w:rsidRPr="00A75DF9">
              <w:rPr>
                <w:rFonts w:ascii="Tahoma" w:hAnsi="Tahoma" w:cs="Tahoma"/>
                <w:sz w:val="13"/>
              </w:rPr>
              <w:t>08/12</w:t>
            </w:r>
          </w:p>
        </w:tc>
        <w:tc>
          <w:tcPr>
            <w:tcW w:w="378" w:type="dxa"/>
            <w:tcBorders>
              <w:bottom w:val="single" w:sz="4" w:space="0" w:color="auto"/>
              <w:right w:val="single" w:sz="18" w:space="0" w:color="auto"/>
            </w:tcBorders>
            <w:shd w:val="clear" w:color="auto" w:fill="auto"/>
            <w:vAlign w:val="center"/>
          </w:tcPr>
          <w:p w:rsidR="00B27742" w:rsidRPr="00A75DF9" w:rsidRDefault="00B27742">
            <w:pPr>
              <w:pStyle w:val="TableText"/>
              <w:rPr>
                <w:rFonts w:ascii="Tahoma" w:hAnsi="Tahoma" w:cs="Tahoma"/>
                <w:sz w:val="13"/>
              </w:rPr>
            </w:pPr>
            <w:r w:rsidRPr="00A75DF9">
              <w:rPr>
                <w:rFonts w:ascii="Tahoma" w:hAnsi="Tahoma" w:cs="Tahoma"/>
                <w:sz w:val="13"/>
              </w:rPr>
              <w:t>DT</w:t>
            </w:r>
          </w:p>
        </w:tc>
        <w:tc>
          <w:tcPr>
            <w:tcW w:w="378" w:type="dxa"/>
            <w:tcBorders>
              <w:left w:val="single" w:sz="18" w:space="0" w:color="auto"/>
              <w:bottom w:val="single" w:sz="4" w:space="0" w:color="auto"/>
            </w:tcBorders>
            <w:shd w:val="clear" w:color="auto" w:fill="auto"/>
            <w:vAlign w:val="center"/>
          </w:tcPr>
          <w:p w:rsidR="00B27742" w:rsidRPr="00A75DF9" w:rsidRDefault="00B27742">
            <w:pPr>
              <w:pStyle w:val="TableText"/>
              <w:rPr>
                <w:rFonts w:ascii="Tahoma" w:hAnsi="Tahoma" w:cs="Tahoma"/>
                <w:sz w:val="13"/>
              </w:rPr>
            </w:pPr>
            <w:r w:rsidRPr="00A75DF9">
              <w:rPr>
                <w:rFonts w:ascii="Tahoma" w:hAnsi="Tahoma" w:cs="Tahoma"/>
                <w:sz w:val="13"/>
              </w:rPr>
              <w:t>2</w:t>
            </w:r>
          </w:p>
        </w:tc>
        <w:tc>
          <w:tcPr>
            <w:tcW w:w="380" w:type="dxa"/>
            <w:gridSpan w:val="2"/>
            <w:tcBorders>
              <w:bottom w:val="single" w:sz="4" w:space="0" w:color="auto"/>
            </w:tcBorders>
            <w:shd w:val="clear" w:color="auto" w:fill="auto"/>
            <w:vAlign w:val="center"/>
          </w:tcPr>
          <w:p w:rsidR="00B27742" w:rsidRPr="00A75DF9" w:rsidRDefault="00B27742">
            <w:pPr>
              <w:pStyle w:val="TableText"/>
              <w:rPr>
                <w:rFonts w:ascii="Tahoma" w:hAnsi="Tahoma" w:cs="Tahoma"/>
                <w:sz w:val="13"/>
              </w:rPr>
            </w:pPr>
            <w:r w:rsidRPr="00A75DF9">
              <w:rPr>
                <w:rFonts w:ascii="Tahoma" w:hAnsi="Tahoma" w:cs="Tahoma"/>
                <w:sz w:val="13"/>
              </w:rPr>
              <w:t>5</w:t>
            </w:r>
          </w:p>
        </w:tc>
        <w:tc>
          <w:tcPr>
            <w:tcW w:w="450" w:type="dxa"/>
            <w:tcBorders>
              <w:bottom w:val="single" w:sz="4" w:space="0" w:color="auto"/>
            </w:tcBorders>
            <w:shd w:val="clear" w:color="auto" w:fill="auto"/>
            <w:vAlign w:val="center"/>
          </w:tcPr>
          <w:p w:rsidR="00B27742" w:rsidRPr="00A75DF9" w:rsidRDefault="00B27742">
            <w:pPr>
              <w:pStyle w:val="TableText"/>
              <w:rPr>
                <w:rFonts w:ascii="Tahoma" w:hAnsi="Tahoma" w:cs="Tahoma"/>
                <w:sz w:val="13"/>
              </w:rPr>
            </w:pPr>
            <w:r w:rsidRPr="00A75DF9">
              <w:rPr>
                <w:rFonts w:ascii="Tahoma" w:hAnsi="Tahoma" w:cs="Tahoma"/>
                <w:sz w:val="13"/>
              </w:rPr>
              <w:t>4</w:t>
            </w:r>
          </w:p>
        </w:tc>
        <w:tc>
          <w:tcPr>
            <w:tcW w:w="450" w:type="dxa"/>
            <w:tcBorders>
              <w:bottom w:val="single" w:sz="4" w:space="0" w:color="auto"/>
            </w:tcBorders>
            <w:shd w:val="clear" w:color="auto" w:fill="auto"/>
            <w:vAlign w:val="center"/>
          </w:tcPr>
          <w:p w:rsidR="00B27742" w:rsidRPr="00A75DF9" w:rsidRDefault="00B27742">
            <w:pPr>
              <w:pStyle w:val="TableText"/>
              <w:rPr>
                <w:rFonts w:ascii="Tahoma" w:hAnsi="Tahoma" w:cs="Tahoma"/>
                <w:sz w:val="13"/>
              </w:rPr>
            </w:pPr>
            <w:r w:rsidRPr="00A75DF9">
              <w:rPr>
                <w:rFonts w:ascii="Tahoma" w:hAnsi="Tahoma" w:cs="Tahoma"/>
                <w:sz w:val="13"/>
              </w:rPr>
              <w:t>3</w:t>
            </w:r>
          </w:p>
        </w:tc>
        <w:tc>
          <w:tcPr>
            <w:tcW w:w="450" w:type="dxa"/>
            <w:tcBorders>
              <w:bottom w:val="single" w:sz="4" w:space="0" w:color="auto"/>
            </w:tcBorders>
            <w:shd w:val="clear" w:color="auto" w:fill="auto"/>
            <w:vAlign w:val="center"/>
          </w:tcPr>
          <w:p w:rsidR="00B27742" w:rsidRPr="00A75DF9" w:rsidRDefault="00B27742">
            <w:pPr>
              <w:pStyle w:val="TableText"/>
              <w:rPr>
                <w:rFonts w:ascii="Tahoma" w:hAnsi="Tahoma" w:cs="Tahoma"/>
                <w:sz w:val="13"/>
              </w:rPr>
            </w:pPr>
            <w:r w:rsidRPr="00A75DF9">
              <w:rPr>
                <w:rFonts w:ascii="Tahoma" w:hAnsi="Tahoma" w:cs="Tahoma"/>
                <w:sz w:val="13"/>
              </w:rPr>
              <w:t>3</w:t>
            </w:r>
          </w:p>
        </w:tc>
        <w:tc>
          <w:tcPr>
            <w:tcW w:w="450" w:type="dxa"/>
            <w:tcBorders>
              <w:bottom w:val="single" w:sz="4" w:space="0" w:color="auto"/>
            </w:tcBorders>
            <w:shd w:val="clear" w:color="auto" w:fill="auto"/>
            <w:vAlign w:val="center"/>
          </w:tcPr>
          <w:p w:rsidR="00B27742" w:rsidRPr="00A75DF9" w:rsidRDefault="00B27742">
            <w:pPr>
              <w:pStyle w:val="TableText"/>
              <w:rPr>
                <w:rFonts w:ascii="Tahoma" w:hAnsi="Tahoma" w:cs="Tahoma"/>
                <w:sz w:val="13"/>
              </w:rPr>
            </w:pPr>
            <w:r w:rsidRPr="00A75DF9">
              <w:rPr>
                <w:rFonts w:ascii="Tahoma" w:hAnsi="Tahoma" w:cs="Tahoma"/>
                <w:sz w:val="13"/>
              </w:rPr>
              <w:t>2</w:t>
            </w:r>
          </w:p>
        </w:tc>
        <w:tc>
          <w:tcPr>
            <w:tcW w:w="394" w:type="dxa"/>
            <w:tcBorders>
              <w:bottom w:val="single" w:sz="4" w:space="0" w:color="auto"/>
              <w:right w:val="single" w:sz="18" w:space="0" w:color="auto"/>
            </w:tcBorders>
            <w:shd w:val="clear" w:color="auto" w:fill="auto"/>
            <w:vAlign w:val="center"/>
          </w:tcPr>
          <w:p w:rsidR="00B27742" w:rsidRPr="00A75DF9" w:rsidRDefault="00B27742">
            <w:pPr>
              <w:pStyle w:val="TableText"/>
              <w:rPr>
                <w:rFonts w:ascii="Tahoma" w:hAnsi="Tahoma" w:cs="Tahoma"/>
                <w:sz w:val="13"/>
              </w:rPr>
            </w:pPr>
            <w:r w:rsidRPr="00A75DF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B27742" w:rsidRPr="00A75DF9" w:rsidRDefault="00B27742">
            <w:pPr>
              <w:pStyle w:val="TableText"/>
              <w:rPr>
                <w:rFonts w:ascii="Tahoma" w:hAnsi="Tahoma" w:cs="Tahoma"/>
                <w:sz w:val="13"/>
              </w:rPr>
            </w:pPr>
            <w:r w:rsidRPr="00A75DF9">
              <w:rPr>
                <w:rFonts w:ascii="Tahoma" w:hAnsi="Tahoma" w:cs="Tahoma"/>
                <w:sz w:val="13"/>
              </w:rPr>
              <w:t>2</w:t>
            </w:r>
          </w:p>
        </w:tc>
        <w:tc>
          <w:tcPr>
            <w:tcW w:w="450" w:type="dxa"/>
            <w:tcBorders>
              <w:bottom w:val="single" w:sz="4" w:space="0" w:color="auto"/>
            </w:tcBorders>
            <w:shd w:val="clear" w:color="auto" w:fill="auto"/>
            <w:vAlign w:val="center"/>
          </w:tcPr>
          <w:p w:rsidR="00B27742" w:rsidRPr="00A75DF9" w:rsidRDefault="00B27742">
            <w:pPr>
              <w:pStyle w:val="TableText"/>
              <w:rPr>
                <w:rFonts w:ascii="Tahoma" w:hAnsi="Tahoma" w:cs="Tahoma"/>
                <w:sz w:val="13"/>
              </w:rPr>
            </w:pPr>
            <w:r w:rsidRPr="00A75DF9">
              <w:rPr>
                <w:rFonts w:ascii="Tahoma" w:hAnsi="Tahoma" w:cs="Tahoma"/>
                <w:sz w:val="13"/>
              </w:rPr>
              <w:t>4</w:t>
            </w:r>
          </w:p>
        </w:tc>
        <w:tc>
          <w:tcPr>
            <w:tcW w:w="450" w:type="dxa"/>
            <w:tcBorders>
              <w:bottom w:val="single" w:sz="4" w:space="0" w:color="auto"/>
              <w:right w:val="single" w:sz="18" w:space="0" w:color="auto"/>
            </w:tcBorders>
            <w:shd w:val="clear" w:color="auto" w:fill="auto"/>
            <w:vAlign w:val="center"/>
          </w:tcPr>
          <w:p w:rsidR="00B27742" w:rsidRPr="00A75DF9" w:rsidRDefault="00B27742">
            <w:pPr>
              <w:pStyle w:val="TableText"/>
              <w:rPr>
                <w:rFonts w:ascii="Tahoma" w:hAnsi="Tahoma" w:cs="Tahoma"/>
                <w:sz w:val="13"/>
              </w:rPr>
            </w:pPr>
            <w:r w:rsidRPr="00A75DF9">
              <w:rPr>
                <w:rFonts w:ascii="Tahoma" w:hAnsi="Tahoma" w:cs="Tahoma"/>
                <w:sz w:val="13"/>
              </w:rPr>
              <w:t>2</w:t>
            </w:r>
          </w:p>
        </w:tc>
        <w:tc>
          <w:tcPr>
            <w:tcW w:w="450" w:type="dxa"/>
            <w:tcBorders>
              <w:left w:val="single" w:sz="18" w:space="0" w:color="auto"/>
              <w:bottom w:val="single" w:sz="4" w:space="0" w:color="auto"/>
            </w:tcBorders>
            <w:shd w:val="clear" w:color="auto" w:fill="auto"/>
            <w:vAlign w:val="center"/>
          </w:tcPr>
          <w:p w:rsidR="00B27742" w:rsidRPr="00A75DF9" w:rsidRDefault="00664EE9">
            <w:pPr>
              <w:pStyle w:val="TableText"/>
              <w:rPr>
                <w:rFonts w:ascii="Tahoma" w:hAnsi="Tahoma" w:cs="Tahoma"/>
                <w:sz w:val="13"/>
              </w:rPr>
            </w:pPr>
            <w:r w:rsidRPr="00A75DF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B27742" w:rsidRPr="00A75DF9" w:rsidRDefault="00B27742">
            <w:pPr>
              <w:pStyle w:val="TableText"/>
              <w:rPr>
                <w:rFonts w:ascii="Tahoma" w:hAnsi="Tahoma" w:cs="Tahoma"/>
                <w:sz w:val="13"/>
              </w:rPr>
            </w:pPr>
            <w:r w:rsidRPr="00A75DF9">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B27742" w:rsidRPr="00A75DF9" w:rsidRDefault="00B27742">
            <w:pPr>
              <w:pStyle w:val="TableText"/>
              <w:rPr>
                <w:rFonts w:ascii="Tahoma" w:hAnsi="Tahoma" w:cs="Tahoma"/>
                <w:sz w:val="13"/>
              </w:rPr>
            </w:pPr>
            <w:r w:rsidRPr="00A75DF9">
              <w:rPr>
                <w:rFonts w:ascii="Tahoma" w:hAnsi="Tahoma" w:cs="Tahoma"/>
                <w:sz w:val="13"/>
              </w:rPr>
              <w:t>E, P</w:t>
            </w:r>
          </w:p>
        </w:tc>
        <w:tc>
          <w:tcPr>
            <w:tcW w:w="450" w:type="dxa"/>
            <w:tcBorders>
              <w:bottom w:val="single" w:sz="4" w:space="0" w:color="auto"/>
            </w:tcBorders>
            <w:shd w:val="clear" w:color="auto" w:fill="auto"/>
            <w:vAlign w:val="center"/>
          </w:tcPr>
          <w:p w:rsidR="00B27742" w:rsidRPr="00A75DF9" w:rsidRDefault="00B27742" w:rsidP="004000C7">
            <w:pPr>
              <w:pStyle w:val="TableText"/>
              <w:rPr>
                <w:rFonts w:ascii="Tahoma" w:hAnsi="Tahoma" w:cs="Tahoma"/>
                <w:sz w:val="13"/>
              </w:rPr>
            </w:pPr>
            <w:r w:rsidRPr="00A75DF9">
              <w:rPr>
                <w:rFonts w:ascii="Tahoma" w:hAnsi="Tahoma" w:cs="Tahoma"/>
                <w:sz w:val="13"/>
              </w:rPr>
              <w:t>E, ST</w:t>
            </w:r>
          </w:p>
        </w:tc>
        <w:tc>
          <w:tcPr>
            <w:tcW w:w="540" w:type="dxa"/>
            <w:tcBorders>
              <w:bottom w:val="single" w:sz="4" w:space="0" w:color="auto"/>
            </w:tcBorders>
            <w:shd w:val="clear" w:color="auto" w:fill="auto"/>
            <w:vAlign w:val="center"/>
          </w:tcPr>
          <w:p w:rsidR="00B27742" w:rsidRPr="00A75DF9" w:rsidRDefault="00B27742">
            <w:pPr>
              <w:pStyle w:val="TableText"/>
              <w:rPr>
                <w:rFonts w:ascii="Tahoma" w:hAnsi="Tahoma" w:cs="Tahoma"/>
                <w:sz w:val="13"/>
              </w:rPr>
            </w:pPr>
          </w:p>
        </w:tc>
      </w:tr>
      <w:tr w:rsidR="00B50A5B" w:rsidRPr="00A75DF9" w:rsidTr="00337A7D">
        <w:trPr>
          <w:trHeight w:val="145"/>
        </w:trPr>
        <w:tc>
          <w:tcPr>
            <w:tcW w:w="2610" w:type="dxa"/>
            <w:tcBorders>
              <w:bottom w:val="single" w:sz="4" w:space="0" w:color="auto"/>
            </w:tcBorders>
            <w:shd w:val="clear" w:color="auto" w:fill="FABF8F"/>
          </w:tcPr>
          <w:p w:rsidR="00B27742" w:rsidRPr="00A75DF9" w:rsidRDefault="00B27742" w:rsidP="00F70479">
            <w:pPr>
              <w:pStyle w:val="ProductNames"/>
              <w:rPr>
                <w:rFonts w:ascii="Tahoma" w:hAnsi="Tahoma" w:cs="Tahoma"/>
                <w:sz w:val="14"/>
              </w:rPr>
            </w:pPr>
            <w:bookmarkStart w:id="138" w:name="_Toc336337905"/>
            <w:bookmarkStart w:id="139" w:name="_Toc368309917"/>
            <w:r w:rsidRPr="00A75DF9">
              <w:rPr>
                <w:rFonts w:ascii="Tahoma" w:hAnsi="Tahoma" w:cs="Tahoma"/>
                <w:sz w:val="14"/>
              </w:rPr>
              <w:t>Windows</w:t>
            </w:r>
            <w:r w:rsidR="009D5D7B" w:rsidRPr="00A75DF9">
              <w:rPr>
                <w:rFonts w:ascii="Tahoma" w:hAnsi="Tahoma" w:cs="Tahoma"/>
                <w:sz w:val="14"/>
                <w:vertAlign w:val="superscript"/>
              </w:rPr>
              <w:t>®</w:t>
            </w:r>
            <w:r w:rsidRPr="00A75DF9">
              <w:rPr>
                <w:rFonts w:ascii="Tahoma" w:hAnsi="Tahoma" w:cs="Tahoma"/>
                <w:sz w:val="14"/>
              </w:rPr>
              <w:t xml:space="preserve"> 8 Pro con MDOP</w:t>
            </w:r>
            <w:bookmarkEnd w:id="138"/>
            <w:bookmarkEnd w:id="139"/>
            <w:r w:rsidRPr="00A75DF9">
              <w:rPr>
                <w:rFonts w:ascii="Tahoma" w:hAnsi="Tahoma" w:cs="Tahoma"/>
                <w:sz w:val="14"/>
              </w:rPr>
              <w:t xml:space="preserve"> </w:t>
            </w:r>
          </w:p>
        </w:tc>
        <w:tc>
          <w:tcPr>
            <w:tcW w:w="450" w:type="dxa"/>
            <w:tcBorders>
              <w:bottom w:val="single" w:sz="4" w:space="0" w:color="auto"/>
            </w:tcBorders>
            <w:shd w:val="clear" w:color="auto" w:fill="FABF8F"/>
            <w:vAlign w:val="center"/>
          </w:tcPr>
          <w:p w:rsidR="00B27742" w:rsidRPr="00337A7D" w:rsidRDefault="00B27742" w:rsidP="005D1AD1">
            <w:pPr>
              <w:pStyle w:val="TableText"/>
              <w:widowControl w:val="0"/>
              <w:rPr>
                <w:rStyle w:val="EndnoteReference"/>
                <w:rFonts w:cs="Tahoma"/>
                <w:color w:val="0000FF"/>
                <w:sz w:val="13"/>
                <w:szCs w:val="13"/>
                <w:u w:val="single"/>
              </w:rPr>
            </w:pPr>
          </w:p>
        </w:tc>
        <w:tc>
          <w:tcPr>
            <w:tcW w:w="450" w:type="dxa"/>
            <w:tcBorders>
              <w:bottom w:val="single" w:sz="4" w:space="0" w:color="auto"/>
            </w:tcBorders>
            <w:shd w:val="clear" w:color="auto" w:fill="FABF8F"/>
          </w:tcPr>
          <w:p w:rsidR="00B27742" w:rsidRPr="00A75DF9" w:rsidRDefault="001327D3" w:rsidP="00690165">
            <w:pPr>
              <w:pStyle w:val="TableText"/>
              <w:spacing w:before="120"/>
              <w:rPr>
                <w:rFonts w:ascii="Tahoma" w:hAnsi="Tahoma" w:cs="Tahoma"/>
                <w:sz w:val="13"/>
              </w:rPr>
            </w:pPr>
            <w:r w:rsidRPr="00A75DF9">
              <w:rPr>
                <w:rFonts w:ascii="Tahoma" w:hAnsi="Tahoma" w:cs="Tahoma"/>
                <w:sz w:val="13"/>
              </w:rPr>
              <w:t>12/12</w:t>
            </w:r>
          </w:p>
        </w:tc>
        <w:tc>
          <w:tcPr>
            <w:tcW w:w="378" w:type="dxa"/>
            <w:tcBorders>
              <w:bottom w:val="single" w:sz="4" w:space="0" w:color="auto"/>
              <w:right w:val="single" w:sz="18" w:space="0" w:color="auto"/>
            </w:tcBorders>
            <w:shd w:val="clear" w:color="auto" w:fill="FABF8F"/>
            <w:vAlign w:val="center"/>
          </w:tcPr>
          <w:p w:rsidR="00B27742" w:rsidRPr="00A75DF9" w:rsidRDefault="00B27742" w:rsidP="005D1AD1">
            <w:pPr>
              <w:pStyle w:val="TableText"/>
              <w:rPr>
                <w:rFonts w:ascii="Tahoma" w:hAnsi="Tahoma" w:cs="Tahoma"/>
                <w:sz w:val="13"/>
              </w:rPr>
            </w:pPr>
            <w:r w:rsidRPr="00A75DF9">
              <w:rPr>
                <w:rFonts w:ascii="Tahoma" w:hAnsi="Tahoma" w:cs="Tahoma"/>
                <w:sz w:val="13"/>
              </w:rPr>
              <w:t>DT</w:t>
            </w:r>
          </w:p>
        </w:tc>
        <w:tc>
          <w:tcPr>
            <w:tcW w:w="378" w:type="dxa"/>
            <w:tcBorders>
              <w:left w:val="single" w:sz="18" w:space="0" w:color="auto"/>
              <w:bottom w:val="single" w:sz="4" w:space="0" w:color="auto"/>
            </w:tcBorders>
            <w:shd w:val="clear" w:color="auto" w:fill="FABF8F"/>
            <w:vAlign w:val="center"/>
          </w:tcPr>
          <w:p w:rsidR="00B27742" w:rsidRPr="00A75DF9" w:rsidRDefault="00B27742" w:rsidP="005D1AD1">
            <w:pPr>
              <w:pStyle w:val="TableText"/>
              <w:rPr>
                <w:rFonts w:ascii="Tahoma" w:hAnsi="Tahoma" w:cs="Tahoma"/>
                <w:sz w:val="13"/>
              </w:rPr>
            </w:pPr>
            <w:r w:rsidRPr="00A75DF9">
              <w:rPr>
                <w:rFonts w:ascii="Tahoma" w:hAnsi="Tahoma" w:cs="Tahoma"/>
                <w:sz w:val="13"/>
              </w:rPr>
              <w:t>2</w:t>
            </w:r>
          </w:p>
        </w:tc>
        <w:tc>
          <w:tcPr>
            <w:tcW w:w="380" w:type="dxa"/>
            <w:gridSpan w:val="2"/>
            <w:tcBorders>
              <w:bottom w:val="single" w:sz="4" w:space="0" w:color="auto"/>
            </w:tcBorders>
            <w:shd w:val="clear" w:color="auto" w:fill="FABF8F"/>
            <w:vAlign w:val="center"/>
          </w:tcPr>
          <w:p w:rsidR="00B27742" w:rsidRPr="00A75DF9" w:rsidRDefault="00287725" w:rsidP="005D1AD1">
            <w:pPr>
              <w:pStyle w:val="TableText"/>
              <w:rPr>
                <w:rFonts w:ascii="Tahoma" w:hAnsi="Tahoma" w:cs="Tahoma"/>
                <w:sz w:val="13"/>
              </w:rPr>
            </w:pPr>
            <w:r w:rsidRPr="00A75DF9">
              <w:rPr>
                <w:rFonts w:ascii="Tahoma" w:hAnsi="Tahoma" w:cs="Tahoma"/>
                <w:sz w:val="13"/>
              </w:rPr>
              <w:t>6</w:t>
            </w:r>
          </w:p>
        </w:tc>
        <w:tc>
          <w:tcPr>
            <w:tcW w:w="450" w:type="dxa"/>
            <w:tcBorders>
              <w:bottom w:val="single" w:sz="4" w:space="0" w:color="auto"/>
            </w:tcBorders>
            <w:shd w:val="clear" w:color="auto" w:fill="FABF8F"/>
            <w:vAlign w:val="center"/>
          </w:tcPr>
          <w:p w:rsidR="00B27742" w:rsidRPr="00A75DF9" w:rsidRDefault="00287725" w:rsidP="005D1AD1">
            <w:pPr>
              <w:pStyle w:val="TableText"/>
              <w:rPr>
                <w:rFonts w:ascii="Tahoma" w:hAnsi="Tahoma" w:cs="Tahoma"/>
                <w:sz w:val="13"/>
              </w:rPr>
            </w:pPr>
            <w:r w:rsidRPr="00A75DF9">
              <w:rPr>
                <w:rFonts w:ascii="Tahoma" w:hAnsi="Tahoma" w:cs="Tahoma"/>
                <w:sz w:val="13"/>
              </w:rPr>
              <w:t>5</w:t>
            </w:r>
          </w:p>
        </w:tc>
        <w:tc>
          <w:tcPr>
            <w:tcW w:w="450" w:type="dxa"/>
            <w:tcBorders>
              <w:bottom w:val="single" w:sz="4" w:space="0" w:color="auto"/>
            </w:tcBorders>
            <w:shd w:val="clear" w:color="auto" w:fill="FABF8F"/>
            <w:vAlign w:val="center"/>
          </w:tcPr>
          <w:p w:rsidR="00B27742" w:rsidRPr="00A75DF9" w:rsidRDefault="00287725" w:rsidP="005D1AD1">
            <w:pPr>
              <w:pStyle w:val="TableText"/>
              <w:rPr>
                <w:rFonts w:ascii="Tahoma" w:hAnsi="Tahoma" w:cs="Tahoma"/>
                <w:sz w:val="13"/>
              </w:rPr>
            </w:pPr>
            <w:r w:rsidRPr="00A75DF9">
              <w:rPr>
                <w:rFonts w:ascii="Tahoma" w:hAnsi="Tahoma" w:cs="Tahoma"/>
                <w:sz w:val="13"/>
              </w:rPr>
              <w:t>4</w:t>
            </w:r>
          </w:p>
        </w:tc>
        <w:tc>
          <w:tcPr>
            <w:tcW w:w="450" w:type="dxa"/>
            <w:tcBorders>
              <w:bottom w:val="single" w:sz="4" w:space="0" w:color="auto"/>
            </w:tcBorders>
            <w:shd w:val="clear" w:color="auto" w:fill="FABF8F"/>
            <w:vAlign w:val="center"/>
          </w:tcPr>
          <w:p w:rsidR="00B27742" w:rsidRPr="00A75DF9" w:rsidRDefault="00B27742" w:rsidP="005D1AD1">
            <w:pPr>
              <w:pStyle w:val="TableText"/>
              <w:rPr>
                <w:rFonts w:ascii="Tahoma" w:hAnsi="Tahoma" w:cs="Tahoma"/>
                <w:sz w:val="13"/>
              </w:rPr>
            </w:pPr>
            <w:r w:rsidRPr="00A75DF9">
              <w:rPr>
                <w:rFonts w:ascii="Tahoma" w:hAnsi="Tahoma" w:cs="Tahoma"/>
                <w:sz w:val="13"/>
              </w:rPr>
              <w:t>3</w:t>
            </w:r>
          </w:p>
        </w:tc>
        <w:tc>
          <w:tcPr>
            <w:tcW w:w="450" w:type="dxa"/>
            <w:tcBorders>
              <w:bottom w:val="single" w:sz="4" w:space="0" w:color="auto"/>
            </w:tcBorders>
            <w:shd w:val="clear" w:color="auto" w:fill="FABF8F"/>
            <w:vAlign w:val="center"/>
          </w:tcPr>
          <w:p w:rsidR="00B27742" w:rsidRPr="00A75DF9" w:rsidRDefault="00B27742" w:rsidP="005D1AD1">
            <w:pPr>
              <w:pStyle w:val="TableText"/>
              <w:rPr>
                <w:rFonts w:ascii="Tahoma" w:hAnsi="Tahoma" w:cs="Tahoma"/>
                <w:sz w:val="13"/>
              </w:rPr>
            </w:pPr>
            <w:r w:rsidRPr="00A75DF9">
              <w:rPr>
                <w:rFonts w:ascii="Tahoma" w:hAnsi="Tahoma" w:cs="Tahoma"/>
                <w:sz w:val="13"/>
              </w:rPr>
              <w:t>2</w:t>
            </w:r>
          </w:p>
        </w:tc>
        <w:tc>
          <w:tcPr>
            <w:tcW w:w="394" w:type="dxa"/>
            <w:tcBorders>
              <w:bottom w:val="single" w:sz="4" w:space="0" w:color="auto"/>
              <w:right w:val="single" w:sz="18" w:space="0" w:color="auto"/>
            </w:tcBorders>
            <w:shd w:val="clear" w:color="auto" w:fill="FABF8F"/>
            <w:vAlign w:val="center"/>
          </w:tcPr>
          <w:p w:rsidR="00B27742" w:rsidRPr="00A75DF9" w:rsidRDefault="00B27742" w:rsidP="005D1AD1">
            <w:pPr>
              <w:pStyle w:val="TableText"/>
              <w:rPr>
                <w:rFonts w:ascii="Tahoma" w:hAnsi="Tahoma" w:cs="Tahoma"/>
                <w:sz w:val="13"/>
              </w:rPr>
            </w:pPr>
            <w:r w:rsidRPr="00A75DF9">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B27742" w:rsidRPr="00A75DF9" w:rsidRDefault="00B27742" w:rsidP="005D1AD1">
            <w:pPr>
              <w:pStyle w:val="TableText"/>
              <w:rPr>
                <w:rFonts w:ascii="Tahoma" w:hAnsi="Tahoma" w:cs="Tahoma"/>
                <w:sz w:val="13"/>
              </w:rPr>
            </w:pPr>
          </w:p>
        </w:tc>
        <w:tc>
          <w:tcPr>
            <w:tcW w:w="450" w:type="dxa"/>
            <w:tcBorders>
              <w:bottom w:val="single" w:sz="4" w:space="0" w:color="auto"/>
            </w:tcBorders>
            <w:shd w:val="clear" w:color="auto" w:fill="FABF8F"/>
            <w:vAlign w:val="center"/>
          </w:tcPr>
          <w:p w:rsidR="00B27742" w:rsidRPr="00A75DF9" w:rsidRDefault="00B27742" w:rsidP="005D1AD1">
            <w:pPr>
              <w:pStyle w:val="TableText"/>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B27742" w:rsidRPr="00A75DF9" w:rsidRDefault="00B27742" w:rsidP="005D1AD1">
            <w:pPr>
              <w:pStyle w:val="TableText"/>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B27742" w:rsidRPr="00A75DF9" w:rsidRDefault="00664EE9" w:rsidP="005D1AD1">
            <w:pPr>
              <w:pStyle w:val="TableText"/>
              <w:rPr>
                <w:rFonts w:ascii="Tahoma" w:hAnsi="Tahoma" w:cs="Tahoma"/>
                <w:sz w:val="13"/>
              </w:rPr>
            </w:pPr>
            <w:r w:rsidRPr="00A75DF9">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B27742" w:rsidRPr="00A75DF9" w:rsidRDefault="00B27742" w:rsidP="005D1AD1">
            <w:pPr>
              <w:pStyle w:val="TableText"/>
              <w:rPr>
                <w:rFonts w:ascii="Tahoma" w:hAnsi="Tahoma" w:cs="Tahoma"/>
                <w:sz w:val="13"/>
              </w:rPr>
            </w:pPr>
            <w:r w:rsidRPr="00A75DF9">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FABF8F"/>
            <w:vAlign w:val="center"/>
          </w:tcPr>
          <w:p w:rsidR="00B27742" w:rsidRPr="00A75DF9" w:rsidRDefault="00B27742" w:rsidP="005D1AD1">
            <w:pPr>
              <w:pStyle w:val="TableText"/>
              <w:rPr>
                <w:rFonts w:ascii="Tahoma" w:hAnsi="Tahoma" w:cs="Tahoma"/>
                <w:sz w:val="13"/>
              </w:rPr>
            </w:pPr>
            <w:r w:rsidRPr="00A75DF9">
              <w:rPr>
                <w:rFonts w:ascii="Tahoma" w:hAnsi="Tahoma" w:cs="Tahoma"/>
                <w:sz w:val="13"/>
              </w:rPr>
              <w:t>E, P</w:t>
            </w:r>
          </w:p>
        </w:tc>
        <w:tc>
          <w:tcPr>
            <w:tcW w:w="450" w:type="dxa"/>
            <w:tcBorders>
              <w:bottom w:val="single" w:sz="4" w:space="0" w:color="auto"/>
            </w:tcBorders>
            <w:shd w:val="clear" w:color="auto" w:fill="FABF8F"/>
            <w:vAlign w:val="center"/>
          </w:tcPr>
          <w:p w:rsidR="00B27742" w:rsidRPr="00A75DF9" w:rsidRDefault="00B27742" w:rsidP="004000C7">
            <w:pPr>
              <w:pStyle w:val="TableText"/>
              <w:rPr>
                <w:rFonts w:ascii="Tahoma" w:hAnsi="Tahoma" w:cs="Tahoma"/>
                <w:sz w:val="13"/>
              </w:rPr>
            </w:pPr>
            <w:r w:rsidRPr="00A75DF9">
              <w:rPr>
                <w:rFonts w:ascii="Tahoma" w:hAnsi="Tahoma" w:cs="Tahoma"/>
                <w:sz w:val="13"/>
              </w:rPr>
              <w:t>E, ST</w:t>
            </w:r>
          </w:p>
        </w:tc>
        <w:tc>
          <w:tcPr>
            <w:tcW w:w="540" w:type="dxa"/>
            <w:tcBorders>
              <w:bottom w:val="single" w:sz="4" w:space="0" w:color="auto"/>
            </w:tcBorders>
            <w:shd w:val="clear" w:color="auto" w:fill="FABF8F"/>
            <w:vAlign w:val="center"/>
          </w:tcPr>
          <w:p w:rsidR="00B27742" w:rsidRPr="00A75DF9" w:rsidRDefault="00B27742" w:rsidP="005D1AD1">
            <w:pPr>
              <w:pStyle w:val="TableText"/>
              <w:rPr>
                <w:rFonts w:ascii="Tahoma" w:hAnsi="Tahoma" w:cs="Tahoma"/>
                <w:sz w:val="13"/>
              </w:rPr>
            </w:pPr>
          </w:p>
        </w:tc>
      </w:tr>
      <w:tr w:rsidR="00B50A5B" w:rsidRPr="00A75DF9" w:rsidTr="00337A7D">
        <w:trPr>
          <w:trHeight w:val="123"/>
        </w:trPr>
        <w:tc>
          <w:tcPr>
            <w:tcW w:w="2610" w:type="dxa"/>
            <w:shd w:val="clear" w:color="auto" w:fill="auto"/>
          </w:tcPr>
          <w:p w:rsidR="00B27742" w:rsidRPr="00A75DF9" w:rsidRDefault="00B27742" w:rsidP="0070485B">
            <w:pPr>
              <w:pStyle w:val="ProductNames"/>
              <w:spacing w:before="40" w:after="40"/>
              <w:rPr>
                <w:rFonts w:ascii="Tahoma" w:hAnsi="Tahoma" w:cs="Tahoma"/>
                <w:sz w:val="14"/>
              </w:rPr>
            </w:pPr>
            <w:bookmarkStart w:id="140" w:name="_Toc336337906"/>
            <w:bookmarkStart w:id="141" w:name="_Toc368309918"/>
            <w:r w:rsidRPr="00A75DF9">
              <w:rPr>
                <w:rFonts w:ascii="Tahoma" w:hAnsi="Tahoma" w:cs="Tahoma"/>
                <w:sz w:val="14"/>
              </w:rPr>
              <w:t>Windows Virtual Desktop Access (VDA)</w:t>
            </w:r>
            <w:bookmarkEnd w:id="140"/>
            <w:bookmarkEnd w:id="141"/>
          </w:p>
        </w:tc>
        <w:tc>
          <w:tcPr>
            <w:tcW w:w="450" w:type="dxa"/>
            <w:shd w:val="clear" w:color="auto" w:fill="auto"/>
            <w:vAlign w:val="center"/>
          </w:tcPr>
          <w:p w:rsidR="00B27742" w:rsidRPr="00337A7D" w:rsidRDefault="00B27742">
            <w:pPr>
              <w:pStyle w:val="TableText"/>
              <w:widowControl w:val="0"/>
              <w:rPr>
                <w:rStyle w:val="EndnoteReference"/>
                <w:rFonts w:cs="Tahoma"/>
                <w:color w:val="0000FF"/>
                <w:sz w:val="13"/>
                <w:szCs w:val="13"/>
              </w:rPr>
            </w:pPr>
          </w:p>
        </w:tc>
        <w:tc>
          <w:tcPr>
            <w:tcW w:w="450" w:type="dxa"/>
            <w:shd w:val="clear" w:color="auto" w:fill="auto"/>
            <w:vAlign w:val="center"/>
          </w:tcPr>
          <w:p w:rsidR="00B27742" w:rsidRPr="00A75DF9" w:rsidRDefault="00B27742" w:rsidP="007E466C">
            <w:pPr>
              <w:pStyle w:val="TableText"/>
              <w:rPr>
                <w:rFonts w:ascii="Tahoma" w:hAnsi="Tahoma" w:cs="Tahoma"/>
                <w:sz w:val="13"/>
              </w:rPr>
            </w:pPr>
            <w:r w:rsidRPr="00A75DF9">
              <w:rPr>
                <w:rFonts w:ascii="Tahoma" w:hAnsi="Tahoma" w:cs="Tahoma"/>
                <w:sz w:val="13"/>
              </w:rPr>
              <w:t>07/10</w:t>
            </w:r>
          </w:p>
        </w:tc>
        <w:tc>
          <w:tcPr>
            <w:tcW w:w="378" w:type="dxa"/>
            <w:tcBorders>
              <w:right w:val="single" w:sz="18" w:space="0" w:color="auto"/>
            </w:tcBorders>
            <w:shd w:val="clear" w:color="auto" w:fill="auto"/>
            <w:vAlign w:val="center"/>
          </w:tcPr>
          <w:p w:rsidR="00B27742" w:rsidRPr="00A75DF9" w:rsidRDefault="00B27742">
            <w:pPr>
              <w:pStyle w:val="TableText"/>
              <w:rPr>
                <w:rFonts w:ascii="Tahoma" w:hAnsi="Tahoma" w:cs="Tahoma"/>
                <w:sz w:val="13"/>
              </w:rPr>
            </w:pPr>
            <w:r w:rsidRPr="00A75DF9">
              <w:rPr>
                <w:rFonts w:ascii="Tahoma" w:hAnsi="Tahoma" w:cs="Tahoma"/>
                <w:sz w:val="13"/>
              </w:rPr>
              <w:t>DT</w:t>
            </w:r>
          </w:p>
        </w:tc>
        <w:tc>
          <w:tcPr>
            <w:tcW w:w="2952" w:type="dxa"/>
            <w:gridSpan w:val="8"/>
            <w:tcBorders>
              <w:left w:val="single" w:sz="18" w:space="0" w:color="auto"/>
              <w:right w:val="single" w:sz="18" w:space="0" w:color="auto"/>
            </w:tcBorders>
            <w:shd w:val="clear" w:color="auto" w:fill="auto"/>
            <w:vAlign w:val="center"/>
          </w:tcPr>
          <w:p w:rsidR="00B27742" w:rsidRPr="00A75DF9" w:rsidRDefault="00B27742">
            <w:pPr>
              <w:pStyle w:val="TableText"/>
              <w:rPr>
                <w:rFonts w:ascii="Tahoma" w:hAnsi="Tahoma" w:cs="Tahoma"/>
                <w:sz w:val="13"/>
              </w:rPr>
            </w:pPr>
            <w:r w:rsidRPr="00A75DF9">
              <w:rPr>
                <w:rFonts w:ascii="Tahoma" w:hAnsi="Tahoma" w:cs="Tahoma"/>
                <w:sz w:val="13"/>
              </w:rPr>
              <w:t>2</w:t>
            </w:r>
          </w:p>
        </w:tc>
        <w:tc>
          <w:tcPr>
            <w:tcW w:w="450" w:type="dxa"/>
            <w:tcBorders>
              <w:left w:val="single" w:sz="18" w:space="0" w:color="auto"/>
            </w:tcBorders>
            <w:shd w:val="clear" w:color="auto" w:fill="auto"/>
            <w:vAlign w:val="center"/>
          </w:tcPr>
          <w:p w:rsidR="00B27742" w:rsidRPr="00A75DF9" w:rsidRDefault="00B27742">
            <w:pPr>
              <w:pStyle w:val="TableText"/>
              <w:rPr>
                <w:rFonts w:ascii="Tahoma" w:hAnsi="Tahoma" w:cs="Tahoma"/>
                <w:sz w:val="13"/>
              </w:rPr>
            </w:pPr>
          </w:p>
        </w:tc>
        <w:tc>
          <w:tcPr>
            <w:tcW w:w="450" w:type="dxa"/>
            <w:shd w:val="clear" w:color="auto" w:fill="auto"/>
            <w:vAlign w:val="center"/>
          </w:tcPr>
          <w:p w:rsidR="00B27742" w:rsidRPr="00A75DF9" w:rsidRDefault="00B27742">
            <w:pPr>
              <w:pStyle w:val="TableText"/>
              <w:rPr>
                <w:rFonts w:ascii="Tahoma" w:hAnsi="Tahoma" w:cs="Tahoma"/>
                <w:sz w:val="13"/>
              </w:rPr>
            </w:pPr>
          </w:p>
        </w:tc>
        <w:tc>
          <w:tcPr>
            <w:tcW w:w="450" w:type="dxa"/>
            <w:tcBorders>
              <w:right w:val="single" w:sz="18" w:space="0" w:color="auto"/>
            </w:tcBorders>
            <w:shd w:val="clear" w:color="auto" w:fill="auto"/>
            <w:vAlign w:val="center"/>
          </w:tcPr>
          <w:p w:rsidR="00B27742" w:rsidRPr="00A75DF9" w:rsidRDefault="00B27742">
            <w:pPr>
              <w:pStyle w:val="TableText"/>
              <w:rPr>
                <w:rFonts w:ascii="Tahoma" w:hAnsi="Tahoma" w:cs="Tahoma"/>
                <w:sz w:val="13"/>
              </w:rPr>
            </w:pPr>
          </w:p>
        </w:tc>
        <w:tc>
          <w:tcPr>
            <w:tcW w:w="450" w:type="dxa"/>
            <w:tcBorders>
              <w:left w:val="single" w:sz="18" w:space="0" w:color="auto"/>
            </w:tcBorders>
            <w:shd w:val="clear" w:color="auto" w:fill="auto"/>
            <w:vAlign w:val="center"/>
          </w:tcPr>
          <w:p w:rsidR="00B27742" w:rsidRPr="00A75DF9" w:rsidRDefault="00751F50">
            <w:pPr>
              <w:pStyle w:val="TableText"/>
              <w:rPr>
                <w:rFonts w:ascii="Tahoma" w:hAnsi="Tahoma" w:cs="Tahoma"/>
                <w:sz w:val="13"/>
              </w:rPr>
            </w:pPr>
            <w:r w:rsidRPr="00A75DF9">
              <w:rPr>
                <w:rFonts w:ascii="Tahoma" w:hAnsi="Tahoma" w:cs="Tahoma"/>
                <w:sz w:val="13"/>
              </w:rPr>
              <w:t>1)</w:t>
            </w:r>
          </w:p>
        </w:tc>
        <w:tc>
          <w:tcPr>
            <w:tcW w:w="450" w:type="dxa"/>
            <w:tcBorders>
              <w:right w:val="single" w:sz="18" w:space="0" w:color="auto"/>
            </w:tcBorders>
            <w:shd w:val="clear" w:color="auto" w:fill="auto"/>
            <w:vAlign w:val="center"/>
          </w:tcPr>
          <w:p w:rsidR="00B27742" w:rsidRPr="00A75DF9" w:rsidRDefault="00B27742" w:rsidP="00BD5039">
            <w:pPr>
              <w:pStyle w:val="TableText"/>
              <w:rPr>
                <w:rFonts w:ascii="Tahoma" w:hAnsi="Tahoma" w:cs="Tahoma"/>
                <w:sz w:val="13"/>
              </w:rPr>
            </w:pPr>
            <w:r w:rsidRPr="00A75DF9">
              <w:rPr>
                <w:rFonts w:ascii="Tahoma" w:hAnsi="Tahoma" w:cs="Tahoma"/>
                <w:sz w:val="13"/>
              </w:rPr>
              <w:t>E, A</w:t>
            </w:r>
          </w:p>
        </w:tc>
        <w:tc>
          <w:tcPr>
            <w:tcW w:w="450" w:type="dxa"/>
            <w:tcBorders>
              <w:left w:val="single" w:sz="18" w:space="0" w:color="auto"/>
              <w:right w:val="single" w:sz="18" w:space="0" w:color="auto"/>
            </w:tcBorders>
            <w:shd w:val="clear" w:color="auto" w:fill="auto"/>
            <w:vAlign w:val="center"/>
          </w:tcPr>
          <w:p w:rsidR="00B27742" w:rsidRPr="00A75DF9" w:rsidRDefault="00B27742">
            <w:pPr>
              <w:pStyle w:val="TableText"/>
              <w:rPr>
                <w:rFonts w:ascii="Tahoma" w:hAnsi="Tahoma" w:cs="Tahoma"/>
                <w:sz w:val="13"/>
              </w:rPr>
            </w:pPr>
            <w:r w:rsidRPr="00A75DF9">
              <w:rPr>
                <w:rFonts w:ascii="Tahoma" w:hAnsi="Tahoma" w:cs="Tahoma"/>
                <w:sz w:val="13"/>
              </w:rPr>
              <w:t>P</w:t>
            </w:r>
          </w:p>
        </w:tc>
        <w:tc>
          <w:tcPr>
            <w:tcW w:w="450" w:type="dxa"/>
            <w:shd w:val="clear" w:color="auto" w:fill="auto"/>
            <w:vAlign w:val="center"/>
          </w:tcPr>
          <w:p w:rsidR="00B27742" w:rsidRPr="00A75DF9" w:rsidRDefault="00954BF1" w:rsidP="00722522">
            <w:pPr>
              <w:pStyle w:val="TableText"/>
              <w:rPr>
                <w:rFonts w:ascii="Tahoma" w:hAnsi="Tahoma" w:cs="Tahoma"/>
                <w:sz w:val="13"/>
              </w:rPr>
            </w:pPr>
            <w:r w:rsidRPr="00A75DF9">
              <w:rPr>
                <w:rFonts w:ascii="Tahoma" w:hAnsi="Tahoma" w:cs="Tahoma"/>
                <w:sz w:val="13"/>
              </w:rPr>
              <w:t>A</w:t>
            </w:r>
          </w:p>
        </w:tc>
        <w:tc>
          <w:tcPr>
            <w:tcW w:w="540" w:type="dxa"/>
            <w:shd w:val="clear" w:color="auto" w:fill="auto"/>
            <w:vAlign w:val="center"/>
          </w:tcPr>
          <w:p w:rsidR="00B27742" w:rsidRPr="00A75DF9" w:rsidRDefault="00B27742">
            <w:pPr>
              <w:pStyle w:val="TableText"/>
              <w:rPr>
                <w:rFonts w:ascii="Tahoma" w:hAnsi="Tahoma" w:cs="Tahoma"/>
                <w:sz w:val="13"/>
              </w:rPr>
            </w:pPr>
          </w:p>
        </w:tc>
      </w:tr>
      <w:tr w:rsidR="006F741C" w:rsidRPr="00A75DF9" w:rsidTr="00337A7D">
        <w:trPr>
          <w:trHeight w:val="123"/>
        </w:trPr>
        <w:tc>
          <w:tcPr>
            <w:tcW w:w="2610" w:type="dxa"/>
            <w:shd w:val="clear" w:color="auto" w:fill="FABF8F"/>
          </w:tcPr>
          <w:p w:rsidR="006F741C" w:rsidRPr="00A75DF9" w:rsidRDefault="006F741C" w:rsidP="00F70479">
            <w:pPr>
              <w:pStyle w:val="ProductNames"/>
              <w:rPr>
                <w:rFonts w:ascii="Tahoma" w:hAnsi="Tahoma" w:cs="Tahoma"/>
                <w:sz w:val="14"/>
              </w:rPr>
            </w:pPr>
            <w:bookmarkStart w:id="142" w:name="_Toc368309919"/>
            <w:r w:rsidRPr="00A75DF9">
              <w:rPr>
                <w:rFonts w:ascii="Tahoma" w:hAnsi="Tahoma" w:cs="Tahoma"/>
                <w:sz w:val="14"/>
              </w:rPr>
              <w:t>Windows Intune (Per Dispositivo)</w:t>
            </w:r>
            <w:bookmarkEnd w:id="142"/>
          </w:p>
        </w:tc>
        <w:tc>
          <w:tcPr>
            <w:tcW w:w="450" w:type="dxa"/>
            <w:shd w:val="clear" w:color="auto" w:fill="FABF8F"/>
            <w:vAlign w:val="center"/>
          </w:tcPr>
          <w:p w:rsidR="006F741C" w:rsidRPr="00337A7D" w:rsidRDefault="00B54770" w:rsidP="003D5C46">
            <w:pPr>
              <w:pStyle w:val="TableText"/>
              <w:widowControl w:val="0"/>
              <w:rPr>
                <w:rStyle w:val="EndnoteReference"/>
                <w:rFonts w:cs="Tahoma"/>
                <w:b w:val="0"/>
                <w:color w:val="0000FF"/>
                <w:sz w:val="13"/>
                <w:szCs w:val="13"/>
              </w:rPr>
            </w:pPr>
            <w:hyperlink w:anchor="_29_Windows®_8" w:history="1">
              <w:r w:rsidR="00734B17" w:rsidRPr="00337A7D">
                <w:rPr>
                  <w:rStyle w:val="Hyperlink"/>
                  <w:rFonts w:cs="Tahoma"/>
                  <w:b/>
                  <w:sz w:val="13"/>
                  <w:szCs w:val="13"/>
                </w:rPr>
                <w:t>33</w:t>
              </w:r>
            </w:hyperlink>
          </w:p>
        </w:tc>
        <w:tc>
          <w:tcPr>
            <w:tcW w:w="450" w:type="dxa"/>
            <w:shd w:val="clear" w:color="auto" w:fill="FABF8F"/>
          </w:tcPr>
          <w:p w:rsidR="006F741C" w:rsidRPr="00A75DF9" w:rsidRDefault="00DB3ECB" w:rsidP="006640D1">
            <w:pPr>
              <w:pStyle w:val="TableText"/>
              <w:spacing w:before="120"/>
              <w:rPr>
                <w:rFonts w:ascii="Tahoma" w:hAnsi="Tahoma" w:cs="Tahoma"/>
                <w:sz w:val="13"/>
              </w:rPr>
            </w:pPr>
            <w:r w:rsidRPr="00A75DF9">
              <w:rPr>
                <w:rFonts w:ascii="Tahoma" w:hAnsi="Tahoma" w:cs="Tahoma"/>
                <w:sz w:val="13"/>
              </w:rPr>
              <w:t>04/11</w:t>
            </w:r>
          </w:p>
        </w:tc>
        <w:tc>
          <w:tcPr>
            <w:tcW w:w="378" w:type="dxa"/>
            <w:tcBorders>
              <w:right w:val="single" w:sz="18" w:space="0" w:color="auto"/>
            </w:tcBorders>
            <w:shd w:val="clear" w:color="auto" w:fill="FABF8F"/>
            <w:vAlign w:val="center"/>
          </w:tcPr>
          <w:p w:rsidR="006F741C" w:rsidRPr="00A75DF9" w:rsidRDefault="006F741C">
            <w:pPr>
              <w:pStyle w:val="TableText"/>
              <w:rPr>
                <w:rFonts w:ascii="Tahoma" w:hAnsi="Tahoma" w:cs="Tahoma"/>
                <w:sz w:val="13"/>
              </w:rPr>
            </w:pPr>
          </w:p>
        </w:tc>
        <w:tc>
          <w:tcPr>
            <w:tcW w:w="2952" w:type="dxa"/>
            <w:gridSpan w:val="8"/>
            <w:tcBorders>
              <w:left w:val="single" w:sz="18" w:space="0" w:color="auto"/>
              <w:right w:val="single" w:sz="18" w:space="0" w:color="auto"/>
            </w:tcBorders>
            <w:shd w:val="clear" w:color="auto" w:fill="FABF8F"/>
            <w:vAlign w:val="center"/>
          </w:tcPr>
          <w:p w:rsidR="006F741C" w:rsidRPr="00A75DF9" w:rsidRDefault="006F741C">
            <w:pPr>
              <w:pStyle w:val="TableText"/>
              <w:rPr>
                <w:rFonts w:ascii="Tahoma" w:hAnsi="Tahoma" w:cs="Tahoma"/>
                <w:sz w:val="13"/>
              </w:rPr>
            </w:pPr>
          </w:p>
        </w:tc>
        <w:tc>
          <w:tcPr>
            <w:tcW w:w="450" w:type="dxa"/>
            <w:tcBorders>
              <w:left w:val="single" w:sz="18" w:space="0" w:color="auto"/>
            </w:tcBorders>
            <w:shd w:val="clear" w:color="auto" w:fill="FABF8F"/>
            <w:vAlign w:val="center"/>
          </w:tcPr>
          <w:p w:rsidR="006F741C" w:rsidRPr="00A75DF9" w:rsidRDefault="006F741C">
            <w:pPr>
              <w:pStyle w:val="TableText"/>
              <w:rPr>
                <w:rFonts w:ascii="Tahoma" w:hAnsi="Tahoma" w:cs="Tahoma"/>
                <w:sz w:val="13"/>
              </w:rPr>
            </w:pPr>
          </w:p>
        </w:tc>
        <w:tc>
          <w:tcPr>
            <w:tcW w:w="450" w:type="dxa"/>
            <w:shd w:val="clear" w:color="auto" w:fill="FABF8F"/>
            <w:vAlign w:val="center"/>
          </w:tcPr>
          <w:p w:rsidR="006F741C" w:rsidRPr="00A75DF9" w:rsidRDefault="006F741C">
            <w:pPr>
              <w:pStyle w:val="TableText"/>
              <w:rPr>
                <w:rFonts w:ascii="Tahoma" w:hAnsi="Tahoma" w:cs="Tahoma"/>
                <w:sz w:val="13"/>
              </w:rPr>
            </w:pPr>
          </w:p>
        </w:tc>
        <w:tc>
          <w:tcPr>
            <w:tcW w:w="450" w:type="dxa"/>
            <w:tcBorders>
              <w:right w:val="single" w:sz="18" w:space="0" w:color="auto"/>
            </w:tcBorders>
            <w:shd w:val="clear" w:color="auto" w:fill="FABF8F"/>
            <w:vAlign w:val="center"/>
          </w:tcPr>
          <w:p w:rsidR="006F741C" w:rsidRPr="00A75DF9" w:rsidRDefault="006F741C">
            <w:pPr>
              <w:pStyle w:val="TableText"/>
              <w:rPr>
                <w:rFonts w:ascii="Tahoma" w:hAnsi="Tahoma" w:cs="Tahoma"/>
                <w:sz w:val="13"/>
              </w:rPr>
            </w:pPr>
          </w:p>
        </w:tc>
        <w:tc>
          <w:tcPr>
            <w:tcW w:w="450" w:type="dxa"/>
            <w:tcBorders>
              <w:left w:val="single" w:sz="18" w:space="0" w:color="auto"/>
            </w:tcBorders>
            <w:shd w:val="clear" w:color="auto" w:fill="FABF8F"/>
            <w:vAlign w:val="center"/>
          </w:tcPr>
          <w:p w:rsidR="006F741C" w:rsidRPr="00A75DF9" w:rsidRDefault="006F741C">
            <w:pPr>
              <w:pStyle w:val="TableText"/>
              <w:rPr>
                <w:rFonts w:ascii="Tahoma" w:hAnsi="Tahoma" w:cs="Tahoma"/>
                <w:sz w:val="13"/>
              </w:rPr>
            </w:pPr>
          </w:p>
        </w:tc>
        <w:tc>
          <w:tcPr>
            <w:tcW w:w="450" w:type="dxa"/>
            <w:tcBorders>
              <w:right w:val="single" w:sz="18" w:space="0" w:color="auto"/>
            </w:tcBorders>
            <w:shd w:val="clear" w:color="auto" w:fill="FABF8F"/>
            <w:vAlign w:val="center"/>
          </w:tcPr>
          <w:p w:rsidR="006F741C" w:rsidRPr="00A75DF9" w:rsidRDefault="006F741C" w:rsidP="00BD5039">
            <w:pPr>
              <w:pStyle w:val="TableText"/>
              <w:rPr>
                <w:rFonts w:ascii="Tahoma" w:hAnsi="Tahoma" w:cs="Tahoma"/>
                <w:sz w:val="13"/>
              </w:rPr>
            </w:pPr>
          </w:p>
        </w:tc>
        <w:tc>
          <w:tcPr>
            <w:tcW w:w="450" w:type="dxa"/>
            <w:tcBorders>
              <w:left w:val="single" w:sz="18" w:space="0" w:color="auto"/>
              <w:right w:val="single" w:sz="18" w:space="0" w:color="auto"/>
            </w:tcBorders>
            <w:shd w:val="clear" w:color="auto" w:fill="FABF8F"/>
            <w:vAlign w:val="center"/>
          </w:tcPr>
          <w:p w:rsidR="006F741C" w:rsidRPr="00A75DF9" w:rsidRDefault="006F741C">
            <w:pPr>
              <w:pStyle w:val="TableText"/>
              <w:rPr>
                <w:rFonts w:ascii="Tahoma" w:hAnsi="Tahoma" w:cs="Tahoma"/>
                <w:sz w:val="13"/>
              </w:rPr>
            </w:pPr>
          </w:p>
        </w:tc>
        <w:tc>
          <w:tcPr>
            <w:tcW w:w="450" w:type="dxa"/>
            <w:shd w:val="clear" w:color="auto" w:fill="FABF8F"/>
            <w:vAlign w:val="center"/>
          </w:tcPr>
          <w:p w:rsidR="006F741C" w:rsidRPr="00A75DF9" w:rsidRDefault="006F741C" w:rsidP="00722522">
            <w:pPr>
              <w:pStyle w:val="TableText"/>
              <w:rPr>
                <w:rFonts w:ascii="Tahoma" w:hAnsi="Tahoma" w:cs="Tahoma"/>
                <w:sz w:val="13"/>
              </w:rPr>
            </w:pPr>
          </w:p>
        </w:tc>
        <w:tc>
          <w:tcPr>
            <w:tcW w:w="540" w:type="dxa"/>
            <w:shd w:val="clear" w:color="auto" w:fill="FABF8F"/>
            <w:vAlign w:val="center"/>
          </w:tcPr>
          <w:p w:rsidR="006F741C" w:rsidRPr="00A75DF9" w:rsidRDefault="006F741C">
            <w:pPr>
              <w:pStyle w:val="TableText"/>
              <w:rPr>
                <w:rFonts w:ascii="Tahoma" w:hAnsi="Tahoma" w:cs="Tahoma"/>
                <w:sz w:val="13"/>
              </w:rPr>
            </w:pPr>
          </w:p>
        </w:tc>
      </w:tr>
      <w:tr w:rsidR="00955DF1" w:rsidRPr="00A75DF9" w:rsidTr="00337A7D">
        <w:trPr>
          <w:trHeight w:val="123"/>
        </w:trPr>
        <w:tc>
          <w:tcPr>
            <w:tcW w:w="2610" w:type="dxa"/>
            <w:tcBorders>
              <w:bottom w:val="single" w:sz="4" w:space="0" w:color="auto"/>
            </w:tcBorders>
            <w:shd w:val="clear" w:color="auto" w:fill="auto"/>
          </w:tcPr>
          <w:p w:rsidR="00955DF1" w:rsidRPr="00A75DF9" w:rsidRDefault="00955DF1" w:rsidP="00163658">
            <w:pPr>
              <w:pStyle w:val="ProductNames"/>
              <w:rPr>
                <w:rFonts w:ascii="Tahoma" w:hAnsi="Tahoma" w:cs="Tahoma"/>
                <w:sz w:val="14"/>
              </w:rPr>
            </w:pPr>
            <w:bookmarkStart w:id="143" w:name="_Toc368309920"/>
            <w:r w:rsidRPr="00A75DF9">
              <w:rPr>
                <w:rFonts w:ascii="Tahoma" w:hAnsi="Tahoma" w:cs="Tahoma"/>
                <w:sz w:val="14"/>
              </w:rPr>
              <w:t>Componente Aggiuntivo per Windows Intune (Per Dispositivo)</w:t>
            </w:r>
            <w:bookmarkEnd w:id="143"/>
          </w:p>
        </w:tc>
        <w:tc>
          <w:tcPr>
            <w:tcW w:w="450" w:type="dxa"/>
            <w:tcBorders>
              <w:bottom w:val="single" w:sz="4" w:space="0" w:color="auto"/>
            </w:tcBorders>
            <w:shd w:val="clear" w:color="auto" w:fill="auto"/>
            <w:vAlign w:val="center"/>
          </w:tcPr>
          <w:p w:rsidR="00955DF1" w:rsidRPr="00337A7D" w:rsidRDefault="00B54770" w:rsidP="009D43FB">
            <w:pPr>
              <w:pStyle w:val="TableText"/>
              <w:widowControl w:val="0"/>
              <w:rPr>
                <w:rStyle w:val="EndnoteReference"/>
                <w:rFonts w:cs="Tahoma"/>
                <w:b w:val="0"/>
                <w:color w:val="0000FF"/>
                <w:sz w:val="13"/>
                <w:szCs w:val="13"/>
              </w:rPr>
            </w:pPr>
            <w:hyperlink w:anchor="_98_Windows_Multipoint" w:history="1">
              <w:r w:rsidR="00734B17" w:rsidRPr="00337A7D">
                <w:rPr>
                  <w:rStyle w:val="Hyperlink"/>
                  <w:rFonts w:cs="Tahoma"/>
                  <w:b/>
                  <w:sz w:val="13"/>
                  <w:szCs w:val="13"/>
                </w:rPr>
                <w:t>34</w:t>
              </w:r>
            </w:hyperlink>
            <w:hyperlink w:anchor="Sys_27WindowsVistaProUpgrade" w:history="1"/>
          </w:p>
        </w:tc>
        <w:tc>
          <w:tcPr>
            <w:tcW w:w="450" w:type="dxa"/>
            <w:tcBorders>
              <w:bottom w:val="single" w:sz="4" w:space="0" w:color="auto"/>
            </w:tcBorders>
            <w:shd w:val="clear" w:color="auto" w:fill="auto"/>
          </w:tcPr>
          <w:p w:rsidR="00955DF1" w:rsidRPr="00A75DF9" w:rsidRDefault="00DB3ECB" w:rsidP="00163658">
            <w:pPr>
              <w:pStyle w:val="TableText"/>
              <w:spacing w:before="120"/>
              <w:rPr>
                <w:rFonts w:ascii="Tahoma" w:hAnsi="Tahoma" w:cs="Tahoma"/>
                <w:sz w:val="13"/>
              </w:rPr>
            </w:pPr>
            <w:r w:rsidRPr="00A75DF9">
              <w:rPr>
                <w:rFonts w:ascii="Tahoma" w:hAnsi="Tahoma" w:cs="Tahoma"/>
                <w:sz w:val="13"/>
              </w:rPr>
              <w:t>04/11</w:t>
            </w:r>
          </w:p>
        </w:tc>
        <w:tc>
          <w:tcPr>
            <w:tcW w:w="378" w:type="dxa"/>
            <w:tcBorders>
              <w:bottom w:val="single" w:sz="4" w:space="0" w:color="auto"/>
              <w:right w:val="single" w:sz="18" w:space="0" w:color="auto"/>
            </w:tcBorders>
            <w:shd w:val="clear" w:color="auto" w:fill="auto"/>
            <w:vAlign w:val="center"/>
          </w:tcPr>
          <w:p w:rsidR="00955DF1" w:rsidRPr="00A75DF9" w:rsidRDefault="00955DF1">
            <w:pPr>
              <w:pStyle w:val="TableText"/>
              <w:rPr>
                <w:rFonts w:ascii="Tahoma" w:hAnsi="Tahoma" w:cs="Tahoma"/>
                <w:sz w:val="13"/>
              </w:rPr>
            </w:pPr>
          </w:p>
        </w:tc>
        <w:tc>
          <w:tcPr>
            <w:tcW w:w="2952" w:type="dxa"/>
            <w:gridSpan w:val="8"/>
            <w:tcBorders>
              <w:left w:val="single" w:sz="18" w:space="0" w:color="auto"/>
              <w:bottom w:val="single" w:sz="4" w:space="0" w:color="auto"/>
              <w:right w:val="single" w:sz="18" w:space="0" w:color="auto"/>
            </w:tcBorders>
            <w:shd w:val="clear" w:color="auto" w:fill="auto"/>
            <w:vAlign w:val="center"/>
          </w:tcPr>
          <w:p w:rsidR="00955DF1" w:rsidRPr="00A75DF9" w:rsidRDefault="00955DF1">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55DF1" w:rsidRPr="00A75DF9" w:rsidRDefault="00955DF1">
            <w:pPr>
              <w:pStyle w:val="TableText"/>
              <w:rPr>
                <w:rFonts w:ascii="Tahoma" w:hAnsi="Tahoma" w:cs="Tahoma"/>
                <w:sz w:val="13"/>
              </w:rPr>
            </w:pPr>
          </w:p>
        </w:tc>
        <w:tc>
          <w:tcPr>
            <w:tcW w:w="450" w:type="dxa"/>
            <w:tcBorders>
              <w:bottom w:val="single" w:sz="4" w:space="0" w:color="auto"/>
            </w:tcBorders>
            <w:shd w:val="clear" w:color="auto" w:fill="auto"/>
            <w:vAlign w:val="center"/>
          </w:tcPr>
          <w:p w:rsidR="00955DF1" w:rsidRPr="00A75DF9" w:rsidRDefault="00955DF1">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55DF1" w:rsidRPr="00A75DF9" w:rsidRDefault="00955DF1">
            <w:pPr>
              <w:pStyle w:val="TableText"/>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55DF1" w:rsidRPr="00A75DF9" w:rsidRDefault="00955DF1">
            <w:pPr>
              <w:pStyle w:val="TableTex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55DF1" w:rsidRPr="00A75DF9" w:rsidRDefault="00955DF1" w:rsidP="00BD5039">
            <w:pPr>
              <w:pStyle w:val="TableText"/>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955DF1" w:rsidRPr="00A75DF9" w:rsidRDefault="00955DF1">
            <w:pPr>
              <w:pStyle w:val="TableText"/>
              <w:rPr>
                <w:rFonts w:ascii="Tahoma" w:hAnsi="Tahoma" w:cs="Tahoma"/>
                <w:sz w:val="13"/>
              </w:rPr>
            </w:pPr>
          </w:p>
        </w:tc>
        <w:tc>
          <w:tcPr>
            <w:tcW w:w="450" w:type="dxa"/>
            <w:tcBorders>
              <w:bottom w:val="single" w:sz="4" w:space="0" w:color="auto"/>
            </w:tcBorders>
            <w:shd w:val="clear" w:color="auto" w:fill="auto"/>
            <w:vAlign w:val="center"/>
          </w:tcPr>
          <w:p w:rsidR="00955DF1" w:rsidRPr="00A75DF9" w:rsidRDefault="00955DF1" w:rsidP="00722522">
            <w:pPr>
              <w:pStyle w:val="TableText"/>
              <w:rPr>
                <w:rFonts w:ascii="Tahoma" w:hAnsi="Tahoma" w:cs="Tahoma"/>
                <w:sz w:val="13"/>
              </w:rPr>
            </w:pPr>
          </w:p>
        </w:tc>
        <w:tc>
          <w:tcPr>
            <w:tcW w:w="540" w:type="dxa"/>
            <w:tcBorders>
              <w:bottom w:val="single" w:sz="4" w:space="0" w:color="auto"/>
            </w:tcBorders>
            <w:shd w:val="clear" w:color="auto" w:fill="auto"/>
            <w:vAlign w:val="center"/>
          </w:tcPr>
          <w:p w:rsidR="00955DF1" w:rsidRPr="00A75DF9" w:rsidRDefault="00955DF1">
            <w:pPr>
              <w:pStyle w:val="TableText"/>
              <w:rPr>
                <w:rFonts w:ascii="Tahoma" w:hAnsi="Tahoma" w:cs="Tahoma"/>
                <w:sz w:val="13"/>
              </w:rPr>
            </w:pPr>
          </w:p>
        </w:tc>
      </w:tr>
    </w:tbl>
    <w:p w:rsidR="00091558" w:rsidRPr="00A75DF9" w:rsidRDefault="00091558">
      <w:pPr>
        <w:pStyle w:val="ProductPool"/>
        <w:rPr>
          <w:rFonts w:ascii="Tahoma" w:hAnsi="Tahoma" w:cs="Tahoma"/>
        </w:rPr>
      </w:pPr>
    </w:p>
    <w:p w:rsidR="0021637C" w:rsidRDefault="0021637C" w:rsidP="004E292A">
      <w:pPr>
        <w:pStyle w:val="Heading3"/>
        <w:rPr>
          <w:rFonts w:ascii="Tahoma" w:hAnsi="Tahoma" w:cs="Tahoma"/>
        </w:rPr>
      </w:pPr>
    </w:p>
    <w:p w:rsidR="00337A7D" w:rsidRDefault="00337A7D" w:rsidP="00337A7D"/>
    <w:p w:rsidR="00337A7D" w:rsidRDefault="00337A7D" w:rsidP="00337A7D"/>
    <w:p w:rsidR="00337A7D" w:rsidRDefault="00337A7D" w:rsidP="00337A7D"/>
    <w:p w:rsidR="00337A7D" w:rsidRDefault="00337A7D" w:rsidP="00337A7D"/>
    <w:p w:rsidR="00337A7D" w:rsidRDefault="00337A7D" w:rsidP="00337A7D"/>
    <w:p w:rsidR="00337A7D" w:rsidRDefault="00337A7D" w:rsidP="00337A7D"/>
    <w:p w:rsidR="00337A7D" w:rsidRDefault="00337A7D" w:rsidP="00337A7D"/>
    <w:p w:rsidR="00337A7D" w:rsidRDefault="00337A7D" w:rsidP="00337A7D"/>
    <w:p w:rsidR="00337A7D" w:rsidRDefault="00337A7D" w:rsidP="00337A7D"/>
    <w:p w:rsidR="00337A7D" w:rsidRDefault="00337A7D" w:rsidP="00337A7D"/>
    <w:p w:rsidR="00337A7D" w:rsidRDefault="00337A7D" w:rsidP="00337A7D"/>
    <w:p w:rsidR="00337A7D" w:rsidRPr="00337A7D" w:rsidRDefault="00337A7D" w:rsidP="00337A7D"/>
    <w:p w:rsidR="00023FE7" w:rsidRPr="00A75DF9" w:rsidRDefault="00023FE7" w:rsidP="004E292A">
      <w:pPr>
        <w:pStyle w:val="Heading3"/>
        <w:rPr>
          <w:rFonts w:ascii="Tahoma" w:hAnsi="Tahoma" w:cs="Tahoma"/>
        </w:rPr>
      </w:pPr>
      <w:bookmarkStart w:id="144" w:name="_Toc336337908"/>
      <w:bookmarkStart w:id="145" w:name="_Toc368309921"/>
      <w:r w:rsidRPr="00A75DF9">
        <w:rPr>
          <w:rFonts w:ascii="Tahoma" w:hAnsi="Tahoma" w:cs="Tahoma"/>
          <w:sz w:val="22"/>
          <w:szCs w:val="22"/>
        </w:rPr>
        <w:lastRenderedPageBreak/>
        <w:t>POOL DI SERVER</w:t>
      </w:r>
      <w:bookmarkEnd w:id="144"/>
      <w:bookmarkEnd w:id="145"/>
    </w:p>
    <w:p w:rsidR="00023FE7" w:rsidRPr="00A75DF9" w:rsidRDefault="00023FE7">
      <w:pPr>
        <w:rPr>
          <w:rFonts w:cs="Tahoma"/>
        </w:rPr>
      </w:pPr>
    </w:p>
    <w:tbl>
      <w:tblPr>
        <w:tblW w:w="10654" w:type="dxa"/>
        <w:tblInd w:w="-5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9" w:type="dxa"/>
          <w:right w:w="29" w:type="dxa"/>
        </w:tblCellMar>
        <w:tblLook w:val="0000" w:firstRow="0" w:lastRow="0" w:firstColumn="0" w:lastColumn="0" w:noHBand="0" w:noVBand="0"/>
      </w:tblPr>
      <w:tblGrid>
        <w:gridCol w:w="17"/>
        <w:gridCol w:w="2707"/>
        <w:gridCol w:w="448"/>
        <w:gridCol w:w="449"/>
        <w:gridCol w:w="359"/>
        <w:gridCol w:w="356"/>
        <w:gridCol w:w="450"/>
        <w:gridCol w:w="455"/>
        <w:gridCol w:w="9"/>
        <w:gridCol w:w="432"/>
        <w:gridCol w:w="9"/>
        <w:gridCol w:w="445"/>
        <w:gridCol w:w="450"/>
        <w:gridCol w:w="374"/>
        <w:gridCol w:w="455"/>
        <w:gridCol w:w="450"/>
        <w:gridCol w:w="450"/>
        <w:gridCol w:w="450"/>
        <w:gridCol w:w="450"/>
        <w:gridCol w:w="450"/>
        <w:gridCol w:w="450"/>
        <w:gridCol w:w="539"/>
      </w:tblGrid>
      <w:tr w:rsidR="001C38D4" w:rsidRPr="00A75DF9" w:rsidTr="008A1262">
        <w:trPr>
          <w:cantSplit/>
          <w:trHeight w:val="389"/>
          <w:tblHeader/>
        </w:trPr>
        <w:tc>
          <w:tcPr>
            <w:tcW w:w="2724" w:type="dxa"/>
            <w:gridSpan w:val="2"/>
            <w:vMerge w:val="restart"/>
            <w:tcBorders>
              <w:top w:val="single" w:sz="4" w:space="0" w:color="FFFFFF"/>
              <w:left w:val="single" w:sz="4" w:space="0" w:color="FFFFFF"/>
            </w:tcBorders>
          </w:tcPr>
          <w:p w:rsidR="00C031FA" w:rsidRPr="00A75DF9" w:rsidRDefault="000B31FC">
            <w:pPr>
              <w:rPr>
                <w:rFonts w:cs="Tahoma"/>
                <w:sz w:val="20"/>
              </w:rPr>
            </w:pPr>
            <w:r>
              <w:rPr>
                <w:rFonts w:cs="Tahoma"/>
                <w:noProof/>
              </w:rPr>
              <mc:AlternateContent>
                <mc:Choice Requires="wps">
                  <w:drawing>
                    <wp:anchor distT="0" distB="0" distL="114300" distR="114300" simplePos="0" relativeHeight="251663872" behindDoc="0" locked="0" layoutInCell="1" allowOverlap="1" wp14:anchorId="466AB63B" wp14:editId="06DDC22A">
                      <wp:simplePos x="0" y="0"/>
                      <wp:positionH relativeFrom="column">
                        <wp:posOffset>1666875</wp:posOffset>
                      </wp:positionH>
                      <wp:positionV relativeFrom="paragraph">
                        <wp:posOffset>405765</wp:posOffset>
                      </wp:positionV>
                      <wp:extent cx="405130" cy="213995"/>
                      <wp:effectExtent l="0" t="0" r="0" b="0"/>
                      <wp:wrapNone/>
                      <wp:docPr id="4" name="Text Box 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5130" cy="2139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C5829" w:rsidRDefault="001C5829">
                                  <w:pPr>
                                    <w:rPr>
                                      <w:color w:val="0000FF"/>
                                      <w:sz w:val="20"/>
                                    </w:rPr>
                                  </w:pPr>
                                  <w:r>
                                    <w:rPr>
                                      <w:rFonts w:cs="Tahoma"/>
                                      <w:b/>
                                      <w:color w:val="0000FF"/>
                                      <w:sz w:val="8"/>
                                    </w:rPr>
                                    <w:t xml:space="preserve">(Ctrl + </w:t>
                                  </w:r>
                                  <w:proofErr w:type="spellStart"/>
                                  <w:r>
                                    <w:rPr>
                                      <w:rFonts w:cs="Tahoma"/>
                                      <w:b/>
                                      <w:color w:val="0000FF"/>
                                      <w:sz w:val="8"/>
                                    </w:rPr>
                                    <w:t>Clic</w:t>
                                  </w:r>
                                  <w:proofErr w:type="spellEnd"/>
                                  <w:r>
                                    <w:rPr>
                                      <w:rFonts w:cs="Tahoma"/>
                                      <w:b/>
                                      <w:color w:val="0000FF"/>
                                      <w:sz w:val="8"/>
                                    </w:rPr>
                                    <w:t>)</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64" o:spid="_x0000_s1028" type="#_x0000_t202" style="position:absolute;margin-left:131.25pt;margin-top:31.95pt;width:31.9pt;height:16.85pt;z-index:25166387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" filled="f" stroked="f">
                      <v:textbox style="mso-fit-shape-to-text:t">
                        <w:txbxContent>
                          <w:p w:rsidR="001C5829" w:rsidRDefault="001C5829">
                            <w:pPr>
                              <w:rPr>
                                <w:color w:val="0000FF"/>
                                <w:sz w:val="20"/>
                              </w:rPr>
                            </w:pPr>
                            <w:r>
                              <w:rPr>
                                <w:rFonts w:cs="Tahoma"/>
                                <w:b/>
                                <w:color w:val="0000FF"/>
                                <w:sz w:val="8"/>
                              </w:rPr>
                              <w:t>(Ctrl + Clic)</w:t>
                            </w:r>
                          </w:p>
                        </w:txbxContent>
                      </v:textbox>
                    </v:shape>
                  </w:pict>
                </mc:Fallback>
              </mc:AlternateContent>
            </w:r>
          </w:p>
        </w:tc>
        <w:tc>
          <w:tcPr>
            <w:tcW w:w="448" w:type="dxa"/>
            <w:vMerge w:val="restart"/>
            <w:tcBorders>
              <w:top w:val="single" w:sz="12" w:space="0" w:color="auto"/>
            </w:tcBorders>
            <w:textDirection w:val="btLr"/>
            <w:vAlign w:val="center"/>
          </w:tcPr>
          <w:p w:rsidR="00C031FA" w:rsidRPr="00A75DF9" w:rsidRDefault="00C031FA" w:rsidP="00511DE4">
            <w:pPr>
              <w:pStyle w:val="TableVerticalText"/>
              <w:rPr>
                <w:rFonts w:ascii="Tahoma" w:hAnsi="Tahoma" w:cs="Tahoma"/>
                <w:sz w:val="9"/>
              </w:rPr>
            </w:pPr>
            <w:r w:rsidRPr="00A75DF9">
              <w:rPr>
                <w:rFonts w:ascii="Tahoma" w:hAnsi="Tahoma" w:cs="Tahoma"/>
                <w:sz w:val="9"/>
              </w:rPr>
              <w:t xml:space="preserve">Note del </w:t>
            </w:r>
            <w:r w:rsidR="00337A7D">
              <w:rPr>
                <w:rFonts w:ascii="Tahoma" w:hAnsi="Tahoma" w:cs="Tahoma"/>
                <w:sz w:val="9"/>
              </w:rPr>
              <w:br/>
            </w:r>
            <w:r w:rsidRPr="00A75DF9">
              <w:rPr>
                <w:rFonts w:ascii="Tahoma" w:hAnsi="Tahoma" w:cs="Tahoma"/>
                <w:sz w:val="9"/>
              </w:rPr>
              <w:t>Prodotto</w:t>
            </w:r>
          </w:p>
        </w:tc>
        <w:tc>
          <w:tcPr>
            <w:tcW w:w="449" w:type="dxa"/>
            <w:vMerge w:val="restart"/>
            <w:tcBorders>
              <w:top w:val="single" w:sz="12" w:space="0" w:color="auto"/>
            </w:tcBorders>
            <w:textDirection w:val="btLr"/>
          </w:tcPr>
          <w:p w:rsidR="00C031FA" w:rsidRPr="00A75DF9" w:rsidRDefault="00C031FA">
            <w:pPr>
              <w:pStyle w:val="TableVerticalText"/>
              <w:rPr>
                <w:rFonts w:ascii="Tahoma" w:hAnsi="Tahoma" w:cs="Tahoma"/>
              </w:rPr>
            </w:pPr>
          </w:p>
          <w:p w:rsidR="00C031FA" w:rsidRPr="00A75DF9" w:rsidRDefault="00C031FA">
            <w:pPr>
              <w:pStyle w:val="TableVerticalText"/>
              <w:rPr>
                <w:rFonts w:ascii="Tahoma" w:hAnsi="Tahoma" w:cs="Tahoma"/>
                <w:sz w:val="9"/>
              </w:rPr>
            </w:pPr>
            <w:r w:rsidRPr="00A75DF9">
              <w:rPr>
                <w:rFonts w:ascii="Tahoma" w:hAnsi="Tahoma" w:cs="Tahoma"/>
                <w:sz w:val="9"/>
              </w:rPr>
              <w:t>Data Disponibilità</w:t>
            </w:r>
          </w:p>
        </w:tc>
        <w:tc>
          <w:tcPr>
            <w:tcW w:w="359" w:type="dxa"/>
            <w:vMerge w:val="restart"/>
            <w:tcBorders>
              <w:top w:val="single" w:sz="12" w:space="0" w:color="auto"/>
              <w:right w:val="single" w:sz="18" w:space="0" w:color="auto"/>
            </w:tcBorders>
            <w:textDirection w:val="btLr"/>
            <w:vAlign w:val="center"/>
          </w:tcPr>
          <w:p w:rsidR="00C031FA" w:rsidRPr="00A75DF9" w:rsidRDefault="00C031FA">
            <w:pPr>
              <w:pStyle w:val="TableVerticalText"/>
              <w:rPr>
                <w:rFonts w:ascii="Tahoma" w:hAnsi="Tahoma" w:cs="Tahoma"/>
                <w:sz w:val="9"/>
              </w:rPr>
            </w:pPr>
            <w:r w:rsidRPr="00A75DF9">
              <w:rPr>
                <w:rFonts w:ascii="Tahoma" w:hAnsi="Tahoma" w:cs="Tahoma"/>
                <w:sz w:val="9"/>
              </w:rPr>
              <w:t>SAB / OLB</w:t>
            </w:r>
          </w:p>
        </w:tc>
        <w:tc>
          <w:tcPr>
            <w:tcW w:w="2980" w:type="dxa"/>
            <w:gridSpan w:val="9"/>
            <w:tcBorders>
              <w:top w:val="single" w:sz="12" w:space="0" w:color="auto"/>
              <w:left w:val="single" w:sz="18" w:space="0" w:color="auto"/>
              <w:right w:val="single" w:sz="18" w:space="0" w:color="auto"/>
            </w:tcBorders>
            <w:vAlign w:val="center"/>
          </w:tcPr>
          <w:p w:rsidR="00C031FA" w:rsidRPr="00A75DF9" w:rsidRDefault="00C031FA">
            <w:pPr>
              <w:pStyle w:val="TableHeadingsBlack"/>
              <w:rPr>
                <w:rFonts w:ascii="Tahoma" w:hAnsi="Tahoma" w:cs="Tahoma"/>
              </w:rPr>
            </w:pPr>
            <w:r w:rsidRPr="00A75DF9">
              <w:rPr>
                <w:rFonts w:ascii="Tahoma" w:hAnsi="Tahoma" w:cs="Tahoma"/>
              </w:rPr>
              <w:t>Select / Select Plus*</w:t>
            </w:r>
          </w:p>
        </w:tc>
        <w:tc>
          <w:tcPr>
            <w:tcW w:w="1355" w:type="dxa"/>
            <w:gridSpan w:val="3"/>
            <w:tcBorders>
              <w:top w:val="single" w:sz="12" w:space="0" w:color="auto"/>
              <w:left w:val="single" w:sz="18" w:space="0" w:color="auto"/>
              <w:right w:val="single" w:sz="18" w:space="0" w:color="auto"/>
            </w:tcBorders>
            <w:vAlign w:val="center"/>
          </w:tcPr>
          <w:p w:rsidR="00C031FA" w:rsidRPr="00A75DF9" w:rsidRDefault="00C031FA">
            <w:pPr>
              <w:pStyle w:val="TableHeadingsBlack"/>
              <w:rPr>
                <w:rFonts w:ascii="Tahoma" w:hAnsi="Tahoma" w:cs="Tahoma"/>
                <w:szCs w:val="11"/>
              </w:rPr>
            </w:pPr>
            <w:r w:rsidRPr="00A75DF9">
              <w:rPr>
                <w:rFonts w:ascii="Tahoma" w:hAnsi="Tahoma" w:cs="Tahoma"/>
                <w:szCs w:val="11"/>
              </w:rPr>
              <w:t>Licenza Open</w:t>
            </w:r>
          </w:p>
        </w:tc>
        <w:tc>
          <w:tcPr>
            <w:tcW w:w="450" w:type="dxa"/>
            <w:vMerge w:val="restart"/>
            <w:tcBorders>
              <w:top w:val="single" w:sz="12" w:space="0" w:color="auto"/>
              <w:left w:val="single" w:sz="18" w:space="0" w:color="auto"/>
            </w:tcBorders>
            <w:textDirection w:val="btLr"/>
            <w:vAlign w:val="center"/>
          </w:tcPr>
          <w:p w:rsidR="00C031FA" w:rsidRPr="00A75DF9" w:rsidRDefault="00C031FA">
            <w:pPr>
              <w:pStyle w:val="TableVerticalText"/>
              <w:rPr>
                <w:rFonts w:ascii="Tahoma" w:hAnsi="Tahoma" w:cs="Tahoma"/>
                <w:sz w:val="9"/>
              </w:rPr>
            </w:pPr>
            <w:r w:rsidRPr="00A75DF9">
              <w:rPr>
                <w:rFonts w:ascii="Tahoma" w:hAnsi="Tahoma" w:cs="Tahoma"/>
                <w:sz w:val="9"/>
              </w:rPr>
              <w:t>Unità Campus/School</w:t>
            </w:r>
          </w:p>
        </w:tc>
        <w:tc>
          <w:tcPr>
            <w:tcW w:w="450" w:type="dxa"/>
            <w:vMerge w:val="restart"/>
            <w:tcBorders>
              <w:top w:val="single" w:sz="12" w:space="0" w:color="auto"/>
              <w:right w:val="single" w:sz="18" w:space="0" w:color="auto"/>
            </w:tcBorders>
            <w:textDirection w:val="btLr"/>
            <w:vAlign w:val="center"/>
          </w:tcPr>
          <w:p w:rsidR="00C031FA" w:rsidRPr="00A75DF9" w:rsidRDefault="00C031FA">
            <w:pPr>
              <w:pStyle w:val="TableVerticalText"/>
              <w:rPr>
                <w:rFonts w:ascii="Tahoma" w:hAnsi="Tahoma" w:cs="Tahoma"/>
                <w:sz w:val="9"/>
              </w:rPr>
            </w:pPr>
            <w:r w:rsidRPr="00A75DF9">
              <w:rPr>
                <w:rFonts w:ascii="Tahoma" w:hAnsi="Tahoma" w:cs="Tahoma"/>
                <w:sz w:val="9"/>
              </w:rPr>
              <w:t xml:space="preserve">EA ed </w:t>
            </w:r>
            <w:r w:rsidRPr="00A75DF9">
              <w:rPr>
                <w:rFonts w:ascii="Tahoma" w:hAnsi="Tahoma" w:cs="Tahoma"/>
                <w:sz w:val="9"/>
              </w:rPr>
              <w:br/>
              <w:t>EA Sub</w:t>
            </w:r>
          </w:p>
        </w:tc>
        <w:tc>
          <w:tcPr>
            <w:tcW w:w="450" w:type="dxa"/>
            <w:vMerge w:val="restart"/>
            <w:tcBorders>
              <w:top w:val="single" w:sz="12" w:space="0" w:color="auto"/>
              <w:left w:val="single" w:sz="18" w:space="0" w:color="auto"/>
              <w:right w:val="single" w:sz="18" w:space="0" w:color="auto"/>
            </w:tcBorders>
            <w:textDirection w:val="btLr"/>
            <w:vAlign w:val="center"/>
          </w:tcPr>
          <w:p w:rsidR="00C031FA" w:rsidRPr="00A75DF9" w:rsidRDefault="00C031FA">
            <w:pPr>
              <w:pStyle w:val="TableVerticalText"/>
              <w:rPr>
                <w:rFonts w:ascii="Tahoma" w:hAnsi="Tahoma" w:cs="Tahoma"/>
                <w:sz w:val="9"/>
              </w:rPr>
            </w:pPr>
            <w:r w:rsidRPr="00A75DF9">
              <w:rPr>
                <w:rFonts w:ascii="Tahoma" w:hAnsi="Tahoma" w:cs="Tahoma"/>
                <w:sz w:val="9"/>
              </w:rPr>
              <w:t>OV / OVS</w:t>
            </w:r>
          </w:p>
        </w:tc>
        <w:tc>
          <w:tcPr>
            <w:tcW w:w="450" w:type="dxa"/>
            <w:vMerge w:val="restart"/>
            <w:tcBorders>
              <w:top w:val="single" w:sz="12" w:space="0" w:color="auto"/>
            </w:tcBorders>
            <w:textDirection w:val="btLr"/>
          </w:tcPr>
          <w:p w:rsidR="00C031FA" w:rsidRPr="00A75DF9" w:rsidRDefault="00C031FA" w:rsidP="00384940">
            <w:pPr>
              <w:pStyle w:val="TableVerticalText"/>
              <w:spacing w:before="120"/>
              <w:rPr>
                <w:rFonts w:ascii="Tahoma" w:hAnsi="Tahoma" w:cs="Tahoma"/>
                <w:sz w:val="9"/>
              </w:rPr>
            </w:pPr>
            <w:r w:rsidRPr="00A75DF9">
              <w:rPr>
                <w:rFonts w:ascii="Tahoma" w:hAnsi="Tahoma" w:cs="Tahoma"/>
                <w:sz w:val="9"/>
              </w:rPr>
              <w:t>EES / OVS - ES</w:t>
            </w:r>
          </w:p>
        </w:tc>
        <w:tc>
          <w:tcPr>
            <w:tcW w:w="539" w:type="dxa"/>
            <w:vMerge w:val="restart"/>
            <w:tcBorders>
              <w:top w:val="single" w:sz="12" w:space="0" w:color="auto"/>
            </w:tcBorders>
            <w:textDirection w:val="btLr"/>
            <w:vAlign w:val="center"/>
          </w:tcPr>
          <w:p w:rsidR="00C031FA" w:rsidRPr="00A75DF9" w:rsidRDefault="00C031FA" w:rsidP="00456002">
            <w:pPr>
              <w:pStyle w:val="TableVerticalText"/>
              <w:rPr>
                <w:rFonts w:ascii="Tahoma" w:hAnsi="Tahoma" w:cs="Tahoma"/>
                <w:sz w:val="9"/>
              </w:rPr>
            </w:pPr>
            <w:r w:rsidRPr="00A75DF9">
              <w:rPr>
                <w:rFonts w:ascii="Tahoma" w:hAnsi="Tahoma" w:cs="Tahoma"/>
                <w:sz w:val="9"/>
              </w:rPr>
              <w:t>Requisito minimo per i Programmi Open</w:t>
            </w:r>
          </w:p>
        </w:tc>
      </w:tr>
      <w:tr w:rsidR="001C38D4" w:rsidRPr="00A75DF9" w:rsidTr="008A1262">
        <w:trPr>
          <w:cantSplit/>
          <w:trHeight w:val="262"/>
          <w:tblHeader/>
        </w:trPr>
        <w:tc>
          <w:tcPr>
            <w:tcW w:w="2724" w:type="dxa"/>
            <w:gridSpan w:val="2"/>
            <w:vMerge/>
            <w:tcBorders>
              <w:left w:val="single" w:sz="4" w:space="0" w:color="FFFFFF"/>
            </w:tcBorders>
          </w:tcPr>
          <w:p w:rsidR="00C031FA" w:rsidRPr="00A75DF9" w:rsidRDefault="00C031FA">
            <w:pPr>
              <w:rPr>
                <w:rFonts w:cs="Tahoma"/>
                <w:sz w:val="20"/>
              </w:rPr>
            </w:pPr>
          </w:p>
        </w:tc>
        <w:tc>
          <w:tcPr>
            <w:tcW w:w="448" w:type="dxa"/>
            <w:vMerge/>
          </w:tcPr>
          <w:p w:rsidR="00C031FA" w:rsidRPr="00A75DF9" w:rsidRDefault="00C031FA">
            <w:pPr>
              <w:rPr>
                <w:rFonts w:cs="Tahoma"/>
                <w:b/>
                <w:sz w:val="20"/>
              </w:rPr>
            </w:pPr>
          </w:p>
        </w:tc>
        <w:tc>
          <w:tcPr>
            <w:tcW w:w="449" w:type="dxa"/>
            <w:vMerge/>
          </w:tcPr>
          <w:p w:rsidR="00C031FA" w:rsidRPr="00A75DF9" w:rsidRDefault="00C031FA">
            <w:pPr>
              <w:rPr>
                <w:rFonts w:cs="Tahoma"/>
                <w:sz w:val="20"/>
              </w:rPr>
            </w:pPr>
          </w:p>
        </w:tc>
        <w:tc>
          <w:tcPr>
            <w:tcW w:w="359" w:type="dxa"/>
            <w:vMerge/>
            <w:tcBorders>
              <w:right w:val="single" w:sz="18" w:space="0" w:color="auto"/>
            </w:tcBorders>
          </w:tcPr>
          <w:p w:rsidR="00C031FA" w:rsidRPr="00A75DF9" w:rsidRDefault="00C031FA">
            <w:pPr>
              <w:rPr>
                <w:rFonts w:cs="Tahoma"/>
                <w:sz w:val="20"/>
              </w:rPr>
            </w:pPr>
          </w:p>
        </w:tc>
        <w:tc>
          <w:tcPr>
            <w:tcW w:w="356" w:type="dxa"/>
            <w:vMerge w:val="restart"/>
            <w:tcBorders>
              <w:left w:val="single" w:sz="18" w:space="0" w:color="auto"/>
            </w:tcBorders>
            <w:vAlign w:val="center"/>
          </w:tcPr>
          <w:p w:rsidR="00C031FA" w:rsidRPr="00A75DF9" w:rsidRDefault="00C031FA">
            <w:pPr>
              <w:pStyle w:val="TableHeadingsRed"/>
              <w:rPr>
                <w:rFonts w:ascii="Tahoma" w:hAnsi="Tahoma" w:cs="Tahoma"/>
                <w:sz w:val="9"/>
              </w:rPr>
            </w:pPr>
            <w:r w:rsidRPr="00A75DF9">
              <w:rPr>
                <w:rFonts w:ascii="Tahoma" w:hAnsi="Tahoma" w:cs="Tahoma"/>
                <w:sz w:val="9"/>
              </w:rPr>
              <w:t>L</w:t>
            </w:r>
          </w:p>
        </w:tc>
        <w:tc>
          <w:tcPr>
            <w:tcW w:w="1355" w:type="dxa"/>
            <w:gridSpan w:val="5"/>
            <w:vAlign w:val="center"/>
          </w:tcPr>
          <w:p w:rsidR="00C031FA" w:rsidRPr="00A75DF9" w:rsidRDefault="00C031FA">
            <w:pPr>
              <w:pStyle w:val="TableHeadingsGreen"/>
              <w:rPr>
                <w:rFonts w:ascii="Tahoma" w:hAnsi="Tahoma" w:cs="Tahoma"/>
                <w:sz w:val="9"/>
              </w:rPr>
            </w:pPr>
            <w:r w:rsidRPr="00A75DF9">
              <w:rPr>
                <w:rFonts w:ascii="Tahoma" w:hAnsi="Tahoma" w:cs="Tahoma"/>
                <w:sz w:val="9"/>
              </w:rPr>
              <w:t>L&amp;SA</w:t>
            </w:r>
          </w:p>
        </w:tc>
        <w:tc>
          <w:tcPr>
            <w:tcW w:w="1269" w:type="dxa"/>
            <w:gridSpan w:val="3"/>
            <w:tcBorders>
              <w:right w:val="single" w:sz="18" w:space="0" w:color="auto"/>
            </w:tcBorders>
            <w:vAlign w:val="center"/>
          </w:tcPr>
          <w:p w:rsidR="00C031FA" w:rsidRPr="00A75DF9" w:rsidRDefault="00C031FA">
            <w:pPr>
              <w:pStyle w:val="TableHeadingsBlue"/>
              <w:rPr>
                <w:rFonts w:ascii="Tahoma" w:hAnsi="Tahoma" w:cs="Tahoma"/>
                <w:sz w:val="9"/>
              </w:rPr>
            </w:pPr>
            <w:r w:rsidRPr="00A75DF9">
              <w:rPr>
                <w:rFonts w:ascii="Tahoma" w:hAnsi="Tahoma" w:cs="Tahoma"/>
                <w:sz w:val="9"/>
              </w:rPr>
              <w:t>SA</w:t>
            </w:r>
          </w:p>
        </w:tc>
        <w:tc>
          <w:tcPr>
            <w:tcW w:w="455" w:type="dxa"/>
            <w:vMerge w:val="restart"/>
            <w:tcBorders>
              <w:left w:val="single" w:sz="18" w:space="0" w:color="auto"/>
            </w:tcBorders>
            <w:vAlign w:val="center"/>
          </w:tcPr>
          <w:p w:rsidR="00C031FA" w:rsidRPr="00A75DF9" w:rsidRDefault="00C031FA">
            <w:pPr>
              <w:pStyle w:val="TableHeadingsRed"/>
              <w:rPr>
                <w:rFonts w:ascii="Tahoma" w:hAnsi="Tahoma" w:cs="Tahoma"/>
                <w:sz w:val="9"/>
              </w:rPr>
            </w:pPr>
            <w:r w:rsidRPr="00A75DF9">
              <w:rPr>
                <w:rFonts w:ascii="Tahoma" w:hAnsi="Tahoma" w:cs="Tahoma"/>
                <w:sz w:val="9"/>
              </w:rPr>
              <w:t>L</w:t>
            </w:r>
          </w:p>
        </w:tc>
        <w:tc>
          <w:tcPr>
            <w:tcW w:w="450" w:type="dxa"/>
            <w:vAlign w:val="center"/>
          </w:tcPr>
          <w:p w:rsidR="00C031FA" w:rsidRPr="00A75DF9" w:rsidRDefault="00C031FA">
            <w:pPr>
              <w:pStyle w:val="TableHeadingsGreen"/>
              <w:rPr>
                <w:rFonts w:ascii="Tahoma" w:hAnsi="Tahoma" w:cs="Tahoma"/>
                <w:sz w:val="9"/>
              </w:rPr>
            </w:pPr>
            <w:r w:rsidRPr="00A75DF9">
              <w:rPr>
                <w:rFonts w:ascii="Tahoma" w:hAnsi="Tahoma" w:cs="Tahoma"/>
                <w:sz w:val="9"/>
              </w:rPr>
              <w:t>L&amp;SA</w:t>
            </w:r>
          </w:p>
        </w:tc>
        <w:tc>
          <w:tcPr>
            <w:tcW w:w="450" w:type="dxa"/>
            <w:vMerge w:val="restart"/>
            <w:tcBorders>
              <w:right w:val="single" w:sz="18" w:space="0" w:color="auto"/>
            </w:tcBorders>
            <w:vAlign w:val="center"/>
          </w:tcPr>
          <w:p w:rsidR="00C031FA" w:rsidRPr="00A75DF9" w:rsidRDefault="00C031FA">
            <w:pPr>
              <w:pStyle w:val="TableHeadingsBlue"/>
              <w:rPr>
                <w:rFonts w:ascii="Tahoma" w:hAnsi="Tahoma" w:cs="Tahoma"/>
                <w:sz w:val="9"/>
              </w:rPr>
            </w:pPr>
            <w:r w:rsidRPr="00A75DF9">
              <w:rPr>
                <w:rFonts w:ascii="Tahoma" w:hAnsi="Tahoma" w:cs="Tahoma"/>
                <w:sz w:val="9"/>
              </w:rPr>
              <w:t>SA</w:t>
            </w:r>
          </w:p>
        </w:tc>
        <w:tc>
          <w:tcPr>
            <w:tcW w:w="450" w:type="dxa"/>
            <w:vMerge/>
            <w:tcBorders>
              <w:left w:val="single" w:sz="18" w:space="0" w:color="auto"/>
            </w:tcBorders>
          </w:tcPr>
          <w:p w:rsidR="00C031FA" w:rsidRPr="00A75DF9" w:rsidRDefault="00C031FA">
            <w:pPr>
              <w:rPr>
                <w:rFonts w:cs="Tahoma"/>
                <w:sz w:val="20"/>
              </w:rPr>
            </w:pPr>
          </w:p>
        </w:tc>
        <w:tc>
          <w:tcPr>
            <w:tcW w:w="450" w:type="dxa"/>
            <w:vMerge/>
            <w:tcBorders>
              <w:right w:val="single" w:sz="18" w:space="0" w:color="auto"/>
            </w:tcBorders>
          </w:tcPr>
          <w:p w:rsidR="00C031FA" w:rsidRPr="00A75DF9" w:rsidRDefault="00C031FA">
            <w:pPr>
              <w:rPr>
                <w:rFonts w:cs="Tahoma"/>
                <w:sz w:val="20"/>
              </w:rPr>
            </w:pPr>
          </w:p>
        </w:tc>
        <w:tc>
          <w:tcPr>
            <w:tcW w:w="450" w:type="dxa"/>
            <w:vMerge/>
            <w:tcBorders>
              <w:left w:val="single" w:sz="18" w:space="0" w:color="auto"/>
              <w:right w:val="single" w:sz="18" w:space="0" w:color="auto"/>
            </w:tcBorders>
          </w:tcPr>
          <w:p w:rsidR="00C031FA" w:rsidRPr="00A75DF9" w:rsidRDefault="00C031FA">
            <w:pPr>
              <w:rPr>
                <w:rFonts w:cs="Tahoma"/>
                <w:sz w:val="20"/>
              </w:rPr>
            </w:pPr>
          </w:p>
        </w:tc>
        <w:tc>
          <w:tcPr>
            <w:tcW w:w="450" w:type="dxa"/>
            <w:vMerge/>
          </w:tcPr>
          <w:p w:rsidR="00C031FA" w:rsidRPr="00A75DF9" w:rsidRDefault="00C031FA">
            <w:pPr>
              <w:rPr>
                <w:rFonts w:cs="Tahoma"/>
                <w:sz w:val="20"/>
              </w:rPr>
            </w:pPr>
          </w:p>
        </w:tc>
        <w:tc>
          <w:tcPr>
            <w:tcW w:w="539" w:type="dxa"/>
            <w:vMerge/>
          </w:tcPr>
          <w:p w:rsidR="00C031FA" w:rsidRPr="00A75DF9" w:rsidRDefault="00C031FA">
            <w:pPr>
              <w:rPr>
                <w:rFonts w:cs="Tahoma"/>
                <w:sz w:val="20"/>
              </w:rPr>
            </w:pPr>
          </w:p>
        </w:tc>
      </w:tr>
      <w:tr w:rsidR="001C38D4" w:rsidRPr="00A75DF9" w:rsidTr="008A1262">
        <w:trPr>
          <w:cantSplit/>
          <w:trHeight w:val="287"/>
          <w:tblHeader/>
        </w:trPr>
        <w:tc>
          <w:tcPr>
            <w:tcW w:w="2724" w:type="dxa"/>
            <w:gridSpan w:val="2"/>
            <w:vMerge/>
            <w:tcBorders>
              <w:left w:val="single" w:sz="4" w:space="0" w:color="FFFFFF"/>
              <w:bottom w:val="single" w:sz="4" w:space="0" w:color="auto"/>
            </w:tcBorders>
          </w:tcPr>
          <w:p w:rsidR="00C031FA" w:rsidRPr="00A75DF9" w:rsidRDefault="00C031FA">
            <w:pPr>
              <w:rPr>
                <w:rFonts w:cs="Tahoma"/>
                <w:sz w:val="20"/>
              </w:rPr>
            </w:pPr>
          </w:p>
        </w:tc>
        <w:tc>
          <w:tcPr>
            <w:tcW w:w="448" w:type="dxa"/>
            <w:vMerge/>
            <w:tcBorders>
              <w:bottom w:val="single" w:sz="4" w:space="0" w:color="auto"/>
            </w:tcBorders>
          </w:tcPr>
          <w:p w:rsidR="00C031FA" w:rsidRPr="00A75DF9" w:rsidRDefault="00C031FA">
            <w:pPr>
              <w:rPr>
                <w:rFonts w:cs="Tahoma"/>
                <w:b/>
                <w:sz w:val="20"/>
              </w:rPr>
            </w:pPr>
          </w:p>
        </w:tc>
        <w:tc>
          <w:tcPr>
            <w:tcW w:w="449" w:type="dxa"/>
            <w:vMerge/>
            <w:tcBorders>
              <w:bottom w:val="single" w:sz="4" w:space="0" w:color="auto"/>
            </w:tcBorders>
          </w:tcPr>
          <w:p w:rsidR="00C031FA" w:rsidRPr="00A75DF9" w:rsidRDefault="00C031FA">
            <w:pPr>
              <w:rPr>
                <w:rFonts w:cs="Tahoma"/>
                <w:sz w:val="20"/>
              </w:rPr>
            </w:pPr>
          </w:p>
        </w:tc>
        <w:tc>
          <w:tcPr>
            <w:tcW w:w="359" w:type="dxa"/>
            <w:vMerge/>
            <w:tcBorders>
              <w:bottom w:val="single" w:sz="4" w:space="0" w:color="auto"/>
              <w:right w:val="single" w:sz="18" w:space="0" w:color="auto"/>
            </w:tcBorders>
          </w:tcPr>
          <w:p w:rsidR="00C031FA" w:rsidRPr="00A75DF9" w:rsidRDefault="00C031FA">
            <w:pPr>
              <w:rPr>
                <w:rFonts w:cs="Tahoma"/>
                <w:sz w:val="20"/>
              </w:rPr>
            </w:pPr>
          </w:p>
        </w:tc>
        <w:tc>
          <w:tcPr>
            <w:tcW w:w="356" w:type="dxa"/>
            <w:vMerge/>
            <w:tcBorders>
              <w:left w:val="single" w:sz="18" w:space="0" w:color="auto"/>
              <w:bottom w:val="single" w:sz="4" w:space="0" w:color="auto"/>
            </w:tcBorders>
            <w:vAlign w:val="center"/>
          </w:tcPr>
          <w:p w:rsidR="00C031FA" w:rsidRPr="00A75DF9" w:rsidRDefault="00C031FA">
            <w:pPr>
              <w:jc w:val="center"/>
              <w:rPr>
                <w:rFonts w:cs="Tahoma"/>
                <w:sz w:val="20"/>
              </w:rPr>
            </w:pPr>
          </w:p>
        </w:tc>
        <w:tc>
          <w:tcPr>
            <w:tcW w:w="450" w:type="dxa"/>
            <w:tcBorders>
              <w:bottom w:val="single" w:sz="4" w:space="0" w:color="auto"/>
            </w:tcBorders>
            <w:vAlign w:val="center"/>
          </w:tcPr>
          <w:p w:rsidR="00C031FA" w:rsidRPr="00A75DF9" w:rsidRDefault="00C031FA">
            <w:pPr>
              <w:pStyle w:val="TableHeadingsGreen"/>
              <w:rPr>
                <w:rFonts w:ascii="Tahoma" w:hAnsi="Tahoma" w:cs="Tahoma"/>
                <w:sz w:val="9"/>
              </w:rPr>
            </w:pPr>
            <w:r w:rsidRPr="00A75DF9">
              <w:rPr>
                <w:rFonts w:ascii="Tahoma" w:hAnsi="Tahoma" w:cs="Tahoma"/>
                <w:sz w:val="9"/>
              </w:rPr>
              <w:t>3An</w:t>
            </w:r>
          </w:p>
        </w:tc>
        <w:tc>
          <w:tcPr>
            <w:tcW w:w="455" w:type="dxa"/>
            <w:tcBorders>
              <w:bottom w:val="single" w:sz="4" w:space="0" w:color="auto"/>
            </w:tcBorders>
            <w:vAlign w:val="center"/>
          </w:tcPr>
          <w:p w:rsidR="00C031FA" w:rsidRPr="00A75DF9" w:rsidRDefault="00C031FA">
            <w:pPr>
              <w:pStyle w:val="TableHeadingsGreen"/>
              <w:rPr>
                <w:rFonts w:ascii="Tahoma" w:hAnsi="Tahoma" w:cs="Tahoma"/>
                <w:sz w:val="9"/>
              </w:rPr>
            </w:pPr>
            <w:r w:rsidRPr="00A75DF9">
              <w:rPr>
                <w:rFonts w:ascii="Tahoma" w:hAnsi="Tahoma" w:cs="Tahoma"/>
                <w:sz w:val="9"/>
              </w:rPr>
              <w:t>2An</w:t>
            </w:r>
          </w:p>
        </w:tc>
        <w:tc>
          <w:tcPr>
            <w:tcW w:w="450" w:type="dxa"/>
            <w:gridSpan w:val="3"/>
            <w:tcBorders>
              <w:bottom w:val="single" w:sz="4" w:space="0" w:color="auto"/>
            </w:tcBorders>
            <w:vAlign w:val="center"/>
          </w:tcPr>
          <w:p w:rsidR="00C031FA" w:rsidRPr="00A75DF9" w:rsidRDefault="00C031FA">
            <w:pPr>
              <w:pStyle w:val="TableHeadingsGreen"/>
              <w:rPr>
                <w:rFonts w:ascii="Tahoma" w:hAnsi="Tahoma" w:cs="Tahoma"/>
                <w:sz w:val="9"/>
              </w:rPr>
            </w:pPr>
            <w:r w:rsidRPr="00A75DF9">
              <w:rPr>
                <w:rFonts w:ascii="Tahoma" w:hAnsi="Tahoma" w:cs="Tahoma"/>
                <w:sz w:val="9"/>
              </w:rPr>
              <w:t>1An</w:t>
            </w:r>
          </w:p>
        </w:tc>
        <w:tc>
          <w:tcPr>
            <w:tcW w:w="445" w:type="dxa"/>
            <w:tcBorders>
              <w:bottom w:val="single" w:sz="4" w:space="0" w:color="auto"/>
            </w:tcBorders>
            <w:vAlign w:val="center"/>
          </w:tcPr>
          <w:p w:rsidR="00C031FA" w:rsidRPr="00A75DF9" w:rsidRDefault="00C031FA">
            <w:pPr>
              <w:pStyle w:val="TableHeadingsBlue"/>
              <w:rPr>
                <w:rFonts w:ascii="Tahoma" w:hAnsi="Tahoma" w:cs="Tahoma"/>
                <w:sz w:val="9"/>
              </w:rPr>
            </w:pPr>
            <w:r w:rsidRPr="00A75DF9">
              <w:rPr>
                <w:rFonts w:ascii="Tahoma" w:hAnsi="Tahoma" w:cs="Tahoma"/>
                <w:sz w:val="9"/>
              </w:rPr>
              <w:t>3An</w:t>
            </w:r>
          </w:p>
        </w:tc>
        <w:tc>
          <w:tcPr>
            <w:tcW w:w="450" w:type="dxa"/>
            <w:tcBorders>
              <w:bottom w:val="single" w:sz="4" w:space="0" w:color="auto"/>
            </w:tcBorders>
            <w:vAlign w:val="center"/>
          </w:tcPr>
          <w:p w:rsidR="00C031FA" w:rsidRPr="00A75DF9" w:rsidRDefault="00C031FA">
            <w:pPr>
              <w:pStyle w:val="TableHeadingsBlue"/>
              <w:rPr>
                <w:rFonts w:ascii="Tahoma" w:hAnsi="Tahoma" w:cs="Tahoma"/>
                <w:sz w:val="9"/>
              </w:rPr>
            </w:pPr>
            <w:r w:rsidRPr="00A75DF9">
              <w:rPr>
                <w:rFonts w:ascii="Tahoma" w:hAnsi="Tahoma" w:cs="Tahoma"/>
                <w:sz w:val="9"/>
              </w:rPr>
              <w:t>2An</w:t>
            </w:r>
          </w:p>
        </w:tc>
        <w:tc>
          <w:tcPr>
            <w:tcW w:w="374" w:type="dxa"/>
            <w:tcBorders>
              <w:bottom w:val="single" w:sz="4" w:space="0" w:color="auto"/>
              <w:right w:val="single" w:sz="18" w:space="0" w:color="auto"/>
            </w:tcBorders>
            <w:vAlign w:val="center"/>
          </w:tcPr>
          <w:p w:rsidR="00C031FA" w:rsidRPr="00A75DF9" w:rsidRDefault="00C031FA">
            <w:pPr>
              <w:pStyle w:val="TableHeadingsBlue"/>
              <w:rPr>
                <w:rFonts w:ascii="Tahoma" w:hAnsi="Tahoma" w:cs="Tahoma"/>
                <w:sz w:val="9"/>
              </w:rPr>
            </w:pPr>
            <w:r w:rsidRPr="00A75DF9">
              <w:rPr>
                <w:rFonts w:ascii="Tahoma" w:hAnsi="Tahoma" w:cs="Tahoma"/>
                <w:sz w:val="9"/>
              </w:rPr>
              <w:t>1An</w:t>
            </w:r>
          </w:p>
        </w:tc>
        <w:tc>
          <w:tcPr>
            <w:tcW w:w="455" w:type="dxa"/>
            <w:vMerge/>
            <w:tcBorders>
              <w:left w:val="single" w:sz="18" w:space="0" w:color="auto"/>
              <w:bottom w:val="single" w:sz="4" w:space="0" w:color="auto"/>
            </w:tcBorders>
            <w:vAlign w:val="center"/>
          </w:tcPr>
          <w:p w:rsidR="00C031FA" w:rsidRPr="00A75DF9" w:rsidRDefault="00C031FA">
            <w:pPr>
              <w:jc w:val="center"/>
              <w:rPr>
                <w:rFonts w:cs="Tahoma"/>
                <w:sz w:val="20"/>
              </w:rPr>
            </w:pPr>
          </w:p>
        </w:tc>
        <w:tc>
          <w:tcPr>
            <w:tcW w:w="450" w:type="dxa"/>
            <w:tcBorders>
              <w:bottom w:val="single" w:sz="4" w:space="0" w:color="auto"/>
            </w:tcBorders>
            <w:vAlign w:val="center"/>
          </w:tcPr>
          <w:p w:rsidR="00C031FA" w:rsidRPr="00A75DF9" w:rsidRDefault="00C031FA">
            <w:pPr>
              <w:pStyle w:val="TableHeadingsGreen"/>
              <w:rPr>
                <w:rFonts w:ascii="Tahoma" w:hAnsi="Tahoma" w:cs="Tahoma"/>
                <w:sz w:val="9"/>
              </w:rPr>
            </w:pPr>
            <w:r w:rsidRPr="00A75DF9">
              <w:rPr>
                <w:rFonts w:ascii="Tahoma" w:hAnsi="Tahoma" w:cs="Tahoma"/>
                <w:sz w:val="9"/>
              </w:rPr>
              <w:t>P</w:t>
            </w:r>
          </w:p>
        </w:tc>
        <w:tc>
          <w:tcPr>
            <w:tcW w:w="450" w:type="dxa"/>
            <w:vMerge/>
            <w:tcBorders>
              <w:bottom w:val="single" w:sz="4" w:space="0" w:color="auto"/>
              <w:right w:val="single" w:sz="18" w:space="0" w:color="auto"/>
            </w:tcBorders>
            <w:vAlign w:val="center"/>
          </w:tcPr>
          <w:p w:rsidR="00C031FA" w:rsidRPr="00A75DF9" w:rsidRDefault="00C031FA">
            <w:pPr>
              <w:jc w:val="center"/>
              <w:rPr>
                <w:rFonts w:cs="Tahoma"/>
                <w:sz w:val="20"/>
              </w:rPr>
            </w:pPr>
          </w:p>
        </w:tc>
        <w:tc>
          <w:tcPr>
            <w:tcW w:w="450" w:type="dxa"/>
            <w:vMerge/>
            <w:tcBorders>
              <w:left w:val="single" w:sz="18" w:space="0" w:color="auto"/>
              <w:bottom w:val="single" w:sz="4" w:space="0" w:color="auto"/>
            </w:tcBorders>
          </w:tcPr>
          <w:p w:rsidR="00C031FA" w:rsidRPr="00A75DF9" w:rsidRDefault="00C031FA">
            <w:pPr>
              <w:rPr>
                <w:rFonts w:cs="Tahoma"/>
                <w:sz w:val="20"/>
              </w:rPr>
            </w:pPr>
          </w:p>
        </w:tc>
        <w:tc>
          <w:tcPr>
            <w:tcW w:w="450" w:type="dxa"/>
            <w:vMerge/>
            <w:tcBorders>
              <w:bottom w:val="single" w:sz="4" w:space="0" w:color="auto"/>
              <w:right w:val="single" w:sz="18" w:space="0" w:color="auto"/>
            </w:tcBorders>
          </w:tcPr>
          <w:p w:rsidR="00C031FA" w:rsidRPr="00A75DF9" w:rsidRDefault="00C031FA">
            <w:pPr>
              <w:rPr>
                <w:rFonts w:cs="Tahoma"/>
                <w:sz w:val="20"/>
              </w:rPr>
            </w:pPr>
          </w:p>
        </w:tc>
        <w:tc>
          <w:tcPr>
            <w:tcW w:w="450" w:type="dxa"/>
            <w:vMerge/>
            <w:tcBorders>
              <w:left w:val="single" w:sz="18" w:space="0" w:color="auto"/>
              <w:bottom w:val="single" w:sz="4" w:space="0" w:color="auto"/>
              <w:right w:val="single" w:sz="18" w:space="0" w:color="auto"/>
            </w:tcBorders>
          </w:tcPr>
          <w:p w:rsidR="00C031FA" w:rsidRPr="00A75DF9" w:rsidRDefault="00C031FA">
            <w:pPr>
              <w:rPr>
                <w:rFonts w:cs="Tahoma"/>
                <w:sz w:val="20"/>
              </w:rPr>
            </w:pPr>
          </w:p>
        </w:tc>
        <w:tc>
          <w:tcPr>
            <w:tcW w:w="450" w:type="dxa"/>
            <w:vMerge/>
            <w:tcBorders>
              <w:bottom w:val="single" w:sz="4" w:space="0" w:color="auto"/>
            </w:tcBorders>
          </w:tcPr>
          <w:p w:rsidR="00C031FA" w:rsidRPr="00A75DF9" w:rsidRDefault="00C031FA">
            <w:pPr>
              <w:rPr>
                <w:rFonts w:cs="Tahoma"/>
                <w:sz w:val="20"/>
              </w:rPr>
            </w:pPr>
          </w:p>
        </w:tc>
        <w:tc>
          <w:tcPr>
            <w:tcW w:w="539" w:type="dxa"/>
            <w:vMerge/>
            <w:tcBorders>
              <w:bottom w:val="single" w:sz="4" w:space="0" w:color="auto"/>
            </w:tcBorders>
          </w:tcPr>
          <w:p w:rsidR="00C031FA" w:rsidRPr="00A75DF9" w:rsidRDefault="00C031FA">
            <w:pPr>
              <w:rPr>
                <w:rFonts w:cs="Tahoma"/>
                <w:sz w:val="20"/>
              </w:rPr>
            </w:pPr>
          </w:p>
        </w:tc>
      </w:tr>
      <w:tr w:rsidR="00EF228F" w:rsidRPr="00A75DF9" w:rsidTr="008A1262">
        <w:trPr>
          <w:trHeight w:val="145"/>
        </w:trPr>
        <w:tc>
          <w:tcPr>
            <w:tcW w:w="2724" w:type="dxa"/>
            <w:gridSpan w:val="2"/>
            <w:tcBorders>
              <w:bottom w:val="single" w:sz="4" w:space="0" w:color="auto"/>
            </w:tcBorders>
            <w:shd w:val="clear" w:color="auto" w:fill="auto"/>
            <w:vAlign w:val="center"/>
          </w:tcPr>
          <w:p w:rsidR="00DC5AE8" w:rsidRPr="00A75DF9" w:rsidRDefault="00DC5AE8" w:rsidP="007E466C">
            <w:pPr>
              <w:pStyle w:val="ProductNames"/>
              <w:spacing w:before="0" w:after="0"/>
              <w:rPr>
                <w:rFonts w:ascii="Tahoma" w:hAnsi="Tahoma" w:cs="Tahoma"/>
                <w:sz w:val="14"/>
              </w:rPr>
            </w:pPr>
            <w:bookmarkStart w:id="146" w:name="_Toc368309922"/>
            <w:r w:rsidRPr="00A75DF9">
              <w:rPr>
                <w:rFonts w:ascii="Tahoma" w:hAnsi="Tahoma" w:cs="Tahoma"/>
                <w:sz w:val="14"/>
              </w:rPr>
              <w:t>Bing Maps Consumer Tracked Per Asset Monthly Sub</w:t>
            </w:r>
            <w:bookmarkEnd w:id="146"/>
          </w:p>
        </w:tc>
        <w:tc>
          <w:tcPr>
            <w:tcW w:w="448" w:type="dxa"/>
            <w:tcBorders>
              <w:bottom w:val="single" w:sz="4" w:space="0" w:color="auto"/>
            </w:tcBorders>
            <w:shd w:val="clear" w:color="auto" w:fill="auto"/>
            <w:vAlign w:val="center"/>
          </w:tcPr>
          <w:p w:rsidR="00DC5AE8" w:rsidRPr="00337A7D" w:rsidRDefault="00B54770" w:rsidP="009D43FB">
            <w:pPr>
              <w:jc w:val="center"/>
              <w:rPr>
                <w:rFonts w:ascii="Trebuchet MS" w:hAnsi="Trebuchet MS" w:cs="Tahoma"/>
                <w:b/>
                <w:sz w:val="13"/>
                <w:szCs w:val="13"/>
              </w:rPr>
            </w:pPr>
            <w:hyperlink w:anchor="_35_SL_Add-On" w:history="1">
              <w:r w:rsidR="00734B17" w:rsidRPr="00337A7D">
                <w:rPr>
                  <w:rStyle w:val="Hyperlink"/>
                  <w:rFonts w:ascii="Trebuchet MS" w:hAnsi="Trebuchet MS" w:cs="Tahoma"/>
                  <w:b/>
                  <w:sz w:val="13"/>
                  <w:szCs w:val="13"/>
                </w:rPr>
                <w:t>35</w:t>
              </w:r>
            </w:hyperlink>
          </w:p>
        </w:tc>
        <w:tc>
          <w:tcPr>
            <w:tcW w:w="449" w:type="dxa"/>
            <w:tcBorders>
              <w:bottom w:val="single" w:sz="4" w:space="0" w:color="auto"/>
            </w:tcBorders>
            <w:shd w:val="clear" w:color="auto" w:fill="auto"/>
            <w:vAlign w:val="center"/>
          </w:tcPr>
          <w:p w:rsidR="00DC5AE8" w:rsidRPr="00A75DF9" w:rsidRDefault="00DB3ECB" w:rsidP="002253A3">
            <w:pPr>
              <w:jc w:val="center"/>
              <w:rPr>
                <w:rFonts w:cs="Tahoma"/>
                <w:sz w:val="13"/>
              </w:rPr>
            </w:pPr>
            <w:r w:rsidRPr="00A75DF9">
              <w:rPr>
                <w:rFonts w:cs="Tahoma"/>
                <w:sz w:val="13"/>
              </w:rPr>
              <w:t>04/13</w:t>
            </w:r>
          </w:p>
        </w:tc>
        <w:tc>
          <w:tcPr>
            <w:tcW w:w="359" w:type="dxa"/>
            <w:tcBorders>
              <w:bottom w:val="single" w:sz="4" w:space="0" w:color="auto"/>
              <w:right w:val="single" w:sz="18" w:space="0" w:color="auto"/>
            </w:tcBorders>
            <w:shd w:val="clear" w:color="auto" w:fill="auto"/>
            <w:vAlign w:val="center"/>
          </w:tcPr>
          <w:p w:rsidR="00DC5AE8" w:rsidRPr="00A75DF9" w:rsidRDefault="00DC5AE8" w:rsidP="002253A3">
            <w:pPr>
              <w:jc w:val="center"/>
              <w:rPr>
                <w:rFonts w:cs="Tahoma"/>
                <w:sz w:val="13"/>
              </w:rPr>
            </w:pPr>
          </w:p>
        </w:tc>
        <w:tc>
          <w:tcPr>
            <w:tcW w:w="2980" w:type="dxa"/>
            <w:gridSpan w:val="9"/>
            <w:tcBorders>
              <w:left w:val="single" w:sz="18" w:space="0" w:color="auto"/>
              <w:bottom w:val="single" w:sz="4" w:space="0" w:color="auto"/>
              <w:right w:val="single" w:sz="18" w:space="0" w:color="auto"/>
            </w:tcBorders>
            <w:shd w:val="clear" w:color="auto" w:fill="auto"/>
            <w:vAlign w:val="center"/>
          </w:tcPr>
          <w:p w:rsidR="00DC5AE8" w:rsidRPr="00A75DF9" w:rsidRDefault="00DC5AE8" w:rsidP="002253A3">
            <w:pPr>
              <w:jc w:val="center"/>
              <w:rPr>
                <w:rFonts w:cs="Tahoma"/>
                <w:sz w:val="13"/>
              </w:rPr>
            </w:pPr>
            <w:r w:rsidRPr="00A75DF9">
              <w:rPr>
                <w:rFonts w:cs="Tahoma"/>
                <w:sz w:val="13"/>
              </w:rPr>
              <w:t>1 punto</w:t>
            </w:r>
          </w:p>
        </w:tc>
        <w:tc>
          <w:tcPr>
            <w:tcW w:w="455" w:type="dxa"/>
            <w:tcBorders>
              <w:left w:val="single" w:sz="18" w:space="0" w:color="auto"/>
              <w:bottom w:val="single" w:sz="4" w:space="0" w:color="auto"/>
            </w:tcBorders>
            <w:shd w:val="clear" w:color="auto" w:fill="auto"/>
            <w:vAlign w:val="center"/>
          </w:tcPr>
          <w:p w:rsidR="00DC5AE8" w:rsidRPr="00A75DF9" w:rsidRDefault="00DC5AE8" w:rsidP="002253A3">
            <w:pPr>
              <w:jc w:val="center"/>
              <w:rPr>
                <w:rFonts w:cs="Tahoma"/>
                <w:sz w:val="13"/>
              </w:rPr>
            </w:pPr>
            <w:r w:rsidRPr="00A75DF9">
              <w:rPr>
                <w:rFonts w:cs="Tahoma"/>
                <w:sz w:val="13"/>
              </w:rPr>
              <w:t>1</w:t>
            </w:r>
          </w:p>
        </w:tc>
        <w:tc>
          <w:tcPr>
            <w:tcW w:w="450" w:type="dxa"/>
            <w:tcBorders>
              <w:bottom w:val="single" w:sz="4" w:space="0" w:color="auto"/>
            </w:tcBorders>
            <w:shd w:val="clear" w:color="auto" w:fill="auto"/>
            <w:vAlign w:val="center"/>
          </w:tcPr>
          <w:p w:rsidR="00DC5AE8" w:rsidRPr="00A75DF9" w:rsidRDefault="00DC5AE8"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DC5AE8" w:rsidRPr="00A75DF9" w:rsidRDefault="00DC5AE8"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DC5AE8" w:rsidRPr="00A75DF9" w:rsidRDefault="00DC5AE8"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DC5AE8" w:rsidRPr="00A75DF9" w:rsidRDefault="00DC5AE8" w:rsidP="002253A3">
            <w:pPr>
              <w:jc w:val="center"/>
              <w:rPr>
                <w:rFonts w:cs="Tahoma"/>
                <w:sz w:val="13"/>
              </w:rPr>
            </w:pPr>
            <w:r w:rsidRPr="00A75DF9">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DC5AE8" w:rsidRPr="00A75DF9" w:rsidRDefault="00DC5AE8" w:rsidP="002253A3">
            <w:pPr>
              <w:jc w:val="center"/>
              <w:rPr>
                <w:rFonts w:cs="Tahoma"/>
                <w:sz w:val="13"/>
              </w:rPr>
            </w:pPr>
            <w:r w:rsidRPr="00A75DF9">
              <w:rPr>
                <w:rFonts w:cs="Tahoma"/>
                <w:sz w:val="13"/>
              </w:rPr>
              <w:t>P</w:t>
            </w:r>
          </w:p>
        </w:tc>
        <w:tc>
          <w:tcPr>
            <w:tcW w:w="450" w:type="dxa"/>
            <w:tcBorders>
              <w:bottom w:val="single" w:sz="4" w:space="0" w:color="auto"/>
            </w:tcBorders>
            <w:shd w:val="clear" w:color="auto" w:fill="auto"/>
            <w:vAlign w:val="center"/>
          </w:tcPr>
          <w:p w:rsidR="00DC5AE8" w:rsidRPr="00A75DF9" w:rsidRDefault="00DC5AE8" w:rsidP="002253A3">
            <w:pPr>
              <w:jc w:val="center"/>
              <w:rPr>
                <w:rFonts w:cs="Tahoma"/>
                <w:sz w:val="13"/>
              </w:rPr>
            </w:pPr>
          </w:p>
        </w:tc>
        <w:tc>
          <w:tcPr>
            <w:tcW w:w="539" w:type="dxa"/>
            <w:tcBorders>
              <w:bottom w:val="single" w:sz="4" w:space="0" w:color="auto"/>
            </w:tcBorders>
            <w:shd w:val="clear" w:color="auto" w:fill="auto"/>
            <w:vAlign w:val="center"/>
          </w:tcPr>
          <w:p w:rsidR="00DC5AE8" w:rsidRPr="00A75DF9" w:rsidRDefault="00DC5AE8" w:rsidP="002253A3">
            <w:pPr>
              <w:jc w:val="center"/>
              <w:rPr>
                <w:rFonts w:cs="Tahoma"/>
                <w:sz w:val="13"/>
              </w:rPr>
            </w:pPr>
            <w:r w:rsidRPr="00A75DF9">
              <w:rPr>
                <w:rFonts w:cs="Tahoma"/>
                <w:sz w:val="13"/>
              </w:rPr>
              <w:t>OL/OV</w:t>
            </w:r>
          </w:p>
        </w:tc>
      </w:tr>
      <w:tr w:rsidR="001A63C6" w:rsidRPr="00A75DF9" w:rsidTr="008A1262">
        <w:trPr>
          <w:trHeight w:val="145"/>
        </w:trPr>
        <w:tc>
          <w:tcPr>
            <w:tcW w:w="2724" w:type="dxa"/>
            <w:gridSpan w:val="2"/>
            <w:tcBorders>
              <w:bottom w:val="single" w:sz="4" w:space="0" w:color="auto"/>
            </w:tcBorders>
            <w:shd w:val="clear" w:color="auto" w:fill="FABF8F"/>
          </w:tcPr>
          <w:p w:rsidR="001A63C6" w:rsidRPr="00A75DF9" w:rsidRDefault="001A63C6" w:rsidP="00AD481C">
            <w:pPr>
              <w:pStyle w:val="ProductNames"/>
              <w:spacing w:before="0" w:after="0"/>
              <w:rPr>
                <w:rFonts w:ascii="Tahoma" w:hAnsi="Tahoma" w:cs="Tahoma"/>
                <w:sz w:val="14"/>
              </w:rPr>
            </w:pPr>
            <w:bookmarkStart w:id="147" w:name="_Toc368309923"/>
            <w:r w:rsidRPr="00A75DF9">
              <w:rPr>
                <w:rFonts w:ascii="Tahoma" w:hAnsi="Tahoma" w:cs="Tahoma"/>
                <w:sz w:val="14"/>
              </w:rPr>
              <w:t>Bing Maps Enterprise Fee Monthly Sub</w:t>
            </w:r>
            <w:bookmarkEnd w:id="147"/>
          </w:p>
        </w:tc>
        <w:tc>
          <w:tcPr>
            <w:tcW w:w="448" w:type="dxa"/>
            <w:tcBorders>
              <w:bottom w:val="single" w:sz="4" w:space="0" w:color="auto"/>
            </w:tcBorders>
            <w:shd w:val="clear" w:color="auto" w:fill="FABF8F"/>
            <w:vAlign w:val="center"/>
          </w:tcPr>
          <w:p w:rsidR="001A63C6" w:rsidRPr="00337A7D" w:rsidRDefault="00B54770" w:rsidP="009D43FB">
            <w:pPr>
              <w:jc w:val="center"/>
              <w:rPr>
                <w:rFonts w:ascii="Trebuchet MS" w:hAnsi="Trebuchet MS" w:cs="Tahoma"/>
                <w:b/>
                <w:sz w:val="13"/>
                <w:szCs w:val="13"/>
              </w:rPr>
            </w:pPr>
            <w:hyperlink w:anchor="_35_SL_Add-On" w:history="1">
              <w:r w:rsidR="00AA6903" w:rsidRPr="00337A7D">
                <w:rPr>
                  <w:rStyle w:val="Hyperlink"/>
                  <w:rFonts w:ascii="Trebuchet MS" w:hAnsi="Trebuchet MS" w:cs="Tahoma"/>
                  <w:b/>
                  <w:sz w:val="13"/>
                  <w:szCs w:val="13"/>
                </w:rPr>
                <w:t>35</w:t>
              </w:r>
            </w:hyperlink>
          </w:p>
        </w:tc>
        <w:tc>
          <w:tcPr>
            <w:tcW w:w="449" w:type="dxa"/>
            <w:tcBorders>
              <w:bottom w:val="single" w:sz="4" w:space="0" w:color="auto"/>
            </w:tcBorders>
            <w:shd w:val="clear" w:color="auto" w:fill="FABF8F"/>
            <w:vAlign w:val="center"/>
          </w:tcPr>
          <w:p w:rsidR="001A63C6" w:rsidRPr="00A75DF9" w:rsidRDefault="00DB3ECB" w:rsidP="002253A3">
            <w:pPr>
              <w:jc w:val="center"/>
              <w:rPr>
                <w:rFonts w:cs="Tahoma"/>
                <w:sz w:val="14"/>
              </w:rPr>
            </w:pPr>
            <w:r w:rsidRPr="00A75DF9">
              <w:rPr>
                <w:rFonts w:cs="Tahoma"/>
                <w:sz w:val="14"/>
              </w:rPr>
              <w:t>04/13</w:t>
            </w:r>
          </w:p>
        </w:tc>
        <w:tc>
          <w:tcPr>
            <w:tcW w:w="359" w:type="dxa"/>
            <w:tcBorders>
              <w:bottom w:val="single" w:sz="4" w:space="0" w:color="auto"/>
              <w:right w:val="single" w:sz="18" w:space="0" w:color="auto"/>
            </w:tcBorders>
            <w:shd w:val="clear" w:color="auto" w:fill="FABF8F"/>
            <w:vAlign w:val="center"/>
          </w:tcPr>
          <w:p w:rsidR="001A63C6" w:rsidRPr="00A75DF9" w:rsidRDefault="001A63C6" w:rsidP="002253A3">
            <w:pPr>
              <w:jc w:val="center"/>
              <w:rPr>
                <w:rFonts w:cs="Tahoma"/>
                <w:sz w:val="14"/>
              </w:rPr>
            </w:pPr>
          </w:p>
        </w:tc>
        <w:tc>
          <w:tcPr>
            <w:tcW w:w="2980" w:type="dxa"/>
            <w:gridSpan w:val="9"/>
            <w:tcBorders>
              <w:left w:val="single" w:sz="18" w:space="0" w:color="auto"/>
              <w:bottom w:val="single" w:sz="4" w:space="0" w:color="auto"/>
              <w:right w:val="single" w:sz="18" w:space="0" w:color="auto"/>
            </w:tcBorders>
            <w:shd w:val="clear" w:color="auto" w:fill="FABF8F"/>
            <w:vAlign w:val="center"/>
          </w:tcPr>
          <w:p w:rsidR="001A63C6" w:rsidRPr="00A75DF9" w:rsidRDefault="009D6548" w:rsidP="002253A3">
            <w:pPr>
              <w:jc w:val="center"/>
              <w:rPr>
                <w:rFonts w:cs="Tahoma"/>
                <w:sz w:val="14"/>
              </w:rPr>
            </w:pPr>
            <w:r w:rsidRPr="00A75DF9">
              <w:rPr>
                <w:rFonts w:cs="Tahoma"/>
                <w:sz w:val="14"/>
              </w:rPr>
              <w:t>25 crediti</w:t>
            </w:r>
          </w:p>
        </w:tc>
        <w:tc>
          <w:tcPr>
            <w:tcW w:w="455" w:type="dxa"/>
            <w:tcBorders>
              <w:left w:val="single" w:sz="18" w:space="0" w:color="auto"/>
              <w:bottom w:val="single" w:sz="4" w:space="0" w:color="auto"/>
            </w:tcBorders>
            <w:shd w:val="clear" w:color="auto" w:fill="FABF8F"/>
            <w:vAlign w:val="center"/>
          </w:tcPr>
          <w:p w:rsidR="001A63C6" w:rsidRPr="00A75DF9" w:rsidRDefault="009D6548" w:rsidP="002253A3">
            <w:pPr>
              <w:jc w:val="center"/>
              <w:rPr>
                <w:rFonts w:cs="Tahoma"/>
                <w:sz w:val="14"/>
              </w:rPr>
            </w:pPr>
            <w:r w:rsidRPr="00A75DF9">
              <w:rPr>
                <w:rFonts w:cs="Tahoma"/>
                <w:sz w:val="14"/>
              </w:rPr>
              <w:t>25</w:t>
            </w:r>
          </w:p>
        </w:tc>
        <w:tc>
          <w:tcPr>
            <w:tcW w:w="450" w:type="dxa"/>
            <w:tcBorders>
              <w:bottom w:val="single" w:sz="4" w:space="0" w:color="auto"/>
            </w:tcBorders>
            <w:shd w:val="clear" w:color="auto" w:fill="FABF8F"/>
            <w:vAlign w:val="center"/>
          </w:tcPr>
          <w:p w:rsidR="001A63C6" w:rsidRPr="00A75DF9"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A75DF9"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2253A3">
            <w:pPr>
              <w:jc w:val="center"/>
              <w:rPr>
                <w:rFonts w:cs="Tahoma"/>
                <w:sz w:val="14"/>
              </w:rPr>
            </w:pPr>
            <w:r w:rsidRPr="00A75DF9">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75DF9" w:rsidRDefault="001A63C6" w:rsidP="002253A3">
            <w:pPr>
              <w:jc w:val="center"/>
              <w:rPr>
                <w:rFonts w:cs="Tahoma"/>
                <w:sz w:val="14"/>
              </w:rPr>
            </w:pPr>
            <w:r w:rsidRPr="00A75DF9">
              <w:rPr>
                <w:rFonts w:cs="Tahoma"/>
                <w:sz w:val="13"/>
              </w:rPr>
              <w:t>P</w:t>
            </w:r>
          </w:p>
        </w:tc>
        <w:tc>
          <w:tcPr>
            <w:tcW w:w="450" w:type="dxa"/>
            <w:tcBorders>
              <w:bottom w:val="single" w:sz="4" w:space="0" w:color="auto"/>
            </w:tcBorders>
            <w:shd w:val="clear" w:color="auto" w:fill="FABF8F"/>
            <w:vAlign w:val="center"/>
          </w:tcPr>
          <w:p w:rsidR="001A63C6" w:rsidRPr="00A75DF9" w:rsidRDefault="001A63C6" w:rsidP="002253A3">
            <w:pPr>
              <w:jc w:val="center"/>
              <w:rPr>
                <w:rFonts w:cs="Tahoma"/>
                <w:sz w:val="14"/>
              </w:rPr>
            </w:pPr>
          </w:p>
        </w:tc>
        <w:tc>
          <w:tcPr>
            <w:tcW w:w="539" w:type="dxa"/>
            <w:tcBorders>
              <w:bottom w:val="single" w:sz="4" w:space="0" w:color="auto"/>
            </w:tcBorders>
            <w:shd w:val="clear" w:color="auto" w:fill="FABF8F"/>
            <w:vAlign w:val="center"/>
          </w:tcPr>
          <w:p w:rsidR="001A63C6" w:rsidRPr="00A75DF9" w:rsidRDefault="001A63C6" w:rsidP="002253A3">
            <w:pPr>
              <w:jc w:val="center"/>
              <w:rPr>
                <w:rFonts w:cs="Tahoma"/>
                <w:sz w:val="14"/>
              </w:rPr>
            </w:pPr>
            <w:r w:rsidRPr="00A75DF9">
              <w:rPr>
                <w:rFonts w:cs="Tahoma"/>
                <w:sz w:val="13"/>
              </w:rPr>
              <w:t>OL/OV</w:t>
            </w:r>
          </w:p>
        </w:tc>
      </w:tr>
      <w:tr w:rsidR="001A63C6" w:rsidRPr="00A75DF9" w:rsidTr="008A1262">
        <w:trPr>
          <w:trHeight w:val="145"/>
        </w:trPr>
        <w:tc>
          <w:tcPr>
            <w:tcW w:w="2724" w:type="dxa"/>
            <w:gridSpan w:val="2"/>
            <w:tcBorders>
              <w:bottom w:val="single" w:sz="4" w:space="0" w:color="auto"/>
            </w:tcBorders>
            <w:shd w:val="clear" w:color="auto" w:fill="auto"/>
          </w:tcPr>
          <w:p w:rsidR="001A63C6" w:rsidRPr="00A75DF9" w:rsidRDefault="001A63C6" w:rsidP="001A63C6">
            <w:pPr>
              <w:pStyle w:val="ProductNames"/>
              <w:spacing w:before="0" w:after="0"/>
              <w:rPr>
                <w:rFonts w:ascii="Tahoma" w:hAnsi="Tahoma" w:cs="Tahoma"/>
                <w:sz w:val="14"/>
              </w:rPr>
            </w:pPr>
            <w:bookmarkStart w:id="148" w:name="_Toc368309924"/>
            <w:r w:rsidRPr="00A75DF9">
              <w:rPr>
                <w:rFonts w:ascii="Tahoma" w:hAnsi="Tahoma" w:cs="Tahoma"/>
                <w:sz w:val="14"/>
              </w:rPr>
              <w:t>Bing Maps Public Website Usage 100K Transactions Monthly Sub</w:t>
            </w:r>
            <w:bookmarkEnd w:id="148"/>
          </w:p>
        </w:tc>
        <w:tc>
          <w:tcPr>
            <w:tcW w:w="448" w:type="dxa"/>
            <w:tcBorders>
              <w:bottom w:val="single" w:sz="4" w:space="0" w:color="auto"/>
            </w:tcBorders>
            <w:shd w:val="clear" w:color="auto" w:fill="auto"/>
            <w:vAlign w:val="center"/>
          </w:tcPr>
          <w:p w:rsidR="001A63C6" w:rsidRPr="00337A7D" w:rsidRDefault="00B54770" w:rsidP="009D43FB">
            <w:pPr>
              <w:jc w:val="center"/>
              <w:rPr>
                <w:rFonts w:ascii="Trebuchet MS" w:hAnsi="Trebuchet MS" w:cs="Tahoma"/>
                <w:b/>
                <w:sz w:val="13"/>
                <w:szCs w:val="13"/>
              </w:rPr>
            </w:pPr>
            <w:hyperlink w:anchor="_35_SL_Add-On" w:history="1">
              <w:r w:rsidR="00AA6903" w:rsidRPr="00337A7D">
                <w:rPr>
                  <w:rStyle w:val="Hyperlink"/>
                  <w:rFonts w:ascii="Trebuchet MS" w:hAnsi="Trebuchet MS" w:cs="Tahoma"/>
                  <w:b/>
                  <w:sz w:val="13"/>
                  <w:szCs w:val="13"/>
                </w:rPr>
                <w:t>35</w:t>
              </w:r>
            </w:hyperlink>
          </w:p>
        </w:tc>
        <w:tc>
          <w:tcPr>
            <w:tcW w:w="449" w:type="dxa"/>
            <w:tcBorders>
              <w:bottom w:val="single" w:sz="4" w:space="0" w:color="auto"/>
            </w:tcBorders>
            <w:shd w:val="clear" w:color="auto" w:fill="auto"/>
            <w:vAlign w:val="center"/>
          </w:tcPr>
          <w:p w:rsidR="001A63C6" w:rsidRPr="00A75DF9" w:rsidRDefault="00DB3ECB" w:rsidP="002253A3">
            <w:pPr>
              <w:jc w:val="center"/>
              <w:rPr>
                <w:rFonts w:cs="Tahoma"/>
                <w:sz w:val="14"/>
              </w:rPr>
            </w:pPr>
            <w:r w:rsidRPr="00A75DF9">
              <w:rPr>
                <w:rFonts w:cs="Tahoma"/>
                <w:sz w:val="14"/>
              </w:rPr>
              <w:t>04/13</w:t>
            </w:r>
          </w:p>
        </w:tc>
        <w:tc>
          <w:tcPr>
            <w:tcW w:w="359" w:type="dxa"/>
            <w:tcBorders>
              <w:bottom w:val="single" w:sz="4" w:space="0" w:color="auto"/>
              <w:right w:val="single" w:sz="18" w:space="0" w:color="auto"/>
            </w:tcBorders>
            <w:shd w:val="clear" w:color="auto" w:fill="auto"/>
            <w:vAlign w:val="center"/>
          </w:tcPr>
          <w:p w:rsidR="001A63C6" w:rsidRPr="00A75DF9" w:rsidRDefault="001A63C6" w:rsidP="002253A3">
            <w:pPr>
              <w:jc w:val="center"/>
              <w:rPr>
                <w:rFonts w:cs="Tahoma"/>
                <w:sz w:val="14"/>
              </w:rPr>
            </w:pPr>
          </w:p>
        </w:tc>
        <w:tc>
          <w:tcPr>
            <w:tcW w:w="2980" w:type="dxa"/>
            <w:gridSpan w:val="9"/>
            <w:tcBorders>
              <w:left w:val="single" w:sz="18" w:space="0" w:color="auto"/>
              <w:bottom w:val="single" w:sz="4" w:space="0" w:color="auto"/>
              <w:right w:val="single" w:sz="18" w:space="0" w:color="auto"/>
            </w:tcBorders>
            <w:shd w:val="clear" w:color="auto" w:fill="auto"/>
            <w:vAlign w:val="center"/>
          </w:tcPr>
          <w:p w:rsidR="001A63C6" w:rsidRPr="00A75DF9" w:rsidRDefault="001A63C6" w:rsidP="002253A3">
            <w:pPr>
              <w:jc w:val="center"/>
              <w:rPr>
                <w:rFonts w:cs="Tahoma"/>
                <w:sz w:val="14"/>
              </w:rPr>
            </w:pPr>
            <w:r w:rsidRPr="00A75DF9">
              <w:rPr>
                <w:rFonts w:cs="Tahoma"/>
                <w:sz w:val="14"/>
              </w:rPr>
              <w:t>50 crediti</w:t>
            </w:r>
          </w:p>
        </w:tc>
        <w:tc>
          <w:tcPr>
            <w:tcW w:w="455" w:type="dxa"/>
            <w:tcBorders>
              <w:left w:val="single" w:sz="18" w:space="0" w:color="auto"/>
              <w:bottom w:val="single" w:sz="4" w:space="0" w:color="auto"/>
            </w:tcBorders>
            <w:shd w:val="clear" w:color="auto" w:fill="auto"/>
            <w:vAlign w:val="center"/>
          </w:tcPr>
          <w:p w:rsidR="001A63C6" w:rsidRPr="00A75DF9" w:rsidRDefault="001A63C6" w:rsidP="002253A3">
            <w:pPr>
              <w:jc w:val="center"/>
              <w:rPr>
                <w:rFonts w:cs="Tahoma"/>
                <w:sz w:val="14"/>
              </w:rPr>
            </w:pPr>
            <w:r w:rsidRPr="00A75DF9">
              <w:rPr>
                <w:rFonts w:cs="Tahoma"/>
                <w:sz w:val="14"/>
              </w:rPr>
              <w:t>50</w:t>
            </w:r>
          </w:p>
        </w:tc>
        <w:tc>
          <w:tcPr>
            <w:tcW w:w="450" w:type="dxa"/>
            <w:tcBorders>
              <w:bottom w:val="single" w:sz="4" w:space="0" w:color="auto"/>
            </w:tcBorders>
            <w:shd w:val="clear" w:color="auto" w:fill="auto"/>
            <w:vAlign w:val="center"/>
          </w:tcPr>
          <w:p w:rsidR="001A63C6" w:rsidRPr="00A75DF9"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A75DF9"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A75DF9"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A75DF9" w:rsidRDefault="001A63C6" w:rsidP="002253A3">
            <w:pPr>
              <w:jc w:val="center"/>
              <w:rPr>
                <w:rFonts w:cs="Tahoma"/>
                <w:sz w:val="14"/>
              </w:rPr>
            </w:pPr>
            <w:r w:rsidRPr="00A75DF9">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75DF9" w:rsidRDefault="001A63C6" w:rsidP="002253A3">
            <w:pPr>
              <w:jc w:val="center"/>
              <w:rPr>
                <w:rFonts w:cs="Tahoma"/>
                <w:sz w:val="14"/>
              </w:rPr>
            </w:pPr>
            <w:r w:rsidRPr="00A75DF9">
              <w:rPr>
                <w:rFonts w:cs="Tahoma"/>
                <w:sz w:val="13"/>
              </w:rPr>
              <w:t>P</w:t>
            </w:r>
          </w:p>
        </w:tc>
        <w:tc>
          <w:tcPr>
            <w:tcW w:w="450" w:type="dxa"/>
            <w:tcBorders>
              <w:bottom w:val="single" w:sz="4" w:space="0" w:color="auto"/>
            </w:tcBorders>
            <w:shd w:val="clear" w:color="auto" w:fill="auto"/>
            <w:vAlign w:val="center"/>
          </w:tcPr>
          <w:p w:rsidR="001A63C6" w:rsidRPr="00A75DF9" w:rsidRDefault="001A63C6" w:rsidP="002253A3">
            <w:pPr>
              <w:jc w:val="center"/>
              <w:rPr>
                <w:rFonts w:cs="Tahoma"/>
                <w:sz w:val="14"/>
              </w:rPr>
            </w:pPr>
          </w:p>
        </w:tc>
        <w:tc>
          <w:tcPr>
            <w:tcW w:w="539" w:type="dxa"/>
            <w:tcBorders>
              <w:bottom w:val="single" w:sz="4" w:space="0" w:color="auto"/>
            </w:tcBorders>
            <w:shd w:val="clear" w:color="auto" w:fill="auto"/>
            <w:vAlign w:val="center"/>
          </w:tcPr>
          <w:p w:rsidR="001A63C6" w:rsidRPr="00A75DF9" w:rsidRDefault="001A63C6" w:rsidP="002253A3">
            <w:pPr>
              <w:jc w:val="center"/>
              <w:rPr>
                <w:rFonts w:cs="Tahoma"/>
                <w:sz w:val="14"/>
              </w:rPr>
            </w:pPr>
            <w:r w:rsidRPr="00A75DF9">
              <w:rPr>
                <w:rFonts w:cs="Tahoma"/>
                <w:sz w:val="13"/>
              </w:rPr>
              <w:t>OL/OV</w:t>
            </w:r>
          </w:p>
        </w:tc>
      </w:tr>
      <w:tr w:rsidR="001A63C6" w:rsidRPr="00A75DF9" w:rsidTr="008A1262">
        <w:trPr>
          <w:trHeight w:val="145"/>
        </w:trPr>
        <w:tc>
          <w:tcPr>
            <w:tcW w:w="2724" w:type="dxa"/>
            <w:gridSpan w:val="2"/>
            <w:tcBorders>
              <w:bottom w:val="single" w:sz="4" w:space="0" w:color="auto"/>
            </w:tcBorders>
            <w:shd w:val="clear" w:color="auto" w:fill="FABF8F"/>
          </w:tcPr>
          <w:p w:rsidR="001A63C6" w:rsidRPr="00A75DF9" w:rsidRDefault="001A63C6" w:rsidP="001A63C6">
            <w:pPr>
              <w:pStyle w:val="ProductNames"/>
              <w:spacing w:before="0" w:after="0"/>
              <w:rPr>
                <w:rFonts w:ascii="Tahoma" w:hAnsi="Tahoma" w:cs="Tahoma"/>
                <w:sz w:val="14"/>
              </w:rPr>
            </w:pPr>
            <w:bookmarkStart w:id="149" w:name="_Toc368309925"/>
            <w:r w:rsidRPr="00A75DF9">
              <w:rPr>
                <w:rFonts w:ascii="Tahoma" w:hAnsi="Tahoma" w:cs="Tahoma"/>
                <w:sz w:val="14"/>
              </w:rPr>
              <w:t>Bing Maps Public Website Usage 420K (and higher) Transactions Monthly Sub</w:t>
            </w:r>
            <w:bookmarkEnd w:id="149"/>
          </w:p>
        </w:tc>
        <w:tc>
          <w:tcPr>
            <w:tcW w:w="448" w:type="dxa"/>
            <w:tcBorders>
              <w:bottom w:val="single" w:sz="4" w:space="0" w:color="auto"/>
            </w:tcBorders>
            <w:shd w:val="clear" w:color="auto" w:fill="FABF8F"/>
            <w:vAlign w:val="center"/>
          </w:tcPr>
          <w:p w:rsidR="001A63C6" w:rsidRPr="00337A7D" w:rsidRDefault="00B54770" w:rsidP="009D43FB">
            <w:pPr>
              <w:jc w:val="center"/>
              <w:rPr>
                <w:rFonts w:ascii="Trebuchet MS" w:hAnsi="Trebuchet MS" w:cs="Tahoma"/>
                <w:b/>
                <w:sz w:val="13"/>
                <w:szCs w:val="13"/>
              </w:rPr>
            </w:pPr>
            <w:hyperlink w:anchor="_35_SL_Add-On" w:history="1">
              <w:r w:rsidR="00AA6903" w:rsidRPr="00337A7D">
                <w:rPr>
                  <w:rStyle w:val="Hyperlink"/>
                  <w:rFonts w:ascii="Trebuchet MS" w:hAnsi="Trebuchet MS" w:cs="Tahoma"/>
                  <w:b/>
                  <w:sz w:val="13"/>
                  <w:szCs w:val="13"/>
                </w:rPr>
                <w:t>35</w:t>
              </w:r>
            </w:hyperlink>
          </w:p>
        </w:tc>
        <w:tc>
          <w:tcPr>
            <w:tcW w:w="449" w:type="dxa"/>
            <w:tcBorders>
              <w:bottom w:val="single" w:sz="4" w:space="0" w:color="auto"/>
            </w:tcBorders>
            <w:shd w:val="clear" w:color="auto" w:fill="FABF8F"/>
            <w:vAlign w:val="center"/>
          </w:tcPr>
          <w:p w:rsidR="001A63C6" w:rsidRPr="00A75DF9" w:rsidRDefault="00DB3ECB" w:rsidP="002253A3">
            <w:pPr>
              <w:jc w:val="center"/>
              <w:rPr>
                <w:rFonts w:cs="Tahoma"/>
                <w:sz w:val="14"/>
              </w:rPr>
            </w:pPr>
            <w:r w:rsidRPr="00A75DF9">
              <w:rPr>
                <w:rFonts w:cs="Tahoma"/>
                <w:sz w:val="14"/>
              </w:rPr>
              <w:t>04/13</w:t>
            </w:r>
          </w:p>
        </w:tc>
        <w:tc>
          <w:tcPr>
            <w:tcW w:w="359" w:type="dxa"/>
            <w:tcBorders>
              <w:bottom w:val="single" w:sz="4" w:space="0" w:color="auto"/>
              <w:right w:val="single" w:sz="18" w:space="0" w:color="auto"/>
            </w:tcBorders>
            <w:shd w:val="clear" w:color="auto" w:fill="FABF8F"/>
            <w:vAlign w:val="center"/>
          </w:tcPr>
          <w:p w:rsidR="001A63C6" w:rsidRPr="00A75DF9" w:rsidRDefault="001A63C6" w:rsidP="002253A3">
            <w:pPr>
              <w:jc w:val="center"/>
              <w:rPr>
                <w:rFonts w:cs="Tahoma"/>
                <w:sz w:val="14"/>
              </w:rPr>
            </w:pPr>
          </w:p>
        </w:tc>
        <w:tc>
          <w:tcPr>
            <w:tcW w:w="2980" w:type="dxa"/>
            <w:gridSpan w:val="9"/>
            <w:tcBorders>
              <w:left w:val="single" w:sz="18" w:space="0" w:color="auto"/>
              <w:bottom w:val="single" w:sz="4" w:space="0" w:color="auto"/>
              <w:right w:val="single" w:sz="18" w:space="0" w:color="auto"/>
            </w:tcBorders>
            <w:shd w:val="clear" w:color="auto" w:fill="FABF8F"/>
            <w:vAlign w:val="center"/>
          </w:tcPr>
          <w:p w:rsidR="001A63C6" w:rsidRPr="00A75DF9" w:rsidRDefault="001A63C6" w:rsidP="002253A3">
            <w:pPr>
              <w:jc w:val="center"/>
              <w:rPr>
                <w:rFonts w:cs="Tahoma"/>
                <w:sz w:val="14"/>
              </w:rPr>
            </w:pPr>
            <w:r w:rsidRPr="00A75DF9">
              <w:rPr>
                <w:rFonts w:cs="Tahoma"/>
                <w:sz w:val="14"/>
              </w:rPr>
              <w:t>200 crediti</w:t>
            </w:r>
          </w:p>
        </w:tc>
        <w:tc>
          <w:tcPr>
            <w:tcW w:w="455" w:type="dxa"/>
            <w:tcBorders>
              <w:left w:val="single" w:sz="18" w:space="0" w:color="auto"/>
              <w:bottom w:val="single" w:sz="4" w:space="0" w:color="auto"/>
            </w:tcBorders>
            <w:shd w:val="clear" w:color="auto" w:fill="FABF8F"/>
            <w:vAlign w:val="center"/>
          </w:tcPr>
          <w:p w:rsidR="001A63C6" w:rsidRPr="00A75DF9" w:rsidRDefault="001A63C6" w:rsidP="002253A3">
            <w:pPr>
              <w:jc w:val="center"/>
              <w:rPr>
                <w:rFonts w:cs="Tahoma"/>
                <w:sz w:val="14"/>
              </w:rPr>
            </w:pPr>
            <w:r w:rsidRPr="00A75DF9">
              <w:rPr>
                <w:rFonts w:cs="Tahoma"/>
                <w:sz w:val="14"/>
              </w:rPr>
              <w:t>200</w:t>
            </w:r>
          </w:p>
        </w:tc>
        <w:tc>
          <w:tcPr>
            <w:tcW w:w="450" w:type="dxa"/>
            <w:tcBorders>
              <w:bottom w:val="single" w:sz="4" w:space="0" w:color="auto"/>
            </w:tcBorders>
            <w:shd w:val="clear" w:color="auto" w:fill="FABF8F"/>
            <w:vAlign w:val="center"/>
          </w:tcPr>
          <w:p w:rsidR="001A63C6" w:rsidRPr="00A75DF9"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A75DF9"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2253A3">
            <w:pPr>
              <w:jc w:val="center"/>
              <w:rPr>
                <w:rFonts w:cs="Tahoma"/>
                <w:sz w:val="14"/>
              </w:rPr>
            </w:pPr>
            <w:r w:rsidRPr="00A75DF9">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75DF9" w:rsidRDefault="001A63C6" w:rsidP="002253A3">
            <w:pPr>
              <w:jc w:val="center"/>
              <w:rPr>
                <w:rFonts w:cs="Tahoma"/>
                <w:sz w:val="14"/>
              </w:rPr>
            </w:pPr>
            <w:r w:rsidRPr="00A75DF9">
              <w:rPr>
                <w:rFonts w:cs="Tahoma"/>
                <w:sz w:val="13"/>
              </w:rPr>
              <w:t>P</w:t>
            </w:r>
          </w:p>
        </w:tc>
        <w:tc>
          <w:tcPr>
            <w:tcW w:w="450" w:type="dxa"/>
            <w:tcBorders>
              <w:bottom w:val="single" w:sz="4" w:space="0" w:color="auto"/>
            </w:tcBorders>
            <w:shd w:val="clear" w:color="auto" w:fill="FABF8F"/>
            <w:vAlign w:val="center"/>
          </w:tcPr>
          <w:p w:rsidR="001A63C6" w:rsidRPr="00A75DF9" w:rsidRDefault="001A63C6" w:rsidP="002253A3">
            <w:pPr>
              <w:jc w:val="center"/>
              <w:rPr>
                <w:rFonts w:cs="Tahoma"/>
                <w:sz w:val="14"/>
              </w:rPr>
            </w:pPr>
          </w:p>
        </w:tc>
        <w:tc>
          <w:tcPr>
            <w:tcW w:w="539" w:type="dxa"/>
            <w:tcBorders>
              <w:bottom w:val="single" w:sz="4" w:space="0" w:color="auto"/>
            </w:tcBorders>
            <w:shd w:val="clear" w:color="auto" w:fill="FABF8F"/>
            <w:vAlign w:val="center"/>
          </w:tcPr>
          <w:p w:rsidR="001A63C6" w:rsidRPr="00A75DF9" w:rsidRDefault="001A63C6" w:rsidP="002253A3">
            <w:pPr>
              <w:jc w:val="center"/>
              <w:rPr>
                <w:rFonts w:cs="Tahoma"/>
                <w:sz w:val="14"/>
              </w:rPr>
            </w:pPr>
            <w:r w:rsidRPr="00A75DF9">
              <w:rPr>
                <w:rFonts w:cs="Tahoma"/>
                <w:sz w:val="13"/>
              </w:rPr>
              <w:t>OL/OV</w:t>
            </w:r>
          </w:p>
        </w:tc>
      </w:tr>
      <w:tr w:rsidR="00383917" w:rsidRPr="00A75DF9" w:rsidTr="008A1262">
        <w:trPr>
          <w:trHeight w:val="145"/>
        </w:trPr>
        <w:tc>
          <w:tcPr>
            <w:tcW w:w="2724" w:type="dxa"/>
            <w:gridSpan w:val="2"/>
            <w:tcBorders>
              <w:bottom w:val="single" w:sz="4" w:space="0" w:color="auto"/>
            </w:tcBorders>
            <w:shd w:val="clear" w:color="auto" w:fill="auto"/>
          </w:tcPr>
          <w:p w:rsidR="001A63C6" w:rsidRPr="00A75DF9" w:rsidRDefault="001A63C6" w:rsidP="001A63C6">
            <w:pPr>
              <w:pStyle w:val="ProductNames"/>
              <w:spacing w:before="0" w:after="0"/>
              <w:rPr>
                <w:rFonts w:ascii="Tahoma" w:hAnsi="Tahoma" w:cs="Tahoma"/>
                <w:sz w:val="14"/>
              </w:rPr>
            </w:pPr>
            <w:bookmarkStart w:id="150" w:name="_Toc368309926"/>
            <w:r w:rsidRPr="00A75DF9">
              <w:rPr>
                <w:rFonts w:ascii="Tahoma" w:hAnsi="Tahoma" w:cs="Tahoma"/>
                <w:sz w:val="14"/>
              </w:rPr>
              <w:t>Bing Maps Internal Website Usage 100K Transactions Monthly Sub</w:t>
            </w:r>
            <w:bookmarkEnd w:id="150"/>
          </w:p>
        </w:tc>
        <w:tc>
          <w:tcPr>
            <w:tcW w:w="448" w:type="dxa"/>
            <w:tcBorders>
              <w:bottom w:val="single" w:sz="4" w:space="0" w:color="auto"/>
            </w:tcBorders>
            <w:shd w:val="clear" w:color="auto" w:fill="auto"/>
            <w:vAlign w:val="center"/>
          </w:tcPr>
          <w:p w:rsidR="001A63C6" w:rsidRPr="00337A7D" w:rsidRDefault="00B54770" w:rsidP="009D43FB">
            <w:pPr>
              <w:jc w:val="center"/>
              <w:rPr>
                <w:rFonts w:ascii="Trebuchet MS" w:hAnsi="Trebuchet MS" w:cs="Tahoma"/>
                <w:b/>
                <w:sz w:val="13"/>
                <w:szCs w:val="13"/>
              </w:rPr>
            </w:pPr>
            <w:hyperlink w:anchor="_35_SL_Add-On" w:history="1">
              <w:r w:rsidR="00AA6903" w:rsidRPr="00337A7D">
                <w:rPr>
                  <w:rStyle w:val="Hyperlink"/>
                  <w:rFonts w:ascii="Trebuchet MS" w:hAnsi="Trebuchet MS" w:cs="Tahoma"/>
                  <w:b/>
                  <w:sz w:val="13"/>
                  <w:szCs w:val="13"/>
                </w:rPr>
                <w:t>35</w:t>
              </w:r>
            </w:hyperlink>
          </w:p>
        </w:tc>
        <w:tc>
          <w:tcPr>
            <w:tcW w:w="449" w:type="dxa"/>
            <w:tcBorders>
              <w:bottom w:val="single" w:sz="4" w:space="0" w:color="auto"/>
            </w:tcBorders>
            <w:shd w:val="clear" w:color="auto" w:fill="auto"/>
            <w:vAlign w:val="center"/>
          </w:tcPr>
          <w:p w:rsidR="001A63C6" w:rsidRPr="00A75DF9" w:rsidRDefault="00DB3ECB" w:rsidP="002253A3">
            <w:pPr>
              <w:jc w:val="center"/>
              <w:rPr>
                <w:rFonts w:cs="Tahoma"/>
                <w:sz w:val="14"/>
              </w:rPr>
            </w:pPr>
            <w:r w:rsidRPr="00A75DF9">
              <w:rPr>
                <w:rFonts w:cs="Tahoma"/>
                <w:sz w:val="14"/>
              </w:rPr>
              <w:t>04/13</w:t>
            </w:r>
          </w:p>
        </w:tc>
        <w:tc>
          <w:tcPr>
            <w:tcW w:w="359" w:type="dxa"/>
            <w:tcBorders>
              <w:bottom w:val="single" w:sz="4" w:space="0" w:color="auto"/>
              <w:right w:val="single" w:sz="18" w:space="0" w:color="auto"/>
            </w:tcBorders>
            <w:shd w:val="clear" w:color="auto" w:fill="auto"/>
            <w:vAlign w:val="center"/>
          </w:tcPr>
          <w:p w:rsidR="001A63C6" w:rsidRPr="00A75DF9" w:rsidRDefault="001A63C6" w:rsidP="002253A3">
            <w:pPr>
              <w:jc w:val="center"/>
              <w:rPr>
                <w:rFonts w:cs="Tahoma"/>
                <w:sz w:val="14"/>
              </w:rPr>
            </w:pPr>
          </w:p>
        </w:tc>
        <w:tc>
          <w:tcPr>
            <w:tcW w:w="2980" w:type="dxa"/>
            <w:gridSpan w:val="9"/>
            <w:tcBorders>
              <w:left w:val="single" w:sz="18" w:space="0" w:color="auto"/>
              <w:bottom w:val="single" w:sz="4" w:space="0" w:color="auto"/>
              <w:right w:val="single" w:sz="18" w:space="0" w:color="auto"/>
            </w:tcBorders>
            <w:shd w:val="clear" w:color="auto" w:fill="auto"/>
            <w:vAlign w:val="center"/>
          </w:tcPr>
          <w:p w:rsidR="001A63C6" w:rsidRPr="00A75DF9" w:rsidRDefault="001A63C6" w:rsidP="002253A3">
            <w:pPr>
              <w:jc w:val="center"/>
              <w:rPr>
                <w:rFonts w:cs="Tahoma"/>
                <w:sz w:val="14"/>
              </w:rPr>
            </w:pPr>
            <w:r w:rsidRPr="00A75DF9">
              <w:rPr>
                <w:rFonts w:cs="Tahoma"/>
                <w:sz w:val="14"/>
              </w:rPr>
              <w:t>125 crediti</w:t>
            </w:r>
          </w:p>
        </w:tc>
        <w:tc>
          <w:tcPr>
            <w:tcW w:w="455" w:type="dxa"/>
            <w:tcBorders>
              <w:left w:val="single" w:sz="18" w:space="0" w:color="auto"/>
              <w:bottom w:val="single" w:sz="4" w:space="0" w:color="auto"/>
            </w:tcBorders>
            <w:shd w:val="clear" w:color="auto" w:fill="auto"/>
            <w:vAlign w:val="center"/>
          </w:tcPr>
          <w:p w:rsidR="001A63C6" w:rsidRPr="00A75DF9" w:rsidRDefault="001A63C6" w:rsidP="002253A3">
            <w:pPr>
              <w:jc w:val="center"/>
              <w:rPr>
                <w:rFonts w:cs="Tahoma"/>
                <w:sz w:val="14"/>
              </w:rPr>
            </w:pPr>
            <w:r w:rsidRPr="00A75DF9">
              <w:rPr>
                <w:rFonts w:cs="Tahoma"/>
                <w:sz w:val="14"/>
              </w:rPr>
              <w:t>125</w:t>
            </w:r>
          </w:p>
        </w:tc>
        <w:tc>
          <w:tcPr>
            <w:tcW w:w="450" w:type="dxa"/>
            <w:tcBorders>
              <w:bottom w:val="single" w:sz="4" w:space="0" w:color="auto"/>
            </w:tcBorders>
            <w:shd w:val="clear" w:color="auto" w:fill="auto"/>
            <w:vAlign w:val="center"/>
          </w:tcPr>
          <w:p w:rsidR="001A63C6" w:rsidRPr="00A75DF9"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A75DF9" w:rsidRDefault="001A63C6" w:rsidP="002253A3">
            <w:pPr>
              <w:jc w:val="center"/>
              <w:rPr>
                <w:rFonts w:cs="Tahoma"/>
                <w:sz w:val="14"/>
              </w:rPr>
            </w:pPr>
          </w:p>
        </w:tc>
        <w:tc>
          <w:tcPr>
            <w:tcW w:w="450" w:type="dxa"/>
            <w:tcBorders>
              <w:left w:val="single" w:sz="18" w:space="0" w:color="auto"/>
              <w:bottom w:val="single" w:sz="4" w:space="0" w:color="auto"/>
            </w:tcBorders>
            <w:shd w:val="clear" w:color="auto" w:fill="auto"/>
            <w:vAlign w:val="center"/>
          </w:tcPr>
          <w:p w:rsidR="001A63C6" w:rsidRPr="00A75DF9" w:rsidRDefault="001A63C6" w:rsidP="002253A3">
            <w:pPr>
              <w:jc w:val="center"/>
              <w:rPr>
                <w:rFonts w:cs="Tahoma"/>
                <w:sz w:val="14"/>
              </w:rPr>
            </w:pPr>
          </w:p>
        </w:tc>
        <w:tc>
          <w:tcPr>
            <w:tcW w:w="450" w:type="dxa"/>
            <w:tcBorders>
              <w:bottom w:val="single" w:sz="4" w:space="0" w:color="auto"/>
              <w:right w:val="single" w:sz="18" w:space="0" w:color="auto"/>
            </w:tcBorders>
            <w:shd w:val="clear" w:color="auto" w:fill="auto"/>
            <w:vAlign w:val="center"/>
          </w:tcPr>
          <w:p w:rsidR="001A63C6" w:rsidRPr="00A75DF9" w:rsidRDefault="001A63C6" w:rsidP="002253A3">
            <w:pPr>
              <w:jc w:val="center"/>
              <w:rPr>
                <w:rFonts w:cs="Tahoma"/>
                <w:sz w:val="14"/>
              </w:rPr>
            </w:pPr>
            <w:r w:rsidRPr="00A75DF9">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75DF9" w:rsidRDefault="001A63C6" w:rsidP="002253A3">
            <w:pPr>
              <w:jc w:val="center"/>
              <w:rPr>
                <w:rFonts w:cs="Tahoma"/>
                <w:sz w:val="14"/>
              </w:rPr>
            </w:pPr>
            <w:r w:rsidRPr="00A75DF9">
              <w:rPr>
                <w:rFonts w:cs="Tahoma"/>
                <w:sz w:val="13"/>
              </w:rPr>
              <w:t>P</w:t>
            </w:r>
          </w:p>
        </w:tc>
        <w:tc>
          <w:tcPr>
            <w:tcW w:w="450" w:type="dxa"/>
            <w:tcBorders>
              <w:bottom w:val="single" w:sz="4" w:space="0" w:color="auto"/>
            </w:tcBorders>
            <w:shd w:val="clear" w:color="auto" w:fill="auto"/>
            <w:vAlign w:val="center"/>
          </w:tcPr>
          <w:p w:rsidR="001A63C6" w:rsidRPr="00A75DF9" w:rsidRDefault="001A63C6" w:rsidP="002253A3">
            <w:pPr>
              <w:jc w:val="center"/>
              <w:rPr>
                <w:rFonts w:cs="Tahoma"/>
                <w:sz w:val="14"/>
              </w:rPr>
            </w:pPr>
          </w:p>
        </w:tc>
        <w:tc>
          <w:tcPr>
            <w:tcW w:w="539" w:type="dxa"/>
            <w:tcBorders>
              <w:bottom w:val="single" w:sz="4" w:space="0" w:color="auto"/>
            </w:tcBorders>
            <w:shd w:val="clear" w:color="auto" w:fill="auto"/>
            <w:vAlign w:val="center"/>
          </w:tcPr>
          <w:p w:rsidR="001A63C6" w:rsidRPr="00A75DF9" w:rsidRDefault="001A63C6" w:rsidP="002253A3">
            <w:pPr>
              <w:jc w:val="center"/>
              <w:rPr>
                <w:rFonts w:cs="Tahoma"/>
                <w:sz w:val="14"/>
              </w:rPr>
            </w:pPr>
            <w:r w:rsidRPr="00A75DF9">
              <w:rPr>
                <w:rFonts w:cs="Tahoma"/>
                <w:sz w:val="13"/>
              </w:rPr>
              <w:t>OL/OV</w:t>
            </w:r>
          </w:p>
        </w:tc>
      </w:tr>
      <w:tr w:rsidR="001A63C6" w:rsidRPr="00A75DF9" w:rsidTr="008A1262">
        <w:trPr>
          <w:trHeight w:val="145"/>
        </w:trPr>
        <w:tc>
          <w:tcPr>
            <w:tcW w:w="2724" w:type="dxa"/>
            <w:gridSpan w:val="2"/>
            <w:tcBorders>
              <w:bottom w:val="single" w:sz="4" w:space="0" w:color="auto"/>
            </w:tcBorders>
            <w:shd w:val="clear" w:color="auto" w:fill="FABF8F"/>
          </w:tcPr>
          <w:p w:rsidR="001A63C6" w:rsidRPr="00A75DF9" w:rsidRDefault="001A63C6" w:rsidP="001A63C6">
            <w:pPr>
              <w:pStyle w:val="ProductNames"/>
              <w:spacing w:before="0" w:after="0"/>
              <w:rPr>
                <w:rFonts w:ascii="Tahoma" w:hAnsi="Tahoma" w:cs="Tahoma"/>
                <w:sz w:val="14"/>
              </w:rPr>
            </w:pPr>
            <w:bookmarkStart w:id="151" w:name="_Toc368309927"/>
            <w:r w:rsidRPr="00A75DF9">
              <w:rPr>
                <w:rFonts w:ascii="Tahoma" w:hAnsi="Tahoma" w:cs="Tahoma"/>
                <w:sz w:val="14"/>
              </w:rPr>
              <w:t>Bing Maps Internal Website Usage 250K (and higher) Transactions Monthly Sub</w:t>
            </w:r>
            <w:bookmarkEnd w:id="151"/>
          </w:p>
        </w:tc>
        <w:tc>
          <w:tcPr>
            <w:tcW w:w="448" w:type="dxa"/>
            <w:tcBorders>
              <w:bottom w:val="single" w:sz="4" w:space="0" w:color="auto"/>
            </w:tcBorders>
            <w:shd w:val="clear" w:color="auto" w:fill="FABF8F"/>
            <w:vAlign w:val="center"/>
          </w:tcPr>
          <w:p w:rsidR="001A63C6" w:rsidRPr="00337A7D" w:rsidRDefault="00B54770" w:rsidP="009D43FB">
            <w:pPr>
              <w:jc w:val="center"/>
              <w:rPr>
                <w:rFonts w:ascii="Trebuchet MS" w:hAnsi="Trebuchet MS" w:cs="Tahoma"/>
                <w:b/>
                <w:sz w:val="13"/>
                <w:szCs w:val="13"/>
              </w:rPr>
            </w:pPr>
            <w:hyperlink w:anchor="_35_SL_Add-On" w:history="1">
              <w:r w:rsidR="00AA6903" w:rsidRPr="00337A7D">
                <w:rPr>
                  <w:rStyle w:val="Hyperlink"/>
                  <w:rFonts w:ascii="Trebuchet MS" w:hAnsi="Trebuchet MS" w:cs="Tahoma"/>
                  <w:b/>
                  <w:sz w:val="13"/>
                  <w:szCs w:val="13"/>
                </w:rPr>
                <w:t>35</w:t>
              </w:r>
            </w:hyperlink>
          </w:p>
        </w:tc>
        <w:tc>
          <w:tcPr>
            <w:tcW w:w="449" w:type="dxa"/>
            <w:tcBorders>
              <w:bottom w:val="single" w:sz="4" w:space="0" w:color="auto"/>
            </w:tcBorders>
            <w:shd w:val="clear" w:color="auto" w:fill="FABF8F"/>
            <w:vAlign w:val="center"/>
          </w:tcPr>
          <w:p w:rsidR="001A63C6" w:rsidRPr="00A75DF9" w:rsidRDefault="00DB3ECB" w:rsidP="002253A3">
            <w:pPr>
              <w:jc w:val="center"/>
              <w:rPr>
                <w:rFonts w:cs="Tahoma"/>
                <w:sz w:val="14"/>
              </w:rPr>
            </w:pPr>
            <w:r w:rsidRPr="00A75DF9">
              <w:rPr>
                <w:rFonts w:cs="Tahoma"/>
                <w:sz w:val="14"/>
              </w:rPr>
              <w:t>04/13</w:t>
            </w:r>
          </w:p>
        </w:tc>
        <w:tc>
          <w:tcPr>
            <w:tcW w:w="359" w:type="dxa"/>
            <w:tcBorders>
              <w:bottom w:val="single" w:sz="4" w:space="0" w:color="auto"/>
              <w:right w:val="single" w:sz="18" w:space="0" w:color="auto"/>
            </w:tcBorders>
            <w:shd w:val="clear" w:color="auto" w:fill="FABF8F"/>
            <w:vAlign w:val="center"/>
          </w:tcPr>
          <w:p w:rsidR="001A63C6" w:rsidRPr="00A75DF9" w:rsidRDefault="001A63C6" w:rsidP="002253A3">
            <w:pPr>
              <w:jc w:val="center"/>
              <w:rPr>
                <w:rFonts w:cs="Tahoma"/>
                <w:sz w:val="14"/>
              </w:rPr>
            </w:pPr>
          </w:p>
        </w:tc>
        <w:tc>
          <w:tcPr>
            <w:tcW w:w="2980" w:type="dxa"/>
            <w:gridSpan w:val="9"/>
            <w:tcBorders>
              <w:left w:val="single" w:sz="18" w:space="0" w:color="auto"/>
              <w:bottom w:val="single" w:sz="4" w:space="0" w:color="auto"/>
              <w:right w:val="single" w:sz="18" w:space="0" w:color="auto"/>
            </w:tcBorders>
            <w:shd w:val="clear" w:color="auto" w:fill="FABF8F"/>
            <w:vAlign w:val="center"/>
          </w:tcPr>
          <w:p w:rsidR="001A63C6" w:rsidRPr="00A75DF9" w:rsidRDefault="001A63C6" w:rsidP="002253A3">
            <w:pPr>
              <w:jc w:val="center"/>
              <w:rPr>
                <w:rFonts w:cs="Tahoma"/>
                <w:sz w:val="14"/>
              </w:rPr>
            </w:pPr>
            <w:r w:rsidRPr="00A75DF9">
              <w:rPr>
                <w:rFonts w:cs="Tahoma"/>
                <w:sz w:val="14"/>
              </w:rPr>
              <w:t>200 crediti</w:t>
            </w:r>
          </w:p>
        </w:tc>
        <w:tc>
          <w:tcPr>
            <w:tcW w:w="455" w:type="dxa"/>
            <w:tcBorders>
              <w:left w:val="single" w:sz="18" w:space="0" w:color="auto"/>
              <w:bottom w:val="single" w:sz="4" w:space="0" w:color="auto"/>
            </w:tcBorders>
            <w:shd w:val="clear" w:color="auto" w:fill="FABF8F"/>
            <w:vAlign w:val="center"/>
          </w:tcPr>
          <w:p w:rsidR="001A63C6" w:rsidRPr="00A75DF9" w:rsidRDefault="001A63C6" w:rsidP="002253A3">
            <w:pPr>
              <w:jc w:val="center"/>
              <w:rPr>
                <w:rFonts w:cs="Tahoma"/>
                <w:sz w:val="14"/>
              </w:rPr>
            </w:pPr>
            <w:r w:rsidRPr="00A75DF9">
              <w:rPr>
                <w:rFonts w:cs="Tahoma"/>
                <w:sz w:val="14"/>
              </w:rPr>
              <w:t>200</w:t>
            </w:r>
          </w:p>
        </w:tc>
        <w:tc>
          <w:tcPr>
            <w:tcW w:w="450" w:type="dxa"/>
            <w:tcBorders>
              <w:bottom w:val="single" w:sz="4" w:space="0" w:color="auto"/>
            </w:tcBorders>
            <w:shd w:val="clear" w:color="auto" w:fill="FABF8F"/>
            <w:vAlign w:val="center"/>
          </w:tcPr>
          <w:p w:rsidR="001A63C6" w:rsidRPr="00A75DF9"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2253A3">
            <w:pPr>
              <w:jc w:val="center"/>
              <w:rPr>
                <w:rFonts w:cs="Tahoma"/>
                <w:sz w:val="14"/>
              </w:rPr>
            </w:pPr>
          </w:p>
        </w:tc>
        <w:tc>
          <w:tcPr>
            <w:tcW w:w="450" w:type="dxa"/>
            <w:tcBorders>
              <w:left w:val="single" w:sz="18" w:space="0" w:color="auto"/>
              <w:bottom w:val="single" w:sz="4" w:space="0" w:color="auto"/>
            </w:tcBorders>
            <w:shd w:val="clear" w:color="auto" w:fill="FABF8F"/>
            <w:vAlign w:val="center"/>
          </w:tcPr>
          <w:p w:rsidR="001A63C6" w:rsidRPr="00A75DF9" w:rsidRDefault="001A63C6" w:rsidP="002253A3">
            <w:pPr>
              <w:jc w:val="center"/>
              <w:rPr>
                <w:rFonts w:cs="Tahoma"/>
                <w:sz w:val="14"/>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2253A3">
            <w:pPr>
              <w:jc w:val="center"/>
              <w:rPr>
                <w:rFonts w:cs="Tahoma"/>
                <w:sz w:val="14"/>
              </w:rPr>
            </w:pPr>
            <w:r w:rsidRPr="00A75DF9">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75DF9" w:rsidRDefault="001A63C6" w:rsidP="002253A3">
            <w:pPr>
              <w:jc w:val="center"/>
              <w:rPr>
                <w:rFonts w:cs="Tahoma"/>
                <w:sz w:val="14"/>
              </w:rPr>
            </w:pPr>
            <w:r w:rsidRPr="00A75DF9">
              <w:rPr>
                <w:rFonts w:cs="Tahoma"/>
                <w:sz w:val="13"/>
              </w:rPr>
              <w:t>P</w:t>
            </w:r>
          </w:p>
        </w:tc>
        <w:tc>
          <w:tcPr>
            <w:tcW w:w="450" w:type="dxa"/>
            <w:tcBorders>
              <w:bottom w:val="single" w:sz="4" w:space="0" w:color="auto"/>
            </w:tcBorders>
            <w:shd w:val="clear" w:color="auto" w:fill="FABF8F"/>
            <w:vAlign w:val="center"/>
          </w:tcPr>
          <w:p w:rsidR="001A63C6" w:rsidRPr="00A75DF9" w:rsidRDefault="001A63C6" w:rsidP="002253A3">
            <w:pPr>
              <w:jc w:val="center"/>
              <w:rPr>
                <w:rFonts w:cs="Tahoma"/>
                <w:sz w:val="14"/>
              </w:rPr>
            </w:pPr>
          </w:p>
        </w:tc>
        <w:tc>
          <w:tcPr>
            <w:tcW w:w="539" w:type="dxa"/>
            <w:tcBorders>
              <w:bottom w:val="single" w:sz="4" w:space="0" w:color="auto"/>
            </w:tcBorders>
            <w:shd w:val="clear" w:color="auto" w:fill="FABF8F"/>
            <w:vAlign w:val="center"/>
          </w:tcPr>
          <w:p w:rsidR="001A63C6" w:rsidRPr="00A75DF9" w:rsidRDefault="001A63C6" w:rsidP="002253A3">
            <w:pPr>
              <w:jc w:val="center"/>
              <w:rPr>
                <w:rFonts w:cs="Tahoma"/>
                <w:sz w:val="14"/>
              </w:rPr>
            </w:pPr>
            <w:r w:rsidRPr="00A75DF9">
              <w:rPr>
                <w:rFonts w:cs="Tahoma"/>
                <w:sz w:val="13"/>
              </w:rPr>
              <w:t>OL/OV</w:t>
            </w:r>
          </w:p>
        </w:tc>
      </w:tr>
      <w:tr w:rsidR="00383917" w:rsidRPr="00A75DF9" w:rsidTr="008A1262">
        <w:trPr>
          <w:trHeight w:val="145"/>
        </w:trPr>
        <w:tc>
          <w:tcPr>
            <w:tcW w:w="2724" w:type="dxa"/>
            <w:gridSpan w:val="2"/>
            <w:tcBorders>
              <w:bottom w:val="single" w:sz="4" w:space="0" w:color="auto"/>
            </w:tcBorders>
            <w:shd w:val="clear" w:color="auto" w:fill="auto"/>
          </w:tcPr>
          <w:p w:rsidR="001A63C6" w:rsidRPr="00A75DF9" w:rsidRDefault="001A63C6" w:rsidP="008B1245">
            <w:pPr>
              <w:pStyle w:val="ProductNames"/>
              <w:spacing w:beforeLines="20" w:before="48" w:afterLines="20" w:after="48"/>
              <w:rPr>
                <w:rFonts w:ascii="Tahoma" w:hAnsi="Tahoma" w:cs="Tahoma"/>
                <w:sz w:val="14"/>
              </w:rPr>
            </w:pPr>
            <w:bookmarkStart w:id="152" w:name="_Toc368309928"/>
            <w:r w:rsidRPr="00A75DF9">
              <w:rPr>
                <w:rFonts w:ascii="Tahoma" w:hAnsi="Tahoma" w:cs="Tahoma"/>
                <w:sz w:val="14"/>
              </w:rPr>
              <w:t>Bing Maps Per Known User Monthly Sub</w:t>
            </w:r>
            <w:bookmarkEnd w:id="152"/>
          </w:p>
        </w:tc>
        <w:tc>
          <w:tcPr>
            <w:tcW w:w="448" w:type="dxa"/>
            <w:tcBorders>
              <w:bottom w:val="single" w:sz="4" w:space="0" w:color="auto"/>
            </w:tcBorders>
            <w:shd w:val="clear" w:color="auto" w:fill="auto"/>
            <w:vAlign w:val="center"/>
          </w:tcPr>
          <w:p w:rsidR="001A63C6" w:rsidRPr="00337A7D" w:rsidRDefault="00B54770" w:rsidP="009D43FB">
            <w:pPr>
              <w:jc w:val="center"/>
              <w:rPr>
                <w:rFonts w:ascii="Trebuchet MS" w:hAnsi="Trebuchet MS" w:cs="Tahoma"/>
                <w:b/>
                <w:sz w:val="13"/>
                <w:szCs w:val="13"/>
              </w:rPr>
            </w:pPr>
            <w:hyperlink w:anchor="_35_SL_Add-On" w:history="1">
              <w:r w:rsidR="00AA6903" w:rsidRPr="00337A7D">
                <w:rPr>
                  <w:rStyle w:val="Hyperlink"/>
                  <w:rFonts w:ascii="Trebuchet MS" w:hAnsi="Trebuchet MS" w:cs="Tahoma"/>
                  <w:b/>
                  <w:sz w:val="13"/>
                  <w:szCs w:val="13"/>
                </w:rPr>
                <w:t>35</w:t>
              </w:r>
            </w:hyperlink>
          </w:p>
        </w:tc>
        <w:tc>
          <w:tcPr>
            <w:tcW w:w="449" w:type="dxa"/>
            <w:tcBorders>
              <w:bottom w:val="single" w:sz="4" w:space="0" w:color="auto"/>
            </w:tcBorders>
            <w:shd w:val="clear" w:color="auto" w:fill="auto"/>
            <w:vAlign w:val="center"/>
          </w:tcPr>
          <w:p w:rsidR="001A63C6" w:rsidRPr="00A75DF9" w:rsidRDefault="00DB3ECB" w:rsidP="002253A3">
            <w:pPr>
              <w:jc w:val="center"/>
              <w:rPr>
                <w:rFonts w:cs="Tahoma"/>
                <w:sz w:val="14"/>
              </w:rPr>
            </w:pPr>
            <w:r w:rsidRPr="00A75DF9">
              <w:rPr>
                <w:rFonts w:cs="Tahoma"/>
                <w:sz w:val="14"/>
              </w:rPr>
              <w:t>04/13</w:t>
            </w:r>
          </w:p>
        </w:tc>
        <w:tc>
          <w:tcPr>
            <w:tcW w:w="359" w:type="dxa"/>
            <w:tcBorders>
              <w:bottom w:val="single" w:sz="4" w:space="0" w:color="auto"/>
              <w:right w:val="single" w:sz="18" w:space="0" w:color="auto"/>
            </w:tcBorders>
            <w:shd w:val="clear" w:color="auto" w:fill="auto"/>
            <w:vAlign w:val="center"/>
          </w:tcPr>
          <w:p w:rsidR="001A63C6" w:rsidRPr="00A75DF9" w:rsidRDefault="001A63C6" w:rsidP="002253A3">
            <w:pPr>
              <w:jc w:val="center"/>
              <w:rPr>
                <w:rFonts w:cs="Tahoma"/>
                <w:sz w:val="13"/>
              </w:rPr>
            </w:pPr>
          </w:p>
        </w:tc>
        <w:tc>
          <w:tcPr>
            <w:tcW w:w="2980" w:type="dxa"/>
            <w:gridSpan w:val="9"/>
            <w:tcBorders>
              <w:left w:val="single" w:sz="18" w:space="0" w:color="auto"/>
              <w:bottom w:val="single" w:sz="4" w:space="0" w:color="auto"/>
              <w:right w:val="single" w:sz="18" w:space="0" w:color="auto"/>
            </w:tcBorders>
            <w:shd w:val="clear" w:color="auto" w:fill="auto"/>
            <w:vAlign w:val="center"/>
          </w:tcPr>
          <w:p w:rsidR="001A63C6" w:rsidRPr="00A75DF9" w:rsidRDefault="001A63C6" w:rsidP="002253A3">
            <w:pPr>
              <w:jc w:val="center"/>
              <w:rPr>
                <w:rFonts w:cs="Tahoma"/>
                <w:sz w:val="14"/>
              </w:rPr>
            </w:pPr>
            <w:r w:rsidRPr="00A75DF9">
              <w:rPr>
                <w:rFonts w:cs="Tahoma"/>
                <w:sz w:val="14"/>
              </w:rPr>
              <w:t>1 punto</w:t>
            </w:r>
          </w:p>
        </w:tc>
        <w:tc>
          <w:tcPr>
            <w:tcW w:w="455" w:type="dxa"/>
            <w:tcBorders>
              <w:left w:val="single" w:sz="18" w:space="0" w:color="auto"/>
              <w:bottom w:val="single" w:sz="4" w:space="0" w:color="auto"/>
            </w:tcBorders>
            <w:shd w:val="clear" w:color="auto" w:fill="auto"/>
            <w:vAlign w:val="center"/>
          </w:tcPr>
          <w:p w:rsidR="001A63C6" w:rsidRPr="00A75DF9" w:rsidRDefault="001A63C6" w:rsidP="002253A3">
            <w:pPr>
              <w:jc w:val="center"/>
              <w:rPr>
                <w:rFonts w:cs="Tahoma"/>
                <w:sz w:val="14"/>
              </w:rPr>
            </w:pPr>
            <w:r w:rsidRPr="00A75DF9">
              <w:rPr>
                <w:rFonts w:cs="Tahoma"/>
                <w:sz w:val="14"/>
              </w:rPr>
              <w:t>1</w:t>
            </w:r>
          </w:p>
        </w:tc>
        <w:tc>
          <w:tcPr>
            <w:tcW w:w="450" w:type="dxa"/>
            <w:tcBorders>
              <w:bottom w:val="single" w:sz="4" w:space="0" w:color="auto"/>
            </w:tcBorders>
            <w:shd w:val="clear" w:color="auto" w:fill="auto"/>
            <w:vAlign w:val="center"/>
          </w:tcPr>
          <w:p w:rsidR="001A63C6" w:rsidRPr="00A75DF9"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A75DF9"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A75DF9"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A75DF9" w:rsidRDefault="001A63C6" w:rsidP="002253A3">
            <w:pPr>
              <w:jc w:val="center"/>
              <w:rPr>
                <w:rFonts w:cs="Tahoma"/>
                <w:sz w:val="14"/>
              </w:rPr>
            </w:pPr>
            <w:r w:rsidRPr="00A75DF9">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75DF9" w:rsidRDefault="001A63C6" w:rsidP="002253A3">
            <w:pPr>
              <w:jc w:val="center"/>
              <w:rPr>
                <w:rFonts w:cs="Tahoma"/>
                <w:sz w:val="14"/>
              </w:rPr>
            </w:pPr>
            <w:r w:rsidRPr="00A75DF9">
              <w:rPr>
                <w:rFonts w:cs="Tahoma"/>
                <w:sz w:val="13"/>
              </w:rPr>
              <w:t>P</w:t>
            </w:r>
          </w:p>
        </w:tc>
        <w:tc>
          <w:tcPr>
            <w:tcW w:w="450" w:type="dxa"/>
            <w:tcBorders>
              <w:bottom w:val="single" w:sz="4" w:space="0" w:color="auto"/>
            </w:tcBorders>
            <w:shd w:val="clear" w:color="auto" w:fill="auto"/>
            <w:vAlign w:val="center"/>
          </w:tcPr>
          <w:p w:rsidR="001A63C6" w:rsidRPr="00A75DF9" w:rsidRDefault="001A63C6" w:rsidP="002253A3">
            <w:pPr>
              <w:jc w:val="center"/>
              <w:rPr>
                <w:rFonts w:cs="Tahoma"/>
                <w:sz w:val="13"/>
              </w:rPr>
            </w:pPr>
          </w:p>
        </w:tc>
        <w:tc>
          <w:tcPr>
            <w:tcW w:w="539" w:type="dxa"/>
            <w:tcBorders>
              <w:bottom w:val="single" w:sz="4" w:space="0" w:color="auto"/>
            </w:tcBorders>
            <w:shd w:val="clear" w:color="auto" w:fill="auto"/>
            <w:vAlign w:val="center"/>
          </w:tcPr>
          <w:p w:rsidR="001A63C6" w:rsidRPr="00A75DF9" w:rsidRDefault="001A63C6" w:rsidP="002253A3">
            <w:pPr>
              <w:jc w:val="center"/>
              <w:rPr>
                <w:rFonts w:cs="Tahoma"/>
                <w:sz w:val="14"/>
              </w:rPr>
            </w:pPr>
            <w:r w:rsidRPr="00A75DF9">
              <w:rPr>
                <w:rFonts w:cs="Tahoma"/>
                <w:sz w:val="13"/>
              </w:rPr>
              <w:t>OL/OV</w:t>
            </w:r>
          </w:p>
        </w:tc>
      </w:tr>
      <w:tr w:rsidR="001A63C6" w:rsidRPr="00A75DF9" w:rsidTr="008A1262">
        <w:trPr>
          <w:trHeight w:val="145"/>
        </w:trPr>
        <w:tc>
          <w:tcPr>
            <w:tcW w:w="2724" w:type="dxa"/>
            <w:gridSpan w:val="2"/>
            <w:tcBorders>
              <w:bottom w:val="single" w:sz="4" w:space="0" w:color="auto"/>
            </w:tcBorders>
            <w:shd w:val="clear" w:color="auto" w:fill="FABF8F"/>
          </w:tcPr>
          <w:p w:rsidR="001A63C6" w:rsidRPr="00A75DF9" w:rsidRDefault="001A63C6" w:rsidP="00337A7D">
            <w:pPr>
              <w:pStyle w:val="ProductNames"/>
              <w:spacing w:beforeLines="20" w:before="48" w:afterLines="20" w:after="48"/>
              <w:rPr>
                <w:rFonts w:ascii="Tahoma" w:hAnsi="Tahoma" w:cs="Tahoma"/>
                <w:sz w:val="14"/>
              </w:rPr>
            </w:pPr>
            <w:bookmarkStart w:id="153" w:name="_Toc368309929"/>
            <w:r w:rsidRPr="00A75DF9">
              <w:rPr>
                <w:rFonts w:ascii="Tahoma" w:hAnsi="Tahoma" w:cs="Tahoma"/>
                <w:sz w:val="14"/>
              </w:rPr>
              <w:t>Bing Maps Known User 5K Bundle Monthly</w:t>
            </w:r>
            <w:r w:rsidR="00337A7D">
              <w:rPr>
                <w:rFonts w:ascii="Tahoma" w:hAnsi="Tahoma" w:cs="Tahoma"/>
                <w:sz w:val="14"/>
              </w:rPr>
              <w:t> </w:t>
            </w:r>
            <w:r w:rsidRPr="00A75DF9">
              <w:rPr>
                <w:rFonts w:ascii="Tahoma" w:hAnsi="Tahoma" w:cs="Tahoma"/>
                <w:sz w:val="14"/>
              </w:rPr>
              <w:t>Sub</w:t>
            </w:r>
            <w:bookmarkEnd w:id="153"/>
          </w:p>
        </w:tc>
        <w:tc>
          <w:tcPr>
            <w:tcW w:w="448" w:type="dxa"/>
            <w:tcBorders>
              <w:bottom w:val="single" w:sz="4" w:space="0" w:color="auto"/>
            </w:tcBorders>
            <w:shd w:val="clear" w:color="auto" w:fill="FABF8F"/>
            <w:vAlign w:val="center"/>
          </w:tcPr>
          <w:p w:rsidR="001A63C6" w:rsidRPr="00337A7D" w:rsidRDefault="00B54770" w:rsidP="009D43FB">
            <w:pPr>
              <w:jc w:val="center"/>
              <w:rPr>
                <w:rFonts w:ascii="Trebuchet MS" w:hAnsi="Trebuchet MS" w:cs="Tahoma"/>
                <w:b/>
                <w:sz w:val="13"/>
                <w:szCs w:val="13"/>
              </w:rPr>
            </w:pPr>
            <w:hyperlink w:anchor="_35_SL_Add-On" w:history="1">
              <w:r w:rsidR="00AA6903" w:rsidRPr="00337A7D">
                <w:rPr>
                  <w:rStyle w:val="Hyperlink"/>
                  <w:rFonts w:ascii="Trebuchet MS" w:hAnsi="Trebuchet MS" w:cs="Tahoma"/>
                  <w:b/>
                  <w:sz w:val="13"/>
                  <w:szCs w:val="13"/>
                </w:rPr>
                <w:t>35</w:t>
              </w:r>
            </w:hyperlink>
          </w:p>
        </w:tc>
        <w:tc>
          <w:tcPr>
            <w:tcW w:w="449" w:type="dxa"/>
            <w:tcBorders>
              <w:bottom w:val="single" w:sz="4" w:space="0" w:color="auto"/>
            </w:tcBorders>
            <w:shd w:val="clear" w:color="auto" w:fill="FABF8F"/>
            <w:vAlign w:val="center"/>
          </w:tcPr>
          <w:p w:rsidR="001A63C6" w:rsidRPr="00A75DF9" w:rsidRDefault="00DB3ECB" w:rsidP="002253A3">
            <w:pPr>
              <w:jc w:val="center"/>
              <w:rPr>
                <w:rFonts w:cs="Tahoma"/>
                <w:sz w:val="14"/>
              </w:rPr>
            </w:pPr>
            <w:r w:rsidRPr="00A75DF9">
              <w:rPr>
                <w:rFonts w:cs="Tahoma"/>
                <w:sz w:val="14"/>
              </w:rPr>
              <w:t>04/13</w:t>
            </w:r>
          </w:p>
        </w:tc>
        <w:tc>
          <w:tcPr>
            <w:tcW w:w="359" w:type="dxa"/>
            <w:tcBorders>
              <w:bottom w:val="single" w:sz="4" w:space="0" w:color="auto"/>
              <w:right w:val="single" w:sz="18" w:space="0" w:color="auto"/>
            </w:tcBorders>
            <w:shd w:val="clear" w:color="auto" w:fill="FABF8F"/>
            <w:vAlign w:val="center"/>
          </w:tcPr>
          <w:p w:rsidR="001A63C6" w:rsidRPr="00A75DF9" w:rsidRDefault="001A63C6" w:rsidP="002253A3">
            <w:pPr>
              <w:jc w:val="center"/>
              <w:rPr>
                <w:rFonts w:cs="Tahoma"/>
                <w:sz w:val="13"/>
              </w:rPr>
            </w:pPr>
          </w:p>
        </w:tc>
        <w:tc>
          <w:tcPr>
            <w:tcW w:w="2980" w:type="dxa"/>
            <w:gridSpan w:val="9"/>
            <w:tcBorders>
              <w:left w:val="single" w:sz="18" w:space="0" w:color="auto"/>
              <w:bottom w:val="single" w:sz="4" w:space="0" w:color="auto"/>
              <w:right w:val="single" w:sz="18" w:space="0" w:color="auto"/>
            </w:tcBorders>
            <w:shd w:val="clear" w:color="auto" w:fill="FABF8F"/>
            <w:vAlign w:val="center"/>
          </w:tcPr>
          <w:p w:rsidR="001A63C6" w:rsidRPr="00A75DF9" w:rsidRDefault="001A63C6" w:rsidP="002253A3">
            <w:pPr>
              <w:jc w:val="center"/>
              <w:rPr>
                <w:rFonts w:cs="Tahoma"/>
                <w:sz w:val="14"/>
              </w:rPr>
            </w:pPr>
            <w:r w:rsidRPr="00A75DF9">
              <w:rPr>
                <w:rFonts w:cs="Tahoma"/>
                <w:sz w:val="14"/>
              </w:rPr>
              <w:t>200 crediti</w:t>
            </w:r>
          </w:p>
        </w:tc>
        <w:tc>
          <w:tcPr>
            <w:tcW w:w="455" w:type="dxa"/>
            <w:tcBorders>
              <w:left w:val="single" w:sz="18" w:space="0" w:color="auto"/>
              <w:bottom w:val="single" w:sz="4" w:space="0" w:color="auto"/>
            </w:tcBorders>
            <w:shd w:val="clear" w:color="auto" w:fill="FABF8F"/>
            <w:vAlign w:val="center"/>
          </w:tcPr>
          <w:p w:rsidR="001A63C6" w:rsidRPr="00A75DF9" w:rsidRDefault="001A63C6" w:rsidP="002253A3">
            <w:pPr>
              <w:jc w:val="center"/>
              <w:rPr>
                <w:rFonts w:cs="Tahoma"/>
                <w:sz w:val="14"/>
              </w:rPr>
            </w:pPr>
            <w:r w:rsidRPr="00A75DF9">
              <w:rPr>
                <w:rFonts w:cs="Tahoma"/>
                <w:sz w:val="14"/>
              </w:rPr>
              <w:t>200</w:t>
            </w:r>
          </w:p>
        </w:tc>
        <w:tc>
          <w:tcPr>
            <w:tcW w:w="450" w:type="dxa"/>
            <w:tcBorders>
              <w:bottom w:val="single" w:sz="4" w:space="0" w:color="auto"/>
            </w:tcBorders>
            <w:shd w:val="clear" w:color="auto" w:fill="FABF8F"/>
            <w:vAlign w:val="center"/>
          </w:tcPr>
          <w:p w:rsidR="001A63C6" w:rsidRPr="00A75DF9"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A75DF9"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2253A3">
            <w:pPr>
              <w:jc w:val="center"/>
              <w:rPr>
                <w:rFonts w:cs="Tahoma"/>
                <w:sz w:val="14"/>
              </w:rPr>
            </w:pPr>
            <w:r w:rsidRPr="00A75DF9">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75DF9" w:rsidRDefault="001A63C6" w:rsidP="002253A3">
            <w:pPr>
              <w:jc w:val="center"/>
              <w:rPr>
                <w:rFonts w:cs="Tahoma"/>
                <w:sz w:val="14"/>
              </w:rPr>
            </w:pPr>
            <w:r w:rsidRPr="00A75DF9">
              <w:rPr>
                <w:rFonts w:cs="Tahoma"/>
                <w:sz w:val="13"/>
              </w:rPr>
              <w:t>P</w:t>
            </w:r>
          </w:p>
        </w:tc>
        <w:tc>
          <w:tcPr>
            <w:tcW w:w="450" w:type="dxa"/>
            <w:tcBorders>
              <w:bottom w:val="single" w:sz="4" w:space="0" w:color="auto"/>
            </w:tcBorders>
            <w:shd w:val="clear" w:color="auto" w:fill="FABF8F"/>
            <w:vAlign w:val="center"/>
          </w:tcPr>
          <w:p w:rsidR="001A63C6" w:rsidRPr="00A75DF9" w:rsidRDefault="001A63C6" w:rsidP="002253A3">
            <w:pPr>
              <w:jc w:val="center"/>
              <w:rPr>
                <w:rFonts w:cs="Tahoma"/>
                <w:sz w:val="13"/>
              </w:rPr>
            </w:pPr>
          </w:p>
        </w:tc>
        <w:tc>
          <w:tcPr>
            <w:tcW w:w="539" w:type="dxa"/>
            <w:tcBorders>
              <w:bottom w:val="single" w:sz="4" w:space="0" w:color="auto"/>
            </w:tcBorders>
            <w:shd w:val="clear" w:color="auto" w:fill="FABF8F"/>
            <w:vAlign w:val="center"/>
          </w:tcPr>
          <w:p w:rsidR="001A63C6" w:rsidRPr="00A75DF9" w:rsidRDefault="001A63C6" w:rsidP="002253A3">
            <w:pPr>
              <w:jc w:val="center"/>
              <w:rPr>
                <w:rFonts w:cs="Tahoma"/>
                <w:sz w:val="14"/>
              </w:rPr>
            </w:pPr>
            <w:r w:rsidRPr="00A75DF9">
              <w:rPr>
                <w:rFonts w:cs="Tahoma"/>
                <w:sz w:val="13"/>
              </w:rPr>
              <w:t>OL/OV</w:t>
            </w:r>
          </w:p>
        </w:tc>
      </w:tr>
      <w:tr w:rsidR="00383917" w:rsidRPr="00A75DF9" w:rsidTr="008A1262">
        <w:trPr>
          <w:trHeight w:val="145"/>
        </w:trPr>
        <w:tc>
          <w:tcPr>
            <w:tcW w:w="2724" w:type="dxa"/>
            <w:gridSpan w:val="2"/>
            <w:tcBorders>
              <w:bottom w:val="single" w:sz="4" w:space="0" w:color="auto"/>
            </w:tcBorders>
            <w:shd w:val="clear" w:color="auto" w:fill="auto"/>
          </w:tcPr>
          <w:p w:rsidR="001A63C6" w:rsidRPr="00A75DF9" w:rsidRDefault="001A63C6" w:rsidP="00337A7D">
            <w:pPr>
              <w:pStyle w:val="ProductNames"/>
              <w:spacing w:beforeLines="20" w:before="48" w:afterLines="20" w:after="48"/>
              <w:rPr>
                <w:rFonts w:ascii="Tahoma" w:hAnsi="Tahoma" w:cs="Tahoma"/>
                <w:sz w:val="14"/>
              </w:rPr>
            </w:pPr>
            <w:bookmarkStart w:id="154" w:name="_Toc368309930"/>
            <w:r w:rsidRPr="00A75DF9">
              <w:rPr>
                <w:rFonts w:ascii="Tahoma" w:hAnsi="Tahoma" w:cs="Tahoma"/>
                <w:sz w:val="14"/>
              </w:rPr>
              <w:t>Bing Maps Light Known Per User Monthly</w:t>
            </w:r>
            <w:r w:rsidR="00337A7D">
              <w:rPr>
                <w:rFonts w:ascii="Tahoma" w:hAnsi="Tahoma" w:cs="Tahoma"/>
                <w:sz w:val="14"/>
              </w:rPr>
              <w:t> </w:t>
            </w:r>
            <w:r w:rsidRPr="00A75DF9">
              <w:rPr>
                <w:rFonts w:ascii="Tahoma" w:hAnsi="Tahoma" w:cs="Tahoma"/>
                <w:sz w:val="14"/>
              </w:rPr>
              <w:t>Sub</w:t>
            </w:r>
            <w:bookmarkEnd w:id="154"/>
          </w:p>
        </w:tc>
        <w:tc>
          <w:tcPr>
            <w:tcW w:w="448" w:type="dxa"/>
            <w:tcBorders>
              <w:bottom w:val="single" w:sz="4" w:space="0" w:color="auto"/>
            </w:tcBorders>
            <w:shd w:val="clear" w:color="auto" w:fill="auto"/>
            <w:vAlign w:val="center"/>
          </w:tcPr>
          <w:p w:rsidR="001A63C6" w:rsidRPr="00337A7D" w:rsidRDefault="00B54770" w:rsidP="009D43FB">
            <w:pPr>
              <w:jc w:val="center"/>
              <w:rPr>
                <w:rFonts w:ascii="Trebuchet MS" w:hAnsi="Trebuchet MS" w:cs="Tahoma"/>
                <w:b/>
                <w:sz w:val="13"/>
                <w:szCs w:val="13"/>
              </w:rPr>
            </w:pPr>
            <w:hyperlink w:anchor="_35_SL_Add-On" w:history="1">
              <w:r w:rsidR="00AA6903" w:rsidRPr="00337A7D">
                <w:rPr>
                  <w:rStyle w:val="Hyperlink"/>
                  <w:rFonts w:ascii="Trebuchet MS" w:hAnsi="Trebuchet MS" w:cs="Tahoma"/>
                  <w:b/>
                  <w:sz w:val="13"/>
                  <w:szCs w:val="13"/>
                </w:rPr>
                <w:t>35</w:t>
              </w:r>
            </w:hyperlink>
          </w:p>
        </w:tc>
        <w:tc>
          <w:tcPr>
            <w:tcW w:w="449" w:type="dxa"/>
            <w:tcBorders>
              <w:bottom w:val="single" w:sz="4" w:space="0" w:color="auto"/>
            </w:tcBorders>
            <w:shd w:val="clear" w:color="auto" w:fill="auto"/>
            <w:vAlign w:val="center"/>
          </w:tcPr>
          <w:p w:rsidR="001A63C6" w:rsidRPr="00A75DF9" w:rsidRDefault="00DB3ECB" w:rsidP="002253A3">
            <w:pPr>
              <w:jc w:val="center"/>
              <w:rPr>
                <w:rFonts w:cs="Tahoma"/>
                <w:sz w:val="14"/>
              </w:rPr>
            </w:pPr>
            <w:r w:rsidRPr="00A75DF9">
              <w:rPr>
                <w:rFonts w:cs="Tahoma"/>
                <w:sz w:val="14"/>
              </w:rPr>
              <w:t>04/13</w:t>
            </w:r>
          </w:p>
        </w:tc>
        <w:tc>
          <w:tcPr>
            <w:tcW w:w="359" w:type="dxa"/>
            <w:tcBorders>
              <w:bottom w:val="single" w:sz="4" w:space="0" w:color="auto"/>
              <w:right w:val="single" w:sz="18" w:space="0" w:color="auto"/>
            </w:tcBorders>
            <w:shd w:val="clear" w:color="auto" w:fill="auto"/>
            <w:vAlign w:val="center"/>
          </w:tcPr>
          <w:p w:rsidR="001A63C6" w:rsidRPr="00A75DF9" w:rsidRDefault="001A63C6" w:rsidP="002253A3">
            <w:pPr>
              <w:jc w:val="center"/>
              <w:rPr>
                <w:rFonts w:cs="Tahoma"/>
                <w:sz w:val="13"/>
              </w:rPr>
            </w:pPr>
          </w:p>
        </w:tc>
        <w:tc>
          <w:tcPr>
            <w:tcW w:w="2980" w:type="dxa"/>
            <w:gridSpan w:val="9"/>
            <w:tcBorders>
              <w:left w:val="single" w:sz="18" w:space="0" w:color="auto"/>
              <w:bottom w:val="single" w:sz="4" w:space="0" w:color="auto"/>
              <w:right w:val="single" w:sz="18" w:space="0" w:color="auto"/>
            </w:tcBorders>
            <w:shd w:val="clear" w:color="auto" w:fill="auto"/>
            <w:vAlign w:val="center"/>
          </w:tcPr>
          <w:p w:rsidR="001A63C6" w:rsidRPr="00A75DF9" w:rsidRDefault="001A63C6" w:rsidP="002253A3">
            <w:pPr>
              <w:jc w:val="center"/>
              <w:rPr>
                <w:rFonts w:cs="Tahoma"/>
                <w:sz w:val="14"/>
              </w:rPr>
            </w:pPr>
            <w:r w:rsidRPr="00A75DF9">
              <w:rPr>
                <w:rFonts w:cs="Tahoma"/>
                <w:sz w:val="14"/>
              </w:rPr>
              <w:t>1 punto</w:t>
            </w:r>
          </w:p>
        </w:tc>
        <w:tc>
          <w:tcPr>
            <w:tcW w:w="455" w:type="dxa"/>
            <w:tcBorders>
              <w:left w:val="single" w:sz="18" w:space="0" w:color="auto"/>
              <w:bottom w:val="single" w:sz="4" w:space="0" w:color="auto"/>
            </w:tcBorders>
            <w:shd w:val="clear" w:color="auto" w:fill="auto"/>
            <w:vAlign w:val="center"/>
          </w:tcPr>
          <w:p w:rsidR="001A63C6" w:rsidRPr="00A75DF9" w:rsidRDefault="001A63C6" w:rsidP="002253A3">
            <w:pPr>
              <w:jc w:val="center"/>
              <w:rPr>
                <w:rFonts w:cs="Tahoma"/>
                <w:sz w:val="14"/>
              </w:rPr>
            </w:pPr>
            <w:r w:rsidRPr="00A75DF9">
              <w:rPr>
                <w:rFonts w:cs="Tahoma"/>
                <w:sz w:val="14"/>
              </w:rPr>
              <w:t>1</w:t>
            </w:r>
          </w:p>
        </w:tc>
        <w:tc>
          <w:tcPr>
            <w:tcW w:w="450" w:type="dxa"/>
            <w:tcBorders>
              <w:bottom w:val="single" w:sz="4" w:space="0" w:color="auto"/>
            </w:tcBorders>
            <w:shd w:val="clear" w:color="auto" w:fill="auto"/>
            <w:vAlign w:val="center"/>
          </w:tcPr>
          <w:p w:rsidR="001A63C6" w:rsidRPr="00A75DF9"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A75DF9"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A75DF9"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A75DF9" w:rsidRDefault="001A63C6" w:rsidP="002253A3">
            <w:pPr>
              <w:jc w:val="center"/>
              <w:rPr>
                <w:rFonts w:cs="Tahoma"/>
                <w:sz w:val="14"/>
              </w:rPr>
            </w:pPr>
            <w:r w:rsidRPr="00A75DF9">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75DF9" w:rsidRDefault="001A63C6" w:rsidP="002253A3">
            <w:pPr>
              <w:jc w:val="center"/>
              <w:rPr>
                <w:rFonts w:cs="Tahoma"/>
                <w:sz w:val="14"/>
              </w:rPr>
            </w:pPr>
            <w:r w:rsidRPr="00A75DF9">
              <w:rPr>
                <w:rFonts w:cs="Tahoma"/>
                <w:sz w:val="13"/>
              </w:rPr>
              <w:t>P</w:t>
            </w:r>
          </w:p>
        </w:tc>
        <w:tc>
          <w:tcPr>
            <w:tcW w:w="450" w:type="dxa"/>
            <w:tcBorders>
              <w:bottom w:val="single" w:sz="4" w:space="0" w:color="auto"/>
            </w:tcBorders>
            <w:shd w:val="clear" w:color="auto" w:fill="auto"/>
            <w:vAlign w:val="center"/>
          </w:tcPr>
          <w:p w:rsidR="001A63C6" w:rsidRPr="00A75DF9" w:rsidRDefault="001A63C6" w:rsidP="002253A3">
            <w:pPr>
              <w:jc w:val="center"/>
              <w:rPr>
                <w:rFonts w:cs="Tahoma"/>
                <w:sz w:val="13"/>
              </w:rPr>
            </w:pPr>
          </w:p>
        </w:tc>
        <w:tc>
          <w:tcPr>
            <w:tcW w:w="539" w:type="dxa"/>
            <w:tcBorders>
              <w:bottom w:val="single" w:sz="4" w:space="0" w:color="auto"/>
            </w:tcBorders>
            <w:shd w:val="clear" w:color="auto" w:fill="auto"/>
            <w:vAlign w:val="center"/>
          </w:tcPr>
          <w:p w:rsidR="001A63C6" w:rsidRPr="00A75DF9" w:rsidRDefault="001A63C6" w:rsidP="002253A3">
            <w:pPr>
              <w:jc w:val="center"/>
              <w:rPr>
                <w:rFonts w:cs="Tahoma"/>
                <w:sz w:val="14"/>
              </w:rPr>
            </w:pPr>
            <w:r w:rsidRPr="00A75DF9">
              <w:rPr>
                <w:rFonts w:cs="Tahoma"/>
                <w:sz w:val="13"/>
              </w:rPr>
              <w:t>OL/OV</w:t>
            </w:r>
          </w:p>
        </w:tc>
      </w:tr>
      <w:tr w:rsidR="001A63C6" w:rsidRPr="00A75DF9" w:rsidTr="008A1262">
        <w:trPr>
          <w:trHeight w:val="145"/>
        </w:trPr>
        <w:tc>
          <w:tcPr>
            <w:tcW w:w="2724" w:type="dxa"/>
            <w:gridSpan w:val="2"/>
            <w:tcBorders>
              <w:bottom w:val="single" w:sz="4" w:space="0" w:color="auto"/>
            </w:tcBorders>
            <w:shd w:val="clear" w:color="auto" w:fill="FABF8F"/>
          </w:tcPr>
          <w:p w:rsidR="001A63C6" w:rsidRPr="00A75DF9" w:rsidRDefault="001A63C6" w:rsidP="008B1245">
            <w:pPr>
              <w:pStyle w:val="ProductNames"/>
              <w:spacing w:beforeLines="20" w:before="48" w:afterLines="20" w:after="48"/>
              <w:rPr>
                <w:rFonts w:ascii="Tahoma" w:hAnsi="Tahoma" w:cs="Tahoma"/>
                <w:sz w:val="14"/>
              </w:rPr>
            </w:pPr>
            <w:bookmarkStart w:id="155" w:name="_Toc368309931"/>
            <w:r w:rsidRPr="00A75DF9">
              <w:rPr>
                <w:rFonts w:ascii="Tahoma" w:hAnsi="Tahoma" w:cs="Tahoma"/>
                <w:sz w:val="14"/>
              </w:rPr>
              <w:t>Bing Maps Light Known 5K User Bundle Monthly Sub</w:t>
            </w:r>
            <w:bookmarkEnd w:id="155"/>
          </w:p>
        </w:tc>
        <w:tc>
          <w:tcPr>
            <w:tcW w:w="448" w:type="dxa"/>
            <w:tcBorders>
              <w:bottom w:val="single" w:sz="4" w:space="0" w:color="auto"/>
            </w:tcBorders>
            <w:shd w:val="clear" w:color="auto" w:fill="FABF8F"/>
            <w:vAlign w:val="center"/>
          </w:tcPr>
          <w:p w:rsidR="001A63C6" w:rsidRPr="00337A7D" w:rsidRDefault="00B54770" w:rsidP="009D43FB">
            <w:pPr>
              <w:jc w:val="center"/>
              <w:rPr>
                <w:rFonts w:ascii="Trebuchet MS" w:hAnsi="Trebuchet MS" w:cs="Tahoma"/>
                <w:b/>
                <w:sz w:val="13"/>
                <w:szCs w:val="13"/>
              </w:rPr>
            </w:pPr>
            <w:hyperlink w:anchor="_35_SL_Add-On" w:history="1">
              <w:r w:rsidR="00AA6903" w:rsidRPr="00337A7D">
                <w:rPr>
                  <w:rStyle w:val="Hyperlink"/>
                  <w:rFonts w:ascii="Trebuchet MS" w:hAnsi="Trebuchet MS" w:cs="Tahoma"/>
                  <w:b/>
                  <w:sz w:val="13"/>
                  <w:szCs w:val="13"/>
                </w:rPr>
                <w:t>35</w:t>
              </w:r>
            </w:hyperlink>
          </w:p>
        </w:tc>
        <w:tc>
          <w:tcPr>
            <w:tcW w:w="449" w:type="dxa"/>
            <w:tcBorders>
              <w:bottom w:val="single" w:sz="4" w:space="0" w:color="auto"/>
            </w:tcBorders>
            <w:shd w:val="clear" w:color="auto" w:fill="FABF8F"/>
            <w:vAlign w:val="center"/>
          </w:tcPr>
          <w:p w:rsidR="001A63C6" w:rsidRPr="00A75DF9" w:rsidRDefault="00DB3ECB" w:rsidP="002253A3">
            <w:pPr>
              <w:jc w:val="center"/>
              <w:rPr>
                <w:rFonts w:cs="Tahoma"/>
                <w:sz w:val="14"/>
              </w:rPr>
            </w:pPr>
            <w:r w:rsidRPr="00A75DF9">
              <w:rPr>
                <w:rFonts w:cs="Tahoma"/>
                <w:sz w:val="14"/>
              </w:rPr>
              <w:t>04/13</w:t>
            </w:r>
          </w:p>
        </w:tc>
        <w:tc>
          <w:tcPr>
            <w:tcW w:w="359" w:type="dxa"/>
            <w:tcBorders>
              <w:bottom w:val="single" w:sz="4" w:space="0" w:color="auto"/>
              <w:right w:val="single" w:sz="18" w:space="0" w:color="auto"/>
            </w:tcBorders>
            <w:shd w:val="clear" w:color="auto" w:fill="FABF8F"/>
            <w:vAlign w:val="center"/>
          </w:tcPr>
          <w:p w:rsidR="001A63C6" w:rsidRPr="00A75DF9" w:rsidRDefault="001A63C6" w:rsidP="002253A3">
            <w:pPr>
              <w:jc w:val="center"/>
              <w:rPr>
                <w:rFonts w:cs="Tahoma"/>
                <w:sz w:val="13"/>
              </w:rPr>
            </w:pPr>
          </w:p>
        </w:tc>
        <w:tc>
          <w:tcPr>
            <w:tcW w:w="2980" w:type="dxa"/>
            <w:gridSpan w:val="9"/>
            <w:tcBorders>
              <w:left w:val="single" w:sz="18" w:space="0" w:color="auto"/>
              <w:bottom w:val="single" w:sz="4" w:space="0" w:color="auto"/>
              <w:right w:val="single" w:sz="18" w:space="0" w:color="auto"/>
            </w:tcBorders>
            <w:shd w:val="clear" w:color="auto" w:fill="FABF8F"/>
            <w:vAlign w:val="center"/>
          </w:tcPr>
          <w:p w:rsidR="001A63C6" w:rsidRPr="00A75DF9" w:rsidRDefault="001A63C6" w:rsidP="002253A3">
            <w:pPr>
              <w:jc w:val="center"/>
              <w:rPr>
                <w:rFonts w:cs="Tahoma"/>
                <w:sz w:val="14"/>
              </w:rPr>
            </w:pPr>
            <w:r w:rsidRPr="00A75DF9">
              <w:rPr>
                <w:rFonts w:cs="Tahoma"/>
                <w:sz w:val="14"/>
              </w:rPr>
              <w:t>125 crediti</w:t>
            </w:r>
          </w:p>
        </w:tc>
        <w:tc>
          <w:tcPr>
            <w:tcW w:w="455" w:type="dxa"/>
            <w:tcBorders>
              <w:left w:val="single" w:sz="18" w:space="0" w:color="auto"/>
              <w:bottom w:val="single" w:sz="4" w:space="0" w:color="auto"/>
            </w:tcBorders>
            <w:shd w:val="clear" w:color="auto" w:fill="FABF8F"/>
            <w:vAlign w:val="center"/>
          </w:tcPr>
          <w:p w:rsidR="001A63C6" w:rsidRPr="00A75DF9" w:rsidRDefault="001A63C6" w:rsidP="002253A3">
            <w:pPr>
              <w:jc w:val="center"/>
              <w:rPr>
                <w:rFonts w:cs="Tahoma"/>
                <w:sz w:val="14"/>
              </w:rPr>
            </w:pPr>
            <w:r w:rsidRPr="00A75DF9">
              <w:rPr>
                <w:rFonts w:cs="Tahoma"/>
                <w:sz w:val="14"/>
              </w:rPr>
              <w:t>125</w:t>
            </w:r>
          </w:p>
        </w:tc>
        <w:tc>
          <w:tcPr>
            <w:tcW w:w="450" w:type="dxa"/>
            <w:tcBorders>
              <w:bottom w:val="single" w:sz="4" w:space="0" w:color="auto"/>
            </w:tcBorders>
            <w:shd w:val="clear" w:color="auto" w:fill="FABF8F"/>
            <w:vAlign w:val="center"/>
          </w:tcPr>
          <w:p w:rsidR="001A63C6" w:rsidRPr="00A75DF9"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A75DF9"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2253A3">
            <w:pPr>
              <w:jc w:val="center"/>
              <w:rPr>
                <w:rFonts w:cs="Tahoma"/>
                <w:sz w:val="14"/>
              </w:rPr>
            </w:pPr>
            <w:r w:rsidRPr="00A75DF9">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75DF9" w:rsidRDefault="001A63C6" w:rsidP="002253A3">
            <w:pPr>
              <w:jc w:val="center"/>
              <w:rPr>
                <w:rFonts w:cs="Tahoma"/>
                <w:sz w:val="14"/>
              </w:rPr>
            </w:pPr>
            <w:r w:rsidRPr="00A75DF9">
              <w:rPr>
                <w:rFonts w:cs="Tahoma"/>
                <w:sz w:val="13"/>
              </w:rPr>
              <w:t>P</w:t>
            </w:r>
          </w:p>
        </w:tc>
        <w:tc>
          <w:tcPr>
            <w:tcW w:w="450" w:type="dxa"/>
            <w:tcBorders>
              <w:bottom w:val="single" w:sz="4" w:space="0" w:color="auto"/>
            </w:tcBorders>
            <w:shd w:val="clear" w:color="auto" w:fill="FABF8F"/>
            <w:vAlign w:val="center"/>
          </w:tcPr>
          <w:p w:rsidR="001A63C6" w:rsidRPr="00A75DF9" w:rsidRDefault="001A63C6" w:rsidP="002253A3">
            <w:pPr>
              <w:jc w:val="center"/>
              <w:rPr>
                <w:rFonts w:cs="Tahoma"/>
                <w:sz w:val="13"/>
              </w:rPr>
            </w:pPr>
          </w:p>
        </w:tc>
        <w:tc>
          <w:tcPr>
            <w:tcW w:w="539" w:type="dxa"/>
            <w:tcBorders>
              <w:bottom w:val="single" w:sz="4" w:space="0" w:color="auto"/>
            </w:tcBorders>
            <w:shd w:val="clear" w:color="auto" w:fill="FABF8F"/>
            <w:vAlign w:val="center"/>
          </w:tcPr>
          <w:p w:rsidR="001A63C6" w:rsidRPr="00A75DF9" w:rsidRDefault="001A63C6" w:rsidP="002253A3">
            <w:pPr>
              <w:jc w:val="center"/>
              <w:rPr>
                <w:rFonts w:cs="Tahoma"/>
                <w:sz w:val="14"/>
              </w:rPr>
            </w:pPr>
            <w:r w:rsidRPr="00A75DF9">
              <w:rPr>
                <w:rFonts w:cs="Tahoma"/>
                <w:sz w:val="13"/>
              </w:rPr>
              <w:t>OL/OV</w:t>
            </w:r>
          </w:p>
        </w:tc>
      </w:tr>
      <w:tr w:rsidR="00383917" w:rsidRPr="00A75DF9" w:rsidTr="008A1262">
        <w:trPr>
          <w:trHeight w:val="145"/>
        </w:trPr>
        <w:tc>
          <w:tcPr>
            <w:tcW w:w="2724" w:type="dxa"/>
            <w:gridSpan w:val="2"/>
            <w:tcBorders>
              <w:bottom w:val="single" w:sz="4" w:space="0" w:color="auto"/>
            </w:tcBorders>
            <w:shd w:val="clear" w:color="auto" w:fill="auto"/>
          </w:tcPr>
          <w:p w:rsidR="001A63C6" w:rsidRPr="00A75DF9" w:rsidRDefault="001A63C6" w:rsidP="008B1245">
            <w:pPr>
              <w:pStyle w:val="ProductNames"/>
              <w:spacing w:beforeLines="20" w:before="48" w:afterLines="20" w:after="48"/>
              <w:rPr>
                <w:rFonts w:ascii="Tahoma" w:hAnsi="Tahoma" w:cs="Tahoma"/>
                <w:sz w:val="14"/>
              </w:rPr>
            </w:pPr>
            <w:bookmarkStart w:id="156" w:name="_Toc368309932"/>
            <w:r w:rsidRPr="00A75DF9">
              <w:rPr>
                <w:rFonts w:ascii="Tahoma" w:hAnsi="Tahoma" w:cs="Tahoma"/>
                <w:sz w:val="14"/>
              </w:rPr>
              <w:t>Bing Maps Mobile Asset Management Platform Fee Monthly Sub</w:t>
            </w:r>
            <w:bookmarkEnd w:id="156"/>
          </w:p>
        </w:tc>
        <w:tc>
          <w:tcPr>
            <w:tcW w:w="448" w:type="dxa"/>
            <w:tcBorders>
              <w:bottom w:val="single" w:sz="4" w:space="0" w:color="auto"/>
            </w:tcBorders>
            <w:shd w:val="clear" w:color="auto" w:fill="auto"/>
            <w:vAlign w:val="center"/>
          </w:tcPr>
          <w:p w:rsidR="001A63C6" w:rsidRPr="00337A7D" w:rsidRDefault="00B54770" w:rsidP="009D43FB">
            <w:pPr>
              <w:jc w:val="center"/>
              <w:rPr>
                <w:rFonts w:ascii="Trebuchet MS" w:hAnsi="Trebuchet MS" w:cs="Tahoma"/>
                <w:b/>
                <w:sz w:val="13"/>
                <w:szCs w:val="13"/>
              </w:rPr>
            </w:pPr>
            <w:hyperlink w:anchor="_35_SL_Add-On" w:history="1">
              <w:r w:rsidR="00AA6903" w:rsidRPr="00337A7D">
                <w:rPr>
                  <w:rStyle w:val="Hyperlink"/>
                  <w:rFonts w:ascii="Trebuchet MS" w:hAnsi="Trebuchet MS" w:cs="Tahoma"/>
                  <w:b/>
                  <w:sz w:val="13"/>
                  <w:szCs w:val="13"/>
                </w:rPr>
                <w:t>35</w:t>
              </w:r>
            </w:hyperlink>
          </w:p>
        </w:tc>
        <w:tc>
          <w:tcPr>
            <w:tcW w:w="449" w:type="dxa"/>
            <w:tcBorders>
              <w:bottom w:val="single" w:sz="4" w:space="0" w:color="auto"/>
            </w:tcBorders>
            <w:shd w:val="clear" w:color="auto" w:fill="auto"/>
            <w:vAlign w:val="center"/>
          </w:tcPr>
          <w:p w:rsidR="001A63C6" w:rsidRPr="00A75DF9" w:rsidRDefault="00DB3ECB" w:rsidP="002253A3">
            <w:pPr>
              <w:jc w:val="center"/>
              <w:rPr>
                <w:rFonts w:cs="Tahoma"/>
                <w:sz w:val="14"/>
              </w:rPr>
            </w:pPr>
            <w:r w:rsidRPr="00A75DF9">
              <w:rPr>
                <w:rFonts w:cs="Tahoma"/>
                <w:sz w:val="14"/>
              </w:rPr>
              <w:t>04/13</w:t>
            </w:r>
          </w:p>
        </w:tc>
        <w:tc>
          <w:tcPr>
            <w:tcW w:w="359" w:type="dxa"/>
            <w:tcBorders>
              <w:bottom w:val="single" w:sz="4" w:space="0" w:color="auto"/>
              <w:right w:val="single" w:sz="18" w:space="0" w:color="auto"/>
            </w:tcBorders>
            <w:shd w:val="clear" w:color="auto" w:fill="auto"/>
            <w:vAlign w:val="center"/>
          </w:tcPr>
          <w:p w:rsidR="001A63C6" w:rsidRPr="00A75DF9" w:rsidRDefault="001A63C6" w:rsidP="002253A3">
            <w:pPr>
              <w:jc w:val="center"/>
              <w:rPr>
                <w:rFonts w:cs="Tahoma"/>
                <w:sz w:val="13"/>
              </w:rPr>
            </w:pPr>
          </w:p>
        </w:tc>
        <w:tc>
          <w:tcPr>
            <w:tcW w:w="2980" w:type="dxa"/>
            <w:gridSpan w:val="9"/>
            <w:tcBorders>
              <w:left w:val="single" w:sz="18" w:space="0" w:color="auto"/>
              <w:bottom w:val="single" w:sz="4" w:space="0" w:color="auto"/>
              <w:right w:val="single" w:sz="18" w:space="0" w:color="auto"/>
            </w:tcBorders>
            <w:shd w:val="clear" w:color="auto" w:fill="auto"/>
            <w:vAlign w:val="center"/>
          </w:tcPr>
          <w:p w:rsidR="001A63C6" w:rsidRPr="00A75DF9" w:rsidRDefault="009D6548" w:rsidP="002253A3">
            <w:pPr>
              <w:jc w:val="center"/>
              <w:rPr>
                <w:rFonts w:cs="Tahoma"/>
                <w:sz w:val="14"/>
              </w:rPr>
            </w:pPr>
            <w:r w:rsidRPr="00A75DF9">
              <w:rPr>
                <w:rFonts w:cs="Tahoma"/>
                <w:sz w:val="14"/>
              </w:rPr>
              <w:t>25 crediti</w:t>
            </w:r>
          </w:p>
        </w:tc>
        <w:tc>
          <w:tcPr>
            <w:tcW w:w="455" w:type="dxa"/>
            <w:tcBorders>
              <w:left w:val="single" w:sz="18" w:space="0" w:color="auto"/>
              <w:bottom w:val="single" w:sz="4" w:space="0" w:color="auto"/>
            </w:tcBorders>
            <w:shd w:val="clear" w:color="auto" w:fill="auto"/>
            <w:vAlign w:val="center"/>
          </w:tcPr>
          <w:p w:rsidR="001A63C6" w:rsidRPr="00A75DF9" w:rsidRDefault="009D6548" w:rsidP="002253A3">
            <w:pPr>
              <w:jc w:val="center"/>
              <w:rPr>
                <w:rFonts w:cs="Tahoma"/>
                <w:sz w:val="14"/>
              </w:rPr>
            </w:pPr>
            <w:r w:rsidRPr="00A75DF9">
              <w:rPr>
                <w:rFonts w:cs="Tahoma"/>
                <w:sz w:val="14"/>
              </w:rPr>
              <w:t>25</w:t>
            </w:r>
          </w:p>
        </w:tc>
        <w:tc>
          <w:tcPr>
            <w:tcW w:w="450" w:type="dxa"/>
            <w:tcBorders>
              <w:bottom w:val="single" w:sz="4" w:space="0" w:color="auto"/>
            </w:tcBorders>
            <w:shd w:val="clear" w:color="auto" w:fill="auto"/>
            <w:vAlign w:val="center"/>
          </w:tcPr>
          <w:p w:rsidR="001A63C6" w:rsidRPr="00A75DF9"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A75DF9"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A75DF9"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A75DF9" w:rsidRDefault="001A63C6" w:rsidP="002253A3">
            <w:pPr>
              <w:jc w:val="center"/>
              <w:rPr>
                <w:rFonts w:cs="Tahoma"/>
                <w:sz w:val="14"/>
              </w:rPr>
            </w:pPr>
            <w:r w:rsidRPr="00A75DF9">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75DF9" w:rsidRDefault="001A63C6" w:rsidP="002253A3">
            <w:pPr>
              <w:jc w:val="center"/>
              <w:rPr>
                <w:rFonts w:cs="Tahoma"/>
                <w:sz w:val="14"/>
              </w:rPr>
            </w:pPr>
            <w:r w:rsidRPr="00A75DF9">
              <w:rPr>
                <w:rFonts w:cs="Tahoma"/>
                <w:sz w:val="13"/>
              </w:rPr>
              <w:t>P</w:t>
            </w:r>
          </w:p>
        </w:tc>
        <w:tc>
          <w:tcPr>
            <w:tcW w:w="450" w:type="dxa"/>
            <w:tcBorders>
              <w:bottom w:val="single" w:sz="4" w:space="0" w:color="auto"/>
            </w:tcBorders>
            <w:shd w:val="clear" w:color="auto" w:fill="auto"/>
            <w:vAlign w:val="center"/>
          </w:tcPr>
          <w:p w:rsidR="001A63C6" w:rsidRPr="00A75DF9" w:rsidRDefault="001A63C6" w:rsidP="002253A3">
            <w:pPr>
              <w:jc w:val="center"/>
              <w:rPr>
                <w:rFonts w:cs="Tahoma"/>
                <w:sz w:val="13"/>
              </w:rPr>
            </w:pPr>
          </w:p>
        </w:tc>
        <w:tc>
          <w:tcPr>
            <w:tcW w:w="539" w:type="dxa"/>
            <w:tcBorders>
              <w:bottom w:val="single" w:sz="4" w:space="0" w:color="auto"/>
            </w:tcBorders>
            <w:shd w:val="clear" w:color="auto" w:fill="auto"/>
            <w:vAlign w:val="center"/>
          </w:tcPr>
          <w:p w:rsidR="001A63C6" w:rsidRPr="00A75DF9" w:rsidRDefault="001A63C6" w:rsidP="002253A3">
            <w:pPr>
              <w:jc w:val="center"/>
              <w:rPr>
                <w:rFonts w:cs="Tahoma"/>
                <w:sz w:val="14"/>
              </w:rPr>
            </w:pPr>
            <w:r w:rsidRPr="00A75DF9">
              <w:rPr>
                <w:rFonts w:cs="Tahoma"/>
                <w:sz w:val="13"/>
              </w:rPr>
              <w:t>OL/OV</w:t>
            </w:r>
          </w:p>
        </w:tc>
      </w:tr>
      <w:tr w:rsidR="001A63C6" w:rsidRPr="00A75DF9" w:rsidTr="008A1262">
        <w:trPr>
          <w:trHeight w:val="145"/>
        </w:trPr>
        <w:tc>
          <w:tcPr>
            <w:tcW w:w="2724" w:type="dxa"/>
            <w:gridSpan w:val="2"/>
            <w:tcBorders>
              <w:bottom w:val="single" w:sz="4" w:space="0" w:color="auto"/>
            </w:tcBorders>
            <w:shd w:val="clear" w:color="auto" w:fill="FABF8F"/>
          </w:tcPr>
          <w:p w:rsidR="001A63C6" w:rsidRPr="00A75DF9" w:rsidRDefault="001A63C6" w:rsidP="00337A7D">
            <w:pPr>
              <w:pStyle w:val="ProductNames"/>
              <w:spacing w:beforeLines="20" w:before="48" w:afterLines="20" w:after="48"/>
              <w:rPr>
                <w:rFonts w:ascii="Tahoma" w:hAnsi="Tahoma" w:cs="Tahoma"/>
                <w:sz w:val="14"/>
              </w:rPr>
            </w:pPr>
            <w:bookmarkStart w:id="157" w:name="_Toc368309933"/>
            <w:r w:rsidRPr="00A75DF9">
              <w:rPr>
                <w:rFonts w:ascii="Tahoma" w:hAnsi="Tahoma" w:cs="Tahoma"/>
                <w:sz w:val="14"/>
              </w:rPr>
              <w:t>Bing Maps Mobile Asset Management NA</w:t>
            </w:r>
            <w:r w:rsidR="00337A7D">
              <w:rPr>
                <w:rFonts w:ascii="Tahoma" w:hAnsi="Tahoma" w:cs="Tahoma"/>
                <w:sz w:val="14"/>
              </w:rPr>
              <w:t> </w:t>
            </w:r>
            <w:r w:rsidRPr="00A75DF9">
              <w:rPr>
                <w:rFonts w:ascii="Tahoma" w:hAnsi="Tahoma" w:cs="Tahoma"/>
                <w:sz w:val="14"/>
              </w:rPr>
              <w:t>w</w:t>
            </w:r>
            <w:r w:rsidR="00337A7D">
              <w:rPr>
                <w:rFonts w:ascii="Tahoma" w:hAnsi="Tahoma" w:cs="Tahoma"/>
                <w:sz w:val="14"/>
              </w:rPr>
              <w:t> </w:t>
            </w:r>
            <w:r w:rsidRPr="00A75DF9">
              <w:rPr>
                <w:rFonts w:ascii="Tahoma" w:hAnsi="Tahoma" w:cs="Tahoma"/>
                <w:sz w:val="14"/>
              </w:rPr>
              <w:t>routing Per Asset Monthly Sub</w:t>
            </w:r>
            <w:bookmarkEnd w:id="157"/>
          </w:p>
        </w:tc>
        <w:tc>
          <w:tcPr>
            <w:tcW w:w="448" w:type="dxa"/>
            <w:tcBorders>
              <w:bottom w:val="single" w:sz="4" w:space="0" w:color="auto"/>
            </w:tcBorders>
            <w:shd w:val="clear" w:color="auto" w:fill="FABF8F"/>
            <w:vAlign w:val="center"/>
          </w:tcPr>
          <w:p w:rsidR="001A63C6" w:rsidRPr="00337A7D" w:rsidRDefault="00B54770" w:rsidP="009D43FB">
            <w:pPr>
              <w:jc w:val="center"/>
              <w:rPr>
                <w:rFonts w:ascii="Trebuchet MS" w:hAnsi="Trebuchet MS" w:cs="Tahoma"/>
                <w:b/>
                <w:sz w:val="13"/>
                <w:szCs w:val="13"/>
              </w:rPr>
            </w:pPr>
            <w:hyperlink w:anchor="_35_SL_Add-On" w:history="1">
              <w:r w:rsidR="00AA6903" w:rsidRPr="00337A7D">
                <w:rPr>
                  <w:rStyle w:val="Hyperlink"/>
                  <w:rFonts w:ascii="Trebuchet MS" w:hAnsi="Trebuchet MS" w:cs="Tahoma"/>
                  <w:b/>
                  <w:sz w:val="13"/>
                  <w:szCs w:val="13"/>
                </w:rPr>
                <w:t>35</w:t>
              </w:r>
            </w:hyperlink>
          </w:p>
        </w:tc>
        <w:tc>
          <w:tcPr>
            <w:tcW w:w="449" w:type="dxa"/>
            <w:tcBorders>
              <w:bottom w:val="single" w:sz="4" w:space="0" w:color="auto"/>
            </w:tcBorders>
            <w:shd w:val="clear" w:color="auto" w:fill="FABF8F"/>
            <w:vAlign w:val="center"/>
          </w:tcPr>
          <w:p w:rsidR="001A63C6" w:rsidRPr="00A75DF9" w:rsidRDefault="00DB3ECB" w:rsidP="002253A3">
            <w:pPr>
              <w:jc w:val="center"/>
              <w:rPr>
                <w:rFonts w:cs="Tahoma"/>
                <w:sz w:val="14"/>
              </w:rPr>
            </w:pPr>
            <w:r w:rsidRPr="00A75DF9">
              <w:rPr>
                <w:rFonts w:cs="Tahoma"/>
                <w:sz w:val="14"/>
              </w:rPr>
              <w:t>04/13</w:t>
            </w:r>
          </w:p>
        </w:tc>
        <w:tc>
          <w:tcPr>
            <w:tcW w:w="359" w:type="dxa"/>
            <w:tcBorders>
              <w:bottom w:val="single" w:sz="4" w:space="0" w:color="auto"/>
              <w:right w:val="single" w:sz="18" w:space="0" w:color="auto"/>
            </w:tcBorders>
            <w:shd w:val="clear" w:color="auto" w:fill="FABF8F"/>
            <w:vAlign w:val="center"/>
          </w:tcPr>
          <w:p w:rsidR="001A63C6" w:rsidRPr="00A75DF9" w:rsidRDefault="001A63C6" w:rsidP="002253A3">
            <w:pPr>
              <w:jc w:val="center"/>
              <w:rPr>
                <w:rFonts w:cs="Tahoma"/>
                <w:sz w:val="13"/>
              </w:rPr>
            </w:pPr>
          </w:p>
        </w:tc>
        <w:tc>
          <w:tcPr>
            <w:tcW w:w="2980" w:type="dxa"/>
            <w:gridSpan w:val="9"/>
            <w:tcBorders>
              <w:left w:val="single" w:sz="18" w:space="0" w:color="auto"/>
              <w:bottom w:val="single" w:sz="4" w:space="0" w:color="auto"/>
              <w:right w:val="single" w:sz="18" w:space="0" w:color="auto"/>
            </w:tcBorders>
            <w:shd w:val="clear" w:color="auto" w:fill="FABF8F"/>
            <w:vAlign w:val="center"/>
          </w:tcPr>
          <w:p w:rsidR="001A63C6" w:rsidRPr="00A75DF9" w:rsidRDefault="001A63C6" w:rsidP="002253A3">
            <w:pPr>
              <w:jc w:val="center"/>
              <w:rPr>
                <w:rFonts w:cs="Tahoma"/>
                <w:sz w:val="14"/>
              </w:rPr>
            </w:pPr>
            <w:r w:rsidRPr="00A75DF9">
              <w:rPr>
                <w:rFonts w:cs="Tahoma"/>
                <w:sz w:val="14"/>
              </w:rPr>
              <w:t>1 punto</w:t>
            </w:r>
          </w:p>
        </w:tc>
        <w:tc>
          <w:tcPr>
            <w:tcW w:w="455" w:type="dxa"/>
            <w:tcBorders>
              <w:left w:val="single" w:sz="18" w:space="0" w:color="auto"/>
              <w:bottom w:val="single" w:sz="4" w:space="0" w:color="auto"/>
            </w:tcBorders>
            <w:shd w:val="clear" w:color="auto" w:fill="FABF8F"/>
            <w:vAlign w:val="center"/>
          </w:tcPr>
          <w:p w:rsidR="001A63C6" w:rsidRPr="00A75DF9" w:rsidRDefault="001A63C6" w:rsidP="002253A3">
            <w:pPr>
              <w:jc w:val="center"/>
              <w:rPr>
                <w:rFonts w:cs="Tahoma"/>
                <w:sz w:val="14"/>
              </w:rPr>
            </w:pPr>
            <w:r w:rsidRPr="00A75DF9">
              <w:rPr>
                <w:rFonts w:cs="Tahoma"/>
                <w:sz w:val="14"/>
              </w:rPr>
              <w:t>1</w:t>
            </w:r>
          </w:p>
        </w:tc>
        <w:tc>
          <w:tcPr>
            <w:tcW w:w="450" w:type="dxa"/>
            <w:tcBorders>
              <w:bottom w:val="single" w:sz="4" w:space="0" w:color="auto"/>
            </w:tcBorders>
            <w:shd w:val="clear" w:color="auto" w:fill="FABF8F"/>
            <w:vAlign w:val="center"/>
          </w:tcPr>
          <w:p w:rsidR="001A63C6" w:rsidRPr="00A75DF9"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A75DF9"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2253A3">
            <w:pPr>
              <w:jc w:val="center"/>
              <w:rPr>
                <w:rFonts w:cs="Tahoma"/>
                <w:sz w:val="14"/>
              </w:rPr>
            </w:pPr>
            <w:r w:rsidRPr="00A75DF9">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75DF9" w:rsidRDefault="001A63C6" w:rsidP="002253A3">
            <w:pPr>
              <w:jc w:val="center"/>
              <w:rPr>
                <w:rFonts w:cs="Tahoma"/>
                <w:sz w:val="14"/>
              </w:rPr>
            </w:pPr>
            <w:r w:rsidRPr="00A75DF9">
              <w:rPr>
                <w:rFonts w:cs="Tahoma"/>
                <w:sz w:val="13"/>
              </w:rPr>
              <w:t>P</w:t>
            </w:r>
          </w:p>
        </w:tc>
        <w:tc>
          <w:tcPr>
            <w:tcW w:w="450" w:type="dxa"/>
            <w:tcBorders>
              <w:bottom w:val="single" w:sz="4" w:space="0" w:color="auto"/>
            </w:tcBorders>
            <w:shd w:val="clear" w:color="auto" w:fill="FABF8F"/>
            <w:vAlign w:val="center"/>
          </w:tcPr>
          <w:p w:rsidR="001A63C6" w:rsidRPr="00A75DF9" w:rsidRDefault="001A63C6" w:rsidP="002253A3">
            <w:pPr>
              <w:jc w:val="center"/>
              <w:rPr>
                <w:rFonts w:cs="Tahoma"/>
                <w:sz w:val="13"/>
              </w:rPr>
            </w:pPr>
          </w:p>
        </w:tc>
        <w:tc>
          <w:tcPr>
            <w:tcW w:w="539" w:type="dxa"/>
            <w:tcBorders>
              <w:bottom w:val="single" w:sz="4" w:space="0" w:color="auto"/>
            </w:tcBorders>
            <w:shd w:val="clear" w:color="auto" w:fill="FABF8F"/>
            <w:vAlign w:val="center"/>
          </w:tcPr>
          <w:p w:rsidR="001A63C6" w:rsidRPr="00A75DF9" w:rsidRDefault="001A63C6" w:rsidP="002253A3">
            <w:pPr>
              <w:jc w:val="center"/>
              <w:rPr>
                <w:rFonts w:cs="Tahoma"/>
                <w:sz w:val="14"/>
              </w:rPr>
            </w:pPr>
            <w:r w:rsidRPr="00A75DF9">
              <w:rPr>
                <w:rFonts w:cs="Tahoma"/>
                <w:sz w:val="13"/>
              </w:rPr>
              <w:t>OL/OV</w:t>
            </w:r>
          </w:p>
        </w:tc>
      </w:tr>
      <w:tr w:rsidR="001A63C6" w:rsidRPr="00A75DF9" w:rsidTr="008A1262">
        <w:trPr>
          <w:trHeight w:val="145"/>
        </w:trPr>
        <w:tc>
          <w:tcPr>
            <w:tcW w:w="2724" w:type="dxa"/>
            <w:gridSpan w:val="2"/>
            <w:tcBorders>
              <w:bottom w:val="single" w:sz="4" w:space="0" w:color="auto"/>
            </w:tcBorders>
            <w:shd w:val="clear" w:color="auto" w:fill="auto"/>
          </w:tcPr>
          <w:p w:rsidR="001A63C6" w:rsidRPr="00A75DF9" w:rsidRDefault="001A63C6" w:rsidP="00337A7D">
            <w:pPr>
              <w:pStyle w:val="ProductNames"/>
              <w:spacing w:beforeLines="20" w:before="48" w:afterLines="20" w:after="48"/>
              <w:rPr>
                <w:rFonts w:ascii="Tahoma" w:hAnsi="Tahoma" w:cs="Tahoma"/>
                <w:sz w:val="14"/>
              </w:rPr>
            </w:pPr>
            <w:bookmarkStart w:id="158" w:name="_Toc368309934"/>
            <w:r w:rsidRPr="00A75DF9">
              <w:rPr>
                <w:rFonts w:ascii="Tahoma" w:hAnsi="Tahoma" w:cs="Tahoma"/>
                <w:sz w:val="14"/>
              </w:rPr>
              <w:t>Bing Maps Mobile Asset Management NA</w:t>
            </w:r>
            <w:r w:rsidR="00337A7D">
              <w:rPr>
                <w:rFonts w:ascii="Tahoma" w:hAnsi="Tahoma" w:cs="Tahoma"/>
                <w:sz w:val="14"/>
              </w:rPr>
              <w:t> </w:t>
            </w:r>
            <w:r w:rsidRPr="00A75DF9">
              <w:rPr>
                <w:rFonts w:ascii="Tahoma" w:hAnsi="Tahoma" w:cs="Tahoma"/>
                <w:sz w:val="14"/>
              </w:rPr>
              <w:t>w/o routing Per Asset Monthly Sub</w:t>
            </w:r>
            <w:bookmarkEnd w:id="158"/>
          </w:p>
        </w:tc>
        <w:tc>
          <w:tcPr>
            <w:tcW w:w="448" w:type="dxa"/>
            <w:tcBorders>
              <w:bottom w:val="single" w:sz="4" w:space="0" w:color="auto"/>
            </w:tcBorders>
            <w:shd w:val="clear" w:color="auto" w:fill="auto"/>
            <w:vAlign w:val="center"/>
          </w:tcPr>
          <w:p w:rsidR="001A63C6" w:rsidRPr="00337A7D" w:rsidRDefault="00B54770" w:rsidP="009D43FB">
            <w:pPr>
              <w:jc w:val="center"/>
              <w:rPr>
                <w:rFonts w:ascii="Trebuchet MS" w:hAnsi="Trebuchet MS" w:cs="Tahoma"/>
                <w:b/>
                <w:sz w:val="13"/>
                <w:szCs w:val="13"/>
              </w:rPr>
            </w:pPr>
            <w:hyperlink w:anchor="_35_SL_Add-On" w:history="1">
              <w:r w:rsidR="00AA6903" w:rsidRPr="00337A7D">
                <w:rPr>
                  <w:rStyle w:val="Hyperlink"/>
                  <w:rFonts w:ascii="Trebuchet MS" w:hAnsi="Trebuchet MS" w:cs="Tahoma"/>
                  <w:b/>
                  <w:sz w:val="13"/>
                  <w:szCs w:val="13"/>
                </w:rPr>
                <w:t>35</w:t>
              </w:r>
            </w:hyperlink>
          </w:p>
        </w:tc>
        <w:tc>
          <w:tcPr>
            <w:tcW w:w="449" w:type="dxa"/>
            <w:tcBorders>
              <w:bottom w:val="single" w:sz="4" w:space="0" w:color="auto"/>
            </w:tcBorders>
            <w:shd w:val="clear" w:color="auto" w:fill="auto"/>
            <w:vAlign w:val="center"/>
          </w:tcPr>
          <w:p w:rsidR="001A63C6" w:rsidRPr="00A75DF9" w:rsidRDefault="00DB3ECB" w:rsidP="002253A3">
            <w:pPr>
              <w:jc w:val="center"/>
              <w:rPr>
                <w:rFonts w:cs="Tahoma"/>
                <w:sz w:val="14"/>
              </w:rPr>
            </w:pPr>
            <w:r w:rsidRPr="00A75DF9">
              <w:rPr>
                <w:rFonts w:cs="Tahoma"/>
                <w:sz w:val="14"/>
              </w:rPr>
              <w:t>04/13</w:t>
            </w:r>
          </w:p>
        </w:tc>
        <w:tc>
          <w:tcPr>
            <w:tcW w:w="359" w:type="dxa"/>
            <w:tcBorders>
              <w:bottom w:val="single" w:sz="4" w:space="0" w:color="auto"/>
              <w:right w:val="single" w:sz="18" w:space="0" w:color="auto"/>
            </w:tcBorders>
            <w:shd w:val="clear" w:color="auto" w:fill="auto"/>
            <w:vAlign w:val="center"/>
          </w:tcPr>
          <w:p w:rsidR="001A63C6" w:rsidRPr="00A75DF9" w:rsidRDefault="001A63C6" w:rsidP="002253A3">
            <w:pPr>
              <w:jc w:val="center"/>
              <w:rPr>
                <w:rFonts w:cs="Tahoma"/>
                <w:sz w:val="13"/>
              </w:rPr>
            </w:pPr>
          </w:p>
        </w:tc>
        <w:tc>
          <w:tcPr>
            <w:tcW w:w="2980" w:type="dxa"/>
            <w:gridSpan w:val="9"/>
            <w:tcBorders>
              <w:left w:val="single" w:sz="18" w:space="0" w:color="auto"/>
              <w:bottom w:val="single" w:sz="4" w:space="0" w:color="auto"/>
              <w:right w:val="single" w:sz="18" w:space="0" w:color="auto"/>
            </w:tcBorders>
            <w:shd w:val="clear" w:color="auto" w:fill="auto"/>
            <w:vAlign w:val="center"/>
          </w:tcPr>
          <w:p w:rsidR="001A63C6" w:rsidRPr="00A75DF9" w:rsidRDefault="001A63C6" w:rsidP="002253A3">
            <w:pPr>
              <w:jc w:val="center"/>
              <w:rPr>
                <w:rFonts w:cs="Tahoma"/>
                <w:sz w:val="14"/>
              </w:rPr>
            </w:pPr>
            <w:r w:rsidRPr="00A75DF9">
              <w:rPr>
                <w:rFonts w:cs="Tahoma"/>
                <w:sz w:val="14"/>
              </w:rPr>
              <w:t>1 punto</w:t>
            </w:r>
          </w:p>
        </w:tc>
        <w:tc>
          <w:tcPr>
            <w:tcW w:w="455" w:type="dxa"/>
            <w:tcBorders>
              <w:left w:val="single" w:sz="18" w:space="0" w:color="auto"/>
              <w:bottom w:val="single" w:sz="4" w:space="0" w:color="auto"/>
            </w:tcBorders>
            <w:shd w:val="clear" w:color="auto" w:fill="auto"/>
            <w:vAlign w:val="center"/>
          </w:tcPr>
          <w:p w:rsidR="001A63C6" w:rsidRPr="00A75DF9" w:rsidRDefault="001A63C6" w:rsidP="002253A3">
            <w:pPr>
              <w:jc w:val="center"/>
              <w:rPr>
                <w:rFonts w:cs="Tahoma"/>
                <w:sz w:val="14"/>
              </w:rPr>
            </w:pPr>
            <w:r w:rsidRPr="00A75DF9">
              <w:rPr>
                <w:rFonts w:cs="Tahoma"/>
                <w:sz w:val="14"/>
              </w:rPr>
              <w:t>1</w:t>
            </w:r>
          </w:p>
        </w:tc>
        <w:tc>
          <w:tcPr>
            <w:tcW w:w="450" w:type="dxa"/>
            <w:tcBorders>
              <w:bottom w:val="single" w:sz="4" w:space="0" w:color="auto"/>
            </w:tcBorders>
            <w:shd w:val="clear" w:color="auto" w:fill="auto"/>
            <w:vAlign w:val="center"/>
          </w:tcPr>
          <w:p w:rsidR="001A63C6" w:rsidRPr="00A75DF9"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A75DF9"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A75DF9"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A75DF9" w:rsidRDefault="001A63C6" w:rsidP="002253A3">
            <w:pPr>
              <w:jc w:val="center"/>
              <w:rPr>
                <w:rFonts w:cs="Tahoma"/>
                <w:sz w:val="14"/>
              </w:rPr>
            </w:pPr>
            <w:r w:rsidRPr="00A75DF9">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75DF9" w:rsidRDefault="001A63C6" w:rsidP="002253A3">
            <w:pPr>
              <w:jc w:val="center"/>
              <w:rPr>
                <w:rFonts w:cs="Tahoma"/>
                <w:sz w:val="14"/>
              </w:rPr>
            </w:pPr>
            <w:r w:rsidRPr="00A75DF9">
              <w:rPr>
                <w:rFonts w:cs="Tahoma"/>
                <w:sz w:val="13"/>
              </w:rPr>
              <w:t>P</w:t>
            </w:r>
          </w:p>
        </w:tc>
        <w:tc>
          <w:tcPr>
            <w:tcW w:w="450" w:type="dxa"/>
            <w:tcBorders>
              <w:bottom w:val="single" w:sz="4" w:space="0" w:color="auto"/>
            </w:tcBorders>
            <w:shd w:val="clear" w:color="auto" w:fill="auto"/>
            <w:vAlign w:val="center"/>
          </w:tcPr>
          <w:p w:rsidR="001A63C6" w:rsidRPr="00A75DF9" w:rsidRDefault="001A63C6" w:rsidP="002253A3">
            <w:pPr>
              <w:jc w:val="center"/>
              <w:rPr>
                <w:rFonts w:cs="Tahoma"/>
                <w:sz w:val="13"/>
              </w:rPr>
            </w:pPr>
          </w:p>
        </w:tc>
        <w:tc>
          <w:tcPr>
            <w:tcW w:w="539" w:type="dxa"/>
            <w:tcBorders>
              <w:bottom w:val="single" w:sz="4" w:space="0" w:color="auto"/>
            </w:tcBorders>
            <w:shd w:val="clear" w:color="auto" w:fill="auto"/>
            <w:vAlign w:val="center"/>
          </w:tcPr>
          <w:p w:rsidR="001A63C6" w:rsidRPr="00A75DF9" w:rsidRDefault="001A63C6" w:rsidP="002253A3">
            <w:pPr>
              <w:jc w:val="center"/>
              <w:rPr>
                <w:rFonts w:cs="Tahoma"/>
                <w:sz w:val="14"/>
              </w:rPr>
            </w:pPr>
            <w:r w:rsidRPr="00A75DF9">
              <w:rPr>
                <w:rFonts w:cs="Tahoma"/>
                <w:sz w:val="13"/>
              </w:rPr>
              <w:t>OL/OV</w:t>
            </w:r>
          </w:p>
        </w:tc>
      </w:tr>
      <w:tr w:rsidR="001A63C6" w:rsidRPr="00A75DF9" w:rsidTr="008A1262">
        <w:trPr>
          <w:trHeight w:val="145"/>
        </w:trPr>
        <w:tc>
          <w:tcPr>
            <w:tcW w:w="2724" w:type="dxa"/>
            <w:gridSpan w:val="2"/>
            <w:tcBorders>
              <w:bottom w:val="single" w:sz="4" w:space="0" w:color="auto"/>
            </w:tcBorders>
            <w:shd w:val="clear" w:color="auto" w:fill="FABF8F"/>
          </w:tcPr>
          <w:p w:rsidR="001A63C6" w:rsidRPr="00A75DF9" w:rsidRDefault="001A63C6" w:rsidP="008B1245">
            <w:pPr>
              <w:pStyle w:val="ProductNames"/>
              <w:spacing w:beforeLines="20" w:before="48" w:afterLines="20" w:after="48"/>
              <w:rPr>
                <w:rFonts w:ascii="Tahoma" w:hAnsi="Tahoma" w:cs="Tahoma"/>
                <w:sz w:val="14"/>
              </w:rPr>
            </w:pPr>
            <w:bookmarkStart w:id="159" w:name="_Toc368309935"/>
            <w:r w:rsidRPr="00A75DF9">
              <w:rPr>
                <w:rFonts w:ascii="Tahoma" w:hAnsi="Tahoma" w:cs="Tahoma"/>
                <w:sz w:val="14"/>
              </w:rPr>
              <w:t>Bing Maps Mobile Asset Management Europe w routing Per Asset Monthly Sub</w:t>
            </w:r>
            <w:bookmarkEnd w:id="159"/>
          </w:p>
        </w:tc>
        <w:tc>
          <w:tcPr>
            <w:tcW w:w="448" w:type="dxa"/>
            <w:tcBorders>
              <w:bottom w:val="single" w:sz="4" w:space="0" w:color="auto"/>
            </w:tcBorders>
            <w:shd w:val="clear" w:color="auto" w:fill="FABF8F"/>
            <w:vAlign w:val="center"/>
          </w:tcPr>
          <w:p w:rsidR="001A63C6" w:rsidRPr="00337A7D" w:rsidRDefault="00B54770" w:rsidP="009D43FB">
            <w:pPr>
              <w:jc w:val="center"/>
              <w:rPr>
                <w:rFonts w:ascii="Trebuchet MS" w:hAnsi="Trebuchet MS" w:cs="Tahoma"/>
                <w:b/>
                <w:sz w:val="13"/>
                <w:szCs w:val="13"/>
              </w:rPr>
            </w:pPr>
            <w:hyperlink w:anchor="_35_SL_Add-On" w:history="1">
              <w:r w:rsidR="00AA6903" w:rsidRPr="00337A7D">
                <w:rPr>
                  <w:rStyle w:val="Hyperlink"/>
                  <w:rFonts w:ascii="Trebuchet MS" w:hAnsi="Trebuchet MS" w:cs="Tahoma"/>
                  <w:b/>
                  <w:sz w:val="13"/>
                  <w:szCs w:val="13"/>
                </w:rPr>
                <w:t>35</w:t>
              </w:r>
            </w:hyperlink>
          </w:p>
        </w:tc>
        <w:tc>
          <w:tcPr>
            <w:tcW w:w="449" w:type="dxa"/>
            <w:tcBorders>
              <w:bottom w:val="single" w:sz="4" w:space="0" w:color="auto"/>
            </w:tcBorders>
            <w:shd w:val="clear" w:color="auto" w:fill="FABF8F"/>
            <w:vAlign w:val="center"/>
          </w:tcPr>
          <w:p w:rsidR="001A63C6" w:rsidRPr="00A75DF9" w:rsidRDefault="00DB3ECB" w:rsidP="002253A3">
            <w:pPr>
              <w:jc w:val="center"/>
              <w:rPr>
                <w:rFonts w:cs="Tahoma"/>
                <w:sz w:val="14"/>
              </w:rPr>
            </w:pPr>
            <w:r w:rsidRPr="00A75DF9">
              <w:rPr>
                <w:rFonts w:cs="Tahoma"/>
                <w:sz w:val="14"/>
              </w:rPr>
              <w:t>04/13</w:t>
            </w:r>
          </w:p>
        </w:tc>
        <w:tc>
          <w:tcPr>
            <w:tcW w:w="359" w:type="dxa"/>
            <w:tcBorders>
              <w:bottom w:val="single" w:sz="4" w:space="0" w:color="auto"/>
              <w:right w:val="single" w:sz="18" w:space="0" w:color="auto"/>
            </w:tcBorders>
            <w:shd w:val="clear" w:color="auto" w:fill="FABF8F"/>
            <w:vAlign w:val="center"/>
          </w:tcPr>
          <w:p w:rsidR="001A63C6" w:rsidRPr="00A75DF9" w:rsidRDefault="001A63C6" w:rsidP="002253A3">
            <w:pPr>
              <w:jc w:val="center"/>
              <w:rPr>
                <w:rFonts w:cs="Tahoma"/>
                <w:sz w:val="13"/>
              </w:rPr>
            </w:pPr>
          </w:p>
        </w:tc>
        <w:tc>
          <w:tcPr>
            <w:tcW w:w="2980" w:type="dxa"/>
            <w:gridSpan w:val="9"/>
            <w:tcBorders>
              <w:left w:val="single" w:sz="18" w:space="0" w:color="auto"/>
              <w:bottom w:val="single" w:sz="4" w:space="0" w:color="auto"/>
              <w:right w:val="single" w:sz="18" w:space="0" w:color="auto"/>
            </w:tcBorders>
            <w:shd w:val="clear" w:color="auto" w:fill="FABF8F"/>
            <w:vAlign w:val="center"/>
          </w:tcPr>
          <w:p w:rsidR="001A63C6" w:rsidRPr="00A75DF9" w:rsidRDefault="001A63C6" w:rsidP="002253A3">
            <w:pPr>
              <w:jc w:val="center"/>
              <w:rPr>
                <w:rFonts w:cs="Tahoma"/>
                <w:sz w:val="14"/>
              </w:rPr>
            </w:pPr>
            <w:r w:rsidRPr="00A75DF9">
              <w:rPr>
                <w:rFonts w:cs="Tahoma"/>
                <w:sz w:val="14"/>
              </w:rPr>
              <w:t>1 punto</w:t>
            </w:r>
          </w:p>
        </w:tc>
        <w:tc>
          <w:tcPr>
            <w:tcW w:w="455" w:type="dxa"/>
            <w:tcBorders>
              <w:left w:val="single" w:sz="18" w:space="0" w:color="auto"/>
              <w:bottom w:val="single" w:sz="4" w:space="0" w:color="auto"/>
            </w:tcBorders>
            <w:shd w:val="clear" w:color="auto" w:fill="FABF8F"/>
            <w:vAlign w:val="center"/>
          </w:tcPr>
          <w:p w:rsidR="001A63C6" w:rsidRPr="00A75DF9" w:rsidRDefault="001A63C6" w:rsidP="002253A3">
            <w:pPr>
              <w:jc w:val="center"/>
              <w:rPr>
                <w:rFonts w:cs="Tahoma"/>
                <w:sz w:val="14"/>
              </w:rPr>
            </w:pPr>
            <w:r w:rsidRPr="00A75DF9">
              <w:rPr>
                <w:rFonts w:cs="Tahoma"/>
                <w:sz w:val="14"/>
              </w:rPr>
              <w:t>1</w:t>
            </w:r>
          </w:p>
        </w:tc>
        <w:tc>
          <w:tcPr>
            <w:tcW w:w="450" w:type="dxa"/>
            <w:tcBorders>
              <w:bottom w:val="single" w:sz="4" w:space="0" w:color="auto"/>
            </w:tcBorders>
            <w:shd w:val="clear" w:color="auto" w:fill="FABF8F"/>
            <w:vAlign w:val="center"/>
          </w:tcPr>
          <w:p w:rsidR="001A63C6" w:rsidRPr="00A75DF9"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2253A3">
            <w:pPr>
              <w:jc w:val="center"/>
              <w:rPr>
                <w:rFonts w:cs="Tahoma"/>
                <w:sz w:val="13"/>
              </w:rPr>
            </w:pPr>
          </w:p>
        </w:tc>
        <w:tc>
          <w:tcPr>
            <w:tcW w:w="450" w:type="dxa"/>
            <w:tcBorders>
              <w:left w:val="single" w:sz="18" w:space="0" w:color="auto"/>
              <w:bottom w:val="single" w:sz="4" w:space="0" w:color="auto"/>
            </w:tcBorders>
            <w:shd w:val="clear" w:color="auto" w:fill="FABF8F"/>
            <w:vAlign w:val="center"/>
          </w:tcPr>
          <w:p w:rsidR="001A63C6" w:rsidRPr="00A75DF9" w:rsidRDefault="001A63C6" w:rsidP="002253A3">
            <w:pPr>
              <w:jc w:val="center"/>
              <w:rPr>
                <w:rFonts w:cs="Tahoma"/>
                <w:sz w:val="13"/>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2253A3">
            <w:pPr>
              <w:jc w:val="center"/>
              <w:rPr>
                <w:rFonts w:cs="Tahoma"/>
                <w:sz w:val="14"/>
              </w:rPr>
            </w:pPr>
            <w:r w:rsidRPr="00A75DF9">
              <w:rPr>
                <w:rFonts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75DF9" w:rsidRDefault="001A63C6" w:rsidP="002253A3">
            <w:pPr>
              <w:jc w:val="center"/>
              <w:rPr>
                <w:rFonts w:cs="Tahoma"/>
                <w:sz w:val="14"/>
              </w:rPr>
            </w:pPr>
            <w:r w:rsidRPr="00A75DF9">
              <w:rPr>
                <w:rFonts w:cs="Tahoma"/>
                <w:sz w:val="13"/>
              </w:rPr>
              <w:t>P</w:t>
            </w:r>
          </w:p>
        </w:tc>
        <w:tc>
          <w:tcPr>
            <w:tcW w:w="450" w:type="dxa"/>
            <w:tcBorders>
              <w:bottom w:val="single" w:sz="4" w:space="0" w:color="auto"/>
            </w:tcBorders>
            <w:shd w:val="clear" w:color="auto" w:fill="FABF8F"/>
            <w:vAlign w:val="center"/>
          </w:tcPr>
          <w:p w:rsidR="001A63C6" w:rsidRPr="00A75DF9" w:rsidRDefault="001A63C6" w:rsidP="002253A3">
            <w:pPr>
              <w:jc w:val="center"/>
              <w:rPr>
                <w:rFonts w:cs="Tahoma"/>
                <w:sz w:val="13"/>
              </w:rPr>
            </w:pPr>
          </w:p>
        </w:tc>
        <w:tc>
          <w:tcPr>
            <w:tcW w:w="539" w:type="dxa"/>
            <w:tcBorders>
              <w:bottom w:val="single" w:sz="4" w:space="0" w:color="auto"/>
            </w:tcBorders>
            <w:shd w:val="clear" w:color="auto" w:fill="FABF8F"/>
            <w:vAlign w:val="center"/>
          </w:tcPr>
          <w:p w:rsidR="001A63C6" w:rsidRPr="00A75DF9" w:rsidRDefault="001A63C6" w:rsidP="002253A3">
            <w:pPr>
              <w:jc w:val="center"/>
              <w:rPr>
                <w:rFonts w:cs="Tahoma"/>
                <w:sz w:val="14"/>
              </w:rPr>
            </w:pPr>
            <w:r w:rsidRPr="00A75DF9">
              <w:rPr>
                <w:rFonts w:cs="Tahoma"/>
                <w:sz w:val="13"/>
              </w:rPr>
              <w:t>OL/OV</w:t>
            </w:r>
          </w:p>
        </w:tc>
      </w:tr>
      <w:tr w:rsidR="001A63C6" w:rsidRPr="00A75DF9" w:rsidTr="008A1262">
        <w:trPr>
          <w:trHeight w:val="145"/>
        </w:trPr>
        <w:tc>
          <w:tcPr>
            <w:tcW w:w="2724" w:type="dxa"/>
            <w:gridSpan w:val="2"/>
            <w:tcBorders>
              <w:bottom w:val="single" w:sz="4" w:space="0" w:color="auto"/>
            </w:tcBorders>
            <w:shd w:val="clear" w:color="auto" w:fill="auto"/>
          </w:tcPr>
          <w:p w:rsidR="001A63C6" w:rsidRPr="00A75DF9" w:rsidRDefault="001A63C6" w:rsidP="008B1245">
            <w:pPr>
              <w:pStyle w:val="ProductNames"/>
              <w:spacing w:beforeLines="20" w:before="48" w:afterLines="20" w:after="48"/>
              <w:rPr>
                <w:rFonts w:ascii="Tahoma" w:hAnsi="Tahoma" w:cs="Tahoma"/>
                <w:sz w:val="14"/>
              </w:rPr>
            </w:pPr>
            <w:bookmarkStart w:id="160" w:name="_Toc368309936"/>
            <w:r w:rsidRPr="00A75DF9">
              <w:rPr>
                <w:rFonts w:ascii="Tahoma" w:hAnsi="Tahoma" w:cs="Tahoma"/>
                <w:sz w:val="14"/>
              </w:rPr>
              <w:t>Bing Maps Mobile Asset Management Europe w/o routing Per Asset Monthly Sub</w:t>
            </w:r>
            <w:bookmarkEnd w:id="160"/>
          </w:p>
        </w:tc>
        <w:tc>
          <w:tcPr>
            <w:tcW w:w="448" w:type="dxa"/>
            <w:tcBorders>
              <w:bottom w:val="single" w:sz="4" w:space="0" w:color="auto"/>
            </w:tcBorders>
            <w:shd w:val="clear" w:color="auto" w:fill="auto"/>
            <w:vAlign w:val="center"/>
          </w:tcPr>
          <w:p w:rsidR="001A63C6" w:rsidRPr="00337A7D" w:rsidRDefault="00B54770" w:rsidP="009D43FB">
            <w:pPr>
              <w:jc w:val="center"/>
              <w:rPr>
                <w:rFonts w:ascii="Trebuchet MS" w:hAnsi="Trebuchet MS" w:cs="Tahoma"/>
                <w:b/>
                <w:sz w:val="13"/>
                <w:szCs w:val="13"/>
              </w:rPr>
            </w:pPr>
            <w:hyperlink w:anchor="_35_SL_Add-On" w:history="1">
              <w:r w:rsidR="00AA6903" w:rsidRPr="00337A7D">
                <w:rPr>
                  <w:rStyle w:val="Hyperlink"/>
                  <w:rFonts w:ascii="Trebuchet MS" w:hAnsi="Trebuchet MS" w:cs="Tahoma"/>
                  <w:b/>
                  <w:sz w:val="13"/>
                  <w:szCs w:val="13"/>
                </w:rPr>
                <w:t>35</w:t>
              </w:r>
            </w:hyperlink>
          </w:p>
        </w:tc>
        <w:tc>
          <w:tcPr>
            <w:tcW w:w="449" w:type="dxa"/>
            <w:tcBorders>
              <w:bottom w:val="single" w:sz="4" w:space="0" w:color="auto"/>
            </w:tcBorders>
            <w:shd w:val="clear" w:color="auto" w:fill="auto"/>
            <w:vAlign w:val="center"/>
          </w:tcPr>
          <w:p w:rsidR="00D15BAA" w:rsidRPr="00A75DF9" w:rsidRDefault="00DB3ECB" w:rsidP="00D15BAA">
            <w:pPr>
              <w:jc w:val="center"/>
              <w:rPr>
                <w:rFonts w:cs="Tahoma"/>
                <w:sz w:val="14"/>
              </w:rPr>
            </w:pPr>
            <w:r w:rsidRPr="00A75DF9">
              <w:rPr>
                <w:rFonts w:cs="Tahoma"/>
                <w:sz w:val="14"/>
              </w:rPr>
              <w:t>04/13</w:t>
            </w:r>
          </w:p>
        </w:tc>
        <w:tc>
          <w:tcPr>
            <w:tcW w:w="359" w:type="dxa"/>
            <w:tcBorders>
              <w:bottom w:val="single" w:sz="4" w:space="0" w:color="auto"/>
              <w:right w:val="single" w:sz="18" w:space="0" w:color="auto"/>
            </w:tcBorders>
            <w:shd w:val="clear" w:color="auto" w:fill="auto"/>
            <w:vAlign w:val="center"/>
          </w:tcPr>
          <w:p w:rsidR="001A63C6" w:rsidRPr="00A75DF9" w:rsidRDefault="001A63C6" w:rsidP="002253A3">
            <w:pPr>
              <w:jc w:val="center"/>
              <w:rPr>
                <w:rFonts w:cs="Tahoma"/>
                <w:sz w:val="13"/>
              </w:rPr>
            </w:pPr>
          </w:p>
        </w:tc>
        <w:tc>
          <w:tcPr>
            <w:tcW w:w="2980" w:type="dxa"/>
            <w:gridSpan w:val="9"/>
            <w:tcBorders>
              <w:left w:val="single" w:sz="18" w:space="0" w:color="auto"/>
              <w:bottom w:val="single" w:sz="4" w:space="0" w:color="auto"/>
              <w:right w:val="single" w:sz="18" w:space="0" w:color="auto"/>
            </w:tcBorders>
            <w:shd w:val="clear" w:color="auto" w:fill="auto"/>
            <w:vAlign w:val="center"/>
          </w:tcPr>
          <w:p w:rsidR="001A63C6" w:rsidRPr="00A75DF9" w:rsidRDefault="001A63C6" w:rsidP="002253A3">
            <w:pPr>
              <w:jc w:val="center"/>
              <w:rPr>
                <w:rFonts w:cs="Tahoma"/>
                <w:sz w:val="14"/>
              </w:rPr>
            </w:pPr>
            <w:r w:rsidRPr="00A75DF9">
              <w:rPr>
                <w:rFonts w:cs="Tahoma"/>
                <w:sz w:val="14"/>
              </w:rPr>
              <w:t>1 punto</w:t>
            </w:r>
          </w:p>
        </w:tc>
        <w:tc>
          <w:tcPr>
            <w:tcW w:w="455" w:type="dxa"/>
            <w:tcBorders>
              <w:left w:val="single" w:sz="18" w:space="0" w:color="auto"/>
              <w:bottom w:val="single" w:sz="4" w:space="0" w:color="auto"/>
            </w:tcBorders>
            <w:shd w:val="clear" w:color="auto" w:fill="auto"/>
            <w:vAlign w:val="center"/>
          </w:tcPr>
          <w:p w:rsidR="001A63C6" w:rsidRPr="00A75DF9" w:rsidRDefault="001A63C6" w:rsidP="002253A3">
            <w:pPr>
              <w:jc w:val="center"/>
              <w:rPr>
                <w:rFonts w:cs="Tahoma"/>
                <w:sz w:val="14"/>
              </w:rPr>
            </w:pPr>
            <w:r w:rsidRPr="00A75DF9">
              <w:rPr>
                <w:rFonts w:cs="Tahoma"/>
                <w:sz w:val="14"/>
              </w:rPr>
              <w:t>1</w:t>
            </w:r>
          </w:p>
        </w:tc>
        <w:tc>
          <w:tcPr>
            <w:tcW w:w="450" w:type="dxa"/>
            <w:tcBorders>
              <w:bottom w:val="single" w:sz="4" w:space="0" w:color="auto"/>
            </w:tcBorders>
            <w:shd w:val="clear" w:color="auto" w:fill="auto"/>
            <w:vAlign w:val="center"/>
          </w:tcPr>
          <w:p w:rsidR="001A63C6" w:rsidRPr="00A75DF9"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A75DF9" w:rsidRDefault="001A63C6" w:rsidP="002253A3">
            <w:pPr>
              <w:jc w:val="center"/>
              <w:rPr>
                <w:rFonts w:cs="Tahoma"/>
                <w:sz w:val="13"/>
              </w:rPr>
            </w:pPr>
          </w:p>
        </w:tc>
        <w:tc>
          <w:tcPr>
            <w:tcW w:w="450" w:type="dxa"/>
            <w:tcBorders>
              <w:left w:val="single" w:sz="18" w:space="0" w:color="auto"/>
              <w:bottom w:val="single" w:sz="4" w:space="0" w:color="auto"/>
            </w:tcBorders>
            <w:shd w:val="clear" w:color="auto" w:fill="auto"/>
            <w:vAlign w:val="center"/>
          </w:tcPr>
          <w:p w:rsidR="001A63C6" w:rsidRPr="00A75DF9" w:rsidRDefault="001A63C6" w:rsidP="002253A3">
            <w:pPr>
              <w:jc w:val="center"/>
              <w:rPr>
                <w:rFonts w:cs="Tahoma"/>
                <w:sz w:val="13"/>
              </w:rPr>
            </w:pPr>
          </w:p>
        </w:tc>
        <w:tc>
          <w:tcPr>
            <w:tcW w:w="450" w:type="dxa"/>
            <w:tcBorders>
              <w:bottom w:val="single" w:sz="4" w:space="0" w:color="auto"/>
              <w:right w:val="single" w:sz="18" w:space="0" w:color="auto"/>
            </w:tcBorders>
            <w:shd w:val="clear" w:color="auto" w:fill="auto"/>
            <w:vAlign w:val="center"/>
          </w:tcPr>
          <w:p w:rsidR="001A63C6" w:rsidRPr="00A75DF9" w:rsidRDefault="001A63C6" w:rsidP="002253A3">
            <w:pPr>
              <w:jc w:val="center"/>
              <w:rPr>
                <w:rFonts w:cs="Tahoma"/>
                <w:sz w:val="14"/>
              </w:rPr>
            </w:pPr>
            <w:r w:rsidRPr="00A75DF9">
              <w:rPr>
                <w:rFonts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75DF9" w:rsidRDefault="001A63C6" w:rsidP="002253A3">
            <w:pPr>
              <w:jc w:val="center"/>
              <w:rPr>
                <w:rFonts w:cs="Tahoma"/>
                <w:sz w:val="14"/>
              </w:rPr>
            </w:pPr>
            <w:r w:rsidRPr="00A75DF9">
              <w:rPr>
                <w:rFonts w:cs="Tahoma"/>
                <w:sz w:val="13"/>
              </w:rPr>
              <w:t>P</w:t>
            </w:r>
          </w:p>
        </w:tc>
        <w:tc>
          <w:tcPr>
            <w:tcW w:w="450" w:type="dxa"/>
            <w:tcBorders>
              <w:bottom w:val="single" w:sz="4" w:space="0" w:color="auto"/>
            </w:tcBorders>
            <w:shd w:val="clear" w:color="auto" w:fill="auto"/>
            <w:vAlign w:val="center"/>
          </w:tcPr>
          <w:p w:rsidR="001A63C6" w:rsidRPr="00A75DF9" w:rsidRDefault="001A63C6" w:rsidP="002253A3">
            <w:pPr>
              <w:jc w:val="center"/>
              <w:rPr>
                <w:rFonts w:cs="Tahoma"/>
                <w:sz w:val="13"/>
              </w:rPr>
            </w:pPr>
          </w:p>
        </w:tc>
        <w:tc>
          <w:tcPr>
            <w:tcW w:w="539" w:type="dxa"/>
            <w:tcBorders>
              <w:bottom w:val="single" w:sz="4" w:space="0" w:color="auto"/>
            </w:tcBorders>
            <w:shd w:val="clear" w:color="auto" w:fill="auto"/>
            <w:vAlign w:val="center"/>
          </w:tcPr>
          <w:p w:rsidR="001A63C6" w:rsidRPr="00A75DF9" w:rsidRDefault="001A63C6" w:rsidP="002253A3">
            <w:pPr>
              <w:jc w:val="center"/>
              <w:rPr>
                <w:rFonts w:cs="Tahoma"/>
                <w:sz w:val="14"/>
              </w:rPr>
            </w:pPr>
            <w:r w:rsidRPr="00A75DF9">
              <w:rPr>
                <w:rFonts w:cs="Tahoma"/>
                <w:sz w:val="13"/>
              </w:rPr>
              <w:t>OL/OV</w:t>
            </w:r>
          </w:p>
        </w:tc>
      </w:tr>
      <w:tr w:rsidR="00B33D0E" w:rsidRPr="00A75DF9" w:rsidTr="008A1262">
        <w:trPr>
          <w:trHeight w:val="64"/>
        </w:trPr>
        <w:tc>
          <w:tcPr>
            <w:tcW w:w="2724" w:type="dxa"/>
            <w:gridSpan w:val="2"/>
            <w:tcBorders>
              <w:bottom w:val="single" w:sz="4" w:space="0" w:color="auto"/>
            </w:tcBorders>
            <w:shd w:val="clear" w:color="auto" w:fill="FABF8F"/>
            <w:vAlign w:val="center"/>
          </w:tcPr>
          <w:p w:rsidR="001A63C6" w:rsidRPr="00A75DF9" w:rsidRDefault="001A63C6" w:rsidP="008B1245">
            <w:pPr>
              <w:pStyle w:val="ProductNames"/>
              <w:spacing w:beforeLines="20" w:before="48" w:afterLines="20" w:after="48"/>
              <w:rPr>
                <w:rFonts w:ascii="Tahoma" w:hAnsi="Tahoma" w:cs="Tahoma"/>
                <w:sz w:val="14"/>
              </w:rPr>
            </w:pPr>
            <w:bookmarkStart w:id="161" w:name="_Toc336337919"/>
            <w:bookmarkStart w:id="162" w:name="_Toc368309937"/>
            <w:r w:rsidRPr="00A75DF9">
              <w:rPr>
                <w:rFonts w:ascii="Tahoma" w:hAnsi="Tahoma" w:cs="Tahoma"/>
                <w:sz w:val="14"/>
              </w:rPr>
              <w:t>BizTalk</w:t>
            </w:r>
            <w:r w:rsidR="009D5D7B" w:rsidRPr="00A75DF9">
              <w:rPr>
                <w:rFonts w:ascii="Tahoma" w:hAnsi="Tahoma" w:cs="Tahoma"/>
                <w:szCs w:val="18"/>
                <w:vertAlign w:val="superscript"/>
              </w:rPr>
              <w:t>®</w:t>
            </w:r>
            <w:r w:rsidRPr="00A75DF9">
              <w:rPr>
                <w:rFonts w:ascii="Tahoma" w:hAnsi="Tahoma" w:cs="Tahoma"/>
                <w:sz w:val="14"/>
              </w:rPr>
              <w:t xml:space="preserve"> Server 2013 Branch Edition</w:t>
            </w:r>
            <w:bookmarkEnd w:id="161"/>
            <w:bookmarkEnd w:id="162"/>
            <w:r w:rsidRPr="00A75DF9">
              <w:rPr>
                <w:rFonts w:ascii="Tahoma" w:hAnsi="Tahoma" w:cs="Tahoma"/>
                <w:sz w:val="14"/>
              </w:rPr>
              <w:t xml:space="preserve"> </w:t>
            </w:r>
          </w:p>
        </w:tc>
        <w:tc>
          <w:tcPr>
            <w:tcW w:w="448" w:type="dxa"/>
            <w:tcBorders>
              <w:bottom w:val="single" w:sz="4" w:space="0" w:color="auto"/>
            </w:tcBorders>
            <w:shd w:val="clear" w:color="auto" w:fill="FABF8F"/>
            <w:vAlign w:val="center"/>
          </w:tcPr>
          <w:p w:rsidR="001A63C6" w:rsidRPr="00337A7D" w:rsidRDefault="00B54770" w:rsidP="009D43FB">
            <w:pPr>
              <w:pStyle w:val="TableText"/>
              <w:widowControl w:val="0"/>
              <w:rPr>
                <w:rStyle w:val="EndnoteReference"/>
                <w:rFonts w:cs="Tahoma"/>
                <w:b w:val="0"/>
                <w:color w:val="0000FF"/>
                <w:sz w:val="13"/>
                <w:szCs w:val="13"/>
                <w:u w:val="single"/>
              </w:rPr>
            </w:pPr>
            <w:hyperlink w:anchor="_29_BizTalk®_Server" w:history="1">
              <w:r w:rsidR="00734B17" w:rsidRPr="00337A7D">
                <w:rPr>
                  <w:rStyle w:val="Hyperlink"/>
                  <w:rFonts w:cs="Tahoma"/>
                  <w:b/>
                  <w:sz w:val="13"/>
                  <w:szCs w:val="13"/>
                </w:rPr>
                <w:t>36</w:t>
              </w:r>
            </w:hyperlink>
            <w:hyperlink w:anchor="Srv_26_BizTalkServerBranch" w:history="1"/>
          </w:p>
        </w:tc>
        <w:tc>
          <w:tcPr>
            <w:tcW w:w="449" w:type="dxa"/>
            <w:tcBorders>
              <w:bottom w:val="single" w:sz="4" w:space="0" w:color="auto"/>
            </w:tcBorders>
            <w:shd w:val="clear" w:color="auto" w:fill="FABF8F"/>
            <w:vAlign w:val="center"/>
          </w:tcPr>
          <w:p w:rsidR="001A63C6" w:rsidRPr="00A75DF9" w:rsidRDefault="00DB3ECB" w:rsidP="001A63C6">
            <w:pPr>
              <w:pStyle w:val="TableText"/>
              <w:widowControl w:val="0"/>
              <w:rPr>
                <w:rFonts w:ascii="Tahoma" w:hAnsi="Tahoma" w:cs="Tahoma"/>
                <w:color w:val="000000"/>
                <w:sz w:val="13"/>
              </w:rPr>
            </w:pPr>
            <w:r w:rsidRPr="00A75DF9">
              <w:rPr>
                <w:rFonts w:ascii="Tahoma" w:hAnsi="Tahoma" w:cs="Tahoma"/>
                <w:color w:val="000000"/>
                <w:sz w:val="13"/>
              </w:rPr>
              <w:t>03/13</w:t>
            </w:r>
          </w:p>
        </w:tc>
        <w:tc>
          <w:tcPr>
            <w:tcW w:w="359"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SRV</w:t>
            </w:r>
          </w:p>
        </w:tc>
        <w:tc>
          <w:tcPr>
            <w:tcW w:w="356"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25</w:t>
            </w: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63</w:t>
            </w:r>
          </w:p>
        </w:tc>
        <w:tc>
          <w:tcPr>
            <w:tcW w:w="45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50</w:t>
            </w:r>
          </w:p>
        </w:tc>
        <w:tc>
          <w:tcPr>
            <w:tcW w:w="450" w:type="dxa"/>
            <w:gridSpan w:val="3"/>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38</w:t>
            </w:r>
          </w:p>
        </w:tc>
        <w:tc>
          <w:tcPr>
            <w:tcW w:w="44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38</w:t>
            </w: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25</w:t>
            </w:r>
          </w:p>
        </w:tc>
        <w:tc>
          <w:tcPr>
            <w:tcW w:w="374"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13</w:t>
            </w:r>
          </w:p>
        </w:tc>
        <w:tc>
          <w:tcPr>
            <w:tcW w:w="455"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25</w:t>
            </w: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A,S,D</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P</w:t>
            </w: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sz w:val="13"/>
              </w:rPr>
              <w:t>A</w:t>
            </w:r>
          </w:p>
        </w:tc>
        <w:tc>
          <w:tcPr>
            <w:tcW w:w="539"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OL/OV</w:t>
            </w:r>
          </w:p>
        </w:tc>
      </w:tr>
      <w:tr w:rsidR="001A63C6" w:rsidRPr="00A75DF9" w:rsidTr="008A1262">
        <w:trPr>
          <w:trHeight w:val="145"/>
        </w:trPr>
        <w:tc>
          <w:tcPr>
            <w:tcW w:w="2724" w:type="dxa"/>
            <w:gridSpan w:val="2"/>
            <w:tcBorders>
              <w:bottom w:val="single" w:sz="4" w:space="0" w:color="auto"/>
            </w:tcBorders>
            <w:shd w:val="clear" w:color="auto" w:fill="auto"/>
            <w:vAlign w:val="center"/>
          </w:tcPr>
          <w:p w:rsidR="001A63C6" w:rsidRPr="00A75DF9" w:rsidRDefault="001A63C6" w:rsidP="008B1245">
            <w:pPr>
              <w:pStyle w:val="ProductNames"/>
              <w:spacing w:beforeLines="20" w:before="48" w:afterLines="20" w:after="48"/>
              <w:rPr>
                <w:rFonts w:ascii="Tahoma" w:hAnsi="Tahoma" w:cs="Tahoma"/>
                <w:sz w:val="14"/>
              </w:rPr>
            </w:pPr>
            <w:bookmarkStart w:id="163" w:name="_Toc336337920"/>
            <w:bookmarkStart w:id="164" w:name="_Toc368309938"/>
            <w:r w:rsidRPr="00A75DF9">
              <w:rPr>
                <w:rFonts w:ascii="Tahoma" w:hAnsi="Tahoma" w:cs="Tahoma"/>
                <w:sz w:val="14"/>
              </w:rPr>
              <w:t>BizTalk</w:t>
            </w:r>
            <w:r w:rsidR="009D5D7B" w:rsidRPr="00A75DF9">
              <w:rPr>
                <w:rFonts w:ascii="Tahoma" w:hAnsi="Tahoma" w:cs="Tahoma"/>
                <w:szCs w:val="18"/>
                <w:vertAlign w:val="superscript"/>
              </w:rPr>
              <w:t>®</w:t>
            </w:r>
            <w:r w:rsidRPr="00A75DF9">
              <w:rPr>
                <w:rFonts w:ascii="Tahoma" w:hAnsi="Tahoma" w:cs="Tahoma"/>
                <w:sz w:val="14"/>
              </w:rPr>
              <w:t xml:space="preserve"> Server 2013 Enterprise Edition</w:t>
            </w:r>
            <w:bookmarkEnd w:id="163"/>
            <w:bookmarkEnd w:id="164"/>
          </w:p>
        </w:tc>
        <w:tc>
          <w:tcPr>
            <w:tcW w:w="448" w:type="dxa"/>
            <w:tcBorders>
              <w:bottom w:val="single" w:sz="4" w:space="0" w:color="auto"/>
            </w:tcBorders>
            <w:shd w:val="clear" w:color="auto" w:fill="auto"/>
            <w:vAlign w:val="center"/>
          </w:tcPr>
          <w:p w:rsidR="001A63C6" w:rsidRPr="00337A7D" w:rsidRDefault="00B54770" w:rsidP="009D43FB">
            <w:pPr>
              <w:pStyle w:val="TableText"/>
              <w:widowControl w:val="0"/>
              <w:rPr>
                <w:rStyle w:val="EndnoteReference"/>
                <w:rFonts w:cs="Tahoma"/>
                <w:b w:val="0"/>
                <w:color w:val="0000FF"/>
                <w:sz w:val="13"/>
                <w:szCs w:val="13"/>
                <w:u w:val="single"/>
              </w:rPr>
            </w:pPr>
            <w:hyperlink w:anchor="_36_BizTalk_Server®" w:history="1">
              <w:r w:rsidR="00734B17" w:rsidRPr="00337A7D">
                <w:rPr>
                  <w:rStyle w:val="Hyperlink"/>
                  <w:rFonts w:cs="Tahoma"/>
                  <w:b/>
                  <w:sz w:val="13"/>
                  <w:szCs w:val="13"/>
                </w:rPr>
                <w:t>37</w:t>
              </w:r>
            </w:hyperlink>
          </w:p>
        </w:tc>
        <w:tc>
          <w:tcPr>
            <w:tcW w:w="449" w:type="dxa"/>
            <w:tcBorders>
              <w:bottom w:val="single" w:sz="4" w:space="0" w:color="auto"/>
            </w:tcBorders>
            <w:shd w:val="clear" w:color="auto" w:fill="auto"/>
            <w:vAlign w:val="center"/>
          </w:tcPr>
          <w:p w:rsidR="001A63C6" w:rsidRPr="00A75DF9" w:rsidRDefault="00DB3ECB" w:rsidP="001A63C6">
            <w:pPr>
              <w:pStyle w:val="TableText"/>
              <w:widowControl w:val="0"/>
              <w:rPr>
                <w:rFonts w:ascii="Tahoma" w:hAnsi="Tahoma" w:cs="Tahoma"/>
                <w:color w:val="000000"/>
                <w:sz w:val="13"/>
              </w:rPr>
            </w:pPr>
            <w:r w:rsidRPr="00A75DF9">
              <w:rPr>
                <w:rFonts w:ascii="Tahoma" w:hAnsi="Tahoma" w:cs="Tahoma"/>
                <w:color w:val="000000"/>
                <w:sz w:val="13"/>
              </w:rPr>
              <w:t>03/13</w:t>
            </w:r>
          </w:p>
        </w:tc>
        <w:tc>
          <w:tcPr>
            <w:tcW w:w="359"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SRV</w:t>
            </w:r>
          </w:p>
        </w:tc>
        <w:tc>
          <w:tcPr>
            <w:tcW w:w="356"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200</w:t>
            </w: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500</w:t>
            </w:r>
          </w:p>
        </w:tc>
        <w:tc>
          <w:tcPr>
            <w:tcW w:w="455"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400</w:t>
            </w:r>
          </w:p>
        </w:tc>
        <w:tc>
          <w:tcPr>
            <w:tcW w:w="450" w:type="dxa"/>
            <w:gridSpan w:val="3"/>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300</w:t>
            </w:r>
          </w:p>
        </w:tc>
        <w:tc>
          <w:tcPr>
            <w:tcW w:w="445"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300</w:t>
            </w: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200</w:t>
            </w:r>
          </w:p>
        </w:tc>
        <w:tc>
          <w:tcPr>
            <w:tcW w:w="374"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100</w:t>
            </w:r>
          </w:p>
        </w:tc>
        <w:tc>
          <w:tcPr>
            <w:tcW w:w="455"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200</w:t>
            </w: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400</w:t>
            </w: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200</w:t>
            </w:r>
          </w:p>
        </w:tc>
        <w:tc>
          <w:tcPr>
            <w:tcW w:w="450"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200</w:t>
            </w: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A,S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P</w:t>
            </w: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sz w:val="13"/>
              </w:rPr>
              <w:t>A</w:t>
            </w:r>
          </w:p>
        </w:tc>
        <w:tc>
          <w:tcPr>
            <w:tcW w:w="539"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OL/OV</w:t>
            </w:r>
          </w:p>
        </w:tc>
      </w:tr>
      <w:tr w:rsidR="002B327C" w:rsidRPr="00A75DF9" w:rsidTr="008A1262">
        <w:trPr>
          <w:trHeight w:val="145"/>
        </w:trPr>
        <w:tc>
          <w:tcPr>
            <w:tcW w:w="2724" w:type="dxa"/>
            <w:gridSpan w:val="2"/>
            <w:tcBorders>
              <w:bottom w:val="single" w:sz="4" w:space="0" w:color="auto"/>
            </w:tcBorders>
            <w:shd w:val="clear" w:color="auto" w:fill="FABF8F"/>
            <w:vAlign w:val="center"/>
          </w:tcPr>
          <w:p w:rsidR="002B327C" w:rsidRPr="00A75DF9" w:rsidRDefault="002B327C" w:rsidP="008B1245">
            <w:pPr>
              <w:pStyle w:val="ProductNames"/>
              <w:spacing w:beforeLines="20" w:before="48" w:afterLines="20" w:after="48"/>
              <w:rPr>
                <w:rFonts w:ascii="Tahoma" w:hAnsi="Tahoma" w:cs="Tahoma"/>
                <w:sz w:val="14"/>
              </w:rPr>
            </w:pPr>
            <w:bookmarkStart w:id="165" w:name="_Toc368309939"/>
            <w:r w:rsidRPr="00A75DF9">
              <w:rPr>
                <w:rFonts w:ascii="Tahoma" w:hAnsi="Tahoma" w:cs="Tahoma"/>
                <w:sz w:val="14"/>
              </w:rPr>
              <w:t>BizTalk</w:t>
            </w:r>
            <w:r w:rsidR="009D5D7B" w:rsidRPr="00A75DF9">
              <w:rPr>
                <w:rFonts w:ascii="Tahoma" w:hAnsi="Tahoma" w:cs="Tahoma"/>
                <w:szCs w:val="18"/>
                <w:vertAlign w:val="superscript"/>
              </w:rPr>
              <w:t>®</w:t>
            </w:r>
            <w:r w:rsidRPr="00A75DF9">
              <w:rPr>
                <w:rFonts w:ascii="Tahoma" w:hAnsi="Tahoma" w:cs="Tahoma"/>
                <w:sz w:val="14"/>
              </w:rPr>
              <w:t xml:space="preserve"> Server 2013 Branch IDC</w:t>
            </w:r>
            <w:bookmarkEnd w:id="165"/>
          </w:p>
        </w:tc>
        <w:tc>
          <w:tcPr>
            <w:tcW w:w="448" w:type="dxa"/>
            <w:tcBorders>
              <w:bottom w:val="single" w:sz="4" w:space="0" w:color="auto"/>
            </w:tcBorders>
            <w:shd w:val="clear" w:color="auto" w:fill="FABF8F"/>
            <w:vAlign w:val="center"/>
          </w:tcPr>
          <w:p w:rsidR="002B327C" w:rsidRPr="00337A7D" w:rsidRDefault="002B327C" w:rsidP="001A63C6">
            <w:pPr>
              <w:pStyle w:val="TableText"/>
              <w:widowControl w:val="0"/>
              <w:rPr>
                <w:rFonts w:cs="Tahoma"/>
              </w:rPr>
            </w:pPr>
          </w:p>
        </w:tc>
        <w:tc>
          <w:tcPr>
            <w:tcW w:w="449" w:type="dxa"/>
            <w:tcBorders>
              <w:bottom w:val="single" w:sz="4" w:space="0" w:color="auto"/>
            </w:tcBorders>
            <w:shd w:val="clear" w:color="auto" w:fill="FABF8F"/>
            <w:vAlign w:val="center"/>
          </w:tcPr>
          <w:p w:rsidR="002B327C" w:rsidRPr="00A75DF9" w:rsidDel="004D199A" w:rsidRDefault="00DB3ECB" w:rsidP="001A63C6">
            <w:pPr>
              <w:pStyle w:val="TableText"/>
              <w:widowControl w:val="0"/>
              <w:rPr>
                <w:rFonts w:ascii="Tahoma" w:hAnsi="Tahoma" w:cs="Tahoma"/>
                <w:color w:val="000000"/>
                <w:sz w:val="13"/>
              </w:rPr>
            </w:pPr>
            <w:r w:rsidRPr="00A75DF9">
              <w:rPr>
                <w:rFonts w:ascii="Tahoma" w:hAnsi="Tahoma" w:cs="Tahoma"/>
                <w:color w:val="000000"/>
                <w:sz w:val="13"/>
              </w:rPr>
              <w:t>03/13</w:t>
            </w:r>
          </w:p>
        </w:tc>
        <w:tc>
          <w:tcPr>
            <w:tcW w:w="359" w:type="dxa"/>
            <w:tcBorders>
              <w:bottom w:val="single" w:sz="4" w:space="0" w:color="auto"/>
              <w:right w:val="single" w:sz="18" w:space="0" w:color="auto"/>
            </w:tcBorders>
            <w:shd w:val="clear" w:color="auto" w:fill="FABF8F"/>
            <w:vAlign w:val="center"/>
          </w:tcPr>
          <w:p w:rsidR="002B327C" w:rsidRPr="00A75DF9" w:rsidRDefault="002B327C" w:rsidP="001A63C6">
            <w:pPr>
              <w:pStyle w:val="TableText"/>
              <w:widowControl w:val="0"/>
              <w:rPr>
                <w:rFonts w:ascii="Tahoma" w:hAnsi="Tahoma" w:cs="Tahoma"/>
                <w:color w:val="000000"/>
                <w:sz w:val="13"/>
              </w:rPr>
            </w:pPr>
          </w:p>
        </w:tc>
        <w:tc>
          <w:tcPr>
            <w:tcW w:w="356" w:type="dxa"/>
            <w:tcBorders>
              <w:left w:val="single" w:sz="18" w:space="0" w:color="auto"/>
              <w:bottom w:val="single" w:sz="4" w:space="0" w:color="auto"/>
            </w:tcBorders>
            <w:shd w:val="clear" w:color="auto" w:fill="FABF8F"/>
            <w:vAlign w:val="center"/>
          </w:tcPr>
          <w:p w:rsidR="002B327C" w:rsidRPr="00A75DF9"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A75DF9" w:rsidRDefault="002B327C" w:rsidP="001A63C6">
            <w:pPr>
              <w:pStyle w:val="TableText"/>
              <w:widowControl w:val="0"/>
              <w:rPr>
                <w:rFonts w:ascii="Tahoma" w:hAnsi="Tahoma" w:cs="Tahoma"/>
                <w:sz w:val="13"/>
              </w:rPr>
            </w:pPr>
          </w:p>
        </w:tc>
        <w:tc>
          <w:tcPr>
            <w:tcW w:w="455" w:type="dxa"/>
            <w:tcBorders>
              <w:bottom w:val="single" w:sz="4" w:space="0" w:color="auto"/>
            </w:tcBorders>
            <w:shd w:val="clear" w:color="auto" w:fill="FABF8F"/>
            <w:vAlign w:val="center"/>
          </w:tcPr>
          <w:p w:rsidR="002B327C" w:rsidRPr="00A75DF9" w:rsidRDefault="002B327C"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2B327C" w:rsidRPr="00A75DF9" w:rsidRDefault="002B327C" w:rsidP="001A63C6">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2B327C" w:rsidRPr="00A75DF9"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A75DF9" w:rsidRDefault="002B327C" w:rsidP="001A63C6">
            <w:pPr>
              <w:pStyle w:val="TableText"/>
              <w:widowControl w:val="0"/>
              <w:rPr>
                <w:rFonts w:ascii="Tahoma" w:hAnsi="Tahoma" w:cs="Tahoma"/>
                <w:sz w:val="13"/>
              </w:rPr>
            </w:pPr>
          </w:p>
        </w:tc>
        <w:tc>
          <w:tcPr>
            <w:tcW w:w="374" w:type="dxa"/>
            <w:tcBorders>
              <w:bottom w:val="single" w:sz="4" w:space="0" w:color="auto"/>
              <w:right w:val="single" w:sz="18" w:space="0" w:color="auto"/>
            </w:tcBorders>
            <w:shd w:val="clear" w:color="auto" w:fill="FABF8F"/>
            <w:vAlign w:val="center"/>
          </w:tcPr>
          <w:p w:rsidR="002B327C" w:rsidRPr="00A75DF9" w:rsidRDefault="002B327C" w:rsidP="001A63C6">
            <w:pPr>
              <w:pStyle w:val="TableText"/>
              <w:widowControl w:val="0"/>
              <w:rPr>
                <w:rFonts w:ascii="Tahoma" w:hAnsi="Tahoma" w:cs="Tahoma"/>
                <w:sz w:val="13"/>
              </w:rPr>
            </w:pPr>
          </w:p>
        </w:tc>
        <w:tc>
          <w:tcPr>
            <w:tcW w:w="455" w:type="dxa"/>
            <w:tcBorders>
              <w:left w:val="single" w:sz="18" w:space="0" w:color="auto"/>
              <w:bottom w:val="single" w:sz="4" w:space="0" w:color="auto"/>
            </w:tcBorders>
            <w:shd w:val="clear" w:color="auto" w:fill="FABF8F"/>
            <w:vAlign w:val="center"/>
          </w:tcPr>
          <w:p w:rsidR="002B327C" w:rsidRPr="00A75DF9"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A75DF9" w:rsidRDefault="002B327C"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2B327C" w:rsidRPr="00A75DF9" w:rsidRDefault="002B327C"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2B327C" w:rsidRPr="00A75DF9" w:rsidRDefault="002B327C"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2B327C" w:rsidRPr="00A75DF9" w:rsidRDefault="002B327C" w:rsidP="001A63C6">
            <w:pPr>
              <w:pStyle w:val="TableText"/>
              <w:widowControl w:val="0"/>
              <w:rPr>
                <w:rFonts w:ascii="Tahoma" w:hAnsi="Tahoma" w:cs="Tahoma"/>
                <w:sz w:val="13"/>
              </w:rPr>
            </w:pPr>
            <w:r w:rsidRPr="00A75DF9">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2B327C" w:rsidRPr="00A75DF9" w:rsidRDefault="002B327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2B327C" w:rsidRPr="00A75DF9" w:rsidRDefault="002B327C" w:rsidP="001A63C6">
            <w:pPr>
              <w:pStyle w:val="TableText"/>
              <w:widowControl w:val="0"/>
              <w:rPr>
                <w:rFonts w:ascii="Tahoma" w:hAnsi="Tahoma" w:cs="Tahoma"/>
                <w:sz w:val="13"/>
              </w:rPr>
            </w:pPr>
          </w:p>
        </w:tc>
        <w:tc>
          <w:tcPr>
            <w:tcW w:w="539" w:type="dxa"/>
            <w:tcBorders>
              <w:bottom w:val="single" w:sz="4" w:space="0" w:color="auto"/>
            </w:tcBorders>
            <w:shd w:val="clear" w:color="auto" w:fill="FABF8F"/>
            <w:vAlign w:val="center"/>
          </w:tcPr>
          <w:p w:rsidR="002B327C" w:rsidRPr="00A75DF9" w:rsidRDefault="002B327C" w:rsidP="001A63C6">
            <w:pPr>
              <w:pStyle w:val="TableText"/>
              <w:widowControl w:val="0"/>
              <w:rPr>
                <w:rFonts w:ascii="Tahoma" w:hAnsi="Tahoma" w:cs="Tahoma"/>
                <w:color w:val="000000"/>
                <w:sz w:val="13"/>
              </w:rPr>
            </w:pPr>
          </w:p>
        </w:tc>
      </w:tr>
      <w:tr w:rsidR="001A63C6" w:rsidRPr="00A75DF9" w:rsidTr="008A1262">
        <w:trPr>
          <w:trHeight w:val="145"/>
        </w:trPr>
        <w:tc>
          <w:tcPr>
            <w:tcW w:w="2724" w:type="dxa"/>
            <w:gridSpan w:val="2"/>
            <w:tcBorders>
              <w:bottom w:val="single" w:sz="4" w:space="0" w:color="auto"/>
            </w:tcBorders>
            <w:shd w:val="clear" w:color="auto" w:fill="auto"/>
            <w:vAlign w:val="center"/>
          </w:tcPr>
          <w:p w:rsidR="001A63C6" w:rsidRPr="00A75DF9" w:rsidRDefault="001A63C6" w:rsidP="008B1245">
            <w:pPr>
              <w:pStyle w:val="ProductNames"/>
              <w:spacing w:beforeLines="20" w:before="48" w:afterLines="20" w:after="48"/>
              <w:rPr>
                <w:rFonts w:ascii="Tahoma" w:hAnsi="Tahoma" w:cs="Tahoma"/>
                <w:sz w:val="14"/>
              </w:rPr>
            </w:pPr>
            <w:bookmarkStart w:id="166" w:name="_Toc336337922"/>
            <w:bookmarkStart w:id="167" w:name="_Toc368309940"/>
            <w:r w:rsidRPr="00A75DF9">
              <w:rPr>
                <w:rFonts w:ascii="Tahoma" w:hAnsi="Tahoma" w:cs="Tahoma"/>
                <w:sz w:val="14"/>
              </w:rPr>
              <w:t>BizTalk</w:t>
            </w:r>
            <w:r w:rsidR="009D5D7B" w:rsidRPr="00A75DF9">
              <w:rPr>
                <w:rFonts w:ascii="Tahoma" w:hAnsi="Tahoma" w:cs="Tahoma"/>
                <w:szCs w:val="18"/>
                <w:vertAlign w:val="superscript"/>
              </w:rPr>
              <w:t>®</w:t>
            </w:r>
            <w:r w:rsidRPr="00A75DF9">
              <w:rPr>
                <w:rFonts w:ascii="Tahoma" w:hAnsi="Tahoma" w:cs="Tahoma"/>
                <w:sz w:val="14"/>
              </w:rPr>
              <w:t xml:space="preserve"> Server 2013 Standard Edition</w:t>
            </w:r>
            <w:bookmarkEnd w:id="166"/>
            <w:bookmarkEnd w:id="167"/>
            <w:r w:rsidRPr="00A75DF9">
              <w:rPr>
                <w:rFonts w:ascii="Tahoma" w:hAnsi="Tahoma" w:cs="Tahoma"/>
                <w:sz w:val="14"/>
              </w:rPr>
              <w:t xml:space="preserve"> </w:t>
            </w:r>
          </w:p>
        </w:tc>
        <w:tc>
          <w:tcPr>
            <w:tcW w:w="448" w:type="dxa"/>
            <w:tcBorders>
              <w:bottom w:val="single" w:sz="4" w:space="0" w:color="auto"/>
            </w:tcBorders>
            <w:shd w:val="clear" w:color="auto" w:fill="auto"/>
            <w:vAlign w:val="center"/>
          </w:tcPr>
          <w:p w:rsidR="001A63C6" w:rsidRPr="00337A7D" w:rsidRDefault="00B54770" w:rsidP="009D43FB">
            <w:pPr>
              <w:pStyle w:val="TableText"/>
              <w:widowControl w:val="0"/>
              <w:rPr>
                <w:rStyle w:val="EndnoteReference"/>
                <w:rFonts w:cs="Tahoma"/>
                <w:b w:val="0"/>
                <w:color w:val="0000FF"/>
                <w:sz w:val="13"/>
                <w:szCs w:val="13"/>
                <w:u w:val="single"/>
              </w:rPr>
            </w:pPr>
            <w:hyperlink w:anchor="_37_BizTalk_Server®" w:history="1">
              <w:r w:rsidR="00734B17" w:rsidRPr="00337A7D">
                <w:rPr>
                  <w:rStyle w:val="Hyperlink"/>
                  <w:rFonts w:cs="Tahoma"/>
                  <w:b/>
                  <w:sz w:val="13"/>
                  <w:szCs w:val="13"/>
                </w:rPr>
                <w:t>38</w:t>
              </w:r>
            </w:hyperlink>
          </w:p>
        </w:tc>
        <w:tc>
          <w:tcPr>
            <w:tcW w:w="449" w:type="dxa"/>
            <w:tcBorders>
              <w:bottom w:val="single" w:sz="4" w:space="0" w:color="auto"/>
            </w:tcBorders>
            <w:shd w:val="clear" w:color="auto" w:fill="auto"/>
            <w:vAlign w:val="center"/>
          </w:tcPr>
          <w:p w:rsidR="001A63C6" w:rsidRPr="00A75DF9" w:rsidRDefault="00DB3ECB" w:rsidP="001A63C6">
            <w:pPr>
              <w:pStyle w:val="TableText"/>
              <w:widowControl w:val="0"/>
              <w:rPr>
                <w:rFonts w:ascii="Tahoma" w:hAnsi="Tahoma" w:cs="Tahoma"/>
                <w:color w:val="000000"/>
                <w:sz w:val="13"/>
              </w:rPr>
            </w:pPr>
            <w:r w:rsidRPr="00A75DF9">
              <w:rPr>
                <w:rFonts w:ascii="Tahoma" w:hAnsi="Tahoma" w:cs="Tahoma"/>
                <w:color w:val="000000"/>
                <w:sz w:val="13"/>
              </w:rPr>
              <w:t>03/13</w:t>
            </w:r>
          </w:p>
        </w:tc>
        <w:tc>
          <w:tcPr>
            <w:tcW w:w="359"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SRV</w:t>
            </w:r>
          </w:p>
        </w:tc>
        <w:tc>
          <w:tcPr>
            <w:tcW w:w="356" w:type="dxa"/>
            <w:tcBorders>
              <w:left w:val="single" w:sz="18" w:space="0" w:color="auto"/>
              <w:bottom w:val="single" w:sz="4" w:space="0" w:color="auto"/>
            </w:tcBorders>
            <w:shd w:val="clear" w:color="auto" w:fill="auto"/>
            <w:vAlign w:val="center"/>
          </w:tcPr>
          <w:p w:rsidR="001A63C6" w:rsidRPr="00A75DF9" w:rsidRDefault="004D199A" w:rsidP="001A63C6">
            <w:pPr>
              <w:pStyle w:val="TableText"/>
              <w:widowControl w:val="0"/>
              <w:rPr>
                <w:rFonts w:ascii="Tahoma" w:hAnsi="Tahoma" w:cs="Tahoma"/>
                <w:sz w:val="13"/>
              </w:rPr>
            </w:pPr>
            <w:r w:rsidRPr="00A75DF9">
              <w:rPr>
                <w:rFonts w:ascii="Tahoma" w:hAnsi="Tahoma" w:cs="Tahoma"/>
                <w:sz w:val="13"/>
              </w:rPr>
              <w:t>50</w:t>
            </w:r>
          </w:p>
        </w:tc>
        <w:tc>
          <w:tcPr>
            <w:tcW w:w="450" w:type="dxa"/>
            <w:tcBorders>
              <w:bottom w:val="single" w:sz="4" w:space="0" w:color="auto"/>
            </w:tcBorders>
            <w:shd w:val="clear" w:color="auto" w:fill="auto"/>
            <w:vAlign w:val="center"/>
          </w:tcPr>
          <w:p w:rsidR="001A63C6" w:rsidRPr="00A75DF9" w:rsidRDefault="004D199A" w:rsidP="001A63C6">
            <w:pPr>
              <w:pStyle w:val="TableText"/>
              <w:widowControl w:val="0"/>
              <w:rPr>
                <w:rFonts w:ascii="Tahoma" w:hAnsi="Tahoma" w:cs="Tahoma"/>
                <w:sz w:val="13"/>
              </w:rPr>
            </w:pPr>
            <w:r w:rsidRPr="00A75DF9">
              <w:rPr>
                <w:rFonts w:ascii="Tahoma" w:hAnsi="Tahoma" w:cs="Tahoma"/>
                <w:sz w:val="13"/>
              </w:rPr>
              <w:t>125</w:t>
            </w:r>
          </w:p>
        </w:tc>
        <w:tc>
          <w:tcPr>
            <w:tcW w:w="455" w:type="dxa"/>
            <w:tcBorders>
              <w:bottom w:val="single" w:sz="4" w:space="0" w:color="auto"/>
            </w:tcBorders>
            <w:shd w:val="clear" w:color="auto" w:fill="auto"/>
            <w:vAlign w:val="center"/>
          </w:tcPr>
          <w:p w:rsidR="001A63C6" w:rsidRPr="00A75DF9" w:rsidRDefault="004D199A" w:rsidP="001A63C6">
            <w:pPr>
              <w:pStyle w:val="TableText"/>
              <w:widowControl w:val="0"/>
              <w:rPr>
                <w:rFonts w:ascii="Tahoma" w:hAnsi="Tahoma" w:cs="Tahoma"/>
                <w:sz w:val="13"/>
              </w:rPr>
            </w:pPr>
            <w:r w:rsidRPr="00A75DF9">
              <w:rPr>
                <w:rFonts w:ascii="Tahoma" w:hAnsi="Tahoma" w:cs="Tahoma"/>
                <w:sz w:val="13"/>
              </w:rPr>
              <w:t>100</w:t>
            </w:r>
          </w:p>
        </w:tc>
        <w:tc>
          <w:tcPr>
            <w:tcW w:w="450" w:type="dxa"/>
            <w:gridSpan w:val="3"/>
            <w:tcBorders>
              <w:bottom w:val="single" w:sz="4" w:space="0" w:color="auto"/>
            </w:tcBorders>
            <w:shd w:val="clear" w:color="auto" w:fill="auto"/>
            <w:vAlign w:val="center"/>
          </w:tcPr>
          <w:p w:rsidR="001A63C6" w:rsidRPr="00A75DF9" w:rsidRDefault="004D199A" w:rsidP="001A63C6">
            <w:pPr>
              <w:pStyle w:val="TableText"/>
              <w:widowControl w:val="0"/>
              <w:rPr>
                <w:rFonts w:ascii="Tahoma" w:hAnsi="Tahoma" w:cs="Tahoma"/>
                <w:sz w:val="13"/>
              </w:rPr>
            </w:pPr>
            <w:r w:rsidRPr="00A75DF9">
              <w:rPr>
                <w:rFonts w:ascii="Tahoma" w:hAnsi="Tahoma" w:cs="Tahoma"/>
                <w:sz w:val="13"/>
              </w:rPr>
              <w:t>75</w:t>
            </w:r>
          </w:p>
        </w:tc>
        <w:tc>
          <w:tcPr>
            <w:tcW w:w="445" w:type="dxa"/>
            <w:tcBorders>
              <w:bottom w:val="single" w:sz="4" w:space="0" w:color="auto"/>
            </w:tcBorders>
            <w:shd w:val="clear" w:color="auto" w:fill="auto"/>
            <w:vAlign w:val="center"/>
          </w:tcPr>
          <w:p w:rsidR="001A63C6" w:rsidRPr="00A75DF9" w:rsidRDefault="004D199A" w:rsidP="001A63C6">
            <w:pPr>
              <w:pStyle w:val="TableText"/>
              <w:widowControl w:val="0"/>
              <w:rPr>
                <w:rFonts w:ascii="Tahoma" w:hAnsi="Tahoma" w:cs="Tahoma"/>
                <w:sz w:val="13"/>
              </w:rPr>
            </w:pPr>
            <w:r w:rsidRPr="00A75DF9">
              <w:rPr>
                <w:rFonts w:ascii="Tahoma" w:hAnsi="Tahoma" w:cs="Tahoma"/>
                <w:sz w:val="13"/>
              </w:rPr>
              <w:t>75</w:t>
            </w:r>
          </w:p>
        </w:tc>
        <w:tc>
          <w:tcPr>
            <w:tcW w:w="450" w:type="dxa"/>
            <w:tcBorders>
              <w:bottom w:val="single" w:sz="4" w:space="0" w:color="auto"/>
            </w:tcBorders>
            <w:shd w:val="clear" w:color="auto" w:fill="auto"/>
            <w:vAlign w:val="center"/>
          </w:tcPr>
          <w:p w:rsidR="001A63C6" w:rsidRPr="00A75DF9" w:rsidRDefault="004D199A" w:rsidP="001A63C6">
            <w:pPr>
              <w:pStyle w:val="TableText"/>
              <w:widowControl w:val="0"/>
              <w:rPr>
                <w:rFonts w:ascii="Tahoma" w:hAnsi="Tahoma" w:cs="Tahoma"/>
                <w:sz w:val="13"/>
              </w:rPr>
            </w:pPr>
            <w:r w:rsidRPr="00A75DF9">
              <w:rPr>
                <w:rFonts w:ascii="Tahoma" w:hAnsi="Tahoma" w:cs="Tahoma"/>
                <w:sz w:val="13"/>
              </w:rPr>
              <w:t>50</w:t>
            </w:r>
          </w:p>
        </w:tc>
        <w:tc>
          <w:tcPr>
            <w:tcW w:w="374" w:type="dxa"/>
            <w:tcBorders>
              <w:bottom w:val="single" w:sz="4" w:space="0" w:color="auto"/>
              <w:right w:val="single" w:sz="18" w:space="0" w:color="auto"/>
            </w:tcBorders>
            <w:shd w:val="clear" w:color="auto" w:fill="auto"/>
            <w:vAlign w:val="center"/>
          </w:tcPr>
          <w:p w:rsidR="001A63C6" w:rsidRPr="00A75DF9" w:rsidRDefault="004D199A" w:rsidP="001A63C6">
            <w:pPr>
              <w:pStyle w:val="TableText"/>
              <w:widowControl w:val="0"/>
              <w:rPr>
                <w:rFonts w:ascii="Tahoma" w:hAnsi="Tahoma" w:cs="Tahoma"/>
                <w:sz w:val="13"/>
              </w:rPr>
            </w:pPr>
            <w:r w:rsidRPr="00A75DF9">
              <w:rPr>
                <w:rFonts w:ascii="Tahoma" w:hAnsi="Tahoma" w:cs="Tahoma"/>
                <w:sz w:val="13"/>
              </w:rPr>
              <w:t>25</w:t>
            </w:r>
          </w:p>
        </w:tc>
        <w:tc>
          <w:tcPr>
            <w:tcW w:w="455" w:type="dxa"/>
            <w:tcBorders>
              <w:left w:val="single" w:sz="18" w:space="0" w:color="auto"/>
              <w:bottom w:val="single" w:sz="4" w:space="0" w:color="auto"/>
            </w:tcBorders>
            <w:shd w:val="clear" w:color="auto" w:fill="auto"/>
            <w:vAlign w:val="center"/>
          </w:tcPr>
          <w:p w:rsidR="001A63C6" w:rsidRPr="00A75DF9" w:rsidRDefault="004D199A" w:rsidP="001A63C6">
            <w:pPr>
              <w:pStyle w:val="TableText"/>
              <w:widowControl w:val="0"/>
              <w:rPr>
                <w:rFonts w:ascii="Tahoma" w:hAnsi="Tahoma" w:cs="Tahoma"/>
                <w:sz w:val="13"/>
              </w:rPr>
            </w:pPr>
            <w:r w:rsidRPr="00A75DF9">
              <w:rPr>
                <w:rFonts w:ascii="Tahoma" w:hAnsi="Tahoma" w:cs="Tahoma"/>
                <w:sz w:val="13"/>
              </w:rPr>
              <w:t>50</w:t>
            </w:r>
          </w:p>
        </w:tc>
        <w:tc>
          <w:tcPr>
            <w:tcW w:w="450" w:type="dxa"/>
            <w:tcBorders>
              <w:bottom w:val="single" w:sz="4" w:space="0" w:color="auto"/>
            </w:tcBorders>
            <w:shd w:val="clear" w:color="auto" w:fill="auto"/>
            <w:vAlign w:val="center"/>
          </w:tcPr>
          <w:p w:rsidR="001A63C6" w:rsidRPr="00A75DF9" w:rsidRDefault="004D199A" w:rsidP="001A63C6">
            <w:pPr>
              <w:pStyle w:val="TableText"/>
              <w:widowControl w:val="0"/>
              <w:rPr>
                <w:rFonts w:ascii="Tahoma" w:hAnsi="Tahoma" w:cs="Tahoma"/>
                <w:sz w:val="13"/>
              </w:rPr>
            </w:pPr>
            <w:r w:rsidRPr="00A75DF9">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A75DF9" w:rsidRDefault="004D199A" w:rsidP="001A63C6">
            <w:pPr>
              <w:pStyle w:val="TableText"/>
              <w:widowControl w:val="0"/>
              <w:rPr>
                <w:rFonts w:ascii="Tahoma" w:hAnsi="Tahoma" w:cs="Tahoma"/>
                <w:sz w:val="13"/>
              </w:rPr>
            </w:pPr>
            <w:r w:rsidRPr="00A75DF9">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A75DF9" w:rsidRDefault="004D199A" w:rsidP="001A63C6">
            <w:pPr>
              <w:pStyle w:val="TableText"/>
              <w:widowControl w:val="0"/>
              <w:rPr>
                <w:rFonts w:ascii="Tahoma" w:hAnsi="Tahoma" w:cs="Tahoma"/>
                <w:sz w:val="13"/>
              </w:rPr>
            </w:pPr>
            <w:r w:rsidRPr="00A75DF9">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A,S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P</w:t>
            </w: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sz w:val="13"/>
              </w:rPr>
              <w:t>A</w:t>
            </w:r>
          </w:p>
        </w:tc>
        <w:tc>
          <w:tcPr>
            <w:tcW w:w="539"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OL/OV</w:t>
            </w:r>
          </w:p>
        </w:tc>
      </w:tr>
      <w:tr w:rsidR="00B33D0E" w:rsidRPr="00A75DF9" w:rsidDel="00E7100E" w:rsidTr="008A1262">
        <w:trPr>
          <w:trHeight w:val="145"/>
        </w:trPr>
        <w:tc>
          <w:tcPr>
            <w:tcW w:w="2724" w:type="dxa"/>
            <w:gridSpan w:val="2"/>
            <w:tcBorders>
              <w:bottom w:val="single" w:sz="4" w:space="0" w:color="auto"/>
            </w:tcBorders>
            <w:shd w:val="clear" w:color="auto" w:fill="FABF8F"/>
            <w:vAlign w:val="center"/>
          </w:tcPr>
          <w:p w:rsidR="002B327C" w:rsidRPr="00A75DF9" w:rsidDel="002B327C" w:rsidRDefault="002B327C" w:rsidP="008B1245">
            <w:pPr>
              <w:pStyle w:val="Heading2"/>
              <w:spacing w:beforeLines="20" w:before="48" w:afterLines="20" w:after="48"/>
              <w:ind w:left="0"/>
              <w:rPr>
                <w:rFonts w:ascii="Tahoma" w:hAnsi="Tahoma" w:cs="Tahoma"/>
                <w:b w:val="0"/>
                <w:sz w:val="14"/>
              </w:rPr>
            </w:pPr>
            <w:bookmarkStart w:id="168" w:name="_Toc368309941"/>
            <w:r w:rsidRPr="00A75DF9">
              <w:rPr>
                <w:rFonts w:ascii="Tahoma" w:hAnsi="Tahoma" w:cs="Tahoma"/>
                <w:b w:val="0"/>
                <w:sz w:val="14"/>
              </w:rPr>
              <w:t>BizTalk</w:t>
            </w:r>
            <w:r w:rsidR="009D5D7B" w:rsidRPr="00A75DF9">
              <w:rPr>
                <w:rFonts w:ascii="Tahoma" w:hAnsi="Tahoma" w:cs="Tahoma"/>
                <w:b w:val="0"/>
                <w:sz w:val="14"/>
                <w:vertAlign w:val="superscript"/>
              </w:rPr>
              <w:t>®</w:t>
            </w:r>
            <w:r w:rsidRPr="00A75DF9">
              <w:rPr>
                <w:rFonts w:ascii="Tahoma" w:hAnsi="Tahoma" w:cs="Tahoma"/>
                <w:b w:val="0"/>
                <w:sz w:val="14"/>
              </w:rPr>
              <w:t xml:space="preserve"> Server 2013 Standard Edition IDC</w:t>
            </w:r>
            <w:bookmarkEnd w:id="168"/>
          </w:p>
        </w:tc>
        <w:tc>
          <w:tcPr>
            <w:tcW w:w="448" w:type="dxa"/>
            <w:tcBorders>
              <w:bottom w:val="single" w:sz="4" w:space="0" w:color="auto"/>
            </w:tcBorders>
            <w:shd w:val="clear" w:color="auto" w:fill="FABF8F"/>
            <w:vAlign w:val="center"/>
          </w:tcPr>
          <w:p w:rsidR="002B327C" w:rsidRPr="00337A7D" w:rsidDel="00E7100E" w:rsidRDefault="002B327C" w:rsidP="002253A3">
            <w:pPr>
              <w:jc w:val="center"/>
              <w:rPr>
                <w:rFonts w:ascii="Trebuchet MS" w:hAnsi="Trebuchet MS" w:cs="Tahoma"/>
                <w:sz w:val="13"/>
                <w:szCs w:val="13"/>
              </w:rPr>
            </w:pPr>
          </w:p>
        </w:tc>
        <w:tc>
          <w:tcPr>
            <w:tcW w:w="449" w:type="dxa"/>
            <w:tcBorders>
              <w:bottom w:val="single" w:sz="4" w:space="0" w:color="auto"/>
            </w:tcBorders>
            <w:shd w:val="clear" w:color="auto" w:fill="FABF8F"/>
            <w:vAlign w:val="center"/>
          </w:tcPr>
          <w:p w:rsidR="002B327C" w:rsidRPr="00A75DF9" w:rsidDel="00A53269" w:rsidRDefault="00DB3ECB" w:rsidP="002253A3">
            <w:pPr>
              <w:jc w:val="center"/>
              <w:rPr>
                <w:rFonts w:cs="Tahoma"/>
                <w:color w:val="000000"/>
                <w:sz w:val="13"/>
                <w:szCs w:val="13"/>
              </w:rPr>
            </w:pPr>
            <w:r w:rsidRPr="00A75DF9">
              <w:rPr>
                <w:rFonts w:cs="Tahoma"/>
                <w:color w:val="000000"/>
                <w:sz w:val="13"/>
                <w:szCs w:val="13"/>
              </w:rPr>
              <w:t>03/13</w:t>
            </w:r>
          </w:p>
        </w:tc>
        <w:tc>
          <w:tcPr>
            <w:tcW w:w="359" w:type="dxa"/>
            <w:tcBorders>
              <w:bottom w:val="single" w:sz="4" w:space="0" w:color="auto"/>
              <w:right w:val="single" w:sz="18" w:space="0" w:color="auto"/>
            </w:tcBorders>
            <w:shd w:val="clear" w:color="auto" w:fill="FABF8F"/>
            <w:vAlign w:val="center"/>
          </w:tcPr>
          <w:p w:rsidR="002B327C" w:rsidRPr="00A75DF9" w:rsidDel="00E7100E" w:rsidRDefault="002B327C" w:rsidP="002253A3">
            <w:pPr>
              <w:jc w:val="center"/>
              <w:rPr>
                <w:rFonts w:cs="Tahoma"/>
                <w:color w:val="000000"/>
                <w:sz w:val="13"/>
                <w:szCs w:val="13"/>
              </w:rPr>
            </w:pPr>
          </w:p>
        </w:tc>
        <w:tc>
          <w:tcPr>
            <w:tcW w:w="356" w:type="dxa"/>
            <w:tcBorders>
              <w:left w:val="single" w:sz="18" w:space="0" w:color="auto"/>
              <w:bottom w:val="single" w:sz="4" w:space="0" w:color="auto"/>
            </w:tcBorders>
            <w:shd w:val="clear" w:color="auto" w:fill="FABF8F"/>
            <w:vAlign w:val="center"/>
          </w:tcPr>
          <w:p w:rsidR="002B327C" w:rsidRPr="00A75DF9"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A75DF9" w:rsidDel="00E7100E" w:rsidRDefault="002B327C" w:rsidP="002253A3">
            <w:pPr>
              <w:jc w:val="center"/>
              <w:rPr>
                <w:rFonts w:cs="Tahoma"/>
                <w:sz w:val="13"/>
                <w:szCs w:val="13"/>
              </w:rPr>
            </w:pPr>
          </w:p>
        </w:tc>
        <w:tc>
          <w:tcPr>
            <w:tcW w:w="455" w:type="dxa"/>
            <w:tcBorders>
              <w:bottom w:val="single" w:sz="4" w:space="0" w:color="auto"/>
            </w:tcBorders>
            <w:shd w:val="clear" w:color="auto" w:fill="FABF8F"/>
            <w:vAlign w:val="center"/>
          </w:tcPr>
          <w:p w:rsidR="002B327C" w:rsidRPr="00A75DF9" w:rsidDel="00E7100E" w:rsidRDefault="002B327C" w:rsidP="002253A3">
            <w:pPr>
              <w:jc w:val="center"/>
              <w:rPr>
                <w:rFonts w:cs="Tahoma"/>
                <w:sz w:val="13"/>
                <w:szCs w:val="13"/>
              </w:rPr>
            </w:pPr>
          </w:p>
        </w:tc>
        <w:tc>
          <w:tcPr>
            <w:tcW w:w="450" w:type="dxa"/>
            <w:gridSpan w:val="3"/>
            <w:tcBorders>
              <w:bottom w:val="single" w:sz="4" w:space="0" w:color="auto"/>
            </w:tcBorders>
            <w:shd w:val="clear" w:color="auto" w:fill="FABF8F"/>
            <w:vAlign w:val="center"/>
          </w:tcPr>
          <w:p w:rsidR="002B327C" w:rsidRPr="00A75DF9" w:rsidDel="00E7100E" w:rsidRDefault="002B327C" w:rsidP="002253A3">
            <w:pPr>
              <w:jc w:val="center"/>
              <w:rPr>
                <w:rFonts w:cs="Tahoma"/>
                <w:sz w:val="13"/>
                <w:szCs w:val="13"/>
              </w:rPr>
            </w:pPr>
          </w:p>
        </w:tc>
        <w:tc>
          <w:tcPr>
            <w:tcW w:w="445" w:type="dxa"/>
            <w:tcBorders>
              <w:bottom w:val="single" w:sz="4" w:space="0" w:color="auto"/>
            </w:tcBorders>
            <w:shd w:val="clear" w:color="auto" w:fill="FABF8F"/>
            <w:vAlign w:val="center"/>
          </w:tcPr>
          <w:p w:rsidR="002B327C" w:rsidRPr="00A75DF9"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A75DF9" w:rsidDel="00E7100E" w:rsidRDefault="002B327C" w:rsidP="002253A3">
            <w:pPr>
              <w:jc w:val="center"/>
              <w:rPr>
                <w:rFonts w:cs="Tahoma"/>
                <w:sz w:val="13"/>
                <w:szCs w:val="13"/>
              </w:rPr>
            </w:pPr>
          </w:p>
        </w:tc>
        <w:tc>
          <w:tcPr>
            <w:tcW w:w="374" w:type="dxa"/>
            <w:tcBorders>
              <w:bottom w:val="single" w:sz="4" w:space="0" w:color="auto"/>
              <w:right w:val="single" w:sz="18" w:space="0" w:color="auto"/>
            </w:tcBorders>
            <w:shd w:val="clear" w:color="auto" w:fill="FABF8F"/>
            <w:vAlign w:val="center"/>
          </w:tcPr>
          <w:p w:rsidR="002B327C" w:rsidRPr="00A75DF9" w:rsidDel="00E7100E" w:rsidRDefault="002B327C" w:rsidP="002253A3">
            <w:pPr>
              <w:jc w:val="center"/>
              <w:rPr>
                <w:rFonts w:cs="Tahoma"/>
                <w:sz w:val="13"/>
                <w:szCs w:val="13"/>
              </w:rPr>
            </w:pPr>
          </w:p>
        </w:tc>
        <w:tc>
          <w:tcPr>
            <w:tcW w:w="455" w:type="dxa"/>
            <w:tcBorders>
              <w:left w:val="single" w:sz="18" w:space="0" w:color="auto"/>
              <w:bottom w:val="single" w:sz="4" w:space="0" w:color="auto"/>
            </w:tcBorders>
            <w:shd w:val="clear" w:color="auto" w:fill="FABF8F"/>
            <w:vAlign w:val="center"/>
          </w:tcPr>
          <w:p w:rsidR="002B327C" w:rsidRPr="00A75DF9"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A75DF9" w:rsidDel="00E7100E" w:rsidRDefault="002B327C" w:rsidP="002253A3">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rsidR="002B327C" w:rsidRPr="00A75DF9" w:rsidDel="00E7100E" w:rsidRDefault="002B327C" w:rsidP="002253A3">
            <w:pPr>
              <w:jc w:val="center"/>
              <w:rPr>
                <w:rFonts w:cs="Tahoma"/>
                <w:sz w:val="13"/>
                <w:szCs w:val="13"/>
              </w:rPr>
            </w:pPr>
          </w:p>
        </w:tc>
        <w:tc>
          <w:tcPr>
            <w:tcW w:w="450" w:type="dxa"/>
            <w:tcBorders>
              <w:left w:val="single" w:sz="18" w:space="0" w:color="auto"/>
              <w:bottom w:val="single" w:sz="4" w:space="0" w:color="auto"/>
            </w:tcBorders>
            <w:shd w:val="clear" w:color="auto" w:fill="FABF8F"/>
            <w:vAlign w:val="center"/>
          </w:tcPr>
          <w:p w:rsidR="002B327C" w:rsidRPr="00A75DF9" w:rsidDel="00E7100E" w:rsidRDefault="002B327C" w:rsidP="002253A3">
            <w:pPr>
              <w:jc w:val="center"/>
              <w:rPr>
                <w:rFonts w:cs="Tahoma"/>
                <w:sz w:val="13"/>
                <w:szCs w:val="13"/>
              </w:rPr>
            </w:pPr>
          </w:p>
        </w:tc>
        <w:tc>
          <w:tcPr>
            <w:tcW w:w="450" w:type="dxa"/>
            <w:tcBorders>
              <w:bottom w:val="single" w:sz="4" w:space="0" w:color="auto"/>
              <w:right w:val="single" w:sz="18" w:space="0" w:color="auto"/>
            </w:tcBorders>
            <w:shd w:val="clear" w:color="auto" w:fill="FABF8F"/>
            <w:vAlign w:val="center"/>
          </w:tcPr>
          <w:p w:rsidR="002B327C" w:rsidRPr="00A75DF9" w:rsidDel="00A53269" w:rsidRDefault="002253A3" w:rsidP="002253A3">
            <w:pPr>
              <w:jc w:val="center"/>
              <w:rPr>
                <w:rFonts w:cs="Tahoma"/>
                <w:sz w:val="13"/>
                <w:szCs w:val="13"/>
              </w:rPr>
            </w:pPr>
            <w:r w:rsidRPr="00A75DF9">
              <w:rPr>
                <w:rFonts w:cs="Tahoma"/>
                <w:sz w:val="13"/>
                <w:szCs w:val="13"/>
              </w:rPr>
              <w:t>D</w:t>
            </w:r>
          </w:p>
        </w:tc>
        <w:tc>
          <w:tcPr>
            <w:tcW w:w="450" w:type="dxa"/>
            <w:tcBorders>
              <w:left w:val="single" w:sz="18" w:space="0" w:color="auto"/>
              <w:bottom w:val="single" w:sz="4" w:space="0" w:color="auto"/>
              <w:right w:val="single" w:sz="18" w:space="0" w:color="auto"/>
            </w:tcBorders>
            <w:shd w:val="clear" w:color="auto" w:fill="FABF8F"/>
            <w:vAlign w:val="center"/>
          </w:tcPr>
          <w:p w:rsidR="002B327C" w:rsidRPr="00A75DF9" w:rsidDel="00E7100E" w:rsidRDefault="002B327C" w:rsidP="002253A3">
            <w:pPr>
              <w:jc w:val="center"/>
              <w:rPr>
                <w:rFonts w:cs="Tahoma"/>
                <w:sz w:val="13"/>
                <w:szCs w:val="13"/>
              </w:rPr>
            </w:pPr>
          </w:p>
        </w:tc>
        <w:tc>
          <w:tcPr>
            <w:tcW w:w="450" w:type="dxa"/>
            <w:tcBorders>
              <w:bottom w:val="single" w:sz="4" w:space="0" w:color="auto"/>
            </w:tcBorders>
            <w:shd w:val="clear" w:color="auto" w:fill="FABF8F"/>
            <w:vAlign w:val="center"/>
          </w:tcPr>
          <w:p w:rsidR="002B327C" w:rsidRPr="00A75DF9" w:rsidDel="00E7100E" w:rsidRDefault="002B327C" w:rsidP="002253A3">
            <w:pPr>
              <w:jc w:val="center"/>
              <w:rPr>
                <w:rFonts w:cs="Tahoma"/>
                <w:sz w:val="13"/>
                <w:szCs w:val="13"/>
              </w:rPr>
            </w:pPr>
          </w:p>
        </w:tc>
        <w:tc>
          <w:tcPr>
            <w:tcW w:w="539" w:type="dxa"/>
            <w:tcBorders>
              <w:bottom w:val="single" w:sz="4" w:space="0" w:color="auto"/>
            </w:tcBorders>
            <w:shd w:val="clear" w:color="auto" w:fill="FABF8F"/>
            <w:vAlign w:val="center"/>
          </w:tcPr>
          <w:p w:rsidR="002B327C" w:rsidRPr="00A75DF9" w:rsidDel="00E7100E" w:rsidRDefault="002B327C" w:rsidP="002253A3">
            <w:pPr>
              <w:jc w:val="center"/>
              <w:rPr>
                <w:rFonts w:cs="Tahoma"/>
                <w:color w:val="000000"/>
                <w:sz w:val="13"/>
                <w:szCs w:val="13"/>
              </w:rPr>
            </w:pPr>
          </w:p>
        </w:tc>
      </w:tr>
      <w:tr w:rsidR="00BE2E58" w:rsidRPr="00A75DF9" w:rsidTr="008A1262">
        <w:trPr>
          <w:trHeight w:val="145"/>
        </w:trPr>
        <w:tc>
          <w:tcPr>
            <w:tcW w:w="2724" w:type="dxa"/>
            <w:gridSpan w:val="2"/>
            <w:tcBorders>
              <w:bottom w:val="single" w:sz="4" w:space="0" w:color="auto"/>
            </w:tcBorders>
            <w:shd w:val="clear" w:color="auto" w:fill="auto"/>
            <w:vAlign w:val="center"/>
          </w:tcPr>
          <w:p w:rsidR="001A63C6" w:rsidRPr="00A75DF9" w:rsidRDefault="001A63C6" w:rsidP="008B1245">
            <w:pPr>
              <w:pStyle w:val="Heading2"/>
              <w:spacing w:beforeLines="20" w:before="48" w:afterLines="20" w:after="48"/>
              <w:ind w:left="0"/>
              <w:rPr>
                <w:rFonts w:ascii="Tahoma" w:hAnsi="Tahoma" w:cs="Tahoma"/>
                <w:b w:val="0"/>
                <w:sz w:val="16"/>
                <w:szCs w:val="16"/>
              </w:rPr>
            </w:pPr>
            <w:bookmarkStart w:id="169" w:name="_Toc336337925"/>
            <w:bookmarkStart w:id="170" w:name="_Toc368309942"/>
            <w:r w:rsidRPr="00A75DF9">
              <w:rPr>
                <w:rFonts w:ascii="Tahoma" w:hAnsi="Tahoma" w:cs="Tahoma"/>
                <w:b w:val="0"/>
                <w:sz w:val="14"/>
                <w:szCs w:val="16"/>
              </w:rPr>
              <w:t>Business Intelligence Appliance 2012</w:t>
            </w:r>
            <w:bookmarkEnd w:id="169"/>
            <w:bookmarkEnd w:id="170"/>
          </w:p>
        </w:tc>
        <w:tc>
          <w:tcPr>
            <w:tcW w:w="448" w:type="dxa"/>
            <w:tcBorders>
              <w:bottom w:val="single" w:sz="4" w:space="0" w:color="auto"/>
            </w:tcBorders>
            <w:shd w:val="clear" w:color="auto" w:fill="auto"/>
            <w:vAlign w:val="center"/>
          </w:tcPr>
          <w:p w:rsidR="001A63C6" w:rsidRPr="00337A7D" w:rsidRDefault="00B54770" w:rsidP="009D43FB">
            <w:pPr>
              <w:pStyle w:val="TableText"/>
              <w:widowControl w:val="0"/>
              <w:rPr>
                <w:rStyle w:val="EndnoteReference"/>
                <w:rFonts w:cs="Tahoma"/>
                <w:b w:val="0"/>
                <w:color w:val="0000FF"/>
                <w:sz w:val="13"/>
                <w:szCs w:val="13"/>
                <w:u w:val="single"/>
              </w:rPr>
            </w:pPr>
            <w:hyperlink w:anchor="_38_Business_Intelligence" w:history="1">
              <w:r w:rsidR="00734B17" w:rsidRPr="00337A7D">
                <w:rPr>
                  <w:rStyle w:val="Hyperlink"/>
                  <w:rFonts w:cs="Tahoma"/>
                  <w:b/>
                  <w:sz w:val="13"/>
                  <w:szCs w:val="13"/>
                </w:rPr>
                <w:t>39</w:t>
              </w:r>
            </w:hyperlink>
          </w:p>
        </w:tc>
        <w:tc>
          <w:tcPr>
            <w:tcW w:w="449"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11/11</w:t>
            </w:r>
          </w:p>
        </w:tc>
        <w:tc>
          <w:tcPr>
            <w:tcW w:w="359"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SRV</w:t>
            </w:r>
          </w:p>
        </w:tc>
        <w:tc>
          <w:tcPr>
            <w:tcW w:w="356"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125</w:t>
            </w: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szCs w:val="13"/>
              </w:rPr>
            </w:pPr>
            <w:r w:rsidRPr="00A75DF9">
              <w:rPr>
                <w:rFonts w:ascii="Tahoma" w:hAnsi="Tahoma" w:cs="Tahoma"/>
                <w:sz w:val="13"/>
                <w:szCs w:val="13"/>
              </w:rPr>
              <w:t>313</w:t>
            </w:r>
          </w:p>
        </w:tc>
        <w:tc>
          <w:tcPr>
            <w:tcW w:w="455"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szCs w:val="13"/>
              </w:rPr>
            </w:pPr>
            <w:r w:rsidRPr="00A75DF9">
              <w:rPr>
                <w:rFonts w:ascii="Tahoma" w:hAnsi="Tahoma" w:cs="Tahoma"/>
                <w:sz w:val="13"/>
                <w:szCs w:val="13"/>
              </w:rPr>
              <w:t>250</w:t>
            </w:r>
          </w:p>
        </w:tc>
        <w:tc>
          <w:tcPr>
            <w:tcW w:w="450" w:type="dxa"/>
            <w:gridSpan w:val="3"/>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szCs w:val="13"/>
              </w:rPr>
            </w:pPr>
            <w:r w:rsidRPr="00A75DF9">
              <w:rPr>
                <w:rFonts w:ascii="Tahoma" w:hAnsi="Tahoma" w:cs="Tahoma"/>
                <w:sz w:val="13"/>
                <w:szCs w:val="13"/>
              </w:rPr>
              <w:t>188</w:t>
            </w:r>
          </w:p>
        </w:tc>
        <w:tc>
          <w:tcPr>
            <w:tcW w:w="445"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szCs w:val="13"/>
              </w:rPr>
            </w:pPr>
            <w:r w:rsidRPr="00A75DF9">
              <w:rPr>
                <w:rFonts w:ascii="Tahoma" w:hAnsi="Tahoma" w:cs="Tahoma"/>
                <w:sz w:val="13"/>
                <w:szCs w:val="13"/>
              </w:rPr>
              <w:t>188</w:t>
            </w: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szCs w:val="13"/>
              </w:rPr>
            </w:pPr>
            <w:r w:rsidRPr="00A75DF9">
              <w:rPr>
                <w:rFonts w:ascii="Tahoma" w:hAnsi="Tahoma" w:cs="Tahoma"/>
                <w:sz w:val="13"/>
                <w:szCs w:val="13"/>
              </w:rPr>
              <w:t>125</w:t>
            </w:r>
          </w:p>
        </w:tc>
        <w:tc>
          <w:tcPr>
            <w:tcW w:w="374"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szCs w:val="13"/>
              </w:rPr>
            </w:pPr>
            <w:r w:rsidRPr="00A75DF9">
              <w:rPr>
                <w:rFonts w:ascii="Tahoma" w:hAnsi="Tahoma" w:cs="Tahoma"/>
                <w:sz w:val="13"/>
                <w:szCs w:val="13"/>
              </w:rPr>
              <w:t>63</w:t>
            </w:r>
          </w:p>
        </w:tc>
        <w:tc>
          <w:tcPr>
            <w:tcW w:w="455"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539"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r>
      <w:tr w:rsidR="00EF228F" w:rsidRPr="00A75DF9" w:rsidTr="008A1262">
        <w:trPr>
          <w:trHeight w:val="145"/>
        </w:trPr>
        <w:tc>
          <w:tcPr>
            <w:tcW w:w="2724" w:type="dxa"/>
            <w:gridSpan w:val="2"/>
            <w:tcBorders>
              <w:bottom w:val="single" w:sz="4" w:space="0" w:color="auto"/>
            </w:tcBorders>
            <w:shd w:val="clear" w:color="auto" w:fill="FABF8F"/>
            <w:vAlign w:val="center"/>
          </w:tcPr>
          <w:p w:rsidR="001A63C6" w:rsidRPr="00A75DF9" w:rsidRDefault="001A63C6" w:rsidP="008B1245">
            <w:pPr>
              <w:pStyle w:val="ProductNames"/>
              <w:spacing w:beforeLines="20" w:before="48" w:afterLines="20" w:after="48"/>
              <w:rPr>
                <w:rFonts w:ascii="Tahoma" w:hAnsi="Tahoma" w:cs="Tahoma"/>
                <w:sz w:val="14"/>
              </w:rPr>
            </w:pPr>
            <w:bookmarkStart w:id="171" w:name="_Toc336337926"/>
            <w:bookmarkStart w:id="172" w:name="_Toc368309943"/>
            <w:r w:rsidRPr="00A75DF9">
              <w:rPr>
                <w:rFonts w:ascii="Tahoma" w:hAnsi="Tahoma" w:cs="Tahoma"/>
                <w:sz w:val="14"/>
              </w:rPr>
              <w:t>Core CAL Suite Bridge per Office 365 (Utente e Dispositivo)</w:t>
            </w:r>
            <w:bookmarkEnd w:id="171"/>
            <w:bookmarkEnd w:id="172"/>
          </w:p>
        </w:tc>
        <w:tc>
          <w:tcPr>
            <w:tcW w:w="448" w:type="dxa"/>
            <w:tcBorders>
              <w:bottom w:val="single" w:sz="4" w:space="0" w:color="auto"/>
            </w:tcBorders>
            <w:shd w:val="clear" w:color="auto" w:fill="FABF8F"/>
            <w:vAlign w:val="center"/>
          </w:tcPr>
          <w:p w:rsidR="001A63C6" w:rsidRPr="00337A7D" w:rsidRDefault="00B54770" w:rsidP="009D43FB">
            <w:pPr>
              <w:pStyle w:val="TableText"/>
              <w:widowControl w:val="0"/>
              <w:rPr>
                <w:rFonts w:cs="Tahoma"/>
                <w:b/>
                <w:color w:val="0000FF"/>
                <w:sz w:val="13"/>
                <w:szCs w:val="13"/>
                <w:u w:val="single"/>
              </w:rPr>
            </w:pPr>
            <w:hyperlink w:anchor="_39_Core_CAL" w:history="1">
              <w:r w:rsidR="00734B17" w:rsidRPr="00337A7D">
                <w:rPr>
                  <w:rStyle w:val="Hyperlink"/>
                  <w:rFonts w:cs="Tahoma"/>
                  <w:b/>
                  <w:sz w:val="13"/>
                  <w:szCs w:val="13"/>
                </w:rPr>
                <w:t>40</w:t>
              </w:r>
            </w:hyperlink>
          </w:p>
        </w:tc>
        <w:tc>
          <w:tcPr>
            <w:tcW w:w="449"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06/11</w:t>
            </w:r>
          </w:p>
        </w:tc>
        <w:tc>
          <w:tcPr>
            <w:tcW w:w="359"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szCs w:val="13"/>
              </w:rPr>
            </w:pPr>
          </w:p>
        </w:tc>
        <w:tc>
          <w:tcPr>
            <w:tcW w:w="45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szCs w:val="13"/>
              </w:rPr>
            </w:pPr>
          </w:p>
        </w:tc>
        <w:tc>
          <w:tcPr>
            <w:tcW w:w="44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szCs w:val="13"/>
              </w:rPr>
            </w:pPr>
          </w:p>
        </w:tc>
        <w:tc>
          <w:tcPr>
            <w:tcW w:w="374"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szCs w:val="13"/>
              </w:rPr>
            </w:pPr>
          </w:p>
        </w:tc>
        <w:tc>
          <w:tcPr>
            <w:tcW w:w="455"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E</w:t>
            </w: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539"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r>
      <w:tr w:rsidR="00BE2E58" w:rsidRPr="00A75DF9" w:rsidTr="008A1262">
        <w:trPr>
          <w:trHeight w:val="145"/>
        </w:trPr>
        <w:tc>
          <w:tcPr>
            <w:tcW w:w="2724" w:type="dxa"/>
            <w:gridSpan w:val="2"/>
            <w:tcBorders>
              <w:bottom w:val="single" w:sz="4" w:space="0" w:color="auto"/>
            </w:tcBorders>
            <w:shd w:val="clear" w:color="auto" w:fill="auto"/>
            <w:vAlign w:val="center"/>
          </w:tcPr>
          <w:p w:rsidR="001A63C6" w:rsidRPr="00A75DF9" w:rsidRDefault="001A63C6" w:rsidP="008B1245">
            <w:pPr>
              <w:pStyle w:val="ProductNames"/>
              <w:spacing w:beforeLines="20" w:before="48" w:afterLines="20" w:after="48"/>
              <w:rPr>
                <w:rFonts w:ascii="Tahoma" w:hAnsi="Tahoma" w:cs="Tahoma"/>
                <w:sz w:val="14"/>
              </w:rPr>
            </w:pPr>
            <w:bookmarkStart w:id="173" w:name="_Toc336337927"/>
            <w:bookmarkStart w:id="174" w:name="_Toc368309944"/>
            <w:r w:rsidRPr="00A75DF9">
              <w:rPr>
                <w:rFonts w:ascii="Tahoma" w:hAnsi="Tahoma" w:cs="Tahoma"/>
                <w:sz w:val="14"/>
              </w:rPr>
              <w:t>Core CAL Suite Bridge per Office 365 e Windows</w:t>
            </w:r>
            <w:r w:rsidR="009D5D7B" w:rsidRPr="00A75DF9">
              <w:rPr>
                <w:rFonts w:ascii="Tahoma" w:hAnsi="Tahoma" w:cs="Tahoma"/>
                <w:sz w:val="14"/>
                <w:vertAlign w:val="superscript"/>
              </w:rPr>
              <w:t>®</w:t>
            </w:r>
            <w:r w:rsidRPr="00A75DF9">
              <w:rPr>
                <w:rFonts w:ascii="Tahoma" w:hAnsi="Tahoma" w:cs="Tahoma"/>
                <w:sz w:val="14"/>
              </w:rPr>
              <w:t xml:space="preserve"> Intune (Utente e Dispositivo)</w:t>
            </w:r>
            <w:bookmarkEnd w:id="173"/>
            <w:bookmarkEnd w:id="174"/>
          </w:p>
        </w:tc>
        <w:tc>
          <w:tcPr>
            <w:tcW w:w="448" w:type="dxa"/>
            <w:tcBorders>
              <w:bottom w:val="single" w:sz="4" w:space="0" w:color="auto"/>
            </w:tcBorders>
            <w:shd w:val="clear" w:color="auto" w:fill="auto"/>
            <w:vAlign w:val="center"/>
          </w:tcPr>
          <w:p w:rsidR="001A63C6" w:rsidRPr="00337A7D" w:rsidRDefault="00B54770" w:rsidP="00E0507D">
            <w:pPr>
              <w:pStyle w:val="TableText"/>
              <w:widowControl w:val="0"/>
              <w:rPr>
                <w:rFonts w:cs="Tahoma"/>
                <w:b/>
                <w:color w:val="0000FF"/>
                <w:sz w:val="13"/>
                <w:szCs w:val="13"/>
                <w:u w:val="single"/>
              </w:rPr>
            </w:pPr>
            <w:hyperlink w:anchor="_39_Core_CAL" w:history="1">
              <w:r w:rsidR="00734B17" w:rsidRPr="00337A7D">
                <w:rPr>
                  <w:rStyle w:val="Hyperlink"/>
                  <w:rFonts w:cs="Tahoma"/>
                  <w:b/>
                  <w:sz w:val="13"/>
                  <w:szCs w:val="13"/>
                </w:rPr>
                <w:t>40</w:t>
              </w:r>
            </w:hyperlink>
          </w:p>
        </w:tc>
        <w:tc>
          <w:tcPr>
            <w:tcW w:w="449"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06/11</w:t>
            </w:r>
          </w:p>
        </w:tc>
        <w:tc>
          <w:tcPr>
            <w:tcW w:w="359"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szCs w:val="13"/>
              </w:rPr>
            </w:pPr>
          </w:p>
        </w:tc>
        <w:tc>
          <w:tcPr>
            <w:tcW w:w="455"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szCs w:val="13"/>
              </w:rPr>
            </w:pPr>
          </w:p>
        </w:tc>
        <w:tc>
          <w:tcPr>
            <w:tcW w:w="445"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szCs w:val="13"/>
              </w:rPr>
            </w:pPr>
          </w:p>
        </w:tc>
        <w:tc>
          <w:tcPr>
            <w:tcW w:w="374"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szCs w:val="13"/>
              </w:rPr>
            </w:pPr>
          </w:p>
        </w:tc>
        <w:tc>
          <w:tcPr>
            <w:tcW w:w="455"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E</w:t>
            </w: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539"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r>
      <w:tr w:rsidR="00EF228F" w:rsidRPr="00A75DF9" w:rsidTr="008A1262">
        <w:trPr>
          <w:trHeight w:val="145"/>
        </w:trPr>
        <w:tc>
          <w:tcPr>
            <w:tcW w:w="2724" w:type="dxa"/>
            <w:gridSpan w:val="2"/>
            <w:tcBorders>
              <w:bottom w:val="single" w:sz="4" w:space="0" w:color="auto"/>
            </w:tcBorders>
            <w:shd w:val="clear" w:color="auto" w:fill="FABF8F"/>
            <w:vAlign w:val="center"/>
          </w:tcPr>
          <w:p w:rsidR="001A63C6" w:rsidRPr="00A75DF9" w:rsidRDefault="001A63C6" w:rsidP="008B1245">
            <w:pPr>
              <w:pStyle w:val="ProductNames"/>
              <w:spacing w:beforeLines="20" w:before="48" w:afterLines="20" w:after="48"/>
              <w:rPr>
                <w:rFonts w:ascii="Tahoma" w:hAnsi="Tahoma" w:cs="Tahoma"/>
                <w:sz w:val="14"/>
              </w:rPr>
            </w:pPr>
            <w:bookmarkStart w:id="175" w:name="_Toc336337928"/>
            <w:bookmarkStart w:id="176" w:name="_Toc368309945"/>
            <w:r w:rsidRPr="00A75DF9">
              <w:rPr>
                <w:rFonts w:ascii="Tahoma" w:hAnsi="Tahoma" w:cs="Tahoma"/>
                <w:sz w:val="14"/>
              </w:rPr>
              <w:t>Core CAL Bridge per Windows</w:t>
            </w:r>
            <w:r w:rsidR="009D5D7B" w:rsidRPr="00A75DF9">
              <w:rPr>
                <w:rFonts w:ascii="Tahoma" w:hAnsi="Tahoma" w:cs="Tahoma"/>
                <w:sz w:val="14"/>
                <w:vertAlign w:val="superscript"/>
              </w:rPr>
              <w:t>®</w:t>
            </w:r>
            <w:r w:rsidRPr="00A75DF9">
              <w:rPr>
                <w:rFonts w:ascii="Tahoma" w:hAnsi="Tahoma" w:cs="Tahoma"/>
                <w:sz w:val="14"/>
              </w:rPr>
              <w:t xml:space="preserve"> Intune (Utente e Dispositivo)</w:t>
            </w:r>
            <w:bookmarkEnd w:id="175"/>
            <w:bookmarkEnd w:id="176"/>
          </w:p>
        </w:tc>
        <w:tc>
          <w:tcPr>
            <w:tcW w:w="448" w:type="dxa"/>
            <w:tcBorders>
              <w:bottom w:val="single" w:sz="4" w:space="0" w:color="auto"/>
            </w:tcBorders>
            <w:shd w:val="clear" w:color="auto" w:fill="FABF8F"/>
            <w:vAlign w:val="center"/>
          </w:tcPr>
          <w:p w:rsidR="001A63C6" w:rsidRPr="00337A7D" w:rsidRDefault="00B54770" w:rsidP="00E0507D">
            <w:pPr>
              <w:pStyle w:val="TableText"/>
              <w:widowControl w:val="0"/>
              <w:rPr>
                <w:rFonts w:cs="Tahoma"/>
                <w:b/>
                <w:color w:val="0000FF"/>
                <w:sz w:val="13"/>
                <w:szCs w:val="13"/>
                <w:u w:val="single"/>
              </w:rPr>
            </w:pPr>
            <w:hyperlink w:anchor="_39_Core_CAL" w:history="1">
              <w:r w:rsidR="00734B17" w:rsidRPr="00337A7D">
                <w:rPr>
                  <w:rStyle w:val="Hyperlink"/>
                  <w:rFonts w:cs="Tahoma"/>
                  <w:b/>
                  <w:sz w:val="13"/>
                  <w:szCs w:val="13"/>
                </w:rPr>
                <w:t>40</w:t>
              </w:r>
            </w:hyperlink>
          </w:p>
        </w:tc>
        <w:tc>
          <w:tcPr>
            <w:tcW w:w="449"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04/11</w:t>
            </w:r>
          </w:p>
        </w:tc>
        <w:tc>
          <w:tcPr>
            <w:tcW w:w="359"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szCs w:val="13"/>
              </w:rPr>
            </w:pPr>
          </w:p>
        </w:tc>
        <w:tc>
          <w:tcPr>
            <w:tcW w:w="45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szCs w:val="13"/>
              </w:rPr>
            </w:pPr>
          </w:p>
        </w:tc>
        <w:tc>
          <w:tcPr>
            <w:tcW w:w="44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szCs w:val="13"/>
              </w:rPr>
            </w:pPr>
          </w:p>
        </w:tc>
        <w:tc>
          <w:tcPr>
            <w:tcW w:w="374"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szCs w:val="13"/>
              </w:rPr>
            </w:pPr>
          </w:p>
        </w:tc>
        <w:tc>
          <w:tcPr>
            <w:tcW w:w="455"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539"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r>
      <w:tr w:rsidR="00BE2E58" w:rsidRPr="00A75DF9" w:rsidTr="008A1262">
        <w:trPr>
          <w:trHeight w:val="145"/>
        </w:trPr>
        <w:tc>
          <w:tcPr>
            <w:tcW w:w="2724" w:type="dxa"/>
            <w:gridSpan w:val="2"/>
            <w:tcBorders>
              <w:bottom w:val="single" w:sz="4" w:space="0" w:color="auto"/>
            </w:tcBorders>
            <w:shd w:val="clear" w:color="auto" w:fill="auto"/>
            <w:vAlign w:val="center"/>
          </w:tcPr>
          <w:p w:rsidR="001A63C6" w:rsidRPr="00A75DF9" w:rsidRDefault="001A63C6" w:rsidP="008B1245">
            <w:pPr>
              <w:pStyle w:val="ProductNames"/>
              <w:spacing w:beforeLines="20" w:before="48" w:afterLines="20" w:after="48"/>
              <w:rPr>
                <w:rFonts w:ascii="Tahoma" w:hAnsi="Tahoma" w:cs="Tahoma"/>
                <w:sz w:val="14"/>
              </w:rPr>
            </w:pPr>
            <w:bookmarkStart w:id="177" w:name="_Toc336337929"/>
            <w:bookmarkStart w:id="178" w:name="_Toc368309946"/>
            <w:r w:rsidRPr="00A75DF9">
              <w:rPr>
                <w:rFonts w:ascii="Tahoma" w:hAnsi="Tahoma" w:cs="Tahoma"/>
                <w:sz w:val="14"/>
              </w:rPr>
              <w:t>Core CAL Suite (Utente e Dispositivo)</w:t>
            </w:r>
            <w:bookmarkEnd w:id="177"/>
            <w:bookmarkEnd w:id="178"/>
          </w:p>
        </w:tc>
        <w:tc>
          <w:tcPr>
            <w:tcW w:w="448" w:type="dxa"/>
            <w:tcBorders>
              <w:bottom w:val="single" w:sz="4" w:space="0" w:color="auto"/>
            </w:tcBorders>
            <w:shd w:val="clear" w:color="auto" w:fill="auto"/>
            <w:vAlign w:val="center"/>
          </w:tcPr>
          <w:p w:rsidR="001A63C6" w:rsidRPr="00337A7D" w:rsidRDefault="00B54770" w:rsidP="00E0507D">
            <w:pPr>
              <w:pStyle w:val="TableText"/>
              <w:widowControl w:val="0"/>
              <w:rPr>
                <w:rStyle w:val="EndnoteReference"/>
                <w:rFonts w:cs="Tahoma"/>
                <w:color w:val="0000FF"/>
                <w:sz w:val="13"/>
                <w:szCs w:val="13"/>
                <w:u w:val="single"/>
              </w:rPr>
            </w:pPr>
            <w:hyperlink w:anchor="_40_Core_CAL" w:history="1">
              <w:r w:rsidR="00734B17" w:rsidRPr="00337A7D">
                <w:rPr>
                  <w:rStyle w:val="Hyperlink"/>
                  <w:rFonts w:cs="Tahoma"/>
                  <w:b/>
                  <w:sz w:val="13"/>
                  <w:szCs w:val="13"/>
                </w:rPr>
                <w:t>41</w:t>
              </w:r>
            </w:hyperlink>
          </w:p>
        </w:tc>
        <w:tc>
          <w:tcPr>
            <w:tcW w:w="449"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10/06</w:t>
            </w:r>
          </w:p>
        </w:tc>
        <w:tc>
          <w:tcPr>
            <w:tcW w:w="359"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SRV</w:t>
            </w:r>
          </w:p>
        </w:tc>
        <w:tc>
          <w:tcPr>
            <w:tcW w:w="356"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szCs w:val="13"/>
              </w:rPr>
            </w:pPr>
            <w:r w:rsidRPr="00A75DF9">
              <w:rPr>
                <w:rFonts w:ascii="Tahoma" w:hAnsi="Tahoma" w:cs="Tahoma"/>
                <w:sz w:val="13"/>
                <w:szCs w:val="13"/>
              </w:rPr>
              <w:t>3</w:t>
            </w:r>
          </w:p>
        </w:tc>
        <w:tc>
          <w:tcPr>
            <w:tcW w:w="455"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szCs w:val="13"/>
              </w:rPr>
            </w:pPr>
            <w:r w:rsidRPr="00A75DF9">
              <w:rPr>
                <w:rFonts w:ascii="Tahoma" w:hAnsi="Tahoma" w:cs="Tahoma"/>
                <w:sz w:val="13"/>
                <w:szCs w:val="13"/>
              </w:rPr>
              <w:t>2</w:t>
            </w:r>
          </w:p>
        </w:tc>
        <w:tc>
          <w:tcPr>
            <w:tcW w:w="450" w:type="dxa"/>
            <w:gridSpan w:val="3"/>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szCs w:val="13"/>
              </w:rPr>
            </w:pPr>
            <w:r w:rsidRPr="00A75DF9">
              <w:rPr>
                <w:rFonts w:ascii="Tahoma" w:hAnsi="Tahoma" w:cs="Tahoma"/>
                <w:sz w:val="13"/>
                <w:szCs w:val="13"/>
              </w:rPr>
              <w:t>2</w:t>
            </w:r>
          </w:p>
        </w:tc>
        <w:tc>
          <w:tcPr>
            <w:tcW w:w="445"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szCs w:val="13"/>
              </w:rPr>
            </w:pPr>
            <w:r w:rsidRPr="00A75DF9">
              <w:rPr>
                <w:rFonts w:ascii="Tahoma" w:hAnsi="Tahoma" w:cs="Tahoma"/>
                <w:sz w:val="13"/>
                <w:szCs w:val="13"/>
              </w:rPr>
              <w:t>2</w:t>
            </w: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szCs w:val="13"/>
              </w:rPr>
            </w:pPr>
            <w:r w:rsidRPr="00A75DF9">
              <w:rPr>
                <w:rFonts w:ascii="Tahoma" w:hAnsi="Tahoma" w:cs="Tahoma"/>
                <w:sz w:val="13"/>
                <w:szCs w:val="13"/>
              </w:rPr>
              <w:t>1</w:t>
            </w:r>
          </w:p>
        </w:tc>
        <w:tc>
          <w:tcPr>
            <w:tcW w:w="374"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szCs w:val="13"/>
              </w:rPr>
            </w:pPr>
            <w:r w:rsidRPr="00A75DF9">
              <w:rPr>
                <w:rFonts w:ascii="Tahoma" w:hAnsi="Tahoma" w:cs="Tahoma"/>
                <w:sz w:val="13"/>
                <w:szCs w:val="13"/>
              </w:rPr>
              <w:t>1</w:t>
            </w:r>
          </w:p>
        </w:tc>
        <w:tc>
          <w:tcPr>
            <w:tcW w:w="455"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szCs w:val="13"/>
              </w:rPr>
            </w:pPr>
            <w:r w:rsidRPr="00A75DF9">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szCs w:val="13"/>
              </w:rPr>
            </w:pPr>
            <w:r w:rsidRPr="00A75DF9">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szCs w:val="13"/>
              </w:rPr>
            </w:pPr>
            <w:r w:rsidRPr="00A75DF9">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E, P</w:t>
            </w: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sz w:val="13"/>
                <w:szCs w:val="13"/>
              </w:rPr>
              <w:t>E</w:t>
            </w:r>
            <w:r w:rsidRPr="00A75DF9">
              <w:rPr>
                <w:rFonts w:ascii="Tahoma" w:hAnsi="Tahoma" w:cs="Tahoma"/>
                <w:sz w:val="13"/>
              </w:rPr>
              <w:t>, ST</w:t>
            </w:r>
          </w:p>
        </w:tc>
        <w:tc>
          <w:tcPr>
            <w:tcW w:w="539"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r>
      <w:tr w:rsidR="00EF228F" w:rsidRPr="00A75DF9" w:rsidTr="008A1262">
        <w:trPr>
          <w:trHeight w:val="145"/>
        </w:trPr>
        <w:tc>
          <w:tcPr>
            <w:tcW w:w="2724" w:type="dxa"/>
            <w:gridSpan w:val="2"/>
            <w:tcBorders>
              <w:bottom w:val="single" w:sz="4" w:space="0" w:color="auto"/>
            </w:tcBorders>
            <w:shd w:val="clear" w:color="auto" w:fill="FABF8F"/>
            <w:vAlign w:val="center"/>
          </w:tcPr>
          <w:p w:rsidR="001A63C6" w:rsidRPr="00A75DF9" w:rsidRDefault="001A63C6" w:rsidP="008B1245">
            <w:pPr>
              <w:pStyle w:val="ProductNames"/>
              <w:spacing w:beforeLines="20" w:before="48" w:afterLines="20" w:after="48"/>
              <w:rPr>
                <w:rFonts w:ascii="Tahoma" w:hAnsi="Tahoma" w:cs="Tahoma"/>
                <w:sz w:val="14"/>
              </w:rPr>
            </w:pPr>
            <w:bookmarkStart w:id="179" w:name="_Toc336337930"/>
            <w:bookmarkStart w:id="180" w:name="_Toc368309947"/>
            <w:r w:rsidRPr="00A75DF9">
              <w:rPr>
                <w:rFonts w:ascii="Tahoma" w:hAnsi="Tahoma" w:cs="Tahoma"/>
                <w:sz w:val="14"/>
              </w:rPr>
              <w:t>Core Infrastructure Server Suite Standard</w:t>
            </w:r>
            <w:bookmarkEnd w:id="179"/>
            <w:bookmarkEnd w:id="180"/>
          </w:p>
        </w:tc>
        <w:tc>
          <w:tcPr>
            <w:tcW w:w="448" w:type="dxa"/>
            <w:tcBorders>
              <w:bottom w:val="single" w:sz="4" w:space="0" w:color="auto"/>
            </w:tcBorders>
            <w:shd w:val="clear" w:color="auto" w:fill="FABF8F"/>
            <w:vAlign w:val="center"/>
          </w:tcPr>
          <w:p w:rsidR="001A63C6" w:rsidRPr="00337A7D" w:rsidRDefault="00B54770" w:rsidP="00E0507D">
            <w:pPr>
              <w:pStyle w:val="TableText"/>
              <w:widowControl w:val="0"/>
              <w:rPr>
                <w:rStyle w:val="EndnoteReference"/>
                <w:rFonts w:cs="Tahoma"/>
                <w:color w:val="0000FF"/>
                <w:sz w:val="13"/>
                <w:szCs w:val="13"/>
                <w:u w:val="single"/>
              </w:rPr>
            </w:pPr>
            <w:hyperlink w:anchor="_41_Core_Infrastructure" w:history="1">
              <w:r w:rsidR="00734B17" w:rsidRPr="00337A7D">
                <w:rPr>
                  <w:rStyle w:val="Hyperlink"/>
                  <w:rFonts w:cs="Tahoma"/>
                  <w:b/>
                  <w:sz w:val="13"/>
                  <w:szCs w:val="13"/>
                </w:rPr>
                <w:t>42</w:t>
              </w:r>
            </w:hyperlink>
          </w:p>
        </w:tc>
        <w:tc>
          <w:tcPr>
            <w:tcW w:w="449"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04/12</w:t>
            </w:r>
          </w:p>
        </w:tc>
        <w:tc>
          <w:tcPr>
            <w:tcW w:w="359"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SRV</w:t>
            </w:r>
          </w:p>
        </w:tc>
        <w:tc>
          <w:tcPr>
            <w:tcW w:w="356"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szCs w:val="13"/>
              </w:rPr>
            </w:pPr>
            <w:r w:rsidRPr="00A75DF9">
              <w:rPr>
                <w:rFonts w:ascii="Tahoma" w:hAnsi="Tahoma" w:cs="Tahoma"/>
                <w:sz w:val="13"/>
                <w:szCs w:val="13"/>
              </w:rPr>
              <w:t>25</w:t>
            </w: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szCs w:val="13"/>
              </w:rPr>
            </w:pPr>
            <w:r w:rsidRPr="00A75DF9">
              <w:rPr>
                <w:rFonts w:ascii="Tahoma" w:hAnsi="Tahoma" w:cs="Tahoma"/>
                <w:sz w:val="13"/>
                <w:szCs w:val="13"/>
              </w:rPr>
              <w:t>63</w:t>
            </w:r>
          </w:p>
        </w:tc>
        <w:tc>
          <w:tcPr>
            <w:tcW w:w="45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szCs w:val="13"/>
              </w:rPr>
            </w:pPr>
            <w:r w:rsidRPr="00A75DF9">
              <w:rPr>
                <w:rFonts w:ascii="Tahoma" w:hAnsi="Tahoma" w:cs="Tahoma"/>
                <w:sz w:val="13"/>
                <w:szCs w:val="13"/>
              </w:rPr>
              <w:t>50</w:t>
            </w:r>
          </w:p>
        </w:tc>
        <w:tc>
          <w:tcPr>
            <w:tcW w:w="450" w:type="dxa"/>
            <w:gridSpan w:val="3"/>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szCs w:val="13"/>
              </w:rPr>
            </w:pPr>
            <w:r w:rsidRPr="00A75DF9">
              <w:rPr>
                <w:rFonts w:ascii="Tahoma" w:hAnsi="Tahoma" w:cs="Tahoma"/>
                <w:sz w:val="13"/>
                <w:szCs w:val="13"/>
              </w:rPr>
              <w:t>38</w:t>
            </w:r>
          </w:p>
        </w:tc>
        <w:tc>
          <w:tcPr>
            <w:tcW w:w="44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szCs w:val="13"/>
              </w:rPr>
            </w:pPr>
            <w:r w:rsidRPr="00A75DF9">
              <w:rPr>
                <w:rFonts w:ascii="Tahoma" w:hAnsi="Tahoma" w:cs="Tahoma"/>
                <w:sz w:val="13"/>
                <w:szCs w:val="13"/>
              </w:rPr>
              <w:t>38</w:t>
            </w: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szCs w:val="13"/>
              </w:rPr>
            </w:pPr>
            <w:r w:rsidRPr="00A75DF9">
              <w:rPr>
                <w:rFonts w:ascii="Tahoma" w:hAnsi="Tahoma" w:cs="Tahoma"/>
                <w:sz w:val="13"/>
                <w:szCs w:val="13"/>
              </w:rPr>
              <w:t>25</w:t>
            </w:r>
          </w:p>
        </w:tc>
        <w:tc>
          <w:tcPr>
            <w:tcW w:w="374"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szCs w:val="13"/>
              </w:rPr>
            </w:pPr>
            <w:r w:rsidRPr="00A75DF9">
              <w:rPr>
                <w:rFonts w:ascii="Tahoma" w:hAnsi="Tahoma" w:cs="Tahoma"/>
                <w:sz w:val="13"/>
                <w:szCs w:val="13"/>
              </w:rPr>
              <w:t>13</w:t>
            </w:r>
          </w:p>
        </w:tc>
        <w:tc>
          <w:tcPr>
            <w:tcW w:w="455"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szCs w:val="13"/>
              </w:rPr>
            </w:pPr>
            <w:r w:rsidRPr="00A75DF9">
              <w:rPr>
                <w:rFonts w:ascii="Tahoma" w:hAnsi="Tahoma" w:cs="Tahoma"/>
                <w:sz w:val="13"/>
                <w:szCs w:val="13"/>
              </w:rPr>
              <w:t>25</w:t>
            </w: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szCs w:val="13"/>
              </w:rPr>
            </w:pPr>
            <w:r w:rsidRPr="00A75DF9">
              <w:rPr>
                <w:rFonts w:ascii="Tahoma" w:hAnsi="Tahoma" w:cs="Tahoma"/>
                <w:sz w:val="13"/>
                <w:szCs w:val="13"/>
              </w:rPr>
              <w:t>50</w:t>
            </w: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szCs w:val="13"/>
              </w:rPr>
            </w:pPr>
            <w:r w:rsidRPr="00A75DF9">
              <w:rPr>
                <w:rFonts w:ascii="Tahoma" w:hAnsi="Tahoma" w:cs="Tahoma"/>
                <w:sz w:val="13"/>
                <w:szCs w:val="13"/>
              </w:rPr>
              <w:t>25</w:t>
            </w:r>
          </w:p>
        </w:tc>
        <w:tc>
          <w:tcPr>
            <w:tcW w:w="450"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szCs w:val="13"/>
              </w:rPr>
            </w:pPr>
            <w:r w:rsidRPr="00A75DF9">
              <w:rPr>
                <w:rFonts w:ascii="Tahoma" w:hAnsi="Tahoma" w:cs="Tahoma"/>
                <w:sz w:val="13"/>
                <w:szCs w:val="13"/>
              </w:rPr>
              <w:t>25</w:t>
            </w: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539"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OL/OV</w:t>
            </w:r>
          </w:p>
        </w:tc>
      </w:tr>
      <w:tr w:rsidR="00B33D0E" w:rsidRPr="00A75DF9" w:rsidTr="008A1262">
        <w:trPr>
          <w:trHeight w:val="145"/>
        </w:trPr>
        <w:tc>
          <w:tcPr>
            <w:tcW w:w="2724" w:type="dxa"/>
            <w:gridSpan w:val="2"/>
            <w:tcBorders>
              <w:bottom w:val="single" w:sz="4" w:space="0" w:color="auto"/>
            </w:tcBorders>
            <w:shd w:val="clear" w:color="auto" w:fill="auto"/>
            <w:vAlign w:val="center"/>
          </w:tcPr>
          <w:p w:rsidR="001A63C6" w:rsidRPr="00A75DF9" w:rsidRDefault="001A63C6" w:rsidP="008B1245">
            <w:pPr>
              <w:pStyle w:val="ProductNames"/>
              <w:spacing w:beforeLines="20" w:before="48" w:afterLines="20" w:after="48"/>
              <w:rPr>
                <w:rFonts w:ascii="Tahoma" w:hAnsi="Tahoma" w:cs="Tahoma"/>
                <w:sz w:val="14"/>
              </w:rPr>
            </w:pPr>
            <w:bookmarkStart w:id="181" w:name="_Toc336337931"/>
            <w:bookmarkStart w:id="182" w:name="_Toc368309948"/>
            <w:r w:rsidRPr="00A75DF9">
              <w:rPr>
                <w:rFonts w:ascii="Tahoma" w:hAnsi="Tahoma" w:cs="Tahoma"/>
                <w:sz w:val="14"/>
              </w:rPr>
              <w:t>Core Infrastructure Server Suite Enterprise</w:t>
            </w:r>
            <w:bookmarkEnd w:id="181"/>
            <w:bookmarkEnd w:id="182"/>
          </w:p>
        </w:tc>
        <w:tc>
          <w:tcPr>
            <w:tcW w:w="448" w:type="dxa"/>
            <w:tcBorders>
              <w:bottom w:val="single" w:sz="4" w:space="0" w:color="auto"/>
            </w:tcBorders>
            <w:shd w:val="clear" w:color="auto" w:fill="auto"/>
            <w:vAlign w:val="center"/>
          </w:tcPr>
          <w:p w:rsidR="001A63C6" w:rsidRPr="00337A7D" w:rsidRDefault="00B54770" w:rsidP="003D5C46">
            <w:pPr>
              <w:pStyle w:val="TableText"/>
              <w:widowControl w:val="0"/>
              <w:rPr>
                <w:rStyle w:val="EndnoteReference"/>
                <w:rFonts w:cs="Tahoma"/>
                <w:color w:val="0000FF"/>
                <w:sz w:val="13"/>
                <w:szCs w:val="13"/>
                <w:u w:val="single"/>
              </w:rPr>
            </w:pPr>
            <w:hyperlink w:anchor="_38_Core_Infrastructure" w:history="1">
              <w:r w:rsidR="00734B17" w:rsidRPr="00337A7D">
                <w:rPr>
                  <w:rStyle w:val="Hyperlink"/>
                  <w:rFonts w:cs="Tahoma"/>
                  <w:b/>
                  <w:sz w:val="13"/>
                  <w:szCs w:val="13"/>
                </w:rPr>
                <w:t>43</w:t>
              </w:r>
            </w:hyperlink>
          </w:p>
        </w:tc>
        <w:tc>
          <w:tcPr>
            <w:tcW w:w="449"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04/12</w:t>
            </w:r>
          </w:p>
        </w:tc>
        <w:tc>
          <w:tcPr>
            <w:tcW w:w="359"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szCs w:val="13"/>
              </w:rPr>
            </w:pPr>
          </w:p>
        </w:tc>
        <w:tc>
          <w:tcPr>
            <w:tcW w:w="455"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szCs w:val="13"/>
              </w:rPr>
            </w:pPr>
          </w:p>
        </w:tc>
        <w:tc>
          <w:tcPr>
            <w:tcW w:w="445"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szCs w:val="13"/>
              </w:rPr>
            </w:pPr>
          </w:p>
        </w:tc>
        <w:tc>
          <w:tcPr>
            <w:tcW w:w="374"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szCs w:val="13"/>
              </w:rPr>
            </w:pPr>
          </w:p>
        </w:tc>
        <w:tc>
          <w:tcPr>
            <w:tcW w:w="455"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539"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r>
      <w:tr w:rsidR="00B33D0E" w:rsidRPr="00A75DF9" w:rsidTr="008A1262">
        <w:trPr>
          <w:trHeight w:val="145"/>
        </w:trPr>
        <w:tc>
          <w:tcPr>
            <w:tcW w:w="2724" w:type="dxa"/>
            <w:gridSpan w:val="2"/>
            <w:tcBorders>
              <w:bottom w:val="single" w:sz="4" w:space="0" w:color="auto"/>
            </w:tcBorders>
            <w:shd w:val="clear" w:color="auto" w:fill="FABF8F"/>
            <w:vAlign w:val="center"/>
          </w:tcPr>
          <w:p w:rsidR="001A63C6" w:rsidRPr="00A75DF9" w:rsidRDefault="001A63C6" w:rsidP="008B1245">
            <w:pPr>
              <w:pStyle w:val="ProductNames"/>
              <w:spacing w:beforeLines="20" w:before="48" w:afterLines="20" w:after="48"/>
              <w:rPr>
                <w:rFonts w:ascii="Tahoma" w:hAnsi="Tahoma" w:cs="Tahoma"/>
                <w:sz w:val="14"/>
              </w:rPr>
            </w:pPr>
            <w:bookmarkStart w:id="183" w:name="_Toc336337932"/>
            <w:bookmarkStart w:id="184" w:name="_Toc368309949"/>
            <w:r w:rsidRPr="00A75DF9">
              <w:rPr>
                <w:rFonts w:ascii="Tahoma" w:hAnsi="Tahoma" w:cs="Tahoma"/>
                <w:sz w:val="14"/>
              </w:rPr>
              <w:t>Core Infrastructure Server Suite Datacenter</w:t>
            </w:r>
            <w:bookmarkEnd w:id="183"/>
            <w:bookmarkEnd w:id="184"/>
          </w:p>
        </w:tc>
        <w:tc>
          <w:tcPr>
            <w:tcW w:w="448" w:type="dxa"/>
            <w:tcBorders>
              <w:bottom w:val="single" w:sz="4" w:space="0" w:color="auto"/>
            </w:tcBorders>
            <w:shd w:val="clear" w:color="auto" w:fill="FABF8F"/>
            <w:vAlign w:val="center"/>
          </w:tcPr>
          <w:p w:rsidR="001A63C6" w:rsidRPr="00337A7D" w:rsidRDefault="00B54770" w:rsidP="00E0507D">
            <w:pPr>
              <w:pStyle w:val="TableText"/>
              <w:widowControl w:val="0"/>
              <w:rPr>
                <w:rStyle w:val="EndnoteReference"/>
                <w:rFonts w:cs="Tahoma"/>
                <w:color w:val="0000FF"/>
                <w:sz w:val="13"/>
                <w:szCs w:val="13"/>
                <w:u w:val="single"/>
              </w:rPr>
            </w:pPr>
            <w:hyperlink w:anchor="_39_Core_Infrastructure" w:history="1">
              <w:r w:rsidR="00734B17" w:rsidRPr="00337A7D">
                <w:rPr>
                  <w:rStyle w:val="Hyperlink"/>
                  <w:rFonts w:cs="Tahoma"/>
                  <w:b/>
                  <w:sz w:val="13"/>
                  <w:szCs w:val="13"/>
                </w:rPr>
                <w:t>44</w:t>
              </w:r>
            </w:hyperlink>
            <w:hyperlink w:anchor="_39_Core_Infrastructure" w:history="1"/>
          </w:p>
        </w:tc>
        <w:tc>
          <w:tcPr>
            <w:tcW w:w="449"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04/12</w:t>
            </w:r>
          </w:p>
        </w:tc>
        <w:tc>
          <w:tcPr>
            <w:tcW w:w="359"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SRV</w:t>
            </w:r>
          </w:p>
        </w:tc>
        <w:tc>
          <w:tcPr>
            <w:tcW w:w="356"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szCs w:val="13"/>
              </w:rPr>
            </w:pPr>
            <w:r w:rsidRPr="00A75DF9">
              <w:rPr>
                <w:rFonts w:ascii="Tahoma" w:hAnsi="Tahoma" w:cs="Tahoma"/>
                <w:sz w:val="13"/>
                <w:szCs w:val="13"/>
              </w:rPr>
              <w:t>75</w:t>
            </w: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szCs w:val="13"/>
              </w:rPr>
            </w:pPr>
            <w:r w:rsidRPr="00A75DF9">
              <w:rPr>
                <w:rFonts w:ascii="Tahoma" w:hAnsi="Tahoma" w:cs="Tahoma"/>
                <w:sz w:val="13"/>
                <w:szCs w:val="13"/>
              </w:rPr>
              <w:t>188</w:t>
            </w:r>
          </w:p>
        </w:tc>
        <w:tc>
          <w:tcPr>
            <w:tcW w:w="45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szCs w:val="13"/>
              </w:rPr>
            </w:pPr>
            <w:r w:rsidRPr="00A75DF9">
              <w:rPr>
                <w:rFonts w:ascii="Tahoma" w:hAnsi="Tahoma" w:cs="Tahoma"/>
                <w:sz w:val="13"/>
                <w:szCs w:val="13"/>
              </w:rPr>
              <w:t>150</w:t>
            </w:r>
          </w:p>
        </w:tc>
        <w:tc>
          <w:tcPr>
            <w:tcW w:w="450" w:type="dxa"/>
            <w:gridSpan w:val="3"/>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szCs w:val="13"/>
              </w:rPr>
            </w:pPr>
            <w:r w:rsidRPr="00A75DF9">
              <w:rPr>
                <w:rFonts w:ascii="Tahoma" w:hAnsi="Tahoma" w:cs="Tahoma"/>
                <w:sz w:val="13"/>
                <w:szCs w:val="13"/>
              </w:rPr>
              <w:t>113</w:t>
            </w:r>
          </w:p>
        </w:tc>
        <w:tc>
          <w:tcPr>
            <w:tcW w:w="44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szCs w:val="13"/>
                <w:lang w:eastAsia="ja-JP"/>
              </w:rPr>
            </w:pPr>
            <w:r w:rsidRPr="00A75DF9">
              <w:rPr>
                <w:rFonts w:ascii="Tahoma" w:hAnsi="Tahoma" w:cs="Tahoma"/>
                <w:sz w:val="13"/>
                <w:szCs w:val="13"/>
              </w:rPr>
              <w:t>113</w:t>
            </w: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szCs w:val="13"/>
              </w:rPr>
            </w:pPr>
            <w:r w:rsidRPr="00A75DF9">
              <w:rPr>
                <w:rFonts w:ascii="Tahoma" w:hAnsi="Tahoma" w:cs="Tahoma"/>
                <w:sz w:val="13"/>
                <w:szCs w:val="13"/>
              </w:rPr>
              <w:t>75</w:t>
            </w:r>
          </w:p>
        </w:tc>
        <w:tc>
          <w:tcPr>
            <w:tcW w:w="374"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szCs w:val="13"/>
                <w:lang w:eastAsia="ja-JP"/>
              </w:rPr>
            </w:pPr>
            <w:r w:rsidRPr="00A75DF9">
              <w:rPr>
                <w:rFonts w:ascii="Tahoma" w:hAnsi="Tahoma" w:cs="Tahoma"/>
                <w:sz w:val="13"/>
                <w:szCs w:val="13"/>
              </w:rPr>
              <w:t>38</w:t>
            </w:r>
          </w:p>
        </w:tc>
        <w:tc>
          <w:tcPr>
            <w:tcW w:w="455"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szCs w:val="13"/>
                <w:lang w:eastAsia="ja-JP"/>
              </w:rPr>
            </w:pPr>
            <w:r w:rsidRPr="00A75DF9">
              <w:rPr>
                <w:rFonts w:ascii="Tahoma" w:hAnsi="Tahoma" w:cs="Tahoma"/>
                <w:sz w:val="13"/>
                <w:szCs w:val="13"/>
              </w:rPr>
              <w:t>75</w:t>
            </w: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szCs w:val="13"/>
                <w:lang w:eastAsia="ja-JP"/>
              </w:rPr>
            </w:pPr>
            <w:r w:rsidRPr="00A75DF9">
              <w:rPr>
                <w:rFonts w:ascii="Tahoma" w:hAnsi="Tahoma" w:cs="Tahoma"/>
                <w:sz w:val="13"/>
                <w:szCs w:val="13"/>
              </w:rPr>
              <w:t>150</w:t>
            </w: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szCs w:val="13"/>
                <w:lang w:eastAsia="ja-JP"/>
              </w:rPr>
            </w:pPr>
            <w:r w:rsidRPr="00A75DF9">
              <w:rPr>
                <w:rFonts w:ascii="Tahoma" w:hAnsi="Tahoma" w:cs="Tahoma"/>
                <w:sz w:val="13"/>
                <w:szCs w:val="13"/>
              </w:rPr>
              <w:t>75</w:t>
            </w:r>
          </w:p>
        </w:tc>
        <w:tc>
          <w:tcPr>
            <w:tcW w:w="450"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szCs w:val="13"/>
                <w:lang w:eastAsia="ja-JP"/>
              </w:rPr>
            </w:pPr>
            <w:r w:rsidRPr="00A75DF9">
              <w:rPr>
                <w:rFonts w:ascii="Tahoma" w:hAnsi="Tahoma" w:cs="Tahoma"/>
                <w:sz w:val="13"/>
                <w:szCs w:val="13"/>
              </w:rPr>
              <w:t>75</w:t>
            </w: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C</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539"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OL/OV</w:t>
            </w:r>
          </w:p>
        </w:tc>
      </w:tr>
      <w:tr w:rsidR="0054609D" w:rsidRPr="00A75DF9" w:rsidTr="008A1262">
        <w:trPr>
          <w:trHeight w:val="145"/>
        </w:trPr>
        <w:tc>
          <w:tcPr>
            <w:tcW w:w="2724" w:type="dxa"/>
            <w:gridSpan w:val="2"/>
            <w:tcBorders>
              <w:bottom w:val="single" w:sz="4" w:space="0" w:color="auto"/>
            </w:tcBorders>
            <w:shd w:val="clear" w:color="auto" w:fill="auto"/>
            <w:vAlign w:val="center"/>
          </w:tcPr>
          <w:p w:rsidR="0054609D" w:rsidRPr="00A75DF9" w:rsidRDefault="0054609D" w:rsidP="008B1245">
            <w:pPr>
              <w:pStyle w:val="ProductNames"/>
              <w:spacing w:beforeLines="20" w:before="48" w:afterLines="20" w:after="48"/>
              <w:rPr>
                <w:rFonts w:ascii="Tahoma" w:hAnsi="Tahoma" w:cs="Tahoma"/>
                <w:color w:val="000000"/>
                <w:sz w:val="14"/>
                <w:szCs w:val="18"/>
              </w:rPr>
            </w:pPr>
            <w:bookmarkStart w:id="185" w:name="_Toc368309950"/>
            <w:r w:rsidRPr="00A75DF9">
              <w:rPr>
                <w:rFonts w:ascii="Tahoma" w:hAnsi="Tahoma" w:cs="Tahoma"/>
                <w:color w:val="000000"/>
                <w:sz w:val="14"/>
                <w:szCs w:val="18"/>
              </w:rPr>
              <w:t>Duet Enterprise 2.0</w:t>
            </w:r>
            <w:bookmarkEnd w:id="185"/>
          </w:p>
        </w:tc>
        <w:tc>
          <w:tcPr>
            <w:tcW w:w="448" w:type="dxa"/>
            <w:tcBorders>
              <w:bottom w:val="single" w:sz="4" w:space="0" w:color="auto"/>
            </w:tcBorders>
            <w:shd w:val="clear" w:color="auto" w:fill="auto"/>
            <w:vAlign w:val="center"/>
          </w:tcPr>
          <w:p w:rsidR="0054609D" w:rsidRPr="00337A7D" w:rsidDel="00132E08" w:rsidRDefault="00B54770" w:rsidP="00E0507D">
            <w:pPr>
              <w:pStyle w:val="TableText"/>
              <w:widowControl w:val="0"/>
              <w:rPr>
                <w:rFonts w:cs="Tahoma"/>
                <w:b/>
                <w:sz w:val="13"/>
                <w:szCs w:val="13"/>
              </w:rPr>
            </w:pPr>
            <w:hyperlink w:anchor="_44_Duet_Enterprise" w:history="1">
              <w:r w:rsidR="00734B17" w:rsidRPr="00337A7D">
                <w:rPr>
                  <w:rStyle w:val="Hyperlink"/>
                  <w:rFonts w:cs="Tahoma"/>
                  <w:b/>
                  <w:sz w:val="13"/>
                  <w:szCs w:val="13"/>
                </w:rPr>
                <w:t>45</w:t>
              </w:r>
            </w:hyperlink>
          </w:p>
        </w:tc>
        <w:tc>
          <w:tcPr>
            <w:tcW w:w="449" w:type="dxa"/>
            <w:tcBorders>
              <w:bottom w:val="single" w:sz="4" w:space="0" w:color="auto"/>
            </w:tcBorders>
            <w:shd w:val="clear" w:color="auto" w:fill="auto"/>
            <w:vAlign w:val="center"/>
          </w:tcPr>
          <w:p w:rsidR="0054609D" w:rsidRPr="00A75DF9" w:rsidRDefault="0054609D" w:rsidP="001A63C6">
            <w:pPr>
              <w:pStyle w:val="TableText"/>
              <w:widowControl w:val="0"/>
              <w:rPr>
                <w:rFonts w:ascii="Tahoma" w:hAnsi="Tahoma" w:cs="Tahoma"/>
                <w:sz w:val="13"/>
              </w:rPr>
            </w:pPr>
          </w:p>
        </w:tc>
        <w:tc>
          <w:tcPr>
            <w:tcW w:w="359" w:type="dxa"/>
            <w:tcBorders>
              <w:bottom w:val="single" w:sz="4" w:space="0" w:color="auto"/>
              <w:right w:val="single" w:sz="18" w:space="0" w:color="auto"/>
            </w:tcBorders>
            <w:shd w:val="clear" w:color="auto" w:fill="auto"/>
            <w:vAlign w:val="center"/>
          </w:tcPr>
          <w:p w:rsidR="0054609D" w:rsidRPr="00A75DF9" w:rsidRDefault="0054609D" w:rsidP="001A63C6">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auto"/>
            <w:vAlign w:val="center"/>
          </w:tcPr>
          <w:p w:rsidR="0054609D" w:rsidRPr="00A75DF9"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4609D" w:rsidRPr="00A75DF9" w:rsidRDefault="0054609D" w:rsidP="001A63C6">
            <w:pPr>
              <w:pStyle w:val="TableText"/>
              <w:widowControl w:val="0"/>
              <w:rPr>
                <w:rFonts w:ascii="Tahoma" w:hAnsi="Tahoma" w:cs="Tahoma"/>
                <w:sz w:val="13"/>
              </w:rPr>
            </w:pPr>
          </w:p>
        </w:tc>
        <w:tc>
          <w:tcPr>
            <w:tcW w:w="455" w:type="dxa"/>
            <w:tcBorders>
              <w:bottom w:val="single" w:sz="4" w:space="0" w:color="auto"/>
            </w:tcBorders>
            <w:shd w:val="clear" w:color="auto" w:fill="auto"/>
            <w:vAlign w:val="center"/>
          </w:tcPr>
          <w:p w:rsidR="0054609D" w:rsidRPr="00A75DF9" w:rsidRDefault="0054609D"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54609D" w:rsidRPr="00A75DF9" w:rsidRDefault="0054609D" w:rsidP="001A63C6">
            <w:pPr>
              <w:pStyle w:val="TableText"/>
              <w:widowControl w:val="0"/>
              <w:rPr>
                <w:rFonts w:ascii="Tahoma" w:hAnsi="Tahoma" w:cs="Tahoma"/>
                <w:sz w:val="13"/>
              </w:rPr>
            </w:pPr>
          </w:p>
        </w:tc>
        <w:tc>
          <w:tcPr>
            <w:tcW w:w="445" w:type="dxa"/>
            <w:tcBorders>
              <w:bottom w:val="single" w:sz="4" w:space="0" w:color="auto"/>
            </w:tcBorders>
            <w:shd w:val="clear" w:color="auto" w:fill="auto"/>
            <w:vAlign w:val="center"/>
          </w:tcPr>
          <w:p w:rsidR="0054609D" w:rsidRPr="00A75DF9"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4609D" w:rsidRPr="00A75DF9" w:rsidRDefault="0054609D" w:rsidP="001A63C6">
            <w:pPr>
              <w:pStyle w:val="TableText"/>
              <w:widowControl w:val="0"/>
              <w:rPr>
                <w:rFonts w:ascii="Tahoma" w:hAnsi="Tahoma" w:cs="Tahoma"/>
                <w:sz w:val="13"/>
              </w:rPr>
            </w:pPr>
          </w:p>
        </w:tc>
        <w:tc>
          <w:tcPr>
            <w:tcW w:w="374" w:type="dxa"/>
            <w:tcBorders>
              <w:bottom w:val="single" w:sz="4" w:space="0" w:color="auto"/>
              <w:right w:val="single" w:sz="18" w:space="0" w:color="auto"/>
            </w:tcBorders>
            <w:shd w:val="clear" w:color="auto" w:fill="auto"/>
            <w:vAlign w:val="center"/>
          </w:tcPr>
          <w:p w:rsidR="0054609D" w:rsidRPr="00A75DF9" w:rsidRDefault="0054609D" w:rsidP="001A63C6">
            <w:pPr>
              <w:pStyle w:val="TableText"/>
              <w:widowControl w:val="0"/>
              <w:rPr>
                <w:rFonts w:ascii="Tahoma" w:hAnsi="Tahoma" w:cs="Tahoma"/>
                <w:sz w:val="13"/>
              </w:rPr>
            </w:pPr>
          </w:p>
        </w:tc>
        <w:tc>
          <w:tcPr>
            <w:tcW w:w="455" w:type="dxa"/>
            <w:tcBorders>
              <w:left w:val="single" w:sz="18" w:space="0" w:color="auto"/>
              <w:bottom w:val="single" w:sz="4" w:space="0" w:color="auto"/>
            </w:tcBorders>
            <w:shd w:val="clear" w:color="auto" w:fill="auto"/>
            <w:vAlign w:val="center"/>
          </w:tcPr>
          <w:p w:rsidR="0054609D" w:rsidRPr="00A75DF9"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4609D" w:rsidRPr="00A75DF9" w:rsidRDefault="0054609D"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4609D" w:rsidRPr="00A75DF9" w:rsidRDefault="0054609D"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4609D" w:rsidRPr="00A75DF9" w:rsidRDefault="0054609D"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4609D" w:rsidRPr="00A75DF9" w:rsidRDefault="0054609D"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54609D" w:rsidRPr="00A75DF9" w:rsidRDefault="0054609D"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54609D" w:rsidRPr="00A75DF9" w:rsidRDefault="0054609D" w:rsidP="001A63C6">
            <w:pPr>
              <w:pStyle w:val="TableText"/>
              <w:widowControl w:val="0"/>
              <w:rPr>
                <w:rFonts w:ascii="Tahoma" w:hAnsi="Tahoma" w:cs="Tahoma"/>
                <w:sz w:val="13"/>
              </w:rPr>
            </w:pPr>
          </w:p>
        </w:tc>
        <w:tc>
          <w:tcPr>
            <w:tcW w:w="539" w:type="dxa"/>
            <w:tcBorders>
              <w:bottom w:val="single" w:sz="4" w:space="0" w:color="auto"/>
            </w:tcBorders>
            <w:shd w:val="clear" w:color="auto" w:fill="auto"/>
            <w:vAlign w:val="center"/>
          </w:tcPr>
          <w:p w:rsidR="0054609D" w:rsidRPr="00A75DF9" w:rsidRDefault="0054609D" w:rsidP="001A63C6">
            <w:pPr>
              <w:pStyle w:val="TableText"/>
              <w:widowControl w:val="0"/>
              <w:jc w:val="left"/>
              <w:rPr>
                <w:rFonts w:ascii="Tahoma" w:hAnsi="Tahoma" w:cs="Tahoma"/>
                <w:sz w:val="13"/>
              </w:rPr>
            </w:pPr>
          </w:p>
        </w:tc>
      </w:tr>
      <w:tr w:rsidR="006900D9" w:rsidRPr="00A75DF9" w:rsidTr="008A1262">
        <w:trPr>
          <w:trHeight w:val="145"/>
        </w:trPr>
        <w:tc>
          <w:tcPr>
            <w:tcW w:w="2724" w:type="dxa"/>
            <w:gridSpan w:val="2"/>
            <w:tcBorders>
              <w:bottom w:val="single" w:sz="4" w:space="0" w:color="auto"/>
            </w:tcBorders>
            <w:shd w:val="clear" w:color="auto" w:fill="FABF8F"/>
            <w:vAlign w:val="center"/>
          </w:tcPr>
          <w:p w:rsidR="001A63C6" w:rsidRPr="00A75DF9" w:rsidRDefault="001A63C6" w:rsidP="008B1245">
            <w:pPr>
              <w:pStyle w:val="ProductNames"/>
              <w:spacing w:beforeLines="20" w:before="48" w:afterLines="20" w:after="48"/>
              <w:rPr>
                <w:rFonts w:ascii="Tahoma" w:hAnsi="Tahoma" w:cs="Tahoma"/>
                <w:sz w:val="14"/>
              </w:rPr>
            </w:pPr>
            <w:bookmarkStart w:id="186" w:name="_Toc336337942"/>
            <w:bookmarkStart w:id="187" w:name="_Toc368309951"/>
            <w:r w:rsidRPr="00A75DF9">
              <w:rPr>
                <w:rFonts w:ascii="Tahoma" w:hAnsi="Tahoma" w:cs="Tahoma"/>
                <w:sz w:val="14"/>
              </w:rPr>
              <w:t>Enterprise CAL Suite Bridge per Office 365 (Utente e Dispositivo)</w:t>
            </w:r>
            <w:bookmarkEnd w:id="186"/>
            <w:bookmarkEnd w:id="187"/>
          </w:p>
        </w:tc>
        <w:tc>
          <w:tcPr>
            <w:tcW w:w="448" w:type="dxa"/>
            <w:tcBorders>
              <w:bottom w:val="single" w:sz="4" w:space="0" w:color="auto"/>
            </w:tcBorders>
            <w:shd w:val="clear" w:color="auto" w:fill="FABF8F"/>
            <w:vAlign w:val="center"/>
          </w:tcPr>
          <w:p w:rsidR="001A63C6" w:rsidRPr="00337A7D" w:rsidRDefault="00B54770">
            <w:pPr>
              <w:pStyle w:val="TableText"/>
              <w:widowControl w:val="0"/>
              <w:rPr>
                <w:rFonts w:cs="Tahoma"/>
                <w:b/>
                <w:color w:val="0000FF"/>
                <w:sz w:val="13"/>
                <w:szCs w:val="13"/>
                <w:u w:val="single"/>
              </w:rPr>
            </w:pPr>
            <w:hyperlink w:anchor="_46_Enterprise_CAL" w:history="1">
              <w:r w:rsidR="00734B17" w:rsidRPr="00337A7D">
                <w:rPr>
                  <w:rStyle w:val="Hyperlink"/>
                  <w:rFonts w:cs="Tahoma"/>
                  <w:b/>
                  <w:sz w:val="13"/>
                  <w:szCs w:val="13"/>
                </w:rPr>
                <w:t>46</w:t>
              </w:r>
            </w:hyperlink>
          </w:p>
        </w:tc>
        <w:tc>
          <w:tcPr>
            <w:tcW w:w="449" w:type="dxa"/>
            <w:tcBorders>
              <w:bottom w:val="single" w:sz="4" w:space="0" w:color="auto"/>
            </w:tcBorders>
            <w:shd w:val="clear" w:color="auto" w:fill="FABF8F"/>
            <w:vAlign w:val="center"/>
          </w:tcPr>
          <w:p w:rsidR="001A63C6" w:rsidRPr="00A75DF9" w:rsidRDefault="001A63C6" w:rsidP="001A63C6">
            <w:pPr>
              <w:pStyle w:val="TableText"/>
              <w:widowControl w:val="0"/>
              <w:spacing w:before="40"/>
              <w:rPr>
                <w:rFonts w:ascii="Tahoma" w:hAnsi="Tahoma" w:cs="Tahoma"/>
                <w:sz w:val="13"/>
              </w:rPr>
            </w:pPr>
            <w:r w:rsidRPr="00A75DF9">
              <w:rPr>
                <w:rFonts w:ascii="Tahoma" w:hAnsi="Tahoma" w:cs="Tahoma"/>
                <w:sz w:val="13"/>
              </w:rPr>
              <w:t>06/11</w:t>
            </w:r>
          </w:p>
        </w:tc>
        <w:tc>
          <w:tcPr>
            <w:tcW w:w="359"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FABF8F"/>
            <w:vAlign w:val="bottom"/>
          </w:tcPr>
          <w:p w:rsidR="001A63C6" w:rsidRPr="00A75DF9"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A75DF9" w:rsidRDefault="001A63C6" w:rsidP="001A63C6">
            <w:pPr>
              <w:pStyle w:val="TableText"/>
              <w:widowControl w:val="0"/>
              <w:rPr>
                <w:rFonts w:ascii="Tahoma" w:hAnsi="Tahoma" w:cs="Tahoma"/>
                <w:sz w:val="13"/>
                <w:szCs w:val="13"/>
              </w:rPr>
            </w:pPr>
          </w:p>
        </w:tc>
        <w:tc>
          <w:tcPr>
            <w:tcW w:w="455" w:type="dxa"/>
            <w:tcBorders>
              <w:bottom w:val="single" w:sz="4" w:space="0" w:color="auto"/>
            </w:tcBorders>
            <w:shd w:val="clear" w:color="auto" w:fill="FABF8F"/>
            <w:vAlign w:val="bottom"/>
          </w:tcPr>
          <w:p w:rsidR="001A63C6" w:rsidRPr="00A75DF9" w:rsidRDefault="001A63C6"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FABF8F"/>
            <w:vAlign w:val="bottom"/>
          </w:tcPr>
          <w:p w:rsidR="001A63C6" w:rsidRPr="00A75DF9" w:rsidRDefault="001A63C6" w:rsidP="001A63C6">
            <w:pPr>
              <w:pStyle w:val="TableText"/>
              <w:widowControl w:val="0"/>
              <w:rPr>
                <w:rFonts w:ascii="Tahoma" w:hAnsi="Tahoma" w:cs="Tahoma"/>
                <w:sz w:val="13"/>
                <w:szCs w:val="13"/>
              </w:rPr>
            </w:pPr>
          </w:p>
        </w:tc>
        <w:tc>
          <w:tcPr>
            <w:tcW w:w="445" w:type="dxa"/>
            <w:tcBorders>
              <w:bottom w:val="single" w:sz="4" w:space="0" w:color="auto"/>
            </w:tcBorders>
            <w:shd w:val="clear" w:color="auto" w:fill="FABF8F"/>
            <w:vAlign w:val="bottom"/>
          </w:tcPr>
          <w:p w:rsidR="001A63C6" w:rsidRPr="00A75DF9"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A75DF9" w:rsidRDefault="001A63C6" w:rsidP="001A63C6">
            <w:pPr>
              <w:pStyle w:val="TableText"/>
              <w:widowControl w:val="0"/>
              <w:rPr>
                <w:rFonts w:ascii="Tahoma" w:hAnsi="Tahoma" w:cs="Tahoma"/>
                <w:sz w:val="13"/>
                <w:szCs w:val="13"/>
              </w:rPr>
            </w:pPr>
          </w:p>
        </w:tc>
        <w:tc>
          <w:tcPr>
            <w:tcW w:w="374" w:type="dxa"/>
            <w:tcBorders>
              <w:bottom w:val="single" w:sz="4" w:space="0" w:color="auto"/>
              <w:right w:val="single" w:sz="18" w:space="0" w:color="auto"/>
            </w:tcBorders>
            <w:shd w:val="clear" w:color="auto" w:fill="FABF8F"/>
            <w:vAlign w:val="bottom"/>
          </w:tcPr>
          <w:p w:rsidR="001A63C6" w:rsidRPr="00A75DF9" w:rsidRDefault="001A63C6" w:rsidP="001A63C6">
            <w:pPr>
              <w:pStyle w:val="TableText"/>
              <w:widowControl w:val="0"/>
              <w:rPr>
                <w:rFonts w:ascii="Tahoma" w:hAnsi="Tahoma" w:cs="Tahoma"/>
                <w:sz w:val="13"/>
                <w:szCs w:val="13"/>
              </w:rPr>
            </w:pPr>
          </w:p>
        </w:tc>
        <w:tc>
          <w:tcPr>
            <w:tcW w:w="455" w:type="dxa"/>
            <w:tcBorders>
              <w:left w:val="single" w:sz="18" w:space="0" w:color="auto"/>
              <w:bottom w:val="single" w:sz="4" w:space="0" w:color="auto"/>
            </w:tcBorders>
            <w:shd w:val="clear" w:color="auto" w:fill="FABF8F"/>
            <w:vAlign w:val="bottom"/>
          </w:tcPr>
          <w:p w:rsidR="001A63C6" w:rsidRPr="00A75DF9"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bottom"/>
          </w:tcPr>
          <w:p w:rsidR="001A63C6" w:rsidRPr="00A75DF9"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bottom"/>
          </w:tcPr>
          <w:p w:rsidR="001A63C6" w:rsidRPr="00A75DF9"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E</w:t>
            </w:r>
          </w:p>
        </w:tc>
        <w:tc>
          <w:tcPr>
            <w:tcW w:w="450" w:type="dxa"/>
            <w:tcBorders>
              <w:bottom w:val="single" w:sz="4" w:space="0" w:color="auto"/>
            </w:tcBorders>
            <w:shd w:val="clear" w:color="auto" w:fill="FABF8F"/>
          </w:tcPr>
          <w:p w:rsidR="001A63C6" w:rsidRPr="00A75DF9" w:rsidRDefault="001A63C6" w:rsidP="001A63C6">
            <w:pPr>
              <w:pStyle w:val="TableText"/>
              <w:widowControl w:val="0"/>
              <w:rPr>
                <w:rFonts w:ascii="Tahoma" w:hAnsi="Tahoma" w:cs="Tahoma"/>
                <w:sz w:val="13"/>
              </w:rPr>
            </w:pPr>
          </w:p>
        </w:tc>
        <w:tc>
          <w:tcPr>
            <w:tcW w:w="539"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r>
      <w:tr w:rsidR="00383917" w:rsidRPr="00A75DF9" w:rsidTr="008A1262">
        <w:trPr>
          <w:trHeight w:val="145"/>
        </w:trPr>
        <w:tc>
          <w:tcPr>
            <w:tcW w:w="2724" w:type="dxa"/>
            <w:gridSpan w:val="2"/>
            <w:tcBorders>
              <w:bottom w:val="single" w:sz="4" w:space="0" w:color="auto"/>
            </w:tcBorders>
            <w:shd w:val="clear" w:color="auto" w:fill="auto"/>
            <w:vAlign w:val="center"/>
          </w:tcPr>
          <w:p w:rsidR="001A63C6" w:rsidRPr="00A75DF9" w:rsidRDefault="001A63C6" w:rsidP="008B1245">
            <w:pPr>
              <w:pStyle w:val="ProductNames"/>
              <w:spacing w:beforeLines="20" w:before="48" w:afterLines="20" w:after="48"/>
              <w:rPr>
                <w:rFonts w:ascii="Tahoma" w:hAnsi="Tahoma" w:cs="Tahoma"/>
                <w:sz w:val="14"/>
              </w:rPr>
            </w:pPr>
            <w:bookmarkStart w:id="188" w:name="_Toc336337943"/>
            <w:bookmarkStart w:id="189" w:name="_Toc368309952"/>
            <w:r w:rsidRPr="00A75DF9">
              <w:rPr>
                <w:rFonts w:ascii="Tahoma" w:hAnsi="Tahoma" w:cs="Tahoma"/>
                <w:sz w:val="14"/>
              </w:rPr>
              <w:t>Enterprise CAL Suite Bridge per Office 365 e Windows</w:t>
            </w:r>
            <w:r w:rsidR="009D5D7B" w:rsidRPr="00A75DF9">
              <w:rPr>
                <w:rFonts w:ascii="Tahoma" w:hAnsi="Tahoma" w:cs="Tahoma"/>
                <w:sz w:val="14"/>
                <w:vertAlign w:val="superscript"/>
              </w:rPr>
              <w:t>®</w:t>
            </w:r>
            <w:r w:rsidRPr="00A75DF9">
              <w:rPr>
                <w:rFonts w:ascii="Tahoma" w:hAnsi="Tahoma" w:cs="Tahoma"/>
                <w:sz w:val="14"/>
              </w:rPr>
              <w:t xml:space="preserve"> Intune (Utente e Dispositivo)</w:t>
            </w:r>
            <w:bookmarkEnd w:id="188"/>
            <w:bookmarkEnd w:id="189"/>
          </w:p>
        </w:tc>
        <w:tc>
          <w:tcPr>
            <w:tcW w:w="448" w:type="dxa"/>
            <w:tcBorders>
              <w:bottom w:val="single" w:sz="4" w:space="0" w:color="auto"/>
            </w:tcBorders>
            <w:shd w:val="clear" w:color="auto" w:fill="auto"/>
            <w:vAlign w:val="center"/>
          </w:tcPr>
          <w:p w:rsidR="001A63C6" w:rsidRPr="00337A7D" w:rsidRDefault="00B54770">
            <w:pPr>
              <w:pStyle w:val="TableText"/>
              <w:widowControl w:val="0"/>
              <w:rPr>
                <w:rFonts w:cs="Tahoma"/>
                <w:b/>
                <w:color w:val="0000FF"/>
                <w:sz w:val="13"/>
                <w:szCs w:val="13"/>
                <w:u w:val="single"/>
              </w:rPr>
            </w:pPr>
            <w:hyperlink w:anchor="_46_Enterprise_CAL" w:history="1">
              <w:r w:rsidR="00734B17" w:rsidRPr="00337A7D">
                <w:rPr>
                  <w:rStyle w:val="Hyperlink"/>
                  <w:rFonts w:cs="Tahoma"/>
                  <w:b/>
                  <w:sz w:val="13"/>
                  <w:szCs w:val="13"/>
                </w:rPr>
                <w:t>46</w:t>
              </w:r>
            </w:hyperlink>
          </w:p>
        </w:tc>
        <w:tc>
          <w:tcPr>
            <w:tcW w:w="449" w:type="dxa"/>
            <w:tcBorders>
              <w:bottom w:val="single" w:sz="4" w:space="0" w:color="auto"/>
            </w:tcBorders>
            <w:shd w:val="clear" w:color="auto" w:fill="auto"/>
            <w:vAlign w:val="center"/>
          </w:tcPr>
          <w:p w:rsidR="001A63C6" w:rsidRPr="00A75DF9" w:rsidRDefault="001A63C6" w:rsidP="001A63C6">
            <w:pPr>
              <w:pStyle w:val="TableText"/>
              <w:widowControl w:val="0"/>
              <w:spacing w:before="40"/>
              <w:rPr>
                <w:rFonts w:ascii="Tahoma" w:hAnsi="Tahoma" w:cs="Tahoma"/>
                <w:sz w:val="13"/>
              </w:rPr>
            </w:pPr>
            <w:r w:rsidRPr="00A75DF9">
              <w:rPr>
                <w:rFonts w:ascii="Tahoma" w:hAnsi="Tahoma" w:cs="Tahoma"/>
                <w:sz w:val="13"/>
              </w:rPr>
              <w:t>06/11</w:t>
            </w:r>
          </w:p>
        </w:tc>
        <w:tc>
          <w:tcPr>
            <w:tcW w:w="359"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auto"/>
            <w:vAlign w:val="bottom"/>
          </w:tcPr>
          <w:p w:rsidR="001A63C6" w:rsidRPr="00A75DF9"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A75DF9" w:rsidRDefault="001A63C6" w:rsidP="001A63C6">
            <w:pPr>
              <w:pStyle w:val="TableText"/>
              <w:widowControl w:val="0"/>
              <w:rPr>
                <w:rFonts w:ascii="Tahoma" w:hAnsi="Tahoma" w:cs="Tahoma"/>
                <w:sz w:val="13"/>
                <w:szCs w:val="13"/>
              </w:rPr>
            </w:pPr>
          </w:p>
        </w:tc>
        <w:tc>
          <w:tcPr>
            <w:tcW w:w="455" w:type="dxa"/>
            <w:tcBorders>
              <w:bottom w:val="single" w:sz="4" w:space="0" w:color="auto"/>
            </w:tcBorders>
            <w:shd w:val="clear" w:color="auto" w:fill="auto"/>
            <w:vAlign w:val="bottom"/>
          </w:tcPr>
          <w:p w:rsidR="001A63C6" w:rsidRPr="00A75DF9" w:rsidRDefault="001A63C6" w:rsidP="001A63C6">
            <w:pPr>
              <w:pStyle w:val="TableText"/>
              <w:widowControl w:val="0"/>
              <w:rPr>
                <w:rFonts w:ascii="Tahoma" w:hAnsi="Tahoma" w:cs="Tahoma"/>
                <w:sz w:val="13"/>
                <w:szCs w:val="13"/>
              </w:rPr>
            </w:pPr>
          </w:p>
        </w:tc>
        <w:tc>
          <w:tcPr>
            <w:tcW w:w="450" w:type="dxa"/>
            <w:gridSpan w:val="3"/>
            <w:tcBorders>
              <w:bottom w:val="single" w:sz="4" w:space="0" w:color="auto"/>
            </w:tcBorders>
            <w:shd w:val="clear" w:color="auto" w:fill="auto"/>
            <w:vAlign w:val="bottom"/>
          </w:tcPr>
          <w:p w:rsidR="001A63C6" w:rsidRPr="00A75DF9" w:rsidRDefault="001A63C6" w:rsidP="001A63C6">
            <w:pPr>
              <w:pStyle w:val="TableText"/>
              <w:widowControl w:val="0"/>
              <w:rPr>
                <w:rFonts w:ascii="Tahoma" w:hAnsi="Tahoma" w:cs="Tahoma"/>
                <w:sz w:val="13"/>
                <w:szCs w:val="13"/>
              </w:rPr>
            </w:pPr>
          </w:p>
        </w:tc>
        <w:tc>
          <w:tcPr>
            <w:tcW w:w="445" w:type="dxa"/>
            <w:tcBorders>
              <w:bottom w:val="single" w:sz="4" w:space="0" w:color="auto"/>
            </w:tcBorders>
            <w:shd w:val="clear" w:color="auto" w:fill="auto"/>
            <w:vAlign w:val="bottom"/>
          </w:tcPr>
          <w:p w:rsidR="001A63C6" w:rsidRPr="00A75DF9"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A75DF9" w:rsidRDefault="001A63C6" w:rsidP="001A63C6">
            <w:pPr>
              <w:pStyle w:val="TableText"/>
              <w:widowControl w:val="0"/>
              <w:rPr>
                <w:rFonts w:ascii="Tahoma" w:hAnsi="Tahoma" w:cs="Tahoma"/>
                <w:sz w:val="13"/>
                <w:szCs w:val="13"/>
              </w:rPr>
            </w:pPr>
          </w:p>
        </w:tc>
        <w:tc>
          <w:tcPr>
            <w:tcW w:w="374" w:type="dxa"/>
            <w:tcBorders>
              <w:bottom w:val="single" w:sz="4" w:space="0" w:color="auto"/>
              <w:right w:val="single" w:sz="18" w:space="0" w:color="auto"/>
            </w:tcBorders>
            <w:shd w:val="clear" w:color="auto" w:fill="auto"/>
            <w:vAlign w:val="bottom"/>
          </w:tcPr>
          <w:p w:rsidR="001A63C6" w:rsidRPr="00A75DF9" w:rsidRDefault="001A63C6" w:rsidP="001A63C6">
            <w:pPr>
              <w:pStyle w:val="TableText"/>
              <w:widowControl w:val="0"/>
              <w:rPr>
                <w:rFonts w:ascii="Tahoma" w:hAnsi="Tahoma" w:cs="Tahoma"/>
                <w:sz w:val="13"/>
                <w:szCs w:val="13"/>
              </w:rPr>
            </w:pPr>
          </w:p>
        </w:tc>
        <w:tc>
          <w:tcPr>
            <w:tcW w:w="455" w:type="dxa"/>
            <w:tcBorders>
              <w:left w:val="single" w:sz="18" w:space="0" w:color="auto"/>
              <w:bottom w:val="single" w:sz="4" w:space="0" w:color="auto"/>
            </w:tcBorders>
            <w:shd w:val="clear" w:color="auto" w:fill="auto"/>
            <w:vAlign w:val="bottom"/>
          </w:tcPr>
          <w:p w:rsidR="001A63C6" w:rsidRPr="00A75DF9" w:rsidRDefault="001A63C6" w:rsidP="001A63C6">
            <w:pPr>
              <w:pStyle w:val="TableText"/>
              <w:widowControl w:val="0"/>
              <w:rPr>
                <w:rFonts w:ascii="Tahoma" w:hAnsi="Tahoma" w:cs="Tahoma"/>
                <w:sz w:val="13"/>
                <w:szCs w:val="13"/>
              </w:rPr>
            </w:pPr>
          </w:p>
        </w:tc>
        <w:tc>
          <w:tcPr>
            <w:tcW w:w="450" w:type="dxa"/>
            <w:tcBorders>
              <w:bottom w:val="single" w:sz="4" w:space="0" w:color="auto"/>
            </w:tcBorders>
            <w:shd w:val="clear" w:color="auto" w:fill="auto"/>
            <w:vAlign w:val="bottom"/>
          </w:tcPr>
          <w:p w:rsidR="001A63C6" w:rsidRPr="00A75DF9"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bottom"/>
          </w:tcPr>
          <w:p w:rsidR="001A63C6" w:rsidRPr="00A75DF9" w:rsidRDefault="001A63C6" w:rsidP="001A63C6">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E</w:t>
            </w:r>
          </w:p>
        </w:tc>
        <w:tc>
          <w:tcPr>
            <w:tcW w:w="450" w:type="dxa"/>
            <w:tcBorders>
              <w:bottom w:val="single" w:sz="4" w:space="0" w:color="auto"/>
            </w:tcBorders>
            <w:shd w:val="clear" w:color="auto" w:fill="auto"/>
          </w:tcPr>
          <w:p w:rsidR="001A63C6" w:rsidRPr="00A75DF9" w:rsidRDefault="001A63C6" w:rsidP="001A63C6">
            <w:pPr>
              <w:pStyle w:val="TableText"/>
              <w:widowControl w:val="0"/>
              <w:rPr>
                <w:rFonts w:ascii="Tahoma" w:hAnsi="Tahoma" w:cs="Tahoma"/>
                <w:sz w:val="13"/>
              </w:rPr>
            </w:pPr>
          </w:p>
        </w:tc>
        <w:tc>
          <w:tcPr>
            <w:tcW w:w="539"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r>
      <w:tr w:rsidR="006900D9" w:rsidRPr="00A75DF9" w:rsidTr="008A1262">
        <w:trPr>
          <w:trHeight w:val="278"/>
        </w:trPr>
        <w:tc>
          <w:tcPr>
            <w:tcW w:w="2724" w:type="dxa"/>
            <w:gridSpan w:val="2"/>
            <w:tcBorders>
              <w:bottom w:val="single" w:sz="4" w:space="0" w:color="auto"/>
            </w:tcBorders>
            <w:shd w:val="clear" w:color="auto" w:fill="FABF8F"/>
            <w:vAlign w:val="center"/>
          </w:tcPr>
          <w:p w:rsidR="001A63C6" w:rsidRPr="00A75DF9" w:rsidRDefault="001A63C6" w:rsidP="008B1245">
            <w:pPr>
              <w:pStyle w:val="ProductNames"/>
              <w:spacing w:beforeLines="20" w:before="48" w:afterLines="20" w:after="48"/>
              <w:rPr>
                <w:rFonts w:ascii="Tahoma" w:hAnsi="Tahoma" w:cs="Tahoma"/>
                <w:sz w:val="14"/>
              </w:rPr>
            </w:pPr>
            <w:bookmarkStart w:id="190" w:name="_Toc336337944"/>
            <w:bookmarkStart w:id="191" w:name="_Toc368309953"/>
            <w:r w:rsidRPr="00A75DF9">
              <w:rPr>
                <w:rFonts w:ascii="Tahoma" w:hAnsi="Tahoma" w:cs="Tahoma"/>
                <w:sz w:val="14"/>
              </w:rPr>
              <w:lastRenderedPageBreak/>
              <w:t>Enterprise CAL Suite Bridge per Windows</w:t>
            </w:r>
            <w:r w:rsidR="009D5D7B" w:rsidRPr="00A75DF9">
              <w:rPr>
                <w:rFonts w:ascii="Tahoma" w:hAnsi="Tahoma" w:cs="Tahoma"/>
                <w:sz w:val="14"/>
                <w:vertAlign w:val="superscript"/>
              </w:rPr>
              <w:t>®</w:t>
            </w:r>
            <w:r w:rsidRPr="00A75DF9">
              <w:rPr>
                <w:rFonts w:ascii="Tahoma" w:hAnsi="Tahoma" w:cs="Tahoma"/>
                <w:sz w:val="14"/>
              </w:rPr>
              <w:t xml:space="preserve"> Intune (Utente e Dispositivo)</w:t>
            </w:r>
            <w:bookmarkEnd w:id="190"/>
            <w:bookmarkEnd w:id="191"/>
          </w:p>
        </w:tc>
        <w:tc>
          <w:tcPr>
            <w:tcW w:w="448" w:type="dxa"/>
            <w:tcBorders>
              <w:bottom w:val="single" w:sz="4" w:space="0" w:color="auto"/>
            </w:tcBorders>
            <w:shd w:val="clear" w:color="auto" w:fill="FABF8F"/>
            <w:vAlign w:val="center"/>
          </w:tcPr>
          <w:p w:rsidR="001A63C6" w:rsidRPr="00337A7D" w:rsidRDefault="00B54770">
            <w:pPr>
              <w:pStyle w:val="TableText"/>
              <w:widowControl w:val="0"/>
              <w:rPr>
                <w:rFonts w:cs="Tahoma"/>
                <w:b/>
                <w:color w:val="0000FF"/>
                <w:sz w:val="13"/>
                <w:szCs w:val="13"/>
                <w:u w:val="single"/>
              </w:rPr>
            </w:pPr>
            <w:hyperlink w:anchor="_46_Enterprise_CAL" w:history="1">
              <w:r w:rsidR="00734B17" w:rsidRPr="00337A7D">
                <w:rPr>
                  <w:rStyle w:val="Hyperlink"/>
                  <w:rFonts w:cs="Tahoma"/>
                  <w:b/>
                  <w:sz w:val="13"/>
                  <w:szCs w:val="13"/>
                </w:rPr>
                <w:t>46</w:t>
              </w:r>
            </w:hyperlink>
            <w:hyperlink w:anchor="Srv_45EntCALBridgeWinIntune" w:history="1"/>
          </w:p>
        </w:tc>
        <w:tc>
          <w:tcPr>
            <w:tcW w:w="449" w:type="dxa"/>
            <w:tcBorders>
              <w:bottom w:val="single" w:sz="4" w:space="0" w:color="auto"/>
            </w:tcBorders>
            <w:shd w:val="clear" w:color="auto" w:fill="FABF8F"/>
            <w:vAlign w:val="center"/>
          </w:tcPr>
          <w:p w:rsidR="001A63C6" w:rsidRPr="00A75DF9" w:rsidRDefault="001A63C6" w:rsidP="001A63C6">
            <w:pPr>
              <w:pStyle w:val="TableText"/>
              <w:widowControl w:val="0"/>
              <w:spacing w:before="40"/>
              <w:rPr>
                <w:rFonts w:ascii="Tahoma" w:hAnsi="Tahoma" w:cs="Tahoma"/>
                <w:sz w:val="13"/>
              </w:rPr>
            </w:pPr>
            <w:r w:rsidRPr="00A75DF9">
              <w:rPr>
                <w:rFonts w:ascii="Tahoma" w:hAnsi="Tahoma" w:cs="Tahoma"/>
                <w:sz w:val="13"/>
              </w:rPr>
              <w:t>04/11</w:t>
            </w:r>
          </w:p>
        </w:tc>
        <w:tc>
          <w:tcPr>
            <w:tcW w:w="359"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bCs/>
                <w:color w:val="000000"/>
                <w:sz w:val="13"/>
              </w:rPr>
            </w:pPr>
          </w:p>
        </w:tc>
        <w:tc>
          <w:tcPr>
            <w:tcW w:w="45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bCs/>
                <w:color w:val="000000"/>
                <w:sz w:val="13"/>
              </w:rPr>
            </w:pPr>
          </w:p>
        </w:tc>
        <w:tc>
          <w:tcPr>
            <w:tcW w:w="450" w:type="dxa"/>
            <w:gridSpan w:val="3"/>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bCs/>
                <w:color w:val="000000"/>
                <w:sz w:val="13"/>
              </w:rPr>
            </w:pPr>
          </w:p>
        </w:tc>
        <w:tc>
          <w:tcPr>
            <w:tcW w:w="44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bCs/>
                <w:color w:val="000000"/>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bCs/>
                <w:color w:val="000000"/>
                <w:sz w:val="13"/>
              </w:rPr>
            </w:pPr>
          </w:p>
        </w:tc>
        <w:tc>
          <w:tcPr>
            <w:tcW w:w="374"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c>
          <w:tcPr>
            <w:tcW w:w="455"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539"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r>
      <w:tr w:rsidR="00383917" w:rsidRPr="00A75DF9" w:rsidTr="008A1262">
        <w:trPr>
          <w:trHeight w:val="145"/>
        </w:trPr>
        <w:tc>
          <w:tcPr>
            <w:tcW w:w="2724" w:type="dxa"/>
            <w:gridSpan w:val="2"/>
            <w:tcBorders>
              <w:bottom w:val="single" w:sz="4" w:space="0" w:color="auto"/>
            </w:tcBorders>
            <w:shd w:val="clear" w:color="auto" w:fill="auto"/>
            <w:vAlign w:val="center"/>
          </w:tcPr>
          <w:p w:rsidR="001A63C6" w:rsidRPr="00A75DF9" w:rsidRDefault="001A63C6" w:rsidP="008B1245">
            <w:pPr>
              <w:pStyle w:val="ProductNames"/>
              <w:spacing w:beforeLines="20" w:before="48" w:afterLines="20" w:after="48"/>
              <w:rPr>
                <w:rFonts w:ascii="Tahoma" w:hAnsi="Tahoma" w:cs="Tahoma"/>
                <w:sz w:val="14"/>
              </w:rPr>
            </w:pPr>
            <w:bookmarkStart w:id="192" w:name="_Toc336337945"/>
            <w:bookmarkStart w:id="193" w:name="_Toc368309954"/>
            <w:r w:rsidRPr="00A75DF9">
              <w:rPr>
                <w:rFonts w:ascii="Tahoma" w:hAnsi="Tahoma" w:cs="Tahoma"/>
                <w:sz w:val="14"/>
              </w:rPr>
              <w:t>Enterprise CAL Suite (Utente e Dispositivo)</w:t>
            </w:r>
            <w:bookmarkEnd w:id="192"/>
            <w:bookmarkEnd w:id="193"/>
            <w:r w:rsidRPr="00A75DF9">
              <w:rPr>
                <w:rFonts w:ascii="Tahoma" w:hAnsi="Tahoma" w:cs="Tahoma"/>
                <w:sz w:val="14"/>
              </w:rPr>
              <w:t xml:space="preserve"> </w:t>
            </w:r>
          </w:p>
        </w:tc>
        <w:tc>
          <w:tcPr>
            <w:tcW w:w="448" w:type="dxa"/>
            <w:tcBorders>
              <w:bottom w:val="single" w:sz="4" w:space="0" w:color="auto"/>
            </w:tcBorders>
            <w:shd w:val="clear" w:color="auto" w:fill="auto"/>
            <w:vAlign w:val="center"/>
          </w:tcPr>
          <w:p w:rsidR="001A63C6" w:rsidRPr="00337A7D" w:rsidRDefault="00B54770">
            <w:pPr>
              <w:pStyle w:val="TableText"/>
              <w:widowControl w:val="0"/>
              <w:rPr>
                <w:rStyle w:val="EndnoteReference"/>
                <w:rFonts w:cs="Tahoma"/>
                <w:color w:val="0000FF"/>
                <w:position w:val="-11"/>
                <w:sz w:val="13"/>
                <w:szCs w:val="13"/>
                <w:u w:val="single"/>
              </w:rPr>
            </w:pPr>
            <w:hyperlink w:anchor="_47_Enterprise_CAL" w:history="1">
              <w:r w:rsidR="00734B17" w:rsidRPr="00337A7D">
                <w:rPr>
                  <w:rStyle w:val="Hyperlink"/>
                  <w:rFonts w:cs="Tahoma"/>
                  <w:b/>
                  <w:sz w:val="13"/>
                  <w:szCs w:val="13"/>
                </w:rPr>
                <w:t>47</w:t>
              </w:r>
            </w:hyperlink>
          </w:p>
        </w:tc>
        <w:tc>
          <w:tcPr>
            <w:tcW w:w="449" w:type="dxa"/>
            <w:tcBorders>
              <w:bottom w:val="single" w:sz="4" w:space="0" w:color="auto"/>
            </w:tcBorders>
            <w:shd w:val="clear" w:color="auto" w:fill="auto"/>
            <w:vAlign w:val="center"/>
          </w:tcPr>
          <w:p w:rsidR="001A63C6" w:rsidRPr="00A75DF9" w:rsidRDefault="001A63C6" w:rsidP="001A63C6">
            <w:pPr>
              <w:pStyle w:val="TableText"/>
              <w:widowControl w:val="0"/>
              <w:spacing w:before="40"/>
              <w:rPr>
                <w:rFonts w:ascii="Tahoma" w:hAnsi="Tahoma" w:cs="Tahoma"/>
                <w:sz w:val="13"/>
              </w:rPr>
            </w:pPr>
            <w:r w:rsidRPr="00A75DF9">
              <w:rPr>
                <w:rFonts w:ascii="Tahoma" w:hAnsi="Tahoma" w:cs="Tahoma"/>
                <w:sz w:val="13"/>
              </w:rPr>
              <w:t>10/06</w:t>
            </w:r>
          </w:p>
        </w:tc>
        <w:tc>
          <w:tcPr>
            <w:tcW w:w="359"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SRV</w:t>
            </w:r>
          </w:p>
        </w:tc>
        <w:tc>
          <w:tcPr>
            <w:tcW w:w="356"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bCs/>
                <w:color w:val="000000"/>
                <w:sz w:val="13"/>
              </w:rPr>
              <w:t>13</w:t>
            </w:r>
          </w:p>
        </w:tc>
        <w:tc>
          <w:tcPr>
            <w:tcW w:w="455"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bCs/>
                <w:color w:val="000000"/>
                <w:sz w:val="13"/>
              </w:rPr>
              <w:t>10</w:t>
            </w:r>
          </w:p>
        </w:tc>
        <w:tc>
          <w:tcPr>
            <w:tcW w:w="450" w:type="dxa"/>
            <w:gridSpan w:val="3"/>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bCs/>
                <w:color w:val="000000"/>
                <w:sz w:val="13"/>
              </w:rPr>
              <w:t>8</w:t>
            </w:r>
          </w:p>
        </w:tc>
        <w:tc>
          <w:tcPr>
            <w:tcW w:w="445"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bCs/>
                <w:color w:val="000000"/>
                <w:sz w:val="13"/>
              </w:rPr>
              <w:t>8</w:t>
            </w: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bCs/>
                <w:color w:val="000000"/>
                <w:sz w:val="13"/>
              </w:rPr>
              <w:t>5</w:t>
            </w:r>
          </w:p>
        </w:tc>
        <w:tc>
          <w:tcPr>
            <w:tcW w:w="374"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color w:val="000000"/>
                <w:sz w:val="13"/>
              </w:rPr>
              <w:t>3</w:t>
            </w:r>
          </w:p>
        </w:tc>
        <w:tc>
          <w:tcPr>
            <w:tcW w:w="455"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 E</w:t>
            </w: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E</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E, P</w:t>
            </w: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E, ST</w:t>
            </w:r>
          </w:p>
        </w:tc>
        <w:tc>
          <w:tcPr>
            <w:tcW w:w="539"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r>
      <w:tr w:rsidR="006900D9" w:rsidRPr="00A75DF9" w:rsidTr="008A1262">
        <w:trPr>
          <w:trHeight w:val="145"/>
        </w:trPr>
        <w:tc>
          <w:tcPr>
            <w:tcW w:w="2724" w:type="dxa"/>
            <w:gridSpan w:val="2"/>
            <w:tcBorders>
              <w:bottom w:val="single" w:sz="4" w:space="0" w:color="auto"/>
            </w:tcBorders>
            <w:shd w:val="clear" w:color="auto" w:fill="FABF8F"/>
            <w:vAlign w:val="center"/>
          </w:tcPr>
          <w:p w:rsidR="001A63C6" w:rsidRPr="00A75DF9" w:rsidRDefault="001A63C6" w:rsidP="00337A7D">
            <w:pPr>
              <w:pStyle w:val="ProductNames"/>
              <w:rPr>
                <w:rFonts w:ascii="Tahoma" w:hAnsi="Tahoma" w:cs="Tahoma"/>
                <w:sz w:val="14"/>
              </w:rPr>
            </w:pPr>
            <w:bookmarkStart w:id="194" w:name="_Toc368309955"/>
            <w:r w:rsidRPr="00A75DF9">
              <w:rPr>
                <w:rFonts w:ascii="Tahoma" w:hAnsi="Tahoma" w:cs="Tahoma"/>
                <w:sz w:val="14"/>
              </w:rPr>
              <w:t>Enterprise CAL per Exchange 2013 con</w:t>
            </w:r>
            <w:r w:rsidR="00337A7D">
              <w:rPr>
                <w:rFonts w:ascii="Tahoma" w:hAnsi="Tahoma" w:cs="Tahoma"/>
                <w:sz w:val="14"/>
              </w:rPr>
              <w:t> </w:t>
            </w:r>
            <w:r w:rsidRPr="00A75DF9">
              <w:rPr>
                <w:rFonts w:ascii="Tahoma" w:hAnsi="Tahoma" w:cs="Tahoma"/>
                <w:sz w:val="14"/>
              </w:rPr>
              <w:t>Servizi</w:t>
            </w:r>
            <w:bookmarkEnd w:id="194"/>
          </w:p>
        </w:tc>
        <w:tc>
          <w:tcPr>
            <w:tcW w:w="448" w:type="dxa"/>
            <w:tcBorders>
              <w:bottom w:val="single" w:sz="4" w:space="0" w:color="auto"/>
            </w:tcBorders>
            <w:shd w:val="clear" w:color="auto" w:fill="FABF8F"/>
            <w:vAlign w:val="center"/>
          </w:tcPr>
          <w:p w:rsidR="001A63C6" w:rsidRPr="00337A7D" w:rsidRDefault="00B54770">
            <w:pPr>
              <w:pStyle w:val="TableText"/>
              <w:widowControl w:val="0"/>
              <w:rPr>
                <w:rFonts w:cs="Tahoma"/>
                <w:b/>
                <w:sz w:val="13"/>
                <w:szCs w:val="13"/>
                <w:u w:val="single"/>
              </w:rPr>
            </w:pPr>
            <w:hyperlink w:anchor="_48_Exchange_Enterprise" w:history="1">
              <w:r w:rsidR="00734B17" w:rsidRPr="00337A7D">
                <w:rPr>
                  <w:rStyle w:val="Hyperlink"/>
                  <w:rFonts w:cs="Tahoma"/>
                  <w:b/>
                  <w:sz w:val="13"/>
                  <w:szCs w:val="13"/>
                </w:rPr>
                <w:t>48</w:t>
              </w:r>
            </w:hyperlink>
          </w:p>
        </w:tc>
        <w:tc>
          <w:tcPr>
            <w:tcW w:w="449" w:type="dxa"/>
            <w:tcBorders>
              <w:bottom w:val="single" w:sz="4" w:space="0" w:color="auto"/>
            </w:tcBorders>
            <w:shd w:val="clear" w:color="auto" w:fill="FABF8F"/>
            <w:vAlign w:val="center"/>
          </w:tcPr>
          <w:p w:rsidR="001A63C6" w:rsidRPr="00A75DF9" w:rsidRDefault="001A63C6" w:rsidP="001A63C6">
            <w:pPr>
              <w:pStyle w:val="TableText"/>
              <w:widowControl w:val="0"/>
              <w:spacing w:before="40"/>
              <w:rPr>
                <w:rFonts w:ascii="Tahoma" w:hAnsi="Tahoma" w:cs="Tahoma"/>
                <w:sz w:val="13"/>
              </w:rPr>
            </w:pPr>
            <w:r w:rsidRPr="00A75DF9">
              <w:rPr>
                <w:rFonts w:ascii="Tahoma" w:hAnsi="Tahoma" w:cs="Tahoma"/>
                <w:sz w:val="13"/>
              </w:rPr>
              <w:t>10/12</w:t>
            </w:r>
          </w:p>
        </w:tc>
        <w:tc>
          <w:tcPr>
            <w:tcW w:w="359"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w:t>
            </w: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bCs/>
                <w:color w:val="000000"/>
                <w:sz w:val="13"/>
              </w:rPr>
            </w:pPr>
            <w:r w:rsidRPr="00A75DF9">
              <w:rPr>
                <w:rFonts w:ascii="Tahoma" w:hAnsi="Tahoma" w:cs="Tahoma"/>
                <w:bCs/>
                <w:color w:val="000000"/>
                <w:sz w:val="13"/>
              </w:rPr>
              <w:t>3</w:t>
            </w:r>
          </w:p>
        </w:tc>
        <w:tc>
          <w:tcPr>
            <w:tcW w:w="45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bCs/>
                <w:color w:val="000000"/>
                <w:sz w:val="13"/>
              </w:rPr>
            </w:pPr>
            <w:r w:rsidRPr="00A75DF9">
              <w:rPr>
                <w:rFonts w:ascii="Tahoma" w:hAnsi="Tahoma" w:cs="Tahoma"/>
                <w:bCs/>
                <w:color w:val="000000"/>
                <w:sz w:val="13"/>
              </w:rPr>
              <w:t>2</w:t>
            </w:r>
          </w:p>
        </w:tc>
        <w:tc>
          <w:tcPr>
            <w:tcW w:w="450" w:type="dxa"/>
            <w:gridSpan w:val="3"/>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bCs/>
                <w:color w:val="000000"/>
                <w:sz w:val="13"/>
              </w:rPr>
            </w:pPr>
            <w:r w:rsidRPr="00A75DF9">
              <w:rPr>
                <w:rFonts w:ascii="Tahoma" w:hAnsi="Tahoma" w:cs="Tahoma"/>
                <w:bCs/>
                <w:color w:val="000000"/>
                <w:sz w:val="13"/>
              </w:rPr>
              <w:t>2</w:t>
            </w:r>
          </w:p>
        </w:tc>
        <w:tc>
          <w:tcPr>
            <w:tcW w:w="44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bCs/>
                <w:color w:val="000000"/>
                <w:sz w:val="13"/>
              </w:rPr>
            </w:pPr>
            <w:r w:rsidRPr="00A75DF9">
              <w:rPr>
                <w:rFonts w:ascii="Tahoma" w:hAnsi="Tahoma" w:cs="Tahoma"/>
                <w:bCs/>
                <w:color w:val="000000"/>
                <w:sz w:val="13"/>
              </w:rPr>
              <w:t>2</w:t>
            </w: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bCs/>
                <w:color w:val="000000"/>
                <w:sz w:val="13"/>
              </w:rPr>
            </w:pPr>
            <w:r w:rsidRPr="00A75DF9">
              <w:rPr>
                <w:rFonts w:ascii="Tahoma" w:hAnsi="Tahoma" w:cs="Tahoma"/>
                <w:bCs/>
                <w:color w:val="000000"/>
                <w:sz w:val="13"/>
              </w:rPr>
              <w:t>1</w:t>
            </w:r>
          </w:p>
        </w:tc>
        <w:tc>
          <w:tcPr>
            <w:tcW w:w="374"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1</w:t>
            </w:r>
          </w:p>
        </w:tc>
        <w:tc>
          <w:tcPr>
            <w:tcW w:w="455"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P</w:t>
            </w: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A</w:t>
            </w:r>
          </w:p>
        </w:tc>
        <w:tc>
          <w:tcPr>
            <w:tcW w:w="539"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r>
      <w:tr w:rsidR="00383917" w:rsidRPr="00A75DF9" w:rsidTr="008A1262">
        <w:trPr>
          <w:trHeight w:val="145"/>
        </w:trPr>
        <w:tc>
          <w:tcPr>
            <w:tcW w:w="2724" w:type="dxa"/>
            <w:gridSpan w:val="2"/>
            <w:tcBorders>
              <w:bottom w:val="single" w:sz="4" w:space="0" w:color="auto"/>
            </w:tcBorders>
            <w:shd w:val="clear" w:color="auto" w:fill="auto"/>
          </w:tcPr>
          <w:p w:rsidR="001A63C6" w:rsidRPr="00A75DF9" w:rsidRDefault="001A63C6" w:rsidP="00337A7D">
            <w:pPr>
              <w:pStyle w:val="Heading2"/>
              <w:ind w:left="0"/>
              <w:rPr>
                <w:rFonts w:ascii="Tahoma" w:hAnsi="Tahoma" w:cs="Tahoma"/>
                <w:b w:val="0"/>
                <w:sz w:val="14"/>
              </w:rPr>
            </w:pPr>
            <w:bookmarkStart w:id="195" w:name="_Toc368309956"/>
            <w:r w:rsidRPr="00A75DF9">
              <w:rPr>
                <w:rFonts w:ascii="Tahoma" w:hAnsi="Tahoma" w:cs="Tahoma"/>
                <w:b w:val="0"/>
                <w:sz w:val="14"/>
              </w:rPr>
              <w:t>Enterprise CAL per Exchange 2013 senza</w:t>
            </w:r>
            <w:r w:rsidR="00337A7D">
              <w:rPr>
                <w:rFonts w:ascii="Tahoma" w:hAnsi="Tahoma" w:cs="Tahoma"/>
                <w:b w:val="0"/>
                <w:sz w:val="14"/>
              </w:rPr>
              <w:t> </w:t>
            </w:r>
            <w:r w:rsidRPr="00A75DF9">
              <w:rPr>
                <w:rFonts w:ascii="Tahoma" w:hAnsi="Tahoma" w:cs="Tahoma"/>
                <w:b w:val="0"/>
                <w:sz w:val="14"/>
              </w:rPr>
              <w:t>Servizi</w:t>
            </w:r>
            <w:bookmarkEnd w:id="195"/>
          </w:p>
        </w:tc>
        <w:tc>
          <w:tcPr>
            <w:tcW w:w="448" w:type="dxa"/>
            <w:tcBorders>
              <w:bottom w:val="single" w:sz="4" w:space="0" w:color="auto"/>
            </w:tcBorders>
            <w:shd w:val="clear" w:color="auto" w:fill="auto"/>
            <w:vAlign w:val="center"/>
          </w:tcPr>
          <w:p w:rsidR="001A63C6" w:rsidRPr="00337A7D" w:rsidRDefault="001A63C6" w:rsidP="001A63C6">
            <w:pPr>
              <w:pStyle w:val="TableText"/>
              <w:widowControl w:val="0"/>
              <w:rPr>
                <w:rFonts w:cs="Tahoma"/>
                <w:b/>
                <w:color w:val="0000FF"/>
                <w:sz w:val="13"/>
                <w:szCs w:val="13"/>
                <w:u w:val="single"/>
              </w:rPr>
            </w:pPr>
          </w:p>
        </w:tc>
        <w:tc>
          <w:tcPr>
            <w:tcW w:w="449" w:type="dxa"/>
            <w:tcBorders>
              <w:bottom w:val="single" w:sz="4" w:space="0" w:color="auto"/>
            </w:tcBorders>
            <w:shd w:val="clear" w:color="auto" w:fill="auto"/>
            <w:vAlign w:val="center"/>
          </w:tcPr>
          <w:p w:rsidR="001A63C6" w:rsidRPr="00A75DF9" w:rsidRDefault="001A63C6" w:rsidP="001A63C6">
            <w:pPr>
              <w:pStyle w:val="TableText"/>
              <w:widowControl w:val="0"/>
              <w:spacing w:before="80"/>
              <w:rPr>
                <w:rFonts w:ascii="Tahoma" w:hAnsi="Tahoma" w:cs="Tahoma"/>
                <w:sz w:val="13"/>
              </w:rPr>
            </w:pPr>
            <w:r w:rsidRPr="00A75DF9">
              <w:rPr>
                <w:rFonts w:ascii="Tahoma" w:hAnsi="Tahoma" w:cs="Tahoma"/>
                <w:sz w:val="13"/>
              </w:rPr>
              <w:t>10/12</w:t>
            </w:r>
          </w:p>
        </w:tc>
        <w:tc>
          <w:tcPr>
            <w:tcW w:w="359"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5"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45"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374"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5"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w:t>
            </w: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AO, ST</w:t>
            </w:r>
          </w:p>
        </w:tc>
        <w:tc>
          <w:tcPr>
            <w:tcW w:w="539"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r>
      <w:tr w:rsidR="006900D9" w:rsidRPr="00A75DF9" w:rsidTr="008A1262">
        <w:trPr>
          <w:trHeight w:val="145"/>
        </w:trPr>
        <w:tc>
          <w:tcPr>
            <w:tcW w:w="2724" w:type="dxa"/>
            <w:gridSpan w:val="2"/>
            <w:tcBorders>
              <w:bottom w:val="single" w:sz="4" w:space="0" w:color="auto"/>
            </w:tcBorders>
            <w:shd w:val="clear" w:color="auto" w:fill="FABF8F"/>
          </w:tcPr>
          <w:p w:rsidR="001A63C6" w:rsidRPr="00A75DF9" w:rsidRDefault="001A63C6" w:rsidP="001A63C6">
            <w:pPr>
              <w:pStyle w:val="Heading2"/>
              <w:ind w:left="0"/>
              <w:rPr>
                <w:rFonts w:ascii="Tahoma" w:hAnsi="Tahoma" w:cs="Tahoma"/>
                <w:b w:val="0"/>
                <w:sz w:val="14"/>
              </w:rPr>
            </w:pPr>
            <w:bookmarkStart w:id="196" w:name="_Toc336337946"/>
            <w:bookmarkStart w:id="197" w:name="_Toc368309957"/>
            <w:r w:rsidRPr="00A75DF9">
              <w:rPr>
                <w:rFonts w:ascii="Tahoma" w:hAnsi="Tahoma" w:cs="Tahoma"/>
                <w:b w:val="0"/>
                <w:sz w:val="14"/>
              </w:rPr>
              <w:t>Archiviazione Exchange Online</w:t>
            </w:r>
            <w:bookmarkEnd w:id="196"/>
            <w:r w:rsidRPr="00A75DF9">
              <w:rPr>
                <w:rFonts w:ascii="Tahoma" w:hAnsi="Tahoma" w:cs="Tahoma"/>
                <w:b w:val="0"/>
                <w:sz w:val="14"/>
              </w:rPr>
              <w:t xml:space="preserve"> per Exchange Server A (SL per Utente)</w:t>
            </w:r>
            <w:bookmarkEnd w:id="197"/>
          </w:p>
        </w:tc>
        <w:tc>
          <w:tcPr>
            <w:tcW w:w="448" w:type="dxa"/>
            <w:tcBorders>
              <w:bottom w:val="single" w:sz="4" w:space="0" w:color="auto"/>
            </w:tcBorders>
            <w:shd w:val="clear" w:color="auto" w:fill="FABF8F"/>
            <w:vAlign w:val="center"/>
          </w:tcPr>
          <w:p w:rsidR="001A63C6" w:rsidRPr="00337A7D" w:rsidRDefault="00B54770">
            <w:pPr>
              <w:pStyle w:val="TableText"/>
              <w:widowControl w:val="0"/>
              <w:rPr>
                <w:rFonts w:cs="Tahoma"/>
                <w:b/>
                <w:color w:val="0000FF"/>
                <w:sz w:val="13"/>
                <w:szCs w:val="13"/>
                <w:u w:val="single"/>
              </w:rPr>
            </w:pPr>
            <w:hyperlink w:anchor="_43_Exchange_Enterprise" w:history="1">
              <w:r w:rsidR="00734B17" w:rsidRPr="00337A7D">
                <w:rPr>
                  <w:rStyle w:val="Hyperlink"/>
                  <w:rFonts w:cs="Tahoma"/>
                  <w:b/>
                  <w:sz w:val="13"/>
                  <w:szCs w:val="13"/>
                </w:rPr>
                <w:t>49</w:t>
              </w:r>
            </w:hyperlink>
          </w:p>
        </w:tc>
        <w:tc>
          <w:tcPr>
            <w:tcW w:w="449" w:type="dxa"/>
            <w:tcBorders>
              <w:bottom w:val="single" w:sz="4" w:space="0" w:color="auto"/>
            </w:tcBorders>
            <w:shd w:val="clear" w:color="auto" w:fill="FABF8F"/>
            <w:vAlign w:val="center"/>
          </w:tcPr>
          <w:p w:rsidR="001A63C6" w:rsidRPr="00A75DF9" w:rsidDel="00876599" w:rsidRDefault="001A63C6" w:rsidP="001A63C6">
            <w:pPr>
              <w:pStyle w:val="TableText"/>
              <w:widowControl w:val="0"/>
              <w:spacing w:before="80"/>
              <w:rPr>
                <w:rFonts w:ascii="Tahoma" w:hAnsi="Tahoma" w:cs="Tahoma"/>
                <w:sz w:val="13"/>
              </w:rPr>
            </w:pPr>
            <w:r w:rsidRPr="00A75DF9">
              <w:rPr>
                <w:rFonts w:ascii="Tahoma" w:hAnsi="Tahoma" w:cs="Tahoma"/>
                <w:sz w:val="13"/>
              </w:rPr>
              <w:t>06/11</w:t>
            </w:r>
          </w:p>
        </w:tc>
        <w:tc>
          <w:tcPr>
            <w:tcW w:w="359"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374"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5"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A, ST</w:t>
            </w:r>
          </w:p>
        </w:tc>
        <w:tc>
          <w:tcPr>
            <w:tcW w:w="539"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r>
      <w:tr w:rsidR="00383917" w:rsidRPr="00A75DF9" w:rsidTr="008A1262">
        <w:trPr>
          <w:trHeight w:val="145"/>
        </w:trPr>
        <w:tc>
          <w:tcPr>
            <w:tcW w:w="2724" w:type="dxa"/>
            <w:gridSpan w:val="2"/>
            <w:tcBorders>
              <w:bottom w:val="single" w:sz="4" w:space="0" w:color="auto"/>
            </w:tcBorders>
            <w:shd w:val="clear" w:color="auto" w:fill="auto"/>
            <w:vAlign w:val="center"/>
          </w:tcPr>
          <w:p w:rsidR="00500991" w:rsidRPr="00A75DF9" w:rsidRDefault="00500991" w:rsidP="00D66F68">
            <w:pPr>
              <w:pStyle w:val="Heading3"/>
              <w:rPr>
                <w:rFonts w:ascii="Tahoma" w:hAnsi="Tahoma" w:cs="Tahoma"/>
                <w:b w:val="0"/>
              </w:rPr>
            </w:pPr>
            <w:bookmarkStart w:id="198" w:name="_Toc336337947"/>
            <w:bookmarkStart w:id="199" w:name="_Toc368309958"/>
            <w:r w:rsidRPr="00A75DF9">
              <w:rPr>
                <w:rFonts w:ascii="Tahoma" w:hAnsi="Tahoma" w:cs="Tahoma"/>
                <w:b w:val="0"/>
                <w:sz w:val="14"/>
              </w:rPr>
              <w:t>Archiviazione Exchange Online per Exchange Server A (SL per Utente)</w:t>
            </w:r>
            <w:bookmarkEnd w:id="198"/>
            <w:bookmarkEnd w:id="199"/>
          </w:p>
        </w:tc>
        <w:tc>
          <w:tcPr>
            <w:tcW w:w="448" w:type="dxa"/>
            <w:tcBorders>
              <w:bottom w:val="single" w:sz="4" w:space="0" w:color="auto"/>
            </w:tcBorders>
            <w:shd w:val="clear" w:color="auto" w:fill="auto"/>
            <w:vAlign w:val="center"/>
          </w:tcPr>
          <w:p w:rsidR="00500991" w:rsidRPr="00337A7D" w:rsidRDefault="00B54770">
            <w:pPr>
              <w:pStyle w:val="TableText"/>
              <w:widowControl w:val="0"/>
              <w:rPr>
                <w:rFonts w:cs="Tahoma"/>
                <w:b/>
                <w:color w:val="000000"/>
                <w:sz w:val="13"/>
                <w:szCs w:val="13"/>
                <w:u w:val="single"/>
              </w:rPr>
            </w:pPr>
            <w:hyperlink w:anchor="_47__Exchange" w:history="1">
              <w:r w:rsidR="00734B17" w:rsidRPr="00337A7D">
                <w:rPr>
                  <w:rStyle w:val="Hyperlink"/>
                  <w:rFonts w:cs="Tahoma"/>
                  <w:b/>
                  <w:sz w:val="13"/>
                  <w:szCs w:val="13"/>
                </w:rPr>
                <w:t>50</w:t>
              </w:r>
            </w:hyperlink>
            <w:hyperlink w:anchor="_47__Exchange" w:history="1"/>
          </w:p>
        </w:tc>
        <w:tc>
          <w:tcPr>
            <w:tcW w:w="449" w:type="dxa"/>
            <w:tcBorders>
              <w:bottom w:val="single" w:sz="4" w:space="0" w:color="auto"/>
            </w:tcBorders>
            <w:shd w:val="clear" w:color="auto" w:fill="auto"/>
            <w:vAlign w:val="center"/>
          </w:tcPr>
          <w:p w:rsidR="00500991" w:rsidRPr="00A75DF9" w:rsidRDefault="00500991" w:rsidP="007E466C">
            <w:pPr>
              <w:pStyle w:val="TableText"/>
              <w:widowControl w:val="0"/>
              <w:rPr>
                <w:rFonts w:ascii="Tahoma" w:hAnsi="Tahoma" w:cs="Tahoma"/>
                <w:sz w:val="13"/>
              </w:rPr>
            </w:pPr>
            <w:r w:rsidRPr="00A75DF9">
              <w:rPr>
                <w:rFonts w:ascii="Tahoma" w:hAnsi="Tahoma" w:cs="Tahoma"/>
                <w:sz w:val="13"/>
              </w:rPr>
              <w:t>06/12</w:t>
            </w:r>
          </w:p>
        </w:tc>
        <w:tc>
          <w:tcPr>
            <w:tcW w:w="359" w:type="dxa"/>
            <w:tcBorders>
              <w:bottom w:val="single" w:sz="4" w:space="0" w:color="auto"/>
              <w:right w:val="single" w:sz="18" w:space="0" w:color="auto"/>
            </w:tcBorders>
            <w:shd w:val="clear" w:color="auto" w:fill="auto"/>
            <w:vAlign w:val="center"/>
          </w:tcPr>
          <w:p w:rsidR="00500991" w:rsidRPr="00A75DF9" w:rsidRDefault="00500991" w:rsidP="00D66F68">
            <w:pPr>
              <w:pStyle w:val="TableText"/>
              <w:widowControl w:val="0"/>
              <w:rPr>
                <w:rFonts w:ascii="Tahoma" w:hAnsi="Tahoma" w:cs="Tahoma"/>
                <w:sz w:val="13"/>
              </w:rPr>
            </w:pPr>
          </w:p>
        </w:tc>
        <w:tc>
          <w:tcPr>
            <w:tcW w:w="356" w:type="dxa"/>
            <w:tcBorders>
              <w:left w:val="single" w:sz="18" w:space="0" w:color="auto"/>
              <w:bottom w:val="single" w:sz="4" w:space="0" w:color="auto"/>
              <w:right w:val="single" w:sz="4" w:space="0" w:color="auto"/>
            </w:tcBorders>
            <w:shd w:val="clear" w:color="auto" w:fill="auto"/>
            <w:vAlign w:val="center"/>
          </w:tcPr>
          <w:p w:rsidR="00500991" w:rsidRPr="00A75DF9" w:rsidRDefault="00500991" w:rsidP="00D66F68">
            <w:pPr>
              <w:pStyle w:val="TableText"/>
              <w:widowControl w:val="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500991" w:rsidRPr="00A75DF9" w:rsidRDefault="00500991" w:rsidP="00D66F68">
            <w:pPr>
              <w:pStyle w:val="TableText"/>
              <w:widowControl w:val="0"/>
              <w:rPr>
                <w:rFonts w:ascii="Tahoma" w:hAnsi="Tahoma" w:cs="Tahoma"/>
                <w:sz w:val="13"/>
              </w:rPr>
            </w:pPr>
          </w:p>
        </w:tc>
        <w:tc>
          <w:tcPr>
            <w:tcW w:w="455" w:type="dxa"/>
            <w:tcBorders>
              <w:left w:val="single" w:sz="4" w:space="0" w:color="auto"/>
              <w:bottom w:val="single" w:sz="4" w:space="0" w:color="auto"/>
              <w:right w:val="single" w:sz="4" w:space="0" w:color="auto"/>
            </w:tcBorders>
            <w:shd w:val="clear" w:color="auto" w:fill="auto"/>
            <w:vAlign w:val="center"/>
          </w:tcPr>
          <w:p w:rsidR="00500991" w:rsidRPr="00A75DF9" w:rsidRDefault="00500991" w:rsidP="00D66F68">
            <w:pPr>
              <w:pStyle w:val="TableText"/>
              <w:widowControl w:val="0"/>
              <w:rPr>
                <w:rFonts w:ascii="Tahoma" w:hAnsi="Tahoma" w:cs="Tahoma"/>
                <w:sz w:val="13"/>
              </w:rPr>
            </w:pPr>
          </w:p>
        </w:tc>
        <w:tc>
          <w:tcPr>
            <w:tcW w:w="450" w:type="dxa"/>
            <w:gridSpan w:val="3"/>
            <w:tcBorders>
              <w:left w:val="single" w:sz="4" w:space="0" w:color="auto"/>
              <w:bottom w:val="single" w:sz="4" w:space="0" w:color="auto"/>
              <w:right w:val="single" w:sz="4" w:space="0" w:color="auto"/>
            </w:tcBorders>
            <w:shd w:val="clear" w:color="auto" w:fill="auto"/>
            <w:vAlign w:val="center"/>
          </w:tcPr>
          <w:p w:rsidR="00500991" w:rsidRPr="00A75DF9" w:rsidRDefault="00500991" w:rsidP="00D66F68">
            <w:pPr>
              <w:pStyle w:val="TableText"/>
              <w:widowControl w:val="0"/>
              <w:rPr>
                <w:rFonts w:ascii="Tahoma" w:hAnsi="Tahoma" w:cs="Tahoma"/>
                <w:sz w:val="13"/>
              </w:rPr>
            </w:pPr>
          </w:p>
        </w:tc>
        <w:tc>
          <w:tcPr>
            <w:tcW w:w="445" w:type="dxa"/>
            <w:tcBorders>
              <w:left w:val="single" w:sz="4" w:space="0" w:color="auto"/>
              <w:bottom w:val="single" w:sz="4" w:space="0" w:color="auto"/>
              <w:right w:val="single" w:sz="4" w:space="0" w:color="auto"/>
            </w:tcBorders>
            <w:shd w:val="clear" w:color="auto" w:fill="auto"/>
            <w:vAlign w:val="center"/>
          </w:tcPr>
          <w:p w:rsidR="00500991" w:rsidRPr="00A75DF9" w:rsidRDefault="00500991" w:rsidP="00D66F68">
            <w:pPr>
              <w:pStyle w:val="TableText"/>
              <w:widowControl w:val="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500991" w:rsidRPr="00A75DF9" w:rsidRDefault="00500991" w:rsidP="00D66F68">
            <w:pPr>
              <w:pStyle w:val="TableText"/>
              <w:widowControl w:val="0"/>
              <w:rPr>
                <w:rFonts w:ascii="Tahoma" w:hAnsi="Tahoma" w:cs="Tahoma"/>
                <w:sz w:val="13"/>
              </w:rPr>
            </w:pPr>
          </w:p>
        </w:tc>
        <w:tc>
          <w:tcPr>
            <w:tcW w:w="374" w:type="dxa"/>
            <w:tcBorders>
              <w:left w:val="single" w:sz="4" w:space="0" w:color="auto"/>
              <w:bottom w:val="single" w:sz="4" w:space="0" w:color="auto"/>
              <w:right w:val="single" w:sz="18" w:space="0" w:color="auto"/>
            </w:tcBorders>
            <w:shd w:val="clear" w:color="auto" w:fill="auto"/>
            <w:vAlign w:val="center"/>
          </w:tcPr>
          <w:p w:rsidR="00500991" w:rsidRPr="00A75DF9" w:rsidRDefault="00500991" w:rsidP="00D66F68">
            <w:pPr>
              <w:pStyle w:val="TableText"/>
              <w:widowControl w:val="0"/>
              <w:rPr>
                <w:rFonts w:ascii="Tahoma" w:hAnsi="Tahoma" w:cs="Tahoma"/>
                <w:sz w:val="13"/>
              </w:rPr>
            </w:pPr>
          </w:p>
        </w:tc>
        <w:tc>
          <w:tcPr>
            <w:tcW w:w="455" w:type="dxa"/>
            <w:tcBorders>
              <w:left w:val="single" w:sz="18" w:space="0" w:color="auto"/>
              <w:bottom w:val="single" w:sz="4" w:space="0" w:color="auto"/>
            </w:tcBorders>
            <w:shd w:val="clear" w:color="auto" w:fill="auto"/>
            <w:vAlign w:val="center"/>
          </w:tcPr>
          <w:p w:rsidR="00500991" w:rsidRPr="00A75DF9" w:rsidRDefault="00500991" w:rsidP="00D02D7A">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00991" w:rsidRPr="00A75DF9" w:rsidRDefault="00500991" w:rsidP="00D02D7A">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00991" w:rsidRPr="00A75DF9" w:rsidRDefault="00500991" w:rsidP="00242B11">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00991" w:rsidRPr="00A75DF9" w:rsidRDefault="00500991" w:rsidP="00242B11">
            <w:pPr>
              <w:pStyle w:val="TableText"/>
              <w:widowControl w:val="0"/>
              <w:rPr>
                <w:rFonts w:ascii="Tahoma" w:hAnsi="Tahoma" w:cs="Tahoma"/>
                <w:sz w:val="13"/>
              </w:rPr>
            </w:pPr>
            <w:r w:rsidRPr="00A75DF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500991" w:rsidRPr="00A75DF9" w:rsidRDefault="00500991" w:rsidP="00EA31A6">
            <w:pPr>
              <w:pStyle w:val="TableText"/>
              <w:widowControl w:val="0"/>
              <w:rPr>
                <w:rFonts w:ascii="Tahoma" w:hAnsi="Tahoma" w:cs="Tahoma"/>
                <w:sz w:val="13"/>
              </w:rPr>
            </w:pPr>
            <w:r w:rsidRPr="00A75D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500991" w:rsidRPr="00A75DF9" w:rsidRDefault="00500991" w:rsidP="00EA31A6">
            <w:pPr>
              <w:pStyle w:val="TableText"/>
              <w:widowControl w:val="0"/>
              <w:rPr>
                <w:rFonts w:ascii="Tahoma" w:hAnsi="Tahoma" w:cs="Tahoma"/>
                <w:sz w:val="13"/>
              </w:rPr>
            </w:pPr>
          </w:p>
        </w:tc>
        <w:tc>
          <w:tcPr>
            <w:tcW w:w="450" w:type="dxa"/>
            <w:tcBorders>
              <w:bottom w:val="single" w:sz="4" w:space="0" w:color="auto"/>
            </w:tcBorders>
            <w:shd w:val="clear" w:color="auto" w:fill="auto"/>
          </w:tcPr>
          <w:p w:rsidR="00500991" w:rsidRPr="00A75DF9" w:rsidRDefault="00500991" w:rsidP="007E466C">
            <w:pPr>
              <w:pStyle w:val="TableText"/>
              <w:widowControl w:val="0"/>
              <w:rPr>
                <w:rFonts w:ascii="Tahoma" w:hAnsi="Tahoma" w:cs="Tahoma"/>
                <w:sz w:val="13"/>
              </w:rPr>
            </w:pPr>
            <w:r w:rsidRPr="00A75DF9">
              <w:rPr>
                <w:rFonts w:ascii="Tahoma" w:hAnsi="Tahoma" w:cs="Tahoma"/>
                <w:sz w:val="13"/>
              </w:rPr>
              <w:t>A, ST (Solo EES)</w:t>
            </w:r>
          </w:p>
        </w:tc>
        <w:tc>
          <w:tcPr>
            <w:tcW w:w="539" w:type="dxa"/>
            <w:tcBorders>
              <w:bottom w:val="single" w:sz="4" w:space="0" w:color="auto"/>
            </w:tcBorders>
            <w:shd w:val="clear" w:color="auto" w:fill="auto"/>
            <w:vAlign w:val="center"/>
          </w:tcPr>
          <w:p w:rsidR="00500991" w:rsidRPr="00A75DF9" w:rsidRDefault="00500991" w:rsidP="00D66F68">
            <w:pPr>
              <w:pStyle w:val="TableText"/>
              <w:widowControl w:val="0"/>
              <w:rPr>
                <w:rFonts w:ascii="Tahoma" w:hAnsi="Tahoma" w:cs="Tahoma"/>
                <w:sz w:val="13"/>
              </w:rPr>
            </w:pPr>
          </w:p>
        </w:tc>
      </w:tr>
      <w:tr w:rsidR="0084456B" w:rsidRPr="00A75DF9" w:rsidTr="008A1262">
        <w:trPr>
          <w:trHeight w:val="145"/>
        </w:trPr>
        <w:tc>
          <w:tcPr>
            <w:tcW w:w="2724" w:type="dxa"/>
            <w:gridSpan w:val="2"/>
            <w:tcBorders>
              <w:bottom w:val="single" w:sz="4" w:space="0" w:color="auto"/>
            </w:tcBorders>
            <w:shd w:val="clear" w:color="auto" w:fill="FABF8F"/>
          </w:tcPr>
          <w:p w:rsidR="00500991" w:rsidRPr="00A75DF9" w:rsidRDefault="00500991" w:rsidP="001A63C6">
            <w:pPr>
              <w:pStyle w:val="ProductNames"/>
              <w:rPr>
                <w:rFonts w:ascii="Tahoma" w:hAnsi="Tahoma" w:cs="Tahoma"/>
                <w:sz w:val="14"/>
              </w:rPr>
            </w:pPr>
            <w:bookmarkStart w:id="200" w:name="_Toc336337948"/>
            <w:bookmarkStart w:id="201" w:name="_Toc368309959"/>
            <w:r w:rsidRPr="00A75DF9">
              <w:rPr>
                <w:rFonts w:ascii="Tahoma" w:hAnsi="Tahoma" w:cs="Tahoma"/>
                <w:sz w:val="14"/>
              </w:rPr>
              <w:t>Exchange Hosted Archive (SL per Utente)</w:t>
            </w:r>
            <w:bookmarkEnd w:id="200"/>
            <w:bookmarkEnd w:id="201"/>
          </w:p>
        </w:tc>
        <w:tc>
          <w:tcPr>
            <w:tcW w:w="448" w:type="dxa"/>
            <w:tcBorders>
              <w:bottom w:val="single" w:sz="4" w:space="0" w:color="auto"/>
            </w:tcBorders>
            <w:shd w:val="clear" w:color="auto" w:fill="FABF8F"/>
            <w:vAlign w:val="center"/>
          </w:tcPr>
          <w:p w:rsidR="00500991" w:rsidRPr="00337A7D" w:rsidRDefault="00B54770">
            <w:pPr>
              <w:pStyle w:val="TableText"/>
              <w:widowControl w:val="0"/>
              <w:rPr>
                <w:rFonts w:cs="Tahoma"/>
                <w:b/>
                <w:color w:val="000000"/>
                <w:sz w:val="13"/>
                <w:szCs w:val="13"/>
                <w:u w:val="single"/>
              </w:rPr>
            </w:pPr>
            <w:hyperlink w:anchor="_45_Exchange_Hosted" w:history="1">
              <w:r w:rsidR="00734B17" w:rsidRPr="00337A7D">
                <w:rPr>
                  <w:rStyle w:val="Hyperlink"/>
                  <w:rFonts w:cs="Tahoma"/>
                  <w:b/>
                  <w:sz w:val="13"/>
                  <w:szCs w:val="13"/>
                </w:rPr>
                <w:t>51</w:t>
              </w:r>
            </w:hyperlink>
          </w:p>
        </w:tc>
        <w:tc>
          <w:tcPr>
            <w:tcW w:w="449" w:type="dxa"/>
            <w:tcBorders>
              <w:bottom w:val="single" w:sz="4" w:space="0" w:color="auto"/>
            </w:tcBorders>
            <w:shd w:val="clear" w:color="auto" w:fill="FABF8F"/>
            <w:vAlign w:val="center"/>
          </w:tcPr>
          <w:p w:rsidR="00500991" w:rsidRPr="00A75DF9" w:rsidRDefault="00500991" w:rsidP="001A63C6">
            <w:pPr>
              <w:pStyle w:val="TableText"/>
              <w:widowControl w:val="0"/>
              <w:spacing w:before="80"/>
              <w:rPr>
                <w:rFonts w:ascii="Tahoma" w:hAnsi="Tahoma" w:cs="Tahoma"/>
                <w:sz w:val="13"/>
              </w:rPr>
            </w:pPr>
          </w:p>
        </w:tc>
        <w:tc>
          <w:tcPr>
            <w:tcW w:w="359" w:type="dxa"/>
            <w:tcBorders>
              <w:bottom w:val="single" w:sz="4" w:space="0" w:color="auto"/>
              <w:right w:val="single" w:sz="18" w:space="0" w:color="auto"/>
            </w:tcBorders>
            <w:shd w:val="clear" w:color="auto" w:fill="FABF8F"/>
            <w:vAlign w:val="center"/>
          </w:tcPr>
          <w:p w:rsidR="00500991" w:rsidRPr="00A75DF9" w:rsidRDefault="00500991" w:rsidP="001A63C6">
            <w:pPr>
              <w:pStyle w:val="TableText"/>
              <w:widowControl w:val="0"/>
              <w:rPr>
                <w:rFonts w:ascii="Tahoma" w:hAnsi="Tahoma" w:cs="Tahoma"/>
                <w:sz w:val="13"/>
              </w:rPr>
            </w:pPr>
          </w:p>
        </w:tc>
        <w:tc>
          <w:tcPr>
            <w:tcW w:w="356" w:type="dxa"/>
            <w:tcBorders>
              <w:left w:val="single" w:sz="18" w:space="0" w:color="auto"/>
              <w:bottom w:val="single" w:sz="4" w:space="0" w:color="auto"/>
              <w:right w:val="single" w:sz="4" w:space="0" w:color="auto"/>
            </w:tcBorders>
            <w:shd w:val="clear" w:color="auto" w:fill="FABF8F"/>
            <w:vAlign w:val="center"/>
          </w:tcPr>
          <w:p w:rsidR="00500991" w:rsidRPr="00A75DF9" w:rsidRDefault="00500991" w:rsidP="001A63C6">
            <w:pPr>
              <w:pStyle w:val="TableText"/>
              <w:widowControl w:val="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500991" w:rsidRPr="00A75DF9" w:rsidRDefault="00500991" w:rsidP="001A63C6">
            <w:pPr>
              <w:pStyle w:val="TableText"/>
              <w:widowControl w:val="0"/>
              <w:rPr>
                <w:rFonts w:ascii="Tahoma" w:hAnsi="Tahoma" w:cs="Tahoma"/>
                <w:sz w:val="13"/>
              </w:rPr>
            </w:pPr>
          </w:p>
        </w:tc>
        <w:tc>
          <w:tcPr>
            <w:tcW w:w="455" w:type="dxa"/>
            <w:tcBorders>
              <w:left w:val="single" w:sz="4" w:space="0" w:color="auto"/>
              <w:bottom w:val="single" w:sz="4" w:space="0" w:color="auto"/>
              <w:right w:val="single" w:sz="4" w:space="0" w:color="auto"/>
            </w:tcBorders>
            <w:shd w:val="clear" w:color="auto" w:fill="FABF8F"/>
            <w:vAlign w:val="center"/>
          </w:tcPr>
          <w:p w:rsidR="00500991" w:rsidRPr="00A75DF9" w:rsidRDefault="00500991" w:rsidP="001A63C6">
            <w:pPr>
              <w:pStyle w:val="TableText"/>
              <w:widowControl w:val="0"/>
              <w:rPr>
                <w:rFonts w:ascii="Tahoma" w:hAnsi="Tahoma" w:cs="Tahoma"/>
                <w:sz w:val="13"/>
              </w:rPr>
            </w:pPr>
          </w:p>
        </w:tc>
        <w:tc>
          <w:tcPr>
            <w:tcW w:w="450" w:type="dxa"/>
            <w:gridSpan w:val="3"/>
            <w:tcBorders>
              <w:left w:val="single" w:sz="4" w:space="0" w:color="auto"/>
              <w:bottom w:val="single" w:sz="4" w:space="0" w:color="auto"/>
              <w:right w:val="single" w:sz="4" w:space="0" w:color="auto"/>
            </w:tcBorders>
            <w:shd w:val="clear" w:color="auto" w:fill="FABF8F"/>
            <w:vAlign w:val="center"/>
          </w:tcPr>
          <w:p w:rsidR="00500991" w:rsidRPr="00A75DF9" w:rsidRDefault="00500991" w:rsidP="001A63C6">
            <w:pPr>
              <w:pStyle w:val="TableText"/>
              <w:widowControl w:val="0"/>
              <w:rPr>
                <w:rFonts w:ascii="Tahoma" w:hAnsi="Tahoma" w:cs="Tahoma"/>
                <w:sz w:val="13"/>
              </w:rPr>
            </w:pPr>
          </w:p>
        </w:tc>
        <w:tc>
          <w:tcPr>
            <w:tcW w:w="445" w:type="dxa"/>
            <w:tcBorders>
              <w:left w:val="single" w:sz="4" w:space="0" w:color="auto"/>
              <w:bottom w:val="single" w:sz="4" w:space="0" w:color="auto"/>
              <w:right w:val="single" w:sz="4" w:space="0" w:color="auto"/>
            </w:tcBorders>
            <w:shd w:val="clear" w:color="auto" w:fill="FABF8F"/>
            <w:vAlign w:val="center"/>
          </w:tcPr>
          <w:p w:rsidR="00500991" w:rsidRPr="00A75DF9" w:rsidRDefault="00500991" w:rsidP="001A63C6">
            <w:pPr>
              <w:pStyle w:val="TableText"/>
              <w:widowControl w:val="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500991" w:rsidRPr="00A75DF9" w:rsidRDefault="00500991" w:rsidP="001A63C6">
            <w:pPr>
              <w:pStyle w:val="TableText"/>
              <w:widowControl w:val="0"/>
              <w:rPr>
                <w:rFonts w:ascii="Tahoma" w:hAnsi="Tahoma" w:cs="Tahoma"/>
                <w:sz w:val="13"/>
              </w:rPr>
            </w:pPr>
          </w:p>
        </w:tc>
        <w:tc>
          <w:tcPr>
            <w:tcW w:w="374" w:type="dxa"/>
            <w:tcBorders>
              <w:left w:val="single" w:sz="4" w:space="0" w:color="auto"/>
              <w:bottom w:val="single" w:sz="4" w:space="0" w:color="auto"/>
              <w:right w:val="single" w:sz="18" w:space="0" w:color="auto"/>
            </w:tcBorders>
            <w:shd w:val="clear" w:color="auto" w:fill="FABF8F"/>
            <w:vAlign w:val="center"/>
          </w:tcPr>
          <w:p w:rsidR="00500991" w:rsidRPr="00A75DF9" w:rsidRDefault="00500991" w:rsidP="001A63C6">
            <w:pPr>
              <w:pStyle w:val="TableText"/>
              <w:widowControl w:val="0"/>
              <w:rPr>
                <w:rFonts w:ascii="Tahoma" w:hAnsi="Tahoma" w:cs="Tahoma"/>
                <w:sz w:val="13"/>
              </w:rPr>
            </w:pPr>
          </w:p>
        </w:tc>
        <w:tc>
          <w:tcPr>
            <w:tcW w:w="455" w:type="dxa"/>
            <w:tcBorders>
              <w:left w:val="single" w:sz="18" w:space="0" w:color="auto"/>
              <w:bottom w:val="single" w:sz="4" w:space="0" w:color="auto"/>
            </w:tcBorders>
            <w:shd w:val="clear" w:color="auto" w:fill="FABF8F"/>
            <w:vAlign w:val="center"/>
          </w:tcPr>
          <w:p w:rsidR="00500991" w:rsidRPr="00A75DF9" w:rsidRDefault="00500991"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500991" w:rsidRPr="00A75DF9" w:rsidRDefault="00500991"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A75DF9" w:rsidRDefault="00500991"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A75DF9" w:rsidRDefault="00500991"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A75DF9" w:rsidRDefault="00500991"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500991" w:rsidRPr="00A75DF9" w:rsidRDefault="00500991"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500991" w:rsidRPr="00A75DF9" w:rsidRDefault="00500991" w:rsidP="001A63C6">
            <w:pPr>
              <w:pStyle w:val="TableText"/>
              <w:widowControl w:val="0"/>
              <w:rPr>
                <w:rFonts w:ascii="Tahoma" w:hAnsi="Tahoma" w:cs="Tahoma"/>
                <w:sz w:val="13"/>
              </w:rPr>
            </w:pPr>
          </w:p>
        </w:tc>
        <w:tc>
          <w:tcPr>
            <w:tcW w:w="539" w:type="dxa"/>
            <w:tcBorders>
              <w:bottom w:val="single" w:sz="4" w:space="0" w:color="auto"/>
            </w:tcBorders>
            <w:shd w:val="clear" w:color="auto" w:fill="FABF8F"/>
            <w:vAlign w:val="center"/>
          </w:tcPr>
          <w:p w:rsidR="00500991" w:rsidRPr="00A75DF9" w:rsidRDefault="00500991" w:rsidP="001A63C6">
            <w:pPr>
              <w:pStyle w:val="TableText"/>
              <w:widowControl w:val="0"/>
              <w:rPr>
                <w:rFonts w:ascii="Tahoma" w:hAnsi="Tahoma" w:cs="Tahoma"/>
                <w:sz w:val="13"/>
              </w:rPr>
            </w:pPr>
          </w:p>
        </w:tc>
      </w:tr>
      <w:tr w:rsidR="00383917" w:rsidRPr="00A75DF9" w:rsidTr="008A1262">
        <w:trPr>
          <w:trHeight w:val="145"/>
        </w:trPr>
        <w:tc>
          <w:tcPr>
            <w:tcW w:w="2724" w:type="dxa"/>
            <w:gridSpan w:val="2"/>
            <w:tcBorders>
              <w:bottom w:val="single" w:sz="4" w:space="0" w:color="auto"/>
            </w:tcBorders>
            <w:shd w:val="clear" w:color="auto" w:fill="auto"/>
          </w:tcPr>
          <w:p w:rsidR="00500991" w:rsidRPr="00A75DF9" w:rsidRDefault="00500991" w:rsidP="001A63C6">
            <w:pPr>
              <w:pStyle w:val="ProductNames"/>
              <w:rPr>
                <w:rFonts w:ascii="Tahoma" w:hAnsi="Tahoma" w:cs="Tahoma"/>
                <w:sz w:val="14"/>
              </w:rPr>
            </w:pPr>
            <w:bookmarkStart w:id="202" w:name="_Toc336337949"/>
            <w:bookmarkStart w:id="203" w:name="_Toc368309960"/>
            <w:r w:rsidRPr="00A75DF9">
              <w:rPr>
                <w:rFonts w:ascii="Tahoma" w:hAnsi="Tahoma" w:cs="Tahoma"/>
                <w:sz w:val="14"/>
              </w:rPr>
              <w:t>Exchange Hosted Archive Extra Storage (SL per Utente)</w:t>
            </w:r>
            <w:bookmarkEnd w:id="202"/>
            <w:bookmarkEnd w:id="203"/>
          </w:p>
        </w:tc>
        <w:tc>
          <w:tcPr>
            <w:tcW w:w="448" w:type="dxa"/>
            <w:tcBorders>
              <w:bottom w:val="single" w:sz="4" w:space="0" w:color="auto"/>
            </w:tcBorders>
            <w:shd w:val="clear" w:color="auto" w:fill="auto"/>
            <w:vAlign w:val="center"/>
          </w:tcPr>
          <w:p w:rsidR="00500991" w:rsidRPr="00337A7D" w:rsidRDefault="00B54770">
            <w:pPr>
              <w:pStyle w:val="TableText"/>
              <w:widowControl w:val="0"/>
              <w:rPr>
                <w:rFonts w:cs="Tahoma"/>
                <w:b/>
                <w:color w:val="000000"/>
                <w:sz w:val="13"/>
                <w:szCs w:val="13"/>
                <w:u w:val="single"/>
              </w:rPr>
            </w:pPr>
            <w:hyperlink w:anchor="_45_Exchange_Hosted" w:history="1">
              <w:r w:rsidR="00734B17" w:rsidRPr="00337A7D">
                <w:rPr>
                  <w:rStyle w:val="Hyperlink"/>
                  <w:rFonts w:cs="Tahoma"/>
                  <w:b/>
                  <w:sz w:val="13"/>
                  <w:szCs w:val="13"/>
                </w:rPr>
                <w:t>51</w:t>
              </w:r>
            </w:hyperlink>
          </w:p>
        </w:tc>
        <w:tc>
          <w:tcPr>
            <w:tcW w:w="449" w:type="dxa"/>
            <w:tcBorders>
              <w:bottom w:val="single" w:sz="4" w:space="0" w:color="auto"/>
            </w:tcBorders>
            <w:shd w:val="clear" w:color="auto" w:fill="auto"/>
            <w:vAlign w:val="center"/>
          </w:tcPr>
          <w:p w:rsidR="00500991" w:rsidRPr="00A75DF9" w:rsidRDefault="00500991" w:rsidP="001A63C6">
            <w:pPr>
              <w:pStyle w:val="TableText"/>
              <w:widowControl w:val="0"/>
              <w:spacing w:before="80"/>
              <w:rPr>
                <w:rFonts w:ascii="Tahoma" w:hAnsi="Tahoma" w:cs="Tahoma"/>
                <w:sz w:val="13"/>
              </w:rPr>
            </w:pPr>
          </w:p>
        </w:tc>
        <w:tc>
          <w:tcPr>
            <w:tcW w:w="359" w:type="dxa"/>
            <w:tcBorders>
              <w:bottom w:val="single" w:sz="4" w:space="0" w:color="auto"/>
              <w:right w:val="single" w:sz="18" w:space="0" w:color="auto"/>
            </w:tcBorders>
            <w:shd w:val="clear" w:color="auto" w:fill="auto"/>
            <w:vAlign w:val="center"/>
          </w:tcPr>
          <w:p w:rsidR="00500991" w:rsidRPr="00A75DF9" w:rsidRDefault="00500991" w:rsidP="001A63C6">
            <w:pPr>
              <w:pStyle w:val="TableText"/>
              <w:widowControl w:val="0"/>
              <w:rPr>
                <w:rFonts w:ascii="Tahoma" w:hAnsi="Tahoma" w:cs="Tahoma"/>
                <w:sz w:val="13"/>
              </w:rPr>
            </w:pPr>
          </w:p>
        </w:tc>
        <w:tc>
          <w:tcPr>
            <w:tcW w:w="356" w:type="dxa"/>
            <w:tcBorders>
              <w:left w:val="single" w:sz="18" w:space="0" w:color="auto"/>
              <w:bottom w:val="single" w:sz="4" w:space="0" w:color="auto"/>
              <w:right w:val="single" w:sz="4" w:space="0" w:color="auto"/>
            </w:tcBorders>
            <w:shd w:val="clear" w:color="auto" w:fill="auto"/>
            <w:vAlign w:val="center"/>
          </w:tcPr>
          <w:p w:rsidR="00500991" w:rsidRPr="00A75DF9" w:rsidRDefault="00500991" w:rsidP="001A63C6">
            <w:pPr>
              <w:pStyle w:val="TableText"/>
              <w:widowControl w:val="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500991" w:rsidRPr="00A75DF9" w:rsidRDefault="00500991" w:rsidP="001A63C6">
            <w:pPr>
              <w:pStyle w:val="TableText"/>
              <w:widowControl w:val="0"/>
              <w:rPr>
                <w:rFonts w:ascii="Tahoma" w:hAnsi="Tahoma" w:cs="Tahoma"/>
                <w:sz w:val="13"/>
              </w:rPr>
            </w:pPr>
          </w:p>
        </w:tc>
        <w:tc>
          <w:tcPr>
            <w:tcW w:w="455" w:type="dxa"/>
            <w:tcBorders>
              <w:left w:val="single" w:sz="4" w:space="0" w:color="auto"/>
              <w:bottom w:val="single" w:sz="4" w:space="0" w:color="auto"/>
              <w:right w:val="single" w:sz="4" w:space="0" w:color="auto"/>
            </w:tcBorders>
            <w:shd w:val="clear" w:color="auto" w:fill="auto"/>
            <w:vAlign w:val="center"/>
          </w:tcPr>
          <w:p w:rsidR="00500991" w:rsidRPr="00A75DF9" w:rsidRDefault="00500991" w:rsidP="001A63C6">
            <w:pPr>
              <w:pStyle w:val="TableText"/>
              <w:widowControl w:val="0"/>
              <w:rPr>
                <w:rFonts w:ascii="Tahoma" w:hAnsi="Tahoma" w:cs="Tahoma"/>
                <w:sz w:val="13"/>
              </w:rPr>
            </w:pPr>
          </w:p>
        </w:tc>
        <w:tc>
          <w:tcPr>
            <w:tcW w:w="450" w:type="dxa"/>
            <w:gridSpan w:val="3"/>
            <w:tcBorders>
              <w:left w:val="single" w:sz="4" w:space="0" w:color="auto"/>
              <w:bottom w:val="single" w:sz="4" w:space="0" w:color="auto"/>
              <w:right w:val="single" w:sz="4" w:space="0" w:color="auto"/>
            </w:tcBorders>
            <w:shd w:val="clear" w:color="auto" w:fill="auto"/>
            <w:vAlign w:val="center"/>
          </w:tcPr>
          <w:p w:rsidR="00500991" w:rsidRPr="00A75DF9" w:rsidRDefault="00500991" w:rsidP="001A63C6">
            <w:pPr>
              <w:pStyle w:val="TableText"/>
              <w:widowControl w:val="0"/>
              <w:rPr>
                <w:rFonts w:ascii="Tahoma" w:hAnsi="Tahoma" w:cs="Tahoma"/>
                <w:sz w:val="13"/>
              </w:rPr>
            </w:pPr>
          </w:p>
        </w:tc>
        <w:tc>
          <w:tcPr>
            <w:tcW w:w="445" w:type="dxa"/>
            <w:tcBorders>
              <w:left w:val="single" w:sz="4" w:space="0" w:color="auto"/>
              <w:bottom w:val="single" w:sz="4" w:space="0" w:color="auto"/>
              <w:right w:val="single" w:sz="4" w:space="0" w:color="auto"/>
            </w:tcBorders>
            <w:shd w:val="clear" w:color="auto" w:fill="auto"/>
            <w:vAlign w:val="center"/>
          </w:tcPr>
          <w:p w:rsidR="00500991" w:rsidRPr="00A75DF9" w:rsidRDefault="00500991" w:rsidP="001A63C6">
            <w:pPr>
              <w:pStyle w:val="TableText"/>
              <w:widowControl w:val="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500991" w:rsidRPr="00A75DF9" w:rsidRDefault="00500991" w:rsidP="001A63C6">
            <w:pPr>
              <w:pStyle w:val="TableText"/>
              <w:widowControl w:val="0"/>
              <w:rPr>
                <w:rFonts w:ascii="Tahoma" w:hAnsi="Tahoma" w:cs="Tahoma"/>
                <w:sz w:val="13"/>
              </w:rPr>
            </w:pPr>
          </w:p>
        </w:tc>
        <w:tc>
          <w:tcPr>
            <w:tcW w:w="374" w:type="dxa"/>
            <w:tcBorders>
              <w:left w:val="single" w:sz="4" w:space="0" w:color="auto"/>
              <w:bottom w:val="single" w:sz="4" w:space="0" w:color="auto"/>
              <w:right w:val="single" w:sz="18" w:space="0" w:color="auto"/>
            </w:tcBorders>
            <w:shd w:val="clear" w:color="auto" w:fill="auto"/>
            <w:vAlign w:val="center"/>
          </w:tcPr>
          <w:p w:rsidR="00500991" w:rsidRPr="00A75DF9" w:rsidRDefault="00500991" w:rsidP="001A63C6">
            <w:pPr>
              <w:pStyle w:val="TableText"/>
              <w:widowControl w:val="0"/>
              <w:rPr>
                <w:rFonts w:ascii="Tahoma" w:hAnsi="Tahoma" w:cs="Tahoma"/>
                <w:sz w:val="13"/>
              </w:rPr>
            </w:pPr>
          </w:p>
        </w:tc>
        <w:tc>
          <w:tcPr>
            <w:tcW w:w="455" w:type="dxa"/>
            <w:tcBorders>
              <w:left w:val="single" w:sz="18" w:space="0" w:color="auto"/>
              <w:bottom w:val="single" w:sz="4" w:space="0" w:color="auto"/>
            </w:tcBorders>
            <w:shd w:val="clear" w:color="auto" w:fill="auto"/>
            <w:vAlign w:val="center"/>
          </w:tcPr>
          <w:p w:rsidR="00500991" w:rsidRPr="00A75DF9" w:rsidRDefault="00500991"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00991" w:rsidRPr="00A75DF9" w:rsidRDefault="00500991"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00991" w:rsidRPr="00A75DF9" w:rsidRDefault="00500991"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00991" w:rsidRPr="00A75DF9" w:rsidRDefault="00500991"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00991" w:rsidRPr="00A75DF9" w:rsidRDefault="00500991"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500991" w:rsidRPr="00A75DF9" w:rsidRDefault="00500991"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500991" w:rsidRPr="00A75DF9" w:rsidRDefault="00500991" w:rsidP="001A63C6">
            <w:pPr>
              <w:pStyle w:val="TableText"/>
              <w:widowControl w:val="0"/>
              <w:rPr>
                <w:rFonts w:ascii="Tahoma" w:hAnsi="Tahoma" w:cs="Tahoma"/>
                <w:sz w:val="13"/>
              </w:rPr>
            </w:pPr>
          </w:p>
        </w:tc>
        <w:tc>
          <w:tcPr>
            <w:tcW w:w="539" w:type="dxa"/>
            <w:tcBorders>
              <w:bottom w:val="single" w:sz="4" w:space="0" w:color="auto"/>
            </w:tcBorders>
            <w:shd w:val="clear" w:color="auto" w:fill="auto"/>
            <w:vAlign w:val="center"/>
          </w:tcPr>
          <w:p w:rsidR="00500991" w:rsidRPr="00A75DF9" w:rsidRDefault="00500991" w:rsidP="001A63C6">
            <w:pPr>
              <w:pStyle w:val="TableText"/>
              <w:widowControl w:val="0"/>
              <w:rPr>
                <w:rFonts w:ascii="Tahoma" w:hAnsi="Tahoma" w:cs="Tahoma"/>
                <w:sz w:val="13"/>
              </w:rPr>
            </w:pPr>
          </w:p>
        </w:tc>
      </w:tr>
      <w:tr w:rsidR="00383917" w:rsidRPr="00A75DF9" w:rsidTr="008A1262">
        <w:trPr>
          <w:trHeight w:val="145"/>
        </w:trPr>
        <w:tc>
          <w:tcPr>
            <w:tcW w:w="2724" w:type="dxa"/>
            <w:gridSpan w:val="2"/>
            <w:tcBorders>
              <w:bottom w:val="single" w:sz="4" w:space="0" w:color="auto"/>
            </w:tcBorders>
            <w:shd w:val="clear" w:color="auto" w:fill="FABF8F"/>
          </w:tcPr>
          <w:p w:rsidR="001A63C6" w:rsidRPr="00A75DF9" w:rsidRDefault="001A63C6" w:rsidP="001A63C6">
            <w:pPr>
              <w:pStyle w:val="ProductNames"/>
              <w:rPr>
                <w:rFonts w:ascii="Tahoma" w:hAnsi="Tahoma" w:cs="Tahoma"/>
                <w:sz w:val="14"/>
              </w:rPr>
            </w:pPr>
            <w:bookmarkStart w:id="204" w:name="_Toc336337950"/>
            <w:bookmarkStart w:id="205" w:name="_Toc368309961"/>
            <w:r w:rsidRPr="00A75DF9">
              <w:rPr>
                <w:rFonts w:ascii="Tahoma" w:hAnsi="Tahoma" w:cs="Tahoma"/>
                <w:sz w:val="14"/>
              </w:rPr>
              <w:t xml:space="preserve">Exchange Hosted Encryption </w:t>
            </w:r>
            <w:r w:rsidR="00337A7D">
              <w:rPr>
                <w:rFonts w:ascii="Tahoma" w:hAnsi="Tahoma" w:cs="Tahoma"/>
                <w:sz w:val="14"/>
              </w:rPr>
              <w:br/>
            </w:r>
            <w:r w:rsidRPr="00A75DF9">
              <w:rPr>
                <w:rFonts w:ascii="Tahoma" w:hAnsi="Tahoma" w:cs="Tahoma"/>
                <w:sz w:val="14"/>
              </w:rPr>
              <w:t>(SL per Utente)</w:t>
            </w:r>
            <w:bookmarkEnd w:id="204"/>
            <w:bookmarkEnd w:id="205"/>
          </w:p>
        </w:tc>
        <w:tc>
          <w:tcPr>
            <w:tcW w:w="448" w:type="dxa"/>
            <w:tcBorders>
              <w:bottom w:val="single" w:sz="4" w:space="0" w:color="auto"/>
            </w:tcBorders>
            <w:shd w:val="clear" w:color="auto" w:fill="FABF8F"/>
            <w:vAlign w:val="center"/>
          </w:tcPr>
          <w:p w:rsidR="001A63C6" w:rsidRPr="00337A7D" w:rsidRDefault="00B54770">
            <w:pPr>
              <w:pStyle w:val="TableText"/>
              <w:widowControl w:val="0"/>
              <w:rPr>
                <w:rStyle w:val="EndnoteReference"/>
                <w:rFonts w:cs="Tahoma"/>
                <w:b w:val="0"/>
                <w:color w:val="000000"/>
                <w:position w:val="-11"/>
                <w:sz w:val="13"/>
                <w:szCs w:val="13"/>
                <w:u w:val="single"/>
              </w:rPr>
            </w:pPr>
            <w:hyperlink w:anchor="_46_Exchange_Hosted" w:history="1">
              <w:r w:rsidR="00734B17" w:rsidRPr="00337A7D">
                <w:rPr>
                  <w:rStyle w:val="Hyperlink"/>
                  <w:rFonts w:cs="Tahoma"/>
                  <w:b/>
                  <w:sz w:val="13"/>
                  <w:szCs w:val="13"/>
                </w:rPr>
                <w:t>52</w:t>
              </w:r>
            </w:hyperlink>
          </w:p>
        </w:tc>
        <w:tc>
          <w:tcPr>
            <w:tcW w:w="449" w:type="dxa"/>
            <w:tcBorders>
              <w:bottom w:val="single" w:sz="4" w:space="0" w:color="auto"/>
            </w:tcBorders>
            <w:shd w:val="clear" w:color="auto" w:fill="FABF8F"/>
            <w:vAlign w:val="center"/>
          </w:tcPr>
          <w:p w:rsidR="001A63C6" w:rsidRPr="00A75DF9" w:rsidRDefault="001A63C6" w:rsidP="001A63C6">
            <w:pPr>
              <w:pStyle w:val="TableText"/>
              <w:widowControl w:val="0"/>
              <w:spacing w:before="80"/>
              <w:rPr>
                <w:rFonts w:ascii="Tahoma" w:hAnsi="Tahoma" w:cs="Tahoma"/>
                <w:sz w:val="13"/>
              </w:rPr>
            </w:pPr>
            <w:r w:rsidRPr="00A75DF9">
              <w:rPr>
                <w:rFonts w:ascii="Tahoma" w:hAnsi="Tahoma" w:cs="Tahoma"/>
                <w:sz w:val="13"/>
              </w:rPr>
              <w:t>04/06</w:t>
            </w:r>
          </w:p>
        </w:tc>
        <w:tc>
          <w:tcPr>
            <w:tcW w:w="359"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2980" w:type="dxa"/>
            <w:gridSpan w:val="9"/>
            <w:tcBorders>
              <w:left w:val="single" w:sz="18" w:space="0" w:color="auto"/>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 punto</w:t>
            </w:r>
          </w:p>
        </w:tc>
        <w:tc>
          <w:tcPr>
            <w:tcW w:w="455"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P</w:t>
            </w:r>
          </w:p>
        </w:tc>
        <w:tc>
          <w:tcPr>
            <w:tcW w:w="450" w:type="dxa"/>
            <w:tcBorders>
              <w:bottom w:val="single" w:sz="4" w:space="0" w:color="auto"/>
            </w:tcBorders>
            <w:shd w:val="clear" w:color="auto" w:fill="FABF8F"/>
          </w:tcPr>
          <w:p w:rsidR="001A63C6" w:rsidRPr="00A75DF9" w:rsidRDefault="001A63C6" w:rsidP="001A63C6">
            <w:pPr>
              <w:pStyle w:val="TableText"/>
              <w:widowControl w:val="0"/>
              <w:rPr>
                <w:rFonts w:ascii="Tahoma" w:hAnsi="Tahoma" w:cs="Tahoma"/>
                <w:sz w:val="13"/>
              </w:rPr>
            </w:pPr>
          </w:p>
        </w:tc>
        <w:tc>
          <w:tcPr>
            <w:tcW w:w="539"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r>
      <w:tr w:rsidR="00383917" w:rsidRPr="00A75DF9" w:rsidTr="008A1262">
        <w:trPr>
          <w:trHeight w:val="145"/>
        </w:trPr>
        <w:tc>
          <w:tcPr>
            <w:tcW w:w="2724" w:type="dxa"/>
            <w:gridSpan w:val="2"/>
            <w:tcBorders>
              <w:bottom w:val="single" w:sz="4" w:space="0" w:color="auto"/>
            </w:tcBorders>
            <w:shd w:val="clear" w:color="auto" w:fill="auto"/>
            <w:vAlign w:val="center"/>
          </w:tcPr>
          <w:p w:rsidR="001A63C6" w:rsidRPr="00A75DF9" w:rsidRDefault="001A63C6" w:rsidP="00337A7D">
            <w:pPr>
              <w:pStyle w:val="Heading2"/>
              <w:ind w:left="0"/>
              <w:rPr>
                <w:rFonts w:ascii="Tahoma" w:hAnsi="Tahoma" w:cs="Tahoma"/>
                <w:b w:val="0"/>
                <w:sz w:val="14"/>
              </w:rPr>
            </w:pPr>
            <w:bookmarkStart w:id="206" w:name="_Toc368309962"/>
            <w:r w:rsidRPr="00A75DF9">
              <w:rPr>
                <w:rFonts w:ascii="Tahoma" w:hAnsi="Tahoma" w:cs="Tahoma"/>
                <w:b w:val="0"/>
                <w:sz w:val="14"/>
              </w:rPr>
              <w:t>Archiviazione Exchange Online per</w:t>
            </w:r>
            <w:r w:rsidR="00337A7D">
              <w:rPr>
                <w:rFonts w:ascii="Tahoma" w:hAnsi="Tahoma" w:cs="Tahoma"/>
                <w:b w:val="0"/>
                <w:sz w:val="14"/>
              </w:rPr>
              <w:t> </w:t>
            </w:r>
            <w:r w:rsidRPr="00A75DF9">
              <w:rPr>
                <w:rFonts w:ascii="Tahoma" w:hAnsi="Tahoma" w:cs="Tahoma"/>
                <w:b w:val="0"/>
                <w:sz w:val="14"/>
              </w:rPr>
              <w:t>Exchange Online A</w:t>
            </w:r>
            <w:bookmarkEnd w:id="206"/>
          </w:p>
        </w:tc>
        <w:tc>
          <w:tcPr>
            <w:tcW w:w="448" w:type="dxa"/>
            <w:tcBorders>
              <w:bottom w:val="single" w:sz="4" w:space="0" w:color="auto"/>
            </w:tcBorders>
            <w:shd w:val="clear" w:color="auto" w:fill="auto"/>
            <w:vAlign w:val="center"/>
          </w:tcPr>
          <w:p w:rsidR="001A63C6" w:rsidRPr="00337A7D" w:rsidRDefault="001A63C6" w:rsidP="001A63C6">
            <w:pPr>
              <w:pStyle w:val="TableText"/>
              <w:widowControl w:val="0"/>
              <w:rPr>
                <w:rFonts w:cs="Tahoma"/>
              </w:rPr>
            </w:pPr>
          </w:p>
        </w:tc>
        <w:tc>
          <w:tcPr>
            <w:tcW w:w="449" w:type="dxa"/>
            <w:tcBorders>
              <w:bottom w:val="single" w:sz="4" w:space="0" w:color="auto"/>
            </w:tcBorders>
            <w:shd w:val="clear" w:color="auto" w:fill="auto"/>
            <w:vAlign w:val="center"/>
          </w:tcPr>
          <w:p w:rsidR="001A63C6" w:rsidRPr="00A75DF9" w:rsidRDefault="001A63C6" w:rsidP="001A63C6">
            <w:pPr>
              <w:pStyle w:val="TableText"/>
              <w:widowControl w:val="0"/>
              <w:spacing w:before="80"/>
              <w:rPr>
                <w:rFonts w:ascii="Tahoma" w:hAnsi="Tahoma" w:cs="Tahoma"/>
                <w:sz w:val="13"/>
              </w:rPr>
            </w:pPr>
            <w:r w:rsidRPr="00A75DF9">
              <w:rPr>
                <w:rFonts w:ascii="Tahoma" w:hAnsi="Tahoma" w:cs="Tahoma"/>
                <w:sz w:val="13"/>
              </w:rPr>
              <w:t>03/13</w:t>
            </w:r>
          </w:p>
        </w:tc>
        <w:tc>
          <w:tcPr>
            <w:tcW w:w="359"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SRV</w:t>
            </w:r>
          </w:p>
        </w:tc>
        <w:tc>
          <w:tcPr>
            <w:tcW w:w="356"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5"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45"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374"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5"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A, ST (Solo EES)</w:t>
            </w:r>
          </w:p>
        </w:tc>
        <w:tc>
          <w:tcPr>
            <w:tcW w:w="539"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r>
      <w:tr w:rsidR="0047054A" w:rsidRPr="00A75DF9" w:rsidTr="008A1262">
        <w:trPr>
          <w:trHeight w:val="145"/>
        </w:trPr>
        <w:tc>
          <w:tcPr>
            <w:tcW w:w="2724" w:type="dxa"/>
            <w:gridSpan w:val="2"/>
            <w:tcBorders>
              <w:bottom w:val="single" w:sz="4" w:space="0" w:color="auto"/>
            </w:tcBorders>
            <w:shd w:val="clear" w:color="auto" w:fill="FABF8F"/>
          </w:tcPr>
          <w:p w:rsidR="001A63C6" w:rsidRPr="00A75DF9" w:rsidRDefault="001A63C6" w:rsidP="00337A7D">
            <w:pPr>
              <w:pStyle w:val="Heading2"/>
              <w:ind w:left="0"/>
              <w:rPr>
                <w:rFonts w:ascii="Tahoma" w:hAnsi="Tahoma" w:cs="Tahoma"/>
                <w:b w:val="0"/>
                <w:sz w:val="14"/>
              </w:rPr>
            </w:pPr>
            <w:bookmarkStart w:id="207" w:name="_Toc368309963"/>
            <w:r w:rsidRPr="00A75DF9">
              <w:rPr>
                <w:rFonts w:ascii="Tahoma" w:hAnsi="Tahoma" w:cs="Tahoma"/>
                <w:b w:val="0"/>
                <w:sz w:val="14"/>
              </w:rPr>
              <w:t>Archiviazione Exchange Online per</w:t>
            </w:r>
            <w:r w:rsidR="00337A7D">
              <w:rPr>
                <w:rFonts w:ascii="Tahoma" w:hAnsi="Tahoma" w:cs="Tahoma"/>
                <w:b w:val="0"/>
                <w:sz w:val="14"/>
              </w:rPr>
              <w:t> </w:t>
            </w:r>
            <w:r w:rsidRPr="00A75DF9">
              <w:rPr>
                <w:rFonts w:ascii="Tahoma" w:hAnsi="Tahoma" w:cs="Tahoma"/>
                <w:b w:val="0"/>
                <w:sz w:val="14"/>
              </w:rPr>
              <w:t>Exchange Online</w:t>
            </w:r>
            <w:bookmarkEnd w:id="207"/>
          </w:p>
        </w:tc>
        <w:tc>
          <w:tcPr>
            <w:tcW w:w="448" w:type="dxa"/>
            <w:tcBorders>
              <w:bottom w:val="single" w:sz="4" w:space="0" w:color="auto"/>
            </w:tcBorders>
            <w:shd w:val="clear" w:color="auto" w:fill="FABF8F"/>
            <w:vAlign w:val="center"/>
          </w:tcPr>
          <w:p w:rsidR="001A63C6" w:rsidRPr="00337A7D" w:rsidRDefault="001A63C6" w:rsidP="001A63C6">
            <w:pPr>
              <w:pStyle w:val="TableText"/>
              <w:widowControl w:val="0"/>
              <w:rPr>
                <w:rFonts w:cs="Tahoma"/>
              </w:rPr>
            </w:pPr>
          </w:p>
        </w:tc>
        <w:tc>
          <w:tcPr>
            <w:tcW w:w="449" w:type="dxa"/>
            <w:tcBorders>
              <w:bottom w:val="single" w:sz="4" w:space="0" w:color="auto"/>
            </w:tcBorders>
            <w:shd w:val="clear" w:color="auto" w:fill="FABF8F"/>
            <w:vAlign w:val="center"/>
          </w:tcPr>
          <w:p w:rsidR="001A63C6" w:rsidRPr="00A75DF9" w:rsidRDefault="001A63C6" w:rsidP="001A63C6">
            <w:pPr>
              <w:pStyle w:val="TableText"/>
              <w:widowControl w:val="0"/>
              <w:spacing w:before="80"/>
              <w:rPr>
                <w:rFonts w:ascii="Tahoma" w:hAnsi="Tahoma" w:cs="Tahoma"/>
                <w:sz w:val="13"/>
              </w:rPr>
            </w:pPr>
            <w:r w:rsidRPr="00A75DF9">
              <w:rPr>
                <w:rFonts w:ascii="Tahoma" w:hAnsi="Tahoma" w:cs="Tahoma"/>
                <w:sz w:val="13"/>
              </w:rPr>
              <w:t>03/13</w:t>
            </w:r>
          </w:p>
        </w:tc>
        <w:tc>
          <w:tcPr>
            <w:tcW w:w="359"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SRV</w:t>
            </w:r>
          </w:p>
        </w:tc>
        <w:tc>
          <w:tcPr>
            <w:tcW w:w="356"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374"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5"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539"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r>
      <w:tr w:rsidR="00383917" w:rsidRPr="00A75DF9" w:rsidTr="008A1262">
        <w:trPr>
          <w:trHeight w:val="145"/>
        </w:trPr>
        <w:tc>
          <w:tcPr>
            <w:tcW w:w="2724" w:type="dxa"/>
            <w:gridSpan w:val="2"/>
            <w:tcBorders>
              <w:bottom w:val="single" w:sz="4" w:space="0" w:color="auto"/>
            </w:tcBorders>
            <w:shd w:val="clear" w:color="auto" w:fill="auto"/>
          </w:tcPr>
          <w:p w:rsidR="001A63C6" w:rsidRPr="00A75DF9" w:rsidRDefault="001A63C6" w:rsidP="001A63C6">
            <w:pPr>
              <w:pStyle w:val="Heading2"/>
              <w:ind w:left="0"/>
              <w:rPr>
                <w:rFonts w:ascii="Tahoma" w:hAnsi="Tahoma" w:cs="Tahoma"/>
                <w:b w:val="0"/>
                <w:sz w:val="14"/>
              </w:rPr>
            </w:pPr>
            <w:bookmarkStart w:id="208" w:name="_Toc336337951"/>
            <w:bookmarkStart w:id="209" w:name="_Toc368309964"/>
            <w:r w:rsidRPr="00A75DF9">
              <w:rPr>
                <w:rFonts w:ascii="Tahoma" w:hAnsi="Tahoma" w:cs="Tahoma"/>
                <w:b w:val="0"/>
                <w:sz w:val="14"/>
              </w:rPr>
              <w:t>Chiosco Exchange Online (SL per Utente)</w:t>
            </w:r>
            <w:bookmarkEnd w:id="208"/>
            <w:bookmarkEnd w:id="209"/>
          </w:p>
        </w:tc>
        <w:tc>
          <w:tcPr>
            <w:tcW w:w="448" w:type="dxa"/>
            <w:tcBorders>
              <w:bottom w:val="single" w:sz="4" w:space="0" w:color="auto"/>
            </w:tcBorders>
            <w:shd w:val="clear" w:color="auto" w:fill="auto"/>
            <w:vAlign w:val="center"/>
          </w:tcPr>
          <w:p w:rsidR="001A63C6" w:rsidRPr="00337A7D" w:rsidRDefault="00B54770">
            <w:pPr>
              <w:pStyle w:val="TableText"/>
              <w:widowControl w:val="0"/>
              <w:rPr>
                <w:rStyle w:val="EndnoteReference"/>
                <w:rFonts w:cs="Tahoma"/>
                <w:b w:val="0"/>
                <w:color w:val="000000"/>
                <w:sz w:val="13"/>
                <w:szCs w:val="13"/>
                <w:u w:val="single"/>
              </w:rPr>
            </w:pPr>
            <w:hyperlink w:anchor="_53_Exchange_Online" w:history="1">
              <w:r w:rsidR="00734B17" w:rsidRPr="00337A7D">
                <w:rPr>
                  <w:rStyle w:val="Hyperlink"/>
                  <w:rFonts w:cs="Tahoma"/>
                  <w:b/>
                  <w:sz w:val="13"/>
                  <w:szCs w:val="13"/>
                </w:rPr>
                <w:t>53</w:t>
              </w:r>
            </w:hyperlink>
          </w:p>
        </w:tc>
        <w:tc>
          <w:tcPr>
            <w:tcW w:w="449" w:type="dxa"/>
            <w:tcBorders>
              <w:bottom w:val="single" w:sz="4" w:space="0" w:color="auto"/>
            </w:tcBorders>
            <w:shd w:val="clear" w:color="auto" w:fill="auto"/>
            <w:vAlign w:val="center"/>
          </w:tcPr>
          <w:p w:rsidR="001A63C6" w:rsidRPr="00A75DF9" w:rsidRDefault="001A63C6" w:rsidP="001A63C6">
            <w:pPr>
              <w:pStyle w:val="TableText"/>
              <w:widowControl w:val="0"/>
              <w:spacing w:before="80"/>
              <w:rPr>
                <w:rFonts w:ascii="Tahoma" w:hAnsi="Tahoma" w:cs="Tahoma"/>
                <w:sz w:val="13"/>
              </w:rPr>
            </w:pPr>
            <w:r w:rsidRPr="00A75DF9">
              <w:rPr>
                <w:rFonts w:ascii="Tahoma" w:hAnsi="Tahoma" w:cs="Tahoma"/>
                <w:sz w:val="13"/>
              </w:rPr>
              <w:t>06/11</w:t>
            </w:r>
          </w:p>
        </w:tc>
        <w:tc>
          <w:tcPr>
            <w:tcW w:w="359"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 xml:space="preserve"> </w:t>
            </w:r>
          </w:p>
        </w:tc>
        <w:tc>
          <w:tcPr>
            <w:tcW w:w="356"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5"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45"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374"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5"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539"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r>
      <w:tr w:rsidR="009C7B23" w:rsidRPr="00A75DF9" w:rsidTr="008A1262">
        <w:trPr>
          <w:trHeight w:val="395"/>
        </w:trPr>
        <w:tc>
          <w:tcPr>
            <w:tcW w:w="2724" w:type="dxa"/>
            <w:gridSpan w:val="2"/>
            <w:tcBorders>
              <w:bottom w:val="single" w:sz="4" w:space="0" w:color="auto"/>
            </w:tcBorders>
            <w:shd w:val="clear" w:color="auto" w:fill="FABF8F"/>
            <w:vAlign w:val="center"/>
          </w:tcPr>
          <w:p w:rsidR="009C7B23" w:rsidRPr="00A75DF9" w:rsidRDefault="009C7B23" w:rsidP="00D66F68">
            <w:pPr>
              <w:pStyle w:val="Heading2"/>
              <w:ind w:left="0"/>
              <w:rPr>
                <w:rFonts w:ascii="Tahoma" w:hAnsi="Tahoma" w:cs="Tahoma"/>
                <w:b w:val="0"/>
                <w:sz w:val="14"/>
              </w:rPr>
            </w:pPr>
            <w:bookmarkStart w:id="210" w:name="_Toc368309965"/>
            <w:r w:rsidRPr="00A75DF9">
              <w:rPr>
                <w:rFonts w:ascii="Tahoma" w:hAnsi="Tahoma" w:cs="Tahoma"/>
                <w:b w:val="0"/>
                <w:sz w:val="14"/>
              </w:rPr>
              <w:t>Componente Aggiuntivo di Exchange Online Piano 1 (SL per Utente)</w:t>
            </w:r>
            <w:bookmarkEnd w:id="210"/>
          </w:p>
        </w:tc>
        <w:tc>
          <w:tcPr>
            <w:tcW w:w="448" w:type="dxa"/>
            <w:tcBorders>
              <w:bottom w:val="single" w:sz="4" w:space="0" w:color="auto"/>
            </w:tcBorders>
            <w:shd w:val="clear" w:color="auto" w:fill="FABF8F"/>
            <w:vAlign w:val="center"/>
          </w:tcPr>
          <w:p w:rsidR="009C7B23" w:rsidRPr="00337A7D" w:rsidRDefault="00B54770">
            <w:pPr>
              <w:pStyle w:val="TableText"/>
              <w:widowControl w:val="0"/>
              <w:rPr>
                <w:rFonts w:cs="Tahoma"/>
                <w:b/>
                <w:sz w:val="13"/>
                <w:szCs w:val="13"/>
              </w:rPr>
            </w:pPr>
            <w:hyperlink w:anchor="_55Exchange_Online_Plan" w:history="1">
              <w:r w:rsidR="00734B17" w:rsidRPr="00337A7D">
                <w:rPr>
                  <w:rStyle w:val="Hyperlink"/>
                  <w:rFonts w:cs="Tahoma"/>
                  <w:b/>
                  <w:sz w:val="13"/>
                  <w:szCs w:val="13"/>
                </w:rPr>
                <w:t>54</w:t>
              </w:r>
            </w:hyperlink>
          </w:p>
        </w:tc>
        <w:tc>
          <w:tcPr>
            <w:tcW w:w="449" w:type="dxa"/>
            <w:tcBorders>
              <w:bottom w:val="single" w:sz="4" w:space="0" w:color="auto"/>
            </w:tcBorders>
            <w:shd w:val="clear" w:color="auto" w:fill="FABF8F"/>
            <w:vAlign w:val="center"/>
          </w:tcPr>
          <w:p w:rsidR="009C7B23" w:rsidRPr="00A75DF9" w:rsidRDefault="009C7B23" w:rsidP="001A63C6">
            <w:pPr>
              <w:pStyle w:val="TableText"/>
              <w:widowControl w:val="0"/>
              <w:spacing w:before="80"/>
              <w:rPr>
                <w:rFonts w:ascii="Tahoma" w:hAnsi="Tahoma" w:cs="Tahoma"/>
                <w:sz w:val="13"/>
              </w:rPr>
            </w:pPr>
            <w:r w:rsidRPr="00A75DF9">
              <w:rPr>
                <w:rFonts w:ascii="Tahoma" w:hAnsi="Tahoma" w:cs="Tahoma"/>
                <w:sz w:val="13"/>
              </w:rPr>
              <w:t>08/13</w:t>
            </w:r>
          </w:p>
        </w:tc>
        <w:tc>
          <w:tcPr>
            <w:tcW w:w="359" w:type="dxa"/>
            <w:tcBorders>
              <w:bottom w:val="single" w:sz="4" w:space="0" w:color="auto"/>
              <w:right w:val="single" w:sz="18" w:space="0" w:color="auto"/>
            </w:tcBorders>
            <w:shd w:val="clear" w:color="auto" w:fill="FABF8F"/>
            <w:vAlign w:val="center"/>
          </w:tcPr>
          <w:p w:rsidR="009C7B23" w:rsidRPr="00A75DF9" w:rsidRDefault="009C7B23" w:rsidP="001A63C6">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FABF8F"/>
            <w:vAlign w:val="center"/>
          </w:tcPr>
          <w:p w:rsidR="009C7B23" w:rsidRPr="00A75DF9"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C7B23" w:rsidRPr="00A75DF9" w:rsidRDefault="009C7B23" w:rsidP="001A63C6">
            <w:pPr>
              <w:pStyle w:val="TableText"/>
              <w:widowControl w:val="0"/>
              <w:rPr>
                <w:rFonts w:ascii="Tahoma" w:hAnsi="Tahoma" w:cs="Tahoma"/>
                <w:sz w:val="13"/>
              </w:rPr>
            </w:pPr>
          </w:p>
        </w:tc>
        <w:tc>
          <w:tcPr>
            <w:tcW w:w="455" w:type="dxa"/>
            <w:tcBorders>
              <w:bottom w:val="single" w:sz="4" w:space="0" w:color="auto"/>
            </w:tcBorders>
            <w:shd w:val="clear" w:color="auto" w:fill="FABF8F"/>
            <w:vAlign w:val="center"/>
          </w:tcPr>
          <w:p w:rsidR="009C7B23" w:rsidRPr="00A75DF9" w:rsidRDefault="009C7B23"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9C7B23" w:rsidRPr="00A75DF9" w:rsidRDefault="009C7B23" w:rsidP="001A63C6">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9C7B23" w:rsidRPr="00A75DF9"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C7B23" w:rsidRPr="00A75DF9" w:rsidRDefault="009C7B23" w:rsidP="001A63C6">
            <w:pPr>
              <w:pStyle w:val="TableText"/>
              <w:widowControl w:val="0"/>
              <w:rPr>
                <w:rFonts w:ascii="Tahoma" w:hAnsi="Tahoma" w:cs="Tahoma"/>
                <w:sz w:val="13"/>
              </w:rPr>
            </w:pPr>
          </w:p>
        </w:tc>
        <w:tc>
          <w:tcPr>
            <w:tcW w:w="374" w:type="dxa"/>
            <w:tcBorders>
              <w:bottom w:val="single" w:sz="4" w:space="0" w:color="auto"/>
              <w:right w:val="single" w:sz="18" w:space="0" w:color="auto"/>
            </w:tcBorders>
            <w:shd w:val="clear" w:color="auto" w:fill="FABF8F"/>
            <w:vAlign w:val="center"/>
          </w:tcPr>
          <w:p w:rsidR="009C7B23" w:rsidRPr="00A75DF9" w:rsidRDefault="009C7B23" w:rsidP="001A63C6">
            <w:pPr>
              <w:pStyle w:val="TableText"/>
              <w:widowControl w:val="0"/>
              <w:rPr>
                <w:rFonts w:ascii="Tahoma" w:hAnsi="Tahoma" w:cs="Tahoma"/>
                <w:sz w:val="13"/>
              </w:rPr>
            </w:pPr>
          </w:p>
        </w:tc>
        <w:tc>
          <w:tcPr>
            <w:tcW w:w="455" w:type="dxa"/>
            <w:tcBorders>
              <w:left w:val="single" w:sz="18" w:space="0" w:color="auto"/>
              <w:bottom w:val="single" w:sz="4" w:space="0" w:color="auto"/>
            </w:tcBorders>
            <w:shd w:val="clear" w:color="auto" w:fill="FABF8F"/>
            <w:vAlign w:val="center"/>
          </w:tcPr>
          <w:p w:rsidR="009C7B23" w:rsidRPr="00A75DF9"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C7B23" w:rsidRPr="00A75DF9" w:rsidRDefault="009C7B23"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C7B23" w:rsidRPr="00A75DF9" w:rsidRDefault="009C7B23"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C7B23" w:rsidRPr="00A75DF9" w:rsidRDefault="009C7B23"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C7B23" w:rsidRPr="00A75DF9" w:rsidRDefault="009C7B23" w:rsidP="001A63C6">
            <w:pPr>
              <w:pStyle w:val="TableText"/>
              <w:widowControl w:val="0"/>
              <w:rPr>
                <w:rFonts w:ascii="Tahoma" w:hAnsi="Tahoma" w:cs="Tahoma"/>
                <w:sz w:val="13"/>
              </w:rPr>
            </w:pPr>
            <w:r w:rsidRPr="00A75D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9C7B23" w:rsidRPr="00A75DF9"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C7B23" w:rsidRPr="00A75DF9" w:rsidRDefault="009C7B23" w:rsidP="001A63C6">
            <w:pPr>
              <w:pStyle w:val="TableText"/>
              <w:widowControl w:val="0"/>
              <w:rPr>
                <w:rFonts w:ascii="Tahoma" w:hAnsi="Tahoma" w:cs="Tahoma"/>
                <w:sz w:val="13"/>
              </w:rPr>
            </w:pPr>
          </w:p>
        </w:tc>
        <w:tc>
          <w:tcPr>
            <w:tcW w:w="539" w:type="dxa"/>
            <w:tcBorders>
              <w:bottom w:val="single" w:sz="4" w:space="0" w:color="auto"/>
            </w:tcBorders>
            <w:shd w:val="clear" w:color="auto" w:fill="FABF8F"/>
            <w:vAlign w:val="center"/>
          </w:tcPr>
          <w:p w:rsidR="009C7B23" w:rsidRPr="00A75DF9" w:rsidRDefault="009C7B23" w:rsidP="001A63C6">
            <w:pPr>
              <w:pStyle w:val="TableText"/>
              <w:widowControl w:val="0"/>
              <w:rPr>
                <w:rFonts w:ascii="Tahoma" w:hAnsi="Tahoma" w:cs="Tahoma"/>
                <w:sz w:val="13"/>
              </w:rPr>
            </w:pPr>
          </w:p>
        </w:tc>
      </w:tr>
      <w:tr w:rsidR="00383917" w:rsidRPr="00A75DF9" w:rsidTr="008A1262">
        <w:trPr>
          <w:trHeight w:val="395"/>
        </w:trPr>
        <w:tc>
          <w:tcPr>
            <w:tcW w:w="2724" w:type="dxa"/>
            <w:gridSpan w:val="2"/>
            <w:tcBorders>
              <w:bottom w:val="single" w:sz="4" w:space="0" w:color="auto"/>
            </w:tcBorders>
            <w:shd w:val="clear" w:color="auto" w:fill="auto"/>
            <w:vAlign w:val="center"/>
          </w:tcPr>
          <w:p w:rsidR="001A63C6" w:rsidRPr="00A75DF9" w:rsidRDefault="001A63C6" w:rsidP="00D66F68">
            <w:pPr>
              <w:pStyle w:val="Heading2"/>
              <w:ind w:left="0"/>
              <w:rPr>
                <w:rFonts w:ascii="Tahoma" w:hAnsi="Tahoma" w:cs="Tahoma"/>
                <w:b w:val="0"/>
                <w:sz w:val="14"/>
              </w:rPr>
            </w:pPr>
            <w:bookmarkStart w:id="211" w:name="_Toc336337952"/>
            <w:bookmarkStart w:id="212" w:name="_Toc368309966"/>
            <w:r w:rsidRPr="00A75DF9">
              <w:rPr>
                <w:rFonts w:ascii="Tahoma" w:hAnsi="Tahoma" w:cs="Tahoma"/>
                <w:b w:val="0"/>
                <w:sz w:val="14"/>
              </w:rPr>
              <w:t>Exchange Online Piano 1 (SL per Utente)</w:t>
            </w:r>
            <w:bookmarkEnd w:id="211"/>
            <w:bookmarkEnd w:id="212"/>
          </w:p>
        </w:tc>
        <w:tc>
          <w:tcPr>
            <w:tcW w:w="448" w:type="dxa"/>
            <w:tcBorders>
              <w:bottom w:val="single" w:sz="4" w:space="0" w:color="auto"/>
            </w:tcBorders>
            <w:shd w:val="clear" w:color="auto" w:fill="auto"/>
            <w:vAlign w:val="center"/>
          </w:tcPr>
          <w:p w:rsidR="001A63C6" w:rsidRPr="00337A7D" w:rsidRDefault="00B54770">
            <w:pPr>
              <w:pStyle w:val="TableText"/>
              <w:widowControl w:val="0"/>
              <w:rPr>
                <w:rStyle w:val="EndnoteReference"/>
                <w:rFonts w:cs="Tahoma"/>
                <w:b w:val="0"/>
                <w:color w:val="0000FF"/>
                <w:sz w:val="13"/>
                <w:szCs w:val="13"/>
                <w:u w:val="single"/>
              </w:rPr>
            </w:pPr>
            <w:hyperlink w:anchor="_54_Exchange_Online" w:history="1">
              <w:r w:rsidR="00734B17" w:rsidRPr="00337A7D">
                <w:rPr>
                  <w:rStyle w:val="Hyperlink"/>
                  <w:rFonts w:cs="Tahoma"/>
                  <w:b/>
                  <w:sz w:val="13"/>
                  <w:szCs w:val="13"/>
                </w:rPr>
                <w:t>54</w:t>
              </w:r>
            </w:hyperlink>
          </w:p>
        </w:tc>
        <w:tc>
          <w:tcPr>
            <w:tcW w:w="449" w:type="dxa"/>
            <w:tcBorders>
              <w:bottom w:val="single" w:sz="4" w:space="0" w:color="auto"/>
            </w:tcBorders>
            <w:shd w:val="clear" w:color="auto" w:fill="auto"/>
            <w:vAlign w:val="center"/>
          </w:tcPr>
          <w:p w:rsidR="001A63C6" w:rsidRPr="00A75DF9" w:rsidRDefault="001A63C6" w:rsidP="001A63C6">
            <w:pPr>
              <w:pStyle w:val="TableText"/>
              <w:widowControl w:val="0"/>
              <w:spacing w:before="80"/>
              <w:rPr>
                <w:rFonts w:ascii="Tahoma" w:hAnsi="Tahoma" w:cs="Tahoma"/>
                <w:sz w:val="13"/>
              </w:rPr>
            </w:pPr>
            <w:r w:rsidRPr="00A75DF9">
              <w:rPr>
                <w:rFonts w:ascii="Tahoma" w:hAnsi="Tahoma" w:cs="Tahoma"/>
                <w:sz w:val="13"/>
              </w:rPr>
              <w:t>06/11</w:t>
            </w:r>
          </w:p>
        </w:tc>
        <w:tc>
          <w:tcPr>
            <w:tcW w:w="359"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5"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45"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374"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5"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75DF9" w:rsidRDefault="00D55AB9" w:rsidP="001A63C6">
            <w:pPr>
              <w:pStyle w:val="TableText"/>
              <w:widowControl w:val="0"/>
              <w:rPr>
                <w:rFonts w:ascii="Tahoma" w:hAnsi="Tahoma" w:cs="Tahoma"/>
                <w:sz w:val="13"/>
              </w:rPr>
            </w:pPr>
            <w:r w:rsidRPr="00A75DF9">
              <w:rPr>
                <w:rFonts w:ascii="Tahoma" w:hAnsi="Tahoma" w:cs="Tahoma"/>
                <w:sz w:val="13"/>
              </w:rPr>
              <w:t>P</w:t>
            </w: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539" w:type="dxa"/>
            <w:tcBorders>
              <w:bottom w:val="single" w:sz="4" w:space="0" w:color="auto"/>
            </w:tcBorders>
            <w:shd w:val="clear" w:color="auto" w:fill="auto"/>
            <w:vAlign w:val="center"/>
          </w:tcPr>
          <w:p w:rsidR="001A63C6" w:rsidRPr="00A75DF9" w:rsidRDefault="00D55AB9" w:rsidP="001A63C6">
            <w:pPr>
              <w:pStyle w:val="TableText"/>
              <w:widowControl w:val="0"/>
              <w:rPr>
                <w:rFonts w:ascii="Tahoma" w:hAnsi="Tahoma" w:cs="Tahoma"/>
                <w:sz w:val="13"/>
              </w:rPr>
            </w:pPr>
            <w:r w:rsidRPr="00A75DF9">
              <w:rPr>
                <w:rFonts w:ascii="Tahoma" w:hAnsi="Tahoma" w:cs="Tahoma"/>
                <w:sz w:val="13"/>
              </w:rPr>
              <w:t>OV</w:t>
            </w:r>
          </w:p>
        </w:tc>
      </w:tr>
      <w:tr w:rsidR="00B33D0E" w:rsidRPr="00A75DF9" w:rsidTr="008A1262">
        <w:trPr>
          <w:trHeight w:val="145"/>
        </w:trPr>
        <w:tc>
          <w:tcPr>
            <w:tcW w:w="2724" w:type="dxa"/>
            <w:gridSpan w:val="2"/>
            <w:tcBorders>
              <w:bottom w:val="single" w:sz="4" w:space="0" w:color="auto"/>
            </w:tcBorders>
            <w:shd w:val="clear" w:color="auto" w:fill="FABF8F"/>
          </w:tcPr>
          <w:p w:rsidR="001A63C6" w:rsidRPr="00A75DF9" w:rsidRDefault="001A63C6" w:rsidP="001A63C6">
            <w:pPr>
              <w:pStyle w:val="Heading2"/>
              <w:ind w:left="0"/>
              <w:rPr>
                <w:rFonts w:ascii="Tahoma" w:hAnsi="Tahoma" w:cs="Tahoma"/>
                <w:b w:val="0"/>
                <w:sz w:val="14"/>
              </w:rPr>
            </w:pPr>
            <w:bookmarkStart w:id="213" w:name="_Toc336337953"/>
            <w:bookmarkStart w:id="214" w:name="_Toc368309967"/>
            <w:r w:rsidRPr="00A75DF9">
              <w:rPr>
                <w:rFonts w:ascii="Tahoma" w:hAnsi="Tahoma" w:cs="Tahoma"/>
                <w:b w:val="0"/>
                <w:sz w:val="14"/>
              </w:rPr>
              <w:t>Exchange Online Piano 2 (SL per Utente)</w:t>
            </w:r>
            <w:bookmarkEnd w:id="213"/>
            <w:bookmarkEnd w:id="214"/>
          </w:p>
        </w:tc>
        <w:tc>
          <w:tcPr>
            <w:tcW w:w="448" w:type="dxa"/>
            <w:tcBorders>
              <w:bottom w:val="single" w:sz="4" w:space="0" w:color="auto"/>
            </w:tcBorders>
            <w:shd w:val="clear" w:color="auto" w:fill="FABF8F"/>
            <w:vAlign w:val="center"/>
          </w:tcPr>
          <w:p w:rsidR="001A63C6" w:rsidRPr="00337A7D" w:rsidRDefault="00B54770">
            <w:pPr>
              <w:pStyle w:val="TableText"/>
              <w:widowControl w:val="0"/>
              <w:rPr>
                <w:rStyle w:val="EndnoteReference"/>
                <w:rFonts w:cs="Tahoma"/>
                <w:b w:val="0"/>
                <w:color w:val="000000"/>
                <w:sz w:val="13"/>
                <w:szCs w:val="13"/>
                <w:u w:val="single"/>
              </w:rPr>
            </w:pPr>
            <w:hyperlink w:anchor="_55_Exchange_Online" w:history="1">
              <w:r w:rsidR="00734B17" w:rsidRPr="00337A7D">
                <w:rPr>
                  <w:rStyle w:val="Hyperlink"/>
                  <w:rFonts w:cs="Tahoma"/>
                  <w:b/>
                  <w:sz w:val="13"/>
                  <w:szCs w:val="13"/>
                </w:rPr>
                <w:t>55</w:t>
              </w:r>
            </w:hyperlink>
            <w:hyperlink w:anchor="_49_Exchange_Online" w:history="1"/>
          </w:p>
        </w:tc>
        <w:tc>
          <w:tcPr>
            <w:tcW w:w="449" w:type="dxa"/>
            <w:tcBorders>
              <w:bottom w:val="single" w:sz="4" w:space="0" w:color="auto"/>
            </w:tcBorders>
            <w:shd w:val="clear" w:color="auto" w:fill="FABF8F"/>
            <w:vAlign w:val="center"/>
          </w:tcPr>
          <w:p w:rsidR="001A63C6" w:rsidRPr="00A75DF9" w:rsidRDefault="001A63C6" w:rsidP="007E466C">
            <w:pPr>
              <w:pStyle w:val="TableText"/>
              <w:widowControl w:val="0"/>
              <w:spacing w:before="80"/>
              <w:rPr>
                <w:rFonts w:ascii="Tahoma" w:hAnsi="Tahoma" w:cs="Tahoma"/>
                <w:sz w:val="13"/>
              </w:rPr>
            </w:pPr>
            <w:r w:rsidRPr="00A75DF9">
              <w:rPr>
                <w:rFonts w:ascii="Tahoma" w:hAnsi="Tahoma" w:cs="Tahoma"/>
                <w:sz w:val="13"/>
              </w:rPr>
              <w:t>06/11</w:t>
            </w:r>
          </w:p>
        </w:tc>
        <w:tc>
          <w:tcPr>
            <w:tcW w:w="359"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374"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5"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539"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r>
      <w:tr w:rsidR="001933C6" w:rsidRPr="00A75DF9" w:rsidTr="008A1262">
        <w:trPr>
          <w:trHeight w:val="145"/>
        </w:trPr>
        <w:tc>
          <w:tcPr>
            <w:tcW w:w="2724" w:type="dxa"/>
            <w:gridSpan w:val="2"/>
            <w:tcBorders>
              <w:bottom w:val="single" w:sz="4" w:space="0" w:color="auto"/>
            </w:tcBorders>
            <w:shd w:val="clear" w:color="auto" w:fill="FFFFFF" w:themeFill="background1"/>
          </w:tcPr>
          <w:p w:rsidR="001A63C6" w:rsidRPr="00A75DF9" w:rsidRDefault="001A63C6" w:rsidP="001A63C6">
            <w:pPr>
              <w:pStyle w:val="Heading3"/>
              <w:rPr>
                <w:rFonts w:ascii="Tahoma" w:hAnsi="Tahoma" w:cs="Tahoma"/>
                <w:b w:val="0"/>
                <w:sz w:val="14"/>
              </w:rPr>
            </w:pPr>
            <w:bookmarkStart w:id="215" w:name="_Toc336337954"/>
            <w:bookmarkStart w:id="216" w:name="_Toc368309968"/>
            <w:r w:rsidRPr="00A75DF9">
              <w:rPr>
                <w:rFonts w:ascii="Tahoma" w:hAnsi="Tahoma" w:cs="Tahoma"/>
                <w:b w:val="0"/>
                <w:sz w:val="14"/>
              </w:rPr>
              <w:t>Exchange Online Piano 1A per Ex Allievi (SL per Utente)</w:t>
            </w:r>
            <w:bookmarkEnd w:id="215"/>
            <w:bookmarkEnd w:id="216"/>
          </w:p>
        </w:tc>
        <w:tc>
          <w:tcPr>
            <w:tcW w:w="448" w:type="dxa"/>
            <w:tcBorders>
              <w:bottom w:val="single" w:sz="4" w:space="0" w:color="auto"/>
            </w:tcBorders>
            <w:shd w:val="clear" w:color="auto" w:fill="FFFFFF" w:themeFill="background1"/>
            <w:vAlign w:val="center"/>
          </w:tcPr>
          <w:p w:rsidR="001A63C6" w:rsidRPr="00337A7D" w:rsidRDefault="001A63C6" w:rsidP="001A63C6">
            <w:pPr>
              <w:pStyle w:val="TableText"/>
              <w:widowControl w:val="0"/>
              <w:rPr>
                <w:rFonts w:cs="Tahoma"/>
                <w:b/>
                <w:color w:val="000000"/>
                <w:sz w:val="13"/>
                <w:szCs w:val="13"/>
                <w:u w:val="single"/>
              </w:rPr>
            </w:pPr>
          </w:p>
        </w:tc>
        <w:tc>
          <w:tcPr>
            <w:tcW w:w="449" w:type="dxa"/>
            <w:tcBorders>
              <w:bottom w:val="single" w:sz="4" w:space="0" w:color="auto"/>
            </w:tcBorders>
            <w:shd w:val="clear" w:color="auto" w:fill="FFFFFF" w:themeFill="background1"/>
            <w:vAlign w:val="center"/>
          </w:tcPr>
          <w:p w:rsidR="001A63C6" w:rsidRPr="00A75DF9" w:rsidRDefault="001A63C6" w:rsidP="001A63C6">
            <w:pPr>
              <w:pStyle w:val="TableText"/>
              <w:widowControl w:val="0"/>
              <w:spacing w:before="80"/>
              <w:rPr>
                <w:rFonts w:ascii="Tahoma" w:hAnsi="Tahoma" w:cs="Tahoma"/>
                <w:sz w:val="13"/>
              </w:rPr>
            </w:pPr>
            <w:r w:rsidRPr="00A75DF9">
              <w:rPr>
                <w:rFonts w:ascii="Tahoma" w:hAnsi="Tahoma" w:cs="Tahoma"/>
                <w:sz w:val="13"/>
              </w:rPr>
              <w:t>06/12</w:t>
            </w:r>
          </w:p>
        </w:tc>
        <w:tc>
          <w:tcPr>
            <w:tcW w:w="359" w:type="dxa"/>
            <w:tcBorders>
              <w:bottom w:val="single" w:sz="4" w:space="0" w:color="auto"/>
              <w:right w:val="single" w:sz="18" w:space="0" w:color="auto"/>
            </w:tcBorders>
            <w:shd w:val="clear" w:color="auto" w:fill="FFFFFF" w:themeFill="background1"/>
            <w:vAlign w:val="center"/>
          </w:tcPr>
          <w:p w:rsidR="001A63C6" w:rsidRPr="00A75DF9" w:rsidRDefault="001A63C6" w:rsidP="001A63C6">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FFFFFF" w:themeFill="background1"/>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A75DF9" w:rsidRDefault="001A63C6" w:rsidP="001A63C6">
            <w:pPr>
              <w:pStyle w:val="TableText"/>
              <w:widowControl w:val="0"/>
              <w:rPr>
                <w:rFonts w:ascii="Tahoma" w:hAnsi="Tahoma" w:cs="Tahoma"/>
                <w:sz w:val="13"/>
              </w:rPr>
            </w:pPr>
          </w:p>
        </w:tc>
        <w:tc>
          <w:tcPr>
            <w:tcW w:w="455" w:type="dxa"/>
            <w:tcBorders>
              <w:bottom w:val="single" w:sz="4" w:space="0" w:color="auto"/>
            </w:tcBorders>
            <w:shd w:val="clear" w:color="auto" w:fill="FFFFFF" w:themeFill="background1"/>
            <w:vAlign w:val="center"/>
          </w:tcPr>
          <w:p w:rsidR="001A63C6" w:rsidRPr="00A75DF9"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rsidR="001A63C6" w:rsidRPr="00A75DF9" w:rsidRDefault="001A63C6" w:rsidP="001A63C6">
            <w:pPr>
              <w:pStyle w:val="TableText"/>
              <w:widowControl w:val="0"/>
              <w:rPr>
                <w:rFonts w:ascii="Tahoma" w:hAnsi="Tahoma" w:cs="Tahoma"/>
                <w:sz w:val="13"/>
              </w:rPr>
            </w:pPr>
          </w:p>
        </w:tc>
        <w:tc>
          <w:tcPr>
            <w:tcW w:w="445" w:type="dxa"/>
            <w:tcBorders>
              <w:bottom w:val="single" w:sz="4" w:space="0" w:color="auto"/>
            </w:tcBorders>
            <w:shd w:val="clear" w:color="auto" w:fill="FFFFFF" w:themeFill="background1"/>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A75DF9" w:rsidRDefault="001A63C6" w:rsidP="001A63C6">
            <w:pPr>
              <w:pStyle w:val="TableText"/>
              <w:widowControl w:val="0"/>
              <w:rPr>
                <w:rFonts w:ascii="Tahoma" w:hAnsi="Tahoma" w:cs="Tahoma"/>
                <w:sz w:val="13"/>
              </w:rPr>
            </w:pPr>
          </w:p>
        </w:tc>
        <w:tc>
          <w:tcPr>
            <w:tcW w:w="374" w:type="dxa"/>
            <w:tcBorders>
              <w:bottom w:val="single" w:sz="4" w:space="0" w:color="auto"/>
              <w:right w:val="single" w:sz="18" w:space="0" w:color="auto"/>
            </w:tcBorders>
            <w:shd w:val="clear" w:color="auto" w:fill="FFFFFF" w:themeFill="background1"/>
            <w:vAlign w:val="center"/>
          </w:tcPr>
          <w:p w:rsidR="001A63C6" w:rsidRPr="00A75DF9" w:rsidRDefault="001A63C6" w:rsidP="001A63C6">
            <w:pPr>
              <w:pStyle w:val="TableText"/>
              <w:widowControl w:val="0"/>
              <w:rPr>
                <w:rFonts w:ascii="Tahoma" w:hAnsi="Tahoma" w:cs="Tahoma"/>
                <w:sz w:val="13"/>
              </w:rPr>
            </w:pPr>
          </w:p>
        </w:tc>
        <w:tc>
          <w:tcPr>
            <w:tcW w:w="455" w:type="dxa"/>
            <w:tcBorders>
              <w:left w:val="single" w:sz="18" w:space="0" w:color="auto"/>
              <w:bottom w:val="single" w:sz="4" w:space="0" w:color="auto"/>
            </w:tcBorders>
            <w:shd w:val="clear" w:color="auto" w:fill="FFFFFF" w:themeFill="background1"/>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A (Solo EES)</w:t>
            </w:r>
          </w:p>
        </w:tc>
        <w:tc>
          <w:tcPr>
            <w:tcW w:w="539" w:type="dxa"/>
            <w:tcBorders>
              <w:bottom w:val="single" w:sz="4" w:space="0" w:color="auto"/>
            </w:tcBorders>
            <w:shd w:val="clear" w:color="auto" w:fill="FFFFFF" w:themeFill="background1"/>
            <w:vAlign w:val="center"/>
          </w:tcPr>
          <w:p w:rsidR="001A63C6" w:rsidRPr="00A75DF9" w:rsidRDefault="001A63C6" w:rsidP="001A63C6">
            <w:pPr>
              <w:pStyle w:val="TableText"/>
              <w:widowControl w:val="0"/>
              <w:rPr>
                <w:rFonts w:ascii="Tahoma" w:hAnsi="Tahoma" w:cs="Tahoma"/>
                <w:sz w:val="13"/>
              </w:rPr>
            </w:pPr>
          </w:p>
        </w:tc>
      </w:tr>
      <w:tr w:rsidR="00B33D0E" w:rsidRPr="00A75DF9" w:rsidTr="008A1262">
        <w:trPr>
          <w:trHeight w:val="145"/>
        </w:trPr>
        <w:tc>
          <w:tcPr>
            <w:tcW w:w="2724" w:type="dxa"/>
            <w:gridSpan w:val="2"/>
            <w:tcBorders>
              <w:bottom w:val="single" w:sz="4" w:space="0" w:color="auto"/>
            </w:tcBorders>
            <w:shd w:val="clear" w:color="auto" w:fill="FABF8F"/>
          </w:tcPr>
          <w:p w:rsidR="001A63C6" w:rsidRPr="00A75DF9" w:rsidRDefault="001A63C6" w:rsidP="001A63C6">
            <w:pPr>
              <w:pStyle w:val="Heading3"/>
              <w:rPr>
                <w:rFonts w:ascii="Tahoma" w:hAnsi="Tahoma" w:cs="Tahoma"/>
                <w:b w:val="0"/>
                <w:sz w:val="14"/>
              </w:rPr>
            </w:pPr>
            <w:bookmarkStart w:id="217" w:name="_Toc336337955"/>
            <w:bookmarkStart w:id="218" w:name="_Toc368309969"/>
            <w:r w:rsidRPr="00A75DF9">
              <w:rPr>
                <w:rFonts w:ascii="Tahoma" w:hAnsi="Tahoma" w:cs="Tahoma"/>
                <w:b w:val="0"/>
                <w:sz w:val="14"/>
              </w:rPr>
              <w:t>Exchange Online Piano 2A (SL per Utente)</w:t>
            </w:r>
            <w:bookmarkEnd w:id="217"/>
            <w:bookmarkEnd w:id="218"/>
          </w:p>
        </w:tc>
        <w:tc>
          <w:tcPr>
            <w:tcW w:w="448" w:type="dxa"/>
            <w:tcBorders>
              <w:bottom w:val="single" w:sz="4" w:space="0" w:color="auto"/>
            </w:tcBorders>
            <w:shd w:val="clear" w:color="auto" w:fill="FABF8F"/>
            <w:vAlign w:val="center"/>
          </w:tcPr>
          <w:p w:rsidR="001A63C6" w:rsidRPr="00337A7D" w:rsidRDefault="001A63C6" w:rsidP="001A63C6">
            <w:pPr>
              <w:pStyle w:val="TableText"/>
              <w:widowControl w:val="0"/>
              <w:rPr>
                <w:rFonts w:cs="Tahoma"/>
                <w:b/>
                <w:color w:val="000000"/>
                <w:sz w:val="13"/>
                <w:szCs w:val="13"/>
                <w:u w:val="single"/>
              </w:rPr>
            </w:pPr>
          </w:p>
        </w:tc>
        <w:tc>
          <w:tcPr>
            <w:tcW w:w="449" w:type="dxa"/>
            <w:tcBorders>
              <w:bottom w:val="single" w:sz="4" w:space="0" w:color="auto"/>
            </w:tcBorders>
            <w:shd w:val="clear" w:color="auto" w:fill="FABF8F"/>
            <w:vAlign w:val="center"/>
          </w:tcPr>
          <w:p w:rsidR="001A63C6" w:rsidRPr="00A75DF9" w:rsidRDefault="001A63C6" w:rsidP="001A63C6">
            <w:pPr>
              <w:pStyle w:val="TableText"/>
              <w:widowControl w:val="0"/>
              <w:spacing w:before="80"/>
              <w:rPr>
                <w:rFonts w:ascii="Tahoma" w:hAnsi="Tahoma" w:cs="Tahoma"/>
                <w:sz w:val="13"/>
              </w:rPr>
            </w:pPr>
            <w:r w:rsidRPr="00A75DF9">
              <w:rPr>
                <w:rFonts w:ascii="Tahoma" w:hAnsi="Tahoma" w:cs="Tahoma"/>
                <w:sz w:val="13"/>
              </w:rPr>
              <w:t>06/12</w:t>
            </w:r>
          </w:p>
        </w:tc>
        <w:tc>
          <w:tcPr>
            <w:tcW w:w="359"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374"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5"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A (Solo EES)</w:t>
            </w:r>
          </w:p>
        </w:tc>
        <w:tc>
          <w:tcPr>
            <w:tcW w:w="539"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r>
      <w:tr w:rsidR="001933C6" w:rsidRPr="00A75DF9" w:rsidTr="008A1262">
        <w:trPr>
          <w:trHeight w:val="145"/>
        </w:trPr>
        <w:tc>
          <w:tcPr>
            <w:tcW w:w="2724" w:type="dxa"/>
            <w:gridSpan w:val="2"/>
            <w:tcBorders>
              <w:bottom w:val="single" w:sz="4" w:space="0" w:color="auto"/>
            </w:tcBorders>
            <w:shd w:val="clear" w:color="auto" w:fill="FFFFFF" w:themeFill="background1"/>
          </w:tcPr>
          <w:p w:rsidR="001A63C6" w:rsidRPr="00A75DF9" w:rsidRDefault="001A63C6" w:rsidP="001A63C6">
            <w:pPr>
              <w:pStyle w:val="ProductNames"/>
              <w:rPr>
                <w:rFonts w:ascii="Tahoma" w:hAnsi="Tahoma" w:cs="Tahoma"/>
                <w:sz w:val="14"/>
              </w:rPr>
            </w:pPr>
            <w:bookmarkStart w:id="219" w:name="_Toc368309970"/>
            <w:r w:rsidRPr="00A75DF9">
              <w:rPr>
                <w:rFonts w:ascii="Tahoma" w:hAnsi="Tahoma" w:cs="Tahoma"/>
                <w:sz w:val="14"/>
              </w:rPr>
              <w:t xml:space="preserve">Exchange Online Protection </w:t>
            </w:r>
            <w:r w:rsidR="00337A7D">
              <w:rPr>
                <w:rFonts w:ascii="Tahoma" w:hAnsi="Tahoma" w:cs="Tahoma"/>
                <w:sz w:val="14"/>
              </w:rPr>
              <w:br/>
            </w:r>
            <w:r w:rsidRPr="00A75DF9">
              <w:rPr>
                <w:rFonts w:ascii="Tahoma" w:hAnsi="Tahoma" w:cs="Tahoma"/>
                <w:sz w:val="14"/>
              </w:rPr>
              <w:t>(SL per Utente)</w:t>
            </w:r>
            <w:bookmarkEnd w:id="219"/>
          </w:p>
        </w:tc>
        <w:tc>
          <w:tcPr>
            <w:tcW w:w="448" w:type="dxa"/>
            <w:tcBorders>
              <w:bottom w:val="single" w:sz="4" w:space="0" w:color="auto"/>
            </w:tcBorders>
            <w:shd w:val="clear" w:color="auto" w:fill="FFFFFF" w:themeFill="background1"/>
            <w:vAlign w:val="center"/>
          </w:tcPr>
          <w:p w:rsidR="001A63C6" w:rsidRPr="00337A7D" w:rsidRDefault="00B54770">
            <w:pPr>
              <w:pStyle w:val="TableText"/>
              <w:widowControl w:val="0"/>
              <w:rPr>
                <w:rFonts w:cs="Tahoma"/>
              </w:rPr>
            </w:pPr>
            <w:hyperlink w:anchor="_56_Exchange_Online" w:history="1">
              <w:r w:rsidR="00734B17" w:rsidRPr="00337A7D">
                <w:rPr>
                  <w:rStyle w:val="Hyperlink"/>
                  <w:rFonts w:cs="Tahoma"/>
                  <w:b/>
                  <w:sz w:val="13"/>
                  <w:szCs w:val="13"/>
                </w:rPr>
                <w:t>56</w:t>
              </w:r>
            </w:hyperlink>
            <w:hyperlink w:anchor="_49_Exchange_Server" w:history="1"/>
          </w:p>
        </w:tc>
        <w:tc>
          <w:tcPr>
            <w:tcW w:w="449" w:type="dxa"/>
            <w:tcBorders>
              <w:bottom w:val="single" w:sz="4" w:space="0" w:color="auto"/>
            </w:tcBorders>
            <w:shd w:val="clear" w:color="auto" w:fill="FFFFFF" w:themeFill="background1"/>
            <w:vAlign w:val="center"/>
          </w:tcPr>
          <w:p w:rsidR="001A63C6" w:rsidRPr="00A75DF9" w:rsidRDefault="001A63C6" w:rsidP="001A63C6">
            <w:pPr>
              <w:pStyle w:val="TableText"/>
              <w:widowControl w:val="0"/>
              <w:spacing w:before="80"/>
              <w:rPr>
                <w:rFonts w:ascii="Tahoma" w:hAnsi="Tahoma" w:cs="Tahoma"/>
                <w:sz w:val="13"/>
              </w:rPr>
            </w:pPr>
          </w:p>
        </w:tc>
        <w:tc>
          <w:tcPr>
            <w:tcW w:w="359" w:type="dxa"/>
            <w:tcBorders>
              <w:bottom w:val="single" w:sz="4" w:space="0" w:color="auto"/>
              <w:right w:val="single" w:sz="18" w:space="0" w:color="auto"/>
            </w:tcBorders>
            <w:shd w:val="clear" w:color="auto" w:fill="FFFFFF" w:themeFill="background1"/>
            <w:vAlign w:val="center"/>
          </w:tcPr>
          <w:p w:rsidR="001A63C6" w:rsidRPr="00A75DF9" w:rsidRDefault="001A63C6" w:rsidP="001A63C6">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FFFFFF" w:themeFill="background1"/>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A75DF9" w:rsidRDefault="001A63C6" w:rsidP="001A63C6">
            <w:pPr>
              <w:pStyle w:val="TableText"/>
              <w:widowControl w:val="0"/>
              <w:rPr>
                <w:rFonts w:ascii="Tahoma" w:hAnsi="Tahoma" w:cs="Tahoma"/>
                <w:sz w:val="13"/>
              </w:rPr>
            </w:pPr>
          </w:p>
        </w:tc>
        <w:tc>
          <w:tcPr>
            <w:tcW w:w="455" w:type="dxa"/>
            <w:tcBorders>
              <w:bottom w:val="single" w:sz="4" w:space="0" w:color="auto"/>
            </w:tcBorders>
            <w:shd w:val="clear" w:color="auto" w:fill="FFFFFF" w:themeFill="background1"/>
            <w:vAlign w:val="center"/>
          </w:tcPr>
          <w:p w:rsidR="001A63C6" w:rsidRPr="00A75DF9"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rsidR="001A63C6" w:rsidRPr="00A75DF9" w:rsidRDefault="001A63C6" w:rsidP="001A63C6">
            <w:pPr>
              <w:pStyle w:val="TableText"/>
              <w:widowControl w:val="0"/>
              <w:rPr>
                <w:rFonts w:ascii="Tahoma" w:hAnsi="Tahoma" w:cs="Tahoma"/>
                <w:sz w:val="13"/>
              </w:rPr>
            </w:pPr>
          </w:p>
        </w:tc>
        <w:tc>
          <w:tcPr>
            <w:tcW w:w="445" w:type="dxa"/>
            <w:tcBorders>
              <w:bottom w:val="single" w:sz="4" w:space="0" w:color="auto"/>
            </w:tcBorders>
            <w:shd w:val="clear" w:color="auto" w:fill="FFFFFF" w:themeFill="background1"/>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A75DF9" w:rsidRDefault="001A63C6" w:rsidP="001A63C6">
            <w:pPr>
              <w:pStyle w:val="TableText"/>
              <w:widowControl w:val="0"/>
              <w:rPr>
                <w:rFonts w:ascii="Tahoma" w:hAnsi="Tahoma" w:cs="Tahoma"/>
                <w:sz w:val="13"/>
              </w:rPr>
            </w:pPr>
          </w:p>
        </w:tc>
        <w:tc>
          <w:tcPr>
            <w:tcW w:w="374" w:type="dxa"/>
            <w:tcBorders>
              <w:bottom w:val="single" w:sz="4" w:space="0" w:color="auto"/>
              <w:right w:val="single" w:sz="18" w:space="0" w:color="auto"/>
            </w:tcBorders>
            <w:shd w:val="clear" w:color="auto" w:fill="FFFFFF" w:themeFill="background1"/>
            <w:vAlign w:val="center"/>
          </w:tcPr>
          <w:p w:rsidR="001A63C6" w:rsidRPr="00A75DF9" w:rsidRDefault="001A63C6" w:rsidP="001A63C6">
            <w:pPr>
              <w:pStyle w:val="TableText"/>
              <w:widowControl w:val="0"/>
              <w:rPr>
                <w:rFonts w:ascii="Tahoma" w:hAnsi="Tahoma" w:cs="Tahoma"/>
                <w:sz w:val="13"/>
              </w:rPr>
            </w:pPr>
          </w:p>
        </w:tc>
        <w:tc>
          <w:tcPr>
            <w:tcW w:w="455" w:type="dxa"/>
            <w:tcBorders>
              <w:left w:val="single" w:sz="18" w:space="0" w:color="auto"/>
              <w:bottom w:val="single" w:sz="4" w:space="0" w:color="auto"/>
            </w:tcBorders>
            <w:shd w:val="clear" w:color="auto" w:fill="FFFFFF" w:themeFill="background1"/>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A75DF9" w:rsidRDefault="00D55AB9" w:rsidP="001A63C6">
            <w:pPr>
              <w:pStyle w:val="TableText"/>
              <w:widowControl w:val="0"/>
              <w:rPr>
                <w:rFonts w:ascii="Tahoma" w:hAnsi="Tahoma" w:cs="Tahoma"/>
                <w:sz w:val="13"/>
              </w:rPr>
            </w:pPr>
            <w:r w:rsidRPr="00A75DF9">
              <w:rPr>
                <w:rFonts w:ascii="Tahoma" w:hAnsi="Tahoma" w:cs="Tahoma"/>
                <w:sz w:val="13"/>
              </w:rPr>
              <w:t>P</w:t>
            </w:r>
          </w:p>
        </w:tc>
        <w:tc>
          <w:tcPr>
            <w:tcW w:w="450" w:type="dxa"/>
            <w:tcBorders>
              <w:bottom w:val="single" w:sz="4" w:space="0" w:color="auto"/>
            </w:tcBorders>
            <w:shd w:val="clear" w:color="auto" w:fill="FFFFFF" w:themeFill="background1"/>
          </w:tcPr>
          <w:p w:rsidR="001A63C6" w:rsidRPr="00A75DF9" w:rsidRDefault="001A63C6" w:rsidP="001A63C6">
            <w:pPr>
              <w:pStyle w:val="TableText"/>
              <w:widowControl w:val="0"/>
              <w:rPr>
                <w:rFonts w:ascii="Tahoma" w:hAnsi="Tahoma" w:cs="Tahoma"/>
                <w:sz w:val="13"/>
              </w:rPr>
            </w:pPr>
          </w:p>
        </w:tc>
        <w:tc>
          <w:tcPr>
            <w:tcW w:w="539" w:type="dxa"/>
            <w:tcBorders>
              <w:bottom w:val="single" w:sz="4" w:space="0" w:color="auto"/>
            </w:tcBorders>
            <w:shd w:val="clear" w:color="auto" w:fill="FFFFFF" w:themeFill="background1"/>
            <w:vAlign w:val="center"/>
          </w:tcPr>
          <w:p w:rsidR="001A63C6" w:rsidRPr="00A75DF9" w:rsidRDefault="00D55AB9" w:rsidP="001A63C6">
            <w:pPr>
              <w:pStyle w:val="TableText"/>
              <w:widowControl w:val="0"/>
              <w:rPr>
                <w:rFonts w:ascii="Tahoma" w:hAnsi="Tahoma" w:cs="Tahoma"/>
                <w:sz w:val="13"/>
              </w:rPr>
            </w:pPr>
            <w:r w:rsidRPr="00A75DF9">
              <w:rPr>
                <w:rFonts w:ascii="Tahoma" w:hAnsi="Tahoma" w:cs="Tahoma"/>
                <w:sz w:val="13"/>
              </w:rPr>
              <w:t>OV</w:t>
            </w:r>
          </w:p>
        </w:tc>
      </w:tr>
      <w:tr w:rsidR="00B33D0E" w:rsidRPr="00A75DF9" w:rsidTr="008A1262">
        <w:trPr>
          <w:trHeight w:val="145"/>
        </w:trPr>
        <w:tc>
          <w:tcPr>
            <w:tcW w:w="2724" w:type="dxa"/>
            <w:gridSpan w:val="2"/>
            <w:tcBorders>
              <w:bottom w:val="single" w:sz="4" w:space="0" w:color="auto"/>
            </w:tcBorders>
            <w:shd w:val="clear" w:color="auto" w:fill="FABF8F"/>
          </w:tcPr>
          <w:p w:rsidR="001A63C6" w:rsidRPr="00A75DF9" w:rsidRDefault="001A63C6" w:rsidP="001A63C6">
            <w:pPr>
              <w:pStyle w:val="ProductNames"/>
              <w:rPr>
                <w:rFonts w:ascii="Tahoma" w:hAnsi="Tahoma" w:cs="Tahoma"/>
                <w:sz w:val="14"/>
              </w:rPr>
            </w:pPr>
            <w:bookmarkStart w:id="220" w:name="_Toc336337958"/>
            <w:bookmarkStart w:id="221" w:name="_Toc368309971"/>
            <w:r w:rsidRPr="00A75DF9">
              <w:rPr>
                <w:rFonts w:ascii="Tahoma" w:hAnsi="Tahoma" w:cs="Tahoma"/>
                <w:sz w:val="14"/>
              </w:rPr>
              <w:t>Exchange Server Enterprise</w:t>
            </w:r>
            <w:bookmarkEnd w:id="220"/>
            <w:r w:rsidRPr="00A75DF9">
              <w:rPr>
                <w:rFonts w:ascii="Tahoma" w:hAnsi="Tahoma" w:cs="Tahoma"/>
                <w:sz w:val="14"/>
              </w:rPr>
              <w:t xml:space="preserve"> 2013</w:t>
            </w:r>
            <w:bookmarkEnd w:id="221"/>
          </w:p>
        </w:tc>
        <w:tc>
          <w:tcPr>
            <w:tcW w:w="448" w:type="dxa"/>
            <w:tcBorders>
              <w:bottom w:val="single" w:sz="4" w:space="0" w:color="auto"/>
            </w:tcBorders>
            <w:shd w:val="clear" w:color="auto" w:fill="FABF8F"/>
            <w:vAlign w:val="center"/>
          </w:tcPr>
          <w:p w:rsidR="001A63C6" w:rsidRPr="00337A7D" w:rsidRDefault="00B54770">
            <w:pPr>
              <w:pStyle w:val="TableText"/>
              <w:widowControl w:val="0"/>
              <w:rPr>
                <w:rFonts w:cs="Tahoma"/>
                <w:b/>
                <w:color w:val="0000FF"/>
                <w:sz w:val="13"/>
                <w:szCs w:val="13"/>
                <w:u w:val="single"/>
              </w:rPr>
            </w:pPr>
            <w:hyperlink w:anchor="_57_Exchange_Server" w:history="1">
              <w:r w:rsidR="00734B17" w:rsidRPr="00337A7D">
                <w:rPr>
                  <w:rStyle w:val="Hyperlink"/>
                  <w:rFonts w:cs="Tahoma"/>
                  <w:b/>
                  <w:sz w:val="13"/>
                  <w:szCs w:val="13"/>
                </w:rPr>
                <w:t>57</w:t>
              </w:r>
            </w:hyperlink>
            <w:hyperlink w:anchor="_49_Exchange_Server" w:history="1"/>
          </w:p>
        </w:tc>
        <w:tc>
          <w:tcPr>
            <w:tcW w:w="449" w:type="dxa"/>
            <w:tcBorders>
              <w:bottom w:val="single" w:sz="4" w:space="0" w:color="auto"/>
            </w:tcBorders>
            <w:shd w:val="clear" w:color="auto" w:fill="FABF8F"/>
            <w:vAlign w:val="center"/>
          </w:tcPr>
          <w:p w:rsidR="001A63C6" w:rsidRPr="00A75DF9" w:rsidRDefault="001A63C6" w:rsidP="001A63C6">
            <w:pPr>
              <w:pStyle w:val="TableText"/>
              <w:widowControl w:val="0"/>
              <w:spacing w:before="80"/>
              <w:rPr>
                <w:rFonts w:ascii="Tahoma" w:hAnsi="Tahoma" w:cs="Tahoma"/>
                <w:sz w:val="13"/>
              </w:rPr>
            </w:pPr>
            <w:r w:rsidRPr="00A75DF9">
              <w:rPr>
                <w:rFonts w:ascii="Tahoma" w:hAnsi="Tahoma" w:cs="Tahoma"/>
                <w:sz w:val="13"/>
              </w:rPr>
              <w:t>10/12</w:t>
            </w:r>
          </w:p>
        </w:tc>
        <w:tc>
          <w:tcPr>
            <w:tcW w:w="359"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50</w:t>
            </w: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125</w:t>
            </w:r>
          </w:p>
        </w:tc>
        <w:tc>
          <w:tcPr>
            <w:tcW w:w="45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100</w:t>
            </w:r>
          </w:p>
        </w:tc>
        <w:tc>
          <w:tcPr>
            <w:tcW w:w="450" w:type="dxa"/>
            <w:gridSpan w:val="3"/>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75</w:t>
            </w:r>
          </w:p>
        </w:tc>
        <w:tc>
          <w:tcPr>
            <w:tcW w:w="44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75</w:t>
            </w: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50</w:t>
            </w:r>
          </w:p>
        </w:tc>
        <w:tc>
          <w:tcPr>
            <w:tcW w:w="374"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25</w:t>
            </w:r>
          </w:p>
        </w:tc>
        <w:tc>
          <w:tcPr>
            <w:tcW w:w="455"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50</w:t>
            </w: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P</w:t>
            </w:r>
          </w:p>
        </w:tc>
        <w:tc>
          <w:tcPr>
            <w:tcW w:w="450" w:type="dxa"/>
            <w:tcBorders>
              <w:bottom w:val="single" w:sz="4" w:space="0" w:color="auto"/>
            </w:tcBorders>
            <w:shd w:val="clear" w:color="auto" w:fill="FABF8F"/>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A</w:t>
            </w:r>
          </w:p>
        </w:tc>
        <w:tc>
          <w:tcPr>
            <w:tcW w:w="539"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r>
      <w:tr w:rsidR="001933C6" w:rsidRPr="00A75DF9" w:rsidTr="008A1262">
        <w:trPr>
          <w:trHeight w:val="145"/>
        </w:trPr>
        <w:tc>
          <w:tcPr>
            <w:tcW w:w="2724" w:type="dxa"/>
            <w:gridSpan w:val="2"/>
            <w:tcBorders>
              <w:bottom w:val="single" w:sz="4" w:space="0" w:color="auto"/>
            </w:tcBorders>
            <w:shd w:val="clear" w:color="auto" w:fill="FFFFFF" w:themeFill="background1"/>
          </w:tcPr>
          <w:p w:rsidR="001A63C6" w:rsidRPr="00A75DF9" w:rsidRDefault="001A63C6" w:rsidP="001A63C6">
            <w:pPr>
              <w:pStyle w:val="ProductNames"/>
              <w:rPr>
                <w:rFonts w:ascii="Tahoma" w:hAnsi="Tahoma" w:cs="Tahoma"/>
                <w:sz w:val="14"/>
              </w:rPr>
            </w:pPr>
            <w:bookmarkStart w:id="222" w:name="_Toc336337959"/>
            <w:bookmarkStart w:id="223" w:name="_Toc368309972"/>
            <w:r w:rsidRPr="00A75DF9">
              <w:rPr>
                <w:rFonts w:ascii="Tahoma" w:hAnsi="Tahoma" w:cs="Tahoma"/>
                <w:sz w:val="14"/>
              </w:rPr>
              <w:t>Exchange Server Standard</w:t>
            </w:r>
            <w:bookmarkEnd w:id="222"/>
            <w:r w:rsidRPr="00A75DF9">
              <w:rPr>
                <w:rFonts w:ascii="Tahoma" w:hAnsi="Tahoma" w:cs="Tahoma"/>
                <w:sz w:val="14"/>
              </w:rPr>
              <w:t xml:space="preserve"> 2013</w:t>
            </w:r>
            <w:bookmarkEnd w:id="223"/>
          </w:p>
        </w:tc>
        <w:tc>
          <w:tcPr>
            <w:tcW w:w="448" w:type="dxa"/>
            <w:tcBorders>
              <w:bottom w:val="single" w:sz="4" w:space="0" w:color="auto"/>
            </w:tcBorders>
            <w:shd w:val="clear" w:color="auto" w:fill="FFFFFF" w:themeFill="background1"/>
            <w:vAlign w:val="center"/>
          </w:tcPr>
          <w:p w:rsidR="001A63C6" w:rsidRPr="00337A7D" w:rsidRDefault="00B54770">
            <w:pPr>
              <w:pStyle w:val="TableText"/>
              <w:widowControl w:val="0"/>
              <w:rPr>
                <w:rFonts w:cs="Tahoma"/>
                <w:b/>
                <w:color w:val="0000FF"/>
                <w:sz w:val="13"/>
                <w:szCs w:val="13"/>
                <w:u w:val="single"/>
              </w:rPr>
            </w:pPr>
            <w:hyperlink w:anchor="_57_Exchange_Server" w:history="1">
              <w:r w:rsidR="00734B17" w:rsidRPr="00337A7D">
                <w:rPr>
                  <w:rStyle w:val="Hyperlink"/>
                  <w:rFonts w:cs="Tahoma"/>
                  <w:b/>
                  <w:sz w:val="13"/>
                  <w:szCs w:val="13"/>
                </w:rPr>
                <w:t>57</w:t>
              </w:r>
            </w:hyperlink>
            <w:hyperlink w:anchor="_49_Exchange_Server" w:history="1"/>
          </w:p>
        </w:tc>
        <w:tc>
          <w:tcPr>
            <w:tcW w:w="449" w:type="dxa"/>
            <w:tcBorders>
              <w:bottom w:val="single" w:sz="4" w:space="0" w:color="auto"/>
            </w:tcBorders>
            <w:shd w:val="clear" w:color="auto" w:fill="FFFFFF" w:themeFill="background1"/>
            <w:vAlign w:val="center"/>
          </w:tcPr>
          <w:p w:rsidR="001A63C6" w:rsidRPr="00A75DF9" w:rsidRDefault="001A63C6" w:rsidP="001A63C6">
            <w:pPr>
              <w:pStyle w:val="TableText"/>
              <w:widowControl w:val="0"/>
              <w:spacing w:before="80"/>
              <w:rPr>
                <w:rFonts w:ascii="Tahoma" w:hAnsi="Tahoma" w:cs="Tahoma"/>
                <w:sz w:val="13"/>
              </w:rPr>
            </w:pPr>
            <w:r w:rsidRPr="00A75DF9">
              <w:rPr>
                <w:rFonts w:ascii="Tahoma" w:hAnsi="Tahoma" w:cs="Tahoma"/>
                <w:sz w:val="13"/>
              </w:rPr>
              <w:t>10/12</w:t>
            </w:r>
          </w:p>
        </w:tc>
        <w:tc>
          <w:tcPr>
            <w:tcW w:w="359" w:type="dxa"/>
            <w:tcBorders>
              <w:bottom w:val="single" w:sz="4" w:space="0" w:color="auto"/>
              <w:right w:val="single" w:sz="18" w:space="0" w:color="auto"/>
            </w:tcBorders>
            <w:shd w:val="clear" w:color="auto" w:fill="FFFFFF" w:themeFill="background1"/>
            <w:vAlign w:val="center"/>
          </w:tcPr>
          <w:p w:rsidR="001A63C6" w:rsidRPr="00A75DF9" w:rsidRDefault="001A63C6" w:rsidP="001A63C6">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FFFFFF" w:themeFill="background1"/>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10</w:t>
            </w:r>
          </w:p>
        </w:tc>
        <w:tc>
          <w:tcPr>
            <w:tcW w:w="450" w:type="dxa"/>
            <w:tcBorders>
              <w:bottom w:val="single" w:sz="4" w:space="0" w:color="auto"/>
            </w:tcBorders>
            <w:shd w:val="clear" w:color="auto" w:fill="FFFFFF" w:themeFill="background1"/>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25</w:t>
            </w:r>
          </w:p>
        </w:tc>
        <w:tc>
          <w:tcPr>
            <w:tcW w:w="455" w:type="dxa"/>
            <w:tcBorders>
              <w:bottom w:val="single" w:sz="4" w:space="0" w:color="auto"/>
            </w:tcBorders>
            <w:shd w:val="clear" w:color="auto" w:fill="FFFFFF" w:themeFill="background1"/>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20</w:t>
            </w:r>
          </w:p>
        </w:tc>
        <w:tc>
          <w:tcPr>
            <w:tcW w:w="450" w:type="dxa"/>
            <w:gridSpan w:val="3"/>
            <w:tcBorders>
              <w:bottom w:val="single" w:sz="4" w:space="0" w:color="auto"/>
            </w:tcBorders>
            <w:shd w:val="clear" w:color="auto" w:fill="FFFFFF" w:themeFill="background1"/>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15</w:t>
            </w:r>
          </w:p>
        </w:tc>
        <w:tc>
          <w:tcPr>
            <w:tcW w:w="445" w:type="dxa"/>
            <w:tcBorders>
              <w:bottom w:val="single" w:sz="4" w:space="0" w:color="auto"/>
            </w:tcBorders>
            <w:shd w:val="clear" w:color="auto" w:fill="FFFFFF" w:themeFill="background1"/>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15</w:t>
            </w:r>
          </w:p>
        </w:tc>
        <w:tc>
          <w:tcPr>
            <w:tcW w:w="450" w:type="dxa"/>
            <w:tcBorders>
              <w:bottom w:val="single" w:sz="4" w:space="0" w:color="auto"/>
            </w:tcBorders>
            <w:shd w:val="clear" w:color="auto" w:fill="FFFFFF" w:themeFill="background1"/>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10</w:t>
            </w:r>
          </w:p>
        </w:tc>
        <w:tc>
          <w:tcPr>
            <w:tcW w:w="374" w:type="dxa"/>
            <w:tcBorders>
              <w:bottom w:val="single" w:sz="4" w:space="0" w:color="auto"/>
              <w:right w:val="single" w:sz="18" w:space="0" w:color="auto"/>
            </w:tcBorders>
            <w:shd w:val="clear" w:color="auto" w:fill="FFFFFF" w:themeFill="background1"/>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5</w:t>
            </w:r>
          </w:p>
        </w:tc>
        <w:tc>
          <w:tcPr>
            <w:tcW w:w="455" w:type="dxa"/>
            <w:tcBorders>
              <w:left w:val="single" w:sz="18" w:space="0" w:color="auto"/>
              <w:bottom w:val="single" w:sz="4" w:space="0" w:color="auto"/>
            </w:tcBorders>
            <w:shd w:val="clear" w:color="auto" w:fill="FFFFFF" w:themeFill="background1"/>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10</w:t>
            </w:r>
          </w:p>
        </w:tc>
        <w:tc>
          <w:tcPr>
            <w:tcW w:w="450" w:type="dxa"/>
            <w:tcBorders>
              <w:bottom w:val="single" w:sz="4" w:space="0" w:color="auto"/>
            </w:tcBorders>
            <w:shd w:val="clear" w:color="auto" w:fill="FFFFFF" w:themeFill="background1"/>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20</w:t>
            </w:r>
          </w:p>
        </w:tc>
        <w:tc>
          <w:tcPr>
            <w:tcW w:w="450" w:type="dxa"/>
            <w:tcBorders>
              <w:bottom w:val="single" w:sz="4" w:space="0" w:color="auto"/>
              <w:right w:val="single" w:sz="18" w:space="0" w:color="auto"/>
            </w:tcBorders>
            <w:shd w:val="clear" w:color="auto" w:fill="FFFFFF" w:themeFill="background1"/>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10</w:t>
            </w:r>
          </w:p>
        </w:tc>
        <w:tc>
          <w:tcPr>
            <w:tcW w:w="450" w:type="dxa"/>
            <w:tcBorders>
              <w:left w:val="single" w:sz="18" w:space="0" w:color="auto"/>
              <w:bottom w:val="single" w:sz="4" w:space="0" w:color="auto"/>
            </w:tcBorders>
            <w:shd w:val="clear" w:color="auto" w:fill="FFFFFF" w:themeFill="background1"/>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10</w:t>
            </w:r>
          </w:p>
        </w:tc>
        <w:tc>
          <w:tcPr>
            <w:tcW w:w="450" w:type="dxa"/>
            <w:tcBorders>
              <w:bottom w:val="single" w:sz="4" w:space="0" w:color="auto"/>
              <w:right w:val="single" w:sz="18" w:space="0" w:color="auto"/>
            </w:tcBorders>
            <w:shd w:val="clear" w:color="auto" w:fill="FFFFFF" w:themeFill="background1"/>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P</w:t>
            </w:r>
          </w:p>
        </w:tc>
        <w:tc>
          <w:tcPr>
            <w:tcW w:w="450" w:type="dxa"/>
            <w:tcBorders>
              <w:bottom w:val="single" w:sz="4" w:space="0" w:color="auto"/>
            </w:tcBorders>
            <w:shd w:val="clear" w:color="auto" w:fill="FFFFFF" w:themeFill="background1"/>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A</w:t>
            </w:r>
          </w:p>
        </w:tc>
        <w:tc>
          <w:tcPr>
            <w:tcW w:w="539" w:type="dxa"/>
            <w:tcBorders>
              <w:bottom w:val="single" w:sz="4" w:space="0" w:color="auto"/>
            </w:tcBorders>
            <w:shd w:val="clear" w:color="auto" w:fill="FFFFFF" w:themeFill="background1"/>
            <w:vAlign w:val="center"/>
          </w:tcPr>
          <w:p w:rsidR="001A63C6" w:rsidRPr="00A75DF9" w:rsidRDefault="001A63C6" w:rsidP="001A63C6">
            <w:pPr>
              <w:pStyle w:val="TableText"/>
              <w:widowControl w:val="0"/>
              <w:rPr>
                <w:rFonts w:ascii="Tahoma" w:hAnsi="Tahoma" w:cs="Tahoma"/>
                <w:sz w:val="13"/>
              </w:rPr>
            </w:pPr>
          </w:p>
        </w:tc>
      </w:tr>
      <w:tr w:rsidR="00B33D0E" w:rsidRPr="00A75DF9" w:rsidTr="008A1262">
        <w:trPr>
          <w:trHeight w:val="145"/>
        </w:trPr>
        <w:tc>
          <w:tcPr>
            <w:tcW w:w="2724" w:type="dxa"/>
            <w:gridSpan w:val="2"/>
            <w:tcBorders>
              <w:bottom w:val="single" w:sz="4" w:space="0" w:color="auto"/>
            </w:tcBorders>
            <w:shd w:val="clear" w:color="auto" w:fill="FABF8F"/>
          </w:tcPr>
          <w:p w:rsidR="001A63C6" w:rsidRPr="00A75DF9" w:rsidRDefault="001A63C6" w:rsidP="001A63C6">
            <w:pPr>
              <w:pStyle w:val="ProductNames"/>
              <w:rPr>
                <w:rFonts w:ascii="Tahoma" w:hAnsi="Tahoma" w:cs="Tahoma"/>
                <w:sz w:val="14"/>
              </w:rPr>
            </w:pPr>
            <w:bookmarkStart w:id="224" w:name="_Toc336337960"/>
            <w:bookmarkStart w:id="225" w:name="_Toc368309973"/>
            <w:r w:rsidRPr="00A75DF9">
              <w:rPr>
                <w:rFonts w:ascii="Tahoma" w:hAnsi="Tahoma" w:cs="Tahoma"/>
                <w:sz w:val="14"/>
              </w:rPr>
              <w:t>Exchange Server 2007 Standard for Small Business</w:t>
            </w:r>
            <w:bookmarkEnd w:id="224"/>
            <w:bookmarkEnd w:id="225"/>
          </w:p>
        </w:tc>
        <w:tc>
          <w:tcPr>
            <w:tcW w:w="448" w:type="dxa"/>
            <w:tcBorders>
              <w:bottom w:val="single" w:sz="4" w:space="0" w:color="auto"/>
            </w:tcBorders>
            <w:shd w:val="clear" w:color="auto" w:fill="FABF8F"/>
            <w:vAlign w:val="center"/>
          </w:tcPr>
          <w:p w:rsidR="001A63C6" w:rsidRPr="00337A7D" w:rsidRDefault="001A63C6" w:rsidP="001A63C6">
            <w:pPr>
              <w:pStyle w:val="TableText"/>
              <w:widowControl w:val="0"/>
              <w:rPr>
                <w:rStyle w:val="EndnoteReference"/>
                <w:rFonts w:cs="Tahoma"/>
                <w:color w:val="000000"/>
                <w:sz w:val="13"/>
                <w:szCs w:val="13"/>
                <w:u w:val="single"/>
              </w:rPr>
            </w:pPr>
          </w:p>
        </w:tc>
        <w:tc>
          <w:tcPr>
            <w:tcW w:w="449" w:type="dxa"/>
            <w:tcBorders>
              <w:bottom w:val="single" w:sz="4" w:space="0" w:color="auto"/>
            </w:tcBorders>
            <w:shd w:val="clear" w:color="auto" w:fill="FABF8F"/>
            <w:vAlign w:val="center"/>
          </w:tcPr>
          <w:p w:rsidR="001A63C6" w:rsidRPr="00A75DF9" w:rsidRDefault="001A63C6" w:rsidP="001A63C6">
            <w:pPr>
              <w:pStyle w:val="TableText"/>
              <w:widowControl w:val="0"/>
              <w:spacing w:before="120"/>
              <w:rPr>
                <w:rFonts w:ascii="Tahoma" w:hAnsi="Tahoma" w:cs="Tahoma"/>
                <w:sz w:val="13"/>
              </w:rPr>
            </w:pPr>
            <w:r w:rsidRPr="00A75DF9">
              <w:rPr>
                <w:rFonts w:ascii="Tahoma" w:hAnsi="Tahoma" w:cs="Tahoma"/>
                <w:sz w:val="13"/>
              </w:rPr>
              <w:t>10/09</w:t>
            </w:r>
          </w:p>
        </w:tc>
        <w:tc>
          <w:tcPr>
            <w:tcW w:w="359"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SRV</w:t>
            </w:r>
          </w:p>
        </w:tc>
        <w:tc>
          <w:tcPr>
            <w:tcW w:w="356"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374"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5"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10</w:t>
            </w: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P</w:t>
            </w:r>
          </w:p>
        </w:tc>
        <w:tc>
          <w:tcPr>
            <w:tcW w:w="450" w:type="dxa"/>
            <w:tcBorders>
              <w:bottom w:val="single" w:sz="4" w:space="0" w:color="auto"/>
            </w:tcBorders>
            <w:shd w:val="clear" w:color="auto" w:fill="FABF8F"/>
          </w:tcPr>
          <w:p w:rsidR="001A63C6" w:rsidRPr="00A75DF9" w:rsidRDefault="001A63C6" w:rsidP="001A63C6">
            <w:pPr>
              <w:pStyle w:val="TableText"/>
              <w:widowControl w:val="0"/>
              <w:rPr>
                <w:rFonts w:ascii="Tahoma" w:hAnsi="Tahoma" w:cs="Tahoma"/>
                <w:sz w:val="13"/>
              </w:rPr>
            </w:pPr>
          </w:p>
        </w:tc>
        <w:tc>
          <w:tcPr>
            <w:tcW w:w="539"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r>
      <w:tr w:rsidR="001933C6" w:rsidRPr="00A75DF9" w:rsidTr="008A1262">
        <w:trPr>
          <w:trHeight w:val="145"/>
        </w:trPr>
        <w:tc>
          <w:tcPr>
            <w:tcW w:w="2724" w:type="dxa"/>
            <w:gridSpan w:val="2"/>
            <w:tcBorders>
              <w:bottom w:val="single" w:sz="4" w:space="0" w:color="auto"/>
            </w:tcBorders>
            <w:shd w:val="clear" w:color="auto" w:fill="FFFFFF" w:themeFill="background1"/>
          </w:tcPr>
          <w:p w:rsidR="001A63C6" w:rsidRPr="00A75DF9" w:rsidRDefault="001A63C6" w:rsidP="001A63C6">
            <w:pPr>
              <w:pStyle w:val="ProductNames"/>
              <w:rPr>
                <w:rFonts w:ascii="Tahoma" w:hAnsi="Tahoma" w:cs="Tahoma"/>
                <w:sz w:val="14"/>
              </w:rPr>
            </w:pPr>
            <w:bookmarkStart w:id="226" w:name="_Toc336337961"/>
            <w:bookmarkStart w:id="227" w:name="_Toc368309974"/>
            <w:r w:rsidRPr="00A75DF9">
              <w:rPr>
                <w:rFonts w:ascii="Tahoma" w:hAnsi="Tahoma" w:cs="Tahoma"/>
                <w:sz w:val="14"/>
              </w:rPr>
              <w:t>CAL per Exchange Server 2007 Standard for Small Business</w:t>
            </w:r>
            <w:bookmarkEnd w:id="226"/>
            <w:bookmarkEnd w:id="227"/>
          </w:p>
        </w:tc>
        <w:tc>
          <w:tcPr>
            <w:tcW w:w="448" w:type="dxa"/>
            <w:tcBorders>
              <w:bottom w:val="single" w:sz="4" w:space="0" w:color="auto"/>
            </w:tcBorders>
            <w:shd w:val="clear" w:color="auto" w:fill="FFFFFF" w:themeFill="background1"/>
            <w:vAlign w:val="center"/>
          </w:tcPr>
          <w:p w:rsidR="001A63C6" w:rsidRPr="00337A7D" w:rsidRDefault="001A63C6" w:rsidP="001A63C6">
            <w:pPr>
              <w:pStyle w:val="TableText"/>
              <w:widowControl w:val="0"/>
              <w:rPr>
                <w:rStyle w:val="EndnoteReference"/>
                <w:rFonts w:cs="Tahoma"/>
                <w:color w:val="000000"/>
                <w:sz w:val="13"/>
                <w:szCs w:val="13"/>
                <w:u w:val="single"/>
              </w:rPr>
            </w:pPr>
          </w:p>
        </w:tc>
        <w:tc>
          <w:tcPr>
            <w:tcW w:w="449" w:type="dxa"/>
            <w:tcBorders>
              <w:bottom w:val="single" w:sz="4" w:space="0" w:color="auto"/>
            </w:tcBorders>
            <w:shd w:val="clear" w:color="auto" w:fill="FFFFFF" w:themeFill="background1"/>
            <w:vAlign w:val="center"/>
          </w:tcPr>
          <w:p w:rsidR="001A63C6" w:rsidRPr="00A75DF9" w:rsidRDefault="001A63C6" w:rsidP="001A63C6">
            <w:pPr>
              <w:pStyle w:val="TableText"/>
              <w:widowControl w:val="0"/>
              <w:spacing w:before="120"/>
              <w:rPr>
                <w:rFonts w:ascii="Tahoma" w:hAnsi="Tahoma" w:cs="Tahoma"/>
                <w:sz w:val="13"/>
              </w:rPr>
            </w:pPr>
            <w:r w:rsidRPr="00A75DF9">
              <w:rPr>
                <w:rFonts w:ascii="Tahoma" w:hAnsi="Tahoma" w:cs="Tahoma"/>
                <w:sz w:val="13"/>
              </w:rPr>
              <w:t>11/09</w:t>
            </w:r>
          </w:p>
        </w:tc>
        <w:tc>
          <w:tcPr>
            <w:tcW w:w="359" w:type="dxa"/>
            <w:tcBorders>
              <w:bottom w:val="single" w:sz="4" w:space="0" w:color="auto"/>
              <w:right w:val="single" w:sz="18" w:space="0" w:color="auto"/>
            </w:tcBorders>
            <w:shd w:val="clear" w:color="auto" w:fill="FFFFFF" w:themeFill="background1"/>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SRV</w:t>
            </w:r>
          </w:p>
        </w:tc>
        <w:tc>
          <w:tcPr>
            <w:tcW w:w="356" w:type="dxa"/>
            <w:tcBorders>
              <w:left w:val="single" w:sz="18" w:space="0" w:color="auto"/>
              <w:bottom w:val="single" w:sz="4" w:space="0" w:color="auto"/>
            </w:tcBorders>
            <w:shd w:val="clear" w:color="auto" w:fill="FFFFFF" w:themeFill="background1"/>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A75DF9" w:rsidRDefault="001A63C6" w:rsidP="001A63C6">
            <w:pPr>
              <w:pStyle w:val="TableText"/>
              <w:widowControl w:val="0"/>
              <w:rPr>
                <w:rFonts w:ascii="Tahoma" w:hAnsi="Tahoma" w:cs="Tahoma"/>
                <w:sz w:val="13"/>
              </w:rPr>
            </w:pPr>
          </w:p>
        </w:tc>
        <w:tc>
          <w:tcPr>
            <w:tcW w:w="455" w:type="dxa"/>
            <w:tcBorders>
              <w:bottom w:val="single" w:sz="4" w:space="0" w:color="auto"/>
            </w:tcBorders>
            <w:shd w:val="clear" w:color="auto" w:fill="FFFFFF" w:themeFill="background1"/>
            <w:vAlign w:val="center"/>
          </w:tcPr>
          <w:p w:rsidR="001A63C6" w:rsidRPr="00A75DF9"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FFFFF" w:themeFill="background1"/>
            <w:vAlign w:val="center"/>
          </w:tcPr>
          <w:p w:rsidR="001A63C6" w:rsidRPr="00A75DF9" w:rsidRDefault="001A63C6" w:rsidP="001A63C6">
            <w:pPr>
              <w:pStyle w:val="TableText"/>
              <w:widowControl w:val="0"/>
              <w:rPr>
                <w:rFonts w:ascii="Tahoma" w:hAnsi="Tahoma" w:cs="Tahoma"/>
                <w:sz w:val="13"/>
              </w:rPr>
            </w:pPr>
          </w:p>
        </w:tc>
        <w:tc>
          <w:tcPr>
            <w:tcW w:w="445" w:type="dxa"/>
            <w:tcBorders>
              <w:bottom w:val="single" w:sz="4" w:space="0" w:color="auto"/>
            </w:tcBorders>
            <w:shd w:val="clear" w:color="auto" w:fill="FFFFFF" w:themeFill="background1"/>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A75DF9" w:rsidRDefault="001A63C6" w:rsidP="001A63C6">
            <w:pPr>
              <w:pStyle w:val="TableText"/>
              <w:widowControl w:val="0"/>
              <w:rPr>
                <w:rFonts w:ascii="Tahoma" w:hAnsi="Tahoma" w:cs="Tahoma"/>
                <w:sz w:val="13"/>
              </w:rPr>
            </w:pPr>
          </w:p>
        </w:tc>
        <w:tc>
          <w:tcPr>
            <w:tcW w:w="374" w:type="dxa"/>
            <w:tcBorders>
              <w:bottom w:val="single" w:sz="4" w:space="0" w:color="auto"/>
              <w:right w:val="single" w:sz="18" w:space="0" w:color="auto"/>
            </w:tcBorders>
            <w:shd w:val="clear" w:color="auto" w:fill="FFFFFF" w:themeFill="background1"/>
            <w:vAlign w:val="center"/>
          </w:tcPr>
          <w:p w:rsidR="001A63C6" w:rsidRPr="00A75DF9" w:rsidRDefault="001A63C6" w:rsidP="001A63C6">
            <w:pPr>
              <w:pStyle w:val="TableText"/>
              <w:widowControl w:val="0"/>
              <w:rPr>
                <w:rFonts w:ascii="Tahoma" w:hAnsi="Tahoma" w:cs="Tahoma"/>
                <w:sz w:val="13"/>
              </w:rPr>
            </w:pPr>
          </w:p>
        </w:tc>
        <w:tc>
          <w:tcPr>
            <w:tcW w:w="455" w:type="dxa"/>
            <w:tcBorders>
              <w:left w:val="single" w:sz="18" w:space="0" w:color="auto"/>
              <w:bottom w:val="single" w:sz="4" w:space="0" w:color="auto"/>
            </w:tcBorders>
            <w:shd w:val="clear" w:color="auto" w:fill="FFFFFF" w:themeFill="background1"/>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w:t>
            </w:r>
          </w:p>
        </w:tc>
        <w:tc>
          <w:tcPr>
            <w:tcW w:w="450" w:type="dxa"/>
            <w:tcBorders>
              <w:bottom w:val="single" w:sz="4" w:space="0" w:color="auto"/>
            </w:tcBorders>
            <w:shd w:val="clear" w:color="auto" w:fill="FFFFFF" w:themeFill="background1"/>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w:t>
            </w:r>
          </w:p>
        </w:tc>
        <w:tc>
          <w:tcPr>
            <w:tcW w:w="450" w:type="dxa"/>
            <w:tcBorders>
              <w:bottom w:val="single" w:sz="4" w:space="0" w:color="auto"/>
              <w:right w:val="single" w:sz="18" w:space="0" w:color="auto"/>
            </w:tcBorders>
            <w:shd w:val="clear" w:color="auto" w:fill="FFFFFF" w:themeFill="background1"/>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w:t>
            </w:r>
          </w:p>
        </w:tc>
        <w:tc>
          <w:tcPr>
            <w:tcW w:w="450" w:type="dxa"/>
            <w:tcBorders>
              <w:left w:val="single" w:sz="18" w:space="0" w:color="auto"/>
              <w:bottom w:val="single" w:sz="4" w:space="0" w:color="auto"/>
            </w:tcBorders>
            <w:shd w:val="clear" w:color="auto" w:fill="FFFFFF" w:themeFill="background1"/>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P</w:t>
            </w:r>
          </w:p>
        </w:tc>
        <w:tc>
          <w:tcPr>
            <w:tcW w:w="450" w:type="dxa"/>
            <w:tcBorders>
              <w:bottom w:val="single" w:sz="4" w:space="0" w:color="auto"/>
            </w:tcBorders>
            <w:shd w:val="clear" w:color="auto" w:fill="FFFFFF" w:themeFill="background1"/>
          </w:tcPr>
          <w:p w:rsidR="001A63C6" w:rsidRPr="00A75DF9" w:rsidRDefault="001A63C6" w:rsidP="001A63C6">
            <w:pPr>
              <w:pStyle w:val="TableText"/>
              <w:widowControl w:val="0"/>
              <w:rPr>
                <w:rFonts w:ascii="Tahoma" w:hAnsi="Tahoma" w:cs="Tahoma"/>
                <w:sz w:val="13"/>
              </w:rPr>
            </w:pPr>
          </w:p>
        </w:tc>
        <w:tc>
          <w:tcPr>
            <w:tcW w:w="539" w:type="dxa"/>
            <w:tcBorders>
              <w:bottom w:val="single" w:sz="4" w:space="0" w:color="auto"/>
            </w:tcBorders>
            <w:shd w:val="clear" w:color="auto" w:fill="FFFFFF" w:themeFill="background1"/>
            <w:vAlign w:val="center"/>
          </w:tcPr>
          <w:p w:rsidR="001A63C6" w:rsidRPr="00A75DF9" w:rsidRDefault="001A63C6" w:rsidP="001A63C6">
            <w:pPr>
              <w:pStyle w:val="TableText"/>
              <w:widowControl w:val="0"/>
              <w:rPr>
                <w:rFonts w:ascii="Tahoma" w:hAnsi="Tahoma" w:cs="Tahoma"/>
                <w:sz w:val="13"/>
              </w:rPr>
            </w:pPr>
          </w:p>
        </w:tc>
      </w:tr>
      <w:tr w:rsidR="00B33D0E" w:rsidRPr="00A75DF9" w:rsidTr="008A1262">
        <w:trPr>
          <w:trHeight w:val="145"/>
        </w:trPr>
        <w:tc>
          <w:tcPr>
            <w:tcW w:w="2724" w:type="dxa"/>
            <w:gridSpan w:val="2"/>
            <w:tcBorders>
              <w:bottom w:val="single" w:sz="4" w:space="0" w:color="auto"/>
            </w:tcBorders>
            <w:shd w:val="clear" w:color="auto" w:fill="FABF8F"/>
          </w:tcPr>
          <w:p w:rsidR="001A63C6" w:rsidRPr="00A75DF9" w:rsidRDefault="001A63C6" w:rsidP="001A63C6">
            <w:pPr>
              <w:pStyle w:val="ProductNames"/>
              <w:rPr>
                <w:rFonts w:ascii="Tahoma" w:hAnsi="Tahoma" w:cs="Tahoma"/>
                <w:sz w:val="14"/>
              </w:rPr>
            </w:pPr>
            <w:bookmarkStart w:id="228" w:name="_Toc336337963"/>
            <w:bookmarkStart w:id="229" w:name="_Toc368309975"/>
            <w:r w:rsidRPr="00A75DF9">
              <w:rPr>
                <w:rFonts w:ascii="Tahoma" w:hAnsi="Tahoma" w:cs="Tahoma"/>
                <w:sz w:val="14"/>
              </w:rPr>
              <w:t>Exchange Server 2010 Standard CAL (Dispositivo e Utente)</w:t>
            </w:r>
            <w:bookmarkEnd w:id="228"/>
            <w:bookmarkEnd w:id="229"/>
          </w:p>
        </w:tc>
        <w:tc>
          <w:tcPr>
            <w:tcW w:w="448" w:type="dxa"/>
            <w:tcBorders>
              <w:bottom w:val="single" w:sz="4" w:space="0" w:color="auto"/>
            </w:tcBorders>
            <w:shd w:val="clear" w:color="auto" w:fill="FABF8F"/>
            <w:vAlign w:val="center"/>
          </w:tcPr>
          <w:p w:rsidR="001A63C6" w:rsidRPr="00337A7D" w:rsidRDefault="00B54770">
            <w:pPr>
              <w:pStyle w:val="TableText"/>
              <w:widowControl w:val="0"/>
              <w:rPr>
                <w:rStyle w:val="EndnoteReference"/>
                <w:rFonts w:cs="Tahoma"/>
                <w:color w:val="0000FF"/>
                <w:position w:val="-11"/>
                <w:sz w:val="13"/>
                <w:szCs w:val="13"/>
                <w:u w:val="single"/>
              </w:rPr>
            </w:pPr>
            <w:hyperlink w:anchor="_58_Exchange_Server" w:history="1">
              <w:r w:rsidR="00734B17" w:rsidRPr="00337A7D">
                <w:rPr>
                  <w:rStyle w:val="Hyperlink"/>
                  <w:rFonts w:cs="Tahoma"/>
                  <w:b/>
                  <w:sz w:val="13"/>
                  <w:szCs w:val="13"/>
                </w:rPr>
                <w:t>58</w:t>
              </w:r>
            </w:hyperlink>
            <w:hyperlink w:anchor="_50_Exchange_Server" w:history="1"/>
          </w:p>
        </w:tc>
        <w:tc>
          <w:tcPr>
            <w:tcW w:w="449" w:type="dxa"/>
            <w:tcBorders>
              <w:bottom w:val="single" w:sz="4" w:space="0" w:color="auto"/>
            </w:tcBorders>
            <w:shd w:val="clear" w:color="auto" w:fill="FABF8F"/>
            <w:vAlign w:val="center"/>
          </w:tcPr>
          <w:p w:rsidR="001A63C6" w:rsidRPr="00A75DF9" w:rsidRDefault="001A63C6" w:rsidP="001A63C6">
            <w:pPr>
              <w:pStyle w:val="TableText"/>
              <w:widowControl w:val="0"/>
              <w:spacing w:before="80"/>
              <w:rPr>
                <w:rFonts w:ascii="Tahoma" w:hAnsi="Tahoma" w:cs="Tahoma"/>
                <w:sz w:val="13"/>
              </w:rPr>
            </w:pPr>
            <w:r w:rsidRPr="00A75DF9">
              <w:rPr>
                <w:rFonts w:ascii="Tahoma" w:hAnsi="Tahoma" w:cs="Tahoma"/>
                <w:sz w:val="13"/>
              </w:rPr>
              <w:t>11/09</w:t>
            </w:r>
          </w:p>
        </w:tc>
        <w:tc>
          <w:tcPr>
            <w:tcW w:w="359"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SRV</w:t>
            </w:r>
          </w:p>
        </w:tc>
        <w:tc>
          <w:tcPr>
            <w:tcW w:w="356"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w:t>
            </w: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3</w:t>
            </w:r>
          </w:p>
        </w:tc>
        <w:tc>
          <w:tcPr>
            <w:tcW w:w="45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w:t>
            </w:r>
          </w:p>
        </w:tc>
        <w:tc>
          <w:tcPr>
            <w:tcW w:w="450" w:type="dxa"/>
            <w:gridSpan w:val="3"/>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w:t>
            </w:r>
          </w:p>
        </w:tc>
        <w:tc>
          <w:tcPr>
            <w:tcW w:w="44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w:t>
            </w: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w:t>
            </w:r>
          </w:p>
        </w:tc>
        <w:tc>
          <w:tcPr>
            <w:tcW w:w="374"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w:t>
            </w:r>
          </w:p>
        </w:tc>
        <w:tc>
          <w:tcPr>
            <w:tcW w:w="455"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w:t>
            </w: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P</w:t>
            </w:r>
          </w:p>
        </w:tc>
        <w:tc>
          <w:tcPr>
            <w:tcW w:w="450" w:type="dxa"/>
            <w:tcBorders>
              <w:bottom w:val="single" w:sz="4" w:space="0" w:color="auto"/>
            </w:tcBorders>
            <w:shd w:val="clear" w:color="auto" w:fill="FABF8F"/>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AO, ST</w:t>
            </w:r>
          </w:p>
        </w:tc>
        <w:tc>
          <w:tcPr>
            <w:tcW w:w="539"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r>
      <w:tr w:rsidR="00EF228F" w:rsidRPr="00A75DF9" w:rsidDel="00515A83" w:rsidTr="008A1262">
        <w:trPr>
          <w:trHeight w:val="145"/>
        </w:trPr>
        <w:tc>
          <w:tcPr>
            <w:tcW w:w="2724" w:type="dxa"/>
            <w:gridSpan w:val="2"/>
            <w:tcBorders>
              <w:bottom w:val="single" w:sz="4" w:space="0" w:color="auto"/>
            </w:tcBorders>
            <w:shd w:val="clear" w:color="auto" w:fill="FFFFFF" w:themeFill="background1"/>
          </w:tcPr>
          <w:p w:rsidR="001A63C6" w:rsidRPr="00A75DF9" w:rsidDel="00515A83" w:rsidRDefault="001A63C6" w:rsidP="001A63C6">
            <w:pPr>
              <w:pStyle w:val="ProductNames"/>
              <w:rPr>
                <w:rFonts w:ascii="Tahoma" w:hAnsi="Tahoma" w:cs="Tahoma"/>
                <w:sz w:val="14"/>
              </w:rPr>
            </w:pPr>
            <w:bookmarkStart w:id="230" w:name="_Toc336337965"/>
            <w:bookmarkStart w:id="231" w:name="_Toc368309976"/>
            <w:r w:rsidRPr="00A75DF9">
              <w:rPr>
                <w:rFonts w:ascii="Tahoma" w:hAnsi="Tahoma" w:cs="Tahoma"/>
                <w:sz w:val="14"/>
              </w:rPr>
              <w:t>Forefront Endpoint Protection</w:t>
            </w:r>
            <w:bookmarkEnd w:id="230"/>
            <w:bookmarkEnd w:id="231"/>
          </w:p>
        </w:tc>
        <w:tc>
          <w:tcPr>
            <w:tcW w:w="448" w:type="dxa"/>
            <w:tcBorders>
              <w:bottom w:val="single" w:sz="4" w:space="0" w:color="auto"/>
            </w:tcBorders>
            <w:shd w:val="clear" w:color="auto" w:fill="FFFFFF" w:themeFill="background1"/>
            <w:vAlign w:val="center"/>
          </w:tcPr>
          <w:p w:rsidR="001A63C6" w:rsidRPr="00337A7D" w:rsidDel="00515A83" w:rsidRDefault="00B54770">
            <w:pPr>
              <w:pStyle w:val="TableText"/>
              <w:widowControl w:val="0"/>
              <w:rPr>
                <w:rStyle w:val="EndnoteReference"/>
                <w:rFonts w:cs="Tahoma"/>
                <w:color w:val="000000"/>
                <w:position w:val="-11"/>
                <w:sz w:val="13"/>
                <w:szCs w:val="13"/>
                <w:u w:val="single"/>
              </w:rPr>
            </w:pPr>
            <w:hyperlink w:anchor="_59_Forefront_Endpoint" w:history="1">
              <w:r w:rsidR="00734B17" w:rsidRPr="00337A7D">
                <w:rPr>
                  <w:rStyle w:val="Hyperlink"/>
                  <w:rFonts w:cs="Tahoma"/>
                  <w:b/>
                  <w:sz w:val="13"/>
                  <w:szCs w:val="13"/>
                </w:rPr>
                <w:t>59</w:t>
              </w:r>
            </w:hyperlink>
          </w:p>
        </w:tc>
        <w:tc>
          <w:tcPr>
            <w:tcW w:w="449" w:type="dxa"/>
            <w:tcBorders>
              <w:bottom w:val="single" w:sz="4" w:space="0" w:color="auto"/>
            </w:tcBorders>
            <w:shd w:val="clear" w:color="auto" w:fill="FFFFFF" w:themeFill="background1"/>
            <w:vAlign w:val="center"/>
          </w:tcPr>
          <w:p w:rsidR="001A63C6" w:rsidRPr="00A75DF9" w:rsidDel="00515A83" w:rsidRDefault="001A63C6" w:rsidP="001A63C6">
            <w:pPr>
              <w:pStyle w:val="TableText"/>
              <w:widowControl w:val="0"/>
              <w:spacing w:before="80"/>
              <w:rPr>
                <w:rFonts w:ascii="Tahoma" w:hAnsi="Tahoma" w:cs="Tahoma"/>
                <w:sz w:val="13"/>
              </w:rPr>
            </w:pPr>
          </w:p>
        </w:tc>
        <w:tc>
          <w:tcPr>
            <w:tcW w:w="359" w:type="dxa"/>
            <w:tcBorders>
              <w:bottom w:val="single" w:sz="4" w:space="0" w:color="auto"/>
              <w:right w:val="single" w:sz="18" w:space="0" w:color="auto"/>
            </w:tcBorders>
            <w:shd w:val="clear" w:color="auto" w:fill="FFFFFF" w:themeFill="background1"/>
            <w:vAlign w:val="center"/>
          </w:tcPr>
          <w:p w:rsidR="001A63C6" w:rsidRPr="00A75DF9" w:rsidDel="00515A83" w:rsidRDefault="001A63C6" w:rsidP="001A63C6">
            <w:pPr>
              <w:pStyle w:val="TableText"/>
              <w:widowControl w:val="0"/>
              <w:rPr>
                <w:rFonts w:ascii="Tahoma" w:hAnsi="Tahoma" w:cs="Tahoma"/>
                <w:sz w:val="13"/>
              </w:rPr>
            </w:pPr>
          </w:p>
        </w:tc>
        <w:tc>
          <w:tcPr>
            <w:tcW w:w="2980" w:type="dxa"/>
            <w:gridSpan w:val="9"/>
            <w:tcBorders>
              <w:left w:val="single" w:sz="18" w:space="0" w:color="auto"/>
              <w:bottom w:val="single" w:sz="4" w:space="0" w:color="auto"/>
              <w:right w:val="single" w:sz="18" w:space="0" w:color="auto"/>
            </w:tcBorders>
            <w:shd w:val="clear" w:color="auto" w:fill="FFFFFF" w:themeFill="background1"/>
            <w:vAlign w:val="center"/>
          </w:tcPr>
          <w:p w:rsidR="001A63C6" w:rsidRPr="00A75DF9" w:rsidDel="00515A83" w:rsidRDefault="001A63C6" w:rsidP="001A63C6">
            <w:pPr>
              <w:pStyle w:val="TableText"/>
              <w:widowControl w:val="0"/>
              <w:rPr>
                <w:rFonts w:ascii="Tahoma" w:hAnsi="Tahoma" w:cs="Tahoma"/>
                <w:sz w:val="13"/>
              </w:rPr>
            </w:pPr>
          </w:p>
        </w:tc>
        <w:tc>
          <w:tcPr>
            <w:tcW w:w="455" w:type="dxa"/>
            <w:tcBorders>
              <w:left w:val="single" w:sz="18" w:space="0" w:color="auto"/>
              <w:bottom w:val="single" w:sz="4" w:space="0" w:color="auto"/>
            </w:tcBorders>
            <w:shd w:val="clear" w:color="auto" w:fill="FFFFFF" w:themeFill="background1"/>
            <w:vAlign w:val="center"/>
          </w:tcPr>
          <w:p w:rsidR="001A63C6" w:rsidRPr="00A75DF9" w:rsidDel="00515A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vAlign w:val="center"/>
          </w:tcPr>
          <w:p w:rsidR="001A63C6" w:rsidRPr="00A75DF9" w:rsidDel="00515A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A75DF9" w:rsidDel="00515A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FFFFF" w:themeFill="background1"/>
            <w:vAlign w:val="center"/>
          </w:tcPr>
          <w:p w:rsidR="001A63C6" w:rsidRPr="00A75DF9" w:rsidDel="00515A83"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FFFFF" w:themeFill="background1"/>
            <w:vAlign w:val="center"/>
          </w:tcPr>
          <w:p w:rsidR="001A63C6" w:rsidRPr="00A75DF9" w:rsidDel="00515A83"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A75DF9" w:rsidDel="00515A83"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FFFFF" w:themeFill="background1"/>
          </w:tcPr>
          <w:p w:rsidR="001A63C6" w:rsidRPr="00A75DF9" w:rsidDel="00515A83" w:rsidRDefault="001A63C6" w:rsidP="001A63C6">
            <w:pPr>
              <w:pStyle w:val="TableText"/>
              <w:widowControl w:val="0"/>
              <w:rPr>
                <w:rFonts w:ascii="Tahoma" w:hAnsi="Tahoma" w:cs="Tahoma"/>
                <w:sz w:val="13"/>
              </w:rPr>
            </w:pPr>
          </w:p>
        </w:tc>
        <w:tc>
          <w:tcPr>
            <w:tcW w:w="539" w:type="dxa"/>
            <w:tcBorders>
              <w:bottom w:val="single" w:sz="4" w:space="0" w:color="auto"/>
            </w:tcBorders>
            <w:shd w:val="clear" w:color="auto" w:fill="FFFFFF" w:themeFill="background1"/>
            <w:vAlign w:val="center"/>
          </w:tcPr>
          <w:p w:rsidR="001A63C6" w:rsidRPr="00A75DF9" w:rsidDel="00515A83" w:rsidRDefault="001A63C6" w:rsidP="001A63C6">
            <w:pPr>
              <w:pStyle w:val="TableText"/>
              <w:widowControl w:val="0"/>
              <w:rPr>
                <w:rFonts w:ascii="Tahoma" w:hAnsi="Tahoma" w:cs="Tahoma"/>
                <w:sz w:val="13"/>
              </w:rPr>
            </w:pPr>
          </w:p>
        </w:tc>
      </w:tr>
      <w:tr w:rsidR="00B33D0E" w:rsidRPr="00A75DF9" w:rsidTr="008A1262">
        <w:trPr>
          <w:trHeight w:val="145"/>
        </w:trPr>
        <w:tc>
          <w:tcPr>
            <w:tcW w:w="2724" w:type="dxa"/>
            <w:gridSpan w:val="2"/>
            <w:tcBorders>
              <w:bottom w:val="single" w:sz="4" w:space="0" w:color="auto"/>
            </w:tcBorders>
            <w:shd w:val="clear" w:color="auto" w:fill="FABF8F"/>
          </w:tcPr>
          <w:p w:rsidR="001A63C6" w:rsidRPr="00A75DF9" w:rsidRDefault="001A63C6" w:rsidP="001A63C6">
            <w:pPr>
              <w:pStyle w:val="ProductNames"/>
              <w:rPr>
                <w:rFonts w:ascii="Tahoma" w:hAnsi="Tahoma" w:cs="Tahoma"/>
                <w:sz w:val="14"/>
              </w:rPr>
            </w:pPr>
            <w:bookmarkStart w:id="232" w:name="_Toc336337966"/>
            <w:bookmarkStart w:id="233" w:name="_Toc368309977"/>
            <w:r w:rsidRPr="00A75DF9">
              <w:rPr>
                <w:rFonts w:ascii="Tahoma" w:hAnsi="Tahoma" w:cs="Tahoma"/>
                <w:sz w:val="14"/>
              </w:rPr>
              <w:t>CAL per Forefront Identity Manager 2010 R2 (solo Utente)</w:t>
            </w:r>
            <w:bookmarkEnd w:id="232"/>
            <w:bookmarkEnd w:id="233"/>
          </w:p>
        </w:tc>
        <w:tc>
          <w:tcPr>
            <w:tcW w:w="448" w:type="dxa"/>
            <w:tcBorders>
              <w:bottom w:val="single" w:sz="4" w:space="0" w:color="auto"/>
            </w:tcBorders>
            <w:shd w:val="clear" w:color="auto" w:fill="FABF8F"/>
            <w:vAlign w:val="center"/>
          </w:tcPr>
          <w:p w:rsidR="001A63C6" w:rsidRPr="00337A7D" w:rsidRDefault="00B54770">
            <w:pPr>
              <w:pStyle w:val="TableText"/>
              <w:widowControl w:val="0"/>
              <w:rPr>
                <w:rStyle w:val="EndnoteReference"/>
                <w:rFonts w:cs="Tahoma"/>
                <w:b w:val="0"/>
                <w:color w:val="0000FF"/>
                <w:position w:val="-11"/>
                <w:sz w:val="13"/>
                <w:szCs w:val="13"/>
                <w:u w:val="single"/>
              </w:rPr>
            </w:pPr>
            <w:hyperlink w:anchor="_54_Forefront_Identity" w:history="1">
              <w:r w:rsidR="00734B17" w:rsidRPr="00337A7D">
                <w:rPr>
                  <w:rStyle w:val="Hyperlink"/>
                  <w:rFonts w:cs="Tahoma"/>
                  <w:b/>
                  <w:sz w:val="13"/>
                  <w:szCs w:val="13"/>
                </w:rPr>
                <w:t>60</w:t>
              </w:r>
            </w:hyperlink>
          </w:p>
        </w:tc>
        <w:tc>
          <w:tcPr>
            <w:tcW w:w="449" w:type="dxa"/>
            <w:tcBorders>
              <w:bottom w:val="single" w:sz="4" w:space="0" w:color="auto"/>
            </w:tcBorders>
            <w:shd w:val="clear" w:color="auto" w:fill="FABF8F"/>
            <w:vAlign w:val="center"/>
          </w:tcPr>
          <w:p w:rsidR="001A63C6" w:rsidRPr="00A75DF9" w:rsidRDefault="001A63C6" w:rsidP="001A63C6">
            <w:pPr>
              <w:pStyle w:val="TableText"/>
              <w:widowControl w:val="0"/>
              <w:spacing w:before="80"/>
              <w:rPr>
                <w:rFonts w:ascii="Tahoma" w:hAnsi="Tahoma" w:cs="Tahoma"/>
                <w:sz w:val="13"/>
              </w:rPr>
            </w:pPr>
            <w:r w:rsidRPr="00A75DF9">
              <w:rPr>
                <w:rFonts w:ascii="Tahoma" w:hAnsi="Tahoma" w:cs="Tahoma"/>
                <w:sz w:val="13"/>
              </w:rPr>
              <w:t>07/10</w:t>
            </w:r>
          </w:p>
        </w:tc>
        <w:tc>
          <w:tcPr>
            <w:tcW w:w="359"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SRV</w:t>
            </w:r>
          </w:p>
        </w:tc>
        <w:tc>
          <w:tcPr>
            <w:tcW w:w="356" w:type="dxa"/>
            <w:tcBorders>
              <w:left w:val="single" w:sz="18" w:space="0" w:color="auto"/>
              <w:bottom w:val="single" w:sz="4" w:space="0" w:color="auto"/>
            </w:tcBorders>
            <w:shd w:val="clear" w:color="auto" w:fill="FABF8F"/>
            <w:vAlign w:val="bottom"/>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sz w:val="13"/>
                <w:szCs w:val="13"/>
              </w:rPr>
              <w:t>1</w:t>
            </w:r>
          </w:p>
        </w:tc>
        <w:tc>
          <w:tcPr>
            <w:tcW w:w="450" w:type="dxa"/>
            <w:tcBorders>
              <w:bottom w:val="single" w:sz="4" w:space="0" w:color="auto"/>
            </w:tcBorders>
            <w:shd w:val="clear" w:color="auto" w:fill="FABF8F"/>
            <w:vAlign w:val="bottom"/>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sz w:val="13"/>
                <w:szCs w:val="13"/>
              </w:rPr>
              <w:t>3</w:t>
            </w:r>
          </w:p>
        </w:tc>
        <w:tc>
          <w:tcPr>
            <w:tcW w:w="455" w:type="dxa"/>
            <w:tcBorders>
              <w:bottom w:val="single" w:sz="4" w:space="0" w:color="auto"/>
            </w:tcBorders>
            <w:shd w:val="clear" w:color="auto" w:fill="FABF8F"/>
            <w:vAlign w:val="bottom"/>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sz w:val="13"/>
                <w:szCs w:val="13"/>
              </w:rPr>
              <w:t>2</w:t>
            </w:r>
          </w:p>
        </w:tc>
        <w:tc>
          <w:tcPr>
            <w:tcW w:w="450" w:type="dxa"/>
            <w:gridSpan w:val="3"/>
            <w:tcBorders>
              <w:bottom w:val="single" w:sz="4" w:space="0" w:color="auto"/>
            </w:tcBorders>
            <w:shd w:val="clear" w:color="auto" w:fill="FABF8F"/>
            <w:vAlign w:val="bottom"/>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sz w:val="13"/>
                <w:szCs w:val="13"/>
              </w:rPr>
              <w:t>2</w:t>
            </w:r>
          </w:p>
        </w:tc>
        <w:tc>
          <w:tcPr>
            <w:tcW w:w="445" w:type="dxa"/>
            <w:tcBorders>
              <w:bottom w:val="single" w:sz="4" w:space="0" w:color="auto"/>
            </w:tcBorders>
            <w:shd w:val="clear" w:color="auto" w:fill="FABF8F"/>
            <w:vAlign w:val="bottom"/>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sz w:val="13"/>
                <w:szCs w:val="13"/>
              </w:rPr>
              <w:t>1</w:t>
            </w:r>
          </w:p>
        </w:tc>
        <w:tc>
          <w:tcPr>
            <w:tcW w:w="374" w:type="dxa"/>
            <w:tcBorders>
              <w:bottom w:val="single" w:sz="4" w:space="0" w:color="auto"/>
              <w:right w:val="single" w:sz="18" w:space="0" w:color="auto"/>
            </w:tcBorders>
            <w:shd w:val="clear" w:color="auto" w:fill="FABF8F"/>
            <w:vAlign w:val="bottom"/>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sz w:val="13"/>
                <w:szCs w:val="13"/>
              </w:rPr>
              <w:t>1</w:t>
            </w:r>
          </w:p>
        </w:tc>
        <w:tc>
          <w:tcPr>
            <w:tcW w:w="455" w:type="dxa"/>
            <w:tcBorders>
              <w:left w:val="single" w:sz="18" w:space="0" w:color="auto"/>
              <w:bottom w:val="single" w:sz="4" w:space="0" w:color="auto"/>
            </w:tcBorders>
            <w:shd w:val="clear" w:color="auto" w:fill="FABF8F"/>
            <w:vAlign w:val="bottom"/>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sz w:val="13"/>
                <w:szCs w:val="13"/>
              </w:rPr>
              <w:t>1</w:t>
            </w:r>
          </w:p>
        </w:tc>
        <w:tc>
          <w:tcPr>
            <w:tcW w:w="450" w:type="dxa"/>
            <w:tcBorders>
              <w:bottom w:val="single" w:sz="4" w:space="0" w:color="auto"/>
            </w:tcBorders>
            <w:shd w:val="clear" w:color="auto" w:fill="FABF8F"/>
            <w:vAlign w:val="bottom"/>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bottom"/>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A, ST</w:t>
            </w:r>
          </w:p>
        </w:tc>
        <w:tc>
          <w:tcPr>
            <w:tcW w:w="539"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r>
      <w:tr w:rsidR="001933C6" w:rsidRPr="00A75DF9" w:rsidTr="008A1262">
        <w:trPr>
          <w:trHeight w:val="145"/>
        </w:trPr>
        <w:tc>
          <w:tcPr>
            <w:tcW w:w="2724" w:type="dxa"/>
            <w:gridSpan w:val="2"/>
            <w:tcBorders>
              <w:bottom w:val="single" w:sz="4" w:space="0" w:color="auto"/>
            </w:tcBorders>
            <w:shd w:val="clear" w:color="auto" w:fill="FFFFFF" w:themeFill="background1"/>
          </w:tcPr>
          <w:p w:rsidR="001A63C6" w:rsidRPr="00A75DF9" w:rsidRDefault="001A63C6" w:rsidP="001A63C6">
            <w:pPr>
              <w:pStyle w:val="ProductNames"/>
              <w:rPr>
                <w:rFonts w:ascii="Tahoma" w:hAnsi="Tahoma" w:cs="Tahoma"/>
                <w:sz w:val="14"/>
              </w:rPr>
            </w:pPr>
            <w:bookmarkStart w:id="234" w:name="_Toc336337967"/>
            <w:bookmarkStart w:id="235" w:name="_Toc368309978"/>
            <w:r w:rsidRPr="00A75DF9">
              <w:rPr>
                <w:rFonts w:ascii="Tahoma" w:hAnsi="Tahoma" w:cs="Tahoma"/>
                <w:sz w:val="14"/>
              </w:rPr>
              <w:t>External Connector per Forefront Identity Manager 2010 R2</w:t>
            </w:r>
            <w:bookmarkEnd w:id="234"/>
            <w:bookmarkEnd w:id="235"/>
          </w:p>
        </w:tc>
        <w:tc>
          <w:tcPr>
            <w:tcW w:w="448" w:type="dxa"/>
            <w:tcBorders>
              <w:bottom w:val="single" w:sz="4" w:space="0" w:color="auto"/>
            </w:tcBorders>
            <w:shd w:val="clear" w:color="auto" w:fill="FFFFFF" w:themeFill="background1"/>
            <w:vAlign w:val="center"/>
          </w:tcPr>
          <w:p w:rsidR="001A63C6" w:rsidRPr="00337A7D" w:rsidRDefault="00B54770">
            <w:pPr>
              <w:pStyle w:val="TableText"/>
              <w:widowControl w:val="0"/>
              <w:rPr>
                <w:rStyle w:val="EndnoteReference"/>
                <w:rFonts w:cs="Tahoma"/>
                <w:color w:val="000000"/>
                <w:position w:val="-11"/>
                <w:sz w:val="13"/>
                <w:szCs w:val="13"/>
                <w:u w:val="single"/>
              </w:rPr>
            </w:pPr>
            <w:hyperlink w:anchor="_54_Forefront_Identity" w:history="1">
              <w:r w:rsidR="00734B17" w:rsidRPr="00337A7D">
                <w:rPr>
                  <w:rStyle w:val="Hyperlink"/>
                  <w:rFonts w:cs="Tahoma"/>
                  <w:b/>
                  <w:sz w:val="13"/>
                  <w:szCs w:val="13"/>
                </w:rPr>
                <w:t>60</w:t>
              </w:r>
            </w:hyperlink>
          </w:p>
        </w:tc>
        <w:tc>
          <w:tcPr>
            <w:tcW w:w="449" w:type="dxa"/>
            <w:tcBorders>
              <w:bottom w:val="single" w:sz="4" w:space="0" w:color="auto"/>
            </w:tcBorders>
            <w:shd w:val="clear" w:color="auto" w:fill="FFFFFF" w:themeFill="background1"/>
            <w:vAlign w:val="center"/>
          </w:tcPr>
          <w:p w:rsidR="001A63C6" w:rsidRPr="00A75DF9" w:rsidRDefault="001A63C6" w:rsidP="001A63C6">
            <w:pPr>
              <w:pStyle w:val="TableText"/>
              <w:widowControl w:val="0"/>
              <w:spacing w:before="80"/>
              <w:rPr>
                <w:rFonts w:ascii="Tahoma" w:hAnsi="Tahoma" w:cs="Tahoma"/>
                <w:sz w:val="13"/>
              </w:rPr>
            </w:pPr>
            <w:r w:rsidRPr="00A75DF9">
              <w:rPr>
                <w:rFonts w:ascii="Tahoma" w:hAnsi="Tahoma" w:cs="Tahoma"/>
                <w:sz w:val="13"/>
              </w:rPr>
              <w:t>07/10</w:t>
            </w:r>
          </w:p>
        </w:tc>
        <w:tc>
          <w:tcPr>
            <w:tcW w:w="359" w:type="dxa"/>
            <w:tcBorders>
              <w:bottom w:val="single" w:sz="4" w:space="0" w:color="auto"/>
              <w:right w:val="single" w:sz="18" w:space="0" w:color="auto"/>
            </w:tcBorders>
            <w:shd w:val="clear" w:color="auto" w:fill="FFFFFF" w:themeFill="background1"/>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SRV</w:t>
            </w:r>
          </w:p>
        </w:tc>
        <w:tc>
          <w:tcPr>
            <w:tcW w:w="356" w:type="dxa"/>
            <w:tcBorders>
              <w:left w:val="single" w:sz="18" w:space="0" w:color="auto"/>
              <w:bottom w:val="single" w:sz="4" w:space="0" w:color="auto"/>
            </w:tcBorders>
            <w:shd w:val="clear" w:color="auto" w:fill="FFFFFF" w:themeFill="background1"/>
            <w:vAlign w:val="bottom"/>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sz w:val="13"/>
                <w:szCs w:val="13"/>
              </w:rPr>
              <w:t>125</w:t>
            </w:r>
          </w:p>
        </w:tc>
        <w:tc>
          <w:tcPr>
            <w:tcW w:w="450" w:type="dxa"/>
            <w:tcBorders>
              <w:bottom w:val="single" w:sz="4" w:space="0" w:color="auto"/>
            </w:tcBorders>
            <w:shd w:val="clear" w:color="auto" w:fill="FFFFFF" w:themeFill="background1"/>
            <w:vAlign w:val="bottom"/>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sz w:val="13"/>
                <w:szCs w:val="13"/>
              </w:rPr>
              <w:t>313</w:t>
            </w:r>
          </w:p>
        </w:tc>
        <w:tc>
          <w:tcPr>
            <w:tcW w:w="455" w:type="dxa"/>
            <w:tcBorders>
              <w:bottom w:val="single" w:sz="4" w:space="0" w:color="auto"/>
            </w:tcBorders>
            <w:shd w:val="clear" w:color="auto" w:fill="FFFFFF" w:themeFill="background1"/>
            <w:vAlign w:val="bottom"/>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sz w:val="13"/>
                <w:szCs w:val="13"/>
              </w:rPr>
              <w:t>250</w:t>
            </w:r>
          </w:p>
        </w:tc>
        <w:tc>
          <w:tcPr>
            <w:tcW w:w="450" w:type="dxa"/>
            <w:gridSpan w:val="3"/>
            <w:tcBorders>
              <w:bottom w:val="single" w:sz="4" w:space="0" w:color="auto"/>
            </w:tcBorders>
            <w:shd w:val="clear" w:color="auto" w:fill="FFFFFF" w:themeFill="background1"/>
            <w:vAlign w:val="bottom"/>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sz w:val="13"/>
                <w:szCs w:val="13"/>
              </w:rPr>
              <w:t>188</w:t>
            </w:r>
          </w:p>
        </w:tc>
        <w:tc>
          <w:tcPr>
            <w:tcW w:w="445" w:type="dxa"/>
            <w:tcBorders>
              <w:bottom w:val="single" w:sz="4" w:space="0" w:color="auto"/>
            </w:tcBorders>
            <w:shd w:val="clear" w:color="auto" w:fill="FFFFFF" w:themeFill="background1"/>
            <w:vAlign w:val="bottom"/>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sz w:val="13"/>
                <w:szCs w:val="13"/>
              </w:rPr>
              <w:t>188</w:t>
            </w:r>
          </w:p>
        </w:tc>
        <w:tc>
          <w:tcPr>
            <w:tcW w:w="450" w:type="dxa"/>
            <w:tcBorders>
              <w:bottom w:val="single" w:sz="4" w:space="0" w:color="auto"/>
            </w:tcBorders>
            <w:shd w:val="clear" w:color="auto" w:fill="FFFFFF" w:themeFill="background1"/>
            <w:vAlign w:val="bottom"/>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sz w:val="13"/>
                <w:szCs w:val="13"/>
              </w:rPr>
              <w:t>125</w:t>
            </w:r>
          </w:p>
        </w:tc>
        <w:tc>
          <w:tcPr>
            <w:tcW w:w="374" w:type="dxa"/>
            <w:tcBorders>
              <w:bottom w:val="single" w:sz="4" w:space="0" w:color="auto"/>
              <w:right w:val="single" w:sz="18" w:space="0" w:color="auto"/>
            </w:tcBorders>
            <w:shd w:val="clear" w:color="auto" w:fill="FFFFFF" w:themeFill="background1"/>
            <w:vAlign w:val="bottom"/>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sz w:val="13"/>
                <w:szCs w:val="13"/>
              </w:rPr>
              <w:t>63</w:t>
            </w:r>
          </w:p>
        </w:tc>
        <w:tc>
          <w:tcPr>
            <w:tcW w:w="455" w:type="dxa"/>
            <w:tcBorders>
              <w:left w:val="single" w:sz="18" w:space="0" w:color="auto"/>
              <w:bottom w:val="single" w:sz="4" w:space="0" w:color="auto"/>
            </w:tcBorders>
            <w:shd w:val="clear" w:color="auto" w:fill="FFFFFF" w:themeFill="background1"/>
            <w:vAlign w:val="bottom"/>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sz w:val="13"/>
                <w:szCs w:val="13"/>
              </w:rPr>
              <w:t>125</w:t>
            </w:r>
          </w:p>
        </w:tc>
        <w:tc>
          <w:tcPr>
            <w:tcW w:w="450" w:type="dxa"/>
            <w:tcBorders>
              <w:bottom w:val="single" w:sz="4" w:space="0" w:color="auto"/>
            </w:tcBorders>
            <w:shd w:val="clear" w:color="auto" w:fill="FFFFFF" w:themeFill="background1"/>
            <w:vAlign w:val="bottom"/>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sz w:val="13"/>
                <w:szCs w:val="13"/>
              </w:rPr>
              <w:t>250</w:t>
            </w:r>
          </w:p>
        </w:tc>
        <w:tc>
          <w:tcPr>
            <w:tcW w:w="450" w:type="dxa"/>
            <w:tcBorders>
              <w:bottom w:val="single" w:sz="4" w:space="0" w:color="auto"/>
              <w:right w:val="single" w:sz="18" w:space="0" w:color="auto"/>
            </w:tcBorders>
            <w:shd w:val="clear" w:color="auto" w:fill="FFFFFF" w:themeFill="background1"/>
            <w:vAlign w:val="bottom"/>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sz w:val="13"/>
                <w:szCs w:val="13"/>
              </w:rPr>
              <w:t>125</w:t>
            </w:r>
          </w:p>
        </w:tc>
        <w:tc>
          <w:tcPr>
            <w:tcW w:w="450" w:type="dxa"/>
            <w:tcBorders>
              <w:left w:val="single" w:sz="18" w:space="0" w:color="auto"/>
              <w:bottom w:val="single" w:sz="4" w:space="0" w:color="auto"/>
            </w:tcBorders>
            <w:shd w:val="clear" w:color="auto" w:fill="FFFFFF" w:themeFill="background1"/>
            <w:vAlign w:val="bottom"/>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sz w:val="13"/>
                <w:szCs w:val="13"/>
              </w:rPr>
              <w:t>125</w:t>
            </w:r>
          </w:p>
        </w:tc>
        <w:tc>
          <w:tcPr>
            <w:tcW w:w="450" w:type="dxa"/>
            <w:tcBorders>
              <w:bottom w:val="single" w:sz="4" w:space="0" w:color="auto"/>
              <w:right w:val="single" w:sz="18" w:space="0" w:color="auto"/>
            </w:tcBorders>
            <w:shd w:val="clear" w:color="auto" w:fill="FFFFFF" w:themeFill="background1"/>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P</w:t>
            </w:r>
          </w:p>
        </w:tc>
        <w:tc>
          <w:tcPr>
            <w:tcW w:w="450" w:type="dxa"/>
            <w:tcBorders>
              <w:bottom w:val="single" w:sz="4" w:space="0" w:color="auto"/>
            </w:tcBorders>
            <w:shd w:val="clear" w:color="auto" w:fill="FFFFFF" w:themeFill="background1"/>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A</w:t>
            </w:r>
          </w:p>
        </w:tc>
        <w:tc>
          <w:tcPr>
            <w:tcW w:w="539" w:type="dxa"/>
            <w:tcBorders>
              <w:bottom w:val="single" w:sz="4" w:space="0" w:color="auto"/>
            </w:tcBorders>
            <w:shd w:val="clear" w:color="auto" w:fill="FFFFFF" w:themeFill="background1"/>
            <w:vAlign w:val="center"/>
          </w:tcPr>
          <w:p w:rsidR="001A63C6" w:rsidRPr="00A75DF9" w:rsidRDefault="001A63C6" w:rsidP="001A63C6">
            <w:pPr>
              <w:pStyle w:val="TableText"/>
              <w:widowControl w:val="0"/>
              <w:rPr>
                <w:rFonts w:ascii="Tahoma" w:hAnsi="Tahoma" w:cs="Tahoma"/>
                <w:sz w:val="13"/>
              </w:rPr>
            </w:pPr>
          </w:p>
        </w:tc>
      </w:tr>
      <w:tr w:rsidR="00B33D0E" w:rsidRPr="00A75DF9" w:rsidTr="008A1262">
        <w:trPr>
          <w:trHeight w:val="145"/>
        </w:trPr>
        <w:tc>
          <w:tcPr>
            <w:tcW w:w="2724" w:type="dxa"/>
            <w:gridSpan w:val="2"/>
            <w:tcBorders>
              <w:bottom w:val="single" w:sz="4" w:space="0" w:color="auto"/>
            </w:tcBorders>
            <w:shd w:val="clear" w:color="auto" w:fill="FABF8F"/>
          </w:tcPr>
          <w:p w:rsidR="001A63C6" w:rsidRPr="00A75DF9" w:rsidRDefault="001A63C6" w:rsidP="001A63C6">
            <w:pPr>
              <w:pStyle w:val="ProductNames"/>
              <w:rPr>
                <w:rFonts w:ascii="Tahoma" w:hAnsi="Tahoma" w:cs="Tahoma"/>
                <w:sz w:val="14"/>
              </w:rPr>
            </w:pPr>
            <w:bookmarkStart w:id="236" w:name="_Toc336337968"/>
            <w:bookmarkStart w:id="237" w:name="_Toc368309979"/>
            <w:r w:rsidRPr="00A75DF9">
              <w:rPr>
                <w:rFonts w:ascii="Tahoma" w:hAnsi="Tahoma" w:cs="Tahoma"/>
                <w:sz w:val="14"/>
              </w:rPr>
              <w:t>Forefront Identity Manager 2010 R2 Server</w:t>
            </w:r>
            <w:bookmarkEnd w:id="236"/>
            <w:bookmarkEnd w:id="237"/>
            <w:r w:rsidRPr="00A75DF9">
              <w:rPr>
                <w:rFonts w:ascii="Tahoma" w:hAnsi="Tahoma" w:cs="Tahoma"/>
                <w:sz w:val="14"/>
              </w:rPr>
              <w:t xml:space="preserve"> </w:t>
            </w:r>
          </w:p>
        </w:tc>
        <w:tc>
          <w:tcPr>
            <w:tcW w:w="448" w:type="dxa"/>
            <w:tcBorders>
              <w:bottom w:val="single" w:sz="4" w:space="0" w:color="auto"/>
            </w:tcBorders>
            <w:shd w:val="clear" w:color="auto" w:fill="FABF8F"/>
            <w:vAlign w:val="center"/>
          </w:tcPr>
          <w:p w:rsidR="001A63C6" w:rsidRPr="00337A7D" w:rsidRDefault="00B54770">
            <w:pPr>
              <w:pStyle w:val="TableText"/>
              <w:widowControl w:val="0"/>
              <w:rPr>
                <w:rStyle w:val="EndnoteReference"/>
                <w:rFonts w:cs="Tahoma"/>
                <w:color w:val="000000"/>
                <w:position w:val="-11"/>
                <w:sz w:val="13"/>
                <w:szCs w:val="13"/>
                <w:u w:val="single"/>
              </w:rPr>
            </w:pPr>
            <w:hyperlink w:anchor="_54_Forefront_Identity" w:history="1">
              <w:r w:rsidR="00734B17" w:rsidRPr="00337A7D">
                <w:rPr>
                  <w:rStyle w:val="Hyperlink"/>
                  <w:rFonts w:cs="Tahoma"/>
                  <w:b/>
                  <w:sz w:val="13"/>
                  <w:szCs w:val="13"/>
                </w:rPr>
                <w:t>60</w:t>
              </w:r>
            </w:hyperlink>
          </w:p>
        </w:tc>
        <w:tc>
          <w:tcPr>
            <w:tcW w:w="449" w:type="dxa"/>
            <w:tcBorders>
              <w:bottom w:val="single" w:sz="4" w:space="0" w:color="auto"/>
            </w:tcBorders>
            <w:shd w:val="clear" w:color="auto" w:fill="FABF8F"/>
            <w:vAlign w:val="center"/>
          </w:tcPr>
          <w:p w:rsidR="001A63C6" w:rsidRPr="00A75DF9" w:rsidRDefault="001A63C6" w:rsidP="001A63C6">
            <w:pPr>
              <w:pStyle w:val="TableText"/>
              <w:widowControl w:val="0"/>
              <w:spacing w:before="80"/>
              <w:rPr>
                <w:rFonts w:ascii="Tahoma" w:hAnsi="Tahoma" w:cs="Tahoma"/>
                <w:sz w:val="13"/>
              </w:rPr>
            </w:pPr>
            <w:r w:rsidRPr="00A75DF9">
              <w:rPr>
                <w:rFonts w:ascii="Tahoma" w:hAnsi="Tahoma" w:cs="Tahoma"/>
                <w:sz w:val="13"/>
              </w:rPr>
              <w:t>07/10</w:t>
            </w:r>
          </w:p>
        </w:tc>
        <w:tc>
          <w:tcPr>
            <w:tcW w:w="359"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SRV</w:t>
            </w:r>
          </w:p>
        </w:tc>
        <w:tc>
          <w:tcPr>
            <w:tcW w:w="356" w:type="dxa"/>
            <w:tcBorders>
              <w:left w:val="single" w:sz="18" w:space="0" w:color="auto"/>
              <w:bottom w:val="single" w:sz="4" w:space="0" w:color="auto"/>
            </w:tcBorders>
            <w:shd w:val="clear" w:color="auto" w:fill="FABF8F"/>
            <w:vAlign w:val="bottom"/>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sz w:val="13"/>
                <w:szCs w:val="13"/>
              </w:rPr>
              <w:t>125</w:t>
            </w:r>
          </w:p>
        </w:tc>
        <w:tc>
          <w:tcPr>
            <w:tcW w:w="450" w:type="dxa"/>
            <w:tcBorders>
              <w:bottom w:val="single" w:sz="4" w:space="0" w:color="auto"/>
            </w:tcBorders>
            <w:shd w:val="clear" w:color="auto" w:fill="FABF8F"/>
            <w:vAlign w:val="bottom"/>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sz w:val="13"/>
                <w:szCs w:val="13"/>
              </w:rPr>
              <w:t>313</w:t>
            </w:r>
          </w:p>
        </w:tc>
        <w:tc>
          <w:tcPr>
            <w:tcW w:w="455" w:type="dxa"/>
            <w:tcBorders>
              <w:bottom w:val="single" w:sz="4" w:space="0" w:color="auto"/>
            </w:tcBorders>
            <w:shd w:val="clear" w:color="auto" w:fill="FABF8F"/>
            <w:vAlign w:val="bottom"/>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sz w:val="13"/>
                <w:szCs w:val="13"/>
              </w:rPr>
              <w:t>250</w:t>
            </w:r>
          </w:p>
        </w:tc>
        <w:tc>
          <w:tcPr>
            <w:tcW w:w="450" w:type="dxa"/>
            <w:gridSpan w:val="3"/>
            <w:tcBorders>
              <w:bottom w:val="single" w:sz="4" w:space="0" w:color="auto"/>
            </w:tcBorders>
            <w:shd w:val="clear" w:color="auto" w:fill="FABF8F"/>
            <w:vAlign w:val="bottom"/>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sz w:val="13"/>
                <w:szCs w:val="13"/>
              </w:rPr>
              <w:t>188</w:t>
            </w:r>
          </w:p>
        </w:tc>
        <w:tc>
          <w:tcPr>
            <w:tcW w:w="445" w:type="dxa"/>
            <w:tcBorders>
              <w:bottom w:val="single" w:sz="4" w:space="0" w:color="auto"/>
            </w:tcBorders>
            <w:shd w:val="clear" w:color="auto" w:fill="FABF8F"/>
            <w:vAlign w:val="bottom"/>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sz w:val="13"/>
                <w:szCs w:val="13"/>
              </w:rPr>
              <w:t>188</w:t>
            </w:r>
          </w:p>
        </w:tc>
        <w:tc>
          <w:tcPr>
            <w:tcW w:w="450" w:type="dxa"/>
            <w:tcBorders>
              <w:bottom w:val="single" w:sz="4" w:space="0" w:color="auto"/>
            </w:tcBorders>
            <w:shd w:val="clear" w:color="auto" w:fill="FABF8F"/>
            <w:vAlign w:val="bottom"/>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sz w:val="13"/>
                <w:szCs w:val="13"/>
              </w:rPr>
              <w:t>125</w:t>
            </w:r>
          </w:p>
        </w:tc>
        <w:tc>
          <w:tcPr>
            <w:tcW w:w="374" w:type="dxa"/>
            <w:tcBorders>
              <w:bottom w:val="single" w:sz="4" w:space="0" w:color="auto"/>
              <w:right w:val="single" w:sz="18" w:space="0" w:color="auto"/>
            </w:tcBorders>
            <w:shd w:val="clear" w:color="auto" w:fill="FABF8F"/>
            <w:vAlign w:val="bottom"/>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sz w:val="13"/>
                <w:szCs w:val="13"/>
              </w:rPr>
              <w:t>63</w:t>
            </w:r>
          </w:p>
        </w:tc>
        <w:tc>
          <w:tcPr>
            <w:tcW w:w="455" w:type="dxa"/>
            <w:tcBorders>
              <w:left w:val="single" w:sz="18" w:space="0" w:color="auto"/>
              <w:bottom w:val="single" w:sz="4" w:space="0" w:color="auto"/>
            </w:tcBorders>
            <w:shd w:val="clear" w:color="auto" w:fill="FABF8F"/>
            <w:vAlign w:val="bottom"/>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sz w:val="13"/>
                <w:szCs w:val="13"/>
              </w:rPr>
              <w:t>125</w:t>
            </w:r>
          </w:p>
        </w:tc>
        <w:tc>
          <w:tcPr>
            <w:tcW w:w="450" w:type="dxa"/>
            <w:tcBorders>
              <w:bottom w:val="single" w:sz="4" w:space="0" w:color="auto"/>
            </w:tcBorders>
            <w:shd w:val="clear" w:color="auto" w:fill="FABF8F"/>
            <w:vAlign w:val="bottom"/>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sz w:val="13"/>
                <w:szCs w:val="13"/>
              </w:rPr>
              <w:t>250</w:t>
            </w:r>
          </w:p>
        </w:tc>
        <w:tc>
          <w:tcPr>
            <w:tcW w:w="450" w:type="dxa"/>
            <w:tcBorders>
              <w:bottom w:val="single" w:sz="4" w:space="0" w:color="auto"/>
              <w:right w:val="single" w:sz="18" w:space="0" w:color="auto"/>
            </w:tcBorders>
            <w:shd w:val="clear" w:color="auto" w:fill="FABF8F"/>
            <w:vAlign w:val="bottom"/>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sz w:val="13"/>
                <w:szCs w:val="13"/>
              </w:rPr>
              <w:t>125</w:t>
            </w:r>
          </w:p>
        </w:tc>
        <w:tc>
          <w:tcPr>
            <w:tcW w:w="450" w:type="dxa"/>
            <w:tcBorders>
              <w:left w:val="single" w:sz="18" w:space="0" w:color="auto"/>
              <w:bottom w:val="single" w:sz="4" w:space="0" w:color="auto"/>
            </w:tcBorders>
            <w:shd w:val="clear" w:color="auto" w:fill="FABF8F"/>
            <w:vAlign w:val="bottom"/>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sz w:val="13"/>
                <w:szCs w:val="13"/>
              </w:rPr>
              <w:t>125</w:t>
            </w: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P</w:t>
            </w:r>
          </w:p>
        </w:tc>
        <w:tc>
          <w:tcPr>
            <w:tcW w:w="450" w:type="dxa"/>
            <w:tcBorders>
              <w:bottom w:val="single" w:sz="4" w:space="0" w:color="auto"/>
            </w:tcBorders>
            <w:shd w:val="clear" w:color="auto" w:fill="FABF8F"/>
          </w:tcPr>
          <w:p w:rsidR="001A63C6" w:rsidRPr="00A75DF9" w:rsidRDefault="001A63C6" w:rsidP="001A63C6">
            <w:pPr>
              <w:pStyle w:val="TableText"/>
              <w:widowControl w:val="0"/>
              <w:spacing w:before="120"/>
              <w:rPr>
                <w:rFonts w:ascii="Tahoma" w:hAnsi="Tahoma" w:cs="Tahoma"/>
                <w:sz w:val="13"/>
              </w:rPr>
            </w:pPr>
            <w:r w:rsidRPr="00A75DF9">
              <w:rPr>
                <w:rFonts w:ascii="Tahoma" w:hAnsi="Tahoma" w:cs="Tahoma"/>
                <w:sz w:val="13"/>
              </w:rPr>
              <w:t>A</w:t>
            </w:r>
          </w:p>
        </w:tc>
        <w:tc>
          <w:tcPr>
            <w:tcW w:w="539"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r>
      <w:tr w:rsidR="001933C6" w:rsidRPr="00A75DF9" w:rsidTr="008A1262">
        <w:trPr>
          <w:trHeight w:val="145"/>
        </w:trPr>
        <w:tc>
          <w:tcPr>
            <w:tcW w:w="2724" w:type="dxa"/>
            <w:gridSpan w:val="2"/>
            <w:tcBorders>
              <w:bottom w:val="single" w:sz="4" w:space="0" w:color="auto"/>
            </w:tcBorders>
            <w:shd w:val="clear" w:color="auto" w:fill="FFFFFF" w:themeFill="background1"/>
          </w:tcPr>
          <w:p w:rsidR="001A63C6" w:rsidRPr="00A75DF9" w:rsidRDefault="001A63C6" w:rsidP="001A63C6">
            <w:pPr>
              <w:pStyle w:val="Heading2"/>
              <w:ind w:left="0"/>
              <w:rPr>
                <w:rFonts w:ascii="Tahoma" w:hAnsi="Tahoma" w:cs="Tahoma"/>
                <w:b w:val="0"/>
              </w:rPr>
            </w:pPr>
            <w:bookmarkStart w:id="238" w:name="_Toc336337969"/>
            <w:bookmarkStart w:id="239" w:name="_Toc368309980"/>
            <w:r w:rsidRPr="00A75DF9">
              <w:rPr>
                <w:rFonts w:ascii="Tahoma" w:hAnsi="Tahoma" w:cs="Tahoma"/>
                <w:b w:val="0"/>
                <w:sz w:val="14"/>
              </w:rPr>
              <w:t>Forefront Identity Manager 2010 R2 - Windows Live Edition</w:t>
            </w:r>
            <w:bookmarkEnd w:id="238"/>
            <w:bookmarkEnd w:id="239"/>
          </w:p>
        </w:tc>
        <w:tc>
          <w:tcPr>
            <w:tcW w:w="448" w:type="dxa"/>
            <w:tcBorders>
              <w:bottom w:val="single" w:sz="4" w:space="0" w:color="auto"/>
            </w:tcBorders>
            <w:shd w:val="clear" w:color="auto" w:fill="FFFFFF" w:themeFill="background1"/>
            <w:vAlign w:val="center"/>
          </w:tcPr>
          <w:p w:rsidR="001A63C6" w:rsidRPr="00337A7D" w:rsidRDefault="00B54770">
            <w:pPr>
              <w:pStyle w:val="TableText"/>
              <w:widowControl w:val="0"/>
              <w:rPr>
                <w:rFonts w:cs="Tahoma"/>
                <w:b/>
                <w:color w:val="0000FF"/>
                <w:sz w:val="13"/>
                <w:szCs w:val="13"/>
                <w:u w:val="single"/>
              </w:rPr>
            </w:pPr>
            <w:hyperlink w:anchor="_55_Forefront_Identity" w:history="1">
              <w:r w:rsidR="00734B17" w:rsidRPr="00337A7D">
                <w:rPr>
                  <w:rStyle w:val="Hyperlink"/>
                  <w:rFonts w:cs="Tahoma"/>
                  <w:b/>
                  <w:sz w:val="13"/>
                  <w:szCs w:val="13"/>
                </w:rPr>
                <w:t>61</w:t>
              </w:r>
            </w:hyperlink>
          </w:p>
        </w:tc>
        <w:tc>
          <w:tcPr>
            <w:tcW w:w="449" w:type="dxa"/>
            <w:tcBorders>
              <w:bottom w:val="single" w:sz="4" w:space="0" w:color="auto"/>
            </w:tcBorders>
            <w:shd w:val="clear" w:color="auto" w:fill="FFFFFF" w:themeFill="background1"/>
            <w:vAlign w:val="center"/>
          </w:tcPr>
          <w:p w:rsidR="001A63C6" w:rsidRPr="00A75DF9" w:rsidRDefault="001A63C6" w:rsidP="001A63C6">
            <w:pPr>
              <w:pStyle w:val="TableText"/>
              <w:widowControl w:val="0"/>
              <w:spacing w:before="120"/>
              <w:rPr>
                <w:rFonts w:ascii="Tahoma" w:hAnsi="Tahoma" w:cs="Tahoma"/>
                <w:sz w:val="13"/>
              </w:rPr>
            </w:pPr>
            <w:r w:rsidRPr="00A75DF9">
              <w:rPr>
                <w:rFonts w:ascii="Tahoma" w:hAnsi="Tahoma" w:cs="Tahoma"/>
                <w:sz w:val="13"/>
              </w:rPr>
              <w:t>07/11</w:t>
            </w:r>
          </w:p>
        </w:tc>
        <w:tc>
          <w:tcPr>
            <w:tcW w:w="359" w:type="dxa"/>
            <w:tcBorders>
              <w:bottom w:val="single" w:sz="4" w:space="0" w:color="auto"/>
              <w:right w:val="single" w:sz="18" w:space="0" w:color="auto"/>
            </w:tcBorders>
            <w:shd w:val="clear" w:color="auto" w:fill="FFFFFF" w:themeFill="background1"/>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SRV</w:t>
            </w:r>
          </w:p>
        </w:tc>
        <w:tc>
          <w:tcPr>
            <w:tcW w:w="356" w:type="dxa"/>
            <w:tcBorders>
              <w:left w:val="single" w:sz="18" w:space="0" w:color="auto"/>
              <w:bottom w:val="single" w:sz="4" w:space="0" w:color="auto"/>
            </w:tcBorders>
            <w:shd w:val="clear" w:color="auto" w:fill="FFFFFF" w:themeFill="background1"/>
            <w:vAlign w:val="bottom"/>
          </w:tcPr>
          <w:p w:rsidR="001A63C6" w:rsidRPr="00A75DF9" w:rsidRDefault="001A63C6" w:rsidP="001A63C6">
            <w:pPr>
              <w:pStyle w:val="TableText"/>
              <w:widowControl w:val="0"/>
              <w:spacing w:before="100" w:beforeAutospacing="1" w:after="120"/>
              <w:rPr>
                <w:rFonts w:ascii="Tahoma" w:hAnsi="Tahoma" w:cs="Tahoma"/>
                <w:color w:val="000000"/>
                <w:sz w:val="13"/>
                <w:szCs w:val="13"/>
              </w:rPr>
            </w:pPr>
            <w:r w:rsidRPr="00A75DF9">
              <w:rPr>
                <w:rFonts w:ascii="Tahoma" w:hAnsi="Tahoma" w:cs="Tahoma"/>
                <w:sz w:val="13"/>
                <w:szCs w:val="13"/>
              </w:rPr>
              <w:t>25</w:t>
            </w:r>
          </w:p>
        </w:tc>
        <w:tc>
          <w:tcPr>
            <w:tcW w:w="450" w:type="dxa"/>
            <w:tcBorders>
              <w:bottom w:val="single" w:sz="4" w:space="0" w:color="auto"/>
            </w:tcBorders>
            <w:shd w:val="clear" w:color="auto" w:fill="FFFFFF" w:themeFill="background1"/>
            <w:vAlign w:val="bottom"/>
          </w:tcPr>
          <w:p w:rsidR="001A63C6" w:rsidRPr="00A75DF9" w:rsidRDefault="001A63C6" w:rsidP="001A63C6">
            <w:pPr>
              <w:pStyle w:val="TableText"/>
              <w:widowControl w:val="0"/>
              <w:spacing w:before="100" w:beforeAutospacing="1" w:after="120"/>
              <w:rPr>
                <w:rFonts w:ascii="Tahoma" w:hAnsi="Tahoma" w:cs="Tahoma"/>
                <w:color w:val="000000"/>
                <w:sz w:val="13"/>
                <w:szCs w:val="13"/>
              </w:rPr>
            </w:pPr>
            <w:r w:rsidRPr="00A75DF9">
              <w:rPr>
                <w:rFonts w:ascii="Tahoma" w:hAnsi="Tahoma" w:cs="Tahoma"/>
                <w:sz w:val="13"/>
                <w:szCs w:val="13"/>
              </w:rPr>
              <w:t>63</w:t>
            </w:r>
          </w:p>
        </w:tc>
        <w:tc>
          <w:tcPr>
            <w:tcW w:w="455" w:type="dxa"/>
            <w:tcBorders>
              <w:bottom w:val="single" w:sz="4" w:space="0" w:color="auto"/>
            </w:tcBorders>
            <w:shd w:val="clear" w:color="auto" w:fill="FFFFFF" w:themeFill="background1"/>
            <w:vAlign w:val="bottom"/>
          </w:tcPr>
          <w:p w:rsidR="001A63C6" w:rsidRPr="00A75DF9" w:rsidRDefault="001A63C6" w:rsidP="001A63C6">
            <w:pPr>
              <w:pStyle w:val="TableText"/>
              <w:widowControl w:val="0"/>
              <w:spacing w:before="100" w:beforeAutospacing="1" w:after="120"/>
              <w:rPr>
                <w:rFonts w:ascii="Tahoma" w:hAnsi="Tahoma" w:cs="Tahoma"/>
                <w:color w:val="000000"/>
                <w:sz w:val="13"/>
                <w:szCs w:val="13"/>
              </w:rPr>
            </w:pPr>
            <w:r w:rsidRPr="00A75DF9">
              <w:rPr>
                <w:rFonts w:ascii="Tahoma" w:hAnsi="Tahoma" w:cs="Tahoma"/>
                <w:sz w:val="13"/>
                <w:szCs w:val="13"/>
              </w:rPr>
              <w:t>50</w:t>
            </w:r>
          </w:p>
        </w:tc>
        <w:tc>
          <w:tcPr>
            <w:tcW w:w="450" w:type="dxa"/>
            <w:gridSpan w:val="3"/>
            <w:tcBorders>
              <w:bottom w:val="single" w:sz="4" w:space="0" w:color="auto"/>
            </w:tcBorders>
            <w:shd w:val="clear" w:color="auto" w:fill="FFFFFF" w:themeFill="background1"/>
            <w:vAlign w:val="bottom"/>
          </w:tcPr>
          <w:p w:rsidR="001A63C6" w:rsidRPr="00A75DF9" w:rsidRDefault="001A63C6" w:rsidP="001A63C6">
            <w:pPr>
              <w:pStyle w:val="TableText"/>
              <w:widowControl w:val="0"/>
              <w:spacing w:before="100" w:beforeAutospacing="1" w:after="120"/>
              <w:rPr>
                <w:rFonts w:ascii="Tahoma" w:hAnsi="Tahoma" w:cs="Tahoma"/>
                <w:color w:val="000000"/>
                <w:sz w:val="13"/>
                <w:szCs w:val="13"/>
              </w:rPr>
            </w:pPr>
            <w:r w:rsidRPr="00A75DF9">
              <w:rPr>
                <w:rFonts w:ascii="Tahoma" w:hAnsi="Tahoma" w:cs="Tahoma"/>
                <w:sz w:val="13"/>
                <w:szCs w:val="13"/>
              </w:rPr>
              <w:t>38</w:t>
            </w:r>
          </w:p>
        </w:tc>
        <w:tc>
          <w:tcPr>
            <w:tcW w:w="445" w:type="dxa"/>
            <w:tcBorders>
              <w:bottom w:val="single" w:sz="4" w:space="0" w:color="auto"/>
            </w:tcBorders>
            <w:shd w:val="clear" w:color="auto" w:fill="FFFFFF" w:themeFill="background1"/>
            <w:vAlign w:val="bottom"/>
          </w:tcPr>
          <w:p w:rsidR="001A63C6" w:rsidRPr="00A75DF9" w:rsidRDefault="001A63C6" w:rsidP="001A63C6">
            <w:pPr>
              <w:pStyle w:val="TableText"/>
              <w:widowControl w:val="0"/>
              <w:spacing w:before="100" w:beforeAutospacing="1" w:after="120"/>
              <w:rPr>
                <w:rFonts w:ascii="Tahoma" w:hAnsi="Tahoma" w:cs="Tahoma"/>
                <w:color w:val="000000"/>
                <w:sz w:val="13"/>
                <w:szCs w:val="13"/>
              </w:rPr>
            </w:pPr>
            <w:r w:rsidRPr="00A75DF9">
              <w:rPr>
                <w:rFonts w:ascii="Tahoma" w:hAnsi="Tahoma" w:cs="Tahoma"/>
                <w:sz w:val="13"/>
                <w:szCs w:val="13"/>
              </w:rPr>
              <w:t>38</w:t>
            </w:r>
          </w:p>
        </w:tc>
        <w:tc>
          <w:tcPr>
            <w:tcW w:w="450" w:type="dxa"/>
            <w:tcBorders>
              <w:bottom w:val="single" w:sz="4" w:space="0" w:color="auto"/>
            </w:tcBorders>
            <w:shd w:val="clear" w:color="auto" w:fill="FFFFFF" w:themeFill="background1"/>
            <w:vAlign w:val="bottom"/>
          </w:tcPr>
          <w:p w:rsidR="001A63C6" w:rsidRPr="00A75DF9" w:rsidRDefault="001A63C6" w:rsidP="001A63C6">
            <w:pPr>
              <w:pStyle w:val="TableText"/>
              <w:widowControl w:val="0"/>
              <w:spacing w:before="100" w:beforeAutospacing="1" w:after="120"/>
              <w:rPr>
                <w:rFonts w:ascii="Tahoma" w:hAnsi="Tahoma" w:cs="Tahoma"/>
                <w:color w:val="000000"/>
                <w:sz w:val="13"/>
                <w:szCs w:val="13"/>
              </w:rPr>
            </w:pPr>
            <w:r w:rsidRPr="00A75DF9">
              <w:rPr>
                <w:rFonts w:ascii="Tahoma" w:hAnsi="Tahoma" w:cs="Tahoma"/>
                <w:sz w:val="13"/>
                <w:szCs w:val="13"/>
              </w:rPr>
              <w:t>25</w:t>
            </w:r>
          </w:p>
        </w:tc>
        <w:tc>
          <w:tcPr>
            <w:tcW w:w="374" w:type="dxa"/>
            <w:tcBorders>
              <w:bottom w:val="single" w:sz="4" w:space="0" w:color="auto"/>
              <w:right w:val="single" w:sz="18" w:space="0" w:color="auto"/>
            </w:tcBorders>
            <w:shd w:val="clear" w:color="auto" w:fill="FFFFFF" w:themeFill="background1"/>
            <w:vAlign w:val="bottom"/>
          </w:tcPr>
          <w:p w:rsidR="001A63C6" w:rsidRPr="00A75DF9" w:rsidRDefault="001A63C6" w:rsidP="001A63C6">
            <w:pPr>
              <w:pStyle w:val="TableText"/>
              <w:widowControl w:val="0"/>
              <w:spacing w:before="100" w:beforeAutospacing="1" w:after="120"/>
              <w:rPr>
                <w:rFonts w:ascii="Tahoma" w:hAnsi="Tahoma" w:cs="Tahoma"/>
                <w:color w:val="000000"/>
                <w:sz w:val="13"/>
                <w:szCs w:val="13"/>
              </w:rPr>
            </w:pPr>
            <w:r w:rsidRPr="00A75DF9">
              <w:rPr>
                <w:rFonts w:ascii="Tahoma" w:hAnsi="Tahoma" w:cs="Tahoma"/>
                <w:sz w:val="13"/>
                <w:szCs w:val="13"/>
              </w:rPr>
              <w:t>13</w:t>
            </w:r>
          </w:p>
        </w:tc>
        <w:tc>
          <w:tcPr>
            <w:tcW w:w="455" w:type="dxa"/>
            <w:tcBorders>
              <w:left w:val="single" w:sz="18" w:space="0" w:color="auto"/>
              <w:bottom w:val="single" w:sz="4" w:space="0" w:color="auto"/>
            </w:tcBorders>
            <w:shd w:val="clear" w:color="auto" w:fill="FFFFFF" w:themeFill="background1"/>
            <w:vAlign w:val="bottom"/>
          </w:tcPr>
          <w:p w:rsidR="001A63C6" w:rsidRPr="00A75DF9" w:rsidRDefault="001A63C6" w:rsidP="001A63C6">
            <w:pPr>
              <w:pStyle w:val="TableText"/>
              <w:widowControl w:val="0"/>
              <w:spacing w:before="100" w:beforeAutospacing="1" w:after="120"/>
              <w:rPr>
                <w:rFonts w:ascii="Tahoma" w:hAnsi="Tahoma" w:cs="Tahoma"/>
                <w:color w:val="000000"/>
                <w:sz w:val="13"/>
                <w:szCs w:val="13"/>
              </w:rPr>
            </w:pPr>
            <w:r w:rsidRPr="00A75DF9">
              <w:rPr>
                <w:rFonts w:ascii="Tahoma" w:hAnsi="Tahoma" w:cs="Tahoma"/>
                <w:sz w:val="13"/>
                <w:szCs w:val="13"/>
              </w:rPr>
              <w:t>25</w:t>
            </w:r>
          </w:p>
        </w:tc>
        <w:tc>
          <w:tcPr>
            <w:tcW w:w="450" w:type="dxa"/>
            <w:tcBorders>
              <w:bottom w:val="single" w:sz="4" w:space="0" w:color="auto"/>
            </w:tcBorders>
            <w:shd w:val="clear" w:color="auto" w:fill="FFFFFF" w:themeFill="background1"/>
            <w:vAlign w:val="bottom"/>
          </w:tcPr>
          <w:p w:rsidR="001A63C6" w:rsidRPr="00A75DF9" w:rsidRDefault="001A63C6" w:rsidP="001A63C6">
            <w:pPr>
              <w:pStyle w:val="TableText"/>
              <w:widowControl w:val="0"/>
              <w:spacing w:before="100" w:beforeAutospacing="1" w:after="120"/>
              <w:rPr>
                <w:rFonts w:ascii="Tahoma" w:hAnsi="Tahoma" w:cs="Tahoma"/>
                <w:color w:val="000000"/>
                <w:sz w:val="13"/>
                <w:szCs w:val="13"/>
              </w:rPr>
            </w:pPr>
            <w:r w:rsidRPr="00A75DF9">
              <w:rPr>
                <w:rFonts w:ascii="Tahoma" w:hAnsi="Tahoma" w:cs="Tahoma"/>
                <w:sz w:val="13"/>
                <w:szCs w:val="13"/>
              </w:rPr>
              <w:t>50</w:t>
            </w:r>
          </w:p>
        </w:tc>
        <w:tc>
          <w:tcPr>
            <w:tcW w:w="450" w:type="dxa"/>
            <w:tcBorders>
              <w:bottom w:val="single" w:sz="4" w:space="0" w:color="auto"/>
              <w:right w:val="single" w:sz="18" w:space="0" w:color="auto"/>
            </w:tcBorders>
            <w:shd w:val="clear" w:color="auto" w:fill="FFFFFF" w:themeFill="background1"/>
            <w:vAlign w:val="bottom"/>
          </w:tcPr>
          <w:p w:rsidR="001A63C6" w:rsidRPr="00A75DF9" w:rsidRDefault="001A63C6" w:rsidP="001A63C6">
            <w:pPr>
              <w:pStyle w:val="TableText"/>
              <w:widowControl w:val="0"/>
              <w:spacing w:before="100" w:beforeAutospacing="1" w:after="120"/>
              <w:rPr>
                <w:rFonts w:ascii="Tahoma" w:hAnsi="Tahoma" w:cs="Tahoma"/>
                <w:color w:val="000000"/>
                <w:sz w:val="13"/>
                <w:szCs w:val="13"/>
              </w:rPr>
            </w:pPr>
            <w:r w:rsidRPr="00A75DF9">
              <w:rPr>
                <w:rFonts w:ascii="Tahoma" w:hAnsi="Tahoma" w:cs="Tahoma"/>
                <w:sz w:val="13"/>
                <w:szCs w:val="13"/>
              </w:rPr>
              <w:t>25</w:t>
            </w:r>
          </w:p>
        </w:tc>
        <w:tc>
          <w:tcPr>
            <w:tcW w:w="450" w:type="dxa"/>
            <w:tcBorders>
              <w:left w:val="single" w:sz="18" w:space="0" w:color="auto"/>
              <w:bottom w:val="single" w:sz="4" w:space="0" w:color="auto"/>
            </w:tcBorders>
            <w:shd w:val="clear" w:color="auto" w:fill="FFFFFF" w:themeFill="background1"/>
            <w:vAlign w:val="bottom"/>
          </w:tcPr>
          <w:p w:rsidR="001A63C6" w:rsidRPr="00A75DF9" w:rsidRDefault="001A63C6" w:rsidP="001A63C6">
            <w:pPr>
              <w:pStyle w:val="TableText"/>
              <w:widowControl w:val="0"/>
              <w:spacing w:before="100" w:beforeAutospacing="1" w:after="120"/>
              <w:rPr>
                <w:rFonts w:ascii="Tahoma" w:hAnsi="Tahoma" w:cs="Tahoma"/>
                <w:color w:val="000000"/>
                <w:sz w:val="13"/>
                <w:szCs w:val="13"/>
              </w:rPr>
            </w:pPr>
            <w:r w:rsidRPr="00A75DF9">
              <w:rPr>
                <w:rFonts w:ascii="Tahoma" w:hAnsi="Tahoma" w:cs="Tahoma"/>
                <w:sz w:val="13"/>
                <w:szCs w:val="13"/>
              </w:rPr>
              <w:t>25</w:t>
            </w:r>
          </w:p>
        </w:tc>
        <w:tc>
          <w:tcPr>
            <w:tcW w:w="450" w:type="dxa"/>
            <w:tcBorders>
              <w:bottom w:val="single" w:sz="4" w:space="0" w:color="auto"/>
              <w:right w:val="single" w:sz="18" w:space="0" w:color="auto"/>
            </w:tcBorders>
            <w:shd w:val="clear" w:color="auto" w:fill="FFFFFF" w:themeFill="background1"/>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FFFFF" w:themeFill="background1"/>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P</w:t>
            </w:r>
          </w:p>
        </w:tc>
        <w:tc>
          <w:tcPr>
            <w:tcW w:w="450" w:type="dxa"/>
            <w:tcBorders>
              <w:bottom w:val="single" w:sz="4" w:space="0" w:color="auto"/>
            </w:tcBorders>
            <w:shd w:val="clear" w:color="auto" w:fill="FFFFFF" w:themeFill="background1"/>
          </w:tcPr>
          <w:p w:rsidR="001A63C6" w:rsidRPr="00A75DF9" w:rsidRDefault="001A63C6" w:rsidP="001A63C6">
            <w:pPr>
              <w:pStyle w:val="TableText"/>
              <w:widowControl w:val="0"/>
              <w:spacing w:before="120"/>
              <w:rPr>
                <w:rFonts w:ascii="Tahoma" w:hAnsi="Tahoma" w:cs="Tahoma"/>
                <w:sz w:val="13"/>
              </w:rPr>
            </w:pPr>
          </w:p>
        </w:tc>
        <w:tc>
          <w:tcPr>
            <w:tcW w:w="539" w:type="dxa"/>
            <w:tcBorders>
              <w:bottom w:val="single" w:sz="4" w:space="0" w:color="auto"/>
            </w:tcBorders>
            <w:shd w:val="clear" w:color="auto" w:fill="FFFFFF" w:themeFill="background1"/>
            <w:vAlign w:val="center"/>
          </w:tcPr>
          <w:p w:rsidR="001A63C6" w:rsidRPr="00A75DF9" w:rsidRDefault="001A63C6" w:rsidP="001A63C6">
            <w:pPr>
              <w:pStyle w:val="TableText"/>
              <w:widowControl w:val="0"/>
              <w:rPr>
                <w:rFonts w:ascii="Tahoma" w:hAnsi="Tahoma" w:cs="Tahoma"/>
                <w:sz w:val="13"/>
              </w:rPr>
            </w:pPr>
          </w:p>
        </w:tc>
      </w:tr>
      <w:tr w:rsidR="002B5C31" w:rsidRPr="00A75DF9" w:rsidTr="008A1262">
        <w:trPr>
          <w:trHeight w:val="145"/>
        </w:trPr>
        <w:tc>
          <w:tcPr>
            <w:tcW w:w="2724" w:type="dxa"/>
            <w:gridSpan w:val="2"/>
            <w:tcBorders>
              <w:bottom w:val="single" w:sz="4" w:space="0" w:color="auto"/>
            </w:tcBorders>
            <w:shd w:val="clear" w:color="auto" w:fill="FABF8F"/>
          </w:tcPr>
          <w:p w:rsidR="002B5C31" w:rsidRPr="00A75DF9" w:rsidRDefault="002B5C31" w:rsidP="001A63C6">
            <w:pPr>
              <w:pStyle w:val="Heading2"/>
              <w:ind w:left="0"/>
              <w:rPr>
                <w:rFonts w:ascii="Tahoma" w:hAnsi="Tahoma" w:cs="Tahoma"/>
                <w:b w:val="0"/>
                <w:sz w:val="14"/>
              </w:rPr>
            </w:pPr>
            <w:bookmarkStart w:id="240" w:name="_Toc368309981"/>
            <w:r w:rsidRPr="00A75DF9">
              <w:rPr>
                <w:rFonts w:ascii="Tahoma" w:hAnsi="Tahoma" w:cs="Tahoma"/>
                <w:b w:val="0"/>
                <w:sz w:val="14"/>
              </w:rPr>
              <w:t>Forefront Online Protection for Exchange (SL per Dispositivo e Utente)</w:t>
            </w:r>
            <w:bookmarkEnd w:id="240"/>
          </w:p>
        </w:tc>
        <w:tc>
          <w:tcPr>
            <w:tcW w:w="448" w:type="dxa"/>
            <w:tcBorders>
              <w:bottom w:val="single" w:sz="4" w:space="0" w:color="auto"/>
            </w:tcBorders>
            <w:shd w:val="clear" w:color="auto" w:fill="FABF8F"/>
            <w:vAlign w:val="center"/>
          </w:tcPr>
          <w:p w:rsidR="002B5C31" w:rsidRPr="00337A7D" w:rsidRDefault="00B54770">
            <w:pPr>
              <w:pStyle w:val="TableText"/>
              <w:widowControl w:val="0"/>
              <w:rPr>
                <w:rFonts w:cs="Tahoma"/>
                <w:b/>
                <w:sz w:val="13"/>
                <w:szCs w:val="13"/>
              </w:rPr>
            </w:pPr>
            <w:hyperlink w:anchor="_59_Forefront_Online" w:history="1">
              <w:r w:rsidR="00734B17" w:rsidRPr="00337A7D">
                <w:rPr>
                  <w:rStyle w:val="Hyperlink"/>
                  <w:rFonts w:cs="Tahoma"/>
                  <w:b/>
                  <w:sz w:val="13"/>
                  <w:szCs w:val="13"/>
                </w:rPr>
                <w:t>62</w:t>
              </w:r>
            </w:hyperlink>
          </w:p>
        </w:tc>
        <w:tc>
          <w:tcPr>
            <w:tcW w:w="449" w:type="dxa"/>
            <w:tcBorders>
              <w:bottom w:val="single" w:sz="4" w:space="0" w:color="auto"/>
            </w:tcBorders>
            <w:shd w:val="clear" w:color="auto" w:fill="FABF8F"/>
            <w:vAlign w:val="center"/>
          </w:tcPr>
          <w:p w:rsidR="002B5C31" w:rsidRPr="00A75DF9" w:rsidRDefault="002B5C31" w:rsidP="001A63C6">
            <w:pPr>
              <w:pStyle w:val="TableText"/>
              <w:widowControl w:val="0"/>
              <w:spacing w:before="120"/>
              <w:rPr>
                <w:rFonts w:ascii="Tahoma" w:hAnsi="Tahoma" w:cs="Tahoma"/>
                <w:sz w:val="13"/>
              </w:rPr>
            </w:pPr>
            <w:r w:rsidRPr="00A75DF9">
              <w:rPr>
                <w:rFonts w:ascii="Tahoma" w:hAnsi="Tahoma" w:cs="Tahoma"/>
                <w:sz w:val="13"/>
              </w:rPr>
              <w:t>07/13</w:t>
            </w:r>
          </w:p>
        </w:tc>
        <w:tc>
          <w:tcPr>
            <w:tcW w:w="359" w:type="dxa"/>
            <w:tcBorders>
              <w:bottom w:val="single" w:sz="4" w:space="0" w:color="auto"/>
              <w:right w:val="single" w:sz="18" w:space="0" w:color="auto"/>
            </w:tcBorders>
            <w:shd w:val="clear" w:color="auto" w:fill="FABF8F"/>
            <w:vAlign w:val="center"/>
          </w:tcPr>
          <w:p w:rsidR="002B5C31" w:rsidRPr="00A75DF9" w:rsidRDefault="002B5C31" w:rsidP="001A63C6">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FABF8F"/>
            <w:vAlign w:val="bottom"/>
          </w:tcPr>
          <w:p w:rsidR="002B5C31" w:rsidRPr="00A75DF9"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rsidR="002B5C31" w:rsidRPr="00A75DF9" w:rsidRDefault="002B5C31" w:rsidP="001A63C6">
            <w:pPr>
              <w:pStyle w:val="TableText"/>
              <w:widowControl w:val="0"/>
              <w:spacing w:before="100" w:beforeAutospacing="1" w:after="120"/>
              <w:rPr>
                <w:rFonts w:ascii="Tahoma" w:hAnsi="Tahoma" w:cs="Tahoma"/>
                <w:sz w:val="13"/>
                <w:szCs w:val="13"/>
              </w:rPr>
            </w:pPr>
          </w:p>
        </w:tc>
        <w:tc>
          <w:tcPr>
            <w:tcW w:w="455" w:type="dxa"/>
            <w:tcBorders>
              <w:bottom w:val="single" w:sz="4" w:space="0" w:color="auto"/>
            </w:tcBorders>
            <w:shd w:val="clear" w:color="auto" w:fill="FABF8F"/>
            <w:vAlign w:val="bottom"/>
          </w:tcPr>
          <w:p w:rsidR="002B5C31" w:rsidRPr="00A75DF9" w:rsidRDefault="002B5C31" w:rsidP="001A63C6">
            <w:pPr>
              <w:pStyle w:val="TableText"/>
              <w:widowControl w:val="0"/>
              <w:spacing w:before="100" w:beforeAutospacing="1" w:after="120"/>
              <w:rPr>
                <w:rFonts w:ascii="Tahoma" w:hAnsi="Tahoma" w:cs="Tahoma"/>
                <w:sz w:val="13"/>
                <w:szCs w:val="13"/>
              </w:rPr>
            </w:pPr>
          </w:p>
        </w:tc>
        <w:tc>
          <w:tcPr>
            <w:tcW w:w="450" w:type="dxa"/>
            <w:gridSpan w:val="3"/>
            <w:tcBorders>
              <w:bottom w:val="single" w:sz="4" w:space="0" w:color="auto"/>
            </w:tcBorders>
            <w:shd w:val="clear" w:color="auto" w:fill="FABF8F"/>
            <w:vAlign w:val="bottom"/>
          </w:tcPr>
          <w:p w:rsidR="002B5C31" w:rsidRPr="00A75DF9" w:rsidRDefault="002B5C31" w:rsidP="001A63C6">
            <w:pPr>
              <w:pStyle w:val="TableText"/>
              <w:widowControl w:val="0"/>
              <w:spacing w:before="100" w:beforeAutospacing="1" w:after="120"/>
              <w:rPr>
                <w:rFonts w:ascii="Tahoma" w:hAnsi="Tahoma" w:cs="Tahoma"/>
                <w:sz w:val="13"/>
                <w:szCs w:val="13"/>
              </w:rPr>
            </w:pPr>
          </w:p>
        </w:tc>
        <w:tc>
          <w:tcPr>
            <w:tcW w:w="445" w:type="dxa"/>
            <w:tcBorders>
              <w:bottom w:val="single" w:sz="4" w:space="0" w:color="auto"/>
            </w:tcBorders>
            <w:shd w:val="clear" w:color="auto" w:fill="FABF8F"/>
            <w:vAlign w:val="bottom"/>
          </w:tcPr>
          <w:p w:rsidR="002B5C31" w:rsidRPr="00A75DF9"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rsidR="002B5C31" w:rsidRPr="00A75DF9" w:rsidRDefault="002B5C31" w:rsidP="001A63C6">
            <w:pPr>
              <w:pStyle w:val="TableText"/>
              <w:widowControl w:val="0"/>
              <w:spacing w:before="100" w:beforeAutospacing="1" w:after="120"/>
              <w:rPr>
                <w:rFonts w:ascii="Tahoma" w:hAnsi="Tahoma" w:cs="Tahoma"/>
                <w:sz w:val="13"/>
                <w:szCs w:val="13"/>
              </w:rPr>
            </w:pPr>
          </w:p>
        </w:tc>
        <w:tc>
          <w:tcPr>
            <w:tcW w:w="374" w:type="dxa"/>
            <w:tcBorders>
              <w:bottom w:val="single" w:sz="4" w:space="0" w:color="auto"/>
              <w:right w:val="single" w:sz="18" w:space="0" w:color="auto"/>
            </w:tcBorders>
            <w:shd w:val="clear" w:color="auto" w:fill="FABF8F"/>
            <w:vAlign w:val="bottom"/>
          </w:tcPr>
          <w:p w:rsidR="002B5C31" w:rsidRPr="00A75DF9" w:rsidRDefault="002B5C31" w:rsidP="001A63C6">
            <w:pPr>
              <w:pStyle w:val="TableText"/>
              <w:widowControl w:val="0"/>
              <w:spacing w:before="100" w:beforeAutospacing="1" w:after="120"/>
              <w:rPr>
                <w:rFonts w:ascii="Tahoma" w:hAnsi="Tahoma" w:cs="Tahoma"/>
                <w:sz w:val="13"/>
                <w:szCs w:val="13"/>
              </w:rPr>
            </w:pPr>
          </w:p>
        </w:tc>
        <w:tc>
          <w:tcPr>
            <w:tcW w:w="455" w:type="dxa"/>
            <w:tcBorders>
              <w:left w:val="single" w:sz="18" w:space="0" w:color="auto"/>
              <w:bottom w:val="single" w:sz="4" w:space="0" w:color="auto"/>
            </w:tcBorders>
            <w:shd w:val="clear" w:color="auto" w:fill="FABF8F"/>
            <w:vAlign w:val="bottom"/>
          </w:tcPr>
          <w:p w:rsidR="002B5C31" w:rsidRPr="00A75DF9"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tcBorders>
            <w:shd w:val="clear" w:color="auto" w:fill="FABF8F"/>
            <w:vAlign w:val="bottom"/>
          </w:tcPr>
          <w:p w:rsidR="002B5C31" w:rsidRPr="00A75DF9"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bottom"/>
          </w:tcPr>
          <w:p w:rsidR="002B5C31" w:rsidRPr="00A75DF9" w:rsidRDefault="002B5C31" w:rsidP="001A63C6">
            <w:pPr>
              <w:pStyle w:val="TableText"/>
              <w:widowControl w:val="0"/>
              <w:spacing w:before="100" w:beforeAutospacing="1" w:after="120"/>
              <w:rPr>
                <w:rFonts w:ascii="Tahoma" w:hAnsi="Tahoma" w:cs="Tahoma"/>
                <w:sz w:val="13"/>
                <w:szCs w:val="13"/>
              </w:rPr>
            </w:pPr>
          </w:p>
        </w:tc>
        <w:tc>
          <w:tcPr>
            <w:tcW w:w="450" w:type="dxa"/>
            <w:tcBorders>
              <w:left w:val="single" w:sz="18" w:space="0" w:color="auto"/>
              <w:bottom w:val="single" w:sz="4" w:space="0" w:color="auto"/>
            </w:tcBorders>
            <w:shd w:val="clear" w:color="auto" w:fill="FABF8F"/>
            <w:vAlign w:val="bottom"/>
          </w:tcPr>
          <w:p w:rsidR="002B5C31" w:rsidRPr="00A75DF9" w:rsidRDefault="002B5C31" w:rsidP="001A63C6">
            <w:pPr>
              <w:pStyle w:val="TableText"/>
              <w:widowControl w:val="0"/>
              <w:spacing w:before="100" w:beforeAutospacing="1" w:after="12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2B5C31" w:rsidRPr="00A75DF9" w:rsidRDefault="002B5C31"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2B5C31" w:rsidRPr="00A75DF9" w:rsidRDefault="002B5C31"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2B5C31" w:rsidRPr="00A75DF9" w:rsidRDefault="002B5C31" w:rsidP="001A63C6">
            <w:pPr>
              <w:pStyle w:val="TableText"/>
              <w:widowControl w:val="0"/>
              <w:spacing w:before="120"/>
              <w:rPr>
                <w:rFonts w:ascii="Tahoma" w:hAnsi="Tahoma" w:cs="Tahoma"/>
                <w:sz w:val="13"/>
              </w:rPr>
            </w:pPr>
          </w:p>
        </w:tc>
        <w:tc>
          <w:tcPr>
            <w:tcW w:w="539" w:type="dxa"/>
            <w:tcBorders>
              <w:bottom w:val="single" w:sz="4" w:space="0" w:color="auto"/>
            </w:tcBorders>
            <w:shd w:val="clear" w:color="auto" w:fill="FABF8F"/>
            <w:vAlign w:val="center"/>
          </w:tcPr>
          <w:p w:rsidR="002B5C31" w:rsidRPr="00A75DF9" w:rsidRDefault="002B5C31" w:rsidP="001A63C6">
            <w:pPr>
              <w:pStyle w:val="TableText"/>
              <w:widowControl w:val="0"/>
              <w:rPr>
                <w:rFonts w:ascii="Tahoma" w:hAnsi="Tahoma" w:cs="Tahoma"/>
                <w:sz w:val="13"/>
              </w:rPr>
            </w:pPr>
          </w:p>
        </w:tc>
      </w:tr>
      <w:tr w:rsidR="00B41377" w:rsidRPr="00A75DF9" w:rsidTr="008A1262">
        <w:trPr>
          <w:trHeight w:val="145"/>
        </w:trPr>
        <w:tc>
          <w:tcPr>
            <w:tcW w:w="2724" w:type="dxa"/>
            <w:gridSpan w:val="2"/>
            <w:tcBorders>
              <w:bottom w:val="single" w:sz="4" w:space="0" w:color="auto"/>
            </w:tcBorders>
            <w:shd w:val="clear" w:color="auto" w:fill="auto"/>
          </w:tcPr>
          <w:p w:rsidR="00AF7309" w:rsidRPr="00A75DF9" w:rsidRDefault="00AF7309" w:rsidP="001A63C6">
            <w:pPr>
              <w:pStyle w:val="ProductNames"/>
              <w:rPr>
                <w:rFonts w:ascii="Tahoma" w:hAnsi="Tahoma" w:cs="Tahoma"/>
                <w:sz w:val="14"/>
              </w:rPr>
            </w:pPr>
            <w:bookmarkStart w:id="241" w:name="_Toc336337971"/>
            <w:bookmarkStart w:id="242" w:name="_Toc368309982"/>
            <w:r w:rsidRPr="00A75DF9">
              <w:rPr>
                <w:rFonts w:ascii="Tahoma" w:hAnsi="Tahoma" w:cs="Tahoma"/>
                <w:sz w:val="14"/>
              </w:rPr>
              <w:t>Forefront Protection 2010 for Exchange Server (SL per Dispositivo e Utente)</w:t>
            </w:r>
            <w:bookmarkEnd w:id="241"/>
            <w:bookmarkEnd w:id="242"/>
          </w:p>
        </w:tc>
        <w:tc>
          <w:tcPr>
            <w:tcW w:w="448" w:type="dxa"/>
            <w:tcBorders>
              <w:bottom w:val="single" w:sz="4" w:space="0" w:color="auto"/>
            </w:tcBorders>
            <w:shd w:val="clear" w:color="auto" w:fill="auto"/>
            <w:vAlign w:val="center"/>
          </w:tcPr>
          <w:p w:rsidR="00AF7309" w:rsidRPr="00337A7D" w:rsidRDefault="00B54770">
            <w:pPr>
              <w:pStyle w:val="TableText"/>
              <w:widowControl w:val="0"/>
              <w:rPr>
                <w:rFonts w:cs="Tahoma"/>
                <w:b/>
                <w:color w:val="000000"/>
                <w:sz w:val="13"/>
                <w:szCs w:val="13"/>
                <w:u w:val="single"/>
              </w:rPr>
            </w:pPr>
            <w:hyperlink w:anchor="_54_Forefront_Protection" w:history="1">
              <w:r w:rsidR="00734B17" w:rsidRPr="00337A7D">
                <w:rPr>
                  <w:rStyle w:val="Hyperlink"/>
                  <w:rFonts w:cs="Tahoma"/>
                  <w:b/>
                  <w:sz w:val="13"/>
                  <w:szCs w:val="13"/>
                </w:rPr>
                <w:t>63</w:t>
              </w:r>
            </w:hyperlink>
          </w:p>
        </w:tc>
        <w:tc>
          <w:tcPr>
            <w:tcW w:w="449" w:type="dxa"/>
            <w:tcBorders>
              <w:bottom w:val="single" w:sz="4" w:space="0" w:color="auto"/>
            </w:tcBorders>
            <w:shd w:val="clear" w:color="auto" w:fill="auto"/>
            <w:vAlign w:val="center"/>
          </w:tcPr>
          <w:p w:rsidR="00AF7309" w:rsidRPr="00A75DF9" w:rsidRDefault="00AF7309" w:rsidP="001A63C6">
            <w:pPr>
              <w:pStyle w:val="TableText"/>
              <w:widowControl w:val="0"/>
              <w:spacing w:before="80"/>
              <w:rPr>
                <w:rFonts w:ascii="Tahoma" w:hAnsi="Tahoma" w:cs="Tahoma"/>
                <w:sz w:val="13"/>
              </w:rPr>
            </w:pPr>
          </w:p>
        </w:tc>
        <w:tc>
          <w:tcPr>
            <w:tcW w:w="359" w:type="dxa"/>
            <w:tcBorders>
              <w:bottom w:val="single" w:sz="4" w:space="0" w:color="auto"/>
              <w:right w:val="single" w:sz="18" w:space="0" w:color="auto"/>
            </w:tcBorders>
            <w:shd w:val="clear" w:color="auto" w:fill="auto"/>
            <w:vAlign w:val="center"/>
          </w:tcPr>
          <w:p w:rsidR="00AF7309" w:rsidRPr="00A75DF9" w:rsidRDefault="00AF7309" w:rsidP="001A63C6">
            <w:pPr>
              <w:pStyle w:val="TableText"/>
              <w:widowControl w:val="0"/>
              <w:rPr>
                <w:rFonts w:ascii="Tahoma" w:hAnsi="Tahoma" w:cs="Tahoma"/>
                <w:sz w:val="13"/>
              </w:rPr>
            </w:pPr>
          </w:p>
        </w:tc>
        <w:tc>
          <w:tcPr>
            <w:tcW w:w="356" w:type="dxa"/>
            <w:tcBorders>
              <w:left w:val="single" w:sz="18" w:space="0" w:color="auto"/>
              <w:bottom w:val="single" w:sz="4" w:space="0" w:color="auto"/>
              <w:right w:val="single" w:sz="4" w:space="0" w:color="auto"/>
            </w:tcBorders>
            <w:shd w:val="clear" w:color="auto" w:fill="auto"/>
            <w:vAlign w:val="center"/>
          </w:tcPr>
          <w:p w:rsidR="00AF7309" w:rsidRPr="00A75DF9" w:rsidRDefault="00AF7309" w:rsidP="001A63C6">
            <w:pPr>
              <w:pStyle w:val="TableText"/>
              <w:widowControl w:val="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AF7309" w:rsidRPr="00A75DF9" w:rsidRDefault="00AF7309" w:rsidP="001A63C6">
            <w:pPr>
              <w:pStyle w:val="TableText"/>
              <w:widowControl w:val="0"/>
              <w:rPr>
                <w:rFonts w:ascii="Tahoma" w:hAnsi="Tahoma" w:cs="Tahoma"/>
                <w:sz w:val="13"/>
              </w:rPr>
            </w:pPr>
          </w:p>
        </w:tc>
        <w:tc>
          <w:tcPr>
            <w:tcW w:w="455" w:type="dxa"/>
            <w:tcBorders>
              <w:left w:val="single" w:sz="4" w:space="0" w:color="auto"/>
              <w:bottom w:val="single" w:sz="4" w:space="0" w:color="auto"/>
              <w:right w:val="single" w:sz="4" w:space="0" w:color="auto"/>
            </w:tcBorders>
            <w:shd w:val="clear" w:color="auto" w:fill="auto"/>
            <w:vAlign w:val="center"/>
          </w:tcPr>
          <w:p w:rsidR="00AF7309" w:rsidRPr="00A75DF9" w:rsidRDefault="00AF7309" w:rsidP="001A63C6">
            <w:pPr>
              <w:pStyle w:val="TableText"/>
              <w:widowControl w:val="0"/>
              <w:rPr>
                <w:rFonts w:ascii="Tahoma" w:hAnsi="Tahoma" w:cs="Tahoma"/>
                <w:sz w:val="13"/>
              </w:rPr>
            </w:pPr>
          </w:p>
        </w:tc>
        <w:tc>
          <w:tcPr>
            <w:tcW w:w="450" w:type="dxa"/>
            <w:gridSpan w:val="3"/>
            <w:tcBorders>
              <w:left w:val="single" w:sz="4" w:space="0" w:color="auto"/>
              <w:bottom w:val="single" w:sz="4" w:space="0" w:color="auto"/>
              <w:right w:val="single" w:sz="4" w:space="0" w:color="auto"/>
            </w:tcBorders>
            <w:shd w:val="clear" w:color="auto" w:fill="auto"/>
            <w:vAlign w:val="center"/>
          </w:tcPr>
          <w:p w:rsidR="00AF7309" w:rsidRPr="00A75DF9" w:rsidRDefault="00AF7309" w:rsidP="001A63C6">
            <w:pPr>
              <w:pStyle w:val="TableText"/>
              <w:widowControl w:val="0"/>
              <w:rPr>
                <w:rFonts w:ascii="Tahoma" w:hAnsi="Tahoma" w:cs="Tahoma"/>
                <w:sz w:val="13"/>
              </w:rPr>
            </w:pPr>
          </w:p>
        </w:tc>
        <w:tc>
          <w:tcPr>
            <w:tcW w:w="445" w:type="dxa"/>
            <w:tcBorders>
              <w:left w:val="single" w:sz="4" w:space="0" w:color="auto"/>
              <w:bottom w:val="single" w:sz="4" w:space="0" w:color="auto"/>
              <w:right w:val="single" w:sz="4" w:space="0" w:color="auto"/>
            </w:tcBorders>
            <w:shd w:val="clear" w:color="auto" w:fill="auto"/>
            <w:vAlign w:val="center"/>
          </w:tcPr>
          <w:p w:rsidR="00AF7309" w:rsidRPr="00A75DF9" w:rsidRDefault="00AF7309" w:rsidP="001A63C6">
            <w:pPr>
              <w:pStyle w:val="TableText"/>
              <w:widowControl w:val="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AF7309" w:rsidRPr="00A75DF9" w:rsidRDefault="00AF7309" w:rsidP="001A63C6">
            <w:pPr>
              <w:pStyle w:val="TableText"/>
              <w:widowControl w:val="0"/>
              <w:rPr>
                <w:rFonts w:ascii="Tahoma" w:hAnsi="Tahoma" w:cs="Tahoma"/>
                <w:sz w:val="13"/>
              </w:rPr>
            </w:pPr>
          </w:p>
        </w:tc>
        <w:tc>
          <w:tcPr>
            <w:tcW w:w="374" w:type="dxa"/>
            <w:tcBorders>
              <w:left w:val="single" w:sz="4" w:space="0" w:color="auto"/>
              <w:bottom w:val="single" w:sz="4" w:space="0" w:color="auto"/>
              <w:right w:val="single" w:sz="18" w:space="0" w:color="auto"/>
            </w:tcBorders>
            <w:shd w:val="clear" w:color="auto" w:fill="auto"/>
            <w:vAlign w:val="center"/>
          </w:tcPr>
          <w:p w:rsidR="00AF7309" w:rsidRPr="00A75DF9" w:rsidRDefault="00AF7309" w:rsidP="001A63C6">
            <w:pPr>
              <w:pStyle w:val="TableText"/>
              <w:widowControl w:val="0"/>
              <w:rPr>
                <w:rFonts w:ascii="Tahoma" w:hAnsi="Tahoma" w:cs="Tahoma"/>
                <w:sz w:val="13"/>
              </w:rPr>
            </w:pPr>
          </w:p>
        </w:tc>
        <w:tc>
          <w:tcPr>
            <w:tcW w:w="455" w:type="dxa"/>
            <w:tcBorders>
              <w:left w:val="single" w:sz="18" w:space="0" w:color="auto"/>
              <w:bottom w:val="single" w:sz="4" w:space="0" w:color="auto"/>
            </w:tcBorders>
            <w:shd w:val="clear" w:color="auto" w:fill="auto"/>
            <w:vAlign w:val="center"/>
          </w:tcPr>
          <w:p w:rsidR="00AF7309" w:rsidRPr="00A75DF9" w:rsidRDefault="00AF7309"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F7309" w:rsidRPr="00A75DF9" w:rsidRDefault="00AF7309"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F7309" w:rsidRPr="00A75DF9" w:rsidRDefault="00AF7309"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F7309" w:rsidRPr="00A75DF9" w:rsidRDefault="00AF7309"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F7309" w:rsidRPr="00A75DF9" w:rsidRDefault="00AF7309"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F7309" w:rsidRPr="00A75DF9" w:rsidRDefault="00AF7309"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F7309" w:rsidRPr="00A75DF9" w:rsidRDefault="00AF7309" w:rsidP="001A63C6">
            <w:pPr>
              <w:pStyle w:val="TableText"/>
              <w:widowControl w:val="0"/>
              <w:spacing w:before="120"/>
              <w:rPr>
                <w:rFonts w:ascii="Tahoma" w:hAnsi="Tahoma" w:cs="Tahoma"/>
                <w:sz w:val="13"/>
              </w:rPr>
            </w:pPr>
          </w:p>
        </w:tc>
        <w:tc>
          <w:tcPr>
            <w:tcW w:w="539" w:type="dxa"/>
            <w:tcBorders>
              <w:bottom w:val="single" w:sz="4" w:space="0" w:color="auto"/>
            </w:tcBorders>
            <w:shd w:val="clear" w:color="auto" w:fill="auto"/>
            <w:vAlign w:val="center"/>
          </w:tcPr>
          <w:p w:rsidR="00AF7309" w:rsidRPr="00A75DF9" w:rsidRDefault="00AF7309" w:rsidP="001A63C6">
            <w:pPr>
              <w:pStyle w:val="TableText"/>
              <w:widowControl w:val="0"/>
              <w:rPr>
                <w:rFonts w:ascii="Tahoma" w:hAnsi="Tahoma" w:cs="Tahoma"/>
                <w:sz w:val="13"/>
              </w:rPr>
            </w:pPr>
          </w:p>
        </w:tc>
      </w:tr>
      <w:tr w:rsidR="0084456B" w:rsidRPr="00A75DF9" w:rsidTr="008A1262">
        <w:trPr>
          <w:trHeight w:val="145"/>
        </w:trPr>
        <w:tc>
          <w:tcPr>
            <w:tcW w:w="2724" w:type="dxa"/>
            <w:gridSpan w:val="2"/>
            <w:tcBorders>
              <w:bottom w:val="single" w:sz="4" w:space="0" w:color="auto"/>
            </w:tcBorders>
            <w:shd w:val="clear" w:color="auto" w:fill="FABF8F"/>
          </w:tcPr>
          <w:p w:rsidR="00AF7309" w:rsidRPr="00A75DF9" w:rsidRDefault="00AF7309" w:rsidP="001A63C6">
            <w:pPr>
              <w:pStyle w:val="ProductNames"/>
              <w:rPr>
                <w:rFonts w:ascii="Tahoma" w:hAnsi="Tahoma" w:cs="Tahoma"/>
                <w:sz w:val="14"/>
              </w:rPr>
            </w:pPr>
            <w:bookmarkStart w:id="243" w:name="_Toc336337973"/>
            <w:bookmarkStart w:id="244" w:name="_Toc368309983"/>
            <w:r w:rsidRPr="00A75DF9">
              <w:rPr>
                <w:rFonts w:ascii="Tahoma" w:hAnsi="Tahoma" w:cs="Tahoma"/>
                <w:sz w:val="14"/>
              </w:rPr>
              <w:t xml:space="preserve">Forefront Protection Suite </w:t>
            </w:r>
            <w:r w:rsidR="00B41377">
              <w:rPr>
                <w:rFonts w:ascii="Tahoma" w:hAnsi="Tahoma" w:cs="Tahoma"/>
                <w:sz w:val="14"/>
              </w:rPr>
              <w:br/>
            </w:r>
            <w:r w:rsidRPr="00A75DF9">
              <w:rPr>
                <w:rFonts w:ascii="Tahoma" w:hAnsi="Tahoma" w:cs="Tahoma"/>
                <w:sz w:val="14"/>
              </w:rPr>
              <w:t>(SL per Dispositivo e Utente)</w:t>
            </w:r>
            <w:bookmarkEnd w:id="243"/>
            <w:bookmarkEnd w:id="244"/>
          </w:p>
        </w:tc>
        <w:tc>
          <w:tcPr>
            <w:tcW w:w="448" w:type="dxa"/>
            <w:tcBorders>
              <w:bottom w:val="single" w:sz="4" w:space="0" w:color="auto"/>
            </w:tcBorders>
            <w:shd w:val="clear" w:color="auto" w:fill="FABF8F"/>
            <w:vAlign w:val="center"/>
          </w:tcPr>
          <w:p w:rsidR="00AF7309" w:rsidRPr="00337A7D" w:rsidRDefault="00B54770">
            <w:pPr>
              <w:pStyle w:val="TableText"/>
              <w:widowControl w:val="0"/>
              <w:rPr>
                <w:rStyle w:val="EndnoteReference"/>
                <w:rFonts w:cs="Tahoma"/>
                <w:b w:val="0"/>
                <w:color w:val="0000FF"/>
                <w:position w:val="-11"/>
                <w:sz w:val="13"/>
                <w:szCs w:val="13"/>
                <w:u w:val="single"/>
              </w:rPr>
            </w:pPr>
            <w:hyperlink w:anchor="_61_Forefront_Protection" w:history="1">
              <w:hyperlink w:anchor="_61_Forefront_Protection" w:history="1">
                <w:r w:rsidR="00734B17" w:rsidRPr="00AA6903">
                  <w:rPr>
                    <w:rStyle w:val="Hyperlink"/>
                    <w:rFonts w:cs="Tahoma"/>
                    <w:b/>
                    <w:sz w:val="13"/>
                    <w:szCs w:val="13"/>
                  </w:rPr>
                  <w:t>6</w:t>
                </w:r>
              </w:hyperlink>
              <w:r w:rsidR="00734B17" w:rsidRPr="00AA6903">
                <w:rPr>
                  <w:rStyle w:val="Hyperlink"/>
                  <w:rFonts w:cs="Tahoma"/>
                  <w:b/>
                  <w:sz w:val="13"/>
                  <w:szCs w:val="13"/>
                </w:rPr>
                <w:t>4</w:t>
              </w:r>
            </w:hyperlink>
          </w:p>
        </w:tc>
        <w:tc>
          <w:tcPr>
            <w:tcW w:w="449" w:type="dxa"/>
            <w:tcBorders>
              <w:bottom w:val="single" w:sz="4" w:space="0" w:color="auto"/>
            </w:tcBorders>
            <w:shd w:val="clear" w:color="auto" w:fill="FABF8F"/>
          </w:tcPr>
          <w:p w:rsidR="00AF7309" w:rsidRPr="00A75DF9" w:rsidRDefault="00AF7309" w:rsidP="001A63C6">
            <w:pPr>
              <w:pStyle w:val="TableText"/>
              <w:widowControl w:val="0"/>
              <w:spacing w:before="80"/>
              <w:rPr>
                <w:rFonts w:ascii="Tahoma" w:hAnsi="Tahoma" w:cs="Tahoma"/>
                <w:sz w:val="13"/>
              </w:rPr>
            </w:pPr>
          </w:p>
        </w:tc>
        <w:tc>
          <w:tcPr>
            <w:tcW w:w="359" w:type="dxa"/>
            <w:tcBorders>
              <w:bottom w:val="single" w:sz="4" w:space="0" w:color="auto"/>
              <w:right w:val="single" w:sz="18" w:space="0" w:color="auto"/>
            </w:tcBorders>
            <w:shd w:val="clear" w:color="auto" w:fill="FABF8F"/>
            <w:vAlign w:val="center"/>
          </w:tcPr>
          <w:p w:rsidR="00AF7309" w:rsidRPr="00A75DF9" w:rsidRDefault="00AF7309" w:rsidP="001A63C6">
            <w:pPr>
              <w:pStyle w:val="TableText"/>
              <w:widowControl w:val="0"/>
              <w:rPr>
                <w:rFonts w:ascii="Tahoma" w:hAnsi="Tahoma" w:cs="Tahoma"/>
                <w:sz w:val="13"/>
              </w:rPr>
            </w:pPr>
          </w:p>
        </w:tc>
        <w:tc>
          <w:tcPr>
            <w:tcW w:w="356" w:type="dxa"/>
            <w:tcBorders>
              <w:left w:val="single" w:sz="18" w:space="0" w:color="auto"/>
              <w:bottom w:val="single" w:sz="4" w:space="0" w:color="auto"/>
              <w:right w:val="single" w:sz="4" w:space="0" w:color="auto"/>
            </w:tcBorders>
            <w:shd w:val="clear" w:color="auto" w:fill="FABF8F"/>
            <w:vAlign w:val="center"/>
          </w:tcPr>
          <w:p w:rsidR="00AF7309" w:rsidRPr="00A75DF9" w:rsidRDefault="00AF7309" w:rsidP="001A63C6">
            <w:pPr>
              <w:pStyle w:val="TableText"/>
              <w:widowControl w:val="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AF7309" w:rsidRPr="00A75DF9" w:rsidRDefault="00AF7309" w:rsidP="001A63C6">
            <w:pPr>
              <w:pStyle w:val="TableText"/>
              <w:widowControl w:val="0"/>
              <w:rPr>
                <w:rFonts w:ascii="Tahoma" w:hAnsi="Tahoma" w:cs="Tahoma"/>
                <w:sz w:val="13"/>
              </w:rPr>
            </w:pPr>
          </w:p>
        </w:tc>
        <w:tc>
          <w:tcPr>
            <w:tcW w:w="455" w:type="dxa"/>
            <w:tcBorders>
              <w:left w:val="single" w:sz="4" w:space="0" w:color="auto"/>
              <w:bottom w:val="single" w:sz="4" w:space="0" w:color="auto"/>
              <w:right w:val="single" w:sz="4" w:space="0" w:color="auto"/>
            </w:tcBorders>
            <w:shd w:val="clear" w:color="auto" w:fill="FABF8F"/>
            <w:vAlign w:val="center"/>
          </w:tcPr>
          <w:p w:rsidR="00AF7309" w:rsidRPr="00A75DF9" w:rsidRDefault="00AF7309" w:rsidP="001A63C6">
            <w:pPr>
              <w:pStyle w:val="TableText"/>
              <w:widowControl w:val="0"/>
              <w:rPr>
                <w:rFonts w:ascii="Tahoma" w:hAnsi="Tahoma" w:cs="Tahoma"/>
                <w:sz w:val="13"/>
              </w:rPr>
            </w:pPr>
          </w:p>
        </w:tc>
        <w:tc>
          <w:tcPr>
            <w:tcW w:w="450" w:type="dxa"/>
            <w:gridSpan w:val="3"/>
            <w:tcBorders>
              <w:left w:val="single" w:sz="4" w:space="0" w:color="auto"/>
              <w:bottom w:val="single" w:sz="4" w:space="0" w:color="auto"/>
              <w:right w:val="single" w:sz="4" w:space="0" w:color="auto"/>
            </w:tcBorders>
            <w:shd w:val="clear" w:color="auto" w:fill="FABF8F"/>
            <w:vAlign w:val="center"/>
          </w:tcPr>
          <w:p w:rsidR="00AF7309" w:rsidRPr="00A75DF9" w:rsidRDefault="00AF7309" w:rsidP="001A63C6">
            <w:pPr>
              <w:pStyle w:val="TableText"/>
              <w:widowControl w:val="0"/>
              <w:rPr>
                <w:rFonts w:ascii="Tahoma" w:hAnsi="Tahoma" w:cs="Tahoma"/>
                <w:sz w:val="13"/>
              </w:rPr>
            </w:pPr>
          </w:p>
        </w:tc>
        <w:tc>
          <w:tcPr>
            <w:tcW w:w="445" w:type="dxa"/>
            <w:tcBorders>
              <w:left w:val="single" w:sz="4" w:space="0" w:color="auto"/>
              <w:bottom w:val="single" w:sz="4" w:space="0" w:color="auto"/>
              <w:right w:val="single" w:sz="4" w:space="0" w:color="auto"/>
            </w:tcBorders>
            <w:shd w:val="clear" w:color="auto" w:fill="FABF8F"/>
            <w:vAlign w:val="center"/>
          </w:tcPr>
          <w:p w:rsidR="00AF7309" w:rsidRPr="00A75DF9" w:rsidRDefault="00AF7309" w:rsidP="001A63C6">
            <w:pPr>
              <w:pStyle w:val="TableText"/>
              <w:widowControl w:val="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AF7309" w:rsidRPr="00A75DF9" w:rsidRDefault="00AF7309" w:rsidP="001A63C6">
            <w:pPr>
              <w:pStyle w:val="TableText"/>
              <w:widowControl w:val="0"/>
              <w:rPr>
                <w:rFonts w:ascii="Tahoma" w:hAnsi="Tahoma" w:cs="Tahoma"/>
                <w:sz w:val="13"/>
              </w:rPr>
            </w:pPr>
          </w:p>
        </w:tc>
        <w:tc>
          <w:tcPr>
            <w:tcW w:w="374" w:type="dxa"/>
            <w:tcBorders>
              <w:left w:val="single" w:sz="4" w:space="0" w:color="auto"/>
              <w:bottom w:val="single" w:sz="4" w:space="0" w:color="auto"/>
              <w:right w:val="single" w:sz="18" w:space="0" w:color="auto"/>
            </w:tcBorders>
            <w:shd w:val="clear" w:color="auto" w:fill="FABF8F"/>
            <w:vAlign w:val="center"/>
          </w:tcPr>
          <w:p w:rsidR="00AF7309" w:rsidRPr="00A75DF9" w:rsidRDefault="00AF7309" w:rsidP="001A63C6">
            <w:pPr>
              <w:pStyle w:val="TableText"/>
              <w:widowControl w:val="0"/>
              <w:rPr>
                <w:rFonts w:ascii="Tahoma" w:hAnsi="Tahoma" w:cs="Tahoma"/>
                <w:sz w:val="13"/>
              </w:rPr>
            </w:pPr>
          </w:p>
        </w:tc>
        <w:tc>
          <w:tcPr>
            <w:tcW w:w="455" w:type="dxa"/>
            <w:tcBorders>
              <w:left w:val="single" w:sz="18" w:space="0" w:color="auto"/>
              <w:bottom w:val="single" w:sz="4" w:space="0" w:color="auto"/>
            </w:tcBorders>
            <w:shd w:val="clear" w:color="auto" w:fill="FABF8F"/>
            <w:vAlign w:val="center"/>
          </w:tcPr>
          <w:p w:rsidR="00AF7309" w:rsidRPr="00A75DF9" w:rsidRDefault="00AF7309"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F7309" w:rsidRPr="00A75DF9" w:rsidRDefault="00AF7309"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F7309" w:rsidRPr="00A75DF9" w:rsidRDefault="00AF7309"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F7309" w:rsidRPr="00A75DF9" w:rsidRDefault="00AF7309"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F7309" w:rsidRPr="00A75DF9" w:rsidRDefault="00AF7309"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F7309" w:rsidRPr="00A75DF9" w:rsidRDefault="00AF7309"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AF7309" w:rsidRPr="00A75DF9" w:rsidRDefault="00AF7309" w:rsidP="001A63C6">
            <w:pPr>
              <w:pStyle w:val="TableText"/>
              <w:widowControl w:val="0"/>
              <w:spacing w:before="120"/>
              <w:rPr>
                <w:rFonts w:ascii="Tahoma" w:hAnsi="Tahoma" w:cs="Tahoma"/>
                <w:sz w:val="13"/>
              </w:rPr>
            </w:pPr>
          </w:p>
        </w:tc>
        <w:tc>
          <w:tcPr>
            <w:tcW w:w="539" w:type="dxa"/>
            <w:tcBorders>
              <w:bottom w:val="single" w:sz="4" w:space="0" w:color="auto"/>
            </w:tcBorders>
            <w:shd w:val="clear" w:color="auto" w:fill="FABF8F"/>
            <w:vAlign w:val="center"/>
          </w:tcPr>
          <w:p w:rsidR="00AF7309" w:rsidRPr="00A75DF9" w:rsidRDefault="00AF7309" w:rsidP="001A63C6">
            <w:pPr>
              <w:pStyle w:val="TableText"/>
              <w:widowControl w:val="0"/>
              <w:rPr>
                <w:rFonts w:ascii="Tahoma" w:hAnsi="Tahoma" w:cs="Tahoma"/>
                <w:sz w:val="13"/>
              </w:rPr>
            </w:pPr>
          </w:p>
        </w:tc>
      </w:tr>
      <w:tr w:rsidR="00B41377" w:rsidRPr="00A75DF9" w:rsidTr="008A1262">
        <w:trPr>
          <w:trHeight w:val="145"/>
        </w:trPr>
        <w:tc>
          <w:tcPr>
            <w:tcW w:w="2724" w:type="dxa"/>
            <w:gridSpan w:val="2"/>
            <w:tcBorders>
              <w:bottom w:val="single" w:sz="4" w:space="0" w:color="auto"/>
            </w:tcBorders>
            <w:shd w:val="clear" w:color="auto" w:fill="auto"/>
          </w:tcPr>
          <w:p w:rsidR="00AF7309" w:rsidRPr="00A75DF9" w:rsidRDefault="00AF7309" w:rsidP="001A63C6">
            <w:pPr>
              <w:pStyle w:val="ProductNames"/>
              <w:rPr>
                <w:rFonts w:ascii="Tahoma" w:hAnsi="Tahoma" w:cs="Tahoma"/>
                <w:sz w:val="14"/>
              </w:rPr>
            </w:pPr>
            <w:bookmarkStart w:id="245" w:name="_Toc336337974"/>
            <w:bookmarkStart w:id="246" w:name="_Toc368309984"/>
            <w:r w:rsidRPr="00A75DF9">
              <w:rPr>
                <w:rFonts w:ascii="Tahoma" w:hAnsi="Tahoma" w:cs="Tahoma"/>
                <w:sz w:val="14"/>
              </w:rPr>
              <w:t xml:space="preserve">Forefront Security for Office Communications Server </w:t>
            </w:r>
            <w:r w:rsidR="00337A7D">
              <w:rPr>
                <w:rFonts w:ascii="Tahoma" w:hAnsi="Tahoma" w:cs="Tahoma"/>
                <w:sz w:val="14"/>
              </w:rPr>
              <w:br/>
            </w:r>
            <w:r w:rsidRPr="00A75DF9">
              <w:rPr>
                <w:rFonts w:ascii="Tahoma" w:hAnsi="Tahoma" w:cs="Tahoma"/>
                <w:sz w:val="14"/>
              </w:rPr>
              <w:t>(SL per Dispositivo e Utente)</w:t>
            </w:r>
            <w:bookmarkEnd w:id="245"/>
            <w:bookmarkEnd w:id="246"/>
          </w:p>
        </w:tc>
        <w:tc>
          <w:tcPr>
            <w:tcW w:w="448" w:type="dxa"/>
            <w:tcBorders>
              <w:bottom w:val="single" w:sz="4" w:space="0" w:color="auto"/>
            </w:tcBorders>
            <w:shd w:val="clear" w:color="auto" w:fill="auto"/>
            <w:vAlign w:val="center"/>
          </w:tcPr>
          <w:p w:rsidR="00AF7309" w:rsidRPr="00337A7D" w:rsidRDefault="00B54770">
            <w:pPr>
              <w:pStyle w:val="TableText"/>
              <w:widowControl w:val="0"/>
              <w:rPr>
                <w:rStyle w:val="EndnoteReference"/>
                <w:rFonts w:cs="Tahoma"/>
                <w:color w:val="000000"/>
                <w:position w:val="-11"/>
                <w:sz w:val="13"/>
                <w:szCs w:val="13"/>
                <w:u w:val="single"/>
              </w:rPr>
            </w:pPr>
            <w:hyperlink w:anchor="_65_Forefront_Security" w:history="1">
              <w:r w:rsidR="00734B17" w:rsidRPr="00337A7D">
                <w:rPr>
                  <w:rStyle w:val="Hyperlink"/>
                  <w:rFonts w:cs="Tahoma"/>
                  <w:b/>
                  <w:sz w:val="13"/>
                  <w:szCs w:val="13"/>
                </w:rPr>
                <w:t>65</w:t>
              </w:r>
            </w:hyperlink>
          </w:p>
        </w:tc>
        <w:tc>
          <w:tcPr>
            <w:tcW w:w="449" w:type="dxa"/>
            <w:tcBorders>
              <w:bottom w:val="single" w:sz="4" w:space="0" w:color="auto"/>
            </w:tcBorders>
            <w:shd w:val="clear" w:color="auto" w:fill="auto"/>
          </w:tcPr>
          <w:p w:rsidR="00AF7309" w:rsidRPr="00A75DF9" w:rsidRDefault="00AF7309" w:rsidP="001A63C6">
            <w:pPr>
              <w:pStyle w:val="TableText"/>
              <w:widowControl w:val="0"/>
              <w:spacing w:before="80"/>
              <w:rPr>
                <w:rFonts w:ascii="Tahoma" w:hAnsi="Tahoma" w:cs="Tahoma"/>
                <w:sz w:val="13"/>
              </w:rPr>
            </w:pPr>
          </w:p>
        </w:tc>
        <w:tc>
          <w:tcPr>
            <w:tcW w:w="359" w:type="dxa"/>
            <w:tcBorders>
              <w:bottom w:val="single" w:sz="4" w:space="0" w:color="auto"/>
              <w:right w:val="single" w:sz="18" w:space="0" w:color="auto"/>
            </w:tcBorders>
            <w:shd w:val="clear" w:color="auto" w:fill="auto"/>
            <w:vAlign w:val="center"/>
          </w:tcPr>
          <w:p w:rsidR="00AF7309" w:rsidRPr="00A75DF9" w:rsidRDefault="00AF7309" w:rsidP="001A63C6">
            <w:pPr>
              <w:pStyle w:val="TableText"/>
              <w:widowControl w:val="0"/>
              <w:rPr>
                <w:rFonts w:ascii="Tahoma" w:hAnsi="Tahoma" w:cs="Tahoma"/>
                <w:sz w:val="13"/>
              </w:rPr>
            </w:pPr>
          </w:p>
        </w:tc>
        <w:tc>
          <w:tcPr>
            <w:tcW w:w="356" w:type="dxa"/>
            <w:tcBorders>
              <w:left w:val="single" w:sz="18" w:space="0" w:color="auto"/>
              <w:bottom w:val="single" w:sz="4" w:space="0" w:color="auto"/>
              <w:right w:val="single" w:sz="4" w:space="0" w:color="auto"/>
            </w:tcBorders>
            <w:shd w:val="clear" w:color="auto" w:fill="auto"/>
            <w:vAlign w:val="center"/>
          </w:tcPr>
          <w:p w:rsidR="00AF7309" w:rsidRPr="00A75DF9" w:rsidRDefault="00AF7309" w:rsidP="001A63C6">
            <w:pPr>
              <w:pStyle w:val="TableText"/>
              <w:widowControl w:val="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AF7309" w:rsidRPr="00A75DF9" w:rsidRDefault="00AF7309" w:rsidP="001A63C6">
            <w:pPr>
              <w:pStyle w:val="TableText"/>
              <w:widowControl w:val="0"/>
              <w:rPr>
                <w:rFonts w:ascii="Tahoma" w:hAnsi="Tahoma" w:cs="Tahoma"/>
                <w:sz w:val="13"/>
              </w:rPr>
            </w:pPr>
          </w:p>
        </w:tc>
        <w:tc>
          <w:tcPr>
            <w:tcW w:w="455" w:type="dxa"/>
            <w:tcBorders>
              <w:left w:val="single" w:sz="4" w:space="0" w:color="auto"/>
              <w:bottom w:val="single" w:sz="4" w:space="0" w:color="auto"/>
              <w:right w:val="single" w:sz="4" w:space="0" w:color="auto"/>
            </w:tcBorders>
            <w:shd w:val="clear" w:color="auto" w:fill="auto"/>
            <w:vAlign w:val="center"/>
          </w:tcPr>
          <w:p w:rsidR="00AF7309" w:rsidRPr="00A75DF9" w:rsidRDefault="00AF7309" w:rsidP="001A63C6">
            <w:pPr>
              <w:pStyle w:val="TableText"/>
              <w:widowControl w:val="0"/>
              <w:rPr>
                <w:rFonts w:ascii="Tahoma" w:hAnsi="Tahoma" w:cs="Tahoma"/>
                <w:sz w:val="13"/>
              </w:rPr>
            </w:pPr>
          </w:p>
        </w:tc>
        <w:tc>
          <w:tcPr>
            <w:tcW w:w="450" w:type="dxa"/>
            <w:gridSpan w:val="3"/>
            <w:tcBorders>
              <w:left w:val="single" w:sz="4" w:space="0" w:color="auto"/>
              <w:bottom w:val="single" w:sz="4" w:space="0" w:color="auto"/>
              <w:right w:val="single" w:sz="4" w:space="0" w:color="auto"/>
            </w:tcBorders>
            <w:shd w:val="clear" w:color="auto" w:fill="auto"/>
            <w:vAlign w:val="center"/>
          </w:tcPr>
          <w:p w:rsidR="00AF7309" w:rsidRPr="00A75DF9" w:rsidRDefault="00AF7309" w:rsidP="001A63C6">
            <w:pPr>
              <w:pStyle w:val="TableText"/>
              <w:widowControl w:val="0"/>
              <w:rPr>
                <w:rFonts w:ascii="Tahoma" w:hAnsi="Tahoma" w:cs="Tahoma"/>
                <w:sz w:val="13"/>
              </w:rPr>
            </w:pPr>
          </w:p>
        </w:tc>
        <w:tc>
          <w:tcPr>
            <w:tcW w:w="445" w:type="dxa"/>
            <w:tcBorders>
              <w:left w:val="single" w:sz="4" w:space="0" w:color="auto"/>
              <w:bottom w:val="single" w:sz="4" w:space="0" w:color="auto"/>
              <w:right w:val="single" w:sz="4" w:space="0" w:color="auto"/>
            </w:tcBorders>
            <w:shd w:val="clear" w:color="auto" w:fill="auto"/>
            <w:vAlign w:val="center"/>
          </w:tcPr>
          <w:p w:rsidR="00AF7309" w:rsidRPr="00A75DF9" w:rsidRDefault="00AF7309" w:rsidP="001A63C6">
            <w:pPr>
              <w:pStyle w:val="TableText"/>
              <w:widowControl w:val="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AF7309" w:rsidRPr="00A75DF9" w:rsidRDefault="00AF7309" w:rsidP="001A63C6">
            <w:pPr>
              <w:pStyle w:val="TableText"/>
              <w:widowControl w:val="0"/>
              <w:rPr>
                <w:rFonts w:ascii="Tahoma" w:hAnsi="Tahoma" w:cs="Tahoma"/>
                <w:sz w:val="13"/>
              </w:rPr>
            </w:pPr>
          </w:p>
        </w:tc>
        <w:tc>
          <w:tcPr>
            <w:tcW w:w="374" w:type="dxa"/>
            <w:tcBorders>
              <w:left w:val="single" w:sz="4" w:space="0" w:color="auto"/>
              <w:bottom w:val="single" w:sz="4" w:space="0" w:color="auto"/>
              <w:right w:val="single" w:sz="18" w:space="0" w:color="auto"/>
            </w:tcBorders>
            <w:shd w:val="clear" w:color="auto" w:fill="auto"/>
            <w:vAlign w:val="center"/>
          </w:tcPr>
          <w:p w:rsidR="00AF7309" w:rsidRPr="00A75DF9" w:rsidRDefault="00AF7309" w:rsidP="001A63C6">
            <w:pPr>
              <w:pStyle w:val="TableText"/>
              <w:widowControl w:val="0"/>
              <w:rPr>
                <w:rFonts w:ascii="Tahoma" w:hAnsi="Tahoma" w:cs="Tahoma"/>
                <w:sz w:val="13"/>
              </w:rPr>
            </w:pPr>
          </w:p>
        </w:tc>
        <w:tc>
          <w:tcPr>
            <w:tcW w:w="455" w:type="dxa"/>
            <w:tcBorders>
              <w:left w:val="single" w:sz="18" w:space="0" w:color="auto"/>
              <w:bottom w:val="single" w:sz="4" w:space="0" w:color="auto"/>
            </w:tcBorders>
            <w:shd w:val="clear" w:color="auto" w:fill="auto"/>
            <w:vAlign w:val="center"/>
          </w:tcPr>
          <w:p w:rsidR="00AF7309" w:rsidRPr="00A75DF9" w:rsidRDefault="00AF7309"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F7309" w:rsidRPr="00A75DF9" w:rsidRDefault="00AF7309"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F7309" w:rsidRPr="00A75DF9" w:rsidRDefault="00AF7309"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F7309" w:rsidRPr="00A75DF9" w:rsidRDefault="00AF7309"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F7309" w:rsidRPr="00A75DF9" w:rsidRDefault="00AF7309"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F7309" w:rsidRPr="00A75DF9" w:rsidRDefault="00AF7309"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AF7309" w:rsidRPr="00A75DF9" w:rsidRDefault="00AF7309" w:rsidP="001A63C6">
            <w:pPr>
              <w:pStyle w:val="TableText"/>
              <w:widowControl w:val="0"/>
              <w:spacing w:before="120"/>
              <w:rPr>
                <w:rFonts w:ascii="Tahoma" w:hAnsi="Tahoma" w:cs="Tahoma"/>
                <w:sz w:val="13"/>
              </w:rPr>
            </w:pPr>
          </w:p>
        </w:tc>
        <w:tc>
          <w:tcPr>
            <w:tcW w:w="539" w:type="dxa"/>
            <w:tcBorders>
              <w:bottom w:val="single" w:sz="4" w:space="0" w:color="auto"/>
            </w:tcBorders>
            <w:shd w:val="clear" w:color="auto" w:fill="auto"/>
            <w:vAlign w:val="center"/>
          </w:tcPr>
          <w:p w:rsidR="00AF7309" w:rsidRPr="00A75DF9" w:rsidRDefault="00AF7309" w:rsidP="001A63C6">
            <w:pPr>
              <w:pStyle w:val="TableText"/>
              <w:widowControl w:val="0"/>
              <w:rPr>
                <w:rFonts w:ascii="Tahoma" w:hAnsi="Tahoma" w:cs="Tahoma"/>
                <w:sz w:val="13"/>
              </w:rPr>
            </w:pPr>
          </w:p>
        </w:tc>
      </w:tr>
      <w:tr w:rsidR="0084456B" w:rsidRPr="00A75DF9" w:rsidTr="008A1262">
        <w:trPr>
          <w:trHeight w:val="145"/>
        </w:trPr>
        <w:tc>
          <w:tcPr>
            <w:tcW w:w="2724" w:type="dxa"/>
            <w:gridSpan w:val="2"/>
            <w:tcBorders>
              <w:bottom w:val="single" w:sz="4" w:space="0" w:color="auto"/>
            </w:tcBorders>
            <w:shd w:val="clear" w:color="auto" w:fill="FABF8F"/>
          </w:tcPr>
          <w:p w:rsidR="00AF7309" w:rsidRPr="00A75DF9" w:rsidRDefault="00AF7309" w:rsidP="001A63C6">
            <w:pPr>
              <w:pStyle w:val="ProductNames"/>
              <w:rPr>
                <w:rFonts w:ascii="Tahoma" w:hAnsi="Tahoma" w:cs="Tahoma"/>
                <w:sz w:val="14"/>
              </w:rPr>
            </w:pPr>
            <w:bookmarkStart w:id="247" w:name="_Toc336337976"/>
            <w:bookmarkStart w:id="248" w:name="_Toc368309985"/>
            <w:r w:rsidRPr="00A75DF9">
              <w:rPr>
                <w:rFonts w:ascii="Tahoma" w:hAnsi="Tahoma" w:cs="Tahoma"/>
                <w:sz w:val="14"/>
              </w:rPr>
              <w:lastRenderedPageBreak/>
              <w:t>Forefront Protection 2010 for SharePoint (SL per Dispositivo e Utente)</w:t>
            </w:r>
            <w:bookmarkEnd w:id="247"/>
            <w:bookmarkEnd w:id="248"/>
          </w:p>
        </w:tc>
        <w:tc>
          <w:tcPr>
            <w:tcW w:w="448" w:type="dxa"/>
            <w:tcBorders>
              <w:bottom w:val="single" w:sz="4" w:space="0" w:color="auto"/>
            </w:tcBorders>
            <w:shd w:val="clear" w:color="auto" w:fill="FABF8F"/>
            <w:vAlign w:val="center"/>
          </w:tcPr>
          <w:p w:rsidR="00AF7309" w:rsidRPr="00B41377" w:rsidRDefault="00B54770">
            <w:pPr>
              <w:pStyle w:val="TableText"/>
              <w:widowControl w:val="0"/>
              <w:rPr>
                <w:rStyle w:val="EndnoteReference"/>
                <w:rFonts w:cs="Tahoma"/>
                <w:b w:val="0"/>
                <w:color w:val="000000"/>
                <w:position w:val="-11"/>
                <w:sz w:val="13"/>
                <w:szCs w:val="13"/>
                <w:u w:val="single"/>
              </w:rPr>
            </w:pPr>
            <w:hyperlink w:anchor="_54_Forefront_Protection" w:history="1">
              <w:r w:rsidR="00734B17" w:rsidRPr="00B41377">
                <w:rPr>
                  <w:rStyle w:val="Hyperlink"/>
                  <w:rFonts w:cs="Tahoma"/>
                  <w:b/>
                  <w:sz w:val="13"/>
                  <w:szCs w:val="13"/>
                </w:rPr>
                <w:t>63</w:t>
              </w:r>
            </w:hyperlink>
          </w:p>
        </w:tc>
        <w:tc>
          <w:tcPr>
            <w:tcW w:w="449" w:type="dxa"/>
            <w:tcBorders>
              <w:bottom w:val="single" w:sz="4" w:space="0" w:color="auto"/>
            </w:tcBorders>
            <w:shd w:val="clear" w:color="auto" w:fill="FABF8F"/>
          </w:tcPr>
          <w:p w:rsidR="00AF7309" w:rsidRPr="00A75DF9" w:rsidRDefault="00AF7309" w:rsidP="001A63C6">
            <w:pPr>
              <w:pStyle w:val="TableText"/>
              <w:widowControl w:val="0"/>
              <w:spacing w:before="80"/>
              <w:rPr>
                <w:rFonts w:ascii="Tahoma" w:hAnsi="Tahoma" w:cs="Tahoma"/>
                <w:sz w:val="13"/>
              </w:rPr>
            </w:pPr>
          </w:p>
        </w:tc>
        <w:tc>
          <w:tcPr>
            <w:tcW w:w="359" w:type="dxa"/>
            <w:tcBorders>
              <w:bottom w:val="single" w:sz="4" w:space="0" w:color="auto"/>
              <w:right w:val="single" w:sz="18" w:space="0" w:color="auto"/>
            </w:tcBorders>
            <w:shd w:val="clear" w:color="auto" w:fill="FABF8F"/>
            <w:vAlign w:val="center"/>
          </w:tcPr>
          <w:p w:rsidR="00AF7309" w:rsidRPr="00A75DF9" w:rsidRDefault="00AF7309" w:rsidP="001A63C6">
            <w:pPr>
              <w:pStyle w:val="TableText"/>
              <w:widowControl w:val="0"/>
              <w:rPr>
                <w:rFonts w:ascii="Tahoma" w:hAnsi="Tahoma" w:cs="Tahoma"/>
                <w:sz w:val="13"/>
              </w:rPr>
            </w:pPr>
          </w:p>
        </w:tc>
        <w:tc>
          <w:tcPr>
            <w:tcW w:w="356" w:type="dxa"/>
            <w:tcBorders>
              <w:left w:val="single" w:sz="18" w:space="0" w:color="auto"/>
              <w:bottom w:val="single" w:sz="4" w:space="0" w:color="auto"/>
              <w:right w:val="single" w:sz="4" w:space="0" w:color="auto"/>
            </w:tcBorders>
            <w:shd w:val="clear" w:color="auto" w:fill="FABF8F"/>
            <w:vAlign w:val="center"/>
          </w:tcPr>
          <w:p w:rsidR="00AF7309" w:rsidRPr="00A75DF9" w:rsidRDefault="00AF7309" w:rsidP="001A63C6">
            <w:pPr>
              <w:pStyle w:val="TableText"/>
              <w:widowControl w:val="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AF7309" w:rsidRPr="00A75DF9" w:rsidRDefault="00AF7309" w:rsidP="001A63C6">
            <w:pPr>
              <w:pStyle w:val="TableText"/>
              <w:widowControl w:val="0"/>
              <w:rPr>
                <w:rFonts w:ascii="Tahoma" w:hAnsi="Tahoma" w:cs="Tahoma"/>
                <w:sz w:val="13"/>
              </w:rPr>
            </w:pPr>
          </w:p>
        </w:tc>
        <w:tc>
          <w:tcPr>
            <w:tcW w:w="455" w:type="dxa"/>
            <w:tcBorders>
              <w:left w:val="single" w:sz="4" w:space="0" w:color="auto"/>
              <w:bottom w:val="single" w:sz="4" w:space="0" w:color="auto"/>
              <w:right w:val="single" w:sz="4" w:space="0" w:color="auto"/>
            </w:tcBorders>
            <w:shd w:val="clear" w:color="auto" w:fill="FABF8F"/>
            <w:vAlign w:val="center"/>
          </w:tcPr>
          <w:p w:rsidR="00AF7309" w:rsidRPr="00A75DF9" w:rsidRDefault="00AF7309" w:rsidP="001A63C6">
            <w:pPr>
              <w:pStyle w:val="TableText"/>
              <w:widowControl w:val="0"/>
              <w:rPr>
                <w:rFonts w:ascii="Tahoma" w:hAnsi="Tahoma" w:cs="Tahoma"/>
                <w:sz w:val="13"/>
              </w:rPr>
            </w:pPr>
          </w:p>
        </w:tc>
        <w:tc>
          <w:tcPr>
            <w:tcW w:w="450" w:type="dxa"/>
            <w:gridSpan w:val="3"/>
            <w:tcBorders>
              <w:left w:val="single" w:sz="4" w:space="0" w:color="auto"/>
              <w:bottom w:val="single" w:sz="4" w:space="0" w:color="auto"/>
              <w:right w:val="single" w:sz="4" w:space="0" w:color="auto"/>
            </w:tcBorders>
            <w:shd w:val="clear" w:color="auto" w:fill="FABF8F"/>
            <w:vAlign w:val="center"/>
          </w:tcPr>
          <w:p w:rsidR="00AF7309" w:rsidRPr="00A75DF9" w:rsidRDefault="00AF7309" w:rsidP="001A63C6">
            <w:pPr>
              <w:pStyle w:val="TableText"/>
              <w:widowControl w:val="0"/>
              <w:rPr>
                <w:rFonts w:ascii="Tahoma" w:hAnsi="Tahoma" w:cs="Tahoma"/>
                <w:sz w:val="13"/>
              </w:rPr>
            </w:pPr>
          </w:p>
        </w:tc>
        <w:tc>
          <w:tcPr>
            <w:tcW w:w="445" w:type="dxa"/>
            <w:tcBorders>
              <w:left w:val="single" w:sz="4" w:space="0" w:color="auto"/>
              <w:bottom w:val="single" w:sz="4" w:space="0" w:color="auto"/>
              <w:right w:val="single" w:sz="4" w:space="0" w:color="auto"/>
            </w:tcBorders>
            <w:shd w:val="clear" w:color="auto" w:fill="FABF8F"/>
            <w:vAlign w:val="center"/>
          </w:tcPr>
          <w:p w:rsidR="00AF7309" w:rsidRPr="00A75DF9" w:rsidRDefault="00AF7309" w:rsidP="001A63C6">
            <w:pPr>
              <w:pStyle w:val="TableText"/>
              <w:widowControl w:val="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AF7309" w:rsidRPr="00A75DF9" w:rsidRDefault="00AF7309" w:rsidP="001A63C6">
            <w:pPr>
              <w:pStyle w:val="TableText"/>
              <w:widowControl w:val="0"/>
              <w:rPr>
                <w:rFonts w:ascii="Tahoma" w:hAnsi="Tahoma" w:cs="Tahoma"/>
                <w:sz w:val="13"/>
              </w:rPr>
            </w:pPr>
          </w:p>
        </w:tc>
        <w:tc>
          <w:tcPr>
            <w:tcW w:w="374" w:type="dxa"/>
            <w:tcBorders>
              <w:left w:val="single" w:sz="4" w:space="0" w:color="auto"/>
              <w:bottom w:val="single" w:sz="4" w:space="0" w:color="auto"/>
              <w:right w:val="single" w:sz="18" w:space="0" w:color="auto"/>
            </w:tcBorders>
            <w:shd w:val="clear" w:color="auto" w:fill="FABF8F"/>
            <w:vAlign w:val="center"/>
          </w:tcPr>
          <w:p w:rsidR="00AF7309" w:rsidRPr="00A75DF9" w:rsidRDefault="00AF7309" w:rsidP="001A63C6">
            <w:pPr>
              <w:pStyle w:val="TableText"/>
              <w:widowControl w:val="0"/>
              <w:rPr>
                <w:rFonts w:ascii="Tahoma" w:hAnsi="Tahoma" w:cs="Tahoma"/>
                <w:sz w:val="13"/>
              </w:rPr>
            </w:pPr>
          </w:p>
        </w:tc>
        <w:tc>
          <w:tcPr>
            <w:tcW w:w="455" w:type="dxa"/>
            <w:tcBorders>
              <w:left w:val="single" w:sz="18" w:space="0" w:color="auto"/>
              <w:bottom w:val="single" w:sz="4" w:space="0" w:color="auto"/>
            </w:tcBorders>
            <w:shd w:val="clear" w:color="auto" w:fill="FABF8F"/>
            <w:vAlign w:val="center"/>
          </w:tcPr>
          <w:p w:rsidR="00AF7309" w:rsidRPr="00A75DF9" w:rsidRDefault="00AF7309"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F7309" w:rsidRPr="00A75DF9" w:rsidRDefault="00AF7309"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F7309" w:rsidRPr="00A75DF9" w:rsidRDefault="00AF7309"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F7309" w:rsidRPr="00A75DF9" w:rsidRDefault="00AF7309"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F7309" w:rsidRPr="00A75DF9" w:rsidRDefault="00AF7309"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F7309" w:rsidRPr="00A75DF9" w:rsidRDefault="00AF7309"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AF7309" w:rsidRPr="00A75DF9" w:rsidRDefault="00AF7309" w:rsidP="001A63C6">
            <w:pPr>
              <w:pStyle w:val="TableText"/>
              <w:widowControl w:val="0"/>
              <w:spacing w:before="120"/>
              <w:rPr>
                <w:rFonts w:ascii="Tahoma" w:hAnsi="Tahoma" w:cs="Tahoma"/>
                <w:sz w:val="13"/>
              </w:rPr>
            </w:pPr>
          </w:p>
        </w:tc>
        <w:tc>
          <w:tcPr>
            <w:tcW w:w="539" w:type="dxa"/>
            <w:tcBorders>
              <w:bottom w:val="single" w:sz="4" w:space="0" w:color="auto"/>
            </w:tcBorders>
            <w:shd w:val="clear" w:color="auto" w:fill="FABF8F"/>
            <w:vAlign w:val="center"/>
          </w:tcPr>
          <w:p w:rsidR="00AF7309" w:rsidRPr="00A75DF9" w:rsidRDefault="00AF7309" w:rsidP="001A63C6">
            <w:pPr>
              <w:pStyle w:val="TableText"/>
              <w:widowControl w:val="0"/>
              <w:rPr>
                <w:rFonts w:ascii="Tahoma" w:hAnsi="Tahoma" w:cs="Tahoma"/>
                <w:sz w:val="13"/>
              </w:rPr>
            </w:pPr>
          </w:p>
        </w:tc>
      </w:tr>
      <w:tr w:rsidR="00B33D0E" w:rsidRPr="00A75DF9" w:rsidTr="008A1262">
        <w:trPr>
          <w:trHeight w:val="145"/>
        </w:trPr>
        <w:tc>
          <w:tcPr>
            <w:tcW w:w="2724" w:type="dxa"/>
            <w:gridSpan w:val="2"/>
            <w:tcBorders>
              <w:bottom w:val="single" w:sz="4" w:space="0" w:color="auto"/>
            </w:tcBorders>
            <w:shd w:val="clear" w:color="auto" w:fill="auto"/>
          </w:tcPr>
          <w:p w:rsidR="001A63C6" w:rsidRPr="00A75DF9" w:rsidRDefault="001A63C6" w:rsidP="001A63C6">
            <w:pPr>
              <w:pStyle w:val="ProductNames"/>
              <w:rPr>
                <w:rFonts w:ascii="Tahoma" w:hAnsi="Tahoma" w:cs="Tahoma"/>
                <w:sz w:val="14"/>
              </w:rPr>
            </w:pPr>
            <w:bookmarkStart w:id="249" w:name="_Toc336337977"/>
            <w:bookmarkStart w:id="250" w:name="_Toc368309986"/>
            <w:r w:rsidRPr="00A75DF9">
              <w:rPr>
                <w:rFonts w:ascii="Tahoma" w:hAnsi="Tahoma" w:cs="Tahoma"/>
                <w:sz w:val="14"/>
              </w:rPr>
              <w:t>Forefront Protection 2010 for SharePoint per Siti Internet (SL Add-on)</w:t>
            </w:r>
            <w:bookmarkEnd w:id="249"/>
            <w:bookmarkEnd w:id="250"/>
          </w:p>
        </w:tc>
        <w:tc>
          <w:tcPr>
            <w:tcW w:w="448" w:type="dxa"/>
            <w:tcBorders>
              <w:bottom w:val="single" w:sz="4" w:space="0" w:color="auto"/>
            </w:tcBorders>
            <w:shd w:val="clear" w:color="auto" w:fill="auto"/>
            <w:vAlign w:val="center"/>
          </w:tcPr>
          <w:p w:rsidR="001A63C6" w:rsidRPr="00B41377" w:rsidRDefault="00B54770">
            <w:pPr>
              <w:pStyle w:val="TableText"/>
              <w:widowControl w:val="0"/>
              <w:rPr>
                <w:rStyle w:val="EndnoteReference"/>
                <w:rFonts w:cs="Tahoma"/>
                <w:b w:val="0"/>
                <w:color w:val="000000"/>
                <w:position w:val="-11"/>
                <w:sz w:val="13"/>
                <w:szCs w:val="13"/>
                <w:u w:val="single"/>
              </w:rPr>
            </w:pPr>
            <w:hyperlink w:anchor="_54_Forefront_Protection" w:history="1">
              <w:r w:rsidR="00734B17" w:rsidRPr="00B41377">
                <w:rPr>
                  <w:rStyle w:val="Hyperlink"/>
                  <w:rFonts w:cs="Tahoma"/>
                  <w:b/>
                  <w:sz w:val="13"/>
                  <w:szCs w:val="13"/>
                </w:rPr>
                <w:t>63</w:t>
              </w:r>
            </w:hyperlink>
          </w:p>
        </w:tc>
        <w:tc>
          <w:tcPr>
            <w:tcW w:w="449" w:type="dxa"/>
            <w:tcBorders>
              <w:bottom w:val="single" w:sz="4" w:space="0" w:color="auto"/>
            </w:tcBorders>
            <w:shd w:val="clear" w:color="auto" w:fill="auto"/>
          </w:tcPr>
          <w:p w:rsidR="001A63C6" w:rsidRPr="00A75DF9" w:rsidRDefault="001A63C6" w:rsidP="001A63C6">
            <w:pPr>
              <w:pStyle w:val="TableText"/>
              <w:widowControl w:val="0"/>
              <w:spacing w:before="80"/>
              <w:rPr>
                <w:rFonts w:ascii="Tahoma" w:hAnsi="Tahoma" w:cs="Tahoma"/>
                <w:sz w:val="13"/>
              </w:rPr>
            </w:pPr>
            <w:r w:rsidRPr="00A75DF9">
              <w:rPr>
                <w:rFonts w:ascii="Tahoma" w:hAnsi="Tahoma" w:cs="Tahoma"/>
                <w:sz w:val="13"/>
              </w:rPr>
              <w:t>04/10</w:t>
            </w:r>
          </w:p>
        </w:tc>
        <w:tc>
          <w:tcPr>
            <w:tcW w:w="359"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SRV</w:t>
            </w:r>
          </w:p>
        </w:tc>
        <w:tc>
          <w:tcPr>
            <w:tcW w:w="2980" w:type="dxa"/>
            <w:gridSpan w:val="9"/>
            <w:tcBorders>
              <w:left w:val="single" w:sz="18" w:space="0" w:color="auto"/>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25 crediti</w:t>
            </w:r>
          </w:p>
        </w:tc>
        <w:tc>
          <w:tcPr>
            <w:tcW w:w="455"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P</w:t>
            </w:r>
          </w:p>
        </w:tc>
        <w:tc>
          <w:tcPr>
            <w:tcW w:w="450" w:type="dxa"/>
            <w:tcBorders>
              <w:bottom w:val="single" w:sz="4" w:space="0" w:color="auto"/>
            </w:tcBorders>
            <w:shd w:val="clear" w:color="auto" w:fill="auto"/>
          </w:tcPr>
          <w:p w:rsidR="001A63C6" w:rsidRPr="00A75DF9" w:rsidRDefault="001A63C6" w:rsidP="001A63C6">
            <w:pPr>
              <w:pStyle w:val="TableText"/>
              <w:widowControl w:val="0"/>
              <w:spacing w:before="120"/>
              <w:rPr>
                <w:rFonts w:ascii="Tahoma" w:hAnsi="Tahoma" w:cs="Tahoma"/>
                <w:sz w:val="13"/>
              </w:rPr>
            </w:pPr>
            <w:r w:rsidRPr="00A75DF9">
              <w:rPr>
                <w:rFonts w:ascii="Tahoma" w:hAnsi="Tahoma" w:cs="Tahoma"/>
                <w:sz w:val="13"/>
              </w:rPr>
              <w:t>A</w:t>
            </w:r>
          </w:p>
        </w:tc>
        <w:tc>
          <w:tcPr>
            <w:tcW w:w="539"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OV</w:t>
            </w:r>
          </w:p>
        </w:tc>
      </w:tr>
      <w:tr w:rsidR="001933C6" w:rsidRPr="00A75DF9" w:rsidTr="008A1262">
        <w:trPr>
          <w:trHeight w:val="145"/>
        </w:trPr>
        <w:tc>
          <w:tcPr>
            <w:tcW w:w="2724" w:type="dxa"/>
            <w:gridSpan w:val="2"/>
            <w:tcBorders>
              <w:bottom w:val="single" w:sz="4" w:space="0" w:color="auto"/>
            </w:tcBorders>
            <w:shd w:val="clear" w:color="auto" w:fill="FABF8F"/>
          </w:tcPr>
          <w:p w:rsidR="001A63C6" w:rsidRPr="00A75DF9" w:rsidRDefault="001A63C6" w:rsidP="001A63C6">
            <w:pPr>
              <w:pStyle w:val="ProductNames"/>
              <w:rPr>
                <w:rFonts w:ascii="Tahoma" w:hAnsi="Tahoma" w:cs="Tahoma"/>
                <w:sz w:val="14"/>
              </w:rPr>
            </w:pPr>
            <w:bookmarkStart w:id="251" w:name="_Toc336337981"/>
            <w:bookmarkStart w:id="252" w:name="_Toc368309987"/>
            <w:r w:rsidRPr="00A75DF9">
              <w:rPr>
                <w:rFonts w:ascii="Tahoma" w:hAnsi="Tahoma" w:cs="Tahoma"/>
                <w:sz w:val="14"/>
              </w:rPr>
              <w:t>Forefront Threat Management Gateway Web Protection Services</w:t>
            </w:r>
            <w:bookmarkEnd w:id="251"/>
            <w:bookmarkEnd w:id="252"/>
            <w:r w:rsidRPr="00A75DF9">
              <w:rPr>
                <w:rFonts w:ascii="Tahoma" w:hAnsi="Tahoma" w:cs="Tahoma"/>
                <w:sz w:val="14"/>
              </w:rPr>
              <w:t xml:space="preserve"> </w:t>
            </w:r>
          </w:p>
        </w:tc>
        <w:tc>
          <w:tcPr>
            <w:tcW w:w="448" w:type="dxa"/>
            <w:tcBorders>
              <w:bottom w:val="single" w:sz="4" w:space="0" w:color="auto"/>
            </w:tcBorders>
            <w:shd w:val="clear" w:color="auto" w:fill="FABF8F"/>
            <w:vAlign w:val="center"/>
          </w:tcPr>
          <w:p w:rsidR="001A63C6" w:rsidRPr="00B41377" w:rsidRDefault="00B54770">
            <w:pPr>
              <w:pStyle w:val="TableText"/>
              <w:widowControl w:val="0"/>
              <w:rPr>
                <w:rStyle w:val="EndnoteReference"/>
                <w:rFonts w:cs="Tahoma"/>
                <w:b w:val="0"/>
                <w:color w:val="0000FF"/>
                <w:position w:val="-11"/>
                <w:sz w:val="13"/>
                <w:szCs w:val="13"/>
                <w:u w:val="single"/>
              </w:rPr>
            </w:pPr>
            <w:hyperlink w:anchor="_66_Forefront_Threat" w:history="1">
              <w:r w:rsidR="00734B17" w:rsidRPr="00B41377">
                <w:rPr>
                  <w:rStyle w:val="Hyperlink"/>
                  <w:rFonts w:cs="Tahoma"/>
                  <w:b/>
                  <w:sz w:val="13"/>
                  <w:szCs w:val="13"/>
                </w:rPr>
                <w:t>66</w:t>
              </w:r>
            </w:hyperlink>
            <w:hyperlink w:anchor="_57_Forefront_Threat" w:history="1"/>
          </w:p>
        </w:tc>
        <w:tc>
          <w:tcPr>
            <w:tcW w:w="449" w:type="dxa"/>
            <w:tcBorders>
              <w:bottom w:val="single" w:sz="4" w:space="0" w:color="auto"/>
            </w:tcBorders>
            <w:shd w:val="clear" w:color="auto" w:fill="FABF8F"/>
          </w:tcPr>
          <w:p w:rsidR="001A63C6" w:rsidRPr="00A75DF9" w:rsidRDefault="001A63C6" w:rsidP="001A63C6">
            <w:pPr>
              <w:pStyle w:val="TableText"/>
              <w:widowControl w:val="0"/>
              <w:spacing w:before="120"/>
              <w:rPr>
                <w:rFonts w:ascii="Tahoma" w:hAnsi="Tahoma" w:cs="Tahoma"/>
                <w:sz w:val="13"/>
              </w:rPr>
            </w:pPr>
          </w:p>
        </w:tc>
        <w:tc>
          <w:tcPr>
            <w:tcW w:w="359"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374"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5"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A75DF9" w:rsidRDefault="001A63C6" w:rsidP="001A63C6">
            <w:pPr>
              <w:pStyle w:val="TableText"/>
              <w:widowControl w:val="0"/>
              <w:spacing w:before="120"/>
              <w:rPr>
                <w:rFonts w:ascii="Tahoma" w:hAnsi="Tahoma" w:cs="Tahoma"/>
                <w:sz w:val="13"/>
              </w:rPr>
            </w:pPr>
          </w:p>
        </w:tc>
        <w:tc>
          <w:tcPr>
            <w:tcW w:w="539"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r>
      <w:tr w:rsidR="00B33D0E" w:rsidRPr="00A75DF9" w:rsidTr="008A1262">
        <w:trPr>
          <w:trHeight w:val="145"/>
        </w:trPr>
        <w:tc>
          <w:tcPr>
            <w:tcW w:w="2724" w:type="dxa"/>
            <w:gridSpan w:val="2"/>
            <w:tcBorders>
              <w:bottom w:val="single" w:sz="4" w:space="0" w:color="auto"/>
            </w:tcBorders>
            <w:shd w:val="clear" w:color="auto" w:fill="auto"/>
          </w:tcPr>
          <w:p w:rsidR="001A63C6" w:rsidRPr="00A75DF9" w:rsidRDefault="001A63C6" w:rsidP="00B41377">
            <w:pPr>
              <w:pStyle w:val="ProductNames"/>
              <w:rPr>
                <w:rFonts w:ascii="Tahoma" w:hAnsi="Tahoma" w:cs="Tahoma"/>
                <w:sz w:val="14"/>
              </w:rPr>
            </w:pPr>
            <w:bookmarkStart w:id="253" w:name="_Toc336337982"/>
            <w:bookmarkStart w:id="254" w:name="_Toc368309988"/>
            <w:r w:rsidRPr="00A75DF9">
              <w:rPr>
                <w:rFonts w:ascii="Tahoma" w:hAnsi="Tahoma" w:cs="Tahoma"/>
                <w:sz w:val="14"/>
              </w:rPr>
              <w:t>Forefront Unified Access Gateway Server</w:t>
            </w:r>
            <w:r w:rsidR="00B41377">
              <w:rPr>
                <w:rFonts w:ascii="Tahoma" w:hAnsi="Tahoma" w:cs="Tahoma"/>
                <w:sz w:val="14"/>
              </w:rPr>
              <w:t> </w:t>
            </w:r>
            <w:r w:rsidRPr="00A75DF9">
              <w:rPr>
                <w:rFonts w:ascii="Tahoma" w:hAnsi="Tahoma" w:cs="Tahoma"/>
                <w:sz w:val="14"/>
              </w:rPr>
              <w:t>2010</w:t>
            </w:r>
            <w:bookmarkEnd w:id="253"/>
            <w:bookmarkEnd w:id="254"/>
          </w:p>
        </w:tc>
        <w:tc>
          <w:tcPr>
            <w:tcW w:w="448" w:type="dxa"/>
            <w:tcBorders>
              <w:bottom w:val="single" w:sz="4" w:space="0" w:color="auto"/>
            </w:tcBorders>
            <w:shd w:val="clear" w:color="auto" w:fill="auto"/>
            <w:vAlign w:val="center"/>
          </w:tcPr>
          <w:p w:rsidR="001A63C6" w:rsidRPr="00B41377" w:rsidRDefault="00B54770">
            <w:pPr>
              <w:pStyle w:val="TableText"/>
              <w:widowControl w:val="0"/>
              <w:rPr>
                <w:rFonts w:cs="Tahoma"/>
                <w:b/>
                <w:color w:val="000000"/>
                <w:sz w:val="13"/>
                <w:szCs w:val="13"/>
                <w:u w:val="single"/>
              </w:rPr>
            </w:pPr>
            <w:hyperlink w:anchor="_67_Forefront_Unified" w:history="1">
              <w:r w:rsidR="00734B17" w:rsidRPr="00B41377">
                <w:rPr>
                  <w:rStyle w:val="Hyperlink"/>
                  <w:rFonts w:cs="Tahoma"/>
                  <w:b/>
                  <w:sz w:val="13"/>
                  <w:szCs w:val="13"/>
                </w:rPr>
                <w:t>67</w:t>
              </w:r>
            </w:hyperlink>
            <w:hyperlink w:anchor="Srv_52ForefrontUnifiedAccessGtwy2010" w:history="1"/>
          </w:p>
        </w:tc>
        <w:tc>
          <w:tcPr>
            <w:tcW w:w="449" w:type="dxa"/>
            <w:tcBorders>
              <w:bottom w:val="single" w:sz="4" w:space="0" w:color="auto"/>
            </w:tcBorders>
            <w:shd w:val="clear" w:color="auto" w:fill="auto"/>
          </w:tcPr>
          <w:p w:rsidR="001A63C6" w:rsidRPr="00A75DF9" w:rsidRDefault="001A63C6" w:rsidP="001A63C6">
            <w:pPr>
              <w:pStyle w:val="TableText"/>
              <w:widowControl w:val="0"/>
              <w:spacing w:before="80"/>
              <w:rPr>
                <w:rFonts w:ascii="Tahoma" w:hAnsi="Tahoma" w:cs="Tahoma"/>
                <w:sz w:val="13"/>
              </w:rPr>
            </w:pPr>
            <w:r w:rsidRPr="00A75DF9">
              <w:rPr>
                <w:rFonts w:ascii="Tahoma" w:hAnsi="Tahoma" w:cs="Tahoma"/>
                <w:sz w:val="13"/>
              </w:rPr>
              <w:t>01/10</w:t>
            </w:r>
          </w:p>
        </w:tc>
        <w:tc>
          <w:tcPr>
            <w:tcW w:w="359"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3</w:t>
            </w:r>
          </w:p>
        </w:tc>
        <w:tc>
          <w:tcPr>
            <w:tcW w:w="455"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2</w:t>
            </w:r>
          </w:p>
        </w:tc>
        <w:tc>
          <w:tcPr>
            <w:tcW w:w="450" w:type="dxa"/>
            <w:gridSpan w:val="3"/>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2</w:t>
            </w:r>
          </w:p>
        </w:tc>
        <w:tc>
          <w:tcPr>
            <w:tcW w:w="445"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1</w:t>
            </w:r>
          </w:p>
        </w:tc>
        <w:tc>
          <w:tcPr>
            <w:tcW w:w="374"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1</w:t>
            </w:r>
          </w:p>
        </w:tc>
        <w:tc>
          <w:tcPr>
            <w:tcW w:w="455"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P</w:t>
            </w:r>
          </w:p>
        </w:tc>
        <w:tc>
          <w:tcPr>
            <w:tcW w:w="450" w:type="dxa"/>
            <w:tcBorders>
              <w:bottom w:val="single" w:sz="4" w:space="0" w:color="auto"/>
            </w:tcBorders>
            <w:shd w:val="clear" w:color="auto" w:fill="auto"/>
          </w:tcPr>
          <w:p w:rsidR="001A63C6" w:rsidRPr="00A75DF9" w:rsidRDefault="001A63C6" w:rsidP="001A63C6">
            <w:pPr>
              <w:pStyle w:val="TableText"/>
              <w:widowControl w:val="0"/>
              <w:spacing w:before="120"/>
              <w:rPr>
                <w:rFonts w:ascii="Tahoma" w:hAnsi="Tahoma" w:cs="Tahoma"/>
                <w:sz w:val="13"/>
              </w:rPr>
            </w:pPr>
            <w:r w:rsidRPr="00A75DF9">
              <w:rPr>
                <w:rFonts w:ascii="Tahoma" w:hAnsi="Tahoma" w:cs="Tahoma"/>
                <w:sz w:val="13"/>
              </w:rPr>
              <w:t>A</w:t>
            </w:r>
          </w:p>
        </w:tc>
        <w:tc>
          <w:tcPr>
            <w:tcW w:w="539"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r>
      <w:tr w:rsidR="001933C6" w:rsidRPr="00A75DF9" w:rsidTr="008A1262">
        <w:trPr>
          <w:trHeight w:val="145"/>
        </w:trPr>
        <w:tc>
          <w:tcPr>
            <w:tcW w:w="2724" w:type="dxa"/>
            <w:gridSpan w:val="2"/>
            <w:tcBorders>
              <w:bottom w:val="single" w:sz="4" w:space="0" w:color="auto"/>
            </w:tcBorders>
            <w:shd w:val="clear" w:color="auto" w:fill="FABF8F"/>
          </w:tcPr>
          <w:p w:rsidR="001A63C6" w:rsidRPr="00A75DF9" w:rsidRDefault="001A63C6" w:rsidP="001A63C6">
            <w:pPr>
              <w:pStyle w:val="ProductNames"/>
              <w:rPr>
                <w:rFonts w:ascii="Tahoma" w:hAnsi="Tahoma" w:cs="Tahoma"/>
                <w:sz w:val="14"/>
              </w:rPr>
            </w:pPr>
            <w:bookmarkStart w:id="255" w:name="_Toc336337983"/>
            <w:bookmarkStart w:id="256" w:name="_Toc368309989"/>
            <w:r w:rsidRPr="00A75DF9">
              <w:rPr>
                <w:rFonts w:ascii="Tahoma" w:hAnsi="Tahoma" w:cs="Tahoma"/>
                <w:sz w:val="14"/>
              </w:rPr>
              <w:t>External Connector per Forefront Unified Access Gateway 2010</w:t>
            </w:r>
            <w:bookmarkEnd w:id="255"/>
            <w:bookmarkEnd w:id="256"/>
          </w:p>
        </w:tc>
        <w:tc>
          <w:tcPr>
            <w:tcW w:w="448" w:type="dxa"/>
            <w:tcBorders>
              <w:bottom w:val="single" w:sz="4" w:space="0" w:color="auto"/>
            </w:tcBorders>
            <w:shd w:val="clear" w:color="auto" w:fill="FABF8F"/>
            <w:vAlign w:val="center"/>
          </w:tcPr>
          <w:p w:rsidR="001A63C6" w:rsidRPr="00B41377" w:rsidRDefault="00B54770">
            <w:pPr>
              <w:pStyle w:val="TableText"/>
              <w:widowControl w:val="0"/>
              <w:rPr>
                <w:rFonts w:cs="Tahoma"/>
                <w:b/>
                <w:color w:val="000000"/>
                <w:sz w:val="13"/>
                <w:szCs w:val="13"/>
                <w:u w:val="single"/>
              </w:rPr>
            </w:pPr>
            <w:hyperlink w:anchor="_67_Forefront_Unified" w:history="1">
              <w:r w:rsidR="00734B17" w:rsidRPr="00B41377">
                <w:rPr>
                  <w:rStyle w:val="Hyperlink"/>
                  <w:rFonts w:cs="Tahoma"/>
                  <w:b/>
                  <w:sz w:val="13"/>
                  <w:szCs w:val="13"/>
                </w:rPr>
                <w:t>67</w:t>
              </w:r>
            </w:hyperlink>
            <w:hyperlink w:anchor="Srv_56ForefrontUnifiedAccessGtwy2010" w:history="1"/>
          </w:p>
        </w:tc>
        <w:tc>
          <w:tcPr>
            <w:tcW w:w="449" w:type="dxa"/>
            <w:tcBorders>
              <w:bottom w:val="single" w:sz="4" w:space="0" w:color="auto"/>
            </w:tcBorders>
            <w:shd w:val="clear" w:color="auto" w:fill="FABF8F"/>
          </w:tcPr>
          <w:p w:rsidR="001A63C6" w:rsidRPr="00A75DF9" w:rsidRDefault="001A63C6" w:rsidP="001A63C6">
            <w:pPr>
              <w:pStyle w:val="TableText"/>
              <w:widowControl w:val="0"/>
              <w:spacing w:before="80"/>
              <w:rPr>
                <w:rFonts w:ascii="Tahoma" w:hAnsi="Tahoma" w:cs="Tahoma"/>
                <w:sz w:val="13"/>
              </w:rPr>
            </w:pPr>
            <w:r w:rsidRPr="00A75DF9">
              <w:rPr>
                <w:rFonts w:ascii="Tahoma" w:hAnsi="Tahoma" w:cs="Tahoma"/>
                <w:sz w:val="13"/>
              </w:rPr>
              <w:t>01/10</w:t>
            </w:r>
          </w:p>
        </w:tc>
        <w:tc>
          <w:tcPr>
            <w:tcW w:w="359"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200</w:t>
            </w: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500</w:t>
            </w:r>
          </w:p>
        </w:tc>
        <w:tc>
          <w:tcPr>
            <w:tcW w:w="45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400</w:t>
            </w:r>
          </w:p>
        </w:tc>
        <w:tc>
          <w:tcPr>
            <w:tcW w:w="450" w:type="dxa"/>
            <w:gridSpan w:val="3"/>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300</w:t>
            </w:r>
          </w:p>
        </w:tc>
        <w:tc>
          <w:tcPr>
            <w:tcW w:w="44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300</w:t>
            </w: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200</w:t>
            </w:r>
          </w:p>
        </w:tc>
        <w:tc>
          <w:tcPr>
            <w:tcW w:w="374"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100</w:t>
            </w:r>
          </w:p>
        </w:tc>
        <w:tc>
          <w:tcPr>
            <w:tcW w:w="455"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200</w:t>
            </w: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400</w:t>
            </w: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200</w:t>
            </w:r>
          </w:p>
        </w:tc>
        <w:tc>
          <w:tcPr>
            <w:tcW w:w="450"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200</w:t>
            </w: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P</w:t>
            </w:r>
          </w:p>
        </w:tc>
        <w:tc>
          <w:tcPr>
            <w:tcW w:w="450" w:type="dxa"/>
            <w:tcBorders>
              <w:bottom w:val="single" w:sz="4" w:space="0" w:color="auto"/>
            </w:tcBorders>
            <w:shd w:val="clear" w:color="auto" w:fill="FABF8F"/>
          </w:tcPr>
          <w:p w:rsidR="001A63C6" w:rsidRPr="00A75DF9" w:rsidRDefault="001A63C6" w:rsidP="001A63C6">
            <w:pPr>
              <w:pStyle w:val="TableText"/>
              <w:widowControl w:val="0"/>
              <w:spacing w:before="120"/>
              <w:rPr>
                <w:rFonts w:ascii="Tahoma" w:hAnsi="Tahoma" w:cs="Tahoma"/>
                <w:sz w:val="13"/>
              </w:rPr>
            </w:pPr>
            <w:r w:rsidRPr="00A75DF9">
              <w:rPr>
                <w:rFonts w:ascii="Tahoma" w:hAnsi="Tahoma" w:cs="Tahoma"/>
                <w:sz w:val="13"/>
              </w:rPr>
              <w:t>A</w:t>
            </w:r>
          </w:p>
        </w:tc>
        <w:tc>
          <w:tcPr>
            <w:tcW w:w="539"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OL/OV</w:t>
            </w:r>
          </w:p>
        </w:tc>
      </w:tr>
      <w:tr w:rsidR="00B33D0E" w:rsidRPr="00A75DF9" w:rsidTr="008A1262">
        <w:trPr>
          <w:trHeight w:val="145"/>
        </w:trPr>
        <w:tc>
          <w:tcPr>
            <w:tcW w:w="2724" w:type="dxa"/>
            <w:gridSpan w:val="2"/>
            <w:tcBorders>
              <w:bottom w:val="single" w:sz="4" w:space="0" w:color="auto"/>
            </w:tcBorders>
            <w:shd w:val="clear" w:color="auto" w:fill="auto"/>
          </w:tcPr>
          <w:p w:rsidR="001A63C6" w:rsidRPr="00A75DF9" w:rsidRDefault="001A63C6" w:rsidP="001A63C6">
            <w:pPr>
              <w:pStyle w:val="ProductNames"/>
              <w:rPr>
                <w:rFonts w:ascii="Tahoma" w:hAnsi="Tahoma" w:cs="Tahoma"/>
                <w:sz w:val="14"/>
              </w:rPr>
            </w:pPr>
            <w:bookmarkStart w:id="257" w:name="_Toc336337984"/>
            <w:bookmarkStart w:id="258" w:name="_Toc368309990"/>
            <w:r w:rsidRPr="00A75DF9">
              <w:rPr>
                <w:rFonts w:ascii="Tahoma" w:hAnsi="Tahoma" w:cs="Tahoma"/>
                <w:sz w:val="14"/>
              </w:rPr>
              <w:t xml:space="preserve">CAL per Forefront Unified </w:t>
            </w:r>
            <w:r w:rsidR="00B41377">
              <w:rPr>
                <w:rFonts w:ascii="Tahoma" w:hAnsi="Tahoma" w:cs="Tahoma"/>
                <w:sz w:val="14"/>
              </w:rPr>
              <w:br/>
            </w:r>
            <w:r w:rsidRPr="00A75DF9">
              <w:rPr>
                <w:rFonts w:ascii="Tahoma" w:hAnsi="Tahoma" w:cs="Tahoma"/>
                <w:sz w:val="14"/>
              </w:rPr>
              <w:t>Access Gateway 2010</w:t>
            </w:r>
            <w:bookmarkEnd w:id="257"/>
            <w:bookmarkEnd w:id="258"/>
            <w:r w:rsidRPr="00A75DF9">
              <w:rPr>
                <w:rFonts w:ascii="Tahoma" w:hAnsi="Tahoma" w:cs="Tahoma"/>
                <w:sz w:val="14"/>
              </w:rPr>
              <w:t xml:space="preserve"> </w:t>
            </w:r>
          </w:p>
        </w:tc>
        <w:tc>
          <w:tcPr>
            <w:tcW w:w="448" w:type="dxa"/>
            <w:tcBorders>
              <w:bottom w:val="single" w:sz="4" w:space="0" w:color="auto"/>
            </w:tcBorders>
            <w:shd w:val="clear" w:color="auto" w:fill="auto"/>
            <w:vAlign w:val="center"/>
          </w:tcPr>
          <w:p w:rsidR="001A63C6" w:rsidRPr="00B41377" w:rsidRDefault="00B54770">
            <w:pPr>
              <w:pStyle w:val="TableText"/>
              <w:widowControl w:val="0"/>
              <w:rPr>
                <w:rFonts w:cs="Tahoma"/>
                <w:b/>
                <w:color w:val="000000"/>
                <w:sz w:val="13"/>
                <w:szCs w:val="13"/>
                <w:u w:val="single"/>
              </w:rPr>
            </w:pPr>
            <w:hyperlink w:anchor="_67_Forefront_Unified" w:history="1">
              <w:r w:rsidR="00734B17" w:rsidRPr="00B41377">
                <w:rPr>
                  <w:rStyle w:val="Hyperlink"/>
                  <w:rFonts w:cs="Tahoma"/>
                  <w:b/>
                  <w:sz w:val="13"/>
                  <w:szCs w:val="13"/>
                </w:rPr>
                <w:t>67</w:t>
              </w:r>
            </w:hyperlink>
            <w:hyperlink w:anchor="Srv_52ForefrontUnifiedAccessGtwy2010" w:history="1"/>
          </w:p>
        </w:tc>
        <w:tc>
          <w:tcPr>
            <w:tcW w:w="449" w:type="dxa"/>
            <w:tcBorders>
              <w:bottom w:val="single" w:sz="4" w:space="0" w:color="auto"/>
            </w:tcBorders>
            <w:shd w:val="clear" w:color="auto" w:fill="auto"/>
          </w:tcPr>
          <w:p w:rsidR="001A63C6" w:rsidRPr="00A75DF9" w:rsidRDefault="001A63C6" w:rsidP="001A63C6">
            <w:pPr>
              <w:pStyle w:val="TableText"/>
              <w:widowControl w:val="0"/>
              <w:spacing w:before="80"/>
              <w:rPr>
                <w:rFonts w:ascii="Tahoma" w:hAnsi="Tahoma" w:cs="Tahoma"/>
                <w:sz w:val="13"/>
              </w:rPr>
            </w:pPr>
            <w:r w:rsidRPr="00A75DF9">
              <w:rPr>
                <w:rFonts w:ascii="Tahoma" w:hAnsi="Tahoma" w:cs="Tahoma"/>
                <w:sz w:val="13"/>
              </w:rPr>
              <w:t>01/10</w:t>
            </w:r>
          </w:p>
        </w:tc>
        <w:tc>
          <w:tcPr>
            <w:tcW w:w="359"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3</w:t>
            </w:r>
          </w:p>
        </w:tc>
        <w:tc>
          <w:tcPr>
            <w:tcW w:w="455"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2</w:t>
            </w:r>
          </w:p>
        </w:tc>
        <w:tc>
          <w:tcPr>
            <w:tcW w:w="450" w:type="dxa"/>
            <w:gridSpan w:val="3"/>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2</w:t>
            </w:r>
          </w:p>
        </w:tc>
        <w:tc>
          <w:tcPr>
            <w:tcW w:w="445"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2</w:t>
            </w: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1</w:t>
            </w:r>
          </w:p>
        </w:tc>
        <w:tc>
          <w:tcPr>
            <w:tcW w:w="374"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1</w:t>
            </w:r>
          </w:p>
        </w:tc>
        <w:tc>
          <w:tcPr>
            <w:tcW w:w="455"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1</w:t>
            </w: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2</w:t>
            </w: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1</w:t>
            </w:r>
          </w:p>
        </w:tc>
        <w:tc>
          <w:tcPr>
            <w:tcW w:w="450"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1</w:t>
            </w: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P</w:t>
            </w:r>
          </w:p>
        </w:tc>
        <w:tc>
          <w:tcPr>
            <w:tcW w:w="450" w:type="dxa"/>
            <w:tcBorders>
              <w:bottom w:val="single" w:sz="4" w:space="0" w:color="auto"/>
            </w:tcBorders>
            <w:shd w:val="clear" w:color="auto" w:fill="auto"/>
          </w:tcPr>
          <w:p w:rsidR="001A63C6" w:rsidRPr="00A75DF9" w:rsidRDefault="001A63C6" w:rsidP="001A63C6">
            <w:pPr>
              <w:pStyle w:val="TableText"/>
              <w:widowControl w:val="0"/>
              <w:spacing w:before="120"/>
              <w:rPr>
                <w:rFonts w:ascii="Tahoma" w:hAnsi="Tahoma" w:cs="Tahoma"/>
                <w:sz w:val="13"/>
              </w:rPr>
            </w:pPr>
            <w:r w:rsidRPr="00A75DF9">
              <w:rPr>
                <w:rFonts w:ascii="Tahoma" w:hAnsi="Tahoma" w:cs="Tahoma"/>
                <w:sz w:val="13"/>
              </w:rPr>
              <w:t>AO, ST</w:t>
            </w:r>
          </w:p>
        </w:tc>
        <w:tc>
          <w:tcPr>
            <w:tcW w:w="539"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r>
      <w:tr w:rsidR="00EF228F" w:rsidRPr="00A75DF9" w:rsidTr="008A1262">
        <w:trPr>
          <w:trHeight w:val="145"/>
        </w:trPr>
        <w:tc>
          <w:tcPr>
            <w:tcW w:w="2724" w:type="dxa"/>
            <w:gridSpan w:val="2"/>
            <w:tcBorders>
              <w:bottom w:val="single" w:sz="4" w:space="0" w:color="auto"/>
            </w:tcBorders>
            <w:shd w:val="clear" w:color="auto" w:fill="FABF8F"/>
          </w:tcPr>
          <w:p w:rsidR="001A63C6" w:rsidRPr="00A75DF9" w:rsidRDefault="001A63C6" w:rsidP="001A63C6">
            <w:pPr>
              <w:pStyle w:val="ProductNames"/>
              <w:rPr>
                <w:rFonts w:ascii="Tahoma" w:hAnsi="Tahoma" w:cs="Tahoma"/>
                <w:sz w:val="14"/>
              </w:rPr>
            </w:pPr>
            <w:bookmarkStart w:id="259" w:name="_Toc336337985"/>
            <w:bookmarkStart w:id="260" w:name="_Toc368309991"/>
            <w:r w:rsidRPr="00A75DF9">
              <w:rPr>
                <w:rFonts w:ascii="Tahoma" w:hAnsi="Tahoma" w:cs="Tahoma"/>
                <w:sz w:val="14"/>
              </w:rPr>
              <w:t>Pacchetto di 10.000 CAL per Forefront Unified Access Gateway 2010</w:t>
            </w:r>
            <w:bookmarkEnd w:id="259"/>
            <w:bookmarkEnd w:id="260"/>
          </w:p>
        </w:tc>
        <w:tc>
          <w:tcPr>
            <w:tcW w:w="448" w:type="dxa"/>
            <w:tcBorders>
              <w:bottom w:val="single" w:sz="4" w:space="0" w:color="auto"/>
            </w:tcBorders>
            <w:shd w:val="clear" w:color="auto" w:fill="FABF8F"/>
            <w:vAlign w:val="center"/>
          </w:tcPr>
          <w:p w:rsidR="001A63C6" w:rsidRPr="00B41377" w:rsidRDefault="00B54770">
            <w:pPr>
              <w:pStyle w:val="TableText"/>
              <w:widowControl w:val="0"/>
              <w:rPr>
                <w:rFonts w:cs="Tahoma"/>
                <w:b/>
                <w:color w:val="000000"/>
                <w:sz w:val="13"/>
                <w:szCs w:val="13"/>
                <w:u w:val="single"/>
              </w:rPr>
            </w:pPr>
            <w:hyperlink w:anchor="_67_Forefront_Unified" w:history="1">
              <w:r w:rsidR="00734B17" w:rsidRPr="00B41377">
                <w:rPr>
                  <w:rStyle w:val="Hyperlink"/>
                  <w:rFonts w:cs="Tahoma"/>
                  <w:b/>
                  <w:sz w:val="13"/>
                  <w:szCs w:val="13"/>
                </w:rPr>
                <w:t>67</w:t>
              </w:r>
            </w:hyperlink>
            <w:hyperlink w:anchor="Srv_52ForefrontUnifiedAccessGtwy2010" w:history="1"/>
          </w:p>
        </w:tc>
        <w:tc>
          <w:tcPr>
            <w:tcW w:w="449" w:type="dxa"/>
            <w:tcBorders>
              <w:bottom w:val="single" w:sz="4" w:space="0" w:color="auto"/>
            </w:tcBorders>
            <w:shd w:val="clear" w:color="auto" w:fill="FABF8F"/>
          </w:tcPr>
          <w:p w:rsidR="001A63C6" w:rsidRPr="00A75DF9" w:rsidRDefault="001A63C6" w:rsidP="001A63C6">
            <w:pPr>
              <w:pStyle w:val="TableText"/>
              <w:widowControl w:val="0"/>
              <w:spacing w:before="80"/>
              <w:rPr>
                <w:rFonts w:ascii="Tahoma" w:hAnsi="Tahoma" w:cs="Tahoma"/>
                <w:sz w:val="13"/>
              </w:rPr>
            </w:pPr>
            <w:r w:rsidRPr="00A75DF9">
              <w:rPr>
                <w:rFonts w:ascii="Tahoma" w:hAnsi="Tahoma" w:cs="Tahoma"/>
                <w:sz w:val="13"/>
              </w:rPr>
              <w:t>01/10</w:t>
            </w:r>
          </w:p>
        </w:tc>
        <w:tc>
          <w:tcPr>
            <w:tcW w:w="359"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200</w:t>
            </w: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500</w:t>
            </w:r>
          </w:p>
        </w:tc>
        <w:tc>
          <w:tcPr>
            <w:tcW w:w="45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400</w:t>
            </w:r>
          </w:p>
        </w:tc>
        <w:tc>
          <w:tcPr>
            <w:tcW w:w="450" w:type="dxa"/>
            <w:gridSpan w:val="3"/>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300</w:t>
            </w:r>
          </w:p>
        </w:tc>
        <w:tc>
          <w:tcPr>
            <w:tcW w:w="44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300</w:t>
            </w: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200</w:t>
            </w:r>
          </w:p>
        </w:tc>
        <w:tc>
          <w:tcPr>
            <w:tcW w:w="374"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100</w:t>
            </w:r>
          </w:p>
        </w:tc>
        <w:tc>
          <w:tcPr>
            <w:tcW w:w="455"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A75DF9" w:rsidRDefault="001A63C6" w:rsidP="001A63C6">
            <w:pPr>
              <w:pStyle w:val="TableText"/>
              <w:widowControl w:val="0"/>
              <w:spacing w:before="120"/>
              <w:rPr>
                <w:rFonts w:ascii="Tahoma" w:hAnsi="Tahoma" w:cs="Tahoma"/>
                <w:sz w:val="13"/>
              </w:rPr>
            </w:pPr>
          </w:p>
        </w:tc>
        <w:tc>
          <w:tcPr>
            <w:tcW w:w="539"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r>
      <w:tr w:rsidR="00EF228F" w:rsidRPr="00A75DF9" w:rsidTr="008A1262">
        <w:trPr>
          <w:trHeight w:val="145"/>
        </w:trPr>
        <w:tc>
          <w:tcPr>
            <w:tcW w:w="2724" w:type="dxa"/>
            <w:gridSpan w:val="2"/>
            <w:tcBorders>
              <w:bottom w:val="single" w:sz="4" w:space="0" w:color="auto"/>
            </w:tcBorders>
            <w:shd w:val="clear" w:color="auto" w:fill="auto"/>
          </w:tcPr>
          <w:p w:rsidR="001A63C6" w:rsidRPr="00A75DF9" w:rsidRDefault="001A63C6" w:rsidP="001A63C6">
            <w:pPr>
              <w:pStyle w:val="ProductNames"/>
              <w:rPr>
                <w:rFonts w:ascii="Tahoma" w:hAnsi="Tahoma" w:cs="Tahoma"/>
                <w:sz w:val="14"/>
              </w:rPr>
            </w:pPr>
            <w:bookmarkStart w:id="261" w:name="_Toc336337990"/>
            <w:bookmarkStart w:id="262" w:name="_Toc368309992"/>
            <w:r w:rsidRPr="00A75DF9">
              <w:rPr>
                <w:rFonts w:ascii="Tahoma" w:hAnsi="Tahoma" w:cs="Tahoma"/>
                <w:sz w:val="14"/>
              </w:rPr>
              <w:t>HPC Pack 2008 R2 Enterprise</w:t>
            </w:r>
            <w:bookmarkEnd w:id="261"/>
            <w:bookmarkEnd w:id="262"/>
          </w:p>
        </w:tc>
        <w:tc>
          <w:tcPr>
            <w:tcW w:w="448" w:type="dxa"/>
            <w:tcBorders>
              <w:bottom w:val="single" w:sz="4" w:space="0" w:color="auto"/>
            </w:tcBorders>
            <w:shd w:val="clear" w:color="auto" w:fill="auto"/>
            <w:vAlign w:val="center"/>
          </w:tcPr>
          <w:p w:rsidR="001A63C6" w:rsidRPr="00B41377" w:rsidRDefault="00B54770">
            <w:pPr>
              <w:pStyle w:val="TableText"/>
              <w:widowControl w:val="0"/>
              <w:rPr>
                <w:rStyle w:val="EndnoteReference"/>
                <w:rFonts w:cs="Tahoma"/>
                <w:color w:val="000000"/>
                <w:position w:val="-11"/>
                <w:sz w:val="13"/>
                <w:szCs w:val="13"/>
                <w:u w:val="single"/>
              </w:rPr>
            </w:pPr>
            <w:hyperlink w:anchor="_51_High_Performance" w:history="1">
              <w:hyperlink w:anchor="_51_High_Performance" w:history="1">
                <w:r w:rsidR="00734B17" w:rsidRPr="003F1FE0">
                  <w:rPr>
                    <w:rStyle w:val="Hyperlink"/>
                    <w:rFonts w:cs="Tahoma"/>
                    <w:b/>
                    <w:sz w:val="13"/>
                    <w:szCs w:val="13"/>
                  </w:rPr>
                  <w:t>6</w:t>
                </w:r>
              </w:hyperlink>
              <w:r w:rsidR="00734B17" w:rsidRPr="003F1FE0">
                <w:rPr>
                  <w:rStyle w:val="Hyperlink"/>
                  <w:rFonts w:cs="Tahoma"/>
                  <w:b/>
                  <w:sz w:val="13"/>
                  <w:szCs w:val="13"/>
                </w:rPr>
                <w:t>8</w:t>
              </w:r>
            </w:hyperlink>
            <w:hyperlink w:anchor="Srv_54HighPerfComputingPack" w:history="1"/>
          </w:p>
        </w:tc>
        <w:tc>
          <w:tcPr>
            <w:tcW w:w="449" w:type="dxa"/>
            <w:tcBorders>
              <w:bottom w:val="single" w:sz="4" w:space="0" w:color="auto"/>
            </w:tcBorders>
            <w:shd w:val="clear" w:color="auto" w:fill="auto"/>
          </w:tcPr>
          <w:p w:rsidR="001A63C6" w:rsidRPr="00A75DF9" w:rsidRDefault="001A63C6" w:rsidP="001A63C6">
            <w:pPr>
              <w:pStyle w:val="TableText"/>
              <w:widowControl w:val="0"/>
              <w:spacing w:before="80"/>
              <w:rPr>
                <w:rFonts w:ascii="Tahoma" w:hAnsi="Tahoma" w:cs="Tahoma"/>
                <w:sz w:val="13"/>
              </w:rPr>
            </w:pPr>
            <w:r w:rsidRPr="00A75DF9">
              <w:rPr>
                <w:rFonts w:ascii="Tahoma" w:hAnsi="Tahoma" w:cs="Tahoma"/>
                <w:sz w:val="13"/>
              </w:rPr>
              <w:t>09/10</w:t>
            </w:r>
          </w:p>
        </w:tc>
        <w:tc>
          <w:tcPr>
            <w:tcW w:w="359"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SRV</w:t>
            </w:r>
          </w:p>
        </w:tc>
        <w:tc>
          <w:tcPr>
            <w:tcW w:w="356"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c>
          <w:tcPr>
            <w:tcW w:w="455"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c>
          <w:tcPr>
            <w:tcW w:w="445"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c>
          <w:tcPr>
            <w:tcW w:w="374"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c>
          <w:tcPr>
            <w:tcW w:w="455"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A75DF9" w:rsidRDefault="001A63C6" w:rsidP="001A63C6">
            <w:pPr>
              <w:pStyle w:val="TableText"/>
              <w:widowControl w:val="0"/>
              <w:spacing w:before="120"/>
              <w:rPr>
                <w:rFonts w:ascii="Tahoma" w:hAnsi="Tahoma" w:cs="Tahoma"/>
                <w:sz w:val="13"/>
              </w:rPr>
            </w:pPr>
          </w:p>
        </w:tc>
        <w:tc>
          <w:tcPr>
            <w:tcW w:w="539"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r>
      <w:tr w:rsidR="00B33D0E" w:rsidRPr="00A75DF9" w:rsidTr="008A1262">
        <w:trPr>
          <w:trHeight w:val="145"/>
        </w:trPr>
        <w:tc>
          <w:tcPr>
            <w:tcW w:w="2724" w:type="dxa"/>
            <w:gridSpan w:val="2"/>
            <w:tcBorders>
              <w:bottom w:val="single" w:sz="4" w:space="0" w:color="auto"/>
            </w:tcBorders>
            <w:shd w:val="clear" w:color="auto" w:fill="FABF8F"/>
          </w:tcPr>
          <w:p w:rsidR="001A63C6" w:rsidRPr="00A75DF9" w:rsidRDefault="001A63C6" w:rsidP="001A63C6">
            <w:pPr>
              <w:pStyle w:val="ProductNames"/>
              <w:rPr>
                <w:rFonts w:ascii="Tahoma" w:hAnsi="Tahoma" w:cs="Tahoma"/>
                <w:sz w:val="14"/>
              </w:rPr>
            </w:pPr>
            <w:bookmarkStart w:id="263" w:name="_Toc336337991"/>
            <w:bookmarkStart w:id="264" w:name="_Toc368309993"/>
            <w:r w:rsidRPr="00A75DF9">
              <w:rPr>
                <w:rFonts w:ascii="Tahoma" w:hAnsi="Tahoma" w:cs="Tahoma"/>
                <w:sz w:val="14"/>
              </w:rPr>
              <w:t>HPC Pack 2008 R2 per Workstation</w:t>
            </w:r>
            <w:bookmarkEnd w:id="263"/>
            <w:bookmarkEnd w:id="264"/>
          </w:p>
        </w:tc>
        <w:tc>
          <w:tcPr>
            <w:tcW w:w="448" w:type="dxa"/>
            <w:tcBorders>
              <w:bottom w:val="single" w:sz="4" w:space="0" w:color="auto"/>
            </w:tcBorders>
            <w:shd w:val="clear" w:color="auto" w:fill="FABF8F"/>
            <w:vAlign w:val="center"/>
          </w:tcPr>
          <w:p w:rsidR="001A63C6" w:rsidRPr="00B41377" w:rsidRDefault="00B54770" w:rsidP="009C0A44">
            <w:pPr>
              <w:pStyle w:val="TableText"/>
              <w:widowControl w:val="0"/>
              <w:rPr>
                <w:rStyle w:val="EndnoteReference"/>
                <w:rFonts w:cs="Tahoma"/>
                <w:b w:val="0"/>
                <w:color w:val="000000"/>
                <w:sz w:val="13"/>
                <w:szCs w:val="13"/>
                <w:u w:val="single"/>
              </w:rPr>
            </w:pPr>
            <w:hyperlink w:anchor="_51_High_Performance" w:history="1">
              <w:hyperlink w:anchor="_51_High_Performance" w:history="1">
                <w:r w:rsidR="003F1FE0" w:rsidRPr="003F1FE0">
                  <w:rPr>
                    <w:rStyle w:val="Hyperlink"/>
                    <w:rFonts w:cs="Tahoma"/>
                    <w:b/>
                    <w:sz w:val="13"/>
                    <w:szCs w:val="13"/>
                  </w:rPr>
                  <w:t>6</w:t>
                </w:r>
              </w:hyperlink>
              <w:r w:rsidR="003F1FE0" w:rsidRPr="003F1FE0">
                <w:rPr>
                  <w:rStyle w:val="Hyperlink"/>
                  <w:rFonts w:cs="Tahoma"/>
                  <w:b/>
                  <w:sz w:val="13"/>
                  <w:szCs w:val="13"/>
                </w:rPr>
                <w:t>8</w:t>
              </w:r>
            </w:hyperlink>
          </w:p>
        </w:tc>
        <w:tc>
          <w:tcPr>
            <w:tcW w:w="449" w:type="dxa"/>
            <w:tcBorders>
              <w:bottom w:val="single" w:sz="4" w:space="0" w:color="auto"/>
            </w:tcBorders>
            <w:shd w:val="clear" w:color="auto" w:fill="FABF8F"/>
          </w:tcPr>
          <w:p w:rsidR="001A63C6" w:rsidRPr="00A75DF9" w:rsidRDefault="001A63C6" w:rsidP="001A63C6">
            <w:pPr>
              <w:pStyle w:val="TableText"/>
              <w:widowControl w:val="0"/>
              <w:spacing w:before="80"/>
              <w:rPr>
                <w:rFonts w:ascii="Tahoma" w:hAnsi="Tahoma" w:cs="Tahoma"/>
                <w:sz w:val="13"/>
              </w:rPr>
            </w:pPr>
            <w:r w:rsidRPr="00A75DF9">
              <w:rPr>
                <w:rFonts w:ascii="Tahoma" w:hAnsi="Tahoma" w:cs="Tahoma"/>
                <w:sz w:val="13"/>
              </w:rPr>
              <w:t>09/10</w:t>
            </w:r>
          </w:p>
        </w:tc>
        <w:tc>
          <w:tcPr>
            <w:tcW w:w="359"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SRV</w:t>
            </w:r>
          </w:p>
        </w:tc>
        <w:tc>
          <w:tcPr>
            <w:tcW w:w="356"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c>
          <w:tcPr>
            <w:tcW w:w="45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c>
          <w:tcPr>
            <w:tcW w:w="44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c>
          <w:tcPr>
            <w:tcW w:w="374"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c>
          <w:tcPr>
            <w:tcW w:w="455"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A75DF9" w:rsidRDefault="001A63C6" w:rsidP="001A63C6">
            <w:pPr>
              <w:pStyle w:val="TableText"/>
              <w:widowControl w:val="0"/>
              <w:spacing w:before="120"/>
              <w:rPr>
                <w:rFonts w:ascii="Tahoma" w:hAnsi="Tahoma" w:cs="Tahoma"/>
                <w:sz w:val="13"/>
              </w:rPr>
            </w:pPr>
          </w:p>
        </w:tc>
        <w:tc>
          <w:tcPr>
            <w:tcW w:w="539"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r>
      <w:tr w:rsidR="009C7B23" w:rsidRPr="00A75DF9" w:rsidTr="008A1262">
        <w:trPr>
          <w:trHeight w:val="145"/>
        </w:trPr>
        <w:tc>
          <w:tcPr>
            <w:tcW w:w="2724" w:type="dxa"/>
            <w:gridSpan w:val="2"/>
            <w:tcBorders>
              <w:bottom w:val="single" w:sz="4" w:space="0" w:color="auto"/>
            </w:tcBorders>
            <w:shd w:val="clear" w:color="auto" w:fill="auto"/>
            <w:vAlign w:val="center"/>
          </w:tcPr>
          <w:p w:rsidR="009C7B23" w:rsidRPr="00A75DF9" w:rsidRDefault="009C7B23" w:rsidP="001A63C6">
            <w:pPr>
              <w:pStyle w:val="Heading2"/>
              <w:ind w:left="0"/>
              <w:rPr>
                <w:rFonts w:ascii="Tahoma" w:hAnsi="Tahoma" w:cs="Tahoma"/>
                <w:b w:val="0"/>
                <w:sz w:val="14"/>
                <w:szCs w:val="16"/>
              </w:rPr>
            </w:pPr>
            <w:bookmarkStart w:id="265" w:name="_Toc368309994"/>
            <w:r w:rsidRPr="00A75DF9">
              <w:rPr>
                <w:rFonts w:ascii="Tahoma" w:hAnsi="Tahoma" w:cs="Tahoma"/>
                <w:b w:val="0"/>
                <w:sz w:val="14"/>
                <w:szCs w:val="16"/>
              </w:rPr>
              <w:t>Componente Aggiuntivo di Lync Online Piano 1 (SL per Utente)</w:t>
            </w:r>
            <w:bookmarkEnd w:id="265"/>
          </w:p>
        </w:tc>
        <w:tc>
          <w:tcPr>
            <w:tcW w:w="448" w:type="dxa"/>
            <w:tcBorders>
              <w:bottom w:val="single" w:sz="4" w:space="0" w:color="auto"/>
            </w:tcBorders>
            <w:shd w:val="clear" w:color="auto" w:fill="auto"/>
            <w:vAlign w:val="center"/>
          </w:tcPr>
          <w:p w:rsidR="009C7B23" w:rsidRPr="00B41377" w:rsidRDefault="00B54770">
            <w:pPr>
              <w:pStyle w:val="TableText"/>
              <w:widowControl w:val="0"/>
              <w:rPr>
                <w:rFonts w:cs="Tahoma"/>
                <w:b/>
                <w:sz w:val="13"/>
                <w:szCs w:val="13"/>
              </w:rPr>
            </w:pPr>
            <w:hyperlink w:anchor="_65_63_Lync" w:history="1">
              <w:r w:rsidR="00734B17" w:rsidRPr="00B41377">
                <w:rPr>
                  <w:rStyle w:val="Hyperlink"/>
                  <w:rFonts w:cs="Tahoma"/>
                  <w:b/>
                  <w:sz w:val="13"/>
                  <w:szCs w:val="13"/>
                </w:rPr>
                <w:t>69</w:t>
              </w:r>
            </w:hyperlink>
          </w:p>
        </w:tc>
        <w:tc>
          <w:tcPr>
            <w:tcW w:w="449" w:type="dxa"/>
            <w:tcBorders>
              <w:bottom w:val="single" w:sz="4" w:space="0" w:color="auto"/>
            </w:tcBorders>
            <w:shd w:val="clear" w:color="auto" w:fill="auto"/>
          </w:tcPr>
          <w:p w:rsidR="009C7B23" w:rsidRPr="00A75DF9" w:rsidRDefault="009C7B23" w:rsidP="001A63C6">
            <w:pPr>
              <w:pStyle w:val="TableText"/>
              <w:widowControl w:val="0"/>
              <w:spacing w:before="120"/>
              <w:rPr>
                <w:rFonts w:ascii="Tahoma" w:hAnsi="Tahoma" w:cs="Tahoma"/>
                <w:color w:val="000000"/>
                <w:sz w:val="13"/>
              </w:rPr>
            </w:pPr>
            <w:r w:rsidRPr="00A75DF9">
              <w:rPr>
                <w:rFonts w:ascii="Tahoma" w:hAnsi="Tahoma" w:cs="Tahoma"/>
                <w:color w:val="000000"/>
                <w:sz w:val="13"/>
              </w:rPr>
              <w:t>08/13</w:t>
            </w:r>
          </w:p>
        </w:tc>
        <w:tc>
          <w:tcPr>
            <w:tcW w:w="359" w:type="dxa"/>
            <w:tcBorders>
              <w:bottom w:val="single" w:sz="4" w:space="0" w:color="auto"/>
              <w:right w:val="single" w:sz="18" w:space="0" w:color="auto"/>
            </w:tcBorders>
            <w:shd w:val="clear" w:color="auto" w:fill="auto"/>
            <w:vAlign w:val="center"/>
          </w:tcPr>
          <w:p w:rsidR="009C7B23" w:rsidRPr="00A75DF9" w:rsidRDefault="009C7B23" w:rsidP="001A63C6">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auto"/>
            <w:vAlign w:val="center"/>
          </w:tcPr>
          <w:p w:rsidR="009C7B23" w:rsidRPr="00A75DF9"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C7B23" w:rsidRPr="00A75DF9" w:rsidRDefault="009C7B23" w:rsidP="001A63C6">
            <w:pPr>
              <w:pStyle w:val="TableText"/>
              <w:widowControl w:val="0"/>
              <w:rPr>
                <w:rFonts w:ascii="Tahoma" w:hAnsi="Tahoma" w:cs="Tahoma"/>
                <w:sz w:val="13"/>
              </w:rPr>
            </w:pPr>
          </w:p>
        </w:tc>
        <w:tc>
          <w:tcPr>
            <w:tcW w:w="455" w:type="dxa"/>
            <w:tcBorders>
              <w:bottom w:val="single" w:sz="4" w:space="0" w:color="auto"/>
            </w:tcBorders>
            <w:shd w:val="clear" w:color="auto" w:fill="auto"/>
            <w:vAlign w:val="center"/>
          </w:tcPr>
          <w:p w:rsidR="009C7B23" w:rsidRPr="00A75DF9" w:rsidRDefault="009C7B23"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C7B23" w:rsidRPr="00A75DF9" w:rsidRDefault="009C7B23" w:rsidP="001A63C6">
            <w:pPr>
              <w:pStyle w:val="TableText"/>
              <w:widowControl w:val="0"/>
              <w:rPr>
                <w:rFonts w:ascii="Tahoma" w:hAnsi="Tahoma" w:cs="Tahoma"/>
                <w:sz w:val="13"/>
              </w:rPr>
            </w:pPr>
          </w:p>
        </w:tc>
        <w:tc>
          <w:tcPr>
            <w:tcW w:w="445" w:type="dxa"/>
            <w:tcBorders>
              <w:bottom w:val="single" w:sz="4" w:space="0" w:color="auto"/>
            </w:tcBorders>
            <w:shd w:val="clear" w:color="auto" w:fill="auto"/>
            <w:vAlign w:val="center"/>
          </w:tcPr>
          <w:p w:rsidR="009C7B23" w:rsidRPr="00A75DF9"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C7B23" w:rsidRPr="00A75DF9" w:rsidRDefault="009C7B23" w:rsidP="001A63C6">
            <w:pPr>
              <w:pStyle w:val="TableText"/>
              <w:widowControl w:val="0"/>
              <w:rPr>
                <w:rFonts w:ascii="Tahoma" w:hAnsi="Tahoma" w:cs="Tahoma"/>
                <w:sz w:val="13"/>
              </w:rPr>
            </w:pPr>
          </w:p>
        </w:tc>
        <w:tc>
          <w:tcPr>
            <w:tcW w:w="374" w:type="dxa"/>
            <w:tcBorders>
              <w:bottom w:val="single" w:sz="4" w:space="0" w:color="auto"/>
              <w:right w:val="single" w:sz="18" w:space="0" w:color="auto"/>
            </w:tcBorders>
            <w:shd w:val="clear" w:color="auto" w:fill="auto"/>
            <w:vAlign w:val="center"/>
          </w:tcPr>
          <w:p w:rsidR="009C7B23" w:rsidRPr="00A75DF9" w:rsidRDefault="009C7B23" w:rsidP="001A63C6">
            <w:pPr>
              <w:pStyle w:val="TableText"/>
              <w:widowControl w:val="0"/>
              <w:rPr>
                <w:rFonts w:ascii="Tahoma" w:hAnsi="Tahoma" w:cs="Tahoma"/>
                <w:sz w:val="13"/>
              </w:rPr>
            </w:pPr>
          </w:p>
        </w:tc>
        <w:tc>
          <w:tcPr>
            <w:tcW w:w="455" w:type="dxa"/>
            <w:tcBorders>
              <w:left w:val="single" w:sz="18" w:space="0" w:color="auto"/>
              <w:bottom w:val="single" w:sz="4" w:space="0" w:color="auto"/>
            </w:tcBorders>
            <w:shd w:val="clear" w:color="auto" w:fill="auto"/>
            <w:vAlign w:val="center"/>
          </w:tcPr>
          <w:p w:rsidR="009C7B23" w:rsidRPr="00A75DF9"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C7B23" w:rsidRPr="00A75DF9" w:rsidRDefault="009C7B23"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C7B23" w:rsidRPr="00A75DF9" w:rsidRDefault="009C7B23"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C7B23" w:rsidRPr="00A75DF9" w:rsidRDefault="009C7B23"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C7B23" w:rsidRPr="00A75DF9" w:rsidRDefault="009C7B23" w:rsidP="001A63C6">
            <w:pPr>
              <w:pStyle w:val="TableText"/>
              <w:widowControl w:val="0"/>
              <w:rPr>
                <w:rFonts w:ascii="Tahoma" w:hAnsi="Tahoma" w:cs="Tahoma"/>
                <w:sz w:val="13"/>
              </w:rPr>
            </w:pPr>
            <w:r w:rsidRPr="00A75D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C7B23" w:rsidRPr="00A75DF9"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9C7B23" w:rsidRPr="00A75DF9" w:rsidRDefault="009C7B23" w:rsidP="001A63C6">
            <w:pPr>
              <w:pStyle w:val="TableText"/>
              <w:widowControl w:val="0"/>
              <w:spacing w:before="120"/>
              <w:rPr>
                <w:rFonts w:ascii="Tahoma" w:hAnsi="Tahoma" w:cs="Tahoma"/>
                <w:sz w:val="13"/>
              </w:rPr>
            </w:pPr>
          </w:p>
        </w:tc>
        <w:tc>
          <w:tcPr>
            <w:tcW w:w="539" w:type="dxa"/>
            <w:tcBorders>
              <w:bottom w:val="single" w:sz="4" w:space="0" w:color="auto"/>
            </w:tcBorders>
            <w:shd w:val="clear" w:color="auto" w:fill="auto"/>
            <w:vAlign w:val="center"/>
          </w:tcPr>
          <w:p w:rsidR="009C7B23" w:rsidRPr="00A75DF9" w:rsidRDefault="009C7B23" w:rsidP="001A63C6">
            <w:pPr>
              <w:pStyle w:val="TableText"/>
              <w:widowControl w:val="0"/>
              <w:rPr>
                <w:rFonts w:ascii="Tahoma" w:hAnsi="Tahoma" w:cs="Tahoma"/>
                <w:sz w:val="13"/>
              </w:rPr>
            </w:pPr>
          </w:p>
        </w:tc>
      </w:tr>
      <w:tr w:rsidR="00B33D0E" w:rsidRPr="00A75DF9" w:rsidTr="008A1262">
        <w:trPr>
          <w:trHeight w:val="145"/>
        </w:trPr>
        <w:tc>
          <w:tcPr>
            <w:tcW w:w="2724" w:type="dxa"/>
            <w:gridSpan w:val="2"/>
            <w:tcBorders>
              <w:bottom w:val="single" w:sz="4" w:space="0" w:color="auto"/>
            </w:tcBorders>
            <w:shd w:val="clear" w:color="auto" w:fill="FABF8F"/>
            <w:vAlign w:val="center"/>
          </w:tcPr>
          <w:p w:rsidR="001A63C6" w:rsidRPr="00A75DF9" w:rsidRDefault="001A63C6" w:rsidP="001A63C6">
            <w:pPr>
              <w:pStyle w:val="Heading2"/>
              <w:ind w:left="0"/>
              <w:rPr>
                <w:rFonts w:ascii="Tahoma" w:hAnsi="Tahoma" w:cs="Tahoma"/>
                <w:b w:val="0"/>
                <w:sz w:val="14"/>
                <w:szCs w:val="16"/>
              </w:rPr>
            </w:pPr>
            <w:bookmarkStart w:id="266" w:name="_Toc336337995"/>
            <w:bookmarkStart w:id="267" w:name="_Toc368309995"/>
            <w:r w:rsidRPr="00A75DF9">
              <w:rPr>
                <w:rFonts w:ascii="Tahoma" w:hAnsi="Tahoma" w:cs="Tahoma"/>
                <w:b w:val="0"/>
                <w:sz w:val="14"/>
                <w:szCs w:val="16"/>
              </w:rPr>
              <w:t>Lync Online Piano 1 (SL per Utente)</w:t>
            </w:r>
            <w:bookmarkEnd w:id="266"/>
            <w:bookmarkEnd w:id="267"/>
          </w:p>
        </w:tc>
        <w:tc>
          <w:tcPr>
            <w:tcW w:w="448" w:type="dxa"/>
            <w:tcBorders>
              <w:bottom w:val="single" w:sz="4" w:space="0" w:color="auto"/>
            </w:tcBorders>
            <w:shd w:val="clear" w:color="auto" w:fill="FABF8F"/>
            <w:vAlign w:val="center"/>
          </w:tcPr>
          <w:p w:rsidR="001A63C6" w:rsidRPr="00B41377" w:rsidRDefault="00B54770" w:rsidP="0058590A">
            <w:pPr>
              <w:pStyle w:val="TableText"/>
              <w:widowControl w:val="0"/>
              <w:rPr>
                <w:rFonts w:cs="Tahoma"/>
                <w:b/>
                <w:color w:val="0000FF"/>
                <w:sz w:val="13"/>
                <w:szCs w:val="13"/>
                <w:u w:val="single"/>
              </w:rPr>
            </w:pPr>
            <w:hyperlink w:anchor="_58_Learning_Solutions" w:history="1">
              <w:r w:rsidR="007570BE">
                <w:rPr>
                  <w:rStyle w:val="Hyperlink"/>
                  <w:rFonts w:cs="Tahoma"/>
                  <w:b/>
                  <w:sz w:val="13"/>
                  <w:szCs w:val="13"/>
                </w:rPr>
                <w:t>69</w:t>
              </w:r>
            </w:hyperlink>
          </w:p>
        </w:tc>
        <w:tc>
          <w:tcPr>
            <w:tcW w:w="449" w:type="dxa"/>
            <w:tcBorders>
              <w:bottom w:val="single" w:sz="4" w:space="0" w:color="auto"/>
            </w:tcBorders>
            <w:shd w:val="clear" w:color="auto" w:fill="FABF8F"/>
          </w:tcPr>
          <w:p w:rsidR="001A63C6" w:rsidRPr="00A75DF9" w:rsidRDefault="001A63C6" w:rsidP="001A63C6">
            <w:pPr>
              <w:pStyle w:val="TableText"/>
              <w:widowControl w:val="0"/>
              <w:spacing w:before="120"/>
              <w:rPr>
                <w:rFonts w:ascii="Tahoma" w:hAnsi="Tahoma" w:cs="Tahoma"/>
                <w:color w:val="000000"/>
                <w:sz w:val="13"/>
              </w:rPr>
            </w:pPr>
            <w:r w:rsidRPr="00A75DF9">
              <w:rPr>
                <w:rFonts w:ascii="Tahoma" w:hAnsi="Tahoma" w:cs="Tahoma"/>
                <w:color w:val="000000"/>
                <w:sz w:val="13"/>
              </w:rPr>
              <w:t>06/11</w:t>
            </w:r>
          </w:p>
        </w:tc>
        <w:tc>
          <w:tcPr>
            <w:tcW w:w="359"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374"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5"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A75DF9" w:rsidRDefault="001A63C6" w:rsidP="001A63C6">
            <w:pPr>
              <w:pStyle w:val="TableText"/>
              <w:widowControl w:val="0"/>
              <w:spacing w:before="120"/>
              <w:rPr>
                <w:rFonts w:ascii="Tahoma" w:hAnsi="Tahoma" w:cs="Tahoma"/>
                <w:sz w:val="13"/>
              </w:rPr>
            </w:pPr>
          </w:p>
        </w:tc>
        <w:tc>
          <w:tcPr>
            <w:tcW w:w="539"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r>
      <w:tr w:rsidR="00BE2E58" w:rsidRPr="00A75DF9" w:rsidTr="008A1262">
        <w:trPr>
          <w:trHeight w:val="145"/>
        </w:trPr>
        <w:tc>
          <w:tcPr>
            <w:tcW w:w="2724" w:type="dxa"/>
            <w:gridSpan w:val="2"/>
            <w:tcBorders>
              <w:bottom w:val="single" w:sz="4" w:space="0" w:color="auto"/>
            </w:tcBorders>
            <w:shd w:val="clear" w:color="auto" w:fill="auto"/>
            <w:vAlign w:val="center"/>
          </w:tcPr>
          <w:p w:rsidR="001A63C6" w:rsidRPr="00A75DF9" w:rsidRDefault="001A63C6" w:rsidP="001A63C6">
            <w:pPr>
              <w:pStyle w:val="Heading2"/>
              <w:ind w:left="0"/>
              <w:rPr>
                <w:rFonts w:ascii="Tahoma" w:hAnsi="Tahoma" w:cs="Tahoma"/>
                <w:b w:val="0"/>
                <w:sz w:val="14"/>
                <w:szCs w:val="16"/>
              </w:rPr>
            </w:pPr>
            <w:bookmarkStart w:id="268" w:name="_Toc336337996"/>
            <w:bookmarkStart w:id="269" w:name="_Toc368309996"/>
            <w:r w:rsidRPr="00A75DF9">
              <w:rPr>
                <w:rFonts w:ascii="Tahoma" w:hAnsi="Tahoma" w:cs="Tahoma"/>
                <w:b w:val="0"/>
                <w:sz w:val="14"/>
                <w:szCs w:val="16"/>
              </w:rPr>
              <w:t>Lync Online Piano 2 (SL per Utente)</w:t>
            </w:r>
            <w:bookmarkEnd w:id="268"/>
            <w:bookmarkEnd w:id="269"/>
          </w:p>
        </w:tc>
        <w:tc>
          <w:tcPr>
            <w:tcW w:w="448" w:type="dxa"/>
            <w:tcBorders>
              <w:bottom w:val="single" w:sz="4" w:space="0" w:color="auto"/>
            </w:tcBorders>
            <w:shd w:val="clear" w:color="auto" w:fill="auto"/>
            <w:vAlign w:val="center"/>
          </w:tcPr>
          <w:p w:rsidR="001A63C6" w:rsidRPr="00B41377" w:rsidRDefault="00B54770">
            <w:pPr>
              <w:pStyle w:val="TableText"/>
              <w:widowControl w:val="0"/>
              <w:rPr>
                <w:rFonts w:cs="Tahoma"/>
                <w:b/>
                <w:color w:val="0000FF"/>
                <w:sz w:val="13"/>
                <w:szCs w:val="13"/>
                <w:u w:val="single"/>
              </w:rPr>
            </w:pPr>
            <w:hyperlink w:anchor="_70_Lync_Online" w:history="1">
              <w:r w:rsidR="00734B17" w:rsidRPr="00B41377">
                <w:rPr>
                  <w:rStyle w:val="Hyperlink"/>
                  <w:rFonts w:cs="Tahoma"/>
                  <w:b/>
                  <w:sz w:val="13"/>
                  <w:szCs w:val="13"/>
                </w:rPr>
                <w:t>69</w:t>
              </w:r>
            </w:hyperlink>
          </w:p>
        </w:tc>
        <w:tc>
          <w:tcPr>
            <w:tcW w:w="449" w:type="dxa"/>
            <w:tcBorders>
              <w:bottom w:val="single" w:sz="4" w:space="0" w:color="auto"/>
            </w:tcBorders>
            <w:shd w:val="clear" w:color="auto" w:fill="auto"/>
          </w:tcPr>
          <w:p w:rsidR="001A63C6" w:rsidRPr="00A75DF9" w:rsidRDefault="001A63C6" w:rsidP="001A63C6">
            <w:pPr>
              <w:pStyle w:val="TableText"/>
              <w:widowControl w:val="0"/>
              <w:spacing w:before="120"/>
              <w:rPr>
                <w:rFonts w:ascii="Tahoma" w:hAnsi="Tahoma" w:cs="Tahoma"/>
                <w:color w:val="000000"/>
                <w:sz w:val="13"/>
              </w:rPr>
            </w:pPr>
            <w:r w:rsidRPr="00A75DF9">
              <w:rPr>
                <w:rFonts w:ascii="Tahoma" w:hAnsi="Tahoma" w:cs="Tahoma"/>
                <w:color w:val="000000"/>
                <w:sz w:val="13"/>
              </w:rPr>
              <w:t>06/11</w:t>
            </w:r>
          </w:p>
        </w:tc>
        <w:tc>
          <w:tcPr>
            <w:tcW w:w="359"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5"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45"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374"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5"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A75DF9" w:rsidRDefault="001A63C6" w:rsidP="001A63C6">
            <w:pPr>
              <w:pStyle w:val="TableText"/>
              <w:widowControl w:val="0"/>
              <w:spacing w:before="120"/>
              <w:rPr>
                <w:rFonts w:ascii="Tahoma" w:hAnsi="Tahoma" w:cs="Tahoma"/>
                <w:sz w:val="13"/>
              </w:rPr>
            </w:pPr>
          </w:p>
        </w:tc>
        <w:tc>
          <w:tcPr>
            <w:tcW w:w="539"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r>
      <w:tr w:rsidR="00B33D0E" w:rsidRPr="00A75DF9" w:rsidTr="008A1262">
        <w:trPr>
          <w:trHeight w:val="145"/>
        </w:trPr>
        <w:tc>
          <w:tcPr>
            <w:tcW w:w="2724" w:type="dxa"/>
            <w:gridSpan w:val="2"/>
            <w:tcBorders>
              <w:bottom w:val="single" w:sz="4" w:space="0" w:color="auto"/>
            </w:tcBorders>
            <w:shd w:val="clear" w:color="auto" w:fill="FABF8F"/>
            <w:vAlign w:val="center"/>
          </w:tcPr>
          <w:p w:rsidR="001A63C6" w:rsidRPr="00A75DF9" w:rsidRDefault="001A63C6" w:rsidP="001A63C6">
            <w:pPr>
              <w:pStyle w:val="Heading2"/>
              <w:ind w:left="0"/>
              <w:rPr>
                <w:rFonts w:ascii="Tahoma" w:hAnsi="Tahoma" w:cs="Tahoma"/>
                <w:b w:val="0"/>
                <w:sz w:val="14"/>
                <w:szCs w:val="16"/>
              </w:rPr>
            </w:pPr>
            <w:bookmarkStart w:id="270" w:name="_Toc336337997"/>
            <w:bookmarkStart w:id="271" w:name="_Toc368309997"/>
            <w:r w:rsidRPr="00A75DF9">
              <w:rPr>
                <w:rFonts w:ascii="Tahoma" w:hAnsi="Tahoma" w:cs="Tahoma"/>
                <w:b w:val="0"/>
                <w:sz w:val="14"/>
                <w:szCs w:val="16"/>
              </w:rPr>
              <w:t>Lync Online Piano 3 (SL per Utente)</w:t>
            </w:r>
            <w:bookmarkEnd w:id="270"/>
            <w:bookmarkEnd w:id="271"/>
          </w:p>
        </w:tc>
        <w:tc>
          <w:tcPr>
            <w:tcW w:w="448" w:type="dxa"/>
            <w:tcBorders>
              <w:bottom w:val="single" w:sz="4" w:space="0" w:color="auto"/>
            </w:tcBorders>
            <w:shd w:val="clear" w:color="auto" w:fill="FABF8F"/>
            <w:vAlign w:val="center"/>
          </w:tcPr>
          <w:p w:rsidR="001A63C6" w:rsidRPr="00B41377" w:rsidRDefault="00B54770">
            <w:pPr>
              <w:pStyle w:val="TableText"/>
              <w:widowControl w:val="0"/>
              <w:rPr>
                <w:rFonts w:cs="Tahoma"/>
                <w:b/>
                <w:color w:val="0000FF"/>
                <w:sz w:val="13"/>
                <w:szCs w:val="13"/>
                <w:u w:val="single"/>
              </w:rPr>
            </w:pPr>
            <w:hyperlink w:anchor="_70_Lync_Online" w:history="1">
              <w:r w:rsidR="00734B17" w:rsidRPr="00B41377">
                <w:rPr>
                  <w:rStyle w:val="Hyperlink"/>
                  <w:rFonts w:cs="Tahoma"/>
                  <w:b/>
                  <w:sz w:val="13"/>
                  <w:szCs w:val="13"/>
                </w:rPr>
                <w:t>69</w:t>
              </w:r>
            </w:hyperlink>
          </w:p>
        </w:tc>
        <w:tc>
          <w:tcPr>
            <w:tcW w:w="449" w:type="dxa"/>
            <w:tcBorders>
              <w:bottom w:val="single" w:sz="4" w:space="0" w:color="auto"/>
            </w:tcBorders>
            <w:shd w:val="clear" w:color="auto" w:fill="FABF8F"/>
          </w:tcPr>
          <w:p w:rsidR="001A63C6" w:rsidRPr="00A75DF9" w:rsidRDefault="001A63C6" w:rsidP="001A63C6">
            <w:pPr>
              <w:pStyle w:val="TableText"/>
              <w:widowControl w:val="0"/>
              <w:spacing w:before="120"/>
              <w:rPr>
                <w:rFonts w:ascii="Tahoma" w:hAnsi="Tahoma" w:cs="Tahoma"/>
                <w:color w:val="000000"/>
                <w:sz w:val="13"/>
              </w:rPr>
            </w:pPr>
            <w:r w:rsidRPr="00A75DF9">
              <w:rPr>
                <w:rFonts w:ascii="Tahoma" w:hAnsi="Tahoma" w:cs="Tahoma"/>
                <w:color w:val="000000"/>
                <w:sz w:val="13"/>
              </w:rPr>
              <w:t>07/12</w:t>
            </w:r>
          </w:p>
        </w:tc>
        <w:tc>
          <w:tcPr>
            <w:tcW w:w="359"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374"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5"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A75DF9" w:rsidRDefault="001A63C6" w:rsidP="001A63C6">
            <w:pPr>
              <w:pStyle w:val="TableText"/>
              <w:widowControl w:val="0"/>
              <w:spacing w:before="120"/>
              <w:rPr>
                <w:rFonts w:ascii="Tahoma" w:hAnsi="Tahoma" w:cs="Tahoma"/>
                <w:sz w:val="13"/>
              </w:rPr>
            </w:pPr>
          </w:p>
        </w:tc>
        <w:tc>
          <w:tcPr>
            <w:tcW w:w="539"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r>
      <w:tr w:rsidR="00BE2E58" w:rsidRPr="00A75DF9" w:rsidTr="008A1262">
        <w:trPr>
          <w:trHeight w:val="145"/>
        </w:trPr>
        <w:tc>
          <w:tcPr>
            <w:tcW w:w="2724" w:type="dxa"/>
            <w:gridSpan w:val="2"/>
            <w:tcBorders>
              <w:bottom w:val="single" w:sz="4" w:space="0" w:color="auto"/>
            </w:tcBorders>
            <w:shd w:val="clear" w:color="auto" w:fill="auto"/>
            <w:vAlign w:val="center"/>
          </w:tcPr>
          <w:p w:rsidR="001A63C6" w:rsidRPr="00A75DF9" w:rsidRDefault="001A63C6" w:rsidP="001A63C6">
            <w:pPr>
              <w:pStyle w:val="Heading2"/>
              <w:ind w:left="0"/>
              <w:rPr>
                <w:rFonts w:ascii="Tahoma" w:hAnsi="Tahoma" w:cs="Tahoma"/>
                <w:b w:val="0"/>
                <w:sz w:val="14"/>
                <w:szCs w:val="16"/>
              </w:rPr>
            </w:pPr>
            <w:bookmarkStart w:id="272" w:name="_Toc336337998"/>
            <w:bookmarkStart w:id="273" w:name="_Toc368309998"/>
            <w:r w:rsidRPr="00A75DF9">
              <w:rPr>
                <w:rFonts w:ascii="Tahoma" w:hAnsi="Tahoma" w:cs="Tahoma"/>
                <w:b w:val="0"/>
                <w:sz w:val="14"/>
                <w:szCs w:val="16"/>
              </w:rPr>
              <w:t>Lync Online Piano 3A (SL per Utente)</w:t>
            </w:r>
            <w:bookmarkEnd w:id="272"/>
            <w:bookmarkEnd w:id="273"/>
          </w:p>
        </w:tc>
        <w:tc>
          <w:tcPr>
            <w:tcW w:w="448" w:type="dxa"/>
            <w:tcBorders>
              <w:bottom w:val="single" w:sz="4" w:space="0" w:color="auto"/>
            </w:tcBorders>
            <w:shd w:val="clear" w:color="auto" w:fill="auto"/>
            <w:vAlign w:val="center"/>
          </w:tcPr>
          <w:p w:rsidR="001A63C6" w:rsidRPr="00B41377" w:rsidRDefault="00B54770">
            <w:pPr>
              <w:pStyle w:val="TableText"/>
              <w:widowControl w:val="0"/>
              <w:rPr>
                <w:rFonts w:cs="Tahoma"/>
                <w:b/>
                <w:color w:val="0000FF"/>
                <w:sz w:val="13"/>
                <w:szCs w:val="13"/>
                <w:u w:val="single"/>
              </w:rPr>
            </w:pPr>
            <w:hyperlink w:anchor="_70_Lync_Online" w:history="1">
              <w:r w:rsidR="00734B17" w:rsidRPr="00B41377">
                <w:rPr>
                  <w:rStyle w:val="Hyperlink"/>
                  <w:rFonts w:cs="Tahoma"/>
                  <w:b/>
                  <w:sz w:val="13"/>
                  <w:szCs w:val="13"/>
                </w:rPr>
                <w:t>69</w:t>
              </w:r>
            </w:hyperlink>
          </w:p>
        </w:tc>
        <w:tc>
          <w:tcPr>
            <w:tcW w:w="449"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07/12</w:t>
            </w:r>
          </w:p>
        </w:tc>
        <w:tc>
          <w:tcPr>
            <w:tcW w:w="359"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5"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45"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374"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5"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A, ST (Solo EES)</w:t>
            </w:r>
          </w:p>
        </w:tc>
        <w:tc>
          <w:tcPr>
            <w:tcW w:w="539"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r>
      <w:tr w:rsidR="00B33D0E" w:rsidRPr="00A75DF9" w:rsidTr="008A1262">
        <w:trPr>
          <w:trHeight w:val="145"/>
        </w:trPr>
        <w:tc>
          <w:tcPr>
            <w:tcW w:w="2724" w:type="dxa"/>
            <w:gridSpan w:val="2"/>
            <w:tcBorders>
              <w:bottom w:val="single" w:sz="4" w:space="0" w:color="auto"/>
            </w:tcBorders>
            <w:shd w:val="clear" w:color="auto" w:fill="FABF8F"/>
            <w:vAlign w:val="center"/>
          </w:tcPr>
          <w:p w:rsidR="001A63C6" w:rsidRPr="00A75DF9" w:rsidRDefault="001A63C6" w:rsidP="001A63C6">
            <w:pPr>
              <w:pStyle w:val="Heading2"/>
              <w:ind w:left="0"/>
              <w:rPr>
                <w:rFonts w:ascii="Tahoma" w:hAnsi="Tahoma" w:cs="Tahoma"/>
                <w:b w:val="0"/>
                <w:sz w:val="14"/>
                <w:szCs w:val="16"/>
              </w:rPr>
            </w:pPr>
            <w:bookmarkStart w:id="274" w:name="_Toc336337999"/>
            <w:bookmarkStart w:id="275" w:name="_Toc368309999"/>
            <w:r w:rsidRPr="00A75DF9">
              <w:rPr>
                <w:rFonts w:ascii="Tahoma" w:hAnsi="Tahoma" w:cs="Tahoma"/>
                <w:b w:val="0"/>
                <w:sz w:val="14"/>
                <w:szCs w:val="16"/>
              </w:rPr>
              <w:t xml:space="preserve">Lync Server </w:t>
            </w:r>
            <w:bookmarkEnd w:id="274"/>
            <w:r w:rsidRPr="00A75DF9">
              <w:rPr>
                <w:rFonts w:ascii="Tahoma" w:hAnsi="Tahoma" w:cs="Tahoma"/>
                <w:b w:val="0"/>
                <w:sz w:val="14"/>
                <w:szCs w:val="16"/>
              </w:rPr>
              <w:t>2013</w:t>
            </w:r>
            <w:bookmarkEnd w:id="275"/>
          </w:p>
        </w:tc>
        <w:tc>
          <w:tcPr>
            <w:tcW w:w="448" w:type="dxa"/>
            <w:tcBorders>
              <w:bottom w:val="single" w:sz="4" w:space="0" w:color="auto"/>
            </w:tcBorders>
            <w:shd w:val="clear" w:color="auto" w:fill="FABF8F"/>
            <w:vAlign w:val="center"/>
          </w:tcPr>
          <w:p w:rsidR="001A63C6" w:rsidRPr="00B41377" w:rsidRDefault="00B54770">
            <w:pPr>
              <w:pStyle w:val="TableText"/>
              <w:widowControl w:val="0"/>
              <w:rPr>
                <w:rFonts w:cs="Tahoma"/>
                <w:b/>
                <w:color w:val="0000FF"/>
                <w:sz w:val="13"/>
                <w:szCs w:val="13"/>
                <w:u w:val="single"/>
              </w:rPr>
            </w:pPr>
            <w:hyperlink w:anchor="_62_Lync_Server" w:history="1">
              <w:r w:rsidR="00734B17" w:rsidRPr="00B41377">
                <w:rPr>
                  <w:rStyle w:val="Hyperlink"/>
                  <w:rFonts w:cs="Tahoma"/>
                  <w:b/>
                  <w:sz w:val="13"/>
                  <w:szCs w:val="13"/>
                </w:rPr>
                <w:t>70</w:t>
              </w:r>
            </w:hyperlink>
          </w:p>
        </w:tc>
        <w:tc>
          <w:tcPr>
            <w:tcW w:w="449" w:type="dxa"/>
            <w:tcBorders>
              <w:bottom w:val="single" w:sz="4" w:space="0" w:color="auto"/>
            </w:tcBorders>
            <w:shd w:val="clear" w:color="auto" w:fill="FABF8F"/>
          </w:tcPr>
          <w:p w:rsidR="001A63C6" w:rsidRPr="00A75DF9" w:rsidRDefault="001A63C6" w:rsidP="001A63C6">
            <w:pPr>
              <w:pStyle w:val="TableText"/>
              <w:widowControl w:val="0"/>
              <w:spacing w:before="120"/>
              <w:rPr>
                <w:rFonts w:ascii="Tahoma" w:hAnsi="Tahoma" w:cs="Tahoma"/>
                <w:color w:val="000000"/>
                <w:sz w:val="13"/>
              </w:rPr>
            </w:pPr>
            <w:r w:rsidRPr="00A75DF9">
              <w:rPr>
                <w:rFonts w:ascii="Tahoma" w:hAnsi="Tahoma" w:cs="Tahoma"/>
                <w:color w:val="000000"/>
                <w:sz w:val="13"/>
              </w:rPr>
              <w:t>10/12</w:t>
            </w:r>
          </w:p>
        </w:tc>
        <w:tc>
          <w:tcPr>
            <w:tcW w:w="359" w:type="dxa"/>
            <w:tcBorders>
              <w:bottom w:val="single" w:sz="4" w:space="0" w:color="auto"/>
              <w:right w:val="single" w:sz="18" w:space="0" w:color="auto"/>
            </w:tcBorders>
            <w:shd w:val="clear" w:color="auto" w:fill="FABF8F"/>
            <w:vAlign w:val="center"/>
          </w:tcPr>
          <w:p w:rsidR="001A63C6" w:rsidRPr="00A75DF9" w:rsidRDefault="00D050E2" w:rsidP="001A63C6">
            <w:pPr>
              <w:pStyle w:val="TableText"/>
              <w:widowControl w:val="0"/>
              <w:rPr>
                <w:rFonts w:ascii="Tahoma" w:hAnsi="Tahoma" w:cs="Tahoma"/>
                <w:sz w:val="13"/>
              </w:rPr>
            </w:pPr>
            <w:r w:rsidRPr="00A75DF9">
              <w:rPr>
                <w:rFonts w:ascii="Tahoma" w:hAnsi="Tahoma" w:cs="Tahoma"/>
                <w:sz w:val="13"/>
              </w:rPr>
              <w:t>SRV</w:t>
            </w:r>
          </w:p>
        </w:tc>
        <w:tc>
          <w:tcPr>
            <w:tcW w:w="356"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50</w:t>
            </w: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125</w:t>
            </w:r>
          </w:p>
        </w:tc>
        <w:tc>
          <w:tcPr>
            <w:tcW w:w="45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100</w:t>
            </w:r>
          </w:p>
        </w:tc>
        <w:tc>
          <w:tcPr>
            <w:tcW w:w="450" w:type="dxa"/>
            <w:gridSpan w:val="3"/>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75</w:t>
            </w:r>
          </w:p>
        </w:tc>
        <w:tc>
          <w:tcPr>
            <w:tcW w:w="44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75</w:t>
            </w: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50</w:t>
            </w:r>
          </w:p>
        </w:tc>
        <w:tc>
          <w:tcPr>
            <w:tcW w:w="374"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25</w:t>
            </w:r>
          </w:p>
        </w:tc>
        <w:tc>
          <w:tcPr>
            <w:tcW w:w="455"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50</w:t>
            </w: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P</w:t>
            </w:r>
          </w:p>
        </w:tc>
        <w:tc>
          <w:tcPr>
            <w:tcW w:w="450" w:type="dxa"/>
            <w:tcBorders>
              <w:bottom w:val="single" w:sz="4" w:space="0" w:color="auto"/>
            </w:tcBorders>
            <w:shd w:val="clear" w:color="auto" w:fill="FABF8F"/>
          </w:tcPr>
          <w:p w:rsidR="001A63C6" w:rsidRPr="00A75DF9" w:rsidRDefault="001A63C6" w:rsidP="001A63C6">
            <w:pPr>
              <w:pStyle w:val="TableText"/>
              <w:widowControl w:val="0"/>
              <w:spacing w:before="120"/>
              <w:rPr>
                <w:rFonts w:ascii="Tahoma" w:hAnsi="Tahoma" w:cs="Tahoma"/>
                <w:sz w:val="13"/>
              </w:rPr>
            </w:pPr>
            <w:r w:rsidRPr="00A75DF9">
              <w:rPr>
                <w:rFonts w:ascii="Tahoma" w:hAnsi="Tahoma" w:cs="Tahoma"/>
                <w:sz w:val="13"/>
              </w:rPr>
              <w:t>A</w:t>
            </w:r>
          </w:p>
        </w:tc>
        <w:tc>
          <w:tcPr>
            <w:tcW w:w="539"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r>
      <w:tr w:rsidR="00EF228F" w:rsidRPr="00A75DF9" w:rsidTr="008A1262">
        <w:trPr>
          <w:trHeight w:val="145"/>
        </w:trPr>
        <w:tc>
          <w:tcPr>
            <w:tcW w:w="2724" w:type="dxa"/>
            <w:gridSpan w:val="2"/>
            <w:tcBorders>
              <w:bottom w:val="single" w:sz="4" w:space="0" w:color="auto"/>
            </w:tcBorders>
            <w:shd w:val="clear" w:color="auto" w:fill="auto"/>
            <w:vAlign w:val="center"/>
          </w:tcPr>
          <w:p w:rsidR="001A63C6" w:rsidRPr="00A75DF9" w:rsidDel="006A2F66" w:rsidRDefault="001A63C6" w:rsidP="001A63C6">
            <w:pPr>
              <w:pStyle w:val="Heading2"/>
              <w:ind w:left="0"/>
              <w:rPr>
                <w:rFonts w:ascii="Tahoma" w:hAnsi="Tahoma" w:cs="Tahoma"/>
                <w:b w:val="0"/>
                <w:sz w:val="14"/>
                <w:szCs w:val="16"/>
              </w:rPr>
            </w:pPr>
            <w:bookmarkStart w:id="276" w:name="_Toc336338000"/>
            <w:bookmarkStart w:id="277" w:name="_Toc368310000"/>
            <w:r w:rsidRPr="00A75DF9">
              <w:rPr>
                <w:rFonts w:ascii="Tahoma" w:hAnsi="Tahoma" w:cs="Tahoma"/>
                <w:b w:val="0"/>
                <w:sz w:val="14"/>
                <w:szCs w:val="16"/>
              </w:rPr>
              <w:t>Enterprise CAL per Lync Server</w:t>
            </w:r>
            <w:bookmarkEnd w:id="276"/>
            <w:r w:rsidRPr="00A75DF9">
              <w:rPr>
                <w:rFonts w:ascii="Tahoma" w:hAnsi="Tahoma" w:cs="Tahoma"/>
                <w:b w:val="0"/>
                <w:sz w:val="14"/>
                <w:szCs w:val="16"/>
              </w:rPr>
              <w:t xml:space="preserve"> 2013</w:t>
            </w:r>
            <w:bookmarkEnd w:id="277"/>
          </w:p>
        </w:tc>
        <w:tc>
          <w:tcPr>
            <w:tcW w:w="448" w:type="dxa"/>
            <w:tcBorders>
              <w:bottom w:val="single" w:sz="4" w:space="0" w:color="auto"/>
            </w:tcBorders>
            <w:shd w:val="clear" w:color="auto" w:fill="auto"/>
            <w:vAlign w:val="center"/>
          </w:tcPr>
          <w:p w:rsidR="001A63C6" w:rsidRPr="00B41377" w:rsidDel="006A2F66" w:rsidRDefault="001A63C6" w:rsidP="001A63C6">
            <w:pPr>
              <w:pStyle w:val="TableText"/>
              <w:widowControl w:val="0"/>
              <w:rPr>
                <w:rFonts w:cs="Tahoma"/>
                <w:b/>
                <w:color w:val="0000FF"/>
                <w:sz w:val="13"/>
                <w:szCs w:val="13"/>
                <w:u w:val="single"/>
              </w:rPr>
            </w:pPr>
          </w:p>
        </w:tc>
        <w:tc>
          <w:tcPr>
            <w:tcW w:w="449" w:type="dxa"/>
            <w:tcBorders>
              <w:bottom w:val="single" w:sz="4" w:space="0" w:color="auto"/>
            </w:tcBorders>
            <w:shd w:val="clear" w:color="auto" w:fill="auto"/>
          </w:tcPr>
          <w:p w:rsidR="001A63C6" w:rsidRPr="00A75DF9" w:rsidDel="006A2F66" w:rsidRDefault="001A63C6" w:rsidP="001A63C6">
            <w:pPr>
              <w:pStyle w:val="TableText"/>
              <w:widowControl w:val="0"/>
              <w:spacing w:before="120"/>
              <w:rPr>
                <w:rFonts w:ascii="Tahoma" w:hAnsi="Tahoma" w:cs="Tahoma"/>
                <w:color w:val="000000"/>
                <w:sz w:val="13"/>
              </w:rPr>
            </w:pPr>
            <w:r w:rsidRPr="00A75DF9">
              <w:rPr>
                <w:rFonts w:ascii="Tahoma" w:hAnsi="Tahoma" w:cs="Tahoma"/>
                <w:color w:val="000000"/>
                <w:sz w:val="13"/>
              </w:rPr>
              <w:t>10/12</w:t>
            </w:r>
          </w:p>
        </w:tc>
        <w:tc>
          <w:tcPr>
            <w:tcW w:w="359" w:type="dxa"/>
            <w:tcBorders>
              <w:bottom w:val="single" w:sz="4" w:space="0" w:color="auto"/>
              <w:right w:val="single" w:sz="18" w:space="0" w:color="auto"/>
            </w:tcBorders>
            <w:shd w:val="clear" w:color="auto" w:fill="auto"/>
            <w:vAlign w:val="center"/>
          </w:tcPr>
          <w:p w:rsidR="001A63C6" w:rsidRPr="00A75DF9" w:rsidDel="006A2F66" w:rsidRDefault="00D050E2" w:rsidP="001A63C6">
            <w:pPr>
              <w:pStyle w:val="TableText"/>
              <w:widowControl w:val="0"/>
              <w:rPr>
                <w:rFonts w:ascii="Tahoma" w:hAnsi="Tahoma" w:cs="Tahoma"/>
                <w:sz w:val="13"/>
              </w:rPr>
            </w:pPr>
            <w:r w:rsidRPr="00A75DF9">
              <w:rPr>
                <w:rFonts w:ascii="Tahoma" w:hAnsi="Tahoma" w:cs="Tahoma"/>
                <w:sz w:val="13"/>
              </w:rPr>
              <w:t>SRV</w:t>
            </w:r>
          </w:p>
        </w:tc>
        <w:tc>
          <w:tcPr>
            <w:tcW w:w="356" w:type="dxa"/>
            <w:tcBorders>
              <w:left w:val="single" w:sz="18" w:space="0" w:color="auto"/>
              <w:bottom w:val="single" w:sz="4" w:space="0" w:color="auto"/>
            </w:tcBorders>
            <w:shd w:val="clear" w:color="auto" w:fill="auto"/>
            <w:vAlign w:val="center"/>
          </w:tcPr>
          <w:p w:rsidR="001A63C6" w:rsidRPr="00A75DF9" w:rsidDel="006A2F66" w:rsidRDefault="001A63C6" w:rsidP="001A63C6">
            <w:pPr>
              <w:pStyle w:val="TableText"/>
              <w:widowControl w:val="0"/>
              <w:rPr>
                <w:rFonts w:ascii="Tahoma" w:hAnsi="Tahoma" w:cs="Tahoma"/>
                <w:sz w:val="13"/>
              </w:rPr>
            </w:pPr>
            <w:r w:rsidRPr="00A75DF9">
              <w:rPr>
                <w:rFonts w:ascii="Tahoma" w:hAnsi="Tahoma" w:cs="Tahoma"/>
                <w:sz w:val="13"/>
              </w:rPr>
              <w:t>1</w:t>
            </w:r>
          </w:p>
        </w:tc>
        <w:tc>
          <w:tcPr>
            <w:tcW w:w="450" w:type="dxa"/>
            <w:tcBorders>
              <w:bottom w:val="single" w:sz="4" w:space="0" w:color="auto"/>
            </w:tcBorders>
            <w:shd w:val="clear" w:color="auto" w:fill="auto"/>
            <w:vAlign w:val="center"/>
          </w:tcPr>
          <w:p w:rsidR="001A63C6" w:rsidRPr="00A75DF9" w:rsidDel="006A2F66" w:rsidRDefault="001A63C6" w:rsidP="001A63C6">
            <w:pPr>
              <w:pStyle w:val="TableText"/>
              <w:widowControl w:val="0"/>
              <w:rPr>
                <w:rFonts w:ascii="Tahoma" w:hAnsi="Tahoma" w:cs="Tahoma"/>
                <w:sz w:val="13"/>
              </w:rPr>
            </w:pPr>
            <w:r w:rsidRPr="00A75DF9">
              <w:rPr>
                <w:rFonts w:ascii="Tahoma" w:hAnsi="Tahoma" w:cs="Tahoma"/>
                <w:sz w:val="13"/>
              </w:rPr>
              <w:t>3</w:t>
            </w:r>
          </w:p>
        </w:tc>
        <w:tc>
          <w:tcPr>
            <w:tcW w:w="455" w:type="dxa"/>
            <w:tcBorders>
              <w:bottom w:val="single" w:sz="4" w:space="0" w:color="auto"/>
            </w:tcBorders>
            <w:shd w:val="clear" w:color="auto" w:fill="auto"/>
            <w:vAlign w:val="center"/>
          </w:tcPr>
          <w:p w:rsidR="001A63C6" w:rsidRPr="00A75DF9" w:rsidDel="006A2F66" w:rsidRDefault="001A63C6" w:rsidP="001A63C6">
            <w:pPr>
              <w:pStyle w:val="TableText"/>
              <w:widowControl w:val="0"/>
              <w:rPr>
                <w:rFonts w:ascii="Tahoma" w:hAnsi="Tahoma" w:cs="Tahoma"/>
                <w:sz w:val="13"/>
              </w:rPr>
            </w:pPr>
            <w:r w:rsidRPr="00A75DF9">
              <w:rPr>
                <w:rFonts w:ascii="Tahoma" w:hAnsi="Tahoma" w:cs="Tahoma"/>
                <w:sz w:val="13"/>
              </w:rPr>
              <w:t>2</w:t>
            </w:r>
          </w:p>
        </w:tc>
        <w:tc>
          <w:tcPr>
            <w:tcW w:w="450" w:type="dxa"/>
            <w:gridSpan w:val="3"/>
            <w:tcBorders>
              <w:bottom w:val="single" w:sz="4" w:space="0" w:color="auto"/>
            </w:tcBorders>
            <w:shd w:val="clear" w:color="auto" w:fill="auto"/>
            <w:vAlign w:val="center"/>
          </w:tcPr>
          <w:p w:rsidR="001A63C6" w:rsidRPr="00A75DF9" w:rsidDel="006A2F66" w:rsidRDefault="001A63C6" w:rsidP="001A63C6">
            <w:pPr>
              <w:pStyle w:val="TableText"/>
              <w:widowControl w:val="0"/>
              <w:rPr>
                <w:rFonts w:ascii="Tahoma" w:hAnsi="Tahoma" w:cs="Tahoma"/>
                <w:sz w:val="13"/>
              </w:rPr>
            </w:pPr>
            <w:r w:rsidRPr="00A75DF9">
              <w:rPr>
                <w:rFonts w:ascii="Tahoma" w:hAnsi="Tahoma" w:cs="Tahoma"/>
                <w:sz w:val="13"/>
              </w:rPr>
              <w:t>2</w:t>
            </w:r>
          </w:p>
        </w:tc>
        <w:tc>
          <w:tcPr>
            <w:tcW w:w="445" w:type="dxa"/>
            <w:tcBorders>
              <w:bottom w:val="single" w:sz="4" w:space="0" w:color="auto"/>
            </w:tcBorders>
            <w:shd w:val="clear" w:color="auto" w:fill="auto"/>
            <w:vAlign w:val="center"/>
          </w:tcPr>
          <w:p w:rsidR="001A63C6" w:rsidRPr="00A75DF9" w:rsidDel="006A2F66" w:rsidRDefault="001A63C6" w:rsidP="001A63C6">
            <w:pPr>
              <w:pStyle w:val="TableText"/>
              <w:widowControl w:val="0"/>
              <w:rPr>
                <w:rFonts w:ascii="Tahoma" w:hAnsi="Tahoma" w:cs="Tahoma"/>
                <w:sz w:val="13"/>
              </w:rPr>
            </w:pPr>
            <w:r w:rsidRPr="00A75DF9">
              <w:rPr>
                <w:rFonts w:ascii="Tahoma" w:hAnsi="Tahoma" w:cs="Tahoma"/>
                <w:sz w:val="13"/>
              </w:rPr>
              <w:t>2</w:t>
            </w:r>
          </w:p>
        </w:tc>
        <w:tc>
          <w:tcPr>
            <w:tcW w:w="450" w:type="dxa"/>
            <w:tcBorders>
              <w:bottom w:val="single" w:sz="4" w:space="0" w:color="auto"/>
            </w:tcBorders>
            <w:shd w:val="clear" w:color="auto" w:fill="auto"/>
            <w:vAlign w:val="center"/>
          </w:tcPr>
          <w:p w:rsidR="001A63C6" w:rsidRPr="00A75DF9" w:rsidDel="006A2F66" w:rsidRDefault="001A63C6" w:rsidP="001A63C6">
            <w:pPr>
              <w:pStyle w:val="TableText"/>
              <w:widowControl w:val="0"/>
              <w:rPr>
                <w:rFonts w:ascii="Tahoma" w:hAnsi="Tahoma" w:cs="Tahoma"/>
                <w:sz w:val="13"/>
              </w:rPr>
            </w:pPr>
            <w:r w:rsidRPr="00A75DF9">
              <w:rPr>
                <w:rFonts w:ascii="Tahoma" w:hAnsi="Tahoma" w:cs="Tahoma"/>
                <w:sz w:val="13"/>
              </w:rPr>
              <w:t>1</w:t>
            </w:r>
          </w:p>
        </w:tc>
        <w:tc>
          <w:tcPr>
            <w:tcW w:w="374" w:type="dxa"/>
            <w:tcBorders>
              <w:bottom w:val="single" w:sz="4" w:space="0" w:color="auto"/>
              <w:right w:val="single" w:sz="18" w:space="0" w:color="auto"/>
            </w:tcBorders>
            <w:shd w:val="clear" w:color="auto" w:fill="auto"/>
            <w:vAlign w:val="center"/>
          </w:tcPr>
          <w:p w:rsidR="001A63C6" w:rsidRPr="00A75DF9" w:rsidDel="006A2F66" w:rsidRDefault="001A63C6" w:rsidP="001A63C6">
            <w:pPr>
              <w:pStyle w:val="TableText"/>
              <w:widowControl w:val="0"/>
              <w:rPr>
                <w:rFonts w:ascii="Tahoma" w:hAnsi="Tahoma" w:cs="Tahoma"/>
                <w:sz w:val="13"/>
              </w:rPr>
            </w:pPr>
            <w:r w:rsidRPr="00A75DF9">
              <w:rPr>
                <w:rFonts w:ascii="Tahoma" w:hAnsi="Tahoma" w:cs="Tahoma"/>
                <w:sz w:val="13"/>
              </w:rPr>
              <w:t>1</w:t>
            </w:r>
          </w:p>
        </w:tc>
        <w:tc>
          <w:tcPr>
            <w:tcW w:w="455" w:type="dxa"/>
            <w:tcBorders>
              <w:left w:val="single" w:sz="18" w:space="0" w:color="auto"/>
              <w:bottom w:val="single" w:sz="4" w:space="0" w:color="auto"/>
            </w:tcBorders>
            <w:shd w:val="clear" w:color="auto" w:fill="auto"/>
            <w:vAlign w:val="center"/>
          </w:tcPr>
          <w:p w:rsidR="001A63C6" w:rsidRPr="00A75DF9" w:rsidDel="006A2F66" w:rsidRDefault="001A63C6" w:rsidP="001A63C6">
            <w:pPr>
              <w:pStyle w:val="TableText"/>
              <w:widowControl w:val="0"/>
              <w:rPr>
                <w:rFonts w:ascii="Tahoma" w:hAnsi="Tahoma" w:cs="Tahoma"/>
                <w:sz w:val="13"/>
              </w:rPr>
            </w:pPr>
            <w:r w:rsidRPr="00A75DF9">
              <w:rPr>
                <w:rFonts w:ascii="Tahoma" w:hAnsi="Tahoma" w:cs="Tahoma"/>
                <w:sz w:val="13"/>
              </w:rPr>
              <w:t>1</w:t>
            </w:r>
          </w:p>
        </w:tc>
        <w:tc>
          <w:tcPr>
            <w:tcW w:w="450" w:type="dxa"/>
            <w:tcBorders>
              <w:bottom w:val="single" w:sz="4" w:space="0" w:color="auto"/>
            </w:tcBorders>
            <w:shd w:val="clear" w:color="auto" w:fill="auto"/>
            <w:vAlign w:val="center"/>
          </w:tcPr>
          <w:p w:rsidR="001A63C6" w:rsidRPr="00A75DF9" w:rsidDel="006A2F66" w:rsidRDefault="001A63C6" w:rsidP="001A63C6">
            <w:pPr>
              <w:pStyle w:val="TableText"/>
              <w:widowControl w:val="0"/>
              <w:rPr>
                <w:rFonts w:ascii="Tahoma" w:hAnsi="Tahoma" w:cs="Tahoma"/>
                <w:sz w:val="13"/>
              </w:rPr>
            </w:pPr>
            <w:r w:rsidRPr="00A75DF9">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A75DF9" w:rsidDel="006A2F66" w:rsidRDefault="001A63C6" w:rsidP="001A63C6">
            <w:pPr>
              <w:pStyle w:val="TableText"/>
              <w:widowControl w:val="0"/>
              <w:rPr>
                <w:rFonts w:ascii="Tahoma" w:hAnsi="Tahoma" w:cs="Tahoma"/>
                <w:sz w:val="13"/>
              </w:rPr>
            </w:pPr>
            <w:r w:rsidRPr="00A75DF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A75DF9" w:rsidDel="006A2F66" w:rsidRDefault="001A63C6" w:rsidP="001A63C6">
            <w:pPr>
              <w:pStyle w:val="TableText"/>
              <w:widowControl w:val="0"/>
              <w:rPr>
                <w:rFonts w:ascii="Tahoma" w:hAnsi="Tahoma" w:cs="Tahoma"/>
                <w:sz w:val="13"/>
              </w:rPr>
            </w:pPr>
            <w:r w:rsidRPr="00A75DF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A75DF9" w:rsidDel="006A2F66" w:rsidRDefault="001A63C6" w:rsidP="001A63C6">
            <w:pPr>
              <w:pStyle w:val="TableText"/>
              <w:widowControl w:val="0"/>
              <w:rPr>
                <w:rFonts w:ascii="Tahoma" w:hAnsi="Tahoma" w:cs="Tahoma"/>
                <w:sz w:val="13"/>
              </w:rPr>
            </w:pPr>
            <w:r w:rsidRPr="00A75D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75DF9" w:rsidDel="006A2F66" w:rsidRDefault="001A63C6" w:rsidP="001A63C6">
            <w:pPr>
              <w:pStyle w:val="TableText"/>
              <w:widowControl w:val="0"/>
              <w:rPr>
                <w:rFonts w:ascii="Tahoma" w:hAnsi="Tahoma" w:cs="Tahoma"/>
                <w:sz w:val="13"/>
              </w:rPr>
            </w:pPr>
            <w:r w:rsidRPr="00A75DF9">
              <w:rPr>
                <w:rFonts w:ascii="Tahoma" w:hAnsi="Tahoma" w:cs="Tahoma"/>
                <w:sz w:val="13"/>
              </w:rPr>
              <w:t>P</w:t>
            </w:r>
          </w:p>
        </w:tc>
        <w:tc>
          <w:tcPr>
            <w:tcW w:w="450" w:type="dxa"/>
            <w:tcBorders>
              <w:bottom w:val="single" w:sz="4" w:space="0" w:color="auto"/>
            </w:tcBorders>
            <w:shd w:val="clear" w:color="auto" w:fill="auto"/>
          </w:tcPr>
          <w:p w:rsidR="001A63C6" w:rsidRPr="00A75DF9" w:rsidDel="006A2F66" w:rsidRDefault="001A63C6" w:rsidP="001A63C6">
            <w:pPr>
              <w:pStyle w:val="TableText"/>
              <w:widowControl w:val="0"/>
              <w:spacing w:before="120"/>
              <w:rPr>
                <w:rFonts w:ascii="Tahoma" w:hAnsi="Tahoma" w:cs="Tahoma"/>
                <w:sz w:val="13"/>
              </w:rPr>
            </w:pPr>
            <w:r w:rsidRPr="00A75DF9">
              <w:rPr>
                <w:rFonts w:ascii="Tahoma" w:hAnsi="Tahoma" w:cs="Tahoma"/>
                <w:sz w:val="13"/>
              </w:rPr>
              <w:t>AO, ST</w:t>
            </w:r>
          </w:p>
        </w:tc>
        <w:tc>
          <w:tcPr>
            <w:tcW w:w="539"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r>
      <w:tr w:rsidR="00B33D0E" w:rsidRPr="00A75DF9" w:rsidTr="008A1262">
        <w:trPr>
          <w:trHeight w:val="145"/>
        </w:trPr>
        <w:tc>
          <w:tcPr>
            <w:tcW w:w="2724" w:type="dxa"/>
            <w:gridSpan w:val="2"/>
            <w:tcBorders>
              <w:bottom w:val="single" w:sz="4" w:space="0" w:color="auto"/>
            </w:tcBorders>
            <w:shd w:val="clear" w:color="auto" w:fill="FABF8F"/>
            <w:vAlign w:val="center"/>
          </w:tcPr>
          <w:p w:rsidR="001A63C6" w:rsidRPr="00A75DF9" w:rsidDel="006A2F66" w:rsidRDefault="001A63C6" w:rsidP="001A63C6">
            <w:pPr>
              <w:pStyle w:val="Heading2"/>
              <w:ind w:left="0"/>
              <w:rPr>
                <w:rFonts w:ascii="Tahoma" w:hAnsi="Tahoma" w:cs="Tahoma"/>
                <w:b w:val="0"/>
                <w:sz w:val="14"/>
                <w:szCs w:val="16"/>
              </w:rPr>
            </w:pPr>
            <w:bookmarkStart w:id="278" w:name="_Toc336338002"/>
            <w:bookmarkStart w:id="279" w:name="_Toc368310001"/>
            <w:r w:rsidRPr="00A75DF9">
              <w:rPr>
                <w:rFonts w:ascii="Tahoma" w:hAnsi="Tahoma" w:cs="Tahoma"/>
                <w:b w:val="0"/>
                <w:sz w:val="14"/>
                <w:szCs w:val="16"/>
              </w:rPr>
              <w:t>Plus CAL per Lync Server</w:t>
            </w:r>
            <w:bookmarkEnd w:id="278"/>
            <w:r w:rsidRPr="00A75DF9">
              <w:rPr>
                <w:rFonts w:ascii="Tahoma" w:hAnsi="Tahoma" w:cs="Tahoma"/>
                <w:b w:val="0"/>
                <w:sz w:val="14"/>
                <w:szCs w:val="16"/>
              </w:rPr>
              <w:t xml:space="preserve"> 2013</w:t>
            </w:r>
            <w:bookmarkEnd w:id="279"/>
          </w:p>
        </w:tc>
        <w:tc>
          <w:tcPr>
            <w:tcW w:w="448" w:type="dxa"/>
            <w:tcBorders>
              <w:bottom w:val="single" w:sz="4" w:space="0" w:color="auto"/>
            </w:tcBorders>
            <w:shd w:val="clear" w:color="auto" w:fill="FABF8F"/>
            <w:vAlign w:val="center"/>
          </w:tcPr>
          <w:p w:rsidR="001A63C6" w:rsidRPr="00B41377" w:rsidDel="006A2F66" w:rsidRDefault="001A63C6" w:rsidP="001A63C6">
            <w:pPr>
              <w:pStyle w:val="TableText"/>
              <w:widowControl w:val="0"/>
              <w:rPr>
                <w:rFonts w:cs="Tahoma"/>
                <w:b/>
                <w:color w:val="0000FF"/>
                <w:sz w:val="13"/>
                <w:szCs w:val="13"/>
                <w:u w:val="single"/>
              </w:rPr>
            </w:pPr>
            <w:bookmarkStart w:id="280" w:name="_Hlt335908886"/>
          </w:p>
        </w:tc>
        <w:bookmarkEnd w:id="280"/>
        <w:tc>
          <w:tcPr>
            <w:tcW w:w="449" w:type="dxa"/>
            <w:tcBorders>
              <w:bottom w:val="single" w:sz="4" w:space="0" w:color="auto"/>
            </w:tcBorders>
            <w:shd w:val="clear" w:color="auto" w:fill="FABF8F"/>
          </w:tcPr>
          <w:p w:rsidR="001A63C6" w:rsidRPr="00A75DF9" w:rsidDel="006A2F66" w:rsidRDefault="001A63C6" w:rsidP="001A63C6">
            <w:pPr>
              <w:pStyle w:val="TableText"/>
              <w:widowControl w:val="0"/>
              <w:spacing w:before="120"/>
              <w:rPr>
                <w:rFonts w:ascii="Tahoma" w:hAnsi="Tahoma" w:cs="Tahoma"/>
                <w:color w:val="000000"/>
                <w:sz w:val="13"/>
              </w:rPr>
            </w:pPr>
            <w:r w:rsidRPr="00A75DF9">
              <w:rPr>
                <w:rFonts w:ascii="Tahoma" w:hAnsi="Tahoma" w:cs="Tahoma"/>
                <w:color w:val="000000"/>
                <w:sz w:val="13"/>
              </w:rPr>
              <w:t>10/12</w:t>
            </w:r>
          </w:p>
        </w:tc>
        <w:tc>
          <w:tcPr>
            <w:tcW w:w="359" w:type="dxa"/>
            <w:tcBorders>
              <w:bottom w:val="single" w:sz="4" w:space="0" w:color="auto"/>
              <w:right w:val="single" w:sz="18" w:space="0" w:color="auto"/>
            </w:tcBorders>
            <w:shd w:val="clear" w:color="auto" w:fill="FABF8F"/>
            <w:vAlign w:val="center"/>
          </w:tcPr>
          <w:p w:rsidR="001A63C6" w:rsidRPr="00A75DF9" w:rsidDel="006A2F66" w:rsidRDefault="00D050E2" w:rsidP="001A63C6">
            <w:pPr>
              <w:pStyle w:val="TableText"/>
              <w:widowControl w:val="0"/>
              <w:rPr>
                <w:rFonts w:ascii="Tahoma" w:hAnsi="Tahoma" w:cs="Tahoma"/>
                <w:sz w:val="13"/>
              </w:rPr>
            </w:pPr>
            <w:r w:rsidRPr="00A75DF9">
              <w:rPr>
                <w:rFonts w:ascii="Tahoma" w:hAnsi="Tahoma" w:cs="Tahoma"/>
                <w:sz w:val="13"/>
              </w:rPr>
              <w:t>SRV</w:t>
            </w:r>
          </w:p>
        </w:tc>
        <w:tc>
          <w:tcPr>
            <w:tcW w:w="356" w:type="dxa"/>
            <w:tcBorders>
              <w:left w:val="single" w:sz="18" w:space="0" w:color="auto"/>
              <w:bottom w:val="single" w:sz="4" w:space="0" w:color="auto"/>
            </w:tcBorders>
            <w:shd w:val="clear" w:color="auto" w:fill="FABF8F"/>
            <w:vAlign w:val="center"/>
          </w:tcPr>
          <w:p w:rsidR="001A63C6" w:rsidRPr="00A75DF9" w:rsidDel="006A2F66" w:rsidRDefault="001A63C6" w:rsidP="001A63C6">
            <w:pPr>
              <w:pStyle w:val="TableText"/>
              <w:widowControl w:val="0"/>
              <w:rPr>
                <w:rFonts w:ascii="Tahoma" w:hAnsi="Tahoma" w:cs="Tahoma"/>
                <w:sz w:val="13"/>
              </w:rPr>
            </w:pPr>
            <w:r w:rsidRPr="00A75DF9">
              <w:rPr>
                <w:rFonts w:ascii="Tahoma" w:hAnsi="Tahoma" w:cs="Tahoma"/>
                <w:sz w:val="13"/>
              </w:rPr>
              <w:t>1</w:t>
            </w:r>
          </w:p>
        </w:tc>
        <w:tc>
          <w:tcPr>
            <w:tcW w:w="450" w:type="dxa"/>
            <w:tcBorders>
              <w:bottom w:val="single" w:sz="4" w:space="0" w:color="auto"/>
            </w:tcBorders>
            <w:shd w:val="clear" w:color="auto" w:fill="FABF8F"/>
            <w:vAlign w:val="center"/>
          </w:tcPr>
          <w:p w:rsidR="001A63C6" w:rsidRPr="00A75DF9" w:rsidDel="006A2F66" w:rsidRDefault="001A63C6" w:rsidP="001A63C6">
            <w:pPr>
              <w:pStyle w:val="TableText"/>
              <w:widowControl w:val="0"/>
              <w:rPr>
                <w:rFonts w:ascii="Tahoma" w:hAnsi="Tahoma" w:cs="Tahoma"/>
                <w:sz w:val="13"/>
              </w:rPr>
            </w:pPr>
            <w:r w:rsidRPr="00A75DF9">
              <w:rPr>
                <w:rFonts w:ascii="Tahoma" w:hAnsi="Tahoma" w:cs="Tahoma"/>
                <w:sz w:val="13"/>
              </w:rPr>
              <w:t>3</w:t>
            </w:r>
          </w:p>
        </w:tc>
        <w:tc>
          <w:tcPr>
            <w:tcW w:w="455" w:type="dxa"/>
            <w:tcBorders>
              <w:bottom w:val="single" w:sz="4" w:space="0" w:color="auto"/>
            </w:tcBorders>
            <w:shd w:val="clear" w:color="auto" w:fill="FABF8F"/>
            <w:vAlign w:val="center"/>
          </w:tcPr>
          <w:p w:rsidR="001A63C6" w:rsidRPr="00A75DF9" w:rsidDel="006A2F66" w:rsidRDefault="001A63C6" w:rsidP="001A63C6">
            <w:pPr>
              <w:pStyle w:val="TableText"/>
              <w:widowControl w:val="0"/>
              <w:rPr>
                <w:rFonts w:ascii="Tahoma" w:hAnsi="Tahoma" w:cs="Tahoma"/>
                <w:sz w:val="13"/>
              </w:rPr>
            </w:pPr>
            <w:r w:rsidRPr="00A75DF9">
              <w:rPr>
                <w:rFonts w:ascii="Tahoma" w:hAnsi="Tahoma" w:cs="Tahoma"/>
                <w:sz w:val="13"/>
              </w:rPr>
              <w:t>2</w:t>
            </w:r>
          </w:p>
        </w:tc>
        <w:tc>
          <w:tcPr>
            <w:tcW w:w="450" w:type="dxa"/>
            <w:gridSpan w:val="3"/>
            <w:tcBorders>
              <w:bottom w:val="single" w:sz="4" w:space="0" w:color="auto"/>
            </w:tcBorders>
            <w:shd w:val="clear" w:color="auto" w:fill="FABF8F"/>
            <w:vAlign w:val="center"/>
          </w:tcPr>
          <w:p w:rsidR="001A63C6" w:rsidRPr="00A75DF9" w:rsidDel="006A2F66" w:rsidRDefault="001A63C6" w:rsidP="001A63C6">
            <w:pPr>
              <w:pStyle w:val="TableText"/>
              <w:widowControl w:val="0"/>
              <w:rPr>
                <w:rFonts w:ascii="Tahoma" w:hAnsi="Tahoma" w:cs="Tahoma"/>
                <w:sz w:val="13"/>
              </w:rPr>
            </w:pPr>
            <w:r w:rsidRPr="00A75DF9">
              <w:rPr>
                <w:rFonts w:ascii="Tahoma" w:hAnsi="Tahoma" w:cs="Tahoma"/>
                <w:sz w:val="13"/>
              </w:rPr>
              <w:t>2</w:t>
            </w:r>
          </w:p>
        </w:tc>
        <w:tc>
          <w:tcPr>
            <w:tcW w:w="445" w:type="dxa"/>
            <w:tcBorders>
              <w:bottom w:val="single" w:sz="4" w:space="0" w:color="auto"/>
            </w:tcBorders>
            <w:shd w:val="clear" w:color="auto" w:fill="FABF8F"/>
            <w:vAlign w:val="center"/>
          </w:tcPr>
          <w:p w:rsidR="001A63C6" w:rsidRPr="00A75DF9" w:rsidDel="006A2F66" w:rsidRDefault="001A63C6" w:rsidP="001A63C6">
            <w:pPr>
              <w:pStyle w:val="TableText"/>
              <w:widowControl w:val="0"/>
              <w:rPr>
                <w:rFonts w:ascii="Tahoma" w:hAnsi="Tahoma" w:cs="Tahoma"/>
                <w:sz w:val="13"/>
              </w:rPr>
            </w:pPr>
            <w:r w:rsidRPr="00A75DF9">
              <w:rPr>
                <w:rFonts w:ascii="Tahoma" w:hAnsi="Tahoma" w:cs="Tahoma"/>
                <w:sz w:val="13"/>
              </w:rPr>
              <w:t>2</w:t>
            </w:r>
          </w:p>
        </w:tc>
        <w:tc>
          <w:tcPr>
            <w:tcW w:w="450" w:type="dxa"/>
            <w:tcBorders>
              <w:bottom w:val="single" w:sz="4" w:space="0" w:color="auto"/>
            </w:tcBorders>
            <w:shd w:val="clear" w:color="auto" w:fill="FABF8F"/>
            <w:vAlign w:val="center"/>
          </w:tcPr>
          <w:p w:rsidR="001A63C6" w:rsidRPr="00A75DF9" w:rsidDel="006A2F66" w:rsidRDefault="001A63C6" w:rsidP="001A63C6">
            <w:pPr>
              <w:pStyle w:val="TableText"/>
              <w:widowControl w:val="0"/>
              <w:rPr>
                <w:rFonts w:ascii="Tahoma" w:hAnsi="Tahoma" w:cs="Tahoma"/>
                <w:sz w:val="13"/>
              </w:rPr>
            </w:pPr>
            <w:r w:rsidRPr="00A75DF9">
              <w:rPr>
                <w:rFonts w:ascii="Tahoma" w:hAnsi="Tahoma" w:cs="Tahoma"/>
                <w:sz w:val="13"/>
              </w:rPr>
              <w:t>1</w:t>
            </w:r>
          </w:p>
        </w:tc>
        <w:tc>
          <w:tcPr>
            <w:tcW w:w="374" w:type="dxa"/>
            <w:tcBorders>
              <w:bottom w:val="single" w:sz="4" w:space="0" w:color="auto"/>
              <w:right w:val="single" w:sz="18" w:space="0" w:color="auto"/>
            </w:tcBorders>
            <w:shd w:val="clear" w:color="auto" w:fill="FABF8F"/>
            <w:vAlign w:val="center"/>
          </w:tcPr>
          <w:p w:rsidR="001A63C6" w:rsidRPr="00A75DF9" w:rsidDel="006A2F66" w:rsidRDefault="001A63C6" w:rsidP="001A63C6">
            <w:pPr>
              <w:pStyle w:val="TableText"/>
              <w:widowControl w:val="0"/>
              <w:rPr>
                <w:rFonts w:ascii="Tahoma" w:hAnsi="Tahoma" w:cs="Tahoma"/>
                <w:sz w:val="13"/>
              </w:rPr>
            </w:pPr>
            <w:r w:rsidRPr="00A75DF9">
              <w:rPr>
                <w:rFonts w:ascii="Tahoma" w:hAnsi="Tahoma" w:cs="Tahoma"/>
                <w:sz w:val="13"/>
              </w:rPr>
              <w:t>1</w:t>
            </w:r>
          </w:p>
        </w:tc>
        <w:tc>
          <w:tcPr>
            <w:tcW w:w="455" w:type="dxa"/>
            <w:tcBorders>
              <w:left w:val="single" w:sz="18" w:space="0" w:color="auto"/>
              <w:bottom w:val="single" w:sz="4" w:space="0" w:color="auto"/>
            </w:tcBorders>
            <w:shd w:val="clear" w:color="auto" w:fill="FABF8F"/>
            <w:vAlign w:val="center"/>
          </w:tcPr>
          <w:p w:rsidR="001A63C6" w:rsidRPr="00A75DF9" w:rsidDel="006A2F66" w:rsidRDefault="001A63C6" w:rsidP="001A63C6">
            <w:pPr>
              <w:pStyle w:val="TableText"/>
              <w:widowControl w:val="0"/>
              <w:rPr>
                <w:rFonts w:ascii="Tahoma" w:hAnsi="Tahoma" w:cs="Tahoma"/>
                <w:sz w:val="13"/>
              </w:rPr>
            </w:pPr>
            <w:r w:rsidRPr="00A75DF9">
              <w:rPr>
                <w:rFonts w:ascii="Tahoma" w:hAnsi="Tahoma" w:cs="Tahoma"/>
                <w:sz w:val="13"/>
              </w:rPr>
              <w:t>1</w:t>
            </w:r>
          </w:p>
        </w:tc>
        <w:tc>
          <w:tcPr>
            <w:tcW w:w="450" w:type="dxa"/>
            <w:tcBorders>
              <w:bottom w:val="single" w:sz="4" w:space="0" w:color="auto"/>
            </w:tcBorders>
            <w:shd w:val="clear" w:color="auto" w:fill="FABF8F"/>
            <w:vAlign w:val="center"/>
          </w:tcPr>
          <w:p w:rsidR="001A63C6" w:rsidRPr="00A75DF9" w:rsidDel="006A2F66" w:rsidRDefault="001A63C6" w:rsidP="001A63C6">
            <w:pPr>
              <w:pStyle w:val="TableText"/>
              <w:widowControl w:val="0"/>
              <w:rPr>
                <w:rFonts w:ascii="Tahoma" w:hAnsi="Tahoma" w:cs="Tahoma"/>
                <w:sz w:val="13"/>
              </w:rPr>
            </w:pPr>
            <w:r w:rsidRPr="00A75DF9">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A75DF9" w:rsidDel="006A2F66" w:rsidRDefault="001A63C6" w:rsidP="001A63C6">
            <w:pPr>
              <w:pStyle w:val="TableText"/>
              <w:widowControl w:val="0"/>
              <w:rPr>
                <w:rFonts w:ascii="Tahoma" w:hAnsi="Tahoma" w:cs="Tahoma"/>
                <w:sz w:val="13"/>
              </w:rPr>
            </w:pPr>
            <w:r w:rsidRPr="00A75DF9">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A75DF9" w:rsidDel="006A2F66" w:rsidRDefault="001A63C6" w:rsidP="001A63C6">
            <w:pPr>
              <w:pStyle w:val="TableText"/>
              <w:widowControl w:val="0"/>
              <w:rPr>
                <w:rFonts w:ascii="Tahoma" w:hAnsi="Tahoma" w:cs="Tahoma"/>
                <w:sz w:val="13"/>
              </w:rPr>
            </w:pPr>
            <w:r w:rsidRPr="00A75DF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A75DF9" w:rsidDel="006A2F66" w:rsidRDefault="001A63C6" w:rsidP="001A63C6">
            <w:pPr>
              <w:pStyle w:val="TableText"/>
              <w:widowControl w:val="0"/>
              <w:rPr>
                <w:rFonts w:ascii="Tahoma" w:hAnsi="Tahoma" w:cs="Tahoma"/>
                <w:sz w:val="13"/>
              </w:rPr>
            </w:pPr>
            <w:r w:rsidRPr="00A75D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75DF9" w:rsidDel="006A2F66" w:rsidRDefault="001A63C6" w:rsidP="001A63C6">
            <w:pPr>
              <w:pStyle w:val="TableText"/>
              <w:widowControl w:val="0"/>
              <w:rPr>
                <w:rFonts w:ascii="Tahoma" w:hAnsi="Tahoma" w:cs="Tahoma"/>
                <w:sz w:val="13"/>
              </w:rPr>
            </w:pPr>
            <w:r w:rsidRPr="00A75DF9">
              <w:rPr>
                <w:rFonts w:ascii="Tahoma" w:hAnsi="Tahoma" w:cs="Tahoma"/>
                <w:sz w:val="13"/>
              </w:rPr>
              <w:t>P</w:t>
            </w:r>
          </w:p>
        </w:tc>
        <w:tc>
          <w:tcPr>
            <w:tcW w:w="450" w:type="dxa"/>
            <w:tcBorders>
              <w:bottom w:val="single" w:sz="4" w:space="0" w:color="auto"/>
            </w:tcBorders>
            <w:shd w:val="clear" w:color="auto" w:fill="FABF8F"/>
          </w:tcPr>
          <w:p w:rsidR="001A63C6" w:rsidRPr="00A75DF9" w:rsidDel="006A2F66" w:rsidRDefault="001A63C6" w:rsidP="001A63C6">
            <w:pPr>
              <w:pStyle w:val="TableText"/>
              <w:widowControl w:val="0"/>
              <w:spacing w:before="120"/>
              <w:rPr>
                <w:rFonts w:ascii="Tahoma" w:hAnsi="Tahoma" w:cs="Tahoma"/>
                <w:sz w:val="13"/>
              </w:rPr>
            </w:pPr>
            <w:r w:rsidRPr="00A75DF9">
              <w:rPr>
                <w:rFonts w:ascii="Tahoma" w:hAnsi="Tahoma" w:cs="Tahoma"/>
                <w:sz w:val="13"/>
              </w:rPr>
              <w:t>A, ST</w:t>
            </w:r>
          </w:p>
        </w:tc>
        <w:tc>
          <w:tcPr>
            <w:tcW w:w="539"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r>
      <w:tr w:rsidR="00EF228F" w:rsidRPr="00A75DF9" w:rsidTr="008A1262">
        <w:trPr>
          <w:trHeight w:val="145"/>
        </w:trPr>
        <w:tc>
          <w:tcPr>
            <w:tcW w:w="2724" w:type="dxa"/>
            <w:gridSpan w:val="2"/>
            <w:tcBorders>
              <w:bottom w:val="single" w:sz="4" w:space="0" w:color="auto"/>
            </w:tcBorders>
            <w:shd w:val="clear" w:color="auto" w:fill="auto"/>
            <w:vAlign w:val="center"/>
          </w:tcPr>
          <w:p w:rsidR="001A63C6" w:rsidRPr="00A75DF9" w:rsidDel="006A2F66" w:rsidRDefault="001A63C6" w:rsidP="001A63C6">
            <w:pPr>
              <w:pStyle w:val="Heading2"/>
              <w:ind w:left="0"/>
              <w:rPr>
                <w:rFonts w:ascii="Tahoma" w:hAnsi="Tahoma" w:cs="Tahoma"/>
                <w:b w:val="0"/>
                <w:sz w:val="14"/>
                <w:szCs w:val="16"/>
              </w:rPr>
            </w:pPr>
            <w:bookmarkStart w:id="281" w:name="_Toc336338005"/>
            <w:bookmarkStart w:id="282" w:name="_Toc368310002"/>
            <w:r w:rsidRPr="00A75DF9">
              <w:rPr>
                <w:rFonts w:ascii="Tahoma" w:hAnsi="Tahoma" w:cs="Tahoma"/>
                <w:b w:val="0"/>
                <w:sz w:val="14"/>
                <w:szCs w:val="16"/>
              </w:rPr>
              <w:t>Standard CAL per Lync Server</w:t>
            </w:r>
            <w:bookmarkEnd w:id="281"/>
            <w:r w:rsidRPr="00A75DF9">
              <w:rPr>
                <w:rFonts w:ascii="Tahoma" w:hAnsi="Tahoma" w:cs="Tahoma"/>
                <w:b w:val="0"/>
                <w:sz w:val="14"/>
                <w:szCs w:val="16"/>
              </w:rPr>
              <w:t xml:space="preserve"> 2013</w:t>
            </w:r>
            <w:bookmarkEnd w:id="282"/>
          </w:p>
        </w:tc>
        <w:tc>
          <w:tcPr>
            <w:tcW w:w="448" w:type="dxa"/>
            <w:tcBorders>
              <w:bottom w:val="single" w:sz="4" w:space="0" w:color="auto"/>
            </w:tcBorders>
            <w:shd w:val="clear" w:color="auto" w:fill="auto"/>
            <w:vAlign w:val="center"/>
          </w:tcPr>
          <w:p w:rsidR="001A63C6" w:rsidRPr="00B41377" w:rsidDel="006A2F66" w:rsidRDefault="001A63C6" w:rsidP="001A63C6">
            <w:pPr>
              <w:pStyle w:val="TableText"/>
              <w:widowControl w:val="0"/>
              <w:rPr>
                <w:rFonts w:cs="Tahoma"/>
                <w:b/>
                <w:color w:val="0000FF"/>
                <w:sz w:val="13"/>
                <w:szCs w:val="13"/>
                <w:u w:val="single"/>
              </w:rPr>
            </w:pPr>
          </w:p>
        </w:tc>
        <w:tc>
          <w:tcPr>
            <w:tcW w:w="449" w:type="dxa"/>
            <w:tcBorders>
              <w:bottom w:val="single" w:sz="4" w:space="0" w:color="auto"/>
            </w:tcBorders>
            <w:shd w:val="clear" w:color="auto" w:fill="auto"/>
          </w:tcPr>
          <w:p w:rsidR="001A63C6" w:rsidRPr="00A75DF9" w:rsidDel="006A2F66" w:rsidRDefault="001A63C6" w:rsidP="001A63C6">
            <w:pPr>
              <w:pStyle w:val="TableText"/>
              <w:widowControl w:val="0"/>
              <w:spacing w:before="120"/>
              <w:rPr>
                <w:rFonts w:ascii="Tahoma" w:hAnsi="Tahoma" w:cs="Tahoma"/>
                <w:color w:val="000000"/>
                <w:sz w:val="13"/>
              </w:rPr>
            </w:pPr>
            <w:r w:rsidRPr="00A75DF9">
              <w:rPr>
                <w:rFonts w:ascii="Tahoma" w:hAnsi="Tahoma" w:cs="Tahoma"/>
                <w:color w:val="000000"/>
                <w:sz w:val="13"/>
              </w:rPr>
              <w:t>10/12</w:t>
            </w:r>
          </w:p>
        </w:tc>
        <w:tc>
          <w:tcPr>
            <w:tcW w:w="359" w:type="dxa"/>
            <w:tcBorders>
              <w:bottom w:val="single" w:sz="4" w:space="0" w:color="auto"/>
              <w:right w:val="single" w:sz="18" w:space="0" w:color="auto"/>
            </w:tcBorders>
            <w:shd w:val="clear" w:color="auto" w:fill="auto"/>
            <w:vAlign w:val="center"/>
          </w:tcPr>
          <w:p w:rsidR="001A63C6" w:rsidRPr="00A75DF9" w:rsidDel="006A2F66" w:rsidRDefault="00D050E2" w:rsidP="001A63C6">
            <w:pPr>
              <w:pStyle w:val="TableText"/>
              <w:widowControl w:val="0"/>
              <w:rPr>
                <w:rFonts w:ascii="Tahoma" w:hAnsi="Tahoma" w:cs="Tahoma"/>
                <w:sz w:val="13"/>
              </w:rPr>
            </w:pPr>
            <w:r w:rsidRPr="00A75DF9">
              <w:rPr>
                <w:rFonts w:ascii="Tahoma" w:hAnsi="Tahoma" w:cs="Tahoma"/>
                <w:sz w:val="13"/>
              </w:rPr>
              <w:t>SRV</w:t>
            </w:r>
          </w:p>
        </w:tc>
        <w:tc>
          <w:tcPr>
            <w:tcW w:w="356" w:type="dxa"/>
            <w:tcBorders>
              <w:left w:val="single" w:sz="18" w:space="0" w:color="auto"/>
              <w:bottom w:val="single" w:sz="4" w:space="0" w:color="auto"/>
            </w:tcBorders>
            <w:shd w:val="clear" w:color="auto" w:fill="auto"/>
            <w:vAlign w:val="center"/>
          </w:tcPr>
          <w:p w:rsidR="001A63C6" w:rsidRPr="00A75DF9" w:rsidDel="006A2F66" w:rsidRDefault="001A63C6" w:rsidP="001A63C6">
            <w:pPr>
              <w:pStyle w:val="TableText"/>
              <w:widowControl w:val="0"/>
              <w:rPr>
                <w:rFonts w:ascii="Tahoma" w:hAnsi="Tahoma" w:cs="Tahoma"/>
                <w:sz w:val="13"/>
              </w:rPr>
            </w:pPr>
            <w:r w:rsidRPr="00A75DF9">
              <w:rPr>
                <w:rFonts w:ascii="Tahoma" w:hAnsi="Tahoma" w:cs="Tahoma"/>
                <w:sz w:val="13"/>
              </w:rPr>
              <w:t>1</w:t>
            </w:r>
          </w:p>
        </w:tc>
        <w:tc>
          <w:tcPr>
            <w:tcW w:w="450" w:type="dxa"/>
            <w:tcBorders>
              <w:bottom w:val="single" w:sz="4" w:space="0" w:color="auto"/>
            </w:tcBorders>
            <w:shd w:val="clear" w:color="auto" w:fill="auto"/>
            <w:vAlign w:val="center"/>
          </w:tcPr>
          <w:p w:rsidR="001A63C6" w:rsidRPr="00A75DF9" w:rsidDel="006A2F66" w:rsidRDefault="001A63C6" w:rsidP="001A63C6">
            <w:pPr>
              <w:pStyle w:val="TableText"/>
              <w:widowControl w:val="0"/>
              <w:rPr>
                <w:rFonts w:ascii="Tahoma" w:hAnsi="Tahoma" w:cs="Tahoma"/>
                <w:sz w:val="13"/>
              </w:rPr>
            </w:pPr>
            <w:r w:rsidRPr="00A75DF9">
              <w:rPr>
                <w:rFonts w:ascii="Tahoma" w:hAnsi="Tahoma" w:cs="Tahoma"/>
                <w:sz w:val="13"/>
              </w:rPr>
              <w:t>3</w:t>
            </w:r>
          </w:p>
        </w:tc>
        <w:tc>
          <w:tcPr>
            <w:tcW w:w="455" w:type="dxa"/>
            <w:tcBorders>
              <w:bottom w:val="single" w:sz="4" w:space="0" w:color="auto"/>
            </w:tcBorders>
            <w:shd w:val="clear" w:color="auto" w:fill="auto"/>
            <w:vAlign w:val="center"/>
          </w:tcPr>
          <w:p w:rsidR="001A63C6" w:rsidRPr="00A75DF9" w:rsidDel="006A2F66" w:rsidRDefault="001A63C6" w:rsidP="001A63C6">
            <w:pPr>
              <w:pStyle w:val="TableText"/>
              <w:widowControl w:val="0"/>
              <w:rPr>
                <w:rFonts w:ascii="Tahoma" w:hAnsi="Tahoma" w:cs="Tahoma"/>
                <w:sz w:val="13"/>
              </w:rPr>
            </w:pPr>
            <w:r w:rsidRPr="00A75DF9">
              <w:rPr>
                <w:rFonts w:ascii="Tahoma" w:hAnsi="Tahoma" w:cs="Tahoma"/>
                <w:sz w:val="13"/>
              </w:rPr>
              <w:t>2</w:t>
            </w:r>
          </w:p>
        </w:tc>
        <w:tc>
          <w:tcPr>
            <w:tcW w:w="450" w:type="dxa"/>
            <w:gridSpan w:val="3"/>
            <w:tcBorders>
              <w:bottom w:val="single" w:sz="4" w:space="0" w:color="auto"/>
            </w:tcBorders>
            <w:shd w:val="clear" w:color="auto" w:fill="auto"/>
            <w:vAlign w:val="center"/>
          </w:tcPr>
          <w:p w:rsidR="001A63C6" w:rsidRPr="00A75DF9" w:rsidDel="006A2F66" w:rsidRDefault="001A63C6" w:rsidP="001A63C6">
            <w:pPr>
              <w:pStyle w:val="TableText"/>
              <w:widowControl w:val="0"/>
              <w:rPr>
                <w:rFonts w:ascii="Tahoma" w:hAnsi="Tahoma" w:cs="Tahoma"/>
                <w:sz w:val="13"/>
              </w:rPr>
            </w:pPr>
            <w:r w:rsidRPr="00A75DF9">
              <w:rPr>
                <w:rFonts w:ascii="Tahoma" w:hAnsi="Tahoma" w:cs="Tahoma"/>
                <w:sz w:val="13"/>
              </w:rPr>
              <w:t>2</w:t>
            </w:r>
          </w:p>
        </w:tc>
        <w:tc>
          <w:tcPr>
            <w:tcW w:w="445" w:type="dxa"/>
            <w:tcBorders>
              <w:bottom w:val="single" w:sz="4" w:space="0" w:color="auto"/>
            </w:tcBorders>
            <w:shd w:val="clear" w:color="auto" w:fill="auto"/>
            <w:vAlign w:val="center"/>
          </w:tcPr>
          <w:p w:rsidR="001A63C6" w:rsidRPr="00A75DF9" w:rsidDel="006A2F66" w:rsidRDefault="001A63C6" w:rsidP="001A63C6">
            <w:pPr>
              <w:pStyle w:val="TableText"/>
              <w:widowControl w:val="0"/>
              <w:rPr>
                <w:rFonts w:ascii="Tahoma" w:hAnsi="Tahoma" w:cs="Tahoma"/>
                <w:sz w:val="13"/>
              </w:rPr>
            </w:pPr>
            <w:r w:rsidRPr="00A75DF9">
              <w:rPr>
                <w:rFonts w:ascii="Tahoma" w:hAnsi="Tahoma" w:cs="Tahoma"/>
                <w:sz w:val="13"/>
              </w:rPr>
              <w:t>2</w:t>
            </w:r>
          </w:p>
        </w:tc>
        <w:tc>
          <w:tcPr>
            <w:tcW w:w="450" w:type="dxa"/>
            <w:tcBorders>
              <w:bottom w:val="single" w:sz="4" w:space="0" w:color="auto"/>
            </w:tcBorders>
            <w:shd w:val="clear" w:color="auto" w:fill="auto"/>
            <w:vAlign w:val="center"/>
          </w:tcPr>
          <w:p w:rsidR="001A63C6" w:rsidRPr="00A75DF9" w:rsidDel="006A2F66" w:rsidRDefault="001A63C6" w:rsidP="001A63C6">
            <w:pPr>
              <w:pStyle w:val="TableText"/>
              <w:widowControl w:val="0"/>
              <w:rPr>
                <w:rFonts w:ascii="Tahoma" w:hAnsi="Tahoma" w:cs="Tahoma"/>
                <w:sz w:val="13"/>
              </w:rPr>
            </w:pPr>
            <w:r w:rsidRPr="00A75DF9">
              <w:rPr>
                <w:rFonts w:ascii="Tahoma" w:hAnsi="Tahoma" w:cs="Tahoma"/>
                <w:sz w:val="13"/>
              </w:rPr>
              <w:t>1</w:t>
            </w:r>
          </w:p>
        </w:tc>
        <w:tc>
          <w:tcPr>
            <w:tcW w:w="374" w:type="dxa"/>
            <w:tcBorders>
              <w:bottom w:val="single" w:sz="4" w:space="0" w:color="auto"/>
              <w:right w:val="single" w:sz="18" w:space="0" w:color="auto"/>
            </w:tcBorders>
            <w:shd w:val="clear" w:color="auto" w:fill="auto"/>
            <w:vAlign w:val="center"/>
          </w:tcPr>
          <w:p w:rsidR="001A63C6" w:rsidRPr="00A75DF9" w:rsidDel="006A2F66" w:rsidRDefault="001A63C6" w:rsidP="001A63C6">
            <w:pPr>
              <w:pStyle w:val="TableText"/>
              <w:widowControl w:val="0"/>
              <w:rPr>
                <w:rFonts w:ascii="Tahoma" w:hAnsi="Tahoma" w:cs="Tahoma"/>
                <w:sz w:val="13"/>
              </w:rPr>
            </w:pPr>
            <w:r w:rsidRPr="00A75DF9">
              <w:rPr>
                <w:rFonts w:ascii="Tahoma" w:hAnsi="Tahoma" w:cs="Tahoma"/>
                <w:sz w:val="13"/>
              </w:rPr>
              <w:t>1</w:t>
            </w:r>
          </w:p>
        </w:tc>
        <w:tc>
          <w:tcPr>
            <w:tcW w:w="455" w:type="dxa"/>
            <w:tcBorders>
              <w:left w:val="single" w:sz="18" w:space="0" w:color="auto"/>
              <w:bottom w:val="single" w:sz="4" w:space="0" w:color="auto"/>
            </w:tcBorders>
            <w:shd w:val="clear" w:color="auto" w:fill="auto"/>
            <w:vAlign w:val="center"/>
          </w:tcPr>
          <w:p w:rsidR="001A63C6" w:rsidRPr="00A75DF9" w:rsidDel="006A2F66" w:rsidRDefault="001A63C6" w:rsidP="001A63C6">
            <w:pPr>
              <w:pStyle w:val="TableText"/>
              <w:widowControl w:val="0"/>
              <w:rPr>
                <w:rFonts w:ascii="Tahoma" w:hAnsi="Tahoma" w:cs="Tahoma"/>
                <w:sz w:val="13"/>
              </w:rPr>
            </w:pPr>
            <w:r w:rsidRPr="00A75DF9">
              <w:rPr>
                <w:rFonts w:ascii="Tahoma" w:hAnsi="Tahoma" w:cs="Tahoma"/>
                <w:sz w:val="13"/>
              </w:rPr>
              <w:t>1</w:t>
            </w:r>
          </w:p>
        </w:tc>
        <w:tc>
          <w:tcPr>
            <w:tcW w:w="450" w:type="dxa"/>
            <w:tcBorders>
              <w:bottom w:val="single" w:sz="4" w:space="0" w:color="auto"/>
            </w:tcBorders>
            <w:shd w:val="clear" w:color="auto" w:fill="auto"/>
            <w:vAlign w:val="center"/>
          </w:tcPr>
          <w:p w:rsidR="001A63C6" w:rsidRPr="00A75DF9" w:rsidDel="006A2F66" w:rsidRDefault="001A63C6" w:rsidP="001A63C6">
            <w:pPr>
              <w:pStyle w:val="TableText"/>
              <w:widowControl w:val="0"/>
              <w:rPr>
                <w:rFonts w:ascii="Tahoma" w:hAnsi="Tahoma" w:cs="Tahoma"/>
                <w:sz w:val="13"/>
              </w:rPr>
            </w:pPr>
            <w:r w:rsidRPr="00A75DF9">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A75DF9" w:rsidDel="006A2F66" w:rsidRDefault="001A63C6" w:rsidP="001A63C6">
            <w:pPr>
              <w:pStyle w:val="TableText"/>
              <w:widowControl w:val="0"/>
              <w:rPr>
                <w:rFonts w:ascii="Tahoma" w:hAnsi="Tahoma" w:cs="Tahoma"/>
                <w:sz w:val="13"/>
              </w:rPr>
            </w:pPr>
            <w:r w:rsidRPr="00A75DF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A75DF9" w:rsidDel="006A2F66" w:rsidRDefault="001A63C6" w:rsidP="001A63C6">
            <w:pPr>
              <w:pStyle w:val="TableText"/>
              <w:widowControl w:val="0"/>
              <w:rPr>
                <w:rFonts w:ascii="Tahoma" w:hAnsi="Tahoma" w:cs="Tahoma"/>
                <w:sz w:val="13"/>
              </w:rPr>
            </w:pPr>
            <w:r w:rsidRPr="00A75DF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A75DF9" w:rsidDel="006A2F6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75DF9" w:rsidDel="006A2F66" w:rsidRDefault="001A63C6" w:rsidP="001A63C6">
            <w:pPr>
              <w:pStyle w:val="TableText"/>
              <w:widowControl w:val="0"/>
              <w:rPr>
                <w:rFonts w:ascii="Tahoma" w:hAnsi="Tahoma" w:cs="Tahoma"/>
                <w:sz w:val="13"/>
              </w:rPr>
            </w:pPr>
            <w:r w:rsidRPr="00A75DF9">
              <w:rPr>
                <w:rFonts w:ascii="Tahoma" w:hAnsi="Tahoma" w:cs="Tahoma"/>
                <w:sz w:val="13"/>
              </w:rPr>
              <w:t>P</w:t>
            </w:r>
          </w:p>
        </w:tc>
        <w:tc>
          <w:tcPr>
            <w:tcW w:w="450" w:type="dxa"/>
            <w:tcBorders>
              <w:bottom w:val="single" w:sz="4" w:space="0" w:color="auto"/>
            </w:tcBorders>
            <w:shd w:val="clear" w:color="auto" w:fill="auto"/>
          </w:tcPr>
          <w:p w:rsidR="001A63C6" w:rsidRPr="00A75DF9" w:rsidDel="006A2F66" w:rsidRDefault="001A63C6" w:rsidP="001A63C6">
            <w:pPr>
              <w:pStyle w:val="TableText"/>
              <w:widowControl w:val="0"/>
              <w:spacing w:before="120"/>
              <w:rPr>
                <w:rFonts w:ascii="Tahoma" w:hAnsi="Tahoma" w:cs="Tahoma"/>
                <w:sz w:val="13"/>
              </w:rPr>
            </w:pPr>
            <w:r w:rsidRPr="00A75DF9">
              <w:rPr>
                <w:rFonts w:ascii="Tahoma" w:hAnsi="Tahoma" w:cs="Tahoma"/>
                <w:sz w:val="13"/>
              </w:rPr>
              <w:t>A, ST</w:t>
            </w:r>
          </w:p>
        </w:tc>
        <w:tc>
          <w:tcPr>
            <w:tcW w:w="539"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r>
      <w:tr w:rsidR="00B33D0E" w:rsidRPr="00A75DF9" w:rsidTr="008A1262">
        <w:trPr>
          <w:trHeight w:val="70"/>
        </w:trPr>
        <w:tc>
          <w:tcPr>
            <w:tcW w:w="2724" w:type="dxa"/>
            <w:gridSpan w:val="2"/>
            <w:tcBorders>
              <w:bottom w:val="single" w:sz="4" w:space="0" w:color="auto"/>
            </w:tcBorders>
            <w:shd w:val="clear" w:color="auto" w:fill="FABF8F"/>
            <w:vAlign w:val="center"/>
          </w:tcPr>
          <w:p w:rsidR="001A63C6" w:rsidRPr="00A75DF9" w:rsidRDefault="001A63C6">
            <w:pPr>
              <w:pStyle w:val="Heading2"/>
              <w:ind w:left="0"/>
              <w:rPr>
                <w:rFonts w:ascii="Tahoma" w:hAnsi="Tahoma" w:cs="Tahoma"/>
                <w:b w:val="0"/>
                <w:sz w:val="14"/>
                <w:szCs w:val="14"/>
              </w:rPr>
            </w:pPr>
            <w:bookmarkStart w:id="283" w:name="_Toc336338007"/>
            <w:bookmarkStart w:id="284" w:name="_Toc368310003"/>
            <w:r w:rsidRPr="00A75DF9">
              <w:rPr>
                <w:rFonts w:ascii="Tahoma" w:hAnsi="Tahoma" w:cs="Tahoma"/>
                <w:b w:val="0"/>
                <w:sz w:val="14"/>
                <w:szCs w:val="14"/>
              </w:rPr>
              <w:t>Enterprise Additive CAL per Microsoft Dynamics AX 2012 R2 (Utente e Dispositivo)</w:t>
            </w:r>
            <w:bookmarkEnd w:id="283"/>
            <w:bookmarkEnd w:id="284"/>
          </w:p>
        </w:tc>
        <w:tc>
          <w:tcPr>
            <w:tcW w:w="448" w:type="dxa"/>
            <w:tcBorders>
              <w:bottom w:val="single" w:sz="4" w:space="0" w:color="auto"/>
            </w:tcBorders>
            <w:shd w:val="clear" w:color="auto" w:fill="FABF8F"/>
            <w:vAlign w:val="center"/>
          </w:tcPr>
          <w:p w:rsidR="001A63C6" w:rsidRPr="00B41377" w:rsidRDefault="00B54770">
            <w:pPr>
              <w:pStyle w:val="TableText"/>
              <w:widowControl w:val="0"/>
              <w:rPr>
                <w:rFonts w:cs="Tahoma"/>
                <w:b/>
                <w:color w:val="0000FF"/>
                <w:sz w:val="13"/>
                <w:szCs w:val="13"/>
                <w:u w:val="single"/>
              </w:rPr>
            </w:pPr>
            <w:hyperlink w:anchor="_72_Microsoft_Dynamics" w:history="1">
              <w:r w:rsidR="00734B17" w:rsidRPr="00B41377">
                <w:rPr>
                  <w:rStyle w:val="Hyperlink"/>
                  <w:rFonts w:cs="Tahoma"/>
                  <w:b/>
                  <w:sz w:val="13"/>
                  <w:szCs w:val="13"/>
                </w:rPr>
                <w:t>71</w:t>
              </w:r>
            </w:hyperlink>
          </w:p>
        </w:tc>
        <w:tc>
          <w:tcPr>
            <w:tcW w:w="449" w:type="dxa"/>
            <w:tcBorders>
              <w:bottom w:val="single" w:sz="4" w:space="0" w:color="auto"/>
            </w:tcBorders>
            <w:shd w:val="clear" w:color="auto" w:fill="FABF8F"/>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12/12</w:t>
            </w:r>
          </w:p>
        </w:tc>
        <w:tc>
          <w:tcPr>
            <w:tcW w:w="359"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SRV</w:t>
            </w:r>
          </w:p>
        </w:tc>
        <w:tc>
          <w:tcPr>
            <w:tcW w:w="356"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374"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5"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A75DF9" w:rsidRDefault="001A63C6" w:rsidP="001A63C6">
            <w:pPr>
              <w:pStyle w:val="TableText"/>
              <w:widowControl w:val="0"/>
              <w:rPr>
                <w:rFonts w:ascii="Tahoma" w:hAnsi="Tahoma" w:cs="Tahoma"/>
                <w:sz w:val="13"/>
              </w:rPr>
            </w:pPr>
          </w:p>
        </w:tc>
        <w:tc>
          <w:tcPr>
            <w:tcW w:w="539" w:type="dxa"/>
            <w:tcBorders>
              <w:bottom w:val="single" w:sz="4" w:space="0" w:color="auto"/>
            </w:tcBorders>
            <w:shd w:val="clear" w:color="auto" w:fill="FABF8F"/>
            <w:vAlign w:val="center"/>
          </w:tcPr>
          <w:p w:rsidR="001A63C6" w:rsidRPr="00A75DF9" w:rsidRDefault="001A63C6" w:rsidP="001A63C6">
            <w:pPr>
              <w:pStyle w:val="TableText"/>
              <w:widowControl w:val="0"/>
              <w:jc w:val="left"/>
              <w:rPr>
                <w:rFonts w:ascii="Tahoma" w:hAnsi="Tahoma" w:cs="Tahoma"/>
                <w:sz w:val="13"/>
              </w:rPr>
            </w:pPr>
          </w:p>
        </w:tc>
      </w:tr>
      <w:tr w:rsidR="00BE2E58" w:rsidRPr="00A75DF9" w:rsidTr="008A1262">
        <w:trPr>
          <w:trHeight w:val="145"/>
        </w:trPr>
        <w:tc>
          <w:tcPr>
            <w:tcW w:w="2724" w:type="dxa"/>
            <w:gridSpan w:val="2"/>
            <w:tcBorders>
              <w:bottom w:val="single" w:sz="4" w:space="0" w:color="auto"/>
            </w:tcBorders>
            <w:shd w:val="clear" w:color="auto" w:fill="auto"/>
            <w:vAlign w:val="center"/>
          </w:tcPr>
          <w:p w:rsidR="001A63C6" w:rsidRPr="00A75DF9" w:rsidRDefault="001A63C6" w:rsidP="001A63C6">
            <w:pPr>
              <w:pStyle w:val="Heading2"/>
              <w:ind w:left="0"/>
              <w:rPr>
                <w:rFonts w:ascii="Tahoma" w:hAnsi="Tahoma" w:cs="Tahoma"/>
                <w:b w:val="0"/>
                <w:sz w:val="14"/>
                <w:szCs w:val="14"/>
              </w:rPr>
            </w:pPr>
            <w:bookmarkStart w:id="285" w:name="_Toc336338008"/>
            <w:bookmarkStart w:id="286" w:name="_Toc368310004"/>
            <w:r w:rsidRPr="00A75DF9">
              <w:rPr>
                <w:rFonts w:ascii="Tahoma" w:hAnsi="Tahoma" w:cs="Tahoma"/>
                <w:b w:val="0"/>
                <w:sz w:val="14"/>
                <w:szCs w:val="14"/>
              </w:rPr>
              <w:t>Enterprise CAL per Microsoft Dynamics AX 2012 R2 (Utente e Dispositivo)</w:t>
            </w:r>
            <w:bookmarkEnd w:id="285"/>
            <w:bookmarkEnd w:id="286"/>
          </w:p>
        </w:tc>
        <w:tc>
          <w:tcPr>
            <w:tcW w:w="448" w:type="dxa"/>
            <w:tcBorders>
              <w:bottom w:val="single" w:sz="4" w:space="0" w:color="auto"/>
            </w:tcBorders>
            <w:shd w:val="clear" w:color="auto" w:fill="auto"/>
            <w:vAlign w:val="center"/>
          </w:tcPr>
          <w:p w:rsidR="001A63C6" w:rsidRPr="00B41377" w:rsidRDefault="00B54770">
            <w:pPr>
              <w:pStyle w:val="TableText"/>
              <w:widowControl w:val="0"/>
              <w:rPr>
                <w:rFonts w:cs="Tahoma"/>
                <w:b/>
                <w:color w:val="0000FF"/>
                <w:sz w:val="13"/>
                <w:szCs w:val="13"/>
                <w:u w:val="single"/>
              </w:rPr>
            </w:pPr>
            <w:hyperlink w:anchor="_72_Microsoft_Dynamics" w:history="1">
              <w:r w:rsidR="00734B17" w:rsidRPr="00B41377">
                <w:rPr>
                  <w:rStyle w:val="Hyperlink"/>
                  <w:rFonts w:cs="Tahoma"/>
                  <w:b/>
                  <w:sz w:val="13"/>
                  <w:szCs w:val="13"/>
                </w:rPr>
                <w:t>71</w:t>
              </w:r>
            </w:hyperlink>
          </w:p>
        </w:tc>
        <w:tc>
          <w:tcPr>
            <w:tcW w:w="449" w:type="dxa"/>
            <w:tcBorders>
              <w:bottom w:val="single" w:sz="4" w:space="0" w:color="auto"/>
            </w:tcBorders>
            <w:shd w:val="clear" w:color="auto" w:fill="auto"/>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12/12</w:t>
            </w:r>
          </w:p>
        </w:tc>
        <w:tc>
          <w:tcPr>
            <w:tcW w:w="359"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SRV</w:t>
            </w:r>
          </w:p>
        </w:tc>
        <w:tc>
          <w:tcPr>
            <w:tcW w:w="356"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5"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45"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374"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5"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A75DF9" w:rsidRDefault="001A63C6" w:rsidP="001A63C6">
            <w:pPr>
              <w:pStyle w:val="TableText"/>
              <w:widowControl w:val="0"/>
              <w:rPr>
                <w:rFonts w:ascii="Tahoma" w:hAnsi="Tahoma" w:cs="Tahoma"/>
                <w:sz w:val="13"/>
              </w:rPr>
            </w:pPr>
          </w:p>
        </w:tc>
        <w:tc>
          <w:tcPr>
            <w:tcW w:w="539" w:type="dxa"/>
            <w:tcBorders>
              <w:bottom w:val="single" w:sz="4" w:space="0" w:color="auto"/>
            </w:tcBorders>
            <w:shd w:val="clear" w:color="auto" w:fill="auto"/>
            <w:vAlign w:val="center"/>
          </w:tcPr>
          <w:p w:rsidR="001A63C6" w:rsidRPr="00A75DF9" w:rsidRDefault="001A63C6" w:rsidP="001A63C6">
            <w:pPr>
              <w:pStyle w:val="TableText"/>
              <w:widowControl w:val="0"/>
              <w:jc w:val="left"/>
              <w:rPr>
                <w:rFonts w:ascii="Tahoma" w:hAnsi="Tahoma" w:cs="Tahoma"/>
                <w:sz w:val="13"/>
              </w:rPr>
            </w:pPr>
          </w:p>
        </w:tc>
      </w:tr>
      <w:tr w:rsidR="00B33D0E" w:rsidRPr="00A75DF9" w:rsidTr="008A1262">
        <w:trPr>
          <w:trHeight w:val="145"/>
        </w:trPr>
        <w:tc>
          <w:tcPr>
            <w:tcW w:w="2724" w:type="dxa"/>
            <w:gridSpan w:val="2"/>
            <w:tcBorders>
              <w:bottom w:val="single" w:sz="4" w:space="0" w:color="auto"/>
            </w:tcBorders>
            <w:shd w:val="clear" w:color="auto" w:fill="FABF8F"/>
            <w:vAlign w:val="center"/>
          </w:tcPr>
          <w:p w:rsidR="001A63C6" w:rsidRPr="00A75DF9" w:rsidRDefault="001A63C6" w:rsidP="001A63C6">
            <w:pPr>
              <w:pStyle w:val="Heading2"/>
              <w:ind w:left="0"/>
              <w:rPr>
                <w:rFonts w:ascii="Tahoma" w:hAnsi="Tahoma" w:cs="Tahoma"/>
                <w:b w:val="0"/>
                <w:sz w:val="14"/>
                <w:szCs w:val="14"/>
              </w:rPr>
            </w:pPr>
            <w:bookmarkStart w:id="287" w:name="_Toc336338009"/>
            <w:bookmarkStart w:id="288" w:name="_Toc368310005"/>
            <w:r w:rsidRPr="00A75DF9">
              <w:rPr>
                <w:rFonts w:ascii="Tahoma" w:hAnsi="Tahoma" w:cs="Tahoma"/>
                <w:b w:val="0"/>
                <w:sz w:val="14"/>
                <w:szCs w:val="14"/>
              </w:rPr>
              <w:t>Functional Additive CAL per Microsoft Dynamics AX 2012 R2 (Utente e Dispositivo)</w:t>
            </w:r>
            <w:bookmarkEnd w:id="287"/>
            <w:bookmarkEnd w:id="288"/>
          </w:p>
        </w:tc>
        <w:tc>
          <w:tcPr>
            <w:tcW w:w="448" w:type="dxa"/>
            <w:tcBorders>
              <w:bottom w:val="single" w:sz="4" w:space="0" w:color="auto"/>
            </w:tcBorders>
            <w:shd w:val="clear" w:color="auto" w:fill="FABF8F"/>
            <w:vAlign w:val="center"/>
          </w:tcPr>
          <w:p w:rsidR="001A63C6" w:rsidRPr="00B41377" w:rsidRDefault="00B54770">
            <w:pPr>
              <w:pStyle w:val="TableText"/>
              <w:widowControl w:val="0"/>
              <w:rPr>
                <w:rFonts w:cs="Tahoma"/>
                <w:b/>
                <w:color w:val="0000FF"/>
                <w:sz w:val="13"/>
                <w:szCs w:val="13"/>
                <w:u w:val="single"/>
              </w:rPr>
            </w:pPr>
            <w:hyperlink w:anchor="_72_Microsoft_Dynamics" w:history="1">
              <w:r w:rsidR="00734B17" w:rsidRPr="00B41377">
                <w:rPr>
                  <w:rStyle w:val="Hyperlink"/>
                  <w:rFonts w:cs="Tahoma"/>
                  <w:b/>
                  <w:sz w:val="13"/>
                  <w:szCs w:val="13"/>
                </w:rPr>
                <w:t>71</w:t>
              </w:r>
            </w:hyperlink>
          </w:p>
        </w:tc>
        <w:tc>
          <w:tcPr>
            <w:tcW w:w="449" w:type="dxa"/>
            <w:tcBorders>
              <w:bottom w:val="single" w:sz="4" w:space="0" w:color="auto"/>
            </w:tcBorders>
            <w:shd w:val="clear" w:color="auto" w:fill="FABF8F"/>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12/12</w:t>
            </w:r>
          </w:p>
        </w:tc>
        <w:tc>
          <w:tcPr>
            <w:tcW w:w="359"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SRV</w:t>
            </w:r>
          </w:p>
        </w:tc>
        <w:tc>
          <w:tcPr>
            <w:tcW w:w="356"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374"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5"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A75DF9" w:rsidRDefault="001A63C6" w:rsidP="001A63C6">
            <w:pPr>
              <w:pStyle w:val="TableText"/>
              <w:widowControl w:val="0"/>
              <w:rPr>
                <w:rFonts w:ascii="Tahoma" w:hAnsi="Tahoma" w:cs="Tahoma"/>
                <w:sz w:val="13"/>
              </w:rPr>
            </w:pPr>
          </w:p>
        </w:tc>
        <w:tc>
          <w:tcPr>
            <w:tcW w:w="539" w:type="dxa"/>
            <w:tcBorders>
              <w:bottom w:val="single" w:sz="4" w:space="0" w:color="auto"/>
            </w:tcBorders>
            <w:shd w:val="clear" w:color="auto" w:fill="FABF8F"/>
            <w:vAlign w:val="center"/>
          </w:tcPr>
          <w:p w:rsidR="001A63C6" w:rsidRPr="00A75DF9" w:rsidRDefault="001A63C6" w:rsidP="001A63C6">
            <w:pPr>
              <w:pStyle w:val="TableText"/>
              <w:widowControl w:val="0"/>
              <w:jc w:val="left"/>
              <w:rPr>
                <w:rFonts w:ascii="Tahoma" w:hAnsi="Tahoma" w:cs="Tahoma"/>
                <w:sz w:val="13"/>
              </w:rPr>
            </w:pPr>
          </w:p>
        </w:tc>
      </w:tr>
      <w:tr w:rsidR="00BE2E58" w:rsidRPr="00A75DF9" w:rsidTr="008A1262">
        <w:trPr>
          <w:trHeight w:val="145"/>
        </w:trPr>
        <w:tc>
          <w:tcPr>
            <w:tcW w:w="2724" w:type="dxa"/>
            <w:gridSpan w:val="2"/>
            <w:tcBorders>
              <w:bottom w:val="single" w:sz="4" w:space="0" w:color="auto"/>
            </w:tcBorders>
            <w:shd w:val="clear" w:color="auto" w:fill="auto"/>
            <w:vAlign w:val="center"/>
          </w:tcPr>
          <w:p w:rsidR="001A63C6" w:rsidRPr="00A75DF9" w:rsidRDefault="001A63C6" w:rsidP="001A63C6">
            <w:pPr>
              <w:pStyle w:val="Heading2"/>
              <w:ind w:left="0"/>
              <w:rPr>
                <w:rFonts w:ascii="Tahoma" w:hAnsi="Tahoma" w:cs="Tahoma"/>
                <w:b w:val="0"/>
                <w:sz w:val="14"/>
                <w:szCs w:val="14"/>
              </w:rPr>
            </w:pPr>
            <w:bookmarkStart w:id="289" w:name="_Toc336338010"/>
            <w:bookmarkStart w:id="290" w:name="_Toc368310006"/>
            <w:r w:rsidRPr="00A75DF9">
              <w:rPr>
                <w:rFonts w:ascii="Tahoma" w:hAnsi="Tahoma" w:cs="Tahoma"/>
                <w:b w:val="0"/>
                <w:sz w:val="14"/>
                <w:szCs w:val="14"/>
              </w:rPr>
              <w:t>Functional CAL per Microsoft Dynamics AX 2012 R2 (Utente e Dispositivo)</w:t>
            </w:r>
            <w:bookmarkEnd w:id="289"/>
            <w:bookmarkEnd w:id="290"/>
          </w:p>
        </w:tc>
        <w:tc>
          <w:tcPr>
            <w:tcW w:w="448" w:type="dxa"/>
            <w:tcBorders>
              <w:bottom w:val="single" w:sz="4" w:space="0" w:color="auto"/>
            </w:tcBorders>
            <w:shd w:val="clear" w:color="auto" w:fill="auto"/>
            <w:vAlign w:val="center"/>
          </w:tcPr>
          <w:p w:rsidR="001A63C6" w:rsidRPr="00B41377" w:rsidRDefault="00B54770">
            <w:pPr>
              <w:pStyle w:val="TableText"/>
              <w:widowControl w:val="0"/>
              <w:rPr>
                <w:rFonts w:cs="Tahoma"/>
                <w:b/>
                <w:color w:val="0000FF"/>
                <w:sz w:val="13"/>
                <w:szCs w:val="13"/>
                <w:u w:val="single"/>
              </w:rPr>
            </w:pPr>
            <w:hyperlink w:anchor="_72_Microsoft_Dynamics" w:history="1">
              <w:r w:rsidR="00734B17" w:rsidRPr="00B41377">
                <w:rPr>
                  <w:rStyle w:val="Hyperlink"/>
                  <w:rFonts w:cs="Tahoma"/>
                  <w:b/>
                  <w:sz w:val="13"/>
                  <w:szCs w:val="13"/>
                </w:rPr>
                <w:t>71</w:t>
              </w:r>
            </w:hyperlink>
          </w:p>
        </w:tc>
        <w:tc>
          <w:tcPr>
            <w:tcW w:w="449" w:type="dxa"/>
            <w:tcBorders>
              <w:bottom w:val="single" w:sz="4" w:space="0" w:color="auto"/>
            </w:tcBorders>
            <w:shd w:val="clear" w:color="auto" w:fill="auto"/>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12/12</w:t>
            </w:r>
          </w:p>
        </w:tc>
        <w:tc>
          <w:tcPr>
            <w:tcW w:w="359"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SRV</w:t>
            </w:r>
          </w:p>
        </w:tc>
        <w:tc>
          <w:tcPr>
            <w:tcW w:w="356"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5"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45"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374"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5"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A75DF9" w:rsidRDefault="001A63C6" w:rsidP="001A63C6">
            <w:pPr>
              <w:pStyle w:val="TableText"/>
              <w:widowControl w:val="0"/>
              <w:rPr>
                <w:rFonts w:ascii="Tahoma" w:hAnsi="Tahoma" w:cs="Tahoma"/>
                <w:sz w:val="13"/>
              </w:rPr>
            </w:pPr>
          </w:p>
        </w:tc>
        <w:tc>
          <w:tcPr>
            <w:tcW w:w="539" w:type="dxa"/>
            <w:tcBorders>
              <w:bottom w:val="single" w:sz="4" w:space="0" w:color="auto"/>
            </w:tcBorders>
            <w:shd w:val="clear" w:color="auto" w:fill="auto"/>
            <w:vAlign w:val="center"/>
          </w:tcPr>
          <w:p w:rsidR="001A63C6" w:rsidRPr="00A75DF9" w:rsidRDefault="001A63C6" w:rsidP="001A63C6">
            <w:pPr>
              <w:pStyle w:val="TableText"/>
              <w:widowControl w:val="0"/>
              <w:jc w:val="left"/>
              <w:rPr>
                <w:rFonts w:ascii="Tahoma" w:hAnsi="Tahoma" w:cs="Tahoma"/>
                <w:sz w:val="13"/>
              </w:rPr>
            </w:pPr>
          </w:p>
        </w:tc>
      </w:tr>
      <w:tr w:rsidR="00B33D0E" w:rsidRPr="00A75DF9" w:rsidTr="008A1262">
        <w:trPr>
          <w:trHeight w:val="233"/>
        </w:trPr>
        <w:tc>
          <w:tcPr>
            <w:tcW w:w="2724" w:type="dxa"/>
            <w:gridSpan w:val="2"/>
            <w:tcBorders>
              <w:bottom w:val="single" w:sz="4" w:space="0" w:color="auto"/>
            </w:tcBorders>
            <w:shd w:val="clear" w:color="auto" w:fill="FABF8F"/>
            <w:vAlign w:val="center"/>
          </w:tcPr>
          <w:p w:rsidR="001A63C6" w:rsidRPr="00A75DF9" w:rsidRDefault="001A63C6" w:rsidP="001A63C6">
            <w:pPr>
              <w:pStyle w:val="Heading2"/>
              <w:ind w:left="0"/>
              <w:rPr>
                <w:rFonts w:ascii="Tahoma" w:hAnsi="Tahoma" w:cs="Tahoma"/>
                <w:b w:val="0"/>
                <w:sz w:val="14"/>
                <w:szCs w:val="14"/>
              </w:rPr>
            </w:pPr>
            <w:bookmarkStart w:id="291" w:name="_Toc336338011"/>
            <w:bookmarkStart w:id="292" w:name="_Toc368310007"/>
            <w:r w:rsidRPr="00A75DF9">
              <w:rPr>
                <w:rFonts w:ascii="Tahoma" w:hAnsi="Tahoma" w:cs="Tahoma"/>
                <w:b w:val="0"/>
                <w:sz w:val="14"/>
                <w:szCs w:val="14"/>
              </w:rPr>
              <w:t>Self Serve CAL per Microsoft Dynamics AX 2012 R2 (Utente e Dispositivo)</w:t>
            </w:r>
            <w:bookmarkEnd w:id="291"/>
            <w:bookmarkEnd w:id="292"/>
          </w:p>
        </w:tc>
        <w:tc>
          <w:tcPr>
            <w:tcW w:w="448" w:type="dxa"/>
            <w:tcBorders>
              <w:bottom w:val="single" w:sz="4" w:space="0" w:color="auto"/>
            </w:tcBorders>
            <w:shd w:val="clear" w:color="auto" w:fill="FABF8F"/>
            <w:vAlign w:val="center"/>
          </w:tcPr>
          <w:p w:rsidR="001A63C6" w:rsidRPr="00B41377" w:rsidRDefault="00B54770">
            <w:pPr>
              <w:pStyle w:val="TableText"/>
              <w:widowControl w:val="0"/>
              <w:rPr>
                <w:rFonts w:cs="Tahoma"/>
                <w:b/>
                <w:color w:val="0000FF"/>
                <w:sz w:val="13"/>
                <w:szCs w:val="13"/>
                <w:u w:val="single"/>
              </w:rPr>
            </w:pPr>
            <w:hyperlink w:anchor="_72_Microsoft_Dynamics" w:history="1">
              <w:r w:rsidR="00734B17" w:rsidRPr="00B41377">
                <w:rPr>
                  <w:rStyle w:val="Hyperlink"/>
                  <w:rFonts w:cs="Tahoma"/>
                  <w:b/>
                  <w:sz w:val="13"/>
                  <w:szCs w:val="13"/>
                </w:rPr>
                <w:t>71</w:t>
              </w:r>
            </w:hyperlink>
          </w:p>
        </w:tc>
        <w:tc>
          <w:tcPr>
            <w:tcW w:w="449" w:type="dxa"/>
            <w:tcBorders>
              <w:bottom w:val="single" w:sz="4" w:space="0" w:color="auto"/>
            </w:tcBorders>
            <w:shd w:val="clear" w:color="auto" w:fill="FABF8F"/>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12/12</w:t>
            </w:r>
          </w:p>
        </w:tc>
        <w:tc>
          <w:tcPr>
            <w:tcW w:w="359"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SRV</w:t>
            </w:r>
          </w:p>
        </w:tc>
        <w:tc>
          <w:tcPr>
            <w:tcW w:w="356"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374"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5"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A75DF9" w:rsidRDefault="001A63C6" w:rsidP="001A63C6">
            <w:pPr>
              <w:pStyle w:val="TableText"/>
              <w:widowControl w:val="0"/>
              <w:rPr>
                <w:rFonts w:ascii="Tahoma" w:hAnsi="Tahoma" w:cs="Tahoma"/>
                <w:sz w:val="13"/>
              </w:rPr>
            </w:pPr>
          </w:p>
        </w:tc>
        <w:tc>
          <w:tcPr>
            <w:tcW w:w="539" w:type="dxa"/>
            <w:tcBorders>
              <w:bottom w:val="single" w:sz="4" w:space="0" w:color="auto"/>
            </w:tcBorders>
            <w:shd w:val="clear" w:color="auto" w:fill="FABF8F"/>
            <w:vAlign w:val="center"/>
          </w:tcPr>
          <w:p w:rsidR="001A63C6" w:rsidRPr="00A75DF9" w:rsidRDefault="001A63C6" w:rsidP="001A63C6">
            <w:pPr>
              <w:pStyle w:val="TableText"/>
              <w:widowControl w:val="0"/>
              <w:jc w:val="left"/>
              <w:rPr>
                <w:rFonts w:ascii="Tahoma" w:hAnsi="Tahoma" w:cs="Tahoma"/>
                <w:sz w:val="13"/>
              </w:rPr>
            </w:pPr>
          </w:p>
        </w:tc>
      </w:tr>
      <w:tr w:rsidR="00BE2E58" w:rsidRPr="00A75DF9" w:rsidTr="008A1262">
        <w:trPr>
          <w:trHeight w:val="242"/>
        </w:trPr>
        <w:tc>
          <w:tcPr>
            <w:tcW w:w="2724" w:type="dxa"/>
            <w:gridSpan w:val="2"/>
            <w:tcBorders>
              <w:bottom w:val="single" w:sz="4" w:space="0" w:color="auto"/>
            </w:tcBorders>
            <w:shd w:val="clear" w:color="auto" w:fill="auto"/>
            <w:vAlign w:val="center"/>
          </w:tcPr>
          <w:p w:rsidR="001A63C6" w:rsidRPr="00A75DF9" w:rsidRDefault="001A63C6" w:rsidP="001A63C6">
            <w:pPr>
              <w:pStyle w:val="Heading2"/>
              <w:ind w:left="0"/>
              <w:rPr>
                <w:rFonts w:ascii="Tahoma" w:hAnsi="Tahoma" w:cs="Tahoma"/>
                <w:b w:val="0"/>
                <w:sz w:val="14"/>
                <w:szCs w:val="14"/>
              </w:rPr>
            </w:pPr>
            <w:bookmarkStart w:id="293" w:name="_Toc336338012"/>
            <w:bookmarkStart w:id="294" w:name="_Toc368310008"/>
            <w:r w:rsidRPr="00A75DF9">
              <w:rPr>
                <w:rFonts w:ascii="Tahoma" w:hAnsi="Tahoma" w:cs="Tahoma"/>
                <w:b w:val="0"/>
                <w:sz w:val="14"/>
                <w:szCs w:val="14"/>
              </w:rPr>
              <w:t>Microsoft Dynamics AX 2012 R2 Server</w:t>
            </w:r>
            <w:bookmarkEnd w:id="293"/>
            <w:bookmarkEnd w:id="294"/>
          </w:p>
        </w:tc>
        <w:tc>
          <w:tcPr>
            <w:tcW w:w="448" w:type="dxa"/>
            <w:tcBorders>
              <w:bottom w:val="single" w:sz="4" w:space="0" w:color="auto"/>
            </w:tcBorders>
            <w:shd w:val="clear" w:color="auto" w:fill="auto"/>
            <w:vAlign w:val="center"/>
          </w:tcPr>
          <w:p w:rsidR="001A63C6" w:rsidRPr="00B41377" w:rsidRDefault="00B54770">
            <w:pPr>
              <w:pStyle w:val="TableText"/>
              <w:widowControl w:val="0"/>
              <w:rPr>
                <w:rFonts w:cs="Tahoma"/>
                <w:b/>
                <w:color w:val="0000FF"/>
                <w:sz w:val="13"/>
                <w:szCs w:val="13"/>
                <w:u w:val="single"/>
              </w:rPr>
            </w:pPr>
            <w:hyperlink w:anchor="_72_Microsoft_Dynamics" w:history="1">
              <w:r w:rsidR="00734B17" w:rsidRPr="00B41377">
                <w:rPr>
                  <w:rStyle w:val="Hyperlink"/>
                  <w:rFonts w:cs="Tahoma"/>
                  <w:b/>
                  <w:sz w:val="13"/>
                  <w:szCs w:val="13"/>
                </w:rPr>
                <w:t>71</w:t>
              </w:r>
            </w:hyperlink>
          </w:p>
        </w:tc>
        <w:tc>
          <w:tcPr>
            <w:tcW w:w="449" w:type="dxa"/>
            <w:tcBorders>
              <w:bottom w:val="single" w:sz="4" w:space="0" w:color="auto"/>
            </w:tcBorders>
            <w:shd w:val="clear" w:color="auto" w:fill="auto"/>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12/12</w:t>
            </w:r>
          </w:p>
        </w:tc>
        <w:tc>
          <w:tcPr>
            <w:tcW w:w="359"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SRV</w:t>
            </w:r>
          </w:p>
        </w:tc>
        <w:tc>
          <w:tcPr>
            <w:tcW w:w="356"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5"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45"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374"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5"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A75DF9" w:rsidRDefault="001A63C6" w:rsidP="001A63C6">
            <w:pPr>
              <w:pStyle w:val="TableText"/>
              <w:widowControl w:val="0"/>
              <w:rPr>
                <w:rFonts w:ascii="Tahoma" w:hAnsi="Tahoma" w:cs="Tahoma"/>
                <w:sz w:val="13"/>
              </w:rPr>
            </w:pPr>
          </w:p>
        </w:tc>
        <w:tc>
          <w:tcPr>
            <w:tcW w:w="539" w:type="dxa"/>
            <w:tcBorders>
              <w:bottom w:val="single" w:sz="4" w:space="0" w:color="auto"/>
            </w:tcBorders>
            <w:shd w:val="clear" w:color="auto" w:fill="auto"/>
            <w:vAlign w:val="center"/>
          </w:tcPr>
          <w:p w:rsidR="001A63C6" w:rsidRPr="00A75DF9" w:rsidRDefault="001A63C6" w:rsidP="001A63C6">
            <w:pPr>
              <w:pStyle w:val="TableText"/>
              <w:widowControl w:val="0"/>
              <w:jc w:val="left"/>
              <w:rPr>
                <w:rFonts w:ascii="Tahoma" w:hAnsi="Tahoma" w:cs="Tahoma"/>
                <w:sz w:val="13"/>
              </w:rPr>
            </w:pPr>
          </w:p>
        </w:tc>
      </w:tr>
      <w:tr w:rsidR="00B33D0E" w:rsidRPr="00A75DF9" w:rsidTr="008A1262">
        <w:trPr>
          <w:trHeight w:val="278"/>
        </w:trPr>
        <w:tc>
          <w:tcPr>
            <w:tcW w:w="2724" w:type="dxa"/>
            <w:gridSpan w:val="2"/>
            <w:tcBorders>
              <w:bottom w:val="single" w:sz="4" w:space="0" w:color="auto"/>
            </w:tcBorders>
            <w:shd w:val="clear" w:color="auto" w:fill="FABF8F"/>
            <w:vAlign w:val="center"/>
          </w:tcPr>
          <w:p w:rsidR="001A63C6" w:rsidRPr="00A75DF9" w:rsidRDefault="001A63C6" w:rsidP="001A63C6">
            <w:pPr>
              <w:pStyle w:val="Heading2"/>
              <w:ind w:left="0"/>
              <w:rPr>
                <w:rFonts w:ascii="Tahoma" w:hAnsi="Tahoma" w:cs="Tahoma"/>
                <w:b w:val="0"/>
                <w:sz w:val="14"/>
                <w:szCs w:val="14"/>
              </w:rPr>
            </w:pPr>
            <w:bookmarkStart w:id="295" w:name="_Toc336338013"/>
            <w:bookmarkStart w:id="296" w:name="_Toc368310009"/>
            <w:r w:rsidRPr="00A75DF9">
              <w:rPr>
                <w:rFonts w:ascii="Tahoma" w:hAnsi="Tahoma" w:cs="Tahoma"/>
                <w:b w:val="0"/>
                <w:sz w:val="14"/>
                <w:szCs w:val="14"/>
              </w:rPr>
              <w:t>Task Additive CAL per Microsoft Dynamics AX 2012 R2 (Utente e Dispositivo)</w:t>
            </w:r>
            <w:bookmarkEnd w:id="295"/>
            <w:bookmarkEnd w:id="296"/>
          </w:p>
        </w:tc>
        <w:tc>
          <w:tcPr>
            <w:tcW w:w="448" w:type="dxa"/>
            <w:tcBorders>
              <w:bottom w:val="single" w:sz="4" w:space="0" w:color="auto"/>
            </w:tcBorders>
            <w:shd w:val="clear" w:color="auto" w:fill="FABF8F"/>
            <w:vAlign w:val="center"/>
          </w:tcPr>
          <w:p w:rsidR="001A63C6" w:rsidRPr="00B41377" w:rsidRDefault="00B54770">
            <w:pPr>
              <w:pStyle w:val="TableText"/>
              <w:widowControl w:val="0"/>
              <w:rPr>
                <w:rFonts w:cs="Tahoma"/>
                <w:b/>
                <w:color w:val="0000FF"/>
                <w:sz w:val="13"/>
                <w:szCs w:val="13"/>
                <w:u w:val="single"/>
              </w:rPr>
            </w:pPr>
            <w:hyperlink w:anchor="_72_Microsoft_Dynamics" w:history="1">
              <w:r w:rsidR="00734B17" w:rsidRPr="00B41377">
                <w:rPr>
                  <w:rStyle w:val="Hyperlink"/>
                  <w:rFonts w:cs="Tahoma"/>
                  <w:b/>
                  <w:sz w:val="13"/>
                  <w:szCs w:val="13"/>
                </w:rPr>
                <w:t>71</w:t>
              </w:r>
            </w:hyperlink>
          </w:p>
        </w:tc>
        <w:tc>
          <w:tcPr>
            <w:tcW w:w="449" w:type="dxa"/>
            <w:tcBorders>
              <w:bottom w:val="single" w:sz="4" w:space="0" w:color="auto"/>
            </w:tcBorders>
            <w:shd w:val="clear" w:color="auto" w:fill="FABF8F"/>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12/12</w:t>
            </w:r>
          </w:p>
        </w:tc>
        <w:tc>
          <w:tcPr>
            <w:tcW w:w="359"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SRV</w:t>
            </w:r>
          </w:p>
        </w:tc>
        <w:tc>
          <w:tcPr>
            <w:tcW w:w="356"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374"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5"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A75DF9" w:rsidRDefault="001A63C6" w:rsidP="001A63C6">
            <w:pPr>
              <w:pStyle w:val="TableText"/>
              <w:widowControl w:val="0"/>
              <w:rPr>
                <w:rFonts w:ascii="Tahoma" w:hAnsi="Tahoma" w:cs="Tahoma"/>
                <w:sz w:val="13"/>
              </w:rPr>
            </w:pPr>
          </w:p>
        </w:tc>
        <w:tc>
          <w:tcPr>
            <w:tcW w:w="539" w:type="dxa"/>
            <w:tcBorders>
              <w:bottom w:val="single" w:sz="4" w:space="0" w:color="auto"/>
            </w:tcBorders>
            <w:shd w:val="clear" w:color="auto" w:fill="FABF8F"/>
            <w:vAlign w:val="center"/>
          </w:tcPr>
          <w:p w:rsidR="001A63C6" w:rsidRPr="00A75DF9" w:rsidRDefault="001A63C6" w:rsidP="001A63C6">
            <w:pPr>
              <w:pStyle w:val="TableText"/>
              <w:widowControl w:val="0"/>
              <w:jc w:val="left"/>
              <w:rPr>
                <w:rFonts w:ascii="Tahoma" w:hAnsi="Tahoma" w:cs="Tahoma"/>
                <w:sz w:val="13"/>
              </w:rPr>
            </w:pPr>
          </w:p>
        </w:tc>
      </w:tr>
      <w:tr w:rsidR="00BE2E58" w:rsidRPr="00A75DF9" w:rsidTr="008A1262">
        <w:trPr>
          <w:trHeight w:val="145"/>
        </w:trPr>
        <w:tc>
          <w:tcPr>
            <w:tcW w:w="2724" w:type="dxa"/>
            <w:gridSpan w:val="2"/>
            <w:tcBorders>
              <w:bottom w:val="single" w:sz="4" w:space="0" w:color="auto"/>
            </w:tcBorders>
            <w:shd w:val="clear" w:color="auto" w:fill="auto"/>
            <w:vAlign w:val="center"/>
          </w:tcPr>
          <w:p w:rsidR="001A63C6" w:rsidRPr="00A75DF9" w:rsidRDefault="001A63C6" w:rsidP="001A63C6">
            <w:pPr>
              <w:pStyle w:val="Heading2"/>
              <w:ind w:left="0"/>
              <w:rPr>
                <w:rFonts w:ascii="Tahoma" w:hAnsi="Tahoma" w:cs="Tahoma"/>
                <w:b w:val="0"/>
                <w:sz w:val="14"/>
                <w:szCs w:val="14"/>
              </w:rPr>
            </w:pPr>
            <w:bookmarkStart w:id="297" w:name="_Toc336338014"/>
            <w:bookmarkStart w:id="298" w:name="_Toc368310010"/>
            <w:r w:rsidRPr="00A75DF9">
              <w:rPr>
                <w:rFonts w:ascii="Tahoma" w:hAnsi="Tahoma" w:cs="Tahoma"/>
                <w:b w:val="0"/>
                <w:sz w:val="14"/>
                <w:szCs w:val="14"/>
              </w:rPr>
              <w:t>Task CAL per Microsoft Dynamics AX 2012 R2 (Utente e Dispositivo)</w:t>
            </w:r>
            <w:bookmarkEnd w:id="297"/>
            <w:bookmarkEnd w:id="298"/>
          </w:p>
        </w:tc>
        <w:tc>
          <w:tcPr>
            <w:tcW w:w="448" w:type="dxa"/>
            <w:tcBorders>
              <w:bottom w:val="single" w:sz="4" w:space="0" w:color="auto"/>
            </w:tcBorders>
            <w:shd w:val="clear" w:color="auto" w:fill="auto"/>
            <w:vAlign w:val="center"/>
          </w:tcPr>
          <w:p w:rsidR="001A63C6" w:rsidRPr="00B41377" w:rsidRDefault="00B54770">
            <w:pPr>
              <w:pStyle w:val="TableText"/>
              <w:widowControl w:val="0"/>
              <w:rPr>
                <w:rFonts w:cs="Tahoma"/>
                <w:b/>
                <w:color w:val="0000FF"/>
                <w:sz w:val="13"/>
                <w:szCs w:val="13"/>
                <w:u w:val="single"/>
              </w:rPr>
            </w:pPr>
            <w:hyperlink w:anchor="_72_Microsoft_Dynamics" w:history="1">
              <w:r w:rsidR="00734B17" w:rsidRPr="00B41377">
                <w:rPr>
                  <w:rStyle w:val="Hyperlink"/>
                  <w:rFonts w:cs="Tahoma"/>
                  <w:b/>
                  <w:sz w:val="13"/>
                  <w:szCs w:val="13"/>
                </w:rPr>
                <w:t>71</w:t>
              </w:r>
            </w:hyperlink>
          </w:p>
        </w:tc>
        <w:tc>
          <w:tcPr>
            <w:tcW w:w="449" w:type="dxa"/>
            <w:tcBorders>
              <w:bottom w:val="single" w:sz="4" w:space="0" w:color="auto"/>
            </w:tcBorders>
            <w:shd w:val="clear" w:color="auto" w:fill="auto"/>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12/12</w:t>
            </w:r>
          </w:p>
        </w:tc>
        <w:tc>
          <w:tcPr>
            <w:tcW w:w="359"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SRV</w:t>
            </w:r>
          </w:p>
        </w:tc>
        <w:tc>
          <w:tcPr>
            <w:tcW w:w="356"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5"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45"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374"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5"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A75DF9" w:rsidRDefault="001A63C6" w:rsidP="001A63C6">
            <w:pPr>
              <w:pStyle w:val="TableText"/>
              <w:widowControl w:val="0"/>
              <w:rPr>
                <w:rFonts w:ascii="Tahoma" w:hAnsi="Tahoma" w:cs="Tahoma"/>
                <w:sz w:val="13"/>
              </w:rPr>
            </w:pPr>
          </w:p>
        </w:tc>
        <w:tc>
          <w:tcPr>
            <w:tcW w:w="539" w:type="dxa"/>
            <w:tcBorders>
              <w:bottom w:val="single" w:sz="4" w:space="0" w:color="auto"/>
            </w:tcBorders>
            <w:shd w:val="clear" w:color="auto" w:fill="auto"/>
            <w:vAlign w:val="center"/>
          </w:tcPr>
          <w:p w:rsidR="001A63C6" w:rsidRPr="00A75DF9" w:rsidRDefault="001A63C6" w:rsidP="001A63C6">
            <w:pPr>
              <w:pStyle w:val="TableText"/>
              <w:widowControl w:val="0"/>
              <w:jc w:val="left"/>
              <w:rPr>
                <w:rFonts w:ascii="Tahoma" w:hAnsi="Tahoma" w:cs="Tahoma"/>
                <w:sz w:val="13"/>
              </w:rPr>
            </w:pPr>
          </w:p>
        </w:tc>
      </w:tr>
      <w:tr w:rsidR="00B33D0E" w:rsidRPr="00A75DF9" w:rsidTr="008A1262">
        <w:trPr>
          <w:trHeight w:val="145"/>
        </w:trPr>
        <w:tc>
          <w:tcPr>
            <w:tcW w:w="2724" w:type="dxa"/>
            <w:gridSpan w:val="2"/>
            <w:tcBorders>
              <w:bottom w:val="single" w:sz="4" w:space="0" w:color="auto"/>
            </w:tcBorders>
            <w:shd w:val="clear" w:color="auto" w:fill="FABF8F"/>
            <w:vAlign w:val="center"/>
          </w:tcPr>
          <w:p w:rsidR="001A63C6" w:rsidRPr="00A75DF9" w:rsidRDefault="001A63C6" w:rsidP="00C128E2">
            <w:pPr>
              <w:pStyle w:val="Heading2"/>
              <w:ind w:left="0"/>
              <w:rPr>
                <w:rFonts w:ascii="Tahoma" w:hAnsi="Tahoma" w:cs="Tahoma"/>
                <w:b w:val="0"/>
                <w:sz w:val="14"/>
                <w:szCs w:val="14"/>
              </w:rPr>
            </w:pPr>
            <w:bookmarkStart w:id="299" w:name="_Toc336338015"/>
            <w:bookmarkStart w:id="300" w:name="_Toc368310011"/>
            <w:r w:rsidRPr="00A75DF9">
              <w:rPr>
                <w:rFonts w:ascii="Tahoma" w:hAnsi="Tahoma" w:cs="Tahoma"/>
                <w:b w:val="0"/>
                <w:sz w:val="14"/>
                <w:szCs w:val="14"/>
              </w:rPr>
              <w:t>CAL per Microsoft Dynamics CRM 2013 Basic (Utente e Dispositivo)</w:t>
            </w:r>
            <w:bookmarkEnd w:id="299"/>
            <w:bookmarkEnd w:id="300"/>
          </w:p>
        </w:tc>
        <w:tc>
          <w:tcPr>
            <w:tcW w:w="448" w:type="dxa"/>
            <w:tcBorders>
              <w:bottom w:val="single" w:sz="4" w:space="0" w:color="auto"/>
            </w:tcBorders>
            <w:shd w:val="clear" w:color="auto" w:fill="FABF8F"/>
            <w:vAlign w:val="center"/>
          </w:tcPr>
          <w:p w:rsidR="001A63C6" w:rsidRPr="00B41377" w:rsidRDefault="00B54770">
            <w:pPr>
              <w:pStyle w:val="TableText"/>
              <w:widowControl w:val="0"/>
              <w:rPr>
                <w:rFonts w:cs="Tahoma"/>
                <w:b/>
                <w:color w:val="0000FF"/>
                <w:sz w:val="13"/>
                <w:szCs w:val="13"/>
                <w:u w:val="single"/>
              </w:rPr>
            </w:pPr>
            <w:hyperlink w:anchor="_72_Microsoft_Dynamics_1" w:history="1">
              <w:hyperlink w:anchor="_70_Microsoft_Dynamics" w:history="1">
                <w:r w:rsidR="00734B17" w:rsidRPr="005607D7">
                  <w:rPr>
                    <w:rStyle w:val="Hyperlink"/>
                    <w:rFonts w:cs="Tahoma"/>
                    <w:b/>
                    <w:sz w:val="13"/>
                    <w:szCs w:val="13"/>
                  </w:rPr>
                  <w:t>7</w:t>
                </w:r>
              </w:hyperlink>
              <w:r w:rsidR="00734B17" w:rsidRPr="005607D7">
                <w:rPr>
                  <w:rStyle w:val="Hyperlink"/>
                  <w:rFonts w:cs="Tahoma"/>
                  <w:b/>
                  <w:sz w:val="13"/>
                  <w:szCs w:val="13"/>
                </w:rPr>
                <w:t>2</w:t>
              </w:r>
            </w:hyperlink>
          </w:p>
        </w:tc>
        <w:tc>
          <w:tcPr>
            <w:tcW w:w="449" w:type="dxa"/>
            <w:tcBorders>
              <w:bottom w:val="single" w:sz="4" w:space="0" w:color="auto"/>
            </w:tcBorders>
            <w:shd w:val="clear" w:color="auto" w:fill="FABF8F"/>
          </w:tcPr>
          <w:p w:rsidR="001A63C6" w:rsidRPr="00A75DF9" w:rsidRDefault="00E129B7" w:rsidP="00E129B7">
            <w:pPr>
              <w:pStyle w:val="TableText"/>
              <w:widowControl w:val="0"/>
              <w:spacing w:before="120"/>
              <w:rPr>
                <w:rFonts w:ascii="Tahoma" w:hAnsi="Tahoma" w:cs="Tahoma"/>
                <w:color w:val="000000"/>
                <w:sz w:val="13"/>
              </w:rPr>
            </w:pPr>
            <w:r>
              <w:rPr>
                <w:rFonts w:ascii="Tahoma" w:hAnsi="Tahoma" w:cs="Tahoma"/>
                <w:color w:val="000000"/>
                <w:sz w:val="13"/>
              </w:rPr>
              <w:t>10</w:t>
            </w:r>
            <w:r w:rsidR="001A63C6" w:rsidRPr="00A75DF9">
              <w:rPr>
                <w:rFonts w:ascii="Tahoma" w:hAnsi="Tahoma" w:cs="Tahoma"/>
                <w:color w:val="000000"/>
                <w:sz w:val="13"/>
              </w:rPr>
              <w:t>/1</w:t>
            </w:r>
            <w:r>
              <w:rPr>
                <w:rFonts w:ascii="Tahoma" w:hAnsi="Tahoma" w:cs="Tahoma"/>
                <w:color w:val="000000"/>
                <w:sz w:val="13"/>
              </w:rPr>
              <w:t>3</w:t>
            </w:r>
          </w:p>
        </w:tc>
        <w:tc>
          <w:tcPr>
            <w:tcW w:w="359"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SRV</w:t>
            </w:r>
          </w:p>
        </w:tc>
        <w:tc>
          <w:tcPr>
            <w:tcW w:w="356" w:type="dxa"/>
            <w:tcBorders>
              <w:left w:val="single" w:sz="18" w:space="0" w:color="auto"/>
              <w:bottom w:val="single" w:sz="4" w:space="0" w:color="auto"/>
            </w:tcBorders>
            <w:shd w:val="clear" w:color="auto" w:fill="FABF8F"/>
            <w:vAlign w:val="center"/>
          </w:tcPr>
          <w:p w:rsidR="001A63C6" w:rsidRPr="00A75DF9" w:rsidRDefault="00E129B7" w:rsidP="001A63C6">
            <w:pPr>
              <w:pStyle w:val="TableText"/>
              <w:widowControl w:val="0"/>
              <w:rPr>
                <w:rFonts w:ascii="Tahoma" w:hAnsi="Tahoma" w:cs="Tahoma"/>
                <w:sz w:val="13"/>
              </w:rPr>
            </w:pPr>
            <w:r>
              <w:rPr>
                <w:rFonts w:ascii="Tahoma" w:hAnsi="Tahoma" w:cs="Tahoma"/>
                <w:sz w:val="13"/>
              </w:rPr>
              <w:t>10</w:t>
            </w: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25</w:t>
            </w:r>
          </w:p>
        </w:tc>
        <w:tc>
          <w:tcPr>
            <w:tcW w:w="45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20</w:t>
            </w:r>
          </w:p>
        </w:tc>
        <w:tc>
          <w:tcPr>
            <w:tcW w:w="450" w:type="dxa"/>
            <w:gridSpan w:val="3"/>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15</w:t>
            </w:r>
          </w:p>
        </w:tc>
        <w:tc>
          <w:tcPr>
            <w:tcW w:w="44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15</w:t>
            </w: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10</w:t>
            </w:r>
          </w:p>
        </w:tc>
        <w:tc>
          <w:tcPr>
            <w:tcW w:w="374"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5</w:t>
            </w:r>
          </w:p>
        </w:tc>
        <w:tc>
          <w:tcPr>
            <w:tcW w:w="455"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20</w:t>
            </w: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10</w:t>
            </w:r>
          </w:p>
        </w:tc>
        <w:tc>
          <w:tcPr>
            <w:tcW w:w="450"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P</w:t>
            </w: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A, ST</w:t>
            </w:r>
          </w:p>
        </w:tc>
        <w:tc>
          <w:tcPr>
            <w:tcW w:w="539"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OL/OV</w:t>
            </w:r>
          </w:p>
        </w:tc>
      </w:tr>
      <w:tr w:rsidR="00BE2E58" w:rsidRPr="00A75DF9" w:rsidTr="008A1262">
        <w:trPr>
          <w:trHeight w:val="145"/>
        </w:trPr>
        <w:tc>
          <w:tcPr>
            <w:tcW w:w="2724" w:type="dxa"/>
            <w:gridSpan w:val="2"/>
            <w:tcBorders>
              <w:bottom w:val="single" w:sz="4" w:space="0" w:color="auto"/>
            </w:tcBorders>
            <w:shd w:val="clear" w:color="auto" w:fill="auto"/>
            <w:vAlign w:val="center"/>
          </w:tcPr>
          <w:p w:rsidR="001A63C6" w:rsidRPr="00A75DF9" w:rsidRDefault="001A63C6" w:rsidP="002A4C2F">
            <w:pPr>
              <w:pStyle w:val="Heading2"/>
              <w:ind w:left="0"/>
              <w:rPr>
                <w:rFonts w:ascii="Tahoma" w:hAnsi="Tahoma" w:cs="Tahoma"/>
                <w:b w:val="0"/>
                <w:sz w:val="14"/>
                <w:szCs w:val="14"/>
              </w:rPr>
            </w:pPr>
            <w:bookmarkStart w:id="301" w:name="_Toc336338016"/>
            <w:bookmarkStart w:id="302" w:name="_Toc368310012"/>
            <w:r w:rsidRPr="00A75DF9">
              <w:rPr>
                <w:rFonts w:ascii="Tahoma" w:hAnsi="Tahoma" w:cs="Tahoma"/>
                <w:b w:val="0"/>
                <w:sz w:val="14"/>
                <w:szCs w:val="14"/>
              </w:rPr>
              <w:t>CAL Aggiuntiva per l</w:t>
            </w:r>
            <w:r w:rsidR="00F2643E">
              <w:rPr>
                <w:rFonts w:ascii="Tahoma" w:hAnsi="Tahoma" w:cs="Tahoma"/>
                <w:b w:val="0"/>
                <w:sz w:val="14"/>
                <w:szCs w:val="14"/>
              </w:rPr>
              <w:t>’</w:t>
            </w:r>
            <w:r w:rsidRPr="00A75DF9">
              <w:rPr>
                <w:rFonts w:ascii="Tahoma" w:hAnsi="Tahoma" w:cs="Tahoma"/>
                <w:b w:val="0"/>
                <w:sz w:val="14"/>
                <w:szCs w:val="14"/>
              </w:rPr>
              <w:t>Utilizzo di Microsoft Dynamics CRM 2013 Basic (Utente e Dispositivo)</w:t>
            </w:r>
            <w:bookmarkEnd w:id="301"/>
            <w:bookmarkEnd w:id="302"/>
          </w:p>
        </w:tc>
        <w:tc>
          <w:tcPr>
            <w:tcW w:w="448" w:type="dxa"/>
            <w:tcBorders>
              <w:bottom w:val="single" w:sz="4" w:space="0" w:color="auto"/>
            </w:tcBorders>
            <w:shd w:val="clear" w:color="auto" w:fill="auto"/>
            <w:vAlign w:val="center"/>
          </w:tcPr>
          <w:p w:rsidR="001A63C6" w:rsidRPr="00B41377" w:rsidRDefault="00B54770" w:rsidP="00894479">
            <w:pPr>
              <w:pStyle w:val="TableText"/>
              <w:widowControl w:val="0"/>
              <w:rPr>
                <w:rFonts w:cs="Tahoma"/>
                <w:b/>
                <w:color w:val="0000FF"/>
                <w:sz w:val="13"/>
                <w:szCs w:val="13"/>
                <w:u w:val="single"/>
              </w:rPr>
            </w:pPr>
            <w:hyperlink w:anchor="_72_Microsoft_Dynamics_1" w:history="1">
              <w:hyperlink w:anchor="_70_Microsoft_Dynamics" w:history="1">
                <w:r w:rsidR="005607D7" w:rsidRPr="005607D7">
                  <w:rPr>
                    <w:rStyle w:val="Hyperlink"/>
                    <w:rFonts w:cs="Tahoma"/>
                    <w:b/>
                    <w:sz w:val="13"/>
                    <w:szCs w:val="13"/>
                  </w:rPr>
                  <w:t>7</w:t>
                </w:r>
              </w:hyperlink>
              <w:r w:rsidR="005607D7" w:rsidRPr="005607D7">
                <w:rPr>
                  <w:rStyle w:val="Hyperlink"/>
                  <w:rFonts w:cs="Tahoma"/>
                  <w:b/>
                  <w:sz w:val="13"/>
                  <w:szCs w:val="13"/>
                </w:rPr>
                <w:t>2</w:t>
              </w:r>
            </w:hyperlink>
          </w:p>
        </w:tc>
        <w:tc>
          <w:tcPr>
            <w:tcW w:w="449" w:type="dxa"/>
            <w:tcBorders>
              <w:bottom w:val="single" w:sz="4" w:space="0" w:color="auto"/>
            </w:tcBorders>
            <w:shd w:val="clear" w:color="auto" w:fill="auto"/>
          </w:tcPr>
          <w:p w:rsidR="001A63C6" w:rsidRPr="00A75DF9" w:rsidRDefault="00E129B7" w:rsidP="001A63C6">
            <w:pPr>
              <w:pStyle w:val="TableText"/>
              <w:widowControl w:val="0"/>
              <w:spacing w:before="120"/>
              <w:rPr>
                <w:rFonts w:ascii="Tahoma" w:hAnsi="Tahoma" w:cs="Tahoma"/>
                <w:color w:val="000000"/>
                <w:sz w:val="13"/>
              </w:rPr>
            </w:pPr>
            <w:r>
              <w:rPr>
                <w:rFonts w:ascii="Tahoma" w:hAnsi="Tahoma" w:cs="Tahoma"/>
                <w:color w:val="000000"/>
                <w:sz w:val="13"/>
              </w:rPr>
              <w:t>10/</w:t>
            </w:r>
            <w:r w:rsidR="001A63C6" w:rsidRPr="00A75DF9">
              <w:rPr>
                <w:rFonts w:ascii="Tahoma" w:hAnsi="Tahoma" w:cs="Tahoma"/>
                <w:color w:val="000000"/>
                <w:sz w:val="13"/>
              </w:rPr>
              <w:t>1</w:t>
            </w:r>
            <w:r>
              <w:rPr>
                <w:rFonts w:ascii="Tahoma" w:hAnsi="Tahoma" w:cs="Tahoma"/>
                <w:color w:val="000000"/>
                <w:sz w:val="13"/>
              </w:rPr>
              <w:t>3</w:t>
            </w:r>
          </w:p>
        </w:tc>
        <w:tc>
          <w:tcPr>
            <w:tcW w:w="359"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SRV</w:t>
            </w:r>
          </w:p>
        </w:tc>
        <w:tc>
          <w:tcPr>
            <w:tcW w:w="356" w:type="dxa"/>
            <w:tcBorders>
              <w:left w:val="single" w:sz="18" w:space="0" w:color="auto"/>
              <w:bottom w:val="single" w:sz="4" w:space="0" w:color="auto"/>
            </w:tcBorders>
            <w:shd w:val="clear" w:color="auto" w:fill="auto"/>
            <w:vAlign w:val="center"/>
          </w:tcPr>
          <w:p w:rsidR="001A63C6" w:rsidRPr="00A75DF9" w:rsidRDefault="00E129B7" w:rsidP="001A63C6">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3</w:t>
            </w:r>
          </w:p>
        </w:tc>
        <w:tc>
          <w:tcPr>
            <w:tcW w:w="455"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w:t>
            </w:r>
          </w:p>
        </w:tc>
        <w:tc>
          <w:tcPr>
            <w:tcW w:w="450" w:type="dxa"/>
            <w:gridSpan w:val="3"/>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w:t>
            </w:r>
          </w:p>
        </w:tc>
        <w:tc>
          <w:tcPr>
            <w:tcW w:w="445"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w:t>
            </w: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w:t>
            </w:r>
          </w:p>
        </w:tc>
        <w:tc>
          <w:tcPr>
            <w:tcW w:w="374"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w:t>
            </w:r>
          </w:p>
        </w:tc>
        <w:tc>
          <w:tcPr>
            <w:tcW w:w="455"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P</w:t>
            </w: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spacing w:before="120"/>
              <w:rPr>
                <w:rFonts w:ascii="Tahoma" w:hAnsi="Tahoma" w:cs="Tahoma"/>
                <w:sz w:val="13"/>
              </w:rPr>
            </w:pPr>
            <w:r w:rsidRPr="00A75DF9">
              <w:rPr>
                <w:rFonts w:ascii="Tahoma" w:hAnsi="Tahoma" w:cs="Tahoma"/>
                <w:sz w:val="13"/>
              </w:rPr>
              <w:t>A, ST</w:t>
            </w:r>
          </w:p>
        </w:tc>
        <w:tc>
          <w:tcPr>
            <w:tcW w:w="539"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OL/OV</w:t>
            </w:r>
          </w:p>
        </w:tc>
      </w:tr>
      <w:tr w:rsidR="00B33D0E" w:rsidRPr="00A75DF9" w:rsidTr="008A1262">
        <w:trPr>
          <w:trHeight w:val="145"/>
        </w:trPr>
        <w:tc>
          <w:tcPr>
            <w:tcW w:w="2724" w:type="dxa"/>
            <w:gridSpan w:val="2"/>
            <w:tcBorders>
              <w:bottom w:val="single" w:sz="4" w:space="0" w:color="auto"/>
            </w:tcBorders>
            <w:shd w:val="clear" w:color="auto" w:fill="FABF8F"/>
            <w:vAlign w:val="center"/>
          </w:tcPr>
          <w:p w:rsidR="001A63C6" w:rsidRPr="00A75DF9" w:rsidRDefault="001A63C6" w:rsidP="002A4C2F">
            <w:pPr>
              <w:pStyle w:val="Heading2"/>
              <w:ind w:left="0"/>
              <w:rPr>
                <w:rFonts w:ascii="Tahoma" w:hAnsi="Tahoma" w:cs="Tahoma"/>
                <w:b w:val="0"/>
                <w:sz w:val="14"/>
                <w:szCs w:val="14"/>
              </w:rPr>
            </w:pPr>
            <w:bookmarkStart w:id="303" w:name="_Toc336338017"/>
            <w:bookmarkStart w:id="304" w:name="_Toc368310013"/>
            <w:r w:rsidRPr="00A75DF9">
              <w:rPr>
                <w:rFonts w:ascii="Tahoma" w:hAnsi="Tahoma" w:cs="Tahoma"/>
                <w:b w:val="0"/>
                <w:sz w:val="14"/>
                <w:szCs w:val="14"/>
              </w:rPr>
              <w:t>CAL per Microsoft Dynamics 2013 CRM Essential</w:t>
            </w:r>
            <w:bookmarkEnd w:id="303"/>
            <w:bookmarkEnd w:id="304"/>
          </w:p>
        </w:tc>
        <w:tc>
          <w:tcPr>
            <w:tcW w:w="448" w:type="dxa"/>
            <w:tcBorders>
              <w:bottom w:val="single" w:sz="4" w:space="0" w:color="auto"/>
            </w:tcBorders>
            <w:shd w:val="clear" w:color="auto" w:fill="FABF8F"/>
            <w:vAlign w:val="center"/>
          </w:tcPr>
          <w:p w:rsidR="001A63C6" w:rsidRPr="00B41377" w:rsidRDefault="00B54770" w:rsidP="00894479">
            <w:pPr>
              <w:pStyle w:val="TableText"/>
              <w:widowControl w:val="0"/>
              <w:rPr>
                <w:rFonts w:cs="Tahoma"/>
                <w:b/>
                <w:color w:val="0000FF"/>
                <w:sz w:val="13"/>
                <w:szCs w:val="13"/>
                <w:u w:val="single"/>
              </w:rPr>
            </w:pPr>
            <w:hyperlink w:anchor="_72_Microsoft_Dynamics_1" w:history="1">
              <w:hyperlink w:anchor="_70_Microsoft_Dynamics" w:history="1">
                <w:r w:rsidR="005607D7" w:rsidRPr="005607D7">
                  <w:rPr>
                    <w:rStyle w:val="Hyperlink"/>
                    <w:rFonts w:cs="Tahoma"/>
                    <w:b/>
                    <w:sz w:val="13"/>
                    <w:szCs w:val="13"/>
                  </w:rPr>
                  <w:t>7</w:t>
                </w:r>
              </w:hyperlink>
              <w:r w:rsidR="005607D7" w:rsidRPr="005607D7">
                <w:rPr>
                  <w:rStyle w:val="Hyperlink"/>
                  <w:rFonts w:cs="Tahoma"/>
                  <w:b/>
                  <w:sz w:val="13"/>
                  <w:szCs w:val="13"/>
                </w:rPr>
                <w:t>2</w:t>
              </w:r>
            </w:hyperlink>
          </w:p>
        </w:tc>
        <w:tc>
          <w:tcPr>
            <w:tcW w:w="449" w:type="dxa"/>
            <w:tcBorders>
              <w:bottom w:val="single" w:sz="4" w:space="0" w:color="auto"/>
            </w:tcBorders>
            <w:shd w:val="clear" w:color="auto" w:fill="FABF8F"/>
          </w:tcPr>
          <w:p w:rsidR="001A63C6" w:rsidRPr="00A75DF9" w:rsidRDefault="00E129B7" w:rsidP="00E129B7">
            <w:pPr>
              <w:pStyle w:val="TableText"/>
              <w:widowControl w:val="0"/>
              <w:spacing w:before="120"/>
              <w:rPr>
                <w:rFonts w:ascii="Tahoma" w:hAnsi="Tahoma" w:cs="Tahoma"/>
                <w:color w:val="000000"/>
                <w:sz w:val="13"/>
              </w:rPr>
            </w:pPr>
            <w:r>
              <w:rPr>
                <w:rFonts w:ascii="Tahoma" w:hAnsi="Tahoma" w:cs="Tahoma"/>
                <w:color w:val="000000"/>
                <w:sz w:val="13"/>
              </w:rPr>
              <w:t>1</w:t>
            </w:r>
            <w:r w:rsidR="001A63C6" w:rsidRPr="00A75DF9">
              <w:rPr>
                <w:rFonts w:ascii="Tahoma" w:hAnsi="Tahoma" w:cs="Tahoma"/>
                <w:color w:val="000000"/>
                <w:sz w:val="13"/>
              </w:rPr>
              <w:t>0/1</w:t>
            </w:r>
            <w:r>
              <w:rPr>
                <w:rFonts w:ascii="Tahoma" w:hAnsi="Tahoma" w:cs="Tahoma"/>
                <w:color w:val="000000"/>
                <w:sz w:val="13"/>
              </w:rPr>
              <w:t>3</w:t>
            </w:r>
          </w:p>
        </w:tc>
        <w:tc>
          <w:tcPr>
            <w:tcW w:w="359"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SRV</w:t>
            </w:r>
          </w:p>
        </w:tc>
        <w:tc>
          <w:tcPr>
            <w:tcW w:w="356" w:type="dxa"/>
            <w:tcBorders>
              <w:left w:val="single" w:sz="18" w:space="0" w:color="auto"/>
              <w:bottom w:val="single" w:sz="4" w:space="0" w:color="auto"/>
            </w:tcBorders>
            <w:shd w:val="clear" w:color="auto" w:fill="FABF8F"/>
            <w:vAlign w:val="center"/>
          </w:tcPr>
          <w:p w:rsidR="001A63C6" w:rsidRPr="00A75DF9" w:rsidRDefault="00E129B7" w:rsidP="001A63C6">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tcBorders>
            <w:shd w:val="clear" w:color="auto" w:fill="FABF8F"/>
            <w:vAlign w:val="center"/>
          </w:tcPr>
          <w:p w:rsidR="001A63C6" w:rsidRPr="00A75DF9" w:rsidRDefault="00E129B7" w:rsidP="001A63C6">
            <w:pPr>
              <w:pStyle w:val="TableText"/>
              <w:widowControl w:val="0"/>
              <w:rPr>
                <w:rFonts w:ascii="Tahoma" w:hAnsi="Tahoma" w:cs="Tahoma"/>
                <w:sz w:val="13"/>
              </w:rPr>
            </w:pPr>
            <w:r>
              <w:rPr>
                <w:rFonts w:ascii="Tahoma" w:hAnsi="Tahoma" w:cs="Tahoma"/>
                <w:sz w:val="13"/>
              </w:rPr>
              <w:t>3</w:t>
            </w:r>
          </w:p>
        </w:tc>
        <w:tc>
          <w:tcPr>
            <w:tcW w:w="455" w:type="dxa"/>
            <w:tcBorders>
              <w:bottom w:val="single" w:sz="4" w:space="0" w:color="auto"/>
            </w:tcBorders>
            <w:shd w:val="clear" w:color="auto" w:fill="FABF8F"/>
            <w:vAlign w:val="center"/>
          </w:tcPr>
          <w:p w:rsidR="001A63C6" w:rsidRPr="00A75DF9" w:rsidRDefault="00E129B7" w:rsidP="001A63C6">
            <w:pPr>
              <w:pStyle w:val="TableText"/>
              <w:widowControl w:val="0"/>
              <w:rPr>
                <w:rFonts w:ascii="Tahoma" w:hAnsi="Tahoma" w:cs="Tahoma"/>
                <w:sz w:val="13"/>
              </w:rPr>
            </w:pPr>
            <w:r>
              <w:rPr>
                <w:rFonts w:ascii="Tahoma" w:hAnsi="Tahoma" w:cs="Tahoma"/>
                <w:sz w:val="13"/>
              </w:rPr>
              <w:t>2</w:t>
            </w:r>
          </w:p>
        </w:tc>
        <w:tc>
          <w:tcPr>
            <w:tcW w:w="450" w:type="dxa"/>
            <w:gridSpan w:val="3"/>
            <w:tcBorders>
              <w:bottom w:val="single" w:sz="4" w:space="0" w:color="auto"/>
            </w:tcBorders>
            <w:shd w:val="clear" w:color="auto" w:fill="FABF8F"/>
            <w:vAlign w:val="center"/>
          </w:tcPr>
          <w:p w:rsidR="001A63C6" w:rsidRPr="00A75DF9" w:rsidRDefault="00E129B7" w:rsidP="001A63C6">
            <w:pPr>
              <w:pStyle w:val="TableText"/>
              <w:widowControl w:val="0"/>
              <w:rPr>
                <w:rFonts w:ascii="Tahoma" w:hAnsi="Tahoma" w:cs="Tahoma"/>
                <w:sz w:val="13"/>
              </w:rPr>
            </w:pPr>
            <w:r>
              <w:rPr>
                <w:rFonts w:ascii="Tahoma" w:hAnsi="Tahoma" w:cs="Tahoma"/>
                <w:sz w:val="13"/>
              </w:rPr>
              <w:t>2</w:t>
            </w:r>
          </w:p>
        </w:tc>
        <w:tc>
          <w:tcPr>
            <w:tcW w:w="445" w:type="dxa"/>
            <w:tcBorders>
              <w:bottom w:val="single" w:sz="4" w:space="0" w:color="auto"/>
            </w:tcBorders>
            <w:shd w:val="clear" w:color="auto" w:fill="FABF8F"/>
            <w:vAlign w:val="center"/>
          </w:tcPr>
          <w:p w:rsidR="001A63C6" w:rsidRPr="00A75DF9" w:rsidRDefault="00E129B7" w:rsidP="001A63C6">
            <w:pPr>
              <w:pStyle w:val="TableText"/>
              <w:widowControl w:val="0"/>
              <w:rPr>
                <w:rFonts w:ascii="Tahoma" w:hAnsi="Tahoma" w:cs="Tahoma"/>
                <w:sz w:val="13"/>
              </w:rPr>
            </w:pPr>
            <w:r>
              <w:rPr>
                <w:rFonts w:ascii="Tahoma" w:hAnsi="Tahoma" w:cs="Tahoma"/>
                <w:sz w:val="13"/>
              </w:rPr>
              <w:t>2</w:t>
            </w:r>
          </w:p>
        </w:tc>
        <w:tc>
          <w:tcPr>
            <w:tcW w:w="450" w:type="dxa"/>
            <w:tcBorders>
              <w:bottom w:val="single" w:sz="4" w:space="0" w:color="auto"/>
            </w:tcBorders>
            <w:shd w:val="clear" w:color="auto" w:fill="FABF8F"/>
            <w:vAlign w:val="center"/>
          </w:tcPr>
          <w:p w:rsidR="001A63C6" w:rsidRPr="00A75DF9" w:rsidRDefault="00E129B7" w:rsidP="001A63C6">
            <w:pPr>
              <w:pStyle w:val="TableText"/>
              <w:widowControl w:val="0"/>
              <w:rPr>
                <w:rFonts w:ascii="Tahoma" w:hAnsi="Tahoma" w:cs="Tahoma"/>
                <w:sz w:val="13"/>
              </w:rPr>
            </w:pPr>
            <w:r>
              <w:rPr>
                <w:rFonts w:ascii="Tahoma" w:hAnsi="Tahoma" w:cs="Tahoma"/>
                <w:sz w:val="13"/>
              </w:rPr>
              <w:t>1</w:t>
            </w:r>
          </w:p>
        </w:tc>
        <w:tc>
          <w:tcPr>
            <w:tcW w:w="374" w:type="dxa"/>
            <w:tcBorders>
              <w:bottom w:val="single" w:sz="4" w:space="0" w:color="auto"/>
              <w:right w:val="single" w:sz="18" w:space="0" w:color="auto"/>
            </w:tcBorders>
            <w:shd w:val="clear" w:color="auto" w:fill="FABF8F"/>
            <w:vAlign w:val="center"/>
          </w:tcPr>
          <w:p w:rsidR="001A63C6" w:rsidRPr="00A75DF9" w:rsidRDefault="00E129B7" w:rsidP="001A63C6">
            <w:pPr>
              <w:pStyle w:val="TableText"/>
              <w:widowControl w:val="0"/>
              <w:rPr>
                <w:rFonts w:ascii="Tahoma" w:hAnsi="Tahoma" w:cs="Tahoma"/>
                <w:sz w:val="13"/>
              </w:rPr>
            </w:pPr>
            <w:r>
              <w:rPr>
                <w:rFonts w:ascii="Tahoma" w:hAnsi="Tahoma" w:cs="Tahoma"/>
                <w:sz w:val="13"/>
              </w:rPr>
              <w:t>1</w:t>
            </w:r>
          </w:p>
        </w:tc>
        <w:tc>
          <w:tcPr>
            <w:tcW w:w="455"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E129B7" w:rsidP="001A63C6">
            <w:pPr>
              <w:pStyle w:val="TableText"/>
              <w:widowControl w:val="0"/>
              <w:rPr>
                <w:rFonts w:ascii="Tahoma" w:hAnsi="Tahoma" w:cs="Tahoma"/>
                <w:sz w:val="13"/>
              </w:rPr>
            </w:pPr>
            <w:r>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A75DF9" w:rsidRDefault="00E129B7" w:rsidP="001A63C6">
            <w:pPr>
              <w:pStyle w:val="TableText"/>
              <w:widowControl w:val="0"/>
              <w:rPr>
                <w:rFonts w:ascii="Tahoma" w:hAnsi="Tahoma" w:cs="Tahoma"/>
                <w:sz w:val="13"/>
              </w:rPr>
            </w:pPr>
            <w:r>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A75DF9" w:rsidRDefault="00E129B7" w:rsidP="001A63C6">
            <w:pPr>
              <w:pStyle w:val="TableText"/>
              <w:widowControl w:val="0"/>
              <w:rPr>
                <w:rFonts w:ascii="Tahoma" w:hAnsi="Tahoma" w:cs="Tahoma"/>
                <w:sz w:val="13"/>
              </w:rPr>
            </w:pPr>
            <w:r>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P</w:t>
            </w: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spacing w:before="120"/>
              <w:rPr>
                <w:rFonts w:ascii="Tahoma" w:hAnsi="Tahoma" w:cs="Tahoma"/>
                <w:sz w:val="13"/>
              </w:rPr>
            </w:pPr>
            <w:r w:rsidRPr="00A75DF9">
              <w:rPr>
                <w:rFonts w:ascii="Tahoma" w:hAnsi="Tahoma" w:cs="Tahoma"/>
                <w:sz w:val="13"/>
              </w:rPr>
              <w:t>A</w:t>
            </w:r>
          </w:p>
        </w:tc>
        <w:tc>
          <w:tcPr>
            <w:tcW w:w="539"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OL/OV</w:t>
            </w:r>
          </w:p>
        </w:tc>
      </w:tr>
      <w:tr w:rsidR="00B33D0E" w:rsidRPr="00A75DF9" w:rsidTr="008A1262">
        <w:trPr>
          <w:trHeight w:val="145"/>
        </w:trPr>
        <w:tc>
          <w:tcPr>
            <w:tcW w:w="2724" w:type="dxa"/>
            <w:gridSpan w:val="2"/>
            <w:tcBorders>
              <w:bottom w:val="single" w:sz="4" w:space="0" w:color="auto"/>
            </w:tcBorders>
            <w:shd w:val="clear" w:color="auto" w:fill="auto"/>
            <w:vAlign w:val="center"/>
          </w:tcPr>
          <w:p w:rsidR="001A63C6" w:rsidRPr="00A75DF9" w:rsidRDefault="001A63C6" w:rsidP="00BB2DDD">
            <w:pPr>
              <w:pStyle w:val="Heading2"/>
              <w:ind w:left="0"/>
              <w:rPr>
                <w:rFonts w:ascii="Tahoma" w:hAnsi="Tahoma" w:cs="Tahoma"/>
                <w:b w:val="0"/>
                <w:sz w:val="14"/>
                <w:szCs w:val="14"/>
              </w:rPr>
            </w:pPr>
            <w:bookmarkStart w:id="305" w:name="_Toc336338018"/>
            <w:bookmarkStart w:id="306" w:name="_Toc368310014"/>
            <w:r w:rsidRPr="00A75DF9">
              <w:rPr>
                <w:rFonts w:ascii="Tahoma" w:hAnsi="Tahoma" w:cs="Tahoma"/>
                <w:b w:val="0"/>
                <w:sz w:val="14"/>
                <w:szCs w:val="14"/>
              </w:rPr>
              <w:t>CAL per Microsoft Dynamics 2013 CRM Professional (Utente e Dispositivo)</w:t>
            </w:r>
            <w:bookmarkEnd w:id="305"/>
            <w:bookmarkEnd w:id="306"/>
          </w:p>
        </w:tc>
        <w:tc>
          <w:tcPr>
            <w:tcW w:w="448" w:type="dxa"/>
            <w:tcBorders>
              <w:bottom w:val="single" w:sz="4" w:space="0" w:color="auto"/>
            </w:tcBorders>
            <w:shd w:val="clear" w:color="auto" w:fill="auto"/>
            <w:vAlign w:val="center"/>
          </w:tcPr>
          <w:p w:rsidR="001A63C6" w:rsidRPr="00B41377" w:rsidRDefault="00B54770">
            <w:pPr>
              <w:pStyle w:val="TableText"/>
              <w:widowControl w:val="0"/>
              <w:rPr>
                <w:rFonts w:cs="Tahoma"/>
                <w:b/>
                <w:color w:val="0000FF"/>
                <w:sz w:val="13"/>
                <w:szCs w:val="13"/>
                <w:u w:val="single"/>
              </w:rPr>
            </w:pPr>
            <w:hyperlink w:anchor="_72_Microsoft_Dynamics_1" w:history="1">
              <w:hyperlink w:anchor="_70_Microsoft_Dynamics" w:history="1">
                <w:r w:rsidR="005607D7" w:rsidRPr="005607D7">
                  <w:rPr>
                    <w:rStyle w:val="Hyperlink"/>
                    <w:rFonts w:cs="Tahoma"/>
                    <w:b/>
                    <w:sz w:val="13"/>
                    <w:szCs w:val="13"/>
                  </w:rPr>
                  <w:t>7</w:t>
                </w:r>
              </w:hyperlink>
              <w:r w:rsidR="005607D7" w:rsidRPr="005607D7">
                <w:rPr>
                  <w:rStyle w:val="Hyperlink"/>
                  <w:rFonts w:cs="Tahoma"/>
                  <w:b/>
                  <w:sz w:val="13"/>
                  <w:szCs w:val="13"/>
                </w:rPr>
                <w:t>2</w:t>
              </w:r>
            </w:hyperlink>
          </w:p>
        </w:tc>
        <w:tc>
          <w:tcPr>
            <w:tcW w:w="449" w:type="dxa"/>
            <w:tcBorders>
              <w:bottom w:val="single" w:sz="4" w:space="0" w:color="auto"/>
            </w:tcBorders>
            <w:shd w:val="clear" w:color="auto" w:fill="auto"/>
          </w:tcPr>
          <w:p w:rsidR="001A63C6" w:rsidRPr="00A75DF9" w:rsidRDefault="00E129B7" w:rsidP="001A63C6">
            <w:pPr>
              <w:pStyle w:val="TableText"/>
              <w:widowControl w:val="0"/>
              <w:spacing w:before="120"/>
              <w:rPr>
                <w:rFonts w:ascii="Tahoma" w:hAnsi="Tahoma" w:cs="Tahoma"/>
                <w:color w:val="000000"/>
                <w:sz w:val="13"/>
              </w:rPr>
            </w:pPr>
            <w:r>
              <w:rPr>
                <w:rFonts w:ascii="Tahoma" w:hAnsi="Tahoma" w:cs="Tahoma"/>
                <w:color w:val="000000"/>
                <w:sz w:val="13"/>
              </w:rPr>
              <w:t>10/</w:t>
            </w:r>
            <w:r w:rsidR="001A63C6" w:rsidRPr="00A75DF9">
              <w:rPr>
                <w:rFonts w:ascii="Tahoma" w:hAnsi="Tahoma" w:cs="Tahoma"/>
                <w:color w:val="000000"/>
                <w:sz w:val="13"/>
              </w:rPr>
              <w:t>1</w:t>
            </w:r>
            <w:r>
              <w:rPr>
                <w:rFonts w:ascii="Tahoma" w:hAnsi="Tahoma" w:cs="Tahoma"/>
                <w:color w:val="000000"/>
                <w:sz w:val="13"/>
              </w:rPr>
              <w:t>3</w:t>
            </w:r>
          </w:p>
        </w:tc>
        <w:tc>
          <w:tcPr>
            <w:tcW w:w="359"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SRV</w:t>
            </w:r>
          </w:p>
        </w:tc>
        <w:tc>
          <w:tcPr>
            <w:tcW w:w="356" w:type="dxa"/>
            <w:tcBorders>
              <w:left w:val="single" w:sz="18" w:space="0" w:color="auto"/>
              <w:bottom w:val="single" w:sz="4" w:space="0" w:color="auto"/>
            </w:tcBorders>
            <w:shd w:val="clear" w:color="auto" w:fill="auto"/>
            <w:vAlign w:val="center"/>
          </w:tcPr>
          <w:p w:rsidR="001A63C6" w:rsidRPr="00A75DF9" w:rsidRDefault="00E129B7" w:rsidP="001A63C6">
            <w:pPr>
              <w:pStyle w:val="TableText"/>
              <w:widowControl w:val="0"/>
              <w:rPr>
                <w:rFonts w:ascii="Tahoma" w:hAnsi="Tahoma" w:cs="Tahoma"/>
                <w:sz w:val="13"/>
              </w:rPr>
            </w:pPr>
            <w:r>
              <w:rPr>
                <w:rFonts w:ascii="Tahoma" w:hAnsi="Tahoma" w:cs="Tahoma"/>
                <w:sz w:val="13"/>
              </w:rPr>
              <w:t>10</w:t>
            </w:r>
          </w:p>
        </w:tc>
        <w:tc>
          <w:tcPr>
            <w:tcW w:w="450" w:type="dxa"/>
            <w:tcBorders>
              <w:bottom w:val="single" w:sz="4" w:space="0" w:color="auto"/>
            </w:tcBorders>
            <w:shd w:val="clear" w:color="auto" w:fill="auto"/>
            <w:vAlign w:val="center"/>
          </w:tcPr>
          <w:p w:rsidR="001A63C6" w:rsidRPr="00A75DF9" w:rsidRDefault="00E129B7" w:rsidP="001A63C6">
            <w:pPr>
              <w:pStyle w:val="TableText"/>
              <w:widowControl w:val="0"/>
              <w:rPr>
                <w:rFonts w:ascii="Tahoma" w:hAnsi="Tahoma" w:cs="Tahoma"/>
                <w:sz w:val="13"/>
              </w:rPr>
            </w:pPr>
            <w:r>
              <w:rPr>
                <w:rFonts w:ascii="Tahoma" w:hAnsi="Tahoma" w:cs="Tahoma"/>
                <w:sz w:val="13"/>
              </w:rPr>
              <w:t>25</w:t>
            </w:r>
          </w:p>
        </w:tc>
        <w:tc>
          <w:tcPr>
            <w:tcW w:w="455" w:type="dxa"/>
            <w:tcBorders>
              <w:bottom w:val="single" w:sz="4" w:space="0" w:color="auto"/>
            </w:tcBorders>
            <w:shd w:val="clear" w:color="auto" w:fill="auto"/>
            <w:vAlign w:val="center"/>
          </w:tcPr>
          <w:p w:rsidR="001A63C6" w:rsidRPr="00A75DF9" w:rsidRDefault="00E129B7" w:rsidP="001A63C6">
            <w:pPr>
              <w:pStyle w:val="TableText"/>
              <w:widowControl w:val="0"/>
              <w:rPr>
                <w:rFonts w:ascii="Tahoma" w:hAnsi="Tahoma" w:cs="Tahoma"/>
                <w:sz w:val="13"/>
              </w:rPr>
            </w:pPr>
            <w:r>
              <w:rPr>
                <w:rFonts w:ascii="Tahoma" w:hAnsi="Tahoma" w:cs="Tahoma"/>
                <w:sz w:val="13"/>
              </w:rPr>
              <w:t>20</w:t>
            </w:r>
          </w:p>
        </w:tc>
        <w:tc>
          <w:tcPr>
            <w:tcW w:w="450" w:type="dxa"/>
            <w:gridSpan w:val="3"/>
            <w:tcBorders>
              <w:bottom w:val="single" w:sz="4" w:space="0" w:color="auto"/>
            </w:tcBorders>
            <w:shd w:val="clear" w:color="auto" w:fill="auto"/>
            <w:vAlign w:val="center"/>
          </w:tcPr>
          <w:p w:rsidR="001A63C6" w:rsidRPr="00A75DF9" w:rsidRDefault="00E129B7" w:rsidP="001A63C6">
            <w:pPr>
              <w:pStyle w:val="TableText"/>
              <w:widowControl w:val="0"/>
              <w:rPr>
                <w:rFonts w:ascii="Tahoma" w:hAnsi="Tahoma" w:cs="Tahoma"/>
                <w:sz w:val="13"/>
              </w:rPr>
            </w:pPr>
            <w:r>
              <w:rPr>
                <w:rFonts w:ascii="Tahoma" w:hAnsi="Tahoma" w:cs="Tahoma"/>
                <w:sz w:val="13"/>
              </w:rPr>
              <w:t>15</w:t>
            </w:r>
          </w:p>
        </w:tc>
        <w:tc>
          <w:tcPr>
            <w:tcW w:w="445" w:type="dxa"/>
            <w:tcBorders>
              <w:bottom w:val="single" w:sz="4" w:space="0" w:color="auto"/>
            </w:tcBorders>
            <w:shd w:val="clear" w:color="auto" w:fill="auto"/>
            <w:vAlign w:val="center"/>
          </w:tcPr>
          <w:p w:rsidR="001A63C6" w:rsidRPr="00A75DF9" w:rsidRDefault="00E129B7" w:rsidP="001A63C6">
            <w:pPr>
              <w:pStyle w:val="TableText"/>
              <w:widowControl w:val="0"/>
              <w:rPr>
                <w:rFonts w:ascii="Tahoma" w:hAnsi="Tahoma" w:cs="Tahoma"/>
                <w:sz w:val="13"/>
              </w:rPr>
            </w:pPr>
            <w:r>
              <w:rPr>
                <w:rFonts w:ascii="Tahoma" w:hAnsi="Tahoma" w:cs="Tahoma"/>
                <w:sz w:val="13"/>
              </w:rPr>
              <w:t>15</w:t>
            </w:r>
          </w:p>
        </w:tc>
        <w:tc>
          <w:tcPr>
            <w:tcW w:w="450" w:type="dxa"/>
            <w:tcBorders>
              <w:bottom w:val="single" w:sz="4" w:space="0" w:color="auto"/>
            </w:tcBorders>
            <w:shd w:val="clear" w:color="auto" w:fill="auto"/>
            <w:vAlign w:val="center"/>
          </w:tcPr>
          <w:p w:rsidR="001A63C6" w:rsidRPr="00A75DF9" w:rsidRDefault="00E129B7" w:rsidP="001A63C6">
            <w:pPr>
              <w:pStyle w:val="TableText"/>
              <w:widowControl w:val="0"/>
              <w:rPr>
                <w:rFonts w:ascii="Tahoma" w:hAnsi="Tahoma" w:cs="Tahoma"/>
                <w:sz w:val="13"/>
              </w:rPr>
            </w:pPr>
            <w:r>
              <w:rPr>
                <w:rFonts w:ascii="Tahoma" w:hAnsi="Tahoma" w:cs="Tahoma"/>
                <w:sz w:val="13"/>
              </w:rPr>
              <w:t>10</w:t>
            </w:r>
          </w:p>
        </w:tc>
        <w:tc>
          <w:tcPr>
            <w:tcW w:w="374" w:type="dxa"/>
            <w:tcBorders>
              <w:bottom w:val="single" w:sz="4" w:space="0" w:color="auto"/>
              <w:right w:val="single" w:sz="18" w:space="0" w:color="auto"/>
            </w:tcBorders>
            <w:shd w:val="clear" w:color="auto" w:fill="auto"/>
            <w:vAlign w:val="center"/>
          </w:tcPr>
          <w:p w:rsidR="001A63C6" w:rsidRPr="00A75DF9" w:rsidRDefault="00E129B7" w:rsidP="001A63C6">
            <w:pPr>
              <w:pStyle w:val="TableText"/>
              <w:widowControl w:val="0"/>
              <w:rPr>
                <w:rFonts w:ascii="Tahoma" w:hAnsi="Tahoma" w:cs="Tahoma"/>
                <w:sz w:val="13"/>
              </w:rPr>
            </w:pPr>
            <w:r>
              <w:rPr>
                <w:rFonts w:ascii="Tahoma" w:hAnsi="Tahoma" w:cs="Tahoma"/>
                <w:sz w:val="13"/>
              </w:rPr>
              <w:t>5</w:t>
            </w:r>
          </w:p>
        </w:tc>
        <w:tc>
          <w:tcPr>
            <w:tcW w:w="455"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E129B7" w:rsidP="001A63C6">
            <w:pPr>
              <w:pStyle w:val="TableText"/>
              <w:widowControl w:val="0"/>
              <w:rPr>
                <w:rFonts w:ascii="Tahoma" w:hAnsi="Tahoma" w:cs="Tahoma"/>
                <w:sz w:val="13"/>
              </w:rPr>
            </w:pPr>
            <w:r>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rsidR="001A63C6" w:rsidRPr="00A75DF9" w:rsidRDefault="00E129B7" w:rsidP="001A63C6">
            <w:pPr>
              <w:pStyle w:val="TableText"/>
              <w:widowControl w:val="0"/>
              <w:rPr>
                <w:rFonts w:ascii="Tahoma" w:hAnsi="Tahoma" w:cs="Tahoma"/>
                <w:sz w:val="13"/>
              </w:rPr>
            </w:pPr>
            <w:r>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rsidR="001A63C6" w:rsidRPr="00A75DF9" w:rsidRDefault="00E129B7" w:rsidP="001A63C6">
            <w:pPr>
              <w:pStyle w:val="TableText"/>
              <w:widowControl w:val="0"/>
              <w:rPr>
                <w:rFonts w:ascii="Tahoma" w:hAnsi="Tahoma" w:cs="Tahoma"/>
                <w:sz w:val="13"/>
              </w:rPr>
            </w:pPr>
            <w:r>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P</w:t>
            </w: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spacing w:before="120"/>
              <w:rPr>
                <w:rFonts w:ascii="Tahoma" w:hAnsi="Tahoma" w:cs="Tahoma"/>
                <w:sz w:val="13"/>
              </w:rPr>
            </w:pPr>
            <w:r w:rsidRPr="00A75DF9">
              <w:rPr>
                <w:rFonts w:ascii="Tahoma" w:hAnsi="Tahoma" w:cs="Tahoma"/>
                <w:sz w:val="13"/>
              </w:rPr>
              <w:t>A, ST</w:t>
            </w:r>
          </w:p>
        </w:tc>
        <w:tc>
          <w:tcPr>
            <w:tcW w:w="539"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OL/OV</w:t>
            </w:r>
          </w:p>
        </w:tc>
      </w:tr>
      <w:tr w:rsidR="001A63C6" w:rsidRPr="00A75DF9" w:rsidTr="008A1262">
        <w:trPr>
          <w:trHeight w:val="145"/>
        </w:trPr>
        <w:tc>
          <w:tcPr>
            <w:tcW w:w="2724" w:type="dxa"/>
            <w:gridSpan w:val="2"/>
            <w:tcBorders>
              <w:bottom w:val="single" w:sz="4" w:space="0" w:color="auto"/>
            </w:tcBorders>
            <w:shd w:val="clear" w:color="auto" w:fill="FABF8F"/>
            <w:vAlign w:val="center"/>
          </w:tcPr>
          <w:p w:rsidR="001A63C6" w:rsidRPr="00A75DF9" w:rsidRDefault="001A63C6" w:rsidP="00BB2DDD">
            <w:pPr>
              <w:pStyle w:val="Heading2"/>
              <w:ind w:left="0"/>
              <w:rPr>
                <w:rFonts w:ascii="Tahoma" w:hAnsi="Tahoma" w:cs="Tahoma"/>
                <w:b w:val="0"/>
                <w:sz w:val="14"/>
                <w:szCs w:val="14"/>
              </w:rPr>
            </w:pPr>
            <w:bookmarkStart w:id="307" w:name="_Toc336338019"/>
            <w:bookmarkStart w:id="308" w:name="_Toc368310015"/>
            <w:r w:rsidRPr="00A75DF9">
              <w:rPr>
                <w:rFonts w:ascii="Tahoma" w:hAnsi="Tahoma" w:cs="Tahoma"/>
                <w:b w:val="0"/>
                <w:sz w:val="14"/>
                <w:szCs w:val="14"/>
              </w:rPr>
              <w:t>CAL Aggiuntiva per l</w:t>
            </w:r>
            <w:r w:rsidR="00F2643E">
              <w:rPr>
                <w:rFonts w:ascii="Tahoma" w:hAnsi="Tahoma" w:cs="Tahoma"/>
                <w:b w:val="0"/>
                <w:sz w:val="14"/>
                <w:szCs w:val="14"/>
              </w:rPr>
              <w:t>’</w:t>
            </w:r>
            <w:r w:rsidRPr="00A75DF9">
              <w:rPr>
                <w:rFonts w:ascii="Tahoma" w:hAnsi="Tahoma" w:cs="Tahoma"/>
                <w:b w:val="0"/>
                <w:sz w:val="14"/>
                <w:szCs w:val="14"/>
              </w:rPr>
              <w:t>Utilizzo di Microsoft Dynamics 2013 CRM Professional (Utente e Dispositivo)</w:t>
            </w:r>
            <w:bookmarkEnd w:id="307"/>
            <w:bookmarkEnd w:id="308"/>
          </w:p>
        </w:tc>
        <w:tc>
          <w:tcPr>
            <w:tcW w:w="448" w:type="dxa"/>
            <w:tcBorders>
              <w:bottom w:val="single" w:sz="4" w:space="0" w:color="auto"/>
            </w:tcBorders>
            <w:shd w:val="clear" w:color="auto" w:fill="FABF8F"/>
            <w:vAlign w:val="center"/>
          </w:tcPr>
          <w:p w:rsidR="001A63C6" w:rsidRPr="00B41377" w:rsidRDefault="00B54770">
            <w:pPr>
              <w:pStyle w:val="TableText"/>
              <w:widowControl w:val="0"/>
              <w:rPr>
                <w:rFonts w:cs="Tahoma"/>
                <w:b/>
                <w:color w:val="0000FF"/>
                <w:sz w:val="13"/>
                <w:szCs w:val="13"/>
                <w:u w:val="single"/>
              </w:rPr>
            </w:pPr>
            <w:hyperlink w:anchor="_72_Microsoft_Dynamics_1" w:history="1">
              <w:hyperlink w:anchor="_70_Microsoft_Dynamics" w:history="1">
                <w:r w:rsidR="005607D7" w:rsidRPr="005607D7">
                  <w:rPr>
                    <w:rStyle w:val="Hyperlink"/>
                    <w:rFonts w:cs="Tahoma"/>
                    <w:b/>
                    <w:sz w:val="13"/>
                    <w:szCs w:val="13"/>
                  </w:rPr>
                  <w:t>7</w:t>
                </w:r>
              </w:hyperlink>
              <w:r w:rsidR="005607D7" w:rsidRPr="005607D7">
                <w:rPr>
                  <w:rStyle w:val="Hyperlink"/>
                  <w:rFonts w:cs="Tahoma"/>
                  <w:b/>
                  <w:sz w:val="13"/>
                  <w:szCs w:val="13"/>
                </w:rPr>
                <w:t>2</w:t>
              </w:r>
            </w:hyperlink>
          </w:p>
        </w:tc>
        <w:tc>
          <w:tcPr>
            <w:tcW w:w="449" w:type="dxa"/>
            <w:tcBorders>
              <w:bottom w:val="single" w:sz="4" w:space="0" w:color="auto"/>
            </w:tcBorders>
            <w:shd w:val="clear" w:color="auto" w:fill="FABF8F"/>
          </w:tcPr>
          <w:p w:rsidR="001A63C6" w:rsidRPr="00A75DF9" w:rsidRDefault="00E129B7" w:rsidP="00E129B7">
            <w:pPr>
              <w:pStyle w:val="TableText"/>
              <w:widowControl w:val="0"/>
              <w:spacing w:before="120"/>
              <w:rPr>
                <w:rFonts w:ascii="Tahoma" w:hAnsi="Tahoma" w:cs="Tahoma"/>
                <w:color w:val="000000"/>
                <w:sz w:val="13"/>
              </w:rPr>
            </w:pPr>
            <w:r>
              <w:rPr>
                <w:rFonts w:ascii="Tahoma" w:hAnsi="Tahoma" w:cs="Tahoma"/>
                <w:color w:val="000000"/>
                <w:sz w:val="13"/>
              </w:rPr>
              <w:t>1</w:t>
            </w:r>
            <w:r w:rsidR="001A63C6" w:rsidRPr="00A75DF9">
              <w:rPr>
                <w:rFonts w:ascii="Tahoma" w:hAnsi="Tahoma" w:cs="Tahoma"/>
                <w:color w:val="000000"/>
                <w:sz w:val="13"/>
              </w:rPr>
              <w:t>0/1</w:t>
            </w:r>
            <w:r>
              <w:rPr>
                <w:rFonts w:ascii="Tahoma" w:hAnsi="Tahoma" w:cs="Tahoma"/>
                <w:color w:val="000000"/>
                <w:sz w:val="13"/>
              </w:rPr>
              <w:t>3</w:t>
            </w:r>
          </w:p>
        </w:tc>
        <w:tc>
          <w:tcPr>
            <w:tcW w:w="359"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SRV</w:t>
            </w:r>
          </w:p>
        </w:tc>
        <w:tc>
          <w:tcPr>
            <w:tcW w:w="356" w:type="dxa"/>
            <w:tcBorders>
              <w:left w:val="single" w:sz="18" w:space="0" w:color="auto"/>
              <w:bottom w:val="single" w:sz="4" w:space="0" w:color="auto"/>
            </w:tcBorders>
            <w:shd w:val="clear" w:color="auto" w:fill="FABF8F"/>
            <w:vAlign w:val="center"/>
          </w:tcPr>
          <w:p w:rsidR="001A63C6" w:rsidRPr="00A75DF9" w:rsidRDefault="00E129B7" w:rsidP="001A63C6">
            <w:pPr>
              <w:pStyle w:val="TableText"/>
              <w:widowControl w:val="0"/>
              <w:rPr>
                <w:rFonts w:ascii="Tahoma" w:hAnsi="Tahoma" w:cs="Tahoma"/>
                <w:sz w:val="13"/>
              </w:rPr>
            </w:pPr>
            <w:r>
              <w:rPr>
                <w:rFonts w:ascii="Tahoma" w:hAnsi="Tahoma" w:cs="Tahoma"/>
                <w:sz w:val="13"/>
              </w:rPr>
              <w:t>5</w:t>
            </w:r>
          </w:p>
        </w:tc>
        <w:tc>
          <w:tcPr>
            <w:tcW w:w="450" w:type="dxa"/>
            <w:tcBorders>
              <w:bottom w:val="single" w:sz="4" w:space="0" w:color="auto"/>
            </w:tcBorders>
            <w:shd w:val="clear" w:color="auto" w:fill="FABF8F"/>
            <w:vAlign w:val="center"/>
          </w:tcPr>
          <w:p w:rsidR="001A63C6" w:rsidRPr="00A75DF9" w:rsidRDefault="00E129B7" w:rsidP="001A63C6">
            <w:pPr>
              <w:pStyle w:val="TableText"/>
              <w:widowControl w:val="0"/>
              <w:rPr>
                <w:rFonts w:ascii="Tahoma" w:hAnsi="Tahoma" w:cs="Tahoma"/>
                <w:sz w:val="13"/>
              </w:rPr>
            </w:pPr>
            <w:r>
              <w:rPr>
                <w:rFonts w:ascii="Tahoma" w:hAnsi="Tahoma" w:cs="Tahoma"/>
                <w:sz w:val="13"/>
              </w:rPr>
              <w:t>13</w:t>
            </w:r>
          </w:p>
        </w:tc>
        <w:tc>
          <w:tcPr>
            <w:tcW w:w="455" w:type="dxa"/>
            <w:tcBorders>
              <w:bottom w:val="single" w:sz="4" w:space="0" w:color="auto"/>
            </w:tcBorders>
            <w:shd w:val="clear" w:color="auto" w:fill="FABF8F"/>
            <w:vAlign w:val="center"/>
          </w:tcPr>
          <w:p w:rsidR="001A63C6" w:rsidRPr="00A75DF9" w:rsidRDefault="00E129B7" w:rsidP="001A63C6">
            <w:pPr>
              <w:pStyle w:val="TableText"/>
              <w:widowControl w:val="0"/>
              <w:rPr>
                <w:rFonts w:ascii="Tahoma" w:hAnsi="Tahoma" w:cs="Tahoma"/>
                <w:sz w:val="13"/>
              </w:rPr>
            </w:pPr>
            <w:r>
              <w:rPr>
                <w:rFonts w:ascii="Tahoma" w:hAnsi="Tahoma" w:cs="Tahoma"/>
                <w:sz w:val="13"/>
              </w:rPr>
              <w:t>10</w:t>
            </w:r>
          </w:p>
        </w:tc>
        <w:tc>
          <w:tcPr>
            <w:tcW w:w="450" w:type="dxa"/>
            <w:gridSpan w:val="3"/>
            <w:tcBorders>
              <w:bottom w:val="single" w:sz="4" w:space="0" w:color="auto"/>
            </w:tcBorders>
            <w:shd w:val="clear" w:color="auto" w:fill="FABF8F"/>
            <w:vAlign w:val="center"/>
          </w:tcPr>
          <w:p w:rsidR="001A63C6" w:rsidRPr="00A75DF9" w:rsidRDefault="00E129B7" w:rsidP="001A63C6">
            <w:pPr>
              <w:pStyle w:val="TableText"/>
              <w:widowControl w:val="0"/>
              <w:rPr>
                <w:rFonts w:ascii="Tahoma" w:hAnsi="Tahoma" w:cs="Tahoma"/>
                <w:sz w:val="13"/>
              </w:rPr>
            </w:pPr>
            <w:r>
              <w:rPr>
                <w:rFonts w:ascii="Tahoma" w:hAnsi="Tahoma" w:cs="Tahoma"/>
                <w:sz w:val="13"/>
              </w:rPr>
              <w:t>8</w:t>
            </w:r>
          </w:p>
        </w:tc>
        <w:tc>
          <w:tcPr>
            <w:tcW w:w="445" w:type="dxa"/>
            <w:tcBorders>
              <w:bottom w:val="single" w:sz="4" w:space="0" w:color="auto"/>
            </w:tcBorders>
            <w:shd w:val="clear" w:color="auto" w:fill="FABF8F"/>
            <w:vAlign w:val="center"/>
          </w:tcPr>
          <w:p w:rsidR="001A63C6" w:rsidRPr="00A75DF9" w:rsidRDefault="00E129B7" w:rsidP="001A63C6">
            <w:pPr>
              <w:pStyle w:val="TableText"/>
              <w:widowControl w:val="0"/>
              <w:rPr>
                <w:rFonts w:ascii="Tahoma" w:hAnsi="Tahoma" w:cs="Tahoma"/>
                <w:sz w:val="13"/>
              </w:rPr>
            </w:pPr>
            <w:r>
              <w:rPr>
                <w:rFonts w:ascii="Tahoma" w:hAnsi="Tahoma" w:cs="Tahoma"/>
                <w:sz w:val="13"/>
              </w:rPr>
              <w:t>8</w:t>
            </w:r>
          </w:p>
        </w:tc>
        <w:tc>
          <w:tcPr>
            <w:tcW w:w="450" w:type="dxa"/>
            <w:tcBorders>
              <w:bottom w:val="single" w:sz="4" w:space="0" w:color="auto"/>
            </w:tcBorders>
            <w:shd w:val="clear" w:color="auto" w:fill="FABF8F"/>
            <w:vAlign w:val="center"/>
          </w:tcPr>
          <w:p w:rsidR="001A63C6" w:rsidRPr="00A75DF9" w:rsidRDefault="00E129B7" w:rsidP="001A63C6">
            <w:pPr>
              <w:pStyle w:val="TableText"/>
              <w:widowControl w:val="0"/>
              <w:rPr>
                <w:rFonts w:ascii="Tahoma" w:hAnsi="Tahoma" w:cs="Tahoma"/>
                <w:sz w:val="13"/>
              </w:rPr>
            </w:pPr>
            <w:r>
              <w:rPr>
                <w:rFonts w:ascii="Tahoma" w:hAnsi="Tahoma" w:cs="Tahoma"/>
                <w:sz w:val="13"/>
              </w:rPr>
              <w:t>5</w:t>
            </w:r>
          </w:p>
        </w:tc>
        <w:tc>
          <w:tcPr>
            <w:tcW w:w="374" w:type="dxa"/>
            <w:tcBorders>
              <w:bottom w:val="single" w:sz="4" w:space="0" w:color="auto"/>
              <w:right w:val="single" w:sz="18" w:space="0" w:color="auto"/>
            </w:tcBorders>
            <w:shd w:val="clear" w:color="auto" w:fill="FABF8F"/>
            <w:vAlign w:val="center"/>
          </w:tcPr>
          <w:p w:rsidR="001A63C6" w:rsidRPr="00A75DF9" w:rsidRDefault="00E129B7" w:rsidP="001A63C6">
            <w:pPr>
              <w:pStyle w:val="TableText"/>
              <w:widowControl w:val="0"/>
              <w:rPr>
                <w:rFonts w:ascii="Tahoma" w:hAnsi="Tahoma" w:cs="Tahoma"/>
                <w:sz w:val="13"/>
              </w:rPr>
            </w:pPr>
            <w:r>
              <w:rPr>
                <w:rFonts w:ascii="Tahoma" w:hAnsi="Tahoma" w:cs="Tahoma"/>
                <w:sz w:val="13"/>
              </w:rPr>
              <w:t>3</w:t>
            </w:r>
          </w:p>
        </w:tc>
        <w:tc>
          <w:tcPr>
            <w:tcW w:w="455"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E129B7" w:rsidP="00E129B7">
            <w:pPr>
              <w:pStyle w:val="TableText"/>
              <w:widowControl w:val="0"/>
              <w:rPr>
                <w:rFonts w:ascii="Tahoma" w:hAnsi="Tahoma" w:cs="Tahoma"/>
                <w:sz w:val="13"/>
              </w:rPr>
            </w:pPr>
            <w:r>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A75DF9" w:rsidRDefault="00E129B7" w:rsidP="001A63C6">
            <w:pPr>
              <w:pStyle w:val="TableText"/>
              <w:widowControl w:val="0"/>
              <w:rPr>
                <w:rFonts w:ascii="Tahoma" w:hAnsi="Tahoma" w:cs="Tahoma"/>
                <w:sz w:val="13"/>
              </w:rPr>
            </w:pPr>
            <w:r>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1A63C6" w:rsidRPr="00A75DF9" w:rsidRDefault="00E129B7" w:rsidP="001A63C6">
            <w:pPr>
              <w:pStyle w:val="TableText"/>
              <w:widowControl w:val="0"/>
              <w:rPr>
                <w:rFonts w:ascii="Tahoma" w:hAnsi="Tahoma" w:cs="Tahoma"/>
                <w:sz w:val="13"/>
              </w:rPr>
            </w:pPr>
            <w:r>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P</w:t>
            </w: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spacing w:before="120"/>
              <w:rPr>
                <w:rFonts w:ascii="Tahoma" w:hAnsi="Tahoma" w:cs="Tahoma"/>
                <w:sz w:val="13"/>
              </w:rPr>
            </w:pPr>
            <w:r w:rsidRPr="00A75DF9">
              <w:rPr>
                <w:rFonts w:ascii="Tahoma" w:hAnsi="Tahoma" w:cs="Tahoma"/>
                <w:sz w:val="13"/>
              </w:rPr>
              <w:t>A, ST</w:t>
            </w:r>
          </w:p>
        </w:tc>
        <w:tc>
          <w:tcPr>
            <w:tcW w:w="539"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OL/OV</w:t>
            </w:r>
          </w:p>
        </w:tc>
      </w:tr>
      <w:tr w:rsidR="003C1698" w:rsidRPr="00A75DF9" w:rsidTr="003C1698">
        <w:trPr>
          <w:trHeight w:val="145"/>
        </w:trPr>
        <w:tc>
          <w:tcPr>
            <w:tcW w:w="2724" w:type="dxa"/>
            <w:gridSpan w:val="2"/>
            <w:tcBorders>
              <w:bottom w:val="single" w:sz="4" w:space="0" w:color="auto"/>
            </w:tcBorders>
            <w:shd w:val="clear" w:color="auto" w:fill="auto"/>
            <w:vAlign w:val="center"/>
          </w:tcPr>
          <w:p w:rsidR="001A63C6" w:rsidRPr="00A75DF9" w:rsidRDefault="001A63C6" w:rsidP="00BB2DDD">
            <w:pPr>
              <w:pStyle w:val="Heading2"/>
              <w:ind w:left="0"/>
              <w:rPr>
                <w:rFonts w:ascii="Tahoma" w:hAnsi="Tahoma" w:cs="Tahoma"/>
                <w:b w:val="0"/>
                <w:sz w:val="14"/>
                <w:szCs w:val="14"/>
              </w:rPr>
            </w:pPr>
            <w:bookmarkStart w:id="309" w:name="_Toc336338021"/>
            <w:bookmarkStart w:id="310" w:name="_Toc368310016"/>
            <w:r w:rsidRPr="00A75DF9">
              <w:rPr>
                <w:rFonts w:ascii="Tahoma" w:hAnsi="Tahoma" w:cs="Tahoma"/>
                <w:b w:val="0"/>
                <w:sz w:val="14"/>
                <w:szCs w:val="14"/>
              </w:rPr>
              <w:t>Microsoft Dynamics CRM 2013 Server</w:t>
            </w:r>
            <w:bookmarkEnd w:id="309"/>
            <w:bookmarkEnd w:id="310"/>
            <w:r w:rsidRPr="00A75DF9">
              <w:rPr>
                <w:rFonts w:ascii="Tahoma" w:hAnsi="Tahoma" w:cs="Tahoma"/>
                <w:b w:val="0"/>
                <w:sz w:val="14"/>
                <w:szCs w:val="14"/>
              </w:rPr>
              <w:t xml:space="preserve"> </w:t>
            </w:r>
          </w:p>
        </w:tc>
        <w:tc>
          <w:tcPr>
            <w:tcW w:w="448" w:type="dxa"/>
            <w:tcBorders>
              <w:bottom w:val="single" w:sz="4" w:space="0" w:color="auto"/>
            </w:tcBorders>
            <w:shd w:val="clear" w:color="auto" w:fill="auto"/>
            <w:vAlign w:val="center"/>
          </w:tcPr>
          <w:p w:rsidR="001A63C6" w:rsidRPr="00B41377" w:rsidRDefault="00B54770" w:rsidP="00894479">
            <w:pPr>
              <w:pStyle w:val="TableText"/>
              <w:widowControl w:val="0"/>
              <w:rPr>
                <w:rFonts w:cs="Tahoma"/>
                <w:b/>
                <w:color w:val="0000FF"/>
                <w:sz w:val="13"/>
                <w:szCs w:val="13"/>
                <w:u w:val="single"/>
              </w:rPr>
            </w:pPr>
            <w:hyperlink w:anchor="_72_Microsoft_Dynamics_1" w:history="1">
              <w:hyperlink w:anchor="_70_Microsoft_Dynamics" w:history="1">
                <w:r w:rsidR="005607D7" w:rsidRPr="005607D7">
                  <w:rPr>
                    <w:rStyle w:val="Hyperlink"/>
                    <w:rFonts w:cs="Tahoma"/>
                    <w:b/>
                    <w:sz w:val="13"/>
                    <w:szCs w:val="13"/>
                  </w:rPr>
                  <w:t>7</w:t>
                </w:r>
              </w:hyperlink>
              <w:r w:rsidR="005607D7" w:rsidRPr="005607D7">
                <w:rPr>
                  <w:rStyle w:val="Hyperlink"/>
                  <w:rFonts w:cs="Tahoma"/>
                  <w:b/>
                  <w:sz w:val="13"/>
                  <w:szCs w:val="13"/>
                </w:rPr>
                <w:t>2</w:t>
              </w:r>
            </w:hyperlink>
          </w:p>
        </w:tc>
        <w:tc>
          <w:tcPr>
            <w:tcW w:w="449" w:type="dxa"/>
            <w:tcBorders>
              <w:bottom w:val="single" w:sz="4" w:space="0" w:color="auto"/>
            </w:tcBorders>
            <w:shd w:val="clear" w:color="auto" w:fill="auto"/>
          </w:tcPr>
          <w:p w:rsidR="001A63C6" w:rsidRPr="00A75DF9" w:rsidRDefault="00E129B7" w:rsidP="001A63C6">
            <w:pPr>
              <w:pStyle w:val="TableText"/>
              <w:widowControl w:val="0"/>
              <w:spacing w:before="120"/>
              <w:rPr>
                <w:rFonts w:ascii="Tahoma" w:hAnsi="Tahoma" w:cs="Tahoma"/>
                <w:color w:val="000000"/>
                <w:sz w:val="13"/>
              </w:rPr>
            </w:pPr>
            <w:r>
              <w:rPr>
                <w:rFonts w:ascii="Tahoma" w:hAnsi="Tahoma" w:cs="Tahoma"/>
                <w:color w:val="000000"/>
                <w:sz w:val="13"/>
              </w:rPr>
              <w:t>10/</w:t>
            </w:r>
            <w:r w:rsidR="001A63C6" w:rsidRPr="00A75DF9">
              <w:rPr>
                <w:rFonts w:ascii="Tahoma" w:hAnsi="Tahoma" w:cs="Tahoma"/>
                <w:color w:val="000000"/>
                <w:sz w:val="13"/>
              </w:rPr>
              <w:t>1</w:t>
            </w:r>
            <w:r>
              <w:rPr>
                <w:rFonts w:ascii="Tahoma" w:hAnsi="Tahoma" w:cs="Tahoma"/>
                <w:color w:val="000000"/>
                <w:sz w:val="13"/>
              </w:rPr>
              <w:t>3</w:t>
            </w:r>
          </w:p>
        </w:tc>
        <w:tc>
          <w:tcPr>
            <w:tcW w:w="359"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SRV</w:t>
            </w:r>
          </w:p>
        </w:tc>
        <w:tc>
          <w:tcPr>
            <w:tcW w:w="356" w:type="dxa"/>
            <w:tcBorders>
              <w:left w:val="single" w:sz="18" w:space="0" w:color="auto"/>
              <w:bottom w:val="single" w:sz="4" w:space="0" w:color="auto"/>
            </w:tcBorders>
            <w:shd w:val="clear" w:color="auto" w:fill="auto"/>
            <w:vAlign w:val="center"/>
          </w:tcPr>
          <w:p w:rsidR="001A63C6" w:rsidRPr="00A75DF9" w:rsidRDefault="00E129B7" w:rsidP="001A63C6">
            <w:pPr>
              <w:pStyle w:val="TableText"/>
              <w:widowControl w:val="0"/>
              <w:rPr>
                <w:rFonts w:ascii="Tahoma" w:hAnsi="Tahoma" w:cs="Tahoma"/>
                <w:sz w:val="13"/>
              </w:rPr>
            </w:pPr>
            <w:r>
              <w:rPr>
                <w:rFonts w:ascii="Tahoma" w:hAnsi="Tahoma" w:cs="Tahoma"/>
                <w:sz w:val="13"/>
              </w:rPr>
              <w:t>50</w:t>
            </w: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125</w:t>
            </w:r>
          </w:p>
        </w:tc>
        <w:tc>
          <w:tcPr>
            <w:tcW w:w="455"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100</w:t>
            </w:r>
          </w:p>
        </w:tc>
        <w:tc>
          <w:tcPr>
            <w:tcW w:w="450" w:type="dxa"/>
            <w:gridSpan w:val="3"/>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75</w:t>
            </w:r>
          </w:p>
        </w:tc>
        <w:tc>
          <w:tcPr>
            <w:tcW w:w="445"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75</w:t>
            </w: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50</w:t>
            </w:r>
          </w:p>
        </w:tc>
        <w:tc>
          <w:tcPr>
            <w:tcW w:w="374"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25</w:t>
            </w:r>
          </w:p>
        </w:tc>
        <w:tc>
          <w:tcPr>
            <w:tcW w:w="455"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P</w:t>
            </w: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spacing w:before="120"/>
              <w:rPr>
                <w:rFonts w:ascii="Tahoma" w:hAnsi="Tahoma" w:cs="Tahoma"/>
                <w:sz w:val="13"/>
              </w:rPr>
            </w:pPr>
            <w:r w:rsidRPr="00A75DF9">
              <w:rPr>
                <w:rFonts w:ascii="Tahoma" w:hAnsi="Tahoma" w:cs="Tahoma"/>
                <w:sz w:val="13"/>
              </w:rPr>
              <w:t>A</w:t>
            </w:r>
          </w:p>
        </w:tc>
        <w:tc>
          <w:tcPr>
            <w:tcW w:w="539"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OL/OV</w:t>
            </w:r>
          </w:p>
        </w:tc>
      </w:tr>
      <w:tr w:rsidR="00B33D0E" w:rsidRPr="00A75DF9" w:rsidTr="003C1698">
        <w:trPr>
          <w:trHeight w:val="145"/>
        </w:trPr>
        <w:tc>
          <w:tcPr>
            <w:tcW w:w="2724" w:type="dxa"/>
            <w:gridSpan w:val="2"/>
            <w:tcBorders>
              <w:bottom w:val="single" w:sz="4" w:space="0" w:color="auto"/>
            </w:tcBorders>
            <w:shd w:val="clear" w:color="auto" w:fill="FABF8F"/>
            <w:vAlign w:val="center"/>
          </w:tcPr>
          <w:p w:rsidR="001A63C6" w:rsidRPr="00A75DF9" w:rsidRDefault="001A63C6" w:rsidP="00BB2DDD">
            <w:pPr>
              <w:pStyle w:val="Heading2"/>
              <w:ind w:left="0"/>
              <w:rPr>
                <w:rFonts w:ascii="Tahoma" w:hAnsi="Tahoma" w:cs="Tahoma"/>
                <w:b w:val="0"/>
                <w:sz w:val="14"/>
                <w:szCs w:val="14"/>
              </w:rPr>
            </w:pPr>
            <w:bookmarkStart w:id="311" w:name="_Toc336338022"/>
            <w:bookmarkStart w:id="312" w:name="_Toc368310017"/>
            <w:r w:rsidRPr="00A75DF9">
              <w:rPr>
                <w:rFonts w:ascii="Tahoma" w:hAnsi="Tahoma" w:cs="Tahoma"/>
                <w:b w:val="0"/>
                <w:sz w:val="14"/>
                <w:szCs w:val="14"/>
              </w:rPr>
              <w:lastRenderedPageBreak/>
              <w:t>Microsoft Dynamics CRM Workgroup Server 2013</w:t>
            </w:r>
            <w:bookmarkEnd w:id="311"/>
            <w:bookmarkEnd w:id="312"/>
            <w:r w:rsidRPr="00A75DF9">
              <w:rPr>
                <w:rFonts w:ascii="Tahoma" w:hAnsi="Tahoma" w:cs="Tahoma"/>
                <w:b w:val="0"/>
                <w:sz w:val="14"/>
                <w:szCs w:val="14"/>
              </w:rPr>
              <w:t xml:space="preserve"> </w:t>
            </w:r>
          </w:p>
        </w:tc>
        <w:tc>
          <w:tcPr>
            <w:tcW w:w="448" w:type="dxa"/>
            <w:tcBorders>
              <w:bottom w:val="single" w:sz="4" w:space="0" w:color="auto"/>
            </w:tcBorders>
            <w:shd w:val="clear" w:color="auto" w:fill="FABF8F"/>
            <w:vAlign w:val="center"/>
          </w:tcPr>
          <w:p w:rsidR="001A63C6" w:rsidRPr="00B41377" w:rsidRDefault="00B54770" w:rsidP="00894479">
            <w:pPr>
              <w:pStyle w:val="TableText"/>
              <w:widowControl w:val="0"/>
              <w:rPr>
                <w:rFonts w:cs="Tahoma"/>
                <w:b/>
                <w:color w:val="0000FF"/>
                <w:sz w:val="13"/>
                <w:szCs w:val="13"/>
                <w:u w:val="single"/>
              </w:rPr>
            </w:pPr>
            <w:hyperlink w:anchor="_72_Microsoft_Dynamics_1" w:history="1">
              <w:hyperlink w:anchor="_70_Microsoft_Dynamics" w:history="1">
                <w:r w:rsidR="0003250E" w:rsidRPr="005607D7">
                  <w:rPr>
                    <w:rStyle w:val="Hyperlink"/>
                    <w:rFonts w:cs="Tahoma"/>
                    <w:b/>
                    <w:sz w:val="13"/>
                    <w:szCs w:val="13"/>
                  </w:rPr>
                  <w:t>7</w:t>
                </w:r>
              </w:hyperlink>
              <w:r w:rsidR="0003250E" w:rsidRPr="005607D7">
                <w:rPr>
                  <w:rStyle w:val="Hyperlink"/>
                  <w:rFonts w:cs="Tahoma"/>
                  <w:b/>
                  <w:sz w:val="13"/>
                  <w:szCs w:val="13"/>
                </w:rPr>
                <w:t>2</w:t>
              </w:r>
            </w:hyperlink>
          </w:p>
        </w:tc>
        <w:tc>
          <w:tcPr>
            <w:tcW w:w="449" w:type="dxa"/>
            <w:tcBorders>
              <w:bottom w:val="single" w:sz="4" w:space="0" w:color="auto"/>
            </w:tcBorders>
            <w:shd w:val="clear" w:color="auto" w:fill="FABF8F"/>
          </w:tcPr>
          <w:p w:rsidR="001A63C6" w:rsidRPr="00A75DF9" w:rsidRDefault="00E129B7" w:rsidP="00E129B7">
            <w:pPr>
              <w:pStyle w:val="TableText"/>
              <w:widowControl w:val="0"/>
              <w:spacing w:before="120"/>
              <w:rPr>
                <w:rFonts w:ascii="Tahoma" w:hAnsi="Tahoma" w:cs="Tahoma"/>
                <w:color w:val="000000"/>
                <w:sz w:val="13"/>
              </w:rPr>
            </w:pPr>
            <w:r>
              <w:rPr>
                <w:rFonts w:ascii="Tahoma" w:hAnsi="Tahoma" w:cs="Tahoma"/>
                <w:color w:val="000000"/>
                <w:sz w:val="13"/>
              </w:rPr>
              <w:t>1</w:t>
            </w:r>
            <w:r w:rsidR="001A63C6" w:rsidRPr="00A75DF9">
              <w:rPr>
                <w:rFonts w:ascii="Tahoma" w:hAnsi="Tahoma" w:cs="Tahoma"/>
                <w:color w:val="000000"/>
                <w:sz w:val="13"/>
              </w:rPr>
              <w:t>0/1</w:t>
            </w:r>
            <w:r>
              <w:rPr>
                <w:rFonts w:ascii="Tahoma" w:hAnsi="Tahoma" w:cs="Tahoma"/>
                <w:color w:val="000000"/>
                <w:sz w:val="13"/>
              </w:rPr>
              <w:t>3</w:t>
            </w:r>
          </w:p>
        </w:tc>
        <w:tc>
          <w:tcPr>
            <w:tcW w:w="359"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SRV</w:t>
            </w:r>
          </w:p>
        </w:tc>
        <w:tc>
          <w:tcPr>
            <w:tcW w:w="356" w:type="dxa"/>
            <w:tcBorders>
              <w:left w:val="single" w:sz="18" w:space="0" w:color="auto"/>
              <w:bottom w:val="single" w:sz="4" w:space="0" w:color="auto"/>
            </w:tcBorders>
            <w:shd w:val="clear" w:color="auto" w:fill="FABF8F"/>
            <w:vAlign w:val="center"/>
          </w:tcPr>
          <w:p w:rsidR="001A63C6" w:rsidRPr="00A75DF9" w:rsidRDefault="00E129B7" w:rsidP="001A63C6">
            <w:pPr>
              <w:pStyle w:val="TableText"/>
              <w:widowControl w:val="0"/>
              <w:rPr>
                <w:rFonts w:ascii="Tahoma" w:hAnsi="Tahoma" w:cs="Tahoma"/>
                <w:sz w:val="13"/>
              </w:rPr>
            </w:pPr>
            <w:r>
              <w:rPr>
                <w:rFonts w:ascii="Tahoma" w:hAnsi="Tahoma" w:cs="Tahoma"/>
                <w:sz w:val="13"/>
              </w:rPr>
              <w:t>25</w:t>
            </w: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60</w:t>
            </w:r>
          </w:p>
        </w:tc>
        <w:tc>
          <w:tcPr>
            <w:tcW w:w="45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50</w:t>
            </w:r>
          </w:p>
        </w:tc>
        <w:tc>
          <w:tcPr>
            <w:tcW w:w="450" w:type="dxa"/>
            <w:gridSpan w:val="3"/>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38</w:t>
            </w:r>
          </w:p>
        </w:tc>
        <w:tc>
          <w:tcPr>
            <w:tcW w:w="44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38</w:t>
            </w: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25</w:t>
            </w:r>
          </w:p>
        </w:tc>
        <w:tc>
          <w:tcPr>
            <w:tcW w:w="374"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13</w:t>
            </w:r>
          </w:p>
        </w:tc>
        <w:tc>
          <w:tcPr>
            <w:tcW w:w="455"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A75DF9" w:rsidRDefault="00E129B7" w:rsidP="001A63C6">
            <w:pPr>
              <w:pStyle w:val="TableText"/>
              <w:widowControl w:val="0"/>
              <w:rPr>
                <w:rFonts w:ascii="Tahoma" w:hAnsi="Tahoma" w:cs="Tahoma"/>
                <w:sz w:val="13"/>
              </w:rPr>
            </w:pPr>
            <w:r>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P</w:t>
            </w: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spacing w:before="120"/>
              <w:rPr>
                <w:rFonts w:ascii="Tahoma" w:hAnsi="Tahoma" w:cs="Tahoma"/>
                <w:sz w:val="13"/>
              </w:rPr>
            </w:pPr>
          </w:p>
        </w:tc>
        <w:tc>
          <w:tcPr>
            <w:tcW w:w="539"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OL/OV</w:t>
            </w:r>
          </w:p>
        </w:tc>
      </w:tr>
      <w:tr w:rsidR="003C1698" w:rsidRPr="00A75DF9" w:rsidTr="008A1262">
        <w:trPr>
          <w:trHeight w:val="145"/>
        </w:trPr>
        <w:tc>
          <w:tcPr>
            <w:tcW w:w="2724" w:type="dxa"/>
            <w:gridSpan w:val="2"/>
            <w:tcBorders>
              <w:bottom w:val="single" w:sz="4" w:space="0" w:color="auto"/>
            </w:tcBorders>
            <w:shd w:val="clear" w:color="auto" w:fill="auto"/>
            <w:vAlign w:val="center"/>
          </w:tcPr>
          <w:p w:rsidR="003C1698" w:rsidRPr="00A75DF9" w:rsidRDefault="003C1698" w:rsidP="003C1698">
            <w:pPr>
              <w:pStyle w:val="Heading2"/>
              <w:ind w:left="0"/>
              <w:rPr>
                <w:rFonts w:ascii="Tahoma" w:hAnsi="Tahoma" w:cs="Tahoma"/>
                <w:b w:val="0"/>
                <w:sz w:val="14"/>
                <w:szCs w:val="14"/>
              </w:rPr>
            </w:pPr>
            <w:bookmarkStart w:id="313" w:name="_Toc336338020"/>
            <w:bookmarkStart w:id="314" w:name="_Toc368310018"/>
            <w:r w:rsidRPr="00A75DF9">
              <w:rPr>
                <w:rFonts w:ascii="Tahoma" w:hAnsi="Tahoma" w:cs="Tahoma"/>
                <w:b w:val="0"/>
                <w:sz w:val="14"/>
                <w:szCs w:val="14"/>
              </w:rPr>
              <w:t>Microsoft Dynamics CRM 2011 External Connector</w:t>
            </w:r>
            <w:bookmarkEnd w:id="313"/>
            <w:bookmarkEnd w:id="314"/>
          </w:p>
        </w:tc>
        <w:tc>
          <w:tcPr>
            <w:tcW w:w="448" w:type="dxa"/>
            <w:tcBorders>
              <w:bottom w:val="single" w:sz="4" w:space="0" w:color="auto"/>
            </w:tcBorders>
            <w:shd w:val="clear" w:color="auto" w:fill="auto"/>
            <w:vAlign w:val="center"/>
          </w:tcPr>
          <w:p w:rsidR="003C1698" w:rsidRPr="00B41377" w:rsidRDefault="00B54770" w:rsidP="003C1698">
            <w:pPr>
              <w:pStyle w:val="TableText"/>
              <w:widowControl w:val="0"/>
              <w:rPr>
                <w:rFonts w:cs="Tahoma"/>
                <w:b/>
                <w:color w:val="0000FF"/>
                <w:sz w:val="13"/>
                <w:szCs w:val="13"/>
                <w:u w:val="single"/>
              </w:rPr>
            </w:pPr>
            <w:hyperlink w:anchor="_73_Microsoft_Dynamics_1" w:history="1">
              <w:hyperlink w:anchor="_70_Microsoft_Dynamics" w:history="1">
                <w:r w:rsidR="003C1698" w:rsidRPr="005607D7">
                  <w:rPr>
                    <w:rStyle w:val="Hyperlink"/>
                    <w:rFonts w:cs="Tahoma"/>
                    <w:b/>
                    <w:sz w:val="13"/>
                    <w:szCs w:val="13"/>
                  </w:rPr>
                  <w:t>7</w:t>
                </w:r>
              </w:hyperlink>
              <w:r w:rsidR="003C1698" w:rsidRPr="005607D7">
                <w:rPr>
                  <w:rStyle w:val="Hyperlink"/>
                  <w:rFonts w:cs="Tahoma"/>
                  <w:b/>
                  <w:sz w:val="13"/>
                  <w:szCs w:val="13"/>
                </w:rPr>
                <w:t>3</w:t>
              </w:r>
            </w:hyperlink>
          </w:p>
        </w:tc>
        <w:tc>
          <w:tcPr>
            <w:tcW w:w="449" w:type="dxa"/>
            <w:tcBorders>
              <w:bottom w:val="single" w:sz="4" w:space="0" w:color="auto"/>
            </w:tcBorders>
            <w:shd w:val="clear" w:color="auto" w:fill="auto"/>
          </w:tcPr>
          <w:p w:rsidR="003C1698" w:rsidRPr="00A75DF9" w:rsidRDefault="003C1698" w:rsidP="003C1698">
            <w:pPr>
              <w:pStyle w:val="TableText"/>
              <w:widowControl w:val="0"/>
              <w:spacing w:before="120"/>
              <w:rPr>
                <w:rFonts w:ascii="Tahoma" w:hAnsi="Tahoma" w:cs="Tahoma"/>
                <w:color w:val="000000"/>
                <w:sz w:val="13"/>
              </w:rPr>
            </w:pPr>
            <w:r w:rsidRPr="00A75DF9">
              <w:rPr>
                <w:rFonts w:ascii="Tahoma" w:hAnsi="Tahoma" w:cs="Tahoma"/>
                <w:color w:val="000000"/>
                <w:sz w:val="13"/>
              </w:rPr>
              <w:t>04/01</w:t>
            </w:r>
          </w:p>
        </w:tc>
        <w:tc>
          <w:tcPr>
            <w:tcW w:w="359" w:type="dxa"/>
            <w:tcBorders>
              <w:bottom w:val="single" w:sz="4" w:space="0" w:color="auto"/>
              <w:right w:val="single" w:sz="18" w:space="0" w:color="auto"/>
            </w:tcBorders>
            <w:shd w:val="clear" w:color="auto" w:fill="auto"/>
            <w:vAlign w:val="center"/>
          </w:tcPr>
          <w:p w:rsidR="003C1698" w:rsidRPr="00A75DF9" w:rsidRDefault="003C1698" w:rsidP="003C1698">
            <w:pPr>
              <w:pStyle w:val="TableText"/>
              <w:widowControl w:val="0"/>
              <w:rPr>
                <w:rFonts w:ascii="Tahoma" w:hAnsi="Tahoma" w:cs="Tahoma"/>
                <w:sz w:val="13"/>
              </w:rPr>
            </w:pPr>
            <w:r w:rsidRPr="00A75DF9">
              <w:rPr>
                <w:rFonts w:ascii="Tahoma" w:hAnsi="Tahoma" w:cs="Tahoma"/>
                <w:sz w:val="13"/>
              </w:rPr>
              <w:t>SRV</w:t>
            </w:r>
          </w:p>
        </w:tc>
        <w:tc>
          <w:tcPr>
            <w:tcW w:w="356" w:type="dxa"/>
            <w:tcBorders>
              <w:left w:val="single" w:sz="18" w:space="0" w:color="auto"/>
              <w:bottom w:val="single" w:sz="4" w:space="0" w:color="auto"/>
            </w:tcBorders>
            <w:shd w:val="clear" w:color="auto" w:fill="auto"/>
            <w:vAlign w:val="center"/>
          </w:tcPr>
          <w:p w:rsidR="003C1698" w:rsidRPr="00A75DF9" w:rsidRDefault="003C1698" w:rsidP="003C169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3C1698" w:rsidRPr="00A75DF9" w:rsidRDefault="003C1698" w:rsidP="003C1698">
            <w:pPr>
              <w:pStyle w:val="TableText"/>
              <w:widowControl w:val="0"/>
              <w:rPr>
                <w:rFonts w:ascii="Tahoma" w:hAnsi="Tahoma" w:cs="Tahoma"/>
                <w:sz w:val="13"/>
              </w:rPr>
            </w:pPr>
            <w:r w:rsidRPr="00A75DF9">
              <w:rPr>
                <w:rFonts w:ascii="Tahoma" w:hAnsi="Tahoma" w:cs="Tahoma"/>
                <w:sz w:val="13"/>
              </w:rPr>
              <w:t>3</w:t>
            </w:r>
          </w:p>
        </w:tc>
        <w:tc>
          <w:tcPr>
            <w:tcW w:w="455" w:type="dxa"/>
            <w:tcBorders>
              <w:bottom w:val="single" w:sz="4" w:space="0" w:color="auto"/>
            </w:tcBorders>
            <w:shd w:val="clear" w:color="auto" w:fill="auto"/>
            <w:vAlign w:val="center"/>
          </w:tcPr>
          <w:p w:rsidR="003C1698" w:rsidRPr="00A75DF9" w:rsidRDefault="003C1698" w:rsidP="003C1698">
            <w:pPr>
              <w:pStyle w:val="TableText"/>
              <w:widowControl w:val="0"/>
              <w:rPr>
                <w:rFonts w:ascii="Tahoma" w:hAnsi="Tahoma" w:cs="Tahoma"/>
                <w:sz w:val="13"/>
              </w:rPr>
            </w:pPr>
            <w:r w:rsidRPr="00A75DF9">
              <w:rPr>
                <w:rFonts w:ascii="Tahoma" w:hAnsi="Tahoma" w:cs="Tahoma"/>
                <w:sz w:val="13"/>
              </w:rPr>
              <w:t>2</w:t>
            </w:r>
          </w:p>
        </w:tc>
        <w:tc>
          <w:tcPr>
            <w:tcW w:w="450" w:type="dxa"/>
            <w:gridSpan w:val="3"/>
            <w:tcBorders>
              <w:bottom w:val="single" w:sz="4" w:space="0" w:color="auto"/>
            </w:tcBorders>
            <w:shd w:val="clear" w:color="auto" w:fill="auto"/>
            <w:vAlign w:val="center"/>
          </w:tcPr>
          <w:p w:rsidR="003C1698" w:rsidRPr="00A75DF9" w:rsidRDefault="003C1698" w:rsidP="003C1698">
            <w:pPr>
              <w:pStyle w:val="TableText"/>
              <w:widowControl w:val="0"/>
              <w:rPr>
                <w:rFonts w:ascii="Tahoma" w:hAnsi="Tahoma" w:cs="Tahoma"/>
                <w:sz w:val="13"/>
              </w:rPr>
            </w:pPr>
            <w:r w:rsidRPr="00A75DF9">
              <w:rPr>
                <w:rFonts w:ascii="Tahoma" w:hAnsi="Tahoma" w:cs="Tahoma"/>
                <w:sz w:val="13"/>
              </w:rPr>
              <w:t>2</w:t>
            </w:r>
          </w:p>
        </w:tc>
        <w:tc>
          <w:tcPr>
            <w:tcW w:w="445" w:type="dxa"/>
            <w:tcBorders>
              <w:bottom w:val="single" w:sz="4" w:space="0" w:color="auto"/>
            </w:tcBorders>
            <w:shd w:val="clear" w:color="auto" w:fill="auto"/>
            <w:vAlign w:val="center"/>
          </w:tcPr>
          <w:p w:rsidR="003C1698" w:rsidRPr="00A75DF9" w:rsidRDefault="003C1698" w:rsidP="003C1698">
            <w:pPr>
              <w:pStyle w:val="TableText"/>
              <w:widowControl w:val="0"/>
              <w:rPr>
                <w:rFonts w:ascii="Tahoma" w:hAnsi="Tahoma" w:cs="Tahoma"/>
                <w:sz w:val="13"/>
              </w:rPr>
            </w:pPr>
            <w:r w:rsidRPr="00A75DF9">
              <w:rPr>
                <w:rFonts w:ascii="Tahoma" w:hAnsi="Tahoma" w:cs="Tahoma"/>
                <w:sz w:val="13"/>
              </w:rPr>
              <w:t>2</w:t>
            </w:r>
          </w:p>
        </w:tc>
        <w:tc>
          <w:tcPr>
            <w:tcW w:w="450" w:type="dxa"/>
            <w:tcBorders>
              <w:bottom w:val="single" w:sz="4" w:space="0" w:color="auto"/>
            </w:tcBorders>
            <w:shd w:val="clear" w:color="auto" w:fill="auto"/>
            <w:vAlign w:val="center"/>
          </w:tcPr>
          <w:p w:rsidR="003C1698" w:rsidRPr="00A75DF9" w:rsidRDefault="003C1698" w:rsidP="003C1698">
            <w:pPr>
              <w:pStyle w:val="TableText"/>
              <w:widowControl w:val="0"/>
              <w:rPr>
                <w:rFonts w:ascii="Tahoma" w:hAnsi="Tahoma" w:cs="Tahoma"/>
                <w:sz w:val="13"/>
              </w:rPr>
            </w:pPr>
            <w:r w:rsidRPr="00A75DF9">
              <w:rPr>
                <w:rFonts w:ascii="Tahoma" w:hAnsi="Tahoma" w:cs="Tahoma"/>
                <w:sz w:val="13"/>
              </w:rPr>
              <w:t>1</w:t>
            </w:r>
          </w:p>
        </w:tc>
        <w:tc>
          <w:tcPr>
            <w:tcW w:w="374" w:type="dxa"/>
            <w:tcBorders>
              <w:bottom w:val="single" w:sz="4" w:space="0" w:color="auto"/>
              <w:right w:val="single" w:sz="18" w:space="0" w:color="auto"/>
            </w:tcBorders>
            <w:shd w:val="clear" w:color="auto" w:fill="auto"/>
            <w:vAlign w:val="center"/>
          </w:tcPr>
          <w:p w:rsidR="003C1698" w:rsidRPr="00A75DF9" w:rsidRDefault="003C1698" w:rsidP="003C1698">
            <w:pPr>
              <w:pStyle w:val="TableText"/>
              <w:widowControl w:val="0"/>
              <w:rPr>
                <w:rFonts w:ascii="Tahoma" w:hAnsi="Tahoma" w:cs="Tahoma"/>
                <w:sz w:val="13"/>
              </w:rPr>
            </w:pPr>
            <w:r w:rsidRPr="00A75DF9">
              <w:rPr>
                <w:rFonts w:ascii="Tahoma" w:hAnsi="Tahoma" w:cs="Tahoma"/>
                <w:sz w:val="13"/>
              </w:rPr>
              <w:t>1</w:t>
            </w:r>
          </w:p>
        </w:tc>
        <w:tc>
          <w:tcPr>
            <w:tcW w:w="455" w:type="dxa"/>
            <w:tcBorders>
              <w:left w:val="single" w:sz="18" w:space="0" w:color="auto"/>
              <w:bottom w:val="single" w:sz="4" w:space="0" w:color="auto"/>
            </w:tcBorders>
            <w:shd w:val="clear" w:color="auto" w:fill="auto"/>
            <w:vAlign w:val="center"/>
          </w:tcPr>
          <w:p w:rsidR="003C1698" w:rsidRPr="00A75DF9" w:rsidRDefault="003C1698" w:rsidP="003C169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3C1698" w:rsidRPr="00A75DF9" w:rsidRDefault="003C1698" w:rsidP="003C1698">
            <w:pPr>
              <w:pStyle w:val="TableText"/>
              <w:widowControl w:val="0"/>
              <w:rPr>
                <w:rFonts w:ascii="Tahoma" w:hAnsi="Tahoma" w:cs="Tahoma"/>
                <w:sz w:val="13"/>
              </w:rPr>
            </w:pPr>
            <w:r w:rsidRPr="00A75DF9">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3C1698" w:rsidRPr="00A75DF9" w:rsidRDefault="003C1698" w:rsidP="003C1698">
            <w:pPr>
              <w:pStyle w:val="TableText"/>
              <w:widowControl w:val="0"/>
              <w:rPr>
                <w:rFonts w:ascii="Tahoma" w:hAnsi="Tahoma" w:cs="Tahoma"/>
                <w:sz w:val="13"/>
              </w:rPr>
            </w:pPr>
            <w:r w:rsidRPr="00A75DF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3C1698" w:rsidRPr="00A75DF9" w:rsidRDefault="003C1698" w:rsidP="003C1698">
            <w:pPr>
              <w:pStyle w:val="TableText"/>
              <w:widowControl w:val="0"/>
              <w:rPr>
                <w:rFonts w:ascii="Tahoma" w:hAnsi="Tahoma" w:cs="Tahoma"/>
                <w:sz w:val="13"/>
              </w:rPr>
            </w:pPr>
            <w:r w:rsidRPr="00A75DF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3C1698" w:rsidRPr="00A75DF9" w:rsidRDefault="003C1698" w:rsidP="003C1698">
            <w:pPr>
              <w:pStyle w:val="TableText"/>
              <w:widowControl w:val="0"/>
              <w:rPr>
                <w:rFonts w:ascii="Tahoma" w:hAnsi="Tahoma" w:cs="Tahoma"/>
                <w:sz w:val="13"/>
              </w:rPr>
            </w:pPr>
            <w:r w:rsidRPr="00A75D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3C1698" w:rsidRPr="00A75DF9" w:rsidRDefault="003C1698" w:rsidP="003C1698">
            <w:pPr>
              <w:pStyle w:val="TableText"/>
              <w:widowControl w:val="0"/>
              <w:rPr>
                <w:rFonts w:ascii="Tahoma" w:hAnsi="Tahoma" w:cs="Tahoma"/>
                <w:sz w:val="13"/>
              </w:rPr>
            </w:pPr>
            <w:r w:rsidRPr="00A75DF9">
              <w:rPr>
                <w:rFonts w:ascii="Tahoma" w:hAnsi="Tahoma" w:cs="Tahoma"/>
                <w:sz w:val="13"/>
              </w:rPr>
              <w:t>P</w:t>
            </w:r>
          </w:p>
        </w:tc>
        <w:tc>
          <w:tcPr>
            <w:tcW w:w="450" w:type="dxa"/>
            <w:tcBorders>
              <w:bottom w:val="single" w:sz="4" w:space="0" w:color="auto"/>
            </w:tcBorders>
            <w:shd w:val="clear" w:color="auto" w:fill="auto"/>
            <w:vAlign w:val="center"/>
          </w:tcPr>
          <w:p w:rsidR="003C1698" w:rsidRPr="00A75DF9" w:rsidRDefault="003C1698" w:rsidP="003C1698">
            <w:pPr>
              <w:pStyle w:val="TableText"/>
              <w:widowControl w:val="0"/>
              <w:spacing w:before="120"/>
              <w:rPr>
                <w:rFonts w:ascii="Tahoma" w:hAnsi="Tahoma" w:cs="Tahoma"/>
                <w:sz w:val="13"/>
              </w:rPr>
            </w:pPr>
            <w:r w:rsidRPr="00A75DF9">
              <w:rPr>
                <w:rFonts w:ascii="Tahoma" w:hAnsi="Tahoma" w:cs="Tahoma"/>
                <w:sz w:val="13"/>
              </w:rPr>
              <w:t>A, ST</w:t>
            </w:r>
          </w:p>
        </w:tc>
        <w:tc>
          <w:tcPr>
            <w:tcW w:w="539" w:type="dxa"/>
            <w:tcBorders>
              <w:bottom w:val="single" w:sz="4" w:space="0" w:color="auto"/>
            </w:tcBorders>
            <w:shd w:val="clear" w:color="auto" w:fill="auto"/>
            <w:vAlign w:val="center"/>
          </w:tcPr>
          <w:p w:rsidR="003C1698" w:rsidRPr="00A75DF9" w:rsidRDefault="003C1698" w:rsidP="003C1698">
            <w:pPr>
              <w:pStyle w:val="TableText"/>
              <w:widowControl w:val="0"/>
              <w:rPr>
                <w:rFonts w:ascii="Tahoma" w:hAnsi="Tahoma" w:cs="Tahoma"/>
                <w:sz w:val="13"/>
              </w:rPr>
            </w:pPr>
            <w:r w:rsidRPr="00A75DF9">
              <w:rPr>
                <w:rFonts w:ascii="Tahoma" w:hAnsi="Tahoma" w:cs="Tahoma"/>
                <w:sz w:val="13"/>
              </w:rPr>
              <w:t>OL/OV</w:t>
            </w:r>
          </w:p>
        </w:tc>
      </w:tr>
      <w:tr w:rsidR="006B1A76" w:rsidRPr="00A75DF9" w:rsidTr="008A1262">
        <w:trPr>
          <w:trHeight w:val="145"/>
        </w:trPr>
        <w:tc>
          <w:tcPr>
            <w:tcW w:w="2724" w:type="dxa"/>
            <w:gridSpan w:val="2"/>
            <w:tcBorders>
              <w:bottom w:val="single" w:sz="4" w:space="0" w:color="auto"/>
            </w:tcBorders>
            <w:shd w:val="clear" w:color="auto" w:fill="FABF8F"/>
          </w:tcPr>
          <w:p w:rsidR="006B1A76" w:rsidRPr="00A75DF9" w:rsidRDefault="006B1A76" w:rsidP="00FC0808">
            <w:pPr>
              <w:pStyle w:val="ProductNames"/>
              <w:rPr>
                <w:rFonts w:ascii="Tahoma" w:hAnsi="Tahoma" w:cs="Tahoma"/>
                <w:sz w:val="14"/>
              </w:rPr>
            </w:pPr>
            <w:bookmarkStart w:id="315" w:name="_Toc368310019"/>
            <w:r w:rsidRPr="00A75DF9">
              <w:rPr>
                <w:rFonts w:ascii="Tahoma" w:hAnsi="Tahoma" w:cs="Tahoma"/>
                <w:sz w:val="14"/>
              </w:rPr>
              <w:t>Microsoft Learning E-Reference Library (SL</w:t>
            </w:r>
            <w:r w:rsidR="00791108">
              <w:rPr>
                <w:rFonts w:ascii="Tahoma" w:hAnsi="Tahoma" w:cs="Tahoma"/>
                <w:sz w:val="14"/>
              </w:rPr>
              <w:t xml:space="preserve"> </w:t>
            </w:r>
            <w:r w:rsidRPr="00A75DF9">
              <w:rPr>
                <w:rFonts w:ascii="Tahoma" w:hAnsi="Tahoma" w:cs="Tahoma"/>
                <w:sz w:val="14"/>
              </w:rPr>
              <w:t>per Utente)</w:t>
            </w:r>
            <w:bookmarkEnd w:id="315"/>
          </w:p>
        </w:tc>
        <w:tc>
          <w:tcPr>
            <w:tcW w:w="448" w:type="dxa"/>
            <w:tcBorders>
              <w:bottom w:val="single" w:sz="4" w:space="0" w:color="auto"/>
            </w:tcBorders>
            <w:shd w:val="clear" w:color="auto" w:fill="FABF8F"/>
            <w:vAlign w:val="center"/>
          </w:tcPr>
          <w:p w:rsidR="006B1A76" w:rsidRPr="00B41377" w:rsidRDefault="006B1A76" w:rsidP="00FC0808">
            <w:pPr>
              <w:pStyle w:val="TableText"/>
              <w:widowControl w:val="0"/>
              <w:rPr>
                <w:rStyle w:val="EndnoteReference"/>
                <w:rFonts w:cs="Tahoma"/>
                <w:color w:val="000000"/>
                <w:sz w:val="13"/>
                <w:szCs w:val="13"/>
                <w:u w:val="single"/>
              </w:rPr>
            </w:pPr>
          </w:p>
        </w:tc>
        <w:tc>
          <w:tcPr>
            <w:tcW w:w="449" w:type="dxa"/>
            <w:tcBorders>
              <w:bottom w:val="single" w:sz="4" w:space="0" w:color="auto"/>
            </w:tcBorders>
            <w:shd w:val="clear" w:color="auto" w:fill="FABF8F"/>
          </w:tcPr>
          <w:p w:rsidR="006B1A76" w:rsidRPr="00A75DF9" w:rsidRDefault="006B1A76" w:rsidP="00FC0808">
            <w:pPr>
              <w:pStyle w:val="TableText"/>
              <w:widowControl w:val="0"/>
              <w:spacing w:before="80"/>
              <w:rPr>
                <w:rFonts w:ascii="Tahoma" w:hAnsi="Tahoma" w:cs="Tahoma"/>
                <w:sz w:val="13"/>
              </w:rPr>
            </w:pPr>
            <w:r w:rsidRPr="00A75DF9">
              <w:rPr>
                <w:rFonts w:ascii="Tahoma" w:hAnsi="Tahoma" w:cs="Tahoma"/>
                <w:sz w:val="13"/>
              </w:rPr>
              <w:t>12/07</w:t>
            </w:r>
          </w:p>
        </w:tc>
        <w:tc>
          <w:tcPr>
            <w:tcW w:w="359" w:type="dxa"/>
            <w:tcBorders>
              <w:bottom w:val="single" w:sz="4" w:space="0" w:color="auto"/>
              <w:right w:val="single" w:sz="18" w:space="0" w:color="auto"/>
            </w:tcBorders>
            <w:shd w:val="clear" w:color="auto" w:fill="FABF8F"/>
            <w:vAlign w:val="center"/>
          </w:tcPr>
          <w:p w:rsidR="006B1A76" w:rsidRPr="00A75DF9" w:rsidRDefault="006B1A76" w:rsidP="00FC0808">
            <w:pPr>
              <w:pStyle w:val="TableText"/>
              <w:widowControl w:val="0"/>
              <w:rPr>
                <w:rFonts w:ascii="Tahoma" w:hAnsi="Tahoma" w:cs="Tahoma"/>
                <w:sz w:val="13"/>
              </w:rPr>
            </w:pPr>
          </w:p>
        </w:tc>
        <w:tc>
          <w:tcPr>
            <w:tcW w:w="2980" w:type="dxa"/>
            <w:gridSpan w:val="9"/>
            <w:tcBorders>
              <w:left w:val="single" w:sz="18" w:space="0" w:color="auto"/>
              <w:bottom w:val="single" w:sz="4" w:space="0" w:color="auto"/>
              <w:right w:val="single" w:sz="18" w:space="0" w:color="auto"/>
            </w:tcBorders>
            <w:shd w:val="clear" w:color="auto" w:fill="FABF8F"/>
            <w:vAlign w:val="center"/>
          </w:tcPr>
          <w:p w:rsidR="006B1A76" w:rsidRPr="00A75DF9" w:rsidRDefault="006B1A76" w:rsidP="00FC0808">
            <w:pPr>
              <w:pStyle w:val="TableText"/>
              <w:widowControl w:val="0"/>
              <w:rPr>
                <w:rFonts w:ascii="Tahoma" w:hAnsi="Tahoma" w:cs="Tahoma"/>
                <w:sz w:val="13"/>
              </w:rPr>
            </w:pPr>
            <w:r w:rsidRPr="00A75DF9">
              <w:rPr>
                <w:rFonts w:ascii="Tahoma" w:hAnsi="Tahoma" w:cs="Tahoma"/>
                <w:sz w:val="13"/>
              </w:rPr>
              <w:t>1 punto</w:t>
            </w:r>
          </w:p>
        </w:tc>
        <w:tc>
          <w:tcPr>
            <w:tcW w:w="455" w:type="dxa"/>
            <w:tcBorders>
              <w:left w:val="single" w:sz="18" w:space="0" w:color="auto"/>
              <w:bottom w:val="single" w:sz="4" w:space="0" w:color="auto"/>
            </w:tcBorders>
            <w:shd w:val="clear" w:color="auto" w:fill="FABF8F"/>
            <w:vAlign w:val="center"/>
          </w:tcPr>
          <w:p w:rsidR="006B1A76" w:rsidRPr="00A75DF9" w:rsidRDefault="006B1A76" w:rsidP="00FC080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B1A76" w:rsidRPr="00A75DF9" w:rsidRDefault="006B1A76"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B1A76" w:rsidRPr="00A75DF9" w:rsidRDefault="006B1A76"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6B1A76" w:rsidRPr="00A75DF9" w:rsidRDefault="006B1A76"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B1A76" w:rsidRPr="00A75DF9" w:rsidRDefault="006B1A76" w:rsidP="00FC0808">
            <w:pPr>
              <w:pStyle w:val="TableText"/>
              <w:widowControl w:val="0"/>
              <w:rPr>
                <w:rFonts w:ascii="Tahoma" w:hAnsi="Tahoma" w:cs="Tahoma"/>
                <w:sz w:val="13"/>
              </w:rPr>
            </w:pPr>
            <w:r w:rsidRPr="00A75D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6B1A76" w:rsidRPr="00A75DF9" w:rsidRDefault="006B1A76" w:rsidP="00FC0808">
            <w:pPr>
              <w:pStyle w:val="TableText"/>
              <w:widowControl w:val="0"/>
              <w:rPr>
                <w:rFonts w:ascii="Tahoma" w:hAnsi="Tahoma" w:cs="Tahoma"/>
                <w:sz w:val="13"/>
              </w:rPr>
            </w:pPr>
          </w:p>
        </w:tc>
        <w:tc>
          <w:tcPr>
            <w:tcW w:w="450" w:type="dxa"/>
            <w:tcBorders>
              <w:bottom w:val="single" w:sz="4" w:space="0" w:color="auto"/>
            </w:tcBorders>
            <w:shd w:val="clear" w:color="auto" w:fill="FABF8F"/>
          </w:tcPr>
          <w:p w:rsidR="006B1A76" w:rsidRPr="00A75DF9" w:rsidRDefault="006B1A76" w:rsidP="00FC0808">
            <w:pPr>
              <w:pStyle w:val="TableText"/>
              <w:widowControl w:val="0"/>
              <w:spacing w:before="120"/>
              <w:rPr>
                <w:rFonts w:ascii="Tahoma" w:hAnsi="Tahoma" w:cs="Tahoma"/>
                <w:sz w:val="13"/>
              </w:rPr>
            </w:pPr>
            <w:r w:rsidRPr="00A75DF9">
              <w:rPr>
                <w:rFonts w:ascii="Tahoma" w:hAnsi="Tahoma" w:cs="Tahoma"/>
                <w:sz w:val="13"/>
              </w:rPr>
              <w:t>A</w:t>
            </w:r>
          </w:p>
        </w:tc>
        <w:tc>
          <w:tcPr>
            <w:tcW w:w="539" w:type="dxa"/>
            <w:tcBorders>
              <w:bottom w:val="single" w:sz="4" w:space="0" w:color="auto"/>
            </w:tcBorders>
            <w:shd w:val="clear" w:color="auto" w:fill="FABF8F"/>
            <w:vAlign w:val="center"/>
          </w:tcPr>
          <w:p w:rsidR="006B1A76" w:rsidRPr="00A75DF9" w:rsidRDefault="006B1A76" w:rsidP="00FC0808">
            <w:pPr>
              <w:pStyle w:val="TableText"/>
              <w:widowControl w:val="0"/>
              <w:rPr>
                <w:rFonts w:ascii="Tahoma" w:hAnsi="Tahoma" w:cs="Tahoma"/>
                <w:sz w:val="13"/>
              </w:rPr>
            </w:pPr>
          </w:p>
        </w:tc>
      </w:tr>
      <w:tr w:rsidR="006B1A76" w:rsidRPr="00A75DF9" w:rsidTr="008A1262">
        <w:trPr>
          <w:trHeight w:val="145"/>
        </w:trPr>
        <w:tc>
          <w:tcPr>
            <w:tcW w:w="2724" w:type="dxa"/>
            <w:gridSpan w:val="2"/>
            <w:tcBorders>
              <w:bottom w:val="single" w:sz="4" w:space="0" w:color="auto"/>
            </w:tcBorders>
            <w:shd w:val="clear" w:color="auto" w:fill="auto"/>
            <w:vAlign w:val="bottom"/>
          </w:tcPr>
          <w:p w:rsidR="006B1A76" w:rsidRPr="00A75DF9" w:rsidRDefault="006B1A76" w:rsidP="00FC0808">
            <w:pPr>
              <w:pStyle w:val="ProductNames"/>
              <w:rPr>
                <w:rFonts w:ascii="Tahoma" w:hAnsi="Tahoma" w:cs="Tahoma"/>
                <w:sz w:val="14"/>
              </w:rPr>
            </w:pPr>
            <w:bookmarkStart w:id="316" w:name="_Toc368310020"/>
            <w:r w:rsidRPr="00A75DF9">
              <w:rPr>
                <w:rFonts w:ascii="Tahoma" w:hAnsi="Tahoma" w:cs="Tahoma"/>
                <w:sz w:val="14"/>
              </w:rPr>
              <w:t>Microsoft Learning IT Academy (SL Servizi)</w:t>
            </w:r>
            <w:bookmarkEnd w:id="316"/>
          </w:p>
        </w:tc>
        <w:tc>
          <w:tcPr>
            <w:tcW w:w="448" w:type="dxa"/>
            <w:tcBorders>
              <w:bottom w:val="single" w:sz="4" w:space="0" w:color="auto"/>
            </w:tcBorders>
            <w:shd w:val="clear" w:color="auto" w:fill="auto"/>
            <w:vAlign w:val="center"/>
          </w:tcPr>
          <w:p w:rsidR="006B1A76" w:rsidRPr="00B41377" w:rsidRDefault="006B1A76" w:rsidP="00FC0808">
            <w:pPr>
              <w:pStyle w:val="TableText"/>
              <w:widowControl w:val="0"/>
              <w:rPr>
                <w:rFonts w:cs="Tahoma"/>
                <w:b/>
                <w:color w:val="000000"/>
                <w:sz w:val="13"/>
                <w:szCs w:val="13"/>
                <w:u w:val="single"/>
              </w:rPr>
            </w:pPr>
          </w:p>
        </w:tc>
        <w:tc>
          <w:tcPr>
            <w:tcW w:w="449" w:type="dxa"/>
            <w:tcBorders>
              <w:bottom w:val="single" w:sz="4" w:space="0" w:color="auto"/>
            </w:tcBorders>
            <w:shd w:val="clear" w:color="auto" w:fill="auto"/>
          </w:tcPr>
          <w:p w:rsidR="006B1A76" w:rsidRPr="00A75DF9" w:rsidRDefault="006B1A76" w:rsidP="00FC0808">
            <w:pPr>
              <w:pStyle w:val="TableText"/>
              <w:widowControl w:val="0"/>
              <w:spacing w:before="80"/>
              <w:rPr>
                <w:rFonts w:ascii="Tahoma" w:hAnsi="Tahoma" w:cs="Tahoma"/>
                <w:sz w:val="13"/>
              </w:rPr>
            </w:pPr>
            <w:r w:rsidRPr="00A75DF9">
              <w:rPr>
                <w:rFonts w:ascii="Tahoma" w:hAnsi="Tahoma" w:cs="Tahoma"/>
                <w:sz w:val="13"/>
              </w:rPr>
              <w:t>01/10</w:t>
            </w:r>
          </w:p>
        </w:tc>
        <w:tc>
          <w:tcPr>
            <w:tcW w:w="359" w:type="dxa"/>
            <w:tcBorders>
              <w:bottom w:val="single" w:sz="4" w:space="0" w:color="auto"/>
              <w:right w:val="single" w:sz="18" w:space="0" w:color="auto"/>
            </w:tcBorders>
            <w:shd w:val="clear" w:color="auto" w:fill="auto"/>
            <w:vAlign w:val="center"/>
          </w:tcPr>
          <w:p w:rsidR="006B1A76" w:rsidRPr="00A75DF9" w:rsidRDefault="006B1A76" w:rsidP="00FC0808">
            <w:pPr>
              <w:pStyle w:val="TableText"/>
              <w:widowControl w:val="0"/>
              <w:rPr>
                <w:rFonts w:ascii="Tahoma" w:hAnsi="Tahoma" w:cs="Tahoma"/>
                <w:sz w:val="13"/>
              </w:rPr>
            </w:pPr>
          </w:p>
        </w:tc>
        <w:tc>
          <w:tcPr>
            <w:tcW w:w="2980" w:type="dxa"/>
            <w:gridSpan w:val="9"/>
            <w:tcBorders>
              <w:left w:val="single" w:sz="18" w:space="0" w:color="auto"/>
              <w:bottom w:val="single" w:sz="4" w:space="0" w:color="auto"/>
              <w:right w:val="single" w:sz="18" w:space="0" w:color="auto"/>
            </w:tcBorders>
            <w:shd w:val="clear" w:color="auto" w:fill="auto"/>
            <w:vAlign w:val="center"/>
          </w:tcPr>
          <w:p w:rsidR="006B1A76" w:rsidRPr="00A75DF9" w:rsidRDefault="006B1A76" w:rsidP="00FC0808">
            <w:pPr>
              <w:pStyle w:val="TableText"/>
              <w:widowControl w:val="0"/>
              <w:rPr>
                <w:rFonts w:ascii="Tahoma" w:hAnsi="Tahoma" w:cs="Tahoma"/>
                <w:sz w:val="13"/>
              </w:rPr>
            </w:pPr>
            <w:r w:rsidRPr="00A75DF9">
              <w:rPr>
                <w:rFonts w:ascii="Tahoma" w:hAnsi="Tahoma" w:cs="Tahoma"/>
                <w:sz w:val="13"/>
              </w:rPr>
              <w:t>75 crediti</w:t>
            </w:r>
          </w:p>
        </w:tc>
        <w:tc>
          <w:tcPr>
            <w:tcW w:w="455" w:type="dxa"/>
            <w:tcBorders>
              <w:left w:val="single" w:sz="18" w:space="0" w:color="auto"/>
              <w:bottom w:val="single" w:sz="4" w:space="0" w:color="auto"/>
            </w:tcBorders>
            <w:shd w:val="clear" w:color="auto" w:fill="auto"/>
            <w:vAlign w:val="center"/>
          </w:tcPr>
          <w:p w:rsidR="006B1A76" w:rsidRPr="00A75DF9" w:rsidRDefault="006B1A76" w:rsidP="00FC080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6B1A76" w:rsidRPr="00A75DF9" w:rsidRDefault="006B1A76"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6B1A76" w:rsidRPr="00A75DF9" w:rsidRDefault="006B1A76"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6B1A76" w:rsidRPr="00A75DF9" w:rsidRDefault="006B1A76" w:rsidP="00FC0808">
            <w:pPr>
              <w:pStyle w:val="TableText"/>
              <w:widowControl w:val="0"/>
              <w:rPr>
                <w:rFonts w:ascii="Tahoma" w:hAnsi="Tahoma" w:cs="Tahoma"/>
                <w:sz w:val="13"/>
              </w:rPr>
            </w:pPr>
            <w:r w:rsidRPr="00A75DF9">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rsidR="006B1A76" w:rsidRPr="00A75DF9" w:rsidRDefault="006B1A76" w:rsidP="00FC0808">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6B1A76" w:rsidRPr="00A75DF9" w:rsidRDefault="006B1A76" w:rsidP="00FC0808">
            <w:pPr>
              <w:pStyle w:val="TableText"/>
              <w:widowControl w:val="0"/>
              <w:rPr>
                <w:rFonts w:ascii="Tahoma" w:hAnsi="Tahoma" w:cs="Tahoma"/>
                <w:sz w:val="13"/>
              </w:rPr>
            </w:pPr>
          </w:p>
        </w:tc>
        <w:tc>
          <w:tcPr>
            <w:tcW w:w="450" w:type="dxa"/>
            <w:tcBorders>
              <w:bottom w:val="single" w:sz="4" w:space="0" w:color="auto"/>
            </w:tcBorders>
            <w:shd w:val="clear" w:color="auto" w:fill="auto"/>
          </w:tcPr>
          <w:p w:rsidR="006B1A76" w:rsidRPr="00A75DF9" w:rsidRDefault="006B1A76" w:rsidP="00FC0808">
            <w:pPr>
              <w:pStyle w:val="TableText"/>
              <w:widowControl w:val="0"/>
              <w:spacing w:before="120"/>
              <w:rPr>
                <w:rFonts w:ascii="Tahoma" w:hAnsi="Tahoma" w:cs="Tahoma"/>
                <w:sz w:val="13"/>
              </w:rPr>
            </w:pPr>
            <w:r w:rsidRPr="00A75DF9">
              <w:rPr>
                <w:rFonts w:ascii="Tahoma" w:hAnsi="Tahoma" w:cs="Tahoma"/>
                <w:sz w:val="13"/>
              </w:rPr>
              <w:t>A</w:t>
            </w:r>
          </w:p>
        </w:tc>
        <w:tc>
          <w:tcPr>
            <w:tcW w:w="539" w:type="dxa"/>
            <w:tcBorders>
              <w:bottom w:val="single" w:sz="4" w:space="0" w:color="auto"/>
            </w:tcBorders>
            <w:shd w:val="clear" w:color="auto" w:fill="auto"/>
            <w:vAlign w:val="center"/>
          </w:tcPr>
          <w:p w:rsidR="006B1A76" w:rsidRPr="00A75DF9" w:rsidRDefault="006B1A76" w:rsidP="00FC0808">
            <w:pPr>
              <w:pStyle w:val="TableText"/>
              <w:widowControl w:val="0"/>
              <w:rPr>
                <w:rFonts w:ascii="Tahoma" w:hAnsi="Tahoma" w:cs="Tahoma"/>
                <w:sz w:val="13"/>
              </w:rPr>
            </w:pPr>
            <w:r w:rsidRPr="00A75DF9">
              <w:rPr>
                <w:rFonts w:ascii="Tahoma" w:hAnsi="Tahoma" w:cs="Tahoma"/>
                <w:sz w:val="13"/>
              </w:rPr>
              <w:t>OL</w:t>
            </w:r>
          </w:p>
        </w:tc>
      </w:tr>
      <w:tr w:rsidR="006B1A76" w:rsidRPr="00A75DF9" w:rsidTr="008A1262">
        <w:trPr>
          <w:trHeight w:val="145"/>
        </w:trPr>
        <w:tc>
          <w:tcPr>
            <w:tcW w:w="2724" w:type="dxa"/>
            <w:gridSpan w:val="2"/>
            <w:tcBorders>
              <w:bottom w:val="single" w:sz="4" w:space="0" w:color="auto"/>
            </w:tcBorders>
            <w:shd w:val="clear" w:color="auto" w:fill="FABF8F"/>
            <w:vAlign w:val="bottom"/>
          </w:tcPr>
          <w:p w:rsidR="006B1A76" w:rsidRPr="00A75DF9" w:rsidRDefault="006B1A76" w:rsidP="00FC0808">
            <w:pPr>
              <w:pStyle w:val="ProductNames"/>
              <w:rPr>
                <w:rFonts w:ascii="Tahoma" w:hAnsi="Tahoma" w:cs="Tahoma"/>
                <w:sz w:val="14"/>
              </w:rPr>
            </w:pPr>
            <w:bookmarkStart w:id="317" w:name="_Toc368310021"/>
            <w:r w:rsidRPr="00A75DF9">
              <w:rPr>
                <w:rFonts w:ascii="Tahoma" w:hAnsi="Tahoma" w:cs="Tahoma"/>
                <w:sz w:val="14"/>
              </w:rPr>
              <w:t>Microsoft Learning MCP 1 Exam Vouchers (SL Servizi)</w:t>
            </w:r>
            <w:bookmarkEnd w:id="317"/>
          </w:p>
        </w:tc>
        <w:tc>
          <w:tcPr>
            <w:tcW w:w="448" w:type="dxa"/>
            <w:tcBorders>
              <w:bottom w:val="single" w:sz="4" w:space="0" w:color="auto"/>
            </w:tcBorders>
            <w:shd w:val="clear" w:color="auto" w:fill="FABF8F"/>
            <w:vAlign w:val="center"/>
          </w:tcPr>
          <w:p w:rsidR="006B1A76" w:rsidRPr="00B41377" w:rsidRDefault="00B54770" w:rsidP="005B4D93">
            <w:pPr>
              <w:pStyle w:val="TableText"/>
              <w:widowControl w:val="0"/>
              <w:rPr>
                <w:rStyle w:val="EndnoteReference"/>
                <w:rFonts w:cs="Tahoma"/>
                <w:b w:val="0"/>
                <w:color w:val="000000"/>
                <w:sz w:val="13"/>
                <w:szCs w:val="13"/>
                <w:u w:val="single"/>
              </w:rPr>
            </w:pPr>
            <w:hyperlink w:anchor="_75_Microsoft_Learning" w:history="1">
              <w:r w:rsidR="006B1A76" w:rsidRPr="0003250E">
                <w:rPr>
                  <w:rStyle w:val="Hyperlink"/>
                  <w:rFonts w:cs="Tahoma"/>
                  <w:b/>
                  <w:sz w:val="13"/>
                  <w:szCs w:val="13"/>
                </w:rPr>
                <w:t>75</w:t>
              </w:r>
            </w:hyperlink>
            <w:hyperlink w:anchor="_69_Learning_Solutions" w:history="1">
              <w:hyperlink w:anchor="_64_62_Learning" w:history="1"/>
            </w:hyperlink>
          </w:p>
        </w:tc>
        <w:tc>
          <w:tcPr>
            <w:tcW w:w="449" w:type="dxa"/>
            <w:tcBorders>
              <w:bottom w:val="single" w:sz="4" w:space="0" w:color="auto"/>
            </w:tcBorders>
            <w:shd w:val="clear" w:color="auto" w:fill="FABF8F"/>
          </w:tcPr>
          <w:p w:rsidR="006B1A76" w:rsidRPr="00A75DF9" w:rsidRDefault="006B1A76" w:rsidP="00FC0808">
            <w:pPr>
              <w:pStyle w:val="TableText"/>
              <w:widowControl w:val="0"/>
              <w:spacing w:before="80"/>
              <w:rPr>
                <w:rFonts w:ascii="Tahoma" w:hAnsi="Tahoma" w:cs="Tahoma"/>
                <w:sz w:val="13"/>
              </w:rPr>
            </w:pPr>
            <w:r w:rsidRPr="00A75DF9">
              <w:rPr>
                <w:rFonts w:ascii="Tahoma" w:hAnsi="Tahoma" w:cs="Tahoma"/>
                <w:sz w:val="13"/>
              </w:rPr>
              <w:t>01/06</w:t>
            </w:r>
          </w:p>
        </w:tc>
        <w:tc>
          <w:tcPr>
            <w:tcW w:w="359" w:type="dxa"/>
            <w:tcBorders>
              <w:bottom w:val="single" w:sz="4" w:space="0" w:color="auto"/>
              <w:right w:val="single" w:sz="18" w:space="0" w:color="auto"/>
            </w:tcBorders>
            <w:shd w:val="clear" w:color="auto" w:fill="FABF8F"/>
            <w:vAlign w:val="center"/>
          </w:tcPr>
          <w:p w:rsidR="006B1A76" w:rsidRPr="00A75DF9" w:rsidRDefault="006B1A76" w:rsidP="00FC0808">
            <w:pPr>
              <w:pStyle w:val="TableText"/>
              <w:widowControl w:val="0"/>
              <w:rPr>
                <w:rFonts w:ascii="Tahoma" w:hAnsi="Tahoma" w:cs="Tahoma"/>
                <w:sz w:val="13"/>
              </w:rPr>
            </w:pPr>
          </w:p>
        </w:tc>
        <w:tc>
          <w:tcPr>
            <w:tcW w:w="2980" w:type="dxa"/>
            <w:gridSpan w:val="9"/>
            <w:tcBorders>
              <w:left w:val="single" w:sz="18" w:space="0" w:color="auto"/>
              <w:bottom w:val="single" w:sz="4" w:space="0" w:color="auto"/>
              <w:right w:val="single" w:sz="18" w:space="0" w:color="auto"/>
            </w:tcBorders>
            <w:shd w:val="clear" w:color="auto" w:fill="FABF8F"/>
            <w:vAlign w:val="center"/>
          </w:tcPr>
          <w:p w:rsidR="006B1A76" w:rsidRPr="00A75DF9" w:rsidRDefault="006B1A76" w:rsidP="00FC0808">
            <w:pPr>
              <w:pStyle w:val="TableText"/>
              <w:widowControl w:val="0"/>
              <w:rPr>
                <w:rFonts w:ascii="Tahoma" w:hAnsi="Tahoma" w:cs="Tahoma"/>
                <w:sz w:val="13"/>
              </w:rPr>
            </w:pPr>
            <w:r w:rsidRPr="00A75DF9">
              <w:rPr>
                <w:rFonts w:ascii="Tahoma" w:hAnsi="Tahoma" w:cs="Tahoma"/>
                <w:sz w:val="13"/>
              </w:rPr>
              <w:t>1 punto</w:t>
            </w:r>
          </w:p>
        </w:tc>
        <w:tc>
          <w:tcPr>
            <w:tcW w:w="455" w:type="dxa"/>
            <w:tcBorders>
              <w:left w:val="single" w:sz="18" w:space="0" w:color="auto"/>
              <w:bottom w:val="single" w:sz="4" w:space="0" w:color="auto"/>
            </w:tcBorders>
            <w:shd w:val="clear" w:color="auto" w:fill="FABF8F"/>
            <w:vAlign w:val="center"/>
          </w:tcPr>
          <w:p w:rsidR="006B1A76" w:rsidRPr="00A75DF9" w:rsidRDefault="006B1A76" w:rsidP="00FC080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B1A76" w:rsidRPr="00A75DF9" w:rsidRDefault="006B1A76"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B1A76" w:rsidRPr="00A75DF9" w:rsidRDefault="006B1A76"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6B1A76" w:rsidRPr="00A75DF9" w:rsidRDefault="006B1A76"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B1A76" w:rsidRPr="00A75DF9" w:rsidRDefault="006B1A76" w:rsidP="00FC0808">
            <w:pPr>
              <w:pStyle w:val="TableText"/>
              <w:widowControl w:val="0"/>
              <w:rPr>
                <w:rFonts w:ascii="Tahoma" w:hAnsi="Tahoma" w:cs="Tahoma"/>
                <w:sz w:val="13"/>
              </w:rPr>
            </w:pPr>
            <w:r w:rsidRPr="00A75D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6B1A76" w:rsidRPr="00A75DF9" w:rsidRDefault="006B1A76" w:rsidP="00FC0808">
            <w:pPr>
              <w:pStyle w:val="TableText"/>
              <w:widowControl w:val="0"/>
              <w:rPr>
                <w:rFonts w:ascii="Tahoma" w:hAnsi="Tahoma" w:cs="Tahoma"/>
                <w:sz w:val="13"/>
              </w:rPr>
            </w:pPr>
            <w:r w:rsidRPr="00A75DF9">
              <w:rPr>
                <w:rFonts w:ascii="Tahoma" w:hAnsi="Tahoma" w:cs="Tahoma"/>
                <w:sz w:val="13"/>
              </w:rPr>
              <w:t>P</w:t>
            </w:r>
          </w:p>
        </w:tc>
        <w:tc>
          <w:tcPr>
            <w:tcW w:w="450" w:type="dxa"/>
            <w:tcBorders>
              <w:bottom w:val="single" w:sz="4" w:space="0" w:color="auto"/>
            </w:tcBorders>
            <w:shd w:val="clear" w:color="auto" w:fill="FABF8F"/>
          </w:tcPr>
          <w:p w:rsidR="006B1A76" w:rsidRPr="00A75DF9" w:rsidRDefault="006B1A76" w:rsidP="00FC0808">
            <w:pPr>
              <w:pStyle w:val="TableText"/>
              <w:widowControl w:val="0"/>
              <w:spacing w:before="120"/>
              <w:rPr>
                <w:rFonts w:ascii="Tahoma" w:hAnsi="Tahoma" w:cs="Tahoma"/>
                <w:sz w:val="13"/>
              </w:rPr>
            </w:pPr>
          </w:p>
        </w:tc>
        <w:tc>
          <w:tcPr>
            <w:tcW w:w="539" w:type="dxa"/>
            <w:tcBorders>
              <w:bottom w:val="single" w:sz="4" w:space="0" w:color="auto"/>
            </w:tcBorders>
            <w:shd w:val="clear" w:color="auto" w:fill="FABF8F"/>
            <w:vAlign w:val="center"/>
          </w:tcPr>
          <w:p w:rsidR="006B1A76" w:rsidRPr="00A75DF9" w:rsidRDefault="006B1A76" w:rsidP="00FC0808">
            <w:pPr>
              <w:pStyle w:val="TableText"/>
              <w:widowControl w:val="0"/>
              <w:rPr>
                <w:rFonts w:ascii="Tahoma" w:hAnsi="Tahoma" w:cs="Tahoma"/>
                <w:sz w:val="13"/>
              </w:rPr>
            </w:pPr>
          </w:p>
        </w:tc>
      </w:tr>
      <w:tr w:rsidR="006B1A76" w:rsidRPr="00A75DF9" w:rsidTr="008A1262">
        <w:trPr>
          <w:trHeight w:val="145"/>
        </w:trPr>
        <w:tc>
          <w:tcPr>
            <w:tcW w:w="2724" w:type="dxa"/>
            <w:gridSpan w:val="2"/>
            <w:tcBorders>
              <w:bottom w:val="single" w:sz="4" w:space="0" w:color="auto"/>
            </w:tcBorders>
            <w:shd w:val="clear" w:color="auto" w:fill="auto"/>
            <w:vAlign w:val="bottom"/>
          </w:tcPr>
          <w:p w:rsidR="006B1A76" w:rsidRPr="00A75DF9" w:rsidRDefault="006B1A76" w:rsidP="00FC0808">
            <w:pPr>
              <w:pStyle w:val="ProductNames"/>
              <w:rPr>
                <w:rFonts w:ascii="Tahoma" w:hAnsi="Tahoma" w:cs="Tahoma"/>
                <w:sz w:val="14"/>
              </w:rPr>
            </w:pPr>
            <w:bookmarkStart w:id="318" w:name="_Toc368310022"/>
            <w:r w:rsidRPr="00A75DF9">
              <w:rPr>
                <w:rFonts w:ascii="Tahoma" w:hAnsi="Tahoma" w:cs="Tahoma"/>
                <w:sz w:val="14"/>
              </w:rPr>
              <w:t>Microsoft Learning MCP 30 Exam Vouchers (SL per Utente)</w:t>
            </w:r>
            <w:bookmarkEnd w:id="318"/>
          </w:p>
        </w:tc>
        <w:tc>
          <w:tcPr>
            <w:tcW w:w="448" w:type="dxa"/>
            <w:tcBorders>
              <w:bottom w:val="single" w:sz="4" w:space="0" w:color="auto"/>
            </w:tcBorders>
            <w:shd w:val="clear" w:color="auto" w:fill="auto"/>
            <w:vAlign w:val="center"/>
          </w:tcPr>
          <w:p w:rsidR="006B1A76" w:rsidRPr="00B41377" w:rsidRDefault="006B1A76" w:rsidP="00FC0808">
            <w:pPr>
              <w:pStyle w:val="TableText"/>
              <w:widowControl w:val="0"/>
              <w:rPr>
                <w:rFonts w:cs="Tahoma"/>
                <w:b/>
                <w:sz w:val="13"/>
                <w:szCs w:val="13"/>
              </w:rPr>
            </w:pPr>
          </w:p>
        </w:tc>
        <w:tc>
          <w:tcPr>
            <w:tcW w:w="449" w:type="dxa"/>
            <w:tcBorders>
              <w:bottom w:val="single" w:sz="4" w:space="0" w:color="auto"/>
            </w:tcBorders>
            <w:shd w:val="clear" w:color="auto" w:fill="auto"/>
          </w:tcPr>
          <w:p w:rsidR="006B1A76" w:rsidRPr="00A75DF9" w:rsidRDefault="006B1A76" w:rsidP="00FC0808">
            <w:pPr>
              <w:pStyle w:val="TableText"/>
              <w:widowControl w:val="0"/>
              <w:spacing w:before="80"/>
              <w:rPr>
                <w:rFonts w:ascii="Tahoma" w:hAnsi="Tahoma" w:cs="Tahoma"/>
                <w:sz w:val="13"/>
              </w:rPr>
            </w:pPr>
            <w:r w:rsidRPr="00A75DF9">
              <w:rPr>
                <w:rFonts w:ascii="Tahoma" w:hAnsi="Tahoma" w:cs="Tahoma"/>
                <w:sz w:val="13"/>
              </w:rPr>
              <w:t>10/12</w:t>
            </w:r>
          </w:p>
        </w:tc>
        <w:tc>
          <w:tcPr>
            <w:tcW w:w="359" w:type="dxa"/>
            <w:tcBorders>
              <w:bottom w:val="single" w:sz="4" w:space="0" w:color="auto"/>
              <w:right w:val="single" w:sz="18" w:space="0" w:color="auto"/>
            </w:tcBorders>
            <w:shd w:val="clear" w:color="auto" w:fill="auto"/>
            <w:vAlign w:val="center"/>
          </w:tcPr>
          <w:p w:rsidR="006B1A76" w:rsidRPr="00A75DF9" w:rsidRDefault="006B1A76" w:rsidP="00FC0808">
            <w:pPr>
              <w:pStyle w:val="TableText"/>
              <w:widowControl w:val="0"/>
              <w:rPr>
                <w:rFonts w:ascii="Tahoma" w:hAnsi="Tahoma" w:cs="Tahoma"/>
                <w:sz w:val="13"/>
              </w:rPr>
            </w:pPr>
          </w:p>
        </w:tc>
        <w:tc>
          <w:tcPr>
            <w:tcW w:w="2980" w:type="dxa"/>
            <w:gridSpan w:val="9"/>
            <w:tcBorders>
              <w:left w:val="single" w:sz="18" w:space="0" w:color="auto"/>
              <w:bottom w:val="single" w:sz="4" w:space="0" w:color="auto"/>
              <w:right w:val="single" w:sz="18" w:space="0" w:color="auto"/>
            </w:tcBorders>
            <w:shd w:val="clear" w:color="auto" w:fill="auto"/>
            <w:vAlign w:val="center"/>
          </w:tcPr>
          <w:p w:rsidR="006B1A76" w:rsidRPr="00A75DF9" w:rsidRDefault="006B1A76" w:rsidP="00FC0808">
            <w:pPr>
              <w:pStyle w:val="TableText"/>
              <w:widowControl w:val="0"/>
              <w:rPr>
                <w:rFonts w:ascii="Tahoma" w:hAnsi="Tahoma" w:cs="Tahoma"/>
                <w:sz w:val="13"/>
              </w:rPr>
            </w:pPr>
            <w:r w:rsidRPr="00A75DF9">
              <w:rPr>
                <w:rFonts w:ascii="Tahoma" w:hAnsi="Tahoma" w:cs="Tahoma"/>
                <w:sz w:val="13"/>
              </w:rPr>
              <w:t>75 crediti</w:t>
            </w:r>
          </w:p>
        </w:tc>
        <w:tc>
          <w:tcPr>
            <w:tcW w:w="455" w:type="dxa"/>
            <w:tcBorders>
              <w:left w:val="single" w:sz="18" w:space="0" w:color="auto"/>
              <w:bottom w:val="single" w:sz="4" w:space="0" w:color="auto"/>
            </w:tcBorders>
            <w:shd w:val="clear" w:color="auto" w:fill="auto"/>
            <w:vAlign w:val="center"/>
          </w:tcPr>
          <w:p w:rsidR="006B1A76" w:rsidRPr="00A75DF9" w:rsidRDefault="006B1A76" w:rsidP="00FC080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6B1A76" w:rsidRPr="00A75DF9" w:rsidRDefault="006B1A76"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6B1A76" w:rsidRPr="00A75DF9" w:rsidRDefault="006B1A76"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6B1A76" w:rsidRPr="00A75DF9" w:rsidRDefault="006B1A76" w:rsidP="00FC0808">
            <w:pPr>
              <w:pStyle w:val="TableText"/>
              <w:widowControl w:val="0"/>
              <w:rPr>
                <w:rFonts w:ascii="Tahoma" w:hAnsi="Tahoma" w:cs="Tahoma"/>
                <w:sz w:val="13"/>
              </w:rPr>
            </w:pPr>
            <w:r w:rsidRPr="00A75DF9">
              <w:rPr>
                <w:rFonts w:ascii="Tahoma" w:hAnsi="Tahoma" w:cs="Tahoma"/>
                <w:sz w:val="13"/>
              </w:rPr>
              <w:t>75</w:t>
            </w:r>
          </w:p>
        </w:tc>
        <w:tc>
          <w:tcPr>
            <w:tcW w:w="450" w:type="dxa"/>
            <w:tcBorders>
              <w:bottom w:val="single" w:sz="4" w:space="0" w:color="auto"/>
              <w:right w:val="single" w:sz="18" w:space="0" w:color="auto"/>
            </w:tcBorders>
            <w:shd w:val="clear" w:color="auto" w:fill="auto"/>
            <w:vAlign w:val="center"/>
          </w:tcPr>
          <w:p w:rsidR="006B1A76" w:rsidRPr="00A75DF9" w:rsidRDefault="006B1A76" w:rsidP="00FC0808">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6B1A76" w:rsidRPr="00A75DF9" w:rsidRDefault="006B1A76" w:rsidP="00FC0808">
            <w:pPr>
              <w:pStyle w:val="TableText"/>
              <w:widowControl w:val="0"/>
              <w:rPr>
                <w:rFonts w:ascii="Tahoma" w:hAnsi="Tahoma" w:cs="Tahoma"/>
                <w:sz w:val="13"/>
              </w:rPr>
            </w:pPr>
          </w:p>
        </w:tc>
        <w:tc>
          <w:tcPr>
            <w:tcW w:w="450" w:type="dxa"/>
            <w:tcBorders>
              <w:bottom w:val="single" w:sz="4" w:space="0" w:color="auto"/>
            </w:tcBorders>
            <w:shd w:val="clear" w:color="auto" w:fill="auto"/>
          </w:tcPr>
          <w:p w:rsidR="006B1A76" w:rsidRPr="00A75DF9" w:rsidRDefault="006B1A76" w:rsidP="00FC0808">
            <w:pPr>
              <w:pStyle w:val="TableText"/>
              <w:widowControl w:val="0"/>
              <w:spacing w:before="120"/>
              <w:rPr>
                <w:rFonts w:ascii="Tahoma" w:hAnsi="Tahoma" w:cs="Tahoma"/>
                <w:sz w:val="13"/>
              </w:rPr>
            </w:pPr>
            <w:r w:rsidRPr="00A75DF9">
              <w:rPr>
                <w:rFonts w:ascii="Tahoma" w:hAnsi="Tahoma" w:cs="Tahoma"/>
                <w:sz w:val="13"/>
              </w:rPr>
              <w:t>A</w:t>
            </w:r>
          </w:p>
        </w:tc>
        <w:tc>
          <w:tcPr>
            <w:tcW w:w="539" w:type="dxa"/>
            <w:tcBorders>
              <w:bottom w:val="single" w:sz="4" w:space="0" w:color="auto"/>
            </w:tcBorders>
            <w:shd w:val="clear" w:color="auto" w:fill="auto"/>
            <w:vAlign w:val="center"/>
          </w:tcPr>
          <w:p w:rsidR="006B1A76" w:rsidRPr="00A75DF9" w:rsidRDefault="006B1A76" w:rsidP="00FC0808">
            <w:pPr>
              <w:pStyle w:val="TableText"/>
              <w:widowControl w:val="0"/>
              <w:rPr>
                <w:rFonts w:ascii="Tahoma" w:hAnsi="Tahoma" w:cs="Tahoma"/>
                <w:sz w:val="13"/>
              </w:rPr>
            </w:pPr>
            <w:r w:rsidRPr="00A75DF9">
              <w:rPr>
                <w:rFonts w:ascii="Tahoma" w:hAnsi="Tahoma" w:cs="Tahoma"/>
                <w:sz w:val="13"/>
              </w:rPr>
              <w:t>OL</w:t>
            </w:r>
          </w:p>
        </w:tc>
      </w:tr>
      <w:tr w:rsidR="006B1A76" w:rsidRPr="00A75DF9" w:rsidTr="008A1262">
        <w:trPr>
          <w:trHeight w:val="145"/>
        </w:trPr>
        <w:tc>
          <w:tcPr>
            <w:tcW w:w="2724" w:type="dxa"/>
            <w:gridSpan w:val="2"/>
            <w:tcBorders>
              <w:bottom w:val="single" w:sz="4" w:space="0" w:color="auto"/>
            </w:tcBorders>
            <w:shd w:val="clear" w:color="auto" w:fill="FABF8F"/>
            <w:vAlign w:val="bottom"/>
          </w:tcPr>
          <w:p w:rsidR="006B1A76" w:rsidRPr="00A75DF9" w:rsidRDefault="006B1A76" w:rsidP="00FC0808">
            <w:pPr>
              <w:pStyle w:val="ProductNames"/>
              <w:rPr>
                <w:rFonts w:ascii="Tahoma" w:hAnsi="Tahoma" w:cs="Tahoma"/>
                <w:sz w:val="14"/>
              </w:rPr>
            </w:pPr>
            <w:bookmarkStart w:id="319" w:name="_Toc368310023"/>
            <w:r w:rsidRPr="00A75DF9">
              <w:rPr>
                <w:rFonts w:ascii="Tahoma" w:hAnsi="Tahoma" w:cs="Tahoma"/>
                <w:sz w:val="14"/>
              </w:rPr>
              <w:t>Microsoft Learning MOS 500 Exam Site License (SL Servizi)</w:t>
            </w:r>
            <w:bookmarkEnd w:id="319"/>
          </w:p>
        </w:tc>
        <w:tc>
          <w:tcPr>
            <w:tcW w:w="448" w:type="dxa"/>
            <w:tcBorders>
              <w:bottom w:val="single" w:sz="4" w:space="0" w:color="auto"/>
            </w:tcBorders>
            <w:shd w:val="clear" w:color="auto" w:fill="FABF8F"/>
            <w:vAlign w:val="center"/>
          </w:tcPr>
          <w:p w:rsidR="006B1A76" w:rsidRPr="00B41377" w:rsidRDefault="006B1A76" w:rsidP="00FC0808">
            <w:pPr>
              <w:pStyle w:val="TableText"/>
              <w:widowControl w:val="0"/>
              <w:rPr>
                <w:rFonts w:cs="Tahoma"/>
                <w:b/>
                <w:sz w:val="13"/>
                <w:szCs w:val="13"/>
              </w:rPr>
            </w:pPr>
          </w:p>
        </w:tc>
        <w:tc>
          <w:tcPr>
            <w:tcW w:w="449" w:type="dxa"/>
            <w:tcBorders>
              <w:bottom w:val="single" w:sz="4" w:space="0" w:color="auto"/>
            </w:tcBorders>
            <w:shd w:val="clear" w:color="auto" w:fill="FABF8F"/>
          </w:tcPr>
          <w:p w:rsidR="006B1A76" w:rsidRPr="00A75DF9" w:rsidRDefault="006B1A76" w:rsidP="00FC0808">
            <w:pPr>
              <w:pStyle w:val="TableText"/>
              <w:widowControl w:val="0"/>
              <w:spacing w:before="80"/>
              <w:rPr>
                <w:rFonts w:ascii="Tahoma" w:hAnsi="Tahoma" w:cs="Tahoma"/>
                <w:sz w:val="13"/>
              </w:rPr>
            </w:pPr>
            <w:r w:rsidRPr="00A75DF9">
              <w:rPr>
                <w:rFonts w:ascii="Tahoma" w:hAnsi="Tahoma" w:cs="Tahoma"/>
                <w:sz w:val="13"/>
              </w:rPr>
              <w:t>12/12</w:t>
            </w:r>
          </w:p>
        </w:tc>
        <w:tc>
          <w:tcPr>
            <w:tcW w:w="359" w:type="dxa"/>
            <w:tcBorders>
              <w:bottom w:val="single" w:sz="4" w:space="0" w:color="auto"/>
              <w:right w:val="single" w:sz="18" w:space="0" w:color="auto"/>
            </w:tcBorders>
            <w:shd w:val="clear" w:color="auto" w:fill="FABF8F"/>
            <w:vAlign w:val="center"/>
          </w:tcPr>
          <w:p w:rsidR="006B1A76" w:rsidRPr="00A75DF9" w:rsidRDefault="006B1A76" w:rsidP="00FC0808">
            <w:pPr>
              <w:pStyle w:val="TableText"/>
              <w:widowControl w:val="0"/>
              <w:rPr>
                <w:rFonts w:ascii="Tahoma" w:hAnsi="Tahoma" w:cs="Tahoma"/>
                <w:sz w:val="13"/>
              </w:rPr>
            </w:pPr>
          </w:p>
        </w:tc>
        <w:tc>
          <w:tcPr>
            <w:tcW w:w="2980" w:type="dxa"/>
            <w:gridSpan w:val="9"/>
            <w:tcBorders>
              <w:left w:val="single" w:sz="18" w:space="0" w:color="auto"/>
              <w:bottom w:val="single" w:sz="4" w:space="0" w:color="auto"/>
              <w:right w:val="single" w:sz="18" w:space="0" w:color="auto"/>
            </w:tcBorders>
            <w:shd w:val="clear" w:color="auto" w:fill="FABF8F"/>
            <w:vAlign w:val="center"/>
          </w:tcPr>
          <w:p w:rsidR="006B1A76" w:rsidRPr="00A75DF9" w:rsidRDefault="006B1A76" w:rsidP="00FC0808">
            <w:pPr>
              <w:pStyle w:val="TableText"/>
              <w:widowControl w:val="0"/>
              <w:rPr>
                <w:rFonts w:ascii="Tahoma" w:hAnsi="Tahoma" w:cs="Tahoma"/>
                <w:sz w:val="13"/>
              </w:rPr>
            </w:pPr>
            <w:r w:rsidRPr="00A75DF9">
              <w:rPr>
                <w:rFonts w:ascii="Tahoma" w:hAnsi="Tahoma" w:cs="Tahoma"/>
                <w:sz w:val="13"/>
              </w:rPr>
              <w:t>125 crediti</w:t>
            </w:r>
          </w:p>
        </w:tc>
        <w:tc>
          <w:tcPr>
            <w:tcW w:w="455" w:type="dxa"/>
            <w:tcBorders>
              <w:left w:val="single" w:sz="18" w:space="0" w:color="auto"/>
              <w:bottom w:val="single" w:sz="4" w:space="0" w:color="auto"/>
            </w:tcBorders>
            <w:shd w:val="clear" w:color="auto" w:fill="FABF8F"/>
            <w:vAlign w:val="center"/>
          </w:tcPr>
          <w:p w:rsidR="006B1A76" w:rsidRPr="00A75DF9" w:rsidRDefault="006B1A76" w:rsidP="00FC080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B1A76" w:rsidRPr="00A75DF9" w:rsidRDefault="006B1A76"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B1A76" w:rsidRPr="00A75DF9" w:rsidRDefault="006B1A76"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6B1A76" w:rsidRPr="00A75DF9" w:rsidRDefault="006B1A76" w:rsidP="00FC0808">
            <w:pPr>
              <w:pStyle w:val="TableText"/>
              <w:widowControl w:val="0"/>
              <w:rPr>
                <w:rFonts w:ascii="Tahoma" w:hAnsi="Tahoma" w:cs="Tahoma"/>
                <w:sz w:val="13"/>
              </w:rPr>
            </w:pPr>
            <w:r w:rsidRPr="00A75DF9">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rsidR="006B1A76" w:rsidRPr="00A75DF9" w:rsidRDefault="006B1A76" w:rsidP="00FC0808">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6B1A76" w:rsidRPr="00A75DF9" w:rsidRDefault="006B1A76" w:rsidP="00FC0808">
            <w:pPr>
              <w:pStyle w:val="TableText"/>
              <w:widowControl w:val="0"/>
              <w:rPr>
                <w:rFonts w:ascii="Tahoma" w:hAnsi="Tahoma" w:cs="Tahoma"/>
                <w:sz w:val="13"/>
              </w:rPr>
            </w:pPr>
          </w:p>
        </w:tc>
        <w:tc>
          <w:tcPr>
            <w:tcW w:w="450" w:type="dxa"/>
            <w:tcBorders>
              <w:bottom w:val="single" w:sz="4" w:space="0" w:color="auto"/>
            </w:tcBorders>
            <w:shd w:val="clear" w:color="auto" w:fill="FABF8F"/>
          </w:tcPr>
          <w:p w:rsidR="006B1A76" w:rsidRPr="00A75DF9" w:rsidRDefault="006B1A76" w:rsidP="00FC0808">
            <w:pPr>
              <w:pStyle w:val="TableText"/>
              <w:widowControl w:val="0"/>
              <w:spacing w:before="120"/>
              <w:rPr>
                <w:rFonts w:ascii="Tahoma" w:hAnsi="Tahoma" w:cs="Tahoma"/>
                <w:sz w:val="13"/>
              </w:rPr>
            </w:pPr>
            <w:r w:rsidRPr="00A75DF9">
              <w:rPr>
                <w:rFonts w:ascii="Tahoma" w:hAnsi="Tahoma" w:cs="Tahoma"/>
                <w:sz w:val="13"/>
              </w:rPr>
              <w:t>A</w:t>
            </w:r>
          </w:p>
        </w:tc>
        <w:tc>
          <w:tcPr>
            <w:tcW w:w="539" w:type="dxa"/>
            <w:tcBorders>
              <w:bottom w:val="single" w:sz="4" w:space="0" w:color="auto"/>
            </w:tcBorders>
            <w:shd w:val="clear" w:color="auto" w:fill="FABF8F"/>
            <w:vAlign w:val="center"/>
          </w:tcPr>
          <w:p w:rsidR="006B1A76" w:rsidRPr="00A75DF9" w:rsidRDefault="006B1A76" w:rsidP="00FC0808">
            <w:pPr>
              <w:pStyle w:val="TableText"/>
              <w:widowControl w:val="0"/>
              <w:rPr>
                <w:rFonts w:ascii="Tahoma" w:hAnsi="Tahoma" w:cs="Tahoma"/>
                <w:sz w:val="13"/>
              </w:rPr>
            </w:pPr>
          </w:p>
        </w:tc>
      </w:tr>
      <w:tr w:rsidR="006B1A76" w:rsidRPr="00A75DF9" w:rsidTr="008A1262">
        <w:trPr>
          <w:trHeight w:val="145"/>
        </w:trPr>
        <w:tc>
          <w:tcPr>
            <w:tcW w:w="2724" w:type="dxa"/>
            <w:gridSpan w:val="2"/>
            <w:tcBorders>
              <w:bottom w:val="single" w:sz="4" w:space="0" w:color="auto"/>
            </w:tcBorders>
            <w:shd w:val="clear" w:color="auto" w:fill="auto"/>
            <w:vAlign w:val="bottom"/>
          </w:tcPr>
          <w:p w:rsidR="006B1A76" w:rsidRPr="00A75DF9" w:rsidRDefault="006B1A76" w:rsidP="00FC0808">
            <w:pPr>
              <w:pStyle w:val="ProductNames"/>
              <w:rPr>
                <w:rFonts w:ascii="Tahoma" w:hAnsi="Tahoma" w:cs="Tahoma"/>
                <w:sz w:val="14"/>
              </w:rPr>
            </w:pPr>
            <w:bookmarkStart w:id="320" w:name="_Toc368310024"/>
            <w:r w:rsidRPr="00A75DF9">
              <w:rPr>
                <w:rFonts w:ascii="Tahoma" w:hAnsi="Tahoma" w:cs="Tahoma"/>
                <w:sz w:val="14"/>
              </w:rPr>
              <w:t>Microsoft Learning MTA 250 Exam Site License (SL Servizi)</w:t>
            </w:r>
            <w:bookmarkEnd w:id="320"/>
          </w:p>
        </w:tc>
        <w:tc>
          <w:tcPr>
            <w:tcW w:w="448" w:type="dxa"/>
            <w:tcBorders>
              <w:bottom w:val="single" w:sz="4" w:space="0" w:color="auto"/>
            </w:tcBorders>
            <w:shd w:val="clear" w:color="auto" w:fill="auto"/>
            <w:vAlign w:val="center"/>
          </w:tcPr>
          <w:p w:rsidR="006B1A76" w:rsidRPr="00B41377" w:rsidRDefault="006B1A76" w:rsidP="00FC0808">
            <w:pPr>
              <w:pStyle w:val="TableText"/>
              <w:widowControl w:val="0"/>
              <w:rPr>
                <w:rFonts w:cs="Tahoma"/>
                <w:b/>
                <w:sz w:val="13"/>
                <w:szCs w:val="13"/>
              </w:rPr>
            </w:pPr>
          </w:p>
        </w:tc>
        <w:tc>
          <w:tcPr>
            <w:tcW w:w="449" w:type="dxa"/>
            <w:tcBorders>
              <w:bottom w:val="single" w:sz="4" w:space="0" w:color="auto"/>
            </w:tcBorders>
            <w:shd w:val="clear" w:color="auto" w:fill="auto"/>
          </w:tcPr>
          <w:p w:rsidR="006B1A76" w:rsidRPr="00A75DF9" w:rsidRDefault="006B1A76" w:rsidP="00FC0808">
            <w:pPr>
              <w:pStyle w:val="TableText"/>
              <w:widowControl w:val="0"/>
              <w:spacing w:before="80"/>
              <w:rPr>
                <w:rFonts w:ascii="Tahoma" w:hAnsi="Tahoma" w:cs="Tahoma"/>
                <w:sz w:val="13"/>
              </w:rPr>
            </w:pPr>
            <w:r w:rsidRPr="00A75DF9">
              <w:rPr>
                <w:rFonts w:ascii="Tahoma" w:hAnsi="Tahoma" w:cs="Tahoma"/>
                <w:sz w:val="13"/>
              </w:rPr>
              <w:t>12/12</w:t>
            </w:r>
          </w:p>
        </w:tc>
        <w:tc>
          <w:tcPr>
            <w:tcW w:w="359" w:type="dxa"/>
            <w:tcBorders>
              <w:bottom w:val="single" w:sz="4" w:space="0" w:color="auto"/>
              <w:right w:val="single" w:sz="18" w:space="0" w:color="auto"/>
            </w:tcBorders>
            <w:shd w:val="clear" w:color="auto" w:fill="auto"/>
            <w:vAlign w:val="center"/>
          </w:tcPr>
          <w:p w:rsidR="006B1A76" w:rsidRPr="00A75DF9" w:rsidRDefault="006B1A76" w:rsidP="00FC0808">
            <w:pPr>
              <w:pStyle w:val="TableText"/>
              <w:widowControl w:val="0"/>
              <w:rPr>
                <w:rFonts w:ascii="Tahoma" w:hAnsi="Tahoma" w:cs="Tahoma"/>
                <w:sz w:val="13"/>
              </w:rPr>
            </w:pPr>
          </w:p>
        </w:tc>
        <w:tc>
          <w:tcPr>
            <w:tcW w:w="2980" w:type="dxa"/>
            <w:gridSpan w:val="9"/>
            <w:tcBorders>
              <w:left w:val="single" w:sz="18" w:space="0" w:color="auto"/>
              <w:bottom w:val="single" w:sz="4" w:space="0" w:color="auto"/>
              <w:right w:val="single" w:sz="18" w:space="0" w:color="auto"/>
            </w:tcBorders>
            <w:shd w:val="clear" w:color="auto" w:fill="auto"/>
            <w:vAlign w:val="center"/>
          </w:tcPr>
          <w:p w:rsidR="006B1A76" w:rsidRPr="00A75DF9" w:rsidRDefault="006B1A76" w:rsidP="00FC0808">
            <w:pPr>
              <w:pStyle w:val="TableText"/>
              <w:widowControl w:val="0"/>
              <w:rPr>
                <w:rFonts w:ascii="Tahoma" w:hAnsi="Tahoma" w:cs="Tahoma"/>
                <w:sz w:val="13"/>
              </w:rPr>
            </w:pPr>
            <w:r w:rsidRPr="00A75DF9">
              <w:rPr>
                <w:rFonts w:ascii="Tahoma" w:hAnsi="Tahoma" w:cs="Tahoma"/>
                <w:sz w:val="13"/>
              </w:rPr>
              <w:t>125 crediti</w:t>
            </w:r>
          </w:p>
        </w:tc>
        <w:tc>
          <w:tcPr>
            <w:tcW w:w="455" w:type="dxa"/>
            <w:tcBorders>
              <w:left w:val="single" w:sz="18" w:space="0" w:color="auto"/>
              <w:bottom w:val="single" w:sz="4" w:space="0" w:color="auto"/>
            </w:tcBorders>
            <w:shd w:val="clear" w:color="auto" w:fill="auto"/>
            <w:vAlign w:val="center"/>
          </w:tcPr>
          <w:p w:rsidR="006B1A76" w:rsidRPr="00A75DF9" w:rsidRDefault="006B1A76" w:rsidP="00FC0808">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6B1A76" w:rsidRPr="00A75DF9" w:rsidRDefault="006B1A76" w:rsidP="00FC0808">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6B1A76" w:rsidRPr="00A75DF9" w:rsidRDefault="006B1A76" w:rsidP="00FC0808">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6B1A76" w:rsidRPr="00A75DF9" w:rsidRDefault="006B1A76" w:rsidP="00FC0808">
            <w:pPr>
              <w:pStyle w:val="TableText"/>
              <w:widowControl w:val="0"/>
              <w:rPr>
                <w:rFonts w:ascii="Tahoma" w:hAnsi="Tahoma" w:cs="Tahoma"/>
                <w:sz w:val="13"/>
              </w:rPr>
            </w:pPr>
            <w:r w:rsidRPr="00A75DF9">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rsidR="006B1A76" w:rsidRPr="00A75DF9" w:rsidRDefault="006B1A76" w:rsidP="00FC0808">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6B1A76" w:rsidRPr="00A75DF9" w:rsidRDefault="006B1A76" w:rsidP="00FC0808">
            <w:pPr>
              <w:pStyle w:val="TableText"/>
              <w:widowControl w:val="0"/>
              <w:rPr>
                <w:rFonts w:ascii="Tahoma" w:hAnsi="Tahoma" w:cs="Tahoma"/>
                <w:sz w:val="13"/>
              </w:rPr>
            </w:pPr>
          </w:p>
        </w:tc>
        <w:tc>
          <w:tcPr>
            <w:tcW w:w="450" w:type="dxa"/>
            <w:tcBorders>
              <w:bottom w:val="single" w:sz="4" w:space="0" w:color="auto"/>
            </w:tcBorders>
            <w:shd w:val="clear" w:color="auto" w:fill="auto"/>
          </w:tcPr>
          <w:p w:rsidR="006B1A76" w:rsidRPr="00A75DF9" w:rsidRDefault="006B1A76" w:rsidP="00FC0808">
            <w:pPr>
              <w:pStyle w:val="TableText"/>
              <w:widowControl w:val="0"/>
              <w:spacing w:before="120"/>
              <w:rPr>
                <w:rFonts w:ascii="Tahoma" w:hAnsi="Tahoma" w:cs="Tahoma"/>
                <w:sz w:val="13"/>
              </w:rPr>
            </w:pPr>
            <w:r w:rsidRPr="00A75DF9">
              <w:rPr>
                <w:rFonts w:ascii="Tahoma" w:hAnsi="Tahoma" w:cs="Tahoma"/>
                <w:sz w:val="13"/>
              </w:rPr>
              <w:t>A</w:t>
            </w:r>
          </w:p>
        </w:tc>
        <w:tc>
          <w:tcPr>
            <w:tcW w:w="539" w:type="dxa"/>
            <w:tcBorders>
              <w:bottom w:val="single" w:sz="4" w:space="0" w:color="auto"/>
            </w:tcBorders>
            <w:shd w:val="clear" w:color="auto" w:fill="auto"/>
            <w:vAlign w:val="center"/>
          </w:tcPr>
          <w:p w:rsidR="006B1A76" w:rsidRPr="00A75DF9" w:rsidRDefault="006B1A76" w:rsidP="00FC0808">
            <w:pPr>
              <w:pStyle w:val="TableText"/>
              <w:widowControl w:val="0"/>
              <w:rPr>
                <w:rFonts w:ascii="Tahoma" w:hAnsi="Tahoma" w:cs="Tahoma"/>
                <w:sz w:val="13"/>
              </w:rPr>
            </w:pPr>
          </w:p>
        </w:tc>
      </w:tr>
      <w:tr w:rsidR="00471E00" w:rsidRPr="00A75DF9" w:rsidDel="00436016" w:rsidTr="008A1262">
        <w:trPr>
          <w:trHeight w:val="145"/>
        </w:trPr>
        <w:tc>
          <w:tcPr>
            <w:tcW w:w="2724" w:type="dxa"/>
            <w:gridSpan w:val="2"/>
            <w:tcBorders>
              <w:bottom w:val="single" w:sz="4" w:space="0" w:color="auto"/>
            </w:tcBorders>
            <w:shd w:val="clear" w:color="auto" w:fill="FABF8F"/>
            <w:vAlign w:val="center"/>
          </w:tcPr>
          <w:p w:rsidR="00471E00" w:rsidRPr="00A75DF9" w:rsidRDefault="001C3A4A" w:rsidP="001A63C6">
            <w:pPr>
              <w:pStyle w:val="Heading2"/>
              <w:ind w:left="-15" w:firstLine="15"/>
              <w:rPr>
                <w:rFonts w:ascii="Tahoma" w:hAnsi="Tahoma" w:cs="Tahoma"/>
                <w:b w:val="0"/>
                <w:sz w:val="14"/>
                <w:szCs w:val="14"/>
              </w:rPr>
            </w:pPr>
            <w:bookmarkStart w:id="321" w:name="_Toc368310025"/>
            <w:r w:rsidRPr="00A75DF9">
              <w:rPr>
                <w:rFonts w:ascii="Tahoma" w:hAnsi="Tahoma" w:cs="Tahoma"/>
                <w:b w:val="0"/>
                <w:sz w:val="14"/>
                <w:szCs w:val="14"/>
              </w:rPr>
              <w:t>Microsoft Office Audit and Control Management Server</w:t>
            </w:r>
            <w:bookmarkEnd w:id="321"/>
          </w:p>
        </w:tc>
        <w:tc>
          <w:tcPr>
            <w:tcW w:w="448" w:type="dxa"/>
            <w:tcBorders>
              <w:bottom w:val="single" w:sz="4" w:space="0" w:color="auto"/>
            </w:tcBorders>
            <w:shd w:val="clear" w:color="auto" w:fill="FABF8F"/>
            <w:vAlign w:val="center"/>
          </w:tcPr>
          <w:p w:rsidR="00471E00" w:rsidRPr="00B41377" w:rsidRDefault="00471E00" w:rsidP="001A63C6">
            <w:pPr>
              <w:pStyle w:val="TableText"/>
              <w:widowControl w:val="0"/>
              <w:rPr>
                <w:rFonts w:cs="Tahoma"/>
                <w:b/>
                <w:color w:val="0000FF"/>
                <w:sz w:val="13"/>
                <w:szCs w:val="13"/>
                <w:u w:val="single"/>
              </w:rPr>
            </w:pPr>
          </w:p>
        </w:tc>
        <w:tc>
          <w:tcPr>
            <w:tcW w:w="449" w:type="dxa"/>
            <w:tcBorders>
              <w:bottom w:val="single" w:sz="4" w:space="0" w:color="auto"/>
            </w:tcBorders>
            <w:shd w:val="clear" w:color="auto" w:fill="FABF8F"/>
          </w:tcPr>
          <w:p w:rsidR="00471E00" w:rsidRPr="00A75DF9" w:rsidRDefault="001C3A4A" w:rsidP="001A63C6">
            <w:pPr>
              <w:pStyle w:val="TableText"/>
              <w:widowControl w:val="0"/>
              <w:spacing w:before="120"/>
              <w:rPr>
                <w:rFonts w:ascii="Tahoma" w:hAnsi="Tahoma" w:cs="Tahoma"/>
                <w:color w:val="000000"/>
                <w:sz w:val="13"/>
              </w:rPr>
            </w:pPr>
            <w:r w:rsidRPr="00A75DF9">
              <w:rPr>
                <w:rFonts w:ascii="Tahoma" w:hAnsi="Tahoma" w:cs="Tahoma"/>
                <w:color w:val="000000"/>
                <w:sz w:val="13"/>
              </w:rPr>
              <w:t>04/13</w:t>
            </w:r>
          </w:p>
        </w:tc>
        <w:tc>
          <w:tcPr>
            <w:tcW w:w="359" w:type="dxa"/>
            <w:tcBorders>
              <w:bottom w:val="single" w:sz="4" w:space="0" w:color="auto"/>
              <w:right w:val="single" w:sz="18" w:space="0" w:color="auto"/>
            </w:tcBorders>
            <w:shd w:val="clear" w:color="auto" w:fill="FABF8F"/>
            <w:vAlign w:val="center"/>
          </w:tcPr>
          <w:p w:rsidR="00471E00" w:rsidRPr="00A75DF9" w:rsidRDefault="001C3A4A" w:rsidP="001C3A4A">
            <w:pPr>
              <w:pStyle w:val="TableText"/>
              <w:widowControl w:val="0"/>
              <w:rPr>
                <w:rFonts w:ascii="Tahoma" w:hAnsi="Tahoma" w:cs="Tahoma"/>
                <w:sz w:val="13"/>
              </w:rPr>
            </w:pPr>
            <w:r w:rsidRPr="00A75DF9">
              <w:rPr>
                <w:rFonts w:ascii="Tahoma" w:hAnsi="Tahoma" w:cs="Tahoma"/>
                <w:sz w:val="13"/>
              </w:rPr>
              <w:t>SRV</w:t>
            </w:r>
          </w:p>
        </w:tc>
        <w:tc>
          <w:tcPr>
            <w:tcW w:w="356" w:type="dxa"/>
            <w:tcBorders>
              <w:left w:val="single" w:sz="18" w:space="0" w:color="auto"/>
              <w:bottom w:val="single" w:sz="4" w:space="0" w:color="auto"/>
            </w:tcBorders>
            <w:shd w:val="clear" w:color="auto" w:fill="FABF8F"/>
            <w:vAlign w:val="center"/>
          </w:tcPr>
          <w:p w:rsidR="00471E00" w:rsidRPr="00A75DF9" w:rsidDel="00436016" w:rsidRDefault="001C3A4A" w:rsidP="001A63C6">
            <w:pPr>
              <w:pStyle w:val="TableText"/>
              <w:widowControl w:val="0"/>
              <w:rPr>
                <w:rFonts w:ascii="Tahoma" w:hAnsi="Tahoma" w:cs="Tahoma"/>
                <w:sz w:val="13"/>
              </w:rPr>
            </w:pPr>
            <w:r w:rsidRPr="00A75DF9">
              <w:rPr>
                <w:rFonts w:ascii="Tahoma" w:hAnsi="Tahoma" w:cs="Tahoma"/>
                <w:sz w:val="13"/>
              </w:rPr>
              <w:t>50</w:t>
            </w:r>
          </w:p>
        </w:tc>
        <w:tc>
          <w:tcPr>
            <w:tcW w:w="450" w:type="dxa"/>
            <w:tcBorders>
              <w:bottom w:val="single" w:sz="4" w:space="0" w:color="auto"/>
            </w:tcBorders>
            <w:shd w:val="clear" w:color="auto" w:fill="FABF8F"/>
            <w:vAlign w:val="center"/>
          </w:tcPr>
          <w:p w:rsidR="00471E00" w:rsidRPr="00A75DF9" w:rsidDel="00436016" w:rsidRDefault="001C3A4A" w:rsidP="001A63C6">
            <w:pPr>
              <w:pStyle w:val="TableText"/>
              <w:widowControl w:val="0"/>
              <w:rPr>
                <w:rFonts w:ascii="Tahoma" w:hAnsi="Tahoma" w:cs="Tahoma"/>
                <w:sz w:val="13"/>
              </w:rPr>
            </w:pPr>
            <w:r w:rsidRPr="00A75DF9">
              <w:rPr>
                <w:rFonts w:ascii="Tahoma" w:hAnsi="Tahoma" w:cs="Tahoma"/>
                <w:sz w:val="13"/>
              </w:rPr>
              <w:t>125</w:t>
            </w:r>
          </w:p>
        </w:tc>
        <w:tc>
          <w:tcPr>
            <w:tcW w:w="455" w:type="dxa"/>
            <w:tcBorders>
              <w:bottom w:val="single" w:sz="4" w:space="0" w:color="auto"/>
            </w:tcBorders>
            <w:shd w:val="clear" w:color="auto" w:fill="FABF8F"/>
            <w:vAlign w:val="center"/>
          </w:tcPr>
          <w:p w:rsidR="00471E00" w:rsidRPr="00A75DF9" w:rsidDel="00436016" w:rsidRDefault="001C3A4A" w:rsidP="001A63C6">
            <w:pPr>
              <w:pStyle w:val="TableText"/>
              <w:widowControl w:val="0"/>
              <w:rPr>
                <w:rFonts w:ascii="Tahoma" w:hAnsi="Tahoma" w:cs="Tahoma"/>
                <w:sz w:val="13"/>
              </w:rPr>
            </w:pPr>
            <w:r w:rsidRPr="00A75DF9">
              <w:rPr>
                <w:rFonts w:ascii="Tahoma" w:hAnsi="Tahoma" w:cs="Tahoma"/>
                <w:sz w:val="13"/>
              </w:rPr>
              <w:t>100</w:t>
            </w:r>
          </w:p>
        </w:tc>
        <w:tc>
          <w:tcPr>
            <w:tcW w:w="450" w:type="dxa"/>
            <w:gridSpan w:val="3"/>
            <w:tcBorders>
              <w:bottom w:val="single" w:sz="4" w:space="0" w:color="auto"/>
            </w:tcBorders>
            <w:shd w:val="clear" w:color="auto" w:fill="FABF8F"/>
            <w:vAlign w:val="center"/>
          </w:tcPr>
          <w:p w:rsidR="00471E00" w:rsidRPr="00A75DF9" w:rsidDel="00436016" w:rsidRDefault="001C3A4A" w:rsidP="001A63C6">
            <w:pPr>
              <w:pStyle w:val="TableText"/>
              <w:widowControl w:val="0"/>
              <w:rPr>
                <w:rFonts w:ascii="Tahoma" w:hAnsi="Tahoma" w:cs="Tahoma"/>
                <w:sz w:val="13"/>
              </w:rPr>
            </w:pPr>
            <w:r w:rsidRPr="00A75DF9">
              <w:rPr>
                <w:rFonts w:ascii="Tahoma" w:hAnsi="Tahoma" w:cs="Tahoma"/>
                <w:sz w:val="13"/>
              </w:rPr>
              <w:t>75</w:t>
            </w:r>
          </w:p>
        </w:tc>
        <w:tc>
          <w:tcPr>
            <w:tcW w:w="445" w:type="dxa"/>
            <w:tcBorders>
              <w:bottom w:val="single" w:sz="4" w:space="0" w:color="auto"/>
            </w:tcBorders>
            <w:shd w:val="clear" w:color="auto" w:fill="FABF8F"/>
            <w:vAlign w:val="center"/>
          </w:tcPr>
          <w:p w:rsidR="00471E00" w:rsidRPr="00A75DF9" w:rsidDel="00436016" w:rsidRDefault="001C3A4A" w:rsidP="001A63C6">
            <w:pPr>
              <w:pStyle w:val="TableText"/>
              <w:widowControl w:val="0"/>
              <w:rPr>
                <w:rFonts w:ascii="Tahoma" w:hAnsi="Tahoma" w:cs="Tahoma"/>
                <w:sz w:val="13"/>
              </w:rPr>
            </w:pPr>
            <w:r w:rsidRPr="00A75DF9">
              <w:rPr>
                <w:rFonts w:ascii="Tahoma" w:hAnsi="Tahoma" w:cs="Tahoma"/>
                <w:sz w:val="13"/>
              </w:rPr>
              <w:t>75</w:t>
            </w:r>
          </w:p>
        </w:tc>
        <w:tc>
          <w:tcPr>
            <w:tcW w:w="450" w:type="dxa"/>
            <w:tcBorders>
              <w:bottom w:val="single" w:sz="4" w:space="0" w:color="auto"/>
            </w:tcBorders>
            <w:shd w:val="clear" w:color="auto" w:fill="FABF8F"/>
            <w:vAlign w:val="center"/>
          </w:tcPr>
          <w:p w:rsidR="00471E00" w:rsidRPr="00A75DF9" w:rsidDel="00436016" w:rsidRDefault="001C3A4A" w:rsidP="001A63C6">
            <w:pPr>
              <w:pStyle w:val="TableText"/>
              <w:widowControl w:val="0"/>
              <w:rPr>
                <w:rFonts w:ascii="Tahoma" w:hAnsi="Tahoma" w:cs="Tahoma"/>
                <w:sz w:val="13"/>
              </w:rPr>
            </w:pPr>
            <w:r w:rsidRPr="00A75DF9">
              <w:rPr>
                <w:rFonts w:ascii="Tahoma" w:hAnsi="Tahoma" w:cs="Tahoma"/>
                <w:sz w:val="13"/>
              </w:rPr>
              <w:t>50</w:t>
            </w:r>
          </w:p>
        </w:tc>
        <w:tc>
          <w:tcPr>
            <w:tcW w:w="374" w:type="dxa"/>
            <w:tcBorders>
              <w:bottom w:val="single" w:sz="4" w:space="0" w:color="auto"/>
              <w:right w:val="single" w:sz="18" w:space="0" w:color="auto"/>
            </w:tcBorders>
            <w:shd w:val="clear" w:color="auto" w:fill="FABF8F"/>
            <w:vAlign w:val="center"/>
          </w:tcPr>
          <w:p w:rsidR="00471E00" w:rsidRPr="00A75DF9" w:rsidDel="00436016" w:rsidRDefault="001C3A4A" w:rsidP="001A63C6">
            <w:pPr>
              <w:pStyle w:val="TableText"/>
              <w:widowControl w:val="0"/>
              <w:rPr>
                <w:rFonts w:ascii="Tahoma" w:hAnsi="Tahoma" w:cs="Tahoma"/>
                <w:sz w:val="13"/>
              </w:rPr>
            </w:pPr>
            <w:r w:rsidRPr="00A75DF9">
              <w:rPr>
                <w:rFonts w:ascii="Tahoma" w:hAnsi="Tahoma" w:cs="Tahoma"/>
                <w:sz w:val="13"/>
              </w:rPr>
              <w:t>25</w:t>
            </w:r>
          </w:p>
        </w:tc>
        <w:tc>
          <w:tcPr>
            <w:tcW w:w="455" w:type="dxa"/>
            <w:tcBorders>
              <w:left w:val="single" w:sz="18" w:space="0" w:color="auto"/>
              <w:bottom w:val="single" w:sz="4" w:space="0" w:color="auto"/>
            </w:tcBorders>
            <w:shd w:val="clear" w:color="auto" w:fill="FABF8F"/>
            <w:vAlign w:val="center"/>
          </w:tcPr>
          <w:p w:rsidR="00471E00" w:rsidRPr="00A75DF9" w:rsidDel="00436016" w:rsidRDefault="001C3A4A" w:rsidP="001A63C6">
            <w:pPr>
              <w:pStyle w:val="TableText"/>
              <w:widowControl w:val="0"/>
              <w:rPr>
                <w:rFonts w:ascii="Tahoma" w:hAnsi="Tahoma" w:cs="Tahoma"/>
                <w:sz w:val="13"/>
              </w:rPr>
            </w:pPr>
            <w:r w:rsidRPr="00A75DF9">
              <w:rPr>
                <w:rFonts w:ascii="Tahoma" w:hAnsi="Tahoma" w:cs="Tahoma"/>
                <w:sz w:val="13"/>
              </w:rPr>
              <w:t>50</w:t>
            </w:r>
          </w:p>
        </w:tc>
        <w:tc>
          <w:tcPr>
            <w:tcW w:w="450" w:type="dxa"/>
            <w:tcBorders>
              <w:bottom w:val="single" w:sz="4" w:space="0" w:color="auto"/>
            </w:tcBorders>
            <w:shd w:val="clear" w:color="auto" w:fill="FABF8F"/>
            <w:vAlign w:val="center"/>
          </w:tcPr>
          <w:p w:rsidR="00471E00" w:rsidRPr="00A75DF9" w:rsidDel="00436016" w:rsidRDefault="001C3A4A" w:rsidP="001A63C6">
            <w:pPr>
              <w:pStyle w:val="TableText"/>
              <w:widowControl w:val="0"/>
              <w:rPr>
                <w:rFonts w:ascii="Tahoma" w:hAnsi="Tahoma" w:cs="Tahoma"/>
                <w:sz w:val="13"/>
              </w:rPr>
            </w:pPr>
            <w:r w:rsidRPr="00A75DF9">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471E00" w:rsidRPr="00A75DF9" w:rsidDel="00436016" w:rsidRDefault="001C3A4A" w:rsidP="001A63C6">
            <w:pPr>
              <w:pStyle w:val="TableText"/>
              <w:widowControl w:val="0"/>
              <w:rPr>
                <w:rFonts w:ascii="Tahoma" w:hAnsi="Tahoma" w:cs="Tahoma"/>
                <w:sz w:val="13"/>
              </w:rPr>
            </w:pPr>
            <w:r w:rsidRPr="00A75DF9">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471E00" w:rsidRPr="00A75DF9" w:rsidDel="00436016" w:rsidRDefault="001C3A4A" w:rsidP="001A63C6">
            <w:pPr>
              <w:pStyle w:val="TableText"/>
              <w:widowControl w:val="0"/>
              <w:rPr>
                <w:rFonts w:ascii="Tahoma" w:hAnsi="Tahoma" w:cs="Tahoma"/>
                <w:sz w:val="13"/>
              </w:rPr>
            </w:pPr>
            <w:r w:rsidRPr="00A75DF9">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471E00" w:rsidRPr="00A75DF9" w:rsidRDefault="001C3A4A" w:rsidP="001A63C6">
            <w:pPr>
              <w:pStyle w:val="TableText"/>
              <w:widowControl w:val="0"/>
              <w:rPr>
                <w:rFonts w:ascii="Tahoma" w:hAnsi="Tahoma" w:cs="Tahoma"/>
                <w:sz w:val="13"/>
              </w:rPr>
            </w:pPr>
            <w:r w:rsidRPr="00A75D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471E00" w:rsidRPr="00A75DF9" w:rsidDel="00436016" w:rsidRDefault="001C3A4A" w:rsidP="001A63C6">
            <w:pPr>
              <w:pStyle w:val="TableText"/>
              <w:widowControl w:val="0"/>
              <w:rPr>
                <w:rFonts w:ascii="Tahoma" w:hAnsi="Tahoma" w:cs="Tahoma"/>
                <w:sz w:val="13"/>
              </w:rPr>
            </w:pPr>
            <w:r w:rsidRPr="00A75DF9">
              <w:rPr>
                <w:rFonts w:ascii="Tahoma" w:hAnsi="Tahoma" w:cs="Tahoma"/>
                <w:sz w:val="13"/>
              </w:rPr>
              <w:t>P</w:t>
            </w:r>
          </w:p>
        </w:tc>
        <w:tc>
          <w:tcPr>
            <w:tcW w:w="450" w:type="dxa"/>
            <w:tcBorders>
              <w:bottom w:val="single" w:sz="4" w:space="0" w:color="auto"/>
            </w:tcBorders>
            <w:shd w:val="clear" w:color="auto" w:fill="FABF8F"/>
            <w:vAlign w:val="center"/>
          </w:tcPr>
          <w:p w:rsidR="00471E00" w:rsidRPr="00A75DF9" w:rsidRDefault="001C3A4A" w:rsidP="001C3A4A">
            <w:pPr>
              <w:pStyle w:val="TableText"/>
              <w:widowControl w:val="0"/>
              <w:spacing w:before="120"/>
              <w:rPr>
                <w:rFonts w:ascii="Tahoma" w:hAnsi="Tahoma" w:cs="Tahoma"/>
                <w:sz w:val="13"/>
              </w:rPr>
            </w:pPr>
            <w:r w:rsidRPr="00A75DF9">
              <w:rPr>
                <w:rFonts w:ascii="Tahoma" w:hAnsi="Tahoma" w:cs="Tahoma"/>
                <w:sz w:val="13"/>
              </w:rPr>
              <w:t>A (Solo EES)</w:t>
            </w:r>
          </w:p>
        </w:tc>
        <w:tc>
          <w:tcPr>
            <w:tcW w:w="539" w:type="dxa"/>
            <w:tcBorders>
              <w:bottom w:val="single" w:sz="4" w:space="0" w:color="auto"/>
            </w:tcBorders>
            <w:shd w:val="clear" w:color="auto" w:fill="FABF8F"/>
            <w:vAlign w:val="center"/>
          </w:tcPr>
          <w:p w:rsidR="00471E00" w:rsidRPr="00A75DF9" w:rsidDel="00436016" w:rsidRDefault="00471E00" w:rsidP="001A63C6">
            <w:pPr>
              <w:pStyle w:val="TableText"/>
              <w:widowControl w:val="0"/>
              <w:rPr>
                <w:rFonts w:ascii="Tahoma" w:hAnsi="Tahoma" w:cs="Tahoma"/>
                <w:sz w:val="13"/>
              </w:rPr>
            </w:pPr>
          </w:p>
        </w:tc>
      </w:tr>
      <w:tr w:rsidR="00500991" w:rsidRPr="00A75DF9" w:rsidDel="00436016" w:rsidTr="008A1262">
        <w:trPr>
          <w:trHeight w:val="145"/>
        </w:trPr>
        <w:tc>
          <w:tcPr>
            <w:tcW w:w="2724" w:type="dxa"/>
            <w:gridSpan w:val="2"/>
            <w:tcBorders>
              <w:bottom w:val="single" w:sz="4" w:space="0" w:color="auto"/>
            </w:tcBorders>
            <w:shd w:val="clear" w:color="auto" w:fill="auto"/>
            <w:vAlign w:val="center"/>
          </w:tcPr>
          <w:p w:rsidR="001A63C6" w:rsidRPr="00A75DF9" w:rsidRDefault="001A63C6" w:rsidP="001A63C6">
            <w:pPr>
              <w:pStyle w:val="Heading2"/>
              <w:ind w:left="-15" w:firstLine="15"/>
              <w:rPr>
                <w:rFonts w:ascii="Tahoma" w:hAnsi="Tahoma" w:cs="Tahoma"/>
                <w:b w:val="0"/>
                <w:sz w:val="14"/>
                <w:szCs w:val="16"/>
              </w:rPr>
            </w:pPr>
            <w:bookmarkStart w:id="322" w:name="_Toc336338023"/>
            <w:bookmarkStart w:id="323" w:name="_Toc368310026"/>
            <w:r w:rsidRPr="00A75DF9">
              <w:rPr>
                <w:rFonts w:ascii="Tahoma" w:hAnsi="Tahoma" w:cs="Tahoma"/>
                <w:b w:val="0"/>
                <w:sz w:val="14"/>
                <w:szCs w:val="14"/>
              </w:rPr>
              <w:t>Microsoft Translator API</w:t>
            </w:r>
            <w:bookmarkEnd w:id="322"/>
            <w:bookmarkEnd w:id="323"/>
          </w:p>
        </w:tc>
        <w:tc>
          <w:tcPr>
            <w:tcW w:w="448" w:type="dxa"/>
            <w:tcBorders>
              <w:bottom w:val="single" w:sz="4" w:space="0" w:color="auto"/>
            </w:tcBorders>
            <w:shd w:val="clear" w:color="auto" w:fill="auto"/>
            <w:vAlign w:val="center"/>
          </w:tcPr>
          <w:p w:rsidR="001A63C6" w:rsidRPr="00B41377" w:rsidRDefault="001A63C6" w:rsidP="001A63C6">
            <w:pPr>
              <w:pStyle w:val="TableText"/>
              <w:widowControl w:val="0"/>
              <w:rPr>
                <w:rFonts w:cs="Tahoma"/>
                <w:b/>
                <w:color w:val="0000FF"/>
                <w:sz w:val="13"/>
                <w:szCs w:val="13"/>
                <w:u w:val="single"/>
              </w:rPr>
            </w:pPr>
          </w:p>
        </w:tc>
        <w:tc>
          <w:tcPr>
            <w:tcW w:w="449" w:type="dxa"/>
            <w:tcBorders>
              <w:bottom w:val="single" w:sz="4" w:space="0" w:color="auto"/>
            </w:tcBorders>
            <w:shd w:val="clear" w:color="auto" w:fill="auto"/>
          </w:tcPr>
          <w:p w:rsidR="001A63C6" w:rsidRPr="00A75DF9" w:rsidRDefault="001A63C6" w:rsidP="001A63C6">
            <w:pPr>
              <w:pStyle w:val="TableText"/>
              <w:widowControl w:val="0"/>
              <w:spacing w:before="120"/>
              <w:rPr>
                <w:rFonts w:ascii="Tahoma" w:hAnsi="Tahoma" w:cs="Tahoma"/>
                <w:color w:val="000000"/>
                <w:sz w:val="13"/>
              </w:rPr>
            </w:pPr>
            <w:r w:rsidRPr="00A75DF9">
              <w:rPr>
                <w:rFonts w:ascii="Tahoma" w:hAnsi="Tahoma" w:cs="Tahoma"/>
                <w:color w:val="000000"/>
                <w:sz w:val="13"/>
              </w:rPr>
              <w:t>08/12</w:t>
            </w:r>
          </w:p>
        </w:tc>
        <w:tc>
          <w:tcPr>
            <w:tcW w:w="359"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auto"/>
            <w:vAlign w:val="center"/>
          </w:tcPr>
          <w:p w:rsidR="001A63C6" w:rsidRPr="00A75DF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Del="00436016" w:rsidRDefault="001A63C6" w:rsidP="001A63C6">
            <w:pPr>
              <w:pStyle w:val="TableText"/>
              <w:widowControl w:val="0"/>
              <w:rPr>
                <w:rFonts w:ascii="Tahoma" w:hAnsi="Tahoma" w:cs="Tahoma"/>
                <w:sz w:val="13"/>
              </w:rPr>
            </w:pPr>
          </w:p>
        </w:tc>
        <w:tc>
          <w:tcPr>
            <w:tcW w:w="455" w:type="dxa"/>
            <w:tcBorders>
              <w:bottom w:val="single" w:sz="4" w:space="0" w:color="auto"/>
            </w:tcBorders>
            <w:shd w:val="clear" w:color="auto" w:fill="auto"/>
            <w:vAlign w:val="center"/>
          </w:tcPr>
          <w:p w:rsidR="001A63C6" w:rsidRPr="00A75DF9" w:rsidDel="00436016"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A75DF9" w:rsidDel="00436016" w:rsidRDefault="001A63C6" w:rsidP="001A63C6">
            <w:pPr>
              <w:pStyle w:val="TableText"/>
              <w:widowControl w:val="0"/>
              <w:rPr>
                <w:rFonts w:ascii="Tahoma" w:hAnsi="Tahoma" w:cs="Tahoma"/>
                <w:sz w:val="13"/>
              </w:rPr>
            </w:pPr>
          </w:p>
        </w:tc>
        <w:tc>
          <w:tcPr>
            <w:tcW w:w="445" w:type="dxa"/>
            <w:tcBorders>
              <w:bottom w:val="single" w:sz="4" w:space="0" w:color="auto"/>
            </w:tcBorders>
            <w:shd w:val="clear" w:color="auto" w:fill="auto"/>
            <w:vAlign w:val="center"/>
          </w:tcPr>
          <w:p w:rsidR="001A63C6" w:rsidRPr="00A75DF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Del="00436016" w:rsidRDefault="001A63C6" w:rsidP="001A63C6">
            <w:pPr>
              <w:pStyle w:val="TableText"/>
              <w:widowControl w:val="0"/>
              <w:rPr>
                <w:rFonts w:ascii="Tahoma" w:hAnsi="Tahoma" w:cs="Tahoma"/>
                <w:sz w:val="13"/>
              </w:rPr>
            </w:pPr>
          </w:p>
        </w:tc>
        <w:tc>
          <w:tcPr>
            <w:tcW w:w="374" w:type="dxa"/>
            <w:tcBorders>
              <w:bottom w:val="single" w:sz="4" w:space="0" w:color="auto"/>
              <w:right w:val="single" w:sz="18" w:space="0" w:color="auto"/>
            </w:tcBorders>
            <w:shd w:val="clear" w:color="auto" w:fill="auto"/>
            <w:vAlign w:val="center"/>
          </w:tcPr>
          <w:p w:rsidR="001A63C6" w:rsidRPr="00A75DF9" w:rsidDel="00436016" w:rsidRDefault="001A63C6" w:rsidP="001A63C6">
            <w:pPr>
              <w:pStyle w:val="TableText"/>
              <w:widowControl w:val="0"/>
              <w:rPr>
                <w:rFonts w:ascii="Tahoma" w:hAnsi="Tahoma" w:cs="Tahoma"/>
                <w:sz w:val="13"/>
              </w:rPr>
            </w:pPr>
          </w:p>
        </w:tc>
        <w:tc>
          <w:tcPr>
            <w:tcW w:w="455" w:type="dxa"/>
            <w:tcBorders>
              <w:left w:val="single" w:sz="18" w:space="0" w:color="auto"/>
              <w:bottom w:val="single" w:sz="4" w:space="0" w:color="auto"/>
            </w:tcBorders>
            <w:shd w:val="clear" w:color="auto" w:fill="auto"/>
            <w:vAlign w:val="center"/>
          </w:tcPr>
          <w:p w:rsidR="001A63C6" w:rsidRPr="00A75DF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75DF9"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75DF9"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75DF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spacing w:before="120"/>
              <w:rPr>
                <w:rFonts w:ascii="Tahoma" w:hAnsi="Tahoma" w:cs="Tahoma"/>
                <w:sz w:val="13"/>
              </w:rPr>
            </w:pPr>
          </w:p>
        </w:tc>
        <w:tc>
          <w:tcPr>
            <w:tcW w:w="539" w:type="dxa"/>
            <w:tcBorders>
              <w:bottom w:val="single" w:sz="4" w:space="0" w:color="auto"/>
            </w:tcBorders>
            <w:shd w:val="clear" w:color="auto" w:fill="auto"/>
            <w:vAlign w:val="center"/>
          </w:tcPr>
          <w:p w:rsidR="001A63C6" w:rsidRPr="00A75DF9" w:rsidDel="00436016" w:rsidRDefault="001A63C6" w:rsidP="001A63C6">
            <w:pPr>
              <w:pStyle w:val="TableText"/>
              <w:widowControl w:val="0"/>
              <w:rPr>
                <w:rFonts w:ascii="Tahoma" w:hAnsi="Tahoma" w:cs="Tahoma"/>
                <w:sz w:val="13"/>
              </w:rPr>
            </w:pPr>
          </w:p>
        </w:tc>
      </w:tr>
      <w:tr w:rsidR="006D1AA6" w:rsidRPr="00A75DF9" w:rsidDel="00436016" w:rsidTr="008A1262">
        <w:trPr>
          <w:trHeight w:val="145"/>
        </w:trPr>
        <w:tc>
          <w:tcPr>
            <w:tcW w:w="2724" w:type="dxa"/>
            <w:gridSpan w:val="2"/>
            <w:tcBorders>
              <w:bottom w:val="single" w:sz="4" w:space="0" w:color="auto"/>
            </w:tcBorders>
            <w:shd w:val="clear" w:color="auto" w:fill="FABF8F"/>
            <w:vAlign w:val="center"/>
          </w:tcPr>
          <w:p w:rsidR="006D1AA6" w:rsidRPr="00A75DF9" w:rsidRDefault="006D1AA6" w:rsidP="001A63C6">
            <w:pPr>
              <w:pStyle w:val="Heading2"/>
              <w:ind w:left="-15" w:firstLine="15"/>
              <w:rPr>
                <w:rFonts w:ascii="Tahoma" w:hAnsi="Tahoma" w:cs="Tahoma"/>
                <w:b w:val="0"/>
                <w:sz w:val="14"/>
                <w:szCs w:val="14"/>
              </w:rPr>
            </w:pPr>
            <w:bookmarkStart w:id="324" w:name="_Toc368310027"/>
            <w:r w:rsidRPr="00A75DF9">
              <w:rPr>
                <w:rFonts w:ascii="Tahoma" w:hAnsi="Tahoma" w:cs="Tahoma"/>
                <w:b w:val="0"/>
                <w:sz w:val="14"/>
                <w:szCs w:val="14"/>
              </w:rPr>
              <w:t xml:space="preserve">Office 365 Midsize Business </w:t>
            </w:r>
            <w:r w:rsidR="00B41377">
              <w:rPr>
                <w:rFonts w:ascii="Tahoma" w:hAnsi="Tahoma" w:cs="Tahoma"/>
                <w:b w:val="0"/>
                <w:sz w:val="14"/>
                <w:szCs w:val="14"/>
              </w:rPr>
              <w:br/>
            </w:r>
            <w:r w:rsidRPr="00A75DF9">
              <w:rPr>
                <w:rFonts w:ascii="Tahoma" w:hAnsi="Tahoma" w:cs="Tahoma"/>
                <w:b w:val="0"/>
                <w:sz w:val="14"/>
                <w:szCs w:val="14"/>
              </w:rPr>
              <w:t>(SL per Utente)</w:t>
            </w:r>
            <w:bookmarkEnd w:id="324"/>
          </w:p>
        </w:tc>
        <w:tc>
          <w:tcPr>
            <w:tcW w:w="448" w:type="dxa"/>
            <w:tcBorders>
              <w:bottom w:val="single" w:sz="4" w:space="0" w:color="auto"/>
            </w:tcBorders>
            <w:shd w:val="clear" w:color="auto" w:fill="FABF8F"/>
            <w:vAlign w:val="center"/>
          </w:tcPr>
          <w:p w:rsidR="006D1AA6" w:rsidRPr="00B41377" w:rsidRDefault="006D1AA6" w:rsidP="001A63C6">
            <w:pPr>
              <w:pStyle w:val="TableText"/>
              <w:widowControl w:val="0"/>
              <w:rPr>
                <w:rFonts w:cs="Tahoma"/>
                <w:b/>
                <w:color w:val="0000FF"/>
                <w:sz w:val="13"/>
                <w:szCs w:val="13"/>
                <w:u w:val="single"/>
              </w:rPr>
            </w:pPr>
          </w:p>
        </w:tc>
        <w:tc>
          <w:tcPr>
            <w:tcW w:w="449" w:type="dxa"/>
            <w:tcBorders>
              <w:bottom w:val="single" w:sz="4" w:space="0" w:color="auto"/>
            </w:tcBorders>
            <w:shd w:val="clear" w:color="auto" w:fill="FABF8F"/>
          </w:tcPr>
          <w:p w:rsidR="006D1AA6" w:rsidRPr="00A75DF9" w:rsidRDefault="006D1AA6" w:rsidP="001A63C6">
            <w:pPr>
              <w:pStyle w:val="TableText"/>
              <w:widowControl w:val="0"/>
              <w:spacing w:before="120"/>
              <w:rPr>
                <w:rFonts w:ascii="Tahoma" w:hAnsi="Tahoma" w:cs="Tahoma"/>
                <w:color w:val="000000"/>
                <w:sz w:val="13"/>
              </w:rPr>
            </w:pPr>
            <w:r w:rsidRPr="00A75DF9">
              <w:rPr>
                <w:rFonts w:ascii="Tahoma" w:hAnsi="Tahoma" w:cs="Tahoma"/>
                <w:color w:val="000000"/>
                <w:sz w:val="13"/>
              </w:rPr>
              <w:t>03/13</w:t>
            </w:r>
          </w:p>
        </w:tc>
        <w:tc>
          <w:tcPr>
            <w:tcW w:w="359" w:type="dxa"/>
            <w:tcBorders>
              <w:bottom w:val="single" w:sz="4" w:space="0" w:color="auto"/>
              <w:right w:val="single" w:sz="18" w:space="0" w:color="auto"/>
            </w:tcBorders>
            <w:shd w:val="clear" w:color="auto" w:fill="FABF8F"/>
            <w:vAlign w:val="center"/>
          </w:tcPr>
          <w:p w:rsidR="006D1AA6" w:rsidRPr="00A75DF9" w:rsidRDefault="006D1AA6" w:rsidP="001A63C6">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FABF8F"/>
            <w:vAlign w:val="center"/>
          </w:tcPr>
          <w:p w:rsidR="006D1AA6" w:rsidRPr="00A75DF9"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D1AA6" w:rsidRPr="00A75DF9" w:rsidDel="00436016" w:rsidRDefault="006D1AA6" w:rsidP="001A63C6">
            <w:pPr>
              <w:pStyle w:val="TableText"/>
              <w:widowControl w:val="0"/>
              <w:rPr>
                <w:rFonts w:ascii="Tahoma" w:hAnsi="Tahoma" w:cs="Tahoma"/>
                <w:sz w:val="13"/>
              </w:rPr>
            </w:pPr>
          </w:p>
        </w:tc>
        <w:tc>
          <w:tcPr>
            <w:tcW w:w="455" w:type="dxa"/>
            <w:tcBorders>
              <w:bottom w:val="single" w:sz="4" w:space="0" w:color="auto"/>
            </w:tcBorders>
            <w:shd w:val="clear" w:color="auto" w:fill="FABF8F"/>
            <w:vAlign w:val="center"/>
          </w:tcPr>
          <w:p w:rsidR="006D1AA6" w:rsidRPr="00A75DF9" w:rsidDel="00436016" w:rsidRDefault="006D1AA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6D1AA6" w:rsidRPr="00A75DF9" w:rsidDel="00436016" w:rsidRDefault="006D1AA6" w:rsidP="001A63C6">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6D1AA6" w:rsidRPr="00A75DF9" w:rsidDel="00436016" w:rsidRDefault="006D1AA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6D1AA6" w:rsidRPr="00A75DF9" w:rsidDel="00436016" w:rsidRDefault="006D1AA6" w:rsidP="001A63C6">
            <w:pPr>
              <w:pStyle w:val="TableText"/>
              <w:widowControl w:val="0"/>
              <w:rPr>
                <w:rFonts w:ascii="Tahoma" w:hAnsi="Tahoma" w:cs="Tahoma"/>
                <w:sz w:val="13"/>
              </w:rPr>
            </w:pPr>
          </w:p>
        </w:tc>
        <w:tc>
          <w:tcPr>
            <w:tcW w:w="374" w:type="dxa"/>
            <w:tcBorders>
              <w:bottom w:val="single" w:sz="4" w:space="0" w:color="auto"/>
              <w:right w:val="single" w:sz="18" w:space="0" w:color="auto"/>
            </w:tcBorders>
            <w:shd w:val="clear" w:color="auto" w:fill="FABF8F"/>
            <w:vAlign w:val="center"/>
          </w:tcPr>
          <w:p w:rsidR="006D1AA6" w:rsidRPr="00A75DF9" w:rsidDel="00436016" w:rsidRDefault="006D1AA6" w:rsidP="001A63C6">
            <w:pPr>
              <w:pStyle w:val="TableText"/>
              <w:widowControl w:val="0"/>
              <w:rPr>
                <w:rFonts w:ascii="Tahoma" w:hAnsi="Tahoma" w:cs="Tahoma"/>
                <w:sz w:val="13"/>
              </w:rPr>
            </w:pPr>
          </w:p>
        </w:tc>
        <w:tc>
          <w:tcPr>
            <w:tcW w:w="1355" w:type="dxa"/>
            <w:gridSpan w:val="3"/>
            <w:tcBorders>
              <w:left w:val="single" w:sz="18" w:space="0" w:color="auto"/>
              <w:bottom w:val="single" w:sz="4" w:space="0" w:color="auto"/>
              <w:right w:val="single" w:sz="18" w:space="0" w:color="auto"/>
            </w:tcBorders>
            <w:shd w:val="clear" w:color="auto" w:fill="FABF8F"/>
            <w:vAlign w:val="center"/>
          </w:tcPr>
          <w:p w:rsidR="006D1AA6" w:rsidRPr="00A75DF9" w:rsidDel="00436016" w:rsidRDefault="006D1AA6" w:rsidP="001A63C6">
            <w:pPr>
              <w:pStyle w:val="TableText"/>
              <w:widowControl w:val="0"/>
              <w:rPr>
                <w:rFonts w:ascii="Tahoma" w:hAnsi="Tahoma" w:cs="Tahoma"/>
                <w:sz w:val="13"/>
              </w:rPr>
            </w:pPr>
            <w:r w:rsidRPr="00A75DF9">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6D1AA6" w:rsidRPr="00A75DF9" w:rsidDel="00436016" w:rsidRDefault="006D1AA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6D1AA6" w:rsidRPr="00A75DF9" w:rsidRDefault="006D1AA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6D1AA6" w:rsidRPr="00A75DF9" w:rsidDel="00436016" w:rsidRDefault="006D1AA6" w:rsidP="001A63C6">
            <w:pPr>
              <w:pStyle w:val="TableText"/>
              <w:widowControl w:val="0"/>
              <w:rPr>
                <w:rFonts w:ascii="Tahoma" w:hAnsi="Tahoma" w:cs="Tahoma"/>
                <w:sz w:val="13"/>
              </w:rPr>
            </w:pPr>
            <w:r w:rsidRPr="00A75DF9">
              <w:rPr>
                <w:rFonts w:ascii="Tahoma" w:hAnsi="Tahoma" w:cs="Tahoma"/>
                <w:sz w:val="13"/>
              </w:rPr>
              <w:t>P</w:t>
            </w:r>
          </w:p>
        </w:tc>
        <w:tc>
          <w:tcPr>
            <w:tcW w:w="450" w:type="dxa"/>
            <w:tcBorders>
              <w:bottom w:val="single" w:sz="4" w:space="0" w:color="auto"/>
            </w:tcBorders>
            <w:shd w:val="clear" w:color="auto" w:fill="FABF8F"/>
            <w:vAlign w:val="center"/>
          </w:tcPr>
          <w:p w:rsidR="006D1AA6" w:rsidRPr="00A75DF9" w:rsidRDefault="006D1AA6" w:rsidP="001A63C6">
            <w:pPr>
              <w:pStyle w:val="TableText"/>
              <w:widowControl w:val="0"/>
              <w:spacing w:before="120"/>
              <w:rPr>
                <w:rFonts w:ascii="Tahoma" w:hAnsi="Tahoma" w:cs="Tahoma"/>
                <w:sz w:val="13"/>
              </w:rPr>
            </w:pPr>
          </w:p>
        </w:tc>
        <w:tc>
          <w:tcPr>
            <w:tcW w:w="539" w:type="dxa"/>
            <w:tcBorders>
              <w:bottom w:val="single" w:sz="4" w:space="0" w:color="auto"/>
            </w:tcBorders>
            <w:shd w:val="clear" w:color="auto" w:fill="FABF8F"/>
            <w:vAlign w:val="center"/>
          </w:tcPr>
          <w:p w:rsidR="006D1AA6" w:rsidRPr="00A75DF9" w:rsidDel="00436016" w:rsidRDefault="006D1AA6" w:rsidP="001A63C6">
            <w:pPr>
              <w:pStyle w:val="TableText"/>
              <w:widowControl w:val="0"/>
              <w:rPr>
                <w:rFonts w:ascii="Tahoma" w:hAnsi="Tahoma" w:cs="Tahoma"/>
                <w:sz w:val="13"/>
              </w:rPr>
            </w:pPr>
            <w:r w:rsidRPr="00A75DF9">
              <w:rPr>
                <w:rFonts w:ascii="Tahoma" w:hAnsi="Tahoma" w:cs="Tahoma"/>
                <w:sz w:val="13"/>
              </w:rPr>
              <w:t>OL/OV</w:t>
            </w:r>
          </w:p>
        </w:tc>
      </w:tr>
      <w:tr w:rsidR="00500991" w:rsidRPr="00A75DF9" w:rsidDel="00436016" w:rsidTr="008A1262">
        <w:trPr>
          <w:trHeight w:val="145"/>
        </w:trPr>
        <w:tc>
          <w:tcPr>
            <w:tcW w:w="2724" w:type="dxa"/>
            <w:gridSpan w:val="2"/>
            <w:tcBorders>
              <w:bottom w:val="single" w:sz="4" w:space="0" w:color="auto"/>
            </w:tcBorders>
            <w:shd w:val="clear" w:color="auto" w:fill="auto"/>
            <w:vAlign w:val="center"/>
          </w:tcPr>
          <w:p w:rsidR="001A63C6" w:rsidRPr="00A75DF9" w:rsidRDefault="001A63C6" w:rsidP="001A63C6">
            <w:pPr>
              <w:pStyle w:val="Heading2"/>
              <w:ind w:left="-15" w:firstLine="15"/>
              <w:rPr>
                <w:rFonts w:ascii="Tahoma" w:hAnsi="Tahoma" w:cs="Tahoma"/>
                <w:b w:val="0"/>
                <w:sz w:val="14"/>
                <w:szCs w:val="16"/>
              </w:rPr>
            </w:pPr>
            <w:bookmarkStart w:id="325" w:name="_Toc336338024"/>
            <w:bookmarkStart w:id="326" w:name="_Toc368310028"/>
            <w:r w:rsidRPr="00A75DF9">
              <w:rPr>
                <w:rFonts w:ascii="Tahoma" w:hAnsi="Tahoma" w:cs="Tahoma"/>
                <w:b w:val="0"/>
                <w:sz w:val="14"/>
                <w:szCs w:val="16"/>
              </w:rPr>
              <w:t>Office 365 Education A2 (SL per Utente)</w:t>
            </w:r>
            <w:bookmarkEnd w:id="325"/>
            <w:bookmarkEnd w:id="326"/>
          </w:p>
        </w:tc>
        <w:tc>
          <w:tcPr>
            <w:tcW w:w="448" w:type="dxa"/>
            <w:tcBorders>
              <w:bottom w:val="single" w:sz="4" w:space="0" w:color="auto"/>
            </w:tcBorders>
            <w:shd w:val="clear" w:color="auto" w:fill="auto"/>
            <w:vAlign w:val="center"/>
          </w:tcPr>
          <w:p w:rsidR="001A63C6" w:rsidRPr="00B41377" w:rsidRDefault="00B54770" w:rsidP="001A63C6">
            <w:pPr>
              <w:pStyle w:val="TableText"/>
              <w:widowControl w:val="0"/>
              <w:rPr>
                <w:rFonts w:cs="Tahoma"/>
                <w:b/>
                <w:color w:val="0000FF"/>
                <w:sz w:val="13"/>
                <w:szCs w:val="13"/>
                <w:u w:val="single"/>
              </w:rPr>
            </w:pPr>
            <w:hyperlink w:anchor="_5_Office_365_1" w:history="1">
              <w:r w:rsidR="00734B17" w:rsidRPr="00B41377">
                <w:rPr>
                  <w:rStyle w:val="Hyperlink"/>
                  <w:rFonts w:cs="Tahoma"/>
                  <w:b/>
                  <w:sz w:val="13"/>
                  <w:szCs w:val="13"/>
                </w:rPr>
                <w:t>5</w:t>
              </w:r>
            </w:hyperlink>
          </w:p>
        </w:tc>
        <w:tc>
          <w:tcPr>
            <w:tcW w:w="449"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06/12</w:t>
            </w:r>
          </w:p>
        </w:tc>
        <w:tc>
          <w:tcPr>
            <w:tcW w:w="359"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OSB</w:t>
            </w:r>
          </w:p>
        </w:tc>
        <w:tc>
          <w:tcPr>
            <w:tcW w:w="356" w:type="dxa"/>
            <w:tcBorders>
              <w:left w:val="single" w:sz="18" w:space="0" w:color="auto"/>
              <w:bottom w:val="single" w:sz="4" w:space="0" w:color="auto"/>
            </w:tcBorders>
            <w:shd w:val="clear" w:color="auto" w:fill="auto"/>
            <w:vAlign w:val="center"/>
          </w:tcPr>
          <w:p w:rsidR="001A63C6" w:rsidRPr="00A75DF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Del="00436016" w:rsidRDefault="001A63C6" w:rsidP="001A63C6">
            <w:pPr>
              <w:pStyle w:val="TableText"/>
              <w:widowControl w:val="0"/>
              <w:rPr>
                <w:rFonts w:ascii="Tahoma" w:hAnsi="Tahoma" w:cs="Tahoma"/>
                <w:sz w:val="13"/>
              </w:rPr>
            </w:pPr>
          </w:p>
        </w:tc>
        <w:tc>
          <w:tcPr>
            <w:tcW w:w="455" w:type="dxa"/>
            <w:tcBorders>
              <w:bottom w:val="single" w:sz="4" w:space="0" w:color="auto"/>
            </w:tcBorders>
            <w:shd w:val="clear" w:color="auto" w:fill="auto"/>
            <w:vAlign w:val="center"/>
          </w:tcPr>
          <w:p w:rsidR="001A63C6" w:rsidRPr="00A75DF9" w:rsidDel="00436016"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A75DF9" w:rsidDel="00436016" w:rsidRDefault="001A63C6" w:rsidP="001A63C6">
            <w:pPr>
              <w:pStyle w:val="TableText"/>
              <w:widowControl w:val="0"/>
              <w:rPr>
                <w:rFonts w:ascii="Tahoma" w:hAnsi="Tahoma" w:cs="Tahoma"/>
                <w:sz w:val="13"/>
              </w:rPr>
            </w:pPr>
          </w:p>
        </w:tc>
        <w:tc>
          <w:tcPr>
            <w:tcW w:w="445" w:type="dxa"/>
            <w:tcBorders>
              <w:bottom w:val="single" w:sz="4" w:space="0" w:color="auto"/>
            </w:tcBorders>
            <w:shd w:val="clear" w:color="auto" w:fill="auto"/>
            <w:vAlign w:val="center"/>
          </w:tcPr>
          <w:p w:rsidR="001A63C6" w:rsidRPr="00A75DF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Del="00436016" w:rsidRDefault="001A63C6" w:rsidP="001A63C6">
            <w:pPr>
              <w:pStyle w:val="TableText"/>
              <w:widowControl w:val="0"/>
              <w:rPr>
                <w:rFonts w:ascii="Tahoma" w:hAnsi="Tahoma" w:cs="Tahoma"/>
                <w:sz w:val="13"/>
              </w:rPr>
            </w:pPr>
          </w:p>
        </w:tc>
        <w:tc>
          <w:tcPr>
            <w:tcW w:w="374" w:type="dxa"/>
            <w:tcBorders>
              <w:bottom w:val="single" w:sz="4" w:space="0" w:color="auto"/>
              <w:right w:val="single" w:sz="18" w:space="0" w:color="auto"/>
            </w:tcBorders>
            <w:shd w:val="clear" w:color="auto" w:fill="auto"/>
            <w:vAlign w:val="center"/>
          </w:tcPr>
          <w:p w:rsidR="001A63C6" w:rsidRPr="00A75DF9" w:rsidDel="00436016" w:rsidRDefault="001A63C6" w:rsidP="001A63C6">
            <w:pPr>
              <w:pStyle w:val="TableText"/>
              <w:widowControl w:val="0"/>
              <w:rPr>
                <w:rFonts w:ascii="Tahoma" w:hAnsi="Tahoma" w:cs="Tahoma"/>
                <w:sz w:val="13"/>
              </w:rPr>
            </w:pPr>
          </w:p>
        </w:tc>
        <w:tc>
          <w:tcPr>
            <w:tcW w:w="455" w:type="dxa"/>
            <w:tcBorders>
              <w:left w:val="single" w:sz="18" w:space="0" w:color="auto"/>
              <w:bottom w:val="single" w:sz="4" w:space="0" w:color="auto"/>
            </w:tcBorders>
            <w:shd w:val="clear" w:color="auto" w:fill="auto"/>
            <w:vAlign w:val="center"/>
          </w:tcPr>
          <w:p w:rsidR="001A63C6" w:rsidRPr="00A75DF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75DF9"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75DF9"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75DF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Del="00436016" w:rsidRDefault="001A63C6" w:rsidP="001A63C6">
            <w:pPr>
              <w:pStyle w:val="TableText"/>
              <w:widowControl w:val="0"/>
              <w:rPr>
                <w:rFonts w:ascii="Tahoma" w:hAnsi="Tahoma" w:cs="Tahoma"/>
                <w:sz w:val="13"/>
              </w:rPr>
            </w:pPr>
            <w:r w:rsidRPr="00A75DF9">
              <w:rPr>
                <w:rFonts w:ascii="Tahoma" w:hAnsi="Tahoma" w:cs="Tahoma"/>
                <w:sz w:val="13"/>
              </w:rPr>
              <w:t>A, ST (Solo EES)</w:t>
            </w:r>
          </w:p>
        </w:tc>
        <w:tc>
          <w:tcPr>
            <w:tcW w:w="539" w:type="dxa"/>
            <w:tcBorders>
              <w:bottom w:val="single" w:sz="4" w:space="0" w:color="auto"/>
            </w:tcBorders>
            <w:shd w:val="clear" w:color="auto" w:fill="auto"/>
            <w:vAlign w:val="center"/>
          </w:tcPr>
          <w:p w:rsidR="001A63C6" w:rsidRPr="00A75DF9" w:rsidDel="00436016" w:rsidRDefault="001A63C6" w:rsidP="001A63C6">
            <w:pPr>
              <w:pStyle w:val="TableText"/>
              <w:widowControl w:val="0"/>
              <w:rPr>
                <w:rFonts w:ascii="Tahoma" w:hAnsi="Tahoma" w:cs="Tahoma"/>
                <w:sz w:val="13"/>
              </w:rPr>
            </w:pPr>
          </w:p>
        </w:tc>
      </w:tr>
      <w:tr w:rsidR="0017091C" w:rsidRPr="00A75DF9" w:rsidDel="00436016" w:rsidTr="008A1262">
        <w:trPr>
          <w:trHeight w:val="145"/>
        </w:trPr>
        <w:tc>
          <w:tcPr>
            <w:tcW w:w="2724" w:type="dxa"/>
            <w:gridSpan w:val="2"/>
            <w:tcBorders>
              <w:bottom w:val="single" w:sz="4" w:space="0" w:color="auto"/>
            </w:tcBorders>
            <w:shd w:val="clear" w:color="auto" w:fill="FABF8F"/>
            <w:vAlign w:val="center"/>
          </w:tcPr>
          <w:p w:rsidR="0017091C" w:rsidRPr="00A75DF9" w:rsidRDefault="0017091C" w:rsidP="001A63C6">
            <w:pPr>
              <w:pStyle w:val="Heading2"/>
              <w:ind w:left="-15" w:firstLine="15"/>
              <w:rPr>
                <w:rFonts w:ascii="Tahoma" w:hAnsi="Tahoma" w:cs="Tahoma"/>
                <w:b w:val="0"/>
                <w:sz w:val="14"/>
                <w:szCs w:val="16"/>
              </w:rPr>
            </w:pPr>
            <w:bookmarkStart w:id="327" w:name="_Toc336338025"/>
            <w:bookmarkStart w:id="328" w:name="_Toc368310029"/>
            <w:r w:rsidRPr="00A75DF9">
              <w:rPr>
                <w:rFonts w:ascii="Tahoma" w:hAnsi="Tahoma" w:cs="Tahoma"/>
                <w:b w:val="0"/>
                <w:sz w:val="14"/>
                <w:szCs w:val="16"/>
              </w:rPr>
              <w:t>Office 365 Education A3 (SL per Utente)</w:t>
            </w:r>
            <w:bookmarkEnd w:id="327"/>
            <w:bookmarkEnd w:id="328"/>
          </w:p>
        </w:tc>
        <w:tc>
          <w:tcPr>
            <w:tcW w:w="448" w:type="dxa"/>
            <w:tcBorders>
              <w:bottom w:val="single" w:sz="4" w:space="0" w:color="auto"/>
            </w:tcBorders>
            <w:shd w:val="clear" w:color="auto" w:fill="FABF8F"/>
            <w:vAlign w:val="center"/>
          </w:tcPr>
          <w:p w:rsidR="0017091C" w:rsidRPr="00B41377" w:rsidRDefault="00B54770" w:rsidP="001A63C6">
            <w:pPr>
              <w:pStyle w:val="TableText"/>
              <w:widowControl w:val="0"/>
              <w:rPr>
                <w:rFonts w:cs="Tahoma"/>
                <w:b/>
                <w:color w:val="0000FF"/>
                <w:sz w:val="13"/>
                <w:szCs w:val="13"/>
                <w:u w:val="single"/>
              </w:rPr>
            </w:pPr>
            <w:hyperlink w:anchor="_5_Office_365_1" w:history="1">
              <w:r w:rsidR="00734B17" w:rsidRPr="00B41377">
                <w:rPr>
                  <w:rStyle w:val="Hyperlink"/>
                  <w:rFonts w:cs="Tahoma"/>
                  <w:b/>
                  <w:sz w:val="13"/>
                  <w:szCs w:val="13"/>
                </w:rPr>
                <w:t>5</w:t>
              </w:r>
            </w:hyperlink>
          </w:p>
        </w:tc>
        <w:tc>
          <w:tcPr>
            <w:tcW w:w="449" w:type="dxa"/>
            <w:tcBorders>
              <w:bottom w:val="single" w:sz="4" w:space="0" w:color="auto"/>
            </w:tcBorders>
            <w:shd w:val="clear" w:color="auto" w:fill="FABF8F"/>
          </w:tcPr>
          <w:p w:rsidR="0017091C" w:rsidRPr="00A75DF9" w:rsidRDefault="0017091C" w:rsidP="001A63C6">
            <w:pPr>
              <w:pStyle w:val="TableText"/>
              <w:widowControl w:val="0"/>
              <w:spacing w:before="120"/>
              <w:rPr>
                <w:rFonts w:ascii="Tahoma" w:hAnsi="Tahoma" w:cs="Tahoma"/>
                <w:color w:val="000000"/>
                <w:sz w:val="13"/>
              </w:rPr>
            </w:pPr>
            <w:r w:rsidRPr="00A75DF9">
              <w:rPr>
                <w:rFonts w:ascii="Tahoma" w:hAnsi="Tahoma" w:cs="Tahoma"/>
                <w:color w:val="000000"/>
                <w:sz w:val="13"/>
              </w:rPr>
              <w:t>06/12</w:t>
            </w:r>
          </w:p>
        </w:tc>
        <w:tc>
          <w:tcPr>
            <w:tcW w:w="359" w:type="dxa"/>
            <w:tcBorders>
              <w:bottom w:val="single" w:sz="4" w:space="0" w:color="auto"/>
              <w:right w:val="single" w:sz="18" w:space="0" w:color="auto"/>
            </w:tcBorders>
            <w:shd w:val="clear" w:color="auto" w:fill="FABF8F"/>
            <w:vAlign w:val="center"/>
          </w:tcPr>
          <w:p w:rsidR="0017091C" w:rsidRPr="00A75DF9" w:rsidRDefault="0017091C" w:rsidP="001A63C6">
            <w:pPr>
              <w:pStyle w:val="TableText"/>
              <w:widowControl w:val="0"/>
              <w:rPr>
                <w:rFonts w:ascii="Tahoma" w:hAnsi="Tahoma" w:cs="Tahoma"/>
                <w:sz w:val="13"/>
              </w:rPr>
            </w:pPr>
            <w:r w:rsidRPr="00A75DF9">
              <w:rPr>
                <w:rFonts w:ascii="Tahoma" w:hAnsi="Tahoma" w:cs="Tahoma"/>
                <w:sz w:val="13"/>
              </w:rPr>
              <w:t>OSB</w:t>
            </w:r>
          </w:p>
        </w:tc>
        <w:tc>
          <w:tcPr>
            <w:tcW w:w="356" w:type="dxa"/>
            <w:tcBorders>
              <w:left w:val="single" w:sz="18" w:space="0" w:color="auto"/>
              <w:bottom w:val="single" w:sz="4" w:space="0" w:color="auto"/>
            </w:tcBorders>
            <w:shd w:val="clear" w:color="auto" w:fill="FABF8F"/>
            <w:vAlign w:val="center"/>
          </w:tcPr>
          <w:p w:rsidR="0017091C" w:rsidRPr="00A75DF9" w:rsidDel="00436016" w:rsidRDefault="0017091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7091C" w:rsidRPr="00A75DF9" w:rsidDel="00436016" w:rsidRDefault="0017091C" w:rsidP="001A63C6">
            <w:pPr>
              <w:pStyle w:val="TableText"/>
              <w:widowControl w:val="0"/>
              <w:rPr>
                <w:rFonts w:ascii="Tahoma" w:hAnsi="Tahoma" w:cs="Tahoma"/>
                <w:sz w:val="13"/>
              </w:rPr>
            </w:pPr>
          </w:p>
        </w:tc>
        <w:tc>
          <w:tcPr>
            <w:tcW w:w="455" w:type="dxa"/>
            <w:tcBorders>
              <w:bottom w:val="single" w:sz="4" w:space="0" w:color="auto"/>
            </w:tcBorders>
            <w:shd w:val="clear" w:color="auto" w:fill="FABF8F"/>
            <w:vAlign w:val="center"/>
          </w:tcPr>
          <w:p w:rsidR="0017091C" w:rsidRPr="00A75DF9" w:rsidDel="00436016" w:rsidRDefault="0017091C"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7091C" w:rsidRPr="00A75DF9" w:rsidDel="00436016" w:rsidRDefault="0017091C" w:rsidP="001A63C6">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17091C" w:rsidRPr="00A75DF9" w:rsidDel="00436016" w:rsidRDefault="0017091C"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7091C" w:rsidRPr="00A75DF9" w:rsidDel="00436016" w:rsidRDefault="0017091C" w:rsidP="001A63C6">
            <w:pPr>
              <w:pStyle w:val="TableText"/>
              <w:widowControl w:val="0"/>
              <w:rPr>
                <w:rFonts w:ascii="Tahoma" w:hAnsi="Tahoma" w:cs="Tahoma"/>
                <w:sz w:val="13"/>
              </w:rPr>
            </w:pPr>
          </w:p>
        </w:tc>
        <w:tc>
          <w:tcPr>
            <w:tcW w:w="374" w:type="dxa"/>
            <w:tcBorders>
              <w:bottom w:val="single" w:sz="4" w:space="0" w:color="auto"/>
              <w:right w:val="single" w:sz="18" w:space="0" w:color="auto"/>
            </w:tcBorders>
            <w:shd w:val="clear" w:color="auto" w:fill="FABF8F"/>
            <w:vAlign w:val="center"/>
          </w:tcPr>
          <w:p w:rsidR="0017091C" w:rsidRPr="00A75DF9" w:rsidDel="00436016" w:rsidRDefault="0017091C" w:rsidP="001A63C6">
            <w:pPr>
              <w:pStyle w:val="TableText"/>
              <w:widowControl w:val="0"/>
              <w:rPr>
                <w:rFonts w:ascii="Tahoma" w:hAnsi="Tahoma" w:cs="Tahoma"/>
                <w:sz w:val="13"/>
              </w:rPr>
            </w:pPr>
          </w:p>
        </w:tc>
        <w:tc>
          <w:tcPr>
            <w:tcW w:w="1355" w:type="dxa"/>
            <w:gridSpan w:val="3"/>
            <w:tcBorders>
              <w:left w:val="single" w:sz="18" w:space="0" w:color="auto"/>
              <w:bottom w:val="single" w:sz="4" w:space="0" w:color="auto"/>
              <w:right w:val="single" w:sz="18" w:space="0" w:color="auto"/>
            </w:tcBorders>
            <w:shd w:val="clear" w:color="auto" w:fill="FABF8F"/>
            <w:vAlign w:val="center"/>
          </w:tcPr>
          <w:p w:rsidR="0017091C" w:rsidRPr="00A75DF9" w:rsidDel="00436016" w:rsidRDefault="0017091C" w:rsidP="001A63C6">
            <w:pPr>
              <w:pStyle w:val="TableText"/>
              <w:widowControl w:val="0"/>
              <w:rPr>
                <w:rFonts w:ascii="Tahoma" w:hAnsi="Tahoma" w:cs="Tahoma"/>
                <w:sz w:val="13"/>
              </w:rPr>
            </w:pPr>
            <w:r w:rsidRPr="00A75DF9">
              <w:rPr>
                <w:rFonts w:ascii="Tahoma" w:hAnsi="Tahoma" w:cs="Tahoma"/>
                <w:sz w:val="13"/>
              </w:rPr>
              <w:t>2</w:t>
            </w:r>
          </w:p>
        </w:tc>
        <w:tc>
          <w:tcPr>
            <w:tcW w:w="450" w:type="dxa"/>
            <w:tcBorders>
              <w:left w:val="single" w:sz="18" w:space="0" w:color="auto"/>
              <w:bottom w:val="single" w:sz="4" w:space="0" w:color="auto"/>
            </w:tcBorders>
            <w:shd w:val="clear" w:color="auto" w:fill="FABF8F"/>
            <w:vAlign w:val="center"/>
          </w:tcPr>
          <w:p w:rsidR="0017091C" w:rsidRPr="00A75DF9" w:rsidDel="00436016" w:rsidRDefault="0017091C" w:rsidP="001A63C6">
            <w:pPr>
              <w:pStyle w:val="TableText"/>
              <w:widowControl w:val="0"/>
              <w:rPr>
                <w:rFonts w:ascii="Tahoma" w:hAnsi="Tahoma" w:cs="Tahoma"/>
                <w:sz w:val="13"/>
              </w:rPr>
            </w:pPr>
            <w:r w:rsidRPr="00A75DF9">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7091C" w:rsidRPr="00A75DF9" w:rsidRDefault="0017091C"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7091C" w:rsidRPr="00A75DF9" w:rsidDel="00436016" w:rsidRDefault="0017091C" w:rsidP="001A63C6">
            <w:pPr>
              <w:pStyle w:val="TableText"/>
              <w:widowControl w:val="0"/>
              <w:rPr>
                <w:rFonts w:ascii="Tahoma" w:hAnsi="Tahoma" w:cs="Tahoma"/>
                <w:sz w:val="13"/>
              </w:rPr>
            </w:pPr>
            <w:r w:rsidRPr="00A75DF9">
              <w:rPr>
                <w:rFonts w:ascii="Tahoma" w:hAnsi="Tahoma" w:cs="Tahoma"/>
                <w:sz w:val="13"/>
              </w:rPr>
              <w:t>P</w:t>
            </w:r>
          </w:p>
        </w:tc>
        <w:tc>
          <w:tcPr>
            <w:tcW w:w="450" w:type="dxa"/>
            <w:tcBorders>
              <w:bottom w:val="single" w:sz="4" w:space="0" w:color="auto"/>
            </w:tcBorders>
            <w:shd w:val="clear" w:color="auto" w:fill="FABF8F"/>
            <w:vAlign w:val="center"/>
          </w:tcPr>
          <w:p w:rsidR="0017091C" w:rsidRPr="00A75DF9" w:rsidDel="00436016" w:rsidRDefault="0017091C" w:rsidP="0047054A">
            <w:pPr>
              <w:pStyle w:val="TableText"/>
              <w:widowControl w:val="0"/>
              <w:spacing w:before="120"/>
              <w:rPr>
                <w:rFonts w:ascii="Tahoma" w:hAnsi="Tahoma" w:cs="Tahoma"/>
                <w:sz w:val="13"/>
              </w:rPr>
            </w:pPr>
            <w:r w:rsidRPr="00A75DF9">
              <w:rPr>
                <w:rFonts w:ascii="Tahoma" w:hAnsi="Tahoma" w:cs="Tahoma"/>
                <w:sz w:val="13"/>
              </w:rPr>
              <w:t xml:space="preserve">EOLS (Solo EES), </w:t>
            </w:r>
          </w:p>
        </w:tc>
        <w:tc>
          <w:tcPr>
            <w:tcW w:w="539" w:type="dxa"/>
            <w:tcBorders>
              <w:bottom w:val="single" w:sz="4" w:space="0" w:color="auto"/>
            </w:tcBorders>
            <w:shd w:val="clear" w:color="auto" w:fill="FABF8F"/>
            <w:vAlign w:val="center"/>
          </w:tcPr>
          <w:p w:rsidR="0017091C" w:rsidRPr="00A75DF9" w:rsidDel="00436016" w:rsidRDefault="0017091C" w:rsidP="001A63C6">
            <w:pPr>
              <w:pStyle w:val="TableText"/>
              <w:widowControl w:val="0"/>
              <w:rPr>
                <w:rFonts w:ascii="Tahoma" w:hAnsi="Tahoma" w:cs="Tahoma"/>
                <w:sz w:val="13"/>
              </w:rPr>
            </w:pPr>
            <w:r w:rsidRPr="00A75DF9">
              <w:rPr>
                <w:rFonts w:ascii="Tahoma" w:hAnsi="Tahoma" w:cs="Tahoma"/>
                <w:sz w:val="13"/>
              </w:rPr>
              <w:t>OL</w:t>
            </w:r>
          </w:p>
        </w:tc>
      </w:tr>
      <w:tr w:rsidR="00500991" w:rsidRPr="00A75DF9" w:rsidTr="008A1262">
        <w:trPr>
          <w:trHeight w:val="145"/>
        </w:trPr>
        <w:tc>
          <w:tcPr>
            <w:tcW w:w="2724" w:type="dxa"/>
            <w:gridSpan w:val="2"/>
            <w:tcBorders>
              <w:bottom w:val="single" w:sz="4" w:space="0" w:color="auto"/>
            </w:tcBorders>
            <w:shd w:val="clear" w:color="auto" w:fill="auto"/>
            <w:vAlign w:val="center"/>
          </w:tcPr>
          <w:p w:rsidR="001A63C6" w:rsidRPr="00A75DF9" w:rsidRDefault="001A63C6" w:rsidP="008B1245">
            <w:pPr>
              <w:pStyle w:val="Heading2"/>
              <w:spacing w:beforeLines="20" w:before="48" w:afterLines="20" w:after="48"/>
              <w:ind w:left="0" w:firstLine="15"/>
              <w:rPr>
                <w:rFonts w:ascii="Tahoma" w:hAnsi="Tahoma" w:cs="Tahoma"/>
                <w:b w:val="0"/>
                <w:sz w:val="14"/>
                <w:szCs w:val="16"/>
              </w:rPr>
            </w:pPr>
            <w:bookmarkStart w:id="329" w:name="_Toc336338026"/>
            <w:bookmarkStart w:id="330" w:name="_Toc368310030"/>
            <w:r w:rsidRPr="00A75DF9">
              <w:rPr>
                <w:rFonts w:ascii="Tahoma" w:hAnsi="Tahoma" w:cs="Tahoma"/>
                <w:b w:val="0"/>
                <w:sz w:val="14"/>
                <w:szCs w:val="16"/>
              </w:rPr>
              <w:t>Office 365 Education A4 (SL per Utente)</w:t>
            </w:r>
            <w:bookmarkEnd w:id="329"/>
            <w:bookmarkEnd w:id="330"/>
          </w:p>
        </w:tc>
        <w:tc>
          <w:tcPr>
            <w:tcW w:w="448" w:type="dxa"/>
            <w:tcBorders>
              <w:bottom w:val="single" w:sz="4" w:space="0" w:color="auto"/>
            </w:tcBorders>
            <w:shd w:val="clear" w:color="auto" w:fill="auto"/>
            <w:vAlign w:val="center"/>
          </w:tcPr>
          <w:p w:rsidR="001A63C6" w:rsidRPr="00B41377" w:rsidRDefault="00B54770" w:rsidP="001A63C6">
            <w:pPr>
              <w:pStyle w:val="TableText"/>
              <w:widowControl w:val="0"/>
              <w:rPr>
                <w:rFonts w:cs="Tahoma"/>
                <w:b/>
                <w:color w:val="0000FF"/>
                <w:sz w:val="13"/>
                <w:szCs w:val="13"/>
                <w:u w:val="single"/>
              </w:rPr>
            </w:pPr>
            <w:hyperlink w:anchor="_5_Office_365_1" w:history="1">
              <w:r w:rsidR="00734B17" w:rsidRPr="00B41377">
                <w:rPr>
                  <w:rStyle w:val="Hyperlink"/>
                  <w:rFonts w:cs="Tahoma"/>
                  <w:b/>
                  <w:sz w:val="13"/>
                  <w:szCs w:val="13"/>
                </w:rPr>
                <w:t>5</w:t>
              </w:r>
            </w:hyperlink>
          </w:p>
        </w:tc>
        <w:tc>
          <w:tcPr>
            <w:tcW w:w="449" w:type="dxa"/>
            <w:tcBorders>
              <w:bottom w:val="single" w:sz="4" w:space="0" w:color="auto"/>
            </w:tcBorders>
            <w:shd w:val="clear" w:color="auto" w:fill="auto"/>
          </w:tcPr>
          <w:p w:rsidR="001A63C6" w:rsidRPr="00A75DF9" w:rsidRDefault="001A63C6" w:rsidP="001A63C6">
            <w:pPr>
              <w:pStyle w:val="TableText"/>
              <w:widowControl w:val="0"/>
              <w:spacing w:before="120"/>
              <w:rPr>
                <w:rFonts w:ascii="Tahoma" w:hAnsi="Tahoma" w:cs="Tahoma"/>
                <w:color w:val="000000"/>
                <w:sz w:val="13"/>
              </w:rPr>
            </w:pPr>
            <w:r w:rsidRPr="00A75DF9">
              <w:rPr>
                <w:rFonts w:ascii="Tahoma" w:hAnsi="Tahoma" w:cs="Tahoma"/>
                <w:color w:val="000000"/>
                <w:sz w:val="13"/>
              </w:rPr>
              <w:t>06/12</w:t>
            </w:r>
          </w:p>
        </w:tc>
        <w:tc>
          <w:tcPr>
            <w:tcW w:w="359"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OSB</w:t>
            </w:r>
          </w:p>
        </w:tc>
        <w:tc>
          <w:tcPr>
            <w:tcW w:w="356"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5"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45"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374"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5"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spacing w:before="120"/>
              <w:rPr>
                <w:rFonts w:ascii="Tahoma" w:hAnsi="Tahoma" w:cs="Tahoma"/>
                <w:sz w:val="13"/>
              </w:rPr>
            </w:pPr>
            <w:r w:rsidRPr="00A75DF9">
              <w:rPr>
                <w:rFonts w:ascii="Tahoma" w:hAnsi="Tahoma" w:cs="Tahoma"/>
                <w:sz w:val="13"/>
              </w:rPr>
              <w:t>EOLS (Solo EES)</w:t>
            </w:r>
          </w:p>
        </w:tc>
        <w:tc>
          <w:tcPr>
            <w:tcW w:w="539"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r>
      <w:tr w:rsidR="00500991" w:rsidRPr="00A75DF9" w:rsidTr="008A1262">
        <w:trPr>
          <w:trHeight w:val="145"/>
        </w:trPr>
        <w:tc>
          <w:tcPr>
            <w:tcW w:w="2724" w:type="dxa"/>
            <w:gridSpan w:val="2"/>
            <w:tcBorders>
              <w:bottom w:val="single" w:sz="4" w:space="0" w:color="auto"/>
            </w:tcBorders>
            <w:shd w:val="clear" w:color="auto" w:fill="FABF8F"/>
            <w:vAlign w:val="center"/>
          </w:tcPr>
          <w:p w:rsidR="001A63C6" w:rsidRPr="00A75DF9" w:rsidRDefault="001A63C6" w:rsidP="008B1245">
            <w:pPr>
              <w:pStyle w:val="Heading2"/>
              <w:spacing w:beforeLines="20" w:before="48" w:afterLines="20" w:after="48"/>
              <w:ind w:left="0" w:firstLine="15"/>
              <w:rPr>
                <w:rFonts w:ascii="Tahoma" w:hAnsi="Tahoma" w:cs="Tahoma"/>
                <w:b w:val="0"/>
                <w:sz w:val="14"/>
                <w:szCs w:val="16"/>
              </w:rPr>
            </w:pPr>
            <w:bookmarkStart w:id="331" w:name="_Toc336338028"/>
            <w:bookmarkStart w:id="332" w:name="_Toc368310031"/>
            <w:r w:rsidRPr="00A75DF9">
              <w:rPr>
                <w:rFonts w:ascii="Tahoma" w:hAnsi="Tahoma" w:cs="Tahoma"/>
                <w:b w:val="0"/>
                <w:sz w:val="14"/>
                <w:szCs w:val="16"/>
              </w:rPr>
              <w:t>Office 365 Enterprise E3 (SL per Utente)</w:t>
            </w:r>
            <w:bookmarkEnd w:id="331"/>
            <w:bookmarkEnd w:id="332"/>
          </w:p>
        </w:tc>
        <w:tc>
          <w:tcPr>
            <w:tcW w:w="448" w:type="dxa"/>
            <w:tcBorders>
              <w:bottom w:val="single" w:sz="4" w:space="0" w:color="auto"/>
            </w:tcBorders>
            <w:shd w:val="clear" w:color="auto" w:fill="FABF8F"/>
            <w:vAlign w:val="center"/>
          </w:tcPr>
          <w:p w:rsidR="001A63C6" w:rsidRPr="00B41377" w:rsidRDefault="00B54770" w:rsidP="00132E08">
            <w:pPr>
              <w:pStyle w:val="TableText"/>
              <w:widowControl w:val="0"/>
              <w:rPr>
                <w:rFonts w:cs="Tahoma"/>
                <w:b/>
                <w:color w:val="0000FF"/>
                <w:sz w:val="13"/>
                <w:szCs w:val="13"/>
                <w:u w:val="single"/>
              </w:rPr>
            </w:pPr>
            <w:hyperlink w:anchor="_7_Office_365_1" w:history="1">
              <w:r w:rsidR="00734B17" w:rsidRPr="00B41377">
                <w:rPr>
                  <w:rStyle w:val="Hyperlink"/>
                  <w:rFonts w:cs="Tahoma"/>
                  <w:b/>
                  <w:sz w:val="13"/>
                  <w:szCs w:val="13"/>
                </w:rPr>
                <w:t>8</w:t>
              </w:r>
            </w:hyperlink>
            <w:hyperlink w:anchor="_65_Office_365" w:history="1"/>
          </w:p>
        </w:tc>
        <w:tc>
          <w:tcPr>
            <w:tcW w:w="449" w:type="dxa"/>
            <w:tcBorders>
              <w:bottom w:val="single" w:sz="4" w:space="0" w:color="auto"/>
            </w:tcBorders>
            <w:shd w:val="clear" w:color="auto" w:fill="FABF8F"/>
          </w:tcPr>
          <w:p w:rsidR="001A63C6" w:rsidRPr="00A75DF9" w:rsidRDefault="001A63C6" w:rsidP="001A63C6">
            <w:pPr>
              <w:pStyle w:val="TableText"/>
              <w:widowControl w:val="0"/>
              <w:spacing w:before="120"/>
              <w:rPr>
                <w:rFonts w:ascii="Tahoma" w:hAnsi="Tahoma" w:cs="Tahoma"/>
                <w:color w:val="000000"/>
                <w:sz w:val="13"/>
              </w:rPr>
            </w:pPr>
            <w:r w:rsidRPr="00A75DF9">
              <w:rPr>
                <w:rFonts w:ascii="Tahoma" w:hAnsi="Tahoma" w:cs="Tahoma"/>
                <w:color w:val="000000"/>
                <w:sz w:val="13"/>
              </w:rPr>
              <w:t>06/11</w:t>
            </w:r>
          </w:p>
        </w:tc>
        <w:tc>
          <w:tcPr>
            <w:tcW w:w="359"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OSB</w:t>
            </w:r>
          </w:p>
        </w:tc>
        <w:tc>
          <w:tcPr>
            <w:tcW w:w="356"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374"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5"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75DF9" w:rsidRDefault="000B5EFD" w:rsidP="001A63C6">
            <w:pPr>
              <w:pStyle w:val="TableText"/>
              <w:widowControl w:val="0"/>
              <w:rPr>
                <w:rFonts w:ascii="Tahoma" w:hAnsi="Tahoma" w:cs="Tahoma"/>
                <w:sz w:val="13"/>
              </w:rPr>
            </w:pPr>
            <w:r w:rsidRPr="00A75DF9">
              <w:rPr>
                <w:rFonts w:ascii="Tahoma" w:hAnsi="Tahoma" w:cs="Tahoma"/>
                <w:sz w:val="13"/>
              </w:rPr>
              <w:t>P</w:t>
            </w:r>
          </w:p>
        </w:tc>
        <w:tc>
          <w:tcPr>
            <w:tcW w:w="450" w:type="dxa"/>
            <w:tcBorders>
              <w:bottom w:val="single" w:sz="4" w:space="0" w:color="auto"/>
            </w:tcBorders>
            <w:shd w:val="clear" w:color="auto" w:fill="FABF8F"/>
          </w:tcPr>
          <w:p w:rsidR="001A63C6" w:rsidRPr="00A75DF9" w:rsidRDefault="001A63C6" w:rsidP="001A63C6">
            <w:pPr>
              <w:pStyle w:val="TableText"/>
              <w:widowControl w:val="0"/>
              <w:spacing w:before="120"/>
              <w:rPr>
                <w:rFonts w:ascii="Tahoma" w:hAnsi="Tahoma" w:cs="Tahoma"/>
                <w:sz w:val="13"/>
              </w:rPr>
            </w:pPr>
          </w:p>
        </w:tc>
        <w:tc>
          <w:tcPr>
            <w:tcW w:w="539" w:type="dxa"/>
            <w:tcBorders>
              <w:bottom w:val="single" w:sz="4" w:space="0" w:color="auto"/>
            </w:tcBorders>
            <w:shd w:val="clear" w:color="auto" w:fill="FABF8F"/>
            <w:vAlign w:val="center"/>
          </w:tcPr>
          <w:p w:rsidR="001A63C6" w:rsidRPr="00A75DF9" w:rsidRDefault="000B5EFD" w:rsidP="001A63C6">
            <w:pPr>
              <w:pStyle w:val="TableText"/>
              <w:widowControl w:val="0"/>
              <w:rPr>
                <w:rFonts w:ascii="Tahoma" w:hAnsi="Tahoma" w:cs="Tahoma"/>
                <w:sz w:val="13"/>
              </w:rPr>
            </w:pPr>
            <w:r w:rsidRPr="00A75DF9">
              <w:rPr>
                <w:rFonts w:ascii="Tahoma" w:hAnsi="Tahoma" w:cs="Tahoma"/>
                <w:sz w:val="13"/>
              </w:rPr>
              <w:t>OL</w:t>
            </w:r>
          </w:p>
        </w:tc>
      </w:tr>
      <w:tr w:rsidR="00500991" w:rsidRPr="00A75DF9" w:rsidTr="008A1262">
        <w:trPr>
          <w:trHeight w:val="145"/>
        </w:trPr>
        <w:tc>
          <w:tcPr>
            <w:tcW w:w="2724" w:type="dxa"/>
            <w:gridSpan w:val="2"/>
            <w:tcBorders>
              <w:bottom w:val="single" w:sz="4" w:space="0" w:color="auto"/>
            </w:tcBorders>
            <w:shd w:val="clear" w:color="auto" w:fill="auto"/>
            <w:vAlign w:val="center"/>
          </w:tcPr>
          <w:p w:rsidR="000B5EFD" w:rsidRPr="00A75DF9" w:rsidRDefault="000B5EFD" w:rsidP="008B1245">
            <w:pPr>
              <w:pStyle w:val="Heading2"/>
              <w:spacing w:beforeLines="20" w:before="48" w:afterLines="20" w:after="48"/>
              <w:ind w:left="0" w:firstLine="15"/>
              <w:rPr>
                <w:rFonts w:ascii="Tahoma" w:hAnsi="Tahoma" w:cs="Tahoma"/>
                <w:b w:val="0"/>
                <w:sz w:val="14"/>
                <w:szCs w:val="16"/>
              </w:rPr>
            </w:pPr>
            <w:bookmarkStart w:id="333" w:name="_Toc368310032"/>
            <w:r w:rsidRPr="00A75DF9">
              <w:rPr>
                <w:rFonts w:ascii="Tahoma" w:hAnsi="Tahoma" w:cs="Tahoma"/>
                <w:b w:val="0"/>
                <w:sz w:val="14"/>
                <w:szCs w:val="16"/>
              </w:rPr>
              <w:t>Office 365 Enterprise E4 (SL per Utente)</w:t>
            </w:r>
            <w:bookmarkEnd w:id="333"/>
          </w:p>
        </w:tc>
        <w:tc>
          <w:tcPr>
            <w:tcW w:w="448" w:type="dxa"/>
            <w:tcBorders>
              <w:bottom w:val="single" w:sz="4" w:space="0" w:color="auto"/>
            </w:tcBorders>
            <w:shd w:val="clear" w:color="auto" w:fill="auto"/>
            <w:vAlign w:val="center"/>
          </w:tcPr>
          <w:p w:rsidR="000B5EFD" w:rsidRPr="00B41377" w:rsidRDefault="00B54770" w:rsidP="000B5EFD">
            <w:pPr>
              <w:pStyle w:val="TableText"/>
              <w:widowControl w:val="0"/>
              <w:rPr>
                <w:rFonts w:cs="Tahoma"/>
              </w:rPr>
            </w:pPr>
            <w:hyperlink w:anchor="_7_Office_365_1" w:history="1">
              <w:r w:rsidR="00734B17" w:rsidRPr="00B41377">
                <w:rPr>
                  <w:rStyle w:val="Hyperlink"/>
                  <w:rFonts w:cs="Tahoma"/>
                  <w:b/>
                  <w:sz w:val="13"/>
                  <w:szCs w:val="13"/>
                </w:rPr>
                <w:t>8</w:t>
              </w:r>
            </w:hyperlink>
            <w:hyperlink w:anchor="_65_Office_365" w:history="1"/>
          </w:p>
        </w:tc>
        <w:tc>
          <w:tcPr>
            <w:tcW w:w="449" w:type="dxa"/>
            <w:tcBorders>
              <w:bottom w:val="single" w:sz="4" w:space="0" w:color="auto"/>
            </w:tcBorders>
            <w:shd w:val="clear" w:color="auto" w:fill="auto"/>
          </w:tcPr>
          <w:p w:rsidR="000B5EFD" w:rsidRPr="00A75DF9" w:rsidRDefault="000B5EFD" w:rsidP="000B5EFD">
            <w:pPr>
              <w:pStyle w:val="TableText"/>
              <w:widowControl w:val="0"/>
              <w:spacing w:before="120"/>
              <w:rPr>
                <w:rFonts w:ascii="Tahoma" w:hAnsi="Tahoma" w:cs="Tahoma"/>
                <w:color w:val="000000"/>
                <w:sz w:val="13"/>
              </w:rPr>
            </w:pPr>
            <w:r w:rsidRPr="00A75DF9">
              <w:rPr>
                <w:rFonts w:ascii="Tahoma" w:hAnsi="Tahoma" w:cs="Tahoma"/>
                <w:color w:val="000000"/>
                <w:sz w:val="13"/>
              </w:rPr>
              <w:t>06/11</w:t>
            </w:r>
          </w:p>
        </w:tc>
        <w:tc>
          <w:tcPr>
            <w:tcW w:w="359" w:type="dxa"/>
            <w:tcBorders>
              <w:bottom w:val="single" w:sz="4" w:space="0" w:color="auto"/>
              <w:right w:val="single" w:sz="18" w:space="0" w:color="auto"/>
            </w:tcBorders>
            <w:shd w:val="clear" w:color="auto" w:fill="auto"/>
            <w:vAlign w:val="center"/>
          </w:tcPr>
          <w:p w:rsidR="000B5EFD" w:rsidRPr="00A75DF9" w:rsidRDefault="000B5EFD" w:rsidP="000B5EFD">
            <w:pPr>
              <w:pStyle w:val="TableText"/>
              <w:widowControl w:val="0"/>
              <w:rPr>
                <w:rFonts w:ascii="Tahoma" w:hAnsi="Tahoma" w:cs="Tahoma"/>
                <w:sz w:val="13"/>
              </w:rPr>
            </w:pPr>
            <w:r w:rsidRPr="00A75DF9">
              <w:rPr>
                <w:rFonts w:ascii="Tahoma" w:hAnsi="Tahoma" w:cs="Tahoma"/>
                <w:sz w:val="13"/>
              </w:rPr>
              <w:t>OSB</w:t>
            </w:r>
          </w:p>
        </w:tc>
        <w:tc>
          <w:tcPr>
            <w:tcW w:w="356" w:type="dxa"/>
            <w:tcBorders>
              <w:left w:val="single" w:sz="18" w:space="0" w:color="auto"/>
              <w:bottom w:val="single" w:sz="4" w:space="0" w:color="auto"/>
            </w:tcBorders>
            <w:shd w:val="clear" w:color="auto" w:fill="auto"/>
            <w:vAlign w:val="center"/>
          </w:tcPr>
          <w:p w:rsidR="000B5EFD" w:rsidRPr="00A75DF9" w:rsidRDefault="000B5EFD" w:rsidP="000B5EF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0B5EFD" w:rsidRPr="00A75DF9" w:rsidRDefault="000B5EFD" w:rsidP="000B5EFD">
            <w:pPr>
              <w:pStyle w:val="TableText"/>
              <w:widowControl w:val="0"/>
              <w:rPr>
                <w:rFonts w:ascii="Tahoma" w:hAnsi="Tahoma" w:cs="Tahoma"/>
                <w:sz w:val="13"/>
              </w:rPr>
            </w:pPr>
          </w:p>
        </w:tc>
        <w:tc>
          <w:tcPr>
            <w:tcW w:w="455" w:type="dxa"/>
            <w:tcBorders>
              <w:bottom w:val="single" w:sz="4" w:space="0" w:color="auto"/>
            </w:tcBorders>
            <w:shd w:val="clear" w:color="auto" w:fill="auto"/>
            <w:vAlign w:val="center"/>
          </w:tcPr>
          <w:p w:rsidR="000B5EFD" w:rsidRPr="00A75DF9" w:rsidRDefault="000B5EFD" w:rsidP="000B5EFD">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0B5EFD" w:rsidRPr="00A75DF9" w:rsidRDefault="000B5EFD" w:rsidP="000B5EFD">
            <w:pPr>
              <w:pStyle w:val="TableText"/>
              <w:widowControl w:val="0"/>
              <w:rPr>
                <w:rFonts w:ascii="Tahoma" w:hAnsi="Tahoma" w:cs="Tahoma"/>
                <w:sz w:val="13"/>
              </w:rPr>
            </w:pPr>
          </w:p>
        </w:tc>
        <w:tc>
          <w:tcPr>
            <w:tcW w:w="445" w:type="dxa"/>
            <w:tcBorders>
              <w:bottom w:val="single" w:sz="4" w:space="0" w:color="auto"/>
            </w:tcBorders>
            <w:shd w:val="clear" w:color="auto" w:fill="auto"/>
            <w:vAlign w:val="center"/>
          </w:tcPr>
          <w:p w:rsidR="000B5EFD" w:rsidRPr="00A75DF9" w:rsidRDefault="000B5EFD" w:rsidP="000B5EF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0B5EFD" w:rsidRPr="00A75DF9" w:rsidRDefault="000B5EFD" w:rsidP="000B5EFD">
            <w:pPr>
              <w:pStyle w:val="TableText"/>
              <w:widowControl w:val="0"/>
              <w:rPr>
                <w:rFonts w:ascii="Tahoma" w:hAnsi="Tahoma" w:cs="Tahoma"/>
                <w:sz w:val="13"/>
              </w:rPr>
            </w:pPr>
          </w:p>
        </w:tc>
        <w:tc>
          <w:tcPr>
            <w:tcW w:w="374" w:type="dxa"/>
            <w:tcBorders>
              <w:bottom w:val="single" w:sz="4" w:space="0" w:color="auto"/>
              <w:right w:val="single" w:sz="18" w:space="0" w:color="auto"/>
            </w:tcBorders>
            <w:shd w:val="clear" w:color="auto" w:fill="auto"/>
            <w:vAlign w:val="center"/>
          </w:tcPr>
          <w:p w:rsidR="000B5EFD" w:rsidRPr="00A75DF9" w:rsidRDefault="000B5EFD" w:rsidP="000B5EFD">
            <w:pPr>
              <w:pStyle w:val="TableText"/>
              <w:widowControl w:val="0"/>
              <w:rPr>
                <w:rFonts w:ascii="Tahoma" w:hAnsi="Tahoma" w:cs="Tahoma"/>
                <w:sz w:val="13"/>
              </w:rPr>
            </w:pPr>
          </w:p>
        </w:tc>
        <w:tc>
          <w:tcPr>
            <w:tcW w:w="455" w:type="dxa"/>
            <w:tcBorders>
              <w:left w:val="single" w:sz="18" w:space="0" w:color="auto"/>
              <w:bottom w:val="single" w:sz="4" w:space="0" w:color="auto"/>
            </w:tcBorders>
            <w:shd w:val="clear" w:color="auto" w:fill="auto"/>
            <w:vAlign w:val="center"/>
          </w:tcPr>
          <w:p w:rsidR="000B5EFD" w:rsidRPr="00A75DF9" w:rsidRDefault="000B5EFD" w:rsidP="000B5EFD">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0B5EFD" w:rsidRPr="00A75DF9" w:rsidRDefault="000B5EFD" w:rsidP="000B5EFD">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0B5EFD" w:rsidRPr="00A75DF9" w:rsidRDefault="000B5EFD" w:rsidP="000B5EFD">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0B5EFD" w:rsidRPr="00A75DF9" w:rsidRDefault="000B5EFD" w:rsidP="000B5EFD">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0B5EFD" w:rsidRPr="00A75DF9" w:rsidRDefault="00D55AB9" w:rsidP="000B5EFD">
            <w:pPr>
              <w:pStyle w:val="TableText"/>
              <w:widowControl w:val="0"/>
              <w:rPr>
                <w:rFonts w:ascii="Tahoma" w:hAnsi="Tahoma" w:cs="Tahoma"/>
                <w:sz w:val="13"/>
              </w:rPr>
            </w:pPr>
            <w:r w:rsidRPr="00A75DF9">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auto"/>
            <w:vAlign w:val="center"/>
          </w:tcPr>
          <w:p w:rsidR="000B5EFD" w:rsidRPr="00A75DF9" w:rsidRDefault="000B5EFD" w:rsidP="000B5EFD">
            <w:pPr>
              <w:pStyle w:val="TableText"/>
              <w:widowControl w:val="0"/>
              <w:rPr>
                <w:rFonts w:ascii="Tahoma" w:hAnsi="Tahoma" w:cs="Tahoma"/>
                <w:sz w:val="13"/>
              </w:rPr>
            </w:pPr>
          </w:p>
        </w:tc>
        <w:tc>
          <w:tcPr>
            <w:tcW w:w="450" w:type="dxa"/>
            <w:tcBorders>
              <w:bottom w:val="single" w:sz="4" w:space="0" w:color="auto"/>
            </w:tcBorders>
            <w:shd w:val="clear" w:color="auto" w:fill="auto"/>
          </w:tcPr>
          <w:p w:rsidR="000B5EFD" w:rsidRPr="00A75DF9" w:rsidRDefault="000B5EFD" w:rsidP="000B5EFD">
            <w:pPr>
              <w:pStyle w:val="TableText"/>
              <w:widowControl w:val="0"/>
              <w:spacing w:before="120"/>
              <w:rPr>
                <w:rFonts w:ascii="Tahoma" w:hAnsi="Tahoma" w:cs="Tahoma"/>
                <w:sz w:val="13"/>
              </w:rPr>
            </w:pPr>
          </w:p>
        </w:tc>
        <w:tc>
          <w:tcPr>
            <w:tcW w:w="539" w:type="dxa"/>
            <w:tcBorders>
              <w:bottom w:val="single" w:sz="4" w:space="0" w:color="auto"/>
            </w:tcBorders>
            <w:shd w:val="clear" w:color="auto" w:fill="auto"/>
            <w:vAlign w:val="center"/>
          </w:tcPr>
          <w:p w:rsidR="000B5EFD" w:rsidRPr="00A75DF9" w:rsidRDefault="000B5EFD" w:rsidP="000B5EFD">
            <w:pPr>
              <w:pStyle w:val="TableText"/>
              <w:widowControl w:val="0"/>
              <w:rPr>
                <w:rFonts w:ascii="Tahoma" w:hAnsi="Tahoma" w:cs="Tahoma"/>
                <w:sz w:val="13"/>
              </w:rPr>
            </w:pPr>
          </w:p>
        </w:tc>
      </w:tr>
      <w:tr w:rsidR="00A53298" w:rsidRPr="00A75DF9" w:rsidTr="008A1262">
        <w:trPr>
          <w:trHeight w:val="145"/>
        </w:trPr>
        <w:tc>
          <w:tcPr>
            <w:tcW w:w="2724" w:type="dxa"/>
            <w:gridSpan w:val="2"/>
            <w:tcBorders>
              <w:bottom w:val="single" w:sz="4" w:space="0" w:color="auto"/>
            </w:tcBorders>
            <w:shd w:val="clear" w:color="auto" w:fill="FABF8F"/>
            <w:vAlign w:val="center"/>
          </w:tcPr>
          <w:p w:rsidR="00A53298" w:rsidRPr="00A75DF9" w:rsidRDefault="00A53298" w:rsidP="008B1245">
            <w:pPr>
              <w:pStyle w:val="Heading2"/>
              <w:spacing w:beforeLines="20" w:before="48" w:afterLines="20" w:after="48"/>
              <w:ind w:left="0" w:firstLine="15"/>
              <w:rPr>
                <w:rFonts w:ascii="Tahoma" w:hAnsi="Tahoma" w:cs="Tahoma"/>
                <w:b w:val="0"/>
                <w:sz w:val="14"/>
                <w:szCs w:val="16"/>
              </w:rPr>
            </w:pPr>
            <w:bookmarkStart w:id="334" w:name="_Toc368310033"/>
            <w:r w:rsidRPr="00A75DF9">
              <w:rPr>
                <w:rFonts w:ascii="Tahoma" w:hAnsi="Tahoma" w:cs="Tahoma"/>
                <w:b w:val="0"/>
                <w:sz w:val="14"/>
                <w:szCs w:val="16"/>
              </w:rPr>
              <w:t>Componente Aggiuntivo di Office 365 Enterprise E1, E3, E4 (SL per Utente)</w:t>
            </w:r>
            <w:bookmarkEnd w:id="334"/>
          </w:p>
        </w:tc>
        <w:tc>
          <w:tcPr>
            <w:tcW w:w="448" w:type="dxa"/>
            <w:tcBorders>
              <w:bottom w:val="single" w:sz="4" w:space="0" w:color="auto"/>
            </w:tcBorders>
            <w:shd w:val="clear" w:color="auto" w:fill="FABF8F"/>
            <w:vAlign w:val="center"/>
          </w:tcPr>
          <w:p w:rsidR="00A53298" w:rsidRPr="00B41377" w:rsidRDefault="00B54770" w:rsidP="00132E08">
            <w:pPr>
              <w:pStyle w:val="TableText"/>
              <w:widowControl w:val="0"/>
              <w:rPr>
                <w:rFonts w:cs="Tahoma"/>
              </w:rPr>
            </w:pPr>
            <w:hyperlink w:anchor="_7_Add-on_User" w:history="1">
              <w:r w:rsidR="00734B17" w:rsidRPr="00B41377">
                <w:rPr>
                  <w:rStyle w:val="Hyperlink"/>
                  <w:rFonts w:cs="Tahoma"/>
                </w:rPr>
                <w:t>7</w:t>
              </w:r>
            </w:hyperlink>
          </w:p>
        </w:tc>
        <w:tc>
          <w:tcPr>
            <w:tcW w:w="449" w:type="dxa"/>
            <w:tcBorders>
              <w:bottom w:val="single" w:sz="4" w:space="0" w:color="auto"/>
            </w:tcBorders>
            <w:shd w:val="clear" w:color="auto" w:fill="FABF8F"/>
          </w:tcPr>
          <w:p w:rsidR="00A53298" w:rsidRPr="00A75DF9" w:rsidRDefault="00A53298" w:rsidP="001A63C6">
            <w:pPr>
              <w:pStyle w:val="TableText"/>
              <w:widowControl w:val="0"/>
              <w:spacing w:before="120"/>
              <w:rPr>
                <w:rFonts w:ascii="Tahoma" w:hAnsi="Tahoma" w:cs="Tahoma"/>
                <w:color w:val="000000"/>
                <w:sz w:val="13"/>
              </w:rPr>
            </w:pPr>
            <w:r w:rsidRPr="00A75DF9">
              <w:rPr>
                <w:rFonts w:ascii="Tahoma" w:hAnsi="Tahoma" w:cs="Tahoma"/>
                <w:color w:val="000000"/>
                <w:sz w:val="13"/>
              </w:rPr>
              <w:t>08/13</w:t>
            </w:r>
          </w:p>
        </w:tc>
        <w:tc>
          <w:tcPr>
            <w:tcW w:w="359" w:type="dxa"/>
            <w:tcBorders>
              <w:bottom w:val="single" w:sz="4" w:space="0" w:color="auto"/>
              <w:right w:val="single" w:sz="18" w:space="0" w:color="auto"/>
            </w:tcBorders>
            <w:shd w:val="clear" w:color="auto" w:fill="FABF8F"/>
            <w:vAlign w:val="center"/>
          </w:tcPr>
          <w:p w:rsidR="00A53298" w:rsidRPr="00A75DF9" w:rsidRDefault="00A53298" w:rsidP="001A63C6">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FABF8F"/>
            <w:vAlign w:val="center"/>
          </w:tcPr>
          <w:p w:rsidR="00A53298" w:rsidRPr="00A75DF9" w:rsidRDefault="00A53298"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3298" w:rsidRPr="00A75DF9" w:rsidRDefault="00A53298" w:rsidP="001A63C6">
            <w:pPr>
              <w:pStyle w:val="TableText"/>
              <w:widowControl w:val="0"/>
              <w:rPr>
                <w:rFonts w:ascii="Tahoma" w:hAnsi="Tahoma" w:cs="Tahoma"/>
                <w:sz w:val="13"/>
              </w:rPr>
            </w:pPr>
          </w:p>
        </w:tc>
        <w:tc>
          <w:tcPr>
            <w:tcW w:w="455" w:type="dxa"/>
            <w:tcBorders>
              <w:bottom w:val="single" w:sz="4" w:space="0" w:color="auto"/>
            </w:tcBorders>
            <w:shd w:val="clear" w:color="auto" w:fill="FABF8F"/>
            <w:vAlign w:val="center"/>
          </w:tcPr>
          <w:p w:rsidR="00A53298" w:rsidRPr="00A75DF9" w:rsidRDefault="00A53298"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A53298" w:rsidRPr="00A75DF9" w:rsidRDefault="00A53298" w:rsidP="001A63C6">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A53298" w:rsidRPr="00A75DF9" w:rsidRDefault="00A53298"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3298" w:rsidRPr="00A75DF9" w:rsidRDefault="00A53298" w:rsidP="001A63C6">
            <w:pPr>
              <w:pStyle w:val="TableText"/>
              <w:widowControl w:val="0"/>
              <w:rPr>
                <w:rFonts w:ascii="Tahoma" w:hAnsi="Tahoma" w:cs="Tahoma"/>
                <w:sz w:val="13"/>
              </w:rPr>
            </w:pPr>
          </w:p>
        </w:tc>
        <w:tc>
          <w:tcPr>
            <w:tcW w:w="374" w:type="dxa"/>
            <w:tcBorders>
              <w:bottom w:val="single" w:sz="4" w:space="0" w:color="auto"/>
              <w:right w:val="single" w:sz="18" w:space="0" w:color="auto"/>
            </w:tcBorders>
            <w:shd w:val="clear" w:color="auto" w:fill="FABF8F"/>
            <w:vAlign w:val="center"/>
          </w:tcPr>
          <w:p w:rsidR="00A53298" w:rsidRPr="00A75DF9" w:rsidRDefault="00A53298" w:rsidP="001A63C6">
            <w:pPr>
              <w:pStyle w:val="TableText"/>
              <w:widowControl w:val="0"/>
              <w:rPr>
                <w:rFonts w:ascii="Tahoma" w:hAnsi="Tahoma" w:cs="Tahoma"/>
                <w:sz w:val="13"/>
              </w:rPr>
            </w:pPr>
          </w:p>
        </w:tc>
        <w:tc>
          <w:tcPr>
            <w:tcW w:w="455" w:type="dxa"/>
            <w:tcBorders>
              <w:left w:val="single" w:sz="18" w:space="0" w:color="auto"/>
              <w:bottom w:val="single" w:sz="4" w:space="0" w:color="auto"/>
            </w:tcBorders>
            <w:shd w:val="clear" w:color="auto" w:fill="FABF8F"/>
            <w:vAlign w:val="center"/>
          </w:tcPr>
          <w:p w:rsidR="00A53298" w:rsidRPr="00A75DF9" w:rsidRDefault="00A53298"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A53298" w:rsidRPr="00A75DF9" w:rsidRDefault="00A53298"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3298" w:rsidRPr="00A75DF9" w:rsidRDefault="00A53298"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3298" w:rsidRPr="00A75DF9" w:rsidRDefault="00A53298"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3298" w:rsidRPr="00A75DF9" w:rsidRDefault="00A53298" w:rsidP="001A63C6">
            <w:pPr>
              <w:pStyle w:val="TableText"/>
              <w:widowControl w:val="0"/>
              <w:rPr>
                <w:rFonts w:ascii="Tahoma" w:hAnsi="Tahoma" w:cs="Tahoma"/>
                <w:sz w:val="13"/>
              </w:rPr>
            </w:pPr>
            <w:r w:rsidRPr="00A75D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A53298" w:rsidRPr="00A75DF9" w:rsidRDefault="00A53298"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A53298" w:rsidRPr="00A75DF9" w:rsidRDefault="00A53298" w:rsidP="001A63C6">
            <w:pPr>
              <w:pStyle w:val="TableText"/>
              <w:widowControl w:val="0"/>
              <w:spacing w:before="120"/>
              <w:rPr>
                <w:rFonts w:ascii="Tahoma" w:hAnsi="Tahoma" w:cs="Tahoma"/>
                <w:sz w:val="13"/>
              </w:rPr>
            </w:pPr>
          </w:p>
        </w:tc>
        <w:tc>
          <w:tcPr>
            <w:tcW w:w="539" w:type="dxa"/>
            <w:tcBorders>
              <w:bottom w:val="single" w:sz="4" w:space="0" w:color="auto"/>
            </w:tcBorders>
            <w:shd w:val="clear" w:color="auto" w:fill="FABF8F"/>
            <w:vAlign w:val="center"/>
          </w:tcPr>
          <w:p w:rsidR="00A53298" w:rsidRPr="00A75DF9" w:rsidRDefault="00A53298" w:rsidP="001A63C6">
            <w:pPr>
              <w:pStyle w:val="TableText"/>
              <w:widowControl w:val="0"/>
              <w:rPr>
                <w:rFonts w:ascii="Tahoma" w:hAnsi="Tahoma" w:cs="Tahoma"/>
                <w:sz w:val="13"/>
              </w:rPr>
            </w:pPr>
          </w:p>
        </w:tc>
      </w:tr>
      <w:tr w:rsidR="000F51BC" w:rsidRPr="00A75DF9" w:rsidDel="00436016" w:rsidTr="008A1262">
        <w:trPr>
          <w:trHeight w:val="145"/>
        </w:trPr>
        <w:tc>
          <w:tcPr>
            <w:tcW w:w="2724" w:type="dxa"/>
            <w:gridSpan w:val="2"/>
            <w:tcBorders>
              <w:bottom w:val="single" w:sz="4" w:space="0" w:color="auto"/>
            </w:tcBorders>
            <w:shd w:val="clear" w:color="auto" w:fill="auto"/>
            <w:vAlign w:val="center"/>
          </w:tcPr>
          <w:p w:rsidR="00273EB9" w:rsidRPr="00A75DF9" w:rsidRDefault="00273EB9" w:rsidP="008B1245">
            <w:pPr>
              <w:pStyle w:val="Heading2"/>
              <w:spacing w:beforeLines="20" w:before="48" w:afterLines="20" w:after="48"/>
              <w:ind w:left="0" w:firstLine="15"/>
              <w:rPr>
                <w:rFonts w:ascii="Tahoma" w:hAnsi="Tahoma" w:cs="Tahoma"/>
                <w:b w:val="0"/>
                <w:sz w:val="14"/>
                <w:szCs w:val="16"/>
              </w:rPr>
            </w:pPr>
            <w:bookmarkStart w:id="335" w:name="_Toc368310034"/>
            <w:r w:rsidRPr="00A75DF9">
              <w:rPr>
                <w:rFonts w:ascii="Tahoma" w:hAnsi="Tahoma" w:cs="Tahoma"/>
                <w:b w:val="0"/>
                <w:sz w:val="14"/>
                <w:szCs w:val="16"/>
              </w:rPr>
              <w:t>Office 365 Enterprise E3, E4 senza Componente Aggiuntivo di Office Pro Plus (SL per Utente)</w:t>
            </w:r>
            <w:bookmarkEnd w:id="335"/>
          </w:p>
        </w:tc>
        <w:tc>
          <w:tcPr>
            <w:tcW w:w="448" w:type="dxa"/>
            <w:tcBorders>
              <w:bottom w:val="single" w:sz="4" w:space="0" w:color="auto"/>
            </w:tcBorders>
            <w:shd w:val="clear" w:color="auto" w:fill="auto"/>
            <w:vAlign w:val="center"/>
          </w:tcPr>
          <w:p w:rsidR="00273EB9" w:rsidRPr="00B41377" w:rsidRDefault="00B54770" w:rsidP="00132E08">
            <w:pPr>
              <w:pStyle w:val="TableText"/>
              <w:widowControl w:val="0"/>
              <w:rPr>
                <w:rFonts w:cs="Tahoma"/>
              </w:rPr>
            </w:pPr>
            <w:hyperlink w:anchor="_7_Add-on_User" w:history="1">
              <w:r w:rsidR="0003250E" w:rsidRPr="00B41377">
                <w:rPr>
                  <w:rStyle w:val="Hyperlink"/>
                  <w:rFonts w:cs="Tahoma"/>
                </w:rPr>
                <w:t>7</w:t>
              </w:r>
            </w:hyperlink>
          </w:p>
        </w:tc>
        <w:tc>
          <w:tcPr>
            <w:tcW w:w="449" w:type="dxa"/>
            <w:tcBorders>
              <w:bottom w:val="single" w:sz="4" w:space="0" w:color="auto"/>
            </w:tcBorders>
            <w:shd w:val="clear" w:color="auto" w:fill="auto"/>
          </w:tcPr>
          <w:p w:rsidR="00273EB9" w:rsidRPr="00A75DF9" w:rsidRDefault="00273EB9" w:rsidP="001A63C6">
            <w:pPr>
              <w:pStyle w:val="TableText"/>
              <w:widowControl w:val="0"/>
              <w:spacing w:before="120"/>
              <w:rPr>
                <w:rFonts w:ascii="Tahoma" w:hAnsi="Tahoma" w:cs="Tahoma"/>
                <w:color w:val="000000"/>
                <w:sz w:val="13"/>
              </w:rPr>
            </w:pPr>
            <w:r w:rsidRPr="00A75DF9">
              <w:rPr>
                <w:rFonts w:ascii="Tahoma" w:hAnsi="Tahoma" w:cs="Tahoma"/>
                <w:color w:val="000000"/>
                <w:sz w:val="13"/>
              </w:rPr>
              <w:t>08/13</w:t>
            </w:r>
          </w:p>
        </w:tc>
        <w:tc>
          <w:tcPr>
            <w:tcW w:w="359" w:type="dxa"/>
            <w:tcBorders>
              <w:bottom w:val="single" w:sz="4" w:space="0" w:color="auto"/>
              <w:right w:val="single" w:sz="18" w:space="0" w:color="auto"/>
            </w:tcBorders>
            <w:shd w:val="clear" w:color="auto" w:fill="auto"/>
            <w:vAlign w:val="center"/>
          </w:tcPr>
          <w:p w:rsidR="00273EB9" w:rsidRPr="00A75DF9" w:rsidRDefault="00273EB9" w:rsidP="001A63C6">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auto"/>
            <w:vAlign w:val="center"/>
          </w:tcPr>
          <w:p w:rsidR="00273EB9" w:rsidRPr="00A75DF9" w:rsidDel="00436016" w:rsidRDefault="00273EB9"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273EB9" w:rsidRPr="00A75DF9" w:rsidDel="00436016" w:rsidRDefault="00273EB9" w:rsidP="001A63C6">
            <w:pPr>
              <w:pStyle w:val="TableText"/>
              <w:widowControl w:val="0"/>
              <w:rPr>
                <w:rFonts w:ascii="Tahoma" w:hAnsi="Tahoma" w:cs="Tahoma"/>
                <w:sz w:val="13"/>
              </w:rPr>
            </w:pPr>
          </w:p>
        </w:tc>
        <w:tc>
          <w:tcPr>
            <w:tcW w:w="455" w:type="dxa"/>
            <w:tcBorders>
              <w:bottom w:val="single" w:sz="4" w:space="0" w:color="auto"/>
            </w:tcBorders>
            <w:shd w:val="clear" w:color="auto" w:fill="auto"/>
            <w:vAlign w:val="center"/>
          </w:tcPr>
          <w:p w:rsidR="00273EB9" w:rsidRPr="00A75DF9" w:rsidDel="00436016" w:rsidRDefault="00273EB9"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273EB9" w:rsidRPr="00A75DF9" w:rsidDel="00436016" w:rsidRDefault="00273EB9" w:rsidP="001A63C6">
            <w:pPr>
              <w:pStyle w:val="TableText"/>
              <w:widowControl w:val="0"/>
              <w:rPr>
                <w:rFonts w:ascii="Tahoma" w:hAnsi="Tahoma" w:cs="Tahoma"/>
                <w:sz w:val="13"/>
              </w:rPr>
            </w:pPr>
          </w:p>
        </w:tc>
        <w:tc>
          <w:tcPr>
            <w:tcW w:w="445" w:type="dxa"/>
            <w:tcBorders>
              <w:bottom w:val="single" w:sz="4" w:space="0" w:color="auto"/>
            </w:tcBorders>
            <w:shd w:val="clear" w:color="auto" w:fill="auto"/>
            <w:vAlign w:val="center"/>
          </w:tcPr>
          <w:p w:rsidR="00273EB9" w:rsidRPr="00A75DF9" w:rsidDel="00436016" w:rsidRDefault="00273EB9"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273EB9" w:rsidRPr="00A75DF9" w:rsidDel="00436016" w:rsidRDefault="00273EB9" w:rsidP="001A63C6">
            <w:pPr>
              <w:pStyle w:val="TableText"/>
              <w:widowControl w:val="0"/>
              <w:rPr>
                <w:rFonts w:ascii="Tahoma" w:hAnsi="Tahoma" w:cs="Tahoma"/>
                <w:sz w:val="13"/>
              </w:rPr>
            </w:pPr>
          </w:p>
        </w:tc>
        <w:tc>
          <w:tcPr>
            <w:tcW w:w="374" w:type="dxa"/>
            <w:tcBorders>
              <w:bottom w:val="single" w:sz="4" w:space="0" w:color="auto"/>
              <w:right w:val="single" w:sz="18" w:space="0" w:color="auto"/>
            </w:tcBorders>
            <w:shd w:val="clear" w:color="auto" w:fill="auto"/>
            <w:vAlign w:val="center"/>
          </w:tcPr>
          <w:p w:rsidR="00273EB9" w:rsidRPr="00A75DF9" w:rsidDel="00436016" w:rsidRDefault="00273EB9" w:rsidP="001A63C6">
            <w:pPr>
              <w:pStyle w:val="TableText"/>
              <w:widowControl w:val="0"/>
              <w:rPr>
                <w:rFonts w:ascii="Tahoma" w:hAnsi="Tahoma" w:cs="Tahoma"/>
                <w:sz w:val="13"/>
              </w:rPr>
            </w:pPr>
          </w:p>
        </w:tc>
        <w:tc>
          <w:tcPr>
            <w:tcW w:w="455" w:type="dxa"/>
            <w:tcBorders>
              <w:left w:val="single" w:sz="18" w:space="0" w:color="auto"/>
              <w:bottom w:val="single" w:sz="4" w:space="0" w:color="auto"/>
            </w:tcBorders>
            <w:shd w:val="clear" w:color="auto" w:fill="auto"/>
            <w:vAlign w:val="center"/>
          </w:tcPr>
          <w:p w:rsidR="00273EB9" w:rsidRPr="00A75DF9" w:rsidDel="00436016" w:rsidRDefault="00273EB9"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273EB9" w:rsidRPr="00A75DF9" w:rsidDel="00436016" w:rsidRDefault="00273EB9"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273EB9" w:rsidRPr="00A75DF9" w:rsidDel="00436016" w:rsidRDefault="00273EB9"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273EB9" w:rsidRPr="00A75DF9" w:rsidDel="00436016" w:rsidRDefault="00273EB9"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273EB9" w:rsidRPr="00A75DF9" w:rsidRDefault="00273EB9" w:rsidP="001A63C6">
            <w:pPr>
              <w:pStyle w:val="TableText"/>
              <w:widowControl w:val="0"/>
              <w:rPr>
                <w:rFonts w:ascii="Tahoma" w:hAnsi="Tahoma" w:cs="Tahoma"/>
                <w:sz w:val="13"/>
              </w:rPr>
            </w:pPr>
            <w:r w:rsidRPr="00A75D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273EB9" w:rsidRPr="00A75DF9" w:rsidDel="00436016" w:rsidRDefault="00273EB9"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273EB9" w:rsidRPr="00A75DF9" w:rsidDel="00436016" w:rsidRDefault="00273EB9" w:rsidP="001A63C6">
            <w:pPr>
              <w:pStyle w:val="TableText"/>
              <w:widowControl w:val="0"/>
              <w:spacing w:before="120"/>
              <w:rPr>
                <w:rFonts w:ascii="Tahoma" w:hAnsi="Tahoma" w:cs="Tahoma"/>
                <w:sz w:val="13"/>
              </w:rPr>
            </w:pPr>
          </w:p>
        </w:tc>
        <w:tc>
          <w:tcPr>
            <w:tcW w:w="539" w:type="dxa"/>
            <w:tcBorders>
              <w:bottom w:val="single" w:sz="4" w:space="0" w:color="auto"/>
            </w:tcBorders>
            <w:shd w:val="clear" w:color="auto" w:fill="auto"/>
            <w:vAlign w:val="center"/>
          </w:tcPr>
          <w:p w:rsidR="00273EB9" w:rsidRPr="00A75DF9" w:rsidDel="00436016" w:rsidRDefault="00273EB9" w:rsidP="001A63C6">
            <w:pPr>
              <w:pStyle w:val="TableText"/>
              <w:widowControl w:val="0"/>
              <w:rPr>
                <w:rFonts w:ascii="Tahoma" w:hAnsi="Tahoma" w:cs="Tahoma"/>
                <w:sz w:val="13"/>
              </w:rPr>
            </w:pPr>
          </w:p>
        </w:tc>
      </w:tr>
      <w:tr w:rsidR="00B33D0E" w:rsidRPr="00A75DF9" w:rsidDel="00436016" w:rsidTr="008A1262">
        <w:trPr>
          <w:trHeight w:val="145"/>
        </w:trPr>
        <w:tc>
          <w:tcPr>
            <w:tcW w:w="2724" w:type="dxa"/>
            <w:gridSpan w:val="2"/>
            <w:tcBorders>
              <w:bottom w:val="single" w:sz="4" w:space="0" w:color="auto"/>
            </w:tcBorders>
            <w:shd w:val="clear" w:color="auto" w:fill="FABF8F"/>
            <w:vAlign w:val="center"/>
          </w:tcPr>
          <w:p w:rsidR="001A63C6" w:rsidRPr="00A75DF9" w:rsidDel="00436016" w:rsidRDefault="001A63C6" w:rsidP="008B1245">
            <w:pPr>
              <w:pStyle w:val="Heading2"/>
              <w:spacing w:beforeLines="20" w:before="48" w:afterLines="20" w:after="48"/>
              <w:ind w:left="0" w:firstLine="15"/>
              <w:rPr>
                <w:rFonts w:ascii="Tahoma" w:hAnsi="Tahoma" w:cs="Tahoma"/>
                <w:b w:val="0"/>
                <w:sz w:val="14"/>
                <w:szCs w:val="16"/>
              </w:rPr>
            </w:pPr>
            <w:bookmarkStart w:id="336" w:name="_Toc336338030"/>
            <w:bookmarkStart w:id="337" w:name="_Toc368310035"/>
            <w:r w:rsidRPr="00A75DF9">
              <w:rPr>
                <w:rFonts w:ascii="Tahoma" w:hAnsi="Tahoma" w:cs="Tahoma"/>
                <w:b w:val="0"/>
                <w:sz w:val="14"/>
                <w:szCs w:val="16"/>
              </w:rPr>
              <w:t>Office 365 Enterprise K1 (SL per Utente)</w:t>
            </w:r>
            <w:bookmarkEnd w:id="336"/>
            <w:bookmarkEnd w:id="337"/>
          </w:p>
        </w:tc>
        <w:tc>
          <w:tcPr>
            <w:tcW w:w="448" w:type="dxa"/>
            <w:tcBorders>
              <w:bottom w:val="single" w:sz="4" w:space="0" w:color="auto"/>
            </w:tcBorders>
            <w:shd w:val="clear" w:color="auto" w:fill="FABF8F"/>
            <w:vAlign w:val="center"/>
          </w:tcPr>
          <w:p w:rsidR="001A63C6" w:rsidRPr="00B41377" w:rsidDel="00436016" w:rsidRDefault="00B54770" w:rsidP="00796355">
            <w:pPr>
              <w:pStyle w:val="TableText"/>
              <w:widowControl w:val="0"/>
              <w:rPr>
                <w:rFonts w:cs="Tahoma"/>
                <w:b/>
                <w:color w:val="0000FF"/>
                <w:sz w:val="13"/>
                <w:szCs w:val="13"/>
                <w:u w:val="single"/>
              </w:rPr>
            </w:pPr>
            <w:hyperlink w:anchor="_75_Office_365" w:history="1">
              <w:r w:rsidR="00734B17" w:rsidRPr="00B41377">
                <w:rPr>
                  <w:rStyle w:val="Hyperlink"/>
                  <w:rFonts w:cs="Tahoma"/>
                  <w:b/>
                  <w:sz w:val="13"/>
                  <w:szCs w:val="13"/>
                </w:rPr>
                <w:t>76</w:t>
              </w:r>
            </w:hyperlink>
            <w:hyperlink w:anchor="_69_Office_365_1" w:history="1"/>
          </w:p>
        </w:tc>
        <w:tc>
          <w:tcPr>
            <w:tcW w:w="449" w:type="dxa"/>
            <w:tcBorders>
              <w:bottom w:val="single" w:sz="4" w:space="0" w:color="auto"/>
            </w:tcBorders>
            <w:shd w:val="clear" w:color="auto" w:fill="FABF8F"/>
          </w:tcPr>
          <w:p w:rsidR="001A63C6" w:rsidRPr="00A75DF9" w:rsidDel="00436016" w:rsidRDefault="001A63C6" w:rsidP="001A63C6">
            <w:pPr>
              <w:pStyle w:val="TableText"/>
              <w:widowControl w:val="0"/>
              <w:spacing w:before="120"/>
              <w:rPr>
                <w:rFonts w:ascii="Tahoma" w:hAnsi="Tahoma" w:cs="Tahoma"/>
                <w:color w:val="000000"/>
                <w:sz w:val="13"/>
              </w:rPr>
            </w:pPr>
            <w:r w:rsidRPr="00A75DF9">
              <w:rPr>
                <w:rFonts w:ascii="Tahoma" w:hAnsi="Tahoma" w:cs="Tahoma"/>
                <w:color w:val="000000"/>
                <w:sz w:val="13"/>
              </w:rPr>
              <w:t>06/11</w:t>
            </w:r>
          </w:p>
        </w:tc>
        <w:tc>
          <w:tcPr>
            <w:tcW w:w="359" w:type="dxa"/>
            <w:tcBorders>
              <w:bottom w:val="single" w:sz="4" w:space="0" w:color="auto"/>
              <w:right w:val="single" w:sz="18" w:space="0" w:color="auto"/>
            </w:tcBorders>
            <w:shd w:val="clear" w:color="auto" w:fill="FABF8F"/>
            <w:vAlign w:val="center"/>
          </w:tcPr>
          <w:p w:rsidR="001A63C6" w:rsidRPr="00A75DF9" w:rsidDel="00436016" w:rsidRDefault="001A63C6" w:rsidP="001A63C6">
            <w:pPr>
              <w:pStyle w:val="TableText"/>
              <w:widowControl w:val="0"/>
              <w:rPr>
                <w:rFonts w:ascii="Tahoma" w:hAnsi="Tahoma" w:cs="Tahoma"/>
                <w:sz w:val="13"/>
              </w:rPr>
            </w:pPr>
            <w:r w:rsidRPr="00A75DF9">
              <w:rPr>
                <w:rFonts w:ascii="Tahoma" w:hAnsi="Tahoma" w:cs="Tahoma"/>
                <w:sz w:val="13"/>
              </w:rPr>
              <w:t>OSB</w:t>
            </w:r>
          </w:p>
        </w:tc>
        <w:tc>
          <w:tcPr>
            <w:tcW w:w="356" w:type="dxa"/>
            <w:tcBorders>
              <w:left w:val="single" w:sz="18" w:space="0" w:color="auto"/>
              <w:bottom w:val="single" w:sz="4" w:space="0" w:color="auto"/>
            </w:tcBorders>
            <w:shd w:val="clear" w:color="auto" w:fill="FABF8F"/>
            <w:vAlign w:val="center"/>
          </w:tcPr>
          <w:p w:rsidR="001A63C6" w:rsidRPr="00A75DF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Del="00436016" w:rsidRDefault="001A63C6" w:rsidP="001A63C6">
            <w:pPr>
              <w:pStyle w:val="TableText"/>
              <w:widowControl w:val="0"/>
              <w:rPr>
                <w:rFonts w:ascii="Tahoma" w:hAnsi="Tahoma" w:cs="Tahoma"/>
                <w:sz w:val="13"/>
              </w:rPr>
            </w:pPr>
          </w:p>
        </w:tc>
        <w:tc>
          <w:tcPr>
            <w:tcW w:w="455" w:type="dxa"/>
            <w:tcBorders>
              <w:bottom w:val="single" w:sz="4" w:space="0" w:color="auto"/>
            </w:tcBorders>
            <w:shd w:val="clear" w:color="auto" w:fill="FABF8F"/>
            <w:vAlign w:val="center"/>
          </w:tcPr>
          <w:p w:rsidR="001A63C6" w:rsidRPr="00A75DF9" w:rsidDel="00436016"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A75DF9" w:rsidDel="00436016" w:rsidRDefault="001A63C6" w:rsidP="001A63C6">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1A63C6" w:rsidRPr="00A75DF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Del="00436016" w:rsidRDefault="001A63C6" w:rsidP="001A63C6">
            <w:pPr>
              <w:pStyle w:val="TableText"/>
              <w:widowControl w:val="0"/>
              <w:rPr>
                <w:rFonts w:ascii="Tahoma" w:hAnsi="Tahoma" w:cs="Tahoma"/>
                <w:sz w:val="13"/>
              </w:rPr>
            </w:pPr>
          </w:p>
        </w:tc>
        <w:tc>
          <w:tcPr>
            <w:tcW w:w="374" w:type="dxa"/>
            <w:tcBorders>
              <w:bottom w:val="single" w:sz="4" w:space="0" w:color="auto"/>
              <w:right w:val="single" w:sz="18" w:space="0" w:color="auto"/>
            </w:tcBorders>
            <w:shd w:val="clear" w:color="auto" w:fill="FABF8F"/>
            <w:vAlign w:val="center"/>
          </w:tcPr>
          <w:p w:rsidR="001A63C6" w:rsidRPr="00A75DF9" w:rsidDel="00436016" w:rsidRDefault="001A63C6" w:rsidP="001A63C6">
            <w:pPr>
              <w:pStyle w:val="TableText"/>
              <w:widowControl w:val="0"/>
              <w:rPr>
                <w:rFonts w:ascii="Tahoma" w:hAnsi="Tahoma" w:cs="Tahoma"/>
                <w:sz w:val="13"/>
              </w:rPr>
            </w:pPr>
          </w:p>
        </w:tc>
        <w:tc>
          <w:tcPr>
            <w:tcW w:w="455" w:type="dxa"/>
            <w:tcBorders>
              <w:left w:val="single" w:sz="18" w:space="0" w:color="auto"/>
              <w:bottom w:val="single" w:sz="4" w:space="0" w:color="auto"/>
            </w:tcBorders>
            <w:shd w:val="clear" w:color="auto" w:fill="FABF8F"/>
            <w:vAlign w:val="center"/>
          </w:tcPr>
          <w:p w:rsidR="001A63C6" w:rsidRPr="00A75DF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75DF9" w:rsidDel="00436016"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75DF9" w:rsidDel="00436016"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75DF9" w:rsidDel="00436016" w:rsidRDefault="001A63C6" w:rsidP="001A63C6">
            <w:pPr>
              <w:pStyle w:val="TableText"/>
              <w:widowControl w:val="0"/>
              <w:rPr>
                <w:rFonts w:ascii="Tahoma" w:hAnsi="Tahoma" w:cs="Tahoma"/>
                <w:sz w:val="13"/>
              </w:rPr>
            </w:pPr>
            <w:r w:rsidRPr="00A75D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75DF9" w:rsidDel="00436016"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A75DF9" w:rsidDel="00436016" w:rsidRDefault="001A63C6" w:rsidP="001A63C6">
            <w:pPr>
              <w:pStyle w:val="TableText"/>
              <w:widowControl w:val="0"/>
              <w:spacing w:before="120"/>
              <w:rPr>
                <w:rFonts w:ascii="Tahoma" w:hAnsi="Tahoma" w:cs="Tahoma"/>
                <w:sz w:val="13"/>
              </w:rPr>
            </w:pPr>
          </w:p>
        </w:tc>
        <w:tc>
          <w:tcPr>
            <w:tcW w:w="539" w:type="dxa"/>
            <w:tcBorders>
              <w:bottom w:val="single" w:sz="4" w:space="0" w:color="auto"/>
            </w:tcBorders>
            <w:shd w:val="clear" w:color="auto" w:fill="FABF8F"/>
            <w:vAlign w:val="center"/>
          </w:tcPr>
          <w:p w:rsidR="001A63C6" w:rsidRPr="00A75DF9" w:rsidDel="00436016" w:rsidRDefault="001A63C6" w:rsidP="001A63C6">
            <w:pPr>
              <w:pStyle w:val="TableText"/>
              <w:widowControl w:val="0"/>
              <w:rPr>
                <w:rFonts w:ascii="Tahoma" w:hAnsi="Tahoma" w:cs="Tahoma"/>
                <w:sz w:val="13"/>
              </w:rPr>
            </w:pPr>
          </w:p>
        </w:tc>
      </w:tr>
      <w:tr w:rsidR="00500991" w:rsidRPr="00A75DF9" w:rsidDel="00436016" w:rsidTr="008A1262">
        <w:trPr>
          <w:trHeight w:val="145"/>
        </w:trPr>
        <w:tc>
          <w:tcPr>
            <w:tcW w:w="272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71AE2" w:rsidRPr="00A75DF9" w:rsidRDefault="00871AE2" w:rsidP="008B1245">
            <w:pPr>
              <w:pStyle w:val="Heading2"/>
              <w:spacing w:beforeLines="20" w:before="48" w:afterLines="20" w:after="48"/>
              <w:ind w:left="0" w:firstLine="15"/>
              <w:rPr>
                <w:rFonts w:ascii="Tahoma" w:hAnsi="Tahoma" w:cs="Tahoma"/>
                <w:b w:val="0"/>
                <w:sz w:val="14"/>
                <w:szCs w:val="16"/>
              </w:rPr>
            </w:pPr>
            <w:bookmarkStart w:id="338" w:name="_Toc368310036"/>
            <w:r w:rsidRPr="00A75DF9">
              <w:rPr>
                <w:rFonts w:ascii="Tahoma" w:hAnsi="Tahoma" w:cs="Tahoma"/>
                <w:b w:val="0"/>
                <w:sz w:val="14"/>
                <w:szCs w:val="16"/>
              </w:rPr>
              <w:t xml:space="preserve">Office 365 Government G1, G3, G4 </w:t>
            </w:r>
            <w:r w:rsidR="00B41377">
              <w:rPr>
                <w:rFonts w:ascii="Tahoma" w:hAnsi="Tahoma" w:cs="Tahoma"/>
                <w:b w:val="0"/>
                <w:sz w:val="14"/>
                <w:szCs w:val="16"/>
              </w:rPr>
              <w:br/>
            </w:r>
            <w:r w:rsidRPr="00A75DF9">
              <w:rPr>
                <w:rFonts w:ascii="Tahoma" w:hAnsi="Tahoma" w:cs="Tahoma"/>
                <w:b w:val="0"/>
                <w:sz w:val="14"/>
                <w:szCs w:val="16"/>
              </w:rPr>
              <w:t>(SL per Utente)</w:t>
            </w:r>
            <w:bookmarkEnd w:id="338"/>
          </w:p>
        </w:tc>
        <w:tc>
          <w:tcPr>
            <w:tcW w:w="448" w:type="dxa"/>
            <w:tcBorders>
              <w:top w:val="single" w:sz="4" w:space="0" w:color="auto"/>
              <w:left w:val="single" w:sz="4" w:space="0" w:color="auto"/>
              <w:bottom w:val="single" w:sz="4" w:space="0" w:color="auto"/>
              <w:right w:val="single" w:sz="4" w:space="0" w:color="auto"/>
            </w:tcBorders>
            <w:shd w:val="clear" w:color="auto" w:fill="auto"/>
            <w:vAlign w:val="center"/>
          </w:tcPr>
          <w:p w:rsidR="00871AE2" w:rsidRPr="00B41377" w:rsidRDefault="00B54770" w:rsidP="00FC0808">
            <w:pPr>
              <w:pStyle w:val="TableText"/>
              <w:widowControl w:val="0"/>
              <w:rPr>
                <w:rFonts w:cs="Tahoma"/>
                <w:b/>
                <w:sz w:val="13"/>
                <w:szCs w:val="13"/>
              </w:rPr>
            </w:pPr>
            <w:hyperlink w:anchor="_77_Office_365" w:history="1">
              <w:r w:rsidR="00734B17" w:rsidRPr="00B41377">
                <w:rPr>
                  <w:rStyle w:val="Hyperlink"/>
                  <w:rFonts w:cs="Tahoma"/>
                  <w:b/>
                  <w:sz w:val="13"/>
                  <w:szCs w:val="13"/>
                </w:rPr>
                <w:t>77</w:t>
              </w:r>
            </w:hyperlink>
          </w:p>
        </w:tc>
        <w:tc>
          <w:tcPr>
            <w:tcW w:w="449" w:type="dxa"/>
            <w:tcBorders>
              <w:top w:val="single" w:sz="4" w:space="0" w:color="auto"/>
              <w:left w:val="single" w:sz="4" w:space="0" w:color="auto"/>
              <w:bottom w:val="single" w:sz="4" w:space="0" w:color="auto"/>
              <w:right w:val="single" w:sz="4" w:space="0" w:color="auto"/>
            </w:tcBorders>
            <w:shd w:val="clear" w:color="auto" w:fill="auto"/>
          </w:tcPr>
          <w:p w:rsidR="00871AE2" w:rsidRPr="00A75DF9" w:rsidRDefault="00871AE2" w:rsidP="00871AE2">
            <w:pPr>
              <w:pStyle w:val="TableText"/>
              <w:widowControl w:val="0"/>
              <w:spacing w:before="120"/>
              <w:rPr>
                <w:rFonts w:ascii="Tahoma" w:hAnsi="Tahoma" w:cs="Tahoma"/>
                <w:color w:val="000000"/>
                <w:sz w:val="13"/>
              </w:rPr>
            </w:pPr>
            <w:r w:rsidRPr="00A75DF9">
              <w:rPr>
                <w:rFonts w:ascii="Tahoma" w:hAnsi="Tahoma" w:cs="Tahoma"/>
                <w:color w:val="000000"/>
                <w:sz w:val="13"/>
              </w:rPr>
              <w:t>08/12</w:t>
            </w:r>
          </w:p>
        </w:tc>
        <w:tc>
          <w:tcPr>
            <w:tcW w:w="359" w:type="dxa"/>
            <w:tcBorders>
              <w:top w:val="single" w:sz="4" w:space="0" w:color="auto"/>
              <w:left w:val="single" w:sz="4" w:space="0" w:color="auto"/>
              <w:bottom w:val="single" w:sz="4" w:space="0" w:color="auto"/>
              <w:right w:val="single" w:sz="18" w:space="0" w:color="auto"/>
            </w:tcBorders>
            <w:shd w:val="clear" w:color="auto" w:fill="auto"/>
            <w:vAlign w:val="center"/>
          </w:tcPr>
          <w:p w:rsidR="00871AE2" w:rsidRPr="00A75DF9" w:rsidRDefault="00871AE2" w:rsidP="00871AE2">
            <w:pPr>
              <w:pStyle w:val="TableText"/>
              <w:widowControl w:val="0"/>
              <w:rPr>
                <w:rFonts w:ascii="Tahoma" w:hAnsi="Tahoma" w:cs="Tahoma"/>
                <w:sz w:val="13"/>
              </w:rPr>
            </w:pPr>
            <w:r w:rsidRPr="00A75DF9">
              <w:rPr>
                <w:rFonts w:ascii="Tahoma" w:hAnsi="Tahoma" w:cs="Tahoma"/>
                <w:sz w:val="13"/>
              </w:rPr>
              <w:t>OSB</w:t>
            </w:r>
          </w:p>
        </w:tc>
        <w:tc>
          <w:tcPr>
            <w:tcW w:w="356" w:type="dxa"/>
            <w:tcBorders>
              <w:top w:val="single" w:sz="4" w:space="0" w:color="auto"/>
              <w:left w:val="single" w:sz="18" w:space="0" w:color="auto"/>
              <w:bottom w:val="single" w:sz="4" w:space="0" w:color="auto"/>
              <w:right w:val="single" w:sz="4" w:space="0" w:color="auto"/>
            </w:tcBorders>
            <w:shd w:val="clear" w:color="auto" w:fill="auto"/>
            <w:vAlign w:val="center"/>
          </w:tcPr>
          <w:p w:rsidR="00871AE2" w:rsidRPr="00A75DF9"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871AE2" w:rsidRPr="00A75DF9" w:rsidDel="00436016" w:rsidRDefault="00871AE2" w:rsidP="00871AE2">
            <w:pPr>
              <w:pStyle w:val="TableText"/>
              <w:widowControl w:val="0"/>
              <w:rPr>
                <w:rFonts w:ascii="Tahoma" w:hAnsi="Tahoma" w:cs="Tahoma"/>
                <w:sz w:val="13"/>
              </w:rPr>
            </w:pPr>
          </w:p>
        </w:tc>
        <w:tc>
          <w:tcPr>
            <w:tcW w:w="455" w:type="dxa"/>
            <w:tcBorders>
              <w:top w:val="single" w:sz="4" w:space="0" w:color="auto"/>
              <w:left w:val="single" w:sz="4" w:space="0" w:color="auto"/>
              <w:bottom w:val="single" w:sz="4" w:space="0" w:color="auto"/>
              <w:right w:val="single" w:sz="4" w:space="0" w:color="auto"/>
            </w:tcBorders>
            <w:shd w:val="clear" w:color="auto" w:fill="auto"/>
            <w:vAlign w:val="center"/>
          </w:tcPr>
          <w:p w:rsidR="00871AE2" w:rsidRPr="00A75DF9" w:rsidDel="00436016" w:rsidRDefault="00871AE2" w:rsidP="00871AE2">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871AE2" w:rsidRPr="00A75DF9" w:rsidDel="00436016" w:rsidRDefault="00871AE2" w:rsidP="00871AE2">
            <w:pPr>
              <w:pStyle w:val="TableText"/>
              <w:widowControl w:val="0"/>
              <w:rPr>
                <w:rFonts w:ascii="Tahoma" w:hAnsi="Tahoma" w:cs="Tahoma"/>
                <w:sz w:val="13"/>
              </w:rPr>
            </w:pPr>
          </w:p>
        </w:tc>
        <w:tc>
          <w:tcPr>
            <w:tcW w:w="445" w:type="dxa"/>
            <w:tcBorders>
              <w:top w:val="single" w:sz="4" w:space="0" w:color="auto"/>
              <w:left w:val="single" w:sz="4" w:space="0" w:color="auto"/>
              <w:bottom w:val="single" w:sz="4" w:space="0" w:color="auto"/>
              <w:right w:val="single" w:sz="4" w:space="0" w:color="auto"/>
            </w:tcBorders>
            <w:shd w:val="clear" w:color="auto" w:fill="auto"/>
            <w:vAlign w:val="center"/>
          </w:tcPr>
          <w:p w:rsidR="00871AE2" w:rsidRPr="00A75DF9"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871AE2" w:rsidRPr="00A75DF9" w:rsidDel="00436016" w:rsidRDefault="00871AE2" w:rsidP="00871AE2">
            <w:pPr>
              <w:pStyle w:val="TableText"/>
              <w:widowControl w:val="0"/>
              <w:rPr>
                <w:rFonts w:ascii="Tahoma" w:hAnsi="Tahoma" w:cs="Tahoma"/>
                <w:sz w:val="13"/>
              </w:rPr>
            </w:pPr>
          </w:p>
        </w:tc>
        <w:tc>
          <w:tcPr>
            <w:tcW w:w="374" w:type="dxa"/>
            <w:tcBorders>
              <w:top w:val="single" w:sz="4" w:space="0" w:color="auto"/>
              <w:left w:val="single" w:sz="4" w:space="0" w:color="auto"/>
              <w:bottom w:val="single" w:sz="4" w:space="0" w:color="auto"/>
              <w:right w:val="single" w:sz="18" w:space="0" w:color="auto"/>
            </w:tcBorders>
            <w:shd w:val="clear" w:color="auto" w:fill="auto"/>
            <w:vAlign w:val="center"/>
          </w:tcPr>
          <w:p w:rsidR="00871AE2" w:rsidRPr="00A75DF9" w:rsidDel="00436016" w:rsidRDefault="00871AE2" w:rsidP="00871AE2">
            <w:pPr>
              <w:pStyle w:val="TableText"/>
              <w:widowControl w:val="0"/>
              <w:rPr>
                <w:rFonts w:ascii="Tahoma" w:hAnsi="Tahoma" w:cs="Tahoma"/>
                <w:sz w:val="13"/>
              </w:rPr>
            </w:pPr>
          </w:p>
        </w:tc>
        <w:tc>
          <w:tcPr>
            <w:tcW w:w="455" w:type="dxa"/>
            <w:tcBorders>
              <w:top w:val="single" w:sz="4" w:space="0" w:color="auto"/>
              <w:left w:val="single" w:sz="18" w:space="0" w:color="auto"/>
              <w:bottom w:val="single" w:sz="4" w:space="0" w:color="auto"/>
              <w:right w:val="single" w:sz="4" w:space="0" w:color="auto"/>
            </w:tcBorders>
            <w:shd w:val="clear" w:color="auto" w:fill="auto"/>
            <w:vAlign w:val="center"/>
          </w:tcPr>
          <w:p w:rsidR="00871AE2" w:rsidRPr="00A75DF9"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871AE2" w:rsidRPr="00A75DF9"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871AE2" w:rsidRPr="00A75DF9"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871AE2" w:rsidRPr="00A75DF9"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871AE2" w:rsidRPr="00A75DF9" w:rsidRDefault="00871AE2" w:rsidP="00871AE2">
            <w:pPr>
              <w:pStyle w:val="TableText"/>
              <w:widowControl w:val="0"/>
              <w:rPr>
                <w:rFonts w:ascii="Tahoma" w:hAnsi="Tahoma" w:cs="Tahoma"/>
                <w:sz w:val="13"/>
              </w:rPr>
            </w:pPr>
            <w:r w:rsidRPr="00A75DF9">
              <w:rPr>
                <w:rFonts w:ascii="Tahoma" w:hAnsi="Tahoma" w:cs="Tahoma"/>
                <w:sz w:val="13"/>
              </w:rPr>
              <w:t>EOLS</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rsidR="00871AE2" w:rsidRPr="00A75DF9" w:rsidDel="00436016" w:rsidRDefault="00871AE2"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871AE2" w:rsidRPr="00A75DF9" w:rsidDel="00436016" w:rsidRDefault="00871AE2" w:rsidP="00871AE2">
            <w:pPr>
              <w:pStyle w:val="TableText"/>
              <w:widowControl w:val="0"/>
              <w:spacing w:before="120"/>
              <w:rPr>
                <w:rFonts w:ascii="Tahoma" w:hAnsi="Tahoma" w:cs="Tahoma"/>
                <w:sz w:val="13"/>
              </w:rPr>
            </w:pPr>
          </w:p>
        </w:tc>
        <w:tc>
          <w:tcPr>
            <w:tcW w:w="539" w:type="dxa"/>
            <w:tcBorders>
              <w:top w:val="single" w:sz="4" w:space="0" w:color="auto"/>
              <w:left w:val="single" w:sz="4" w:space="0" w:color="auto"/>
              <w:bottom w:val="single" w:sz="4" w:space="0" w:color="auto"/>
              <w:right w:val="single" w:sz="4" w:space="0" w:color="auto"/>
            </w:tcBorders>
            <w:shd w:val="clear" w:color="auto" w:fill="auto"/>
            <w:vAlign w:val="center"/>
          </w:tcPr>
          <w:p w:rsidR="00871AE2" w:rsidRPr="00A75DF9" w:rsidDel="00436016" w:rsidRDefault="00871AE2" w:rsidP="00871AE2">
            <w:pPr>
              <w:pStyle w:val="TableText"/>
              <w:widowControl w:val="0"/>
              <w:rPr>
                <w:rFonts w:ascii="Tahoma" w:hAnsi="Tahoma" w:cs="Tahoma"/>
                <w:sz w:val="13"/>
              </w:rPr>
            </w:pPr>
          </w:p>
        </w:tc>
      </w:tr>
      <w:tr w:rsidR="00500991" w:rsidRPr="00A75DF9" w:rsidDel="00436016" w:rsidTr="008A1262">
        <w:trPr>
          <w:trHeight w:val="145"/>
        </w:trPr>
        <w:tc>
          <w:tcPr>
            <w:tcW w:w="2724" w:type="dxa"/>
            <w:gridSpan w:val="2"/>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A75DF9" w:rsidRDefault="00A53298" w:rsidP="008B1245">
            <w:pPr>
              <w:pStyle w:val="Heading2"/>
              <w:spacing w:beforeLines="20" w:before="48" w:afterLines="20" w:after="48"/>
              <w:ind w:left="0" w:firstLine="15"/>
              <w:rPr>
                <w:rFonts w:ascii="Tahoma" w:hAnsi="Tahoma" w:cs="Tahoma"/>
                <w:b w:val="0"/>
                <w:sz w:val="14"/>
                <w:szCs w:val="16"/>
              </w:rPr>
            </w:pPr>
            <w:bookmarkStart w:id="339" w:name="_Toc368310037"/>
            <w:r w:rsidRPr="00A75DF9">
              <w:rPr>
                <w:rFonts w:ascii="Tahoma" w:hAnsi="Tahoma" w:cs="Tahoma"/>
                <w:b w:val="0"/>
                <w:sz w:val="14"/>
                <w:szCs w:val="16"/>
              </w:rPr>
              <w:t>Componente Aggiuntivo di Office 365 Government G1, G3, G4 (SL per Utente)</w:t>
            </w:r>
            <w:bookmarkEnd w:id="339"/>
          </w:p>
        </w:tc>
        <w:tc>
          <w:tcPr>
            <w:tcW w:w="448" w:type="dxa"/>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B41377" w:rsidRDefault="00B54770" w:rsidP="00796355">
            <w:pPr>
              <w:pStyle w:val="TableText"/>
              <w:widowControl w:val="0"/>
              <w:rPr>
                <w:rFonts w:cs="Tahoma"/>
              </w:rPr>
            </w:pPr>
            <w:hyperlink w:anchor="_7_Add-on_User" w:history="1">
              <w:r w:rsidR="0003250E" w:rsidRPr="00B41377">
                <w:rPr>
                  <w:rStyle w:val="Hyperlink"/>
                  <w:rFonts w:cs="Tahoma"/>
                </w:rPr>
                <w:t>7</w:t>
              </w:r>
            </w:hyperlink>
          </w:p>
        </w:tc>
        <w:tc>
          <w:tcPr>
            <w:tcW w:w="449" w:type="dxa"/>
            <w:tcBorders>
              <w:top w:val="single" w:sz="4" w:space="0" w:color="auto"/>
              <w:left w:val="single" w:sz="4" w:space="0" w:color="auto"/>
              <w:bottom w:val="single" w:sz="4" w:space="0" w:color="auto"/>
              <w:right w:val="single" w:sz="4" w:space="0" w:color="auto"/>
            </w:tcBorders>
            <w:shd w:val="clear" w:color="auto" w:fill="FABF8F"/>
          </w:tcPr>
          <w:p w:rsidR="00A53298" w:rsidRPr="00A75DF9" w:rsidRDefault="00A53298" w:rsidP="00871AE2">
            <w:pPr>
              <w:pStyle w:val="TableText"/>
              <w:widowControl w:val="0"/>
              <w:spacing w:before="120"/>
              <w:rPr>
                <w:rFonts w:ascii="Tahoma" w:hAnsi="Tahoma" w:cs="Tahoma"/>
                <w:color w:val="000000"/>
                <w:sz w:val="13"/>
              </w:rPr>
            </w:pPr>
            <w:r w:rsidRPr="00A75DF9">
              <w:rPr>
                <w:rFonts w:ascii="Tahoma" w:hAnsi="Tahoma" w:cs="Tahoma"/>
                <w:color w:val="000000"/>
                <w:sz w:val="13"/>
              </w:rPr>
              <w:t>08/13</w:t>
            </w:r>
          </w:p>
        </w:tc>
        <w:tc>
          <w:tcPr>
            <w:tcW w:w="359" w:type="dxa"/>
            <w:tcBorders>
              <w:top w:val="single" w:sz="4" w:space="0" w:color="auto"/>
              <w:left w:val="single" w:sz="4" w:space="0" w:color="auto"/>
              <w:bottom w:val="single" w:sz="4" w:space="0" w:color="auto"/>
              <w:right w:val="single" w:sz="18" w:space="0" w:color="auto"/>
            </w:tcBorders>
            <w:shd w:val="clear" w:color="auto" w:fill="FABF8F"/>
            <w:vAlign w:val="center"/>
          </w:tcPr>
          <w:p w:rsidR="00A53298" w:rsidRPr="00A75DF9" w:rsidRDefault="00A53298" w:rsidP="00871AE2">
            <w:pPr>
              <w:pStyle w:val="TableText"/>
              <w:widowControl w:val="0"/>
              <w:rPr>
                <w:rFonts w:ascii="Tahoma" w:hAnsi="Tahoma" w:cs="Tahoma"/>
                <w:sz w:val="13"/>
              </w:rPr>
            </w:pPr>
          </w:p>
        </w:tc>
        <w:tc>
          <w:tcPr>
            <w:tcW w:w="356" w:type="dxa"/>
            <w:tcBorders>
              <w:top w:val="single" w:sz="4" w:space="0" w:color="auto"/>
              <w:left w:val="single" w:sz="18" w:space="0" w:color="auto"/>
              <w:bottom w:val="single" w:sz="4" w:space="0" w:color="auto"/>
              <w:right w:val="single" w:sz="4" w:space="0" w:color="auto"/>
            </w:tcBorders>
            <w:shd w:val="clear" w:color="auto" w:fill="FABF8F"/>
            <w:vAlign w:val="center"/>
          </w:tcPr>
          <w:p w:rsidR="00A53298" w:rsidRPr="00A75DF9" w:rsidDel="00436016" w:rsidRDefault="00A53298"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A75DF9" w:rsidDel="00436016" w:rsidRDefault="00A53298" w:rsidP="00871AE2">
            <w:pPr>
              <w:pStyle w:val="TableText"/>
              <w:widowControl w:val="0"/>
              <w:rPr>
                <w:rFonts w:ascii="Tahoma" w:hAnsi="Tahoma" w:cs="Tahoma"/>
                <w:sz w:val="13"/>
              </w:rPr>
            </w:pPr>
          </w:p>
        </w:tc>
        <w:tc>
          <w:tcPr>
            <w:tcW w:w="455" w:type="dxa"/>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A75DF9" w:rsidDel="00436016" w:rsidRDefault="00A53298" w:rsidP="00871AE2">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A75DF9" w:rsidDel="00436016" w:rsidRDefault="00A53298" w:rsidP="00871AE2">
            <w:pPr>
              <w:pStyle w:val="TableText"/>
              <w:widowControl w:val="0"/>
              <w:rPr>
                <w:rFonts w:ascii="Tahoma" w:hAnsi="Tahoma" w:cs="Tahoma"/>
                <w:sz w:val="13"/>
              </w:rPr>
            </w:pPr>
          </w:p>
        </w:tc>
        <w:tc>
          <w:tcPr>
            <w:tcW w:w="445" w:type="dxa"/>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A75DF9" w:rsidDel="00436016" w:rsidRDefault="00A53298"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A75DF9" w:rsidDel="00436016" w:rsidRDefault="00A53298" w:rsidP="00871AE2">
            <w:pPr>
              <w:pStyle w:val="TableText"/>
              <w:widowControl w:val="0"/>
              <w:rPr>
                <w:rFonts w:ascii="Tahoma" w:hAnsi="Tahoma" w:cs="Tahoma"/>
                <w:sz w:val="13"/>
              </w:rPr>
            </w:pPr>
          </w:p>
        </w:tc>
        <w:tc>
          <w:tcPr>
            <w:tcW w:w="374" w:type="dxa"/>
            <w:tcBorders>
              <w:top w:val="single" w:sz="4" w:space="0" w:color="auto"/>
              <w:left w:val="single" w:sz="4" w:space="0" w:color="auto"/>
              <w:bottom w:val="single" w:sz="4" w:space="0" w:color="auto"/>
              <w:right w:val="single" w:sz="18" w:space="0" w:color="auto"/>
            </w:tcBorders>
            <w:shd w:val="clear" w:color="auto" w:fill="FABF8F"/>
            <w:vAlign w:val="center"/>
          </w:tcPr>
          <w:p w:rsidR="00A53298" w:rsidRPr="00A75DF9" w:rsidDel="00436016" w:rsidRDefault="00A53298" w:rsidP="00871AE2">
            <w:pPr>
              <w:pStyle w:val="TableText"/>
              <w:widowControl w:val="0"/>
              <w:rPr>
                <w:rFonts w:ascii="Tahoma" w:hAnsi="Tahoma" w:cs="Tahoma"/>
                <w:sz w:val="13"/>
              </w:rPr>
            </w:pPr>
          </w:p>
        </w:tc>
        <w:tc>
          <w:tcPr>
            <w:tcW w:w="455" w:type="dxa"/>
            <w:tcBorders>
              <w:top w:val="single" w:sz="4" w:space="0" w:color="auto"/>
              <w:left w:val="single" w:sz="18" w:space="0" w:color="auto"/>
              <w:bottom w:val="single" w:sz="4" w:space="0" w:color="auto"/>
              <w:right w:val="single" w:sz="4" w:space="0" w:color="auto"/>
            </w:tcBorders>
            <w:shd w:val="clear" w:color="auto" w:fill="FABF8F"/>
            <w:vAlign w:val="center"/>
          </w:tcPr>
          <w:p w:rsidR="00A53298" w:rsidRPr="00A75DF9" w:rsidDel="00436016" w:rsidRDefault="00A53298"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A75DF9" w:rsidDel="00436016" w:rsidRDefault="00A53298"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A53298" w:rsidRPr="00A75DF9" w:rsidDel="00436016" w:rsidRDefault="00A53298"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FABF8F"/>
            <w:vAlign w:val="center"/>
          </w:tcPr>
          <w:p w:rsidR="00A53298" w:rsidRPr="00A75DF9" w:rsidDel="00436016" w:rsidRDefault="00A53298"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FABF8F"/>
            <w:vAlign w:val="center"/>
          </w:tcPr>
          <w:p w:rsidR="00A53298" w:rsidRPr="00A75DF9" w:rsidRDefault="00A53298" w:rsidP="00871AE2">
            <w:pPr>
              <w:pStyle w:val="TableText"/>
              <w:widowControl w:val="0"/>
              <w:rPr>
                <w:rFonts w:ascii="Tahoma" w:hAnsi="Tahoma" w:cs="Tahoma"/>
                <w:sz w:val="13"/>
              </w:rPr>
            </w:pPr>
            <w:r w:rsidRPr="00A75DF9">
              <w:rPr>
                <w:rFonts w:ascii="Tahoma"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FABF8F"/>
            <w:vAlign w:val="center"/>
          </w:tcPr>
          <w:p w:rsidR="00A53298" w:rsidRPr="00A75DF9" w:rsidDel="00436016" w:rsidRDefault="00A53298"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FABF8F"/>
          </w:tcPr>
          <w:p w:rsidR="00A53298" w:rsidRPr="00A75DF9" w:rsidDel="00436016" w:rsidRDefault="00A53298" w:rsidP="00871AE2">
            <w:pPr>
              <w:pStyle w:val="TableText"/>
              <w:widowControl w:val="0"/>
              <w:spacing w:before="120"/>
              <w:rPr>
                <w:rFonts w:ascii="Tahoma" w:hAnsi="Tahoma" w:cs="Tahoma"/>
                <w:sz w:val="13"/>
              </w:rPr>
            </w:pPr>
          </w:p>
        </w:tc>
        <w:tc>
          <w:tcPr>
            <w:tcW w:w="539" w:type="dxa"/>
            <w:tcBorders>
              <w:top w:val="single" w:sz="4" w:space="0" w:color="auto"/>
              <w:left w:val="single" w:sz="4" w:space="0" w:color="auto"/>
              <w:bottom w:val="single" w:sz="4" w:space="0" w:color="auto"/>
              <w:right w:val="single" w:sz="4" w:space="0" w:color="auto"/>
            </w:tcBorders>
            <w:shd w:val="clear" w:color="auto" w:fill="FABF8F"/>
            <w:vAlign w:val="center"/>
          </w:tcPr>
          <w:p w:rsidR="00A53298" w:rsidRPr="00A75DF9" w:rsidDel="00436016" w:rsidRDefault="00A53298" w:rsidP="00871AE2">
            <w:pPr>
              <w:pStyle w:val="TableText"/>
              <w:widowControl w:val="0"/>
              <w:rPr>
                <w:rFonts w:ascii="Tahoma" w:hAnsi="Tahoma" w:cs="Tahoma"/>
                <w:sz w:val="13"/>
              </w:rPr>
            </w:pPr>
          </w:p>
        </w:tc>
      </w:tr>
      <w:tr w:rsidR="00500991" w:rsidRPr="00A75DF9" w:rsidDel="00436016" w:rsidTr="008A1262">
        <w:trPr>
          <w:trHeight w:val="145"/>
        </w:trPr>
        <w:tc>
          <w:tcPr>
            <w:tcW w:w="272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73EB9" w:rsidRPr="00A75DF9" w:rsidRDefault="00273EB9" w:rsidP="008B1245">
            <w:pPr>
              <w:pStyle w:val="Heading2"/>
              <w:spacing w:beforeLines="20" w:before="48" w:afterLines="20" w:after="48"/>
              <w:ind w:left="0" w:firstLine="15"/>
              <w:rPr>
                <w:rFonts w:ascii="Tahoma" w:hAnsi="Tahoma" w:cs="Tahoma"/>
                <w:b w:val="0"/>
                <w:sz w:val="14"/>
                <w:szCs w:val="16"/>
              </w:rPr>
            </w:pPr>
            <w:bookmarkStart w:id="340" w:name="_Toc368310038"/>
            <w:r w:rsidRPr="00A75DF9">
              <w:rPr>
                <w:rFonts w:ascii="Tahoma" w:hAnsi="Tahoma" w:cs="Tahoma"/>
                <w:b w:val="0"/>
                <w:sz w:val="14"/>
                <w:szCs w:val="16"/>
              </w:rPr>
              <w:t>Office 365 Government G3, G4 senza Componente Aggiuntivo di Office Pro Plus (SL per Utente)</w:t>
            </w:r>
            <w:bookmarkEnd w:id="340"/>
          </w:p>
        </w:tc>
        <w:tc>
          <w:tcPr>
            <w:tcW w:w="448" w:type="dxa"/>
            <w:tcBorders>
              <w:top w:val="single" w:sz="4" w:space="0" w:color="auto"/>
              <w:left w:val="single" w:sz="4" w:space="0" w:color="auto"/>
              <w:bottom w:val="single" w:sz="4" w:space="0" w:color="auto"/>
              <w:right w:val="single" w:sz="4" w:space="0" w:color="auto"/>
            </w:tcBorders>
            <w:shd w:val="clear" w:color="auto" w:fill="auto"/>
            <w:vAlign w:val="center"/>
          </w:tcPr>
          <w:p w:rsidR="00273EB9" w:rsidRPr="00B41377" w:rsidRDefault="00B54770" w:rsidP="00796355">
            <w:pPr>
              <w:pStyle w:val="TableText"/>
              <w:widowControl w:val="0"/>
              <w:rPr>
                <w:rFonts w:cs="Tahoma"/>
              </w:rPr>
            </w:pPr>
            <w:hyperlink w:anchor="_7_Add-on_User" w:history="1">
              <w:r w:rsidR="0003250E" w:rsidRPr="00B41377">
                <w:rPr>
                  <w:rStyle w:val="Hyperlink"/>
                  <w:rFonts w:cs="Tahoma"/>
                </w:rPr>
                <w:t>7</w:t>
              </w:r>
            </w:hyperlink>
          </w:p>
        </w:tc>
        <w:tc>
          <w:tcPr>
            <w:tcW w:w="449" w:type="dxa"/>
            <w:tcBorders>
              <w:top w:val="single" w:sz="4" w:space="0" w:color="auto"/>
              <w:left w:val="single" w:sz="4" w:space="0" w:color="auto"/>
              <w:bottom w:val="single" w:sz="4" w:space="0" w:color="auto"/>
              <w:right w:val="single" w:sz="4" w:space="0" w:color="auto"/>
            </w:tcBorders>
            <w:shd w:val="clear" w:color="auto" w:fill="auto"/>
          </w:tcPr>
          <w:p w:rsidR="00273EB9" w:rsidRPr="00A75DF9" w:rsidRDefault="00273EB9" w:rsidP="00871AE2">
            <w:pPr>
              <w:pStyle w:val="TableText"/>
              <w:widowControl w:val="0"/>
              <w:spacing w:before="120"/>
              <w:rPr>
                <w:rFonts w:ascii="Tahoma" w:hAnsi="Tahoma" w:cs="Tahoma"/>
                <w:color w:val="000000"/>
                <w:sz w:val="13"/>
              </w:rPr>
            </w:pPr>
            <w:r w:rsidRPr="00A75DF9">
              <w:rPr>
                <w:rFonts w:ascii="Tahoma" w:hAnsi="Tahoma" w:cs="Tahoma"/>
                <w:color w:val="000000"/>
                <w:sz w:val="13"/>
              </w:rPr>
              <w:t>08/13</w:t>
            </w:r>
          </w:p>
        </w:tc>
        <w:tc>
          <w:tcPr>
            <w:tcW w:w="359" w:type="dxa"/>
            <w:tcBorders>
              <w:top w:val="single" w:sz="4" w:space="0" w:color="auto"/>
              <w:left w:val="single" w:sz="4" w:space="0" w:color="auto"/>
              <w:bottom w:val="single" w:sz="4" w:space="0" w:color="auto"/>
              <w:right w:val="single" w:sz="18" w:space="0" w:color="auto"/>
            </w:tcBorders>
            <w:shd w:val="clear" w:color="auto" w:fill="auto"/>
            <w:vAlign w:val="center"/>
          </w:tcPr>
          <w:p w:rsidR="00273EB9" w:rsidRPr="00A75DF9" w:rsidRDefault="00273EB9" w:rsidP="00871AE2">
            <w:pPr>
              <w:pStyle w:val="TableText"/>
              <w:widowControl w:val="0"/>
              <w:rPr>
                <w:rFonts w:ascii="Tahoma" w:hAnsi="Tahoma" w:cs="Tahoma"/>
                <w:sz w:val="13"/>
              </w:rPr>
            </w:pPr>
          </w:p>
        </w:tc>
        <w:tc>
          <w:tcPr>
            <w:tcW w:w="356" w:type="dxa"/>
            <w:tcBorders>
              <w:top w:val="single" w:sz="4" w:space="0" w:color="auto"/>
              <w:left w:val="single" w:sz="18" w:space="0" w:color="auto"/>
              <w:bottom w:val="single" w:sz="4" w:space="0" w:color="auto"/>
              <w:right w:val="single" w:sz="4" w:space="0" w:color="auto"/>
            </w:tcBorders>
            <w:shd w:val="clear" w:color="auto" w:fill="auto"/>
            <w:vAlign w:val="center"/>
          </w:tcPr>
          <w:p w:rsidR="00273EB9" w:rsidRPr="00A75DF9" w:rsidDel="00436016" w:rsidRDefault="00273EB9"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273EB9" w:rsidRPr="00A75DF9" w:rsidDel="00436016" w:rsidRDefault="00273EB9" w:rsidP="00871AE2">
            <w:pPr>
              <w:pStyle w:val="TableText"/>
              <w:widowControl w:val="0"/>
              <w:rPr>
                <w:rFonts w:ascii="Tahoma" w:hAnsi="Tahoma" w:cs="Tahoma"/>
                <w:sz w:val="13"/>
              </w:rPr>
            </w:pPr>
          </w:p>
        </w:tc>
        <w:tc>
          <w:tcPr>
            <w:tcW w:w="455" w:type="dxa"/>
            <w:tcBorders>
              <w:top w:val="single" w:sz="4" w:space="0" w:color="auto"/>
              <w:left w:val="single" w:sz="4" w:space="0" w:color="auto"/>
              <w:bottom w:val="single" w:sz="4" w:space="0" w:color="auto"/>
              <w:right w:val="single" w:sz="4" w:space="0" w:color="auto"/>
            </w:tcBorders>
            <w:shd w:val="clear" w:color="auto" w:fill="auto"/>
            <w:vAlign w:val="center"/>
          </w:tcPr>
          <w:p w:rsidR="00273EB9" w:rsidRPr="00A75DF9" w:rsidDel="00436016" w:rsidRDefault="00273EB9" w:rsidP="00871AE2">
            <w:pPr>
              <w:pStyle w:val="TableText"/>
              <w:widowControl w:val="0"/>
              <w:rPr>
                <w:rFonts w:ascii="Tahoma" w:hAnsi="Tahoma" w:cs="Tahoma"/>
                <w:sz w:val="13"/>
              </w:rPr>
            </w:pPr>
          </w:p>
        </w:tc>
        <w:tc>
          <w:tcPr>
            <w:tcW w:w="4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273EB9" w:rsidRPr="00A75DF9" w:rsidDel="00436016" w:rsidRDefault="00273EB9" w:rsidP="00871AE2">
            <w:pPr>
              <w:pStyle w:val="TableText"/>
              <w:widowControl w:val="0"/>
              <w:rPr>
                <w:rFonts w:ascii="Tahoma" w:hAnsi="Tahoma" w:cs="Tahoma"/>
                <w:sz w:val="13"/>
              </w:rPr>
            </w:pPr>
          </w:p>
        </w:tc>
        <w:tc>
          <w:tcPr>
            <w:tcW w:w="445" w:type="dxa"/>
            <w:tcBorders>
              <w:top w:val="single" w:sz="4" w:space="0" w:color="auto"/>
              <w:left w:val="single" w:sz="4" w:space="0" w:color="auto"/>
              <w:bottom w:val="single" w:sz="4" w:space="0" w:color="auto"/>
              <w:right w:val="single" w:sz="4" w:space="0" w:color="auto"/>
            </w:tcBorders>
            <w:shd w:val="clear" w:color="auto" w:fill="auto"/>
            <w:vAlign w:val="center"/>
          </w:tcPr>
          <w:p w:rsidR="00273EB9" w:rsidRPr="00A75DF9" w:rsidDel="00436016" w:rsidRDefault="00273EB9"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273EB9" w:rsidRPr="00A75DF9" w:rsidDel="00436016" w:rsidRDefault="00273EB9" w:rsidP="00871AE2">
            <w:pPr>
              <w:pStyle w:val="TableText"/>
              <w:widowControl w:val="0"/>
              <w:rPr>
                <w:rFonts w:ascii="Tahoma" w:hAnsi="Tahoma" w:cs="Tahoma"/>
                <w:sz w:val="13"/>
              </w:rPr>
            </w:pPr>
          </w:p>
        </w:tc>
        <w:tc>
          <w:tcPr>
            <w:tcW w:w="374" w:type="dxa"/>
            <w:tcBorders>
              <w:top w:val="single" w:sz="4" w:space="0" w:color="auto"/>
              <w:left w:val="single" w:sz="4" w:space="0" w:color="auto"/>
              <w:bottom w:val="single" w:sz="4" w:space="0" w:color="auto"/>
              <w:right w:val="single" w:sz="18" w:space="0" w:color="auto"/>
            </w:tcBorders>
            <w:shd w:val="clear" w:color="auto" w:fill="auto"/>
            <w:vAlign w:val="center"/>
          </w:tcPr>
          <w:p w:rsidR="00273EB9" w:rsidRPr="00A75DF9" w:rsidDel="00436016" w:rsidRDefault="00273EB9" w:rsidP="00871AE2">
            <w:pPr>
              <w:pStyle w:val="TableText"/>
              <w:widowControl w:val="0"/>
              <w:rPr>
                <w:rFonts w:ascii="Tahoma" w:hAnsi="Tahoma" w:cs="Tahoma"/>
                <w:sz w:val="13"/>
              </w:rPr>
            </w:pPr>
          </w:p>
        </w:tc>
        <w:tc>
          <w:tcPr>
            <w:tcW w:w="455" w:type="dxa"/>
            <w:tcBorders>
              <w:top w:val="single" w:sz="4" w:space="0" w:color="auto"/>
              <w:left w:val="single" w:sz="18" w:space="0" w:color="auto"/>
              <w:bottom w:val="single" w:sz="4" w:space="0" w:color="auto"/>
              <w:right w:val="single" w:sz="4" w:space="0" w:color="auto"/>
            </w:tcBorders>
            <w:shd w:val="clear" w:color="auto" w:fill="auto"/>
            <w:vAlign w:val="center"/>
          </w:tcPr>
          <w:p w:rsidR="00273EB9" w:rsidRPr="00A75DF9" w:rsidDel="00436016" w:rsidRDefault="00273EB9"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vAlign w:val="center"/>
          </w:tcPr>
          <w:p w:rsidR="00273EB9" w:rsidRPr="00A75DF9" w:rsidDel="00436016" w:rsidRDefault="00273EB9"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273EB9" w:rsidRPr="00A75DF9" w:rsidDel="00436016" w:rsidRDefault="00273EB9" w:rsidP="00871AE2">
            <w:pPr>
              <w:pStyle w:val="TableText"/>
              <w:widowControl w:val="0"/>
              <w:rPr>
                <w:rFonts w:ascii="Tahoma" w:hAnsi="Tahoma" w:cs="Tahoma"/>
                <w:sz w:val="13"/>
              </w:rPr>
            </w:pPr>
          </w:p>
        </w:tc>
        <w:tc>
          <w:tcPr>
            <w:tcW w:w="450" w:type="dxa"/>
            <w:tcBorders>
              <w:top w:val="single" w:sz="4" w:space="0" w:color="auto"/>
              <w:left w:val="single" w:sz="18" w:space="0" w:color="auto"/>
              <w:bottom w:val="single" w:sz="4" w:space="0" w:color="auto"/>
              <w:right w:val="single" w:sz="4" w:space="0" w:color="auto"/>
            </w:tcBorders>
            <w:shd w:val="clear" w:color="auto" w:fill="auto"/>
            <w:vAlign w:val="center"/>
          </w:tcPr>
          <w:p w:rsidR="00273EB9" w:rsidRPr="00A75DF9" w:rsidDel="00436016" w:rsidRDefault="00273EB9"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18" w:space="0" w:color="auto"/>
            </w:tcBorders>
            <w:shd w:val="clear" w:color="auto" w:fill="auto"/>
            <w:vAlign w:val="center"/>
          </w:tcPr>
          <w:p w:rsidR="00273EB9" w:rsidRPr="00A75DF9" w:rsidRDefault="00273EB9" w:rsidP="00871AE2">
            <w:pPr>
              <w:pStyle w:val="TableText"/>
              <w:widowControl w:val="0"/>
              <w:rPr>
                <w:rFonts w:ascii="Tahoma" w:hAnsi="Tahoma" w:cs="Tahoma"/>
                <w:sz w:val="13"/>
              </w:rPr>
            </w:pPr>
            <w:r w:rsidRPr="00A75DF9">
              <w:rPr>
                <w:rFonts w:ascii="Tahoma" w:hAnsi="Tahoma" w:cs="Tahoma"/>
                <w:sz w:val="13"/>
              </w:rPr>
              <w:t>A</w:t>
            </w:r>
          </w:p>
        </w:tc>
        <w:tc>
          <w:tcPr>
            <w:tcW w:w="450" w:type="dxa"/>
            <w:tcBorders>
              <w:top w:val="single" w:sz="4" w:space="0" w:color="auto"/>
              <w:left w:val="single" w:sz="18" w:space="0" w:color="auto"/>
              <w:bottom w:val="single" w:sz="4" w:space="0" w:color="auto"/>
              <w:right w:val="single" w:sz="18" w:space="0" w:color="auto"/>
            </w:tcBorders>
            <w:shd w:val="clear" w:color="auto" w:fill="auto"/>
            <w:vAlign w:val="center"/>
          </w:tcPr>
          <w:p w:rsidR="00273EB9" w:rsidRPr="00A75DF9" w:rsidDel="00436016" w:rsidRDefault="00273EB9" w:rsidP="00871AE2">
            <w:pPr>
              <w:pStyle w:val="TableText"/>
              <w:widowControl w:val="0"/>
              <w:rPr>
                <w:rFonts w:ascii="Tahoma" w:hAnsi="Tahoma" w:cs="Tahoma"/>
                <w:sz w:val="13"/>
              </w:rPr>
            </w:pPr>
          </w:p>
        </w:tc>
        <w:tc>
          <w:tcPr>
            <w:tcW w:w="450" w:type="dxa"/>
            <w:tcBorders>
              <w:top w:val="single" w:sz="4" w:space="0" w:color="auto"/>
              <w:left w:val="single" w:sz="4" w:space="0" w:color="auto"/>
              <w:bottom w:val="single" w:sz="4" w:space="0" w:color="auto"/>
              <w:right w:val="single" w:sz="4" w:space="0" w:color="auto"/>
            </w:tcBorders>
            <w:shd w:val="clear" w:color="auto" w:fill="auto"/>
          </w:tcPr>
          <w:p w:rsidR="00273EB9" w:rsidRPr="00A75DF9" w:rsidDel="00436016" w:rsidRDefault="00273EB9" w:rsidP="00871AE2">
            <w:pPr>
              <w:pStyle w:val="TableText"/>
              <w:widowControl w:val="0"/>
              <w:spacing w:before="120"/>
              <w:rPr>
                <w:rFonts w:ascii="Tahoma" w:hAnsi="Tahoma" w:cs="Tahoma"/>
                <w:sz w:val="13"/>
              </w:rPr>
            </w:pPr>
          </w:p>
        </w:tc>
        <w:tc>
          <w:tcPr>
            <w:tcW w:w="539" w:type="dxa"/>
            <w:tcBorders>
              <w:top w:val="single" w:sz="4" w:space="0" w:color="auto"/>
              <w:left w:val="single" w:sz="4" w:space="0" w:color="auto"/>
              <w:bottom w:val="single" w:sz="4" w:space="0" w:color="auto"/>
              <w:right w:val="single" w:sz="4" w:space="0" w:color="auto"/>
            </w:tcBorders>
            <w:shd w:val="clear" w:color="auto" w:fill="auto"/>
            <w:vAlign w:val="center"/>
          </w:tcPr>
          <w:p w:rsidR="00273EB9" w:rsidRPr="00A75DF9" w:rsidDel="00436016" w:rsidRDefault="00273EB9" w:rsidP="00871AE2">
            <w:pPr>
              <w:pStyle w:val="TableText"/>
              <w:widowControl w:val="0"/>
              <w:rPr>
                <w:rFonts w:ascii="Tahoma" w:hAnsi="Tahoma" w:cs="Tahoma"/>
                <w:sz w:val="13"/>
              </w:rPr>
            </w:pPr>
          </w:p>
        </w:tc>
      </w:tr>
      <w:tr w:rsidR="00500991" w:rsidRPr="00A75DF9" w:rsidTr="008A1262">
        <w:trPr>
          <w:trHeight w:val="145"/>
        </w:trPr>
        <w:tc>
          <w:tcPr>
            <w:tcW w:w="2724" w:type="dxa"/>
            <w:gridSpan w:val="2"/>
            <w:tcBorders>
              <w:bottom w:val="single" w:sz="4" w:space="0" w:color="auto"/>
            </w:tcBorders>
            <w:shd w:val="clear" w:color="auto" w:fill="FABF8F"/>
            <w:vAlign w:val="center"/>
          </w:tcPr>
          <w:p w:rsidR="001A63C6" w:rsidRPr="00A75DF9" w:rsidRDefault="001A63C6" w:rsidP="006C465D">
            <w:pPr>
              <w:pStyle w:val="ProductNames"/>
              <w:spacing w:before="0" w:after="0"/>
              <w:rPr>
                <w:rFonts w:ascii="Tahoma" w:hAnsi="Tahoma" w:cs="Tahoma"/>
                <w:sz w:val="14"/>
              </w:rPr>
            </w:pPr>
            <w:bookmarkStart w:id="341" w:name="_Toc336338032"/>
            <w:bookmarkStart w:id="342" w:name="_Toc368310039"/>
            <w:r w:rsidRPr="00A75DF9">
              <w:rPr>
                <w:rFonts w:ascii="Tahoma" w:hAnsi="Tahoma" w:cs="Tahoma"/>
                <w:sz w:val="14"/>
              </w:rPr>
              <w:t>Office Web Applications con SharePoint Piano 2A (SL per utente)</w:t>
            </w:r>
            <w:bookmarkEnd w:id="341"/>
            <w:bookmarkEnd w:id="342"/>
          </w:p>
        </w:tc>
        <w:tc>
          <w:tcPr>
            <w:tcW w:w="448" w:type="dxa"/>
            <w:tcBorders>
              <w:bottom w:val="single" w:sz="4" w:space="0" w:color="auto"/>
            </w:tcBorders>
            <w:shd w:val="clear" w:color="auto" w:fill="FABF8F"/>
            <w:vAlign w:val="center"/>
          </w:tcPr>
          <w:p w:rsidR="001A63C6" w:rsidRPr="00B41377" w:rsidRDefault="001A63C6" w:rsidP="00D66F68">
            <w:pPr>
              <w:pStyle w:val="TableText"/>
              <w:widowControl w:val="0"/>
              <w:rPr>
                <w:rFonts w:cs="Tahoma"/>
                <w:b/>
                <w:color w:val="0000FF"/>
                <w:sz w:val="13"/>
                <w:szCs w:val="13"/>
                <w:u w:val="single"/>
              </w:rPr>
            </w:pPr>
          </w:p>
        </w:tc>
        <w:tc>
          <w:tcPr>
            <w:tcW w:w="449" w:type="dxa"/>
            <w:tcBorders>
              <w:bottom w:val="single" w:sz="4" w:space="0" w:color="auto"/>
            </w:tcBorders>
            <w:shd w:val="clear" w:color="auto" w:fill="FABF8F"/>
            <w:vAlign w:val="center"/>
          </w:tcPr>
          <w:p w:rsidR="001A63C6" w:rsidRPr="00A75DF9" w:rsidRDefault="001A63C6" w:rsidP="006C465D">
            <w:pPr>
              <w:pStyle w:val="TableText"/>
              <w:widowControl w:val="0"/>
              <w:rPr>
                <w:rFonts w:ascii="Tahoma" w:hAnsi="Tahoma" w:cs="Tahoma"/>
                <w:color w:val="000000"/>
                <w:sz w:val="13"/>
              </w:rPr>
            </w:pPr>
            <w:r w:rsidRPr="00A75DF9">
              <w:rPr>
                <w:rFonts w:ascii="Tahoma" w:hAnsi="Tahoma" w:cs="Tahoma"/>
                <w:color w:val="000000"/>
                <w:sz w:val="13"/>
              </w:rPr>
              <w:t>07/12</w:t>
            </w:r>
          </w:p>
        </w:tc>
        <w:tc>
          <w:tcPr>
            <w:tcW w:w="359" w:type="dxa"/>
            <w:tcBorders>
              <w:bottom w:val="single" w:sz="4" w:space="0" w:color="auto"/>
              <w:right w:val="single" w:sz="18" w:space="0" w:color="auto"/>
            </w:tcBorders>
            <w:shd w:val="clear" w:color="auto" w:fill="FABF8F"/>
            <w:vAlign w:val="center"/>
          </w:tcPr>
          <w:p w:rsidR="001A63C6" w:rsidRPr="00A75DF9" w:rsidRDefault="001A63C6" w:rsidP="00D66F68">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FABF8F"/>
            <w:vAlign w:val="bottom"/>
          </w:tcPr>
          <w:p w:rsidR="001A63C6" w:rsidRPr="00A75DF9" w:rsidRDefault="001A63C6" w:rsidP="00D66F68">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A75DF9" w:rsidRDefault="001A63C6" w:rsidP="002A6E97">
            <w:pPr>
              <w:pStyle w:val="TableText"/>
              <w:widowControl w:val="0"/>
              <w:rPr>
                <w:rFonts w:ascii="Tahoma" w:hAnsi="Tahoma" w:cs="Tahoma"/>
                <w:sz w:val="14"/>
                <w:szCs w:val="14"/>
              </w:rPr>
            </w:pPr>
          </w:p>
        </w:tc>
        <w:tc>
          <w:tcPr>
            <w:tcW w:w="455" w:type="dxa"/>
            <w:tcBorders>
              <w:bottom w:val="single" w:sz="4" w:space="0" w:color="auto"/>
            </w:tcBorders>
            <w:shd w:val="clear" w:color="auto" w:fill="FABF8F"/>
            <w:vAlign w:val="bottom"/>
          </w:tcPr>
          <w:p w:rsidR="001A63C6" w:rsidRPr="00A75DF9" w:rsidRDefault="001A63C6" w:rsidP="002A6E97">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bottom"/>
          </w:tcPr>
          <w:p w:rsidR="001A63C6" w:rsidRPr="00A75DF9" w:rsidRDefault="001A63C6" w:rsidP="006C465D">
            <w:pPr>
              <w:pStyle w:val="TableText"/>
              <w:widowControl w:val="0"/>
              <w:rPr>
                <w:rFonts w:ascii="Tahoma" w:hAnsi="Tahoma" w:cs="Tahoma"/>
                <w:sz w:val="14"/>
                <w:szCs w:val="14"/>
              </w:rPr>
            </w:pPr>
          </w:p>
        </w:tc>
        <w:tc>
          <w:tcPr>
            <w:tcW w:w="445" w:type="dxa"/>
            <w:tcBorders>
              <w:bottom w:val="single" w:sz="4" w:space="0" w:color="auto"/>
            </w:tcBorders>
            <w:shd w:val="clear" w:color="auto" w:fill="FABF8F"/>
            <w:vAlign w:val="bottom"/>
          </w:tcPr>
          <w:p w:rsidR="001A63C6" w:rsidRPr="00A75DF9" w:rsidRDefault="001A63C6" w:rsidP="006C465D">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A75DF9" w:rsidRDefault="001A63C6" w:rsidP="006C465D">
            <w:pPr>
              <w:pStyle w:val="TableText"/>
              <w:widowControl w:val="0"/>
              <w:rPr>
                <w:rFonts w:ascii="Tahoma" w:hAnsi="Tahoma" w:cs="Tahoma"/>
                <w:sz w:val="14"/>
                <w:szCs w:val="14"/>
              </w:rPr>
            </w:pPr>
          </w:p>
        </w:tc>
        <w:tc>
          <w:tcPr>
            <w:tcW w:w="374" w:type="dxa"/>
            <w:tcBorders>
              <w:bottom w:val="single" w:sz="4" w:space="0" w:color="auto"/>
              <w:right w:val="single" w:sz="18" w:space="0" w:color="auto"/>
            </w:tcBorders>
            <w:shd w:val="clear" w:color="auto" w:fill="FABF8F"/>
            <w:vAlign w:val="bottom"/>
          </w:tcPr>
          <w:p w:rsidR="001A63C6" w:rsidRPr="00A75DF9" w:rsidRDefault="001A63C6" w:rsidP="006C465D">
            <w:pPr>
              <w:pStyle w:val="TableText"/>
              <w:widowControl w:val="0"/>
              <w:rPr>
                <w:rFonts w:ascii="Tahoma" w:hAnsi="Tahoma" w:cs="Tahoma"/>
                <w:sz w:val="14"/>
                <w:szCs w:val="14"/>
              </w:rPr>
            </w:pPr>
          </w:p>
        </w:tc>
        <w:tc>
          <w:tcPr>
            <w:tcW w:w="455" w:type="dxa"/>
            <w:tcBorders>
              <w:left w:val="single" w:sz="18" w:space="0" w:color="auto"/>
              <w:bottom w:val="single" w:sz="4" w:space="0" w:color="auto"/>
            </w:tcBorders>
            <w:shd w:val="clear" w:color="auto" w:fill="FABF8F"/>
            <w:vAlign w:val="bottom"/>
          </w:tcPr>
          <w:p w:rsidR="001A63C6" w:rsidRPr="00A75DF9" w:rsidRDefault="001A63C6" w:rsidP="006C465D">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A75DF9" w:rsidRDefault="001A63C6" w:rsidP="006C465D">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bottom"/>
          </w:tcPr>
          <w:p w:rsidR="001A63C6" w:rsidRPr="00A75DF9" w:rsidRDefault="001A63C6" w:rsidP="006C465D">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A75DF9" w:rsidRDefault="001A63C6" w:rsidP="006C465D">
            <w:pPr>
              <w:pStyle w:val="TableText"/>
              <w:widowControl w:val="0"/>
              <w:rPr>
                <w:rFonts w:ascii="Tahoma" w:hAnsi="Tahoma" w:cs="Tahoma"/>
                <w:sz w:val="13"/>
              </w:rPr>
            </w:pPr>
            <w:r w:rsidRPr="00A75DF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A75DF9" w:rsidRDefault="001A63C6" w:rsidP="00D02D7A">
            <w:pPr>
              <w:pStyle w:val="TableText"/>
              <w:widowControl w:val="0"/>
              <w:rPr>
                <w:rFonts w:ascii="Tahoma" w:hAnsi="Tahoma" w:cs="Tahoma"/>
                <w:sz w:val="13"/>
              </w:rPr>
            </w:pPr>
            <w:r w:rsidRPr="00A75D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75DF9" w:rsidRDefault="001A63C6" w:rsidP="00D02D7A">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A75DF9" w:rsidRDefault="001A63C6" w:rsidP="006C465D">
            <w:pPr>
              <w:pStyle w:val="TableText"/>
              <w:widowControl w:val="0"/>
              <w:rPr>
                <w:rFonts w:ascii="Tahoma" w:hAnsi="Tahoma" w:cs="Tahoma"/>
                <w:sz w:val="13"/>
              </w:rPr>
            </w:pPr>
            <w:r w:rsidRPr="00A75DF9">
              <w:rPr>
                <w:rFonts w:ascii="Tahoma" w:hAnsi="Tahoma" w:cs="Tahoma"/>
                <w:sz w:val="13"/>
              </w:rPr>
              <w:t>A, ST (Solo EES)</w:t>
            </w:r>
          </w:p>
        </w:tc>
        <w:tc>
          <w:tcPr>
            <w:tcW w:w="539" w:type="dxa"/>
            <w:tcBorders>
              <w:bottom w:val="single" w:sz="4" w:space="0" w:color="auto"/>
            </w:tcBorders>
            <w:shd w:val="clear" w:color="auto" w:fill="FABF8F"/>
            <w:vAlign w:val="center"/>
          </w:tcPr>
          <w:p w:rsidR="001A63C6" w:rsidRPr="00A75DF9" w:rsidRDefault="001A63C6" w:rsidP="00D66F68">
            <w:pPr>
              <w:pStyle w:val="TableText"/>
              <w:widowControl w:val="0"/>
              <w:rPr>
                <w:rFonts w:ascii="Tahoma" w:hAnsi="Tahoma" w:cs="Tahoma"/>
                <w:sz w:val="13"/>
              </w:rPr>
            </w:pPr>
          </w:p>
        </w:tc>
      </w:tr>
      <w:tr w:rsidR="00500991" w:rsidRPr="00A75DF9" w:rsidTr="008A1262">
        <w:trPr>
          <w:trHeight w:val="145"/>
        </w:trPr>
        <w:tc>
          <w:tcPr>
            <w:tcW w:w="2724" w:type="dxa"/>
            <w:gridSpan w:val="2"/>
            <w:tcBorders>
              <w:bottom w:val="single" w:sz="4" w:space="0" w:color="auto"/>
            </w:tcBorders>
            <w:shd w:val="clear" w:color="auto" w:fill="auto"/>
            <w:vAlign w:val="center"/>
          </w:tcPr>
          <w:p w:rsidR="001A63C6" w:rsidRPr="00A75DF9" w:rsidRDefault="001A63C6" w:rsidP="008B1245">
            <w:pPr>
              <w:pStyle w:val="ProductNames"/>
              <w:spacing w:beforeLines="20" w:before="48" w:afterLines="20" w:after="48"/>
              <w:rPr>
                <w:rFonts w:ascii="Tahoma" w:hAnsi="Tahoma" w:cs="Tahoma"/>
                <w:sz w:val="14"/>
              </w:rPr>
            </w:pPr>
            <w:bookmarkStart w:id="343" w:name="_Toc368310040"/>
            <w:r w:rsidRPr="00A75DF9">
              <w:rPr>
                <w:rFonts w:ascii="Tahoma" w:hAnsi="Tahoma" w:cs="Tahoma"/>
                <w:sz w:val="14"/>
              </w:rPr>
              <w:t>Project Online</w:t>
            </w:r>
            <w:bookmarkEnd w:id="343"/>
            <w:r w:rsidR="009D3B41" w:rsidRPr="00A75DF9">
              <w:rPr>
                <w:rFonts w:ascii="Tahoma" w:hAnsi="Tahoma" w:cs="Tahoma"/>
                <w:sz w:val="14"/>
              </w:rPr>
              <w:t xml:space="preserve"> </w:t>
            </w:r>
          </w:p>
        </w:tc>
        <w:tc>
          <w:tcPr>
            <w:tcW w:w="448" w:type="dxa"/>
            <w:tcBorders>
              <w:bottom w:val="single" w:sz="4" w:space="0" w:color="auto"/>
            </w:tcBorders>
            <w:shd w:val="clear" w:color="auto" w:fill="auto"/>
            <w:vAlign w:val="center"/>
          </w:tcPr>
          <w:p w:rsidR="001A63C6" w:rsidRPr="00B41377" w:rsidRDefault="001A63C6" w:rsidP="001A63C6">
            <w:pPr>
              <w:pStyle w:val="TableText"/>
              <w:widowControl w:val="0"/>
              <w:rPr>
                <w:rStyle w:val="EndnoteReference"/>
                <w:rFonts w:cs="Tahoma"/>
                <w:color w:val="0000FF"/>
                <w:sz w:val="13"/>
                <w:szCs w:val="13"/>
                <w:u w:val="single"/>
              </w:rPr>
            </w:pPr>
          </w:p>
        </w:tc>
        <w:tc>
          <w:tcPr>
            <w:tcW w:w="449" w:type="dxa"/>
            <w:tcBorders>
              <w:bottom w:val="single" w:sz="4" w:space="0" w:color="auto"/>
            </w:tcBorders>
            <w:shd w:val="clear" w:color="auto" w:fill="auto"/>
          </w:tcPr>
          <w:p w:rsidR="001A63C6" w:rsidRPr="00A75DF9" w:rsidRDefault="001A63C6" w:rsidP="001A63C6">
            <w:pPr>
              <w:pStyle w:val="TableText"/>
              <w:widowControl w:val="0"/>
              <w:spacing w:before="40"/>
              <w:rPr>
                <w:rFonts w:ascii="Tahoma" w:hAnsi="Tahoma" w:cs="Tahoma"/>
                <w:color w:val="000000"/>
                <w:sz w:val="13"/>
              </w:rPr>
            </w:pPr>
            <w:r w:rsidRPr="00A75DF9">
              <w:rPr>
                <w:rFonts w:ascii="Tahoma" w:hAnsi="Tahoma" w:cs="Tahoma"/>
                <w:color w:val="000000"/>
                <w:sz w:val="13"/>
              </w:rPr>
              <w:t>03/13</w:t>
            </w:r>
          </w:p>
        </w:tc>
        <w:tc>
          <w:tcPr>
            <w:tcW w:w="359"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SRV</w:t>
            </w:r>
          </w:p>
        </w:tc>
        <w:tc>
          <w:tcPr>
            <w:tcW w:w="356" w:type="dxa"/>
            <w:tcBorders>
              <w:left w:val="single" w:sz="18" w:space="0" w:color="auto"/>
              <w:bottom w:val="single" w:sz="4" w:space="0" w:color="auto"/>
            </w:tcBorders>
            <w:shd w:val="clear" w:color="auto" w:fill="auto"/>
            <w:vAlign w:val="bottom"/>
          </w:tcPr>
          <w:p w:rsidR="001A63C6" w:rsidRPr="00A75DF9"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A75DF9" w:rsidRDefault="001A63C6" w:rsidP="001A63C6">
            <w:pPr>
              <w:pStyle w:val="TableText"/>
              <w:widowControl w:val="0"/>
              <w:rPr>
                <w:rFonts w:ascii="Tahoma" w:hAnsi="Tahoma" w:cs="Tahoma"/>
                <w:sz w:val="14"/>
                <w:szCs w:val="14"/>
              </w:rPr>
            </w:pPr>
          </w:p>
        </w:tc>
        <w:tc>
          <w:tcPr>
            <w:tcW w:w="455" w:type="dxa"/>
            <w:tcBorders>
              <w:bottom w:val="single" w:sz="4" w:space="0" w:color="auto"/>
            </w:tcBorders>
            <w:shd w:val="clear" w:color="auto" w:fill="auto"/>
            <w:vAlign w:val="bottom"/>
          </w:tcPr>
          <w:p w:rsidR="001A63C6" w:rsidRPr="00A75DF9" w:rsidRDefault="001A63C6" w:rsidP="001A63C6">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auto"/>
            <w:vAlign w:val="bottom"/>
          </w:tcPr>
          <w:p w:rsidR="001A63C6" w:rsidRPr="00A75DF9" w:rsidRDefault="001A63C6" w:rsidP="001A63C6">
            <w:pPr>
              <w:pStyle w:val="TableText"/>
              <w:widowControl w:val="0"/>
              <w:rPr>
                <w:rFonts w:ascii="Tahoma" w:hAnsi="Tahoma" w:cs="Tahoma"/>
                <w:sz w:val="14"/>
                <w:szCs w:val="14"/>
              </w:rPr>
            </w:pPr>
          </w:p>
        </w:tc>
        <w:tc>
          <w:tcPr>
            <w:tcW w:w="445" w:type="dxa"/>
            <w:tcBorders>
              <w:bottom w:val="single" w:sz="4" w:space="0" w:color="auto"/>
            </w:tcBorders>
            <w:shd w:val="clear" w:color="auto" w:fill="auto"/>
            <w:vAlign w:val="bottom"/>
          </w:tcPr>
          <w:p w:rsidR="001A63C6" w:rsidRPr="00A75DF9"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A75DF9" w:rsidRDefault="001A63C6" w:rsidP="001A63C6">
            <w:pPr>
              <w:pStyle w:val="TableText"/>
              <w:widowControl w:val="0"/>
              <w:rPr>
                <w:rFonts w:ascii="Tahoma" w:hAnsi="Tahoma" w:cs="Tahoma"/>
                <w:sz w:val="14"/>
                <w:szCs w:val="14"/>
              </w:rPr>
            </w:pPr>
          </w:p>
        </w:tc>
        <w:tc>
          <w:tcPr>
            <w:tcW w:w="374" w:type="dxa"/>
            <w:tcBorders>
              <w:bottom w:val="single" w:sz="4" w:space="0" w:color="auto"/>
              <w:right w:val="single" w:sz="18" w:space="0" w:color="auto"/>
            </w:tcBorders>
            <w:shd w:val="clear" w:color="auto" w:fill="auto"/>
            <w:vAlign w:val="bottom"/>
          </w:tcPr>
          <w:p w:rsidR="001A63C6" w:rsidRPr="00A75DF9" w:rsidRDefault="001A63C6" w:rsidP="001A63C6">
            <w:pPr>
              <w:pStyle w:val="TableText"/>
              <w:widowControl w:val="0"/>
              <w:rPr>
                <w:rFonts w:ascii="Tahoma" w:hAnsi="Tahoma" w:cs="Tahoma"/>
                <w:sz w:val="14"/>
                <w:szCs w:val="14"/>
              </w:rPr>
            </w:pPr>
          </w:p>
        </w:tc>
        <w:tc>
          <w:tcPr>
            <w:tcW w:w="455" w:type="dxa"/>
            <w:tcBorders>
              <w:left w:val="single" w:sz="18" w:space="0" w:color="auto"/>
              <w:bottom w:val="single" w:sz="4" w:space="0" w:color="auto"/>
            </w:tcBorders>
            <w:shd w:val="clear" w:color="auto" w:fill="auto"/>
            <w:vAlign w:val="bottom"/>
          </w:tcPr>
          <w:p w:rsidR="001A63C6" w:rsidRPr="00A75DF9"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auto"/>
            <w:vAlign w:val="bottom"/>
          </w:tcPr>
          <w:p w:rsidR="001A63C6" w:rsidRPr="00A75DF9" w:rsidRDefault="001A63C6" w:rsidP="001A63C6">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auto"/>
            <w:vAlign w:val="bottom"/>
          </w:tcPr>
          <w:p w:rsidR="001A63C6" w:rsidRPr="00A75DF9" w:rsidRDefault="001A63C6"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A75DF9" w:rsidRDefault="001A63C6" w:rsidP="001A63C6">
            <w:pPr>
              <w:pStyle w:val="TableText"/>
              <w:widowControl w:val="0"/>
              <w:spacing w:before="120"/>
              <w:rPr>
                <w:rFonts w:ascii="Tahoma" w:hAnsi="Tahoma" w:cs="Tahoma"/>
                <w:sz w:val="13"/>
              </w:rPr>
            </w:pPr>
          </w:p>
        </w:tc>
        <w:tc>
          <w:tcPr>
            <w:tcW w:w="539"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r>
      <w:tr w:rsidR="00500991" w:rsidRPr="00A75DF9" w:rsidTr="008A1262">
        <w:trPr>
          <w:trHeight w:val="145"/>
        </w:trPr>
        <w:tc>
          <w:tcPr>
            <w:tcW w:w="2724" w:type="dxa"/>
            <w:gridSpan w:val="2"/>
            <w:tcBorders>
              <w:bottom w:val="single" w:sz="4" w:space="0" w:color="auto"/>
            </w:tcBorders>
            <w:shd w:val="clear" w:color="auto" w:fill="FABF8F"/>
            <w:vAlign w:val="center"/>
          </w:tcPr>
          <w:p w:rsidR="001A63C6" w:rsidRPr="00A75DF9" w:rsidRDefault="001A63C6" w:rsidP="008B1245">
            <w:pPr>
              <w:pStyle w:val="ProductNames"/>
              <w:spacing w:beforeLines="20" w:before="48" w:afterLines="20" w:after="48"/>
              <w:rPr>
                <w:rFonts w:ascii="Tahoma" w:hAnsi="Tahoma" w:cs="Tahoma"/>
                <w:sz w:val="14"/>
              </w:rPr>
            </w:pPr>
            <w:bookmarkStart w:id="344" w:name="_Toc368310041"/>
            <w:r w:rsidRPr="00A75DF9">
              <w:rPr>
                <w:rFonts w:ascii="Tahoma" w:hAnsi="Tahoma" w:cs="Tahoma"/>
                <w:sz w:val="14"/>
              </w:rPr>
              <w:t>Project Online A</w:t>
            </w:r>
            <w:bookmarkEnd w:id="344"/>
          </w:p>
        </w:tc>
        <w:tc>
          <w:tcPr>
            <w:tcW w:w="448" w:type="dxa"/>
            <w:tcBorders>
              <w:bottom w:val="single" w:sz="4" w:space="0" w:color="auto"/>
            </w:tcBorders>
            <w:shd w:val="clear" w:color="auto" w:fill="FABF8F"/>
            <w:vAlign w:val="center"/>
          </w:tcPr>
          <w:p w:rsidR="001A63C6" w:rsidRPr="00B41377" w:rsidRDefault="001A63C6" w:rsidP="001A63C6">
            <w:pPr>
              <w:pStyle w:val="TableText"/>
              <w:widowControl w:val="0"/>
              <w:rPr>
                <w:rStyle w:val="EndnoteReference"/>
                <w:rFonts w:cs="Tahoma"/>
                <w:color w:val="0000FF"/>
                <w:sz w:val="13"/>
                <w:szCs w:val="13"/>
                <w:u w:val="single"/>
              </w:rPr>
            </w:pPr>
          </w:p>
        </w:tc>
        <w:tc>
          <w:tcPr>
            <w:tcW w:w="449" w:type="dxa"/>
            <w:tcBorders>
              <w:bottom w:val="single" w:sz="4" w:space="0" w:color="auto"/>
            </w:tcBorders>
            <w:shd w:val="clear" w:color="auto" w:fill="FABF8F"/>
          </w:tcPr>
          <w:p w:rsidR="001A63C6" w:rsidRPr="00A75DF9" w:rsidRDefault="001A63C6" w:rsidP="001A63C6">
            <w:pPr>
              <w:pStyle w:val="TableText"/>
              <w:widowControl w:val="0"/>
              <w:spacing w:before="40"/>
              <w:rPr>
                <w:rFonts w:ascii="Tahoma" w:hAnsi="Tahoma" w:cs="Tahoma"/>
                <w:color w:val="000000"/>
                <w:sz w:val="13"/>
              </w:rPr>
            </w:pPr>
            <w:r w:rsidRPr="00A75DF9">
              <w:rPr>
                <w:rFonts w:ascii="Tahoma" w:hAnsi="Tahoma" w:cs="Tahoma"/>
                <w:color w:val="000000"/>
                <w:sz w:val="13"/>
              </w:rPr>
              <w:t>03/13</w:t>
            </w:r>
          </w:p>
        </w:tc>
        <w:tc>
          <w:tcPr>
            <w:tcW w:w="359"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SRV</w:t>
            </w:r>
          </w:p>
        </w:tc>
        <w:tc>
          <w:tcPr>
            <w:tcW w:w="356" w:type="dxa"/>
            <w:tcBorders>
              <w:left w:val="single" w:sz="18" w:space="0" w:color="auto"/>
              <w:bottom w:val="single" w:sz="4" w:space="0" w:color="auto"/>
            </w:tcBorders>
            <w:shd w:val="clear" w:color="auto" w:fill="FABF8F"/>
            <w:vAlign w:val="bottom"/>
          </w:tcPr>
          <w:p w:rsidR="001A63C6" w:rsidRPr="00A75DF9"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A75DF9" w:rsidRDefault="001A63C6" w:rsidP="001A63C6">
            <w:pPr>
              <w:pStyle w:val="TableText"/>
              <w:widowControl w:val="0"/>
              <w:rPr>
                <w:rFonts w:ascii="Tahoma" w:hAnsi="Tahoma" w:cs="Tahoma"/>
                <w:sz w:val="14"/>
                <w:szCs w:val="14"/>
              </w:rPr>
            </w:pPr>
          </w:p>
        </w:tc>
        <w:tc>
          <w:tcPr>
            <w:tcW w:w="455" w:type="dxa"/>
            <w:tcBorders>
              <w:bottom w:val="single" w:sz="4" w:space="0" w:color="auto"/>
            </w:tcBorders>
            <w:shd w:val="clear" w:color="auto" w:fill="FABF8F"/>
            <w:vAlign w:val="bottom"/>
          </w:tcPr>
          <w:p w:rsidR="001A63C6" w:rsidRPr="00A75DF9" w:rsidRDefault="001A63C6" w:rsidP="001A63C6">
            <w:pPr>
              <w:pStyle w:val="TableText"/>
              <w:widowControl w:val="0"/>
              <w:rPr>
                <w:rFonts w:ascii="Tahoma" w:hAnsi="Tahoma" w:cs="Tahoma"/>
                <w:sz w:val="14"/>
                <w:szCs w:val="14"/>
              </w:rPr>
            </w:pPr>
          </w:p>
        </w:tc>
        <w:tc>
          <w:tcPr>
            <w:tcW w:w="450" w:type="dxa"/>
            <w:gridSpan w:val="3"/>
            <w:tcBorders>
              <w:bottom w:val="single" w:sz="4" w:space="0" w:color="auto"/>
            </w:tcBorders>
            <w:shd w:val="clear" w:color="auto" w:fill="FABF8F"/>
            <w:vAlign w:val="bottom"/>
          </w:tcPr>
          <w:p w:rsidR="001A63C6" w:rsidRPr="00A75DF9" w:rsidRDefault="001A63C6" w:rsidP="001A63C6">
            <w:pPr>
              <w:pStyle w:val="TableText"/>
              <w:widowControl w:val="0"/>
              <w:rPr>
                <w:rFonts w:ascii="Tahoma" w:hAnsi="Tahoma" w:cs="Tahoma"/>
                <w:sz w:val="14"/>
                <w:szCs w:val="14"/>
              </w:rPr>
            </w:pPr>
          </w:p>
        </w:tc>
        <w:tc>
          <w:tcPr>
            <w:tcW w:w="445" w:type="dxa"/>
            <w:tcBorders>
              <w:bottom w:val="single" w:sz="4" w:space="0" w:color="auto"/>
            </w:tcBorders>
            <w:shd w:val="clear" w:color="auto" w:fill="FABF8F"/>
            <w:vAlign w:val="bottom"/>
          </w:tcPr>
          <w:p w:rsidR="001A63C6" w:rsidRPr="00A75DF9"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A75DF9" w:rsidRDefault="001A63C6" w:rsidP="001A63C6">
            <w:pPr>
              <w:pStyle w:val="TableText"/>
              <w:widowControl w:val="0"/>
              <w:rPr>
                <w:rFonts w:ascii="Tahoma" w:hAnsi="Tahoma" w:cs="Tahoma"/>
                <w:sz w:val="14"/>
                <w:szCs w:val="14"/>
              </w:rPr>
            </w:pPr>
          </w:p>
        </w:tc>
        <w:tc>
          <w:tcPr>
            <w:tcW w:w="374" w:type="dxa"/>
            <w:tcBorders>
              <w:bottom w:val="single" w:sz="4" w:space="0" w:color="auto"/>
              <w:right w:val="single" w:sz="18" w:space="0" w:color="auto"/>
            </w:tcBorders>
            <w:shd w:val="clear" w:color="auto" w:fill="FABF8F"/>
            <w:vAlign w:val="bottom"/>
          </w:tcPr>
          <w:p w:rsidR="001A63C6" w:rsidRPr="00A75DF9" w:rsidRDefault="001A63C6" w:rsidP="001A63C6">
            <w:pPr>
              <w:pStyle w:val="TableText"/>
              <w:widowControl w:val="0"/>
              <w:rPr>
                <w:rFonts w:ascii="Tahoma" w:hAnsi="Tahoma" w:cs="Tahoma"/>
                <w:sz w:val="14"/>
                <w:szCs w:val="14"/>
              </w:rPr>
            </w:pPr>
          </w:p>
        </w:tc>
        <w:tc>
          <w:tcPr>
            <w:tcW w:w="455" w:type="dxa"/>
            <w:tcBorders>
              <w:left w:val="single" w:sz="18" w:space="0" w:color="auto"/>
              <w:bottom w:val="single" w:sz="4" w:space="0" w:color="auto"/>
            </w:tcBorders>
            <w:shd w:val="clear" w:color="auto" w:fill="FABF8F"/>
            <w:vAlign w:val="bottom"/>
          </w:tcPr>
          <w:p w:rsidR="001A63C6" w:rsidRPr="00A75DF9" w:rsidRDefault="001A63C6" w:rsidP="001A63C6">
            <w:pPr>
              <w:pStyle w:val="TableText"/>
              <w:widowControl w:val="0"/>
              <w:rPr>
                <w:rFonts w:ascii="Tahoma" w:hAnsi="Tahoma" w:cs="Tahoma"/>
                <w:sz w:val="14"/>
                <w:szCs w:val="14"/>
              </w:rPr>
            </w:pPr>
          </w:p>
        </w:tc>
        <w:tc>
          <w:tcPr>
            <w:tcW w:w="450" w:type="dxa"/>
            <w:tcBorders>
              <w:bottom w:val="single" w:sz="4" w:space="0" w:color="auto"/>
            </w:tcBorders>
            <w:shd w:val="clear" w:color="auto" w:fill="FABF8F"/>
            <w:vAlign w:val="bottom"/>
          </w:tcPr>
          <w:p w:rsidR="001A63C6" w:rsidRPr="00A75DF9" w:rsidRDefault="001A63C6" w:rsidP="001A63C6">
            <w:pPr>
              <w:pStyle w:val="TableText"/>
              <w:widowControl w:val="0"/>
              <w:rPr>
                <w:rFonts w:ascii="Tahoma" w:hAnsi="Tahoma" w:cs="Tahoma"/>
                <w:sz w:val="14"/>
                <w:szCs w:val="14"/>
              </w:rPr>
            </w:pPr>
          </w:p>
        </w:tc>
        <w:tc>
          <w:tcPr>
            <w:tcW w:w="450" w:type="dxa"/>
            <w:tcBorders>
              <w:bottom w:val="single" w:sz="4" w:space="0" w:color="auto"/>
              <w:right w:val="single" w:sz="18" w:space="0" w:color="auto"/>
            </w:tcBorders>
            <w:shd w:val="clear" w:color="auto" w:fill="FABF8F"/>
            <w:vAlign w:val="bottom"/>
          </w:tcPr>
          <w:p w:rsidR="001A63C6" w:rsidRPr="00A75DF9" w:rsidRDefault="001A63C6" w:rsidP="001A63C6">
            <w:pPr>
              <w:pStyle w:val="TableText"/>
              <w:widowControl w:val="0"/>
              <w:rPr>
                <w:rFonts w:ascii="Tahoma" w:hAnsi="Tahoma" w:cs="Tahoma"/>
                <w:sz w:val="14"/>
                <w:szCs w:val="14"/>
              </w:rPr>
            </w:pPr>
          </w:p>
        </w:tc>
        <w:tc>
          <w:tcPr>
            <w:tcW w:w="450"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A75DF9" w:rsidRDefault="001A63C6" w:rsidP="001A63C6">
            <w:pPr>
              <w:pStyle w:val="TableText"/>
              <w:widowControl w:val="0"/>
              <w:spacing w:before="120"/>
              <w:rPr>
                <w:rFonts w:ascii="Tahoma" w:hAnsi="Tahoma" w:cs="Tahoma"/>
                <w:sz w:val="13"/>
              </w:rPr>
            </w:pPr>
          </w:p>
        </w:tc>
        <w:tc>
          <w:tcPr>
            <w:tcW w:w="539"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r>
      <w:tr w:rsidR="00500991" w:rsidRPr="00A75DF9" w:rsidTr="008A1262">
        <w:trPr>
          <w:trHeight w:val="145"/>
        </w:trPr>
        <w:tc>
          <w:tcPr>
            <w:tcW w:w="2724" w:type="dxa"/>
            <w:gridSpan w:val="2"/>
            <w:tcBorders>
              <w:bottom w:val="single" w:sz="4" w:space="0" w:color="auto"/>
            </w:tcBorders>
            <w:shd w:val="clear" w:color="auto" w:fill="auto"/>
            <w:vAlign w:val="center"/>
          </w:tcPr>
          <w:p w:rsidR="001A63C6" w:rsidRPr="00A75DF9" w:rsidRDefault="001A63C6" w:rsidP="008B1245">
            <w:pPr>
              <w:pStyle w:val="ProductNames"/>
              <w:spacing w:beforeLines="20" w:before="48" w:afterLines="20" w:after="48"/>
              <w:rPr>
                <w:rFonts w:ascii="Tahoma" w:hAnsi="Tahoma" w:cs="Tahoma"/>
                <w:sz w:val="14"/>
              </w:rPr>
            </w:pPr>
            <w:bookmarkStart w:id="345" w:name="_Toc336338033"/>
            <w:bookmarkStart w:id="346" w:name="_Toc368310042"/>
            <w:r w:rsidRPr="00A75DF9">
              <w:rPr>
                <w:rFonts w:ascii="Tahoma" w:hAnsi="Tahoma" w:cs="Tahoma"/>
                <w:sz w:val="14"/>
              </w:rPr>
              <w:t xml:space="preserve">Project Server </w:t>
            </w:r>
            <w:bookmarkEnd w:id="345"/>
            <w:r w:rsidRPr="00A75DF9">
              <w:rPr>
                <w:rFonts w:ascii="Tahoma" w:hAnsi="Tahoma" w:cs="Tahoma"/>
                <w:sz w:val="14"/>
              </w:rPr>
              <w:t>2013</w:t>
            </w:r>
            <w:bookmarkEnd w:id="346"/>
          </w:p>
        </w:tc>
        <w:tc>
          <w:tcPr>
            <w:tcW w:w="448" w:type="dxa"/>
            <w:tcBorders>
              <w:bottom w:val="single" w:sz="4" w:space="0" w:color="auto"/>
            </w:tcBorders>
            <w:shd w:val="clear" w:color="auto" w:fill="auto"/>
            <w:vAlign w:val="center"/>
          </w:tcPr>
          <w:p w:rsidR="001A63C6" w:rsidRPr="00B41377" w:rsidRDefault="001A63C6" w:rsidP="001A63C6">
            <w:pPr>
              <w:pStyle w:val="TableText"/>
              <w:widowControl w:val="0"/>
              <w:rPr>
                <w:rStyle w:val="EndnoteReference"/>
                <w:rFonts w:cs="Tahoma"/>
                <w:color w:val="0000FF"/>
                <w:sz w:val="13"/>
                <w:szCs w:val="13"/>
                <w:u w:val="single"/>
              </w:rPr>
            </w:pPr>
            <w:bookmarkStart w:id="347" w:name="_Hlt336249768"/>
          </w:p>
        </w:tc>
        <w:bookmarkEnd w:id="347"/>
        <w:tc>
          <w:tcPr>
            <w:tcW w:w="449" w:type="dxa"/>
            <w:tcBorders>
              <w:bottom w:val="single" w:sz="4" w:space="0" w:color="auto"/>
            </w:tcBorders>
            <w:shd w:val="clear" w:color="auto" w:fill="auto"/>
          </w:tcPr>
          <w:p w:rsidR="001A63C6" w:rsidRPr="00A75DF9" w:rsidRDefault="001A63C6" w:rsidP="001A63C6">
            <w:pPr>
              <w:pStyle w:val="TableText"/>
              <w:widowControl w:val="0"/>
              <w:spacing w:before="40"/>
              <w:rPr>
                <w:rFonts w:ascii="Tahoma" w:hAnsi="Tahoma" w:cs="Tahoma"/>
                <w:color w:val="000000"/>
                <w:sz w:val="13"/>
              </w:rPr>
            </w:pPr>
            <w:r w:rsidRPr="00A75DF9">
              <w:rPr>
                <w:rFonts w:ascii="Tahoma" w:hAnsi="Tahoma" w:cs="Tahoma"/>
                <w:color w:val="000000"/>
                <w:sz w:val="13"/>
              </w:rPr>
              <w:t>10/12</w:t>
            </w:r>
          </w:p>
        </w:tc>
        <w:tc>
          <w:tcPr>
            <w:tcW w:w="359"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SRV</w:t>
            </w:r>
          </w:p>
        </w:tc>
        <w:tc>
          <w:tcPr>
            <w:tcW w:w="356" w:type="dxa"/>
            <w:tcBorders>
              <w:left w:val="single" w:sz="18" w:space="0" w:color="auto"/>
              <w:bottom w:val="single" w:sz="4" w:space="0" w:color="auto"/>
            </w:tcBorders>
            <w:shd w:val="clear" w:color="auto" w:fill="auto"/>
            <w:vAlign w:val="center"/>
          </w:tcPr>
          <w:p w:rsidR="001A63C6" w:rsidRPr="00A75DF9" w:rsidRDefault="001A63C6" w:rsidP="002A6E97">
            <w:pPr>
              <w:pStyle w:val="TableText"/>
              <w:widowControl w:val="0"/>
              <w:rPr>
                <w:rFonts w:ascii="Tahoma" w:hAnsi="Tahoma" w:cs="Tahoma"/>
                <w:sz w:val="14"/>
                <w:szCs w:val="14"/>
              </w:rPr>
            </w:pPr>
            <w:r w:rsidRPr="00A75DF9">
              <w:rPr>
                <w:rFonts w:ascii="Tahoma" w:hAnsi="Tahoma" w:cs="Tahoma"/>
                <w:sz w:val="14"/>
                <w:szCs w:val="14"/>
              </w:rPr>
              <w:t>50</w:t>
            </w:r>
          </w:p>
        </w:tc>
        <w:tc>
          <w:tcPr>
            <w:tcW w:w="450" w:type="dxa"/>
            <w:tcBorders>
              <w:bottom w:val="single" w:sz="4" w:space="0" w:color="auto"/>
            </w:tcBorders>
            <w:shd w:val="clear" w:color="auto" w:fill="auto"/>
            <w:vAlign w:val="center"/>
          </w:tcPr>
          <w:p w:rsidR="001A63C6" w:rsidRPr="00A75DF9" w:rsidRDefault="001A63C6" w:rsidP="002A6E97">
            <w:pPr>
              <w:pStyle w:val="TableText"/>
              <w:widowControl w:val="0"/>
              <w:rPr>
                <w:rFonts w:ascii="Tahoma" w:hAnsi="Tahoma" w:cs="Tahoma"/>
                <w:sz w:val="14"/>
                <w:szCs w:val="14"/>
              </w:rPr>
            </w:pPr>
            <w:r w:rsidRPr="00A75DF9">
              <w:rPr>
                <w:rFonts w:ascii="Tahoma" w:hAnsi="Tahoma" w:cs="Tahoma"/>
                <w:sz w:val="14"/>
                <w:szCs w:val="14"/>
              </w:rPr>
              <w:t>125</w:t>
            </w:r>
          </w:p>
        </w:tc>
        <w:tc>
          <w:tcPr>
            <w:tcW w:w="455" w:type="dxa"/>
            <w:tcBorders>
              <w:bottom w:val="single" w:sz="4" w:space="0" w:color="auto"/>
            </w:tcBorders>
            <w:shd w:val="clear" w:color="auto" w:fill="auto"/>
            <w:vAlign w:val="center"/>
          </w:tcPr>
          <w:p w:rsidR="001A63C6" w:rsidRPr="00A75DF9" w:rsidRDefault="001A63C6" w:rsidP="00D02D7A">
            <w:pPr>
              <w:pStyle w:val="TableText"/>
              <w:widowControl w:val="0"/>
              <w:rPr>
                <w:rFonts w:ascii="Tahoma" w:hAnsi="Tahoma" w:cs="Tahoma"/>
                <w:sz w:val="14"/>
                <w:szCs w:val="14"/>
              </w:rPr>
            </w:pPr>
            <w:r w:rsidRPr="00A75DF9">
              <w:rPr>
                <w:rFonts w:ascii="Tahoma" w:hAnsi="Tahoma" w:cs="Tahoma"/>
                <w:sz w:val="14"/>
                <w:szCs w:val="14"/>
              </w:rPr>
              <w:t>100</w:t>
            </w:r>
          </w:p>
        </w:tc>
        <w:tc>
          <w:tcPr>
            <w:tcW w:w="450" w:type="dxa"/>
            <w:gridSpan w:val="3"/>
            <w:tcBorders>
              <w:bottom w:val="single" w:sz="4" w:space="0" w:color="auto"/>
            </w:tcBorders>
            <w:shd w:val="clear" w:color="auto" w:fill="auto"/>
            <w:vAlign w:val="center"/>
          </w:tcPr>
          <w:p w:rsidR="001A63C6" w:rsidRPr="00A75DF9" w:rsidRDefault="001A63C6" w:rsidP="00D02D7A">
            <w:pPr>
              <w:pStyle w:val="TableText"/>
              <w:widowControl w:val="0"/>
              <w:rPr>
                <w:rFonts w:ascii="Tahoma" w:hAnsi="Tahoma" w:cs="Tahoma"/>
                <w:sz w:val="14"/>
                <w:szCs w:val="14"/>
              </w:rPr>
            </w:pPr>
            <w:r w:rsidRPr="00A75DF9">
              <w:rPr>
                <w:rFonts w:ascii="Tahoma" w:hAnsi="Tahoma" w:cs="Tahoma"/>
                <w:sz w:val="14"/>
                <w:szCs w:val="14"/>
              </w:rPr>
              <w:t>75</w:t>
            </w:r>
          </w:p>
        </w:tc>
        <w:tc>
          <w:tcPr>
            <w:tcW w:w="445" w:type="dxa"/>
            <w:tcBorders>
              <w:bottom w:val="single" w:sz="4" w:space="0" w:color="auto"/>
            </w:tcBorders>
            <w:shd w:val="clear" w:color="auto" w:fill="auto"/>
            <w:vAlign w:val="center"/>
          </w:tcPr>
          <w:p w:rsidR="001A63C6" w:rsidRPr="00A75DF9" w:rsidRDefault="001A63C6" w:rsidP="00242B11">
            <w:pPr>
              <w:pStyle w:val="TableText"/>
              <w:widowControl w:val="0"/>
              <w:rPr>
                <w:rFonts w:ascii="Tahoma" w:hAnsi="Tahoma" w:cs="Tahoma"/>
                <w:sz w:val="14"/>
                <w:szCs w:val="14"/>
              </w:rPr>
            </w:pPr>
            <w:r w:rsidRPr="00A75DF9">
              <w:rPr>
                <w:rFonts w:ascii="Tahoma" w:hAnsi="Tahoma" w:cs="Tahoma"/>
                <w:sz w:val="14"/>
                <w:szCs w:val="14"/>
              </w:rPr>
              <w:t>75</w:t>
            </w:r>
          </w:p>
        </w:tc>
        <w:tc>
          <w:tcPr>
            <w:tcW w:w="450" w:type="dxa"/>
            <w:tcBorders>
              <w:bottom w:val="single" w:sz="4" w:space="0" w:color="auto"/>
            </w:tcBorders>
            <w:shd w:val="clear" w:color="auto" w:fill="auto"/>
            <w:vAlign w:val="center"/>
          </w:tcPr>
          <w:p w:rsidR="001A63C6" w:rsidRPr="00A75DF9" w:rsidRDefault="001A63C6" w:rsidP="00242B11">
            <w:pPr>
              <w:pStyle w:val="TableText"/>
              <w:widowControl w:val="0"/>
              <w:rPr>
                <w:rFonts w:ascii="Tahoma" w:hAnsi="Tahoma" w:cs="Tahoma"/>
                <w:sz w:val="14"/>
                <w:szCs w:val="14"/>
              </w:rPr>
            </w:pPr>
            <w:r w:rsidRPr="00A75DF9">
              <w:rPr>
                <w:rFonts w:ascii="Tahoma" w:hAnsi="Tahoma" w:cs="Tahoma"/>
                <w:sz w:val="14"/>
                <w:szCs w:val="14"/>
              </w:rPr>
              <w:t>50</w:t>
            </w:r>
          </w:p>
        </w:tc>
        <w:tc>
          <w:tcPr>
            <w:tcW w:w="374" w:type="dxa"/>
            <w:tcBorders>
              <w:bottom w:val="single" w:sz="4" w:space="0" w:color="auto"/>
              <w:right w:val="single" w:sz="18" w:space="0" w:color="auto"/>
            </w:tcBorders>
            <w:shd w:val="clear" w:color="auto" w:fill="auto"/>
            <w:vAlign w:val="center"/>
          </w:tcPr>
          <w:p w:rsidR="001A63C6" w:rsidRPr="00A75DF9" w:rsidRDefault="001A63C6" w:rsidP="00EA31A6">
            <w:pPr>
              <w:pStyle w:val="TableText"/>
              <w:widowControl w:val="0"/>
              <w:rPr>
                <w:rFonts w:ascii="Tahoma" w:hAnsi="Tahoma" w:cs="Tahoma"/>
                <w:sz w:val="14"/>
                <w:szCs w:val="14"/>
              </w:rPr>
            </w:pPr>
            <w:r w:rsidRPr="00A75DF9">
              <w:rPr>
                <w:rFonts w:ascii="Tahoma" w:hAnsi="Tahoma" w:cs="Tahoma"/>
                <w:sz w:val="14"/>
                <w:szCs w:val="14"/>
              </w:rPr>
              <w:t>25</w:t>
            </w:r>
          </w:p>
        </w:tc>
        <w:tc>
          <w:tcPr>
            <w:tcW w:w="455" w:type="dxa"/>
            <w:tcBorders>
              <w:left w:val="single" w:sz="18" w:space="0" w:color="auto"/>
              <w:bottom w:val="single" w:sz="4" w:space="0" w:color="auto"/>
            </w:tcBorders>
            <w:shd w:val="clear" w:color="auto" w:fill="auto"/>
            <w:vAlign w:val="center"/>
          </w:tcPr>
          <w:p w:rsidR="001A63C6" w:rsidRPr="00A75DF9" w:rsidRDefault="001A63C6" w:rsidP="00EA31A6">
            <w:pPr>
              <w:pStyle w:val="TableText"/>
              <w:widowControl w:val="0"/>
              <w:rPr>
                <w:rFonts w:ascii="Tahoma" w:hAnsi="Tahoma" w:cs="Tahoma"/>
                <w:sz w:val="14"/>
                <w:szCs w:val="14"/>
              </w:rPr>
            </w:pPr>
            <w:r w:rsidRPr="00A75DF9">
              <w:rPr>
                <w:rFonts w:ascii="Tahoma" w:hAnsi="Tahoma" w:cs="Tahoma"/>
                <w:sz w:val="14"/>
                <w:szCs w:val="14"/>
              </w:rPr>
              <w:t>50</w:t>
            </w:r>
          </w:p>
        </w:tc>
        <w:tc>
          <w:tcPr>
            <w:tcW w:w="450" w:type="dxa"/>
            <w:tcBorders>
              <w:bottom w:val="single" w:sz="4" w:space="0" w:color="auto"/>
            </w:tcBorders>
            <w:shd w:val="clear" w:color="auto" w:fill="auto"/>
            <w:vAlign w:val="center"/>
          </w:tcPr>
          <w:p w:rsidR="001A63C6" w:rsidRPr="00A75DF9" w:rsidRDefault="001A63C6" w:rsidP="00EA31A6">
            <w:pPr>
              <w:pStyle w:val="TableText"/>
              <w:widowControl w:val="0"/>
              <w:rPr>
                <w:rFonts w:ascii="Tahoma" w:hAnsi="Tahoma" w:cs="Tahoma"/>
                <w:sz w:val="14"/>
                <w:szCs w:val="14"/>
              </w:rPr>
            </w:pPr>
            <w:r w:rsidRPr="00A75DF9">
              <w:rPr>
                <w:rFonts w:ascii="Tahoma" w:hAnsi="Tahoma" w:cs="Tahoma"/>
                <w:sz w:val="14"/>
                <w:szCs w:val="14"/>
              </w:rPr>
              <w:t>100</w:t>
            </w:r>
          </w:p>
        </w:tc>
        <w:tc>
          <w:tcPr>
            <w:tcW w:w="450" w:type="dxa"/>
            <w:tcBorders>
              <w:bottom w:val="single" w:sz="4" w:space="0" w:color="auto"/>
              <w:right w:val="single" w:sz="18" w:space="0" w:color="auto"/>
            </w:tcBorders>
            <w:shd w:val="clear" w:color="auto" w:fill="auto"/>
            <w:vAlign w:val="center"/>
          </w:tcPr>
          <w:p w:rsidR="001A63C6" w:rsidRPr="00A75DF9" w:rsidRDefault="001A63C6" w:rsidP="00EA31A6">
            <w:pPr>
              <w:pStyle w:val="TableText"/>
              <w:widowControl w:val="0"/>
              <w:rPr>
                <w:rFonts w:ascii="Tahoma" w:hAnsi="Tahoma" w:cs="Tahoma"/>
                <w:sz w:val="14"/>
                <w:szCs w:val="14"/>
              </w:rPr>
            </w:pPr>
            <w:r w:rsidRPr="00A75DF9">
              <w:rPr>
                <w:rFonts w:ascii="Tahoma" w:hAnsi="Tahoma" w:cs="Tahoma"/>
                <w:sz w:val="14"/>
                <w:szCs w:val="14"/>
              </w:rPr>
              <w:t>50</w:t>
            </w:r>
          </w:p>
        </w:tc>
        <w:tc>
          <w:tcPr>
            <w:tcW w:w="450" w:type="dxa"/>
            <w:tcBorders>
              <w:left w:val="single" w:sz="18" w:space="0" w:color="auto"/>
              <w:bottom w:val="single" w:sz="4" w:space="0" w:color="auto"/>
            </w:tcBorders>
            <w:shd w:val="clear" w:color="auto" w:fill="auto"/>
            <w:vAlign w:val="center"/>
          </w:tcPr>
          <w:p w:rsidR="001A63C6" w:rsidRPr="00A75DF9" w:rsidRDefault="001A63C6" w:rsidP="003537B9">
            <w:pPr>
              <w:pStyle w:val="TableText"/>
              <w:widowControl w:val="0"/>
              <w:rPr>
                <w:rFonts w:ascii="Tahoma" w:hAnsi="Tahoma" w:cs="Tahoma"/>
                <w:sz w:val="13"/>
              </w:rPr>
            </w:pPr>
            <w:r w:rsidRPr="00A75DF9">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A75DF9" w:rsidRDefault="001A63C6" w:rsidP="003537B9">
            <w:pPr>
              <w:pStyle w:val="TableText"/>
              <w:widowControl w:val="0"/>
              <w:rPr>
                <w:rFonts w:ascii="Tahoma" w:hAnsi="Tahoma" w:cs="Tahoma"/>
                <w:sz w:val="13"/>
              </w:rPr>
            </w:pPr>
            <w:r w:rsidRPr="00A75D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75DF9" w:rsidRDefault="001A63C6" w:rsidP="003537B9">
            <w:pPr>
              <w:pStyle w:val="TableText"/>
              <w:widowControl w:val="0"/>
              <w:rPr>
                <w:rFonts w:ascii="Tahoma" w:hAnsi="Tahoma" w:cs="Tahoma"/>
                <w:sz w:val="13"/>
              </w:rPr>
            </w:pPr>
            <w:r w:rsidRPr="00A75DF9">
              <w:rPr>
                <w:rFonts w:ascii="Tahoma" w:hAnsi="Tahoma" w:cs="Tahoma"/>
                <w:sz w:val="13"/>
              </w:rPr>
              <w:t>P</w:t>
            </w:r>
          </w:p>
        </w:tc>
        <w:tc>
          <w:tcPr>
            <w:tcW w:w="450" w:type="dxa"/>
            <w:tcBorders>
              <w:bottom w:val="single" w:sz="4" w:space="0" w:color="auto"/>
            </w:tcBorders>
            <w:shd w:val="clear" w:color="auto" w:fill="auto"/>
            <w:vAlign w:val="center"/>
          </w:tcPr>
          <w:p w:rsidR="001A63C6" w:rsidRPr="00A75DF9" w:rsidRDefault="001A63C6" w:rsidP="003537B9">
            <w:pPr>
              <w:pStyle w:val="TableText"/>
              <w:widowControl w:val="0"/>
              <w:spacing w:before="120"/>
              <w:rPr>
                <w:rFonts w:ascii="Tahoma" w:hAnsi="Tahoma" w:cs="Tahoma"/>
                <w:sz w:val="13"/>
              </w:rPr>
            </w:pPr>
            <w:r w:rsidRPr="00A75DF9">
              <w:rPr>
                <w:rFonts w:ascii="Tahoma" w:hAnsi="Tahoma" w:cs="Tahoma"/>
                <w:sz w:val="13"/>
              </w:rPr>
              <w:t>A</w:t>
            </w:r>
          </w:p>
        </w:tc>
        <w:tc>
          <w:tcPr>
            <w:tcW w:w="539" w:type="dxa"/>
            <w:tcBorders>
              <w:bottom w:val="single" w:sz="4" w:space="0" w:color="auto"/>
            </w:tcBorders>
            <w:shd w:val="clear" w:color="auto" w:fill="auto"/>
            <w:vAlign w:val="center"/>
          </w:tcPr>
          <w:p w:rsidR="001A63C6" w:rsidRPr="00A75DF9" w:rsidRDefault="001A63C6" w:rsidP="00C778DB">
            <w:pPr>
              <w:pStyle w:val="TableText"/>
              <w:widowControl w:val="0"/>
              <w:rPr>
                <w:rFonts w:ascii="Tahoma" w:hAnsi="Tahoma" w:cs="Tahoma"/>
                <w:sz w:val="13"/>
              </w:rPr>
            </w:pPr>
          </w:p>
        </w:tc>
      </w:tr>
      <w:tr w:rsidR="00500991" w:rsidRPr="00A75DF9" w:rsidTr="008A1262">
        <w:trPr>
          <w:trHeight w:val="145"/>
        </w:trPr>
        <w:tc>
          <w:tcPr>
            <w:tcW w:w="2724" w:type="dxa"/>
            <w:gridSpan w:val="2"/>
            <w:tcBorders>
              <w:bottom w:val="single" w:sz="4" w:space="0" w:color="auto"/>
            </w:tcBorders>
            <w:shd w:val="clear" w:color="auto" w:fill="FABF8F"/>
            <w:vAlign w:val="center"/>
          </w:tcPr>
          <w:p w:rsidR="001A63C6" w:rsidRPr="00A75DF9" w:rsidRDefault="001A63C6" w:rsidP="008B1245">
            <w:pPr>
              <w:pStyle w:val="ProductNames"/>
              <w:spacing w:beforeLines="20" w:before="48" w:afterLines="20" w:after="48"/>
              <w:rPr>
                <w:rFonts w:ascii="Tahoma" w:hAnsi="Tahoma" w:cs="Tahoma"/>
                <w:sz w:val="14"/>
              </w:rPr>
            </w:pPr>
            <w:bookmarkStart w:id="348" w:name="_Toc336338034"/>
            <w:bookmarkStart w:id="349" w:name="_Toc368310043"/>
            <w:r w:rsidRPr="00A75DF9">
              <w:rPr>
                <w:rFonts w:ascii="Tahoma" w:hAnsi="Tahoma" w:cs="Tahoma"/>
                <w:sz w:val="14"/>
              </w:rPr>
              <w:t>CAL per Project Server</w:t>
            </w:r>
            <w:bookmarkEnd w:id="348"/>
            <w:r w:rsidRPr="00A75DF9">
              <w:rPr>
                <w:rFonts w:ascii="Tahoma" w:hAnsi="Tahoma" w:cs="Tahoma"/>
                <w:sz w:val="14"/>
              </w:rPr>
              <w:t xml:space="preserve"> 2013</w:t>
            </w:r>
            <w:bookmarkEnd w:id="349"/>
            <w:r w:rsidRPr="00A75DF9">
              <w:rPr>
                <w:rFonts w:ascii="Tahoma" w:hAnsi="Tahoma" w:cs="Tahoma"/>
                <w:sz w:val="14"/>
              </w:rPr>
              <w:t xml:space="preserve"> </w:t>
            </w:r>
          </w:p>
        </w:tc>
        <w:tc>
          <w:tcPr>
            <w:tcW w:w="448" w:type="dxa"/>
            <w:tcBorders>
              <w:bottom w:val="single" w:sz="4" w:space="0" w:color="auto"/>
            </w:tcBorders>
            <w:shd w:val="clear" w:color="auto" w:fill="FABF8F"/>
            <w:vAlign w:val="center"/>
          </w:tcPr>
          <w:p w:rsidR="001A63C6" w:rsidRPr="00B41377" w:rsidRDefault="001A63C6" w:rsidP="001A63C6">
            <w:pPr>
              <w:pStyle w:val="TableText"/>
              <w:widowControl w:val="0"/>
              <w:rPr>
                <w:rStyle w:val="EndnoteReference"/>
                <w:rFonts w:cs="Tahoma"/>
                <w:color w:val="000000"/>
                <w:sz w:val="13"/>
                <w:szCs w:val="13"/>
                <w:u w:val="single"/>
              </w:rPr>
            </w:pPr>
          </w:p>
        </w:tc>
        <w:tc>
          <w:tcPr>
            <w:tcW w:w="449" w:type="dxa"/>
            <w:tcBorders>
              <w:bottom w:val="single" w:sz="4" w:space="0" w:color="auto"/>
            </w:tcBorders>
            <w:shd w:val="clear" w:color="auto" w:fill="FABF8F"/>
            <w:vAlign w:val="center"/>
          </w:tcPr>
          <w:p w:rsidR="001A63C6" w:rsidRPr="00A75DF9" w:rsidRDefault="001A63C6" w:rsidP="001A63C6">
            <w:pPr>
              <w:pStyle w:val="TableText"/>
              <w:widowControl w:val="0"/>
              <w:spacing w:before="80"/>
              <w:rPr>
                <w:rFonts w:ascii="Tahoma" w:hAnsi="Tahoma" w:cs="Tahoma"/>
                <w:sz w:val="13"/>
              </w:rPr>
            </w:pPr>
            <w:r w:rsidRPr="00A75DF9">
              <w:rPr>
                <w:rFonts w:ascii="Tahoma" w:hAnsi="Tahoma" w:cs="Tahoma"/>
                <w:sz w:val="14"/>
                <w:szCs w:val="14"/>
              </w:rPr>
              <w:t>10/12</w:t>
            </w:r>
          </w:p>
        </w:tc>
        <w:tc>
          <w:tcPr>
            <w:tcW w:w="359"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SRV</w:t>
            </w:r>
          </w:p>
        </w:tc>
        <w:tc>
          <w:tcPr>
            <w:tcW w:w="356"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w:t>
            </w: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3</w:t>
            </w:r>
          </w:p>
        </w:tc>
        <w:tc>
          <w:tcPr>
            <w:tcW w:w="45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w:t>
            </w:r>
          </w:p>
        </w:tc>
        <w:tc>
          <w:tcPr>
            <w:tcW w:w="450" w:type="dxa"/>
            <w:gridSpan w:val="3"/>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w:t>
            </w:r>
          </w:p>
        </w:tc>
        <w:tc>
          <w:tcPr>
            <w:tcW w:w="44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w:t>
            </w: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w:t>
            </w:r>
          </w:p>
        </w:tc>
        <w:tc>
          <w:tcPr>
            <w:tcW w:w="374"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w:t>
            </w:r>
          </w:p>
        </w:tc>
        <w:tc>
          <w:tcPr>
            <w:tcW w:w="455"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w:t>
            </w: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P</w:t>
            </w:r>
          </w:p>
        </w:tc>
        <w:tc>
          <w:tcPr>
            <w:tcW w:w="450" w:type="dxa"/>
            <w:tcBorders>
              <w:bottom w:val="single" w:sz="4" w:space="0" w:color="auto"/>
            </w:tcBorders>
            <w:shd w:val="clear" w:color="auto" w:fill="FABF8F"/>
          </w:tcPr>
          <w:p w:rsidR="001A63C6" w:rsidRPr="00A75DF9" w:rsidRDefault="001A63C6" w:rsidP="001A63C6">
            <w:pPr>
              <w:pStyle w:val="TableText"/>
              <w:widowControl w:val="0"/>
              <w:spacing w:before="120"/>
              <w:rPr>
                <w:rFonts w:ascii="Tahoma" w:hAnsi="Tahoma" w:cs="Tahoma"/>
                <w:sz w:val="13"/>
              </w:rPr>
            </w:pPr>
            <w:r w:rsidRPr="00A75DF9">
              <w:rPr>
                <w:rFonts w:ascii="Tahoma" w:hAnsi="Tahoma" w:cs="Tahoma"/>
                <w:sz w:val="13"/>
              </w:rPr>
              <w:t>A</w:t>
            </w:r>
          </w:p>
        </w:tc>
        <w:tc>
          <w:tcPr>
            <w:tcW w:w="539"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r>
      <w:tr w:rsidR="00500991" w:rsidRPr="00A75DF9" w:rsidTr="008A1262">
        <w:trPr>
          <w:trHeight w:val="145"/>
        </w:trPr>
        <w:tc>
          <w:tcPr>
            <w:tcW w:w="2724" w:type="dxa"/>
            <w:gridSpan w:val="2"/>
            <w:tcBorders>
              <w:bottom w:val="single" w:sz="4" w:space="0" w:color="auto"/>
            </w:tcBorders>
            <w:shd w:val="clear" w:color="auto" w:fill="auto"/>
            <w:vAlign w:val="center"/>
          </w:tcPr>
          <w:p w:rsidR="001A63C6" w:rsidRPr="00A75DF9" w:rsidRDefault="001A63C6" w:rsidP="008B1245">
            <w:pPr>
              <w:pStyle w:val="Heading2"/>
              <w:spacing w:beforeLines="20" w:before="48" w:afterLines="20" w:after="48"/>
              <w:ind w:left="0" w:firstLine="15"/>
              <w:rPr>
                <w:rFonts w:ascii="Tahoma" w:hAnsi="Tahoma" w:cs="Tahoma"/>
                <w:b w:val="0"/>
                <w:sz w:val="14"/>
              </w:rPr>
            </w:pPr>
            <w:bookmarkStart w:id="350" w:name="_Toc336338036"/>
            <w:bookmarkStart w:id="351" w:name="_Toc368310044"/>
            <w:r w:rsidRPr="00A75DF9">
              <w:rPr>
                <w:rFonts w:ascii="Tahoma" w:hAnsi="Tahoma" w:cs="Tahoma"/>
                <w:b w:val="0"/>
                <w:sz w:val="14"/>
              </w:rPr>
              <w:t>SharePoint™ Online Extra Storage 1 GB (SL Add-on)</w:t>
            </w:r>
            <w:bookmarkEnd w:id="350"/>
            <w:bookmarkEnd w:id="351"/>
          </w:p>
        </w:tc>
        <w:tc>
          <w:tcPr>
            <w:tcW w:w="448" w:type="dxa"/>
            <w:tcBorders>
              <w:bottom w:val="single" w:sz="4" w:space="0" w:color="auto"/>
            </w:tcBorders>
            <w:shd w:val="clear" w:color="auto" w:fill="auto"/>
            <w:vAlign w:val="center"/>
          </w:tcPr>
          <w:p w:rsidR="001A63C6" w:rsidRPr="00B41377" w:rsidRDefault="001A63C6" w:rsidP="001A63C6">
            <w:pPr>
              <w:pStyle w:val="TableText"/>
              <w:widowControl w:val="0"/>
              <w:rPr>
                <w:rFonts w:cs="Tahoma"/>
                <w:b/>
                <w:color w:val="000000"/>
                <w:sz w:val="13"/>
                <w:szCs w:val="13"/>
                <w:u w:val="single"/>
              </w:rPr>
            </w:pPr>
          </w:p>
        </w:tc>
        <w:tc>
          <w:tcPr>
            <w:tcW w:w="449" w:type="dxa"/>
            <w:tcBorders>
              <w:bottom w:val="single" w:sz="4" w:space="0" w:color="auto"/>
            </w:tcBorders>
            <w:shd w:val="clear" w:color="auto" w:fill="auto"/>
          </w:tcPr>
          <w:p w:rsidR="001A63C6" w:rsidRPr="00A75DF9" w:rsidDel="008F575D" w:rsidRDefault="001A63C6" w:rsidP="001A63C6">
            <w:pPr>
              <w:pStyle w:val="TableText"/>
              <w:widowControl w:val="0"/>
              <w:spacing w:before="80"/>
              <w:rPr>
                <w:rFonts w:ascii="Tahoma" w:hAnsi="Tahoma" w:cs="Tahoma"/>
                <w:sz w:val="13"/>
              </w:rPr>
            </w:pPr>
            <w:r w:rsidRPr="00A75DF9">
              <w:rPr>
                <w:rFonts w:ascii="Tahoma" w:hAnsi="Tahoma" w:cs="Tahoma"/>
                <w:sz w:val="13"/>
              </w:rPr>
              <w:t>06/11</w:t>
            </w:r>
          </w:p>
        </w:tc>
        <w:tc>
          <w:tcPr>
            <w:tcW w:w="359"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5"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45"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374"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5"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A75DF9" w:rsidRDefault="001A63C6" w:rsidP="001A63C6">
            <w:pPr>
              <w:pStyle w:val="TableText"/>
              <w:widowControl w:val="0"/>
              <w:spacing w:before="120"/>
              <w:rPr>
                <w:rFonts w:ascii="Tahoma" w:hAnsi="Tahoma" w:cs="Tahoma"/>
                <w:sz w:val="13"/>
              </w:rPr>
            </w:pPr>
          </w:p>
        </w:tc>
        <w:tc>
          <w:tcPr>
            <w:tcW w:w="539"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r>
      <w:tr w:rsidR="00500991" w:rsidRPr="00A75DF9" w:rsidTr="008A1262">
        <w:trPr>
          <w:trHeight w:val="145"/>
        </w:trPr>
        <w:tc>
          <w:tcPr>
            <w:tcW w:w="2724" w:type="dxa"/>
            <w:gridSpan w:val="2"/>
            <w:tcBorders>
              <w:bottom w:val="single" w:sz="4" w:space="0" w:color="auto"/>
            </w:tcBorders>
            <w:shd w:val="clear" w:color="auto" w:fill="FABF8F"/>
            <w:vAlign w:val="center"/>
          </w:tcPr>
          <w:p w:rsidR="001A63C6" w:rsidRPr="00A75DF9" w:rsidRDefault="001A63C6" w:rsidP="00B41377">
            <w:pPr>
              <w:pStyle w:val="Heading2"/>
              <w:ind w:left="0" w:firstLine="15"/>
              <w:jc w:val="both"/>
              <w:rPr>
                <w:rFonts w:ascii="Tahoma" w:hAnsi="Tahoma" w:cs="Tahoma"/>
                <w:b w:val="0"/>
                <w:sz w:val="14"/>
              </w:rPr>
            </w:pPr>
            <w:bookmarkStart w:id="352" w:name="_Toc336338037"/>
            <w:bookmarkStart w:id="353" w:name="_Toc368310045"/>
            <w:r w:rsidRPr="00A75DF9">
              <w:rPr>
                <w:rFonts w:ascii="Tahoma" w:hAnsi="Tahoma" w:cs="Tahoma"/>
                <w:b w:val="0"/>
                <w:sz w:val="14"/>
              </w:rPr>
              <w:t>SharePoint™</w:t>
            </w:r>
            <w:r w:rsidR="00B41377">
              <w:rPr>
                <w:rFonts w:ascii="Tahoma" w:hAnsi="Tahoma" w:cs="Tahoma"/>
                <w:b w:val="0"/>
                <w:sz w:val="14"/>
              </w:rPr>
              <w:t> </w:t>
            </w:r>
            <w:r w:rsidRPr="00A75DF9">
              <w:rPr>
                <w:rFonts w:ascii="Tahoma" w:hAnsi="Tahoma" w:cs="Tahoma"/>
                <w:b w:val="0"/>
                <w:sz w:val="14"/>
              </w:rPr>
              <w:t>Online</w:t>
            </w:r>
            <w:r w:rsidR="00B41377">
              <w:rPr>
                <w:rFonts w:ascii="Tahoma" w:hAnsi="Tahoma" w:cs="Tahoma"/>
                <w:b w:val="0"/>
                <w:sz w:val="14"/>
              </w:rPr>
              <w:t> </w:t>
            </w:r>
            <w:r w:rsidRPr="00A75DF9">
              <w:rPr>
                <w:rFonts w:ascii="Tahoma" w:hAnsi="Tahoma" w:cs="Tahoma"/>
                <w:b w:val="0"/>
                <w:sz w:val="14"/>
              </w:rPr>
              <w:t>Extra</w:t>
            </w:r>
            <w:r w:rsidR="00B41377">
              <w:rPr>
                <w:rFonts w:ascii="Tahoma" w:hAnsi="Tahoma" w:cs="Tahoma"/>
                <w:b w:val="0"/>
                <w:sz w:val="14"/>
              </w:rPr>
              <w:t> </w:t>
            </w:r>
            <w:r w:rsidRPr="00A75DF9">
              <w:rPr>
                <w:rFonts w:ascii="Tahoma" w:hAnsi="Tahoma" w:cs="Tahoma"/>
                <w:b w:val="0"/>
                <w:sz w:val="14"/>
              </w:rPr>
              <w:t>Storage</w:t>
            </w:r>
            <w:r w:rsidR="00B41377">
              <w:rPr>
                <w:rFonts w:ascii="Tahoma" w:hAnsi="Tahoma" w:cs="Tahoma"/>
                <w:b w:val="0"/>
                <w:sz w:val="14"/>
              </w:rPr>
              <w:t> </w:t>
            </w:r>
            <w:r w:rsidRPr="00A75DF9">
              <w:rPr>
                <w:rFonts w:ascii="Tahoma" w:hAnsi="Tahoma" w:cs="Tahoma"/>
                <w:b w:val="0"/>
                <w:sz w:val="14"/>
              </w:rPr>
              <w:t>1</w:t>
            </w:r>
            <w:r w:rsidR="00B41377">
              <w:rPr>
                <w:rFonts w:ascii="Tahoma" w:hAnsi="Tahoma" w:cs="Tahoma"/>
                <w:b w:val="0"/>
                <w:sz w:val="14"/>
              </w:rPr>
              <w:t> </w:t>
            </w:r>
            <w:r w:rsidRPr="00A75DF9">
              <w:rPr>
                <w:rFonts w:ascii="Tahoma" w:hAnsi="Tahoma" w:cs="Tahoma"/>
                <w:b w:val="0"/>
                <w:sz w:val="14"/>
              </w:rPr>
              <w:t>GB</w:t>
            </w:r>
            <w:r w:rsidR="00B41377">
              <w:rPr>
                <w:rFonts w:ascii="Tahoma" w:hAnsi="Tahoma" w:cs="Tahoma"/>
                <w:b w:val="0"/>
                <w:sz w:val="14"/>
              </w:rPr>
              <w:t> </w:t>
            </w:r>
            <w:r w:rsidRPr="00A75DF9">
              <w:rPr>
                <w:rFonts w:ascii="Tahoma" w:hAnsi="Tahoma" w:cs="Tahoma"/>
                <w:b w:val="0"/>
                <w:sz w:val="14"/>
              </w:rPr>
              <w:t>A (SL Add-on)</w:t>
            </w:r>
            <w:bookmarkEnd w:id="352"/>
            <w:bookmarkEnd w:id="353"/>
          </w:p>
        </w:tc>
        <w:tc>
          <w:tcPr>
            <w:tcW w:w="448" w:type="dxa"/>
            <w:tcBorders>
              <w:bottom w:val="single" w:sz="4" w:space="0" w:color="auto"/>
            </w:tcBorders>
            <w:shd w:val="clear" w:color="auto" w:fill="FABF8F"/>
            <w:vAlign w:val="center"/>
          </w:tcPr>
          <w:p w:rsidR="001A63C6" w:rsidRPr="00B41377" w:rsidRDefault="001A63C6" w:rsidP="00D66F68">
            <w:pPr>
              <w:pStyle w:val="TableText"/>
              <w:widowControl w:val="0"/>
              <w:rPr>
                <w:rFonts w:cs="Tahoma"/>
                <w:b/>
                <w:color w:val="0000FF"/>
                <w:sz w:val="13"/>
                <w:szCs w:val="13"/>
                <w:u w:val="single"/>
              </w:rPr>
            </w:pPr>
          </w:p>
        </w:tc>
        <w:tc>
          <w:tcPr>
            <w:tcW w:w="449" w:type="dxa"/>
            <w:tcBorders>
              <w:bottom w:val="single" w:sz="4" w:space="0" w:color="auto"/>
            </w:tcBorders>
            <w:shd w:val="clear" w:color="auto" w:fill="FABF8F"/>
            <w:vAlign w:val="center"/>
          </w:tcPr>
          <w:p w:rsidR="001A63C6" w:rsidRPr="00A75DF9" w:rsidRDefault="001A63C6" w:rsidP="007E466C">
            <w:pPr>
              <w:pStyle w:val="TableText"/>
              <w:widowControl w:val="0"/>
              <w:rPr>
                <w:rFonts w:ascii="Tahoma" w:hAnsi="Tahoma" w:cs="Tahoma"/>
                <w:sz w:val="13"/>
              </w:rPr>
            </w:pPr>
            <w:r w:rsidRPr="00A75DF9">
              <w:rPr>
                <w:rFonts w:ascii="Tahoma" w:hAnsi="Tahoma" w:cs="Tahoma"/>
                <w:sz w:val="13"/>
              </w:rPr>
              <w:t>06/12</w:t>
            </w:r>
          </w:p>
        </w:tc>
        <w:tc>
          <w:tcPr>
            <w:tcW w:w="359" w:type="dxa"/>
            <w:tcBorders>
              <w:bottom w:val="single" w:sz="4" w:space="0" w:color="auto"/>
              <w:right w:val="single" w:sz="18" w:space="0" w:color="auto"/>
            </w:tcBorders>
            <w:shd w:val="clear" w:color="auto" w:fill="FABF8F"/>
            <w:vAlign w:val="center"/>
          </w:tcPr>
          <w:p w:rsidR="001A63C6" w:rsidRPr="00A75DF9" w:rsidRDefault="001A63C6" w:rsidP="00D66F68">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FABF8F"/>
            <w:vAlign w:val="center"/>
          </w:tcPr>
          <w:p w:rsidR="001A63C6" w:rsidRPr="00A75DF9" w:rsidRDefault="001A63C6" w:rsidP="00D66F68">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6C465D">
            <w:pPr>
              <w:pStyle w:val="TableText"/>
              <w:widowControl w:val="0"/>
              <w:rPr>
                <w:rFonts w:ascii="Tahoma" w:hAnsi="Tahoma" w:cs="Tahoma"/>
                <w:sz w:val="13"/>
              </w:rPr>
            </w:pPr>
          </w:p>
        </w:tc>
        <w:tc>
          <w:tcPr>
            <w:tcW w:w="455" w:type="dxa"/>
            <w:tcBorders>
              <w:bottom w:val="single" w:sz="4" w:space="0" w:color="auto"/>
            </w:tcBorders>
            <w:shd w:val="clear" w:color="auto" w:fill="FABF8F"/>
            <w:vAlign w:val="center"/>
          </w:tcPr>
          <w:p w:rsidR="001A63C6" w:rsidRPr="00A75DF9" w:rsidRDefault="001A63C6" w:rsidP="006C465D">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A75DF9" w:rsidRDefault="001A63C6" w:rsidP="006C465D">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1A63C6" w:rsidRPr="00A75DF9" w:rsidRDefault="001A63C6" w:rsidP="006C465D">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D02D7A">
            <w:pPr>
              <w:pStyle w:val="TableText"/>
              <w:widowControl w:val="0"/>
              <w:rPr>
                <w:rFonts w:ascii="Tahoma" w:hAnsi="Tahoma" w:cs="Tahoma"/>
                <w:sz w:val="13"/>
              </w:rPr>
            </w:pPr>
          </w:p>
        </w:tc>
        <w:tc>
          <w:tcPr>
            <w:tcW w:w="374" w:type="dxa"/>
            <w:tcBorders>
              <w:bottom w:val="single" w:sz="4" w:space="0" w:color="auto"/>
              <w:right w:val="single" w:sz="18" w:space="0" w:color="auto"/>
            </w:tcBorders>
            <w:shd w:val="clear" w:color="auto" w:fill="FABF8F"/>
            <w:vAlign w:val="center"/>
          </w:tcPr>
          <w:p w:rsidR="001A63C6" w:rsidRPr="00A75DF9" w:rsidRDefault="001A63C6" w:rsidP="00D02D7A">
            <w:pPr>
              <w:pStyle w:val="TableText"/>
              <w:widowControl w:val="0"/>
              <w:rPr>
                <w:rFonts w:ascii="Tahoma" w:hAnsi="Tahoma" w:cs="Tahoma"/>
                <w:sz w:val="13"/>
              </w:rPr>
            </w:pPr>
          </w:p>
        </w:tc>
        <w:tc>
          <w:tcPr>
            <w:tcW w:w="455" w:type="dxa"/>
            <w:tcBorders>
              <w:left w:val="single" w:sz="18" w:space="0" w:color="auto"/>
              <w:bottom w:val="single" w:sz="4" w:space="0" w:color="auto"/>
            </w:tcBorders>
            <w:shd w:val="clear" w:color="auto" w:fill="FABF8F"/>
            <w:vAlign w:val="center"/>
          </w:tcPr>
          <w:p w:rsidR="001A63C6" w:rsidRPr="00A75DF9" w:rsidRDefault="001A63C6" w:rsidP="00242B11">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242B11">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EA31A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75DF9" w:rsidRDefault="001A63C6" w:rsidP="00EA31A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EA31A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75DF9" w:rsidRDefault="001A63C6" w:rsidP="00EA31A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A75DF9" w:rsidRDefault="001A63C6" w:rsidP="007E466C">
            <w:pPr>
              <w:pStyle w:val="TableText"/>
              <w:widowControl w:val="0"/>
              <w:rPr>
                <w:rFonts w:ascii="Tahoma" w:hAnsi="Tahoma" w:cs="Tahoma"/>
                <w:sz w:val="13"/>
              </w:rPr>
            </w:pPr>
            <w:r w:rsidRPr="00A75DF9">
              <w:rPr>
                <w:rFonts w:ascii="Tahoma" w:hAnsi="Tahoma" w:cs="Tahoma"/>
                <w:sz w:val="13"/>
              </w:rPr>
              <w:t>A, ST (Solo EES)</w:t>
            </w:r>
          </w:p>
        </w:tc>
        <w:tc>
          <w:tcPr>
            <w:tcW w:w="539" w:type="dxa"/>
            <w:tcBorders>
              <w:bottom w:val="single" w:sz="4" w:space="0" w:color="auto"/>
            </w:tcBorders>
            <w:shd w:val="clear" w:color="auto" w:fill="FABF8F"/>
            <w:vAlign w:val="center"/>
          </w:tcPr>
          <w:p w:rsidR="001A63C6" w:rsidRPr="00A75DF9" w:rsidRDefault="001A63C6" w:rsidP="00D66F68">
            <w:pPr>
              <w:pStyle w:val="TableText"/>
              <w:widowControl w:val="0"/>
              <w:rPr>
                <w:rFonts w:ascii="Tahoma" w:hAnsi="Tahoma" w:cs="Tahoma"/>
                <w:sz w:val="13"/>
              </w:rPr>
            </w:pPr>
          </w:p>
        </w:tc>
      </w:tr>
      <w:tr w:rsidR="00500991" w:rsidRPr="00A75DF9" w:rsidTr="008A1262">
        <w:trPr>
          <w:trHeight w:val="145"/>
        </w:trPr>
        <w:tc>
          <w:tcPr>
            <w:tcW w:w="2724" w:type="dxa"/>
            <w:gridSpan w:val="2"/>
            <w:tcBorders>
              <w:bottom w:val="single" w:sz="4" w:space="0" w:color="auto"/>
            </w:tcBorders>
            <w:shd w:val="clear" w:color="auto" w:fill="auto"/>
            <w:vAlign w:val="center"/>
          </w:tcPr>
          <w:p w:rsidR="009C7B23" w:rsidRPr="00A75DF9" w:rsidRDefault="009C7B23" w:rsidP="008B1245">
            <w:pPr>
              <w:pStyle w:val="Heading2"/>
              <w:spacing w:beforeLines="20" w:before="48" w:afterLines="20" w:after="48"/>
              <w:ind w:left="0" w:firstLine="15"/>
              <w:jc w:val="both"/>
              <w:rPr>
                <w:rFonts w:ascii="Tahoma" w:hAnsi="Tahoma" w:cs="Tahoma"/>
                <w:b w:val="0"/>
                <w:sz w:val="14"/>
              </w:rPr>
            </w:pPr>
            <w:bookmarkStart w:id="354" w:name="_Toc368310046"/>
            <w:r w:rsidRPr="00A75DF9">
              <w:rPr>
                <w:rFonts w:ascii="Tahoma" w:hAnsi="Tahoma" w:cs="Tahoma"/>
                <w:b w:val="0"/>
                <w:sz w:val="14"/>
              </w:rPr>
              <w:lastRenderedPageBreak/>
              <w:t>Componente Aggiuntivo di SharePoint™ Online Piano 1 (SL per Utente)</w:t>
            </w:r>
            <w:bookmarkEnd w:id="354"/>
          </w:p>
        </w:tc>
        <w:tc>
          <w:tcPr>
            <w:tcW w:w="448" w:type="dxa"/>
            <w:tcBorders>
              <w:bottom w:val="single" w:sz="4" w:space="0" w:color="auto"/>
            </w:tcBorders>
            <w:shd w:val="clear" w:color="auto" w:fill="auto"/>
            <w:vAlign w:val="center"/>
          </w:tcPr>
          <w:p w:rsidR="009C7B23" w:rsidRPr="00B41377" w:rsidRDefault="009C7B23" w:rsidP="00796355">
            <w:pPr>
              <w:pStyle w:val="TableText"/>
              <w:widowControl w:val="0"/>
              <w:rPr>
                <w:rFonts w:cs="Tahoma"/>
              </w:rPr>
            </w:pPr>
          </w:p>
        </w:tc>
        <w:tc>
          <w:tcPr>
            <w:tcW w:w="449" w:type="dxa"/>
            <w:tcBorders>
              <w:bottom w:val="single" w:sz="4" w:space="0" w:color="auto"/>
            </w:tcBorders>
            <w:shd w:val="clear" w:color="auto" w:fill="auto"/>
          </w:tcPr>
          <w:p w:rsidR="009C7B23" w:rsidRPr="00A75DF9" w:rsidRDefault="009C7B23" w:rsidP="001A63C6">
            <w:pPr>
              <w:pStyle w:val="TableText"/>
              <w:widowControl w:val="0"/>
              <w:spacing w:before="80"/>
              <w:rPr>
                <w:rFonts w:ascii="Tahoma" w:hAnsi="Tahoma" w:cs="Tahoma"/>
                <w:sz w:val="13"/>
              </w:rPr>
            </w:pPr>
            <w:r w:rsidRPr="00A75DF9">
              <w:rPr>
                <w:rFonts w:ascii="Tahoma" w:hAnsi="Tahoma" w:cs="Tahoma"/>
                <w:sz w:val="13"/>
              </w:rPr>
              <w:t>08/13</w:t>
            </w:r>
          </w:p>
        </w:tc>
        <w:tc>
          <w:tcPr>
            <w:tcW w:w="359" w:type="dxa"/>
            <w:tcBorders>
              <w:bottom w:val="single" w:sz="4" w:space="0" w:color="auto"/>
              <w:right w:val="single" w:sz="18" w:space="0" w:color="auto"/>
            </w:tcBorders>
            <w:shd w:val="clear" w:color="auto" w:fill="auto"/>
            <w:vAlign w:val="center"/>
          </w:tcPr>
          <w:p w:rsidR="009C7B23" w:rsidRPr="00A75DF9" w:rsidRDefault="009C7B23" w:rsidP="001A63C6">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auto"/>
            <w:vAlign w:val="center"/>
          </w:tcPr>
          <w:p w:rsidR="009C7B23" w:rsidRPr="00A75DF9"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C7B23" w:rsidRPr="00A75DF9" w:rsidRDefault="009C7B23" w:rsidP="001A63C6">
            <w:pPr>
              <w:pStyle w:val="TableText"/>
              <w:widowControl w:val="0"/>
              <w:rPr>
                <w:rFonts w:ascii="Tahoma" w:hAnsi="Tahoma" w:cs="Tahoma"/>
                <w:sz w:val="13"/>
              </w:rPr>
            </w:pPr>
          </w:p>
        </w:tc>
        <w:tc>
          <w:tcPr>
            <w:tcW w:w="455" w:type="dxa"/>
            <w:tcBorders>
              <w:bottom w:val="single" w:sz="4" w:space="0" w:color="auto"/>
            </w:tcBorders>
            <w:shd w:val="clear" w:color="auto" w:fill="auto"/>
            <w:vAlign w:val="center"/>
          </w:tcPr>
          <w:p w:rsidR="009C7B23" w:rsidRPr="00A75DF9" w:rsidRDefault="009C7B23"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9C7B23" w:rsidRPr="00A75DF9" w:rsidRDefault="009C7B23" w:rsidP="001A63C6">
            <w:pPr>
              <w:pStyle w:val="TableText"/>
              <w:widowControl w:val="0"/>
              <w:rPr>
                <w:rFonts w:ascii="Tahoma" w:hAnsi="Tahoma" w:cs="Tahoma"/>
                <w:sz w:val="13"/>
              </w:rPr>
            </w:pPr>
          </w:p>
        </w:tc>
        <w:tc>
          <w:tcPr>
            <w:tcW w:w="445" w:type="dxa"/>
            <w:tcBorders>
              <w:bottom w:val="single" w:sz="4" w:space="0" w:color="auto"/>
            </w:tcBorders>
            <w:shd w:val="clear" w:color="auto" w:fill="auto"/>
            <w:vAlign w:val="center"/>
          </w:tcPr>
          <w:p w:rsidR="009C7B23" w:rsidRPr="00A75DF9"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C7B23" w:rsidRPr="00A75DF9" w:rsidRDefault="009C7B23" w:rsidP="001A63C6">
            <w:pPr>
              <w:pStyle w:val="TableText"/>
              <w:widowControl w:val="0"/>
              <w:rPr>
                <w:rFonts w:ascii="Tahoma" w:hAnsi="Tahoma" w:cs="Tahoma"/>
                <w:sz w:val="13"/>
              </w:rPr>
            </w:pPr>
          </w:p>
        </w:tc>
        <w:tc>
          <w:tcPr>
            <w:tcW w:w="374" w:type="dxa"/>
            <w:tcBorders>
              <w:bottom w:val="single" w:sz="4" w:space="0" w:color="auto"/>
              <w:right w:val="single" w:sz="18" w:space="0" w:color="auto"/>
            </w:tcBorders>
            <w:shd w:val="clear" w:color="auto" w:fill="auto"/>
            <w:vAlign w:val="center"/>
          </w:tcPr>
          <w:p w:rsidR="009C7B23" w:rsidRPr="00A75DF9" w:rsidRDefault="009C7B23" w:rsidP="001A63C6">
            <w:pPr>
              <w:pStyle w:val="TableText"/>
              <w:widowControl w:val="0"/>
              <w:rPr>
                <w:rFonts w:ascii="Tahoma" w:hAnsi="Tahoma" w:cs="Tahoma"/>
                <w:sz w:val="13"/>
              </w:rPr>
            </w:pPr>
          </w:p>
        </w:tc>
        <w:tc>
          <w:tcPr>
            <w:tcW w:w="455" w:type="dxa"/>
            <w:tcBorders>
              <w:left w:val="single" w:sz="18" w:space="0" w:color="auto"/>
              <w:bottom w:val="single" w:sz="4" w:space="0" w:color="auto"/>
            </w:tcBorders>
            <w:shd w:val="clear" w:color="auto" w:fill="auto"/>
            <w:vAlign w:val="center"/>
          </w:tcPr>
          <w:p w:rsidR="009C7B23" w:rsidRPr="00A75DF9"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9C7B23" w:rsidRPr="00A75DF9" w:rsidRDefault="009C7B23"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C7B23" w:rsidRPr="00A75DF9" w:rsidRDefault="009C7B23"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9C7B23" w:rsidRPr="00A75DF9" w:rsidRDefault="009C7B23"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9C7B23" w:rsidRPr="00A75DF9" w:rsidRDefault="009C7B23" w:rsidP="001A63C6">
            <w:pPr>
              <w:pStyle w:val="TableText"/>
              <w:widowControl w:val="0"/>
              <w:rPr>
                <w:rFonts w:ascii="Tahoma" w:hAnsi="Tahoma" w:cs="Tahoma"/>
                <w:sz w:val="13"/>
              </w:rPr>
            </w:pPr>
            <w:r w:rsidRPr="00A75D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9C7B23" w:rsidRPr="00A75DF9" w:rsidRDefault="009C7B23"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9C7B23" w:rsidRPr="00A75DF9" w:rsidRDefault="009C7B23" w:rsidP="001A63C6">
            <w:pPr>
              <w:pStyle w:val="TableText"/>
              <w:widowControl w:val="0"/>
              <w:spacing w:before="120"/>
              <w:rPr>
                <w:rFonts w:ascii="Tahoma" w:hAnsi="Tahoma" w:cs="Tahoma"/>
                <w:sz w:val="13"/>
              </w:rPr>
            </w:pPr>
          </w:p>
        </w:tc>
        <w:tc>
          <w:tcPr>
            <w:tcW w:w="539" w:type="dxa"/>
            <w:tcBorders>
              <w:bottom w:val="single" w:sz="4" w:space="0" w:color="auto"/>
            </w:tcBorders>
            <w:shd w:val="clear" w:color="auto" w:fill="auto"/>
            <w:vAlign w:val="center"/>
          </w:tcPr>
          <w:p w:rsidR="009C7B23" w:rsidRPr="00A75DF9" w:rsidRDefault="009C7B23" w:rsidP="001A63C6">
            <w:pPr>
              <w:pStyle w:val="TableText"/>
              <w:widowControl w:val="0"/>
              <w:rPr>
                <w:rFonts w:ascii="Tahoma" w:hAnsi="Tahoma" w:cs="Tahoma"/>
                <w:sz w:val="13"/>
              </w:rPr>
            </w:pPr>
          </w:p>
        </w:tc>
      </w:tr>
      <w:tr w:rsidR="00500991" w:rsidRPr="00A75DF9" w:rsidTr="008A1262">
        <w:trPr>
          <w:trHeight w:val="145"/>
        </w:trPr>
        <w:tc>
          <w:tcPr>
            <w:tcW w:w="2724" w:type="dxa"/>
            <w:gridSpan w:val="2"/>
            <w:tcBorders>
              <w:bottom w:val="single" w:sz="4" w:space="0" w:color="auto"/>
            </w:tcBorders>
            <w:shd w:val="clear" w:color="auto" w:fill="FABF8F"/>
            <w:vAlign w:val="center"/>
          </w:tcPr>
          <w:p w:rsidR="001A63C6" w:rsidRPr="00A75DF9" w:rsidRDefault="001A63C6" w:rsidP="00B41377">
            <w:pPr>
              <w:pStyle w:val="Heading2"/>
              <w:spacing w:beforeLines="20" w:before="48" w:afterLines="20" w:after="48"/>
              <w:ind w:left="0" w:firstLine="15"/>
              <w:jc w:val="both"/>
              <w:rPr>
                <w:rFonts w:ascii="Tahoma" w:hAnsi="Tahoma" w:cs="Tahoma"/>
                <w:b w:val="0"/>
              </w:rPr>
            </w:pPr>
            <w:bookmarkStart w:id="355" w:name="_Toc336338038"/>
            <w:bookmarkStart w:id="356" w:name="_Toc368310047"/>
            <w:r w:rsidRPr="00A75DF9">
              <w:rPr>
                <w:rFonts w:ascii="Tahoma" w:hAnsi="Tahoma" w:cs="Tahoma"/>
                <w:b w:val="0"/>
                <w:sz w:val="14"/>
              </w:rPr>
              <w:t>SharePoint™</w:t>
            </w:r>
            <w:r w:rsidR="00B41377">
              <w:rPr>
                <w:rFonts w:ascii="Tahoma" w:hAnsi="Tahoma" w:cs="Tahoma"/>
                <w:b w:val="0"/>
                <w:sz w:val="14"/>
              </w:rPr>
              <w:t> </w:t>
            </w:r>
            <w:r w:rsidRPr="00A75DF9">
              <w:rPr>
                <w:rFonts w:ascii="Tahoma" w:hAnsi="Tahoma" w:cs="Tahoma"/>
                <w:b w:val="0"/>
                <w:sz w:val="14"/>
              </w:rPr>
              <w:t>Online</w:t>
            </w:r>
            <w:r w:rsidR="00B41377">
              <w:rPr>
                <w:rFonts w:ascii="Tahoma" w:hAnsi="Tahoma" w:cs="Tahoma"/>
                <w:b w:val="0"/>
                <w:sz w:val="14"/>
              </w:rPr>
              <w:t> </w:t>
            </w:r>
            <w:r w:rsidRPr="00A75DF9">
              <w:rPr>
                <w:rFonts w:ascii="Tahoma" w:hAnsi="Tahoma" w:cs="Tahoma"/>
                <w:b w:val="0"/>
                <w:sz w:val="14"/>
              </w:rPr>
              <w:t>Piano</w:t>
            </w:r>
            <w:r w:rsidR="00B41377">
              <w:rPr>
                <w:rFonts w:ascii="Tahoma" w:hAnsi="Tahoma" w:cs="Tahoma"/>
                <w:b w:val="0"/>
                <w:sz w:val="14"/>
              </w:rPr>
              <w:t> </w:t>
            </w:r>
            <w:r w:rsidRPr="00A75DF9">
              <w:rPr>
                <w:rFonts w:ascii="Tahoma" w:hAnsi="Tahoma" w:cs="Tahoma"/>
                <w:b w:val="0"/>
                <w:sz w:val="14"/>
              </w:rPr>
              <w:t xml:space="preserve">1 </w:t>
            </w:r>
            <w:r w:rsidR="00B41377">
              <w:rPr>
                <w:rFonts w:ascii="Tahoma" w:hAnsi="Tahoma" w:cs="Tahoma"/>
                <w:b w:val="0"/>
                <w:sz w:val="14"/>
              </w:rPr>
              <w:br/>
            </w:r>
            <w:r w:rsidRPr="00A75DF9">
              <w:rPr>
                <w:rFonts w:ascii="Tahoma" w:hAnsi="Tahoma" w:cs="Tahoma"/>
                <w:b w:val="0"/>
                <w:sz w:val="14"/>
              </w:rPr>
              <w:t>(SL per Utente)</w:t>
            </w:r>
            <w:bookmarkEnd w:id="355"/>
            <w:bookmarkEnd w:id="356"/>
          </w:p>
        </w:tc>
        <w:tc>
          <w:tcPr>
            <w:tcW w:w="448" w:type="dxa"/>
            <w:tcBorders>
              <w:bottom w:val="single" w:sz="4" w:space="0" w:color="auto"/>
            </w:tcBorders>
            <w:shd w:val="clear" w:color="auto" w:fill="FABF8F"/>
            <w:vAlign w:val="center"/>
          </w:tcPr>
          <w:p w:rsidR="001A63C6" w:rsidRPr="00B41377" w:rsidRDefault="00B54770" w:rsidP="00FC0808">
            <w:pPr>
              <w:pStyle w:val="TableText"/>
              <w:widowControl w:val="0"/>
              <w:rPr>
                <w:rStyle w:val="EndnoteReference"/>
                <w:rFonts w:cs="Tahoma"/>
                <w:b w:val="0"/>
                <w:color w:val="0000FF"/>
                <w:sz w:val="13"/>
                <w:szCs w:val="13"/>
                <w:u w:val="single"/>
              </w:rPr>
            </w:pPr>
            <w:hyperlink w:anchor="_78_SharePoint_Online" w:history="1">
              <w:r w:rsidR="00734B17" w:rsidRPr="00B41377">
                <w:rPr>
                  <w:rStyle w:val="Hyperlink"/>
                  <w:rFonts w:cs="Tahoma"/>
                  <w:b/>
                  <w:sz w:val="13"/>
                  <w:szCs w:val="13"/>
                </w:rPr>
                <w:t>78</w:t>
              </w:r>
            </w:hyperlink>
          </w:p>
        </w:tc>
        <w:tc>
          <w:tcPr>
            <w:tcW w:w="449" w:type="dxa"/>
            <w:tcBorders>
              <w:bottom w:val="single" w:sz="4" w:space="0" w:color="auto"/>
            </w:tcBorders>
            <w:shd w:val="clear" w:color="auto" w:fill="FABF8F"/>
          </w:tcPr>
          <w:p w:rsidR="001A63C6" w:rsidRPr="00A75DF9" w:rsidRDefault="001A63C6" w:rsidP="001A63C6">
            <w:pPr>
              <w:pStyle w:val="TableText"/>
              <w:widowControl w:val="0"/>
              <w:spacing w:before="80"/>
              <w:rPr>
                <w:rFonts w:ascii="Tahoma" w:hAnsi="Tahoma" w:cs="Tahoma"/>
                <w:sz w:val="13"/>
              </w:rPr>
            </w:pPr>
            <w:r w:rsidRPr="00A75DF9">
              <w:rPr>
                <w:rFonts w:ascii="Tahoma" w:hAnsi="Tahoma" w:cs="Tahoma"/>
                <w:sz w:val="13"/>
              </w:rPr>
              <w:t>06/11</w:t>
            </w:r>
          </w:p>
        </w:tc>
        <w:tc>
          <w:tcPr>
            <w:tcW w:w="359"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374"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5"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A75DF9" w:rsidRDefault="001A63C6" w:rsidP="001A63C6">
            <w:pPr>
              <w:pStyle w:val="TableText"/>
              <w:widowControl w:val="0"/>
              <w:spacing w:before="120"/>
              <w:rPr>
                <w:rFonts w:ascii="Tahoma" w:hAnsi="Tahoma" w:cs="Tahoma"/>
                <w:sz w:val="13"/>
              </w:rPr>
            </w:pPr>
          </w:p>
        </w:tc>
        <w:tc>
          <w:tcPr>
            <w:tcW w:w="539"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r>
      <w:tr w:rsidR="00500991" w:rsidRPr="00A75DF9" w:rsidTr="008A1262">
        <w:trPr>
          <w:trHeight w:val="145"/>
        </w:trPr>
        <w:tc>
          <w:tcPr>
            <w:tcW w:w="2724" w:type="dxa"/>
            <w:gridSpan w:val="2"/>
            <w:tcBorders>
              <w:bottom w:val="single" w:sz="4" w:space="0" w:color="auto"/>
            </w:tcBorders>
            <w:shd w:val="clear" w:color="auto" w:fill="auto"/>
            <w:vAlign w:val="center"/>
          </w:tcPr>
          <w:p w:rsidR="00273EB9" w:rsidRPr="00A75DF9" w:rsidRDefault="00273EB9" w:rsidP="00B41377">
            <w:pPr>
              <w:pStyle w:val="Heading2"/>
              <w:spacing w:beforeLines="20" w:before="48" w:afterLines="20" w:after="48"/>
              <w:ind w:left="0" w:firstLine="15"/>
              <w:jc w:val="both"/>
              <w:rPr>
                <w:rFonts w:ascii="Tahoma" w:hAnsi="Tahoma" w:cs="Tahoma"/>
                <w:b w:val="0"/>
                <w:sz w:val="14"/>
              </w:rPr>
            </w:pPr>
            <w:bookmarkStart w:id="357" w:name="_Toc368310048"/>
            <w:r w:rsidRPr="00A75DF9">
              <w:rPr>
                <w:rFonts w:ascii="Tahoma" w:hAnsi="Tahoma" w:cs="Tahoma"/>
                <w:b w:val="0"/>
                <w:sz w:val="14"/>
              </w:rPr>
              <w:t>SharePoint™</w:t>
            </w:r>
            <w:r w:rsidR="00B41377">
              <w:rPr>
                <w:rFonts w:ascii="Tahoma" w:hAnsi="Tahoma" w:cs="Tahoma"/>
                <w:b w:val="0"/>
                <w:sz w:val="14"/>
              </w:rPr>
              <w:t> </w:t>
            </w:r>
            <w:r w:rsidRPr="00A75DF9">
              <w:rPr>
                <w:rFonts w:ascii="Tahoma" w:hAnsi="Tahoma" w:cs="Tahoma"/>
                <w:b w:val="0"/>
                <w:sz w:val="14"/>
              </w:rPr>
              <w:t>Online</w:t>
            </w:r>
            <w:r w:rsidR="00B41377">
              <w:rPr>
                <w:rFonts w:ascii="Tahoma" w:hAnsi="Tahoma" w:cs="Tahoma"/>
                <w:b w:val="0"/>
                <w:sz w:val="14"/>
              </w:rPr>
              <w:t> </w:t>
            </w:r>
            <w:r w:rsidRPr="00A75DF9">
              <w:rPr>
                <w:rFonts w:ascii="Tahoma" w:hAnsi="Tahoma" w:cs="Tahoma"/>
                <w:b w:val="0"/>
                <w:sz w:val="14"/>
              </w:rPr>
              <w:t>Piano</w:t>
            </w:r>
            <w:r w:rsidR="00B41377">
              <w:rPr>
                <w:rFonts w:ascii="Tahoma" w:hAnsi="Tahoma" w:cs="Tahoma"/>
                <w:b w:val="0"/>
                <w:sz w:val="14"/>
              </w:rPr>
              <w:t> </w:t>
            </w:r>
            <w:r w:rsidRPr="00A75DF9">
              <w:rPr>
                <w:rFonts w:ascii="Tahoma" w:hAnsi="Tahoma" w:cs="Tahoma"/>
                <w:b w:val="0"/>
                <w:sz w:val="14"/>
              </w:rPr>
              <w:t>1</w:t>
            </w:r>
            <w:r w:rsidR="00B41377">
              <w:rPr>
                <w:rFonts w:ascii="Tahoma" w:hAnsi="Tahoma" w:cs="Tahoma"/>
                <w:b w:val="0"/>
                <w:sz w:val="14"/>
              </w:rPr>
              <w:t> </w:t>
            </w:r>
            <w:r w:rsidRPr="00A75DF9">
              <w:rPr>
                <w:rFonts w:ascii="Tahoma" w:hAnsi="Tahoma" w:cs="Tahoma"/>
                <w:b w:val="0"/>
                <w:sz w:val="14"/>
              </w:rPr>
              <w:t>con Componente</w:t>
            </w:r>
            <w:r w:rsidR="00B41377">
              <w:rPr>
                <w:rFonts w:ascii="Tahoma" w:hAnsi="Tahoma" w:cs="Tahoma"/>
                <w:b w:val="0"/>
                <w:sz w:val="14"/>
              </w:rPr>
              <w:t> </w:t>
            </w:r>
            <w:r w:rsidRPr="00A75DF9">
              <w:rPr>
                <w:rFonts w:ascii="Tahoma" w:hAnsi="Tahoma" w:cs="Tahoma"/>
                <w:b w:val="0"/>
                <w:sz w:val="14"/>
              </w:rPr>
              <w:t>Aggiuntivo</w:t>
            </w:r>
            <w:r w:rsidR="00B41377">
              <w:rPr>
                <w:rFonts w:ascii="Tahoma" w:hAnsi="Tahoma" w:cs="Tahoma"/>
                <w:b w:val="0"/>
                <w:sz w:val="14"/>
              </w:rPr>
              <w:t> </w:t>
            </w:r>
            <w:r w:rsidRPr="00A75DF9">
              <w:rPr>
                <w:rFonts w:ascii="Tahoma" w:hAnsi="Tahoma" w:cs="Tahoma"/>
                <w:b w:val="0"/>
                <w:sz w:val="14"/>
              </w:rPr>
              <w:t>di</w:t>
            </w:r>
            <w:r w:rsidR="00B41377">
              <w:rPr>
                <w:rFonts w:ascii="Tahoma" w:hAnsi="Tahoma" w:cs="Tahoma"/>
                <w:b w:val="0"/>
                <w:sz w:val="14"/>
              </w:rPr>
              <w:t> </w:t>
            </w:r>
            <w:r w:rsidRPr="00A75DF9">
              <w:rPr>
                <w:rFonts w:ascii="Tahoma" w:hAnsi="Tahoma" w:cs="Tahoma"/>
                <w:b w:val="0"/>
                <w:sz w:val="14"/>
              </w:rPr>
              <w:t xml:space="preserve">Yammer </w:t>
            </w:r>
            <w:r w:rsidR="00B41377">
              <w:rPr>
                <w:rFonts w:ascii="Tahoma" w:hAnsi="Tahoma" w:cs="Tahoma"/>
                <w:b w:val="0"/>
                <w:sz w:val="14"/>
              </w:rPr>
              <w:br/>
            </w:r>
            <w:r w:rsidRPr="00A75DF9">
              <w:rPr>
                <w:rFonts w:ascii="Tahoma" w:hAnsi="Tahoma" w:cs="Tahoma"/>
                <w:b w:val="0"/>
                <w:sz w:val="14"/>
              </w:rPr>
              <w:t>(SL per Utente)</w:t>
            </w:r>
            <w:bookmarkEnd w:id="357"/>
          </w:p>
        </w:tc>
        <w:tc>
          <w:tcPr>
            <w:tcW w:w="448" w:type="dxa"/>
            <w:tcBorders>
              <w:bottom w:val="single" w:sz="4" w:space="0" w:color="auto"/>
            </w:tcBorders>
            <w:shd w:val="clear" w:color="auto" w:fill="auto"/>
            <w:vAlign w:val="center"/>
          </w:tcPr>
          <w:p w:rsidR="00273EB9" w:rsidRPr="00B41377" w:rsidRDefault="00273EB9" w:rsidP="00796355">
            <w:pPr>
              <w:pStyle w:val="TableText"/>
              <w:widowControl w:val="0"/>
              <w:rPr>
                <w:rFonts w:cs="Tahoma"/>
              </w:rPr>
            </w:pPr>
          </w:p>
        </w:tc>
        <w:tc>
          <w:tcPr>
            <w:tcW w:w="449" w:type="dxa"/>
            <w:tcBorders>
              <w:bottom w:val="single" w:sz="4" w:space="0" w:color="auto"/>
            </w:tcBorders>
            <w:shd w:val="clear" w:color="auto" w:fill="auto"/>
          </w:tcPr>
          <w:p w:rsidR="00273EB9" w:rsidRPr="00A75DF9" w:rsidRDefault="00273EB9" w:rsidP="001A63C6">
            <w:pPr>
              <w:pStyle w:val="TableText"/>
              <w:widowControl w:val="0"/>
              <w:spacing w:before="80"/>
              <w:rPr>
                <w:rFonts w:ascii="Tahoma" w:hAnsi="Tahoma" w:cs="Tahoma"/>
                <w:sz w:val="13"/>
              </w:rPr>
            </w:pPr>
            <w:r w:rsidRPr="00A75DF9">
              <w:rPr>
                <w:rFonts w:ascii="Tahoma" w:hAnsi="Tahoma" w:cs="Tahoma"/>
                <w:sz w:val="13"/>
              </w:rPr>
              <w:t>08/13</w:t>
            </w:r>
          </w:p>
        </w:tc>
        <w:tc>
          <w:tcPr>
            <w:tcW w:w="359" w:type="dxa"/>
            <w:tcBorders>
              <w:bottom w:val="single" w:sz="4" w:space="0" w:color="auto"/>
              <w:right w:val="single" w:sz="18" w:space="0" w:color="auto"/>
            </w:tcBorders>
            <w:shd w:val="clear" w:color="auto" w:fill="auto"/>
            <w:vAlign w:val="center"/>
          </w:tcPr>
          <w:p w:rsidR="00273EB9" w:rsidRPr="00A75DF9" w:rsidRDefault="00273EB9" w:rsidP="001A63C6">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auto"/>
            <w:vAlign w:val="center"/>
          </w:tcPr>
          <w:p w:rsidR="00273EB9" w:rsidRPr="00A75DF9" w:rsidRDefault="00273EB9"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273EB9" w:rsidRPr="00A75DF9" w:rsidRDefault="00273EB9" w:rsidP="001A63C6">
            <w:pPr>
              <w:pStyle w:val="TableText"/>
              <w:widowControl w:val="0"/>
              <w:rPr>
                <w:rFonts w:ascii="Tahoma" w:hAnsi="Tahoma" w:cs="Tahoma"/>
                <w:sz w:val="13"/>
              </w:rPr>
            </w:pPr>
          </w:p>
        </w:tc>
        <w:tc>
          <w:tcPr>
            <w:tcW w:w="455" w:type="dxa"/>
            <w:tcBorders>
              <w:bottom w:val="single" w:sz="4" w:space="0" w:color="auto"/>
            </w:tcBorders>
            <w:shd w:val="clear" w:color="auto" w:fill="auto"/>
            <w:vAlign w:val="center"/>
          </w:tcPr>
          <w:p w:rsidR="00273EB9" w:rsidRPr="00A75DF9" w:rsidRDefault="00273EB9"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273EB9" w:rsidRPr="00A75DF9" w:rsidRDefault="00273EB9" w:rsidP="001A63C6">
            <w:pPr>
              <w:pStyle w:val="TableText"/>
              <w:widowControl w:val="0"/>
              <w:rPr>
                <w:rFonts w:ascii="Tahoma" w:hAnsi="Tahoma" w:cs="Tahoma"/>
                <w:sz w:val="13"/>
              </w:rPr>
            </w:pPr>
          </w:p>
        </w:tc>
        <w:tc>
          <w:tcPr>
            <w:tcW w:w="445" w:type="dxa"/>
            <w:tcBorders>
              <w:bottom w:val="single" w:sz="4" w:space="0" w:color="auto"/>
            </w:tcBorders>
            <w:shd w:val="clear" w:color="auto" w:fill="auto"/>
            <w:vAlign w:val="center"/>
          </w:tcPr>
          <w:p w:rsidR="00273EB9" w:rsidRPr="00A75DF9" w:rsidRDefault="00273EB9"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273EB9" w:rsidRPr="00A75DF9" w:rsidRDefault="00273EB9" w:rsidP="001A63C6">
            <w:pPr>
              <w:pStyle w:val="TableText"/>
              <w:widowControl w:val="0"/>
              <w:rPr>
                <w:rFonts w:ascii="Tahoma" w:hAnsi="Tahoma" w:cs="Tahoma"/>
                <w:sz w:val="13"/>
              </w:rPr>
            </w:pPr>
          </w:p>
        </w:tc>
        <w:tc>
          <w:tcPr>
            <w:tcW w:w="374" w:type="dxa"/>
            <w:tcBorders>
              <w:bottom w:val="single" w:sz="4" w:space="0" w:color="auto"/>
              <w:right w:val="single" w:sz="18" w:space="0" w:color="auto"/>
            </w:tcBorders>
            <w:shd w:val="clear" w:color="auto" w:fill="auto"/>
            <w:vAlign w:val="center"/>
          </w:tcPr>
          <w:p w:rsidR="00273EB9" w:rsidRPr="00A75DF9" w:rsidRDefault="00273EB9" w:rsidP="001A63C6">
            <w:pPr>
              <w:pStyle w:val="TableText"/>
              <w:widowControl w:val="0"/>
              <w:rPr>
                <w:rFonts w:ascii="Tahoma" w:hAnsi="Tahoma" w:cs="Tahoma"/>
                <w:sz w:val="13"/>
              </w:rPr>
            </w:pPr>
          </w:p>
        </w:tc>
        <w:tc>
          <w:tcPr>
            <w:tcW w:w="455" w:type="dxa"/>
            <w:tcBorders>
              <w:left w:val="single" w:sz="18" w:space="0" w:color="auto"/>
              <w:bottom w:val="single" w:sz="4" w:space="0" w:color="auto"/>
            </w:tcBorders>
            <w:shd w:val="clear" w:color="auto" w:fill="auto"/>
            <w:vAlign w:val="center"/>
          </w:tcPr>
          <w:p w:rsidR="00273EB9" w:rsidRPr="00A75DF9" w:rsidRDefault="00273EB9"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273EB9" w:rsidRPr="00A75DF9" w:rsidRDefault="00273EB9"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273EB9" w:rsidRPr="00A75DF9" w:rsidRDefault="00273EB9"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273EB9" w:rsidRPr="00A75DF9" w:rsidRDefault="00273EB9"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273EB9" w:rsidRPr="00A75DF9" w:rsidRDefault="00273EB9" w:rsidP="001A63C6">
            <w:pPr>
              <w:pStyle w:val="TableText"/>
              <w:widowControl w:val="0"/>
              <w:rPr>
                <w:rFonts w:ascii="Tahoma" w:hAnsi="Tahoma" w:cs="Tahoma"/>
                <w:sz w:val="13"/>
              </w:rPr>
            </w:pPr>
            <w:r w:rsidRPr="00A75D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273EB9" w:rsidRPr="00A75DF9" w:rsidRDefault="00273EB9"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273EB9" w:rsidRPr="00A75DF9" w:rsidRDefault="00273EB9" w:rsidP="001A63C6">
            <w:pPr>
              <w:pStyle w:val="TableText"/>
              <w:widowControl w:val="0"/>
              <w:spacing w:before="120"/>
              <w:rPr>
                <w:rFonts w:ascii="Tahoma" w:hAnsi="Tahoma" w:cs="Tahoma"/>
                <w:sz w:val="13"/>
              </w:rPr>
            </w:pPr>
          </w:p>
        </w:tc>
        <w:tc>
          <w:tcPr>
            <w:tcW w:w="539" w:type="dxa"/>
            <w:tcBorders>
              <w:bottom w:val="single" w:sz="4" w:space="0" w:color="auto"/>
            </w:tcBorders>
            <w:shd w:val="clear" w:color="auto" w:fill="auto"/>
            <w:vAlign w:val="center"/>
          </w:tcPr>
          <w:p w:rsidR="00273EB9" w:rsidRPr="00A75DF9" w:rsidRDefault="00273EB9" w:rsidP="001A63C6">
            <w:pPr>
              <w:pStyle w:val="TableText"/>
              <w:widowControl w:val="0"/>
              <w:rPr>
                <w:rFonts w:ascii="Tahoma" w:hAnsi="Tahoma" w:cs="Tahoma"/>
                <w:sz w:val="13"/>
              </w:rPr>
            </w:pPr>
          </w:p>
        </w:tc>
      </w:tr>
      <w:tr w:rsidR="00500991" w:rsidRPr="00A75DF9" w:rsidTr="008A1262">
        <w:trPr>
          <w:trHeight w:val="145"/>
        </w:trPr>
        <w:tc>
          <w:tcPr>
            <w:tcW w:w="2724" w:type="dxa"/>
            <w:gridSpan w:val="2"/>
            <w:tcBorders>
              <w:bottom w:val="single" w:sz="4" w:space="0" w:color="auto"/>
            </w:tcBorders>
            <w:shd w:val="clear" w:color="auto" w:fill="FABF8F"/>
            <w:vAlign w:val="center"/>
          </w:tcPr>
          <w:p w:rsidR="001A63C6" w:rsidRPr="00A75DF9" w:rsidRDefault="001A63C6" w:rsidP="008B1245">
            <w:pPr>
              <w:pStyle w:val="ProductNames"/>
              <w:spacing w:beforeLines="20" w:before="48" w:afterLines="20" w:after="48"/>
              <w:rPr>
                <w:rFonts w:ascii="Tahoma" w:hAnsi="Tahoma" w:cs="Tahoma"/>
                <w:sz w:val="14"/>
              </w:rPr>
            </w:pPr>
            <w:bookmarkStart w:id="358" w:name="_Toc336338039"/>
            <w:bookmarkStart w:id="359" w:name="_Toc368310049"/>
            <w:r w:rsidRPr="00A75DF9">
              <w:rPr>
                <w:rFonts w:ascii="Tahoma" w:hAnsi="Tahoma" w:cs="Tahoma"/>
                <w:sz w:val="14"/>
              </w:rPr>
              <w:t xml:space="preserve">SharePoint™ Online Piano 2 </w:t>
            </w:r>
            <w:r w:rsidR="00B41377">
              <w:rPr>
                <w:rFonts w:ascii="Tahoma" w:hAnsi="Tahoma" w:cs="Tahoma"/>
                <w:sz w:val="14"/>
              </w:rPr>
              <w:br/>
            </w:r>
            <w:r w:rsidRPr="00A75DF9">
              <w:rPr>
                <w:rFonts w:ascii="Tahoma" w:hAnsi="Tahoma" w:cs="Tahoma"/>
                <w:sz w:val="14"/>
              </w:rPr>
              <w:t>(SL per Utente)</w:t>
            </w:r>
            <w:bookmarkEnd w:id="358"/>
            <w:bookmarkEnd w:id="359"/>
          </w:p>
        </w:tc>
        <w:tc>
          <w:tcPr>
            <w:tcW w:w="448" w:type="dxa"/>
            <w:tcBorders>
              <w:bottom w:val="single" w:sz="4" w:space="0" w:color="auto"/>
            </w:tcBorders>
            <w:shd w:val="clear" w:color="auto" w:fill="FABF8F"/>
            <w:vAlign w:val="center"/>
          </w:tcPr>
          <w:p w:rsidR="001A63C6" w:rsidRPr="00B41377" w:rsidRDefault="00B54770" w:rsidP="00FC0808">
            <w:pPr>
              <w:pStyle w:val="TableText"/>
              <w:widowControl w:val="0"/>
              <w:rPr>
                <w:rStyle w:val="EndnoteReference"/>
                <w:rFonts w:cs="Tahoma"/>
                <w:b w:val="0"/>
                <w:color w:val="000000"/>
                <w:sz w:val="13"/>
                <w:szCs w:val="13"/>
                <w:u w:val="single"/>
              </w:rPr>
            </w:pPr>
            <w:hyperlink w:anchor="_78_SharePoint_Online" w:history="1">
              <w:r w:rsidR="00734B17" w:rsidRPr="00B41377">
                <w:rPr>
                  <w:rStyle w:val="Hyperlink"/>
                  <w:rFonts w:cs="Tahoma"/>
                  <w:b/>
                  <w:sz w:val="13"/>
                  <w:szCs w:val="13"/>
                </w:rPr>
                <w:t>78</w:t>
              </w:r>
            </w:hyperlink>
          </w:p>
        </w:tc>
        <w:tc>
          <w:tcPr>
            <w:tcW w:w="449" w:type="dxa"/>
            <w:tcBorders>
              <w:bottom w:val="single" w:sz="4" w:space="0" w:color="auto"/>
            </w:tcBorders>
            <w:shd w:val="clear" w:color="auto" w:fill="FABF8F"/>
          </w:tcPr>
          <w:p w:rsidR="001A63C6" w:rsidRPr="00A75DF9" w:rsidRDefault="001A63C6" w:rsidP="001A63C6">
            <w:pPr>
              <w:pStyle w:val="TableText"/>
              <w:widowControl w:val="0"/>
              <w:spacing w:before="80"/>
              <w:rPr>
                <w:rFonts w:ascii="Tahoma" w:hAnsi="Tahoma" w:cs="Tahoma"/>
                <w:sz w:val="13"/>
              </w:rPr>
            </w:pPr>
            <w:r w:rsidRPr="00A75DF9">
              <w:rPr>
                <w:rFonts w:ascii="Tahoma" w:hAnsi="Tahoma" w:cs="Tahoma"/>
                <w:sz w:val="13"/>
              </w:rPr>
              <w:t>06/11</w:t>
            </w:r>
          </w:p>
        </w:tc>
        <w:tc>
          <w:tcPr>
            <w:tcW w:w="359"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374"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5"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A75DF9" w:rsidRDefault="001A63C6" w:rsidP="001A63C6">
            <w:pPr>
              <w:pStyle w:val="TableText"/>
              <w:widowControl w:val="0"/>
              <w:spacing w:before="120"/>
              <w:rPr>
                <w:rFonts w:ascii="Tahoma" w:hAnsi="Tahoma" w:cs="Tahoma"/>
                <w:sz w:val="13"/>
              </w:rPr>
            </w:pPr>
          </w:p>
        </w:tc>
        <w:tc>
          <w:tcPr>
            <w:tcW w:w="539"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r>
      <w:tr w:rsidR="00500991" w:rsidRPr="00A75DF9" w:rsidTr="008A1262">
        <w:trPr>
          <w:trHeight w:val="145"/>
        </w:trPr>
        <w:tc>
          <w:tcPr>
            <w:tcW w:w="2724" w:type="dxa"/>
            <w:gridSpan w:val="2"/>
            <w:tcBorders>
              <w:bottom w:val="single" w:sz="4" w:space="0" w:color="auto"/>
            </w:tcBorders>
            <w:shd w:val="clear" w:color="auto" w:fill="auto"/>
          </w:tcPr>
          <w:p w:rsidR="001A63C6" w:rsidRPr="00A75DF9" w:rsidRDefault="001A63C6" w:rsidP="008B1245">
            <w:pPr>
              <w:pStyle w:val="ProductNames"/>
              <w:spacing w:beforeLines="20" w:before="48" w:afterLines="20" w:after="48"/>
              <w:rPr>
                <w:rFonts w:ascii="Tahoma" w:hAnsi="Tahoma" w:cs="Tahoma"/>
                <w:sz w:val="14"/>
              </w:rPr>
            </w:pPr>
            <w:bookmarkStart w:id="360" w:name="_Toc336338040"/>
            <w:bookmarkStart w:id="361" w:name="_Toc368310050"/>
            <w:r w:rsidRPr="00A75DF9">
              <w:rPr>
                <w:rFonts w:ascii="Tahoma" w:hAnsi="Tahoma" w:cs="Tahoma"/>
                <w:sz w:val="14"/>
              </w:rPr>
              <w:t xml:space="preserve">SharePoint™ Server </w:t>
            </w:r>
            <w:bookmarkEnd w:id="360"/>
            <w:r w:rsidRPr="00A75DF9">
              <w:rPr>
                <w:rFonts w:ascii="Tahoma" w:hAnsi="Tahoma" w:cs="Tahoma"/>
                <w:sz w:val="14"/>
              </w:rPr>
              <w:t>2013</w:t>
            </w:r>
            <w:bookmarkEnd w:id="361"/>
            <w:r w:rsidRPr="00A75DF9">
              <w:rPr>
                <w:rFonts w:ascii="Tahoma" w:hAnsi="Tahoma" w:cs="Tahoma"/>
                <w:sz w:val="14"/>
              </w:rPr>
              <w:t xml:space="preserve"> </w:t>
            </w:r>
          </w:p>
        </w:tc>
        <w:tc>
          <w:tcPr>
            <w:tcW w:w="448" w:type="dxa"/>
            <w:tcBorders>
              <w:bottom w:val="single" w:sz="4" w:space="0" w:color="auto"/>
            </w:tcBorders>
            <w:shd w:val="clear" w:color="auto" w:fill="auto"/>
            <w:vAlign w:val="center"/>
          </w:tcPr>
          <w:p w:rsidR="001A63C6" w:rsidRPr="00B41377" w:rsidRDefault="00B54770" w:rsidP="00FC0808">
            <w:pPr>
              <w:pStyle w:val="TableText"/>
              <w:widowControl w:val="0"/>
              <w:rPr>
                <w:rStyle w:val="EndnoteReference"/>
                <w:rFonts w:cs="Tahoma"/>
                <w:b w:val="0"/>
                <w:color w:val="000000"/>
                <w:sz w:val="13"/>
                <w:szCs w:val="13"/>
                <w:u w:val="single"/>
              </w:rPr>
            </w:pPr>
            <w:hyperlink w:anchor="_69_SharePoint_Server" w:history="1">
              <w:r w:rsidR="00FC0808" w:rsidRPr="0003250E">
                <w:rPr>
                  <w:rStyle w:val="Hyperlink"/>
                  <w:rFonts w:cs="Tahoma"/>
                  <w:b/>
                  <w:sz w:val="13"/>
                  <w:szCs w:val="13"/>
                </w:rPr>
                <w:t>79</w:t>
              </w:r>
            </w:hyperlink>
            <w:hyperlink w:anchor="_79_SharePoint_Server" w:history="1"/>
          </w:p>
        </w:tc>
        <w:tc>
          <w:tcPr>
            <w:tcW w:w="449" w:type="dxa"/>
            <w:tcBorders>
              <w:bottom w:val="single" w:sz="4" w:space="0" w:color="auto"/>
            </w:tcBorders>
            <w:shd w:val="clear" w:color="auto" w:fill="auto"/>
          </w:tcPr>
          <w:p w:rsidR="001A63C6" w:rsidRPr="00A75DF9" w:rsidRDefault="001A63C6" w:rsidP="001A63C6">
            <w:pPr>
              <w:pStyle w:val="TableText"/>
              <w:widowControl w:val="0"/>
              <w:spacing w:before="120"/>
              <w:rPr>
                <w:rFonts w:ascii="Tahoma" w:hAnsi="Tahoma" w:cs="Tahoma"/>
                <w:color w:val="000000"/>
                <w:sz w:val="13"/>
              </w:rPr>
            </w:pPr>
            <w:r w:rsidRPr="00A75DF9">
              <w:rPr>
                <w:rFonts w:ascii="Tahoma" w:hAnsi="Tahoma" w:cs="Tahoma"/>
                <w:color w:val="000000"/>
                <w:sz w:val="13"/>
              </w:rPr>
              <w:t>10/12</w:t>
            </w:r>
          </w:p>
        </w:tc>
        <w:tc>
          <w:tcPr>
            <w:tcW w:w="359"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SRV</w:t>
            </w:r>
          </w:p>
        </w:tc>
        <w:tc>
          <w:tcPr>
            <w:tcW w:w="356"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50</w:t>
            </w: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125</w:t>
            </w:r>
          </w:p>
        </w:tc>
        <w:tc>
          <w:tcPr>
            <w:tcW w:w="455"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100</w:t>
            </w:r>
          </w:p>
        </w:tc>
        <w:tc>
          <w:tcPr>
            <w:tcW w:w="450" w:type="dxa"/>
            <w:gridSpan w:val="3"/>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75</w:t>
            </w:r>
          </w:p>
        </w:tc>
        <w:tc>
          <w:tcPr>
            <w:tcW w:w="445"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75</w:t>
            </w: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50</w:t>
            </w:r>
          </w:p>
        </w:tc>
        <w:tc>
          <w:tcPr>
            <w:tcW w:w="374"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25</w:t>
            </w:r>
          </w:p>
        </w:tc>
        <w:tc>
          <w:tcPr>
            <w:tcW w:w="455"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50</w:t>
            </w: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100</w:t>
            </w: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50</w:t>
            </w:r>
          </w:p>
        </w:tc>
        <w:tc>
          <w:tcPr>
            <w:tcW w:w="450"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A,S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P</w:t>
            </w:r>
          </w:p>
        </w:tc>
        <w:tc>
          <w:tcPr>
            <w:tcW w:w="450" w:type="dxa"/>
            <w:tcBorders>
              <w:bottom w:val="single" w:sz="4" w:space="0" w:color="auto"/>
            </w:tcBorders>
            <w:shd w:val="clear" w:color="auto" w:fill="auto"/>
            <w:vAlign w:val="center"/>
          </w:tcPr>
          <w:p w:rsidR="001A63C6" w:rsidRPr="00A75DF9" w:rsidRDefault="001A63C6" w:rsidP="006C465D">
            <w:pPr>
              <w:pStyle w:val="TableText"/>
              <w:widowControl w:val="0"/>
              <w:spacing w:before="120"/>
              <w:rPr>
                <w:rFonts w:ascii="Tahoma" w:hAnsi="Tahoma" w:cs="Tahoma"/>
                <w:sz w:val="13"/>
              </w:rPr>
            </w:pPr>
            <w:r w:rsidRPr="00A75DF9">
              <w:rPr>
                <w:rFonts w:ascii="Tahoma" w:hAnsi="Tahoma" w:cs="Tahoma"/>
                <w:sz w:val="13"/>
              </w:rPr>
              <w:t>A</w:t>
            </w:r>
          </w:p>
        </w:tc>
        <w:tc>
          <w:tcPr>
            <w:tcW w:w="539"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r>
      <w:tr w:rsidR="00500991" w:rsidRPr="00A75DF9" w:rsidTr="008A1262">
        <w:trPr>
          <w:trHeight w:val="145"/>
        </w:trPr>
        <w:tc>
          <w:tcPr>
            <w:tcW w:w="2724" w:type="dxa"/>
            <w:gridSpan w:val="2"/>
            <w:tcBorders>
              <w:bottom w:val="single" w:sz="4" w:space="0" w:color="auto"/>
            </w:tcBorders>
            <w:shd w:val="clear" w:color="auto" w:fill="FABF8F"/>
          </w:tcPr>
          <w:p w:rsidR="001A63C6" w:rsidRPr="00A75DF9" w:rsidRDefault="001A63C6" w:rsidP="00B41377">
            <w:pPr>
              <w:pStyle w:val="ProductNames"/>
              <w:spacing w:beforeLines="20" w:before="48" w:afterLines="20" w:after="48"/>
              <w:rPr>
                <w:rFonts w:ascii="Tahoma" w:hAnsi="Tahoma" w:cs="Tahoma"/>
                <w:sz w:val="14"/>
              </w:rPr>
            </w:pPr>
            <w:bookmarkStart w:id="362" w:name="_Toc336338041"/>
            <w:bookmarkStart w:id="363" w:name="_Toc368310051"/>
            <w:r w:rsidRPr="00A75DF9">
              <w:rPr>
                <w:rFonts w:ascii="Tahoma" w:hAnsi="Tahoma" w:cs="Tahoma"/>
                <w:sz w:val="14"/>
              </w:rPr>
              <w:t>Enterprise CAL per SharePoint™ Server</w:t>
            </w:r>
            <w:bookmarkEnd w:id="362"/>
            <w:r w:rsidR="00B41377">
              <w:rPr>
                <w:rFonts w:ascii="Tahoma" w:hAnsi="Tahoma" w:cs="Tahoma"/>
                <w:sz w:val="14"/>
              </w:rPr>
              <w:t> </w:t>
            </w:r>
            <w:r w:rsidRPr="00A75DF9">
              <w:rPr>
                <w:rFonts w:ascii="Tahoma" w:hAnsi="Tahoma" w:cs="Tahoma"/>
                <w:sz w:val="14"/>
              </w:rPr>
              <w:t>2013</w:t>
            </w:r>
            <w:bookmarkEnd w:id="363"/>
            <w:r w:rsidRPr="00A75DF9">
              <w:rPr>
                <w:rFonts w:ascii="Tahoma" w:hAnsi="Tahoma" w:cs="Tahoma"/>
                <w:sz w:val="14"/>
              </w:rPr>
              <w:t xml:space="preserve"> </w:t>
            </w:r>
          </w:p>
        </w:tc>
        <w:tc>
          <w:tcPr>
            <w:tcW w:w="448" w:type="dxa"/>
            <w:tcBorders>
              <w:bottom w:val="single" w:sz="4" w:space="0" w:color="auto"/>
            </w:tcBorders>
            <w:shd w:val="clear" w:color="auto" w:fill="FABF8F"/>
            <w:vAlign w:val="center"/>
          </w:tcPr>
          <w:p w:rsidR="001A63C6" w:rsidRPr="00B41377" w:rsidRDefault="001A63C6" w:rsidP="001A63C6">
            <w:pPr>
              <w:pStyle w:val="TableText"/>
              <w:widowControl w:val="0"/>
              <w:rPr>
                <w:rStyle w:val="EndnoteReference"/>
                <w:rFonts w:cs="Tahoma"/>
                <w:color w:val="000000"/>
                <w:sz w:val="13"/>
                <w:szCs w:val="13"/>
                <w:u w:val="single"/>
              </w:rPr>
            </w:pPr>
          </w:p>
        </w:tc>
        <w:tc>
          <w:tcPr>
            <w:tcW w:w="449" w:type="dxa"/>
            <w:tcBorders>
              <w:bottom w:val="single" w:sz="4" w:space="0" w:color="auto"/>
            </w:tcBorders>
            <w:shd w:val="clear" w:color="auto" w:fill="FABF8F"/>
          </w:tcPr>
          <w:p w:rsidR="001A63C6" w:rsidRPr="00A75DF9" w:rsidRDefault="001A63C6" w:rsidP="001A63C6">
            <w:pPr>
              <w:pStyle w:val="TableText"/>
              <w:widowControl w:val="0"/>
              <w:spacing w:before="120"/>
              <w:rPr>
                <w:rFonts w:ascii="Tahoma" w:hAnsi="Tahoma" w:cs="Tahoma"/>
                <w:color w:val="000000"/>
                <w:sz w:val="13"/>
              </w:rPr>
            </w:pPr>
            <w:r w:rsidRPr="00A75DF9">
              <w:rPr>
                <w:rFonts w:ascii="Tahoma" w:hAnsi="Tahoma" w:cs="Tahoma"/>
                <w:color w:val="000000"/>
                <w:sz w:val="13"/>
              </w:rPr>
              <w:t>10/12</w:t>
            </w:r>
          </w:p>
        </w:tc>
        <w:tc>
          <w:tcPr>
            <w:tcW w:w="359"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SRV</w:t>
            </w:r>
          </w:p>
        </w:tc>
        <w:tc>
          <w:tcPr>
            <w:tcW w:w="356"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w:t>
            </w: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3</w:t>
            </w:r>
          </w:p>
        </w:tc>
        <w:tc>
          <w:tcPr>
            <w:tcW w:w="45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w:t>
            </w:r>
          </w:p>
        </w:tc>
        <w:tc>
          <w:tcPr>
            <w:tcW w:w="450" w:type="dxa"/>
            <w:gridSpan w:val="3"/>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w:t>
            </w:r>
          </w:p>
        </w:tc>
        <w:tc>
          <w:tcPr>
            <w:tcW w:w="44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w:t>
            </w: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w:t>
            </w:r>
          </w:p>
        </w:tc>
        <w:tc>
          <w:tcPr>
            <w:tcW w:w="374"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w:t>
            </w:r>
          </w:p>
        </w:tc>
        <w:tc>
          <w:tcPr>
            <w:tcW w:w="455"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w:t>
            </w: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A, D</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P</w:t>
            </w:r>
          </w:p>
        </w:tc>
        <w:tc>
          <w:tcPr>
            <w:tcW w:w="450" w:type="dxa"/>
            <w:tcBorders>
              <w:bottom w:val="single" w:sz="4" w:space="0" w:color="auto"/>
            </w:tcBorders>
            <w:shd w:val="clear" w:color="auto" w:fill="FABF8F"/>
          </w:tcPr>
          <w:p w:rsidR="001A63C6" w:rsidRPr="00A75DF9" w:rsidRDefault="001A63C6" w:rsidP="001A63C6">
            <w:pPr>
              <w:pStyle w:val="TableText"/>
              <w:widowControl w:val="0"/>
              <w:spacing w:before="120"/>
              <w:rPr>
                <w:rFonts w:ascii="Tahoma" w:hAnsi="Tahoma" w:cs="Tahoma"/>
                <w:sz w:val="13"/>
              </w:rPr>
            </w:pPr>
            <w:r w:rsidRPr="00A75DF9">
              <w:rPr>
                <w:rFonts w:ascii="Tahoma" w:hAnsi="Tahoma" w:cs="Tahoma"/>
                <w:sz w:val="13"/>
              </w:rPr>
              <w:t>AO, ST</w:t>
            </w:r>
          </w:p>
        </w:tc>
        <w:tc>
          <w:tcPr>
            <w:tcW w:w="539"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r>
      <w:tr w:rsidR="00500991" w:rsidRPr="00A75DF9" w:rsidTr="008A1262">
        <w:trPr>
          <w:trHeight w:val="260"/>
        </w:trPr>
        <w:tc>
          <w:tcPr>
            <w:tcW w:w="2724" w:type="dxa"/>
            <w:gridSpan w:val="2"/>
            <w:tcBorders>
              <w:bottom w:val="single" w:sz="4" w:space="0" w:color="auto"/>
            </w:tcBorders>
            <w:shd w:val="clear" w:color="auto" w:fill="auto"/>
          </w:tcPr>
          <w:p w:rsidR="001A63C6" w:rsidRPr="00A75DF9" w:rsidRDefault="001A63C6" w:rsidP="00B41377">
            <w:pPr>
              <w:pStyle w:val="ProductNames"/>
              <w:spacing w:beforeLines="20" w:before="48" w:afterLines="20" w:after="48"/>
              <w:rPr>
                <w:rFonts w:ascii="Tahoma" w:hAnsi="Tahoma" w:cs="Tahoma"/>
                <w:sz w:val="14"/>
              </w:rPr>
            </w:pPr>
            <w:bookmarkStart w:id="364" w:name="_Toc336338044"/>
            <w:bookmarkStart w:id="365" w:name="_Toc368310052"/>
            <w:r w:rsidRPr="00A75DF9">
              <w:rPr>
                <w:rFonts w:ascii="Tahoma" w:hAnsi="Tahoma" w:cs="Tahoma"/>
                <w:sz w:val="14"/>
              </w:rPr>
              <w:t>Standard CAL per SharePoint™ Server</w:t>
            </w:r>
            <w:bookmarkEnd w:id="364"/>
            <w:r w:rsidR="00B41377">
              <w:rPr>
                <w:rFonts w:ascii="Tahoma" w:hAnsi="Tahoma" w:cs="Tahoma"/>
                <w:sz w:val="14"/>
              </w:rPr>
              <w:t> </w:t>
            </w:r>
            <w:r w:rsidRPr="00A75DF9">
              <w:rPr>
                <w:rFonts w:ascii="Tahoma" w:hAnsi="Tahoma" w:cs="Tahoma"/>
                <w:sz w:val="14"/>
              </w:rPr>
              <w:t>2013</w:t>
            </w:r>
            <w:bookmarkEnd w:id="365"/>
          </w:p>
        </w:tc>
        <w:tc>
          <w:tcPr>
            <w:tcW w:w="448" w:type="dxa"/>
            <w:tcBorders>
              <w:bottom w:val="single" w:sz="4" w:space="0" w:color="auto"/>
            </w:tcBorders>
            <w:shd w:val="clear" w:color="auto" w:fill="auto"/>
            <w:vAlign w:val="center"/>
          </w:tcPr>
          <w:p w:rsidR="001A63C6" w:rsidRPr="00B41377" w:rsidRDefault="001A63C6" w:rsidP="008B1245">
            <w:pPr>
              <w:pStyle w:val="TableText"/>
              <w:widowControl w:val="0"/>
              <w:spacing w:beforeLines="20" w:before="48" w:afterLines="20" w:after="48"/>
              <w:rPr>
                <w:rStyle w:val="EndnoteReference"/>
                <w:rFonts w:cs="Tahoma"/>
                <w:color w:val="000000"/>
                <w:sz w:val="13"/>
                <w:szCs w:val="13"/>
                <w:u w:val="single"/>
              </w:rPr>
            </w:pPr>
          </w:p>
        </w:tc>
        <w:tc>
          <w:tcPr>
            <w:tcW w:w="449" w:type="dxa"/>
            <w:tcBorders>
              <w:bottom w:val="single" w:sz="4" w:space="0" w:color="auto"/>
            </w:tcBorders>
            <w:shd w:val="clear" w:color="auto" w:fill="auto"/>
          </w:tcPr>
          <w:p w:rsidR="001A63C6" w:rsidRPr="00A75DF9" w:rsidRDefault="001A63C6" w:rsidP="008B1245">
            <w:pPr>
              <w:pStyle w:val="TableText"/>
              <w:widowControl w:val="0"/>
              <w:spacing w:beforeLines="20" w:before="48" w:afterLines="20" w:after="48"/>
              <w:rPr>
                <w:rFonts w:ascii="Tahoma" w:hAnsi="Tahoma" w:cs="Tahoma"/>
                <w:color w:val="000000"/>
                <w:sz w:val="13"/>
              </w:rPr>
            </w:pPr>
            <w:r w:rsidRPr="00A75DF9">
              <w:rPr>
                <w:rFonts w:ascii="Tahoma" w:hAnsi="Tahoma" w:cs="Tahoma"/>
                <w:color w:val="000000"/>
                <w:sz w:val="13"/>
              </w:rPr>
              <w:t>10/12</w:t>
            </w:r>
          </w:p>
        </w:tc>
        <w:tc>
          <w:tcPr>
            <w:tcW w:w="359" w:type="dxa"/>
            <w:tcBorders>
              <w:bottom w:val="single" w:sz="4" w:space="0" w:color="auto"/>
              <w:right w:val="single" w:sz="18" w:space="0" w:color="auto"/>
            </w:tcBorders>
            <w:shd w:val="clear" w:color="auto" w:fill="auto"/>
            <w:vAlign w:val="center"/>
          </w:tcPr>
          <w:p w:rsidR="001A63C6" w:rsidRPr="00A75DF9" w:rsidRDefault="001A63C6" w:rsidP="008B1245">
            <w:pPr>
              <w:pStyle w:val="TableText"/>
              <w:widowControl w:val="0"/>
              <w:spacing w:beforeLines="20" w:before="48" w:afterLines="20" w:after="48"/>
              <w:rPr>
                <w:rFonts w:ascii="Tahoma" w:hAnsi="Tahoma" w:cs="Tahoma"/>
                <w:sz w:val="13"/>
              </w:rPr>
            </w:pPr>
            <w:r w:rsidRPr="00A75DF9">
              <w:rPr>
                <w:rFonts w:ascii="Tahoma" w:hAnsi="Tahoma" w:cs="Tahoma"/>
                <w:sz w:val="13"/>
              </w:rPr>
              <w:t>SRV</w:t>
            </w:r>
          </w:p>
        </w:tc>
        <w:tc>
          <w:tcPr>
            <w:tcW w:w="356" w:type="dxa"/>
            <w:tcBorders>
              <w:left w:val="single" w:sz="18" w:space="0" w:color="auto"/>
              <w:bottom w:val="single" w:sz="4" w:space="0" w:color="auto"/>
            </w:tcBorders>
            <w:shd w:val="clear" w:color="auto" w:fill="auto"/>
            <w:vAlign w:val="center"/>
          </w:tcPr>
          <w:p w:rsidR="001A63C6" w:rsidRPr="00A75DF9" w:rsidRDefault="001A63C6" w:rsidP="008B1245">
            <w:pPr>
              <w:pStyle w:val="TableText"/>
              <w:widowControl w:val="0"/>
              <w:spacing w:beforeLines="20" w:before="48" w:afterLines="20" w:after="48"/>
              <w:rPr>
                <w:rFonts w:ascii="Tahoma" w:hAnsi="Tahoma" w:cs="Tahoma"/>
                <w:sz w:val="13"/>
              </w:rPr>
            </w:pPr>
            <w:r w:rsidRPr="00A75DF9">
              <w:rPr>
                <w:rFonts w:ascii="Tahoma" w:hAnsi="Tahoma" w:cs="Tahoma"/>
                <w:sz w:val="13"/>
              </w:rPr>
              <w:t>1</w:t>
            </w:r>
          </w:p>
        </w:tc>
        <w:tc>
          <w:tcPr>
            <w:tcW w:w="450" w:type="dxa"/>
            <w:tcBorders>
              <w:bottom w:val="single" w:sz="4" w:space="0" w:color="auto"/>
            </w:tcBorders>
            <w:shd w:val="clear" w:color="auto" w:fill="auto"/>
            <w:vAlign w:val="center"/>
          </w:tcPr>
          <w:p w:rsidR="001A63C6" w:rsidRPr="00A75DF9" w:rsidRDefault="001A63C6" w:rsidP="008B1245">
            <w:pPr>
              <w:pStyle w:val="TableText"/>
              <w:widowControl w:val="0"/>
              <w:spacing w:beforeLines="20" w:before="48" w:afterLines="20" w:after="48"/>
              <w:rPr>
                <w:rFonts w:ascii="Tahoma" w:hAnsi="Tahoma" w:cs="Tahoma"/>
                <w:sz w:val="13"/>
              </w:rPr>
            </w:pPr>
            <w:r w:rsidRPr="00A75DF9">
              <w:rPr>
                <w:rFonts w:ascii="Tahoma" w:hAnsi="Tahoma" w:cs="Tahoma"/>
                <w:sz w:val="13"/>
              </w:rPr>
              <w:t>3</w:t>
            </w:r>
          </w:p>
        </w:tc>
        <w:tc>
          <w:tcPr>
            <w:tcW w:w="455" w:type="dxa"/>
            <w:tcBorders>
              <w:bottom w:val="single" w:sz="4" w:space="0" w:color="auto"/>
            </w:tcBorders>
            <w:shd w:val="clear" w:color="auto" w:fill="auto"/>
            <w:vAlign w:val="center"/>
          </w:tcPr>
          <w:p w:rsidR="001A63C6" w:rsidRPr="00A75DF9" w:rsidRDefault="001A63C6" w:rsidP="008B1245">
            <w:pPr>
              <w:pStyle w:val="TableText"/>
              <w:widowControl w:val="0"/>
              <w:spacing w:beforeLines="20" w:before="48" w:afterLines="20" w:after="48"/>
              <w:rPr>
                <w:rFonts w:ascii="Tahoma" w:hAnsi="Tahoma" w:cs="Tahoma"/>
                <w:sz w:val="13"/>
              </w:rPr>
            </w:pPr>
            <w:r w:rsidRPr="00A75DF9">
              <w:rPr>
                <w:rFonts w:ascii="Tahoma" w:hAnsi="Tahoma" w:cs="Tahoma"/>
                <w:sz w:val="13"/>
              </w:rPr>
              <w:t>2</w:t>
            </w:r>
          </w:p>
        </w:tc>
        <w:tc>
          <w:tcPr>
            <w:tcW w:w="450" w:type="dxa"/>
            <w:gridSpan w:val="3"/>
            <w:tcBorders>
              <w:bottom w:val="single" w:sz="4" w:space="0" w:color="auto"/>
            </w:tcBorders>
            <w:shd w:val="clear" w:color="auto" w:fill="auto"/>
            <w:vAlign w:val="center"/>
          </w:tcPr>
          <w:p w:rsidR="001A63C6" w:rsidRPr="00A75DF9" w:rsidRDefault="001A63C6" w:rsidP="008B1245">
            <w:pPr>
              <w:pStyle w:val="TableText"/>
              <w:widowControl w:val="0"/>
              <w:spacing w:beforeLines="20" w:before="48" w:afterLines="20" w:after="48"/>
              <w:rPr>
                <w:rFonts w:ascii="Tahoma" w:hAnsi="Tahoma" w:cs="Tahoma"/>
                <w:sz w:val="13"/>
              </w:rPr>
            </w:pPr>
            <w:r w:rsidRPr="00A75DF9">
              <w:rPr>
                <w:rFonts w:ascii="Tahoma" w:hAnsi="Tahoma" w:cs="Tahoma"/>
                <w:sz w:val="13"/>
              </w:rPr>
              <w:t>2</w:t>
            </w:r>
          </w:p>
        </w:tc>
        <w:tc>
          <w:tcPr>
            <w:tcW w:w="445" w:type="dxa"/>
            <w:tcBorders>
              <w:bottom w:val="single" w:sz="4" w:space="0" w:color="auto"/>
            </w:tcBorders>
            <w:shd w:val="clear" w:color="auto" w:fill="auto"/>
            <w:vAlign w:val="center"/>
          </w:tcPr>
          <w:p w:rsidR="001A63C6" w:rsidRPr="00A75DF9" w:rsidRDefault="001A63C6" w:rsidP="008B1245">
            <w:pPr>
              <w:pStyle w:val="TableText"/>
              <w:widowControl w:val="0"/>
              <w:spacing w:beforeLines="20" w:before="48" w:afterLines="20" w:after="48"/>
              <w:rPr>
                <w:rFonts w:ascii="Tahoma" w:hAnsi="Tahoma" w:cs="Tahoma"/>
                <w:sz w:val="13"/>
              </w:rPr>
            </w:pPr>
            <w:r w:rsidRPr="00A75DF9">
              <w:rPr>
                <w:rFonts w:ascii="Tahoma" w:hAnsi="Tahoma" w:cs="Tahoma"/>
                <w:sz w:val="13"/>
              </w:rPr>
              <w:t>2</w:t>
            </w:r>
          </w:p>
        </w:tc>
        <w:tc>
          <w:tcPr>
            <w:tcW w:w="450" w:type="dxa"/>
            <w:tcBorders>
              <w:bottom w:val="single" w:sz="4" w:space="0" w:color="auto"/>
            </w:tcBorders>
            <w:shd w:val="clear" w:color="auto" w:fill="auto"/>
            <w:vAlign w:val="center"/>
          </w:tcPr>
          <w:p w:rsidR="001A63C6" w:rsidRPr="00A75DF9" w:rsidRDefault="001A63C6" w:rsidP="008B1245">
            <w:pPr>
              <w:pStyle w:val="TableText"/>
              <w:widowControl w:val="0"/>
              <w:spacing w:beforeLines="20" w:before="48" w:afterLines="20" w:after="48"/>
              <w:rPr>
                <w:rFonts w:ascii="Tahoma" w:hAnsi="Tahoma" w:cs="Tahoma"/>
                <w:sz w:val="13"/>
              </w:rPr>
            </w:pPr>
            <w:r w:rsidRPr="00A75DF9">
              <w:rPr>
                <w:rFonts w:ascii="Tahoma" w:hAnsi="Tahoma" w:cs="Tahoma"/>
                <w:sz w:val="13"/>
              </w:rPr>
              <w:t>1</w:t>
            </w:r>
          </w:p>
        </w:tc>
        <w:tc>
          <w:tcPr>
            <w:tcW w:w="374" w:type="dxa"/>
            <w:tcBorders>
              <w:bottom w:val="single" w:sz="4" w:space="0" w:color="auto"/>
              <w:right w:val="single" w:sz="18" w:space="0" w:color="auto"/>
            </w:tcBorders>
            <w:shd w:val="clear" w:color="auto" w:fill="auto"/>
            <w:vAlign w:val="center"/>
          </w:tcPr>
          <w:p w:rsidR="001A63C6" w:rsidRPr="00A75DF9" w:rsidRDefault="001A63C6" w:rsidP="008B1245">
            <w:pPr>
              <w:pStyle w:val="TableText"/>
              <w:widowControl w:val="0"/>
              <w:spacing w:beforeLines="20" w:before="48" w:afterLines="20" w:after="48"/>
              <w:rPr>
                <w:rFonts w:ascii="Tahoma" w:hAnsi="Tahoma" w:cs="Tahoma"/>
                <w:sz w:val="13"/>
              </w:rPr>
            </w:pPr>
            <w:r w:rsidRPr="00A75DF9">
              <w:rPr>
                <w:rFonts w:ascii="Tahoma" w:hAnsi="Tahoma" w:cs="Tahoma"/>
                <w:sz w:val="13"/>
              </w:rPr>
              <w:t>1</w:t>
            </w:r>
          </w:p>
        </w:tc>
        <w:tc>
          <w:tcPr>
            <w:tcW w:w="455" w:type="dxa"/>
            <w:tcBorders>
              <w:left w:val="single" w:sz="18" w:space="0" w:color="auto"/>
              <w:bottom w:val="single" w:sz="4" w:space="0" w:color="auto"/>
            </w:tcBorders>
            <w:shd w:val="clear" w:color="auto" w:fill="auto"/>
            <w:vAlign w:val="center"/>
          </w:tcPr>
          <w:p w:rsidR="001A63C6" w:rsidRPr="00A75DF9" w:rsidRDefault="001A63C6" w:rsidP="008B1245">
            <w:pPr>
              <w:pStyle w:val="TableText"/>
              <w:widowControl w:val="0"/>
              <w:spacing w:beforeLines="20" w:before="48" w:afterLines="20" w:after="48"/>
              <w:rPr>
                <w:rFonts w:ascii="Tahoma" w:hAnsi="Tahoma" w:cs="Tahoma"/>
                <w:sz w:val="13"/>
              </w:rPr>
            </w:pPr>
            <w:r w:rsidRPr="00A75DF9">
              <w:rPr>
                <w:rFonts w:ascii="Tahoma" w:hAnsi="Tahoma" w:cs="Tahoma"/>
                <w:sz w:val="13"/>
              </w:rPr>
              <w:t>1</w:t>
            </w:r>
          </w:p>
        </w:tc>
        <w:tc>
          <w:tcPr>
            <w:tcW w:w="450" w:type="dxa"/>
            <w:tcBorders>
              <w:bottom w:val="single" w:sz="4" w:space="0" w:color="auto"/>
            </w:tcBorders>
            <w:shd w:val="clear" w:color="auto" w:fill="auto"/>
            <w:vAlign w:val="center"/>
          </w:tcPr>
          <w:p w:rsidR="001A63C6" w:rsidRPr="00A75DF9" w:rsidRDefault="001A63C6" w:rsidP="008B1245">
            <w:pPr>
              <w:pStyle w:val="TableText"/>
              <w:widowControl w:val="0"/>
              <w:spacing w:beforeLines="20" w:before="48" w:afterLines="20" w:after="48"/>
              <w:rPr>
                <w:rFonts w:ascii="Tahoma" w:hAnsi="Tahoma" w:cs="Tahoma"/>
                <w:sz w:val="13"/>
              </w:rPr>
            </w:pPr>
            <w:r w:rsidRPr="00A75DF9">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A75DF9" w:rsidRDefault="001A63C6" w:rsidP="008B1245">
            <w:pPr>
              <w:pStyle w:val="TableText"/>
              <w:widowControl w:val="0"/>
              <w:spacing w:beforeLines="20" w:before="48" w:afterLines="20" w:after="48"/>
              <w:rPr>
                <w:rFonts w:ascii="Tahoma" w:hAnsi="Tahoma" w:cs="Tahoma"/>
                <w:sz w:val="13"/>
              </w:rPr>
            </w:pPr>
            <w:r w:rsidRPr="00A75DF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A75DF9" w:rsidRDefault="001A63C6" w:rsidP="008B1245">
            <w:pPr>
              <w:pStyle w:val="TableText"/>
              <w:widowControl w:val="0"/>
              <w:spacing w:beforeLines="20" w:before="48" w:afterLines="20" w:after="48"/>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75DF9" w:rsidRDefault="001A63C6" w:rsidP="008B1245">
            <w:pPr>
              <w:pStyle w:val="TableText"/>
              <w:widowControl w:val="0"/>
              <w:spacing w:beforeLines="20" w:before="48" w:afterLines="20" w:after="48"/>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75DF9" w:rsidRDefault="001A63C6" w:rsidP="008B1245">
            <w:pPr>
              <w:pStyle w:val="TableText"/>
              <w:widowControl w:val="0"/>
              <w:spacing w:beforeLines="20" w:before="48" w:afterLines="20" w:after="48"/>
              <w:rPr>
                <w:rFonts w:ascii="Tahoma" w:hAnsi="Tahoma" w:cs="Tahoma"/>
                <w:sz w:val="13"/>
              </w:rPr>
            </w:pPr>
          </w:p>
        </w:tc>
        <w:tc>
          <w:tcPr>
            <w:tcW w:w="450" w:type="dxa"/>
            <w:tcBorders>
              <w:bottom w:val="single" w:sz="4" w:space="0" w:color="auto"/>
            </w:tcBorders>
            <w:shd w:val="clear" w:color="auto" w:fill="auto"/>
          </w:tcPr>
          <w:p w:rsidR="001A63C6" w:rsidRPr="00A75DF9" w:rsidRDefault="001A63C6" w:rsidP="008B1245">
            <w:pPr>
              <w:pStyle w:val="TableText"/>
              <w:widowControl w:val="0"/>
              <w:spacing w:beforeLines="20" w:before="48" w:afterLines="20" w:after="48"/>
              <w:rPr>
                <w:rFonts w:ascii="Tahoma" w:hAnsi="Tahoma" w:cs="Tahoma"/>
                <w:sz w:val="13"/>
              </w:rPr>
            </w:pPr>
            <w:r w:rsidRPr="00A75DF9">
              <w:rPr>
                <w:rFonts w:ascii="Tahoma" w:hAnsi="Tahoma" w:cs="Tahoma"/>
                <w:sz w:val="13"/>
              </w:rPr>
              <w:t>AO, ST</w:t>
            </w:r>
          </w:p>
        </w:tc>
        <w:tc>
          <w:tcPr>
            <w:tcW w:w="539" w:type="dxa"/>
            <w:tcBorders>
              <w:bottom w:val="single" w:sz="4" w:space="0" w:color="auto"/>
            </w:tcBorders>
            <w:shd w:val="clear" w:color="auto" w:fill="auto"/>
            <w:vAlign w:val="center"/>
          </w:tcPr>
          <w:p w:rsidR="001A63C6" w:rsidRPr="00A75DF9" w:rsidRDefault="001A63C6" w:rsidP="008B1245">
            <w:pPr>
              <w:pStyle w:val="TableText"/>
              <w:widowControl w:val="0"/>
              <w:spacing w:beforeLines="20" w:before="48" w:afterLines="20" w:after="48"/>
              <w:rPr>
                <w:rFonts w:ascii="Tahoma" w:hAnsi="Tahoma" w:cs="Tahoma"/>
                <w:sz w:val="13"/>
              </w:rPr>
            </w:pPr>
          </w:p>
        </w:tc>
      </w:tr>
      <w:tr w:rsidR="00500991" w:rsidRPr="00A75DF9" w:rsidTr="008A1262">
        <w:trPr>
          <w:trHeight w:val="145"/>
        </w:trPr>
        <w:tc>
          <w:tcPr>
            <w:tcW w:w="2724" w:type="dxa"/>
            <w:gridSpan w:val="2"/>
            <w:tcBorders>
              <w:bottom w:val="single" w:sz="4" w:space="0" w:color="auto"/>
            </w:tcBorders>
            <w:shd w:val="clear" w:color="auto" w:fill="FABF8F"/>
            <w:vAlign w:val="center"/>
          </w:tcPr>
          <w:p w:rsidR="001A63C6" w:rsidRPr="00A75DF9" w:rsidRDefault="001A63C6" w:rsidP="008B1245">
            <w:pPr>
              <w:pStyle w:val="ProductNames"/>
              <w:spacing w:beforeLines="20" w:before="48" w:afterLines="20" w:after="48"/>
              <w:rPr>
                <w:rFonts w:ascii="Tahoma" w:hAnsi="Tahoma" w:cs="Tahoma"/>
                <w:sz w:val="14"/>
                <w:lang w:val="pt-BR"/>
              </w:rPr>
            </w:pPr>
            <w:bookmarkStart w:id="366" w:name="_Toc336338045"/>
            <w:bookmarkStart w:id="367" w:name="_Toc368310053"/>
            <w:r w:rsidRPr="00A75DF9">
              <w:rPr>
                <w:rFonts w:ascii="Tahoma" w:hAnsi="Tahoma" w:cs="Tahoma"/>
                <w:sz w:val="14"/>
              </w:rPr>
              <w:t>1 Licenza per Processore per SQL Server</w:t>
            </w:r>
            <w:r w:rsidR="009D5D7B" w:rsidRPr="00A75DF9">
              <w:rPr>
                <w:rFonts w:ascii="Tahoma" w:eastAsia="Times New Roman" w:hAnsi="Tahoma" w:cs="Tahoma"/>
                <w:color w:val="000000"/>
                <w:sz w:val="18"/>
                <w:szCs w:val="18"/>
                <w:vertAlign w:val="superscript"/>
              </w:rPr>
              <w:t>®</w:t>
            </w:r>
            <w:r w:rsidRPr="00A75DF9">
              <w:rPr>
                <w:rFonts w:ascii="Tahoma" w:hAnsi="Tahoma" w:cs="Tahoma"/>
                <w:sz w:val="14"/>
              </w:rPr>
              <w:t xml:space="preserve"> 2008 R2 Datacenter</w:t>
            </w:r>
            <w:bookmarkEnd w:id="366"/>
            <w:bookmarkEnd w:id="367"/>
          </w:p>
        </w:tc>
        <w:tc>
          <w:tcPr>
            <w:tcW w:w="448" w:type="dxa"/>
            <w:tcBorders>
              <w:bottom w:val="single" w:sz="4" w:space="0" w:color="auto"/>
            </w:tcBorders>
            <w:shd w:val="clear" w:color="auto" w:fill="FABF8F"/>
            <w:vAlign w:val="center"/>
          </w:tcPr>
          <w:p w:rsidR="001A63C6" w:rsidRPr="00B41377" w:rsidRDefault="00B54770" w:rsidP="00FC0808">
            <w:pPr>
              <w:pStyle w:val="TableText"/>
              <w:widowControl w:val="0"/>
              <w:rPr>
                <w:rFonts w:cs="Tahoma"/>
                <w:b/>
                <w:color w:val="0000FF"/>
                <w:sz w:val="13"/>
                <w:szCs w:val="13"/>
                <w:u w:val="single"/>
              </w:rPr>
            </w:pPr>
            <w:hyperlink w:anchor="_75_73_SQL" w:history="1">
              <w:r w:rsidR="00734B17" w:rsidRPr="00B41377">
                <w:rPr>
                  <w:rStyle w:val="Hyperlink"/>
                  <w:rFonts w:cs="Tahoma"/>
                  <w:b/>
                  <w:sz w:val="13"/>
                  <w:szCs w:val="13"/>
                </w:rPr>
                <w:t>80</w:t>
              </w:r>
            </w:hyperlink>
          </w:p>
        </w:tc>
        <w:tc>
          <w:tcPr>
            <w:tcW w:w="449" w:type="dxa"/>
            <w:tcBorders>
              <w:bottom w:val="single" w:sz="4" w:space="0" w:color="auto"/>
            </w:tcBorders>
            <w:shd w:val="clear" w:color="auto" w:fill="FABF8F"/>
          </w:tcPr>
          <w:p w:rsidR="001A63C6" w:rsidRPr="00A75DF9" w:rsidRDefault="001A63C6" w:rsidP="001A63C6">
            <w:pPr>
              <w:pStyle w:val="TableText"/>
              <w:widowControl w:val="0"/>
              <w:spacing w:before="80"/>
              <w:rPr>
                <w:rFonts w:ascii="Tahoma" w:hAnsi="Tahoma" w:cs="Tahoma"/>
                <w:sz w:val="13"/>
              </w:rPr>
            </w:pPr>
          </w:p>
        </w:tc>
        <w:tc>
          <w:tcPr>
            <w:tcW w:w="359"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374"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5"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A75DF9" w:rsidRDefault="001A63C6" w:rsidP="001A63C6">
            <w:pPr>
              <w:pStyle w:val="TableText"/>
              <w:widowControl w:val="0"/>
              <w:rPr>
                <w:rFonts w:ascii="Tahoma" w:hAnsi="Tahoma" w:cs="Tahoma"/>
                <w:sz w:val="13"/>
              </w:rPr>
            </w:pPr>
          </w:p>
        </w:tc>
        <w:tc>
          <w:tcPr>
            <w:tcW w:w="539"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r>
      <w:tr w:rsidR="00500991" w:rsidRPr="00A75DF9" w:rsidTr="008A1262">
        <w:trPr>
          <w:trHeight w:val="145"/>
        </w:trPr>
        <w:tc>
          <w:tcPr>
            <w:tcW w:w="2724" w:type="dxa"/>
            <w:gridSpan w:val="2"/>
            <w:tcBorders>
              <w:bottom w:val="single" w:sz="4" w:space="0" w:color="auto"/>
            </w:tcBorders>
            <w:shd w:val="clear" w:color="auto" w:fill="auto"/>
            <w:vAlign w:val="center"/>
          </w:tcPr>
          <w:p w:rsidR="001A63C6" w:rsidRPr="00A75DF9" w:rsidRDefault="001A63C6" w:rsidP="008B1245">
            <w:pPr>
              <w:pStyle w:val="ProductNames"/>
              <w:spacing w:beforeLines="20" w:before="48" w:afterLines="20" w:after="48"/>
              <w:rPr>
                <w:rFonts w:ascii="Tahoma" w:hAnsi="Tahoma" w:cs="Tahoma"/>
                <w:sz w:val="14"/>
              </w:rPr>
            </w:pPr>
            <w:bookmarkStart w:id="368" w:name="_Toc336338048"/>
            <w:bookmarkStart w:id="369" w:name="_Toc368310054"/>
            <w:r w:rsidRPr="00A75DF9">
              <w:rPr>
                <w:rFonts w:ascii="Tahoma" w:hAnsi="Tahoma" w:cs="Tahoma"/>
                <w:sz w:val="14"/>
              </w:rPr>
              <w:t>SQL Server</w:t>
            </w:r>
            <w:r w:rsidR="009D5D7B" w:rsidRPr="00A75DF9">
              <w:rPr>
                <w:rFonts w:ascii="Tahoma" w:eastAsia="Times New Roman" w:hAnsi="Tahoma" w:cs="Tahoma"/>
                <w:color w:val="000000"/>
                <w:sz w:val="18"/>
                <w:szCs w:val="18"/>
                <w:vertAlign w:val="superscript"/>
              </w:rPr>
              <w:t>®</w:t>
            </w:r>
            <w:r w:rsidRPr="00A75DF9">
              <w:rPr>
                <w:rFonts w:ascii="Tahoma" w:hAnsi="Tahoma" w:cs="Tahoma"/>
                <w:sz w:val="14"/>
              </w:rPr>
              <w:t xml:space="preserve"> 2008 R2 Small Business</w:t>
            </w:r>
            <w:bookmarkEnd w:id="368"/>
            <w:bookmarkEnd w:id="369"/>
          </w:p>
        </w:tc>
        <w:tc>
          <w:tcPr>
            <w:tcW w:w="448" w:type="dxa"/>
            <w:tcBorders>
              <w:bottom w:val="single" w:sz="4" w:space="0" w:color="auto"/>
            </w:tcBorders>
            <w:shd w:val="clear" w:color="auto" w:fill="auto"/>
            <w:vAlign w:val="center"/>
          </w:tcPr>
          <w:p w:rsidR="001A63C6" w:rsidRPr="00B41377" w:rsidRDefault="00B54770" w:rsidP="00FC0808">
            <w:pPr>
              <w:pStyle w:val="TableText"/>
              <w:widowControl w:val="0"/>
              <w:rPr>
                <w:rStyle w:val="EndnoteReference"/>
                <w:rFonts w:cs="Tahoma"/>
                <w:b w:val="0"/>
                <w:color w:val="000000"/>
                <w:sz w:val="13"/>
                <w:szCs w:val="13"/>
                <w:u w:val="single"/>
              </w:rPr>
            </w:pPr>
            <w:hyperlink w:anchor="_76_74_SQL" w:history="1">
              <w:r w:rsidR="00734B17" w:rsidRPr="00B41377">
                <w:rPr>
                  <w:rStyle w:val="Hyperlink"/>
                  <w:rFonts w:cs="Tahoma"/>
                  <w:b/>
                  <w:sz w:val="13"/>
                  <w:szCs w:val="13"/>
                </w:rPr>
                <w:t>81</w:t>
              </w:r>
            </w:hyperlink>
          </w:p>
        </w:tc>
        <w:tc>
          <w:tcPr>
            <w:tcW w:w="449" w:type="dxa"/>
            <w:tcBorders>
              <w:bottom w:val="single" w:sz="4" w:space="0" w:color="auto"/>
            </w:tcBorders>
            <w:shd w:val="clear" w:color="auto" w:fill="auto"/>
          </w:tcPr>
          <w:p w:rsidR="001A63C6" w:rsidRPr="00A75DF9" w:rsidRDefault="001A63C6" w:rsidP="001A63C6">
            <w:pPr>
              <w:pStyle w:val="TableText"/>
              <w:widowControl w:val="0"/>
              <w:spacing w:before="80"/>
              <w:rPr>
                <w:rFonts w:ascii="Tahoma" w:hAnsi="Tahoma" w:cs="Tahoma"/>
                <w:sz w:val="13"/>
              </w:rPr>
            </w:pPr>
            <w:r w:rsidRPr="00A75DF9">
              <w:rPr>
                <w:rFonts w:ascii="Tahoma" w:hAnsi="Tahoma" w:cs="Tahoma"/>
                <w:sz w:val="13"/>
              </w:rPr>
              <w:t>01/11</w:t>
            </w:r>
          </w:p>
        </w:tc>
        <w:tc>
          <w:tcPr>
            <w:tcW w:w="359"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5"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45"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374"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5"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A75DF9" w:rsidRDefault="001A63C6" w:rsidP="001A63C6">
            <w:pPr>
              <w:pStyle w:val="TableText"/>
              <w:widowControl w:val="0"/>
              <w:rPr>
                <w:rFonts w:ascii="Tahoma" w:hAnsi="Tahoma" w:cs="Tahoma"/>
                <w:sz w:val="13"/>
              </w:rPr>
            </w:pPr>
          </w:p>
        </w:tc>
        <w:tc>
          <w:tcPr>
            <w:tcW w:w="539"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r>
      <w:tr w:rsidR="00500991" w:rsidRPr="00A75DF9" w:rsidTr="008A1262">
        <w:trPr>
          <w:trHeight w:val="145"/>
        </w:trPr>
        <w:tc>
          <w:tcPr>
            <w:tcW w:w="2724" w:type="dxa"/>
            <w:gridSpan w:val="2"/>
            <w:tcBorders>
              <w:bottom w:val="single" w:sz="4" w:space="0" w:color="auto"/>
            </w:tcBorders>
            <w:shd w:val="clear" w:color="auto" w:fill="FABF8F"/>
            <w:vAlign w:val="center"/>
          </w:tcPr>
          <w:p w:rsidR="001A63C6" w:rsidRPr="00A75DF9" w:rsidRDefault="001A63C6" w:rsidP="008B1245">
            <w:pPr>
              <w:pStyle w:val="ProductNames"/>
              <w:spacing w:beforeLines="20" w:before="48" w:afterLines="20" w:after="48"/>
              <w:rPr>
                <w:rFonts w:ascii="Tahoma" w:hAnsi="Tahoma" w:cs="Tahoma"/>
                <w:sz w:val="14"/>
              </w:rPr>
            </w:pPr>
            <w:bookmarkStart w:id="370" w:name="_Toc336338049"/>
            <w:bookmarkStart w:id="371" w:name="_Toc368310055"/>
            <w:r w:rsidRPr="00A75DF9">
              <w:rPr>
                <w:rFonts w:ascii="Tahoma" w:hAnsi="Tahoma" w:cs="Tahoma"/>
                <w:sz w:val="14"/>
              </w:rPr>
              <w:t>Licenza CAL per SQL Server</w:t>
            </w:r>
            <w:r w:rsidR="009D5D7B" w:rsidRPr="00A75DF9">
              <w:rPr>
                <w:rFonts w:ascii="Tahoma" w:eastAsia="Times New Roman" w:hAnsi="Tahoma" w:cs="Tahoma"/>
                <w:color w:val="000000"/>
                <w:sz w:val="18"/>
                <w:szCs w:val="18"/>
                <w:vertAlign w:val="superscript"/>
              </w:rPr>
              <w:t>®</w:t>
            </w:r>
            <w:r w:rsidRPr="00A75DF9">
              <w:rPr>
                <w:rFonts w:ascii="Tahoma" w:hAnsi="Tahoma" w:cs="Tahoma"/>
                <w:sz w:val="14"/>
              </w:rPr>
              <w:t xml:space="preserve"> 2008 R2 Small Business</w:t>
            </w:r>
            <w:bookmarkEnd w:id="370"/>
            <w:bookmarkEnd w:id="371"/>
          </w:p>
        </w:tc>
        <w:tc>
          <w:tcPr>
            <w:tcW w:w="448" w:type="dxa"/>
            <w:tcBorders>
              <w:bottom w:val="single" w:sz="4" w:space="0" w:color="auto"/>
            </w:tcBorders>
            <w:shd w:val="clear" w:color="auto" w:fill="FABF8F"/>
            <w:vAlign w:val="center"/>
          </w:tcPr>
          <w:p w:rsidR="001A63C6" w:rsidRPr="00B41377" w:rsidRDefault="001A63C6" w:rsidP="001A63C6">
            <w:pPr>
              <w:pStyle w:val="TableText"/>
              <w:widowControl w:val="0"/>
              <w:rPr>
                <w:rStyle w:val="EndnoteReference"/>
                <w:rFonts w:cs="Tahoma"/>
                <w:color w:val="000000"/>
                <w:sz w:val="13"/>
                <w:szCs w:val="13"/>
                <w:u w:val="single"/>
              </w:rPr>
            </w:pPr>
          </w:p>
        </w:tc>
        <w:tc>
          <w:tcPr>
            <w:tcW w:w="449" w:type="dxa"/>
            <w:tcBorders>
              <w:bottom w:val="single" w:sz="4" w:space="0" w:color="auto"/>
            </w:tcBorders>
            <w:shd w:val="clear" w:color="auto" w:fill="FABF8F"/>
          </w:tcPr>
          <w:p w:rsidR="001A63C6" w:rsidRPr="00A75DF9" w:rsidRDefault="001A63C6" w:rsidP="001A63C6">
            <w:pPr>
              <w:pStyle w:val="TableText"/>
              <w:widowControl w:val="0"/>
              <w:spacing w:before="80"/>
              <w:rPr>
                <w:rFonts w:ascii="Tahoma" w:hAnsi="Tahoma" w:cs="Tahoma"/>
                <w:sz w:val="13"/>
              </w:rPr>
            </w:pPr>
            <w:r w:rsidRPr="00A75DF9">
              <w:rPr>
                <w:rFonts w:ascii="Tahoma" w:hAnsi="Tahoma" w:cs="Tahoma"/>
                <w:sz w:val="13"/>
              </w:rPr>
              <w:t>01/11</w:t>
            </w:r>
          </w:p>
        </w:tc>
        <w:tc>
          <w:tcPr>
            <w:tcW w:w="359"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374"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5"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A75DF9" w:rsidRDefault="001A63C6" w:rsidP="001A63C6">
            <w:pPr>
              <w:pStyle w:val="TableText"/>
              <w:widowControl w:val="0"/>
              <w:rPr>
                <w:rFonts w:ascii="Tahoma" w:hAnsi="Tahoma" w:cs="Tahoma"/>
                <w:sz w:val="13"/>
              </w:rPr>
            </w:pPr>
          </w:p>
        </w:tc>
        <w:tc>
          <w:tcPr>
            <w:tcW w:w="539"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r>
      <w:tr w:rsidR="00500991" w:rsidRPr="00A75DF9" w:rsidTr="008A1262">
        <w:trPr>
          <w:trHeight w:val="145"/>
        </w:trPr>
        <w:tc>
          <w:tcPr>
            <w:tcW w:w="2724" w:type="dxa"/>
            <w:gridSpan w:val="2"/>
            <w:tcBorders>
              <w:bottom w:val="single" w:sz="4" w:space="0" w:color="auto"/>
            </w:tcBorders>
            <w:shd w:val="clear" w:color="auto" w:fill="auto"/>
            <w:vAlign w:val="center"/>
          </w:tcPr>
          <w:p w:rsidR="001A63C6" w:rsidRPr="00A75DF9" w:rsidRDefault="001A63C6" w:rsidP="008B1245">
            <w:pPr>
              <w:pStyle w:val="ProductNames"/>
              <w:spacing w:beforeLines="20" w:before="48" w:afterLines="20" w:after="48"/>
              <w:rPr>
                <w:rFonts w:ascii="Tahoma" w:hAnsi="Tahoma" w:cs="Tahoma"/>
                <w:sz w:val="14"/>
              </w:rPr>
            </w:pPr>
            <w:bookmarkStart w:id="372" w:name="_Toc336338050"/>
            <w:bookmarkStart w:id="373" w:name="_Toc368310056"/>
            <w:r w:rsidRPr="00A75DF9">
              <w:rPr>
                <w:rFonts w:ascii="Tahoma" w:hAnsi="Tahoma" w:cs="Tahoma"/>
                <w:sz w:val="14"/>
              </w:rPr>
              <w:t>Licenza Per Processore per SQL Server</w:t>
            </w:r>
            <w:r w:rsidR="009D5D7B" w:rsidRPr="00A75DF9">
              <w:rPr>
                <w:rFonts w:ascii="Tahoma" w:eastAsia="Times New Roman" w:hAnsi="Tahoma" w:cs="Tahoma"/>
                <w:color w:val="000000"/>
                <w:sz w:val="18"/>
                <w:szCs w:val="18"/>
                <w:vertAlign w:val="superscript"/>
              </w:rPr>
              <w:t>®</w:t>
            </w:r>
            <w:r w:rsidRPr="00A75DF9">
              <w:rPr>
                <w:rFonts w:ascii="Tahoma" w:hAnsi="Tahoma" w:cs="Tahoma"/>
                <w:sz w:val="14"/>
              </w:rPr>
              <w:t xml:space="preserve"> 2008 R2 Web</w:t>
            </w:r>
            <w:bookmarkEnd w:id="372"/>
            <w:bookmarkEnd w:id="373"/>
          </w:p>
        </w:tc>
        <w:tc>
          <w:tcPr>
            <w:tcW w:w="448" w:type="dxa"/>
            <w:tcBorders>
              <w:bottom w:val="single" w:sz="4" w:space="0" w:color="auto"/>
            </w:tcBorders>
            <w:shd w:val="clear" w:color="auto" w:fill="auto"/>
            <w:vAlign w:val="center"/>
          </w:tcPr>
          <w:p w:rsidR="001A63C6" w:rsidRPr="00B41377" w:rsidRDefault="00B54770" w:rsidP="00FC0808">
            <w:pPr>
              <w:pStyle w:val="TableText"/>
              <w:widowControl w:val="0"/>
              <w:rPr>
                <w:rStyle w:val="EndnoteReference"/>
                <w:rFonts w:cs="Tahoma"/>
                <w:b w:val="0"/>
                <w:color w:val="000000"/>
                <w:sz w:val="13"/>
                <w:szCs w:val="13"/>
                <w:u w:val="single"/>
              </w:rPr>
            </w:pPr>
            <w:hyperlink w:anchor="_77_75_SQL" w:history="1">
              <w:r w:rsidR="00734B17" w:rsidRPr="00B41377">
                <w:rPr>
                  <w:rStyle w:val="Hyperlink"/>
                  <w:rFonts w:cs="Tahoma"/>
                  <w:b/>
                  <w:sz w:val="13"/>
                  <w:szCs w:val="13"/>
                </w:rPr>
                <w:t>82</w:t>
              </w:r>
            </w:hyperlink>
            <w:hyperlink w:anchor="Srv_84SQL2008R2Webproc" w:history="1"/>
          </w:p>
        </w:tc>
        <w:tc>
          <w:tcPr>
            <w:tcW w:w="449" w:type="dxa"/>
            <w:tcBorders>
              <w:bottom w:val="single" w:sz="4" w:space="0" w:color="auto"/>
            </w:tcBorders>
            <w:shd w:val="clear" w:color="auto" w:fill="auto"/>
          </w:tcPr>
          <w:p w:rsidR="001A63C6" w:rsidRPr="00A75DF9" w:rsidRDefault="001A63C6" w:rsidP="001A63C6">
            <w:pPr>
              <w:pStyle w:val="TableText"/>
              <w:widowControl w:val="0"/>
              <w:spacing w:before="80"/>
              <w:rPr>
                <w:rFonts w:ascii="Tahoma" w:hAnsi="Tahoma" w:cs="Tahoma"/>
                <w:sz w:val="13"/>
              </w:rPr>
            </w:pPr>
          </w:p>
        </w:tc>
        <w:tc>
          <w:tcPr>
            <w:tcW w:w="359"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5"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45"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374"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5"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A75DF9" w:rsidRDefault="001A63C6" w:rsidP="001A63C6">
            <w:pPr>
              <w:pStyle w:val="TableText"/>
              <w:widowControl w:val="0"/>
              <w:rPr>
                <w:rFonts w:ascii="Tahoma" w:hAnsi="Tahoma" w:cs="Tahoma"/>
                <w:sz w:val="13"/>
              </w:rPr>
            </w:pPr>
          </w:p>
        </w:tc>
        <w:tc>
          <w:tcPr>
            <w:tcW w:w="539"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r>
      <w:tr w:rsidR="00500991" w:rsidRPr="00A75DF9" w:rsidTr="008A1262">
        <w:trPr>
          <w:trHeight w:val="145"/>
        </w:trPr>
        <w:tc>
          <w:tcPr>
            <w:tcW w:w="2724" w:type="dxa"/>
            <w:gridSpan w:val="2"/>
            <w:tcBorders>
              <w:bottom w:val="single" w:sz="4" w:space="0" w:color="auto"/>
            </w:tcBorders>
            <w:shd w:val="clear" w:color="auto" w:fill="FABF8F"/>
            <w:vAlign w:val="center"/>
          </w:tcPr>
          <w:p w:rsidR="001A63C6" w:rsidRPr="00A75DF9" w:rsidRDefault="001A63C6" w:rsidP="008B1245">
            <w:pPr>
              <w:pStyle w:val="ProductNames"/>
              <w:spacing w:beforeLines="20" w:before="48" w:afterLines="20" w:after="48"/>
              <w:rPr>
                <w:rFonts w:ascii="Tahoma" w:hAnsi="Tahoma" w:cs="Tahoma"/>
                <w:sz w:val="14"/>
              </w:rPr>
            </w:pPr>
            <w:bookmarkStart w:id="374" w:name="_Toc336338051"/>
            <w:bookmarkStart w:id="375" w:name="_Toc368310057"/>
            <w:r w:rsidRPr="00A75DF9">
              <w:rPr>
                <w:rFonts w:ascii="Tahoma" w:hAnsi="Tahoma" w:cs="Tahoma"/>
                <w:sz w:val="14"/>
              </w:rPr>
              <w:t>Licenza CAL per SQL Server</w:t>
            </w:r>
            <w:r w:rsidR="009D5D7B" w:rsidRPr="00A75DF9">
              <w:rPr>
                <w:rFonts w:ascii="Tahoma" w:eastAsia="Times New Roman" w:hAnsi="Tahoma" w:cs="Tahoma"/>
                <w:color w:val="000000"/>
                <w:sz w:val="18"/>
                <w:szCs w:val="18"/>
                <w:vertAlign w:val="superscript"/>
              </w:rPr>
              <w:t>®</w:t>
            </w:r>
            <w:r w:rsidRPr="00A75DF9">
              <w:rPr>
                <w:rFonts w:ascii="Tahoma" w:hAnsi="Tahoma" w:cs="Tahoma"/>
                <w:sz w:val="14"/>
              </w:rPr>
              <w:t xml:space="preserve"> 2008 R2 Workgroup</w:t>
            </w:r>
            <w:bookmarkEnd w:id="374"/>
            <w:bookmarkEnd w:id="375"/>
          </w:p>
        </w:tc>
        <w:tc>
          <w:tcPr>
            <w:tcW w:w="448" w:type="dxa"/>
            <w:tcBorders>
              <w:bottom w:val="single" w:sz="4" w:space="0" w:color="auto"/>
            </w:tcBorders>
            <w:shd w:val="clear" w:color="auto" w:fill="FABF8F"/>
            <w:vAlign w:val="center"/>
          </w:tcPr>
          <w:p w:rsidR="001A63C6" w:rsidRPr="00B41377" w:rsidRDefault="001A63C6" w:rsidP="001A63C6">
            <w:pPr>
              <w:pStyle w:val="TableText"/>
              <w:widowControl w:val="0"/>
              <w:rPr>
                <w:rStyle w:val="EndnoteReference"/>
                <w:rFonts w:cs="Tahoma"/>
                <w:color w:val="000000"/>
                <w:sz w:val="13"/>
                <w:szCs w:val="13"/>
                <w:u w:val="single"/>
              </w:rPr>
            </w:pPr>
          </w:p>
        </w:tc>
        <w:tc>
          <w:tcPr>
            <w:tcW w:w="449" w:type="dxa"/>
            <w:tcBorders>
              <w:bottom w:val="single" w:sz="4" w:space="0" w:color="auto"/>
            </w:tcBorders>
            <w:shd w:val="clear" w:color="auto" w:fill="FABF8F"/>
          </w:tcPr>
          <w:p w:rsidR="001A63C6" w:rsidRPr="00A75DF9" w:rsidRDefault="001A63C6" w:rsidP="001A63C6">
            <w:pPr>
              <w:pStyle w:val="TableText"/>
              <w:widowControl w:val="0"/>
              <w:spacing w:before="80"/>
              <w:rPr>
                <w:rFonts w:ascii="Tahoma" w:hAnsi="Tahoma" w:cs="Tahoma"/>
                <w:sz w:val="13"/>
              </w:rPr>
            </w:pPr>
          </w:p>
        </w:tc>
        <w:tc>
          <w:tcPr>
            <w:tcW w:w="359"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374"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5"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A75DF9" w:rsidRDefault="001A63C6" w:rsidP="001A63C6">
            <w:pPr>
              <w:pStyle w:val="TableText"/>
              <w:widowControl w:val="0"/>
              <w:rPr>
                <w:rFonts w:ascii="Tahoma" w:hAnsi="Tahoma" w:cs="Tahoma"/>
                <w:sz w:val="13"/>
              </w:rPr>
            </w:pPr>
          </w:p>
        </w:tc>
        <w:tc>
          <w:tcPr>
            <w:tcW w:w="539"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r>
      <w:tr w:rsidR="00500991" w:rsidRPr="00A75DF9" w:rsidTr="008A1262">
        <w:trPr>
          <w:trHeight w:val="145"/>
        </w:trPr>
        <w:tc>
          <w:tcPr>
            <w:tcW w:w="2724" w:type="dxa"/>
            <w:gridSpan w:val="2"/>
            <w:tcBorders>
              <w:bottom w:val="single" w:sz="4" w:space="0" w:color="auto"/>
            </w:tcBorders>
            <w:shd w:val="clear" w:color="auto" w:fill="auto"/>
            <w:vAlign w:val="center"/>
          </w:tcPr>
          <w:p w:rsidR="001A63C6" w:rsidRPr="00A75DF9" w:rsidRDefault="001A63C6" w:rsidP="008B1245">
            <w:pPr>
              <w:pStyle w:val="ProductNames"/>
              <w:spacing w:beforeLines="20" w:before="48" w:afterLines="20" w:after="48"/>
              <w:rPr>
                <w:rFonts w:ascii="Tahoma" w:hAnsi="Tahoma" w:cs="Tahoma"/>
                <w:sz w:val="14"/>
              </w:rPr>
            </w:pPr>
            <w:bookmarkStart w:id="376" w:name="_Toc336338053"/>
            <w:bookmarkStart w:id="377" w:name="_Toc368310058"/>
            <w:r w:rsidRPr="00A75DF9">
              <w:rPr>
                <w:rFonts w:ascii="Tahoma" w:hAnsi="Tahoma" w:cs="Tahoma"/>
                <w:sz w:val="14"/>
                <w:szCs w:val="18"/>
              </w:rPr>
              <w:t>SQL Server</w:t>
            </w:r>
            <w:r w:rsidR="009D5D7B" w:rsidRPr="00A75DF9">
              <w:rPr>
                <w:rFonts w:ascii="Tahoma" w:eastAsia="Times New Roman" w:hAnsi="Tahoma" w:cs="Tahoma"/>
                <w:color w:val="000000"/>
                <w:sz w:val="14"/>
                <w:szCs w:val="18"/>
                <w:vertAlign w:val="superscript"/>
              </w:rPr>
              <w:t>®</w:t>
            </w:r>
            <w:r w:rsidRPr="00A75DF9">
              <w:rPr>
                <w:rFonts w:ascii="Tahoma" w:hAnsi="Tahoma" w:cs="Tahoma"/>
                <w:sz w:val="14"/>
                <w:szCs w:val="18"/>
              </w:rPr>
              <w:t xml:space="preserve"> 2008 R2 Workgroup </w:t>
            </w:r>
            <w:r w:rsidR="00B41377">
              <w:rPr>
                <w:rFonts w:ascii="Tahoma" w:hAnsi="Tahoma" w:cs="Tahoma"/>
                <w:sz w:val="14"/>
                <w:szCs w:val="18"/>
              </w:rPr>
              <w:br/>
            </w:r>
            <w:r w:rsidRPr="00A75DF9">
              <w:rPr>
                <w:rFonts w:ascii="Tahoma" w:hAnsi="Tahoma" w:cs="Tahoma"/>
                <w:sz w:val="14"/>
                <w:szCs w:val="18"/>
              </w:rPr>
              <w:t>(5 Add On Client)</w:t>
            </w:r>
            <w:bookmarkEnd w:id="376"/>
            <w:bookmarkEnd w:id="377"/>
          </w:p>
        </w:tc>
        <w:tc>
          <w:tcPr>
            <w:tcW w:w="448" w:type="dxa"/>
            <w:tcBorders>
              <w:bottom w:val="single" w:sz="4" w:space="0" w:color="auto"/>
            </w:tcBorders>
            <w:shd w:val="clear" w:color="auto" w:fill="auto"/>
            <w:vAlign w:val="center"/>
          </w:tcPr>
          <w:p w:rsidR="001A63C6" w:rsidRPr="00B41377" w:rsidRDefault="00B54770" w:rsidP="00FC0808">
            <w:pPr>
              <w:pStyle w:val="TableText"/>
              <w:widowControl w:val="0"/>
              <w:rPr>
                <w:rStyle w:val="EndnoteReference"/>
                <w:rFonts w:cs="Tahoma"/>
                <w:b w:val="0"/>
                <w:color w:val="000000"/>
                <w:sz w:val="13"/>
                <w:szCs w:val="13"/>
                <w:u w:val="single"/>
              </w:rPr>
            </w:pPr>
            <w:hyperlink w:anchor="_85_84_SQL" w:history="1">
              <w:r w:rsidR="00734B17" w:rsidRPr="00B41377">
                <w:rPr>
                  <w:rStyle w:val="Hyperlink"/>
                  <w:rFonts w:cs="Tahoma"/>
                  <w:b/>
                  <w:sz w:val="13"/>
                  <w:szCs w:val="13"/>
                </w:rPr>
                <w:t>83</w:t>
              </w:r>
            </w:hyperlink>
          </w:p>
        </w:tc>
        <w:tc>
          <w:tcPr>
            <w:tcW w:w="449" w:type="dxa"/>
            <w:tcBorders>
              <w:bottom w:val="single" w:sz="4" w:space="0" w:color="auto"/>
            </w:tcBorders>
            <w:shd w:val="clear" w:color="auto" w:fill="auto"/>
          </w:tcPr>
          <w:p w:rsidR="001A63C6" w:rsidRPr="00A75DF9" w:rsidRDefault="001A63C6" w:rsidP="001A63C6">
            <w:pPr>
              <w:pStyle w:val="TableText"/>
              <w:widowControl w:val="0"/>
              <w:spacing w:before="120"/>
              <w:rPr>
                <w:rFonts w:ascii="Tahoma" w:hAnsi="Tahoma" w:cs="Tahoma"/>
                <w:sz w:val="13"/>
              </w:rPr>
            </w:pPr>
          </w:p>
        </w:tc>
        <w:tc>
          <w:tcPr>
            <w:tcW w:w="359"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5"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45"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374"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5"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A75DF9" w:rsidRDefault="001A63C6" w:rsidP="001A63C6">
            <w:pPr>
              <w:pStyle w:val="TableText"/>
              <w:widowControl w:val="0"/>
              <w:rPr>
                <w:rFonts w:ascii="Tahoma" w:hAnsi="Tahoma" w:cs="Tahoma"/>
                <w:sz w:val="13"/>
              </w:rPr>
            </w:pPr>
          </w:p>
        </w:tc>
        <w:tc>
          <w:tcPr>
            <w:tcW w:w="539"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r>
      <w:tr w:rsidR="00500991" w:rsidRPr="00A75DF9" w:rsidTr="008A1262">
        <w:trPr>
          <w:trHeight w:val="145"/>
        </w:trPr>
        <w:tc>
          <w:tcPr>
            <w:tcW w:w="2724" w:type="dxa"/>
            <w:gridSpan w:val="2"/>
            <w:tcBorders>
              <w:bottom w:val="single" w:sz="4" w:space="0" w:color="auto"/>
            </w:tcBorders>
            <w:shd w:val="clear" w:color="auto" w:fill="FABF8F"/>
            <w:vAlign w:val="center"/>
          </w:tcPr>
          <w:p w:rsidR="001A63C6" w:rsidRPr="00A75DF9" w:rsidRDefault="001A63C6" w:rsidP="008B1245">
            <w:pPr>
              <w:pStyle w:val="ProductNames"/>
              <w:spacing w:beforeLines="20" w:before="48" w:afterLines="20" w:after="48"/>
              <w:rPr>
                <w:rFonts w:ascii="Tahoma" w:hAnsi="Tahoma" w:cs="Tahoma"/>
                <w:sz w:val="14"/>
                <w:szCs w:val="18"/>
              </w:rPr>
            </w:pPr>
            <w:bookmarkStart w:id="378" w:name="_Toc336338052"/>
            <w:bookmarkStart w:id="379" w:name="_Toc368310059"/>
            <w:r w:rsidRPr="00A75DF9">
              <w:rPr>
                <w:rFonts w:ascii="Tahoma" w:hAnsi="Tahoma" w:cs="Tahoma"/>
                <w:sz w:val="14"/>
              </w:rPr>
              <w:t>1 Licenza per Processore per SQL Server</w:t>
            </w:r>
            <w:r w:rsidR="009D5D7B" w:rsidRPr="00A75DF9">
              <w:rPr>
                <w:rFonts w:ascii="Tahoma" w:eastAsia="Times New Roman" w:hAnsi="Tahoma" w:cs="Tahoma"/>
                <w:color w:val="000000"/>
                <w:sz w:val="18"/>
                <w:szCs w:val="18"/>
                <w:vertAlign w:val="superscript"/>
              </w:rPr>
              <w:t>®</w:t>
            </w:r>
            <w:r w:rsidRPr="00A75DF9">
              <w:rPr>
                <w:rFonts w:ascii="Tahoma" w:hAnsi="Tahoma" w:cs="Tahoma"/>
                <w:sz w:val="14"/>
              </w:rPr>
              <w:t xml:space="preserve"> 2008 R2 Workgroup</w:t>
            </w:r>
            <w:bookmarkEnd w:id="378"/>
            <w:bookmarkEnd w:id="379"/>
          </w:p>
        </w:tc>
        <w:tc>
          <w:tcPr>
            <w:tcW w:w="448" w:type="dxa"/>
            <w:tcBorders>
              <w:bottom w:val="single" w:sz="4" w:space="0" w:color="auto"/>
            </w:tcBorders>
            <w:shd w:val="clear" w:color="auto" w:fill="FABF8F"/>
            <w:vAlign w:val="center"/>
          </w:tcPr>
          <w:p w:rsidR="001A63C6" w:rsidRPr="00B41377" w:rsidRDefault="00B54770" w:rsidP="00FC0808">
            <w:pPr>
              <w:pStyle w:val="TableText"/>
              <w:widowControl w:val="0"/>
              <w:rPr>
                <w:rStyle w:val="EndnoteReference"/>
                <w:rFonts w:cs="Tahoma"/>
                <w:b w:val="0"/>
                <w:color w:val="000000"/>
                <w:sz w:val="13"/>
                <w:szCs w:val="13"/>
              </w:rPr>
            </w:pPr>
            <w:hyperlink w:anchor="_84_SQL_Server®" w:history="1">
              <w:r w:rsidR="00734B17" w:rsidRPr="00B41377">
                <w:rPr>
                  <w:rStyle w:val="Hyperlink"/>
                  <w:rFonts w:cs="Tahoma"/>
                  <w:b/>
                  <w:sz w:val="13"/>
                  <w:szCs w:val="13"/>
                </w:rPr>
                <w:t>84</w:t>
              </w:r>
            </w:hyperlink>
          </w:p>
        </w:tc>
        <w:tc>
          <w:tcPr>
            <w:tcW w:w="449" w:type="dxa"/>
            <w:tcBorders>
              <w:bottom w:val="single" w:sz="4" w:space="0" w:color="auto"/>
            </w:tcBorders>
            <w:shd w:val="clear" w:color="auto" w:fill="FABF8F"/>
          </w:tcPr>
          <w:p w:rsidR="001A63C6" w:rsidRPr="00A75DF9" w:rsidRDefault="001A63C6" w:rsidP="001A63C6">
            <w:pPr>
              <w:pStyle w:val="TableText"/>
              <w:widowControl w:val="0"/>
              <w:spacing w:before="120"/>
              <w:rPr>
                <w:rFonts w:ascii="Tahoma" w:hAnsi="Tahoma" w:cs="Tahoma"/>
                <w:sz w:val="13"/>
              </w:rPr>
            </w:pPr>
          </w:p>
        </w:tc>
        <w:tc>
          <w:tcPr>
            <w:tcW w:w="359"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374"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5"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A75DF9" w:rsidRDefault="001A63C6" w:rsidP="001A63C6">
            <w:pPr>
              <w:pStyle w:val="TableText"/>
              <w:widowControl w:val="0"/>
              <w:rPr>
                <w:rFonts w:ascii="Tahoma" w:hAnsi="Tahoma" w:cs="Tahoma"/>
                <w:sz w:val="13"/>
              </w:rPr>
            </w:pPr>
          </w:p>
        </w:tc>
        <w:tc>
          <w:tcPr>
            <w:tcW w:w="539"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r>
      <w:tr w:rsidR="00500991" w:rsidRPr="00A75DF9" w:rsidTr="008A1262">
        <w:trPr>
          <w:trHeight w:val="145"/>
        </w:trPr>
        <w:tc>
          <w:tcPr>
            <w:tcW w:w="2724" w:type="dxa"/>
            <w:gridSpan w:val="2"/>
            <w:tcBorders>
              <w:bottom w:val="single" w:sz="4" w:space="0" w:color="auto"/>
            </w:tcBorders>
            <w:shd w:val="clear" w:color="auto" w:fill="auto"/>
            <w:vAlign w:val="center"/>
          </w:tcPr>
          <w:p w:rsidR="001A63C6" w:rsidRPr="00A75DF9" w:rsidRDefault="001A63C6" w:rsidP="008B1245">
            <w:pPr>
              <w:pStyle w:val="ProductNames"/>
              <w:spacing w:beforeLines="20" w:before="48" w:afterLines="20" w:after="48"/>
              <w:rPr>
                <w:rFonts w:ascii="Tahoma" w:hAnsi="Tahoma" w:cs="Tahoma"/>
                <w:sz w:val="14"/>
              </w:rPr>
            </w:pPr>
            <w:bookmarkStart w:id="380" w:name="_Toc336338054"/>
            <w:bookmarkStart w:id="381" w:name="_Toc368310060"/>
            <w:r w:rsidRPr="00A75DF9">
              <w:rPr>
                <w:rFonts w:ascii="Tahoma" w:hAnsi="Tahoma" w:cs="Tahoma"/>
                <w:sz w:val="14"/>
              </w:rPr>
              <w:t>SQL Server</w:t>
            </w:r>
            <w:r w:rsidR="009D5D7B" w:rsidRPr="00A75DF9">
              <w:rPr>
                <w:rFonts w:ascii="Tahoma" w:eastAsia="Times New Roman" w:hAnsi="Tahoma" w:cs="Tahoma"/>
                <w:color w:val="000000"/>
                <w:sz w:val="18"/>
                <w:szCs w:val="18"/>
                <w:vertAlign w:val="superscript"/>
              </w:rPr>
              <w:t>®</w:t>
            </w:r>
            <w:r w:rsidRPr="00A75DF9">
              <w:rPr>
                <w:rFonts w:ascii="Tahoma" w:hAnsi="Tahoma" w:cs="Tahoma"/>
                <w:sz w:val="14"/>
              </w:rPr>
              <w:t xml:space="preserve"> 2012 Business Intelligence</w:t>
            </w:r>
            <w:bookmarkEnd w:id="380"/>
            <w:bookmarkEnd w:id="381"/>
          </w:p>
        </w:tc>
        <w:tc>
          <w:tcPr>
            <w:tcW w:w="448" w:type="dxa"/>
            <w:tcBorders>
              <w:bottom w:val="single" w:sz="4" w:space="0" w:color="auto"/>
            </w:tcBorders>
            <w:shd w:val="clear" w:color="auto" w:fill="auto"/>
            <w:vAlign w:val="center"/>
          </w:tcPr>
          <w:p w:rsidR="001A63C6" w:rsidRPr="00B41377" w:rsidRDefault="001A63C6" w:rsidP="001A63C6">
            <w:pPr>
              <w:pStyle w:val="TableText"/>
              <w:widowControl w:val="0"/>
              <w:rPr>
                <w:rStyle w:val="EndnoteReference"/>
                <w:rFonts w:cs="Tahoma"/>
                <w:color w:val="000000"/>
                <w:sz w:val="13"/>
                <w:szCs w:val="13"/>
                <w:u w:val="single"/>
              </w:rPr>
            </w:pPr>
          </w:p>
        </w:tc>
        <w:tc>
          <w:tcPr>
            <w:tcW w:w="449" w:type="dxa"/>
            <w:tcBorders>
              <w:bottom w:val="single" w:sz="4" w:space="0" w:color="auto"/>
            </w:tcBorders>
            <w:shd w:val="clear" w:color="auto" w:fill="auto"/>
          </w:tcPr>
          <w:p w:rsidR="001A63C6" w:rsidRPr="00A75DF9" w:rsidRDefault="001A63C6" w:rsidP="001A63C6">
            <w:pPr>
              <w:pStyle w:val="TableText"/>
              <w:widowControl w:val="0"/>
              <w:spacing w:before="80"/>
              <w:rPr>
                <w:rFonts w:ascii="Tahoma" w:hAnsi="Tahoma" w:cs="Tahoma"/>
                <w:sz w:val="13"/>
              </w:rPr>
            </w:pPr>
            <w:r w:rsidRPr="00A75DF9">
              <w:rPr>
                <w:rFonts w:ascii="Tahoma" w:hAnsi="Tahoma" w:cs="Tahoma"/>
                <w:sz w:val="13"/>
              </w:rPr>
              <w:t>04/12</w:t>
            </w:r>
          </w:p>
        </w:tc>
        <w:tc>
          <w:tcPr>
            <w:tcW w:w="359"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auto"/>
            <w:vAlign w:val="bottom"/>
          </w:tcPr>
          <w:p w:rsidR="001A63C6" w:rsidRPr="00A75DF9" w:rsidRDefault="001A63C6" w:rsidP="001A63C6">
            <w:pPr>
              <w:pStyle w:val="TableText"/>
              <w:widowControl w:val="0"/>
              <w:rPr>
                <w:rFonts w:ascii="Tahoma" w:hAnsi="Tahoma" w:cs="Tahoma"/>
                <w:sz w:val="13"/>
                <w:szCs w:val="13"/>
              </w:rPr>
            </w:pPr>
            <w:r w:rsidRPr="00A75DF9">
              <w:rPr>
                <w:rFonts w:ascii="Tahoma" w:hAnsi="Tahoma" w:cs="Tahoma"/>
                <w:sz w:val="13"/>
                <w:szCs w:val="13"/>
                <w:u w:val="single"/>
              </w:rPr>
              <w:t>75</w:t>
            </w:r>
          </w:p>
        </w:tc>
        <w:tc>
          <w:tcPr>
            <w:tcW w:w="450" w:type="dxa"/>
            <w:tcBorders>
              <w:bottom w:val="single" w:sz="4" w:space="0" w:color="auto"/>
            </w:tcBorders>
            <w:shd w:val="clear" w:color="auto" w:fill="auto"/>
            <w:vAlign w:val="bottom"/>
          </w:tcPr>
          <w:p w:rsidR="001A63C6" w:rsidRPr="00A75DF9" w:rsidRDefault="001A63C6" w:rsidP="001A63C6">
            <w:pPr>
              <w:pStyle w:val="TableText"/>
              <w:widowControl w:val="0"/>
              <w:rPr>
                <w:rFonts w:ascii="Tahoma" w:hAnsi="Tahoma" w:cs="Tahoma"/>
                <w:sz w:val="13"/>
                <w:szCs w:val="13"/>
              </w:rPr>
            </w:pPr>
            <w:r w:rsidRPr="00A75DF9">
              <w:rPr>
                <w:rFonts w:ascii="Tahoma" w:hAnsi="Tahoma" w:cs="Tahoma"/>
                <w:sz w:val="13"/>
                <w:szCs w:val="13"/>
              </w:rPr>
              <w:t>188</w:t>
            </w:r>
          </w:p>
        </w:tc>
        <w:tc>
          <w:tcPr>
            <w:tcW w:w="455" w:type="dxa"/>
            <w:tcBorders>
              <w:bottom w:val="single" w:sz="4" w:space="0" w:color="auto"/>
            </w:tcBorders>
            <w:shd w:val="clear" w:color="auto" w:fill="auto"/>
            <w:vAlign w:val="bottom"/>
          </w:tcPr>
          <w:p w:rsidR="001A63C6" w:rsidRPr="00A75DF9" w:rsidRDefault="001A63C6" w:rsidP="001A63C6">
            <w:pPr>
              <w:pStyle w:val="TableText"/>
              <w:widowControl w:val="0"/>
              <w:rPr>
                <w:rFonts w:ascii="Tahoma" w:hAnsi="Tahoma" w:cs="Tahoma"/>
                <w:sz w:val="13"/>
                <w:szCs w:val="13"/>
              </w:rPr>
            </w:pPr>
            <w:r w:rsidRPr="00A75DF9">
              <w:rPr>
                <w:rFonts w:ascii="Tahoma" w:hAnsi="Tahoma" w:cs="Tahoma"/>
                <w:sz w:val="13"/>
                <w:szCs w:val="13"/>
              </w:rPr>
              <w:t>150</w:t>
            </w:r>
          </w:p>
        </w:tc>
        <w:tc>
          <w:tcPr>
            <w:tcW w:w="450" w:type="dxa"/>
            <w:gridSpan w:val="3"/>
            <w:tcBorders>
              <w:bottom w:val="single" w:sz="4" w:space="0" w:color="auto"/>
            </w:tcBorders>
            <w:shd w:val="clear" w:color="auto" w:fill="auto"/>
            <w:vAlign w:val="bottom"/>
          </w:tcPr>
          <w:p w:rsidR="001A63C6" w:rsidRPr="00A75DF9" w:rsidRDefault="001A63C6" w:rsidP="001A63C6">
            <w:pPr>
              <w:pStyle w:val="TableText"/>
              <w:widowControl w:val="0"/>
              <w:rPr>
                <w:rFonts w:ascii="Tahoma" w:hAnsi="Tahoma" w:cs="Tahoma"/>
                <w:sz w:val="13"/>
                <w:szCs w:val="13"/>
              </w:rPr>
            </w:pPr>
            <w:r w:rsidRPr="00A75DF9">
              <w:rPr>
                <w:rFonts w:ascii="Tahoma" w:hAnsi="Tahoma" w:cs="Tahoma"/>
                <w:sz w:val="13"/>
                <w:szCs w:val="13"/>
              </w:rPr>
              <w:t>113</w:t>
            </w:r>
          </w:p>
        </w:tc>
        <w:tc>
          <w:tcPr>
            <w:tcW w:w="445" w:type="dxa"/>
            <w:tcBorders>
              <w:bottom w:val="single" w:sz="4" w:space="0" w:color="auto"/>
            </w:tcBorders>
            <w:shd w:val="clear" w:color="auto" w:fill="auto"/>
            <w:vAlign w:val="bottom"/>
          </w:tcPr>
          <w:p w:rsidR="001A63C6" w:rsidRPr="00A75DF9" w:rsidRDefault="001A63C6" w:rsidP="001A63C6">
            <w:pPr>
              <w:pStyle w:val="TableText"/>
              <w:widowControl w:val="0"/>
              <w:rPr>
                <w:rFonts w:ascii="Tahoma" w:hAnsi="Tahoma" w:cs="Tahoma"/>
                <w:sz w:val="13"/>
                <w:szCs w:val="13"/>
              </w:rPr>
            </w:pPr>
            <w:r w:rsidRPr="00A75DF9">
              <w:rPr>
                <w:rFonts w:ascii="Tahoma" w:hAnsi="Tahoma" w:cs="Tahoma"/>
                <w:sz w:val="13"/>
                <w:szCs w:val="13"/>
              </w:rPr>
              <w:t>113</w:t>
            </w:r>
          </w:p>
        </w:tc>
        <w:tc>
          <w:tcPr>
            <w:tcW w:w="450" w:type="dxa"/>
            <w:tcBorders>
              <w:bottom w:val="single" w:sz="4" w:space="0" w:color="auto"/>
            </w:tcBorders>
            <w:shd w:val="clear" w:color="auto" w:fill="auto"/>
            <w:vAlign w:val="bottom"/>
          </w:tcPr>
          <w:p w:rsidR="001A63C6" w:rsidRPr="00A75DF9" w:rsidRDefault="001A63C6" w:rsidP="001A63C6">
            <w:pPr>
              <w:pStyle w:val="TableText"/>
              <w:widowControl w:val="0"/>
              <w:rPr>
                <w:rFonts w:ascii="Tahoma" w:hAnsi="Tahoma" w:cs="Tahoma"/>
                <w:sz w:val="13"/>
                <w:szCs w:val="13"/>
              </w:rPr>
            </w:pPr>
            <w:r w:rsidRPr="00A75DF9">
              <w:rPr>
                <w:rFonts w:ascii="Tahoma" w:hAnsi="Tahoma" w:cs="Tahoma"/>
                <w:sz w:val="13"/>
                <w:szCs w:val="13"/>
              </w:rPr>
              <w:t>75</w:t>
            </w:r>
          </w:p>
        </w:tc>
        <w:tc>
          <w:tcPr>
            <w:tcW w:w="374" w:type="dxa"/>
            <w:tcBorders>
              <w:bottom w:val="single" w:sz="4" w:space="0" w:color="auto"/>
              <w:right w:val="single" w:sz="18" w:space="0" w:color="auto"/>
            </w:tcBorders>
            <w:shd w:val="clear" w:color="auto" w:fill="auto"/>
            <w:vAlign w:val="bottom"/>
          </w:tcPr>
          <w:p w:rsidR="001A63C6" w:rsidRPr="00A75DF9" w:rsidRDefault="001A63C6" w:rsidP="001A63C6">
            <w:pPr>
              <w:pStyle w:val="TableText"/>
              <w:widowControl w:val="0"/>
              <w:rPr>
                <w:rFonts w:ascii="Tahoma" w:hAnsi="Tahoma" w:cs="Tahoma"/>
                <w:sz w:val="13"/>
                <w:szCs w:val="13"/>
              </w:rPr>
            </w:pPr>
            <w:r w:rsidRPr="00A75DF9">
              <w:rPr>
                <w:rFonts w:ascii="Tahoma" w:hAnsi="Tahoma" w:cs="Tahoma"/>
                <w:sz w:val="13"/>
                <w:szCs w:val="13"/>
              </w:rPr>
              <w:t>38</w:t>
            </w:r>
          </w:p>
        </w:tc>
        <w:tc>
          <w:tcPr>
            <w:tcW w:w="455" w:type="dxa"/>
            <w:tcBorders>
              <w:left w:val="single" w:sz="18" w:space="0" w:color="auto"/>
              <w:bottom w:val="single" w:sz="4" w:space="0" w:color="auto"/>
            </w:tcBorders>
            <w:shd w:val="clear" w:color="auto" w:fill="auto"/>
            <w:vAlign w:val="bottom"/>
          </w:tcPr>
          <w:p w:rsidR="001A63C6" w:rsidRPr="00A75DF9" w:rsidRDefault="001A63C6" w:rsidP="001A63C6">
            <w:pPr>
              <w:pStyle w:val="TableText"/>
              <w:widowControl w:val="0"/>
              <w:rPr>
                <w:rFonts w:ascii="Tahoma" w:hAnsi="Tahoma" w:cs="Tahoma"/>
                <w:sz w:val="13"/>
                <w:szCs w:val="13"/>
              </w:rPr>
            </w:pPr>
            <w:r w:rsidRPr="00A75DF9">
              <w:rPr>
                <w:rFonts w:ascii="Tahoma" w:hAnsi="Tahoma" w:cs="Tahoma"/>
                <w:sz w:val="13"/>
                <w:szCs w:val="13"/>
              </w:rPr>
              <w:t>75</w:t>
            </w:r>
          </w:p>
        </w:tc>
        <w:tc>
          <w:tcPr>
            <w:tcW w:w="450" w:type="dxa"/>
            <w:tcBorders>
              <w:bottom w:val="single" w:sz="4" w:space="0" w:color="auto"/>
            </w:tcBorders>
            <w:shd w:val="clear" w:color="auto" w:fill="auto"/>
            <w:vAlign w:val="bottom"/>
          </w:tcPr>
          <w:p w:rsidR="001A63C6" w:rsidRPr="00A75DF9" w:rsidRDefault="001A63C6" w:rsidP="001A63C6">
            <w:pPr>
              <w:pStyle w:val="TableText"/>
              <w:widowControl w:val="0"/>
              <w:rPr>
                <w:rFonts w:ascii="Tahoma" w:hAnsi="Tahoma" w:cs="Tahoma"/>
                <w:sz w:val="13"/>
                <w:szCs w:val="13"/>
              </w:rPr>
            </w:pPr>
            <w:r w:rsidRPr="00A75DF9">
              <w:rPr>
                <w:rFonts w:ascii="Tahoma" w:hAnsi="Tahoma" w:cs="Tahoma"/>
                <w:sz w:val="13"/>
                <w:szCs w:val="13"/>
              </w:rPr>
              <w:t>150</w:t>
            </w:r>
          </w:p>
        </w:tc>
        <w:tc>
          <w:tcPr>
            <w:tcW w:w="450" w:type="dxa"/>
            <w:tcBorders>
              <w:bottom w:val="single" w:sz="4" w:space="0" w:color="auto"/>
              <w:right w:val="single" w:sz="18" w:space="0" w:color="auto"/>
            </w:tcBorders>
            <w:shd w:val="clear" w:color="auto" w:fill="auto"/>
            <w:vAlign w:val="bottom"/>
          </w:tcPr>
          <w:p w:rsidR="001A63C6" w:rsidRPr="00A75DF9" w:rsidRDefault="001A63C6" w:rsidP="001A63C6">
            <w:pPr>
              <w:pStyle w:val="TableText"/>
              <w:widowControl w:val="0"/>
              <w:rPr>
                <w:rFonts w:ascii="Tahoma" w:hAnsi="Tahoma" w:cs="Tahoma"/>
                <w:sz w:val="13"/>
                <w:szCs w:val="13"/>
              </w:rPr>
            </w:pPr>
            <w:r w:rsidRPr="00A75DF9">
              <w:rPr>
                <w:rFonts w:ascii="Tahoma" w:hAnsi="Tahoma" w:cs="Tahoma"/>
                <w:sz w:val="13"/>
                <w:szCs w:val="13"/>
              </w:rPr>
              <w:t>75</w:t>
            </w:r>
          </w:p>
        </w:tc>
        <w:tc>
          <w:tcPr>
            <w:tcW w:w="450" w:type="dxa"/>
            <w:tcBorders>
              <w:left w:val="single" w:sz="18" w:space="0" w:color="auto"/>
              <w:bottom w:val="single" w:sz="4" w:space="0" w:color="auto"/>
            </w:tcBorders>
            <w:shd w:val="clear" w:color="auto" w:fill="auto"/>
            <w:vAlign w:val="bottom"/>
          </w:tcPr>
          <w:p w:rsidR="001A63C6" w:rsidRPr="00A75DF9" w:rsidRDefault="001A63C6" w:rsidP="001A63C6">
            <w:pPr>
              <w:pStyle w:val="TableText"/>
              <w:widowControl w:val="0"/>
              <w:rPr>
                <w:rFonts w:ascii="Tahoma" w:hAnsi="Tahoma" w:cs="Tahoma"/>
                <w:sz w:val="13"/>
                <w:szCs w:val="13"/>
              </w:rPr>
            </w:pPr>
            <w:r w:rsidRPr="00A75DF9">
              <w:rPr>
                <w:rFonts w:ascii="Tahoma" w:hAnsi="Tahoma" w:cs="Tahoma"/>
                <w:sz w:val="13"/>
                <w:szCs w:val="13"/>
              </w:rPr>
              <w:t>75</w:t>
            </w: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szCs w:val="13"/>
              </w:rPr>
            </w:pPr>
            <w:r w:rsidRPr="00A75DF9">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P</w:t>
            </w:r>
          </w:p>
        </w:tc>
        <w:tc>
          <w:tcPr>
            <w:tcW w:w="450" w:type="dxa"/>
            <w:tcBorders>
              <w:bottom w:val="single" w:sz="4" w:space="0" w:color="auto"/>
            </w:tcBorders>
            <w:shd w:val="clear" w:color="auto" w:fill="auto"/>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A</w:t>
            </w:r>
          </w:p>
        </w:tc>
        <w:tc>
          <w:tcPr>
            <w:tcW w:w="539"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r>
      <w:tr w:rsidR="00500991" w:rsidRPr="00A75DF9" w:rsidTr="008A1262">
        <w:trPr>
          <w:trHeight w:val="145"/>
        </w:trPr>
        <w:tc>
          <w:tcPr>
            <w:tcW w:w="2724" w:type="dxa"/>
            <w:gridSpan w:val="2"/>
            <w:tcBorders>
              <w:bottom w:val="single" w:sz="4" w:space="0" w:color="auto"/>
            </w:tcBorders>
            <w:shd w:val="clear" w:color="auto" w:fill="FABF8F"/>
            <w:vAlign w:val="center"/>
          </w:tcPr>
          <w:p w:rsidR="001A63C6" w:rsidRPr="00A75DF9" w:rsidRDefault="001A63C6" w:rsidP="008B1245">
            <w:pPr>
              <w:pStyle w:val="ProductNames"/>
              <w:spacing w:beforeLines="20" w:before="48" w:afterLines="20" w:after="48"/>
              <w:rPr>
                <w:rFonts w:ascii="Tahoma" w:hAnsi="Tahoma" w:cs="Tahoma"/>
                <w:sz w:val="14"/>
              </w:rPr>
            </w:pPr>
            <w:bookmarkStart w:id="382" w:name="_Toc336338055"/>
            <w:bookmarkStart w:id="383" w:name="_Toc368310061"/>
            <w:r w:rsidRPr="00A75DF9">
              <w:rPr>
                <w:rFonts w:ascii="Tahoma" w:hAnsi="Tahoma" w:cs="Tahoma"/>
                <w:sz w:val="14"/>
              </w:rPr>
              <w:t>CAL per SQL Server</w:t>
            </w:r>
            <w:r w:rsidR="009D5D7B" w:rsidRPr="00A75DF9">
              <w:rPr>
                <w:rFonts w:ascii="Tahoma" w:eastAsia="Times New Roman" w:hAnsi="Tahoma" w:cs="Tahoma"/>
                <w:color w:val="000000"/>
                <w:sz w:val="18"/>
                <w:szCs w:val="18"/>
                <w:vertAlign w:val="superscript"/>
              </w:rPr>
              <w:t>®</w:t>
            </w:r>
            <w:r w:rsidRPr="00A75DF9">
              <w:rPr>
                <w:rFonts w:ascii="Tahoma" w:hAnsi="Tahoma" w:cs="Tahoma"/>
                <w:sz w:val="14"/>
              </w:rPr>
              <w:t xml:space="preserve"> 2012 (SL per Dispositivo e Utente)</w:t>
            </w:r>
            <w:bookmarkEnd w:id="382"/>
            <w:bookmarkEnd w:id="383"/>
          </w:p>
        </w:tc>
        <w:tc>
          <w:tcPr>
            <w:tcW w:w="448" w:type="dxa"/>
            <w:tcBorders>
              <w:bottom w:val="single" w:sz="4" w:space="0" w:color="auto"/>
            </w:tcBorders>
            <w:shd w:val="clear" w:color="auto" w:fill="FABF8F"/>
            <w:vAlign w:val="center"/>
          </w:tcPr>
          <w:p w:rsidR="001A63C6" w:rsidRPr="00B41377" w:rsidRDefault="001A63C6" w:rsidP="001A63C6">
            <w:pPr>
              <w:pStyle w:val="TableText"/>
              <w:widowControl w:val="0"/>
              <w:rPr>
                <w:rStyle w:val="EndnoteReference"/>
                <w:rFonts w:cs="Tahoma"/>
                <w:color w:val="000000"/>
                <w:sz w:val="13"/>
                <w:szCs w:val="13"/>
                <w:u w:val="single"/>
              </w:rPr>
            </w:pPr>
          </w:p>
        </w:tc>
        <w:tc>
          <w:tcPr>
            <w:tcW w:w="449" w:type="dxa"/>
            <w:tcBorders>
              <w:bottom w:val="single" w:sz="4" w:space="0" w:color="auto"/>
            </w:tcBorders>
            <w:shd w:val="clear" w:color="auto" w:fill="FABF8F"/>
          </w:tcPr>
          <w:p w:rsidR="001A63C6" w:rsidRPr="00A75DF9" w:rsidRDefault="001A63C6" w:rsidP="001A63C6">
            <w:pPr>
              <w:pStyle w:val="TableText"/>
              <w:widowControl w:val="0"/>
              <w:spacing w:before="80"/>
              <w:rPr>
                <w:rFonts w:ascii="Tahoma" w:hAnsi="Tahoma" w:cs="Tahoma"/>
                <w:sz w:val="13"/>
              </w:rPr>
            </w:pPr>
            <w:r w:rsidRPr="00A75DF9">
              <w:rPr>
                <w:rFonts w:ascii="Tahoma" w:hAnsi="Tahoma" w:cs="Tahoma"/>
                <w:sz w:val="13"/>
              </w:rPr>
              <w:t>04/12</w:t>
            </w:r>
          </w:p>
        </w:tc>
        <w:tc>
          <w:tcPr>
            <w:tcW w:w="359"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SRV</w:t>
            </w:r>
          </w:p>
        </w:tc>
        <w:tc>
          <w:tcPr>
            <w:tcW w:w="356"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w:t>
            </w: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3</w:t>
            </w:r>
          </w:p>
        </w:tc>
        <w:tc>
          <w:tcPr>
            <w:tcW w:w="45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w:t>
            </w:r>
          </w:p>
        </w:tc>
        <w:tc>
          <w:tcPr>
            <w:tcW w:w="450" w:type="dxa"/>
            <w:gridSpan w:val="3"/>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w:t>
            </w:r>
          </w:p>
        </w:tc>
        <w:tc>
          <w:tcPr>
            <w:tcW w:w="44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w:t>
            </w: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w:t>
            </w:r>
          </w:p>
        </w:tc>
        <w:tc>
          <w:tcPr>
            <w:tcW w:w="374"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w:t>
            </w:r>
          </w:p>
        </w:tc>
        <w:tc>
          <w:tcPr>
            <w:tcW w:w="455"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w:t>
            </w: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A,S,D</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P</w:t>
            </w:r>
          </w:p>
        </w:tc>
        <w:tc>
          <w:tcPr>
            <w:tcW w:w="450" w:type="dxa"/>
            <w:tcBorders>
              <w:bottom w:val="single" w:sz="4" w:space="0" w:color="auto"/>
            </w:tcBorders>
            <w:shd w:val="clear" w:color="auto" w:fill="FABF8F"/>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A, AO, ST</w:t>
            </w:r>
          </w:p>
        </w:tc>
        <w:tc>
          <w:tcPr>
            <w:tcW w:w="539"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r>
      <w:tr w:rsidR="00383917" w:rsidRPr="00A75DF9" w:rsidTr="008A1262">
        <w:trPr>
          <w:trHeight w:val="260"/>
        </w:trPr>
        <w:tc>
          <w:tcPr>
            <w:tcW w:w="2724" w:type="dxa"/>
            <w:gridSpan w:val="2"/>
            <w:tcBorders>
              <w:bottom w:val="single" w:sz="4" w:space="0" w:color="auto"/>
            </w:tcBorders>
            <w:shd w:val="clear" w:color="auto" w:fill="auto"/>
            <w:vAlign w:val="center"/>
          </w:tcPr>
          <w:p w:rsidR="001A63C6" w:rsidRPr="00A75DF9" w:rsidRDefault="001A63C6" w:rsidP="008B1245">
            <w:pPr>
              <w:pStyle w:val="ProductNames"/>
              <w:spacing w:beforeLines="20" w:before="48" w:afterLines="20" w:after="48"/>
              <w:rPr>
                <w:rFonts w:ascii="Tahoma" w:hAnsi="Tahoma" w:cs="Tahoma"/>
                <w:sz w:val="14"/>
              </w:rPr>
            </w:pPr>
            <w:bookmarkStart w:id="384" w:name="_Toc336338056"/>
            <w:bookmarkStart w:id="385" w:name="_Toc368310062"/>
            <w:r w:rsidRPr="00A75DF9">
              <w:rPr>
                <w:rFonts w:ascii="Tahoma" w:hAnsi="Tahoma" w:cs="Tahoma"/>
                <w:sz w:val="14"/>
              </w:rPr>
              <w:t>SQL Server</w:t>
            </w:r>
            <w:r w:rsidR="009D5D7B" w:rsidRPr="00A75DF9">
              <w:rPr>
                <w:rFonts w:ascii="Tahoma" w:eastAsia="Times New Roman" w:hAnsi="Tahoma" w:cs="Tahoma"/>
                <w:color w:val="000000"/>
                <w:sz w:val="18"/>
                <w:szCs w:val="18"/>
                <w:vertAlign w:val="superscript"/>
              </w:rPr>
              <w:t>®</w:t>
            </w:r>
            <w:r w:rsidRPr="00A75DF9">
              <w:rPr>
                <w:rFonts w:ascii="Tahoma" w:hAnsi="Tahoma" w:cs="Tahoma"/>
                <w:sz w:val="14"/>
              </w:rPr>
              <w:t xml:space="preserve"> 2012 Developer</w:t>
            </w:r>
            <w:bookmarkEnd w:id="384"/>
            <w:bookmarkEnd w:id="385"/>
            <w:r w:rsidRPr="00A75DF9">
              <w:rPr>
                <w:rFonts w:ascii="Tahoma" w:hAnsi="Tahoma" w:cs="Tahoma"/>
                <w:sz w:val="14"/>
              </w:rPr>
              <w:t xml:space="preserve"> </w:t>
            </w:r>
          </w:p>
        </w:tc>
        <w:tc>
          <w:tcPr>
            <w:tcW w:w="448" w:type="dxa"/>
            <w:tcBorders>
              <w:bottom w:val="single" w:sz="4" w:space="0" w:color="auto"/>
            </w:tcBorders>
            <w:shd w:val="clear" w:color="auto" w:fill="auto"/>
            <w:vAlign w:val="center"/>
          </w:tcPr>
          <w:p w:rsidR="001A63C6" w:rsidRPr="00B41377" w:rsidRDefault="00B54770" w:rsidP="00FC0808">
            <w:pPr>
              <w:pStyle w:val="TableText"/>
              <w:widowControl w:val="0"/>
              <w:rPr>
                <w:rStyle w:val="EndnoteReference"/>
                <w:rFonts w:cs="Tahoma"/>
                <w:b w:val="0"/>
                <w:color w:val="000000"/>
                <w:sz w:val="13"/>
                <w:szCs w:val="13"/>
              </w:rPr>
            </w:pPr>
            <w:hyperlink w:anchor="_85_SQL_Server®" w:history="1">
              <w:r w:rsidR="00734B17" w:rsidRPr="00B41377">
                <w:rPr>
                  <w:rStyle w:val="Hyperlink"/>
                  <w:rFonts w:cs="Tahoma"/>
                  <w:b/>
                  <w:sz w:val="13"/>
                  <w:szCs w:val="13"/>
                </w:rPr>
                <w:t>85</w:t>
              </w:r>
            </w:hyperlink>
          </w:p>
        </w:tc>
        <w:tc>
          <w:tcPr>
            <w:tcW w:w="449" w:type="dxa"/>
            <w:tcBorders>
              <w:bottom w:val="single" w:sz="4" w:space="0" w:color="auto"/>
            </w:tcBorders>
            <w:shd w:val="clear" w:color="auto" w:fill="auto"/>
          </w:tcPr>
          <w:p w:rsidR="001A63C6" w:rsidRPr="00A75DF9" w:rsidRDefault="001A63C6" w:rsidP="001A63C6">
            <w:pPr>
              <w:pStyle w:val="TableText"/>
              <w:widowControl w:val="0"/>
              <w:spacing w:before="80"/>
              <w:rPr>
                <w:rFonts w:ascii="Tahoma" w:hAnsi="Tahoma" w:cs="Tahoma"/>
                <w:sz w:val="13"/>
              </w:rPr>
            </w:pPr>
            <w:r w:rsidRPr="00A75DF9">
              <w:rPr>
                <w:rFonts w:ascii="Tahoma" w:hAnsi="Tahoma" w:cs="Tahoma"/>
                <w:sz w:val="13"/>
              </w:rPr>
              <w:t>04/12</w:t>
            </w:r>
          </w:p>
        </w:tc>
        <w:tc>
          <w:tcPr>
            <w:tcW w:w="359"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SRV</w:t>
            </w:r>
          </w:p>
        </w:tc>
        <w:tc>
          <w:tcPr>
            <w:tcW w:w="356"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w:t>
            </w: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5"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45"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374"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5"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w:t>
            </w: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A75DF9" w:rsidRDefault="001A63C6" w:rsidP="001A63C6">
            <w:pPr>
              <w:pStyle w:val="TableText"/>
              <w:widowControl w:val="0"/>
              <w:rPr>
                <w:rFonts w:ascii="Tahoma" w:hAnsi="Tahoma" w:cs="Tahoma"/>
                <w:sz w:val="13"/>
              </w:rPr>
            </w:pPr>
          </w:p>
        </w:tc>
        <w:tc>
          <w:tcPr>
            <w:tcW w:w="539"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r>
      <w:tr w:rsidR="0047054A" w:rsidRPr="00A75DF9" w:rsidTr="008A1262">
        <w:trPr>
          <w:trHeight w:val="145"/>
        </w:trPr>
        <w:tc>
          <w:tcPr>
            <w:tcW w:w="2724" w:type="dxa"/>
            <w:gridSpan w:val="2"/>
            <w:tcBorders>
              <w:bottom w:val="single" w:sz="4" w:space="0" w:color="auto"/>
            </w:tcBorders>
            <w:shd w:val="clear" w:color="auto" w:fill="FABF8F"/>
            <w:vAlign w:val="center"/>
          </w:tcPr>
          <w:p w:rsidR="001A63C6" w:rsidRPr="00A75DF9" w:rsidRDefault="001A63C6" w:rsidP="008B1245">
            <w:pPr>
              <w:pStyle w:val="ProductNames"/>
              <w:spacing w:beforeLines="20" w:before="48" w:afterLines="20" w:after="48"/>
              <w:rPr>
                <w:rFonts w:ascii="Tahoma" w:hAnsi="Tahoma" w:cs="Tahoma"/>
                <w:sz w:val="14"/>
              </w:rPr>
            </w:pPr>
            <w:bookmarkStart w:id="386" w:name="_Toc336338057"/>
            <w:bookmarkStart w:id="387" w:name="_Toc368310063"/>
            <w:r w:rsidRPr="00A75DF9">
              <w:rPr>
                <w:rFonts w:ascii="Tahoma" w:hAnsi="Tahoma" w:cs="Tahoma"/>
                <w:sz w:val="14"/>
              </w:rPr>
              <w:t>SQL Server</w:t>
            </w:r>
            <w:r w:rsidR="009D5D7B" w:rsidRPr="00A75DF9">
              <w:rPr>
                <w:rFonts w:ascii="Tahoma" w:eastAsia="Times New Roman" w:hAnsi="Tahoma" w:cs="Tahoma"/>
                <w:color w:val="000000"/>
                <w:sz w:val="18"/>
                <w:szCs w:val="18"/>
                <w:vertAlign w:val="superscript"/>
              </w:rPr>
              <w:t>®</w:t>
            </w:r>
            <w:r w:rsidRPr="00A75DF9">
              <w:rPr>
                <w:rFonts w:ascii="Tahoma" w:hAnsi="Tahoma" w:cs="Tahoma"/>
                <w:sz w:val="14"/>
              </w:rPr>
              <w:t xml:space="preserve"> 2012 Enterprise</w:t>
            </w:r>
            <w:bookmarkEnd w:id="386"/>
            <w:bookmarkEnd w:id="387"/>
            <w:r w:rsidRPr="00A75DF9">
              <w:rPr>
                <w:rFonts w:ascii="Tahoma" w:hAnsi="Tahoma" w:cs="Tahoma"/>
                <w:sz w:val="14"/>
              </w:rPr>
              <w:t xml:space="preserve"> </w:t>
            </w:r>
          </w:p>
        </w:tc>
        <w:tc>
          <w:tcPr>
            <w:tcW w:w="448" w:type="dxa"/>
            <w:tcBorders>
              <w:bottom w:val="single" w:sz="4" w:space="0" w:color="auto"/>
            </w:tcBorders>
            <w:shd w:val="clear" w:color="auto" w:fill="FABF8F"/>
            <w:vAlign w:val="center"/>
          </w:tcPr>
          <w:p w:rsidR="001A63C6" w:rsidRPr="00B41377" w:rsidRDefault="00B54770" w:rsidP="00FC0808">
            <w:pPr>
              <w:pStyle w:val="TableText"/>
              <w:widowControl w:val="0"/>
              <w:rPr>
                <w:rStyle w:val="EndnoteReference"/>
                <w:rFonts w:cs="Tahoma"/>
                <w:b w:val="0"/>
                <w:color w:val="000000"/>
                <w:sz w:val="13"/>
                <w:szCs w:val="13"/>
              </w:rPr>
            </w:pPr>
            <w:hyperlink w:anchor="_86_SQL_Server®" w:history="1">
              <w:r w:rsidR="00734B17" w:rsidRPr="00B41377">
                <w:rPr>
                  <w:rStyle w:val="Hyperlink"/>
                  <w:rFonts w:cs="Tahoma"/>
                  <w:b/>
                  <w:sz w:val="13"/>
                  <w:szCs w:val="13"/>
                </w:rPr>
                <w:t>86</w:t>
              </w:r>
            </w:hyperlink>
            <w:hyperlink w:anchor="_81_79_SQL" w:history="1"/>
            <w:hyperlink w:anchor="Srv_88SQLServer2012Enterprise" w:history="1"/>
          </w:p>
        </w:tc>
        <w:tc>
          <w:tcPr>
            <w:tcW w:w="449" w:type="dxa"/>
            <w:tcBorders>
              <w:bottom w:val="single" w:sz="4" w:space="0" w:color="auto"/>
            </w:tcBorders>
            <w:shd w:val="clear" w:color="auto" w:fill="FABF8F"/>
          </w:tcPr>
          <w:p w:rsidR="001A63C6" w:rsidRPr="00A75DF9" w:rsidRDefault="001A63C6" w:rsidP="001A63C6">
            <w:pPr>
              <w:pStyle w:val="TableText"/>
              <w:widowControl w:val="0"/>
              <w:spacing w:before="80"/>
              <w:rPr>
                <w:rFonts w:ascii="Tahoma" w:hAnsi="Tahoma" w:cs="Tahoma"/>
                <w:sz w:val="13"/>
              </w:rPr>
            </w:pPr>
            <w:r w:rsidRPr="00A75DF9">
              <w:rPr>
                <w:rFonts w:ascii="Tahoma" w:hAnsi="Tahoma" w:cs="Tahoma"/>
                <w:sz w:val="13"/>
              </w:rPr>
              <w:t>04/12</w:t>
            </w:r>
          </w:p>
        </w:tc>
        <w:tc>
          <w:tcPr>
            <w:tcW w:w="359"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SRV</w:t>
            </w:r>
          </w:p>
        </w:tc>
        <w:tc>
          <w:tcPr>
            <w:tcW w:w="356"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75</w:t>
            </w: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188</w:t>
            </w:r>
          </w:p>
        </w:tc>
        <w:tc>
          <w:tcPr>
            <w:tcW w:w="45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150</w:t>
            </w:r>
          </w:p>
        </w:tc>
        <w:tc>
          <w:tcPr>
            <w:tcW w:w="450" w:type="dxa"/>
            <w:gridSpan w:val="3"/>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113</w:t>
            </w:r>
          </w:p>
        </w:tc>
        <w:tc>
          <w:tcPr>
            <w:tcW w:w="44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113</w:t>
            </w: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75</w:t>
            </w:r>
          </w:p>
        </w:tc>
        <w:tc>
          <w:tcPr>
            <w:tcW w:w="374"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38</w:t>
            </w:r>
          </w:p>
        </w:tc>
        <w:tc>
          <w:tcPr>
            <w:tcW w:w="455"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75</w:t>
            </w: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150</w:t>
            </w: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75</w:t>
            </w:r>
          </w:p>
        </w:tc>
        <w:tc>
          <w:tcPr>
            <w:tcW w:w="450"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 xml:space="preserve">A </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P</w:t>
            </w:r>
          </w:p>
        </w:tc>
        <w:tc>
          <w:tcPr>
            <w:tcW w:w="450" w:type="dxa"/>
            <w:tcBorders>
              <w:bottom w:val="single" w:sz="4" w:space="0" w:color="auto"/>
            </w:tcBorders>
            <w:shd w:val="clear" w:color="auto" w:fill="FABF8F"/>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A</w:t>
            </w:r>
          </w:p>
        </w:tc>
        <w:tc>
          <w:tcPr>
            <w:tcW w:w="539"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r>
      <w:tr w:rsidR="00383917" w:rsidRPr="00A75DF9" w:rsidTr="008A1262">
        <w:trPr>
          <w:trHeight w:val="145"/>
        </w:trPr>
        <w:tc>
          <w:tcPr>
            <w:tcW w:w="2724" w:type="dxa"/>
            <w:gridSpan w:val="2"/>
            <w:tcBorders>
              <w:bottom w:val="single" w:sz="4" w:space="0" w:color="auto"/>
            </w:tcBorders>
            <w:shd w:val="clear" w:color="auto" w:fill="auto"/>
            <w:vAlign w:val="center"/>
          </w:tcPr>
          <w:p w:rsidR="001A63C6" w:rsidRPr="00A75DF9" w:rsidRDefault="001A63C6" w:rsidP="00B41377">
            <w:pPr>
              <w:pStyle w:val="ProductNames"/>
              <w:spacing w:beforeLines="20" w:before="48" w:afterLines="20" w:after="48"/>
              <w:rPr>
                <w:rFonts w:ascii="Tahoma" w:hAnsi="Tahoma" w:cs="Tahoma"/>
                <w:sz w:val="14"/>
              </w:rPr>
            </w:pPr>
            <w:bookmarkStart w:id="388" w:name="_Toc336338058"/>
            <w:bookmarkStart w:id="389" w:name="_Toc368310064"/>
            <w:r w:rsidRPr="00A75DF9">
              <w:rPr>
                <w:rFonts w:ascii="Tahoma" w:hAnsi="Tahoma" w:cs="Tahoma"/>
                <w:sz w:val="14"/>
              </w:rPr>
              <w:t>SQL Server</w:t>
            </w:r>
            <w:r w:rsidR="009D5D7B" w:rsidRPr="00A75DF9">
              <w:rPr>
                <w:rFonts w:ascii="Tahoma" w:eastAsia="Times New Roman" w:hAnsi="Tahoma" w:cs="Tahoma"/>
                <w:color w:val="000000"/>
                <w:sz w:val="18"/>
                <w:szCs w:val="18"/>
                <w:vertAlign w:val="superscript"/>
              </w:rPr>
              <w:t>®</w:t>
            </w:r>
            <w:r w:rsidRPr="00A75DF9">
              <w:rPr>
                <w:rFonts w:ascii="Tahoma" w:hAnsi="Tahoma" w:cs="Tahoma"/>
                <w:sz w:val="14"/>
              </w:rPr>
              <w:t xml:space="preserve"> 2012 Enterprise Core (2</w:t>
            </w:r>
            <w:r w:rsidR="00B41377">
              <w:rPr>
                <w:rFonts w:ascii="Tahoma" w:hAnsi="Tahoma" w:cs="Tahoma"/>
                <w:sz w:val="14"/>
              </w:rPr>
              <w:t> </w:t>
            </w:r>
            <w:r w:rsidRPr="00A75DF9">
              <w:rPr>
                <w:rFonts w:ascii="Tahoma" w:hAnsi="Tahoma" w:cs="Tahoma"/>
                <w:sz w:val="14"/>
              </w:rPr>
              <w:t>Licenze Core per confezione)</w:t>
            </w:r>
            <w:bookmarkEnd w:id="388"/>
            <w:bookmarkEnd w:id="389"/>
          </w:p>
        </w:tc>
        <w:tc>
          <w:tcPr>
            <w:tcW w:w="448" w:type="dxa"/>
            <w:tcBorders>
              <w:bottom w:val="single" w:sz="4" w:space="0" w:color="auto"/>
            </w:tcBorders>
            <w:shd w:val="clear" w:color="auto" w:fill="auto"/>
            <w:vAlign w:val="center"/>
          </w:tcPr>
          <w:p w:rsidR="001A63C6" w:rsidRPr="00B41377" w:rsidRDefault="00B54770" w:rsidP="00FC0808">
            <w:pPr>
              <w:pStyle w:val="TableText"/>
              <w:widowControl w:val="0"/>
              <w:rPr>
                <w:rStyle w:val="EndnoteReference"/>
                <w:rFonts w:cs="Tahoma"/>
                <w:b w:val="0"/>
                <w:color w:val="0000FF"/>
                <w:sz w:val="13"/>
                <w:szCs w:val="13"/>
                <w:u w:val="single"/>
              </w:rPr>
            </w:pPr>
            <w:hyperlink w:anchor="_87_SQL_Server®" w:history="1">
              <w:r w:rsidR="00734B17" w:rsidRPr="00B41377">
                <w:rPr>
                  <w:rStyle w:val="Hyperlink"/>
                  <w:rFonts w:cs="Tahoma"/>
                  <w:b/>
                  <w:sz w:val="13"/>
                  <w:szCs w:val="13"/>
                </w:rPr>
                <w:t>87</w:t>
              </w:r>
            </w:hyperlink>
            <w:hyperlink w:anchor="Srv_89SQLServer2012EnterpriseCore" w:history="1"/>
          </w:p>
        </w:tc>
        <w:tc>
          <w:tcPr>
            <w:tcW w:w="449" w:type="dxa"/>
            <w:tcBorders>
              <w:bottom w:val="single" w:sz="4" w:space="0" w:color="auto"/>
            </w:tcBorders>
            <w:shd w:val="clear" w:color="auto" w:fill="auto"/>
          </w:tcPr>
          <w:p w:rsidR="001A63C6" w:rsidRPr="00A75DF9" w:rsidRDefault="001A63C6" w:rsidP="001A63C6">
            <w:pPr>
              <w:pStyle w:val="TableText"/>
              <w:widowControl w:val="0"/>
              <w:spacing w:before="80"/>
              <w:rPr>
                <w:rFonts w:ascii="Tahoma" w:hAnsi="Tahoma" w:cs="Tahoma"/>
                <w:sz w:val="13"/>
              </w:rPr>
            </w:pPr>
            <w:r w:rsidRPr="00A75DF9">
              <w:rPr>
                <w:rFonts w:ascii="Tahoma" w:hAnsi="Tahoma" w:cs="Tahoma"/>
                <w:sz w:val="13"/>
              </w:rPr>
              <w:t>04/12</w:t>
            </w:r>
          </w:p>
        </w:tc>
        <w:tc>
          <w:tcPr>
            <w:tcW w:w="359"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SRV</w:t>
            </w:r>
          </w:p>
        </w:tc>
        <w:tc>
          <w:tcPr>
            <w:tcW w:w="356"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125</w:t>
            </w: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313</w:t>
            </w:r>
          </w:p>
        </w:tc>
        <w:tc>
          <w:tcPr>
            <w:tcW w:w="455"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250</w:t>
            </w:r>
          </w:p>
        </w:tc>
        <w:tc>
          <w:tcPr>
            <w:tcW w:w="450" w:type="dxa"/>
            <w:gridSpan w:val="3"/>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188</w:t>
            </w:r>
          </w:p>
        </w:tc>
        <w:tc>
          <w:tcPr>
            <w:tcW w:w="445"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188</w:t>
            </w: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125</w:t>
            </w:r>
          </w:p>
        </w:tc>
        <w:tc>
          <w:tcPr>
            <w:tcW w:w="374"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63</w:t>
            </w:r>
          </w:p>
        </w:tc>
        <w:tc>
          <w:tcPr>
            <w:tcW w:w="455"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125</w:t>
            </w: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250</w:t>
            </w: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125</w:t>
            </w:r>
          </w:p>
        </w:tc>
        <w:tc>
          <w:tcPr>
            <w:tcW w:w="450"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125</w:t>
            </w: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P</w:t>
            </w:r>
          </w:p>
        </w:tc>
        <w:tc>
          <w:tcPr>
            <w:tcW w:w="450" w:type="dxa"/>
            <w:tcBorders>
              <w:bottom w:val="single" w:sz="4" w:space="0" w:color="auto"/>
            </w:tcBorders>
            <w:shd w:val="clear" w:color="auto" w:fill="auto"/>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A</w:t>
            </w:r>
          </w:p>
        </w:tc>
        <w:tc>
          <w:tcPr>
            <w:tcW w:w="539"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OL/OV</w:t>
            </w:r>
          </w:p>
        </w:tc>
      </w:tr>
      <w:tr w:rsidR="001A63C6" w:rsidRPr="00A75DF9" w:rsidTr="008A1262">
        <w:trPr>
          <w:trHeight w:val="145"/>
        </w:trPr>
        <w:tc>
          <w:tcPr>
            <w:tcW w:w="2724" w:type="dxa"/>
            <w:gridSpan w:val="2"/>
            <w:tcBorders>
              <w:bottom w:val="single" w:sz="4" w:space="0" w:color="auto"/>
            </w:tcBorders>
            <w:shd w:val="clear" w:color="auto" w:fill="FABF8F"/>
            <w:vAlign w:val="center"/>
          </w:tcPr>
          <w:p w:rsidR="001A63C6" w:rsidRPr="00A75DF9" w:rsidRDefault="001A63C6" w:rsidP="008B1245">
            <w:pPr>
              <w:pStyle w:val="ProductNames"/>
              <w:spacing w:beforeLines="20" w:before="48" w:afterLines="20" w:after="48"/>
              <w:rPr>
                <w:rFonts w:ascii="Tahoma" w:hAnsi="Tahoma" w:cs="Tahoma"/>
                <w:sz w:val="14"/>
              </w:rPr>
            </w:pPr>
            <w:bookmarkStart w:id="390" w:name="_Toc336338046"/>
            <w:bookmarkStart w:id="391" w:name="_Toc368310065"/>
            <w:r w:rsidRPr="00A75DF9">
              <w:rPr>
                <w:rFonts w:ascii="Tahoma" w:hAnsi="Tahoma" w:cs="Tahoma"/>
                <w:sz w:val="14"/>
              </w:rPr>
              <w:t>SQL Server</w:t>
            </w:r>
            <w:r w:rsidR="009D5D7B" w:rsidRPr="00A75DF9">
              <w:rPr>
                <w:rFonts w:ascii="Tahoma" w:eastAsia="Times New Roman" w:hAnsi="Tahoma" w:cs="Tahoma"/>
                <w:color w:val="000000"/>
                <w:sz w:val="18"/>
                <w:szCs w:val="18"/>
                <w:vertAlign w:val="superscript"/>
              </w:rPr>
              <w:t>®</w:t>
            </w:r>
            <w:r w:rsidRPr="00A75DF9">
              <w:rPr>
                <w:rFonts w:ascii="Tahoma" w:hAnsi="Tahoma" w:cs="Tahoma"/>
                <w:sz w:val="14"/>
              </w:rPr>
              <w:t xml:space="preserve"> 2012 Parallel Data Warehouse</w:t>
            </w:r>
            <w:bookmarkEnd w:id="390"/>
            <w:bookmarkEnd w:id="391"/>
          </w:p>
        </w:tc>
        <w:tc>
          <w:tcPr>
            <w:tcW w:w="448" w:type="dxa"/>
            <w:tcBorders>
              <w:bottom w:val="single" w:sz="4" w:space="0" w:color="auto"/>
            </w:tcBorders>
            <w:shd w:val="clear" w:color="auto" w:fill="FABF8F"/>
            <w:vAlign w:val="center"/>
          </w:tcPr>
          <w:p w:rsidR="001A63C6" w:rsidRPr="00B41377" w:rsidRDefault="00B54770" w:rsidP="00FC0808">
            <w:pPr>
              <w:pStyle w:val="TableText"/>
              <w:widowControl w:val="0"/>
              <w:rPr>
                <w:rStyle w:val="EndnoteReference"/>
                <w:rFonts w:cs="Tahoma"/>
                <w:b w:val="0"/>
                <w:color w:val="000000"/>
                <w:sz w:val="13"/>
                <w:szCs w:val="13"/>
                <w:u w:val="single"/>
              </w:rPr>
            </w:pPr>
            <w:hyperlink w:anchor="_88_SQL_Server" w:history="1">
              <w:r w:rsidR="00734B17" w:rsidRPr="00B41377">
                <w:rPr>
                  <w:rStyle w:val="Hyperlink"/>
                  <w:rFonts w:cs="Tahoma"/>
                  <w:b/>
                  <w:sz w:val="13"/>
                  <w:szCs w:val="13"/>
                </w:rPr>
                <w:t>88</w:t>
              </w:r>
            </w:hyperlink>
            <w:hyperlink w:anchor="_80_SQL_Server" w:history="1"/>
          </w:p>
        </w:tc>
        <w:tc>
          <w:tcPr>
            <w:tcW w:w="449" w:type="dxa"/>
            <w:tcBorders>
              <w:bottom w:val="single" w:sz="4" w:space="0" w:color="auto"/>
            </w:tcBorders>
            <w:shd w:val="clear" w:color="auto" w:fill="FABF8F"/>
          </w:tcPr>
          <w:p w:rsidR="001A63C6" w:rsidRPr="00A75DF9" w:rsidRDefault="001A63C6" w:rsidP="001A63C6">
            <w:pPr>
              <w:pStyle w:val="TableText"/>
              <w:widowControl w:val="0"/>
              <w:spacing w:before="80"/>
              <w:rPr>
                <w:rFonts w:ascii="Tahoma" w:hAnsi="Tahoma" w:cs="Tahoma"/>
                <w:sz w:val="13"/>
              </w:rPr>
            </w:pPr>
            <w:r w:rsidRPr="00A75DF9">
              <w:rPr>
                <w:rFonts w:ascii="Tahoma" w:hAnsi="Tahoma" w:cs="Tahoma"/>
                <w:sz w:val="13"/>
              </w:rPr>
              <w:t>03/13</w:t>
            </w:r>
          </w:p>
        </w:tc>
        <w:tc>
          <w:tcPr>
            <w:tcW w:w="359"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SRV</w:t>
            </w:r>
          </w:p>
        </w:tc>
        <w:tc>
          <w:tcPr>
            <w:tcW w:w="356"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200</w:t>
            </w: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500</w:t>
            </w:r>
          </w:p>
        </w:tc>
        <w:tc>
          <w:tcPr>
            <w:tcW w:w="45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400</w:t>
            </w:r>
          </w:p>
        </w:tc>
        <w:tc>
          <w:tcPr>
            <w:tcW w:w="450" w:type="dxa"/>
            <w:gridSpan w:val="3"/>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300</w:t>
            </w:r>
          </w:p>
        </w:tc>
        <w:tc>
          <w:tcPr>
            <w:tcW w:w="44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300</w:t>
            </w: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200</w:t>
            </w:r>
          </w:p>
        </w:tc>
        <w:tc>
          <w:tcPr>
            <w:tcW w:w="374"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100</w:t>
            </w:r>
          </w:p>
        </w:tc>
        <w:tc>
          <w:tcPr>
            <w:tcW w:w="455"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A,S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A75DF9" w:rsidRDefault="001A63C6" w:rsidP="001A63C6">
            <w:pPr>
              <w:pStyle w:val="TableText"/>
              <w:widowControl w:val="0"/>
              <w:rPr>
                <w:rFonts w:ascii="Tahoma" w:hAnsi="Tahoma" w:cs="Tahoma"/>
                <w:sz w:val="13"/>
              </w:rPr>
            </w:pPr>
          </w:p>
        </w:tc>
        <w:tc>
          <w:tcPr>
            <w:tcW w:w="539"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r>
      <w:tr w:rsidR="00B33D0E" w:rsidRPr="00A75DF9" w:rsidTr="008A1262">
        <w:trPr>
          <w:trHeight w:val="145"/>
        </w:trPr>
        <w:tc>
          <w:tcPr>
            <w:tcW w:w="2724" w:type="dxa"/>
            <w:gridSpan w:val="2"/>
            <w:tcBorders>
              <w:bottom w:val="single" w:sz="4" w:space="0" w:color="auto"/>
            </w:tcBorders>
            <w:shd w:val="clear" w:color="auto" w:fill="FABF8F"/>
            <w:vAlign w:val="center"/>
          </w:tcPr>
          <w:p w:rsidR="001A63C6" w:rsidRPr="00A75DF9" w:rsidRDefault="001A63C6" w:rsidP="008B1245">
            <w:pPr>
              <w:pStyle w:val="ProductNames"/>
              <w:spacing w:beforeLines="20" w:before="48" w:afterLines="20" w:after="48"/>
              <w:rPr>
                <w:rFonts w:ascii="Tahoma" w:hAnsi="Tahoma" w:cs="Tahoma"/>
                <w:sz w:val="14"/>
              </w:rPr>
            </w:pPr>
            <w:bookmarkStart w:id="392" w:name="_Toc336338047"/>
            <w:bookmarkStart w:id="393" w:name="_Toc368310066"/>
            <w:r w:rsidRPr="00A75DF9">
              <w:rPr>
                <w:rFonts w:ascii="Tahoma" w:hAnsi="Tahoma" w:cs="Tahoma"/>
                <w:sz w:val="14"/>
              </w:rPr>
              <w:t>SQL Server</w:t>
            </w:r>
            <w:r w:rsidR="009D5D7B" w:rsidRPr="00A75DF9">
              <w:rPr>
                <w:rFonts w:ascii="Tahoma" w:eastAsia="Times New Roman" w:hAnsi="Tahoma" w:cs="Tahoma"/>
                <w:color w:val="000000"/>
                <w:sz w:val="18"/>
                <w:szCs w:val="18"/>
                <w:vertAlign w:val="superscript"/>
              </w:rPr>
              <w:t>®</w:t>
            </w:r>
            <w:r w:rsidRPr="00A75DF9">
              <w:rPr>
                <w:rFonts w:ascii="Tahoma" w:hAnsi="Tahoma" w:cs="Tahoma"/>
                <w:sz w:val="14"/>
              </w:rPr>
              <w:t xml:space="preserve"> 2012 Parallel Data Warehouse Developer</w:t>
            </w:r>
            <w:bookmarkEnd w:id="392"/>
            <w:bookmarkEnd w:id="393"/>
          </w:p>
        </w:tc>
        <w:tc>
          <w:tcPr>
            <w:tcW w:w="448" w:type="dxa"/>
            <w:tcBorders>
              <w:bottom w:val="single" w:sz="4" w:space="0" w:color="auto"/>
            </w:tcBorders>
            <w:shd w:val="clear" w:color="auto" w:fill="FABF8F"/>
            <w:vAlign w:val="center"/>
          </w:tcPr>
          <w:p w:rsidR="001A63C6" w:rsidRPr="00B41377" w:rsidRDefault="001A63C6" w:rsidP="001A63C6">
            <w:pPr>
              <w:pStyle w:val="TableText"/>
              <w:widowControl w:val="0"/>
              <w:rPr>
                <w:rStyle w:val="EndnoteReference"/>
                <w:rFonts w:cs="Tahoma"/>
                <w:color w:val="000000"/>
                <w:sz w:val="13"/>
                <w:szCs w:val="13"/>
                <w:u w:val="single"/>
              </w:rPr>
            </w:pPr>
          </w:p>
        </w:tc>
        <w:tc>
          <w:tcPr>
            <w:tcW w:w="449" w:type="dxa"/>
            <w:tcBorders>
              <w:bottom w:val="single" w:sz="4" w:space="0" w:color="auto"/>
            </w:tcBorders>
            <w:shd w:val="clear" w:color="auto" w:fill="FABF8F"/>
          </w:tcPr>
          <w:p w:rsidR="001A63C6" w:rsidRPr="00A75DF9" w:rsidRDefault="001A63C6" w:rsidP="001A63C6">
            <w:pPr>
              <w:pStyle w:val="TableText"/>
              <w:widowControl w:val="0"/>
              <w:spacing w:before="80"/>
              <w:rPr>
                <w:rFonts w:ascii="Tahoma" w:hAnsi="Tahoma" w:cs="Tahoma"/>
                <w:sz w:val="13"/>
              </w:rPr>
            </w:pPr>
            <w:r w:rsidRPr="00A75DF9">
              <w:rPr>
                <w:rFonts w:ascii="Tahoma" w:hAnsi="Tahoma" w:cs="Tahoma"/>
                <w:sz w:val="13"/>
              </w:rPr>
              <w:t>11/10</w:t>
            </w:r>
          </w:p>
        </w:tc>
        <w:tc>
          <w:tcPr>
            <w:tcW w:w="359"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SRV</w:t>
            </w:r>
          </w:p>
        </w:tc>
        <w:tc>
          <w:tcPr>
            <w:tcW w:w="356"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w:t>
            </w: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3</w:t>
            </w:r>
          </w:p>
        </w:tc>
        <w:tc>
          <w:tcPr>
            <w:tcW w:w="45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w:t>
            </w:r>
          </w:p>
        </w:tc>
        <w:tc>
          <w:tcPr>
            <w:tcW w:w="450" w:type="dxa"/>
            <w:gridSpan w:val="3"/>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w:t>
            </w:r>
          </w:p>
        </w:tc>
        <w:tc>
          <w:tcPr>
            <w:tcW w:w="44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w:t>
            </w: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w:t>
            </w:r>
          </w:p>
        </w:tc>
        <w:tc>
          <w:tcPr>
            <w:tcW w:w="374"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w:t>
            </w:r>
          </w:p>
        </w:tc>
        <w:tc>
          <w:tcPr>
            <w:tcW w:w="455"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A75DF9" w:rsidRDefault="001A63C6" w:rsidP="001A63C6">
            <w:pPr>
              <w:pStyle w:val="TableText"/>
              <w:widowControl w:val="0"/>
              <w:rPr>
                <w:rFonts w:ascii="Tahoma" w:hAnsi="Tahoma" w:cs="Tahoma"/>
                <w:sz w:val="13"/>
              </w:rPr>
            </w:pPr>
          </w:p>
        </w:tc>
        <w:tc>
          <w:tcPr>
            <w:tcW w:w="539"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r>
      <w:tr w:rsidR="001A63C6" w:rsidRPr="00A75DF9" w:rsidTr="008A1262">
        <w:trPr>
          <w:trHeight w:val="145"/>
        </w:trPr>
        <w:tc>
          <w:tcPr>
            <w:tcW w:w="2724" w:type="dxa"/>
            <w:gridSpan w:val="2"/>
            <w:tcBorders>
              <w:bottom w:val="single" w:sz="4" w:space="0" w:color="auto"/>
            </w:tcBorders>
            <w:shd w:val="clear" w:color="auto" w:fill="auto"/>
            <w:vAlign w:val="center"/>
          </w:tcPr>
          <w:p w:rsidR="001A63C6" w:rsidRPr="00A75DF9" w:rsidRDefault="001A63C6" w:rsidP="008B1245">
            <w:pPr>
              <w:pStyle w:val="ProductNames"/>
              <w:spacing w:beforeLines="20" w:before="48" w:afterLines="20" w:after="48"/>
              <w:rPr>
                <w:rFonts w:ascii="Tahoma" w:hAnsi="Tahoma" w:cs="Tahoma"/>
                <w:sz w:val="14"/>
              </w:rPr>
            </w:pPr>
            <w:bookmarkStart w:id="394" w:name="_Toc336338059"/>
            <w:bookmarkStart w:id="395" w:name="_Toc368310067"/>
            <w:r w:rsidRPr="00A75DF9">
              <w:rPr>
                <w:rFonts w:ascii="Tahoma" w:hAnsi="Tahoma" w:cs="Tahoma"/>
                <w:sz w:val="14"/>
              </w:rPr>
              <w:t>SQL Server</w:t>
            </w:r>
            <w:r w:rsidR="009D5D7B" w:rsidRPr="00A75DF9">
              <w:rPr>
                <w:rFonts w:ascii="Tahoma" w:eastAsia="Times New Roman" w:hAnsi="Tahoma" w:cs="Tahoma"/>
                <w:color w:val="000000"/>
                <w:sz w:val="18"/>
                <w:szCs w:val="18"/>
                <w:vertAlign w:val="superscript"/>
              </w:rPr>
              <w:t>®</w:t>
            </w:r>
            <w:r w:rsidRPr="00A75DF9">
              <w:rPr>
                <w:rFonts w:ascii="Tahoma" w:hAnsi="Tahoma" w:cs="Tahoma"/>
                <w:sz w:val="14"/>
              </w:rPr>
              <w:t xml:space="preserve"> 2012 Standard</w:t>
            </w:r>
            <w:bookmarkEnd w:id="394"/>
            <w:bookmarkEnd w:id="395"/>
            <w:r w:rsidRPr="00A75DF9">
              <w:rPr>
                <w:rFonts w:ascii="Tahoma" w:hAnsi="Tahoma" w:cs="Tahoma"/>
                <w:sz w:val="14"/>
              </w:rPr>
              <w:t xml:space="preserve"> </w:t>
            </w:r>
          </w:p>
        </w:tc>
        <w:tc>
          <w:tcPr>
            <w:tcW w:w="448" w:type="dxa"/>
            <w:tcBorders>
              <w:bottom w:val="single" w:sz="4" w:space="0" w:color="auto"/>
            </w:tcBorders>
            <w:shd w:val="clear" w:color="auto" w:fill="auto"/>
            <w:vAlign w:val="center"/>
          </w:tcPr>
          <w:p w:rsidR="001A63C6" w:rsidRPr="00B41377" w:rsidRDefault="00B54770" w:rsidP="00FC0808">
            <w:pPr>
              <w:pStyle w:val="TableText"/>
              <w:widowControl w:val="0"/>
              <w:rPr>
                <w:rStyle w:val="EndnoteReference"/>
                <w:rFonts w:cs="Tahoma"/>
                <w:b w:val="0"/>
                <w:color w:val="0000FF"/>
                <w:sz w:val="13"/>
                <w:szCs w:val="13"/>
                <w:u w:val="single"/>
              </w:rPr>
            </w:pPr>
            <w:hyperlink w:anchor="_89_SQL_Server®" w:history="1">
              <w:r w:rsidR="00734B17" w:rsidRPr="00B41377">
                <w:rPr>
                  <w:rStyle w:val="Hyperlink"/>
                  <w:rFonts w:cs="Tahoma"/>
                  <w:b/>
                  <w:sz w:val="13"/>
                  <w:szCs w:val="13"/>
                </w:rPr>
                <w:t>89</w:t>
              </w:r>
            </w:hyperlink>
            <w:hyperlink w:anchor="Srv_90SQLServer2012Standard" w:history="1"/>
          </w:p>
        </w:tc>
        <w:tc>
          <w:tcPr>
            <w:tcW w:w="449" w:type="dxa"/>
            <w:tcBorders>
              <w:bottom w:val="single" w:sz="4" w:space="0" w:color="auto"/>
            </w:tcBorders>
            <w:shd w:val="clear" w:color="auto" w:fill="auto"/>
          </w:tcPr>
          <w:p w:rsidR="001A63C6" w:rsidRPr="00A75DF9" w:rsidRDefault="001A63C6" w:rsidP="001A63C6">
            <w:pPr>
              <w:pStyle w:val="TableText"/>
              <w:widowControl w:val="0"/>
              <w:spacing w:before="80"/>
              <w:rPr>
                <w:rFonts w:ascii="Tahoma" w:hAnsi="Tahoma" w:cs="Tahoma"/>
                <w:sz w:val="13"/>
              </w:rPr>
            </w:pPr>
            <w:r w:rsidRPr="00A75DF9">
              <w:rPr>
                <w:rFonts w:ascii="Tahoma" w:hAnsi="Tahoma" w:cs="Tahoma"/>
                <w:sz w:val="13"/>
              </w:rPr>
              <w:t>04/12</w:t>
            </w:r>
          </w:p>
        </w:tc>
        <w:tc>
          <w:tcPr>
            <w:tcW w:w="359"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SRV</w:t>
            </w:r>
          </w:p>
        </w:tc>
        <w:tc>
          <w:tcPr>
            <w:tcW w:w="356"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15</w:t>
            </w: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38</w:t>
            </w:r>
          </w:p>
        </w:tc>
        <w:tc>
          <w:tcPr>
            <w:tcW w:w="455"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30</w:t>
            </w:r>
          </w:p>
        </w:tc>
        <w:tc>
          <w:tcPr>
            <w:tcW w:w="450" w:type="dxa"/>
            <w:gridSpan w:val="3"/>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23</w:t>
            </w:r>
          </w:p>
        </w:tc>
        <w:tc>
          <w:tcPr>
            <w:tcW w:w="445"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23</w:t>
            </w: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15</w:t>
            </w:r>
          </w:p>
        </w:tc>
        <w:tc>
          <w:tcPr>
            <w:tcW w:w="374"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8</w:t>
            </w:r>
          </w:p>
        </w:tc>
        <w:tc>
          <w:tcPr>
            <w:tcW w:w="455"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15</w:t>
            </w: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P</w:t>
            </w:r>
          </w:p>
        </w:tc>
        <w:tc>
          <w:tcPr>
            <w:tcW w:w="450" w:type="dxa"/>
            <w:tcBorders>
              <w:bottom w:val="single" w:sz="4" w:space="0" w:color="auto"/>
            </w:tcBorders>
            <w:shd w:val="clear" w:color="auto" w:fill="auto"/>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A</w:t>
            </w:r>
          </w:p>
        </w:tc>
        <w:tc>
          <w:tcPr>
            <w:tcW w:w="539"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r>
      <w:tr w:rsidR="00B33D0E" w:rsidRPr="00A75DF9" w:rsidTr="008A1262">
        <w:trPr>
          <w:trHeight w:val="145"/>
        </w:trPr>
        <w:tc>
          <w:tcPr>
            <w:tcW w:w="2724" w:type="dxa"/>
            <w:gridSpan w:val="2"/>
            <w:tcBorders>
              <w:bottom w:val="single" w:sz="4" w:space="0" w:color="auto"/>
            </w:tcBorders>
            <w:shd w:val="clear" w:color="auto" w:fill="FABF8F"/>
            <w:vAlign w:val="center"/>
          </w:tcPr>
          <w:p w:rsidR="001A63C6" w:rsidRPr="00A75DF9" w:rsidRDefault="001A63C6" w:rsidP="00B41377">
            <w:pPr>
              <w:pStyle w:val="ProductNames"/>
              <w:spacing w:beforeLines="20" w:before="48" w:afterLines="20" w:after="48"/>
              <w:rPr>
                <w:rFonts w:ascii="Tahoma" w:hAnsi="Tahoma" w:cs="Tahoma"/>
                <w:sz w:val="14"/>
              </w:rPr>
            </w:pPr>
            <w:bookmarkStart w:id="396" w:name="_Toc336338060"/>
            <w:bookmarkStart w:id="397" w:name="_Toc368310068"/>
            <w:r w:rsidRPr="00A75DF9">
              <w:rPr>
                <w:rFonts w:ascii="Tahoma" w:hAnsi="Tahoma" w:cs="Tahoma"/>
                <w:sz w:val="14"/>
              </w:rPr>
              <w:t>SQL Server</w:t>
            </w:r>
            <w:r w:rsidR="009D5D7B" w:rsidRPr="00A75DF9">
              <w:rPr>
                <w:rFonts w:ascii="Tahoma" w:eastAsia="Times New Roman" w:hAnsi="Tahoma" w:cs="Tahoma"/>
                <w:color w:val="000000"/>
                <w:sz w:val="18"/>
                <w:szCs w:val="18"/>
                <w:vertAlign w:val="superscript"/>
              </w:rPr>
              <w:t>®</w:t>
            </w:r>
            <w:r w:rsidRPr="00A75DF9">
              <w:rPr>
                <w:rFonts w:ascii="Tahoma" w:hAnsi="Tahoma" w:cs="Tahoma"/>
                <w:sz w:val="14"/>
              </w:rPr>
              <w:t xml:space="preserve"> 2012 Standard Core (2</w:t>
            </w:r>
            <w:r w:rsidR="00B41377">
              <w:rPr>
                <w:rFonts w:ascii="Tahoma" w:hAnsi="Tahoma" w:cs="Tahoma"/>
                <w:sz w:val="14"/>
              </w:rPr>
              <w:t> </w:t>
            </w:r>
            <w:r w:rsidRPr="00A75DF9">
              <w:rPr>
                <w:rFonts w:ascii="Tahoma" w:hAnsi="Tahoma" w:cs="Tahoma"/>
                <w:sz w:val="14"/>
              </w:rPr>
              <w:t>Licenze Core per confezione)</w:t>
            </w:r>
            <w:bookmarkEnd w:id="396"/>
            <w:bookmarkEnd w:id="397"/>
          </w:p>
        </w:tc>
        <w:tc>
          <w:tcPr>
            <w:tcW w:w="448" w:type="dxa"/>
            <w:tcBorders>
              <w:bottom w:val="single" w:sz="4" w:space="0" w:color="auto"/>
            </w:tcBorders>
            <w:shd w:val="clear" w:color="auto" w:fill="FABF8F"/>
            <w:vAlign w:val="center"/>
          </w:tcPr>
          <w:p w:rsidR="001A63C6" w:rsidRPr="00B41377" w:rsidRDefault="00B54770" w:rsidP="00FC0808">
            <w:pPr>
              <w:pStyle w:val="TableText"/>
              <w:widowControl w:val="0"/>
              <w:rPr>
                <w:rStyle w:val="EndnoteReference"/>
                <w:rFonts w:cs="Tahoma"/>
                <w:b w:val="0"/>
                <w:color w:val="000000"/>
                <w:sz w:val="13"/>
                <w:szCs w:val="13"/>
                <w:u w:val="single"/>
              </w:rPr>
            </w:pPr>
            <w:hyperlink w:anchor="_85_83_SQL" w:history="1">
              <w:r w:rsidR="00734B17" w:rsidRPr="00B41377">
                <w:rPr>
                  <w:rStyle w:val="Hyperlink"/>
                  <w:rFonts w:cs="Tahoma"/>
                  <w:b/>
                  <w:sz w:val="13"/>
                  <w:szCs w:val="13"/>
                </w:rPr>
                <w:t>90</w:t>
              </w:r>
            </w:hyperlink>
            <w:hyperlink w:anchor="Srv_91SQLServer2012StandardCore" w:history="1"/>
          </w:p>
        </w:tc>
        <w:tc>
          <w:tcPr>
            <w:tcW w:w="449" w:type="dxa"/>
            <w:tcBorders>
              <w:bottom w:val="single" w:sz="4" w:space="0" w:color="auto"/>
            </w:tcBorders>
            <w:shd w:val="clear" w:color="auto" w:fill="FABF8F"/>
          </w:tcPr>
          <w:p w:rsidR="001A63C6" w:rsidRPr="00A75DF9" w:rsidRDefault="001A63C6" w:rsidP="001A63C6">
            <w:pPr>
              <w:pStyle w:val="TableText"/>
              <w:widowControl w:val="0"/>
              <w:spacing w:before="80"/>
              <w:rPr>
                <w:rFonts w:ascii="Tahoma" w:hAnsi="Tahoma" w:cs="Tahoma"/>
                <w:sz w:val="13"/>
              </w:rPr>
            </w:pPr>
            <w:r w:rsidRPr="00A75DF9">
              <w:rPr>
                <w:rFonts w:ascii="Tahoma" w:hAnsi="Tahoma" w:cs="Tahoma"/>
                <w:sz w:val="13"/>
              </w:rPr>
              <w:t>04/12</w:t>
            </w:r>
          </w:p>
        </w:tc>
        <w:tc>
          <w:tcPr>
            <w:tcW w:w="359"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SRV</w:t>
            </w:r>
          </w:p>
        </w:tc>
        <w:tc>
          <w:tcPr>
            <w:tcW w:w="356"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50</w:t>
            </w: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125</w:t>
            </w:r>
          </w:p>
        </w:tc>
        <w:tc>
          <w:tcPr>
            <w:tcW w:w="45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100</w:t>
            </w:r>
          </w:p>
        </w:tc>
        <w:tc>
          <w:tcPr>
            <w:tcW w:w="450" w:type="dxa"/>
            <w:gridSpan w:val="3"/>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75</w:t>
            </w:r>
          </w:p>
        </w:tc>
        <w:tc>
          <w:tcPr>
            <w:tcW w:w="44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75</w:t>
            </w: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50</w:t>
            </w:r>
          </w:p>
        </w:tc>
        <w:tc>
          <w:tcPr>
            <w:tcW w:w="374"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25</w:t>
            </w:r>
          </w:p>
        </w:tc>
        <w:tc>
          <w:tcPr>
            <w:tcW w:w="455"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50</w:t>
            </w: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P</w:t>
            </w:r>
          </w:p>
        </w:tc>
        <w:tc>
          <w:tcPr>
            <w:tcW w:w="450" w:type="dxa"/>
            <w:tcBorders>
              <w:bottom w:val="single" w:sz="4" w:space="0" w:color="auto"/>
            </w:tcBorders>
            <w:shd w:val="clear" w:color="auto" w:fill="FABF8F"/>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A</w:t>
            </w:r>
          </w:p>
        </w:tc>
        <w:tc>
          <w:tcPr>
            <w:tcW w:w="539"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OL/OV</w:t>
            </w:r>
          </w:p>
        </w:tc>
      </w:tr>
      <w:tr w:rsidR="001A63C6" w:rsidRPr="00A75DF9" w:rsidTr="008A1262">
        <w:trPr>
          <w:trHeight w:val="145"/>
        </w:trPr>
        <w:tc>
          <w:tcPr>
            <w:tcW w:w="2724" w:type="dxa"/>
            <w:gridSpan w:val="2"/>
            <w:tcBorders>
              <w:bottom w:val="single" w:sz="4" w:space="0" w:color="auto"/>
            </w:tcBorders>
            <w:shd w:val="clear" w:color="auto" w:fill="auto"/>
            <w:vAlign w:val="center"/>
          </w:tcPr>
          <w:p w:rsidR="001A63C6" w:rsidRPr="00A75DF9" w:rsidRDefault="001A63C6" w:rsidP="008B1245">
            <w:pPr>
              <w:pStyle w:val="ProductNames"/>
              <w:spacing w:beforeLines="20" w:before="48" w:afterLines="20" w:after="48"/>
              <w:rPr>
                <w:rFonts w:ascii="Tahoma" w:hAnsi="Tahoma" w:cs="Tahoma"/>
                <w:sz w:val="14"/>
              </w:rPr>
            </w:pPr>
            <w:bookmarkStart w:id="398" w:name="_Toc336338062"/>
            <w:bookmarkStart w:id="399" w:name="_Toc368310069"/>
            <w:r w:rsidRPr="00A75DF9">
              <w:rPr>
                <w:rFonts w:ascii="Tahoma" w:hAnsi="Tahoma" w:cs="Tahoma"/>
                <w:sz w:val="14"/>
              </w:rPr>
              <w:t>Licenza di Gestione Server Enterprise per System Center Configuration Manager 2007 R3</w:t>
            </w:r>
            <w:bookmarkEnd w:id="398"/>
            <w:bookmarkEnd w:id="399"/>
            <w:r w:rsidRPr="00A75DF9">
              <w:rPr>
                <w:rFonts w:ascii="Tahoma" w:hAnsi="Tahoma" w:cs="Tahoma"/>
                <w:sz w:val="14"/>
              </w:rPr>
              <w:t xml:space="preserve"> </w:t>
            </w:r>
          </w:p>
        </w:tc>
        <w:tc>
          <w:tcPr>
            <w:tcW w:w="448" w:type="dxa"/>
            <w:tcBorders>
              <w:bottom w:val="single" w:sz="4" w:space="0" w:color="auto"/>
            </w:tcBorders>
            <w:shd w:val="clear" w:color="auto" w:fill="auto"/>
            <w:vAlign w:val="center"/>
          </w:tcPr>
          <w:p w:rsidR="001A63C6" w:rsidRPr="00B41377" w:rsidRDefault="001A63C6" w:rsidP="001A63C6">
            <w:pPr>
              <w:pStyle w:val="TableText"/>
              <w:widowControl w:val="0"/>
              <w:rPr>
                <w:rStyle w:val="EndnoteReference"/>
                <w:rFonts w:cs="Tahoma"/>
                <w:color w:val="0000FF"/>
                <w:sz w:val="13"/>
                <w:szCs w:val="13"/>
                <w:u w:val="single"/>
              </w:rPr>
            </w:pPr>
          </w:p>
        </w:tc>
        <w:tc>
          <w:tcPr>
            <w:tcW w:w="449" w:type="dxa"/>
            <w:tcBorders>
              <w:bottom w:val="single" w:sz="4" w:space="0" w:color="auto"/>
            </w:tcBorders>
            <w:shd w:val="clear" w:color="auto" w:fill="auto"/>
          </w:tcPr>
          <w:p w:rsidR="001A63C6" w:rsidRPr="00A75DF9" w:rsidRDefault="001A63C6" w:rsidP="001A63C6">
            <w:pPr>
              <w:pStyle w:val="TableText"/>
              <w:widowControl w:val="0"/>
              <w:spacing w:before="180"/>
              <w:rPr>
                <w:rFonts w:ascii="Tahoma" w:hAnsi="Tahoma" w:cs="Tahoma"/>
                <w:color w:val="000000"/>
                <w:sz w:val="13"/>
              </w:rPr>
            </w:pPr>
            <w:r w:rsidRPr="00A75DF9">
              <w:rPr>
                <w:rFonts w:ascii="Tahoma" w:hAnsi="Tahoma" w:cs="Tahoma"/>
                <w:color w:val="000000"/>
                <w:sz w:val="13"/>
              </w:rPr>
              <w:t>11/10</w:t>
            </w:r>
          </w:p>
        </w:tc>
        <w:tc>
          <w:tcPr>
            <w:tcW w:w="359"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SRV</w:t>
            </w:r>
          </w:p>
        </w:tc>
        <w:tc>
          <w:tcPr>
            <w:tcW w:w="356"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c>
          <w:tcPr>
            <w:tcW w:w="455"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c>
          <w:tcPr>
            <w:tcW w:w="445"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c>
          <w:tcPr>
            <w:tcW w:w="374"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c>
          <w:tcPr>
            <w:tcW w:w="455"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A</w:t>
            </w:r>
          </w:p>
        </w:tc>
        <w:tc>
          <w:tcPr>
            <w:tcW w:w="539"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r>
      <w:tr w:rsidR="00B33D0E" w:rsidRPr="00A75DF9" w:rsidTr="008A1262">
        <w:trPr>
          <w:trHeight w:val="145"/>
        </w:trPr>
        <w:tc>
          <w:tcPr>
            <w:tcW w:w="2724" w:type="dxa"/>
            <w:gridSpan w:val="2"/>
            <w:tcBorders>
              <w:bottom w:val="single" w:sz="4" w:space="0" w:color="auto"/>
            </w:tcBorders>
            <w:shd w:val="clear" w:color="auto" w:fill="FABF8F"/>
            <w:vAlign w:val="center"/>
          </w:tcPr>
          <w:p w:rsidR="001A63C6" w:rsidRPr="00A75DF9" w:rsidRDefault="001A63C6" w:rsidP="00B41377">
            <w:pPr>
              <w:pStyle w:val="ProductNames"/>
              <w:spacing w:beforeLines="20" w:before="48" w:afterLines="20" w:after="48"/>
              <w:rPr>
                <w:rFonts w:ascii="Tahoma" w:hAnsi="Tahoma" w:cs="Tahoma"/>
                <w:sz w:val="14"/>
              </w:rPr>
            </w:pPr>
            <w:bookmarkStart w:id="400" w:name="_Toc336338063"/>
            <w:bookmarkStart w:id="401" w:name="_Toc368310070"/>
            <w:r w:rsidRPr="00A75DF9">
              <w:rPr>
                <w:rFonts w:ascii="Tahoma" w:hAnsi="Tahoma" w:cs="Tahoma"/>
                <w:sz w:val="14"/>
              </w:rPr>
              <w:t>Licenza di Gestione Server Standard (Standard Server ML) per System Center</w:t>
            </w:r>
            <w:r w:rsidR="00B41377">
              <w:rPr>
                <w:rFonts w:ascii="Tahoma" w:hAnsi="Tahoma" w:cs="Tahoma"/>
                <w:sz w:val="14"/>
              </w:rPr>
              <w:t> </w:t>
            </w:r>
            <w:r w:rsidRPr="00A75DF9">
              <w:rPr>
                <w:rFonts w:ascii="Tahoma" w:hAnsi="Tahoma" w:cs="Tahoma"/>
                <w:sz w:val="14"/>
              </w:rPr>
              <w:t>Configuration Manager 2007 R3</w:t>
            </w:r>
            <w:bookmarkEnd w:id="400"/>
            <w:bookmarkEnd w:id="401"/>
          </w:p>
        </w:tc>
        <w:tc>
          <w:tcPr>
            <w:tcW w:w="448" w:type="dxa"/>
            <w:tcBorders>
              <w:bottom w:val="single" w:sz="4" w:space="0" w:color="auto"/>
            </w:tcBorders>
            <w:shd w:val="clear" w:color="auto" w:fill="FABF8F"/>
            <w:vAlign w:val="center"/>
          </w:tcPr>
          <w:p w:rsidR="001A63C6" w:rsidRPr="00B41377" w:rsidRDefault="001A63C6" w:rsidP="001A63C6">
            <w:pPr>
              <w:pStyle w:val="TableText"/>
              <w:widowControl w:val="0"/>
              <w:rPr>
                <w:rStyle w:val="EndnoteReference"/>
                <w:rFonts w:cs="Tahoma"/>
                <w:color w:val="0000FF"/>
                <w:sz w:val="13"/>
                <w:szCs w:val="13"/>
                <w:u w:val="single"/>
              </w:rPr>
            </w:pPr>
          </w:p>
        </w:tc>
        <w:tc>
          <w:tcPr>
            <w:tcW w:w="449" w:type="dxa"/>
            <w:tcBorders>
              <w:bottom w:val="single" w:sz="4" w:space="0" w:color="auto"/>
            </w:tcBorders>
            <w:shd w:val="clear" w:color="auto" w:fill="FABF8F"/>
          </w:tcPr>
          <w:p w:rsidR="001A63C6" w:rsidRPr="00A75DF9" w:rsidRDefault="001A63C6" w:rsidP="001A63C6">
            <w:pPr>
              <w:pStyle w:val="TableText"/>
              <w:widowControl w:val="0"/>
              <w:spacing w:before="180"/>
              <w:rPr>
                <w:rFonts w:ascii="Tahoma" w:hAnsi="Tahoma" w:cs="Tahoma"/>
                <w:color w:val="000000"/>
                <w:sz w:val="13"/>
              </w:rPr>
            </w:pPr>
            <w:r w:rsidRPr="00A75DF9">
              <w:rPr>
                <w:rFonts w:ascii="Tahoma" w:hAnsi="Tahoma" w:cs="Tahoma"/>
                <w:color w:val="000000"/>
                <w:sz w:val="13"/>
              </w:rPr>
              <w:t>11/10</w:t>
            </w:r>
          </w:p>
        </w:tc>
        <w:tc>
          <w:tcPr>
            <w:tcW w:w="359"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SRV</w:t>
            </w:r>
          </w:p>
        </w:tc>
        <w:tc>
          <w:tcPr>
            <w:tcW w:w="356"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c>
          <w:tcPr>
            <w:tcW w:w="45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c>
          <w:tcPr>
            <w:tcW w:w="44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c>
          <w:tcPr>
            <w:tcW w:w="374"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c>
          <w:tcPr>
            <w:tcW w:w="455"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sz w:val="13"/>
              </w:rPr>
              <w:t>A</w:t>
            </w:r>
          </w:p>
        </w:tc>
        <w:tc>
          <w:tcPr>
            <w:tcW w:w="539"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r>
      <w:tr w:rsidR="001A63C6" w:rsidRPr="00A75DF9" w:rsidTr="008A1262">
        <w:trPr>
          <w:trHeight w:val="145"/>
        </w:trPr>
        <w:tc>
          <w:tcPr>
            <w:tcW w:w="2724" w:type="dxa"/>
            <w:gridSpan w:val="2"/>
            <w:tcBorders>
              <w:bottom w:val="single" w:sz="4" w:space="0" w:color="auto"/>
            </w:tcBorders>
            <w:shd w:val="clear" w:color="auto" w:fill="auto"/>
            <w:vAlign w:val="center"/>
          </w:tcPr>
          <w:p w:rsidR="001A63C6" w:rsidRPr="00A75DF9" w:rsidRDefault="001A63C6" w:rsidP="00B41377">
            <w:pPr>
              <w:pStyle w:val="ProductNames"/>
              <w:spacing w:beforeLines="10" w:before="24" w:afterLines="10" w:after="24"/>
              <w:rPr>
                <w:rFonts w:ascii="Tahoma" w:hAnsi="Tahoma" w:cs="Tahoma"/>
                <w:sz w:val="14"/>
              </w:rPr>
            </w:pPr>
            <w:bookmarkStart w:id="402" w:name="_Toc257333903"/>
            <w:bookmarkStart w:id="403" w:name="_Toc336338067"/>
            <w:bookmarkStart w:id="404" w:name="_Toc368310071"/>
            <w:r w:rsidRPr="00A75DF9">
              <w:rPr>
                <w:rFonts w:ascii="Tahoma" w:hAnsi="Tahoma" w:cs="Tahoma"/>
                <w:sz w:val="14"/>
              </w:rPr>
              <w:t>Licenza di Gestione Server Enterprise per System Center Data Protection Manager</w:t>
            </w:r>
            <w:r w:rsidR="00B41377">
              <w:rPr>
                <w:rFonts w:ascii="Tahoma" w:hAnsi="Tahoma" w:cs="Tahoma"/>
                <w:sz w:val="14"/>
              </w:rPr>
              <w:t> </w:t>
            </w:r>
            <w:r w:rsidRPr="00A75DF9">
              <w:rPr>
                <w:rFonts w:ascii="Tahoma" w:hAnsi="Tahoma" w:cs="Tahoma"/>
                <w:sz w:val="14"/>
              </w:rPr>
              <w:t>2010</w:t>
            </w:r>
            <w:bookmarkEnd w:id="402"/>
            <w:bookmarkEnd w:id="403"/>
            <w:bookmarkEnd w:id="404"/>
            <w:r w:rsidRPr="00A75DF9">
              <w:rPr>
                <w:rFonts w:ascii="Tahoma" w:hAnsi="Tahoma" w:cs="Tahoma"/>
                <w:sz w:val="14"/>
              </w:rPr>
              <w:t xml:space="preserve"> </w:t>
            </w:r>
          </w:p>
        </w:tc>
        <w:tc>
          <w:tcPr>
            <w:tcW w:w="448" w:type="dxa"/>
            <w:tcBorders>
              <w:bottom w:val="single" w:sz="4" w:space="0" w:color="auto"/>
            </w:tcBorders>
            <w:shd w:val="clear" w:color="auto" w:fill="auto"/>
            <w:vAlign w:val="center"/>
          </w:tcPr>
          <w:p w:rsidR="001A63C6" w:rsidRPr="00B41377" w:rsidRDefault="001A63C6" w:rsidP="001A63C6">
            <w:pPr>
              <w:pStyle w:val="TableText"/>
              <w:widowControl w:val="0"/>
              <w:jc w:val="left"/>
              <w:rPr>
                <w:rStyle w:val="EndnoteReference"/>
                <w:rFonts w:cs="Tahoma"/>
                <w:sz w:val="13"/>
                <w:szCs w:val="13"/>
                <w:u w:val="single"/>
              </w:rPr>
            </w:pPr>
          </w:p>
        </w:tc>
        <w:tc>
          <w:tcPr>
            <w:tcW w:w="449" w:type="dxa"/>
            <w:tcBorders>
              <w:bottom w:val="single" w:sz="4" w:space="0" w:color="auto"/>
            </w:tcBorders>
            <w:shd w:val="clear" w:color="auto" w:fill="auto"/>
          </w:tcPr>
          <w:p w:rsidR="001A63C6" w:rsidRPr="00A75DF9" w:rsidRDefault="001A63C6" w:rsidP="001A63C6">
            <w:pPr>
              <w:pStyle w:val="TableText"/>
              <w:widowControl w:val="0"/>
              <w:spacing w:before="180"/>
              <w:rPr>
                <w:rFonts w:ascii="Tahoma" w:hAnsi="Tahoma" w:cs="Tahoma"/>
                <w:color w:val="000000"/>
                <w:sz w:val="13"/>
              </w:rPr>
            </w:pPr>
            <w:r w:rsidRPr="00A75DF9">
              <w:rPr>
                <w:rFonts w:ascii="Tahoma" w:hAnsi="Tahoma" w:cs="Tahoma"/>
                <w:sz w:val="13"/>
              </w:rPr>
              <w:t>06/10</w:t>
            </w:r>
          </w:p>
        </w:tc>
        <w:tc>
          <w:tcPr>
            <w:tcW w:w="359"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SRV</w:t>
            </w:r>
          </w:p>
        </w:tc>
        <w:tc>
          <w:tcPr>
            <w:tcW w:w="356"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c>
          <w:tcPr>
            <w:tcW w:w="455"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c>
          <w:tcPr>
            <w:tcW w:w="445"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c>
          <w:tcPr>
            <w:tcW w:w="374"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c>
          <w:tcPr>
            <w:tcW w:w="455"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sz w:val="13"/>
              </w:rPr>
              <w:t>AO, ST</w:t>
            </w:r>
          </w:p>
        </w:tc>
        <w:tc>
          <w:tcPr>
            <w:tcW w:w="539"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r>
      <w:tr w:rsidR="00B33D0E" w:rsidRPr="00A75DF9" w:rsidTr="008A1262">
        <w:trPr>
          <w:trHeight w:val="145"/>
        </w:trPr>
        <w:tc>
          <w:tcPr>
            <w:tcW w:w="2724" w:type="dxa"/>
            <w:gridSpan w:val="2"/>
            <w:tcBorders>
              <w:bottom w:val="single" w:sz="4" w:space="0" w:color="auto"/>
            </w:tcBorders>
            <w:shd w:val="clear" w:color="auto" w:fill="FABF8F"/>
            <w:vAlign w:val="center"/>
          </w:tcPr>
          <w:p w:rsidR="001A63C6" w:rsidRPr="00A75DF9" w:rsidRDefault="001A63C6" w:rsidP="00B41377">
            <w:pPr>
              <w:pStyle w:val="ProductNames"/>
              <w:spacing w:beforeLines="10" w:before="24" w:afterLines="10" w:after="24"/>
              <w:rPr>
                <w:rFonts w:ascii="Tahoma" w:hAnsi="Tahoma" w:cs="Tahoma"/>
                <w:sz w:val="14"/>
              </w:rPr>
            </w:pPr>
            <w:bookmarkStart w:id="405" w:name="_Toc257333904"/>
            <w:bookmarkStart w:id="406" w:name="_Toc336338068"/>
            <w:bookmarkStart w:id="407" w:name="_Toc368310072"/>
            <w:r w:rsidRPr="00A75DF9">
              <w:rPr>
                <w:rFonts w:ascii="Tahoma" w:hAnsi="Tahoma" w:cs="Tahoma"/>
                <w:sz w:val="14"/>
              </w:rPr>
              <w:lastRenderedPageBreak/>
              <w:t>Licenza di Gestione Server Standard per</w:t>
            </w:r>
            <w:r w:rsidR="00B41377">
              <w:rPr>
                <w:rFonts w:ascii="Tahoma" w:hAnsi="Tahoma" w:cs="Tahoma"/>
                <w:sz w:val="14"/>
              </w:rPr>
              <w:t> </w:t>
            </w:r>
            <w:r w:rsidRPr="00A75DF9">
              <w:rPr>
                <w:rFonts w:ascii="Tahoma" w:hAnsi="Tahoma" w:cs="Tahoma"/>
                <w:sz w:val="14"/>
              </w:rPr>
              <w:t>System Center Data Protection Manager 2010</w:t>
            </w:r>
            <w:bookmarkEnd w:id="405"/>
            <w:bookmarkEnd w:id="406"/>
            <w:bookmarkEnd w:id="407"/>
            <w:r w:rsidRPr="00A75DF9">
              <w:rPr>
                <w:rFonts w:ascii="Tahoma" w:hAnsi="Tahoma" w:cs="Tahoma"/>
                <w:sz w:val="14"/>
              </w:rPr>
              <w:t xml:space="preserve"> </w:t>
            </w:r>
          </w:p>
        </w:tc>
        <w:tc>
          <w:tcPr>
            <w:tcW w:w="448" w:type="dxa"/>
            <w:tcBorders>
              <w:bottom w:val="single" w:sz="4" w:space="0" w:color="auto"/>
            </w:tcBorders>
            <w:shd w:val="clear" w:color="auto" w:fill="FABF8F"/>
            <w:vAlign w:val="center"/>
          </w:tcPr>
          <w:p w:rsidR="001A63C6" w:rsidRPr="00B41377" w:rsidRDefault="001A63C6" w:rsidP="001A63C6">
            <w:pPr>
              <w:pStyle w:val="TableText"/>
              <w:widowControl w:val="0"/>
              <w:rPr>
                <w:rStyle w:val="EndnoteReference"/>
                <w:rFonts w:cs="Tahoma"/>
                <w:color w:val="0000FF"/>
                <w:sz w:val="13"/>
                <w:szCs w:val="13"/>
                <w:u w:val="single"/>
              </w:rPr>
            </w:pPr>
          </w:p>
        </w:tc>
        <w:tc>
          <w:tcPr>
            <w:tcW w:w="449" w:type="dxa"/>
            <w:tcBorders>
              <w:bottom w:val="single" w:sz="4" w:space="0" w:color="auto"/>
            </w:tcBorders>
            <w:shd w:val="clear" w:color="auto" w:fill="FABF8F"/>
          </w:tcPr>
          <w:p w:rsidR="001A63C6" w:rsidRPr="00A75DF9" w:rsidRDefault="001A63C6" w:rsidP="001A63C6">
            <w:pPr>
              <w:pStyle w:val="TableText"/>
              <w:widowControl w:val="0"/>
              <w:spacing w:before="180"/>
              <w:rPr>
                <w:rFonts w:ascii="Tahoma" w:hAnsi="Tahoma" w:cs="Tahoma"/>
                <w:color w:val="000000"/>
                <w:sz w:val="13"/>
              </w:rPr>
            </w:pPr>
            <w:r w:rsidRPr="00A75DF9">
              <w:rPr>
                <w:rFonts w:ascii="Tahoma" w:hAnsi="Tahoma" w:cs="Tahoma"/>
                <w:sz w:val="13"/>
              </w:rPr>
              <w:t>06/10</w:t>
            </w:r>
          </w:p>
        </w:tc>
        <w:tc>
          <w:tcPr>
            <w:tcW w:w="359"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SRV</w:t>
            </w:r>
          </w:p>
        </w:tc>
        <w:tc>
          <w:tcPr>
            <w:tcW w:w="356"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c>
          <w:tcPr>
            <w:tcW w:w="45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c>
          <w:tcPr>
            <w:tcW w:w="44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c>
          <w:tcPr>
            <w:tcW w:w="374"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c>
          <w:tcPr>
            <w:tcW w:w="455"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sz w:val="13"/>
              </w:rPr>
              <w:t>AO, ST</w:t>
            </w:r>
          </w:p>
        </w:tc>
        <w:tc>
          <w:tcPr>
            <w:tcW w:w="539"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r>
      <w:tr w:rsidR="001A63C6" w:rsidRPr="00A75DF9" w:rsidTr="008A1262">
        <w:trPr>
          <w:trHeight w:val="145"/>
        </w:trPr>
        <w:tc>
          <w:tcPr>
            <w:tcW w:w="2724" w:type="dxa"/>
            <w:gridSpan w:val="2"/>
            <w:tcBorders>
              <w:bottom w:val="single" w:sz="4" w:space="0" w:color="auto"/>
            </w:tcBorders>
            <w:shd w:val="clear" w:color="auto" w:fill="auto"/>
            <w:vAlign w:val="center"/>
          </w:tcPr>
          <w:p w:rsidR="001A63C6" w:rsidRPr="00A75DF9" w:rsidRDefault="001A63C6" w:rsidP="008B1245">
            <w:pPr>
              <w:pStyle w:val="ProductNames"/>
              <w:spacing w:beforeLines="20" w:before="48" w:afterLines="20" w:after="48"/>
              <w:rPr>
                <w:rFonts w:ascii="Tahoma" w:hAnsi="Tahoma" w:cs="Tahoma"/>
                <w:sz w:val="14"/>
              </w:rPr>
            </w:pPr>
            <w:bookmarkStart w:id="408" w:name="_Toc336338069"/>
            <w:bookmarkStart w:id="409" w:name="_Toc257333905"/>
            <w:bookmarkStart w:id="410" w:name="_Toc368310073"/>
            <w:r w:rsidRPr="00A75DF9">
              <w:rPr>
                <w:rFonts w:ascii="Tahoma" w:hAnsi="Tahoma" w:cs="Tahoma"/>
                <w:sz w:val="14"/>
              </w:rPr>
              <w:t>System Center Essentials 2010</w:t>
            </w:r>
            <w:bookmarkEnd w:id="408"/>
            <w:bookmarkEnd w:id="410"/>
            <w:r w:rsidRPr="00A75DF9">
              <w:rPr>
                <w:rFonts w:ascii="Tahoma" w:hAnsi="Tahoma" w:cs="Tahoma"/>
                <w:sz w:val="14"/>
              </w:rPr>
              <w:t xml:space="preserve"> </w:t>
            </w:r>
            <w:bookmarkEnd w:id="409"/>
          </w:p>
        </w:tc>
        <w:tc>
          <w:tcPr>
            <w:tcW w:w="448" w:type="dxa"/>
            <w:tcBorders>
              <w:bottom w:val="single" w:sz="4" w:space="0" w:color="auto"/>
            </w:tcBorders>
            <w:shd w:val="clear" w:color="auto" w:fill="auto"/>
            <w:vAlign w:val="center"/>
          </w:tcPr>
          <w:p w:rsidR="001A63C6" w:rsidRPr="00B41377" w:rsidRDefault="00B54770" w:rsidP="00C2711E">
            <w:pPr>
              <w:pStyle w:val="TableText"/>
              <w:widowControl w:val="0"/>
              <w:rPr>
                <w:rStyle w:val="EndnoteReference"/>
                <w:rFonts w:cs="Tahoma"/>
                <w:b w:val="0"/>
                <w:color w:val="0000FF"/>
                <w:sz w:val="13"/>
                <w:szCs w:val="13"/>
                <w:u w:val="single"/>
              </w:rPr>
            </w:pPr>
            <w:hyperlink w:anchor="_79_System_Center" w:history="1">
              <w:r w:rsidR="00734B17" w:rsidRPr="00B41377">
                <w:rPr>
                  <w:rStyle w:val="Hyperlink"/>
                  <w:rFonts w:cs="Tahoma"/>
                  <w:b/>
                  <w:sz w:val="13"/>
                  <w:szCs w:val="13"/>
                </w:rPr>
                <w:t>91</w:t>
              </w:r>
            </w:hyperlink>
          </w:p>
        </w:tc>
        <w:tc>
          <w:tcPr>
            <w:tcW w:w="449" w:type="dxa"/>
            <w:tcBorders>
              <w:bottom w:val="single" w:sz="4" w:space="0" w:color="auto"/>
            </w:tcBorders>
            <w:shd w:val="clear" w:color="auto" w:fill="auto"/>
          </w:tcPr>
          <w:p w:rsidR="001A63C6" w:rsidRPr="00A75DF9" w:rsidRDefault="001A63C6" w:rsidP="001A63C6">
            <w:pPr>
              <w:pStyle w:val="TableText"/>
              <w:widowControl w:val="0"/>
              <w:spacing w:before="120"/>
              <w:rPr>
                <w:rFonts w:ascii="Tahoma" w:hAnsi="Tahoma" w:cs="Tahoma"/>
                <w:color w:val="000000"/>
                <w:sz w:val="13"/>
              </w:rPr>
            </w:pPr>
          </w:p>
        </w:tc>
        <w:tc>
          <w:tcPr>
            <w:tcW w:w="359"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c>
          <w:tcPr>
            <w:tcW w:w="356"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c>
          <w:tcPr>
            <w:tcW w:w="455"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c>
          <w:tcPr>
            <w:tcW w:w="445"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c>
          <w:tcPr>
            <w:tcW w:w="374"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c>
          <w:tcPr>
            <w:tcW w:w="455"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rsidR="001A63C6" w:rsidRPr="00A75DF9" w:rsidRDefault="001A63C6" w:rsidP="001A63C6">
            <w:pPr>
              <w:pStyle w:val="TableText"/>
              <w:widowControl w:val="0"/>
              <w:rPr>
                <w:rFonts w:ascii="Tahoma" w:hAnsi="Tahoma" w:cs="Tahoma"/>
                <w:color w:val="000000"/>
                <w:sz w:val="13"/>
              </w:rPr>
            </w:pPr>
          </w:p>
        </w:tc>
        <w:tc>
          <w:tcPr>
            <w:tcW w:w="539"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r>
      <w:tr w:rsidR="00B33D0E" w:rsidRPr="00A75DF9" w:rsidTr="008A1262">
        <w:trPr>
          <w:trHeight w:val="145"/>
        </w:trPr>
        <w:tc>
          <w:tcPr>
            <w:tcW w:w="2724" w:type="dxa"/>
            <w:gridSpan w:val="2"/>
            <w:tcBorders>
              <w:bottom w:val="single" w:sz="4" w:space="0" w:color="auto"/>
            </w:tcBorders>
            <w:shd w:val="clear" w:color="auto" w:fill="FABF8F"/>
            <w:vAlign w:val="center"/>
          </w:tcPr>
          <w:p w:rsidR="001A63C6" w:rsidRPr="00A75DF9" w:rsidRDefault="001A63C6" w:rsidP="00B41377">
            <w:pPr>
              <w:pStyle w:val="ProductNames"/>
              <w:spacing w:beforeLines="20" w:before="48" w:afterLines="20" w:after="48"/>
              <w:rPr>
                <w:rFonts w:ascii="Tahoma" w:hAnsi="Tahoma" w:cs="Tahoma"/>
                <w:sz w:val="14"/>
              </w:rPr>
            </w:pPr>
            <w:bookmarkStart w:id="411" w:name="_Toc257333906"/>
            <w:bookmarkStart w:id="412" w:name="_Toc336338070"/>
            <w:bookmarkStart w:id="413" w:name="_Toc368310074"/>
            <w:r w:rsidRPr="00A75DF9">
              <w:rPr>
                <w:rFonts w:ascii="Tahoma" w:hAnsi="Tahoma" w:cs="Tahoma"/>
                <w:sz w:val="14"/>
              </w:rPr>
              <w:t>Client ML per System Center Essentials</w:t>
            </w:r>
            <w:r w:rsidR="00B41377">
              <w:rPr>
                <w:rFonts w:ascii="Tahoma" w:hAnsi="Tahoma" w:cs="Tahoma"/>
                <w:sz w:val="14"/>
              </w:rPr>
              <w:t> </w:t>
            </w:r>
            <w:r w:rsidRPr="00A75DF9">
              <w:rPr>
                <w:rFonts w:ascii="Tahoma" w:hAnsi="Tahoma" w:cs="Tahoma"/>
                <w:sz w:val="14"/>
              </w:rPr>
              <w:t>2010</w:t>
            </w:r>
            <w:bookmarkEnd w:id="411"/>
            <w:bookmarkEnd w:id="412"/>
            <w:bookmarkEnd w:id="413"/>
          </w:p>
        </w:tc>
        <w:tc>
          <w:tcPr>
            <w:tcW w:w="448" w:type="dxa"/>
            <w:tcBorders>
              <w:bottom w:val="single" w:sz="4" w:space="0" w:color="auto"/>
            </w:tcBorders>
            <w:shd w:val="clear" w:color="auto" w:fill="FABF8F"/>
            <w:vAlign w:val="center"/>
          </w:tcPr>
          <w:p w:rsidR="001A63C6" w:rsidRPr="00B41377" w:rsidRDefault="001A63C6" w:rsidP="001A63C6">
            <w:pPr>
              <w:pStyle w:val="TableText"/>
              <w:widowControl w:val="0"/>
              <w:rPr>
                <w:rStyle w:val="EndnoteReference"/>
                <w:rFonts w:cs="Tahoma"/>
                <w:sz w:val="13"/>
                <w:szCs w:val="13"/>
                <w:u w:val="single"/>
              </w:rPr>
            </w:pPr>
          </w:p>
        </w:tc>
        <w:tc>
          <w:tcPr>
            <w:tcW w:w="449" w:type="dxa"/>
            <w:tcBorders>
              <w:bottom w:val="single" w:sz="4" w:space="0" w:color="auto"/>
            </w:tcBorders>
            <w:shd w:val="clear" w:color="auto" w:fill="FABF8F"/>
          </w:tcPr>
          <w:p w:rsidR="001A63C6" w:rsidRPr="00A75DF9" w:rsidRDefault="001A63C6" w:rsidP="001A63C6">
            <w:pPr>
              <w:pStyle w:val="TableText"/>
              <w:widowControl w:val="0"/>
              <w:spacing w:before="100"/>
              <w:rPr>
                <w:rFonts w:ascii="Tahoma" w:hAnsi="Tahoma" w:cs="Tahoma"/>
                <w:color w:val="000000"/>
                <w:sz w:val="13"/>
              </w:rPr>
            </w:pPr>
          </w:p>
        </w:tc>
        <w:tc>
          <w:tcPr>
            <w:tcW w:w="359"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c>
          <w:tcPr>
            <w:tcW w:w="45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c>
          <w:tcPr>
            <w:tcW w:w="44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c>
          <w:tcPr>
            <w:tcW w:w="374"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c>
          <w:tcPr>
            <w:tcW w:w="455"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1A63C6" w:rsidRPr="00A75DF9" w:rsidRDefault="001A63C6" w:rsidP="001A63C6">
            <w:pPr>
              <w:pStyle w:val="TableText"/>
              <w:widowControl w:val="0"/>
              <w:rPr>
                <w:rFonts w:ascii="Tahoma" w:hAnsi="Tahoma" w:cs="Tahoma"/>
                <w:color w:val="000000"/>
                <w:sz w:val="13"/>
              </w:rPr>
            </w:pPr>
          </w:p>
        </w:tc>
        <w:tc>
          <w:tcPr>
            <w:tcW w:w="539"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r>
      <w:tr w:rsidR="001A63C6" w:rsidRPr="00A75DF9" w:rsidTr="008A1262">
        <w:trPr>
          <w:trHeight w:val="145"/>
        </w:trPr>
        <w:tc>
          <w:tcPr>
            <w:tcW w:w="2724" w:type="dxa"/>
            <w:gridSpan w:val="2"/>
            <w:tcBorders>
              <w:bottom w:val="single" w:sz="4" w:space="0" w:color="auto"/>
            </w:tcBorders>
            <w:shd w:val="clear" w:color="auto" w:fill="auto"/>
            <w:vAlign w:val="center"/>
          </w:tcPr>
          <w:p w:rsidR="001A63C6" w:rsidRPr="00A75DF9" w:rsidRDefault="001A63C6" w:rsidP="00B41377">
            <w:pPr>
              <w:pStyle w:val="ProductNames"/>
              <w:spacing w:beforeLines="20" w:before="48" w:afterLines="20" w:after="48"/>
              <w:rPr>
                <w:rFonts w:ascii="Tahoma" w:hAnsi="Tahoma" w:cs="Tahoma"/>
                <w:sz w:val="14"/>
              </w:rPr>
            </w:pPr>
            <w:bookmarkStart w:id="414" w:name="_Toc257333908"/>
            <w:bookmarkStart w:id="415" w:name="_Toc336338071"/>
            <w:bookmarkStart w:id="416" w:name="_Toc368310075"/>
            <w:r w:rsidRPr="00A75DF9">
              <w:rPr>
                <w:rFonts w:ascii="Tahoma" w:hAnsi="Tahoma" w:cs="Tahoma"/>
                <w:sz w:val="14"/>
              </w:rPr>
              <w:t>Server ML per System Center Essentials</w:t>
            </w:r>
            <w:r w:rsidR="00B41377">
              <w:rPr>
                <w:rFonts w:ascii="Tahoma" w:hAnsi="Tahoma" w:cs="Tahoma"/>
                <w:sz w:val="14"/>
              </w:rPr>
              <w:t> </w:t>
            </w:r>
            <w:r w:rsidRPr="00A75DF9">
              <w:rPr>
                <w:rFonts w:ascii="Tahoma" w:hAnsi="Tahoma" w:cs="Tahoma"/>
                <w:sz w:val="14"/>
              </w:rPr>
              <w:t>2010</w:t>
            </w:r>
            <w:bookmarkEnd w:id="414"/>
            <w:bookmarkEnd w:id="415"/>
            <w:bookmarkEnd w:id="416"/>
          </w:p>
        </w:tc>
        <w:tc>
          <w:tcPr>
            <w:tcW w:w="448" w:type="dxa"/>
            <w:tcBorders>
              <w:bottom w:val="single" w:sz="4" w:space="0" w:color="auto"/>
            </w:tcBorders>
            <w:shd w:val="clear" w:color="auto" w:fill="auto"/>
            <w:vAlign w:val="center"/>
          </w:tcPr>
          <w:p w:rsidR="001A63C6" w:rsidRPr="00B41377" w:rsidRDefault="001A63C6" w:rsidP="001A63C6">
            <w:pPr>
              <w:pStyle w:val="TableText"/>
              <w:widowControl w:val="0"/>
              <w:rPr>
                <w:rStyle w:val="EndnoteReference"/>
                <w:rFonts w:cs="Tahoma"/>
                <w:sz w:val="13"/>
                <w:szCs w:val="13"/>
                <w:u w:val="single"/>
              </w:rPr>
            </w:pPr>
          </w:p>
        </w:tc>
        <w:tc>
          <w:tcPr>
            <w:tcW w:w="449" w:type="dxa"/>
            <w:tcBorders>
              <w:bottom w:val="single" w:sz="4" w:space="0" w:color="auto"/>
            </w:tcBorders>
            <w:shd w:val="clear" w:color="auto" w:fill="auto"/>
          </w:tcPr>
          <w:p w:rsidR="001A63C6" w:rsidRPr="00A75DF9" w:rsidRDefault="001A63C6" w:rsidP="001A63C6">
            <w:pPr>
              <w:pStyle w:val="TableText"/>
              <w:widowControl w:val="0"/>
              <w:spacing w:before="80"/>
              <w:rPr>
                <w:rFonts w:ascii="Tahoma" w:hAnsi="Tahoma" w:cs="Tahoma"/>
                <w:color w:val="000000"/>
                <w:sz w:val="13"/>
              </w:rPr>
            </w:pPr>
          </w:p>
        </w:tc>
        <w:tc>
          <w:tcPr>
            <w:tcW w:w="359"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c>
          <w:tcPr>
            <w:tcW w:w="356"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c>
          <w:tcPr>
            <w:tcW w:w="455"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c>
          <w:tcPr>
            <w:tcW w:w="445"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c>
          <w:tcPr>
            <w:tcW w:w="374"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c>
          <w:tcPr>
            <w:tcW w:w="455"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rsidR="001A63C6" w:rsidRPr="00A75DF9" w:rsidRDefault="001A63C6" w:rsidP="001A63C6">
            <w:pPr>
              <w:pStyle w:val="TableText"/>
              <w:widowControl w:val="0"/>
              <w:rPr>
                <w:rFonts w:ascii="Tahoma" w:hAnsi="Tahoma" w:cs="Tahoma"/>
                <w:color w:val="000000"/>
                <w:sz w:val="13"/>
              </w:rPr>
            </w:pPr>
          </w:p>
        </w:tc>
        <w:tc>
          <w:tcPr>
            <w:tcW w:w="539"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r>
      <w:tr w:rsidR="00B33D0E" w:rsidRPr="00A75DF9" w:rsidTr="008A1262">
        <w:trPr>
          <w:trHeight w:val="145"/>
        </w:trPr>
        <w:tc>
          <w:tcPr>
            <w:tcW w:w="2724" w:type="dxa"/>
            <w:gridSpan w:val="2"/>
            <w:tcBorders>
              <w:bottom w:val="single" w:sz="4" w:space="0" w:color="auto"/>
            </w:tcBorders>
            <w:shd w:val="clear" w:color="auto" w:fill="FABF8F"/>
            <w:vAlign w:val="center"/>
          </w:tcPr>
          <w:p w:rsidR="001A63C6" w:rsidRPr="00A75DF9" w:rsidRDefault="001A63C6" w:rsidP="00B41377">
            <w:pPr>
              <w:pStyle w:val="ProductNames"/>
              <w:spacing w:beforeLines="20" w:before="48" w:afterLines="20" w:after="48"/>
              <w:rPr>
                <w:rFonts w:ascii="Tahoma" w:hAnsi="Tahoma" w:cs="Tahoma"/>
                <w:sz w:val="14"/>
              </w:rPr>
            </w:pPr>
            <w:bookmarkStart w:id="417" w:name="_Toc336338072"/>
            <w:bookmarkStart w:id="418" w:name="_Toc257333910"/>
            <w:bookmarkStart w:id="419" w:name="_Toc368310076"/>
            <w:r w:rsidRPr="00A75DF9">
              <w:rPr>
                <w:rFonts w:ascii="Tahoma" w:hAnsi="Tahoma" w:cs="Tahoma"/>
                <w:sz w:val="14"/>
              </w:rPr>
              <w:t>System Center Essentials 2010 con</w:t>
            </w:r>
            <w:r w:rsidR="00B41377">
              <w:rPr>
                <w:rFonts w:ascii="Tahoma" w:hAnsi="Tahoma" w:cs="Tahoma"/>
                <w:sz w:val="14"/>
              </w:rPr>
              <w:t> </w:t>
            </w:r>
            <w:r w:rsidRPr="00A75DF9">
              <w:rPr>
                <w:rFonts w:ascii="Tahoma" w:hAnsi="Tahoma" w:cs="Tahoma"/>
                <w:sz w:val="14"/>
              </w:rPr>
              <w:t>Tecnologia SQL Server 2008</w:t>
            </w:r>
            <w:bookmarkEnd w:id="417"/>
            <w:bookmarkEnd w:id="419"/>
            <w:r w:rsidRPr="00A75DF9">
              <w:rPr>
                <w:rFonts w:ascii="Tahoma" w:hAnsi="Tahoma" w:cs="Tahoma"/>
                <w:sz w:val="14"/>
              </w:rPr>
              <w:t xml:space="preserve"> </w:t>
            </w:r>
            <w:bookmarkEnd w:id="418"/>
          </w:p>
        </w:tc>
        <w:tc>
          <w:tcPr>
            <w:tcW w:w="448" w:type="dxa"/>
            <w:tcBorders>
              <w:bottom w:val="single" w:sz="4" w:space="0" w:color="auto"/>
            </w:tcBorders>
            <w:shd w:val="clear" w:color="auto" w:fill="FABF8F"/>
            <w:vAlign w:val="center"/>
          </w:tcPr>
          <w:p w:rsidR="001A63C6" w:rsidRPr="00B41377" w:rsidRDefault="001A63C6" w:rsidP="001A63C6">
            <w:pPr>
              <w:pStyle w:val="TableText"/>
              <w:widowControl w:val="0"/>
              <w:rPr>
                <w:rStyle w:val="EndnoteReference"/>
                <w:rFonts w:cs="Tahoma"/>
                <w:sz w:val="13"/>
                <w:szCs w:val="13"/>
                <w:u w:val="single"/>
              </w:rPr>
            </w:pPr>
          </w:p>
        </w:tc>
        <w:tc>
          <w:tcPr>
            <w:tcW w:w="449" w:type="dxa"/>
            <w:tcBorders>
              <w:bottom w:val="single" w:sz="4" w:space="0" w:color="auto"/>
            </w:tcBorders>
            <w:shd w:val="clear" w:color="auto" w:fill="FABF8F"/>
          </w:tcPr>
          <w:p w:rsidR="001A63C6" w:rsidRPr="00A75DF9" w:rsidRDefault="001A63C6" w:rsidP="001A63C6">
            <w:pPr>
              <w:pStyle w:val="TableText"/>
              <w:widowControl w:val="0"/>
              <w:spacing w:before="200"/>
              <w:rPr>
                <w:rFonts w:ascii="Tahoma" w:hAnsi="Tahoma" w:cs="Tahoma"/>
                <w:color w:val="000000"/>
                <w:sz w:val="13"/>
              </w:rPr>
            </w:pPr>
          </w:p>
        </w:tc>
        <w:tc>
          <w:tcPr>
            <w:tcW w:w="359"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c>
          <w:tcPr>
            <w:tcW w:w="356"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c>
          <w:tcPr>
            <w:tcW w:w="45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c>
          <w:tcPr>
            <w:tcW w:w="44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c>
          <w:tcPr>
            <w:tcW w:w="374"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c>
          <w:tcPr>
            <w:tcW w:w="455"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1A63C6" w:rsidRPr="00A75DF9" w:rsidRDefault="001A63C6" w:rsidP="001A63C6">
            <w:pPr>
              <w:pStyle w:val="TableText"/>
              <w:widowControl w:val="0"/>
              <w:rPr>
                <w:rFonts w:ascii="Tahoma" w:hAnsi="Tahoma" w:cs="Tahoma"/>
                <w:color w:val="000000"/>
                <w:sz w:val="13"/>
              </w:rPr>
            </w:pPr>
          </w:p>
        </w:tc>
        <w:tc>
          <w:tcPr>
            <w:tcW w:w="539"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r>
      <w:tr w:rsidR="001A63C6" w:rsidRPr="00A75DF9" w:rsidTr="008A1262">
        <w:trPr>
          <w:trHeight w:val="145"/>
        </w:trPr>
        <w:tc>
          <w:tcPr>
            <w:tcW w:w="2724" w:type="dxa"/>
            <w:gridSpan w:val="2"/>
            <w:tcBorders>
              <w:bottom w:val="single" w:sz="4" w:space="0" w:color="auto"/>
            </w:tcBorders>
            <w:shd w:val="clear" w:color="auto" w:fill="auto"/>
            <w:vAlign w:val="center"/>
          </w:tcPr>
          <w:p w:rsidR="001A63C6" w:rsidRPr="00A75DF9" w:rsidRDefault="001A63C6" w:rsidP="008B1245">
            <w:pPr>
              <w:pStyle w:val="ProductNames"/>
              <w:spacing w:beforeLines="20" w:before="48" w:afterLines="20" w:after="48"/>
              <w:rPr>
                <w:rFonts w:ascii="Tahoma" w:hAnsi="Tahoma" w:cs="Tahoma"/>
                <w:sz w:val="14"/>
              </w:rPr>
            </w:pPr>
            <w:bookmarkStart w:id="420" w:name="_Toc336338073"/>
            <w:bookmarkStart w:id="421" w:name="_Toc368310077"/>
            <w:r w:rsidRPr="00A75DF9">
              <w:rPr>
                <w:rFonts w:ascii="Tahoma" w:hAnsi="Tahoma" w:cs="Tahoma"/>
                <w:sz w:val="14"/>
              </w:rPr>
              <w:t>Suite di Licenza di Gestione Client per System Center Essentials Plus 2010</w:t>
            </w:r>
            <w:bookmarkEnd w:id="420"/>
            <w:bookmarkEnd w:id="421"/>
          </w:p>
        </w:tc>
        <w:tc>
          <w:tcPr>
            <w:tcW w:w="448" w:type="dxa"/>
            <w:tcBorders>
              <w:bottom w:val="single" w:sz="4" w:space="0" w:color="auto"/>
            </w:tcBorders>
            <w:shd w:val="clear" w:color="auto" w:fill="auto"/>
            <w:vAlign w:val="center"/>
          </w:tcPr>
          <w:p w:rsidR="001A63C6" w:rsidRPr="00B41377" w:rsidRDefault="001A63C6" w:rsidP="001A63C6">
            <w:pPr>
              <w:pStyle w:val="TableText"/>
              <w:widowControl w:val="0"/>
              <w:rPr>
                <w:rStyle w:val="EndnoteReference"/>
                <w:rFonts w:cs="Tahoma"/>
                <w:sz w:val="13"/>
                <w:szCs w:val="13"/>
                <w:u w:val="single"/>
              </w:rPr>
            </w:pPr>
          </w:p>
        </w:tc>
        <w:tc>
          <w:tcPr>
            <w:tcW w:w="449" w:type="dxa"/>
            <w:tcBorders>
              <w:bottom w:val="single" w:sz="4" w:space="0" w:color="auto"/>
            </w:tcBorders>
            <w:shd w:val="clear" w:color="auto" w:fill="auto"/>
          </w:tcPr>
          <w:p w:rsidR="001A63C6" w:rsidRPr="00A75DF9" w:rsidRDefault="001A63C6" w:rsidP="001A63C6">
            <w:pPr>
              <w:pStyle w:val="TableText"/>
              <w:widowControl w:val="0"/>
              <w:spacing w:before="80"/>
              <w:rPr>
                <w:rFonts w:ascii="Tahoma" w:hAnsi="Tahoma" w:cs="Tahoma"/>
                <w:color w:val="000000"/>
                <w:sz w:val="13"/>
              </w:rPr>
            </w:pPr>
          </w:p>
        </w:tc>
        <w:tc>
          <w:tcPr>
            <w:tcW w:w="359"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c>
          <w:tcPr>
            <w:tcW w:w="356"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c>
          <w:tcPr>
            <w:tcW w:w="455"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c>
          <w:tcPr>
            <w:tcW w:w="445"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c>
          <w:tcPr>
            <w:tcW w:w="374"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c>
          <w:tcPr>
            <w:tcW w:w="455"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c>
          <w:tcPr>
            <w:tcW w:w="539"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r>
      <w:tr w:rsidR="00B33D0E" w:rsidRPr="00A75DF9" w:rsidTr="008A1262">
        <w:trPr>
          <w:trHeight w:val="145"/>
        </w:trPr>
        <w:tc>
          <w:tcPr>
            <w:tcW w:w="2724" w:type="dxa"/>
            <w:gridSpan w:val="2"/>
            <w:tcBorders>
              <w:bottom w:val="single" w:sz="4" w:space="0" w:color="auto"/>
            </w:tcBorders>
            <w:shd w:val="clear" w:color="auto" w:fill="FABF8F"/>
            <w:vAlign w:val="center"/>
          </w:tcPr>
          <w:p w:rsidR="001A63C6" w:rsidRPr="00A75DF9" w:rsidRDefault="001A63C6" w:rsidP="00B41377">
            <w:pPr>
              <w:pStyle w:val="ProductNames"/>
              <w:spacing w:beforeLines="20" w:before="48" w:afterLines="20" w:after="48"/>
              <w:rPr>
                <w:rFonts w:ascii="Tahoma" w:hAnsi="Tahoma" w:cs="Tahoma"/>
                <w:sz w:val="14"/>
              </w:rPr>
            </w:pPr>
            <w:bookmarkStart w:id="422" w:name="_Toc336338077"/>
            <w:bookmarkStart w:id="423" w:name="_Toc368310078"/>
            <w:r w:rsidRPr="00A75DF9">
              <w:rPr>
                <w:rFonts w:ascii="Tahoma" w:hAnsi="Tahoma" w:cs="Tahoma"/>
                <w:sz w:val="14"/>
              </w:rPr>
              <w:t>Licenza di Gestione Server Standard per</w:t>
            </w:r>
            <w:r w:rsidR="00B41377">
              <w:rPr>
                <w:rFonts w:ascii="Tahoma" w:hAnsi="Tahoma" w:cs="Tahoma"/>
                <w:sz w:val="14"/>
              </w:rPr>
              <w:t> </w:t>
            </w:r>
            <w:r w:rsidRPr="00A75DF9">
              <w:rPr>
                <w:rFonts w:ascii="Tahoma" w:hAnsi="Tahoma" w:cs="Tahoma"/>
                <w:sz w:val="14"/>
              </w:rPr>
              <w:t>System Center Operations Manager</w:t>
            </w:r>
            <w:r w:rsidR="00B41377">
              <w:rPr>
                <w:rFonts w:ascii="Tahoma" w:hAnsi="Tahoma" w:cs="Tahoma"/>
                <w:sz w:val="14"/>
              </w:rPr>
              <w:t> </w:t>
            </w:r>
            <w:r w:rsidRPr="00A75DF9">
              <w:rPr>
                <w:rFonts w:ascii="Tahoma" w:hAnsi="Tahoma" w:cs="Tahoma"/>
                <w:sz w:val="14"/>
              </w:rPr>
              <w:t>2007 R2</w:t>
            </w:r>
            <w:bookmarkEnd w:id="422"/>
            <w:bookmarkEnd w:id="423"/>
            <w:r w:rsidRPr="00A75DF9">
              <w:rPr>
                <w:rFonts w:ascii="Tahoma" w:hAnsi="Tahoma" w:cs="Tahoma"/>
                <w:sz w:val="14"/>
              </w:rPr>
              <w:t xml:space="preserve"> </w:t>
            </w:r>
          </w:p>
        </w:tc>
        <w:tc>
          <w:tcPr>
            <w:tcW w:w="448" w:type="dxa"/>
            <w:tcBorders>
              <w:bottom w:val="single" w:sz="4" w:space="0" w:color="auto"/>
            </w:tcBorders>
            <w:shd w:val="clear" w:color="auto" w:fill="FABF8F"/>
            <w:vAlign w:val="center"/>
          </w:tcPr>
          <w:p w:rsidR="001A63C6" w:rsidRPr="00B41377" w:rsidRDefault="001A63C6" w:rsidP="001A63C6">
            <w:pPr>
              <w:pStyle w:val="TableText"/>
              <w:widowControl w:val="0"/>
              <w:rPr>
                <w:rStyle w:val="EndnoteReference"/>
                <w:rFonts w:cs="Tahoma"/>
                <w:color w:val="000000"/>
                <w:sz w:val="13"/>
                <w:szCs w:val="13"/>
                <w:u w:val="single"/>
              </w:rPr>
            </w:pPr>
          </w:p>
        </w:tc>
        <w:tc>
          <w:tcPr>
            <w:tcW w:w="449" w:type="dxa"/>
            <w:tcBorders>
              <w:bottom w:val="single" w:sz="4" w:space="0" w:color="auto"/>
            </w:tcBorders>
            <w:shd w:val="clear" w:color="auto" w:fill="FABF8F"/>
          </w:tcPr>
          <w:p w:rsidR="001A63C6" w:rsidRPr="00A75DF9" w:rsidRDefault="001A63C6" w:rsidP="001A63C6">
            <w:pPr>
              <w:pStyle w:val="TableText"/>
              <w:widowControl w:val="0"/>
              <w:spacing w:before="200"/>
              <w:rPr>
                <w:rFonts w:ascii="Tahoma" w:hAnsi="Tahoma" w:cs="Tahoma"/>
                <w:color w:val="000000"/>
                <w:sz w:val="13"/>
              </w:rPr>
            </w:pPr>
            <w:r w:rsidRPr="00A75DF9">
              <w:rPr>
                <w:rFonts w:ascii="Tahoma" w:hAnsi="Tahoma" w:cs="Tahoma"/>
                <w:color w:val="000000"/>
                <w:sz w:val="13"/>
              </w:rPr>
              <w:t>07/09</w:t>
            </w:r>
          </w:p>
        </w:tc>
        <w:tc>
          <w:tcPr>
            <w:tcW w:w="359"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SRV</w:t>
            </w:r>
          </w:p>
        </w:tc>
        <w:tc>
          <w:tcPr>
            <w:tcW w:w="356"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c>
          <w:tcPr>
            <w:tcW w:w="45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c>
          <w:tcPr>
            <w:tcW w:w="44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c>
          <w:tcPr>
            <w:tcW w:w="374"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c>
          <w:tcPr>
            <w:tcW w:w="455"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1A63C6" w:rsidRPr="00A75DF9" w:rsidRDefault="001A63C6" w:rsidP="001A63C6">
            <w:pPr>
              <w:pStyle w:val="TableText"/>
              <w:widowControl w:val="0"/>
              <w:spacing w:before="120"/>
              <w:rPr>
                <w:rFonts w:ascii="Tahoma" w:hAnsi="Tahoma" w:cs="Tahoma"/>
                <w:color w:val="000000"/>
                <w:sz w:val="13"/>
              </w:rPr>
            </w:pPr>
            <w:r w:rsidRPr="00A75DF9">
              <w:rPr>
                <w:rFonts w:ascii="Tahoma" w:hAnsi="Tahoma" w:cs="Tahoma"/>
                <w:sz w:val="13"/>
              </w:rPr>
              <w:t>A</w:t>
            </w:r>
          </w:p>
        </w:tc>
        <w:tc>
          <w:tcPr>
            <w:tcW w:w="539"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r>
      <w:tr w:rsidR="001A63C6" w:rsidRPr="00A75DF9" w:rsidTr="008A1262">
        <w:trPr>
          <w:trHeight w:val="145"/>
        </w:trPr>
        <w:tc>
          <w:tcPr>
            <w:tcW w:w="2724" w:type="dxa"/>
            <w:gridSpan w:val="2"/>
            <w:tcBorders>
              <w:bottom w:val="single" w:sz="4" w:space="0" w:color="auto"/>
            </w:tcBorders>
            <w:shd w:val="clear" w:color="auto" w:fill="auto"/>
            <w:vAlign w:val="center"/>
          </w:tcPr>
          <w:p w:rsidR="001A63C6" w:rsidRPr="00A75DF9" w:rsidRDefault="001A63C6" w:rsidP="00B41377">
            <w:pPr>
              <w:pStyle w:val="ProductNames"/>
              <w:spacing w:beforeLines="20" w:before="48" w:afterLines="20" w:after="48"/>
              <w:rPr>
                <w:rFonts w:ascii="Tahoma" w:hAnsi="Tahoma" w:cs="Tahoma"/>
                <w:sz w:val="14"/>
              </w:rPr>
            </w:pPr>
            <w:bookmarkStart w:id="424" w:name="_Toc336338078"/>
            <w:bookmarkStart w:id="425" w:name="_Toc368310079"/>
            <w:r w:rsidRPr="00A75DF9">
              <w:rPr>
                <w:rFonts w:ascii="Tahoma" w:hAnsi="Tahoma" w:cs="Tahoma"/>
                <w:sz w:val="14"/>
              </w:rPr>
              <w:t>Licenza di Gestione Server Enterprise per</w:t>
            </w:r>
            <w:r w:rsidR="00B41377">
              <w:rPr>
                <w:rFonts w:ascii="Tahoma" w:hAnsi="Tahoma" w:cs="Tahoma"/>
                <w:sz w:val="14"/>
              </w:rPr>
              <w:t> </w:t>
            </w:r>
            <w:r w:rsidRPr="00A75DF9">
              <w:rPr>
                <w:rFonts w:ascii="Tahoma" w:hAnsi="Tahoma" w:cs="Tahoma"/>
                <w:sz w:val="14"/>
              </w:rPr>
              <w:t>System Center Operations Manager</w:t>
            </w:r>
            <w:r w:rsidR="00B41377">
              <w:rPr>
                <w:rFonts w:ascii="Tahoma" w:hAnsi="Tahoma" w:cs="Tahoma"/>
                <w:sz w:val="14"/>
              </w:rPr>
              <w:t> </w:t>
            </w:r>
            <w:r w:rsidRPr="00A75DF9">
              <w:rPr>
                <w:rFonts w:ascii="Tahoma" w:hAnsi="Tahoma" w:cs="Tahoma"/>
                <w:sz w:val="14"/>
              </w:rPr>
              <w:t>2007 R2</w:t>
            </w:r>
            <w:bookmarkEnd w:id="424"/>
            <w:bookmarkEnd w:id="425"/>
            <w:r w:rsidRPr="00A75DF9">
              <w:rPr>
                <w:rFonts w:ascii="Tahoma" w:hAnsi="Tahoma" w:cs="Tahoma"/>
                <w:sz w:val="14"/>
              </w:rPr>
              <w:t xml:space="preserve"> </w:t>
            </w:r>
          </w:p>
        </w:tc>
        <w:tc>
          <w:tcPr>
            <w:tcW w:w="448" w:type="dxa"/>
            <w:tcBorders>
              <w:bottom w:val="single" w:sz="4" w:space="0" w:color="auto"/>
            </w:tcBorders>
            <w:shd w:val="clear" w:color="auto" w:fill="auto"/>
            <w:vAlign w:val="center"/>
          </w:tcPr>
          <w:p w:rsidR="001A63C6" w:rsidRPr="00B41377" w:rsidRDefault="001A63C6" w:rsidP="001A63C6">
            <w:pPr>
              <w:pStyle w:val="TableText"/>
              <w:widowControl w:val="0"/>
              <w:rPr>
                <w:rStyle w:val="EndnoteReference"/>
                <w:rFonts w:cs="Tahoma"/>
                <w:color w:val="000000"/>
                <w:sz w:val="13"/>
                <w:szCs w:val="13"/>
                <w:u w:val="single"/>
              </w:rPr>
            </w:pPr>
          </w:p>
        </w:tc>
        <w:tc>
          <w:tcPr>
            <w:tcW w:w="449" w:type="dxa"/>
            <w:tcBorders>
              <w:bottom w:val="single" w:sz="4" w:space="0" w:color="auto"/>
            </w:tcBorders>
            <w:shd w:val="clear" w:color="auto" w:fill="auto"/>
          </w:tcPr>
          <w:p w:rsidR="001A63C6" w:rsidRPr="00A75DF9" w:rsidRDefault="001A63C6" w:rsidP="001A63C6">
            <w:pPr>
              <w:pStyle w:val="TableText"/>
              <w:widowControl w:val="0"/>
              <w:spacing w:before="200"/>
              <w:rPr>
                <w:rFonts w:ascii="Tahoma" w:hAnsi="Tahoma" w:cs="Tahoma"/>
                <w:color w:val="000000"/>
                <w:sz w:val="13"/>
              </w:rPr>
            </w:pPr>
            <w:r w:rsidRPr="00A75DF9">
              <w:rPr>
                <w:rFonts w:ascii="Tahoma" w:hAnsi="Tahoma" w:cs="Tahoma"/>
                <w:color w:val="000000"/>
                <w:sz w:val="13"/>
              </w:rPr>
              <w:t>07/09</w:t>
            </w:r>
          </w:p>
        </w:tc>
        <w:tc>
          <w:tcPr>
            <w:tcW w:w="359"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SRV</w:t>
            </w:r>
          </w:p>
        </w:tc>
        <w:tc>
          <w:tcPr>
            <w:tcW w:w="356"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c>
          <w:tcPr>
            <w:tcW w:w="455"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c>
          <w:tcPr>
            <w:tcW w:w="445"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c>
          <w:tcPr>
            <w:tcW w:w="374"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c>
          <w:tcPr>
            <w:tcW w:w="455"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5</w:t>
            </w: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auto"/>
          </w:tcPr>
          <w:p w:rsidR="001A63C6" w:rsidRPr="00A75DF9" w:rsidRDefault="001A63C6" w:rsidP="001A63C6">
            <w:pPr>
              <w:pStyle w:val="TableText"/>
              <w:widowControl w:val="0"/>
              <w:spacing w:before="120"/>
              <w:rPr>
                <w:rFonts w:ascii="Tahoma" w:hAnsi="Tahoma" w:cs="Tahoma"/>
                <w:color w:val="000000"/>
                <w:sz w:val="13"/>
              </w:rPr>
            </w:pPr>
            <w:r w:rsidRPr="00A75DF9">
              <w:rPr>
                <w:rFonts w:ascii="Tahoma" w:hAnsi="Tahoma" w:cs="Tahoma"/>
                <w:sz w:val="13"/>
              </w:rPr>
              <w:t>A</w:t>
            </w:r>
          </w:p>
        </w:tc>
        <w:tc>
          <w:tcPr>
            <w:tcW w:w="539"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r>
      <w:tr w:rsidR="00B33D0E" w:rsidRPr="00A75DF9" w:rsidTr="008A1262">
        <w:trPr>
          <w:trHeight w:val="145"/>
        </w:trPr>
        <w:tc>
          <w:tcPr>
            <w:tcW w:w="2724" w:type="dxa"/>
            <w:gridSpan w:val="2"/>
            <w:tcBorders>
              <w:bottom w:val="single" w:sz="4" w:space="0" w:color="auto"/>
            </w:tcBorders>
            <w:shd w:val="clear" w:color="auto" w:fill="FABF8F"/>
            <w:vAlign w:val="center"/>
          </w:tcPr>
          <w:p w:rsidR="001A63C6" w:rsidRPr="00A75DF9" w:rsidRDefault="001A63C6" w:rsidP="00B41377">
            <w:pPr>
              <w:pStyle w:val="ProductNames"/>
              <w:spacing w:beforeLines="20" w:before="48" w:afterLines="20" w:after="48"/>
              <w:rPr>
                <w:rFonts w:ascii="Tahoma" w:hAnsi="Tahoma" w:cs="Tahoma"/>
                <w:sz w:val="14"/>
              </w:rPr>
            </w:pPr>
            <w:bookmarkStart w:id="426" w:name="_Toc336338079"/>
            <w:bookmarkStart w:id="427" w:name="_Toc368310080"/>
            <w:r w:rsidRPr="00A75DF9">
              <w:rPr>
                <w:rFonts w:ascii="Tahoma" w:hAnsi="Tahoma" w:cs="Tahoma"/>
                <w:sz w:val="14"/>
              </w:rPr>
              <w:t>Licenza di Gestione Client per OSE per</w:t>
            </w:r>
            <w:r w:rsidR="00B41377">
              <w:rPr>
                <w:rFonts w:ascii="Tahoma" w:hAnsi="Tahoma" w:cs="Tahoma"/>
                <w:sz w:val="14"/>
              </w:rPr>
              <w:t> </w:t>
            </w:r>
            <w:r w:rsidRPr="00A75DF9">
              <w:rPr>
                <w:rFonts w:ascii="Tahoma" w:hAnsi="Tahoma" w:cs="Tahoma"/>
                <w:sz w:val="14"/>
              </w:rPr>
              <w:t>System Center Operations Manager</w:t>
            </w:r>
            <w:r w:rsidR="00B41377">
              <w:rPr>
                <w:rFonts w:ascii="Tahoma" w:hAnsi="Tahoma" w:cs="Tahoma"/>
                <w:sz w:val="14"/>
              </w:rPr>
              <w:t> </w:t>
            </w:r>
            <w:r w:rsidRPr="00A75DF9">
              <w:rPr>
                <w:rFonts w:ascii="Tahoma" w:hAnsi="Tahoma" w:cs="Tahoma"/>
                <w:sz w:val="14"/>
              </w:rPr>
              <w:t>2007 R2</w:t>
            </w:r>
            <w:bookmarkEnd w:id="426"/>
            <w:bookmarkEnd w:id="427"/>
          </w:p>
        </w:tc>
        <w:tc>
          <w:tcPr>
            <w:tcW w:w="448" w:type="dxa"/>
            <w:tcBorders>
              <w:bottom w:val="single" w:sz="4" w:space="0" w:color="auto"/>
            </w:tcBorders>
            <w:shd w:val="clear" w:color="auto" w:fill="FABF8F"/>
            <w:vAlign w:val="center"/>
          </w:tcPr>
          <w:p w:rsidR="001A63C6" w:rsidRPr="00B41377" w:rsidRDefault="001A63C6" w:rsidP="001A63C6">
            <w:pPr>
              <w:pStyle w:val="TableText"/>
              <w:widowControl w:val="0"/>
              <w:rPr>
                <w:rStyle w:val="EndnoteReference"/>
                <w:rFonts w:cs="Tahoma"/>
                <w:color w:val="000000"/>
                <w:sz w:val="13"/>
                <w:szCs w:val="13"/>
                <w:u w:val="single"/>
              </w:rPr>
            </w:pPr>
          </w:p>
        </w:tc>
        <w:tc>
          <w:tcPr>
            <w:tcW w:w="449" w:type="dxa"/>
            <w:tcBorders>
              <w:bottom w:val="single" w:sz="4" w:space="0" w:color="auto"/>
            </w:tcBorders>
            <w:shd w:val="clear" w:color="auto" w:fill="FABF8F"/>
          </w:tcPr>
          <w:p w:rsidR="001A63C6" w:rsidRPr="00A75DF9" w:rsidRDefault="001A63C6" w:rsidP="001A63C6">
            <w:pPr>
              <w:pStyle w:val="TableText"/>
              <w:widowControl w:val="0"/>
              <w:spacing w:before="200"/>
              <w:rPr>
                <w:rFonts w:ascii="Tahoma" w:hAnsi="Tahoma" w:cs="Tahoma"/>
                <w:color w:val="000000"/>
                <w:sz w:val="13"/>
              </w:rPr>
            </w:pPr>
            <w:r w:rsidRPr="00A75DF9">
              <w:rPr>
                <w:rFonts w:ascii="Tahoma" w:hAnsi="Tahoma" w:cs="Tahoma"/>
                <w:color w:val="000000"/>
                <w:sz w:val="13"/>
              </w:rPr>
              <w:t>07/09</w:t>
            </w:r>
          </w:p>
        </w:tc>
        <w:tc>
          <w:tcPr>
            <w:tcW w:w="359"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SRV</w:t>
            </w:r>
          </w:p>
        </w:tc>
        <w:tc>
          <w:tcPr>
            <w:tcW w:w="356"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c>
          <w:tcPr>
            <w:tcW w:w="45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c>
          <w:tcPr>
            <w:tcW w:w="450" w:type="dxa"/>
            <w:gridSpan w:val="3"/>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c>
          <w:tcPr>
            <w:tcW w:w="44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c>
          <w:tcPr>
            <w:tcW w:w="374"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c>
          <w:tcPr>
            <w:tcW w:w="455"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1</w:t>
            </w: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c>
          <w:tcPr>
            <w:tcW w:w="450" w:type="dxa"/>
            <w:tcBorders>
              <w:bottom w:val="single" w:sz="4" w:space="0" w:color="auto"/>
            </w:tcBorders>
            <w:shd w:val="clear" w:color="auto" w:fill="FABF8F"/>
          </w:tcPr>
          <w:p w:rsidR="001A63C6" w:rsidRPr="00A75DF9" w:rsidRDefault="001A63C6" w:rsidP="001A63C6">
            <w:pPr>
              <w:pStyle w:val="TableText"/>
              <w:widowControl w:val="0"/>
              <w:spacing w:before="120"/>
              <w:rPr>
                <w:rFonts w:ascii="Tahoma" w:hAnsi="Tahoma" w:cs="Tahoma"/>
                <w:color w:val="000000"/>
                <w:sz w:val="13"/>
              </w:rPr>
            </w:pPr>
            <w:r w:rsidRPr="00A75DF9">
              <w:rPr>
                <w:rFonts w:ascii="Tahoma" w:hAnsi="Tahoma" w:cs="Tahoma"/>
                <w:sz w:val="13"/>
              </w:rPr>
              <w:t>AO, ST</w:t>
            </w:r>
          </w:p>
        </w:tc>
        <w:tc>
          <w:tcPr>
            <w:tcW w:w="539"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r>
      <w:tr w:rsidR="001A63C6" w:rsidRPr="00A75DF9" w:rsidTr="008A1262">
        <w:trPr>
          <w:trHeight w:val="145"/>
        </w:trPr>
        <w:tc>
          <w:tcPr>
            <w:tcW w:w="2724" w:type="dxa"/>
            <w:gridSpan w:val="2"/>
            <w:tcBorders>
              <w:bottom w:val="single" w:sz="4" w:space="0" w:color="auto"/>
            </w:tcBorders>
            <w:shd w:val="clear" w:color="auto" w:fill="auto"/>
            <w:vAlign w:val="center"/>
          </w:tcPr>
          <w:p w:rsidR="001A63C6" w:rsidRPr="00A75DF9" w:rsidRDefault="001A63C6" w:rsidP="00B41377">
            <w:pPr>
              <w:pStyle w:val="ProductNames"/>
              <w:spacing w:beforeLines="20" w:before="48" w:afterLines="20" w:after="48"/>
              <w:rPr>
                <w:rFonts w:ascii="Tahoma" w:hAnsi="Tahoma" w:cs="Tahoma"/>
                <w:sz w:val="14"/>
              </w:rPr>
            </w:pPr>
            <w:bookmarkStart w:id="428" w:name="_Toc336338080"/>
            <w:bookmarkStart w:id="429" w:name="_Toc368310081"/>
            <w:r w:rsidRPr="00A75DF9">
              <w:rPr>
                <w:rFonts w:ascii="Tahoma" w:hAnsi="Tahoma" w:cs="Tahoma"/>
                <w:sz w:val="14"/>
              </w:rPr>
              <w:t>Licenza di Gestione Client per Utente per</w:t>
            </w:r>
            <w:r w:rsidR="00B41377">
              <w:rPr>
                <w:rFonts w:ascii="Tahoma" w:hAnsi="Tahoma" w:cs="Tahoma"/>
                <w:sz w:val="14"/>
              </w:rPr>
              <w:t> </w:t>
            </w:r>
            <w:r w:rsidRPr="00A75DF9">
              <w:rPr>
                <w:rFonts w:ascii="Tahoma" w:hAnsi="Tahoma" w:cs="Tahoma"/>
                <w:sz w:val="14"/>
              </w:rPr>
              <w:t>System Center Operations Manager</w:t>
            </w:r>
            <w:r w:rsidR="00B41377">
              <w:rPr>
                <w:rFonts w:ascii="Tahoma" w:hAnsi="Tahoma" w:cs="Tahoma"/>
                <w:sz w:val="14"/>
              </w:rPr>
              <w:t> </w:t>
            </w:r>
            <w:r w:rsidRPr="00A75DF9">
              <w:rPr>
                <w:rFonts w:ascii="Tahoma" w:hAnsi="Tahoma" w:cs="Tahoma"/>
                <w:sz w:val="14"/>
              </w:rPr>
              <w:t>2007 R2</w:t>
            </w:r>
            <w:bookmarkEnd w:id="428"/>
            <w:bookmarkEnd w:id="429"/>
          </w:p>
        </w:tc>
        <w:tc>
          <w:tcPr>
            <w:tcW w:w="448" w:type="dxa"/>
            <w:tcBorders>
              <w:bottom w:val="single" w:sz="4" w:space="0" w:color="auto"/>
            </w:tcBorders>
            <w:shd w:val="clear" w:color="auto" w:fill="auto"/>
            <w:vAlign w:val="center"/>
          </w:tcPr>
          <w:p w:rsidR="001A63C6" w:rsidRPr="00B41377" w:rsidRDefault="001A63C6" w:rsidP="001A63C6">
            <w:pPr>
              <w:pStyle w:val="TableText"/>
              <w:widowControl w:val="0"/>
              <w:rPr>
                <w:rStyle w:val="EndnoteReference"/>
                <w:rFonts w:cs="Tahoma"/>
                <w:color w:val="000000"/>
                <w:sz w:val="13"/>
                <w:szCs w:val="13"/>
                <w:u w:val="single"/>
              </w:rPr>
            </w:pPr>
          </w:p>
        </w:tc>
        <w:tc>
          <w:tcPr>
            <w:tcW w:w="449" w:type="dxa"/>
            <w:tcBorders>
              <w:bottom w:val="single" w:sz="4" w:space="0" w:color="auto"/>
            </w:tcBorders>
            <w:shd w:val="clear" w:color="auto" w:fill="auto"/>
          </w:tcPr>
          <w:p w:rsidR="001A63C6" w:rsidRPr="00A75DF9" w:rsidRDefault="001A63C6" w:rsidP="001A63C6">
            <w:pPr>
              <w:pStyle w:val="TableText"/>
              <w:widowControl w:val="0"/>
              <w:spacing w:before="200"/>
              <w:rPr>
                <w:rFonts w:ascii="Tahoma" w:hAnsi="Tahoma" w:cs="Tahoma"/>
                <w:sz w:val="13"/>
              </w:rPr>
            </w:pPr>
            <w:r w:rsidRPr="00A75DF9">
              <w:rPr>
                <w:rFonts w:ascii="Tahoma" w:hAnsi="Tahoma" w:cs="Tahoma"/>
                <w:sz w:val="13"/>
              </w:rPr>
              <w:t>07/09</w:t>
            </w:r>
          </w:p>
        </w:tc>
        <w:tc>
          <w:tcPr>
            <w:tcW w:w="359"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SRV</w:t>
            </w:r>
          </w:p>
        </w:tc>
        <w:tc>
          <w:tcPr>
            <w:tcW w:w="356"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5"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45"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374"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5"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75DF9" w:rsidRDefault="001A63C6" w:rsidP="001A63C6">
            <w:pPr>
              <w:pStyle w:val="TableText"/>
              <w:widowControl w:val="0"/>
              <w:spacing w:before="120"/>
              <w:rPr>
                <w:rFonts w:ascii="Tahoma" w:hAnsi="Tahoma" w:cs="Tahoma"/>
              </w:rPr>
            </w:pPr>
          </w:p>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A75DF9" w:rsidRDefault="001A63C6" w:rsidP="001A63C6">
            <w:pPr>
              <w:pStyle w:val="TableText"/>
              <w:widowControl w:val="0"/>
              <w:spacing w:before="120"/>
              <w:rPr>
                <w:rFonts w:ascii="Tahoma" w:hAnsi="Tahoma" w:cs="Tahoma"/>
                <w:sz w:val="13"/>
              </w:rPr>
            </w:pPr>
            <w:r w:rsidRPr="00A75DF9">
              <w:rPr>
                <w:rFonts w:ascii="Tahoma" w:hAnsi="Tahoma" w:cs="Tahoma"/>
                <w:sz w:val="13"/>
              </w:rPr>
              <w:t>AO, ST</w:t>
            </w:r>
          </w:p>
        </w:tc>
        <w:tc>
          <w:tcPr>
            <w:tcW w:w="539"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r>
      <w:tr w:rsidR="00B33D0E" w:rsidRPr="00A75DF9" w:rsidTr="008A1262">
        <w:trPr>
          <w:trHeight w:val="145"/>
        </w:trPr>
        <w:tc>
          <w:tcPr>
            <w:tcW w:w="2724" w:type="dxa"/>
            <w:gridSpan w:val="2"/>
            <w:tcBorders>
              <w:bottom w:val="single" w:sz="4" w:space="0" w:color="auto"/>
            </w:tcBorders>
            <w:shd w:val="clear" w:color="auto" w:fill="FABF8F"/>
            <w:vAlign w:val="center"/>
          </w:tcPr>
          <w:p w:rsidR="001A63C6" w:rsidRPr="00A75DF9" w:rsidRDefault="001A63C6" w:rsidP="008B1245">
            <w:pPr>
              <w:pStyle w:val="ProductNames"/>
              <w:spacing w:beforeLines="20" w:before="48" w:afterLines="20" w:after="48"/>
              <w:rPr>
                <w:rFonts w:ascii="Tahoma" w:hAnsi="Tahoma" w:cs="Tahoma"/>
                <w:sz w:val="14"/>
              </w:rPr>
            </w:pPr>
            <w:bookmarkStart w:id="430" w:name="_Toc336338081"/>
            <w:bookmarkStart w:id="431" w:name="_Toc368310082"/>
            <w:r w:rsidRPr="00A75DF9">
              <w:rPr>
                <w:rFonts w:ascii="Tahoma" w:hAnsi="Tahoma" w:cs="Tahoma"/>
                <w:sz w:val="14"/>
              </w:rPr>
              <w:t>System Center Reporting Manager 2006</w:t>
            </w:r>
            <w:bookmarkEnd w:id="430"/>
            <w:bookmarkEnd w:id="431"/>
            <w:r w:rsidRPr="00A75DF9">
              <w:rPr>
                <w:rFonts w:ascii="Tahoma" w:hAnsi="Tahoma" w:cs="Tahoma"/>
                <w:sz w:val="14"/>
              </w:rPr>
              <w:t xml:space="preserve"> </w:t>
            </w:r>
          </w:p>
        </w:tc>
        <w:tc>
          <w:tcPr>
            <w:tcW w:w="448" w:type="dxa"/>
            <w:tcBorders>
              <w:bottom w:val="single" w:sz="4" w:space="0" w:color="auto"/>
            </w:tcBorders>
            <w:shd w:val="clear" w:color="auto" w:fill="FABF8F"/>
            <w:vAlign w:val="center"/>
          </w:tcPr>
          <w:p w:rsidR="001A63C6" w:rsidRPr="00B41377" w:rsidRDefault="00B54770" w:rsidP="00FC0808">
            <w:pPr>
              <w:pStyle w:val="TableText"/>
              <w:widowControl w:val="0"/>
              <w:rPr>
                <w:rStyle w:val="EndnoteReference"/>
                <w:rFonts w:cs="Tahoma"/>
                <w:b w:val="0"/>
                <w:color w:val="0000FF"/>
                <w:sz w:val="13"/>
                <w:szCs w:val="13"/>
                <w:u w:val="single"/>
              </w:rPr>
            </w:pPr>
            <w:hyperlink w:anchor="_80_System_Center" w:history="1">
              <w:r w:rsidR="00734B17" w:rsidRPr="00B41377">
                <w:rPr>
                  <w:rStyle w:val="Hyperlink"/>
                  <w:rFonts w:cs="Tahoma"/>
                  <w:b/>
                  <w:sz w:val="13"/>
                  <w:szCs w:val="13"/>
                </w:rPr>
                <w:t>92</w:t>
              </w:r>
            </w:hyperlink>
          </w:p>
        </w:tc>
        <w:tc>
          <w:tcPr>
            <w:tcW w:w="449" w:type="dxa"/>
            <w:tcBorders>
              <w:bottom w:val="single" w:sz="4" w:space="0" w:color="auto"/>
            </w:tcBorders>
            <w:shd w:val="clear" w:color="auto" w:fill="FABF8F"/>
          </w:tcPr>
          <w:p w:rsidR="001A63C6" w:rsidRPr="00A75DF9" w:rsidRDefault="001A63C6" w:rsidP="001A63C6">
            <w:pPr>
              <w:pStyle w:val="TableText"/>
              <w:widowControl w:val="0"/>
              <w:spacing w:before="80"/>
              <w:rPr>
                <w:rFonts w:ascii="Tahoma" w:hAnsi="Tahoma" w:cs="Tahoma"/>
                <w:sz w:val="13"/>
              </w:rPr>
            </w:pPr>
          </w:p>
        </w:tc>
        <w:tc>
          <w:tcPr>
            <w:tcW w:w="359"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4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374"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5"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A75DF9" w:rsidRDefault="001A63C6" w:rsidP="001A63C6">
            <w:pPr>
              <w:pStyle w:val="TableText"/>
              <w:widowControl w:val="0"/>
              <w:spacing w:before="120"/>
              <w:rPr>
                <w:rFonts w:ascii="Tahoma" w:hAnsi="Tahoma" w:cs="Tahoma"/>
                <w:sz w:val="13"/>
              </w:rPr>
            </w:pPr>
          </w:p>
        </w:tc>
        <w:tc>
          <w:tcPr>
            <w:tcW w:w="539"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r>
      <w:tr w:rsidR="001A63C6" w:rsidRPr="00A75DF9" w:rsidTr="008A1262">
        <w:trPr>
          <w:trHeight w:val="145"/>
        </w:trPr>
        <w:tc>
          <w:tcPr>
            <w:tcW w:w="2724" w:type="dxa"/>
            <w:gridSpan w:val="2"/>
            <w:tcBorders>
              <w:bottom w:val="single" w:sz="4" w:space="0" w:color="auto"/>
            </w:tcBorders>
            <w:shd w:val="clear" w:color="auto" w:fill="auto"/>
            <w:vAlign w:val="center"/>
          </w:tcPr>
          <w:p w:rsidR="001A63C6" w:rsidRPr="00A75DF9" w:rsidRDefault="001A63C6" w:rsidP="008B1245">
            <w:pPr>
              <w:pStyle w:val="ProductNames"/>
              <w:spacing w:beforeLines="20" w:before="48" w:afterLines="20" w:after="48"/>
              <w:rPr>
                <w:rFonts w:ascii="Tahoma" w:hAnsi="Tahoma" w:cs="Tahoma"/>
                <w:sz w:val="14"/>
              </w:rPr>
            </w:pPr>
            <w:bookmarkStart w:id="432" w:name="_Toc336338082"/>
            <w:bookmarkStart w:id="433" w:name="_Toc368310083"/>
            <w:r w:rsidRPr="00A75DF9">
              <w:rPr>
                <w:rFonts w:ascii="Tahoma" w:hAnsi="Tahoma" w:cs="Tahoma"/>
                <w:sz w:val="14"/>
              </w:rPr>
              <w:t>System Center Server Management Suite Enterprise</w:t>
            </w:r>
            <w:bookmarkEnd w:id="432"/>
            <w:bookmarkEnd w:id="433"/>
            <w:r w:rsidRPr="00A75DF9">
              <w:rPr>
                <w:rFonts w:ascii="Tahoma" w:hAnsi="Tahoma" w:cs="Tahoma"/>
                <w:sz w:val="14"/>
              </w:rPr>
              <w:t xml:space="preserve"> </w:t>
            </w:r>
          </w:p>
        </w:tc>
        <w:tc>
          <w:tcPr>
            <w:tcW w:w="448" w:type="dxa"/>
            <w:tcBorders>
              <w:bottom w:val="single" w:sz="4" w:space="0" w:color="auto"/>
            </w:tcBorders>
            <w:shd w:val="clear" w:color="auto" w:fill="auto"/>
            <w:vAlign w:val="center"/>
          </w:tcPr>
          <w:p w:rsidR="001A63C6" w:rsidRPr="00B41377" w:rsidRDefault="00B54770" w:rsidP="00FC0808">
            <w:pPr>
              <w:pStyle w:val="TableText"/>
              <w:widowControl w:val="0"/>
              <w:rPr>
                <w:rStyle w:val="EndnoteReference"/>
                <w:rFonts w:cs="Tahoma"/>
                <w:b w:val="0"/>
                <w:color w:val="0000FF"/>
                <w:sz w:val="13"/>
                <w:szCs w:val="13"/>
                <w:u w:val="single"/>
              </w:rPr>
            </w:pPr>
            <w:hyperlink w:anchor="_93_System_Center" w:history="1">
              <w:r w:rsidR="00734B17" w:rsidRPr="00B41377">
                <w:rPr>
                  <w:rStyle w:val="Hyperlink"/>
                  <w:rFonts w:cs="Tahoma"/>
                  <w:b/>
                  <w:sz w:val="13"/>
                  <w:szCs w:val="13"/>
                </w:rPr>
                <w:t>93</w:t>
              </w:r>
            </w:hyperlink>
          </w:p>
        </w:tc>
        <w:tc>
          <w:tcPr>
            <w:tcW w:w="449" w:type="dxa"/>
            <w:tcBorders>
              <w:bottom w:val="single" w:sz="4" w:space="0" w:color="auto"/>
            </w:tcBorders>
            <w:shd w:val="clear" w:color="auto" w:fill="auto"/>
          </w:tcPr>
          <w:p w:rsidR="001A63C6" w:rsidRPr="00A75DF9" w:rsidRDefault="001A63C6" w:rsidP="001A63C6">
            <w:pPr>
              <w:pStyle w:val="TableText"/>
              <w:widowControl w:val="0"/>
              <w:spacing w:before="80"/>
              <w:rPr>
                <w:rFonts w:ascii="Tahoma" w:hAnsi="Tahoma" w:cs="Tahoma"/>
                <w:sz w:val="13"/>
              </w:rPr>
            </w:pPr>
            <w:r w:rsidRPr="00A75DF9">
              <w:rPr>
                <w:rFonts w:ascii="Tahoma" w:hAnsi="Tahoma" w:cs="Tahoma"/>
                <w:sz w:val="13"/>
              </w:rPr>
              <w:t>10/07</w:t>
            </w:r>
          </w:p>
        </w:tc>
        <w:tc>
          <w:tcPr>
            <w:tcW w:w="359"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SRV</w:t>
            </w:r>
          </w:p>
        </w:tc>
        <w:tc>
          <w:tcPr>
            <w:tcW w:w="356"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bottom"/>
          </w:tcPr>
          <w:p w:rsidR="001A63C6" w:rsidRPr="00A75DF9" w:rsidRDefault="001A63C6" w:rsidP="001A63C6">
            <w:pPr>
              <w:pStyle w:val="TableText"/>
              <w:widowControl w:val="0"/>
              <w:spacing w:after="60"/>
              <w:rPr>
                <w:rFonts w:ascii="Tahoma" w:hAnsi="Tahoma" w:cs="Tahoma"/>
                <w:sz w:val="13"/>
                <w:szCs w:val="13"/>
              </w:rPr>
            </w:pPr>
          </w:p>
        </w:tc>
        <w:tc>
          <w:tcPr>
            <w:tcW w:w="455" w:type="dxa"/>
            <w:tcBorders>
              <w:bottom w:val="single" w:sz="4" w:space="0" w:color="auto"/>
            </w:tcBorders>
            <w:shd w:val="clear" w:color="auto" w:fill="auto"/>
            <w:vAlign w:val="bottom"/>
          </w:tcPr>
          <w:p w:rsidR="001A63C6" w:rsidRPr="00A75DF9" w:rsidRDefault="001A63C6" w:rsidP="001A63C6">
            <w:pPr>
              <w:pStyle w:val="TableText"/>
              <w:widowControl w:val="0"/>
              <w:spacing w:after="60"/>
              <w:rPr>
                <w:rFonts w:ascii="Tahoma" w:hAnsi="Tahoma" w:cs="Tahoma"/>
                <w:sz w:val="13"/>
                <w:szCs w:val="13"/>
              </w:rPr>
            </w:pPr>
          </w:p>
        </w:tc>
        <w:tc>
          <w:tcPr>
            <w:tcW w:w="450" w:type="dxa"/>
            <w:gridSpan w:val="3"/>
            <w:tcBorders>
              <w:bottom w:val="single" w:sz="4" w:space="0" w:color="auto"/>
            </w:tcBorders>
            <w:shd w:val="clear" w:color="auto" w:fill="auto"/>
            <w:vAlign w:val="bottom"/>
          </w:tcPr>
          <w:p w:rsidR="001A63C6" w:rsidRPr="00A75DF9" w:rsidRDefault="001A63C6" w:rsidP="001A63C6">
            <w:pPr>
              <w:pStyle w:val="TableText"/>
              <w:widowControl w:val="0"/>
              <w:spacing w:after="60"/>
              <w:rPr>
                <w:rFonts w:ascii="Tahoma" w:hAnsi="Tahoma" w:cs="Tahoma"/>
                <w:sz w:val="13"/>
                <w:szCs w:val="13"/>
              </w:rPr>
            </w:pPr>
          </w:p>
        </w:tc>
        <w:tc>
          <w:tcPr>
            <w:tcW w:w="445" w:type="dxa"/>
            <w:tcBorders>
              <w:bottom w:val="single" w:sz="4" w:space="0" w:color="auto"/>
            </w:tcBorders>
            <w:shd w:val="clear" w:color="auto" w:fill="auto"/>
            <w:vAlign w:val="bottom"/>
          </w:tcPr>
          <w:p w:rsidR="001A63C6" w:rsidRPr="00A75DF9" w:rsidRDefault="001A63C6" w:rsidP="001A63C6">
            <w:pPr>
              <w:pStyle w:val="TableText"/>
              <w:widowControl w:val="0"/>
              <w:spacing w:after="60"/>
              <w:rPr>
                <w:rFonts w:ascii="Tahoma" w:hAnsi="Tahoma" w:cs="Tahoma"/>
                <w:sz w:val="13"/>
                <w:szCs w:val="13"/>
              </w:rPr>
            </w:pPr>
          </w:p>
        </w:tc>
        <w:tc>
          <w:tcPr>
            <w:tcW w:w="450" w:type="dxa"/>
            <w:tcBorders>
              <w:bottom w:val="single" w:sz="4" w:space="0" w:color="auto"/>
            </w:tcBorders>
            <w:shd w:val="clear" w:color="auto" w:fill="auto"/>
            <w:vAlign w:val="bottom"/>
          </w:tcPr>
          <w:p w:rsidR="001A63C6" w:rsidRPr="00A75DF9" w:rsidRDefault="001A63C6" w:rsidP="001A63C6">
            <w:pPr>
              <w:pStyle w:val="TableText"/>
              <w:widowControl w:val="0"/>
              <w:spacing w:after="60"/>
              <w:rPr>
                <w:rFonts w:ascii="Tahoma" w:hAnsi="Tahoma" w:cs="Tahoma"/>
                <w:sz w:val="13"/>
                <w:szCs w:val="13"/>
              </w:rPr>
            </w:pPr>
          </w:p>
        </w:tc>
        <w:tc>
          <w:tcPr>
            <w:tcW w:w="374" w:type="dxa"/>
            <w:tcBorders>
              <w:bottom w:val="single" w:sz="4" w:space="0" w:color="auto"/>
              <w:right w:val="single" w:sz="18" w:space="0" w:color="auto"/>
            </w:tcBorders>
            <w:shd w:val="clear" w:color="auto" w:fill="auto"/>
            <w:vAlign w:val="bottom"/>
          </w:tcPr>
          <w:p w:rsidR="001A63C6" w:rsidRPr="00A75DF9" w:rsidRDefault="001A63C6" w:rsidP="001A63C6">
            <w:pPr>
              <w:pStyle w:val="TableText"/>
              <w:widowControl w:val="0"/>
              <w:spacing w:after="60"/>
              <w:rPr>
                <w:rFonts w:ascii="Tahoma" w:hAnsi="Tahoma" w:cs="Tahoma"/>
                <w:sz w:val="13"/>
                <w:szCs w:val="13"/>
              </w:rPr>
            </w:pPr>
          </w:p>
        </w:tc>
        <w:tc>
          <w:tcPr>
            <w:tcW w:w="455"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A75DF9" w:rsidRDefault="001A63C6" w:rsidP="001A63C6">
            <w:pPr>
              <w:pStyle w:val="TableText"/>
              <w:widowControl w:val="0"/>
              <w:spacing w:before="120"/>
              <w:rPr>
                <w:rFonts w:ascii="Tahoma" w:hAnsi="Tahoma" w:cs="Tahoma"/>
                <w:sz w:val="13"/>
              </w:rPr>
            </w:pPr>
            <w:r w:rsidRPr="00A75DF9">
              <w:rPr>
                <w:rFonts w:ascii="Tahoma" w:hAnsi="Tahoma" w:cs="Tahoma"/>
                <w:sz w:val="13"/>
              </w:rPr>
              <w:t>A</w:t>
            </w:r>
          </w:p>
        </w:tc>
        <w:tc>
          <w:tcPr>
            <w:tcW w:w="539"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r>
      <w:tr w:rsidR="00B33D0E" w:rsidRPr="00A75DF9" w:rsidTr="008A1262">
        <w:trPr>
          <w:trHeight w:val="145"/>
        </w:trPr>
        <w:tc>
          <w:tcPr>
            <w:tcW w:w="2724" w:type="dxa"/>
            <w:gridSpan w:val="2"/>
            <w:tcBorders>
              <w:bottom w:val="single" w:sz="4" w:space="0" w:color="auto"/>
            </w:tcBorders>
            <w:shd w:val="clear" w:color="auto" w:fill="FABF8F"/>
          </w:tcPr>
          <w:p w:rsidR="001A63C6" w:rsidRPr="00A75DF9" w:rsidRDefault="001A63C6" w:rsidP="008B1245">
            <w:pPr>
              <w:pStyle w:val="Heading4"/>
              <w:spacing w:beforeLines="20" w:before="48" w:afterLines="20" w:after="48"/>
              <w:ind w:left="0" w:firstLine="0"/>
              <w:rPr>
                <w:rFonts w:ascii="Tahoma" w:hAnsi="Tahoma" w:cs="Tahoma"/>
                <w:b w:val="0"/>
                <w:sz w:val="18"/>
                <w:szCs w:val="18"/>
              </w:rPr>
            </w:pPr>
            <w:bookmarkStart w:id="434" w:name="_Toc336338083"/>
            <w:bookmarkStart w:id="435" w:name="_Toc368310084"/>
            <w:r w:rsidRPr="00A75DF9">
              <w:rPr>
                <w:rFonts w:ascii="Tahoma" w:hAnsi="Tahoma" w:cs="Tahoma"/>
                <w:b w:val="0"/>
                <w:sz w:val="14"/>
                <w:szCs w:val="18"/>
              </w:rPr>
              <w:t>System Center Server Management Suite Datacenter</w:t>
            </w:r>
            <w:bookmarkEnd w:id="434"/>
            <w:bookmarkEnd w:id="435"/>
          </w:p>
        </w:tc>
        <w:tc>
          <w:tcPr>
            <w:tcW w:w="448" w:type="dxa"/>
            <w:tcBorders>
              <w:bottom w:val="single" w:sz="4" w:space="0" w:color="auto"/>
            </w:tcBorders>
            <w:shd w:val="clear" w:color="auto" w:fill="FABF8F"/>
          </w:tcPr>
          <w:p w:rsidR="001A63C6" w:rsidRPr="00B41377" w:rsidRDefault="00B54770" w:rsidP="00FC0808">
            <w:pPr>
              <w:pStyle w:val="TableText"/>
              <w:widowControl w:val="0"/>
              <w:spacing w:before="120"/>
              <w:rPr>
                <w:rStyle w:val="EndnoteReference"/>
                <w:rFonts w:cs="Tahoma"/>
                <w:b w:val="0"/>
                <w:sz w:val="13"/>
                <w:szCs w:val="13"/>
                <w:u w:val="single"/>
              </w:rPr>
            </w:pPr>
            <w:hyperlink w:anchor="_94_System_Center" w:history="1">
              <w:r w:rsidR="00734B17" w:rsidRPr="00B41377">
                <w:rPr>
                  <w:rStyle w:val="Hyperlink"/>
                  <w:rFonts w:cs="Tahoma"/>
                  <w:b/>
                  <w:sz w:val="13"/>
                  <w:szCs w:val="13"/>
                </w:rPr>
                <w:t>94</w:t>
              </w:r>
            </w:hyperlink>
          </w:p>
        </w:tc>
        <w:tc>
          <w:tcPr>
            <w:tcW w:w="449" w:type="dxa"/>
            <w:tcBorders>
              <w:bottom w:val="single" w:sz="4" w:space="0" w:color="auto"/>
            </w:tcBorders>
            <w:shd w:val="clear" w:color="auto" w:fill="FABF8F"/>
          </w:tcPr>
          <w:p w:rsidR="001A63C6" w:rsidRPr="00A75DF9" w:rsidRDefault="001A63C6" w:rsidP="001A63C6">
            <w:pPr>
              <w:pStyle w:val="TableText"/>
              <w:widowControl w:val="0"/>
              <w:spacing w:before="120"/>
              <w:rPr>
                <w:rFonts w:ascii="Tahoma" w:hAnsi="Tahoma" w:cs="Tahoma"/>
                <w:sz w:val="13"/>
              </w:rPr>
            </w:pPr>
            <w:r w:rsidRPr="00A75DF9">
              <w:rPr>
                <w:rFonts w:ascii="Tahoma" w:hAnsi="Tahoma" w:cs="Tahoma"/>
                <w:sz w:val="13"/>
              </w:rPr>
              <w:t>07/09</w:t>
            </w:r>
          </w:p>
        </w:tc>
        <w:tc>
          <w:tcPr>
            <w:tcW w:w="359" w:type="dxa"/>
            <w:tcBorders>
              <w:bottom w:val="single" w:sz="4" w:space="0" w:color="auto"/>
              <w:right w:val="single" w:sz="18" w:space="0" w:color="auto"/>
            </w:tcBorders>
            <w:shd w:val="clear" w:color="auto" w:fill="FABF8F"/>
          </w:tcPr>
          <w:p w:rsidR="001A63C6" w:rsidRPr="00A75DF9" w:rsidRDefault="001A63C6" w:rsidP="001A63C6">
            <w:pPr>
              <w:pStyle w:val="TableText"/>
              <w:widowControl w:val="0"/>
              <w:spacing w:before="120"/>
              <w:rPr>
                <w:rFonts w:ascii="Tahoma" w:hAnsi="Tahoma" w:cs="Tahoma"/>
                <w:sz w:val="13"/>
              </w:rPr>
            </w:pPr>
            <w:r w:rsidRPr="00A75DF9">
              <w:rPr>
                <w:rFonts w:ascii="Tahoma" w:hAnsi="Tahoma" w:cs="Tahoma"/>
                <w:sz w:val="13"/>
              </w:rPr>
              <w:t>SRV</w:t>
            </w:r>
          </w:p>
        </w:tc>
        <w:tc>
          <w:tcPr>
            <w:tcW w:w="356" w:type="dxa"/>
            <w:tcBorders>
              <w:left w:val="single" w:sz="18" w:space="0" w:color="auto"/>
              <w:bottom w:val="single" w:sz="4" w:space="0" w:color="auto"/>
            </w:tcBorders>
            <w:shd w:val="clear" w:color="auto" w:fill="FABF8F"/>
          </w:tcPr>
          <w:p w:rsidR="001A63C6" w:rsidRPr="00A75DF9"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A75DF9" w:rsidRDefault="001A63C6" w:rsidP="001A63C6">
            <w:pPr>
              <w:pStyle w:val="TableText"/>
              <w:widowControl w:val="0"/>
              <w:spacing w:before="120"/>
              <w:rPr>
                <w:rFonts w:ascii="Tahoma" w:hAnsi="Tahoma" w:cs="Tahoma"/>
                <w:sz w:val="13"/>
              </w:rPr>
            </w:pPr>
          </w:p>
        </w:tc>
        <w:tc>
          <w:tcPr>
            <w:tcW w:w="455" w:type="dxa"/>
            <w:tcBorders>
              <w:bottom w:val="single" w:sz="4" w:space="0" w:color="auto"/>
            </w:tcBorders>
            <w:shd w:val="clear" w:color="auto" w:fill="FABF8F"/>
          </w:tcPr>
          <w:p w:rsidR="001A63C6" w:rsidRPr="00A75DF9" w:rsidRDefault="001A63C6" w:rsidP="001A63C6">
            <w:pPr>
              <w:pStyle w:val="TableText"/>
              <w:widowControl w:val="0"/>
              <w:spacing w:before="120"/>
              <w:rPr>
                <w:rFonts w:ascii="Tahoma" w:hAnsi="Tahoma" w:cs="Tahoma"/>
                <w:sz w:val="13"/>
              </w:rPr>
            </w:pPr>
          </w:p>
        </w:tc>
        <w:tc>
          <w:tcPr>
            <w:tcW w:w="450" w:type="dxa"/>
            <w:gridSpan w:val="3"/>
            <w:tcBorders>
              <w:bottom w:val="single" w:sz="4" w:space="0" w:color="auto"/>
            </w:tcBorders>
            <w:shd w:val="clear" w:color="auto" w:fill="FABF8F"/>
          </w:tcPr>
          <w:p w:rsidR="001A63C6" w:rsidRPr="00A75DF9" w:rsidRDefault="001A63C6" w:rsidP="001A63C6">
            <w:pPr>
              <w:pStyle w:val="TableText"/>
              <w:widowControl w:val="0"/>
              <w:spacing w:before="120"/>
              <w:rPr>
                <w:rFonts w:ascii="Tahoma" w:hAnsi="Tahoma" w:cs="Tahoma"/>
                <w:sz w:val="13"/>
              </w:rPr>
            </w:pPr>
          </w:p>
        </w:tc>
        <w:tc>
          <w:tcPr>
            <w:tcW w:w="445" w:type="dxa"/>
            <w:tcBorders>
              <w:bottom w:val="single" w:sz="4" w:space="0" w:color="auto"/>
            </w:tcBorders>
            <w:shd w:val="clear" w:color="auto" w:fill="FABF8F"/>
          </w:tcPr>
          <w:p w:rsidR="001A63C6" w:rsidRPr="00A75DF9"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A75DF9" w:rsidRDefault="001A63C6" w:rsidP="001A63C6">
            <w:pPr>
              <w:pStyle w:val="TableText"/>
              <w:widowControl w:val="0"/>
              <w:spacing w:before="120"/>
              <w:rPr>
                <w:rFonts w:ascii="Tahoma" w:hAnsi="Tahoma" w:cs="Tahoma"/>
                <w:sz w:val="13"/>
              </w:rPr>
            </w:pPr>
          </w:p>
        </w:tc>
        <w:tc>
          <w:tcPr>
            <w:tcW w:w="374" w:type="dxa"/>
            <w:tcBorders>
              <w:bottom w:val="single" w:sz="4" w:space="0" w:color="auto"/>
              <w:right w:val="single" w:sz="18" w:space="0" w:color="auto"/>
            </w:tcBorders>
            <w:shd w:val="clear" w:color="auto" w:fill="FABF8F"/>
          </w:tcPr>
          <w:p w:rsidR="001A63C6" w:rsidRPr="00A75DF9" w:rsidRDefault="001A63C6" w:rsidP="001A63C6">
            <w:pPr>
              <w:pStyle w:val="TableText"/>
              <w:widowControl w:val="0"/>
              <w:spacing w:before="120"/>
              <w:rPr>
                <w:rFonts w:ascii="Tahoma" w:hAnsi="Tahoma" w:cs="Tahoma"/>
                <w:sz w:val="13"/>
              </w:rPr>
            </w:pPr>
          </w:p>
        </w:tc>
        <w:tc>
          <w:tcPr>
            <w:tcW w:w="455" w:type="dxa"/>
            <w:tcBorders>
              <w:left w:val="single" w:sz="18" w:space="0" w:color="auto"/>
              <w:bottom w:val="single" w:sz="4" w:space="0" w:color="auto"/>
            </w:tcBorders>
            <w:shd w:val="clear" w:color="auto" w:fill="FABF8F"/>
          </w:tcPr>
          <w:p w:rsidR="001A63C6" w:rsidRPr="00A75DF9"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A75DF9" w:rsidRDefault="001A63C6"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tcPr>
          <w:p w:rsidR="001A63C6" w:rsidRPr="00A75DF9"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tcPr>
          <w:p w:rsidR="001A63C6" w:rsidRPr="00A75DF9" w:rsidRDefault="001A63C6" w:rsidP="001A63C6">
            <w:pPr>
              <w:pStyle w:val="TableText"/>
              <w:widowControl w:val="0"/>
              <w:spacing w:before="120"/>
              <w:rPr>
                <w:rFonts w:ascii="Tahoma" w:hAnsi="Tahoma" w:cs="Tahoma"/>
                <w:sz w:val="13"/>
              </w:rPr>
            </w:pPr>
            <w:r w:rsidRPr="00A75DF9">
              <w:rPr>
                <w:rFonts w:ascii="Tahoma" w:hAnsi="Tahoma" w:cs="Tahoma"/>
                <w:sz w:val="13"/>
              </w:rPr>
              <w:t>10</w:t>
            </w:r>
          </w:p>
        </w:tc>
        <w:tc>
          <w:tcPr>
            <w:tcW w:w="450" w:type="dxa"/>
            <w:tcBorders>
              <w:bottom w:val="single" w:sz="4" w:space="0" w:color="auto"/>
              <w:right w:val="single" w:sz="18" w:space="0" w:color="auto"/>
            </w:tcBorders>
            <w:shd w:val="clear" w:color="auto" w:fill="FABF8F"/>
          </w:tcPr>
          <w:p w:rsidR="001A63C6" w:rsidRPr="00A75DF9"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tcPr>
          <w:p w:rsidR="001A63C6" w:rsidRPr="00A75DF9"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A75DF9" w:rsidRDefault="001A63C6" w:rsidP="001A63C6">
            <w:pPr>
              <w:pStyle w:val="TableText"/>
              <w:widowControl w:val="0"/>
              <w:spacing w:before="120"/>
              <w:rPr>
                <w:rFonts w:ascii="Tahoma" w:hAnsi="Tahoma" w:cs="Tahoma"/>
                <w:sz w:val="13"/>
              </w:rPr>
            </w:pPr>
            <w:r w:rsidRPr="00A75DF9">
              <w:rPr>
                <w:rFonts w:ascii="Tahoma" w:hAnsi="Tahoma" w:cs="Tahoma"/>
                <w:sz w:val="13"/>
              </w:rPr>
              <w:t>A</w:t>
            </w:r>
          </w:p>
        </w:tc>
        <w:tc>
          <w:tcPr>
            <w:tcW w:w="539" w:type="dxa"/>
            <w:tcBorders>
              <w:bottom w:val="single" w:sz="4" w:space="0" w:color="auto"/>
            </w:tcBorders>
            <w:shd w:val="clear" w:color="auto" w:fill="FABF8F"/>
          </w:tcPr>
          <w:p w:rsidR="001A63C6" w:rsidRPr="00A75DF9" w:rsidRDefault="001A63C6" w:rsidP="001A63C6">
            <w:pPr>
              <w:pStyle w:val="TableText"/>
              <w:widowControl w:val="0"/>
              <w:rPr>
                <w:rFonts w:ascii="Tahoma" w:hAnsi="Tahoma" w:cs="Tahoma"/>
                <w:sz w:val="13"/>
              </w:rPr>
            </w:pPr>
          </w:p>
        </w:tc>
      </w:tr>
      <w:tr w:rsidR="001A63C6" w:rsidRPr="00A75DF9" w:rsidTr="008A1262">
        <w:trPr>
          <w:trHeight w:val="145"/>
        </w:trPr>
        <w:tc>
          <w:tcPr>
            <w:tcW w:w="2724" w:type="dxa"/>
            <w:gridSpan w:val="2"/>
            <w:tcBorders>
              <w:bottom w:val="single" w:sz="4" w:space="0" w:color="auto"/>
            </w:tcBorders>
            <w:shd w:val="clear" w:color="auto" w:fill="auto"/>
          </w:tcPr>
          <w:p w:rsidR="001A63C6" w:rsidRPr="00A75DF9" w:rsidRDefault="001A63C6" w:rsidP="00B41377">
            <w:pPr>
              <w:pStyle w:val="ProductNames"/>
              <w:spacing w:beforeLines="10" w:before="24" w:afterLines="10" w:after="24"/>
              <w:rPr>
                <w:rFonts w:ascii="Tahoma" w:hAnsi="Tahoma" w:cs="Tahoma"/>
                <w:b/>
                <w:sz w:val="14"/>
              </w:rPr>
            </w:pPr>
            <w:bookmarkStart w:id="436" w:name="_Toc336338086"/>
            <w:bookmarkStart w:id="437" w:name="_Toc368310085"/>
            <w:r w:rsidRPr="00A75DF9">
              <w:rPr>
                <w:rFonts w:ascii="Tahoma" w:hAnsi="Tahoma" w:cs="Tahoma"/>
                <w:sz w:val="14"/>
              </w:rPr>
              <w:t>Licenza di Gestione Client (Client ML) per</w:t>
            </w:r>
            <w:r w:rsidR="00B41377">
              <w:rPr>
                <w:rFonts w:ascii="Tahoma" w:hAnsi="Tahoma" w:cs="Tahoma"/>
                <w:sz w:val="14"/>
              </w:rPr>
              <w:t> </w:t>
            </w:r>
            <w:r w:rsidRPr="00A75DF9">
              <w:rPr>
                <w:rFonts w:ascii="Tahoma" w:hAnsi="Tahoma" w:cs="Tahoma"/>
                <w:sz w:val="14"/>
              </w:rPr>
              <w:t>OSE per System Center Service Manager 2010</w:t>
            </w:r>
            <w:bookmarkEnd w:id="436"/>
            <w:bookmarkEnd w:id="437"/>
          </w:p>
        </w:tc>
        <w:tc>
          <w:tcPr>
            <w:tcW w:w="448" w:type="dxa"/>
            <w:tcBorders>
              <w:bottom w:val="single" w:sz="4" w:space="0" w:color="auto"/>
            </w:tcBorders>
            <w:shd w:val="clear" w:color="auto" w:fill="auto"/>
          </w:tcPr>
          <w:p w:rsidR="001A63C6" w:rsidRPr="00B41377" w:rsidRDefault="001A63C6" w:rsidP="001A63C6">
            <w:pPr>
              <w:pStyle w:val="TableText"/>
              <w:widowControl w:val="0"/>
              <w:rPr>
                <w:rStyle w:val="EndnoteReference"/>
                <w:rFonts w:cs="Tahoma"/>
                <w:sz w:val="13"/>
                <w:szCs w:val="13"/>
                <w:u w:val="single"/>
              </w:rPr>
            </w:pPr>
          </w:p>
        </w:tc>
        <w:tc>
          <w:tcPr>
            <w:tcW w:w="449" w:type="dxa"/>
            <w:tcBorders>
              <w:bottom w:val="single" w:sz="4" w:space="0" w:color="auto"/>
            </w:tcBorders>
            <w:shd w:val="clear" w:color="auto" w:fill="auto"/>
          </w:tcPr>
          <w:p w:rsidR="001A63C6" w:rsidRPr="00A75DF9" w:rsidRDefault="001A63C6" w:rsidP="001A63C6">
            <w:pPr>
              <w:pStyle w:val="TableText"/>
              <w:widowControl w:val="0"/>
              <w:spacing w:before="120"/>
              <w:rPr>
                <w:rFonts w:ascii="Tahoma" w:hAnsi="Tahoma" w:cs="Tahoma"/>
                <w:sz w:val="13"/>
              </w:rPr>
            </w:pPr>
            <w:r w:rsidRPr="00A75DF9">
              <w:rPr>
                <w:rFonts w:ascii="Tahoma" w:hAnsi="Tahoma" w:cs="Tahoma"/>
                <w:sz w:val="13"/>
              </w:rPr>
              <w:t>04/10</w:t>
            </w:r>
          </w:p>
        </w:tc>
        <w:tc>
          <w:tcPr>
            <w:tcW w:w="359" w:type="dxa"/>
            <w:tcBorders>
              <w:bottom w:val="single" w:sz="4" w:space="0" w:color="auto"/>
              <w:right w:val="single" w:sz="18" w:space="0" w:color="auto"/>
            </w:tcBorders>
            <w:shd w:val="clear" w:color="auto" w:fill="auto"/>
          </w:tcPr>
          <w:p w:rsidR="001A63C6" w:rsidRPr="00A75DF9" w:rsidRDefault="001A63C6" w:rsidP="001A63C6">
            <w:pPr>
              <w:pStyle w:val="TableText"/>
              <w:widowControl w:val="0"/>
              <w:spacing w:before="120"/>
              <w:rPr>
                <w:rFonts w:ascii="Tahoma" w:hAnsi="Tahoma" w:cs="Tahoma"/>
                <w:sz w:val="13"/>
              </w:rPr>
            </w:pPr>
            <w:r w:rsidRPr="00A75DF9">
              <w:rPr>
                <w:rFonts w:ascii="Tahoma" w:hAnsi="Tahoma" w:cs="Tahoma"/>
                <w:sz w:val="13"/>
              </w:rPr>
              <w:t>SRV</w:t>
            </w:r>
          </w:p>
        </w:tc>
        <w:tc>
          <w:tcPr>
            <w:tcW w:w="356"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spacing w:before="120"/>
              <w:rPr>
                <w:rFonts w:ascii="Tahoma" w:hAnsi="Tahoma" w:cs="Tahoma"/>
                <w:sz w:val="13"/>
              </w:rPr>
            </w:pPr>
          </w:p>
        </w:tc>
        <w:tc>
          <w:tcPr>
            <w:tcW w:w="455" w:type="dxa"/>
            <w:tcBorders>
              <w:bottom w:val="single" w:sz="4" w:space="0" w:color="auto"/>
            </w:tcBorders>
            <w:shd w:val="clear" w:color="auto" w:fill="auto"/>
            <w:vAlign w:val="center"/>
          </w:tcPr>
          <w:p w:rsidR="001A63C6" w:rsidRPr="00A75DF9" w:rsidRDefault="001A63C6" w:rsidP="001A63C6">
            <w:pPr>
              <w:pStyle w:val="TableText"/>
              <w:widowControl w:val="0"/>
              <w:spacing w:before="120"/>
              <w:rPr>
                <w:rFonts w:ascii="Tahoma" w:hAnsi="Tahoma" w:cs="Tahoma"/>
                <w:sz w:val="13"/>
              </w:rPr>
            </w:pPr>
          </w:p>
        </w:tc>
        <w:tc>
          <w:tcPr>
            <w:tcW w:w="450" w:type="dxa"/>
            <w:gridSpan w:val="3"/>
            <w:tcBorders>
              <w:bottom w:val="single" w:sz="4" w:space="0" w:color="auto"/>
            </w:tcBorders>
            <w:shd w:val="clear" w:color="auto" w:fill="auto"/>
            <w:vAlign w:val="center"/>
          </w:tcPr>
          <w:p w:rsidR="001A63C6" w:rsidRPr="00A75DF9" w:rsidRDefault="001A63C6" w:rsidP="001A63C6">
            <w:pPr>
              <w:pStyle w:val="TableText"/>
              <w:widowControl w:val="0"/>
              <w:spacing w:before="120"/>
              <w:rPr>
                <w:rFonts w:ascii="Tahoma" w:hAnsi="Tahoma" w:cs="Tahoma"/>
                <w:sz w:val="13"/>
              </w:rPr>
            </w:pPr>
          </w:p>
        </w:tc>
        <w:tc>
          <w:tcPr>
            <w:tcW w:w="445" w:type="dxa"/>
            <w:tcBorders>
              <w:bottom w:val="single" w:sz="4" w:space="0" w:color="auto"/>
            </w:tcBorders>
            <w:shd w:val="clear" w:color="auto" w:fill="auto"/>
            <w:vAlign w:val="center"/>
          </w:tcPr>
          <w:p w:rsidR="001A63C6" w:rsidRPr="00A75DF9"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spacing w:before="120"/>
              <w:rPr>
                <w:rFonts w:ascii="Tahoma" w:hAnsi="Tahoma" w:cs="Tahoma"/>
                <w:sz w:val="13"/>
              </w:rPr>
            </w:pPr>
          </w:p>
        </w:tc>
        <w:tc>
          <w:tcPr>
            <w:tcW w:w="374"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spacing w:before="120"/>
              <w:rPr>
                <w:rFonts w:ascii="Tahoma" w:hAnsi="Tahoma" w:cs="Tahoma"/>
                <w:sz w:val="13"/>
              </w:rPr>
            </w:pPr>
          </w:p>
        </w:tc>
        <w:tc>
          <w:tcPr>
            <w:tcW w:w="455"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spacing w:before="120"/>
              <w:jc w:val="left"/>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spacing w:before="120"/>
              <w:rPr>
                <w:rFonts w:ascii="Tahoma" w:hAnsi="Tahoma" w:cs="Tahoma"/>
                <w:sz w:val="13"/>
              </w:rPr>
            </w:pPr>
            <w:r w:rsidRPr="00A75DF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75DF9" w:rsidRDefault="001A63C6" w:rsidP="001A63C6">
            <w:pPr>
              <w:pStyle w:val="TableText"/>
              <w:widowControl w:val="0"/>
              <w:spacing w:before="120"/>
              <w:rPr>
                <w:rFonts w:ascii="Tahoma" w:hAnsi="Tahoma" w:cs="Tahoma"/>
              </w:rPr>
            </w:pPr>
          </w:p>
          <w:p w:rsidR="001A63C6" w:rsidRPr="00A75DF9"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auto"/>
          </w:tcPr>
          <w:p w:rsidR="001A63C6" w:rsidRPr="00A75DF9" w:rsidRDefault="001A63C6" w:rsidP="001A63C6">
            <w:pPr>
              <w:pStyle w:val="TableText"/>
              <w:widowControl w:val="0"/>
              <w:spacing w:before="120"/>
              <w:rPr>
                <w:rFonts w:ascii="Tahoma" w:hAnsi="Tahoma" w:cs="Tahoma"/>
                <w:sz w:val="13"/>
              </w:rPr>
            </w:pPr>
            <w:r w:rsidRPr="00A75DF9">
              <w:rPr>
                <w:rFonts w:ascii="Tahoma" w:hAnsi="Tahoma" w:cs="Tahoma"/>
                <w:sz w:val="13"/>
              </w:rPr>
              <w:t>AO, ST</w:t>
            </w:r>
          </w:p>
        </w:tc>
        <w:tc>
          <w:tcPr>
            <w:tcW w:w="539" w:type="dxa"/>
            <w:tcBorders>
              <w:bottom w:val="single" w:sz="4" w:space="0" w:color="auto"/>
            </w:tcBorders>
            <w:shd w:val="clear" w:color="auto" w:fill="auto"/>
          </w:tcPr>
          <w:p w:rsidR="001A63C6" w:rsidRPr="00A75DF9" w:rsidRDefault="001A63C6" w:rsidP="001A63C6">
            <w:pPr>
              <w:pStyle w:val="TableText"/>
              <w:widowControl w:val="0"/>
              <w:rPr>
                <w:rFonts w:ascii="Tahoma" w:hAnsi="Tahoma" w:cs="Tahoma"/>
                <w:sz w:val="13"/>
              </w:rPr>
            </w:pPr>
          </w:p>
        </w:tc>
      </w:tr>
      <w:tr w:rsidR="00B33D0E" w:rsidRPr="00A75DF9" w:rsidTr="008A1262">
        <w:trPr>
          <w:trHeight w:val="145"/>
        </w:trPr>
        <w:tc>
          <w:tcPr>
            <w:tcW w:w="2724" w:type="dxa"/>
            <w:gridSpan w:val="2"/>
            <w:tcBorders>
              <w:bottom w:val="single" w:sz="4" w:space="0" w:color="auto"/>
            </w:tcBorders>
            <w:shd w:val="clear" w:color="auto" w:fill="FABF8F"/>
          </w:tcPr>
          <w:p w:rsidR="001A63C6" w:rsidRPr="00A75DF9" w:rsidRDefault="001A63C6" w:rsidP="0053746E">
            <w:pPr>
              <w:pStyle w:val="ProductNames"/>
              <w:spacing w:beforeLines="10" w:before="24" w:afterLines="10" w:after="24"/>
              <w:rPr>
                <w:rFonts w:ascii="Tahoma" w:hAnsi="Tahoma" w:cs="Tahoma"/>
                <w:b/>
                <w:sz w:val="14"/>
              </w:rPr>
            </w:pPr>
            <w:bookmarkStart w:id="438" w:name="_Toc336338087"/>
            <w:bookmarkStart w:id="439" w:name="_Toc368310086"/>
            <w:r w:rsidRPr="00A75DF9">
              <w:rPr>
                <w:rFonts w:ascii="Tahoma" w:hAnsi="Tahoma" w:cs="Tahoma"/>
                <w:sz w:val="14"/>
              </w:rPr>
              <w:t>Licenza di Gestione Client (Client ML) per</w:t>
            </w:r>
            <w:r w:rsidR="0053746E">
              <w:rPr>
                <w:rFonts w:ascii="Tahoma" w:hAnsi="Tahoma" w:cs="Tahoma"/>
                <w:sz w:val="14"/>
              </w:rPr>
              <w:t> </w:t>
            </w:r>
            <w:r w:rsidRPr="00A75DF9">
              <w:rPr>
                <w:rFonts w:ascii="Tahoma" w:hAnsi="Tahoma" w:cs="Tahoma"/>
                <w:sz w:val="14"/>
              </w:rPr>
              <w:t>Utente per System Center Service Manager 2010</w:t>
            </w:r>
            <w:bookmarkEnd w:id="438"/>
            <w:bookmarkEnd w:id="439"/>
          </w:p>
        </w:tc>
        <w:tc>
          <w:tcPr>
            <w:tcW w:w="448" w:type="dxa"/>
            <w:tcBorders>
              <w:bottom w:val="single" w:sz="4" w:space="0" w:color="auto"/>
            </w:tcBorders>
            <w:shd w:val="clear" w:color="auto" w:fill="FABF8F"/>
          </w:tcPr>
          <w:p w:rsidR="001A63C6" w:rsidRPr="00B41377" w:rsidRDefault="001A63C6" w:rsidP="001A63C6">
            <w:pPr>
              <w:pStyle w:val="TableText"/>
              <w:widowControl w:val="0"/>
              <w:rPr>
                <w:rStyle w:val="EndnoteReference"/>
                <w:rFonts w:cs="Tahoma"/>
                <w:sz w:val="13"/>
                <w:szCs w:val="13"/>
                <w:u w:val="single"/>
              </w:rPr>
            </w:pPr>
          </w:p>
        </w:tc>
        <w:tc>
          <w:tcPr>
            <w:tcW w:w="449" w:type="dxa"/>
            <w:tcBorders>
              <w:bottom w:val="single" w:sz="4" w:space="0" w:color="auto"/>
            </w:tcBorders>
            <w:shd w:val="clear" w:color="auto" w:fill="FABF8F"/>
          </w:tcPr>
          <w:p w:rsidR="001A63C6" w:rsidRPr="00A75DF9" w:rsidRDefault="001A63C6" w:rsidP="001A63C6">
            <w:pPr>
              <w:pStyle w:val="TableText"/>
              <w:widowControl w:val="0"/>
              <w:spacing w:before="120"/>
              <w:rPr>
                <w:rFonts w:ascii="Tahoma" w:hAnsi="Tahoma" w:cs="Tahoma"/>
                <w:sz w:val="13"/>
              </w:rPr>
            </w:pPr>
            <w:r w:rsidRPr="00A75DF9">
              <w:rPr>
                <w:rFonts w:ascii="Tahoma" w:hAnsi="Tahoma" w:cs="Tahoma"/>
                <w:sz w:val="13"/>
              </w:rPr>
              <w:t>04/10</w:t>
            </w:r>
          </w:p>
        </w:tc>
        <w:tc>
          <w:tcPr>
            <w:tcW w:w="359" w:type="dxa"/>
            <w:tcBorders>
              <w:bottom w:val="single" w:sz="4" w:space="0" w:color="auto"/>
              <w:right w:val="single" w:sz="18" w:space="0" w:color="auto"/>
            </w:tcBorders>
            <w:shd w:val="clear" w:color="auto" w:fill="FABF8F"/>
          </w:tcPr>
          <w:p w:rsidR="001A63C6" w:rsidRPr="00A75DF9" w:rsidRDefault="001A63C6" w:rsidP="001A63C6">
            <w:pPr>
              <w:pStyle w:val="TableText"/>
              <w:widowControl w:val="0"/>
              <w:spacing w:before="120"/>
              <w:rPr>
                <w:rFonts w:ascii="Tahoma" w:hAnsi="Tahoma" w:cs="Tahoma"/>
                <w:sz w:val="13"/>
              </w:rPr>
            </w:pPr>
            <w:r w:rsidRPr="00A75DF9">
              <w:rPr>
                <w:rFonts w:ascii="Tahoma" w:hAnsi="Tahoma" w:cs="Tahoma"/>
                <w:sz w:val="13"/>
              </w:rPr>
              <w:t>SRV</w:t>
            </w:r>
          </w:p>
        </w:tc>
        <w:tc>
          <w:tcPr>
            <w:tcW w:w="356"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spacing w:before="120"/>
              <w:rPr>
                <w:rFonts w:ascii="Tahoma" w:hAnsi="Tahoma" w:cs="Tahoma"/>
                <w:sz w:val="13"/>
              </w:rPr>
            </w:pPr>
          </w:p>
        </w:tc>
        <w:tc>
          <w:tcPr>
            <w:tcW w:w="455" w:type="dxa"/>
            <w:tcBorders>
              <w:bottom w:val="single" w:sz="4" w:space="0" w:color="auto"/>
            </w:tcBorders>
            <w:shd w:val="clear" w:color="auto" w:fill="FABF8F"/>
            <w:vAlign w:val="center"/>
          </w:tcPr>
          <w:p w:rsidR="001A63C6" w:rsidRPr="00A75DF9" w:rsidRDefault="001A63C6" w:rsidP="001A63C6">
            <w:pPr>
              <w:pStyle w:val="TableText"/>
              <w:widowControl w:val="0"/>
              <w:spacing w:before="120"/>
              <w:rPr>
                <w:rFonts w:ascii="Tahoma" w:hAnsi="Tahoma" w:cs="Tahoma"/>
                <w:sz w:val="13"/>
              </w:rPr>
            </w:pPr>
          </w:p>
        </w:tc>
        <w:tc>
          <w:tcPr>
            <w:tcW w:w="450" w:type="dxa"/>
            <w:gridSpan w:val="3"/>
            <w:tcBorders>
              <w:bottom w:val="single" w:sz="4" w:space="0" w:color="auto"/>
            </w:tcBorders>
            <w:shd w:val="clear" w:color="auto" w:fill="FABF8F"/>
            <w:vAlign w:val="center"/>
          </w:tcPr>
          <w:p w:rsidR="001A63C6" w:rsidRPr="00A75DF9" w:rsidRDefault="001A63C6" w:rsidP="001A63C6">
            <w:pPr>
              <w:pStyle w:val="TableText"/>
              <w:widowControl w:val="0"/>
              <w:spacing w:before="120"/>
              <w:rPr>
                <w:rFonts w:ascii="Tahoma" w:hAnsi="Tahoma" w:cs="Tahoma"/>
                <w:sz w:val="13"/>
              </w:rPr>
            </w:pPr>
          </w:p>
        </w:tc>
        <w:tc>
          <w:tcPr>
            <w:tcW w:w="445" w:type="dxa"/>
            <w:tcBorders>
              <w:bottom w:val="single" w:sz="4" w:space="0" w:color="auto"/>
            </w:tcBorders>
            <w:shd w:val="clear" w:color="auto" w:fill="FABF8F"/>
            <w:vAlign w:val="center"/>
          </w:tcPr>
          <w:p w:rsidR="001A63C6" w:rsidRPr="00A75DF9"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spacing w:before="120"/>
              <w:rPr>
                <w:rFonts w:ascii="Tahoma" w:hAnsi="Tahoma" w:cs="Tahoma"/>
                <w:sz w:val="13"/>
              </w:rPr>
            </w:pPr>
          </w:p>
        </w:tc>
        <w:tc>
          <w:tcPr>
            <w:tcW w:w="374"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spacing w:before="120"/>
              <w:rPr>
                <w:rFonts w:ascii="Tahoma" w:hAnsi="Tahoma" w:cs="Tahoma"/>
                <w:sz w:val="13"/>
              </w:rPr>
            </w:pPr>
          </w:p>
        </w:tc>
        <w:tc>
          <w:tcPr>
            <w:tcW w:w="455"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spacing w:before="12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spacing w:before="120"/>
              <w:rPr>
                <w:rFonts w:ascii="Tahoma" w:hAnsi="Tahoma" w:cs="Tahoma"/>
                <w:sz w:val="13"/>
              </w:rPr>
            </w:pPr>
            <w:r w:rsidRPr="00A75DF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spacing w:before="1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spacing w:before="120"/>
              <w:rPr>
                <w:rFonts w:ascii="Tahoma" w:hAnsi="Tahoma" w:cs="Tahoma"/>
              </w:rPr>
            </w:pPr>
          </w:p>
          <w:p w:rsidR="001A63C6" w:rsidRPr="00A75DF9" w:rsidRDefault="001A63C6" w:rsidP="001A63C6">
            <w:pPr>
              <w:pStyle w:val="TableText"/>
              <w:widowControl w:val="0"/>
              <w:spacing w:before="120"/>
              <w:rPr>
                <w:rFonts w:ascii="Tahoma" w:hAnsi="Tahoma" w:cs="Tahoma"/>
                <w:sz w:val="13"/>
              </w:rPr>
            </w:pPr>
          </w:p>
        </w:tc>
        <w:tc>
          <w:tcPr>
            <w:tcW w:w="450" w:type="dxa"/>
            <w:tcBorders>
              <w:bottom w:val="single" w:sz="4" w:space="0" w:color="auto"/>
            </w:tcBorders>
            <w:shd w:val="clear" w:color="auto" w:fill="FABF8F"/>
          </w:tcPr>
          <w:p w:rsidR="001A63C6" w:rsidRPr="00A75DF9" w:rsidRDefault="001A63C6" w:rsidP="001A63C6">
            <w:pPr>
              <w:pStyle w:val="TableText"/>
              <w:widowControl w:val="0"/>
              <w:spacing w:before="120"/>
              <w:rPr>
                <w:rFonts w:ascii="Tahoma" w:hAnsi="Tahoma" w:cs="Tahoma"/>
                <w:sz w:val="13"/>
              </w:rPr>
            </w:pPr>
            <w:r w:rsidRPr="00A75DF9">
              <w:rPr>
                <w:rFonts w:ascii="Tahoma" w:hAnsi="Tahoma" w:cs="Tahoma"/>
                <w:sz w:val="13"/>
              </w:rPr>
              <w:t>AO, ST</w:t>
            </w:r>
          </w:p>
        </w:tc>
        <w:tc>
          <w:tcPr>
            <w:tcW w:w="539" w:type="dxa"/>
            <w:tcBorders>
              <w:bottom w:val="single" w:sz="4" w:space="0" w:color="auto"/>
            </w:tcBorders>
            <w:shd w:val="clear" w:color="auto" w:fill="FABF8F"/>
          </w:tcPr>
          <w:p w:rsidR="001A63C6" w:rsidRPr="00A75DF9" w:rsidRDefault="001A63C6" w:rsidP="001A63C6">
            <w:pPr>
              <w:pStyle w:val="TableText"/>
              <w:widowControl w:val="0"/>
              <w:rPr>
                <w:rFonts w:ascii="Tahoma" w:hAnsi="Tahoma" w:cs="Tahoma"/>
                <w:sz w:val="13"/>
              </w:rPr>
            </w:pPr>
          </w:p>
        </w:tc>
      </w:tr>
      <w:tr w:rsidR="00B33D0E" w:rsidRPr="00A75DF9" w:rsidTr="008A1262">
        <w:trPr>
          <w:trHeight w:val="145"/>
        </w:trPr>
        <w:tc>
          <w:tcPr>
            <w:tcW w:w="2724" w:type="dxa"/>
            <w:gridSpan w:val="2"/>
            <w:tcBorders>
              <w:bottom w:val="single" w:sz="4" w:space="0" w:color="auto"/>
            </w:tcBorders>
            <w:shd w:val="clear" w:color="auto" w:fill="auto"/>
          </w:tcPr>
          <w:p w:rsidR="001A63C6" w:rsidRPr="00A75DF9" w:rsidRDefault="001A63C6" w:rsidP="00B41377">
            <w:pPr>
              <w:pStyle w:val="Heading3"/>
              <w:spacing w:beforeLines="20" w:before="48" w:afterLines="20" w:after="48"/>
              <w:rPr>
                <w:rFonts w:ascii="Tahoma" w:hAnsi="Tahoma" w:cs="Tahoma"/>
                <w:b w:val="0"/>
                <w:sz w:val="14"/>
                <w:szCs w:val="16"/>
              </w:rPr>
            </w:pPr>
            <w:bookmarkStart w:id="440" w:name="_Toc336338088"/>
            <w:bookmarkStart w:id="441" w:name="_Toc368310087"/>
            <w:r w:rsidRPr="00A75DF9">
              <w:rPr>
                <w:rFonts w:ascii="Tahoma" w:hAnsi="Tahoma" w:cs="Tahoma"/>
                <w:b w:val="0"/>
                <w:sz w:val="14"/>
                <w:szCs w:val="16"/>
              </w:rPr>
              <w:t>Licenza di Gestione Server (Server ML) per</w:t>
            </w:r>
            <w:r w:rsidR="00B41377">
              <w:rPr>
                <w:rFonts w:ascii="Tahoma" w:hAnsi="Tahoma" w:cs="Tahoma"/>
                <w:b w:val="0"/>
                <w:sz w:val="14"/>
                <w:szCs w:val="16"/>
              </w:rPr>
              <w:t> </w:t>
            </w:r>
            <w:r w:rsidRPr="00A75DF9">
              <w:rPr>
                <w:rFonts w:ascii="Tahoma" w:hAnsi="Tahoma" w:cs="Tahoma"/>
                <w:b w:val="0"/>
                <w:sz w:val="14"/>
                <w:szCs w:val="16"/>
              </w:rPr>
              <w:t>OSE per System Center Service Manager 2010</w:t>
            </w:r>
            <w:bookmarkEnd w:id="440"/>
            <w:bookmarkEnd w:id="441"/>
          </w:p>
        </w:tc>
        <w:tc>
          <w:tcPr>
            <w:tcW w:w="448" w:type="dxa"/>
            <w:tcBorders>
              <w:bottom w:val="single" w:sz="4" w:space="0" w:color="auto"/>
            </w:tcBorders>
            <w:shd w:val="clear" w:color="auto" w:fill="auto"/>
          </w:tcPr>
          <w:p w:rsidR="001A63C6" w:rsidRPr="00B41377" w:rsidRDefault="001A63C6" w:rsidP="001A63C6">
            <w:pPr>
              <w:pStyle w:val="TableText"/>
              <w:widowControl w:val="0"/>
              <w:spacing w:before="20" w:after="20"/>
              <w:rPr>
                <w:rStyle w:val="EndnoteReference"/>
                <w:rFonts w:cs="Tahoma"/>
                <w:sz w:val="13"/>
                <w:szCs w:val="13"/>
                <w:u w:val="single"/>
              </w:rPr>
            </w:pPr>
          </w:p>
        </w:tc>
        <w:tc>
          <w:tcPr>
            <w:tcW w:w="449" w:type="dxa"/>
            <w:tcBorders>
              <w:bottom w:val="single" w:sz="4" w:space="0" w:color="auto"/>
            </w:tcBorders>
            <w:shd w:val="clear" w:color="auto" w:fill="auto"/>
          </w:tcPr>
          <w:p w:rsidR="001A63C6" w:rsidRPr="00A75DF9" w:rsidRDefault="001A63C6" w:rsidP="001A63C6">
            <w:pPr>
              <w:pStyle w:val="TableText"/>
              <w:widowControl w:val="0"/>
              <w:spacing w:before="20" w:after="20"/>
              <w:rPr>
                <w:rFonts w:ascii="Tahoma" w:hAnsi="Tahoma" w:cs="Tahoma"/>
                <w:sz w:val="13"/>
              </w:rPr>
            </w:pPr>
            <w:r w:rsidRPr="00A75DF9">
              <w:rPr>
                <w:rFonts w:ascii="Tahoma" w:hAnsi="Tahoma" w:cs="Tahoma"/>
                <w:sz w:val="13"/>
              </w:rPr>
              <w:t>04/10</w:t>
            </w:r>
          </w:p>
        </w:tc>
        <w:tc>
          <w:tcPr>
            <w:tcW w:w="359" w:type="dxa"/>
            <w:tcBorders>
              <w:bottom w:val="single" w:sz="4" w:space="0" w:color="auto"/>
              <w:right w:val="single" w:sz="18" w:space="0" w:color="auto"/>
            </w:tcBorders>
            <w:shd w:val="clear" w:color="auto" w:fill="auto"/>
          </w:tcPr>
          <w:p w:rsidR="001A63C6" w:rsidRPr="00A75DF9" w:rsidRDefault="001A63C6" w:rsidP="001A63C6">
            <w:pPr>
              <w:pStyle w:val="TableText"/>
              <w:widowControl w:val="0"/>
              <w:spacing w:before="20" w:after="20"/>
              <w:rPr>
                <w:rFonts w:ascii="Tahoma" w:hAnsi="Tahoma" w:cs="Tahoma"/>
                <w:sz w:val="13"/>
              </w:rPr>
            </w:pPr>
            <w:r w:rsidRPr="00A75DF9">
              <w:rPr>
                <w:rFonts w:ascii="Tahoma" w:hAnsi="Tahoma" w:cs="Tahoma"/>
                <w:sz w:val="13"/>
              </w:rPr>
              <w:t>SRV</w:t>
            </w:r>
          </w:p>
        </w:tc>
        <w:tc>
          <w:tcPr>
            <w:tcW w:w="356"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spacing w:before="20" w:after="20"/>
              <w:rPr>
                <w:rFonts w:ascii="Tahoma" w:hAnsi="Tahoma" w:cs="Tahoma"/>
                <w:sz w:val="13"/>
              </w:rPr>
            </w:pPr>
          </w:p>
        </w:tc>
        <w:tc>
          <w:tcPr>
            <w:tcW w:w="455" w:type="dxa"/>
            <w:tcBorders>
              <w:bottom w:val="single" w:sz="4" w:space="0" w:color="auto"/>
            </w:tcBorders>
            <w:shd w:val="clear" w:color="auto" w:fill="auto"/>
            <w:vAlign w:val="center"/>
          </w:tcPr>
          <w:p w:rsidR="001A63C6" w:rsidRPr="00A75DF9" w:rsidRDefault="001A63C6" w:rsidP="001A63C6">
            <w:pPr>
              <w:pStyle w:val="TableText"/>
              <w:widowControl w:val="0"/>
              <w:spacing w:before="20" w:after="20"/>
              <w:rPr>
                <w:rFonts w:ascii="Tahoma" w:hAnsi="Tahoma" w:cs="Tahoma"/>
                <w:sz w:val="13"/>
              </w:rPr>
            </w:pPr>
          </w:p>
        </w:tc>
        <w:tc>
          <w:tcPr>
            <w:tcW w:w="450" w:type="dxa"/>
            <w:gridSpan w:val="3"/>
            <w:tcBorders>
              <w:bottom w:val="single" w:sz="4" w:space="0" w:color="auto"/>
            </w:tcBorders>
            <w:shd w:val="clear" w:color="auto" w:fill="auto"/>
            <w:vAlign w:val="center"/>
          </w:tcPr>
          <w:p w:rsidR="001A63C6" w:rsidRPr="00A75DF9" w:rsidRDefault="001A63C6" w:rsidP="001A63C6">
            <w:pPr>
              <w:pStyle w:val="TableText"/>
              <w:widowControl w:val="0"/>
              <w:spacing w:before="20" w:after="20"/>
              <w:rPr>
                <w:rFonts w:ascii="Tahoma" w:hAnsi="Tahoma" w:cs="Tahoma"/>
                <w:sz w:val="13"/>
              </w:rPr>
            </w:pPr>
          </w:p>
        </w:tc>
        <w:tc>
          <w:tcPr>
            <w:tcW w:w="445" w:type="dxa"/>
            <w:tcBorders>
              <w:bottom w:val="single" w:sz="4" w:space="0" w:color="auto"/>
            </w:tcBorders>
            <w:shd w:val="clear" w:color="auto" w:fill="auto"/>
            <w:vAlign w:val="center"/>
          </w:tcPr>
          <w:p w:rsidR="001A63C6" w:rsidRPr="00A75DF9"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spacing w:before="20" w:after="20"/>
              <w:rPr>
                <w:rFonts w:ascii="Tahoma" w:hAnsi="Tahoma" w:cs="Tahoma"/>
                <w:sz w:val="13"/>
              </w:rPr>
            </w:pPr>
          </w:p>
        </w:tc>
        <w:tc>
          <w:tcPr>
            <w:tcW w:w="374"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spacing w:before="20" w:after="20"/>
              <w:rPr>
                <w:rFonts w:ascii="Tahoma" w:hAnsi="Tahoma" w:cs="Tahoma"/>
                <w:sz w:val="13"/>
              </w:rPr>
            </w:pPr>
          </w:p>
        </w:tc>
        <w:tc>
          <w:tcPr>
            <w:tcW w:w="455"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spacing w:before="20" w:after="2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spacing w:before="20" w:after="20"/>
              <w:rPr>
                <w:rFonts w:ascii="Tahoma" w:hAnsi="Tahoma" w:cs="Tahoma"/>
                <w:sz w:val="13"/>
              </w:rPr>
            </w:pPr>
            <w:r w:rsidRPr="00A75DF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spacing w:before="20" w:after="2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75DF9" w:rsidRDefault="001A63C6" w:rsidP="001A63C6">
            <w:pPr>
              <w:pStyle w:val="TableText"/>
              <w:widowControl w:val="0"/>
              <w:spacing w:before="20" w:after="20"/>
              <w:rPr>
                <w:rFonts w:ascii="Tahoma" w:hAnsi="Tahoma" w:cs="Tahoma"/>
              </w:rPr>
            </w:pPr>
          </w:p>
          <w:p w:rsidR="001A63C6" w:rsidRPr="00A75DF9" w:rsidRDefault="001A63C6" w:rsidP="001A63C6">
            <w:pPr>
              <w:pStyle w:val="TableText"/>
              <w:widowControl w:val="0"/>
              <w:spacing w:before="20" w:after="2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spacing w:before="20" w:after="20"/>
              <w:rPr>
                <w:rFonts w:ascii="Tahoma" w:hAnsi="Tahoma" w:cs="Tahoma"/>
                <w:sz w:val="13"/>
              </w:rPr>
            </w:pPr>
            <w:r w:rsidRPr="00A75DF9">
              <w:rPr>
                <w:rFonts w:ascii="Tahoma" w:hAnsi="Tahoma" w:cs="Tahoma"/>
                <w:sz w:val="13"/>
              </w:rPr>
              <w:t>A, ST</w:t>
            </w:r>
          </w:p>
        </w:tc>
        <w:tc>
          <w:tcPr>
            <w:tcW w:w="539" w:type="dxa"/>
            <w:tcBorders>
              <w:bottom w:val="single" w:sz="4" w:space="0" w:color="auto"/>
            </w:tcBorders>
            <w:shd w:val="clear" w:color="auto" w:fill="auto"/>
          </w:tcPr>
          <w:p w:rsidR="001A63C6" w:rsidRPr="00A75DF9" w:rsidRDefault="001A63C6" w:rsidP="001A63C6">
            <w:pPr>
              <w:pStyle w:val="TableText"/>
              <w:widowControl w:val="0"/>
              <w:spacing w:before="20" w:after="20"/>
              <w:rPr>
                <w:rFonts w:ascii="Tahoma" w:hAnsi="Tahoma" w:cs="Tahoma"/>
                <w:sz w:val="13"/>
              </w:rPr>
            </w:pPr>
          </w:p>
        </w:tc>
      </w:tr>
      <w:tr w:rsidR="00383917" w:rsidRPr="00A75DF9" w:rsidTr="008A1262">
        <w:tblPrEx>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8" w:type="dxa"/>
            <w:right w:w="8" w:type="dxa"/>
          </w:tblCellMar>
        </w:tblPrEx>
        <w:trPr>
          <w:trHeight w:val="42"/>
        </w:trPr>
        <w:tc>
          <w:tcPr>
            <w:tcW w:w="2724" w:type="dxa"/>
            <w:gridSpan w:val="2"/>
            <w:tcBorders>
              <w:bottom w:val="single" w:sz="2" w:space="0" w:color="auto"/>
            </w:tcBorders>
            <w:shd w:val="clear" w:color="auto" w:fill="FABF8F"/>
          </w:tcPr>
          <w:p w:rsidR="001A63C6" w:rsidRPr="00A75DF9" w:rsidRDefault="001A63C6" w:rsidP="008B1245">
            <w:pPr>
              <w:pStyle w:val="Heading2"/>
              <w:spacing w:beforeLines="20" w:before="48" w:afterLines="20" w:after="48"/>
              <w:ind w:left="0"/>
              <w:rPr>
                <w:rFonts w:ascii="Tahoma" w:hAnsi="Tahoma" w:cs="Tahoma"/>
                <w:b w:val="0"/>
                <w:sz w:val="14"/>
                <w:szCs w:val="14"/>
              </w:rPr>
            </w:pPr>
            <w:bookmarkStart w:id="442" w:name="_Toc336338089"/>
            <w:bookmarkStart w:id="443" w:name="_Toc368310088"/>
            <w:r w:rsidRPr="00A75DF9">
              <w:rPr>
                <w:rFonts w:ascii="Tahoma" w:hAnsi="Tahoma" w:cs="Tahoma"/>
                <w:b w:val="0"/>
                <w:sz w:val="14"/>
                <w:szCs w:val="14"/>
              </w:rPr>
              <w:t>Licenza di Gestione Client per OSE per System Center Virtual Machine Manager 2008 R2</w:t>
            </w:r>
            <w:bookmarkEnd w:id="442"/>
            <w:bookmarkEnd w:id="443"/>
          </w:p>
        </w:tc>
        <w:tc>
          <w:tcPr>
            <w:tcW w:w="448" w:type="dxa"/>
            <w:tcBorders>
              <w:bottom w:val="single" w:sz="2" w:space="0" w:color="auto"/>
            </w:tcBorders>
            <w:shd w:val="clear" w:color="auto" w:fill="FABF8F"/>
            <w:vAlign w:val="center"/>
          </w:tcPr>
          <w:p w:rsidR="001A63C6" w:rsidRPr="00B41377" w:rsidRDefault="00B54770" w:rsidP="00FC0808">
            <w:pPr>
              <w:pStyle w:val="TableText"/>
              <w:widowControl w:val="0"/>
              <w:spacing w:before="60"/>
              <w:rPr>
                <w:rStyle w:val="EndnoteReference"/>
                <w:rFonts w:cs="Tahoma"/>
                <w:b w:val="0"/>
                <w:color w:val="0000FF"/>
                <w:sz w:val="13"/>
                <w:szCs w:val="13"/>
                <w:u w:val="single"/>
              </w:rPr>
            </w:pPr>
            <w:hyperlink w:anchor="_87_System_Center" w:history="1">
              <w:r w:rsidR="00734B17" w:rsidRPr="00B41377">
                <w:rPr>
                  <w:rStyle w:val="Hyperlink"/>
                  <w:rFonts w:cs="Tahoma"/>
                  <w:b/>
                  <w:sz w:val="13"/>
                  <w:szCs w:val="13"/>
                </w:rPr>
                <w:t>95</w:t>
              </w:r>
            </w:hyperlink>
          </w:p>
        </w:tc>
        <w:tc>
          <w:tcPr>
            <w:tcW w:w="449" w:type="dxa"/>
            <w:tcBorders>
              <w:bottom w:val="single" w:sz="2" w:space="0" w:color="auto"/>
            </w:tcBorders>
            <w:shd w:val="clear" w:color="auto" w:fill="FABF8F"/>
          </w:tcPr>
          <w:p w:rsidR="001A63C6" w:rsidRPr="00A75DF9" w:rsidRDefault="001A63C6" w:rsidP="001A63C6">
            <w:pPr>
              <w:pStyle w:val="TableText"/>
              <w:widowControl w:val="0"/>
              <w:spacing w:before="120"/>
              <w:rPr>
                <w:rFonts w:ascii="Tahoma" w:hAnsi="Tahoma" w:cs="Tahoma"/>
                <w:sz w:val="13"/>
                <w:szCs w:val="13"/>
              </w:rPr>
            </w:pPr>
            <w:r w:rsidRPr="00A75DF9">
              <w:rPr>
                <w:rFonts w:ascii="Tahoma" w:hAnsi="Tahoma" w:cs="Tahoma"/>
                <w:sz w:val="13"/>
                <w:szCs w:val="13"/>
              </w:rPr>
              <w:t>11/09</w:t>
            </w:r>
          </w:p>
        </w:tc>
        <w:tc>
          <w:tcPr>
            <w:tcW w:w="359" w:type="dxa"/>
            <w:tcBorders>
              <w:bottom w:val="single" w:sz="2" w:space="0" w:color="auto"/>
              <w:right w:val="single" w:sz="18" w:space="0" w:color="auto"/>
            </w:tcBorders>
            <w:shd w:val="clear" w:color="auto" w:fill="FABF8F"/>
          </w:tcPr>
          <w:p w:rsidR="001A63C6" w:rsidRPr="00A75DF9" w:rsidRDefault="001A63C6" w:rsidP="001A63C6">
            <w:pPr>
              <w:pStyle w:val="TableText"/>
              <w:widowControl w:val="0"/>
              <w:spacing w:before="120"/>
              <w:rPr>
                <w:rFonts w:ascii="Tahoma" w:hAnsi="Tahoma" w:cs="Tahoma"/>
                <w:sz w:val="14"/>
                <w:szCs w:val="14"/>
              </w:rPr>
            </w:pPr>
            <w:r w:rsidRPr="00A75DF9">
              <w:rPr>
                <w:rFonts w:ascii="Tahoma" w:hAnsi="Tahoma" w:cs="Tahoma"/>
                <w:sz w:val="14"/>
                <w:szCs w:val="14"/>
              </w:rPr>
              <w:t>SRV</w:t>
            </w:r>
          </w:p>
        </w:tc>
        <w:tc>
          <w:tcPr>
            <w:tcW w:w="356" w:type="dxa"/>
            <w:tcBorders>
              <w:left w:val="single" w:sz="18" w:space="0" w:color="auto"/>
              <w:bottom w:val="single" w:sz="2" w:space="0" w:color="auto"/>
            </w:tcBorders>
            <w:shd w:val="clear" w:color="auto" w:fill="FABF8F"/>
          </w:tcPr>
          <w:p w:rsidR="001A63C6" w:rsidRPr="00A75DF9"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A75DF9" w:rsidRDefault="001A63C6" w:rsidP="001A63C6">
            <w:pPr>
              <w:pStyle w:val="TableText"/>
              <w:widowControl w:val="0"/>
              <w:spacing w:before="120"/>
              <w:rPr>
                <w:rFonts w:ascii="Tahoma" w:hAnsi="Tahoma" w:cs="Tahoma"/>
                <w:sz w:val="14"/>
                <w:szCs w:val="14"/>
              </w:rPr>
            </w:pPr>
          </w:p>
        </w:tc>
        <w:tc>
          <w:tcPr>
            <w:tcW w:w="455" w:type="dxa"/>
            <w:tcBorders>
              <w:bottom w:val="single" w:sz="2" w:space="0" w:color="auto"/>
            </w:tcBorders>
            <w:shd w:val="clear" w:color="auto" w:fill="FABF8F"/>
          </w:tcPr>
          <w:p w:rsidR="001A63C6" w:rsidRPr="00A75DF9" w:rsidRDefault="001A63C6" w:rsidP="001A63C6">
            <w:pPr>
              <w:pStyle w:val="TableText"/>
              <w:widowControl w:val="0"/>
              <w:spacing w:before="120"/>
              <w:rPr>
                <w:rFonts w:ascii="Tahoma" w:hAnsi="Tahoma" w:cs="Tahoma"/>
                <w:sz w:val="14"/>
                <w:szCs w:val="14"/>
              </w:rPr>
            </w:pPr>
          </w:p>
        </w:tc>
        <w:tc>
          <w:tcPr>
            <w:tcW w:w="450" w:type="dxa"/>
            <w:gridSpan w:val="3"/>
            <w:tcBorders>
              <w:bottom w:val="single" w:sz="2" w:space="0" w:color="auto"/>
            </w:tcBorders>
            <w:shd w:val="clear" w:color="auto" w:fill="FABF8F"/>
          </w:tcPr>
          <w:p w:rsidR="001A63C6" w:rsidRPr="00A75DF9" w:rsidRDefault="001A63C6" w:rsidP="001A63C6">
            <w:pPr>
              <w:pStyle w:val="TableText"/>
              <w:widowControl w:val="0"/>
              <w:spacing w:before="120"/>
              <w:rPr>
                <w:rFonts w:ascii="Tahoma" w:hAnsi="Tahoma" w:cs="Tahoma"/>
                <w:sz w:val="14"/>
                <w:szCs w:val="14"/>
              </w:rPr>
            </w:pPr>
          </w:p>
        </w:tc>
        <w:tc>
          <w:tcPr>
            <w:tcW w:w="445" w:type="dxa"/>
            <w:tcBorders>
              <w:bottom w:val="single" w:sz="2" w:space="0" w:color="auto"/>
            </w:tcBorders>
            <w:shd w:val="clear" w:color="auto" w:fill="FABF8F"/>
          </w:tcPr>
          <w:p w:rsidR="001A63C6" w:rsidRPr="00A75DF9"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A75DF9" w:rsidRDefault="001A63C6" w:rsidP="001A63C6">
            <w:pPr>
              <w:pStyle w:val="TableText"/>
              <w:widowControl w:val="0"/>
              <w:spacing w:before="120"/>
              <w:rPr>
                <w:rFonts w:ascii="Tahoma" w:hAnsi="Tahoma" w:cs="Tahoma"/>
                <w:sz w:val="14"/>
                <w:szCs w:val="14"/>
              </w:rPr>
            </w:pPr>
          </w:p>
        </w:tc>
        <w:tc>
          <w:tcPr>
            <w:tcW w:w="374" w:type="dxa"/>
            <w:tcBorders>
              <w:bottom w:val="single" w:sz="2" w:space="0" w:color="auto"/>
              <w:right w:val="single" w:sz="18" w:space="0" w:color="auto"/>
            </w:tcBorders>
            <w:shd w:val="clear" w:color="auto" w:fill="FABF8F"/>
          </w:tcPr>
          <w:p w:rsidR="001A63C6" w:rsidRPr="00A75DF9" w:rsidRDefault="001A63C6" w:rsidP="001A63C6">
            <w:pPr>
              <w:pStyle w:val="TableText"/>
              <w:widowControl w:val="0"/>
              <w:spacing w:before="120"/>
              <w:rPr>
                <w:rFonts w:ascii="Tahoma" w:hAnsi="Tahoma" w:cs="Tahoma"/>
                <w:sz w:val="14"/>
                <w:szCs w:val="14"/>
              </w:rPr>
            </w:pPr>
          </w:p>
        </w:tc>
        <w:tc>
          <w:tcPr>
            <w:tcW w:w="455" w:type="dxa"/>
            <w:tcBorders>
              <w:left w:val="single" w:sz="18" w:space="0" w:color="auto"/>
              <w:bottom w:val="single" w:sz="2" w:space="0" w:color="auto"/>
            </w:tcBorders>
            <w:shd w:val="clear" w:color="auto" w:fill="FABF8F"/>
          </w:tcPr>
          <w:p w:rsidR="001A63C6" w:rsidRPr="00A75DF9"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tcBorders>
            <w:shd w:val="clear" w:color="auto" w:fill="FABF8F"/>
          </w:tcPr>
          <w:p w:rsidR="001A63C6" w:rsidRPr="00A75DF9" w:rsidRDefault="001A63C6" w:rsidP="001A63C6">
            <w:pPr>
              <w:pStyle w:val="TableText"/>
              <w:widowControl w:val="0"/>
              <w:spacing w:before="120"/>
              <w:rPr>
                <w:rFonts w:ascii="Tahoma" w:hAnsi="Tahoma" w:cs="Tahoma"/>
                <w:sz w:val="14"/>
                <w:szCs w:val="14"/>
              </w:rPr>
            </w:pPr>
          </w:p>
        </w:tc>
        <w:tc>
          <w:tcPr>
            <w:tcW w:w="450" w:type="dxa"/>
            <w:tcBorders>
              <w:bottom w:val="single" w:sz="2" w:space="0" w:color="auto"/>
              <w:right w:val="single" w:sz="18" w:space="0" w:color="auto"/>
            </w:tcBorders>
            <w:shd w:val="clear" w:color="auto" w:fill="FABF8F"/>
          </w:tcPr>
          <w:p w:rsidR="001A63C6" w:rsidRPr="00A75DF9"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2" w:space="0" w:color="auto"/>
            </w:tcBorders>
            <w:shd w:val="clear" w:color="auto" w:fill="FABF8F"/>
          </w:tcPr>
          <w:p w:rsidR="001A63C6" w:rsidRPr="00A75DF9" w:rsidRDefault="001A63C6" w:rsidP="001A63C6">
            <w:pPr>
              <w:pStyle w:val="TableText"/>
              <w:widowControl w:val="0"/>
              <w:spacing w:before="120"/>
              <w:rPr>
                <w:rFonts w:ascii="Tahoma" w:hAnsi="Tahoma" w:cs="Tahoma"/>
                <w:sz w:val="14"/>
                <w:szCs w:val="14"/>
              </w:rPr>
            </w:pPr>
            <w:r w:rsidRPr="00A75DF9">
              <w:rPr>
                <w:rFonts w:ascii="Tahoma" w:hAnsi="Tahoma" w:cs="Tahoma"/>
                <w:sz w:val="14"/>
                <w:szCs w:val="14"/>
              </w:rPr>
              <w:t>1</w:t>
            </w:r>
          </w:p>
        </w:tc>
        <w:tc>
          <w:tcPr>
            <w:tcW w:w="450" w:type="dxa"/>
            <w:tcBorders>
              <w:bottom w:val="single" w:sz="2" w:space="0" w:color="auto"/>
              <w:right w:val="single" w:sz="18" w:space="0" w:color="auto"/>
            </w:tcBorders>
            <w:shd w:val="clear" w:color="auto" w:fill="FABF8F"/>
          </w:tcPr>
          <w:p w:rsidR="001A63C6" w:rsidRPr="00A75DF9"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2" w:space="0" w:color="auto"/>
              <w:right w:val="single" w:sz="18" w:space="0" w:color="auto"/>
            </w:tcBorders>
            <w:shd w:val="clear" w:color="auto" w:fill="FABF8F"/>
          </w:tcPr>
          <w:p w:rsidR="001A63C6" w:rsidRPr="00A75DF9"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2" w:space="0" w:color="auto"/>
            </w:tcBorders>
            <w:shd w:val="clear" w:color="auto" w:fill="FABF8F"/>
          </w:tcPr>
          <w:p w:rsidR="001A63C6" w:rsidRPr="00A75DF9" w:rsidRDefault="001A63C6" w:rsidP="001A63C6">
            <w:pPr>
              <w:pStyle w:val="TableText"/>
              <w:widowControl w:val="0"/>
              <w:spacing w:before="120"/>
              <w:rPr>
                <w:rFonts w:ascii="Tahoma" w:hAnsi="Tahoma" w:cs="Tahoma"/>
                <w:sz w:val="14"/>
                <w:szCs w:val="14"/>
              </w:rPr>
            </w:pPr>
            <w:r w:rsidRPr="00A75DF9">
              <w:rPr>
                <w:rFonts w:ascii="Tahoma" w:hAnsi="Tahoma" w:cs="Tahoma"/>
                <w:sz w:val="13"/>
              </w:rPr>
              <w:t>A</w:t>
            </w:r>
          </w:p>
        </w:tc>
        <w:tc>
          <w:tcPr>
            <w:tcW w:w="539" w:type="dxa"/>
            <w:tcBorders>
              <w:bottom w:val="single" w:sz="2" w:space="0" w:color="auto"/>
            </w:tcBorders>
            <w:shd w:val="clear" w:color="auto" w:fill="FABF8F"/>
          </w:tcPr>
          <w:p w:rsidR="001A63C6" w:rsidRPr="00A75DF9" w:rsidRDefault="001A63C6" w:rsidP="001A63C6">
            <w:pPr>
              <w:pStyle w:val="TableText"/>
              <w:widowControl w:val="0"/>
              <w:rPr>
                <w:rFonts w:ascii="Tahoma" w:hAnsi="Tahoma" w:cs="Tahoma"/>
                <w:sz w:val="14"/>
                <w:szCs w:val="14"/>
              </w:rPr>
            </w:pPr>
          </w:p>
        </w:tc>
      </w:tr>
      <w:tr w:rsidR="00383917" w:rsidRPr="00A75DF9" w:rsidTr="008A1262">
        <w:trPr>
          <w:trHeight w:val="145"/>
        </w:trPr>
        <w:tc>
          <w:tcPr>
            <w:tcW w:w="2724" w:type="dxa"/>
            <w:gridSpan w:val="2"/>
            <w:tcBorders>
              <w:bottom w:val="single" w:sz="4" w:space="0" w:color="auto"/>
            </w:tcBorders>
            <w:shd w:val="clear" w:color="auto" w:fill="auto"/>
          </w:tcPr>
          <w:p w:rsidR="001A63C6" w:rsidRPr="00A75DF9" w:rsidRDefault="001A63C6" w:rsidP="008B1245">
            <w:pPr>
              <w:pStyle w:val="Heading2"/>
              <w:spacing w:beforeLines="20" w:before="48" w:afterLines="20" w:after="48"/>
              <w:ind w:left="0"/>
              <w:rPr>
                <w:rFonts w:ascii="Tahoma" w:hAnsi="Tahoma" w:cs="Tahoma"/>
                <w:b w:val="0"/>
                <w:sz w:val="14"/>
                <w:szCs w:val="14"/>
              </w:rPr>
            </w:pPr>
            <w:bookmarkStart w:id="444" w:name="_Toc336338090"/>
            <w:bookmarkStart w:id="445" w:name="_Toc368310089"/>
            <w:r w:rsidRPr="00A75DF9">
              <w:rPr>
                <w:rFonts w:ascii="Tahoma" w:hAnsi="Tahoma" w:cs="Tahoma"/>
                <w:b w:val="0"/>
                <w:sz w:val="14"/>
                <w:szCs w:val="14"/>
              </w:rPr>
              <w:t>Licenza di Gestione Client per Utente per System Center Virtual Machine Manager 2008 R2</w:t>
            </w:r>
            <w:bookmarkEnd w:id="444"/>
            <w:bookmarkEnd w:id="445"/>
          </w:p>
        </w:tc>
        <w:tc>
          <w:tcPr>
            <w:tcW w:w="448" w:type="dxa"/>
            <w:tcBorders>
              <w:bottom w:val="single" w:sz="4" w:space="0" w:color="auto"/>
            </w:tcBorders>
            <w:shd w:val="clear" w:color="auto" w:fill="auto"/>
            <w:vAlign w:val="center"/>
          </w:tcPr>
          <w:p w:rsidR="001A63C6" w:rsidRPr="00B41377" w:rsidRDefault="00B54770" w:rsidP="00FC0808">
            <w:pPr>
              <w:pStyle w:val="TableText"/>
              <w:widowControl w:val="0"/>
              <w:spacing w:before="60"/>
              <w:rPr>
                <w:rStyle w:val="EndnoteReference"/>
                <w:rFonts w:cs="Tahoma"/>
                <w:b w:val="0"/>
                <w:sz w:val="13"/>
                <w:szCs w:val="13"/>
                <w:u w:val="single"/>
              </w:rPr>
            </w:pPr>
            <w:hyperlink w:anchor="_87_System_Center" w:history="1">
              <w:r w:rsidR="00734B17" w:rsidRPr="00B41377">
                <w:rPr>
                  <w:rStyle w:val="Hyperlink"/>
                  <w:rFonts w:cs="Tahoma"/>
                  <w:b/>
                  <w:sz w:val="13"/>
                  <w:szCs w:val="13"/>
                </w:rPr>
                <w:t>95</w:t>
              </w:r>
            </w:hyperlink>
          </w:p>
        </w:tc>
        <w:tc>
          <w:tcPr>
            <w:tcW w:w="449" w:type="dxa"/>
            <w:tcBorders>
              <w:bottom w:val="single" w:sz="4" w:space="0" w:color="auto"/>
            </w:tcBorders>
            <w:shd w:val="clear" w:color="auto" w:fill="auto"/>
          </w:tcPr>
          <w:p w:rsidR="001A63C6" w:rsidRPr="00A75DF9" w:rsidRDefault="001A63C6" w:rsidP="001A63C6">
            <w:pPr>
              <w:pStyle w:val="TableText"/>
              <w:widowControl w:val="0"/>
              <w:spacing w:before="120"/>
              <w:rPr>
                <w:rFonts w:ascii="Tahoma" w:hAnsi="Tahoma" w:cs="Tahoma"/>
                <w:sz w:val="13"/>
                <w:szCs w:val="13"/>
              </w:rPr>
            </w:pPr>
            <w:r w:rsidRPr="00A75DF9">
              <w:rPr>
                <w:rFonts w:ascii="Tahoma" w:hAnsi="Tahoma" w:cs="Tahoma"/>
                <w:sz w:val="13"/>
                <w:szCs w:val="13"/>
              </w:rPr>
              <w:t>11/09</w:t>
            </w:r>
          </w:p>
        </w:tc>
        <w:tc>
          <w:tcPr>
            <w:tcW w:w="359" w:type="dxa"/>
            <w:tcBorders>
              <w:bottom w:val="single" w:sz="4" w:space="0" w:color="auto"/>
              <w:right w:val="single" w:sz="18" w:space="0" w:color="auto"/>
            </w:tcBorders>
            <w:shd w:val="clear" w:color="auto" w:fill="auto"/>
          </w:tcPr>
          <w:p w:rsidR="001A63C6" w:rsidRPr="00A75DF9" w:rsidRDefault="001A63C6" w:rsidP="001A63C6">
            <w:pPr>
              <w:pStyle w:val="TableText"/>
              <w:widowControl w:val="0"/>
              <w:spacing w:before="120"/>
              <w:rPr>
                <w:rFonts w:ascii="Tahoma" w:hAnsi="Tahoma" w:cs="Tahoma"/>
                <w:sz w:val="14"/>
                <w:szCs w:val="14"/>
              </w:rPr>
            </w:pPr>
            <w:r w:rsidRPr="00A75DF9">
              <w:rPr>
                <w:rFonts w:ascii="Tahoma" w:hAnsi="Tahoma" w:cs="Tahoma"/>
                <w:sz w:val="14"/>
                <w:szCs w:val="14"/>
              </w:rPr>
              <w:t>SRV</w:t>
            </w:r>
          </w:p>
        </w:tc>
        <w:tc>
          <w:tcPr>
            <w:tcW w:w="356" w:type="dxa"/>
            <w:tcBorders>
              <w:left w:val="single" w:sz="18" w:space="0" w:color="auto"/>
              <w:bottom w:val="single" w:sz="4" w:space="0" w:color="auto"/>
            </w:tcBorders>
            <w:shd w:val="clear" w:color="auto" w:fill="auto"/>
          </w:tcPr>
          <w:p w:rsidR="001A63C6" w:rsidRPr="00A75DF9"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A75DF9" w:rsidRDefault="001A63C6" w:rsidP="001A63C6">
            <w:pPr>
              <w:pStyle w:val="TableText"/>
              <w:widowControl w:val="0"/>
              <w:spacing w:before="120"/>
              <w:rPr>
                <w:rFonts w:ascii="Tahoma" w:hAnsi="Tahoma" w:cs="Tahoma"/>
                <w:sz w:val="14"/>
                <w:szCs w:val="14"/>
              </w:rPr>
            </w:pPr>
          </w:p>
        </w:tc>
        <w:tc>
          <w:tcPr>
            <w:tcW w:w="455" w:type="dxa"/>
            <w:tcBorders>
              <w:bottom w:val="single" w:sz="4" w:space="0" w:color="auto"/>
            </w:tcBorders>
            <w:shd w:val="clear" w:color="auto" w:fill="auto"/>
          </w:tcPr>
          <w:p w:rsidR="001A63C6" w:rsidRPr="00A75DF9" w:rsidRDefault="001A63C6" w:rsidP="001A63C6">
            <w:pPr>
              <w:pStyle w:val="TableText"/>
              <w:widowControl w:val="0"/>
              <w:spacing w:before="120"/>
              <w:rPr>
                <w:rFonts w:ascii="Tahoma" w:hAnsi="Tahoma" w:cs="Tahoma"/>
                <w:sz w:val="14"/>
                <w:szCs w:val="14"/>
              </w:rPr>
            </w:pPr>
          </w:p>
        </w:tc>
        <w:tc>
          <w:tcPr>
            <w:tcW w:w="450" w:type="dxa"/>
            <w:gridSpan w:val="3"/>
            <w:tcBorders>
              <w:bottom w:val="single" w:sz="4" w:space="0" w:color="auto"/>
            </w:tcBorders>
            <w:shd w:val="clear" w:color="auto" w:fill="auto"/>
          </w:tcPr>
          <w:p w:rsidR="001A63C6" w:rsidRPr="00A75DF9" w:rsidRDefault="001A63C6" w:rsidP="001A63C6">
            <w:pPr>
              <w:pStyle w:val="TableText"/>
              <w:widowControl w:val="0"/>
              <w:spacing w:before="120"/>
              <w:rPr>
                <w:rFonts w:ascii="Tahoma" w:hAnsi="Tahoma" w:cs="Tahoma"/>
                <w:sz w:val="14"/>
                <w:szCs w:val="14"/>
              </w:rPr>
            </w:pPr>
          </w:p>
        </w:tc>
        <w:tc>
          <w:tcPr>
            <w:tcW w:w="445" w:type="dxa"/>
            <w:tcBorders>
              <w:bottom w:val="single" w:sz="4" w:space="0" w:color="auto"/>
            </w:tcBorders>
            <w:shd w:val="clear" w:color="auto" w:fill="auto"/>
          </w:tcPr>
          <w:p w:rsidR="001A63C6" w:rsidRPr="00A75DF9"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A75DF9" w:rsidRDefault="001A63C6" w:rsidP="001A63C6">
            <w:pPr>
              <w:pStyle w:val="TableText"/>
              <w:widowControl w:val="0"/>
              <w:spacing w:before="120"/>
              <w:rPr>
                <w:rFonts w:ascii="Tahoma" w:hAnsi="Tahoma" w:cs="Tahoma"/>
                <w:sz w:val="14"/>
                <w:szCs w:val="14"/>
              </w:rPr>
            </w:pPr>
          </w:p>
        </w:tc>
        <w:tc>
          <w:tcPr>
            <w:tcW w:w="374" w:type="dxa"/>
            <w:tcBorders>
              <w:bottom w:val="single" w:sz="4" w:space="0" w:color="auto"/>
              <w:right w:val="single" w:sz="18" w:space="0" w:color="auto"/>
            </w:tcBorders>
            <w:shd w:val="clear" w:color="auto" w:fill="auto"/>
          </w:tcPr>
          <w:p w:rsidR="001A63C6" w:rsidRPr="00A75DF9" w:rsidRDefault="001A63C6" w:rsidP="001A63C6">
            <w:pPr>
              <w:pStyle w:val="TableText"/>
              <w:widowControl w:val="0"/>
              <w:spacing w:before="120"/>
              <w:rPr>
                <w:rFonts w:ascii="Tahoma" w:hAnsi="Tahoma" w:cs="Tahoma"/>
                <w:sz w:val="14"/>
                <w:szCs w:val="14"/>
              </w:rPr>
            </w:pPr>
          </w:p>
        </w:tc>
        <w:tc>
          <w:tcPr>
            <w:tcW w:w="455" w:type="dxa"/>
            <w:tcBorders>
              <w:left w:val="single" w:sz="18" w:space="0" w:color="auto"/>
              <w:bottom w:val="single" w:sz="4" w:space="0" w:color="auto"/>
            </w:tcBorders>
            <w:shd w:val="clear" w:color="auto" w:fill="auto"/>
          </w:tcPr>
          <w:p w:rsidR="001A63C6" w:rsidRPr="00A75DF9"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A75DF9"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right w:val="single" w:sz="18" w:space="0" w:color="auto"/>
            </w:tcBorders>
            <w:shd w:val="clear" w:color="auto" w:fill="auto"/>
          </w:tcPr>
          <w:p w:rsidR="001A63C6" w:rsidRPr="00A75DF9"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auto"/>
          </w:tcPr>
          <w:p w:rsidR="001A63C6" w:rsidRPr="00A75DF9" w:rsidRDefault="001A63C6" w:rsidP="001A63C6">
            <w:pPr>
              <w:pStyle w:val="TableText"/>
              <w:widowControl w:val="0"/>
              <w:spacing w:before="120"/>
              <w:rPr>
                <w:rFonts w:ascii="Tahoma" w:hAnsi="Tahoma" w:cs="Tahoma"/>
                <w:sz w:val="14"/>
                <w:szCs w:val="14"/>
              </w:rPr>
            </w:pPr>
            <w:r w:rsidRPr="00A75DF9">
              <w:rPr>
                <w:rFonts w:ascii="Tahoma" w:hAnsi="Tahoma" w:cs="Tahoma"/>
                <w:sz w:val="14"/>
                <w:szCs w:val="14"/>
              </w:rPr>
              <w:t>1</w:t>
            </w:r>
          </w:p>
        </w:tc>
        <w:tc>
          <w:tcPr>
            <w:tcW w:w="450" w:type="dxa"/>
            <w:tcBorders>
              <w:bottom w:val="single" w:sz="4" w:space="0" w:color="auto"/>
              <w:right w:val="single" w:sz="18" w:space="0" w:color="auto"/>
            </w:tcBorders>
            <w:shd w:val="clear" w:color="auto" w:fill="auto"/>
          </w:tcPr>
          <w:p w:rsidR="001A63C6" w:rsidRPr="00A75DF9"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right w:val="single" w:sz="18" w:space="0" w:color="auto"/>
            </w:tcBorders>
            <w:shd w:val="clear" w:color="auto" w:fill="auto"/>
          </w:tcPr>
          <w:p w:rsidR="001A63C6" w:rsidRPr="00A75DF9"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auto"/>
          </w:tcPr>
          <w:p w:rsidR="001A63C6" w:rsidRPr="00A75DF9" w:rsidRDefault="001A63C6" w:rsidP="001A63C6">
            <w:pPr>
              <w:pStyle w:val="TableText"/>
              <w:widowControl w:val="0"/>
              <w:spacing w:before="120"/>
              <w:rPr>
                <w:rFonts w:ascii="Tahoma" w:hAnsi="Tahoma" w:cs="Tahoma"/>
                <w:sz w:val="14"/>
                <w:szCs w:val="14"/>
              </w:rPr>
            </w:pPr>
            <w:r w:rsidRPr="00A75DF9">
              <w:rPr>
                <w:rFonts w:ascii="Tahoma" w:hAnsi="Tahoma" w:cs="Tahoma"/>
                <w:sz w:val="13"/>
              </w:rPr>
              <w:t>A</w:t>
            </w:r>
          </w:p>
        </w:tc>
        <w:tc>
          <w:tcPr>
            <w:tcW w:w="539" w:type="dxa"/>
            <w:tcBorders>
              <w:bottom w:val="single" w:sz="4" w:space="0" w:color="auto"/>
            </w:tcBorders>
            <w:shd w:val="clear" w:color="auto" w:fill="auto"/>
          </w:tcPr>
          <w:p w:rsidR="001A63C6" w:rsidRPr="00A75DF9" w:rsidRDefault="001A63C6" w:rsidP="001A63C6">
            <w:pPr>
              <w:pStyle w:val="TableText"/>
              <w:widowControl w:val="0"/>
              <w:rPr>
                <w:rFonts w:ascii="Tahoma" w:hAnsi="Tahoma" w:cs="Tahoma"/>
                <w:sz w:val="14"/>
                <w:szCs w:val="14"/>
              </w:rPr>
            </w:pPr>
          </w:p>
        </w:tc>
      </w:tr>
      <w:tr w:rsidR="006864A1" w:rsidRPr="00A75DF9" w:rsidTr="008A1262">
        <w:trPr>
          <w:trHeight w:val="145"/>
        </w:trPr>
        <w:tc>
          <w:tcPr>
            <w:tcW w:w="2724" w:type="dxa"/>
            <w:gridSpan w:val="2"/>
            <w:tcBorders>
              <w:bottom w:val="single" w:sz="4" w:space="0" w:color="auto"/>
            </w:tcBorders>
            <w:shd w:val="clear" w:color="auto" w:fill="FABF8F"/>
          </w:tcPr>
          <w:p w:rsidR="001A63C6" w:rsidRPr="00A75DF9" w:rsidRDefault="001A63C6" w:rsidP="00B41377">
            <w:pPr>
              <w:pStyle w:val="ProductNames"/>
              <w:spacing w:beforeLines="20" w:before="48" w:afterLines="20" w:after="48"/>
              <w:rPr>
                <w:rFonts w:ascii="Tahoma" w:hAnsi="Tahoma" w:cs="Tahoma"/>
                <w:sz w:val="14"/>
                <w:szCs w:val="14"/>
              </w:rPr>
            </w:pPr>
            <w:bookmarkStart w:id="446" w:name="_Toc336338091"/>
            <w:bookmarkStart w:id="447" w:name="_Toc368310090"/>
            <w:r w:rsidRPr="00A75DF9">
              <w:rPr>
                <w:rFonts w:ascii="Tahoma" w:hAnsi="Tahoma" w:cs="Tahoma"/>
                <w:color w:val="000000"/>
                <w:sz w:val="14"/>
                <w:szCs w:val="14"/>
              </w:rPr>
              <w:t>Licenza di Gestione Server per System Center Virtual Machine Manager 2008 R2</w:t>
            </w:r>
            <w:r w:rsidR="00B41377">
              <w:rPr>
                <w:rFonts w:ascii="Tahoma" w:hAnsi="Tahoma" w:cs="Tahoma"/>
                <w:color w:val="000000"/>
                <w:sz w:val="14"/>
                <w:szCs w:val="14"/>
              </w:rPr>
              <w:t> </w:t>
            </w:r>
            <w:r w:rsidRPr="00A75DF9">
              <w:rPr>
                <w:rFonts w:ascii="Tahoma" w:hAnsi="Tahoma" w:cs="Tahoma"/>
                <w:color w:val="000000"/>
                <w:sz w:val="14"/>
                <w:szCs w:val="14"/>
              </w:rPr>
              <w:t>Enterprise</w:t>
            </w:r>
            <w:bookmarkEnd w:id="446"/>
            <w:bookmarkEnd w:id="447"/>
          </w:p>
        </w:tc>
        <w:tc>
          <w:tcPr>
            <w:tcW w:w="448" w:type="dxa"/>
            <w:tcBorders>
              <w:bottom w:val="single" w:sz="4" w:space="0" w:color="auto"/>
            </w:tcBorders>
            <w:shd w:val="clear" w:color="auto" w:fill="FABF8F"/>
            <w:vAlign w:val="center"/>
          </w:tcPr>
          <w:p w:rsidR="001A63C6" w:rsidRPr="00B41377" w:rsidRDefault="00B54770" w:rsidP="00FC0808">
            <w:pPr>
              <w:pStyle w:val="TableText"/>
              <w:widowControl w:val="0"/>
              <w:spacing w:before="120"/>
              <w:rPr>
                <w:rStyle w:val="EndnoteReference"/>
                <w:rFonts w:cs="Tahoma"/>
                <w:b w:val="0"/>
                <w:sz w:val="13"/>
                <w:szCs w:val="13"/>
                <w:u w:val="single"/>
              </w:rPr>
            </w:pPr>
            <w:hyperlink w:anchor="_87_System_Center" w:history="1">
              <w:r w:rsidR="00734B17" w:rsidRPr="00B41377">
                <w:rPr>
                  <w:rStyle w:val="Hyperlink"/>
                  <w:rFonts w:cs="Tahoma"/>
                  <w:b/>
                  <w:sz w:val="13"/>
                  <w:szCs w:val="13"/>
                </w:rPr>
                <w:t>95</w:t>
              </w:r>
            </w:hyperlink>
            <w:hyperlink w:anchor="Srv_100SysCenterVMM2008R2" w:history="1"/>
          </w:p>
        </w:tc>
        <w:tc>
          <w:tcPr>
            <w:tcW w:w="449" w:type="dxa"/>
            <w:tcBorders>
              <w:bottom w:val="single" w:sz="4" w:space="0" w:color="auto"/>
            </w:tcBorders>
            <w:shd w:val="clear" w:color="auto" w:fill="FABF8F"/>
          </w:tcPr>
          <w:p w:rsidR="001A63C6" w:rsidRPr="00A75DF9" w:rsidRDefault="001A63C6" w:rsidP="001A63C6">
            <w:pPr>
              <w:pStyle w:val="TableText"/>
              <w:widowControl w:val="0"/>
              <w:spacing w:before="120"/>
              <w:rPr>
                <w:rFonts w:ascii="Tahoma" w:hAnsi="Tahoma" w:cs="Tahoma"/>
                <w:sz w:val="13"/>
                <w:szCs w:val="13"/>
              </w:rPr>
            </w:pPr>
            <w:r w:rsidRPr="00A75DF9">
              <w:rPr>
                <w:rFonts w:ascii="Tahoma" w:hAnsi="Tahoma" w:cs="Tahoma"/>
                <w:sz w:val="13"/>
                <w:szCs w:val="13"/>
              </w:rPr>
              <w:t>10/08</w:t>
            </w:r>
          </w:p>
        </w:tc>
        <w:tc>
          <w:tcPr>
            <w:tcW w:w="359" w:type="dxa"/>
            <w:tcBorders>
              <w:bottom w:val="single" w:sz="4" w:space="0" w:color="auto"/>
              <w:right w:val="single" w:sz="18" w:space="0" w:color="auto"/>
            </w:tcBorders>
            <w:shd w:val="clear" w:color="auto" w:fill="FABF8F"/>
          </w:tcPr>
          <w:p w:rsidR="001A63C6" w:rsidRPr="00A75DF9" w:rsidRDefault="001A63C6" w:rsidP="001A63C6">
            <w:pPr>
              <w:pStyle w:val="TableText"/>
              <w:widowControl w:val="0"/>
              <w:spacing w:before="120"/>
              <w:rPr>
                <w:rFonts w:ascii="Tahoma" w:hAnsi="Tahoma" w:cs="Tahoma"/>
                <w:sz w:val="14"/>
                <w:szCs w:val="14"/>
              </w:rPr>
            </w:pPr>
            <w:r w:rsidRPr="00A75DF9">
              <w:rPr>
                <w:rFonts w:ascii="Tahoma" w:hAnsi="Tahoma" w:cs="Tahoma"/>
                <w:sz w:val="14"/>
                <w:szCs w:val="14"/>
              </w:rPr>
              <w:t>SRV</w:t>
            </w:r>
          </w:p>
        </w:tc>
        <w:tc>
          <w:tcPr>
            <w:tcW w:w="356" w:type="dxa"/>
            <w:tcBorders>
              <w:left w:val="single" w:sz="18" w:space="0" w:color="auto"/>
              <w:bottom w:val="single" w:sz="4" w:space="0" w:color="auto"/>
            </w:tcBorders>
            <w:shd w:val="clear" w:color="auto" w:fill="FABF8F"/>
          </w:tcPr>
          <w:p w:rsidR="001A63C6" w:rsidRPr="00A75DF9"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A75DF9" w:rsidRDefault="001A63C6" w:rsidP="001A63C6">
            <w:pPr>
              <w:pStyle w:val="TableText"/>
              <w:widowControl w:val="0"/>
              <w:spacing w:before="120"/>
              <w:rPr>
                <w:rFonts w:ascii="Tahoma" w:hAnsi="Tahoma" w:cs="Tahoma"/>
                <w:sz w:val="14"/>
                <w:szCs w:val="14"/>
              </w:rPr>
            </w:pPr>
          </w:p>
        </w:tc>
        <w:tc>
          <w:tcPr>
            <w:tcW w:w="455" w:type="dxa"/>
            <w:tcBorders>
              <w:bottom w:val="single" w:sz="4" w:space="0" w:color="auto"/>
            </w:tcBorders>
            <w:shd w:val="clear" w:color="auto" w:fill="FABF8F"/>
          </w:tcPr>
          <w:p w:rsidR="001A63C6" w:rsidRPr="00A75DF9" w:rsidRDefault="001A63C6" w:rsidP="001A63C6">
            <w:pPr>
              <w:pStyle w:val="TableText"/>
              <w:widowControl w:val="0"/>
              <w:spacing w:before="120"/>
              <w:rPr>
                <w:rFonts w:ascii="Tahoma" w:hAnsi="Tahoma" w:cs="Tahoma"/>
                <w:sz w:val="14"/>
                <w:szCs w:val="14"/>
              </w:rPr>
            </w:pPr>
          </w:p>
        </w:tc>
        <w:tc>
          <w:tcPr>
            <w:tcW w:w="450" w:type="dxa"/>
            <w:gridSpan w:val="3"/>
            <w:tcBorders>
              <w:bottom w:val="single" w:sz="4" w:space="0" w:color="auto"/>
            </w:tcBorders>
            <w:shd w:val="clear" w:color="auto" w:fill="FABF8F"/>
          </w:tcPr>
          <w:p w:rsidR="001A63C6" w:rsidRPr="00A75DF9" w:rsidRDefault="001A63C6" w:rsidP="001A63C6">
            <w:pPr>
              <w:pStyle w:val="TableText"/>
              <w:widowControl w:val="0"/>
              <w:spacing w:before="120"/>
              <w:rPr>
                <w:rFonts w:ascii="Tahoma" w:hAnsi="Tahoma" w:cs="Tahoma"/>
                <w:sz w:val="14"/>
                <w:szCs w:val="14"/>
              </w:rPr>
            </w:pPr>
          </w:p>
        </w:tc>
        <w:tc>
          <w:tcPr>
            <w:tcW w:w="445" w:type="dxa"/>
            <w:tcBorders>
              <w:bottom w:val="single" w:sz="4" w:space="0" w:color="auto"/>
            </w:tcBorders>
            <w:shd w:val="clear" w:color="auto" w:fill="FABF8F"/>
          </w:tcPr>
          <w:p w:rsidR="001A63C6" w:rsidRPr="00A75DF9"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A75DF9" w:rsidRDefault="001A63C6" w:rsidP="001A63C6">
            <w:pPr>
              <w:pStyle w:val="TableText"/>
              <w:widowControl w:val="0"/>
              <w:spacing w:before="120"/>
              <w:rPr>
                <w:rFonts w:ascii="Tahoma" w:hAnsi="Tahoma" w:cs="Tahoma"/>
                <w:sz w:val="14"/>
                <w:szCs w:val="14"/>
              </w:rPr>
            </w:pPr>
          </w:p>
        </w:tc>
        <w:tc>
          <w:tcPr>
            <w:tcW w:w="374" w:type="dxa"/>
            <w:tcBorders>
              <w:bottom w:val="single" w:sz="4" w:space="0" w:color="auto"/>
              <w:right w:val="single" w:sz="18" w:space="0" w:color="auto"/>
            </w:tcBorders>
            <w:shd w:val="clear" w:color="auto" w:fill="FABF8F"/>
          </w:tcPr>
          <w:p w:rsidR="001A63C6" w:rsidRPr="00A75DF9" w:rsidRDefault="001A63C6" w:rsidP="001A63C6">
            <w:pPr>
              <w:pStyle w:val="TableText"/>
              <w:widowControl w:val="0"/>
              <w:spacing w:before="120"/>
              <w:rPr>
                <w:rFonts w:ascii="Tahoma" w:hAnsi="Tahoma" w:cs="Tahoma"/>
                <w:sz w:val="14"/>
                <w:szCs w:val="14"/>
              </w:rPr>
            </w:pPr>
          </w:p>
        </w:tc>
        <w:tc>
          <w:tcPr>
            <w:tcW w:w="455" w:type="dxa"/>
            <w:tcBorders>
              <w:left w:val="single" w:sz="18" w:space="0" w:color="auto"/>
              <w:bottom w:val="single" w:sz="4" w:space="0" w:color="auto"/>
            </w:tcBorders>
            <w:shd w:val="clear" w:color="auto" w:fill="FABF8F"/>
          </w:tcPr>
          <w:p w:rsidR="001A63C6" w:rsidRPr="00A75DF9"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A75DF9"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right w:val="single" w:sz="18" w:space="0" w:color="auto"/>
            </w:tcBorders>
            <w:shd w:val="clear" w:color="auto" w:fill="FABF8F"/>
          </w:tcPr>
          <w:p w:rsidR="001A63C6" w:rsidRPr="00A75DF9"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tcBorders>
            <w:shd w:val="clear" w:color="auto" w:fill="FABF8F"/>
          </w:tcPr>
          <w:p w:rsidR="001A63C6" w:rsidRPr="00A75DF9" w:rsidRDefault="001A63C6" w:rsidP="001A63C6">
            <w:pPr>
              <w:pStyle w:val="TableText"/>
              <w:widowControl w:val="0"/>
              <w:spacing w:before="120"/>
              <w:rPr>
                <w:rFonts w:ascii="Tahoma" w:hAnsi="Tahoma" w:cs="Tahoma"/>
                <w:sz w:val="14"/>
                <w:szCs w:val="14"/>
              </w:rPr>
            </w:pPr>
            <w:r w:rsidRPr="00A75DF9">
              <w:rPr>
                <w:rFonts w:ascii="Tahoma" w:hAnsi="Tahoma" w:cs="Tahoma"/>
                <w:sz w:val="14"/>
                <w:szCs w:val="14"/>
              </w:rPr>
              <w:t>10</w:t>
            </w:r>
          </w:p>
        </w:tc>
        <w:tc>
          <w:tcPr>
            <w:tcW w:w="450" w:type="dxa"/>
            <w:tcBorders>
              <w:bottom w:val="single" w:sz="4" w:space="0" w:color="auto"/>
              <w:right w:val="single" w:sz="18" w:space="0" w:color="auto"/>
            </w:tcBorders>
            <w:shd w:val="clear" w:color="auto" w:fill="FABF8F"/>
          </w:tcPr>
          <w:p w:rsidR="001A63C6" w:rsidRPr="00A75DF9" w:rsidRDefault="001A63C6" w:rsidP="001A63C6">
            <w:pPr>
              <w:pStyle w:val="TableText"/>
              <w:widowControl w:val="0"/>
              <w:spacing w:before="120"/>
              <w:rPr>
                <w:rFonts w:ascii="Tahoma" w:hAnsi="Tahoma" w:cs="Tahoma"/>
                <w:sz w:val="14"/>
                <w:szCs w:val="14"/>
              </w:rPr>
            </w:pPr>
          </w:p>
        </w:tc>
        <w:tc>
          <w:tcPr>
            <w:tcW w:w="450" w:type="dxa"/>
            <w:tcBorders>
              <w:left w:val="single" w:sz="18" w:space="0" w:color="auto"/>
              <w:bottom w:val="single" w:sz="4" w:space="0" w:color="auto"/>
              <w:right w:val="single" w:sz="18" w:space="0" w:color="auto"/>
            </w:tcBorders>
            <w:shd w:val="clear" w:color="auto" w:fill="FABF8F"/>
          </w:tcPr>
          <w:p w:rsidR="001A63C6" w:rsidRPr="00A75DF9" w:rsidRDefault="001A63C6" w:rsidP="001A63C6">
            <w:pPr>
              <w:pStyle w:val="TableText"/>
              <w:widowControl w:val="0"/>
              <w:spacing w:before="120"/>
              <w:rPr>
                <w:rFonts w:ascii="Tahoma" w:hAnsi="Tahoma" w:cs="Tahoma"/>
                <w:sz w:val="14"/>
                <w:szCs w:val="14"/>
              </w:rPr>
            </w:pPr>
          </w:p>
        </w:tc>
        <w:tc>
          <w:tcPr>
            <w:tcW w:w="450" w:type="dxa"/>
            <w:tcBorders>
              <w:bottom w:val="single" w:sz="4" w:space="0" w:color="auto"/>
            </w:tcBorders>
            <w:shd w:val="clear" w:color="auto" w:fill="FABF8F"/>
          </w:tcPr>
          <w:p w:rsidR="001A63C6" w:rsidRPr="00A75DF9" w:rsidRDefault="001A63C6" w:rsidP="001A63C6">
            <w:pPr>
              <w:pStyle w:val="TableText"/>
              <w:widowControl w:val="0"/>
              <w:spacing w:before="120"/>
              <w:rPr>
                <w:rFonts w:ascii="Tahoma" w:hAnsi="Tahoma" w:cs="Tahoma"/>
                <w:sz w:val="14"/>
                <w:szCs w:val="14"/>
              </w:rPr>
            </w:pPr>
            <w:r w:rsidRPr="00A75DF9">
              <w:rPr>
                <w:rFonts w:ascii="Tahoma" w:hAnsi="Tahoma" w:cs="Tahoma"/>
                <w:sz w:val="13"/>
              </w:rPr>
              <w:t>A</w:t>
            </w:r>
          </w:p>
        </w:tc>
        <w:tc>
          <w:tcPr>
            <w:tcW w:w="539" w:type="dxa"/>
            <w:tcBorders>
              <w:bottom w:val="single" w:sz="4" w:space="0" w:color="auto"/>
            </w:tcBorders>
            <w:shd w:val="clear" w:color="auto" w:fill="FABF8F"/>
          </w:tcPr>
          <w:p w:rsidR="001A63C6" w:rsidRPr="00A75DF9" w:rsidRDefault="001A63C6" w:rsidP="001A63C6">
            <w:pPr>
              <w:pStyle w:val="TableText"/>
              <w:widowControl w:val="0"/>
              <w:rPr>
                <w:rFonts w:ascii="Tahoma" w:hAnsi="Tahoma" w:cs="Tahoma"/>
                <w:sz w:val="14"/>
                <w:szCs w:val="14"/>
              </w:rPr>
            </w:pPr>
          </w:p>
        </w:tc>
      </w:tr>
      <w:tr w:rsidR="006864A1" w:rsidRPr="00A75DF9" w:rsidTr="008A1262">
        <w:trPr>
          <w:trHeight w:val="368"/>
        </w:trPr>
        <w:tc>
          <w:tcPr>
            <w:tcW w:w="2724" w:type="dxa"/>
            <w:gridSpan w:val="2"/>
            <w:tcBorders>
              <w:bottom w:val="single" w:sz="4" w:space="0" w:color="auto"/>
            </w:tcBorders>
            <w:shd w:val="clear" w:color="auto" w:fill="FABF8F"/>
            <w:vAlign w:val="center"/>
          </w:tcPr>
          <w:p w:rsidR="001A63C6" w:rsidRPr="00A75DF9" w:rsidRDefault="001A63C6" w:rsidP="008B1245">
            <w:pPr>
              <w:pStyle w:val="ProductNames"/>
              <w:spacing w:beforeLines="20" w:before="48" w:afterLines="20" w:after="48"/>
              <w:rPr>
                <w:rFonts w:ascii="Tahoma" w:hAnsi="Tahoma" w:cs="Tahoma"/>
                <w:sz w:val="14"/>
              </w:rPr>
            </w:pPr>
            <w:bookmarkStart w:id="448" w:name="_Toc336338093"/>
            <w:bookmarkStart w:id="449" w:name="_Toc368310091"/>
            <w:r w:rsidRPr="00A75DF9">
              <w:rPr>
                <w:rFonts w:ascii="Tahoma" w:hAnsi="Tahoma" w:cs="Tahoma"/>
                <w:sz w:val="14"/>
                <w:szCs w:val="18"/>
              </w:rPr>
              <w:t>System Center 2012 Client Management Suite (Client ML) per OSE</w:t>
            </w:r>
            <w:bookmarkEnd w:id="448"/>
            <w:bookmarkEnd w:id="449"/>
          </w:p>
        </w:tc>
        <w:tc>
          <w:tcPr>
            <w:tcW w:w="448" w:type="dxa"/>
            <w:tcBorders>
              <w:bottom w:val="single" w:sz="4" w:space="0" w:color="auto"/>
            </w:tcBorders>
            <w:shd w:val="clear" w:color="auto" w:fill="FABF8F"/>
            <w:vAlign w:val="center"/>
          </w:tcPr>
          <w:p w:rsidR="001A63C6" w:rsidRPr="00B41377" w:rsidRDefault="00B54770" w:rsidP="00FC0808">
            <w:pPr>
              <w:pStyle w:val="TableText"/>
              <w:widowControl w:val="0"/>
              <w:rPr>
                <w:rFonts w:cs="Tahoma"/>
                <w:b/>
                <w:color w:val="000000"/>
                <w:sz w:val="13"/>
                <w:szCs w:val="13"/>
                <w:u w:val="single"/>
              </w:rPr>
            </w:pPr>
            <w:hyperlink w:anchor="_96_System_Center" w:history="1">
              <w:r w:rsidR="00734B17" w:rsidRPr="00B41377">
                <w:rPr>
                  <w:rStyle w:val="Hyperlink"/>
                  <w:rFonts w:cs="Tahoma"/>
                  <w:b/>
                  <w:sz w:val="13"/>
                  <w:szCs w:val="13"/>
                </w:rPr>
                <w:t>96</w:t>
              </w:r>
            </w:hyperlink>
            <w:hyperlink w:anchor="_91_89_System" w:history="1"/>
            <w:hyperlink w:anchor="Srv_101SystemCenter2012" w:history="1"/>
          </w:p>
        </w:tc>
        <w:tc>
          <w:tcPr>
            <w:tcW w:w="449" w:type="dxa"/>
            <w:tcBorders>
              <w:bottom w:val="single" w:sz="4" w:space="0" w:color="auto"/>
            </w:tcBorders>
            <w:shd w:val="clear" w:color="auto" w:fill="FABF8F"/>
          </w:tcPr>
          <w:p w:rsidR="001A63C6" w:rsidRPr="00A75DF9" w:rsidRDefault="001A63C6" w:rsidP="001A63C6">
            <w:pPr>
              <w:pStyle w:val="TableText"/>
              <w:widowControl w:val="0"/>
              <w:spacing w:before="240"/>
              <w:rPr>
                <w:rFonts w:ascii="Tahoma" w:hAnsi="Tahoma" w:cs="Tahoma"/>
                <w:sz w:val="13"/>
              </w:rPr>
            </w:pPr>
            <w:r w:rsidRPr="00A75DF9">
              <w:rPr>
                <w:rFonts w:ascii="Tahoma" w:hAnsi="Tahoma" w:cs="Tahoma"/>
                <w:sz w:val="13"/>
              </w:rPr>
              <w:t>04/12</w:t>
            </w:r>
          </w:p>
        </w:tc>
        <w:tc>
          <w:tcPr>
            <w:tcW w:w="359"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color w:val="000000"/>
                <w:sz w:val="13"/>
              </w:rPr>
              <w:t>SRV</w:t>
            </w:r>
          </w:p>
        </w:tc>
        <w:tc>
          <w:tcPr>
            <w:tcW w:w="356" w:type="dxa"/>
            <w:tcBorders>
              <w:left w:val="single" w:sz="18" w:space="0" w:color="auto"/>
              <w:bottom w:val="single" w:sz="4" w:space="0" w:color="auto"/>
            </w:tcBorders>
            <w:shd w:val="clear" w:color="auto" w:fill="FABF8F"/>
            <w:vAlign w:val="bottom"/>
          </w:tcPr>
          <w:p w:rsidR="001A63C6" w:rsidRPr="00A75DF9"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A75DF9" w:rsidRDefault="001A63C6" w:rsidP="001A63C6">
            <w:pPr>
              <w:pStyle w:val="TableText"/>
              <w:widowControl w:val="0"/>
              <w:spacing w:after="120"/>
              <w:rPr>
                <w:rFonts w:ascii="Tahoma" w:hAnsi="Tahoma" w:cs="Tahoma"/>
                <w:sz w:val="13"/>
                <w:szCs w:val="13"/>
              </w:rPr>
            </w:pPr>
            <w:r w:rsidRPr="00A75DF9">
              <w:rPr>
                <w:rFonts w:ascii="Tahoma" w:hAnsi="Tahoma" w:cs="Tahoma"/>
                <w:sz w:val="13"/>
                <w:szCs w:val="13"/>
              </w:rPr>
              <w:t>2</w:t>
            </w:r>
          </w:p>
        </w:tc>
        <w:tc>
          <w:tcPr>
            <w:tcW w:w="455" w:type="dxa"/>
            <w:tcBorders>
              <w:bottom w:val="single" w:sz="4" w:space="0" w:color="auto"/>
            </w:tcBorders>
            <w:shd w:val="clear" w:color="auto" w:fill="FABF8F"/>
            <w:vAlign w:val="bottom"/>
          </w:tcPr>
          <w:p w:rsidR="001A63C6" w:rsidRPr="00A75DF9" w:rsidRDefault="001A63C6" w:rsidP="001A63C6">
            <w:pPr>
              <w:pStyle w:val="TableText"/>
              <w:widowControl w:val="0"/>
              <w:spacing w:after="120"/>
              <w:rPr>
                <w:rFonts w:ascii="Tahoma" w:hAnsi="Tahoma" w:cs="Tahoma"/>
                <w:sz w:val="13"/>
                <w:szCs w:val="13"/>
              </w:rPr>
            </w:pPr>
            <w:r w:rsidRPr="00A75DF9">
              <w:rPr>
                <w:rFonts w:ascii="Tahoma" w:hAnsi="Tahoma" w:cs="Tahoma"/>
                <w:sz w:val="13"/>
                <w:szCs w:val="13"/>
              </w:rPr>
              <w:t>2</w:t>
            </w:r>
          </w:p>
        </w:tc>
        <w:tc>
          <w:tcPr>
            <w:tcW w:w="450" w:type="dxa"/>
            <w:gridSpan w:val="3"/>
            <w:tcBorders>
              <w:bottom w:val="single" w:sz="4" w:space="0" w:color="auto"/>
            </w:tcBorders>
            <w:shd w:val="clear" w:color="auto" w:fill="FABF8F"/>
            <w:vAlign w:val="bottom"/>
          </w:tcPr>
          <w:p w:rsidR="001A63C6" w:rsidRPr="00A75DF9" w:rsidRDefault="001A63C6" w:rsidP="001A63C6">
            <w:pPr>
              <w:pStyle w:val="TableText"/>
              <w:widowControl w:val="0"/>
              <w:spacing w:after="120"/>
              <w:rPr>
                <w:rFonts w:ascii="Tahoma" w:hAnsi="Tahoma" w:cs="Tahoma"/>
                <w:sz w:val="13"/>
                <w:szCs w:val="13"/>
              </w:rPr>
            </w:pPr>
            <w:r w:rsidRPr="00A75DF9">
              <w:rPr>
                <w:rFonts w:ascii="Tahoma" w:hAnsi="Tahoma" w:cs="Tahoma"/>
                <w:sz w:val="13"/>
                <w:szCs w:val="13"/>
              </w:rPr>
              <w:t>2</w:t>
            </w:r>
          </w:p>
        </w:tc>
        <w:tc>
          <w:tcPr>
            <w:tcW w:w="445" w:type="dxa"/>
            <w:tcBorders>
              <w:bottom w:val="single" w:sz="4" w:space="0" w:color="auto"/>
            </w:tcBorders>
            <w:shd w:val="clear" w:color="auto" w:fill="FABF8F"/>
            <w:vAlign w:val="bottom"/>
          </w:tcPr>
          <w:p w:rsidR="001A63C6" w:rsidRPr="00A75DF9" w:rsidRDefault="001A63C6" w:rsidP="001A63C6">
            <w:pPr>
              <w:pStyle w:val="TableText"/>
              <w:widowControl w:val="0"/>
              <w:spacing w:after="120"/>
              <w:rPr>
                <w:rFonts w:ascii="Tahoma" w:hAnsi="Tahoma" w:cs="Tahoma"/>
                <w:sz w:val="13"/>
                <w:szCs w:val="13"/>
              </w:rPr>
            </w:pPr>
            <w:r w:rsidRPr="00A75DF9">
              <w:rPr>
                <w:rFonts w:ascii="Tahoma" w:hAnsi="Tahoma" w:cs="Tahoma"/>
                <w:sz w:val="13"/>
                <w:szCs w:val="13"/>
              </w:rPr>
              <w:t>1</w:t>
            </w:r>
          </w:p>
        </w:tc>
        <w:tc>
          <w:tcPr>
            <w:tcW w:w="450" w:type="dxa"/>
            <w:tcBorders>
              <w:bottom w:val="single" w:sz="4" w:space="0" w:color="auto"/>
            </w:tcBorders>
            <w:shd w:val="clear" w:color="auto" w:fill="FABF8F"/>
            <w:vAlign w:val="bottom"/>
          </w:tcPr>
          <w:p w:rsidR="001A63C6" w:rsidRPr="00A75DF9" w:rsidRDefault="001A63C6" w:rsidP="001A63C6">
            <w:pPr>
              <w:pStyle w:val="TableText"/>
              <w:widowControl w:val="0"/>
              <w:spacing w:after="120"/>
              <w:rPr>
                <w:rFonts w:ascii="Tahoma" w:hAnsi="Tahoma" w:cs="Tahoma"/>
                <w:sz w:val="13"/>
                <w:szCs w:val="13"/>
              </w:rPr>
            </w:pPr>
            <w:r w:rsidRPr="00A75DF9">
              <w:rPr>
                <w:rFonts w:ascii="Tahoma" w:hAnsi="Tahoma" w:cs="Tahoma"/>
                <w:sz w:val="13"/>
                <w:szCs w:val="13"/>
              </w:rPr>
              <w:t>1</w:t>
            </w:r>
          </w:p>
        </w:tc>
        <w:tc>
          <w:tcPr>
            <w:tcW w:w="374" w:type="dxa"/>
            <w:tcBorders>
              <w:bottom w:val="single" w:sz="4" w:space="0" w:color="auto"/>
              <w:right w:val="single" w:sz="18" w:space="0" w:color="auto"/>
            </w:tcBorders>
            <w:shd w:val="clear" w:color="auto" w:fill="FABF8F"/>
            <w:vAlign w:val="bottom"/>
          </w:tcPr>
          <w:p w:rsidR="001A63C6" w:rsidRPr="00A75DF9" w:rsidRDefault="001A63C6" w:rsidP="001A63C6">
            <w:pPr>
              <w:pStyle w:val="TableText"/>
              <w:widowControl w:val="0"/>
              <w:spacing w:after="120"/>
              <w:rPr>
                <w:rFonts w:ascii="Tahoma" w:hAnsi="Tahoma" w:cs="Tahoma"/>
                <w:sz w:val="13"/>
                <w:szCs w:val="13"/>
              </w:rPr>
            </w:pPr>
            <w:r w:rsidRPr="00A75DF9">
              <w:rPr>
                <w:rFonts w:ascii="Tahoma" w:hAnsi="Tahoma" w:cs="Tahoma"/>
                <w:sz w:val="13"/>
                <w:szCs w:val="13"/>
              </w:rPr>
              <w:t> </w:t>
            </w:r>
          </w:p>
        </w:tc>
        <w:tc>
          <w:tcPr>
            <w:tcW w:w="455" w:type="dxa"/>
            <w:tcBorders>
              <w:left w:val="single" w:sz="18" w:space="0" w:color="auto"/>
              <w:bottom w:val="single" w:sz="4" w:space="0" w:color="auto"/>
            </w:tcBorders>
            <w:shd w:val="clear" w:color="auto" w:fill="FABF8F"/>
            <w:vAlign w:val="bottom"/>
          </w:tcPr>
          <w:p w:rsidR="001A63C6" w:rsidRPr="00A75DF9"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A75DF9" w:rsidRDefault="001A63C6" w:rsidP="001A63C6">
            <w:pPr>
              <w:pStyle w:val="TableText"/>
              <w:widowControl w:val="0"/>
              <w:spacing w:after="120"/>
              <w:rPr>
                <w:rFonts w:ascii="Tahoma" w:hAnsi="Tahoma" w:cs="Tahoma"/>
                <w:sz w:val="13"/>
                <w:szCs w:val="13"/>
              </w:rPr>
            </w:pPr>
            <w:r w:rsidRPr="00A75DF9">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rsidR="001A63C6" w:rsidRPr="00A75DF9" w:rsidRDefault="001A63C6" w:rsidP="001A63C6">
            <w:pPr>
              <w:pStyle w:val="TableText"/>
              <w:widowControl w:val="0"/>
              <w:spacing w:after="120"/>
              <w:rPr>
                <w:rFonts w:ascii="Tahoma" w:hAnsi="Tahoma" w:cs="Tahoma"/>
                <w:sz w:val="13"/>
                <w:szCs w:val="13"/>
              </w:rPr>
            </w:pPr>
            <w:r w:rsidRPr="00A75DF9">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bottom"/>
          </w:tcPr>
          <w:p w:rsidR="001A63C6" w:rsidRPr="00A75DF9" w:rsidRDefault="001A63C6" w:rsidP="001A63C6">
            <w:pPr>
              <w:pStyle w:val="TableText"/>
              <w:widowControl w:val="0"/>
              <w:spacing w:after="120"/>
              <w:rPr>
                <w:rFonts w:ascii="Tahoma" w:hAnsi="Tahoma" w:cs="Tahoma"/>
                <w:sz w:val="13"/>
                <w:szCs w:val="13"/>
              </w:rPr>
            </w:pPr>
            <w:r w:rsidRPr="00A75DF9">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rsidR="001A63C6" w:rsidRPr="00A75DF9" w:rsidRDefault="001A63C6" w:rsidP="001A63C6">
            <w:pPr>
              <w:pStyle w:val="TableText"/>
              <w:widowControl w:val="0"/>
              <w:spacing w:after="120"/>
              <w:rPr>
                <w:rFonts w:ascii="Tahoma" w:hAnsi="Tahoma" w:cs="Tahoma"/>
                <w:sz w:val="13"/>
                <w:szCs w:val="13"/>
              </w:rPr>
            </w:pPr>
            <w:r w:rsidRPr="00A75DF9">
              <w:rPr>
                <w:rFonts w:ascii="Tahoma" w:hAnsi="Tahoma" w:cs="Tahoma"/>
                <w:sz w:val="13"/>
                <w:szCs w:val="13"/>
              </w:rPr>
              <w:t>A, E</w:t>
            </w:r>
          </w:p>
        </w:tc>
        <w:tc>
          <w:tcPr>
            <w:tcW w:w="450" w:type="dxa"/>
            <w:tcBorders>
              <w:left w:val="single" w:sz="18" w:space="0" w:color="auto"/>
              <w:bottom w:val="single" w:sz="4" w:space="0" w:color="auto"/>
              <w:right w:val="single" w:sz="18" w:space="0" w:color="auto"/>
            </w:tcBorders>
            <w:shd w:val="clear" w:color="auto" w:fill="FABF8F"/>
            <w:vAlign w:val="bottom"/>
          </w:tcPr>
          <w:p w:rsidR="001A63C6" w:rsidRPr="00A75DF9" w:rsidRDefault="001A63C6" w:rsidP="001A63C6">
            <w:pPr>
              <w:pStyle w:val="TableText"/>
              <w:widowControl w:val="0"/>
              <w:spacing w:after="120"/>
              <w:rPr>
                <w:rFonts w:ascii="Tahoma" w:hAnsi="Tahoma" w:cs="Tahoma"/>
                <w:sz w:val="13"/>
                <w:szCs w:val="13"/>
              </w:rPr>
            </w:pPr>
            <w:r w:rsidRPr="00A75DF9">
              <w:rPr>
                <w:rFonts w:ascii="Tahoma" w:hAnsi="Tahoma" w:cs="Tahoma"/>
                <w:sz w:val="13"/>
                <w:szCs w:val="13"/>
              </w:rPr>
              <w:t>P</w:t>
            </w:r>
          </w:p>
        </w:tc>
        <w:tc>
          <w:tcPr>
            <w:tcW w:w="450" w:type="dxa"/>
            <w:tcBorders>
              <w:bottom w:val="single" w:sz="4" w:space="0" w:color="auto"/>
            </w:tcBorders>
            <w:shd w:val="clear" w:color="auto" w:fill="FABF8F"/>
          </w:tcPr>
          <w:p w:rsidR="001A63C6" w:rsidRPr="00A75DF9" w:rsidRDefault="001A63C6" w:rsidP="001A63C6">
            <w:pPr>
              <w:spacing w:before="240"/>
              <w:jc w:val="center"/>
              <w:rPr>
                <w:rFonts w:cs="Tahoma"/>
              </w:rPr>
            </w:pPr>
            <w:r w:rsidRPr="00A75DF9">
              <w:rPr>
                <w:rFonts w:cs="Tahoma"/>
                <w:sz w:val="13"/>
                <w:szCs w:val="13"/>
              </w:rPr>
              <w:t>AO, ST</w:t>
            </w:r>
          </w:p>
          <w:p w:rsidR="001A63C6" w:rsidRPr="00A75DF9" w:rsidRDefault="001A63C6" w:rsidP="001A63C6">
            <w:pPr>
              <w:pStyle w:val="TableText"/>
              <w:widowControl w:val="0"/>
              <w:rPr>
                <w:rFonts w:ascii="Tahoma" w:hAnsi="Tahoma" w:cs="Tahoma"/>
                <w:sz w:val="13"/>
                <w:szCs w:val="13"/>
              </w:rPr>
            </w:pPr>
          </w:p>
        </w:tc>
        <w:tc>
          <w:tcPr>
            <w:tcW w:w="539"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r>
      <w:tr w:rsidR="006864A1" w:rsidRPr="00A75DF9" w:rsidTr="008A1262">
        <w:trPr>
          <w:trHeight w:val="134"/>
        </w:trPr>
        <w:tc>
          <w:tcPr>
            <w:tcW w:w="2724" w:type="dxa"/>
            <w:gridSpan w:val="2"/>
            <w:tcBorders>
              <w:bottom w:val="single" w:sz="4" w:space="0" w:color="auto"/>
            </w:tcBorders>
            <w:shd w:val="clear" w:color="auto" w:fill="auto"/>
            <w:vAlign w:val="center"/>
          </w:tcPr>
          <w:p w:rsidR="001A63C6" w:rsidRPr="00A75DF9" w:rsidRDefault="001A63C6" w:rsidP="008B1245">
            <w:pPr>
              <w:pStyle w:val="ProductNames"/>
              <w:spacing w:beforeLines="20" w:before="48" w:afterLines="20" w:after="48"/>
              <w:rPr>
                <w:rFonts w:ascii="Tahoma" w:hAnsi="Tahoma" w:cs="Tahoma"/>
                <w:sz w:val="14"/>
              </w:rPr>
            </w:pPr>
            <w:bookmarkStart w:id="450" w:name="_Toc336338094"/>
            <w:bookmarkStart w:id="451" w:name="_Toc368310092"/>
            <w:r w:rsidRPr="00A75DF9">
              <w:rPr>
                <w:rFonts w:ascii="Tahoma" w:hAnsi="Tahoma" w:cs="Tahoma"/>
                <w:sz w:val="14"/>
                <w:szCs w:val="18"/>
              </w:rPr>
              <w:t>System Center 2012 Client Management Suite (Client ML) per Utente</w:t>
            </w:r>
            <w:bookmarkEnd w:id="450"/>
            <w:bookmarkEnd w:id="451"/>
          </w:p>
        </w:tc>
        <w:tc>
          <w:tcPr>
            <w:tcW w:w="448" w:type="dxa"/>
            <w:tcBorders>
              <w:bottom w:val="single" w:sz="4" w:space="0" w:color="auto"/>
            </w:tcBorders>
            <w:shd w:val="clear" w:color="auto" w:fill="auto"/>
            <w:vAlign w:val="center"/>
          </w:tcPr>
          <w:p w:rsidR="001A63C6" w:rsidRPr="00B41377" w:rsidRDefault="00B54770" w:rsidP="00FC0808">
            <w:pPr>
              <w:pStyle w:val="TableText"/>
              <w:widowControl w:val="0"/>
              <w:rPr>
                <w:rFonts w:cs="Tahoma"/>
                <w:b/>
                <w:color w:val="000000"/>
                <w:sz w:val="13"/>
                <w:szCs w:val="13"/>
                <w:u w:val="single"/>
              </w:rPr>
            </w:pPr>
            <w:hyperlink w:anchor="_96_System_Center" w:history="1">
              <w:r w:rsidR="00734B17" w:rsidRPr="00B41377">
                <w:rPr>
                  <w:rStyle w:val="Hyperlink"/>
                  <w:rFonts w:cs="Tahoma"/>
                  <w:b/>
                  <w:sz w:val="13"/>
                  <w:szCs w:val="13"/>
                </w:rPr>
                <w:t>96</w:t>
              </w:r>
            </w:hyperlink>
          </w:p>
        </w:tc>
        <w:tc>
          <w:tcPr>
            <w:tcW w:w="449" w:type="dxa"/>
            <w:tcBorders>
              <w:bottom w:val="single" w:sz="4" w:space="0" w:color="auto"/>
            </w:tcBorders>
            <w:shd w:val="clear" w:color="auto" w:fill="auto"/>
          </w:tcPr>
          <w:p w:rsidR="001A63C6" w:rsidRPr="00A75DF9" w:rsidRDefault="001A63C6" w:rsidP="001A63C6">
            <w:pPr>
              <w:pStyle w:val="TableText"/>
              <w:widowControl w:val="0"/>
              <w:spacing w:before="240"/>
              <w:rPr>
                <w:rFonts w:ascii="Tahoma" w:hAnsi="Tahoma" w:cs="Tahoma"/>
                <w:sz w:val="13"/>
              </w:rPr>
            </w:pPr>
            <w:r w:rsidRPr="00A75DF9">
              <w:rPr>
                <w:rFonts w:ascii="Tahoma" w:hAnsi="Tahoma" w:cs="Tahoma"/>
                <w:sz w:val="13"/>
              </w:rPr>
              <w:t>04/12</w:t>
            </w:r>
          </w:p>
        </w:tc>
        <w:tc>
          <w:tcPr>
            <w:tcW w:w="359"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color w:val="000000"/>
                <w:sz w:val="13"/>
              </w:rPr>
              <w:t>SRV</w:t>
            </w:r>
          </w:p>
        </w:tc>
        <w:tc>
          <w:tcPr>
            <w:tcW w:w="356" w:type="dxa"/>
            <w:tcBorders>
              <w:left w:val="single" w:sz="18" w:space="0" w:color="auto"/>
              <w:bottom w:val="single" w:sz="4" w:space="0" w:color="auto"/>
            </w:tcBorders>
            <w:shd w:val="clear" w:color="auto" w:fill="auto"/>
            <w:vAlign w:val="bottom"/>
          </w:tcPr>
          <w:p w:rsidR="001A63C6" w:rsidRPr="00A75DF9"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A75DF9" w:rsidRDefault="001A63C6" w:rsidP="001A63C6">
            <w:pPr>
              <w:pStyle w:val="TableText"/>
              <w:widowControl w:val="0"/>
              <w:spacing w:after="120"/>
              <w:rPr>
                <w:rFonts w:ascii="Tahoma" w:hAnsi="Tahoma" w:cs="Tahoma"/>
                <w:sz w:val="13"/>
                <w:szCs w:val="13"/>
              </w:rPr>
            </w:pPr>
            <w:r w:rsidRPr="00A75DF9">
              <w:rPr>
                <w:rFonts w:ascii="Tahoma" w:hAnsi="Tahoma" w:cs="Tahoma"/>
                <w:sz w:val="13"/>
                <w:szCs w:val="13"/>
              </w:rPr>
              <w:t>2</w:t>
            </w:r>
          </w:p>
        </w:tc>
        <w:tc>
          <w:tcPr>
            <w:tcW w:w="455" w:type="dxa"/>
            <w:tcBorders>
              <w:bottom w:val="single" w:sz="4" w:space="0" w:color="auto"/>
            </w:tcBorders>
            <w:shd w:val="clear" w:color="auto" w:fill="auto"/>
            <w:vAlign w:val="bottom"/>
          </w:tcPr>
          <w:p w:rsidR="001A63C6" w:rsidRPr="00A75DF9" w:rsidRDefault="001A63C6" w:rsidP="001A63C6">
            <w:pPr>
              <w:pStyle w:val="TableText"/>
              <w:widowControl w:val="0"/>
              <w:spacing w:after="120"/>
              <w:rPr>
                <w:rFonts w:ascii="Tahoma" w:hAnsi="Tahoma" w:cs="Tahoma"/>
                <w:sz w:val="13"/>
                <w:szCs w:val="13"/>
              </w:rPr>
            </w:pPr>
            <w:r w:rsidRPr="00A75DF9">
              <w:rPr>
                <w:rFonts w:ascii="Tahoma" w:hAnsi="Tahoma" w:cs="Tahoma"/>
                <w:sz w:val="13"/>
                <w:szCs w:val="13"/>
              </w:rPr>
              <w:t>2</w:t>
            </w:r>
          </w:p>
        </w:tc>
        <w:tc>
          <w:tcPr>
            <w:tcW w:w="450" w:type="dxa"/>
            <w:gridSpan w:val="3"/>
            <w:tcBorders>
              <w:bottom w:val="single" w:sz="4" w:space="0" w:color="auto"/>
            </w:tcBorders>
            <w:shd w:val="clear" w:color="auto" w:fill="auto"/>
            <w:vAlign w:val="bottom"/>
          </w:tcPr>
          <w:p w:rsidR="001A63C6" w:rsidRPr="00A75DF9" w:rsidRDefault="001A63C6" w:rsidP="001A63C6">
            <w:pPr>
              <w:pStyle w:val="TableText"/>
              <w:widowControl w:val="0"/>
              <w:spacing w:after="120"/>
              <w:rPr>
                <w:rFonts w:ascii="Tahoma" w:hAnsi="Tahoma" w:cs="Tahoma"/>
                <w:sz w:val="13"/>
                <w:szCs w:val="13"/>
              </w:rPr>
            </w:pPr>
            <w:r w:rsidRPr="00A75DF9">
              <w:rPr>
                <w:rFonts w:ascii="Tahoma" w:hAnsi="Tahoma" w:cs="Tahoma"/>
                <w:sz w:val="13"/>
                <w:szCs w:val="13"/>
              </w:rPr>
              <w:t>2</w:t>
            </w:r>
          </w:p>
        </w:tc>
        <w:tc>
          <w:tcPr>
            <w:tcW w:w="445" w:type="dxa"/>
            <w:tcBorders>
              <w:bottom w:val="single" w:sz="4" w:space="0" w:color="auto"/>
            </w:tcBorders>
            <w:shd w:val="clear" w:color="auto" w:fill="auto"/>
            <w:vAlign w:val="bottom"/>
          </w:tcPr>
          <w:p w:rsidR="001A63C6" w:rsidRPr="00A75DF9" w:rsidRDefault="001A63C6" w:rsidP="001A63C6">
            <w:pPr>
              <w:pStyle w:val="TableText"/>
              <w:widowControl w:val="0"/>
              <w:spacing w:after="120"/>
              <w:rPr>
                <w:rFonts w:ascii="Tahoma" w:hAnsi="Tahoma" w:cs="Tahoma"/>
                <w:sz w:val="13"/>
                <w:szCs w:val="13"/>
              </w:rPr>
            </w:pPr>
            <w:r w:rsidRPr="00A75DF9">
              <w:rPr>
                <w:rFonts w:ascii="Tahoma" w:hAnsi="Tahoma" w:cs="Tahoma"/>
                <w:sz w:val="13"/>
                <w:szCs w:val="13"/>
              </w:rPr>
              <w:t>1</w:t>
            </w:r>
          </w:p>
        </w:tc>
        <w:tc>
          <w:tcPr>
            <w:tcW w:w="450" w:type="dxa"/>
            <w:tcBorders>
              <w:bottom w:val="single" w:sz="4" w:space="0" w:color="auto"/>
            </w:tcBorders>
            <w:shd w:val="clear" w:color="auto" w:fill="auto"/>
            <w:vAlign w:val="bottom"/>
          </w:tcPr>
          <w:p w:rsidR="001A63C6" w:rsidRPr="00A75DF9" w:rsidRDefault="001A63C6" w:rsidP="001A63C6">
            <w:pPr>
              <w:pStyle w:val="TableText"/>
              <w:widowControl w:val="0"/>
              <w:spacing w:after="120"/>
              <w:rPr>
                <w:rFonts w:ascii="Tahoma" w:hAnsi="Tahoma" w:cs="Tahoma"/>
                <w:sz w:val="13"/>
                <w:szCs w:val="13"/>
              </w:rPr>
            </w:pPr>
            <w:r w:rsidRPr="00A75DF9">
              <w:rPr>
                <w:rFonts w:ascii="Tahoma" w:hAnsi="Tahoma" w:cs="Tahoma"/>
                <w:sz w:val="13"/>
                <w:szCs w:val="13"/>
              </w:rPr>
              <w:t>1</w:t>
            </w:r>
          </w:p>
        </w:tc>
        <w:tc>
          <w:tcPr>
            <w:tcW w:w="374" w:type="dxa"/>
            <w:tcBorders>
              <w:bottom w:val="single" w:sz="4" w:space="0" w:color="auto"/>
              <w:right w:val="single" w:sz="18" w:space="0" w:color="auto"/>
            </w:tcBorders>
            <w:shd w:val="clear" w:color="auto" w:fill="auto"/>
            <w:vAlign w:val="bottom"/>
          </w:tcPr>
          <w:p w:rsidR="001A63C6" w:rsidRPr="00A75DF9" w:rsidRDefault="001A63C6" w:rsidP="001A63C6">
            <w:pPr>
              <w:pStyle w:val="TableText"/>
              <w:widowControl w:val="0"/>
              <w:spacing w:after="120"/>
              <w:rPr>
                <w:rFonts w:ascii="Tahoma" w:hAnsi="Tahoma" w:cs="Tahoma"/>
                <w:sz w:val="13"/>
                <w:szCs w:val="13"/>
              </w:rPr>
            </w:pPr>
            <w:r w:rsidRPr="00A75DF9">
              <w:rPr>
                <w:rFonts w:ascii="Tahoma" w:hAnsi="Tahoma" w:cs="Tahoma"/>
                <w:sz w:val="13"/>
                <w:szCs w:val="13"/>
              </w:rPr>
              <w:t> </w:t>
            </w:r>
          </w:p>
        </w:tc>
        <w:tc>
          <w:tcPr>
            <w:tcW w:w="455" w:type="dxa"/>
            <w:tcBorders>
              <w:left w:val="single" w:sz="18" w:space="0" w:color="auto"/>
              <w:bottom w:val="single" w:sz="4" w:space="0" w:color="auto"/>
            </w:tcBorders>
            <w:shd w:val="clear" w:color="auto" w:fill="auto"/>
            <w:vAlign w:val="bottom"/>
          </w:tcPr>
          <w:p w:rsidR="001A63C6" w:rsidRPr="00A75DF9"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A75DF9" w:rsidRDefault="001A63C6" w:rsidP="001A63C6">
            <w:pPr>
              <w:pStyle w:val="TableText"/>
              <w:widowControl w:val="0"/>
              <w:spacing w:after="120"/>
              <w:rPr>
                <w:rFonts w:ascii="Tahoma" w:hAnsi="Tahoma" w:cs="Tahoma"/>
                <w:sz w:val="13"/>
                <w:szCs w:val="13"/>
              </w:rPr>
            </w:pPr>
            <w:r w:rsidRPr="00A75DF9">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bottom"/>
          </w:tcPr>
          <w:p w:rsidR="001A63C6" w:rsidRPr="00A75DF9" w:rsidRDefault="001A63C6" w:rsidP="001A63C6">
            <w:pPr>
              <w:pStyle w:val="TableText"/>
              <w:widowControl w:val="0"/>
              <w:spacing w:after="120"/>
              <w:rPr>
                <w:rFonts w:ascii="Tahoma" w:hAnsi="Tahoma" w:cs="Tahoma"/>
                <w:sz w:val="13"/>
                <w:szCs w:val="13"/>
              </w:rPr>
            </w:pPr>
            <w:r w:rsidRPr="00A75DF9">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bottom"/>
          </w:tcPr>
          <w:p w:rsidR="001A63C6" w:rsidRPr="00A75DF9" w:rsidRDefault="001A63C6" w:rsidP="001A63C6">
            <w:pPr>
              <w:pStyle w:val="TableText"/>
              <w:widowControl w:val="0"/>
              <w:spacing w:after="120"/>
              <w:rPr>
                <w:rFonts w:ascii="Tahoma" w:hAnsi="Tahoma" w:cs="Tahoma"/>
                <w:sz w:val="13"/>
                <w:szCs w:val="13"/>
              </w:rPr>
            </w:pPr>
            <w:r w:rsidRPr="00A75DF9">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A75DF9" w:rsidRDefault="001A63C6" w:rsidP="001A63C6">
            <w:pPr>
              <w:pStyle w:val="TableText"/>
              <w:widowControl w:val="0"/>
              <w:rPr>
                <w:rFonts w:ascii="Tahoma" w:hAnsi="Tahoma" w:cs="Tahoma"/>
                <w:sz w:val="13"/>
              </w:rPr>
            </w:pPr>
          </w:p>
        </w:tc>
        <w:tc>
          <w:tcPr>
            <w:tcW w:w="539"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r>
      <w:tr w:rsidR="006864A1" w:rsidRPr="00A75DF9" w:rsidTr="008A1262">
        <w:trPr>
          <w:trHeight w:val="134"/>
        </w:trPr>
        <w:tc>
          <w:tcPr>
            <w:tcW w:w="2724" w:type="dxa"/>
            <w:gridSpan w:val="2"/>
            <w:tcBorders>
              <w:bottom w:val="single" w:sz="4" w:space="0" w:color="auto"/>
            </w:tcBorders>
            <w:shd w:val="clear" w:color="auto" w:fill="FABF8F"/>
            <w:vAlign w:val="center"/>
          </w:tcPr>
          <w:p w:rsidR="001A63C6" w:rsidRPr="00A75DF9" w:rsidRDefault="001A63C6" w:rsidP="00B41377">
            <w:pPr>
              <w:pStyle w:val="ProductNames"/>
              <w:spacing w:beforeLines="20" w:before="48" w:afterLines="20" w:after="48"/>
              <w:rPr>
                <w:rFonts w:ascii="Tahoma" w:hAnsi="Tahoma" w:cs="Tahoma"/>
                <w:sz w:val="14"/>
              </w:rPr>
            </w:pPr>
            <w:bookmarkStart w:id="452" w:name="_Toc336338095"/>
            <w:bookmarkStart w:id="453" w:name="_Toc368310093"/>
            <w:r w:rsidRPr="00A75DF9">
              <w:rPr>
                <w:rFonts w:ascii="Tahoma" w:hAnsi="Tahoma" w:cs="Tahoma"/>
                <w:sz w:val="14"/>
                <w:szCs w:val="14"/>
              </w:rPr>
              <w:t>Licenza di Gestione Client (Client ML) per</w:t>
            </w:r>
            <w:r w:rsidR="00B41377">
              <w:rPr>
                <w:rFonts w:ascii="Tahoma" w:hAnsi="Tahoma" w:cs="Tahoma"/>
                <w:sz w:val="14"/>
                <w:szCs w:val="14"/>
              </w:rPr>
              <w:t> </w:t>
            </w:r>
            <w:r w:rsidRPr="00A75DF9">
              <w:rPr>
                <w:rFonts w:ascii="Tahoma" w:hAnsi="Tahoma" w:cs="Tahoma"/>
                <w:sz w:val="14"/>
                <w:szCs w:val="14"/>
              </w:rPr>
              <w:t>System Center 2012 Configuration Manager (Solo Studenti)</w:t>
            </w:r>
            <w:bookmarkEnd w:id="452"/>
            <w:bookmarkEnd w:id="453"/>
          </w:p>
        </w:tc>
        <w:tc>
          <w:tcPr>
            <w:tcW w:w="448" w:type="dxa"/>
            <w:tcBorders>
              <w:bottom w:val="single" w:sz="4" w:space="0" w:color="auto"/>
            </w:tcBorders>
            <w:shd w:val="clear" w:color="auto" w:fill="FABF8F"/>
            <w:vAlign w:val="center"/>
          </w:tcPr>
          <w:p w:rsidR="001A63C6" w:rsidRPr="00B41377" w:rsidRDefault="00B54770" w:rsidP="00FC0808">
            <w:pPr>
              <w:pStyle w:val="TableText"/>
              <w:widowControl w:val="0"/>
              <w:rPr>
                <w:rFonts w:cs="Tahoma"/>
                <w:b/>
                <w:color w:val="000000"/>
                <w:sz w:val="13"/>
                <w:szCs w:val="13"/>
                <w:u w:val="single"/>
              </w:rPr>
            </w:pPr>
            <w:hyperlink w:anchor="_96_System_Center" w:history="1">
              <w:r w:rsidR="00734B17" w:rsidRPr="00B41377">
                <w:rPr>
                  <w:rStyle w:val="Hyperlink"/>
                  <w:rFonts w:cs="Tahoma"/>
                  <w:b/>
                  <w:sz w:val="13"/>
                  <w:szCs w:val="13"/>
                </w:rPr>
                <w:t>96</w:t>
              </w:r>
            </w:hyperlink>
            <w:hyperlink w:anchor="_91_89_System" w:history="1"/>
            <w:hyperlink w:anchor="Srv_101SystemCenter2012" w:history="1"/>
          </w:p>
        </w:tc>
        <w:tc>
          <w:tcPr>
            <w:tcW w:w="449" w:type="dxa"/>
            <w:tcBorders>
              <w:bottom w:val="single" w:sz="4" w:space="0" w:color="auto"/>
            </w:tcBorders>
            <w:shd w:val="clear" w:color="auto" w:fill="FABF8F"/>
          </w:tcPr>
          <w:p w:rsidR="001A63C6" w:rsidRPr="00A75DF9" w:rsidRDefault="001A63C6" w:rsidP="001A63C6">
            <w:pPr>
              <w:pStyle w:val="TableText"/>
              <w:widowControl w:val="0"/>
              <w:spacing w:before="240"/>
              <w:rPr>
                <w:rFonts w:ascii="Tahoma" w:hAnsi="Tahoma" w:cs="Tahoma"/>
                <w:sz w:val="13"/>
              </w:rPr>
            </w:pPr>
            <w:r w:rsidRPr="00A75DF9">
              <w:rPr>
                <w:rFonts w:ascii="Tahoma" w:hAnsi="Tahoma" w:cs="Tahoma"/>
                <w:sz w:val="13"/>
              </w:rPr>
              <w:t>04/12</w:t>
            </w:r>
          </w:p>
        </w:tc>
        <w:tc>
          <w:tcPr>
            <w:tcW w:w="359"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color w:val="000000"/>
                <w:sz w:val="13"/>
              </w:rPr>
              <w:t>SRV</w:t>
            </w:r>
          </w:p>
        </w:tc>
        <w:tc>
          <w:tcPr>
            <w:tcW w:w="356" w:type="dxa"/>
            <w:tcBorders>
              <w:left w:val="single" w:sz="18" w:space="0" w:color="auto"/>
              <w:bottom w:val="single" w:sz="4" w:space="0" w:color="auto"/>
            </w:tcBorders>
            <w:shd w:val="clear" w:color="auto" w:fill="FABF8F"/>
            <w:vAlign w:val="bottom"/>
          </w:tcPr>
          <w:p w:rsidR="001A63C6" w:rsidRPr="00A75DF9"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A75DF9" w:rsidRDefault="001A63C6" w:rsidP="001A63C6">
            <w:pPr>
              <w:pStyle w:val="TableText"/>
              <w:widowControl w:val="0"/>
              <w:spacing w:after="120"/>
              <w:rPr>
                <w:rFonts w:ascii="Tahoma" w:hAnsi="Tahoma" w:cs="Tahoma"/>
                <w:sz w:val="13"/>
                <w:szCs w:val="13"/>
              </w:rPr>
            </w:pPr>
            <w:r w:rsidRPr="00A75DF9">
              <w:rPr>
                <w:rFonts w:ascii="Tahoma" w:hAnsi="Tahoma" w:cs="Tahoma"/>
                <w:sz w:val="13"/>
                <w:szCs w:val="13"/>
              </w:rPr>
              <w:t>2</w:t>
            </w:r>
          </w:p>
        </w:tc>
        <w:tc>
          <w:tcPr>
            <w:tcW w:w="455" w:type="dxa"/>
            <w:tcBorders>
              <w:bottom w:val="single" w:sz="4" w:space="0" w:color="auto"/>
            </w:tcBorders>
            <w:shd w:val="clear" w:color="auto" w:fill="FABF8F"/>
            <w:vAlign w:val="bottom"/>
          </w:tcPr>
          <w:p w:rsidR="001A63C6" w:rsidRPr="00A75DF9" w:rsidRDefault="001A63C6" w:rsidP="001A63C6">
            <w:pPr>
              <w:pStyle w:val="TableText"/>
              <w:widowControl w:val="0"/>
              <w:spacing w:after="120"/>
              <w:rPr>
                <w:rFonts w:ascii="Tahoma" w:hAnsi="Tahoma" w:cs="Tahoma"/>
                <w:sz w:val="13"/>
                <w:szCs w:val="13"/>
              </w:rPr>
            </w:pPr>
            <w:r w:rsidRPr="00A75DF9">
              <w:rPr>
                <w:rFonts w:ascii="Tahoma" w:hAnsi="Tahoma" w:cs="Tahoma"/>
                <w:sz w:val="13"/>
                <w:szCs w:val="13"/>
              </w:rPr>
              <w:t>2</w:t>
            </w:r>
          </w:p>
        </w:tc>
        <w:tc>
          <w:tcPr>
            <w:tcW w:w="450" w:type="dxa"/>
            <w:gridSpan w:val="3"/>
            <w:tcBorders>
              <w:bottom w:val="single" w:sz="4" w:space="0" w:color="auto"/>
            </w:tcBorders>
            <w:shd w:val="clear" w:color="auto" w:fill="FABF8F"/>
            <w:vAlign w:val="bottom"/>
          </w:tcPr>
          <w:p w:rsidR="001A63C6" w:rsidRPr="00A75DF9" w:rsidRDefault="001A63C6" w:rsidP="001A63C6">
            <w:pPr>
              <w:pStyle w:val="TableText"/>
              <w:widowControl w:val="0"/>
              <w:spacing w:after="120"/>
              <w:rPr>
                <w:rFonts w:ascii="Tahoma" w:hAnsi="Tahoma" w:cs="Tahoma"/>
                <w:sz w:val="13"/>
                <w:szCs w:val="13"/>
              </w:rPr>
            </w:pPr>
            <w:r w:rsidRPr="00A75DF9">
              <w:rPr>
                <w:rFonts w:ascii="Tahoma" w:hAnsi="Tahoma" w:cs="Tahoma"/>
                <w:sz w:val="13"/>
                <w:szCs w:val="13"/>
              </w:rPr>
              <w:t>2</w:t>
            </w:r>
          </w:p>
        </w:tc>
        <w:tc>
          <w:tcPr>
            <w:tcW w:w="445" w:type="dxa"/>
            <w:tcBorders>
              <w:bottom w:val="single" w:sz="4" w:space="0" w:color="auto"/>
            </w:tcBorders>
            <w:shd w:val="clear" w:color="auto" w:fill="FABF8F"/>
            <w:vAlign w:val="bottom"/>
          </w:tcPr>
          <w:p w:rsidR="001A63C6" w:rsidRPr="00A75DF9" w:rsidRDefault="001A63C6" w:rsidP="001A63C6">
            <w:pPr>
              <w:pStyle w:val="TableText"/>
              <w:widowControl w:val="0"/>
              <w:spacing w:after="120"/>
              <w:rPr>
                <w:rFonts w:ascii="Tahoma" w:hAnsi="Tahoma" w:cs="Tahoma"/>
                <w:sz w:val="13"/>
                <w:szCs w:val="13"/>
              </w:rPr>
            </w:pPr>
            <w:r w:rsidRPr="00A75DF9">
              <w:rPr>
                <w:rFonts w:ascii="Tahoma" w:hAnsi="Tahoma" w:cs="Tahoma"/>
                <w:sz w:val="13"/>
                <w:szCs w:val="13"/>
              </w:rPr>
              <w:t>1</w:t>
            </w:r>
          </w:p>
        </w:tc>
        <w:tc>
          <w:tcPr>
            <w:tcW w:w="450" w:type="dxa"/>
            <w:tcBorders>
              <w:bottom w:val="single" w:sz="4" w:space="0" w:color="auto"/>
            </w:tcBorders>
            <w:shd w:val="clear" w:color="auto" w:fill="FABF8F"/>
            <w:vAlign w:val="bottom"/>
          </w:tcPr>
          <w:p w:rsidR="001A63C6" w:rsidRPr="00A75DF9" w:rsidRDefault="001A63C6" w:rsidP="001A63C6">
            <w:pPr>
              <w:pStyle w:val="TableText"/>
              <w:widowControl w:val="0"/>
              <w:spacing w:after="120"/>
              <w:rPr>
                <w:rFonts w:ascii="Tahoma" w:hAnsi="Tahoma" w:cs="Tahoma"/>
                <w:sz w:val="13"/>
                <w:szCs w:val="13"/>
              </w:rPr>
            </w:pPr>
            <w:r w:rsidRPr="00A75DF9">
              <w:rPr>
                <w:rFonts w:ascii="Tahoma" w:hAnsi="Tahoma" w:cs="Tahoma"/>
                <w:sz w:val="13"/>
                <w:szCs w:val="13"/>
              </w:rPr>
              <w:t>1</w:t>
            </w:r>
          </w:p>
        </w:tc>
        <w:tc>
          <w:tcPr>
            <w:tcW w:w="374" w:type="dxa"/>
            <w:tcBorders>
              <w:bottom w:val="single" w:sz="4" w:space="0" w:color="auto"/>
              <w:right w:val="single" w:sz="18" w:space="0" w:color="auto"/>
            </w:tcBorders>
            <w:shd w:val="clear" w:color="auto" w:fill="FABF8F"/>
            <w:vAlign w:val="bottom"/>
          </w:tcPr>
          <w:p w:rsidR="001A63C6" w:rsidRPr="00A75DF9" w:rsidRDefault="001A63C6" w:rsidP="001A63C6">
            <w:pPr>
              <w:pStyle w:val="TableText"/>
              <w:widowControl w:val="0"/>
              <w:spacing w:after="120"/>
              <w:rPr>
                <w:rFonts w:ascii="Tahoma" w:hAnsi="Tahoma" w:cs="Tahoma"/>
                <w:sz w:val="13"/>
                <w:szCs w:val="13"/>
              </w:rPr>
            </w:pPr>
            <w:r w:rsidRPr="00A75DF9">
              <w:rPr>
                <w:rFonts w:ascii="Tahoma" w:hAnsi="Tahoma" w:cs="Tahoma"/>
                <w:sz w:val="13"/>
                <w:szCs w:val="13"/>
              </w:rPr>
              <w:t> </w:t>
            </w:r>
          </w:p>
        </w:tc>
        <w:tc>
          <w:tcPr>
            <w:tcW w:w="455" w:type="dxa"/>
            <w:tcBorders>
              <w:left w:val="single" w:sz="18" w:space="0" w:color="auto"/>
              <w:bottom w:val="single" w:sz="4" w:space="0" w:color="auto"/>
            </w:tcBorders>
            <w:shd w:val="clear" w:color="auto" w:fill="FABF8F"/>
            <w:vAlign w:val="bottom"/>
          </w:tcPr>
          <w:p w:rsidR="001A63C6" w:rsidRPr="00A75DF9"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A75DF9" w:rsidRDefault="001A63C6" w:rsidP="001A63C6">
            <w:pPr>
              <w:pStyle w:val="TableText"/>
              <w:widowControl w:val="0"/>
              <w:spacing w:after="120"/>
              <w:rPr>
                <w:rFonts w:ascii="Tahoma" w:hAnsi="Tahoma" w:cs="Tahoma"/>
                <w:sz w:val="13"/>
                <w:szCs w:val="13"/>
              </w:rPr>
            </w:pPr>
            <w:r w:rsidRPr="00A75DF9">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bottom"/>
          </w:tcPr>
          <w:p w:rsidR="001A63C6" w:rsidRPr="00A75DF9" w:rsidRDefault="001A63C6" w:rsidP="001A63C6">
            <w:pPr>
              <w:pStyle w:val="TableText"/>
              <w:widowControl w:val="0"/>
              <w:spacing w:after="120"/>
              <w:rPr>
                <w:rFonts w:ascii="Tahoma" w:hAnsi="Tahoma" w:cs="Tahoma"/>
                <w:sz w:val="13"/>
                <w:szCs w:val="13"/>
              </w:rPr>
            </w:pPr>
            <w:r w:rsidRPr="00A75DF9">
              <w:rPr>
                <w:rFonts w:ascii="Tahoma" w:hAnsi="Tahoma" w:cs="Tahoma"/>
                <w:sz w:val="13"/>
                <w:szCs w:val="13"/>
              </w:rPr>
              <w:t>3</w:t>
            </w:r>
          </w:p>
        </w:tc>
        <w:tc>
          <w:tcPr>
            <w:tcW w:w="450" w:type="dxa"/>
            <w:tcBorders>
              <w:left w:val="single" w:sz="18" w:space="0" w:color="auto"/>
              <w:bottom w:val="single" w:sz="4" w:space="0" w:color="auto"/>
            </w:tcBorders>
            <w:shd w:val="clear" w:color="auto" w:fill="FABF8F"/>
            <w:vAlign w:val="bottom"/>
          </w:tcPr>
          <w:p w:rsidR="001A63C6" w:rsidRPr="00A75DF9" w:rsidRDefault="001A63C6" w:rsidP="001A63C6">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A75DF9" w:rsidRDefault="001A63C6" w:rsidP="001A63C6">
            <w:pPr>
              <w:pStyle w:val="TableText"/>
              <w:widowControl w:val="0"/>
              <w:rPr>
                <w:rFonts w:ascii="Tahoma" w:hAnsi="Tahoma" w:cs="Tahoma"/>
                <w:sz w:val="13"/>
              </w:rPr>
            </w:pPr>
          </w:p>
        </w:tc>
        <w:tc>
          <w:tcPr>
            <w:tcW w:w="539"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r>
      <w:tr w:rsidR="006864A1" w:rsidRPr="00A75DF9" w:rsidTr="008A1262">
        <w:trPr>
          <w:trHeight w:val="134"/>
        </w:trPr>
        <w:tc>
          <w:tcPr>
            <w:tcW w:w="2724" w:type="dxa"/>
            <w:gridSpan w:val="2"/>
            <w:tcBorders>
              <w:bottom w:val="single" w:sz="4" w:space="0" w:color="auto"/>
            </w:tcBorders>
            <w:shd w:val="clear" w:color="auto" w:fill="auto"/>
            <w:vAlign w:val="center"/>
          </w:tcPr>
          <w:p w:rsidR="001A63C6" w:rsidRPr="00A75DF9" w:rsidRDefault="001A63C6" w:rsidP="008B1245">
            <w:pPr>
              <w:pStyle w:val="ProductNames"/>
              <w:spacing w:beforeLines="20" w:before="48" w:afterLines="20" w:after="48"/>
              <w:rPr>
                <w:rFonts w:ascii="Tahoma" w:hAnsi="Tahoma" w:cs="Tahoma"/>
                <w:sz w:val="14"/>
              </w:rPr>
            </w:pPr>
            <w:bookmarkStart w:id="454" w:name="_Toc336338096"/>
            <w:bookmarkStart w:id="455" w:name="_Toc368310094"/>
            <w:r w:rsidRPr="00A75DF9">
              <w:rPr>
                <w:rFonts w:ascii="Tahoma" w:hAnsi="Tahoma" w:cs="Tahoma"/>
                <w:sz w:val="14"/>
              </w:rPr>
              <w:lastRenderedPageBreak/>
              <w:t>Licenza di Gestione Client per OSE per System Center 2012 Configuration Manager</w:t>
            </w:r>
            <w:bookmarkEnd w:id="454"/>
            <w:bookmarkEnd w:id="455"/>
          </w:p>
        </w:tc>
        <w:tc>
          <w:tcPr>
            <w:tcW w:w="448" w:type="dxa"/>
            <w:tcBorders>
              <w:bottom w:val="single" w:sz="4" w:space="0" w:color="auto"/>
            </w:tcBorders>
            <w:shd w:val="clear" w:color="auto" w:fill="auto"/>
            <w:vAlign w:val="center"/>
          </w:tcPr>
          <w:p w:rsidR="001A63C6" w:rsidRPr="00B41377" w:rsidRDefault="00B54770" w:rsidP="00FC0808">
            <w:pPr>
              <w:pStyle w:val="TableText"/>
              <w:widowControl w:val="0"/>
              <w:rPr>
                <w:rFonts w:cs="Tahoma"/>
                <w:b/>
                <w:color w:val="000000"/>
                <w:sz w:val="13"/>
                <w:szCs w:val="13"/>
                <w:u w:val="single"/>
              </w:rPr>
            </w:pPr>
            <w:hyperlink w:anchor="_96_System_Center" w:history="1">
              <w:r w:rsidR="00734B17" w:rsidRPr="00B41377">
                <w:rPr>
                  <w:rStyle w:val="Hyperlink"/>
                  <w:rFonts w:cs="Tahoma"/>
                  <w:b/>
                  <w:sz w:val="13"/>
                  <w:szCs w:val="13"/>
                </w:rPr>
                <w:t>96</w:t>
              </w:r>
            </w:hyperlink>
            <w:hyperlink w:anchor="_91_89_System" w:history="1"/>
          </w:p>
        </w:tc>
        <w:tc>
          <w:tcPr>
            <w:tcW w:w="449" w:type="dxa"/>
            <w:tcBorders>
              <w:bottom w:val="single" w:sz="4" w:space="0" w:color="auto"/>
            </w:tcBorders>
            <w:shd w:val="clear" w:color="auto" w:fill="auto"/>
          </w:tcPr>
          <w:p w:rsidR="001A63C6" w:rsidRPr="00A75DF9" w:rsidRDefault="001A63C6" w:rsidP="001A63C6">
            <w:pPr>
              <w:pStyle w:val="TableText"/>
              <w:widowControl w:val="0"/>
              <w:spacing w:before="240"/>
              <w:rPr>
                <w:rFonts w:ascii="Tahoma" w:hAnsi="Tahoma" w:cs="Tahoma"/>
                <w:sz w:val="13"/>
              </w:rPr>
            </w:pPr>
            <w:r w:rsidRPr="00A75DF9">
              <w:rPr>
                <w:rFonts w:ascii="Tahoma" w:hAnsi="Tahoma" w:cs="Tahoma"/>
                <w:sz w:val="13"/>
              </w:rPr>
              <w:t>04/12</w:t>
            </w:r>
          </w:p>
        </w:tc>
        <w:tc>
          <w:tcPr>
            <w:tcW w:w="359"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color w:val="000000"/>
                <w:sz w:val="13"/>
              </w:rPr>
              <w:t>SRV</w:t>
            </w:r>
          </w:p>
        </w:tc>
        <w:tc>
          <w:tcPr>
            <w:tcW w:w="356" w:type="dxa"/>
            <w:tcBorders>
              <w:left w:val="single" w:sz="18" w:space="0" w:color="auto"/>
              <w:bottom w:val="single" w:sz="4" w:space="0" w:color="auto"/>
            </w:tcBorders>
            <w:shd w:val="clear" w:color="auto" w:fill="auto"/>
            <w:vAlign w:val="bottom"/>
          </w:tcPr>
          <w:p w:rsidR="001A63C6" w:rsidRPr="00A75DF9"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A75DF9" w:rsidRDefault="001A63C6" w:rsidP="001A63C6">
            <w:pPr>
              <w:pStyle w:val="TableText"/>
              <w:widowControl w:val="0"/>
              <w:spacing w:after="120"/>
              <w:rPr>
                <w:rFonts w:ascii="Tahoma" w:hAnsi="Tahoma" w:cs="Tahoma"/>
                <w:sz w:val="13"/>
                <w:szCs w:val="13"/>
              </w:rPr>
            </w:pPr>
            <w:r w:rsidRPr="00A75DF9">
              <w:rPr>
                <w:rFonts w:ascii="Tahoma" w:hAnsi="Tahoma" w:cs="Tahoma"/>
                <w:sz w:val="13"/>
                <w:szCs w:val="13"/>
              </w:rPr>
              <w:t>3</w:t>
            </w:r>
          </w:p>
        </w:tc>
        <w:tc>
          <w:tcPr>
            <w:tcW w:w="455" w:type="dxa"/>
            <w:tcBorders>
              <w:bottom w:val="single" w:sz="4" w:space="0" w:color="auto"/>
            </w:tcBorders>
            <w:shd w:val="clear" w:color="auto" w:fill="auto"/>
            <w:vAlign w:val="bottom"/>
          </w:tcPr>
          <w:p w:rsidR="001A63C6" w:rsidRPr="00A75DF9" w:rsidRDefault="001A63C6" w:rsidP="001A63C6">
            <w:pPr>
              <w:pStyle w:val="TableText"/>
              <w:widowControl w:val="0"/>
              <w:spacing w:after="120"/>
              <w:rPr>
                <w:rFonts w:ascii="Tahoma" w:hAnsi="Tahoma" w:cs="Tahoma"/>
                <w:sz w:val="13"/>
                <w:szCs w:val="13"/>
              </w:rPr>
            </w:pPr>
            <w:r w:rsidRPr="00A75DF9">
              <w:rPr>
                <w:rFonts w:ascii="Tahoma" w:hAnsi="Tahoma" w:cs="Tahoma"/>
                <w:sz w:val="13"/>
                <w:szCs w:val="13"/>
              </w:rPr>
              <w:t>2</w:t>
            </w:r>
          </w:p>
        </w:tc>
        <w:tc>
          <w:tcPr>
            <w:tcW w:w="450" w:type="dxa"/>
            <w:gridSpan w:val="3"/>
            <w:tcBorders>
              <w:bottom w:val="single" w:sz="4" w:space="0" w:color="auto"/>
            </w:tcBorders>
            <w:shd w:val="clear" w:color="auto" w:fill="auto"/>
            <w:vAlign w:val="bottom"/>
          </w:tcPr>
          <w:p w:rsidR="001A63C6" w:rsidRPr="00A75DF9" w:rsidRDefault="001A63C6" w:rsidP="001A63C6">
            <w:pPr>
              <w:pStyle w:val="TableText"/>
              <w:widowControl w:val="0"/>
              <w:spacing w:after="120"/>
              <w:rPr>
                <w:rFonts w:ascii="Tahoma" w:hAnsi="Tahoma" w:cs="Tahoma"/>
                <w:sz w:val="13"/>
                <w:szCs w:val="13"/>
              </w:rPr>
            </w:pPr>
            <w:r w:rsidRPr="00A75DF9">
              <w:rPr>
                <w:rFonts w:ascii="Tahoma" w:hAnsi="Tahoma" w:cs="Tahoma"/>
                <w:sz w:val="13"/>
                <w:szCs w:val="13"/>
              </w:rPr>
              <w:t>2</w:t>
            </w:r>
          </w:p>
        </w:tc>
        <w:tc>
          <w:tcPr>
            <w:tcW w:w="445" w:type="dxa"/>
            <w:tcBorders>
              <w:bottom w:val="single" w:sz="4" w:space="0" w:color="auto"/>
            </w:tcBorders>
            <w:shd w:val="clear" w:color="auto" w:fill="auto"/>
            <w:vAlign w:val="bottom"/>
          </w:tcPr>
          <w:p w:rsidR="001A63C6" w:rsidRPr="00A75DF9" w:rsidRDefault="001A63C6" w:rsidP="001A63C6">
            <w:pPr>
              <w:pStyle w:val="TableText"/>
              <w:widowControl w:val="0"/>
              <w:spacing w:after="120"/>
              <w:rPr>
                <w:rFonts w:ascii="Tahoma" w:hAnsi="Tahoma" w:cs="Tahoma"/>
                <w:sz w:val="13"/>
                <w:szCs w:val="13"/>
              </w:rPr>
            </w:pPr>
            <w:r w:rsidRPr="00A75DF9">
              <w:rPr>
                <w:rFonts w:ascii="Tahoma" w:hAnsi="Tahoma" w:cs="Tahoma"/>
                <w:sz w:val="13"/>
                <w:szCs w:val="13"/>
              </w:rPr>
              <w:t>2</w:t>
            </w:r>
          </w:p>
        </w:tc>
        <w:tc>
          <w:tcPr>
            <w:tcW w:w="450" w:type="dxa"/>
            <w:tcBorders>
              <w:bottom w:val="single" w:sz="4" w:space="0" w:color="auto"/>
            </w:tcBorders>
            <w:shd w:val="clear" w:color="auto" w:fill="auto"/>
            <w:vAlign w:val="bottom"/>
          </w:tcPr>
          <w:p w:rsidR="001A63C6" w:rsidRPr="00A75DF9" w:rsidRDefault="001A63C6" w:rsidP="001A63C6">
            <w:pPr>
              <w:pStyle w:val="TableText"/>
              <w:widowControl w:val="0"/>
              <w:spacing w:after="120"/>
              <w:rPr>
                <w:rFonts w:ascii="Tahoma" w:hAnsi="Tahoma" w:cs="Tahoma"/>
                <w:sz w:val="13"/>
                <w:szCs w:val="13"/>
              </w:rPr>
            </w:pPr>
            <w:r w:rsidRPr="00A75DF9">
              <w:rPr>
                <w:rFonts w:ascii="Tahoma" w:hAnsi="Tahoma" w:cs="Tahoma"/>
                <w:sz w:val="13"/>
                <w:szCs w:val="13"/>
              </w:rPr>
              <w:t>1</w:t>
            </w:r>
          </w:p>
        </w:tc>
        <w:tc>
          <w:tcPr>
            <w:tcW w:w="374" w:type="dxa"/>
            <w:tcBorders>
              <w:bottom w:val="single" w:sz="4" w:space="0" w:color="auto"/>
              <w:right w:val="single" w:sz="18" w:space="0" w:color="auto"/>
            </w:tcBorders>
            <w:shd w:val="clear" w:color="auto" w:fill="auto"/>
            <w:vAlign w:val="bottom"/>
          </w:tcPr>
          <w:p w:rsidR="001A63C6" w:rsidRPr="00A75DF9" w:rsidRDefault="001A63C6" w:rsidP="001A63C6">
            <w:pPr>
              <w:pStyle w:val="TableText"/>
              <w:widowControl w:val="0"/>
              <w:spacing w:after="120"/>
              <w:rPr>
                <w:rFonts w:ascii="Tahoma" w:hAnsi="Tahoma" w:cs="Tahoma"/>
                <w:sz w:val="13"/>
                <w:szCs w:val="13"/>
              </w:rPr>
            </w:pPr>
            <w:r w:rsidRPr="00A75DF9">
              <w:rPr>
                <w:rFonts w:ascii="Tahoma" w:hAnsi="Tahoma" w:cs="Tahoma"/>
                <w:sz w:val="13"/>
                <w:szCs w:val="13"/>
              </w:rPr>
              <w:t>1</w:t>
            </w:r>
          </w:p>
        </w:tc>
        <w:tc>
          <w:tcPr>
            <w:tcW w:w="455" w:type="dxa"/>
            <w:tcBorders>
              <w:left w:val="single" w:sz="18" w:space="0" w:color="auto"/>
              <w:bottom w:val="single" w:sz="4" w:space="0" w:color="auto"/>
            </w:tcBorders>
            <w:shd w:val="clear" w:color="auto" w:fill="auto"/>
            <w:vAlign w:val="bottom"/>
          </w:tcPr>
          <w:p w:rsidR="001A63C6" w:rsidRPr="00A75DF9"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A75DF9" w:rsidRDefault="001A63C6" w:rsidP="001A63C6">
            <w:pPr>
              <w:pStyle w:val="TableText"/>
              <w:widowControl w:val="0"/>
              <w:spacing w:after="120"/>
              <w:rPr>
                <w:rFonts w:ascii="Tahoma" w:hAnsi="Tahoma" w:cs="Tahoma"/>
                <w:sz w:val="13"/>
                <w:szCs w:val="13"/>
              </w:rPr>
            </w:pPr>
            <w:r w:rsidRPr="00A75DF9">
              <w:rPr>
                <w:rFonts w:ascii="Tahoma" w:hAnsi="Tahoma" w:cs="Tahoma"/>
                <w:sz w:val="13"/>
                <w:szCs w:val="13"/>
              </w:rPr>
              <w:t>2</w:t>
            </w:r>
          </w:p>
        </w:tc>
        <w:tc>
          <w:tcPr>
            <w:tcW w:w="450" w:type="dxa"/>
            <w:tcBorders>
              <w:bottom w:val="single" w:sz="4" w:space="0" w:color="auto"/>
              <w:right w:val="single" w:sz="18" w:space="0" w:color="auto"/>
            </w:tcBorders>
            <w:shd w:val="clear" w:color="auto" w:fill="auto"/>
            <w:vAlign w:val="bottom"/>
          </w:tcPr>
          <w:p w:rsidR="001A63C6" w:rsidRPr="00A75DF9" w:rsidRDefault="001A63C6" w:rsidP="001A63C6">
            <w:pPr>
              <w:pStyle w:val="TableText"/>
              <w:widowControl w:val="0"/>
              <w:spacing w:after="120"/>
              <w:rPr>
                <w:rFonts w:ascii="Tahoma" w:hAnsi="Tahoma" w:cs="Tahoma"/>
                <w:sz w:val="13"/>
                <w:szCs w:val="13"/>
              </w:rPr>
            </w:pPr>
            <w:r w:rsidRPr="00A75DF9">
              <w:rPr>
                <w:rFonts w:ascii="Tahoma" w:hAnsi="Tahoma" w:cs="Tahoma"/>
                <w:sz w:val="13"/>
                <w:szCs w:val="13"/>
              </w:rPr>
              <w:t>1</w:t>
            </w:r>
          </w:p>
        </w:tc>
        <w:tc>
          <w:tcPr>
            <w:tcW w:w="450"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A75DF9" w:rsidRDefault="001A63C6" w:rsidP="001A63C6">
            <w:pPr>
              <w:pStyle w:val="TableText"/>
              <w:widowControl w:val="0"/>
              <w:spacing w:before="240"/>
              <w:rPr>
                <w:rFonts w:ascii="Tahoma" w:hAnsi="Tahoma" w:cs="Tahoma"/>
                <w:sz w:val="13"/>
              </w:rPr>
            </w:pPr>
          </w:p>
        </w:tc>
        <w:tc>
          <w:tcPr>
            <w:tcW w:w="539"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r>
      <w:tr w:rsidR="006864A1" w:rsidRPr="00A75DF9" w:rsidTr="008A1262">
        <w:trPr>
          <w:trHeight w:val="134"/>
        </w:trPr>
        <w:tc>
          <w:tcPr>
            <w:tcW w:w="2724" w:type="dxa"/>
            <w:gridSpan w:val="2"/>
            <w:tcBorders>
              <w:bottom w:val="single" w:sz="4" w:space="0" w:color="auto"/>
            </w:tcBorders>
            <w:shd w:val="clear" w:color="auto" w:fill="FABF8F"/>
            <w:vAlign w:val="center"/>
          </w:tcPr>
          <w:p w:rsidR="001A63C6" w:rsidRPr="00A75DF9" w:rsidRDefault="001A63C6" w:rsidP="00B41377">
            <w:pPr>
              <w:pStyle w:val="ProductNames"/>
              <w:spacing w:beforeLines="20" w:before="48" w:afterLines="20" w:after="48"/>
              <w:rPr>
                <w:rFonts w:ascii="Tahoma" w:hAnsi="Tahoma" w:cs="Tahoma"/>
                <w:sz w:val="14"/>
              </w:rPr>
            </w:pPr>
            <w:bookmarkStart w:id="456" w:name="_Toc336338097"/>
            <w:bookmarkStart w:id="457" w:name="_Toc368310095"/>
            <w:r w:rsidRPr="00A75DF9">
              <w:rPr>
                <w:rFonts w:ascii="Tahoma" w:hAnsi="Tahoma" w:cs="Tahoma"/>
                <w:sz w:val="14"/>
              </w:rPr>
              <w:t>Licenza di Gestione Client per Utente per</w:t>
            </w:r>
            <w:r w:rsidR="00B41377">
              <w:rPr>
                <w:rFonts w:ascii="Tahoma" w:hAnsi="Tahoma" w:cs="Tahoma"/>
                <w:sz w:val="14"/>
              </w:rPr>
              <w:t> </w:t>
            </w:r>
            <w:r w:rsidRPr="00A75DF9">
              <w:rPr>
                <w:rFonts w:ascii="Tahoma" w:hAnsi="Tahoma" w:cs="Tahoma"/>
                <w:sz w:val="14"/>
              </w:rPr>
              <w:t>System Center 2012 Configuration Manager</w:t>
            </w:r>
            <w:bookmarkEnd w:id="456"/>
            <w:bookmarkEnd w:id="457"/>
          </w:p>
        </w:tc>
        <w:tc>
          <w:tcPr>
            <w:tcW w:w="448" w:type="dxa"/>
            <w:tcBorders>
              <w:bottom w:val="single" w:sz="4" w:space="0" w:color="auto"/>
            </w:tcBorders>
            <w:shd w:val="clear" w:color="auto" w:fill="FABF8F"/>
            <w:vAlign w:val="center"/>
          </w:tcPr>
          <w:p w:rsidR="001A63C6" w:rsidRPr="00B41377" w:rsidRDefault="00B54770" w:rsidP="00FC0808">
            <w:pPr>
              <w:pStyle w:val="TableText"/>
              <w:widowControl w:val="0"/>
              <w:rPr>
                <w:rFonts w:cs="Tahoma"/>
                <w:b/>
                <w:color w:val="000000"/>
                <w:sz w:val="13"/>
                <w:szCs w:val="13"/>
                <w:u w:val="single"/>
              </w:rPr>
            </w:pPr>
            <w:hyperlink w:anchor="_96_System_Center" w:history="1">
              <w:r w:rsidR="00734B17" w:rsidRPr="00B41377">
                <w:rPr>
                  <w:rStyle w:val="Hyperlink"/>
                  <w:rFonts w:cs="Tahoma"/>
                  <w:b/>
                  <w:sz w:val="13"/>
                  <w:szCs w:val="13"/>
                </w:rPr>
                <w:t>96</w:t>
              </w:r>
            </w:hyperlink>
            <w:hyperlink w:anchor="_91_89_System" w:history="1"/>
            <w:hyperlink w:anchor="Srv_101SystemCenter2012" w:history="1"/>
          </w:p>
        </w:tc>
        <w:tc>
          <w:tcPr>
            <w:tcW w:w="449" w:type="dxa"/>
            <w:tcBorders>
              <w:bottom w:val="single" w:sz="4" w:space="0" w:color="auto"/>
            </w:tcBorders>
            <w:shd w:val="clear" w:color="auto" w:fill="FABF8F"/>
          </w:tcPr>
          <w:p w:rsidR="001A63C6" w:rsidRPr="00A75DF9" w:rsidRDefault="001A63C6" w:rsidP="001A63C6">
            <w:pPr>
              <w:pStyle w:val="TableText"/>
              <w:widowControl w:val="0"/>
              <w:spacing w:before="240"/>
              <w:rPr>
                <w:rFonts w:ascii="Tahoma" w:hAnsi="Tahoma" w:cs="Tahoma"/>
                <w:sz w:val="13"/>
              </w:rPr>
            </w:pPr>
            <w:r w:rsidRPr="00A75DF9">
              <w:rPr>
                <w:rFonts w:ascii="Tahoma" w:hAnsi="Tahoma" w:cs="Tahoma"/>
                <w:sz w:val="13"/>
              </w:rPr>
              <w:t>04/12</w:t>
            </w:r>
          </w:p>
        </w:tc>
        <w:tc>
          <w:tcPr>
            <w:tcW w:w="359"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color w:val="000000"/>
                <w:sz w:val="13"/>
              </w:rPr>
              <w:t>SRV</w:t>
            </w:r>
          </w:p>
        </w:tc>
        <w:tc>
          <w:tcPr>
            <w:tcW w:w="356" w:type="dxa"/>
            <w:tcBorders>
              <w:left w:val="single" w:sz="18" w:space="0" w:color="auto"/>
              <w:bottom w:val="single" w:sz="4" w:space="0" w:color="auto"/>
            </w:tcBorders>
            <w:shd w:val="clear" w:color="auto" w:fill="FABF8F"/>
            <w:vAlign w:val="bottom"/>
          </w:tcPr>
          <w:p w:rsidR="001A63C6" w:rsidRPr="00A75DF9"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A75DF9" w:rsidRDefault="001A63C6" w:rsidP="001A63C6">
            <w:pPr>
              <w:pStyle w:val="TableText"/>
              <w:widowControl w:val="0"/>
              <w:spacing w:after="120"/>
              <w:rPr>
                <w:rFonts w:ascii="Tahoma" w:hAnsi="Tahoma" w:cs="Tahoma"/>
                <w:sz w:val="13"/>
                <w:szCs w:val="13"/>
              </w:rPr>
            </w:pPr>
            <w:r w:rsidRPr="00A75DF9">
              <w:rPr>
                <w:rFonts w:ascii="Tahoma" w:hAnsi="Tahoma" w:cs="Tahoma"/>
                <w:sz w:val="13"/>
                <w:szCs w:val="13"/>
              </w:rPr>
              <w:t>3</w:t>
            </w:r>
          </w:p>
        </w:tc>
        <w:tc>
          <w:tcPr>
            <w:tcW w:w="455" w:type="dxa"/>
            <w:tcBorders>
              <w:bottom w:val="single" w:sz="4" w:space="0" w:color="auto"/>
            </w:tcBorders>
            <w:shd w:val="clear" w:color="auto" w:fill="FABF8F"/>
            <w:vAlign w:val="bottom"/>
          </w:tcPr>
          <w:p w:rsidR="001A63C6" w:rsidRPr="00A75DF9" w:rsidRDefault="001A63C6" w:rsidP="001A63C6">
            <w:pPr>
              <w:pStyle w:val="TableText"/>
              <w:widowControl w:val="0"/>
              <w:spacing w:after="120"/>
              <w:rPr>
                <w:rFonts w:ascii="Tahoma" w:hAnsi="Tahoma" w:cs="Tahoma"/>
                <w:sz w:val="13"/>
                <w:szCs w:val="13"/>
              </w:rPr>
            </w:pPr>
            <w:r w:rsidRPr="00A75DF9">
              <w:rPr>
                <w:rFonts w:ascii="Tahoma" w:hAnsi="Tahoma" w:cs="Tahoma"/>
                <w:sz w:val="13"/>
                <w:szCs w:val="13"/>
              </w:rPr>
              <w:t>2</w:t>
            </w:r>
          </w:p>
        </w:tc>
        <w:tc>
          <w:tcPr>
            <w:tcW w:w="450" w:type="dxa"/>
            <w:gridSpan w:val="3"/>
            <w:tcBorders>
              <w:bottom w:val="single" w:sz="4" w:space="0" w:color="auto"/>
            </w:tcBorders>
            <w:shd w:val="clear" w:color="auto" w:fill="FABF8F"/>
            <w:vAlign w:val="bottom"/>
          </w:tcPr>
          <w:p w:rsidR="001A63C6" w:rsidRPr="00A75DF9" w:rsidRDefault="001A63C6" w:rsidP="001A63C6">
            <w:pPr>
              <w:pStyle w:val="TableText"/>
              <w:widowControl w:val="0"/>
              <w:spacing w:after="120"/>
              <w:rPr>
                <w:rFonts w:ascii="Tahoma" w:hAnsi="Tahoma" w:cs="Tahoma"/>
                <w:sz w:val="13"/>
                <w:szCs w:val="13"/>
              </w:rPr>
            </w:pPr>
            <w:r w:rsidRPr="00A75DF9">
              <w:rPr>
                <w:rFonts w:ascii="Tahoma" w:hAnsi="Tahoma" w:cs="Tahoma"/>
                <w:sz w:val="13"/>
                <w:szCs w:val="13"/>
              </w:rPr>
              <w:t>2</w:t>
            </w:r>
          </w:p>
        </w:tc>
        <w:tc>
          <w:tcPr>
            <w:tcW w:w="445" w:type="dxa"/>
            <w:tcBorders>
              <w:bottom w:val="single" w:sz="4" w:space="0" w:color="auto"/>
            </w:tcBorders>
            <w:shd w:val="clear" w:color="auto" w:fill="FABF8F"/>
            <w:vAlign w:val="bottom"/>
          </w:tcPr>
          <w:p w:rsidR="001A63C6" w:rsidRPr="00A75DF9" w:rsidRDefault="001A63C6" w:rsidP="001A63C6">
            <w:pPr>
              <w:pStyle w:val="TableText"/>
              <w:widowControl w:val="0"/>
              <w:spacing w:after="120"/>
              <w:rPr>
                <w:rFonts w:ascii="Tahoma" w:hAnsi="Tahoma" w:cs="Tahoma"/>
                <w:sz w:val="13"/>
                <w:szCs w:val="13"/>
              </w:rPr>
            </w:pPr>
            <w:r w:rsidRPr="00A75DF9">
              <w:rPr>
                <w:rFonts w:ascii="Tahoma" w:hAnsi="Tahoma" w:cs="Tahoma"/>
                <w:sz w:val="13"/>
                <w:szCs w:val="13"/>
              </w:rPr>
              <w:t>2</w:t>
            </w:r>
          </w:p>
        </w:tc>
        <w:tc>
          <w:tcPr>
            <w:tcW w:w="450" w:type="dxa"/>
            <w:tcBorders>
              <w:bottom w:val="single" w:sz="4" w:space="0" w:color="auto"/>
            </w:tcBorders>
            <w:shd w:val="clear" w:color="auto" w:fill="FABF8F"/>
            <w:vAlign w:val="bottom"/>
          </w:tcPr>
          <w:p w:rsidR="001A63C6" w:rsidRPr="00A75DF9" w:rsidRDefault="001A63C6" w:rsidP="001A63C6">
            <w:pPr>
              <w:pStyle w:val="TableText"/>
              <w:widowControl w:val="0"/>
              <w:spacing w:after="120"/>
              <w:rPr>
                <w:rFonts w:ascii="Tahoma" w:hAnsi="Tahoma" w:cs="Tahoma"/>
                <w:sz w:val="13"/>
                <w:szCs w:val="13"/>
              </w:rPr>
            </w:pPr>
            <w:r w:rsidRPr="00A75DF9">
              <w:rPr>
                <w:rFonts w:ascii="Tahoma" w:hAnsi="Tahoma" w:cs="Tahoma"/>
                <w:sz w:val="13"/>
                <w:szCs w:val="13"/>
              </w:rPr>
              <w:t>1</w:t>
            </w:r>
          </w:p>
        </w:tc>
        <w:tc>
          <w:tcPr>
            <w:tcW w:w="374" w:type="dxa"/>
            <w:tcBorders>
              <w:bottom w:val="single" w:sz="4" w:space="0" w:color="auto"/>
              <w:right w:val="single" w:sz="18" w:space="0" w:color="auto"/>
            </w:tcBorders>
            <w:shd w:val="clear" w:color="auto" w:fill="FABF8F"/>
            <w:vAlign w:val="bottom"/>
          </w:tcPr>
          <w:p w:rsidR="001A63C6" w:rsidRPr="00A75DF9" w:rsidRDefault="001A63C6" w:rsidP="001A63C6">
            <w:pPr>
              <w:pStyle w:val="TableText"/>
              <w:widowControl w:val="0"/>
              <w:spacing w:after="120"/>
              <w:rPr>
                <w:rFonts w:ascii="Tahoma" w:hAnsi="Tahoma" w:cs="Tahoma"/>
                <w:sz w:val="13"/>
                <w:szCs w:val="13"/>
              </w:rPr>
            </w:pPr>
            <w:r w:rsidRPr="00A75DF9">
              <w:rPr>
                <w:rFonts w:ascii="Tahoma" w:hAnsi="Tahoma" w:cs="Tahoma"/>
                <w:sz w:val="13"/>
                <w:szCs w:val="13"/>
              </w:rPr>
              <w:t>1</w:t>
            </w:r>
          </w:p>
        </w:tc>
        <w:tc>
          <w:tcPr>
            <w:tcW w:w="455" w:type="dxa"/>
            <w:tcBorders>
              <w:left w:val="single" w:sz="18" w:space="0" w:color="auto"/>
              <w:bottom w:val="single" w:sz="4" w:space="0" w:color="auto"/>
            </w:tcBorders>
            <w:shd w:val="clear" w:color="auto" w:fill="FABF8F"/>
            <w:vAlign w:val="bottom"/>
          </w:tcPr>
          <w:p w:rsidR="001A63C6" w:rsidRPr="00A75DF9"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FABF8F"/>
            <w:vAlign w:val="bottom"/>
          </w:tcPr>
          <w:p w:rsidR="001A63C6" w:rsidRPr="00A75DF9" w:rsidRDefault="001A63C6" w:rsidP="001A63C6">
            <w:pPr>
              <w:pStyle w:val="TableText"/>
              <w:widowControl w:val="0"/>
              <w:spacing w:after="120"/>
              <w:rPr>
                <w:rFonts w:ascii="Tahoma" w:hAnsi="Tahoma" w:cs="Tahoma"/>
                <w:sz w:val="13"/>
                <w:szCs w:val="13"/>
              </w:rPr>
            </w:pPr>
            <w:r w:rsidRPr="00A75DF9">
              <w:rPr>
                <w:rFonts w:ascii="Tahoma" w:hAnsi="Tahoma" w:cs="Tahoma"/>
                <w:sz w:val="13"/>
                <w:szCs w:val="13"/>
              </w:rPr>
              <w:t>2</w:t>
            </w:r>
          </w:p>
        </w:tc>
        <w:tc>
          <w:tcPr>
            <w:tcW w:w="450" w:type="dxa"/>
            <w:tcBorders>
              <w:bottom w:val="single" w:sz="4" w:space="0" w:color="auto"/>
              <w:right w:val="single" w:sz="18" w:space="0" w:color="auto"/>
            </w:tcBorders>
            <w:shd w:val="clear" w:color="auto" w:fill="FABF8F"/>
            <w:vAlign w:val="bottom"/>
          </w:tcPr>
          <w:p w:rsidR="001A63C6" w:rsidRPr="00A75DF9" w:rsidRDefault="001A63C6" w:rsidP="001A63C6">
            <w:pPr>
              <w:pStyle w:val="TableText"/>
              <w:widowControl w:val="0"/>
              <w:spacing w:after="120"/>
              <w:rPr>
                <w:rFonts w:ascii="Tahoma" w:hAnsi="Tahoma" w:cs="Tahoma"/>
                <w:sz w:val="13"/>
                <w:szCs w:val="13"/>
              </w:rPr>
            </w:pPr>
            <w:r w:rsidRPr="00A75DF9">
              <w:rPr>
                <w:rFonts w:ascii="Tahoma" w:hAnsi="Tahoma" w:cs="Tahoma"/>
                <w:sz w:val="13"/>
                <w:szCs w:val="13"/>
              </w:rPr>
              <w:t>1</w:t>
            </w:r>
          </w:p>
        </w:tc>
        <w:tc>
          <w:tcPr>
            <w:tcW w:w="450"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A, E</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P</w:t>
            </w:r>
          </w:p>
        </w:tc>
        <w:tc>
          <w:tcPr>
            <w:tcW w:w="450" w:type="dxa"/>
            <w:tcBorders>
              <w:bottom w:val="single" w:sz="4" w:space="0" w:color="auto"/>
            </w:tcBorders>
            <w:shd w:val="clear" w:color="auto" w:fill="FABF8F"/>
          </w:tcPr>
          <w:p w:rsidR="001A63C6" w:rsidRPr="00A75DF9" w:rsidRDefault="001A63C6" w:rsidP="001A63C6">
            <w:pPr>
              <w:pStyle w:val="TableText"/>
              <w:widowControl w:val="0"/>
              <w:spacing w:before="240"/>
              <w:rPr>
                <w:rFonts w:ascii="Tahoma" w:hAnsi="Tahoma" w:cs="Tahoma"/>
                <w:sz w:val="13"/>
              </w:rPr>
            </w:pPr>
            <w:r w:rsidRPr="00A75DF9">
              <w:rPr>
                <w:rFonts w:ascii="Tahoma" w:hAnsi="Tahoma" w:cs="Tahoma"/>
                <w:sz w:val="13"/>
              </w:rPr>
              <w:t>AO, ST</w:t>
            </w:r>
          </w:p>
        </w:tc>
        <w:tc>
          <w:tcPr>
            <w:tcW w:w="539"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r>
      <w:tr w:rsidR="00B025C3" w:rsidRPr="00A75DF9" w:rsidTr="008A1262">
        <w:trPr>
          <w:trHeight w:val="134"/>
        </w:trPr>
        <w:tc>
          <w:tcPr>
            <w:tcW w:w="2724" w:type="dxa"/>
            <w:gridSpan w:val="2"/>
            <w:tcBorders>
              <w:bottom w:val="single" w:sz="4" w:space="0" w:color="auto"/>
            </w:tcBorders>
            <w:shd w:val="clear" w:color="auto" w:fill="auto"/>
          </w:tcPr>
          <w:p w:rsidR="001A63C6" w:rsidRPr="00A75DF9" w:rsidRDefault="001A63C6" w:rsidP="008B1245">
            <w:pPr>
              <w:pStyle w:val="ProductNames"/>
              <w:spacing w:beforeLines="20" w:before="48" w:afterLines="20" w:after="48"/>
              <w:rPr>
                <w:rFonts w:ascii="Tahoma" w:hAnsi="Tahoma" w:cs="Tahoma"/>
                <w:sz w:val="14"/>
              </w:rPr>
            </w:pPr>
            <w:bookmarkStart w:id="458" w:name="_Toc336338098"/>
            <w:bookmarkStart w:id="459" w:name="_Toc368310096"/>
            <w:r w:rsidRPr="00A75DF9">
              <w:rPr>
                <w:rFonts w:ascii="Tahoma" w:hAnsi="Tahoma" w:cs="Tahoma"/>
                <w:sz w:val="14"/>
              </w:rPr>
              <w:t>Licenza di Gestione Server per System Center 2012 Datacenter (2 processori)</w:t>
            </w:r>
            <w:bookmarkEnd w:id="458"/>
            <w:bookmarkEnd w:id="459"/>
          </w:p>
        </w:tc>
        <w:tc>
          <w:tcPr>
            <w:tcW w:w="448" w:type="dxa"/>
            <w:tcBorders>
              <w:bottom w:val="single" w:sz="4" w:space="0" w:color="auto"/>
            </w:tcBorders>
            <w:shd w:val="clear" w:color="auto" w:fill="auto"/>
            <w:vAlign w:val="center"/>
          </w:tcPr>
          <w:p w:rsidR="001A63C6" w:rsidRPr="00B41377" w:rsidRDefault="00B54770" w:rsidP="00FC0808">
            <w:pPr>
              <w:pStyle w:val="TableText"/>
              <w:widowControl w:val="0"/>
              <w:rPr>
                <w:rFonts w:cs="Tahoma"/>
                <w:b/>
                <w:color w:val="000000"/>
                <w:sz w:val="13"/>
                <w:szCs w:val="13"/>
                <w:u w:val="single"/>
              </w:rPr>
            </w:pPr>
            <w:hyperlink w:anchor="_96_System_Center" w:history="1">
              <w:r w:rsidR="00734B17" w:rsidRPr="00B41377">
                <w:rPr>
                  <w:rStyle w:val="Hyperlink"/>
                  <w:rFonts w:cs="Tahoma"/>
                  <w:b/>
                  <w:sz w:val="13"/>
                  <w:szCs w:val="13"/>
                </w:rPr>
                <w:t>96</w:t>
              </w:r>
            </w:hyperlink>
            <w:hyperlink w:anchor="_91_89_System" w:history="1"/>
            <w:hyperlink w:anchor="Srv_101SystemCenter2012" w:history="1"/>
          </w:p>
        </w:tc>
        <w:tc>
          <w:tcPr>
            <w:tcW w:w="449" w:type="dxa"/>
            <w:tcBorders>
              <w:bottom w:val="single" w:sz="4" w:space="0" w:color="auto"/>
            </w:tcBorders>
            <w:shd w:val="clear" w:color="auto" w:fill="auto"/>
          </w:tcPr>
          <w:p w:rsidR="001A63C6" w:rsidRPr="00A75DF9" w:rsidRDefault="001A63C6" w:rsidP="001A63C6">
            <w:pPr>
              <w:pStyle w:val="TableText"/>
              <w:widowControl w:val="0"/>
              <w:spacing w:before="120"/>
              <w:rPr>
                <w:rFonts w:ascii="Tahoma" w:hAnsi="Tahoma" w:cs="Tahoma"/>
                <w:sz w:val="13"/>
              </w:rPr>
            </w:pPr>
            <w:r w:rsidRPr="00A75DF9">
              <w:rPr>
                <w:rFonts w:ascii="Tahoma" w:hAnsi="Tahoma" w:cs="Tahoma"/>
                <w:sz w:val="13"/>
              </w:rPr>
              <w:t>04/12</w:t>
            </w:r>
          </w:p>
        </w:tc>
        <w:tc>
          <w:tcPr>
            <w:tcW w:w="359"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color w:val="000000"/>
                <w:sz w:val="13"/>
              </w:rPr>
              <w:t>SRV</w:t>
            </w:r>
          </w:p>
        </w:tc>
        <w:tc>
          <w:tcPr>
            <w:tcW w:w="356" w:type="dxa"/>
            <w:tcBorders>
              <w:left w:val="single" w:sz="18" w:space="0" w:color="auto"/>
              <w:bottom w:val="single" w:sz="4" w:space="0" w:color="auto"/>
            </w:tcBorders>
            <w:shd w:val="clear" w:color="auto" w:fill="auto"/>
            <w:vAlign w:val="bottom"/>
          </w:tcPr>
          <w:p w:rsidR="001A63C6" w:rsidRPr="00A75DF9"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A75DF9" w:rsidRDefault="001A63C6" w:rsidP="001A63C6">
            <w:pPr>
              <w:pStyle w:val="TableText"/>
              <w:widowControl w:val="0"/>
              <w:spacing w:after="120"/>
              <w:rPr>
                <w:rFonts w:ascii="Tahoma" w:hAnsi="Tahoma" w:cs="Tahoma"/>
                <w:sz w:val="13"/>
                <w:szCs w:val="13"/>
              </w:rPr>
            </w:pPr>
            <w:r w:rsidRPr="00A75DF9">
              <w:rPr>
                <w:rFonts w:ascii="Tahoma" w:hAnsi="Tahoma" w:cs="Tahoma"/>
                <w:sz w:val="13"/>
                <w:szCs w:val="13"/>
              </w:rPr>
              <w:t>63</w:t>
            </w:r>
          </w:p>
        </w:tc>
        <w:tc>
          <w:tcPr>
            <w:tcW w:w="455" w:type="dxa"/>
            <w:tcBorders>
              <w:bottom w:val="single" w:sz="4" w:space="0" w:color="auto"/>
            </w:tcBorders>
            <w:shd w:val="clear" w:color="auto" w:fill="auto"/>
            <w:vAlign w:val="bottom"/>
          </w:tcPr>
          <w:p w:rsidR="001A63C6" w:rsidRPr="00A75DF9" w:rsidRDefault="001A63C6" w:rsidP="001A63C6">
            <w:pPr>
              <w:pStyle w:val="TableText"/>
              <w:widowControl w:val="0"/>
              <w:spacing w:after="120"/>
              <w:rPr>
                <w:rFonts w:ascii="Tahoma" w:hAnsi="Tahoma" w:cs="Tahoma"/>
                <w:sz w:val="13"/>
                <w:szCs w:val="13"/>
              </w:rPr>
            </w:pPr>
            <w:r w:rsidRPr="00A75DF9">
              <w:rPr>
                <w:rFonts w:ascii="Tahoma" w:hAnsi="Tahoma" w:cs="Tahoma"/>
                <w:sz w:val="13"/>
                <w:szCs w:val="13"/>
              </w:rPr>
              <w:t>50</w:t>
            </w:r>
          </w:p>
        </w:tc>
        <w:tc>
          <w:tcPr>
            <w:tcW w:w="450" w:type="dxa"/>
            <w:gridSpan w:val="3"/>
            <w:tcBorders>
              <w:bottom w:val="single" w:sz="4" w:space="0" w:color="auto"/>
            </w:tcBorders>
            <w:shd w:val="clear" w:color="auto" w:fill="auto"/>
            <w:vAlign w:val="bottom"/>
          </w:tcPr>
          <w:p w:rsidR="001A63C6" w:rsidRPr="00A75DF9" w:rsidRDefault="001A63C6" w:rsidP="001A63C6">
            <w:pPr>
              <w:pStyle w:val="TableText"/>
              <w:widowControl w:val="0"/>
              <w:spacing w:after="120"/>
              <w:rPr>
                <w:rFonts w:ascii="Tahoma" w:hAnsi="Tahoma" w:cs="Tahoma"/>
                <w:sz w:val="13"/>
                <w:szCs w:val="13"/>
              </w:rPr>
            </w:pPr>
            <w:r w:rsidRPr="00A75DF9">
              <w:rPr>
                <w:rFonts w:ascii="Tahoma" w:hAnsi="Tahoma" w:cs="Tahoma"/>
                <w:sz w:val="13"/>
                <w:szCs w:val="13"/>
              </w:rPr>
              <w:t>38</w:t>
            </w:r>
          </w:p>
        </w:tc>
        <w:tc>
          <w:tcPr>
            <w:tcW w:w="445" w:type="dxa"/>
            <w:tcBorders>
              <w:bottom w:val="single" w:sz="4" w:space="0" w:color="auto"/>
            </w:tcBorders>
            <w:shd w:val="clear" w:color="auto" w:fill="auto"/>
            <w:vAlign w:val="bottom"/>
          </w:tcPr>
          <w:p w:rsidR="001A63C6" w:rsidRPr="00A75DF9" w:rsidRDefault="001A63C6" w:rsidP="001A63C6">
            <w:pPr>
              <w:pStyle w:val="TableText"/>
              <w:widowControl w:val="0"/>
              <w:spacing w:after="120"/>
              <w:rPr>
                <w:rFonts w:ascii="Tahoma" w:hAnsi="Tahoma" w:cs="Tahoma"/>
                <w:sz w:val="13"/>
                <w:szCs w:val="13"/>
              </w:rPr>
            </w:pPr>
            <w:r w:rsidRPr="00A75DF9">
              <w:rPr>
                <w:rFonts w:ascii="Tahoma" w:hAnsi="Tahoma" w:cs="Tahoma"/>
                <w:sz w:val="13"/>
                <w:szCs w:val="13"/>
              </w:rPr>
              <w:t>38</w:t>
            </w:r>
          </w:p>
        </w:tc>
        <w:tc>
          <w:tcPr>
            <w:tcW w:w="450" w:type="dxa"/>
            <w:tcBorders>
              <w:bottom w:val="single" w:sz="4" w:space="0" w:color="auto"/>
            </w:tcBorders>
            <w:shd w:val="clear" w:color="auto" w:fill="auto"/>
            <w:vAlign w:val="bottom"/>
          </w:tcPr>
          <w:p w:rsidR="001A63C6" w:rsidRPr="00A75DF9" w:rsidRDefault="001A63C6" w:rsidP="001A63C6">
            <w:pPr>
              <w:pStyle w:val="TableText"/>
              <w:widowControl w:val="0"/>
              <w:spacing w:after="120"/>
              <w:rPr>
                <w:rFonts w:ascii="Tahoma" w:hAnsi="Tahoma" w:cs="Tahoma"/>
                <w:sz w:val="13"/>
                <w:szCs w:val="13"/>
              </w:rPr>
            </w:pPr>
            <w:r w:rsidRPr="00A75DF9">
              <w:rPr>
                <w:rFonts w:ascii="Tahoma" w:hAnsi="Tahoma" w:cs="Tahoma"/>
                <w:sz w:val="13"/>
                <w:szCs w:val="13"/>
              </w:rPr>
              <w:t>25</w:t>
            </w:r>
          </w:p>
        </w:tc>
        <w:tc>
          <w:tcPr>
            <w:tcW w:w="374" w:type="dxa"/>
            <w:tcBorders>
              <w:bottom w:val="single" w:sz="4" w:space="0" w:color="auto"/>
              <w:right w:val="single" w:sz="18" w:space="0" w:color="auto"/>
            </w:tcBorders>
            <w:shd w:val="clear" w:color="auto" w:fill="auto"/>
            <w:vAlign w:val="bottom"/>
          </w:tcPr>
          <w:p w:rsidR="001A63C6" w:rsidRPr="00A75DF9" w:rsidRDefault="001A63C6" w:rsidP="001A63C6">
            <w:pPr>
              <w:pStyle w:val="TableText"/>
              <w:widowControl w:val="0"/>
              <w:spacing w:after="120"/>
              <w:rPr>
                <w:rFonts w:ascii="Tahoma" w:hAnsi="Tahoma" w:cs="Tahoma"/>
                <w:sz w:val="13"/>
                <w:szCs w:val="13"/>
              </w:rPr>
            </w:pPr>
            <w:r w:rsidRPr="00A75DF9">
              <w:rPr>
                <w:rFonts w:ascii="Tahoma" w:hAnsi="Tahoma" w:cs="Tahoma"/>
                <w:sz w:val="13"/>
                <w:szCs w:val="13"/>
              </w:rPr>
              <w:t>13</w:t>
            </w:r>
          </w:p>
        </w:tc>
        <w:tc>
          <w:tcPr>
            <w:tcW w:w="455" w:type="dxa"/>
            <w:tcBorders>
              <w:left w:val="single" w:sz="18" w:space="0" w:color="auto"/>
              <w:bottom w:val="single" w:sz="4" w:space="0" w:color="auto"/>
            </w:tcBorders>
            <w:shd w:val="clear" w:color="auto" w:fill="auto"/>
            <w:vAlign w:val="bottom"/>
          </w:tcPr>
          <w:p w:rsidR="001A63C6" w:rsidRPr="00A75DF9"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A75DF9" w:rsidRDefault="001A63C6" w:rsidP="001A63C6">
            <w:pPr>
              <w:pStyle w:val="TableText"/>
              <w:widowControl w:val="0"/>
              <w:spacing w:after="120"/>
              <w:rPr>
                <w:rFonts w:ascii="Tahoma" w:hAnsi="Tahoma" w:cs="Tahoma"/>
                <w:sz w:val="13"/>
                <w:szCs w:val="13"/>
              </w:rPr>
            </w:pPr>
            <w:r w:rsidRPr="00A75DF9">
              <w:rPr>
                <w:rFonts w:ascii="Tahoma" w:hAnsi="Tahoma" w:cs="Tahoma"/>
                <w:sz w:val="13"/>
                <w:szCs w:val="13"/>
              </w:rPr>
              <w:t>50</w:t>
            </w:r>
          </w:p>
        </w:tc>
        <w:tc>
          <w:tcPr>
            <w:tcW w:w="450" w:type="dxa"/>
            <w:tcBorders>
              <w:bottom w:val="single" w:sz="4" w:space="0" w:color="auto"/>
              <w:right w:val="single" w:sz="18" w:space="0" w:color="auto"/>
            </w:tcBorders>
            <w:shd w:val="clear" w:color="auto" w:fill="auto"/>
            <w:vAlign w:val="bottom"/>
          </w:tcPr>
          <w:p w:rsidR="001A63C6" w:rsidRPr="00A75DF9" w:rsidRDefault="001A63C6" w:rsidP="001A63C6">
            <w:pPr>
              <w:pStyle w:val="TableText"/>
              <w:widowControl w:val="0"/>
              <w:spacing w:after="120"/>
              <w:rPr>
                <w:rFonts w:ascii="Tahoma" w:hAnsi="Tahoma" w:cs="Tahoma"/>
                <w:sz w:val="13"/>
                <w:szCs w:val="13"/>
              </w:rPr>
            </w:pPr>
            <w:r w:rsidRPr="00A75DF9">
              <w:rPr>
                <w:rFonts w:ascii="Tahoma" w:hAnsi="Tahoma" w:cs="Tahoma"/>
                <w:sz w:val="13"/>
                <w:szCs w:val="13"/>
              </w:rPr>
              <w:t>25</w:t>
            </w:r>
          </w:p>
        </w:tc>
        <w:tc>
          <w:tcPr>
            <w:tcW w:w="450" w:type="dxa"/>
            <w:tcBorders>
              <w:left w:val="single" w:sz="18" w:space="0" w:color="auto"/>
              <w:bottom w:val="single" w:sz="4" w:space="0" w:color="auto"/>
            </w:tcBorders>
            <w:shd w:val="clear" w:color="auto" w:fill="auto"/>
            <w:vAlign w:val="bottom"/>
          </w:tcPr>
          <w:p w:rsidR="001A63C6" w:rsidRPr="00A75DF9" w:rsidRDefault="001A63C6" w:rsidP="001A63C6">
            <w:pPr>
              <w:pStyle w:val="TableText"/>
              <w:widowControl w:val="0"/>
              <w:spacing w:after="120"/>
              <w:rPr>
                <w:rFonts w:ascii="Tahoma" w:hAnsi="Tahoma" w:cs="Tahoma"/>
                <w:sz w:val="13"/>
                <w:szCs w:val="13"/>
              </w:rPr>
            </w:pPr>
            <w:r w:rsidRPr="00A75DF9">
              <w:rPr>
                <w:rFonts w:ascii="Tahoma" w:hAnsi="Tahoma" w:cs="Tahoma"/>
                <w:sz w:val="13"/>
                <w:szCs w:val="13"/>
              </w:rPr>
              <w:t>25</w:t>
            </w: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P</w:t>
            </w:r>
          </w:p>
        </w:tc>
        <w:tc>
          <w:tcPr>
            <w:tcW w:w="450" w:type="dxa"/>
            <w:tcBorders>
              <w:bottom w:val="single" w:sz="4" w:space="0" w:color="auto"/>
            </w:tcBorders>
            <w:shd w:val="clear" w:color="auto" w:fill="auto"/>
          </w:tcPr>
          <w:p w:rsidR="001A63C6" w:rsidRPr="00A75DF9" w:rsidRDefault="001A63C6" w:rsidP="001A63C6">
            <w:pPr>
              <w:pStyle w:val="TableText"/>
              <w:widowControl w:val="0"/>
              <w:spacing w:before="120"/>
              <w:rPr>
                <w:rFonts w:ascii="Tahoma" w:hAnsi="Tahoma" w:cs="Tahoma"/>
                <w:sz w:val="13"/>
              </w:rPr>
            </w:pPr>
            <w:r w:rsidRPr="00A75DF9">
              <w:rPr>
                <w:rFonts w:ascii="Tahoma" w:hAnsi="Tahoma" w:cs="Tahoma"/>
                <w:sz w:val="13"/>
              </w:rPr>
              <w:t>A</w:t>
            </w:r>
          </w:p>
        </w:tc>
        <w:tc>
          <w:tcPr>
            <w:tcW w:w="539"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OL/OV</w:t>
            </w:r>
          </w:p>
        </w:tc>
      </w:tr>
      <w:tr w:rsidR="001136F4" w:rsidRPr="00A75DF9" w:rsidTr="008A1262">
        <w:trPr>
          <w:trHeight w:val="134"/>
        </w:trPr>
        <w:tc>
          <w:tcPr>
            <w:tcW w:w="2724" w:type="dxa"/>
            <w:gridSpan w:val="2"/>
            <w:tcBorders>
              <w:bottom w:val="single" w:sz="4" w:space="0" w:color="auto"/>
            </w:tcBorders>
            <w:shd w:val="clear" w:color="auto" w:fill="FABF8F"/>
            <w:vAlign w:val="center"/>
          </w:tcPr>
          <w:p w:rsidR="001136F4" w:rsidRPr="00A75DF9" w:rsidRDefault="001136F4" w:rsidP="007E466C">
            <w:pPr>
              <w:pStyle w:val="ProductNames"/>
              <w:spacing w:before="60" w:after="60"/>
              <w:rPr>
                <w:rFonts w:ascii="Tahoma" w:hAnsi="Tahoma" w:cs="Tahoma"/>
                <w:sz w:val="14"/>
              </w:rPr>
            </w:pPr>
            <w:bookmarkStart w:id="460" w:name="_Toc368310097"/>
            <w:r w:rsidRPr="00A75DF9">
              <w:rPr>
                <w:rFonts w:ascii="Tahoma" w:hAnsi="Tahoma" w:cs="Tahoma"/>
                <w:sz w:val="14"/>
              </w:rPr>
              <w:t>System Center 2012 Endpoint Protection</w:t>
            </w:r>
            <w:bookmarkEnd w:id="460"/>
          </w:p>
        </w:tc>
        <w:tc>
          <w:tcPr>
            <w:tcW w:w="448" w:type="dxa"/>
            <w:tcBorders>
              <w:bottom w:val="single" w:sz="4" w:space="0" w:color="auto"/>
            </w:tcBorders>
            <w:shd w:val="clear" w:color="auto" w:fill="FABF8F"/>
            <w:vAlign w:val="center"/>
          </w:tcPr>
          <w:p w:rsidR="001136F4" w:rsidRPr="00B41377" w:rsidRDefault="00B54770" w:rsidP="00FC0808">
            <w:pPr>
              <w:pStyle w:val="TableText"/>
              <w:widowControl w:val="0"/>
              <w:rPr>
                <w:rFonts w:cs="Tahoma"/>
                <w:b/>
                <w:color w:val="000000"/>
                <w:sz w:val="13"/>
                <w:szCs w:val="13"/>
                <w:u w:val="single"/>
              </w:rPr>
            </w:pPr>
            <w:hyperlink w:anchor="_97_System_Center" w:history="1">
              <w:r w:rsidR="00734B17" w:rsidRPr="00B41377">
                <w:rPr>
                  <w:rStyle w:val="Hyperlink"/>
                  <w:rFonts w:cs="Tahoma"/>
                  <w:b/>
                  <w:sz w:val="13"/>
                  <w:szCs w:val="13"/>
                </w:rPr>
                <w:t>97</w:t>
              </w:r>
            </w:hyperlink>
            <w:hyperlink w:anchor="Srv_102SysCtr2012EndpointProt" w:history="1"/>
          </w:p>
        </w:tc>
        <w:tc>
          <w:tcPr>
            <w:tcW w:w="449" w:type="dxa"/>
            <w:tcBorders>
              <w:bottom w:val="single" w:sz="4" w:space="0" w:color="auto"/>
            </w:tcBorders>
            <w:shd w:val="clear" w:color="auto" w:fill="FABF8F"/>
            <w:vAlign w:val="center"/>
          </w:tcPr>
          <w:p w:rsidR="001136F4" w:rsidRPr="00A75DF9" w:rsidRDefault="001136F4" w:rsidP="001A63C6">
            <w:pPr>
              <w:pStyle w:val="TableText"/>
              <w:widowControl w:val="0"/>
              <w:rPr>
                <w:rFonts w:ascii="Tahoma" w:hAnsi="Tahoma" w:cs="Tahoma"/>
                <w:sz w:val="13"/>
              </w:rPr>
            </w:pPr>
            <w:r w:rsidRPr="00A75DF9">
              <w:rPr>
                <w:rFonts w:ascii="Tahoma" w:hAnsi="Tahoma" w:cs="Tahoma"/>
                <w:sz w:val="13"/>
              </w:rPr>
              <w:t>04/12</w:t>
            </w:r>
          </w:p>
        </w:tc>
        <w:tc>
          <w:tcPr>
            <w:tcW w:w="359" w:type="dxa"/>
            <w:tcBorders>
              <w:bottom w:val="single" w:sz="4" w:space="0" w:color="auto"/>
              <w:right w:val="single" w:sz="18" w:space="0" w:color="auto"/>
            </w:tcBorders>
            <w:shd w:val="clear" w:color="auto" w:fill="FABF8F"/>
            <w:vAlign w:val="center"/>
          </w:tcPr>
          <w:p w:rsidR="001136F4" w:rsidRPr="00A75DF9" w:rsidRDefault="001136F4" w:rsidP="001A63C6">
            <w:pPr>
              <w:pStyle w:val="TableText"/>
              <w:widowControl w:val="0"/>
              <w:rPr>
                <w:rFonts w:ascii="Tahoma" w:hAnsi="Tahoma" w:cs="Tahoma"/>
                <w:color w:val="000000"/>
                <w:sz w:val="13"/>
              </w:rPr>
            </w:pPr>
            <w:r w:rsidRPr="00A75DF9">
              <w:rPr>
                <w:rFonts w:ascii="Tahoma" w:hAnsi="Tahoma" w:cs="Tahoma"/>
                <w:color w:val="000000"/>
                <w:sz w:val="13"/>
              </w:rPr>
              <w:t>SRV</w:t>
            </w:r>
          </w:p>
        </w:tc>
        <w:tc>
          <w:tcPr>
            <w:tcW w:w="2980" w:type="dxa"/>
            <w:gridSpan w:val="9"/>
            <w:tcBorders>
              <w:left w:val="single" w:sz="18" w:space="0" w:color="auto"/>
              <w:bottom w:val="single" w:sz="4" w:space="0" w:color="auto"/>
              <w:right w:val="single" w:sz="18" w:space="0" w:color="auto"/>
            </w:tcBorders>
            <w:shd w:val="clear" w:color="auto" w:fill="FABF8F"/>
            <w:vAlign w:val="center"/>
          </w:tcPr>
          <w:p w:rsidR="001136F4" w:rsidRPr="00A75DF9" w:rsidRDefault="001136F4" w:rsidP="007E466C">
            <w:pPr>
              <w:pStyle w:val="TableText"/>
              <w:widowControl w:val="0"/>
              <w:rPr>
                <w:rFonts w:ascii="Tahoma" w:hAnsi="Tahoma" w:cs="Tahoma"/>
                <w:sz w:val="13"/>
                <w:szCs w:val="13"/>
              </w:rPr>
            </w:pPr>
            <w:r w:rsidRPr="00A75DF9">
              <w:rPr>
                <w:rFonts w:ascii="Tahoma" w:hAnsi="Tahoma" w:cs="Tahoma"/>
                <w:sz w:val="13"/>
                <w:szCs w:val="13"/>
              </w:rPr>
              <w:t>1 punto</w:t>
            </w:r>
          </w:p>
        </w:tc>
        <w:tc>
          <w:tcPr>
            <w:tcW w:w="455" w:type="dxa"/>
            <w:tcBorders>
              <w:left w:val="single" w:sz="18" w:space="0" w:color="auto"/>
              <w:bottom w:val="single" w:sz="4" w:space="0" w:color="auto"/>
            </w:tcBorders>
            <w:shd w:val="clear" w:color="auto" w:fill="FABF8F"/>
            <w:vAlign w:val="center"/>
          </w:tcPr>
          <w:p w:rsidR="001136F4" w:rsidRPr="00A75DF9" w:rsidRDefault="001136F4" w:rsidP="007E466C">
            <w:pPr>
              <w:pStyle w:val="TableText"/>
              <w:widowControl w:val="0"/>
              <w:rPr>
                <w:rFonts w:ascii="Tahoma" w:hAnsi="Tahoma" w:cs="Tahoma"/>
                <w:sz w:val="13"/>
                <w:szCs w:val="13"/>
              </w:rPr>
            </w:pPr>
          </w:p>
        </w:tc>
        <w:tc>
          <w:tcPr>
            <w:tcW w:w="450" w:type="dxa"/>
            <w:tcBorders>
              <w:bottom w:val="single" w:sz="4" w:space="0" w:color="auto"/>
            </w:tcBorders>
            <w:shd w:val="clear" w:color="auto" w:fill="FABF8F"/>
            <w:vAlign w:val="center"/>
          </w:tcPr>
          <w:p w:rsidR="001136F4" w:rsidRPr="00A75DF9" w:rsidRDefault="001136F4" w:rsidP="007E466C">
            <w:pPr>
              <w:pStyle w:val="TableText"/>
              <w:widowControl w:val="0"/>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136F4" w:rsidRPr="00A75DF9" w:rsidRDefault="001136F4" w:rsidP="007E466C">
            <w:pPr>
              <w:pStyle w:val="TableText"/>
              <w:widowControl w:val="0"/>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136F4" w:rsidRPr="00A75DF9" w:rsidRDefault="001136F4" w:rsidP="007E466C">
            <w:pPr>
              <w:pStyle w:val="TableText"/>
              <w:widowControl w:val="0"/>
              <w:rPr>
                <w:rFonts w:ascii="Tahoma" w:hAnsi="Tahoma" w:cs="Tahoma"/>
                <w:sz w:val="13"/>
                <w:szCs w:val="13"/>
              </w:rPr>
            </w:pPr>
            <w:r w:rsidRPr="00A75DF9">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136F4" w:rsidRPr="00A75DF9" w:rsidRDefault="001136F4"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136F4" w:rsidRPr="00A75DF9" w:rsidRDefault="001136F4" w:rsidP="001A63C6">
            <w:pPr>
              <w:pStyle w:val="TableText"/>
              <w:widowControl w:val="0"/>
              <w:rPr>
                <w:rFonts w:ascii="Tahoma" w:hAnsi="Tahoma" w:cs="Tahoma"/>
                <w:sz w:val="13"/>
              </w:rPr>
            </w:pPr>
            <w:r w:rsidRPr="00A75DF9">
              <w:rPr>
                <w:rFonts w:ascii="Tahoma" w:hAnsi="Tahoma" w:cs="Tahoma"/>
                <w:sz w:val="13"/>
              </w:rPr>
              <w:t>P</w:t>
            </w:r>
          </w:p>
        </w:tc>
        <w:tc>
          <w:tcPr>
            <w:tcW w:w="450" w:type="dxa"/>
            <w:tcBorders>
              <w:bottom w:val="single" w:sz="4" w:space="0" w:color="auto"/>
            </w:tcBorders>
            <w:shd w:val="clear" w:color="auto" w:fill="FABF8F"/>
            <w:vAlign w:val="center"/>
          </w:tcPr>
          <w:p w:rsidR="001136F4" w:rsidRPr="00A75DF9" w:rsidRDefault="001136F4" w:rsidP="007E466C">
            <w:pPr>
              <w:pStyle w:val="TableText"/>
              <w:widowControl w:val="0"/>
              <w:rPr>
                <w:rFonts w:ascii="Tahoma" w:hAnsi="Tahoma" w:cs="Tahoma"/>
                <w:sz w:val="13"/>
              </w:rPr>
            </w:pPr>
            <w:r w:rsidRPr="00A75DF9">
              <w:rPr>
                <w:rFonts w:ascii="Tahoma" w:hAnsi="Tahoma" w:cs="Tahoma"/>
                <w:sz w:val="13"/>
              </w:rPr>
              <w:t>AO, ST</w:t>
            </w:r>
          </w:p>
        </w:tc>
        <w:tc>
          <w:tcPr>
            <w:tcW w:w="539" w:type="dxa"/>
            <w:tcBorders>
              <w:bottom w:val="single" w:sz="4" w:space="0" w:color="auto"/>
            </w:tcBorders>
            <w:shd w:val="clear" w:color="auto" w:fill="FABF8F"/>
            <w:vAlign w:val="center"/>
          </w:tcPr>
          <w:p w:rsidR="001136F4" w:rsidRPr="00A75DF9" w:rsidRDefault="001136F4" w:rsidP="001A63C6">
            <w:pPr>
              <w:pStyle w:val="TableText"/>
              <w:widowControl w:val="0"/>
              <w:rPr>
                <w:rFonts w:ascii="Tahoma" w:hAnsi="Tahoma" w:cs="Tahoma"/>
                <w:sz w:val="13"/>
              </w:rPr>
            </w:pPr>
          </w:p>
        </w:tc>
      </w:tr>
      <w:tr w:rsidR="00B025C3" w:rsidRPr="00A75DF9" w:rsidTr="008A1262">
        <w:trPr>
          <w:trHeight w:val="134"/>
        </w:trPr>
        <w:tc>
          <w:tcPr>
            <w:tcW w:w="2724" w:type="dxa"/>
            <w:gridSpan w:val="2"/>
            <w:tcBorders>
              <w:bottom w:val="single" w:sz="4" w:space="0" w:color="auto"/>
            </w:tcBorders>
            <w:shd w:val="clear" w:color="auto" w:fill="auto"/>
          </w:tcPr>
          <w:p w:rsidR="001A63C6" w:rsidRPr="00A75DF9" w:rsidRDefault="001A63C6" w:rsidP="00B41377">
            <w:pPr>
              <w:pStyle w:val="ProductNames"/>
              <w:spacing w:beforeLines="20" w:before="48" w:afterLines="20" w:after="48"/>
              <w:rPr>
                <w:rFonts w:ascii="Tahoma" w:hAnsi="Tahoma" w:cs="Tahoma"/>
                <w:sz w:val="14"/>
              </w:rPr>
            </w:pPr>
            <w:bookmarkStart w:id="461" w:name="_Toc336338100"/>
            <w:bookmarkStart w:id="462" w:name="_Toc368310098"/>
            <w:r w:rsidRPr="00A75DF9">
              <w:rPr>
                <w:rFonts w:ascii="Tahoma" w:hAnsi="Tahoma" w:cs="Tahoma"/>
                <w:sz w:val="14"/>
              </w:rPr>
              <w:t>Licenza di Gestione Server Standard per</w:t>
            </w:r>
            <w:r w:rsidR="00B41377">
              <w:rPr>
                <w:rFonts w:ascii="Tahoma" w:hAnsi="Tahoma" w:cs="Tahoma"/>
                <w:sz w:val="14"/>
              </w:rPr>
              <w:t> </w:t>
            </w:r>
            <w:r w:rsidRPr="00A75DF9">
              <w:rPr>
                <w:rFonts w:ascii="Tahoma" w:hAnsi="Tahoma" w:cs="Tahoma"/>
                <w:sz w:val="14"/>
              </w:rPr>
              <w:t>System Center 2012 (2 processori)</w:t>
            </w:r>
            <w:bookmarkEnd w:id="461"/>
            <w:bookmarkEnd w:id="462"/>
          </w:p>
        </w:tc>
        <w:tc>
          <w:tcPr>
            <w:tcW w:w="448" w:type="dxa"/>
            <w:tcBorders>
              <w:bottom w:val="single" w:sz="4" w:space="0" w:color="auto"/>
            </w:tcBorders>
            <w:shd w:val="clear" w:color="auto" w:fill="auto"/>
            <w:vAlign w:val="center"/>
          </w:tcPr>
          <w:p w:rsidR="001A63C6" w:rsidRPr="00B41377" w:rsidRDefault="001A63C6" w:rsidP="001A63C6">
            <w:pPr>
              <w:pStyle w:val="TableText"/>
              <w:widowControl w:val="0"/>
              <w:spacing w:before="240"/>
              <w:rPr>
                <w:rFonts w:cs="Tahoma"/>
                <w:b/>
                <w:color w:val="000000"/>
                <w:sz w:val="13"/>
                <w:szCs w:val="13"/>
                <w:u w:val="single"/>
              </w:rPr>
            </w:pPr>
          </w:p>
        </w:tc>
        <w:tc>
          <w:tcPr>
            <w:tcW w:w="449" w:type="dxa"/>
            <w:tcBorders>
              <w:bottom w:val="single" w:sz="4" w:space="0" w:color="auto"/>
            </w:tcBorders>
            <w:shd w:val="clear" w:color="auto" w:fill="auto"/>
          </w:tcPr>
          <w:p w:rsidR="001A63C6" w:rsidRPr="00A75DF9" w:rsidRDefault="001A63C6" w:rsidP="001A63C6">
            <w:pPr>
              <w:pStyle w:val="TableText"/>
              <w:widowControl w:val="0"/>
              <w:spacing w:before="120"/>
              <w:rPr>
                <w:rFonts w:ascii="Tahoma" w:hAnsi="Tahoma" w:cs="Tahoma"/>
                <w:sz w:val="13"/>
              </w:rPr>
            </w:pPr>
            <w:r w:rsidRPr="00A75DF9">
              <w:rPr>
                <w:rFonts w:ascii="Tahoma" w:hAnsi="Tahoma" w:cs="Tahoma"/>
                <w:sz w:val="13"/>
              </w:rPr>
              <w:t>04/12</w:t>
            </w:r>
          </w:p>
        </w:tc>
        <w:tc>
          <w:tcPr>
            <w:tcW w:w="359"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color w:val="000000"/>
                <w:sz w:val="13"/>
              </w:rPr>
              <w:t>SRV</w:t>
            </w:r>
          </w:p>
        </w:tc>
        <w:tc>
          <w:tcPr>
            <w:tcW w:w="356" w:type="dxa"/>
            <w:tcBorders>
              <w:left w:val="single" w:sz="18" w:space="0" w:color="auto"/>
              <w:bottom w:val="single" w:sz="4" w:space="0" w:color="auto"/>
            </w:tcBorders>
            <w:shd w:val="clear" w:color="auto" w:fill="auto"/>
            <w:vAlign w:val="bottom"/>
          </w:tcPr>
          <w:p w:rsidR="001A63C6" w:rsidRPr="00A75DF9"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A75DF9" w:rsidRDefault="001A63C6" w:rsidP="001A63C6">
            <w:pPr>
              <w:pStyle w:val="TableText"/>
              <w:widowControl w:val="0"/>
              <w:spacing w:after="120"/>
              <w:rPr>
                <w:rFonts w:ascii="Tahoma" w:hAnsi="Tahoma" w:cs="Tahoma"/>
                <w:sz w:val="13"/>
                <w:szCs w:val="13"/>
              </w:rPr>
            </w:pPr>
            <w:r w:rsidRPr="00A75DF9">
              <w:rPr>
                <w:rFonts w:ascii="Tahoma" w:hAnsi="Tahoma" w:cs="Tahoma"/>
                <w:sz w:val="13"/>
                <w:szCs w:val="13"/>
              </w:rPr>
              <w:t>38</w:t>
            </w:r>
          </w:p>
        </w:tc>
        <w:tc>
          <w:tcPr>
            <w:tcW w:w="455" w:type="dxa"/>
            <w:tcBorders>
              <w:bottom w:val="single" w:sz="4" w:space="0" w:color="auto"/>
            </w:tcBorders>
            <w:shd w:val="clear" w:color="auto" w:fill="auto"/>
            <w:vAlign w:val="bottom"/>
          </w:tcPr>
          <w:p w:rsidR="001A63C6" w:rsidRPr="00A75DF9" w:rsidRDefault="001A63C6" w:rsidP="001A63C6">
            <w:pPr>
              <w:pStyle w:val="TableText"/>
              <w:widowControl w:val="0"/>
              <w:spacing w:after="120"/>
              <w:rPr>
                <w:rFonts w:ascii="Tahoma" w:hAnsi="Tahoma" w:cs="Tahoma"/>
                <w:sz w:val="13"/>
                <w:szCs w:val="13"/>
              </w:rPr>
            </w:pPr>
            <w:r w:rsidRPr="00A75DF9">
              <w:rPr>
                <w:rFonts w:ascii="Tahoma" w:hAnsi="Tahoma" w:cs="Tahoma"/>
                <w:sz w:val="13"/>
                <w:szCs w:val="13"/>
              </w:rPr>
              <w:t>30</w:t>
            </w:r>
          </w:p>
        </w:tc>
        <w:tc>
          <w:tcPr>
            <w:tcW w:w="450" w:type="dxa"/>
            <w:gridSpan w:val="3"/>
            <w:tcBorders>
              <w:bottom w:val="single" w:sz="4" w:space="0" w:color="auto"/>
            </w:tcBorders>
            <w:shd w:val="clear" w:color="auto" w:fill="auto"/>
            <w:vAlign w:val="bottom"/>
          </w:tcPr>
          <w:p w:rsidR="001A63C6" w:rsidRPr="00A75DF9" w:rsidRDefault="001A63C6" w:rsidP="001A63C6">
            <w:pPr>
              <w:pStyle w:val="TableText"/>
              <w:widowControl w:val="0"/>
              <w:spacing w:after="120"/>
              <w:rPr>
                <w:rFonts w:ascii="Tahoma" w:hAnsi="Tahoma" w:cs="Tahoma"/>
                <w:sz w:val="13"/>
                <w:szCs w:val="13"/>
              </w:rPr>
            </w:pPr>
            <w:r w:rsidRPr="00A75DF9">
              <w:rPr>
                <w:rFonts w:ascii="Tahoma" w:hAnsi="Tahoma" w:cs="Tahoma"/>
                <w:sz w:val="13"/>
                <w:szCs w:val="13"/>
              </w:rPr>
              <w:t>23</w:t>
            </w:r>
          </w:p>
        </w:tc>
        <w:tc>
          <w:tcPr>
            <w:tcW w:w="445" w:type="dxa"/>
            <w:tcBorders>
              <w:bottom w:val="single" w:sz="4" w:space="0" w:color="auto"/>
            </w:tcBorders>
            <w:shd w:val="clear" w:color="auto" w:fill="auto"/>
            <w:vAlign w:val="bottom"/>
          </w:tcPr>
          <w:p w:rsidR="001A63C6" w:rsidRPr="00A75DF9" w:rsidRDefault="001A63C6" w:rsidP="001A63C6">
            <w:pPr>
              <w:pStyle w:val="TableText"/>
              <w:widowControl w:val="0"/>
              <w:spacing w:after="120"/>
              <w:rPr>
                <w:rFonts w:ascii="Tahoma" w:hAnsi="Tahoma" w:cs="Tahoma"/>
                <w:sz w:val="13"/>
                <w:szCs w:val="13"/>
              </w:rPr>
            </w:pPr>
            <w:r w:rsidRPr="00A75DF9">
              <w:rPr>
                <w:rFonts w:ascii="Tahoma" w:hAnsi="Tahoma" w:cs="Tahoma"/>
                <w:sz w:val="13"/>
                <w:szCs w:val="13"/>
              </w:rPr>
              <w:t>23</w:t>
            </w:r>
          </w:p>
        </w:tc>
        <w:tc>
          <w:tcPr>
            <w:tcW w:w="450" w:type="dxa"/>
            <w:tcBorders>
              <w:bottom w:val="single" w:sz="4" w:space="0" w:color="auto"/>
            </w:tcBorders>
            <w:shd w:val="clear" w:color="auto" w:fill="auto"/>
            <w:vAlign w:val="bottom"/>
          </w:tcPr>
          <w:p w:rsidR="001A63C6" w:rsidRPr="00A75DF9" w:rsidRDefault="001A63C6" w:rsidP="001A63C6">
            <w:pPr>
              <w:pStyle w:val="TableText"/>
              <w:widowControl w:val="0"/>
              <w:spacing w:after="120"/>
              <w:rPr>
                <w:rFonts w:ascii="Tahoma" w:hAnsi="Tahoma" w:cs="Tahoma"/>
                <w:sz w:val="13"/>
                <w:szCs w:val="13"/>
              </w:rPr>
            </w:pPr>
            <w:r w:rsidRPr="00A75DF9">
              <w:rPr>
                <w:rFonts w:ascii="Tahoma" w:hAnsi="Tahoma" w:cs="Tahoma"/>
                <w:sz w:val="13"/>
                <w:szCs w:val="13"/>
              </w:rPr>
              <w:t>15</w:t>
            </w:r>
          </w:p>
        </w:tc>
        <w:tc>
          <w:tcPr>
            <w:tcW w:w="374" w:type="dxa"/>
            <w:tcBorders>
              <w:bottom w:val="single" w:sz="4" w:space="0" w:color="auto"/>
              <w:right w:val="single" w:sz="18" w:space="0" w:color="auto"/>
            </w:tcBorders>
            <w:shd w:val="clear" w:color="auto" w:fill="auto"/>
            <w:vAlign w:val="bottom"/>
          </w:tcPr>
          <w:p w:rsidR="001A63C6" w:rsidRPr="00A75DF9" w:rsidRDefault="001A63C6" w:rsidP="001A63C6">
            <w:pPr>
              <w:pStyle w:val="TableText"/>
              <w:widowControl w:val="0"/>
              <w:spacing w:after="120"/>
              <w:rPr>
                <w:rFonts w:ascii="Tahoma" w:hAnsi="Tahoma" w:cs="Tahoma"/>
                <w:sz w:val="13"/>
                <w:szCs w:val="13"/>
              </w:rPr>
            </w:pPr>
            <w:r w:rsidRPr="00A75DF9">
              <w:rPr>
                <w:rFonts w:ascii="Tahoma" w:hAnsi="Tahoma" w:cs="Tahoma"/>
                <w:sz w:val="13"/>
                <w:szCs w:val="13"/>
              </w:rPr>
              <w:t>8</w:t>
            </w:r>
          </w:p>
        </w:tc>
        <w:tc>
          <w:tcPr>
            <w:tcW w:w="455" w:type="dxa"/>
            <w:tcBorders>
              <w:left w:val="single" w:sz="18" w:space="0" w:color="auto"/>
              <w:bottom w:val="single" w:sz="4" w:space="0" w:color="auto"/>
            </w:tcBorders>
            <w:shd w:val="clear" w:color="auto" w:fill="auto"/>
            <w:vAlign w:val="bottom"/>
          </w:tcPr>
          <w:p w:rsidR="001A63C6" w:rsidRPr="00A75DF9" w:rsidRDefault="001A63C6" w:rsidP="001A63C6">
            <w:pPr>
              <w:pStyle w:val="TableText"/>
              <w:widowControl w:val="0"/>
              <w:spacing w:after="120"/>
              <w:rPr>
                <w:rFonts w:ascii="Tahoma" w:hAnsi="Tahoma" w:cs="Tahoma"/>
                <w:sz w:val="13"/>
                <w:szCs w:val="13"/>
              </w:rPr>
            </w:pPr>
          </w:p>
        </w:tc>
        <w:tc>
          <w:tcPr>
            <w:tcW w:w="450" w:type="dxa"/>
            <w:tcBorders>
              <w:bottom w:val="single" w:sz="4" w:space="0" w:color="auto"/>
            </w:tcBorders>
            <w:shd w:val="clear" w:color="auto" w:fill="auto"/>
            <w:vAlign w:val="bottom"/>
          </w:tcPr>
          <w:p w:rsidR="001A63C6" w:rsidRPr="00A75DF9" w:rsidRDefault="001A63C6" w:rsidP="001A63C6">
            <w:pPr>
              <w:pStyle w:val="TableText"/>
              <w:widowControl w:val="0"/>
              <w:spacing w:after="120"/>
              <w:rPr>
                <w:rFonts w:ascii="Tahoma" w:hAnsi="Tahoma" w:cs="Tahoma"/>
                <w:sz w:val="13"/>
                <w:szCs w:val="13"/>
              </w:rPr>
            </w:pPr>
            <w:r w:rsidRPr="00A75DF9">
              <w:rPr>
                <w:rFonts w:ascii="Tahoma" w:hAnsi="Tahoma" w:cs="Tahoma"/>
                <w:sz w:val="13"/>
                <w:szCs w:val="13"/>
              </w:rPr>
              <w:t>30</w:t>
            </w:r>
          </w:p>
        </w:tc>
        <w:tc>
          <w:tcPr>
            <w:tcW w:w="450" w:type="dxa"/>
            <w:tcBorders>
              <w:bottom w:val="single" w:sz="4" w:space="0" w:color="auto"/>
              <w:right w:val="single" w:sz="18" w:space="0" w:color="auto"/>
            </w:tcBorders>
            <w:shd w:val="clear" w:color="auto" w:fill="auto"/>
            <w:vAlign w:val="bottom"/>
          </w:tcPr>
          <w:p w:rsidR="001A63C6" w:rsidRPr="00A75DF9" w:rsidRDefault="001A63C6" w:rsidP="001A63C6">
            <w:pPr>
              <w:pStyle w:val="TableText"/>
              <w:widowControl w:val="0"/>
              <w:spacing w:after="120"/>
              <w:rPr>
                <w:rFonts w:ascii="Tahoma" w:hAnsi="Tahoma" w:cs="Tahoma"/>
                <w:sz w:val="13"/>
                <w:szCs w:val="13"/>
              </w:rPr>
            </w:pPr>
            <w:r w:rsidRPr="00A75DF9">
              <w:rPr>
                <w:rFonts w:ascii="Tahoma" w:hAnsi="Tahoma" w:cs="Tahoma"/>
                <w:sz w:val="13"/>
                <w:szCs w:val="13"/>
              </w:rPr>
              <w:t>15</w:t>
            </w:r>
          </w:p>
        </w:tc>
        <w:tc>
          <w:tcPr>
            <w:tcW w:w="450" w:type="dxa"/>
            <w:tcBorders>
              <w:left w:val="single" w:sz="18" w:space="0" w:color="auto"/>
              <w:bottom w:val="single" w:sz="4" w:space="0" w:color="auto"/>
            </w:tcBorders>
            <w:shd w:val="clear" w:color="auto" w:fill="auto"/>
            <w:vAlign w:val="bottom"/>
          </w:tcPr>
          <w:p w:rsidR="001A63C6" w:rsidRPr="00A75DF9" w:rsidRDefault="001A63C6" w:rsidP="001A63C6">
            <w:pPr>
              <w:pStyle w:val="TableText"/>
              <w:widowControl w:val="0"/>
              <w:spacing w:after="120"/>
              <w:rPr>
                <w:rFonts w:ascii="Tahoma" w:hAnsi="Tahoma" w:cs="Tahoma"/>
                <w:sz w:val="13"/>
                <w:szCs w:val="13"/>
              </w:rPr>
            </w:pPr>
            <w:r w:rsidRPr="00A75DF9">
              <w:rPr>
                <w:rFonts w:ascii="Tahoma" w:hAnsi="Tahoma" w:cs="Tahoma"/>
                <w:sz w:val="13"/>
                <w:szCs w:val="13"/>
              </w:rPr>
              <w:t>15</w:t>
            </w: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P</w:t>
            </w:r>
          </w:p>
        </w:tc>
        <w:tc>
          <w:tcPr>
            <w:tcW w:w="450" w:type="dxa"/>
            <w:tcBorders>
              <w:bottom w:val="single" w:sz="4" w:space="0" w:color="auto"/>
            </w:tcBorders>
            <w:shd w:val="clear" w:color="auto" w:fill="auto"/>
          </w:tcPr>
          <w:p w:rsidR="001A63C6" w:rsidRPr="00A75DF9" w:rsidRDefault="001A63C6" w:rsidP="001A63C6">
            <w:pPr>
              <w:pStyle w:val="TableText"/>
              <w:widowControl w:val="0"/>
              <w:spacing w:before="120"/>
              <w:rPr>
                <w:rFonts w:ascii="Tahoma" w:hAnsi="Tahoma" w:cs="Tahoma"/>
                <w:sz w:val="13"/>
              </w:rPr>
            </w:pPr>
            <w:r w:rsidRPr="00A75DF9">
              <w:rPr>
                <w:rFonts w:ascii="Tahoma" w:hAnsi="Tahoma" w:cs="Tahoma"/>
                <w:sz w:val="13"/>
              </w:rPr>
              <w:t>A</w:t>
            </w:r>
          </w:p>
        </w:tc>
        <w:tc>
          <w:tcPr>
            <w:tcW w:w="539"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OL/OV</w:t>
            </w:r>
          </w:p>
        </w:tc>
      </w:tr>
      <w:tr w:rsidR="00EF228F" w:rsidRPr="00A75DF9" w:rsidTr="008A1262">
        <w:trPr>
          <w:trHeight w:val="145"/>
        </w:trPr>
        <w:tc>
          <w:tcPr>
            <w:tcW w:w="2724" w:type="dxa"/>
            <w:gridSpan w:val="2"/>
            <w:tcBorders>
              <w:bottom w:val="single" w:sz="4" w:space="0" w:color="auto"/>
            </w:tcBorders>
            <w:shd w:val="clear" w:color="auto" w:fill="FABF8F"/>
          </w:tcPr>
          <w:p w:rsidR="001A63C6" w:rsidRPr="00A75DF9" w:rsidRDefault="001A63C6" w:rsidP="008B1245">
            <w:pPr>
              <w:pStyle w:val="Heading2"/>
              <w:spacing w:beforeLines="20" w:before="48" w:afterLines="20" w:after="48"/>
              <w:ind w:left="0"/>
              <w:rPr>
                <w:rFonts w:ascii="Tahoma" w:hAnsi="Tahoma" w:cs="Tahoma"/>
                <w:b w:val="0"/>
                <w:sz w:val="14"/>
                <w:szCs w:val="14"/>
              </w:rPr>
            </w:pPr>
            <w:bookmarkStart w:id="463" w:name="_Toc336338102"/>
            <w:bookmarkStart w:id="464" w:name="_Toc368310099"/>
            <w:r w:rsidRPr="00A75DF9">
              <w:rPr>
                <w:rFonts w:ascii="Tahoma" w:hAnsi="Tahoma" w:cs="Tahoma"/>
                <w:b w:val="0"/>
                <w:sz w:val="14"/>
                <w:szCs w:val="14"/>
              </w:rPr>
              <w:t>VDI Suite</w:t>
            </w:r>
            <w:bookmarkEnd w:id="463"/>
            <w:bookmarkEnd w:id="464"/>
          </w:p>
        </w:tc>
        <w:tc>
          <w:tcPr>
            <w:tcW w:w="448" w:type="dxa"/>
            <w:tcBorders>
              <w:bottom w:val="single" w:sz="4" w:space="0" w:color="auto"/>
            </w:tcBorders>
            <w:shd w:val="clear" w:color="auto" w:fill="FABF8F"/>
            <w:vAlign w:val="center"/>
          </w:tcPr>
          <w:p w:rsidR="001A63C6" w:rsidRPr="00B41377" w:rsidRDefault="001A63C6" w:rsidP="001A63C6">
            <w:pPr>
              <w:pStyle w:val="TableText"/>
              <w:widowControl w:val="0"/>
              <w:rPr>
                <w:rFonts w:cs="Tahoma"/>
                <w:b/>
                <w:sz w:val="13"/>
                <w:szCs w:val="13"/>
                <w:u w:val="single"/>
              </w:rPr>
            </w:pPr>
          </w:p>
        </w:tc>
        <w:tc>
          <w:tcPr>
            <w:tcW w:w="449" w:type="dxa"/>
            <w:tcBorders>
              <w:bottom w:val="single" w:sz="4" w:space="0" w:color="auto"/>
            </w:tcBorders>
            <w:shd w:val="clear" w:color="auto" w:fill="FABF8F"/>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04/12</w:t>
            </w:r>
          </w:p>
        </w:tc>
        <w:tc>
          <w:tcPr>
            <w:tcW w:w="359"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SRV</w:t>
            </w:r>
          </w:p>
        </w:tc>
        <w:tc>
          <w:tcPr>
            <w:tcW w:w="2980" w:type="dxa"/>
            <w:gridSpan w:val="9"/>
            <w:tcBorders>
              <w:left w:val="single" w:sz="18" w:space="0" w:color="auto"/>
              <w:bottom w:val="single" w:sz="4" w:space="0" w:color="auto"/>
              <w:right w:val="single" w:sz="18" w:space="0" w:color="auto"/>
            </w:tcBorders>
            <w:shd w:val="clear" w:color="auto" w:fill="FABF8F"/>
            <w:vAlign w:val="center"/>
          </w:tcPr>
          <w:p w:rsidR="001A63C6" w:rsidRPr="00A75DF9" w:rsidRDefault="001A63C6" w:rsidP="001A63C6">
            <w:pPr>
              <w:pStyle w:val="TableText"/>
              <w:rPr>
                <w:rFonts w:ascii="Tahoma" w:hAnsi="Tahoma" w:cs="Tahoma"/>
                <w:sz w:val="13"/>
                <w:szCs w:val="13"/>
              </w:rPr>
            </w:pPr>
            <w:r w:rsidRPr="00A75DF9">
              <w:rPr>
                <w:rFonts w:ascii="Tahoma" w:hAnsi="Tahoma" w:cs="Tahoma"/>
                <w:sz w:val="13"/>
                <w:szCs w:val="13"/>
              </w:rPr>
              <w:t>1 punto</w:t>
            </w:r>
          </w:p>
        </w:tc>
        <w:tc>
          <w:tcPr>
            <w:tcW w:w="455"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rPr>
                <w:rFonts w:ascii="Tahoma" w:hAnsi="Tahoma" w:cs="Tahoma"/>
                <w:sz w:val="13"/>
                <w:szCs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rPr>
                <w:rFonts w:ascii="Tahoma" w:hAnsi="Tahoma" w:cs="Tahoma"/>
                <w:sz w:val="13"/>
                <w:szCs w:val="13"/>
              </w:rPr>
            </w:pPr>
            <w:r w:rsidRPr="00A75DF9">
              <w:rPr>
                <w:rFonts w:ascii="Tahoma" w:hAnsi="Tahoma" w:cs="Tahoma"/>
                <w:sz w:val="13"/>
                <w:szCs w:val="13"/>
              </w:rPr>
              <w:t>1</w:t>
            </w: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rPr>
                <w:rFonts w:ascii="Tahoma" w:hAnsi="Tahoma" w:cs="Tahoma"/>
                <w:sz w:val="13"/>
                <w:szCs w:val="13"/>
              </w:rPr>
            </w:pPr>
            <w:r w:rsidRPr="00A75DF9">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75DF9" w:rsidRDefault="001A63C6" w:rsidP="001A63C6">
            <w:pPr>
              <w:pStyle w:val="TableText"/>
              <w:rPr>
                <w:rFonts w:ascii="Tahoma" w:hAnsi="Tahoma" w:cs="Tahoma"/>
                <w:sz w:val="13"/>
                <w:szCs w:val="13"/>
              </w:rPr>
            </w:pPr>
            <w:r w:rsidRPr="00A75DF9">
              <w:rPr>
                <w:rFonts w:ascii="Tahoma" w:hAnsi="Tahoma" w:cs="Tahoma"/>
                <w:sz w:val="13"/>
                <w:szCs w:val="13"/>
              </w:rPr>
              <w:t>P</w:t>
            </w:r>
          </w:p>
        </w:tc>
        <w:tc>
          <w:tcPr>
            <w:tcW w:w="450" w:type="dxa"/>
            <w:tcBorders>
              <w:bottom w:val="single" w:sz="4" w:space="0" w:color="auto"/>
            </w:tcBorders>
            <w:shd w:val="clear" w:color="auto" w:fill="FABF8F"/>
          </w:tcPr>
          <w:p w:rsidR="001A63C6" w:rsidRPr="00A75DF9" w:rsidRDefault="001A63C6" w:rsidP="001A63C6">
            <w:pPr>
              <w:pStyle w:val="TableText"/>
              <w:rPr>
                <w:rFonts w:ascii="Tahoma" w:hAnsi="Tahoma" w:cs="Tahoma"/>
                <w:sz w:val="13"/>
                <w:szCs w:val="13"/>
              </w:rPr>
            </w:pPr>
            <w:r w:rsidRPr="00A75DF9">
              <w:rPr>
                <w:rFonts w:ascii="Tahoma" w:hAnsi="Tahoma" w:cs="Tahoma"/>
                <w:sz w:val="13"/>
                <w:szCs w:val="13"/>
              </w:rPr>
              <w:t>A, ST</w:t>
            </w:r>
          </w:p>
        </w:tc>
        <w:tc>
          <w:tcPr>
            <w:tcW w:w="539"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r>
      <w:tr w:rsidR="00B33D0E" w:rsidRPr="00A75DF9" w:rsidTr="008A1262">
        <w:trPr>
          <w:trHeight w:val="215"/>
        </w:trPr>
        <w:tc>
          <w:tcPr>
            <w:tcW w:w="2724" w:type="dxa"/>
            <w:gridSpan w:val="2"/>
            <w:tcBorders>
              <w:bottom w:val="single" w:sz="4" w:space="0" w:color="auto"/>
            </w:tcBorders>
            <w:shd w:val="clear" w:color="auto" w:fill="auto"/>
          </w:tcPr>
          <w:p w:rsidR="001A63C6" w:rsidRPr="00A75DF9" w:rsidRDefault="001A63C6" w:rsidP="008B1245">
            <w:pPr>
              <w:pStyle w:val="Heading2"/>
              <w:spacing w:beforeLines="20" w:before="48" w:afterLines="20" w:after="48"/>
              <w:ind w:left="0"/>
              <w:rPr>
                <w:rFonts w:ascii="Tahoma" w:hAnsi="Tahoma" w:cs="Tahoma"/>
                <w:b w:val="0"/>
                <w:sz w:val="14"/>
                <w:szCs w:val="14"/>
              </w:rPr>
            </w:pPr>
            <w:bookmarkStart w:id="465" w:name="_Toc336338103"/>
            <w:bookmarkStart w:id="466" w:name="_Toc368310100"/>
            <w:r w:rsidRPr="00A75DF9">
              <w:rPr>
                <w:rFonts w:ascii="Tahoma" w:hAnsi="Tahoma" w:cs="Tahoma"/>
                <w:b w:val="0"/>
                <w:sz w:val="14"/>
                <w:szCs w:val="14"/>
              </w:rPr>
              <w:t>VDI Suite con MDOP</w:t>
            </w:r>
            <w:bookmarkEnd w:id="465"/>
            <w:bookmarkEnd w:id="466"/>
          </w:p>
        </w:tc>
        <w:tc>
          <w:tcPr>
            <w:tcW w:w="448" w:type="dxa"/>
            <w:tcBorders>
              <w:bottom w:val="single" w:sz="4" w:space="0" w:color="auto"/>
            </w:tcBorders>
            <w:shd w:val="clear" w:color="auto" w:fill="auto"/>
            <w:vAlign w:val="center"/>
          </w:tcPr>
          <w:p w:rsidR="001A63C6" w:rsidRPr="00B41377" w:rsidRDefault="001A63C6" w:rsidP="001A63C6">
            <w:pPr>
              <w:pStyle w:val="TableText"/>
              <w:widowControl w:val="0"/>
              <w:rPr>
                <w:rFonts w:cs="Tahoma"/>
                <w:b/>
                <w:sz w:val="13"/>
                <w:szCs w:val="13"/>
                <w:u w:val="single"/>
              </w:rPr>
            </w:pPr>
          </w:p>
        </w:tc>
        <w:tc>
          <w:tcPr>
            <w:tcW w:w="449" w:type="dxa"/>
            <w:tcBorders>
              <w:bottom w:val="single" w:sz="4" w:space="0" w:color="auto"/>
            </w:tcBorders>
            <w:shd w:val="clear" w:color="auto" w:fill="auto"/>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04/12</w:t>
            </w:r>
          </w:p>
        </w:tc>
        <w:tc>
          <w:tcPr>
            <w:tcW w:w="359"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SRV</w:t>
            </w:r>
          </w:p>
        </w:tc>
        <w:tc>
          <w:tcPr>
            <w:tcW w:w="2980" w:type="dxa"/>
            <w:gridSpan w:val="9"/>
            <w:tcBorders>
              <w:left w:val="single" w:sz="18" w:space="0" w:color="auto"/>
              <w:bottom w:val="single" w:sz="4" w:space="0" w:color="auto"/>
              <w:right w:val="single" w:sz="18" w:space="0" w:color="auto"/>
            </w:tcBorders>
            <w:shd w:val="clear" w:color="auto" w:fill="auto"/>
            <w:vAlign w:val="center"/>
          </w:tcPr>
          <w:p w:rsidR="001A63C6" w:rsidRPr="00A75DF9" w:rsidRDefault="001A63C6" w:rsidP="001A63C6">
            <w:pPr>
              <w:pStyle w:val="TableText"/>
              <w:rPr>
                <w:rFonts w:ascii="Tahoma" w:hAnsi="Tahoma" w:cs="Tahoma"/>
                <w:sz w:val="13"/>
                <w:szCs w:val="13"/>
              </w:rPr>
            </w:pPr>
            <w:r w:rsidRPr="00A75DF9">
              <w:rPr>
                <w:rFonts w:ascii="Tahoma" w:hAnsi="Tahoma" w:cs="Tahoma"/>
                <w:sz w:val="13"/>
                <w:szCs w:val="13"/>
              </w:rPr>
              <w:t>1 punto</w:t>
            </w:r>
          </w:p>
        </w:tc>
        <w:tc>
          <w:tcPr>
            <w:tcW w:w="455" w:type="dxa"/>
            <w:tcBorders>
              <w:left w:val="single" w:sz="18" w:space="0" w:color="auto"/>
              <w:bottom w:val="single" w:sz="4" w:space="0" w:color="auto"/>
            </w:tcBorders>
            <w:shd w:val="clear" w:color="auto" w:fill="auto"/>
            <w:vAlign w:val="center"/>
          </w:tcPr>
          <w:p w:rsidR="001A63C6" w:rsidRPr="00A75DF9" w:rsidRDefault="001A63C6" w:rsidP="001A63C6">
            <w:pPr>
              <w:pStyle w:val="TableText"/>
              <w:rPr>
                <w:rFonts w:ascii="Tahoma" w:hAnsi="Tahoma" w:cs="Tahoma"/>
                <w:sz w:val="13"/>
                <w:szCs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rPr>
                <w:rFonts w:ascii="Tahoma" w:hAnsi="Tahoma" w:cs="Tahoma"/>
                <w:sz w:val="13"/>
                <w:szCs w:val="13"/>
              </w:rPr>
            </w:pP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rPr>
                <w:rFonts w:ascii="Tahoma" w:hAnsi="Tahoma" w:cs="Tahoma"/>
                <w:sz w:val="13"/>
                <w:szCs w:val="13"/>
              </w:rPr>
            </w:pPr>
          </w:p>
        </w:tc>
        <w:tc>
          <w:tcPr>
            <w:tcW w:w="450" w:type="dxa"/>
            <w:tcBorders>
              <w:left w:val="single" w:sz="18" w:space="0" w:color="auto"/>
              <w:bottom w:val="single" w:sz="4" w:space="0" w:color="auto"/>
            </w:tcBorders>
            <w:shd w:val="clear" w:color="auto" w:fill="auto"/>
            <w:vAlign w:val="center"/>
          </w:tcPr>
          <w:p w:rsidR="001A63C6" w:rsidRPr="00A75DF9" w:rsidRDefault="001A63C6" w:rsidP="001A63C6">
            <w:pPr>
              <w:pStyle w:val="TableText"/>
              <w:rPr>
                <w:rFonts w:ascii="Tahoma" w:hAnsi="Tahoma" w:cs="Tahoma"/>
                <w:sz w:val="13"/>
                <w:szCs w:val="13"/>
              </w:rPr>
            </w:pPr>
            <w:r w:rsidRPr="00A75DF9">
              <w:rPr>
                <w:rFonts w:ascii="Tahoma" w:hAnsi="Tahoma" w:cs="Tahoma"/>
                <w:sz w:val="13"/>
                <w:szCs w:val="13"/>
              </w:rPr>
              <w:t>1</w:t>
            </w: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rPr>
                <w:rFonts w:ascii="Tahoma" w:hAnsi="Tahoma" w:cs="Tahoma"/>
                <w:sz w:val="13"/>
                <w:szCs w:val="13"/>
              </w:rPr>
            </w:pPr>
            <w:r w:rsidRPr="00A75DF9">
              <w:rPr>
                <w:rFonts w:ascii="Tahoma" w:hAnsi="Tahoma" w:cs="Tahoma"/>
                <w:sz w:val="13"/>
                <w:szCs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75DF9" w:rsidRDefault="001A63C6" w:rsidP="001A63C6">
            <w:pPr>
              <w:pStyle w:val="TableText"/>
              <w:rPr>
                <w:rFonts w:ascii="Tahoma" w:hAnsi="Tahoma" w:cs="Tahoma"/>
                <w:sz w:val="13"/>
                <w:szCs w:val="13"/>
              </w:rPr>
            </w:pPr>
            <w:r w:rsidRPr="00A75DF9">
              <w:rPr>
                <w:rFonts w:ascii="Tahoma" w:hAnsi="Tahoma" w:cs="Tahoma"/>
                <w:sz w:val="13"/>
                <w:szCs w:val="13"/>
              </w:rPr>
              <w:t>E, P</w:t>
            </w:r>
          </w:p>
        </w:tc>
        <w:tc>
          <w:tcPr>
            <w:tcW w:w="450" w:type="dxa"/>
            <w:tcBorders>
              <w:bottom w:val="single" w:sz="4" w:space="0" w:color="auto"/>
            </w:tcBorders>
            <w:shd w:val="clear" w:color="auto" w:fill="auto"/>
          </w:tcPr>
          <w:p w:rsidR="001A63C6" w:rsidRPr="00A75DF9" w:rsidRDefault="001A63C6" w:rsidP="001A63C6">
            <w:pPr>
              <w:pStyle w:val="TableText"/>
              <w:rPr>
                <w:rFonts w:ascii="Tahoma" w:hAnsi="Tahoma" w:cs="Tahoma"/>
                <w:sz w:val="13"/>
                <w:szCs w:val="13"/>
              </w:rPr>
            </w:pPr>
            <w:r w:rsidRPr="00A75DF9">
              <w:rPr>
                <w:rFonts w:ascii="Tahoma" w:hAnsi="Tahoma" w:cs="Tahoma"/>
                <w:sz w:val="13"/>
                <w:szCs w:val="13"/>
              </w:rPr>
              <w:t>A, ST</w:t>
            </w:r>
          </w:p>
        </w:tc>
        <w:tc>
          <w:tcPr>
            <w:tcW w:w="539"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r>
      <w:tr w:rsidR="00500991" w:rsidRPr="00A75DF9" w:rsidTr="008A1262">
        <w:trPr>
          <w:trHeight w:val="260"/>
        </w:trPr>
        <w:tc>
          <w:tcPr>
            <w:tcW w:w="2724" w:type="dxa"/>
            <w:gridSpan w:val="2"/>
            <w:tcBorders>
              <w:bottom w:val="single" w:sz="4" w:space="0" w:color="auto"/>
            </w:tcBorders>
            <w:shd w:val="clear" w:color="auto" w:fill="FABF8F"/>
          </w:tcPr>
          <w:p w:rsidR="00500991" w:rsidRPr="00A75DF9" w:rsidRDefault="00500991" w:rsidP="008B1245">
            <w:pPr>
              <w:pStyle w:val="Heading2"/>
              <w:spacing w:beforeLines="20" w:before="48" w:afterLines="20" w:after="48"/>
              <w:ind w:left="0"/>
              <w:rPr>
                <w:rFonts w:ascii="Tahoma" w:hAnsi="Tahoma" w:cs="Tahoma"/>
                <w:b w:val="0"/>
                <w:sz w:val="14"/>
                <w:szCs w:val="14"/>
              </w:rPr>
            </w:pPr>
            <w:bookmarkStart w:id="467" w:name="_Toc336338104"/>
            <w:bookmarkStart w:id="468" w:name="_Toc368310101"/>
            <w:r w:rsidRPr="00A75DF9">
              <w:rPr>
                <w:rFonts w:ascii="Tahoma" w:hAnsi="Tahoma" w:cs="Tahoma"/>
                <w:b w:val="0"/>
                <w:sz w:val="14"/>
                <w:szCs w:val="14"/>
              </w:rPr>
              <w:t>VDI Standard Suite</w:t>
            </w:r>
            <w:bookmarkEnd w:id="467"/>
            <w:bookmarkEnd w:id="468"/>
          </w:p>
        </w:tc>
        <w:tc>
          <w:tcPr>
            <w:tcW w:w="448" w:type="dxa"/>
            <w:tcBorders>
              <w:bottom w:val="single" w:sz="4" w:space="0" w:color="auto"/>
            </w:tcBorders>
            <w:shd w:val="clear" w:color="auto" w:fill="FABF8F"/>
            <w:vAlign w:val="center"/>
          </w:tcPr>
          <w:p w:rsidR="00500991" w:rsidRPr="00B41377" w:rsidRDefault="00B54770" w:rsidP="00FC0808">
            <w:pPr>
              <w:pStyle w:val="TableText"/>
              <w:widowControl w:val="0"/>
              <w:rPr>
                <w:rStyle w:val="EndnoteReference"/>
                <w:rFonts w:cs="Tahoma"/>
                <w:b w:val="0"/>
                <w:sz w:val="13"/>
                <w:szCs w:val="13"/>
              </w:rPr>
            </w:pPr>
            <w:hyperlink w:anchor="_99_VDI_Standard" w:history="1">
              <w:r w:rsidR="00734B17" w:rsidRPr="00B41377">
                <w:rPr>
                  <w:rStyle w:val="Hyperlink"/>
                  <w:rFonts w:cs="Tahoma"/>
                  <w:b/>
                  <w:sz w:val="13"/>
                  <w:szCs w:val="13"/>
                </w:rPr>
                <w:t>98</w:t>
              </w:r>
            </w:hyperlink>
          </w:p>
        </w:tc>
        <w:tc>
          <w:tcPr>
            <w:tcW w:w="449" w:type="dxa"/>
            <w:tcBorders>
              <w:bottom w:val="single" w:sz="4" w:space="0" w:color="auto"/>
            </w:tcBorders>
            <w:shd w:val="clear" w:color="auto" w:fill="FABF8F"/>
          </w:tcPr>
          <w:p w:rsidR="00500991" w:rsidRPr="00A75DF9" w:rsidRDefault="00500991" w:rsidP="001A63C6">
            <w:pPr>
              <w:pStyle w:val="TableText"/>
              <w:widowControl w:val="0"/>
              <w:rPr>
                <w:rFonts w:ascii="Tahoma" w:hAnsi="Tahoma" w:cs="Tahoma"/>
                <w:sz w:val="13"/>
              </w:rPr>
            </w:pPr>
          </w:p>
        </w:tc>
        <w:tc>
          <w:tcPr>
            <w:tcW w:w="359" w:type="dxa"/>
            <w:tcBorders>
              <w:bottom w:val="single" w:sz="4" w:space="0" w:color="auto"/>
              <w:right w:val="single" w:sz="18" w:space="0" w:color="auto"/>
            </w:tcBorders>
            <w:shd w:val="clear" w:color="auto" w:fill="FABF8F"/>
            <w:vAlign w:val="center"/>
          </w:tcPr>
          <w:p w:rsidR="00500991" w:rsidRPr="00A75DF9" w:rsidRDefault="00500991" w:rsidP="001A63C6">
            <w:pPr>
              <w:pStyle w:val="TableText"/>
              <w:widowControl w:val="0"/>
              <w:rPr>
                <w:rFonts w:ascii="Tahoma" w:hAnsi="Tahoma" w:cs="Tahoma"/>
                <w:sz w:val="13"/>
              </w:rPr>
            </w:pPr>
          </w:p>
        </w:tc>
        <w:tc>
          <w:tcPr>
            <w:tcW w:w="356" w:type="dxa"/>
            <w:tcBorders>
              <w:left w:val="single" w:sz="18" w:space="0" w:color="auto"/>
              <w:bottom w:val="single" w:sz="4" w:space="0" w:color="auto"/>
              <w:right w:val="single" w:sz="4" w:space="0" w:color="auto"/>
            </w:tcBorders>
            <w:shd w:val="clear" w:color="auto" w:fill="FABF8F"/>
            <w:vAlign w:val="center"/>
          </w:tcPr>
          <w:p w:rsidR="00500991" w:rsidRPr="00A75DF9" w:rsidRDefault="00500991" w:rsidP="001A63C6">
            <w:pPr>
              <w:pStyle w:val="TableText"/>
              <w:widowControl w:val="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500991" w:rsidRPr="00A75DF9" w:rsidRDefault="00500991" w:rsidP="001A63C6">
            <w:pPr>
              <w:pStyle w:val="TableText"/>
              <w:widowControl w:val="0"/>
              <w:rPr>
                <w:rFonts w:ascii="Tahoma" w:hAnsi="Tahoma" w:cs="Tahoma"/>
                <w:sz w:val="13"/>
              </w:rPr>
            </w:pPr>
          </w:p>
        </w:tc>
        <w:tc>
          <w:tcPr>
            <w:tcW w:w="464" w:type="dxa"/>
            <w:gridSpan w:val="2"/>
            <w:tcBorders>
              <w:left w:val="single" w:sz="4" w:space="0" w:color="auto"/>
              <w:bottom w:val="single" w:sz="4" w:space="0" w:color="auto"/>
              <w:right w:val="single" w:sz="4" w:space="0" w:color="auto"/>
            </w:tcBorders>
            <w:shd w:val="clear" w:color="auto" w:fill="FABF8F"/>
            <w:vAlign w:val="center"/>
          </w:tcPr>
          <w:p w:rsidR="00500991" w:rsidRPr="00A75DF9" w:rsidRDefault="00500991" w:rsidP="001A63C6">
            <w:pPr>
              <w:pStyle w:val="TableText"/>
              <w:widowControl w:val="0"/>
              <w:rPr>
                <w:rFonts w:ascii="Tahoma" w:hAnsi="Tahoma" w:cs="Tahoma"/>
                <w:sz w:val="13"/>
              </w:rPr>
            </w:pPr>
          </w:p>
        </w:tc>
        <w:tc>
          <w:tcPr>
            <w:tcW w:w="432" w:type="dxa"/>
            <w:tcBorders>
              <w:left w:val="single" w:sz="4" w:space="0" w:color="auto"/>
              <w:bottom w:val="single" w:sz="4" w:space="0" w:color="auto"/>
              <w:right w:val="single" w:sz="4" w:space="0" w:color="auto"/>
            </w:tcBorders>
            <w:shd w:val="clear" w:color="auto" w:fill="FABF8F"/>
            <w:vAlign w:val="center"/>
          </w:tcPr>
          <w:p w:rsidR="00500991" w:rsidRPr="00A75DF9" w:rsidRDefault="00500991" w:rsidP="001A63C6">
            <w:pPr>
              <w:pStyle w:val="TableText"/>
              <w:widowControl w:val="0"/>
              <w:rPr>
                <w:rFonts w:ascii="Tahoma" w:hAnsi="Tahoma" w:cs="Tahoma"/>
                <w:sz w:val="13"/>
              </w:rPr>
            </w:pPr>
          </w:p>
        </w:tc>
        <w:tc>
          <w:tcPr>
            <w:tcW w:w="454" w:type="dxa"/>
            <w:gridSpan w:val="2"/>
            <w:tcBorders>
              <w:left w:val="single" w:sz="4" w:space="0" w:color="auto"/>
              <w:bottom w:val="single" w:sz="4" w:space="0" w:color="auto"/>
              <w:right w:val="single" w:sz="4" w:space="0" w:color="auto"/>
            </w:tcBorders>
            <w:shd w:val="clear" w:color="auto" w:fill="FABF8F"/>
            <w:vAlign w:val="center"/>
          </w:tcPr>
          <w:p w:rsidR="00500991" w:rsidRPr="00A75DF9" w:rsidRDefault="00500991" w:rsidP="001A63C6">
            <w:pPr>
              <w:pStyle w:val="TableText"/>
              <w:widowControl w:val="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500991" w:rsidRPr="00A75DF9" w:rsidRDefault="00500991" w:rsidP="001A63C6">
            <w:pPr>
              <w:pStyle w:val="TableText"/>
              <w:widowControl w:val="0"/>
              <w:rPr>
                <w:rFonts w:ascii="Tahoma" w:hAnsi="Tahoma" w:cs="Tahoma"/>
                <w:sz w:val="13"/>
              </w:rPr>
            </w:pPr>
          </w:p>
        </w:tc>
        <w:tc>
          <w:tcPr>
            <w:tcW w:w="374" w:type="dxa"/>
            <w:tcBorders>
              <w:left w:val="single" w:sz="4" w:space="0" w:color="auto"/>
              <w:bottom w:val="single" w:sz="4" w:space="0" w:color="auto"/>
              <w:right w:val="single" w:sz="18" w:space="0" w:color="auto"/>
            </w:tcBorders>
            <w:shd w:val="clear" w:color="auto" w:fill="FABF8F"/>
            <w:vAlign w:val="center"/>
          </w:tcPr>
          <w:p w:rsidR="00500991" w:rsidRPr="00A75DF9" w:rsidRDefault="00500991" w:rsidP="001A63C6">
            <w:pPr>
              <w:pStyle w:val="TableText"/>
              <w:widowControl w:val="0"/>
              <w:rPr>
                <w:rFonts w:ascii="Tahoma" w:hAnsi="Tahoma" w:cs="Tahoma"/>
                <w:sz w:val="13"/>
              </w:rPr>
            </w:pPr>
          </w:p>
        </w:tc>
        <w:tc>
          <w:tcPr>
            <w:tcW w:w="455" w:type="dxa"/>
            <w:tcBorders>
              <w:left w:val="single" w:sz="18" w:space="0" w:color="auto"/>
              <w:bottom w:val="single" w:sz="4" w:space="0" w:color="auto"/>
            </w:tcBorders>
            <w:shd w:val="clear" w:color="auto" w:fill="FABF8F"/>
            <w:vAlign w:val="center"/>
          </w:tcPr>
          <w:p w:rsidR="00500991" w:rsidRPr="00A75DF9" w:rsidRDefault="00500991"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500991" w:rsidRPr="00A75DF9" w:rsidRDefault="00500991"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A75DF9" w:rsidRDefault="00500991"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A75DF9" w:rsidRDefault="00500991"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A75DF9" w:rsidRDefault="00500991"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500991" w:rsidRPr="00A75DF9" w:rsidRDefault="00500991"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500991" w:rsidRPr="00A75DF9" w:rsidRDefault="00500991" w:rsidP="001A63C6">
            <w:pPr>
              <w:pStyle w:val="TableText"/>
              <w:widowControl w:val="0"/>
              <w:rPr>
                <w:rFonts w:ascii="Tahoma" w:hAnsi="Tahoma" w:cs="Tahoma"/>
                <w:sz w:val="13"/>
              </w:rPr>
            </w:pPr>
          </w:p>
        </w:tc>
        <w:tc>
          <w:tcPr>
            <w:tcW w:w="539" w:type="dxa"/>
            <w:tcBorders>
              <w:bottom w:val="single" w:sz="4" w:space="0" w:color="auto"/>
            </w:tcBorders>
            <w:shd w:val="clear" w:color="auto" w:fill="FABF8F"/>
            <w:vAlign w:val="center"/>
          </w:tcPr>
          <w:p w:rsidR="00500991" w:rsidRPr="00A75DF9" w:rsidRDefault="00500991" w:rsidP="001A63C6">
            <w:pPr>
              <w:pStyle w:val="TableText"/>
              <w:widowControl w:val="0"/>
              <w:rPr>
                <w:rFonts w:ascii="Tahoma" w:hAnsi="Tahoma" w:cs="Tahoma"/>
                <w:sz w:val="13"/>
              </w:rPr>
            </w:pPr>
          </w:p>
        </w:tc>
      </w:tr>
      <w:tr w:rsidR="00500991" w:rsidRPr="00A75DF9" w:rsidTr="008A1262">
        <w:trPr>
          <w:trHeight w:val="260"/>
        </w:trPr>
        <w:tc>
          <w:tcPr>
            <w:tcW w:w="2724" w:type="dxa"/>
            <w:gridSpan w:val="2"/>
            <w:tcBorders>
              <w:bottom w:val="single" w:sz="4" w:space="0" w:color="auto"/>
            </w:tcBorders>
            <w:shd w:val="clear" w:color="auto" w:fill="auto"/>
          </w:tcPr>
          <w:p w:rsidR="00500991" w:rsidRPr="00A75DF9" w:rsidRDefault="00500991" w:rsidP="008B1245">
            <w:pPr>
              <w:pStyle w:val="Heading2"/>
              <w:spacing w:beforeLines="20" w:before="48" w:afterLines="20" w:after="48"/>
              <w:ind w:left="0"/>
              <w:rPr>
                <w:rFonts w:ascii="Tahoma" w:hAnsi="Tahoma" w:cs="Tahoma"/>
                <w:b w:val="0"/>
                <w:sz w:val="14"/>
                <w:szCs w:val="14"/>
              </w:rPr>
            </w:pPr>
            <w:bookmarkStart w:id="469" w:name="_Toc336338105"/>
            <w:bookmarkStart w:id="470" w:name="_Toc368310102"/>
            <w:r w:rsidRPr="00A75DF9">
              <w:rPr>
                <w:rFonts w:ascii="Tahoma" w:hAnsi="Tahoma" w:cs="Tahoma"/>
                <w:b w:val="0"/>
                <w:sz w:val="14"/>
                <w:szCs w:val="14"/>
              </w:rPr>
              <w:t>VDI Standard Suite con MDOP</w:t>
            </w:r>
            <w:bookmarkEnd w:id="469"/>
            <w:bookmarkEnd w:id="470"/>
          </w:p>
        </w:tc>
        <w:tc>
          <w:tcPr>
            <w:tcW w:w="448" w:type="dxa"/>
            <w:tcBorders>
              <w:bottom w:val="single" w:sz="4" w:space="0" w:color="auto"/>
            </w:tcBorders>
            <w:shd w:val="clear" w:color="auto" w:fill="auto"/>
            <w:vAlign w:val="center"/>
          </w:tcPr>
          <w:p w:rsidR="00500991" w:rsidRPr="00B41377" w:rsidRDefault="00B54770" w:rsidP="00FC0808">
            <w:pPr>
              <w:pStyle w:val="TableText"/>
              <w:widowControl w:val="0"/>
              <w:rPr>
                <w:rStyle w:val="EndnoteReference"/>
                <w:rFonts w:cs="Tahoma"/>
                <w:b w:val="0"/>
                <w:sz w:val="13"/>
                <w:szCs w:val="13"/>
                <w:u w:val="single"/>
              </w:rPr>
            </w:pPr>
            <w:hyperlink w:anchor="_99_VDI_Standard" w:history="1">
              <w:r w:rsidR="00734B17" w:rsidRPr="00B41377">
                <w:rPr>
                  <w:rStyle w:val="Hyperlink"/>
                  <w:rFonts w:cs="Tahoma"/>
                  <w:b/>
                  <w:sz w:val="13"/>
                  <w:szCs w:val="13"/>
                </w:rPr>
                <w:t>98</w:t>
              </w:r>
            </w:hyperlink>
            <w:hyperlink w:anchor="Srv_105VDIStandardandPremiumSuites" w:history="1"/>
          </w:p>
        </w:tc>
        <w:tc>
          <w:tcPr>
            <w:tcW w:w="449" w:type="dxa"/>
            <w:tcBorders>
              <w:bottom w:val="single" w:sz="4" w:space="0" w:color="auto"/>
            </w:tcBorders>
            <w:shd w:val="clear" w:color="auto" w:fill="auto"/>
          </w:tcPr>
          <w:p w:rsidR="00500991" w:rsidRPr="00A75DF9" w:rsidRDefault="00500991" w:rsidP="001A63C6">
            <w:pPr>
              <w:pStyle w:val="TableText"/>
              <w:widowControl w:val="0"/>
              <w:rPr>
                <w:rFonts w:ascii="Tahoma" w:hAnsi="Tahoma" w:cs="Tahoma"/>
                <w:sz w:val="13"/>
              </w:rPr>
            </w:pPr>
          </w:p>
        </w:tc>
        <w:tc>
          <w:tcPr>
            <w:tcW w:w="359" w:type="dxa"/>
            <w:tcBorders>
              <w:bottom w:val="single" w:sz="4" w:space="0" w:color="auto"/>
              <w:right w:val="single" w:sz="18" w:space="0" w:color="auto"/>
            </w:tcBorders>
            <w:shd w:val="clear" w:color="auto" w:fill="auto"/>
            <w:vAlign w:val="center"/>
          </w:tcPr>
          <w:p w:rsidR="00500991" w:rsidRPr="00A75DF9" w:rsidRDefault="00500991" w:rsidP="001A63C6">
            <w:pPr>
              <w:pStyle w:val="TableText"/>
              <w:widowControl w:val="0"/>
              <w:rPr>
                <w:rFonts w:ascii="Tahoma" w:hAnsi="Tahoma" w:cs="Tahoma"/>
                <w:sz w:val="13"/>
              </w:rPr>
            </w:pPr>
          </w:p>
        </w:tc>
        <w:tc>
          <w:tcPr>
            <w:tcW w:w="356" w:type="dxa"/>
            <w:tcBorders>
              <w:left w:val="single" w:sz="18" w:space="0" w:color="auto"/>
              <w:bottom w:val="single" w:sz="4" w:space="0" w:color="auto"/>
              <w:right w:val="single" w:sz="4" w:space="0" w:color="auto"/>
            </w:tcBorders>
            <w:shd w:val="clear" w:color="auto" w:fill="auto"/>
            <w:vAlign w:val="center"/>
          </w:tcPr>
          <w:p w:rsidR="00500991" w:rsidRPr="00A75DF9" w:rsidRDefault="00500991" w:rsidP="001A63C6">
            <w:pPr>
              <w:pStyle w:val="TableText"/>
              <w:widowControl w:val="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500991" w:rsidRPr="00A75DF9" w:rsidRDefault="00500991" w:rsidP="001A63C6">
            <w:pPr>
              <w:pStyle w:val="TableText"/>
              <w:widowControl w:val="0"/>
              <w:rPr>
                <w:rFonts w:ascii="Tahoma" w:hAnsi="Tahoma" w:cs="Tahoma"/>
                <w:sz w:val="13"/>
              </w:rPr>
            </w:pPr>
          </w:p>
        </w:tc>
        <w:tc>
          <w:tcPr>
            <w:tcW w:w="464" w:type="dxa"/>
            <w:gridSpan w:val="2"/>
            <w:tcBorders>
              <w:left w:val="single" w:sz="4" w:space="0" w:color="auto"/>
              <w:bottom w:val="single" w:sz="4" w:space="0" w:color="auto"/>
              <w:right w:val="single" w:sz="4" w:space="0" w:color="auto"/>
            </w:tcBorders>
            <w:shd w:val="clear" w:color="auto" w:fill="auto"/>
            <w:vAlign w:val="center"/>
          </w:tcPr>
          <w:p w:rsidR="00500991" w:rsidRPr="00A75DF9" w:rsidRDefault="00500991" w:rsidP="001A63C6">
            <w:pPr>
              <w:pStyle w:val="TableText"/>
              <w:widowControl w:val="0"/>
              <w:rPr>
                <w:rFonts w:ascii="Tahoma" w:hAnsi="Tahoma" w:cs="Tahoma"/>
                <w:sz w:val="13"/>
              </w:rPr>
            </w:pPr>
          </w:p>
        </w:tc>
        <w:tc>
          <w:tcPr>
            <w:tcW w:w="432" w:type="dxa"/>
            <w:tcBorders>
              <w:left w:val="single" w:sz="4" w:space="0" w:color="auto"/>
              <w:bottom w:val="single" w:sz="4" w:space="0" w:color="auto"/>
              <w:right w:val="single" w:sz="4" w:space="0" w:color="auto"/>
            </w:tcBorders>
            <w:shd w:val="clear" w:color="auto" w:fill="auto"/>
            <w:vAlign w:val="center"/>
          </w:tcPr>
          <w:p w:rsidR="00500991" w:rsidRPr="00A75DF9" w:rsidRDefault="00500991" w:rsidP="001A63C6">
            <w:pPr>
              <w:pStyle w:val="TableText"/>
              <w:widowControl w:val="0"/>
              <w:rPr>
                <w:rFonts w:ascii="Tahoma" w:hAnsi="Tahoma" w:cs="Tahoma"/>
                <w:sz w:val="13"/>
              </w:rPr>
            </w:pPr>
          </w:p>
        </w:tc>
        <w:tc>
          <w:tcPr>
            <w:tcW w:w="454" w:type="dxa"/>
            <w:gridSpan w:val="2"/>
            <w:tcBorders>
              <w:left w:val="single" w:sz="4" w:space="0" w:color="auto"/>
              <w:bottom w:val="single" w:sz="4" w:space="0" w:color="auto"/>
              <w:right w:val="single" w:sz="4" w:space="0" w:color="auto"/>
            </w:tcBorders>
            <w:shd w:val="clear" w:color="auto" w:fill="auto"/>
            <w:vAlign w:val="center"/>
          </w:tcPr>
          <w:p w:rsidR="00500991" w:rsidRPr="00A75DF9" w:rsidRDefault="00500991" w:rsidP="001A63C6">
            <w:pPr>
              <w:pStyle w:val="TableText"/>
              <w:widowControl w:val="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500991" w:rsidRPr="00A75DF9" w:rsidRDefault="00500991" w:rsidP="001A63C6">
            <w:pPr>
              <w:pStyle w:val="TableText"/>
              <w:widowControl w:val="0"/>
              <w:rPr>
                <w:rFonts w:ascii="Tahoma" w:hAnsi="Tahoma" w:cs="Tahoma"/>
                <w:sz w:val="13"/>
              </w:rPr>
            </w:pPr>
          </w:p>
        </w:tc>
        <w:tc>
          <w:tcPr>
            <w:tcW w:w="374" w:type="dxa"/>
            <w:tcBorders>
              <w:left w:val="single" w:sz="4" w:space="0" w:color="auto"/>
              <w:bottom w:val="single" w:sz="4" w:space="0" w:color="auto"/>
              <w:right w:val="single" w:sz="18" w:space="0" w:color="auto"/>
            </w:tcBorders>
            <w:shd w:val="clear" w:color="auto" w:fill="auto"/>
            <w:vAlign w:val="center"/>
          </w:tcPr>
          <w:p w:rsidR="00500991" w:rsidRPr="00A75DF9" w:rsidRDefault="00500991" w:rsidP="001A63C6">
            <w:pPr>
              <w:pStyle w:val="TableText"/>
              <w:widowControl w:val="0"/>
              <w:rPr>
                <w:rFonts w:ascii="Tahoma" w:hAnsi="Tahoma" w:cs="Tahoma"/>
                <w:sz w:val="13"/>
              </w:rPr>
            </w:pPr>
          </w:p>
        </w:tc>
        <w:tc>
          <w:tcPr>
            <w:tcW w:w="455" w:type="dxa"/>
            <w:tcBorders>
              <w:left w:val="single" w:sz="18" w:space="0" w:color="auto"/>
              <w:bottom w:val="single" w:sz="4" w:space="0" w:color="auto"/>
            </w:tcBorders>
            <w:shd w:val="clear" w:color="auto" w:fill="auto"/>
            <w:vAlign w:val="center"/>
          </w:tcPr>
          <w:p w:rsidR="00500991" w:rsidRPr="00A75DF9" w:rsidRDefault="00500991"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00991" w:rsidRPr="00A75DF9" w:rsidRDefault="00500991"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00991" w:rsidRPr="00A75DF9" w:rsidRDefault="00500991"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00991" w:rsidRPr="00A75DF9" w:rsidRDefault="00500991"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00991" w:rsidRPr="00A75DF9" w:rsidRDefault="00500991"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500991" w:rsidRPr="00A75DF9" w:rsidRDefault="00500991"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500991" w:rsidRPr="00A75DF9" w:rsidRDefault="00500991" w:rsidP="001A63C6">
            <w:pPr>
              <w:pStyle w:val="TableText"/>
              <w:widowControl w:val="0"/>
              <w:rPr>
                <w:rFonts w:ascii="Tahoma" w:hAnsi="Tahoma" w:cs="Tahoma"/>
                <w:sz w:val="13"/>
              </w:rPr>
            </w:pPr>
          </w:p>
        </w:tc>
        <w:tc>
          <w:tcPr>
            <w:tcW w:w="539" w:type="dxa"/>
            <w:tcBorders>
              <w:bottom w:val="single" w:sz="4" w:space="0" w:color="auto"/>
            </w:tcBorders>
            <w:shd w:val="clear" w:color="auto" w:fill="auto"/>
            <w:vAlign w:val="center"/>
          </w:tcPr>
          <w:p w:rsidR="00500991" w:rsidRPr="00A75DF9" w:rsidRDefault="00500991" w:rsidP="001A63C6">
            <w:pPr>
              <w:pStyle w:val="TableText"/>
              <w:widowControl w:val="0"/>
              <w:rPr>
                <w:rFonts w:ascii="Tahoma" w:hAnsi="Tahoma" w:cs="Tahoma"/>
                <w:sz w:val="13"/>
              </w:rPr>
            </w:pPr>
          </w:p>
        </w:tc>
      </w:tr>
      <w:tr w:rsidR="00500991" w:rsidRPr="00A75DF9" w:rsidTr="008A1262">
        <w:trPr>
          <w:trHeight w:val="260"/>
        </w:trPr>
        <w:tc>
          <w:tcPr>
            <w:tcW w:w="2724" w:type="dxa"/>
            <w:gridSpan w:val="2"/>
            <w:tcBorders>
              <w:bottom w:val="single" w:sz="4" w:space="0" w:color="auto"/>
            </w:tcBorders>
            <w:shd w:val="clear" w:color="auto" w:fill="FABF8F"/>
          </w:tcPr>
          <w:p w:rsidR="00500991" w:rsidRPr="00A75DF9" w:rsidRDefault="00500991" w:rsidP="008B1245">
            <w:pPr>
              <w:pStyle w:val="Heading2"/>
              <w:spacing w:beforeLines="20" w:before="48" w:afterLines="20" w:after="48"/>
              <w:ind w:left="0"/>
              <w:rPr>
                <w:rFonts w:ascii="Tahoma" w:hAnsi="Tahoma" w:cs="Tahoma"/>
                <w:b w:val="0"/>
                <w:sz w:val="14"/>
                <w:szCs w:val="14"/>
              </w:rPr>
            </w:pPr>
            <w:bookmarkStart w:id="471" w:name="_Toc336338106"/>
            <w:bookmarkStart w:id="472" w:name="_Toc368310103"/>
            <w:r w:rsidRPr="00A75DF9">
              <w:rPr>
                <w:rFonts w:ascii="Tahoma" w:hAnsi="Tahoma" w:cs="Tahoma"/>
                <w:b w:val="0"/>
                <w:sz w:val="14"/>
                <w:szCs w:val="14"/>
              </w:rPr>
              <w:t>VDI Premium Suite</w:t>
            </w:r>
            <w:bookmarkEnd w:id="471"/>
            <w:bookmarkEnd w:id="472"/>
          </w:p>
        </w:tc>
        <w:tc>
          <w:tcPr>
            <w:tcW w:w="448" w:type="dxa"/>
            <w:tcBorders>
              <w:bottom w:val="single" w:sz="4" w:space="0" w:color="auto"/>
            </w:tcBorders>
            <w:shd w:val="clear" w:color="auto" w:fill="FABF8F"/>
            <w:vAlign w:val="center"/>
          </w:tcPr>
          <w:p w:rsidR="00500991" w:rsidRPr="00B41377" w:rsidRDefault="00B54770" w:rsidP="00FC0808">
            <w:pPr>
              <w:pStyle w:val="TableText"/>
              <w:widowControl w:val="0"/>
              <w:rPr>
                <w:rStyle w:val="EndnoteReference"/>
                <w:rFonts w:cs="Tahoma"/>
                <w:b w:val="0"/>
                <w:sz w:val="13"/>
                <w:szCs w:val="13"/>
                <w:u w:val="single"/>
              </w:rPr>
            </w:pPr>
            <w:hyperlink w:anchor="_99_VDI_Standard" w:history="1">
              <w:r w:rsidR="00734B17" w:rsidRPr="00B41377">
                <w:rPr>
                  <w:rStyle w:val="Hyperlink"/>
                  <w:rFonts w:cs="Tahoma"/>
                  <w:b/>
                  <w:sz w:val="13"/>
                  <w:szCs w:val="13"/>
                </w:rPr>
                <w:t>98</w:t>
              </w:r>
            </w:hyperlink>
          </w:p>
        </w:tc>
        <w:tc>
          <w:tcPr>
            <w:tcW w:w="449" w:type="dxa"/>
            <w:tcBorders>
              <w:bottom w:val="single" w:sz="4" w:space="0" w:color="auto"/>
            </w:tcBorders>
            <w:shd w:val="clear" w:color="auto" w:fill="FABF8F"/>
          </w:tcPr>
          <w:p w:rsidR="00500991" w:rsidRPr="00A75DF9" w:rsidRDefault="00500991" w:rsidP="001A63C6">
            <w:pPr>
              <w:pStyle w:val="TableText"/>
              <w:widowControl w:val="0"/>
              <w:rPr>
                <w:rFonts w:ascii="Tahoma" w:hAnsi="Tahoma" w:cs="Tahoma"/>
                <w:sz w:val="13"/>
              </w:rPr>
            </w:pPr>
          </w:p>
        </w:tc>
        <w:tc>
          <w:tcPr>
            <w:tcW w:w="359" w:type="dxa"/>
            <w:tcBorders>
              <w:bottom w:val="single" w:sz="4" w:space="0" w:color="auto"/>
              <w:right w:val="single" w:sz="18" w:space="0" w:color="auto"/>
            </w:tcBorders>
            <w:shd w:val="clear" w:color="auto" w:fill="FABF8F"/>
            <w:vAlign w:val="center"/>
          </w:tcPr>
          <w:p w:rsidR="00500991" w:rsidRPr="00A75DF9" w:rsidRDefault="00500991" w:rsidP="001A63C6">
            <w:pPr>
              <w:pStyle w:val="TableText"/>
              <w:widowControl w:val="0"/>
              <w:rPr>
                <w:rFonts w:ascii="Tahoma" w:hAnsi="Tahoma" w:cs="Tahoma"/>
                <w:sz w:val="13"/>
              </w:rPr>
            </w:pPr>
          </w:p>
        </w:tc>
        <w:tc>
          <w:tcPr>
            <w:tcW w:w="356" w:type="dxa"/>
            <w:tcBorders>
              <w:left w:val="single" w:sz="18" w:space="0" w:color="auto"/>
              <w:bottom w:val="single" w:sz="4" w:space="0" w:color="auto"/>
              <w:right w:val="single" w:sz="4" w:space="0" w:color="auto"/>
            </w:tcBorders>
            <w:shd w:val="clear" w:color="auto" w:fill="FABF8F"/>
            <w:vAlign w:val="center"/>
          </w:tcPr>
          <w:p w:rsidR="00500991" w:rsidRPr="00A75DF9" w:rsidRDefault="00500991" w:rsidP="001A63C6">
            <w:pPr>
              <w:pStyle w:val="TableText"/>
              <w:widowControl w:val="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500991" w:rsidRPr="00A75DF9" w:rsidRDefault="00500991" w:rsidP="001A63C6">
            <w:pPr>
              <w:pStyle w:val="TableText"/>
              <w:widowControl w:val="0"/>
              <w:rPr>
                <w:rFonts w:ascii="Tahoma" w:hAnsi="Tahoma" w:cs="Tahoma"/>
                <w:sz w:val="13"/>
              </w:rPr>
            </w:pPr>
          </w:p>
        </w:tc>
        <w:tc>
          <w:tcPr>
            <w:tcW w:w="464" w:type="dxa"/>
            <w:gridSpan w:val="2"/>
            <w:tcBorders>
              <w:left w:val="single" w:sz="4" w:space="0" w:color="auto"/>
              <w:bottom w:val="single" w:sz="4" w:space="0" w:color="auto"/>
              <w:right w:val="single" w:sz="4" w:space="0" w:color="auto"/>
            </w:tcBorders>
            <w:shd w:val="clear" w:color="auto" w:fill="FABF8F"/>
            <w:vAlign w:val="center"/>
          </w:tcPr>
          <w:p w:rsidR="00500991" w:rsidRPr="00A75DF9" w:rsidRDefault="00500991" w:rsidP="001A63C6">
            <w:pPr>
              <w:pStyle w:val="TableText"/>
              <w:widowControl w:val="0"/>
              <w:rPr>
                <w:rFonts w:ascii="Tahoma" w:hAnsi="Tahoma" w:cs="Tahoma"/>
                <w:sz w:val="13"/>
              </w:rPr>
            </w:pPr>
          </w:p>
        </w:tc>
        <w:tc>
          <w:tcPr>
            <w:tcW w:w="432" w:type="dxa"/>
            <w:tcBorders>
              <w:left w:val="single" w:sz="4" w:space="0" w:color="auto"/>
              <w:bottom w:val="single" w:sz="4" w:space="0" w:color="auto"/>
              <w:right w:val="single" w:sz="4" w:space="0" w:color="auto"/>
            </w:tcBorders>
            <w:shd w:val="clear" w:color="auto" w:fill="FABF8F"/>
            <w:vAlign w:val="center"/>
          </w:tcPr>
          <w:p w:rsidR="00500991" w:rsidRPr="00A75DF9" w:rsidRDefault="00500991" w:rsidP="001A63C6">
            <w:pPr>
              <w:pStyle w:val="TableText"/>
              <w:widowControl w:val="0"/>
              <w:rPr>
                <w:rFonts w:ascii="Tahoma" w:hAnsi="Tahoma" w:cs="Tahoma"/>
                <w:sz w:val="13"/>
              </w:rPr>
            </w:pPr>
          </w:p>
        </w:tc>
        <w:tc>
          <w:tcPr>
            <w:tcW w:w="454" w:type="dxa"/>
            <w:gridSpan w:val="2"/>
            <w:tcBorders>
              <w:left w:val="single" w:sz="4" w:space="0" w:color="auto"/>
              <w:bottom w:val="single" w:sz="4" w:space="0" w:color="auto"/>
              <w:right w:val="single" w:sz="4" w:space="0" w:color="auto"/>
            </w:tcBorders>
            <w:shd w:val="clear" w:color="auto" w:fill="FABF8F"/>
            <w:vAlign w:val="center"/>
          </w:tcPr>
          <w:p w:rsidR="00500991" w:rsidRPr="00A75DF9" w:rsidRDefault="00500991" w:rsidP="001A63C6">
            <w:pPr>
              <w:pStyle w:val="TableText"/>
              <w:widowControl w:val="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FABF8F"/>
            <w:vAlign w:val="center"/>
          </w:tcPr>
          <w:p w:rsidR="00500991" w:rsidRPr="00A75DF9" w:rsidRDefault="00500991" w:rsidP="001A63C6">
            <w:pPr>
              <w:pStyle w:val="TableText"/>
              <w:widowControl w:val="0"/>
              <w:rPr>
                <w:rFonts w:ascii="Tahoma" w:hAnsi="Tahoma" w:cs="Tahoma"/>
                <w:sz w:val="13"/>
              </w:rPr>
            </w:pPr>
          </w:p>
        </w:tc>
        <w:tc>
          <w:tcPr>
            <w:tcW w:w="374" w:type="dxa"/>
            <w:tcBorders>
              <w:left w:val="single" w:sz="4" w:space="0" w:color="auto"/>
              <w:bottom w:val="single" w:sz="4" w:space="0" w:color="auto"/>
              <w:right w:val="single" w:sz="18" w:space="0" w:color="auto"/>
            </w:tcBorders>
            <w:shd w:val="clear" w:color="auto" w:fill="FABF8F"/>
            <w:vAlign w:val="center"/>
          </w:tcPr>
          <w:p w:rsidR="00500991" w:rsidRPr="00A75DF9" w:rsidRDefault="00500991" w:rsidP="001A63C6">
            <w:pPr>
              <w:pStyle w:val="TableText"/>
              <w:widowControl w:val="0"/>
              <w:rPr>
                <w:rFonts w:ascii="Tahoma" w:hAnsi="Tahoma" w:cs="Tahoma"/>
                <w:sz w:val="13"/>
              </w:rPr>
            </w:pPr>
          </w:p>
        </w:tc>
        <w:tc>
          <w:tcPr>
            <w:tcW w:w="455" w:type="dxa"/>
            <w:tcBorders>
              <w:left w:val="single" w:sz="18" w:space="0" w:color="auto"/>
              <w:bottom w:val="single" w:sz="4" w:space="0" w:color="auto"/>
            </w:tcBorders>
            <w:shd w:val="clear" w:color="auto" w:fill="FABF8F"/>
            <w:vAlign w:val="center"/>
          </w:tcPr>
          <w:p w:rsidR="00500991" w:rsidRPr="00A75DF9" w:rsidRDefault="00500991"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500991" w:rsidRPr="00A75DF9" w:rsidRDefault="00500991"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A75DF9" w:rsidRDefault="00500991"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500991" w:rsidRPr="00A75DF9" w:rsidRDefault="00500991"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500991" w:rsidRPr="00A75DF9" w:rsidRDefault="00500991"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500991" w:rsidRPr="00A75DF9" w:rsidRDefault="00500991"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500991" w:rsidRPr="00A75DF9" w:rsidRDefault="00500991" w:rsidP="001A63C6">
            <w:pPr>
              <w:pStyle w:val="TableText"/>
              <w:widowControl w:val="0"/>
              <w:rPr>
                <w:rFonts w:ascii="Tahoma" w:hAnsi="Tahoma" w:cs="Tahoma"/>
                <w:sz w:val="13"/>
              </w:rPr>
            </w:pPr>
          </w:p>
        </w:tc>
        <w:tc>
          <w:tcPr>
            <w:tcW w:w="539" w:type="dxa"/>
            <w:tcBorders>
              <w:bottom w:val="single" w:sz="4" w:space="0" w:color="auto"/>
            </w:tcBorders>
            <w:shd w:val="clear" w:color="auto" w:fill="FABF8F"/>
            <w:vAlign w:val="center"/>
          </w:tcPr>
          <w:p w:rsidR="00500991" w:rsidRPr="00A75DF9" w:rsidRDefault="00500991" w:rsidP="001A63C6">
            <w:pPr>
              <w:pStyle w:val="TableText"/>
              <w:widowControl w:val="0"/>
              <w:rPr>
                <w:rFonts w:ascii="Tahoma" w:hAnsi="Tahoma" w:cs="Tahoma"/>
                <w:sz w:val="13"/>
              </w:rPr>
            </w:pPr>
          </w:p>
        </w:tc>
      </w:tr>
      <w:tr w:rsidR="00500991" w:rsidRPr="00A75DF9" w:rsidTr="008A1262">
        <w:trPr>
          <w:trHeight w:val="260"/>
        </w:trPr>
        <w:tc>
          <w:tcPr>
            <w:tcW w:w="2724" w:type="dxa"/>
            <w:gridSpan w:val="2"/>
            <w:tcBorders>
              <w:bottom w:val="single" w:sz="4" w:space="0" w:color="auto"/>
            </w:tcBorders>
            <w:shd w:val="clear" w:color="auto" w:fill="auto"/>
          </w:tcPr>
          <w:p w:rsidR="00500991" w:rsidRPr="00A75DF9" w:rsidRDefault="00500991" w:rsidP="008B1245">
            <w:pPr>
              <w:pStyle w:val="Heading2"/>
              <w:spacing w:beforeLines="20" w:before="48" w:afterLines="20" w:after="48"/>
              <w:ind w:left="0"/>
              <w:rPr>
                <w:rFonts w:ascii="Tahoma" w:hAnsi="Tahoma" w:cs="Tahoma"/>
                <w:b w:val="0"/>
                <w:sz w:val="14"/>
                <w:szCs w:val="14"/>
              </w:rPr>
            </w:pPr>
            <w:bookmarkStart w:id="473" w:name="_Toc336338107"/>
            <w:bookmarkStart w:id="474" w:name="_Toc368310104"/>
            <w:r w:rsidRPr="00A75DF9">
              <w:rPr>
                <w:rFonts w:ascii="Tahoma" w:hAnsi="Tahoma" w:cs="Tahoma"/>
                <w:b w:val="0"/>
                <w:sz w:val="14"/>
                <w:szCs w:val="14"/>
              </w:rPr>
              <w:t>VDI Premium Suite con MDOP</w:t>
            </w:r>
            <w:bookmarkEnd w:id="473"/>
            <w:bookmarkEnd w:id="474"/>
          </w:p>
        </w:tc>
        <w:tc>
          <w:tcPr>
            <w:tcW w:w="448" w:type="dxa"/>
            <w:tcBorders>
              <w:bottom w:val="single" w:sz="4" w:space="0" w:color="auto"/>
            </w:tcBorders>
            <w:shd w:val="clear" w:color="auto" w:fill="auto"/>
            <w:vAlign w:val="center"/>
          </w:tcPr>
          <w:p w:rsidR="00500991" w:rsidRPr="00B41377" w:rsidRDefault="00B54770" w:rsidP="00FC0808">
            <w:pPr>
              <w:pStyle w:val="TableText"/>
              <w:widowControl w:val="0"/>
              <w:rPr>
                <w:rStyle w:val="EndnoteReference"/>
                <w:rFonts w:cs="Tahoma"/>
                <w:b w:val="0"/>
                <w:sz w:val="13"/>
                <w:szCs w:val="13"/>
                <w:u w:val="single"/>
              </w:rPr>
            </w:pPr>
            <w:hyperlink w:anchor="_99_VDI_Standard" w:history="1">
              <w:r w:rsidR="00734B17" w:rsidRPr="00B41377">
                <w:rPr>
                  <w:rStyle w:val="Hyperlink"/>
                  <w:rFonts w:cs="Tahoma"/>
                  <w:b/>
                  <w:sz w:val="13"/>
                  <w:szCs w:val="13"/>
                </w:rPr>
                <w:t>98</w:t>
              </w:r>
            </w:hyperlink>
          </w:p>
        </w:tc>
        <w:tc>
          <w:tcPr>
            <w:tcW w:w="449" w:type="dxa"/>
            <w:tcBorders>
              <w:bottom w:val="single" w:sz="4" w:space="0" w:color="auto"/>
            </w:tcBorders>
            <w:shd w:val="clear" w:color="auto" w:fill="auto"/>
          </w:tcPr>
          <w:p w:rsidR="00500991" w:rsidRPr="00A75DF9" w:rsidRDefault="00500991" w:rsidP="001A63C6">
            <w:pPr>
              <w:pStyle w:val="TableText"/>
              <w:widowControl w:val="0"/>
              <w:rPr>
                <w:rFonts w:ascii="Tahoma" w:hAnsi="Tahoma" w:cs="Tahoma"/>
                <w:sz w:val="13"/>
              </w:rPr>
            </w:pPr>
          </w:p>
        </w:tc>
        <w:tc>
          <w:tcPr>
            <w:tcW w:w="359" w:type="dxa"/>
            <w:tcBorders>
              <w:bottom w:val="single" w:sz="4" w:space="0" w:color="auto"/>
              <w:right w:val="single" w:sz="18" w:space="0" w:color="auto"/>
            </w:tcBorders>
            <w:shd w:val="clear" w:color="auto" w:fill="auto"/>
            <w:vAlign w:val="center"/>
          </w:tcPr>
          <w:p w:rsidR="00500991" w:rsidRPr="00A75DF9" w:rsidRDefault="00500991" w:rsidP="001A63C6">
            <w:pPr>
              <w:pStyle w:val="TableText"/>
              <w:widowControl w:val="0"/>
              <w:rPr>
                <w:rFonts w:ascii="Tahoma" w:hAnsi="Tahoma" w:cs="Tahoma"/>
                <w:sz w:val="13"/>
              </w:rPr>
            </w:pPr>
          </w:p>
        </w:tc>
        <w:tc>
          <w:tcPr>
            <w:tcW w:w="356" w:type="dxa"/>
            <w:tcBorders>
              <w:left w:val="single" w:sz="18" w:space="0" w:color="auto"/>
              <w:bottom w:val="single" w:sz="4" w:space="0" w:color="auto"/>
              <w:right w:val="single" w:sz="4" w:space="0" w:color="auto"/>
            </w:tcBorders>
            <w:shd w:val="clear" w:color="auto" w:fill="auto"/>
            <w:vAlign w:val="center"/>
          </w:tcPr>
          <w:p w:rsidR="00500991" w:rsidRPr="00A75DF9" w:rsidRDefault="00500991" w:rsidP="001A63C6">
            <w:pPr>
              <w:pStyle w:val="TableText"/>
              <w:widowControl w:val="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500991" w:rsidRPr="00A75DF9" w:rsidRDefault="00500991" w:rsidP="001A63C6">
            <w:pPr>
              <w:pStyle w:val="TableText"/>
              <w:widowControl w:val="0"/>
              <w:rPr>
                <w:rFonts w:ascii="Tahoma" w:hAnsi="Tahoma" w:cs="Tahoma"/>
                <w:sz w:val="13"/>
              </w:rPr>
            </w:pPr>
          </w:p>
        </w:tc>
        <w:tc>
          <w:tcPr>
            <w:tcW w:w="464" w:type="dxa"/>
            <w:gridSpan w:val="2"/>
            <w:tcBorders>
              <w:left w:val="single" w:sz="4" w:space="0" w:color="auto"/>
              <w:bottom w:val="single" w:sz="4" w:space="0" w:color="auto"/>
              <w:right w:val="single" w:sz="4" w:space="0" w:color="auto"/>
            </w:tcBorders>
            <w:shd w:val="clear" w:color="auto" w:fill="auto"/>
            <w:vAlign w:val="center"/>
          </w:tcPr>
          <w:p w:rsidR="00500991" w:rsidRPr="00A75DF9" w:rsidRDefault="00500991" w:rsidP="001A63C6">
            <w:pPr>
              <w:pStyle w:val="TableText"/>
              <w:widowControl w:val="0"/>
              <w:rPr>
                <w:rFonts w:ascii="Tahoma" w:hAnsi="Tahoma" w:cs="Tahoma"/>
                <w:sz w:val="13"/>
              </w:rPr>
            </w:pPr>
          </w:p>
        </w:tc>
        <w:tc>
          <w:tcPr>
            <w:tcW w:w="432" w:type="dxa"/>
            <w:tcBorders>
              <w:left w:val="single" w:sz="4" w:space="0" w:color="auto"/>
              <w:bottom w:val="single" w:sz="4" w:space="0" w:color="auto"/>
              <w:right w:val="single" w:sz="4" w:space="0" w:color="auto"/>
            </w:tcBorders>
            <w:shd w:val="clear" w:color="auto" w:fill="auto"/>
            <w:vAlign w:val="center"/>
          </w:tcPr>
          <w:p w:rsidR="00500991" w:rsidRPr="00A75DF9" w:rsidRDefault="00500991" w:rsidP="001A63C6">
            <w:pPr>
              <w:pStyle w:val="TableText"/>
              <w:widowControl w:val="0"/>
              <w:rPr>
                <w:rFonts w:ascii="Tahoma" w:hAnsi="Tahoma" w:cs="Tahoma"/>
                <w:sz w:val="13"/>
              </w:rPr>
            </w:pPr>
          </w:p>
        </w:tc>
        <w:tc>
          <w:tcPr>
            <w:tcW w:w="454" w:type="dxa"/>
            <w:gridSpan w:val="2"/>
            <w:tcBorders>
              <w:left w:val="single" w:sz="4" w:space="0" w:color="auto"/>
              <w:bottom w:val="single" w:sz="4" w:space="0" w:color="auto"/>
              <w:right w:val="single" w:sz="4" w:space="0" w:color="auto"/>
            </w:tcBorders>
            <w:shd w:val="clear" w:color="auto" w:fill="auto"/>
            <w:vAlign w:val="center"/>
          </w:tcPr>
          <w:p w:rsidR="00500991" w:rsidRPr="00A75DF9" w:rsidRDefault="00500991" w:rsidP="001A63C6">
            <w:pPr>
              <w:pStyle w:val="TableText"/>
              <w:widowControl w:val="0"/>
              <w:rPr>
                <w:rFonts w:ascii="Tahoma" w:hAnsi="Tahoma" w:cs="Tahoma"/>
                <w:sz w:val="13"/>
              </w:rPr>
            </w:pPr>
          </w:p>
        </w:tc>
        <w:tc>
          <w:tcPr>
            <w:tcW w:w="450" w:type="dxa"/>
            <w:tcBorders>
              <w:left w:val="single" w:sz="4" w:space="0" w:color="auto"/>
              <w:bottom w:val="single" w:sz="4" w:space="0" w:color="auto"/>
              <w:right w:val="single" w:sz="4" w:space="0" w:color="auto"/>
            </w:tcBorders>
            <w:shd w:val="clear" w:color="auto" w:fill="auto"/>
            <w:vAlign w:val="center"/>
          </w:tcPr>
          <w:p w:rsidR="00500991" w:rsidRPr="00A75DF9" w:rsidRDefault="00500991" w:rsidP="001A63C6">
            <w:pPr>
              <w:pStyle w:val="TableText"/>
              <w:widowControl w:val="0"/>
              <w:rPr>
                <w:rFonts w:ascii="Tahoma" w:hAnsi="Tahoma" w:cs="Tahoma"/>
                <w:sz w:val="13"/>
              </w:rPr>
            </w:pPr>
          </w:p>
        </w:tc>
        <w:tc>
          <w:tcPr>
            <w:tcW w:w="374" w:type="dxa"/>
            <w:tcBorders>
              <w:left w:val="single" w:sz="4" w:space="0" w:color="auto"/>
              <w:bottom w:val="single" w:sz="4" w:space="0" w:color="auto"/>
              <w:right w:val="single" w:sz="18" w:space="0" w:color="auto"/>
            </w:tcBorders>
            <w:shd w:val="clear" w:color="auto" w:fill="auto"/>
            <w:vAlign w:val="center"/>
          </w:tcPr>
          <w:p w:rsidR="00500991" w:rsidRPr="00A75DF9" w:rsidRDefault="00500991" w:rsidP="001A63C6">
            <w:pPr>
              <w:pStyle w:val="TableText"/>
              <w:widowControl w:val="0"/>
              <w:rPr>
                <w:rFonts w:ascii="Tahoma" w:hAnsi="Tahoma" w:cs="Tahoma"/>
                <w:sz w:val="13"/>
              </w:rPr>
            </w:pPr>
          </w:p>
        </w:tc>
        <w:tc>
          <w:tcPr>
            <w:tcW w:w="455" w:type="dxa"/>
            <w:tcBorders>
              <w:left w:val="single" w:sz="18" w:space="0" w:color="auto"/>
              <w:bottom w:val="single" w:sz="4" w:space="0" w:color="auto"/>
            </w:tcBorders>
            <w:shd w:val="clear" w:color="auto" w:fill="auto"/>
            <w:vAlign w:val="center"/>
          </w:tcPr>
          <w:p w:rsidR="00500991" w:rsidRPr="00A75DF9" w:rsidRDefault="00500991"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500991" w:rsidRPr="00A75DF9" w:rsidRDefault="00500991"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00991" w:rsidRPr="00A75DF9" w:rsidRDefault="00500991"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500991" w:rsidRPr="00A75DF9" w:rsidRDefault="00500991"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500991" w:rsidRPr="00A75DF9" w:rsidRDefault="00500991"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500991" w:rsidRPr="00A75DF9" w:rsidRDefault="00500991"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500991" w:rsidRPr="00A75DF9" w:rsidRDefault="00500991" w:rsidP="001A63C6">
            <w:pPr>
              <w:pStyle w:val="TableText"/>
              <w:widowControl w:val="0"/>
              <w:rPr>
                <w:rFonts w:ascii="Tahoma" w:hAnsi="Tahoma" w:cs="Tahoma"/>
                <w:sz w:val="13"/>
              </w:rPr>
            </w:pPr>
          </w:p>
        </w:tc>
        <w:tc>
          <w:tcPr>
            <w:tcW w:w="539" w:type="dxa"/>
            <w:tcBorders>
              <w:bottom w:val="single" w:sz="4" w:space="0" w:color="auto"/>
            </w:tcBorders>
            <w:shd w:val="clear" w:color="auto" w:fill="auto"/>
            <w:vAlign w:val="center"/>
          </w:tcPr>
          <w:p w:rsidR="00500991" w:rsidRPr="00A75DF9" w:rsidRDefault="00500991" w:rsidP="001A63C6">
            <w:pPr>
              <w:pStyle w:val="TableText"/>
              <w:widowControl w:val="0"/>
              <w:rPr>
                <w:rFonts w:ascii="Tahoma" w:hAnsi="Tahoma" w:cs="Tahoma"/>
                <w:sz w:val="13"/>
              </w:rPr>
            </w:pPr>
          </w:p>
        </w:tc>
      </w:tr>
      <w:tr w:rsidR="0084456B" w:rsidRPr="00A75DF9" w:rsidTr="008A1262">
        <w:trPr>
          <w:trHeight w:val="145"/>
        </w:trPr>
        <w:tc>
          <w:tcPr>
            <w:tcW w:w="2724" w:type="dxa"/>
            <w:gridSpan w:val="2"/>
            <w:tcBorders>
              <w:bottom w:val="single" w:sz="4" w:space="0" w:color="auto"/>
            </w:tcBorders>
            <w:shd w:val="clear" w:color="auto" w:fill="FABF8F"/>
          </w:tcPr>
          <w:p w:rsidR="001A63C6" w:rsidRPr="00A75DF9" w:rsidRDefault="001A63C6" w:rsidP="008B1245">
            <w:pPr>
              <w:pStyle w:val="Heading2"/>
              <w:spacing w:beforeLines="20" w:before="48" w:afterLines="20" w:after="48"/>
              <w:ind w:left="0"/>
              <w:rPr>
                <w:rFonts w:ascii="Tahoma" w:hAnsi="Tahoma" w:cs="Tahoma"/>
                <w:b w:val="0"/>
                <w:sz w:val="14"/>
                <w:szCs w:val="14"/>
              </w:rPr>
            </w:pPr>
            <w:bookmarkStart w:id="475" w:name="_Toc336338108"/>
            <w:bookmarkStart w:id="476" w:name="_Toc368310105"/>
            <w:r w:rsidRPr="00A75DF9">
              <w:rPr>
                <w:rFonts w:ascii="Tahoma" w:hAnsi="Tahoma" w:cs="Tahoma"/>
                <w:b w:val="0"/>
                <w:sz w:val="14"/>
                <w:szCs w:val="14"/>
              </w:rPr>
              <w:t>Virtual Server 2005 R2 Enterprise Edition</w:t>
            </w:r>
            <w:bookmarkEnd w:id="475"/>
            <w:bookmarkEnd w:id="476"/>
          </w:p>
        </w:tc>
        <w:tc>
          <w:tcPr>
            <w:tcW w:w="448" w:type="dxa"/>
            <w:tcBorders>
              <w:bottom w:val="single" w:sz="4" w:space="0" w:color="auto"/>
            </w:tcBorders>
            <w:shd w:val="clear" w:color="auto" w:fill="FABF8F"/>
            <w:vAlign w:val="center"/>
          </w:tcPr>
          <w:p w:rsidR="001A63C6" w:rsidRPr="00B41377" w:rsidRDefault="001A63C6" w:rsidP="001A63C6">
            <w:pPr>
              <w:pStyle w:val="TableText"/>
              <w:widowControl w:val="0"/>
              <w:rPr>
                <w:rStyle w:val="EndnoteReference"/>
                <w:rFonts w:cs="Tahoma"/>
                <w:sz w:val="13"/>
                <w:szCs w:val="13"/>
                <w:u w:val="single"/>
              </w:rPr>
            </w:pPr>
          </w:p>
        </w:tc>
        <w:tc>
          <w:tcPr>
            <w:tcW w:w="449" w:type="dxa"/>
            <w:tcBorders>
              <w:bottom w:val="single" w:sz="4" w:space="0" w:color="auto"/>
            </w:tcBorders>
            <w:shd w:val="clear" w:color="auto" w:fill="FABF8F"/>
            <w:vAlign w:val="center"/>
          </w:tcPr>
          <w:p w:rsidR="001A63C6" w:rsidRPr="00A75DF9" w:rsidRDefault="001A63C6" w:rsidP="001A63C6">
            <w:pPr>
              <w:pStyle w:val="TableText"/>
              <w:widowControl w:val="0"/>
              <w:spacing w:before="80"/>
              <w:rPr>
                <w:rFonts w:ascii="Tahoma" w:hAnsi="Tahoma" w:cs="Tahoma"/>
                <w:sz w:val="13"/>
              </w:rPr>
            </w:pPr>
            <w:r w:rsidRPr="00A75DF9">
              <w:rPr>
                <w:rFonts w:ascii="Tahoma" w:hAnsi="Tahoma" w:cs="Tahoma"/>
                <w:sz w:val="13"/>
              </w:rPr>
              <w:t>12/05</w:t>
            </w:r>
          </w:p>
        </w:tc>
        <w:tc>
          <w:tcPr>
            <w:tcW w:w="359"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SRV</w:t>
            </w:r>
          </w:p>
        </w:tc>
        <w:tc>
          <w:tcPr>
            <w:tcW w:w="356"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41" w:type="dxa"/>
            <w:gridSpan w:val="2"/>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4" w:type="dxa"/>
            <w:gridSpan w:val="2"/>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374"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5"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A75DF9" w:rsidRDefault="001A63C6" w:rsidP="001A63C6">
            <w:pPr>
              <w:pStyle w:val="TableText"/>
              <w:widowControl w:val="0"/>
              <w:rPr>
                <w:rFonts w:ascii="Tahoma" w:hAnsi="Tahoma" w:cs="Tahoma"/>
                <w:sz w:val="13"/>
              </w:rPr>
            </w:pPr>
          </w:p>
        </w:tc>
        <w:tc>
          <w:tcPr>
            <w:tcW w:w="539"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r>
      <w:tr w:rsidR="00500991" w:rsidRPr="00A75DF9" w:rsidTr="008A1262">
        <w:trPr>
          <w:trHeight w:val="145"/>
        </w:trPr>
        <w:tc>
          <w:tcPr>
            <w:tcW w:w="2724" w:type="dxa"/>
            <w:gridSpan w:val="2"/>
            <w:tcBorders>
              <w:bottom w:val="single" w:sz="4" w:space="0" w:color="auto"/>
            </w:tcBorders>
            <w:shd w:val="clear" w:color="auto" w:fill="auto"/>
            <w:vAlign w:val="center"/>
          </w:tcPr>
          <w:p w:rsidR="001A63C6" w:rsidRPr="00A75DF9" w:rsidRDefault="001A63C6" w:rsidP="008B1245">
            <w:pPr>
              <w:pStyle w:val="Heading2"/>
              <w:spacing w:beforeLines="20" w:before="48" w:afterLines="20" w:after="48"/>
              <w:ind w:left="0"/>
              <w:rPr>
                <w:rFonts w:ascii="Tahoma" w:hAnsi="Tahoma" w:cs="Tahoma"/>
                <w:b w:val="0"/>
                <w:sz w:val="14"/>
                <w:szCs w:val="14"/>
              </w:rPr>
            </w:pPr>
            <w:bookmarkStart w:id="477" w:name="_Toc336338109"/>
            <w:bookmarkStart w:id="478" w:name="_Toc368310106"/>
            <w:r w:rsidRPr="00A75DF9">
              <w:rPr>
                <w:rFonts w:ascii="Tahoma" w:hAnsi="Tahoma" w:cs="Tahoma"/>
                <w:b w:val="0"/>
                <w:sz w:val="14"/>
                <w:szCs w:val="14"/>
              </w:rPr>
              <w:t>Visual Studio</w:t>
            </w:r>
            <w:r w:rsidR="009D5D7B" w:rsidRPr="00A75DF9">
              <w:rPr>
                <w:rFonts w:ascii="Tahoma" w:eastAsia="Times New Roman" w:hAnsi="Tahoma" w:cs="Tahoma"/>
                <w:b w:val="0"/>
                <w:color w:val="000000"/>
                <w:sz w:val="14"/>
                <w:szCs w:val="14"/>
                <w:vertAlign w:val="superscript"/>
              </w:rPr>
              <w:t>®</w:t>
            </w:r>
            <w:r w:rsidRPr="00A75DF9">
              <w:rPr>
                <w:rFonts w:ascii="Tahoma" w:hAnsi="Tahoma" w:cs="Tahoma"/>
                <w:b w:val="0"/>
                <w:sz w:val="14"/>
                <w:szCs w:val="14"/>
              </w:rPr>
              <w:t xml:space="preserve"> Team Foundation Server 2012 con Tecnologia SQL Server 2012</w:t>
            </w:r>
            <w:bookmarkEnd w:id="477"/>
            <w:bookmarkEnd w:id="478"/>
          </w:p>
        </w:tc>
        <w:tc>
          <w:tcPr>
            <w:tcW w:w="448" w:type="dxa"/>
            <w:tcBorders>
              <w:bottom w:val="single" w:sz="4" w:space="0" w:color="auto"/>
            </w:tcBorders>
            <w:shd w:val="clear" w:color="auto" w:fill="auto"/>
            <w:vAlign w:val="center"/>
          </w:tcPr>
          <w:p w:rsidR="001A63C6" w:rsidRPr="00B41377" w:rsidRDefault="001A63C6" w:rsidP="001A63C6">
            <w:pPr>
              <w:pStyle w:val="TableText"/>
              <w:widowControl w:val="0"/>
              <w:rPr>
                <w:rStyle w:val="EndnoteReference"/>
                <w:rFonts w:cs="Tahoma"/>
                <w:sz w:val="13"/>
                <w:szCs w:val="13"/>
              </w:rPr>
            </w:pPr>
          </w:p>
        </w:tc>
        <w:tc>
          <w:tcPr>
            <w:tcW w:w="449" w:type="dxa"/>
            <w:tcBorders>
              <w:bottom w:val="single" w:sz="4" w:space="0" w:color="auto"/>
            </w:tcBorders>
            <w:shd w:val="clear" w:color="auto" w:fill="auto"/>
            <w:vAlign w:val="center"/>
          </w:tcPr>
          <w:p w:rsidR="001A63C6" w:rsidRPr="00A75DF9" w:rsidRDefault="001A63C6" w:rsidP="001A63C6">
            <w:pPr>
              <w:pStyle w:val="TableText"/>
              <w:widowControl w:val="0"/>
              <w:spacing w:before="80"/>
              <w:rPr>
                <w:rFonts w:ascii="Tahoma" w:hAnsi="Tahoma" w:cs="Tahoma"/>
                <w:sz w:val="13"/>
              </w:rPr>
            </w:pPr>
            <w:r w:rsidRPr="00A75DF9">
              <w:rPr>
                <w:rFonts w:ascii="Tahoma" w:hAnsi="Tahoma" w:cs="Tahoma"/>
                <w:sz w:val="13"/>
              </w:rPr>
              <w:t>09/12</w:t>
            </w:r>
          </w:p>
        </w:tc>
        <w:tc>
          <w:tcPr>
            <w:tcW w:w="359"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SRV</w:t>
            </w:r>
          </w:p>
        </w:tc>
        <w:tc>
          <w:tcPr>
            <w:tcW w:w="356"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spacing w:after="120"/>
              <w:rPr>
                <w:rFonts w:ascii="Tahoma" w:hAnsi="Tahoma" w:cs="Tahoma"/>
                <w:sz w:val="13"/>
                <w:szCs w:val="13"/>
              </w:rPr>
            </w:pPr>
            <w:r w:rsidRPr="00A75DF9">
              <w:rPr>
                <w:rFonts w:ascii="Tahoma" w:hAnsi="Tahoma" w:cs="Tahoma"/>
                <w:sz w:val="13"/>
                <w:szCs w:val="13"/>
              </w:rPr>
              <w:t>5</w:t>
            </w: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spacing w:after="120"/>
              <w:rPr>
                <w:rFonts w:ascii="Tahoma" w:hAnsi="Tahoma" w:cs="Tahoma"/>
                <w:sz w:val="13"/>
                <w:szCs w:val="13"/>
              </w:rPr>
            </w:pPr>
            <w:r w:rsidRPr="00A75DF9">
              <w:rPr>
                <w:rFonts w:ascii="Tahoma" w:hAnsi="Tahoma" w:cs="Tahoma"/>
                <w:sz w:val="13"/>
                <w:szCs w:val="13"/>
              </w:rPr>
              <w:t>13</w:t>
            </w:r>
          </w:p>
        </w:tc>
        <w:tc>
          <w:tcPr>
            <w:tcW w:w="455" w:type="dxa"/>
            <w:tcBorders>
              <w:bottom w:val="single" w:sz="4" w:space="0" w:color="auto"/>
            </w:tcBorders>
            <w:shd w:val="clear" w:color="auto" w:fill="auto"/>
            <w:vAlign w:val="center"/>
          </w:tcPr>
          <w:p w:rsidR="001A63C6" w:rsidRPr="00A75DF9" w:rsidRDefault="001A63C6" w:rsidP="001A63C6">
            <w:pPr>
              <w:pStyle w:val="TableText"/>
              <w:widowControl w:val="0"/>
              <w:spacing w:after="120"/>
              <w:rPr>
                <w:rFonts w:ascii="Tahoma" w:hAnsi="Tahoma" w:cs="Tahoma"/>
                <w:sz w:val="13"/>
                <w:szCs w:val="13"/>
              </w:rPr>
            </w:pPr>
            <w:r w:rsidRPr="00A75DF9">
              <w:rPr>
                <w:rFonts w:ascii="Tahoma" w:hAnsi="Tahoma" w:cs="Tahoma"/>
                <w:sz w:val="13"/>
                <w:szCs w:val="13"/>
              </w:rPr>
              <w:t>10</w:t>
            </w:r>
          </w:p>
        </w:tc>
        <w:tc>
          <w:tcPr>
            <w:tcW w:w="441" w:type="dxa"/>
            <w:gridSpan w:val="2"/>
            <w:tcBorders>
              <w:bottom w:val="single" w:sz="4" w:space="0" w:color="auto"/>
            </w:tcBorders>
            <w:shd w:val="clear" w:color="auto" w:fill="auto"/>
            <w:vAlign w:val="center"/>
          </w:tcPr>
          <w:p w:rsidR="001A63C6" w:rsidRPr="00A75DF9" w:rsidRDefault="001A63C6" w:rsidP="001A63C6">
            <w:pPr>
              <w:pStyle w:val="TableText"/>
              <w:widowControl w:val="0"/>
              <w:spacing w:after="120"/>
              <w:rPr>
                <w:rFonts w:ascii="Tahoma" w:hAnsi="Tahoma" w:cs="Tahoma"/>
                <w:sz w:val="13"/>
                <w:szCs w:val="13"/>
              </w:rPr>
            </w:pPr>
            <w:r w:rsidRPr="00A75DF9">
              <w:rPr>
                <w:rFonts w:ascii="Tahoma" w:hAnsi="Tahoma" w:cs="Tahoma"/>
                <w:sz w:val="13"/>
                <w:szCs w:val="13"/>
              </w:rPr>
              <w:t>8</w:t>
            </w:r>
          </w:p>
        </w:tc>
        <w:tc>
          <w:tcPr>
            <w:tcW w:w="454" w:type="dxa"/>
            <w:gridSpan w:val="2"/>
            <w:tcBorders>
              <w:bottom w:val="single" w:sz="4" w:space="0" w:color="auto"/>
            </w:tcBorders>
            <w:shd w:val="clear" w:color="auto" w:fill="auto"/>
            <w:vAlign w:val="center"/>
          </w:tcPr>
          <w:p w:rsidR="001A63C6" w:rsidRPr="00A75DF9" w:rsidRDefault="001A63C6" w:rsidP="001A63C6">
            <w:pPr>
              <w:pStyle w:val="TableText"/>
              <w:widowControl w:val="0"/>
              <w:spacing w:after="120"/>
              <w:rPr>
                <w:rFonts w:ascii="Tahoma" w:hAnsi="Tahoma" w:cs="Tahoma"/>
                <w:sz w:val="13"/>
                <w:szCs w:val="13"/>
              </w:rPr>
            </w:pPr>
            <w:r w:rsidRPr="00A75DF9">
              <w:rPr>
                <w:rFonts w:ascii="Tahoma" w:hAnsi="Tahoma" w:cs="Tahoma"/>
                <w:sz w:val="13"/>
                <w:szCs w:val="13"/>
              </w:rPr>
              <w:t>8</w:t>
            </w: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spacing w:after="120"/>
              <w:rPr>
                <w:rFonts w:ascii="Tahoma" w:hAnsi="Tahoma" w:cs="Tahoma"/>
                <w:sz w:val="13"/>
                <w:szCs w:val="13"/>
              </w:rPr>
            </w:pPr>
            <w:r w:rsidRPr="00A75DF9">
              <w:rPr>
                <w:rFonts w:ascii="Tahoma" w:hAnsi="Tahoma" w:cs="Tahoma"/>
                <w:sz w:val="13"/>
                <w:szCs w:val="13"/>
              </w:rPr>
              <w:t>5</w:t>
            </w:r>
          </w:p>
        </w:tc>
        <w:tc>
          <w:tcPr>
            <w:tcW w:w="374"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spacing w:after="120"/>
              <w:rPr>
                <w:rFonts w:ascii="Tahoma" w:hAnsi="Tahoma" w:cs="Tahoma"/>
                <w:sz w:val="13"/>
                <w:szCs w:val="13"/>
              </w:rPr>
            </w:pPr>
            <w:r w:rsidRPr="00A75DF9">
              <w:rPr>
                <w:rFonts w:ascii="Tahoma" w:hAnsi="Tahoma" w:cs="Tahoma"/>
                <w:sz w:val="13"/>
                <w:szCs w:val="13"/>
              </w:rPr>
              <w:t>3</w:t>
            </w:r>
          </w:p>
        </w:tc>
        <w:tc>
          <w:tcPr>
            <w:tcW w:w="455"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spacing w:after="120"/>
              <w:rPr>
                <w:rFonts w:ascii="Tahoma" w:hAnsi="Tahoma" w:cs="Tahoma"/>
                <w:sz w:val="13"/>
                <w:szCs w:val="13"/>
              </w:rPr>
            </w:pPr>
            <w:r w:rsidRPr="00A75DF9">
              <w:rPr>
                <w:rFonts w:ascii="Tahoma" w:hAnsi="Tahoma" w:cs="Tahoma"/>
                <w:sz w:val="13"/>
                <w:szCs w:val="13"/>
              </w:rPr>
              <w:t>5</w:t>
            </w: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spacing w:after="120"/>
              <w:rPr>
                <w:rFonts w:ascii="Tahoma" w:hAnsi="Tahoma" w:cs="Tahoma"/>
                <w:sz w:val="13"/>
                <w:szCs w:val="13"/>
              </w:rPr>
            </w:pPr>
            <w:r w:rsidRPr="00A75DF9">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spacing w:after="120"/>
              <w:rPr>
                <w:rFonts w:ascii="Tahoma" w:hAnsi="Tahoma" w:cs="Tahoma"/>
                <w:sz w:val="13"/>
                <w:szCs w:val="13"/>
              </w:rPr>
            </w:pPr>
            <w:r w:rsidRPr="00A75DF9">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A,S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P</w:t>
            </w: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A</w:t>
            </w:r>
          </w:p>
        </w:tc>
        <w:tc>
          <w:tcPr>
            <w:tcW w:w="539"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r>
      <w:tr w:rsidR="0084456B" w:rsidRPr="00A75DF9" w:rsidTr="008A1262">
        <w:trPr>
          <w:trHeight w:val="145"/>
        </w:trPr>
        <w:tc>
          <w:tcPr>
            <w:tcW w:w="2724" w:type="dxa"/>
            <w:gridSpan w:val="2"/>
            <w:tcBorders>
              <w:bottom w:val="single" w:sz="4" w:space="0" w:color="auto"/>
            </w:tcBorders>
            <w:shd w:val="clear" w:color="auto" w:fill="FABF8F"/>
            <w:vAlign w:val="center"/>
          </w:tcPr>
          <w:p w:rsidR="001A63C6" w:rsidRPr="00A75DF9" w:rsidRDefault="001A63C6" w:rsidP="008B1245">
            <w:pPr>
              <w:pStyle w:val="Heading2"/>
              <w:spacing w:beforeLines="20" w:before="48" w:afterLines="20" w:after="48"/>
              <w:ind w:left="0"/>
              <w:rPr>
                <w:rFonts w:ascii="Tahoma" w:hAnsi="Tahoma" w:cs="Tahoma"/>
                <w:b w:val="0"/>
                <w:sz w:val="14"/>
                <w:szCs w:val="14"/>
              </w:rPr>
            </w:pPr>
            <w:bookmarkStart w:id="479" w:name="_Toc254805933"/>
            <w:bookmarkStart w:id="480" w:name="_Toc336338110"/>
            <w:bookmarkStart w:id="481" w:name="_Toc368310107"/>
            <w:r w:rsidRPr="00A75DF9">
              <w:rPr>
                <w:rFonts w:ascii="Tahoma" w:hAnsi="Tahoma" w:cs="Tahoma"/>
                <w:b w:val="0"/>
                <w:sz w:val="14"/>
                <w:szCs w:val="14"/>
              </w:rPr>
              <w:t>CAL per Dispositivo per Visual Studio</w:t>
            </w:r>
            <w:r w:rsidR="009D5D7B" w:rsidRPr="00A75DF9">
              <w:rPr>
                <w:rFonts w:ascii="Tahoma" w:hAnsi="Tahoma" w:cs="Tahoma"/>
                <w:b w:val="0"/>
                <w:sz w:val="14"/>
                <w:szCs w:val="14"/>
                <w:vertAlign w:val="superscript"/>
              </w:rPr>
              <w:t>®</w:t>
            </w:r>
            <w:r w:rsidRPr="00A75DF9">
              <w:rPr>
                <w:rFonts w:ascii="Tahoma" w:hAnsi="Tahoma" w:cs="Tahoma"/>
                <w:b w:val="0"/>
                <w:sz w:val="14"/>
                <w:szCs w:val="14"/>
              </w:rPr>
              <w:t xml:space="preserve"> Team Foundation Server 2012</w:t>
            </w:r>
            <w:bookmarkEnd w:id="479"/>
            <w:bookmarkEnd w:id="480"/>
            <w:bookmarkEnd w:id="481"/>
          </w:p>
        </w:tc>
        <w:tc>
          <w:tcPr>
            <w:tcW w:w="448" w:type="dxa"/>
            <w:tcBorders>
              <w:bottom w:val="single" w:sz="4" w:space="0" w:color="auto"/>
            </w:tcBorders>
            <w:shd w:val="clear" w:color="auto" w:fill="FABF8F"/>
            <w:vAlign w:val="center"/>
          </w:tcPr>
          <w:p w:rsidR="001A63C6" w:rsidRPr="00B41377" w:rsidRDefault="001A63C6" w:rsidP="001A63C6">
            <w:pPr>
              <w:pStyle w:val="TableText"/>
              <w:widowControl w:val="0"/>
              <w:rPr>
                <w:rStyle w:val="EndnoteReference"/>
                <w:rFonts w:cs="Tahoma"/>
                <w:sz w:val="13"/>
                <w:szCs w:val="13"/>
              </w:rPr>
            </w:pPr>
          </w:p>
        </w:tc>
        <w:tc>
          <w:tcPr>
            <w:tcW w:w="449" w:type="dxa"/>
            <w:tcBorders>
              <w:bottom w:val="single" w:sz="4" w:space="0" w:color="auto"/>
            </w:tcBorders>
            <w:shd w:val="clear" w:color="auto" w:fill="FABF8F"/>
            <w:vAlign w:val="center"/>
          </w:tcPr>
          <w:p w:rsidR="001A63C6" w:rsidRPr="00A75DF9" w:rsidRDefault="001A63C6" w:rsidP="001A63C6">
            <w:pPr>
              <w:pStyle w:val="TableText"/>
              <w:widowControl w:val="0"/>
              <w:spacing w:before="80"/>
              <w:rPr>
                <w:rFonts w:ascii="Tahoma" w:hAnsi="Tahoma" w:cs="Tahoma"/>
                <w:sz w:val="13"/>
              </w:rPr>
            </w:pPr>
            <w:r w:rsidRPr="00A75DF9">
              <w:rPr>
                <w:rFonts w:ascii="Tahoma" w:hAnsi="Tahoma" w:cs="Tahoma"/>
                <w:sz w:val="13"/>
              </w:rPr>
              <w:t>09/12</w:t>
            </w:r>
          </w:p>
        </w:tc>
        <w:tc>
          <w:tcPr>
            <w:tcW w:w="359"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SRV</w:t>
            </w:r>
          </w:p>
        </w:tc>
        <w:tc>
          <w:tcPr>
            <w:tcW w:w="356"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spacing w:after="120"/>
              <w:rPr>
                <w:rFonts w:ascii="Tahoma" w:hAnsi="Tahoma" w:cs="Tahoma"/>
                <w:sz w:val="13"/>
                <w:szCs w:val="13"/>
              </w:rPr>
            </w:pPr>
            <w:r w:rsidRPr="00A75DF9">
              <w:rPr>
                <w:rFonts w:ascii="Tahoma" w:hAnsi="Tahoma" w:cs="Tahoma"/>
                <w:sz w:val="13"/>
                <w:szCs w:val="13"/>
              </w:rPr>
              <w:t>5</w:t>
            </w: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spacing w:after="120"/>
              <w:rPr>
                <w:rFonts w:ascii="Tahoma" w:hAnsi="Tahoma" w:cs="Tahoma"/>
                <w:sz w:val="13"/>
                <w:szCs w:val="13"/>
              </w:rPr>
            </w:pPr>
            <w:r w:rsidRPr="00A75DF9">
              <w:rPr>
                <w:rFonts w:ascii="Tahoma" w:hAnsi="Tahoma" w:cs="Tahoma"/>
                <w:sz w:val="13"/>
                <w:szCs w:val="13"/>
              </w:rPr>
              <w:t>13</w:t>
            </w:r>
          </w:p>
        </w:tc>
        <w:tc>
          <w:tcPr>
            <w:tcW w:w="455" w:type="dxa"/>
            <w:tcBorders>
              <w:bottom w:val="single" w:sz="4" w:space="0" w:color="auto"/>
            </w:tcBorders>
            <w:shd w:val="clear" w:color="auto" w:fill="FABF8F"/>
            <w:vAlign w:val="center"/>
          </w:tcPr>
          <w:p w:rsidR="001A63C6" w:rsidRPr="00A75DF9" w:rsidRDefault="001A63C6" w:rsidP="001A63C6">
            <w:pPr>
              <w:pStyle w:val="TableText"/>
              <w:widowControl w:val="0"/>
              <w:spacing w:after="120"/>
              <w:rPr>
                <w:rFonts w:ascii="Tahoma" w:hAnsi="Tahoma" w:cs="Tahoma"/>
                <w:sz w:val="13"/>
                <w:szCs w:val="13"/>
              </w:rPr>
            </w:pPr>
            <w:r w:rsidRPr="00A75DF9">
              <w:rPr>
                <w:rFonts w:ascii="Tahoma" w:hAnsi="Tahoma" w:cs="Tahoma"/>
                <w:sz w:val="13"/>
                <w:szCs w:val="13"/>
              </w:rPr>
              <w:t>10</w:t>
            </w:r>
          </w:p>
        </w:tc>
        <w:tc>
          <w:tcPr>
            <w:tcW w:w="441" w:type="dxa"/>
            <w:gridSpan w:val="2"/>
            <w:tcBorders>
              <w:bottom w:val="single" w:sz="4" w:space="0" w:color="auto"/>
            </w:tcBorders>
            <w:shd w:val="clear" w:color="auto" w:fill="FABF8F"/>
            <w:vAlign w:val="center"/>
          </w:tcPr>
          <w:p w:rsidR="001A63C6" w:rsidRPr="00A75DF9" w:rsidRDefault="001A63C6" w:rsidP="001A63C6">
            <w:pPr>
              <w:pStyle w:val="TableText"/>
              <w:widowControl w:val="0"/>
              <w:spacing w:after="120"/>
              <w:rPr>
                <w:rFonts w:ascii="Tahoma" w:hAnsi="Tahoma" w:cs="Tahoma"/>
                <w:sz w:val="13"/>
                <w:szCs w:val="13"/>
              </w:rPr>
            </w:pPr>
            <w:r w:rsidRPr="00A75DF9">
              <w:rPr>
                <w:rFonts w:ascii="Tahoma" w:hAnsi="Tahoma" w:cs="Tahoma"/>
                <w:sz w:val="13"/>
                <w:szCs w:val="13"/>
              </w:rPr>
              <w:t>8</w:t>
            </w:r>
          </w:p>
        </w:tc>
        <w:tc>
          <w:tcPr>
            <w:tcW w:w="454" w:type="dxa"/>
            <w:gridSpan w:val="2"/>
            <w:tcBorders>
              <w:bottom w:val="single" w:sz="4" w:space="0" w:color="auto"/>
            </w:tcBorders>
            <w:shd w:val="clear" w:color="auto" w:fill="FABF8F"/>
            <w:vAlign w:val="center"/>
          </w:tcPr>
          <w:p w:rsidR="001A63C6" w:rsidRPr="00A75DF9" w:rsidRDefault="001A63C6" w:rsidP="001A63C6">
            <w:pPr>
              <w:pStyle w:val="TableText"/>
              <w:widowControl w:val="0"/>
              <w:spacing w:after="120"/>
              <w:rPr>
                <w:rFonts w:ascii="Tahoma" w:hAnsi="Tahoma" w:cs="Tahoma"/>
                <w:sz w:val="13"/>
                <w:szCs w:val="13"/>
              </w:rPr>
            </w:pPr>
            <w:r w:rsidRPr="00A75DF9">
              <w:rPr>
                <w:rFonts w:ascii="Tahoma" w:hAnsi="Tahoma" w:cs="Tahoma"/>
                <w:sz w:val="13"/>
                <w:szCs w:val="13"/>
              </w:rPr>
              <w:t>8</w:t>
            </w: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spacing w:after="120"/>
              <w:rPr>
                <w:rFonts w:ascii="Tahoma" w:hAnsi="Tahoma" w:cs="Tahoma"/>
                <w:sz w:val="13"/>
                <w:szCs w:val="13"/>
              </w:rPr>
            </w:pPr>
            <w:r w:rsidRPr="00A75DF9">
              <w:rPr>
                <w:rFonts w:ascii="Tahoma" w:hAnsi="Tahoma" w:cs="Tahoma"/>
                <w:sz w:val="13"/>
                <w:szCs w:val="13"/>
              </w:rPr>
              <w:t>5</w:t>
            </w:r>
          </w:p>
        </w:tc>
        <w:tc>
          <w:tcPr>
            <w:tcW w:w="374"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spacing w:after="120"/>
              <w:rPr>
                <w:rFonts w:ascii="Tahoma" w:hAnsi="Tahoma" w:cs="Tahoma"/>
                <w:sz w:val="13"/>
                <w:szCs w:val="13"/>
              </w:rPr>
            </w:pPr>
            <w:r w:rsidRPr="00A75DF9">
              <w:rPr>
                <w:rFonts w:ascii="Tahoma" w:hAnsi="Tahoma" w:cs="Tahoma"/>
                <w:sz w:val="13"/>
                <w:szCs w:val="13"/>
              </w:rPr>
              <w:t>3</w:t>
            </w:r>
          </w:p>
        </w:tc>
        <w:tc>
          <w:tcPr>
            <w:tcW w:w="455"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spacing w:after="120"/>
              <w:rPr>
                <w:rFonts w:ascii="Tahoma" w:hAnsi="Tahoma" w:cs="Tahoma"/>
                <w:sz w:val="13"/>
                <w:szCs w:val="13"/>
              </w:rPr>
            </w:pPr>
            <w:r w:rsidRPr="00A75DF9">
              <w:rPr>
                <w:rFonts w:ascii="Tahoma" w:hAnsi="Tahoma" w:cs="Tahoma"/>
                <w:sz w:val="13"/>
                <w:szCs w:val="13"/>
              </w:rPr>
              <w:t>5</w:t>
            </w: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spacing w:after="120"/>
              <w:rPr>
                <w:rFonts w:ascii="Tahoma" w:hAnsi="Tahoma" w:cs="Tahoma"/>
                <w:sz w:val="13"/>
                <w:szCs w:val="13"/>
              </w:rPr>
            </w:pPr>
            <w:r w:rsidRPr="00A75DF9">
              <w:rPr>
                <w:rFonts w:ascii="Tahoma" w:hAnsi="Tahoma" w:cs="Tahoma"/>
                <w:sz w:val="13"/>
                <w:szCs w:val="13"/>
              </w:rPr>
              <w:t>10</w:t>
            </w: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spacing w:after="120"/>
              <w:rPr>
                <w:rFonts w:ascii="Tahoma" w:hAnsi="Tahoma" w:cs="Tahoma"/>
                <w:sz w:val="13"/>
                <w:szCs w:val="13"/>
              </w:rPr>
            </w:pPr>
            <w:r w:rsidRPr="00A75DF9">
              <w:rPr>
                <w:rFonts w:ascii="Tahoma" w:hAnsi="Tahoma" w:cs="Tahoma"/>
                <w:sz w:val="13"/>
                <w:szCs w:val="13"/>
              </w:rPr>
              <w:t>5</w:t>
            </w:r>
          </w:p>
        </w:tc>
        <w:tc>
          <w:tcPr>
            <w:tcW w:w="450"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A,S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P</w:t>
            </w: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A</w:t>
            </w:r>
          </w:p>
        </w:tc>
        <w:tc>
          <w:tcPr>
            <w:tcW w:w="539"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r>
      <w:tr w:rsidR="00500991" w:rsidRPr="00A75DF9" w:rsidTr="008A1262">
        <w:trPr>
          <w:trHeight w:val="145"/>
        </w:trPr>
        <w:tc>
          <w:tcPr>
            <w:tcW w:w="2724" w:type="dxa"/>
            <w:gridSpan w:val="2"/>
            <w:tcBorders>
              <w:bottom w:val="single" w:sz="4" w:space="0" w:color="auto"/>
            </w:tcBorders>
            <w:shd w:val="clear" w:color="auto" w:fill="auto"/>
            <w:vAlign w:val="center"/>
          </w:tcPr>
          <w:p w:rsidR="001A63C6" w:rsidRPr="00A75DF9" w:rsidRDefault="001A63C6" w:rsidP="008B1245">
            <w:pPr>
              <w:pStyle w:val="Heading2"/>
              <w:spacing w:beforeLines="20" w:before="48" w:afterLines="20" w:after="48"/>
              <w:ind w:left="0"/>
              <w:rPr>
                <w:rFonts w:ascii="Tahoma" w:hAnsi="Tahoma" w:cs="Tahoma"/>
                <w:b w:val="0"/>
                <w:sz w:val="14"/>
                <w:szCs w:val="14"/>
              </w:rPr>
            </w:pPr>
            <w:bookmarkStart w:id="482" w:name="_Toc254805934"/>
            <w:bookmarkStart w:id="483" w:name="_Toc336338111"/>
            <w:bookmarkStart w:id="484" w:name="_Toc368310108"/>
            <w:r w:rsidRPr="00A75DF9">
              <w:rPr>
                <w:rFonts w:ascii="Tahoma" w:hAnsi="Tahoma" w:cs="Tahoma"/>
                <w:b w:val="0"/>
                <w:sz w:val="14"/>
                <w:szCs w:val="14"/>
              </w:rPr>
              <w:t>User CAL per Visual Studio</w:t>
            </w:r>
            <w:r w:rsidR="009D5D7B" w:rsidRPr="00A75DF9">
              <w:rPr>
                <w:rFonts w:ascii="Tahoma" w:hAnsi="Tahoma" w:cs="Tahoma"/>
                <w:b w:val="0"/>
                <w:sz w:val="14"/>
                <w:szCs w:val="14"/>
                <w:vertAlign w:val="superscript"/>
              </w:rPr>
              <w:t>®</w:t>
            </w:r>
            <w:r w:rsidRPr="00A75DF9">
              <w:rPr>
                <w:rFonts w:ascii="Tahoma" w:hAnsi="Tahoma" w:cs="Tahoma"/>
                <w:b w:val="0"/>
                <w:sz w:val="14"/>
                <w:szCs w:val="14"/>
              </w:rPr>
              <w:t xml:space="preserve"> Team Foundation Server 2012</w:t>
            </w:r>
            <w:bookmarkEnd w:id="482"/>
            <w:bookmarkEnd w:id="483"/>
            <w:bookmarkEnd w:id="484"/>
          </w:p>
        </w:tc>
        <w:tc>
          <w:tcPr>
            <w:tcW w:w="448" w:type="dxa"/>
            <w:tcBorders>
              <w:bottom w:val="single" w:sz="4" w:space="0" w:color="auto"/>
            </w:tcBorders>
            <w:shd w:val="clear" w:color="auto" w:fill="auto"/>
            <w:vAlign w:val="center"/>
          </w:tcPr>
          <w:p w:rsidR="001A63C6" w:rsidRPr="00B41377" w:rsidRDefault="001A63C6" w:rsidP="001A63C6">
            <w:pPr>
              <w:pStyle w:val="TableText"/>
              <w:widowControl w:val="0"/>
              <w:rPr>
                <w:rStyle w:val="EndnoteReference"/>
                <w:rFonts w:cs="Tahoma"/>
                <w:sz w:val="13"/>
                <w:szCs w:val="13"/>
              </w:rPr>
            </w:pPr>
          </w:p>
        </w:tc>
        <w:tc>
          <w:tcPr>
            <w:tcW w:w="449" w:type="dxa"/>
            <w:tcBorders>
              <w:bottom w:val="single" w:sz="4" w:space="0" w:color="auto"/>
            </w:tcBorders>
            <w:shd w:val="clear" w:color="auto" w:fill="auto"/>
            <w:vAlign w:val="center"/>
          </w:tcPr>
          <w:p w:rsidR="001A63C6" w:rsidRPr="00A75DF9" w:rsidRDefault="001A63C6" w:rsidP="001A63C6">
            <w:pPr>
              <w:pStyle w:val="TableText"/>
              <w:widowControl w:val="0"/>
              <w:spacing w:before="80"/>
              <w:rPr>
                <w:rFonts w:ascii="Tahoma" w:hAnsi="Tahoma" w:cs="Tahoma"/>
                <w:sz w:val="13"/>
              </w:rPr>
            </w:pPr>
            <w:r w:rsidRPr="00A75DF9">
              <w:rPr>
                <w:rFonts w:ascii="Tahoma" w:hAnsi="Tahoma" w:cs="Tahoma"/>
                <w:sz w:val="13"/>
              </w:rPr>
              <w:t>09/12</w:t>
            </w:r>
          </w:p>
        </w:tc>
        <w:tc>
          <w:tcPr>
            <w:tcW w:w="359"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SRV</w:t>
            </w:r>
          </w:p>
        </w:tc>
        <w:tc>
          <w:tcPr>
            <w:tcW w:w="356"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spacing w:after="120"/>
              <w:rPr>
                <w:rFonts w:ascii="Tahoma" w:hAnsi="Tahoma" w:cs="Tahoma"/>
                <w:sz w:val="13"/>
                <w:szCs w:val="13"/>
              </w:rPr>
            </w:pPr>
            <w:r w:rsidRPr="00A75DF9">
              <w:rPr>
                <w:rFonts w:ascii="Tahoma" w:hAnsi="Tahoma" w:cs="Tahoma"/>
                <w:sz w:val="13"/>
                <w:szCs w:val="13"/>
              </w:rPr>
              <w:t>5</w:t>
            </w: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spacing w:after="120"/>
              <w:rPr>
                <w:rFonts w:ascii="Tahoma" w:hAnsi="Tahoma" w:cs="Tahoma"/>
                <w:sz w:val="13"/>
                <w:szCs w:val="13"/>
              </w:rPr>
            </w:pPr>
            <w:r w:rsidRPr="00A75DF9">
              <w:rPr>
                <w:rFonts w:ascii="Tahoma" w:hAnsi="Tahoma" w:cs="Tahoma"/>
                <w:sz w:val="13"/>
                <w:szCs w:val="13"/>
              </w:rPr>
              <w:t>13</w:t>
            </w:r>
          </w:p>
        </w:tc>
        <w:tc>
          <w:tcPr>
            <w:tcW w:w="455" w:type="dxa"/>
            <w:tcBorders>
              <w:bottom w:val="single" w:sz="4" w:space="0" w:color="auto"/>
            </w:tcBorders>
            <w:shd w:val="clear" w:color="auto" w:fill="auto"/>
            <w:vAlign w:val="center"/>
          </w:tcPr>
          <w:p w:rsidR="001A63C6" w:rsidRPr="00A75DF9" w:rsidRDefault="001A63C6" w:rsidP="001A63C6">
            <w:pPr>
              <w:pStyle w:val="TableText"/>
              <w:widowControl w:val="0"/>
              <w:spacing w:after="120"/>
              <w:rPr>
                <w:rFonts w:ascii="Tahoma" w:hAnsi="Tahoma" w:cs="Tahoma"/>
                <w:sz w:val="13"/>
                <w:szCs w:val="13"/>
              </w:rPr>
            </w:pPr>
            <w:r w:rsidRPr="00A75DF9">
              <w:rPr>
                <w:rFonts w:ascii="Tahoma" w:hAnsi="Tahoma" w:cs="Tahoma"/>
                <w:sz w:val="13"/>
                <w:szCs w:val="13"/>
              </w:rPr>
              <w:t>10</w:t>
            </w:r>
          </w:p>
        </w:tc>
        <w:tc>
          <w:tcPr>
            <w:tcW w:w="441" w:type="dxa"/>
            <w:gridSpan w:val="2"/>
            <w:tcBorders>
              <w:bottom w:val="single" w:sz="4" w:space="0" w:color="auto"/>
            </w:tcBorders>
            <w:shd w:val="clear" w:color="auto" w:fill="auto"/>
            <w:vAlign w:val="center"/>
          </w:tcPr>
          <w:p w:rsidR="001A63C6" w:rsidRPr="00A75DF9" w:rsidRDefault="001A63C6" w:rsidP="001A63C6">
            <w:pPr>
              <w:pStyle w:val="TableText"/>
              <w:widowControl w:val="0"/>
              <w:spacing w:after="120"/>
              <w:rPr>
                <w:rFonts w:ascii="Tahoma" w:hAnsi="Tahoma" w:cs="Tahoma"/>
                <w:sz w:val="13"/>
                <w:szCs w:val="13"/>
              </w:rPr>
            </w:pPr>
            <w:r w:rsidRPr="00A75DF9">
              <w:rPr>
                <w:rFonts w:ascii="Tahoma" w:hAnsi="Tahoma" w:cs="Tahoma"/>
                <w:sz w:val="13"/>
                <w:szCs w:val="13"/>
              </w:rPr>
              <w:t>8</w:t>
            </w:r>
          </w:p>
        </w:tc>
        <w:tc>
          <w:tcPr>
            <w:tcW w:w="454" w:type="dxa"/>
            <w:gridSpan w:val="2"/>
            <w:tcBorders>
              <w:bottom w:val="single" w:sz="4" w:space="0" w:color="auto"/>
            </w:tcBorders>
            <w:shd w:val="clear" w:color="auto" w:fill="auto"/>
            <w:vAlign w:val="center"/>
          </w:tcPr>
          <w:p w:rsidR="001A63C6" w:rsidRPr="00A75DF9" w:rsidRDefault="001A63C6" w:rsidP="001A63C6">
            <w:pPr>
              <w:pStyle w:val="TableText"/>
              <w:widowControl w:val="0"/>
              <w:spacing w:after="120"/>
              <w:rPr>
                <w:rFonts w:ascii="Tahoma" w:hAnsi="Tahoma" w:cs="Tahoma"/>
                <w:sz w:val="13"/>
                <w:szCs w:val="13"/>
              </w:rPr>
            </w:pPr>
            <w:r w:rsidRPr="00A75DF9">
              <w:rPr>
                <w:rFonts w:ascii="Tahoma" w:hAnsi="Tahoma" w:cs="Tahoma"/>
                <w:sz w:val="13"/>
                <w:szCs w:val="13"/>
              </w:rPr>
              <w:t>8</w:t>
            </w: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spacing w:after="120"/>
              <w:rPr>
                <w:rFonts w:ascii="Tahoma" w:hAnsi="Tahoma" w:cs="Tahoma"/>
                <w:sz w:val="13"/>
                <w:szCs w:val="13"/>
              </w:rPr>
            </w:pPr>
            <w:r w:rsidRPr="00A75DF9">
              <w:rPr>
                <w:rFonts w:ascii="Tahoma" w:hAnsi="Tahoma" w:cs="Tahoma"/>
                <w:sz w:val="13"/>
                <w:szCs w:val="13"/>
              </w:rPr>
              <w:t>5</w:t>
            </w:r>
          </w:p>
        </w:tc>
        <w:tc>
          <w:tcPr>
            <w:tcW w:w="374"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spacing w:after="120"/>
              <w:rPr>
                <w:rFonts w:ascii="Tahoma" w:hAnsi="Tahoma" w:cs="Tahoma"/>
                <w:sz w:val="13"/>
                <w:szCs w:val="13"/>
              </w:rPr>
            </w:pPr>
            <w:r w:rsidRPr="00A75DF9">
              <w:rPr>
                <w:rFonts w:ascii="Tahoma" w:hAnsi="Tahoma" w:cs="Tahoma"/>
                <w:sz w:val="13"/>
                <w:szCs w:val="13"/>
              </w:rPr>
              <w:t>3</w:t>
            </w:r>
          </w:p>
        </w:tc>
        <w:tc>
          <w:tcPr>
            <w:tcW w:w="455"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spacing w:after="120"/>
              <w:rPr>
                <w:rFonts w:ascii="Tahoma" w:hAnsi="Tahoma" w:cs="Tahoma"/>
                <w:sz w:val="13"/>
                <w:szCs w:val="13"/>
              </w:rPr>
            </w:pPr>
            <w:r w:rsidRPr="00A75DF9">
              <w:rPr>
                <w:rFonts w:ascii="Tahoma" w:hAnsi="Tahoma" w:cs="Tahoma"/>
                <w:sz w:val="13"/>
                <w:szCs w:val="13"/>
              </w:rPr>
              <w:t>5</w:t>
            </w: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spacing w:after="120"/>
              <w:rPr>
                <w:rFonts w:ascii="Tahoma" w:hAnsi="Tahoma" w:cs="Tahoma"/>
                <w:sz w:val="13"/>
                <w:szCs w:val="13"/>
              </w:rPr>
            </w:pPr>
            <w:r w:rsidRPr="00A75DF9">
              <w:rPr>
                <w:rFonts w:ascii="Tahoma" w:hAnsi="Tahoma" w:cs="Tahoma"/>
                <w:sz w:val="13"/>
                <w:szCs w:val="13"/>
              </w:rPr>
              <w:t>10</w:t>
            </w: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spacing w:after="120"/>
              <w:rPr>
                <w:rFonts w:ascii="Tahoma" w:hAnsi="Tahoma" w:cs="Tahoma"/>
                <w:sz w:val="13"/>
                <w:szCs w:val="13"/>
              </w:rPr>
            </w:pPr>
            <w:r w:rsidRPr="00A75DF9">
              <w:rPr>
                <w:rFonts w:ascii="Tahoma" w:hAnsi="Tahoma" w:cs="Tahoma"/>
                <w:sz w:val="13"/>
                <w:szCs w:val="13"/>
              </w:rPr>
              <w:t>5</w:t>
            </w:r>
          </w:p>
        </w:tc>
        <w:tc>
          <w:tcPr>
            <w:tcW w:w="450"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5</w:t>
            </w: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A,S</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P</w:t>
            </w: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A</w:t>
            </w:r>
          </w:p>
        </w:tc>
        <w:tc>
          <w:tcPr>
            <w:tcW w:w="539"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r>
      <w:tr w:rsidR="0084456B" w:rsidRPr="00A75DF9" w:rsidTr="008A1262">
        <w:trPr>
          <w:trHeight w:val="287"/>
        </w:trPr>
        <w:tc>
          <w:tcPr>
            <w:tcW w:w="2724" w:type="dxa"/>
            <w:gridSpan w:val="2"/>
            <w:tcBorders>
              <w:bottom w:val="single" w:sz="4" w:space="0" w:color="auto"/>
            </w:tcBorders>
            <w:shd w:val="clear" w:color="auto" w:fill="FABF8F"/>
            <w:vAlign w:val="center"/>
          </w:tcPr>
          <w:p w:rsidR="000B5EFD" w:rsidRPr="00A75DF9" w:rsidRDefault="000B5EFD" w:rsidP="008B1245">
            <w:pPr>
              <w:pStyle w:val="Heading2"/>
              <w:spacing w:beforeLines="20" w:before="48" w:afterLines="20" w:after="48"/>
              <w:ind w:left="0"/>
              <w:rPr>
                <w:rFonts w:ascii="Tahoma" w:hAnsi="Tahoma" w:cs="Tahoma"/>
                <w:b w:val="0"/>
                <w:sz w:val="14"/>
              </w:rPr>
            </w:pPr>
            <w:bookmarkStart w:id="485" w:name="_Toc368310109"/>
            <w:r w:rsidRPr="00A75DF9">
              <w:rPr>
                <w:rFonts w:ascii="Tahoma" w:hAnsi="Tahoma" w:cs="Tahoma"/>
                <w:b w:val="0"/>
                <w:sz w:val="14"/>
              </w:rPr>
              <w:t>Windows Azure Active Directory Rights Management (SL per Utente)</w:t>
            </w:r>
            <w:bookmarkEnd w:id="485"/>
          </w:p>
        </w:tc>
        <w:tc>
          <w:tcPr>
            <w:tcW w:w="448" w:type="dxa"/>
            <w:tcBorders>
              <w:bottom w:val="single" w:sz="4" w:space="0" w:color="auto"/>
            </w:tcBorders>
            <w:shd w:val="clear" w:color="auto" w:fill="FABF8F"/>
            <w:vAlign w:val="center"/>
          </w:tcPr>
          <w:p w:rsidR="000B5EFD" w:rsidRPr="00B41377" w:rsidRDefault="000B5EFD" w:rsidP="00FC4741">
            <w:pPr>
              <w:pStyle w:val="TableText"/>
              <w:widowControl w:val="0"/>
              <w:spacing w:before="100" w:beforeAutospacing="1"/>
              <w:rPr>
                <w:rFonts w:cs="Tahoma"/>
              </w:rPr>
            </w:pPr>
          </w:p>
        </w:tc>
        <w:tc>
          <w:tcPr>
            <w:tcW w:w="449" w:type="dxa"/>
            <w:tcBorders>
              <w:bottom w:val="single" w:sz="4" w:space="0" w:color="auto"/>
            </w:tcBorders>
            <w:shd w:val="clear" w:color="auto" w:fill="FABF8F"/>
            <w:vAlign w:val="center"/>
          </w:tcPr>
          <w:p w:rsidR="000B5EFD" w:rsidRPr="00A75DF9" w:rsidRDefault="000B5EFD" w:rsidP="001A63C6">
            <w:pPr>
              <w:pStyle w:val="TableText"/>
              <w:widowControl w:val="0"/>
              <w:spacing w:before="80"/>
              <w:rPr>
                <w:rFonts w:ascii="Tahoma" w:hAnsi="Tahoma" w:cs="Tahoma"/>
                <w:sz w:val="13"/>
              </w:rPr>
            </w:pPr>
            <w:r w:rsidRPr="00A75DF9">
              <w:rPr>
                <w:rFonts w:ascii="Tahoma" w:hAnsi="Tahoma" w:cs="Tahoma"/>
                <w:sz w:val="13"/>
              </w:rPr>
              <w:t>9/13</w:t>
            </w:r>
          </w:p>
        </w:tc>
        <w:tc>
          <w:tcPr>
            <w:tcW w:w="359" w:type="dxa"/>
            <w:tcBorders>
              <w:bottom w:val="single" w:sz="4" w:space="0" w:color="auto"/>
              <w:right w:val="single" w:sz="18" w:space="0" w:color="auto"/>
            </w:tcBorders>
            <w:shd w:val="clear" w:color="auto" w:fill="FABF8F"/>
            <w:vAlign w:val="center"/>
          </w:tcPr>
          <w:p w:rsidR="000B5EFD" w:rsidRPr="00A75DF9" w:rsidRDefault="000B5EFD" w:rsidP="001A63C6">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FABF8F"/>
            <w:vAlign w:val="center"/>
          </w:tcPr>
          <w:p w:rsidR="000B5EFD" w:rsidRPr="00A75DF9" w:rsidRDefault="000B5EFD"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0B5EFD" w:rsidRPr="00A75DF9" w:rsidRDefault="000B5EFD" w:rsidP="001A63C6">
            <w:pPr>
              <w:pStyle w:val="TableText"/>
              <w:widowControl w:val="0"/>
              <w:rPr>
                <w:rFonts w:ascii="Tahoma" w:hAnsi="Tahoma" w:cs="Tahoma"/>
                <w:sz w:val="13"/>
              </w:rPr>
            </w:pPr>
          </w:p>
        </w:tc>
        <w:tc>
          <w:tcPr>
            <w:tcW w:w="455" w:type="dxa"/>
            <w:tcBorders>
              <w:bottom w:val="single" w:sz="4" w:space="0" w:color="auto"/>
            </w:tcBorders>
            <w:shd w:val="clear" w:color="auto" w:fill="FABF8F"/>
            <w:vAlign w:val="center"/>
          </w:tcPr>
          <w:p w:rsidR="000B5EFD" w:rsidRPr="00A75DF9" w:rsidRDefault="000B5EFD" w:rsidP="001A63C6">
            <w:pPr>
              <w:pStyle w:val="TableText"/>
              <w:widowControl w:val="0"/>
              <w:rPr>
                <w:rFonts w:ascii="Tahoma" w:hAnsi="Tahoma" w:cs="Tahoma"/>
                <w:sz w:val="13"/>
              </w:rPr>
            </w:pPr>
          </w:p>
        </w:tc>
        <w:tc>
          <w:tcPr>
            <w:tcW w:w="441" w:type="dxa"/>
            <w:gridSpan w:val="2"/>
            <w:tcBorders>
              <w:bottom w:val="single" w:sz="4" w:space="0" w:color="auto"/>
            </w:tcBorders>
            <w:shd w:val="clear" w:color="auto" w:fill="FABF8F"/>
            <w:vAlign w:val="center"/>
          </w:tcPr>
          <w:p w:rsidR="000B5EFD" w:rsidRPr="00A75DF9" w:rsidRDefault="000B5EFD" w:rsidP="001A63C6">
            <w:pPr>
              <w:pStyle w:val="TableText"/>
              <w:widowControl w:val="0"/>
              <w:rPr>
                <w:rFonts w:ascii="Tahoma" w:hAnsi="Tahoma" w:cs="Tahoma"/>
                <w:sz w:val="13"/>
              </w:rPr>
            </w:pPr>
          </w:p>
        </w:tc>
        <w:tc>
          <w:tcPr>
            <w:tcW w:w="454" w:type="dxa"/>
            <w:gridSpan w:val="2"/>
            <w:tcBorders>
              <w:bottom w:val="single" w:sz="4" w:space="0" w:color="auto"/>
            </w:tcBorders>
            <w:shd w:val="clear" w:color="auto" w:fill="FABF8F"/>
            <w:vAlign w:val="center"/>
          </w:tcPr>
          <w:p w:rsidR="000B5EFD" w:rsidRPr="00A75DF9" w:rsidRDefault="000B5EFD"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0B5EFD" w:rsidRPr="00A75DF9" w:rsidRDefault="000B5EFD" w:rsidP="001A63C6">
            <w:pPr>
              <w:pStyle w:val="TableText"/>
              <w:widowControl w:val="0"/>
              <w:rPr>
                <w:rFonts w:ascii="Tahoma" w:hAnsi="Tahoma" w:cs="Tahoma"/>
                <w:sz w:val="13"/>
              </w:rPr>
            </w:pPr>
          </w:p>
        </w:tc>
        <w:tc>
          <w:tcPr>
            <w:tcW w:w="374" w:type="dxa"/>
            <w:tcBorders>
              <w:bottom w:val="single" w:sz="4" w:space="0" w:color="auto"/>
              <w:right w:val="single" w:sz="18" w:space="0" w:color="auto"/>
            </w:tcBorders>
            <w:shd w:val="clear" w:color="auto" w:fill="FABF8F"/>
            <w:vAlign w:val="center"/>
          </w:tcPr>
          <w:p w:rsidR="000B5EFD" w:rsidRPr="00A75DF9" w:rsidRDefault="000B5EFD" w:rsidP="001A63C6">
            <w:pPr>
              <w:pStyle w:val="TableText"/>
              <w:widowControl w:val="0"/>
              <w:rPr>
                <w:rFonts w:ascii="Tahoma" w:hAnsi="Tahoma" w:cs="Tahoma"/>
                <w:sz w:val="13"/>
              </w:rPr>
            </w:pPr>
          </w:p>
        </w:tc>
        <w:tc>
          <w:tcPr>
            <w:tcW w:w="455" w:type="dxa"/>
            <w:tcBorders>
              <w:left w:val="single" w:sz="18" w:space="0" w:color="auto"/>
              <w:bottom w:val="single" w:sz="4" w:space="0" w:color="auto"/>
            </w:tcBorders>
            <w:shd w:val="clear" w:color="auto" w:fill="FABF8F"/>
            <w:vAlign w:val="center"/>
          </w:tcPr>
          <w:p w:rsidR="000B5EFD" w:rsidRPr="00A75DF9" w:rsidRDefault="000B5EFD"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0B5EFD" w:rsidRPr="00A75DF9" w:rsidRDefault="000B5EFD"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0B5EFD" w:rsidRPr="00A75DF9" w:rsidRDefault="000B5EFD"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0B5EFD" w:rsidRPr="00A75DF9" w:rsidRDefault="000B5EFD"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0B5EFD" w:rsidRPr="00A75DF9" w:rsidRDefault="000B5EFD" w:rsidP="001A63C6">
            <w:pPr>
              <w:pStyle w:val="TableText"/>
              <w:widowControl w:val="0"/>
              <w:rPr>
                <w:rFonts w:ascii="Tahoma" w:hAnsi="Tahoma" w:cs="Tahoma"/>
                <w:sz w:val="13"/>
              </w:rPr>
            </w:pPr>
            <w:r w:rsidRPr="00A75D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0B5EFD" w:rsidRPr="00A75DF9" w:rsidRDefault="000B5EFD"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0B5EFD" w:rsidRPr="00A75DF9" w:rsidRDefault="000B5EFD" w:rsidP="001A63C6">
            <w:pPr>
              <w:pStyle w:val="TableText"/>
              <w:widowControl w:val="0"/>
              <w:rPr>
                <w:rFonts w:ascii="Tahoma" w:hAnsi="Tahoma" w:cs="Tahoma"/>
                <w:sz w:val="13"/>
              </w:rPr>
            </w:pPr>
          </w:p>
        </w:tc>
        <w:tc>
          <w:tcPr>
            <w:tcW w:w="539" w:type="dxa"/>
            <w:tcBorders>
              <w:bottom w:val="single" w:sz="4" w:space="0" w:color="auto"/>
            </w:tcBorders>
            <w:shd w:val="clear" w:color="auto" w:fill="FABF8F"/>
            <w:vAlign w:val="center"/>
          </w:tcPr>
          <w:p w:rsidR="000B5EFD" w:rsidRPr="00A75DF9" w:rsidRDefault="000B5EFD" w:rsidP="001A63C6">
            <w:pPr>
              <w:pStyle w:val="TableText"/>
              <w:widowControl w:val="0"/>
              <w:rPr>
                <w:rFonts w:ascii="Tahoma" w:hAnsi="Tahoma" w:cs="Tahoma"/>
                <w:sz w:val="13"/>
              </w:rPr>
            </w:pPr>
          </w:p>
        </w:tc>
      </w:tr>
      <w:tr w:rsidR="00383917" w:rsidRPr="00A75DF9" w:rsidTr="008A1262">
        <w:trPr>
          <w:trHeight w:val="287"/>
        </w:trPr>
        <w:tc>
          <w:tcPr>
            <w:tcW w:w="2724" w:type="dxa"/>
            <w:gridSpan w:val="2"/>
            <w:tcBorders>
              <w:bottom w:val="single" w:sz="4" w:space="0" w:color="auto"/>
            </w:tcBorders>
            <w:shd w:val="clear" w:color="auto" w:fill="auto"/>
            <w:vAlign w:val="center"/>
          </w:tcPr>
          <w:p w:rsidR="00060238" w:rsidRPr="00A75DF9" w:rsidRDefault="00060238" w:rsidP="008B1245">
            <w:pPr>
              <w:pStyle w:val="Heading2"/>
              <w:spacing w:beforeLines="20" w:before="48" w:afterLines="20" w:after="48"/>
              <w:ind w:left="0"/>
              <w:rPr>
                <w:rFonts w:ascii="Tahoma" w:hAnsi="Tahoma" w:cs="Tahoma"/>
                <w:b w:val="0"/>
                <w:sz w:val="14"/>
              </w:rPr>
            </w:pPr>
            <w:bookmarkStart w:id="486" w:name="_Toc368310110"/>
            <w:r w:rsidRPr="00A75DF9">
              <w:rPr>
                <w:rFonts w:ascii="Tahoma" w:hAnsi="Tahoma" w:cs="Tahoma"/>
                <w:b w:val="0"/>
                <w:sz w:val="14"/>
              </w:rPr>
              <w:t>Windows Azure Active Directory Rights Management Add-on (SL per Utente)</w:t>
            </w:r>
            <w:bookmarkEnd w:id="486"/>
          </w:p>
        </w:tc>
        <w:tc>
          <w:tcPr>
            <w:tcW w:w="448" w:type="dxa"/>
            <w:tcBorders>
              <w:bottom w:val="single" w:sz="4" w:space="0" w:color="auto"/>
            </w:tcBorders>
            <w:shd w:val="clear" w:color="auto" w:fill="auto"/>
            <w:vAlign w:val="center"/>
          </w:tcPr>
          <w:p w:rsidR="00060238" w:rsidRPr="00B41377" w:rsidRDefault="00B54770" w:rsidP="00FC4741">
            <w:pPr>
              <w:pStyle w:val="TableText"/>
              <w:widowControl w:val="0"/>
              <w:spacing w:before="100" w:beforeAutospacing="1"/>
              <w:rPr>
                <w:rFonts w:cs="Tahoma"/>
                <w:b/>
                <w:sz w:val="13"/>
                <w:szCs w:val="13"/>
              </w:rPr>
            </w:pPr>
            <w:hyperlink w:anchor="_7_Add-on_User" w:history="1">
              <w:r w:rsidR="00734B17" w:rsidRPr="00B41377">
                <w:rPr>
                  <w:rStyle w:val="Hyperlink"/>
                  <w:rFonts w:cs="Tahoma"/>
                  <w:b/>
                  <w:sz w:val="13"/>
                  <w:szCs w:val="13"/>
                </w:rPr>
                <w:t>7</w:t>
              </w:r>
            </w:hyperlink>
          </w:p>
        </w:tc>
        <w:tc>
          <w:tcPr>
            <w:tcW w:w="449" w:type="dxa"/>
            <w:tcBorders>
              <w:bottom w:val="single" w:sz="4" w:space="0" w:color="auto"/>
            </w:tcBorders>
            <w:shd w:val="clear" w:color="auto" w:fill="auto"/>
            <w:vAlign w:val="center"/>
          </w:tcPr>
          <w:p w:rsidR="00060238" w:rsidRPr="00A75DF9" w:rsidRDefault="00060238" w:rsidP="001A63C6">
            <w:pPr>
              <w:pStyle w:val="TableText"/>
              <w:widowControl w:val="0"/>
              <w:spacing w:before="80"/>
              <w:rPr>
                <w:rFonts w:ascii="Tahoma" w:hAnsi="Tahoma" w:cs="Tahoma"/>
                <w:sz w:val="13"/>
              </w:rPr>
            </w:pPr>
            <w:r w:rsidRPr="00A75DF9">
              <w:rPr>
                <w:rFonts w:ascii="Tahoma" w:hAnsi="Tahoma" w:cs="Tahoma"/>
                <w:sz w:val="13"/>
              </w:rPr>
              <w:t>10/13</w:t>
            </w:r>
          </w:p>
        </w:tc>
        <w:tc>
          <w:tcPr>
            <w:tcW w:w="359" w:type="dxa"/>
            <w:tcBorders>
              <w:bottom w:val="single" w:sz="4" w:space="0" w:color="auto"/>
              <w:right w:val="single" w:sz="18" w:space="0" w:color="auto"/>
            </w:tcBorders>
            <w:shd w:val="clear" w:color="auto" w:fill="auto"/>
            <w:vAlign w:val="center"/>
          </w:tcPr>
          <w:p w:rsidR="00060238" w:rsidRPr="00A75DF9" w:rsidRDefault="00060238" w:rsidP="001A63C6">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auto"/>
            <w:vAlign w:val="center"/>
          </w:tcPr>
          <w:p w:rsidR="00060238" w:rsidRPr="00A75DF9" w:rsidRDefault="00060238"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060238" w:rsidRPr="00A75DF9" w:rsidRDefault="00060238" w:rsidP="001A63C6">
            <w:pPr>
              <w:pStyle w:val="TableText"/>
              <w:widowControl w:val="0"/>
              <w:rPr>
                <w:rFonts w:ascii="Tahoma" w:hAnsi="Tahoma" w:cs="Tahoma"/>
                <w:sz w:val="13"/>
              </w:rPr>
            </w:pPr>
          </w:p>
        </w:tc>
        <w:tc>
          <w:tcPr>
            <w:tcW w:w="455" w:type="dxa"/>
            <w:tcBorders>
              <w:bottom w:val="single" w:sz="4" w:space="0" w:color="auto"/>
            </w:tcBorders>
            <w:shd w:val="clear" w:color="auto" w:fill="auto"/>
            <w:vAlign w:val="center"/>
          </w:tcPr>
          <w:p w:rsidR="00060238" w:rsidRPr="00A75DF9" w:rsidRDefault="00060238" w:rsidP="001A63C6">
            <w:pPr>
              <w:pStyle w:val="TableText"/>
              <w:widowControl w:val="0"/>
              <w:rPr>
                <w:rFonts w:ascii="Tahoma" w:hAnsi="Tahoma" w:cs="Tahoma"/>
                <w:sz w:val="13"/>
              </w:rPr>
            </w:pPr>
          </w:p>
        </w:tc>
        <w:tc>
          <w:tcPr>
            <w:tcW w:w="441" w:type="dxa"/>
            <w:gridSpan w:val="2"/>
            <w:tcBorders>
              <w:bottom w:val="single" w:sz="4" w:space="0" w:color="auto"/>
            </w:tcBorders>
            <w:shd w:val="clear" w:color="auto" w:fill="auto"/>
            <w:vAlign w:val="center"/>
          </w:tcPr>
          <w:p w:rsidR="00060238" w:rsidRPr="00A75DF9" w:rsidRDefault="00060238" w:rsidP="001A63C6">
            <w:pPr>
              <w:pStyle w:val="TableText"/>
              <w:widowControl w:val="0"/>
              <w:rPr>
                <w:rFonts w:ascii="Tahoma" w:hAnsi="Tahoma" w:cs="Tahoma"/>
                <w:sz w:val="13"/>
              </w:rPr>
            </w:pPr>
          </w:p>
        </w:tc>
        <w:tc>
          <w:tcPr>
            <w:tcW w:w="454" w:type="dxa"/>
            <w:gridSpan w:val="2"/>
            <w:tcBorders>
              <w:bottom w:val="single" w:sz="4" w:space="0" w:color="auto"/>
            </w:tcBorders>
            <w:shd w:val="clear" w:color="auto" w:fill="auto"/>
            <w:vAlign w:val="center"/>
          </w:tcPr>
          <w:p w:rsidR="00060238" w:rsidRPr="00A75DF9" w:rsidRDefault="00060238"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060238" w:rsidRPr="00A75DF9" w:rsidRDefault="00060238" w:rsidP="001A63C6">
            <w:pPr>
              <w:pStyle w:val="TableText"/>
              <w:widowControl w:val="0"/>
              <w:rPr>
                <w:rFonts w:ascii="Tahoma" w:hAnsi="Tahoma" w:cs="Tahoma"/>
                <w:sz w:val="13"/>
              </w:rPr>
            </w:pPr>
          </w:p>
        </w:tc>
        <w:tc>
          <w:tcPr>
            <w:tcW w:w="374" w:type="dxa"/>
            <w:tcBorders>
              <w:bottom w:val="single" w:sz="4" w:space="0" w:color="auto"/>
              <w:right w:val="single" w:sz="18" w:space="0" w:color="auto"/>
            </w:tcBorders>
            <w:shd w:val="clear" w:color="auto" w:fill="auto"/>
            <w:vAlign w:val="center"/>
          </w:tcPr>
          <w:p w:rsidR="00060238" w:rsidRPr="00A75DF9" w:rsidRDefault="00060238" w:rsidP="001A63C6">
            <w:pPr>
              <w:pStyle w:val="TableText"/>
              <w:widowControl w:val="0"/>
              <w:rPr>
                <w:rFonts w:ascii="Tahoma" w:hAnsi="Tahoma" w:cs="Tahoma"/>
                <w:sz w:val="13"/>
              </w:rPr>
            </w:pPr>
          </w:p>
        </w:tc>
        <w:tc>
          <w:tcPr>
            <w:tcW w:w="455" w:type="dxa"/>
            <w:tcBorders>
              <w:left w:val="single" w:sz="18" w:space="0" w:color="auto"/>
              <w:bottom w:val="single" w:sz="4" w:space="0" w:color="auto"/>
            </w:tcBorders>
            <w:shd w:val="clear" w:color="auto" w:fill="auto"/>
            <w:vAlign w:val="center"/>
          </w:tcPr>
          <w:p w:rsidR="00060238" w:rsidRPr="00A75DF9" w:rsidRDefault="00060238"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060238" w:rsidRPr="00A75DF9" w:rsidRDefault="00060238"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060238" w:rsidRPr="00A75DF9" w:rsidRDefault="00060238"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060238" w:rsidRPr="00A75DF9" w:rsidRDefault="00060238"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060238" w:rsidRPr="00A75DF9" w:rsidRDefault="00060238" w:rsidP="001A63C6">
            <w:pPr>
              <w:pStyle w:val="TableText"/>
              <w:widowControl w:val="0"/>
              <w:rPr>
                <w:rFonts w:ascii="Tahoma" w:hAnsi="Tahoma" w:cs="Tahoma"/>
                <w:sz w:val="13"/>
              </w:rPr>
            </w:pPr>
            <w:r w:rsidRPr="00A75D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060238" w:rsidRPr="00A75DF9" w:rsidRDefault="00060238"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060238" w:rsidRPr="00A75DF9" w:rsidRDefault="00060238" w:rsidP="001A63C6">
            <w:pPr>
              <w:pStyle w:val="TableText"/>
              <w:widowControl w:val="0"/>
              <w:rPr>
                <w:rFonts w:ascii="Tahoma" w:hAnsi="Tahoma" w:cs="Tahoma"/>
                <w:sz w:val="13"/>
              </w:rPr>
            </w:pPr>
          </w:p>
        </w:tc>
        <w:tc>
          <w:tcPr>
            <w:tcW w:w="539" w:type="dxa"/>
            <w:tcBorders>
              <w:bottom w:val="single" w:sz="4" w:space="0" w:color="auto"/>
            </w:tcBorders>
            <w:shd w:val="clear" w:color="auto" w:fill="auto"/>
            <w:vAlign w:val="center"/>
          </w:tcPr>
          <w:p w:rsidR="00060238" w:rsidRPr="00A75DF9" w:rsidRDefault="00060238" w:rsidP="001A63C6">
            <w:pPr>
              <w:pStyle w:val="TableText"/>
              <w:widowControl w:val="0"/>
              <w:rPr>
                <w:rFonts w:ascii="Tahoma" w:hAnsi="Tahoma" w:cs="Tahoma"/>
                <w:sz w:val="13"/>
              </w:rPr>
            </w:pPr>
          </w:p>
        </w:tc>
      </w:tr>
      <w:tr w:rsidR="0084456B" w:rsidRPr="00A75DF9" w:rsidTr="008A1262">
        <w:trPr>
          <w:trHeight w:val="287"/>
        </w:trPr>
        <w:tc>
          <w:tcPr>
            <w:tcW w:w="2724" w:type="dxa"/>
            <w:gridSpan w:val="2"/>
            <w:tcBorders>
              <w:bottom w:val="single" w:sz="4" w:space="0" w:color="auto"/>
            </w:tcBorders>
            <w:shd w:val="clear" w:color="auto" w:fill="FABF8F"/>
            <w:vAlign w:val="center"/>
          </w:tcPr>
          <w:p w:rsidR="001A63C6" w:rsidRPr="00A75DF9" w:rsidRDefault="001A63C6" w:rsidP="008B1245">
            <w:pPr>
              <w:pStyle w:val="Heading2"/>
              <w:spacing w:beforeLines="20" w:before="48" w:afterLines="20" w:after="48"/>
              <w:ind w:left="0"/>
              <w:rPr>
                <w:rFonts w:ascii="Tahoma" w:hAnsi="Tahoma" w:cs="Tahoma"/>
                <w:b w:val="0"/>
                <w:sz w:val="14"/>
              </w:rPr>
            </w:pPr>
            <w:bookmarkStart w:id="487" w:name="_Toc336338114"/>
            <w:bookmarkStart w:id="488" w:name="_Toc368310111"/>
            <w:r w:rsidRPr="00A75DF9">
              <w:rPr>
                <w:rFonts w:ascii="Tahoma" w:hAnsi="Tahoma" w:cs="Tahoma"/>
                <w:b w:val="0"/>
                <w:sz w:val="14"/>
              </w:rPr>
              <w:t>Servizi Windows Azure</w:t>
            </w:r>
            <w:bookmarkEnd w:id="487"/>
            <w:bookmarkEnd w:id="488"/>
          </w:p>
        </w:tc>
        <w:tc>
          <w:tcPr>
            <w:tcW w:w="448" w:type="dxa"/>
            <w:tcBorders>
              <w:bottom w:val="single" w:sz="4" w:space="0" w:color="auto"/>
            </w:tcBorders>
            <w:shd w:val="clear" w:color="auto" w:fill="FABF8F"/>
            <w:vAlign w:val="center"/>
          </w:tcPr>
          <w:p w:rsidR="001A63C6" w:rsidRPr="00B41377" w:rsidRDefault="00B54770" w:rsidP="005720DF">
            <w:pPr>
              <w:pStyle w:val="TableText"/>
              <w:widowControl w:val="0"/>
              <w:spacing w:before="100" w:beforeAutospacing="1"/>
              <w:rPr>
                <w:rFonts w:cs="Tahoma"/>
                <w:b/>
                <w:color w:val="0000FF"/>
                <w:sz w:val="13"/>
                <w:szCs w:val="13"/>
                <w:u w:val="single"/>
              </w:rPr>
            </w:pPr>
            <w:hyperlink w:anchor="_105_Windows_Azure" w:history="1">
              <w:r w:rsidR="00734B17" w:rsidRPr="00B41377">
                <w:rPr>
                  <w:rStyle w:val="Hyperlink"/>
                  <w:rFonts w:cs="Tahoma"/>
                  <w:b/>
                  <w:sz w:val="13"/>
                  <w:szCs w:val="13"/>
                </w:rPr>
                <w:t>99</w:t>
              </w:r>
            </w:hyperlink>
          </w:p>
        </w:tc>
        <w:tc>
          <w:tcPr>
            <w:tcW w:w="449" w:type="dxa"/>
            <w:tcBorders>
              <w:bottom w:val="single" w:sz="4" w:space="0" w:color="auto"/>
            </w:tcBorders>
            <w:shd w:val="clear" w:color="auto" w:fill="FABF8F"/>
            <w:vAlign w:val="center"/>
          </w:tcPr>
          <w:p w:rsidR="001A63C6" w:rsidRPr="00A75DF9" w:rsidRDefault="001A63C6" w:rsidP="001A63C6">
            <w:pPr>
              <w:pStyle w:val="TableText"/>
              <w:widowControl w:val="0"/>
              <w:spacing w:before="80"/>
              <w:rPr>
                <w:rFonts w:ascii="Tahoma" w:hAnsi="Tahoma" w:cs="Tahoma"/>
                <w:sz w:val="13"/>
              </w:rPr>
            </w:pPr>
            <w:r w:rsidRPr="00A75DF9">
              <w:rPr>
                <w:rFonts w:ascii="Tahoma" w:hAnsi="Tahoma" w:cs="Tahoma"/>
                <w:sz w:val="13"/>
              </w:rPr>
              <w:t>11/11</w:t>
            </w:r>
          </w:p>
        </w:tc>
        <w:tc>
          <w:tcPr>
            <w:tcW w:w="359"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41" w:type="dxa"/>
            <w:gridSpan w:val="2"/>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4" w:type="dxa"/>
            <w:gridSpan w:val="2"/>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374"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5"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A</w:t>
            </w:r>
          </w:p>
        </w:tc>
        <w:tc>
          <w:tcPr>
            <w:tcW w:w="539"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r>
      <w:tr w:rsidR="00383917" w:rsidRPr="00A75DF9" w:rsidTr="008A1262">
        <w:trPr>
          <w:trHeight w:val="152"/>
        </w:trPr>
        <w:tc>
          <w:tcPr>
            <w:tcW w:w="2724" w:type="dxa"/>
            <w:gridSpan w:val="2"/>
            <w:tcBorders>
              <w:bottom w:val="single" w:sz="4" w:space="0" w:color="auto"/>
            </w:tcBorders>
            <w:shd w:val="clear" w:color="auto" w:fill="auto"/>
            <w:vAlign w:val="center"/>
          </w:tcPr>
          <w:p w:rsidR="001A63C6" w:rsidRPr="00A75DF9" w:rsidRDefault="001A63C6" w:rsidP="00B41377">
            <w:pPr>
              <w:pStyle w:val="Heading2"/>
              <w:spacing w:before="20" w:after="20"/>
              <w:ind w:left="0"/>
              <w:rPr>
                <w:rFonts w:ascii="Tahoma" w:hAnsi="Tahoma" w:cs="Tahoma"/>
                <w:b w:val="0"/>
                <w:sz w:val="14"/>
                <w:szCs w:val="14"/>
              </w:rPr>
            </w:pPr>
            <w:bookmarkStart w:id="489" w:name="_Toc336338115"/>
            <w:bookmarkStart w:id="490" w:name="_Toc368310112"/>
            <w:r w:rsidRPr="00A75DF9">
              <w:rPr>
                <w:rFonts w:ascii="Tahoma" w:hAnsi="Tahoma" w:cs="Tahoma"/>
                <w:b w:val="0"/>
                <w:sz w:val="14"/>
              </w:rPr>
              <w:t>Windows</w:t>
            </w:r>
            <w:r w:rsidR="009D5D7B" w:rsidRPr="00A75DF9">
              <w:rPr>
                <w:rFonts w:ascii="Tahoma" w:hAnsi="Tahoma" w:cs="Tahoma"/>
                <w:b w:val="0"/>
                <w:sz w:val="14"/>
                <w:vertAlign w:val="superscript"/>
              </w:rPr>
              <w:t>®</w:t>
            </w:r>
            <w:r w:rsidRPr="00A75DF9">
              <w:rPr>
                <w:rFonts w:ascii="Tahoma" w:hAnsi="Tahoma" w:cs="Tahoma"/>
                <w:b w:val="0"/>
                <w:sz w:val="14"/>
              </w:rPr>
              <w:t xml:space="preserve"> Embedded Device Manager</w:t>
            </w:r>
            <w:r w:rsidR="00B41377">
              <w:rPr>
                <w:rFonts w:ascii="Tahoma" w:hAnsi="Tahoma" w:cs="Tahoma"/>
                <w:b w:val="0"/>
                <w:sz w:val="14"/>
              </w:rPr>
              <w:t> </w:t>
            </w:r>
            <w:r w:rsidRPr="00A75DF9">
              <w:rPr>
                <w:rFonts w:ascii="Tahoma" w:hAnsi="Tahoma" w:cs="Tahoma"/>
                <w:b w:val="0"/>
                <w:sz w:val="14"/>
              </w:rPr>
              <w:t>2011</w:t>
            </w:r>
            <w:bookmarkEnd w:id="489"/>
            <w:bookmarkEnd w:id="490"/>
          </w:p>
        </w:tc>
        <w:tc>
          <w:tcPr>
            <w:tcW w:w="448" w:type="dxa"/>
            <w:tcBorders>
              <w:bottom w:val="single" w:sz="4" w:space="0" w:color="auto"/>
            </w:tcBorders>
            <w:shd w:val="clear" w:color="auto" w:fill="auto"/>
            <w:vAlign w:val="center"/>
          </w:tcPr>
          <w:p w:rsidR="001A63C6" w:rsidRPr="00B41377" w:rsidRDefault="00B54770" w:rsidP="005720DF">
            <w:pPr>
              <w:pStyle w:val="TableText"/>
              <w:widowControl w:val="0"/>
              <w:spacing w:before="100" w:beforeAutospacing="1"/>
              <w:rPr>
                <w:rFonts w:cs="Tahoma"/>
                <w:b/>
                <w:color w:val="0000FF"/>
                <w:sz w:val="13"/>
                <w:szCs w:val="13"/>
                <w:u w:val="single"/>
              </w:rPr>
            </w:pPr>
            <w:hyperlink w:anchor="_98_Windows_Embedded" w:history="1">
              <w:r w:rsidR="00734B17" w:rsidRPr="00B41377">
                <w:rPr>
                  <w:rStyle w:val="Hyperlink"/>
                  <w:rFonts w:cs="Tahoma"/>
                  <w:b/>
                  <w:sz w:val="13"/>
                  <w:szCs w:val="13"/>
                </w:rPr>
                <w:t>100</w:t>
              </w:r>
            </w:hyperlink>
          </w:p>
        </w:tc>
        <w:tc>
          <w:tcPr>
            <w:tcW w:w="449" w:type="dxa"/>
            <w:tcBorders>
              <w:bottom w:val="single" w:sz="4" w:space="0" w:color="auto"/>
            </w:tcBorders>
            <w:shd w:val="clear" w:color="auto" w:fill="auto"/>
            <w:vAlign w:val="center"/>
          </w:tcPr>
          <w:p w:rsidR="001A63C6" w:rsidRPr="00A75DF9" w:rsidRDefault="001A63C6" w:rsidP="001A63C6">
            <w:pPr>
              <w:pStyle w:val="TableText"/>
              <w:widowControl w:val="0"/>
              <w:spacing w:before="80"/>
              <w:rPr>
                <w:rFonts w:ascii="Tahoma" w:hAnsi="Tahoma" w:cs="Tahoma"/>
                <w:sz w:val="13"/>
              </w:rPr>
            </w:pPr>
          </w:p>
        </w:tc>
        <w:tc>
          <w:tcPr>
            <w:tcW w:w="359"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5"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41" w:type="dxa"/>
            <w:gridSpan w:val="2"/>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4" w:type="dxa"/>
            <w:gridSpan w:val="2"/>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374"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5"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A75DF9" w:rsidRDefault="001A63C6" w:rsidP="001A63C6">
            <w:pPr>
              <w:pStyle w:val="TableText"/>
              <w:widowControl w:val="0"/>
              <w:rPr>
                <w:rFonts w:ascii="Tahoma" w:hAnsi="Tahoma" w:cs="Tahoma"/>
                <w:sz w:val="13"/>
              </w:rPr>
            </w:pPr>
          </w:p>
        </w:tc>
        <w:tc>
          <w:tcPr>
            <w:tcW w:w="539"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r>
      <w:tr w:rsidR="0084456B" w:rsidRPr="00A75DF9" w:rsidTr="008A1262">
        <w:trPr>
          <w:trHeight w:val="287"/>
        </w:trPr>
        <w:tc>
          <w:tcPr>
            <w:tcW w:w="2724" w:type="dxa"/>
            <w:gridSpan w:val="2"/>
            <w:tcBorders>
              <w:bottom w:val="single" w:sz="4" w:space="0" w:color="auto"/>
            </w:tcBorders>
            <w:shd w:val="clear" w:color="auto" w:fill="FABF8F"/>
            <w:vAlign w:val="center"/>
          </w:tcPr>
          <w:p w:rsidR="001A63C6" w:rsidRPr="00A75DF9" w:rsidRDefault="001A63C6" w:rsidP="001A63C6">
            <w:pPr>
              <w:pStyle w:val="Heading2"/>
              <w:spacing w:before="20" w:after="20"/>
              <w:ind w:left="0"/>
              <w:rPr>
                <w:rFonts w:ascii="Tahoma" w:hAnsi="Tahoma" w:cs="Tahoma"/>
                <w:b w:val="0"/>
                <w:sz w:val="14"/>
                <w:szCs w:val="14"/>
              </w:rPr>
            </w:pPr>
            <w:bookmarkStart w:id="491" w:name="_Toc336338116"/>
            <w:bookmarkStart w:id="492" w:name="_Toc368310113"/>
            <w:r w:rsidRPr="00A75DF9">
              <w:rPr>
                <w:rFonts w:ascii="Tahoma" w:hAnsi="Tahoma" w:cs="Tahoma"/>
                <w:b w:val="0"/>
                <w:sz w:val="14"/>
              </w:rPr>
              <w:t>Licenza di Gestione Client per OSE per Windows</w:t>
            </w:r>
            <w:r w:rsidR="009D5D7B" w:rsidRPr="00A75DF9">
              <w:rPr>
                <w:rFonts w:ascii="Tahoma" w:hAnsi="Tahoma" w:cs="Tahoma"/>
                <w:b w:val="0"/>
                <w:sz w:val="14"/>
                <w:vertAlign w:val="superscript"/>
              </w:rPr>
              <w:t>®</w:t>
            </w:r>
            <w:r w:rsidRPr="00A75DF9">
              <w:rPr>
                <w:rFonts w:ascii="Tahoma" w:hAnsi="Tahoma" w:cs="Tahoma"/>
                <w:b w:val="0"/>
                <w:sz w:val="14"/>
              </w:rPr>
              <w:t xml:space="preserve"> Embedded Device Manager 2011</w:t>
            </w:r>
            <w:bookmarkEnd w:id="491"/>
            <w:bookmarkEnd w:id="492"/>
          </w:p>
        </w:tc>
        <w:tc>
          <w:tcPr>
            <w:tcW w:w="448" w:type="dxa"/>
            <w:tcBorders>
              <w:bottom w:val="single" w:sz="4" w:space="0" w:color="auto"/>
            </w:tcBorders>
            <w:shd w:val="clear" w:color="auto" w:fill="FABF8F"/>
            <w:vAlign w:val="center"/>
          </w:tcPr>
          <w:p w:rsidR="001A63C6" w:rsidRPr="00B41377" w:rsidRDefault="001A63C6" w:rsidP="001A63C6">
            <w:pPr>
              <w:pStyle w:val="TableText"/>
              <w:widowControl w:val="0"/>
              <w:spacing w:before="100" w:beforeAutospacing="1"/>
              <w:rPr>
                <w:rFonts w:cs="Tahoma"/>
                <w:b/>
                <w:color w:val="0000FF"/>
                <w:sz w:val="13"/>
                <w:szCs w:val="13"/>
              </w:rPr>
            </w:pPr>
          </w:p>
        </w:tc>
        <w:tc>
          <w:tcPr>
            <w:tcW w:w="449" w:type="dxa"/>
            <w:tcBorders>
              <w:bottom w:val="single" w:sz="4" w:space="0" w:color="auto"/>
            </w:tcBorders>
            <w:shd w:val="clear" w:color="auto" w:fill="FABF8F"/>
            <w:vAlign w:val="center"/>
          </w:tcPr>
          <w:p w:rsidR="001A63C6" w:rsidRPr="00A75DF9" w:rsidRDefault="001A63C6" w:rsidP="001A63C6">
            <w:pPr>
              <w:pStyle w:val="TableText"/>
              <w:widowControl w:val="0"/>
              <w:spacing w:before="80"/>
              <w:rPr>
                <w:rFonts w:ascii="Tahoma" w:hAnsi="Tahoma" w:cs="Tahoma"/>
                <w:sz w:val="13"/>
              </w:rPr>
            </w:pPr>
          </w:p>
        </w:tc>
        <w:tc>
          <w:tcPr>
            <w:tcW w:w="359"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41" w:type="dxa"/>
            <w:gridSpan w:val="2"/>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4" w:type="dxa"/>
            <w:gridSpan w:val="2"/>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374"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5"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A75DF9" w:rsidRDefault="001A63C6" w:rsidP="001A63C6">
            <w:pPr>
              <w:pStyle w:val="TableText"/>
              <w:widowControl w:val="0"/>
              <w:rPr>
                <w:rFonts w:ascii="Tahoma" w:hAnsi="Tahoma" w:cs="Tahoma"/>
                <w:sz w:val="13"/>
              </w:rPr>
            </w:pPr>
          </w:p>
        </w:tc>
        <w:tc>
          <w:tcPr>
            <w:tcW w:w="539"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r>
      <w:tr w:rsidR="00383917" w:rsidRPr="00A75DF9" w:rsidTr="008A1262">
        <w:trPr>
          <w:trHeight w:val="287"/>
        </w:trPr>
        <w:tc>
          <w:tcPr>
            <w:tcW w:w="2724" w:type="dxa"/>
            <w:gridSpan w:val="2"/>
            <w:tcBorders>
              <w:bottom w:val="single" w:sz="4" w:space="0" w:color="auto"/>
            </w:tcBorders>
            <w:shd w:val="clear" w:color="auto" w:fill="auto"/>
            <w:vAlign w:val="center"/>
          </w:tcPr>
          <w:p w:rsidR="001A63C6" w:rsidRPr="00A75DF9" w:rsidRDefault="001A63C6" w:rsidP="00B41377">
            <w:pPr>
              <w:pStyle w:val="Heading2"/>
              <w:spacing w:before="20" w:after="20"/>
              <w:ind w:left="0"/>
              <w:rPr>
                <w:rFonts w:ascii="Tahoma" w:hAnsi="Tahoma" w:cs="Tahoma"/>
                <w:b w:val="0"/>
                <w:sz w:val="14"/>
                <w:szCs w:val="14"/>
              </w:rPr>
            </w:pPr>
            <w:bookmarkStart w:id="493" w:name="_Toc336338117"/>
            <w:bookmarkStart w:id="494" w:name="_Toc368310114"/>
            <w:r w:rsidRPr="00A75DF9">
              <w:rPr>
                <w:rFonts w:ascii="Tahoma" w:hAnsi="Tahoma" w:cs="Tahoma"/>
                <w:b w:val="0"/>
                <w:sz w:val="14"/>
              </w:rPr>
              <w:t>Licenza di Gestione Client per Utente per</w:t>
            </w:r>
            <w:r w:rsidR="00B41377">
              <w:rPr>
                <w:rFonts w:ascii="Tahoma" w:hAnsi="Tahoma" w:cs="Tahoma"/>
                <w:b w:val="0"/>
                <w:sz w:val="14"/>
              </w:rPr>
              <w:t> </w:t>
            </w:r>
            <w:r w:rsidRPr="00A75DF9">
              <w:rPr>
                <w:rFonts w:ascii="Tahoma" w:hAnsi="Tahoma" w:cs="Tahoma"/>
                <w:b w:val="0"/>
                <w:sz w:val="14"/>
              </w:rPr>
              <w:t>Windows</w:t>
            </w:r>
            <w:r w:rsidR="009D5D7B" w:rsidRPr="00A75DF9">
              <w:rPr>
                <w:rFonts w:ascii="Tahoma" w:hAnsi="Tahoma" w:cs="Tahoma"/>
                <w:b w:val="0"/>
                <w:sz w:val="14"/>
                <w:vertAlign w:val="superscript"/>
              </w:rPr>
              <w:t>®</w:t>
            </w:r>
            <w:r w:rsidRPr="00A75DF9">
              <w:rPr>
                <w:rFonts w:ascii="Tahoma" w:hAnsi="Tahoma" w:cs="Tahoma"/>
                <w:b w:val="0"/>
                <w:sz w:val="14"/>
              </w:rPr>
              <w:t xml:space="preserve"> Embedded Device Manager</w:t>
            </w:r>
            <w:r w:rsidR="00B41377">
              <w:rPr>
                <w:rFonts w:ascii="Tahoma" w:hAnsi="Tahoma" w:cs="Tahoma"/>
                <w:b w:val="0"/>
                <w:sz w:val="14"/>
              </w:rPr>
              <w:t> </w:t>
            </w:r>
            <w:r w:rsidRPr="00A75DF9">
              <w:rPr>
                <w:rFonts w:ascii="Tahoma" w:hAnsi="Tahoma" w:cs="Tahoma"/>
                <w:b w:val="0"/>
                <w:sz w:val="14"/>
              </w:rPr>
              <w:t>2011</w:t>
            </w:r>
            <w:bookmarkEnd w:id="493"/>
            <w:bookmarkEnd w:id="494"/>
          </w:p>
        </w:tc>
        <w:tc>
          <w:tcPr>
            <w:tcW w:w="448" w:type="dxa"/>
            <w:tcBorders>
              <w:bottom w:val="single" w:sz="4" w:space="0" w:color="auto"/>
            </w:tcBorders>
            <w:shd w:val="clear" w:color="auto" w:fill="auto"/>
            <w:vAlign w:val="center"/>
          </w:tcPr>
          <w:p w:rsidR="001A63C6" w:rsidRPr="00B41377" w:rsidRDefault="00B54770" w:rsidP="00FC0808">
            <w:pPr>
              <w:pStyle w:val="TableText"/>
              <w:widowControl w:val="0"/>
              <w:spacing w:before="100" w:beforeAutospacing="1"/>
              <w:rPr>
                <w:rFonts w:cs="Tahoma"/>
                <w:b/>
                <w:color w:val="0000FF"/>
                <w:sz w:val="13"/>
                <w:szCs w:val="13"/>
              </w:rPr>
            </w:pPr>
            <w:hyperlink w:anchor="_96_Windows_Embedded" w:history="1">
              <w:r w:rsidR="00734B17" w:rsidRPr="00B41377">
                <w:rPr>
                  <w:rStyle w:val="Hyperlink"/>
                  <w:rFonts w:cs="Tahoma"/>
                  <w:b/>
                  <w:sz w:val="13"/>
                  <w:szCs w:val="13"/>
                </w:rPr>
                <w:t>101</w:t>
              </w:r>
            </w:hyperlink>
          </w:p>
        </w:tc>
        <w:tc>
          <w:tcPr>
            <w:tcW w:w="449" w:type="dxa"/>
            <w:tcBorders>
              <w:bottom w:val="single" w:sz="4" w:space="0" w:color="auto"/>
            </w:tcBorders>
            <w:shd w:val="clear" w:color="auto" w:fill="auto"/>
            <w:vAlign w:val="center"/>
          </w:tcPr>
          <w:p w:rsidR="001A63C6" w:rsidRPr="00A75DF9" w:rsidRDefault="001A63C6" w:rsidP="001A63C6">
            <w:pPr>
              <w:pStyle w:val="TableText"/>
              <w:widowControl w:val="0"/>
              <w:spacing w:before="80"/>
              <w:rPr>
                <w:rFonts w:ascii="Tahoma" w:hAnsi="Tahoma" w:cs="Tahoma"/>
                <w:sz w:val="13"/>
              </w:rPr>
            </w:pPr>
          </w:p>
        </w:tc>
        <w:tc>
          <w:tcPr>
            <w:tcW w:w="359"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5"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41" w:type="dxa"/>
            <w:gridSpan w:val="2"/>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4" w:type="dxa"/>
            <w:gridSpan w:val="2"/>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374"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5"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A75DF9" w:rsidRDefault="001A63C6" w:rsidP="001A63C6">
            <w:pPr>
              <w:pStyle w:val="TableText"/>
              <w:widowControl w:val="0"/>
              <w:rPr>
                <w:rFonts w:ascii="Tahoma" w:hAnsi="Tahoma" w:cs="Tahoma"/>
                <w:sz w:val="13"/>
              </w:rPr>
            </w:pPr>
          </w:p>
        </w:tc>
        <w:tc>
          <w:tcPr>
            <w:tcW w:w="539"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r>
      <w:tr w:rsidR="0084456B" w:rsidRPr="00A75DF9" w:rsidTr="008A1262">
        <w:trPr>
          <w:trHeight w:val="287"/>
        </w:trPr>
        <w:tc>
          <w:tcPr>
            <w:tcW w:w="2724" w:type="dxa"/>
            <w:gridSpan w:val="2"/>
            <w:tcBorders>
              <w:bottom w:val="single" w:sz="4" w:space="0" w:color="auto"/>
            </w:tcBorders>
            <w:shd w:val="clear" w:color="auto" w:fill="FABF8F"/>
            <w:vAlign w:val="center"/>
          </w:tcPr>
          <w:p w:rsidR="001A63C6" w:rsidRPr="00A75DF9" w:rsidRDefault="001A63C6" w:rsidP="001A63C6">
            <w:pPr>
              <w:pStyle w:val="Heading2"/>
              <w:spacing w:before="20" w:after="20"/>
              <w:ind w:left="0"/>
              <w:rPr>
                <w:rFonts w:ascii="Tahoma" w:hAnsi="Tahoma" w:cs="Tahoma"/>
                <w:b w:val="0"/>
                <w:sz w:val="14"/>
                <w:szCs w:val="14"/>
              </w:rPr>
            </w:pPr>
            <w:bookmarkStart w:id="495" w:name="_Toc336338118"/>
            <w:bookmarkStart w:id="496" w:name="_Toc368310115"/>
            <w:r w:rsidRPr="00A75DF9">
              <w:rPr>
                <w:rFonts w:ascii="Tahoma" w:hAnsi="Tahoma" w:cs="Tahoma"/>
                <w:b w:val="0"/>
                <w:sz w:val="14"/>
              </w:rPr>
              <w:t>Windows</w:t>
            </w:r>
            <w:r w:rsidR="009D5D7B" w:rsidRPr="00A75DF9">
              <w:rPr>
                <w:rFonts w:ascii="Tahoma" w:hAnsi="Tahoma" w:cs="Tahoma"/>
                <w:b w:val="0"/>
                <w:sz w:val="14"/>
                <w:vertAlign w:val="superscript"/>
              </w:rPr>
              <w:t>®</w:t>
            </w:r>
            <w:r w:rsidRPr="00A75DF9">
              <w:rPr>
                <w:rFonts w:ascii="Tahoma" w:hAnsi="Tahoma" w:cs="Tahoma"/>
                <w:b w:val="0"/>
                <w:sz w:val="14"/>
              </w:rPr>
              <w:t xml:space="preserve"> Embedded Device Manager 2011 con Tecnologia SQL Server</w:t>
            </w:r>
            <w:r w:rsidR="009D5D7B" w:rsidRPr="00A75DF9">
              <w:rPr>
                <w:rFonts w:ascii="Tahoma" w:hAnsi="Tahoma" w:cs="Tahoma"/>
                <w:b w:val="0"/>
                <w:sz w:val="14"/>
                <w:vertAlign w:val="superscript"/>
              </w:rPr>
              <w:t>®</w:t>
            </w:r>
            <w:r w:rsidRPr="00A75DF9">
              <w:rPr>
                <w:rFonts w:ascii="Tahoma" w:hAnsi="Tahoma" w:cs="Tahoma"/>
                <w:b w:val="0"/>
                <w:sz w:val="14"/>
              </w:rPr>
              <w:t xml:space="preserve"> 2008</w:t>
            </w:r>
            <w:bookmarkEnd w:id="495"/>
            <w:bookmarkEnd w:id="496"/>
          </w:p>
        </w:tc>
        <w:tc>
          <w:tcPr>
            <w:tcW w:w="448" w:type="dxa"/>
            <w:tcBorders>
              <w:bottom w:val="single" w:sz="4" w:space="0" w:color="auto"/>
            </w:tcBorders>
            <w:shd w:val="clear" w:color="auto" w:fill="FABF8F"/>
            <w:vAlign w:val="center"/>
          </w:tcPr>
          <w:p w:rsidR="001A63C6" w:rsidRPr="00B41377" w:rsidRDefault="00B54770" w:rsidP="00ED1DE2">
            <w:pPr>
              <w:pStyle w:val="TableText"/>
              <w:widowControl w:val="0"/>
              <w:spacing w:before="100" w:beforeAutospacing="1"/>
              <w:rPr>
                <w:rFonts w:cs="Tahoma"/>
                <w:b/>
                <w:color w:val="0000FF"/>
                <w:sz w:val="13"/>
                <w:szCs w:val="13"/>
                <w:u w:val="single"/>
              </w:rPr>
            </w:pPr>
            <w:hyperlink w:anchor="_96_Windows_Embedded" w:history="1">
              <w:r w:rsidR="00734B17" w:rsidRPr="00B41377">
                <w:rPr>
                  <w:rStyle w:val="Hyperlink"/>
                  <w:rFonts w:cs="Tahoma"/>
                  <w:b/>
                  <w:sz w:val="13"/>
                  <w:szCs w:val="13"/>
                </w:rPr>
                <w:t>101</w:t>
              </w:r>
            </w:hyperlink>
          </w:p>
        </w:tc>
        <w:tc>
          <w:tcPr>
            <w:tcW w:w="449" w:type="dxa"/>
            <w:tcBorders>
              <w:bottom w:val="single" w:sz="4" w:space="0" w:color="auto"/>
            </w:tcBorders>
            <w:shd w:val="clear" w:color="auto" w:fill="FABF8F"/>
            <w:vAlign w:val="center"/>
          </w:tcPr>
          <w:p w:rsidR="001A63C6" w:rsidRPr="00A75DF9" w:rsidRDefault="001A63C6" w:rsidP="001A63C6">
            <w:pPr>
              <w:pStyle w:val="TableText"/>
              <w:widowControl w:val="0"/>
              <w:spacing w:before="80"/>
              <w:rPr>
                <w:rFonts w:ascii="Tahoma" w:hAnsi="Tahoma" w:cs="Tahoma"/>
                <w:sz w:val="13"/>
              </w:rPr>
            </w:pPr>
          </w:p>
        </w:tc>
        <w:tc>
          <w:tcPr>
            <w:tcW w:w="359"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41" w:type="dxa"/>
            <w:gridSpan w:val="2"/>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4" w:type="dxa"/>
            <w:gridSpan w:val="2"/>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374"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5"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A75DF9" w:rsidRDefault="001A63C6" w:rsidP="001A63C6">
            <w:pPr>
              <w:pStyle w:val="TableText"/>
              <w:widowControl w:val="0"/>
              <w:rPr>
                <w:rFonts w:ascii="Tahoma" w:hAnsi="Tahoma" w:cs="Tahoma"/>
                <w:sz w:val="13"/>
              </w:rPr>
            </w:pPr>
          </w:p>
        </w:tc>
        <w:tc>
          <w:tcPr>
            <w:tcW w:w="539"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r>
      <w:tr w:rsidR="00383917" w:rsidRPr="00A75DF9" w:rsidTr="008A1262">
        <w:trPr>
          <w:trHeight w:val="287"/>
        </w:trPr>
        <w:tc>
          <w:tcPr>
            <w:tcW w:w="2724" w:type="dxa"/>
            <w:gridSpan w:val="2"/>
            <w:tcBorders>
              <w:bottom w:val="single" w:sz="4" w:space="0" w:color="auto"/>
            </w:tcBorders>
            <w:shd w:val="clear" w:color="auto" w:fill="auto"/>
            <w:vAlign w:val="center"/>
          </w:tcPr>
          <w:p w:rsidR="001A63C6" w:rsidRPr="00A75DF9" w:rsidRDefault="001A63C6" w:rsidP="001A63C6">
            <w:pPr>
              <w:pStyle w:val="Heading2"/>
              <w:spacing w:before="20" w:after="20"/>
              <w:ind w:left="0"/>
              <w:rPr>
                <w:rFonts w:ascii="Tahoma" w:hAnsi="Tahoma" w:cs="Tahoma"/>
                <w:b w:val="0"/>
                <w:sz w:val="14"/>
                <w:szCs w:val="14"/>
              </w:rPr>
            </w:pPr>
            <w:bookmarkStart w:id="497" w:name="_Toc336338119"/>
            <w:bookmarkStart w:id="498" w:name="_Toc368310116"/>
            <w:r w:rsidRPr="00A75DF9">
              <w:rPr>
                <w:rFonts w:ascii="Tahoma" w:hAnsi="Tahoma" w:cs="Tahoma"/>
                <w:b w:val="0"/>
                <w:sz w:val="14"/>
                <w:szCs w:val="14"/>
              </w:rPr>
              <w:t>Windows Essential Business Server 2008 Standard</w:t>
            </w:r>
            <w:bookmarkEnd w:id="497"/>
            <w:bookmarkEnd w:id="498"/>
          </w:p>
        </w:tc>
        <w:tc>
          <w:tcPr>
            <w:tcW w:w="448" w:type="dxa"/>
            <w:tcBorders>
              <w:bottom w:val="single" w:sz="4" w:space="0" w:color="auto"/>
            </w:tcBorders>
            <w:shd w:val="clear" w:color="auto" w:fill="auto"/>
            <w:vAlign w:val="center"/>
          </w:tcPr>
          <w:p w:rsidR="001A63C6" w:rsidRPr="00B41377" w:rsidRDefault="00B54770" w:rsidP="00ED1DE2">
            <w:pPr>
              <w:pStyle w:val="TableText"/>
              <w:widowControl w:val="0"/>
              <w:spacing w:before="100" w:beforeAutospacing="1"/>
              <w:rPr>
                <w:rStyle w:val="EndnoteReference"/>
                <w:rFonts w:cs="Tahoma"/>
                <w:b w:val="0"/>
                <w:color w:val="0000FF"/>
                <w:sz w:val="13"/>
                <w:szCs w:val="13"/>
                <w:u w:val="single"/>
              </w:rPr>
            </w:pPr>
            <w:hyperlink w:anchor="_103_Windows_EBS" w:history="1">
              <w:r w:rsidR="00734B17" w:rsidRPr="00B41377">
                <w:rPr>
                  <w:rStyle w:val="Hyperlink"/>
                  <w:rFonts w:cs="Tahoma"/>
                  <w:b/>
                  <w:sz w:val="13"/>
                  <w:szCs w:val="13"/>
                </w:rPr>
                <w:t>102</w:t>
              </w:r>
            </w:hyperlink>
          </w:p>
        </w:tc>
        <w:tc>
          <w:tcPr>
            <w:tcW w:w="449" w:type="dxa"/>
            <w:tcBorders>
              <w:bottom w:val="single" w:sz="4" w:space="0" w:color="auto"/>
            </w:tcBorders>
            <w:shd w:val="clear" w:color="auto" w:fill="auto"/>
            <w:vAlign w:val="center"/>
          </w:tcPr>
          <w:p w:rsidR="001A63C6" w:rsidRPr="00A75DF9" w:rsidRDefault="001A63C6" w:rsidP="001A63C6">
            <w:pPr>
              <w:pStyle w:val="TableText"/>
              <w:widowControl w:val="0"/>
              <w:spacing w:before="80"/>
              <w:rPr>
                <w:rFonts w:ascii="Tahoma" w:hAnsi="Tahoma" w:cs="Tahoma"/>
                <w:sz w:val="13"/>
              </w:rPr>
            </w:pPr>
          </w:p>
        </w:tc>
        <w:tc>
          <w:tcPr>
            <w:tcW w:w="359"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5"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41" w:type="dxa"/>
            <w:gridSpan w:val="2"/>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4" w:type="dxa"/>
            <w:gridSpan w:val="2"/>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374"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5"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A75DF9" w:rsidRDefault="001A63C6" w:rsidP="001A63C6">
            <w:pPr>
              <w:pStyle w:val="TableText"/>
              <w:widowControl w:val="0"/>
              <w:rPr>
                <w:rFonts w:ascii="Tahoma" w:hAnsi="Tahoma" w:cs="Tahoma"/>
                <w:sz w:val="13"/>
              </w:rPr>
            </w:pPr>
          </w:p>
        </w:tc>
        <w:tc>
          <w:tcPr>
            <w:tcW w:w="539"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r>
      <w:tr w:rsidR="0084456B" w:rsidRPr="00A75DF9" w:rsidTr="008A1262">
        <w:trPr>
          <w:trHeight w:val="287"/>
        </w:trPr>
        <w:tc>
          <w:tcPr>
            <w:tcW w:w="2724" w:type="dxa"/>
            <w:gridSpan w:val="2"/>
            <w:tcBorders>
              <w:bottom w:val="single" w:sz="4" w:space="0" w:color="auto"/>
            </w:tcBorders>
            <w:shd w:val="clear" w:color="auto" w:fill="FABF8F"/>
            <w:vAlign w:val="center"/>
          </w:tcPr>
          <w:p w:rsidR="001A63C6" w:rsidRPr="00A75DF9" w:rsidRDefault="001A63C6" w:rsidP="001A63C6">
            <w:pPr>
              <w:pStyle w:val="Heading2"/>
              <w:spacing w:before="20" w:after="20"/>
              <w:ind w:left="0"/>
              <w:rPr>
                <w:rFonts w:ascii="Tahoma" w:hAnsi="Tahoma" w:cs="Tahoma"/>
                <w:b w:val="0"/>
                <w:sz w:val="14"/>
                <w:szCs w:val="14"/>
              </w:rPr>
            </w:pPr>
            <w:bookmarkStart w:id="499" w:name="_Toc336338120"/>
            <w:bookmarkStart w:id="500" w:name="_Toc368310117"/>
            <w:r w:rsidRPr="00A75DF9">
              <w:rPr>
                <w:rFonts w:ascii="Tahoma" w:hAnsi="Tahoma" w:cs="Tahoma"/>
                <w:b w:val="0"/>
                <w:sz w:val="14"/>
                <w:szCs w:val="14"/>
              </w:rPr>
              <w:t>CAL Suite per Windows Essential Business Server 2008</w:t>
            </w:r>
            <w:bookmarkEnd w:id="499"/>
            <w:bookmarkEnd w:id="500"/>
          </w:p>
        </w:tc>
        <w:tc>
          <w:tcPr>
            <w:tcW w:w="448" w:type="dxa"/>
            <w:tcBorders>
              <w:bottom w:val="single" w:sz="4" w:space="0" w:color="auto"/>
            </w:tcBorders>
            <w:shd w:val="clear" w:color="auto" w:fill="FABF8F"/>
            <w:vAlign w:val="center"/>
          </w:tcPr>
          <w:p w:rsidR="001A63C6" w:rsidRPr="00B41377" w:rsidRDefault="001A63C6" w:rsidP="001A63C6">
            <w:pPr>
              <w:pStyle w:val="TableText"/>
              <w:widowControl w:val="0"/>
              <w:spacing w:before="100" w:beforeAutospacing="1"/>
              <w:rPr>
                <w:rStyle w:val="EndnoteReference"/>
                <w:rFonts w:cs="Tahoma"/>
                <w:color w:val="0000FF"/>
                <w:sz w:val="13"/>
                <w:szCs w:val="13"/>
              </w:rPr>
            </w:pPr>
          </w:p>
        </w:tc>
        <w:tc>
          <w:tcPr>
            <w:tcW w:w="449" w:type="dxa"/>
            <w:tcBorders>
              <w:bottom w:val="single" w:sz="4" w:space="0" w:color="auto"/>
            </w:tcBorders>
            <w:shd w:val="clear" w:color="auto" w:fill="FABF8F"/>
            <w:vAlign w:val="center"/>
          </w:tcPr>
          <w:p w:rsidR="001A63C6" w:rsidRPr="00A75DF9" w:rsidRDefault="001A63C6" w:rsidP="001A63C6">
            <w:pPr>
              <w:pStyle w:val="TableText"/>
              <w:widowControl w:val="0"/>
              <w:spacing w:before="80"/>
              <w:rPr>
                <w:rFonts w:ascii="Tahoma" w:hAnsi="Tahoma" w:cs="Tahoma"/>
                <w:sz w:val="13"/>
              </w:rPr>
            </w:pPr>
            <w:r w:rsidRPr="00A75DF9">
              <w:rPr>
                <w:rFonts w:ascii="Tahoma" w:hAnsi="Tahoma" w:cs="Tahoma"/>
                <w:sz w:val="13"/>
              </w:rPr>
              <w:t>11/08</w:t>
            </w:r>
          </w:p>
        </w:tc>
        <w:tc>
          <w:tcPr>
            <w:tcW w:w="359"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SRV</w:t>
            </w:r>
          </w:p>
        </w:tc>
        <w:tc>
          <w:tcPr>
            <w:tcW w:w="356"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41" w:type="dxa"/>
            <w:gridSpan w:val="2"/>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4" w:type="dxa"/>
            <w:gridSpan w:val="2"/>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374"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5"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A75DF9" w:rsidRDefault="001A63C6" w:rsidP="001A63C6">
            <w:pPr>
              <w:pStyle w:val="TableText"/>
              <w:widowControl w:val="0"/>
              <w:rPr>
                <w:rFonts w:ascii="Tahoma" w:hAnsi="Tahoma" w:cs="Tahoma"/>
                <w:sz w:val="13"/>
              </w:rPr>
            </w:pPr>
          </w:p>
        </w:tc>
        <w:tc>
          <w:tcPr>
            <w:tcW w:w="539"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r>
      <w:tr w:rsidR="00383917" w:rsidRPr="00A75DF9" w:rsidTr="008A1262">
        <w:trPr>
          <w:trHeight w:val="287"/>
        </w:trPr>
        <w:tc>
          <w:tcPr>
            <w:tcW w:w="2724" w:type="dxa"/>
            <w:gridSpan w:val="2"/>
            <w:tcBorders>
              <w:bottom w:val="single" w:sz="4" w:space="0" w:color="auto"/>
            </w:tcBorders>
            <w:shd w:val="clear" w:color="auto" w:fill="auto"/>
            <w:vAlign w:val="center"/>
          </w:tcPr>
          <w:p w:rsidR="001A63C6" w:rsidRPr="00A75DF9" w:rsidRDefault="001A63C6" w:rsidP="001A63C6">
            <w:pPr>
              <w:pStyle w:val="Heading2"/>
              <w:spacing w:before="20" w:after="20"/>
              <w:ind w:left="0"/>
              <w:rPr>
                <w:rFonts w:ascii="Tahoma" w:hAnsi="Tahoma" w:cs="Tahoma"/>
                <w:b w:val="0"/>
                <w:sz w:val="14"/>
                <w:szCs w:val="14"/>
              </w:rPr>
            </w:pPr>
            <w:bookmarkStart w:id="501" w:name="_Toc336338121"/>
            <w:bookmarkStart w:id="502" w:name="_Toc368310118"/>
            <w:r w:rsidRPr="00A75DF9">
              <w:rPr>
                <w:rFonts w:ascii="Tahoma" w:hAnsi="Tahoma" w:cs="Tahoma"/>
                <w:b w:val="0"/>
                <w:sz w:val="14"/>
                <w:szCs w:val="14"/>
              </w:rPr>
              <w:t>CAL Suite per Windows Essential Business Server 2008 (5 client)</w:t>
            </w:r>
            <w:bookmarkEnd w:id="501"/>
            <w:bookmarkEnd w:id="502"/>
          </w:p>
        </w:tc>
        <w:tc>
          <w:tcPr>
            <w:tcW w:w="448" w:type="dxa"/>
            <w:tcBorders>
              <w:bottom w:val="single" w:sz="4" w:space="0" w:color="auto"/>
            </w:tcBorders>
            <w:shd w:val="clear" w:color="auto" w:fill="auto"/>
            <w:vAlign w:val="center"/>
          </w:tcPr>
          <w:p w:rsidR="001A63C6" w:rsidRPr="00B41377" w:rsidRDefault="001A63C6" w:rsidP="001A63C6">
            <w:pPr>
              <w:pStyle w:val="TableText"/>
              <w:widowControl w:val="0"/>
              <w:spacing w:before="100" w:beforeAutospacing="1"/>
              <w:rPr>
                <w:rStyle w:val="EndnoteReference"/>
                <w:rFonts w:cs="Tahoma"/>
                <w:color w:val="0000FF"/>
                <w:sz w:val="13"/>
                <w:szCs w:val="13"/>
              </w:rPr>
            </w:pPr>
          </w:p>
        </w:tc>
        <w:tc>
          <w:tcPr>
            <w:tcW w:w="449" w:type="dxa"/>
            <w:tcBorders>
              <w:bottom w:val="single" w:sz="4" w:space="0" w:color="auto"/>
            </w:tcBorders>
            <w:shd w:val="clear" w:color="auto" w:fill="auto"/>
            <w:vAlign w:val="center"/>
          </w:tcPr>
          <w:p w:rsidR="001A63C6" w:rsidRPr="00A75DF9" w:rsidRDefault="001A63C6" w:rsidP="001A63C6">
            <w:pPr>
              <w:pStyle w:val="TableText"/>
              <w:widowControl w:val="0"/>
              <w:spacing w:before="80"/>
              <w:rPr>
                <w:rFonts w:ascii="Tahoma" w:hAnsi="Tahoma" w:cs="Tahoma"/>
                <w:sz w:val="13"/>
              </w:rPr>
            </w:pPr>
            <w:r w:rsidRPr="00A75DF9">
              <w:rPr>
                <w:rFonts w:ascii="Tahoma" w:hAnsi="Tahoma" w:cs="Tahoma"/>
                <w:sz w:val="13"/>
              </w:rPr>
              <w:t>11/08</w:t>
            </w:r>
          </w:p>
        </w:tc>
        <w:tc>
          <w:tcPr>
            <w:tcW w:w="359"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SRV</w:t>
            </w:r>
          </w:p>
        </w:tc>
        <w:tc>
          <w:tcPr>
            <w:tcW w:w="356"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5"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41" w:type="dxa"/>
            <w:gridSpan w:val="2"/>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4" w:type="dxa"/>
            <w:gridSpan w:val="2"/>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374"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5"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5</w:t>
            </w: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P</w:t>
            </w:r>
          </w:p>
        </w:tc>
        <w:tc>
          <w:tcPr>
            <w:tcW w:w="450" w:type="dxa"/>
            <w:tcBorders>
              <w:bottom w:val="single" w:sz="4" w:space="0" w:color="auto"/>
            </w:tcBorders>
            <w:shd w:val="clear" w:color="auto" w:fill="auto"/>
          </w:tcPr>
          <w:p w:rsidR="001A63C6" w:rsidRPr="00A75DF9" w:rsidRDefault="001A63C6" w:rsidP="001A63C6">
            <w:pPr>
              <w:pStyle w:val="TableText"/>
              <w:widowControl w:val="0"/>
              <w:rPr>
                <w:rFonts w:ascii="Tahoma" w:hAnsi="Tahoma" w:cs="Tahoma"/>
                <w:sz w:val="13"/>
              </w:rPr>
            </w:pPr>
          </w:p>
        </w:tc>
        <w:tc>
          <w:tcPr>
            <w:tcW w:w="539"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OL</w:t>
            </w:r>
          </w:p>
        </w:tc>
      </w:tr>
      <w:tr w:rsidR="0084456B" w:rsidRPr="00A75DF9" w:rsidTr="008A1262">
        <w:trPr>
          <w:trHeight w:val="287"/>
        </w:trPr>
        <w:tc>
          <w:tcPr>
            <w:tcW w:w="2724" w:type="dxa"/>
            <w:gridSpan w:val="2"/>
            <w:tcBorders>
              <w:bottom w:val="single" w:sz="4" w:space="0" w:color="auto"/>
            </w:tcBorders>
            <w:shd w:val="clear" w:color="auto" w:fill="FABF8F"/>
            <w:vAlign w:val="center"/>
          </w:tcPr>
          <w:p w:rsidR="001A63C6" w:rsidRPr="00A75DF9" w:rsidRDefault="001A63C6" w:rsidP="001A63C6">
            <w:pPr>
              <w:pStyle w:val="Heading2"/>
              <w:spacing w:before="20" w:after="20"/>
              <w:ind w:left="0"/>
              <w:rPr>
                <w:rFonts w:ascii="Tahoma" w:hAnsi="Tahoma" w:cs="Tahoma"/>
                <w:b w:val="0"/>
                <w:sz w:val="14"/>
                <w:szCs w:val="14"/>
              </w:rPr>
            </w:pPr>
            <w:bookmarkStart w:id="503" w:name="_Toc336338122"/>
            <w:bookmarkStart w:id="504" w:name="_Toc368310119"/>
            <w:r w:rsidRPr="00A75DF9">
              <w:rPr>
                <w:rFonts w:ascii="Tahoma" w:hAnsi="Tahoma" w:cs="Tahoma"/>
                <w:b w:val="0"/>
                <w:color w:val="000000"/>
                <w:sz w:val="14"/>
                <w:szCs w:val="14"/>
              </w:rPr>
              <w:t>CAL Suite per Windows Essential Business Server 2008 (20 client)</w:t>
            </w:r>
            <w:bookmarkEnd w:id="503"/>
            <w:bookmarkEnd w:id="504"/>
          </w:p>
        </w:tc>
        <w:tc>
          <w:tcPr>
            <w:tcW w:w="448" w:type="dxa"/>
            <w:tcBorders>
              <w:bottom w:val="single" w:sz="4" w:space="0" w:color="auto"/>
            </w:tcBorders>
            <w:shd w:val="clear" w:color="auto" w:fill="FABF8F"/>
            <w:vAlign w:val="center"/>
          </w:tcPr>
          <w:p w:rsidR="001A63C6" w:rsidRPr="00B41377" w:rsidRDefault="001A63C6" w:rsidP="001A63C6">
            <w:pPr>
              <w:pStyle w:val="TableText"/>
              <w:widowControl w:val="0"/>
              <w:spacing w:before="100" w:beforeAutospacing="1"/>
              <w:rPr>
                <w:rStyle w:val="EndnoteReference"/>
                <w:rFonts w:cs="Tahoma"/>
                <w:color w:val="0000FF"/>
                <w:sz w:val="13"/>
                <w:szCs w:val="13"/>
              </w:rPr>
            </w:pPr>
          </w:p>
        </w:tc>
        <w:tc>
          <w:tcPr>
            <w:tcW w:w="449" w:type="dxa"/>
            <w:tcBorders>
              <w:bottom w:val="single" w:sz="4" w:space="0" w:color="auto"/>
            </w:tcBorders>
            <w:shd w:val="clear" w:color="auto" w:fill="FABF8F"/>
            <w:vAlign w:val="center"/>
          </w:tcPr>
          <w:p w:rsidR="001A63C6" w:rsidRPr="00A75DF9" w:rsidRDefault="001A63C6" w:rsidP="001A63C6">
            <w:pPr>
              <w:pStyle w:val="TableText"/>
              <w:widowControl w:val="0"/>
              <w:spacing w:before="80"/>
              <w:rPr>
                <w:rFonts w:ascii="Tahoma" w:hAnsi="Tahoma" w:cs="Tahoma"/>
                <w:sz w:val="13"/>
              </w:rPr>
            </w:pPr>
            <w:r w:rsidRPr="00A75DF9">
              <w:rPr>
                <w:rFonts w:ascii="Tahoma" w:hAnsi="Tahoma" w:cs="Tahoma"/>
                <w:sz w:val="13"/>
              </w:rPr>
              <w:t>11/08</w:t>
            </w:r>
          </w:p>
        </w:tc>
        <w:tc>
          <w:tcPr>
            <w:tcW w:w="359"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SRV</w:t>
            </w:r>
          </w:p>
        </w:tc>
        <w:tc>
          <w:tcPr>
            <w:tcW w:w="356"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41" w:type="dxa"/>
            <w:gridSpan w:val="2"/>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4" w:type="dxa"/>
            <w:gridSpan w:val="2"/>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374"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5"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25</w:t>
            </w: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P</w:t>
            </w:r>
          </w:p>
        </w:tc>
        <w:tc>
          <w:tcPr>
            <w:tcW w:w="450" w:type="dxa"/>
            <w:tcBorders>
              <w:bottom w:val="single" w:sz="4" w:space="0" w:color="auto"/>
            </w:tcBorders>
            <w:shd w:val="clear" w:color="auto" w:fill="FABF8F"/>
          </w:tcPr>
          <w:p w:rsidR="001A63C6" w:rsidRPr="00A75DF9" w:rsidRDefault="001A63C6" w:rsidP="001A63C6">
            <w:pPr>
              <w:pStyle w:val="TableText"/>
              <w:widowControl w:val="0"/>
              <w:rPr>
                <w:rFonts w:ascii="Tahoma" w:hAnsi="Tahoma" w:cs="Tahoma"/>
                <w:sz w:val="13"/>
              </w:rPr>
            </w:pPr>
          </w:p>
        </w:tc>
        <w:tc>
          <w:tcPr>
            <w:tcW w:w="539"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OL</w:t>
            </w:r>
          </w:p>
        </w:tc>
      </w:tr>
      <w:tr w:rsidR="00383917" w:rsidRPr="00A75DF9" w:rsidTr="008A1262">
        <w:trPr>
          <w:trHeight w:val="287"/>
        </w:trPr>
        <w:tc>
          <w:tcPr>
            <w:tcW w:w="2724" w:type="dxa"/>
            <w:gridSpan w:val="2"/>
            <w:tcBorders>
              <w:bottom w:val="single" w:sz="4" w:space="0" w:color="auto"/>
            </w:tcBorders>
            <w:shd w:val="clear" w:color="auto" w:fill="auto"/>
            <w:vAlign w:val="center"/>
          </w:tcPr>
          <w:p w:rsidR="001A63C6" w:rsidRPr="00A75DF9" w:rsidRDefault="001A63C6" w:rsidP="001A63C6">
            <w:pPr>
              <w:pStyle w:val="Heading2"/>
              <w:spacing w:before="20" w:after="20"/>
              <w:ind w:left="0"/>
              <w:rPr>
                <w:rFonts w:ascii="Tahoma" w:hAnsi="Tahoma" w:cs="Tahoma"/>
                <w:b w:val="0"/>
                <w:sz w:val="14"/>
                <w:szCs w:val="14"/>
              </w:rPr>
            </w:pPr>
            <w:bookmarkStart w:id="505" w:name="_Toc336338123"/>
            <w:bookmarkStart w:id="506" w:name="_Toc368310120"/>
            <w:r w:rsidRPr="00A75DF9">
              <w:rPr>
                <w:rFonts w:ascii="Tahoma" w:hAnsi="Tahoma" w:cs="Tahoma"/>
                <w:b w:val="0"/>
                <w:sz w:val="14"/>
                <w:szCs w:val="14"/>
              </w:rPr>
              <w:t>CAL Suite per Windows Essential Business Server 2008 (50 client)</w:t>
            </w:r>
            <w:bookmarkEnd w:id="505"/>
            <w:bookmarkEnd w:id="506"/>
          </w:p>
        </w:tc>
        <w:tc>
          <w:tcPr>
            <w:tcW w:w="448" w:type="dxa"/>
            <w:tcBorders>
              <w:bottom w:val="single" w:sz="4" w:space="0" w:color="auto"/>
            </w:tcBorders>
            <w:shd w:val="clear" w:color="auto" w:fill="auto"/>
            <w:vAlign w:val="center"/>
          </w:tcPr>
          <w:p w:rsidR="001A63C6" w:rsidRPr="00B41377" w:rsidRDefault="001A63C6" w:rsidP="001A63C6">
            <w:pPr>
              <w:pStyle w:val="TableText"/>
              <w:widowControl w:val="0"/>
              <w:spacing w:before="100" w:beforeAutospacing="1"/>
              <w:rPr>
                <w:rStyle w:val="EndnoteReference"/>
                <w:rFonts w:cs="Tahoma"/>
                <w:color w:val="0000FF"/>
                <w:sz w:val="13"/>
                <w:szCs w:val="13"/>
              </w:rPr>
            </w:pPr>
          </w:p>
        </w:tc>
        <w:tc>
          <w:tcPr>
            <w:tcW w:w="449" w:type="dxa"/>
            <w:tcBorders>
              <w:bottom w:val="single" w:sz="4" w:space="0" w:color="auto"/>
            </w:tcBorders>
            <w:shd w:val="clear" w:color="auto" w:fill="auto"/>
            <w:vAlign w:val="center"/>
          </w:tcPr>
          <w:p w:rsidR="001A63C6" w:rsidRPr="00A75DF9" w:rsidRDefault="001A63C6" w:rsidP="001A63C6">
            <w:pPr>
              <w:pStyle w:val="TableText"/>
              <w:widowControl w:val="0"/>
              <w:spacing w:before="80"/>
              <w:rPr>
                <w:rFonts w:ascii="Tahoma" w:hAnsi="Tahoma" w:cs="Tahoma"/>
                <w:sz w:val="13"/>
              </w:rPr>
            </w:pPr>
            <w:r w:rsidRPr="00A75DF9">
              <w:rPr>
                <w:rFonts w:ascii="Tahoma" w:hAnsi="Tahoma" w:cs="Tahoma"/>
                <w:sz w:val="13"/>
              </w:rPr>
              <w:t>11/08</w:t>
            </w:r>
          </w:p>
        </w:tc>
        <w:tc>
          <w:tcPr>
            <w:tcW w:w="359"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SRV</w:t>
            </w:r>
          </w:p>
        </w:tc>
        <w:tc>
          <w:tcPr>
            <w:tcW w:w="356"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5"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41" w:type="dxa"/>
            <w:gridSpan w:val="2"/>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4" w:type="dxa"/>
            <w:gridSpan w:val="2"/>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374"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5"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50</w:t>
            </w: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P</w:t>
            </w:r>
          </w:p>
        </w:tc>
        <w:tc>
          <w:tcPr>
            <w:tcW w:w="450" w:type="dxa"/>
            <w:tcBorders>
              <w:bottom w:val="single" w:sz="4" w:space="0" w:color="auto"/>
            </w:tcBorders>
            <w:shd w:val="clear" w:color="auto" w:fill="auto"/>
          </w:tcPr>
          <w:p w:rsidR="001A63C6" w:rsidRPr="00A75DF9" w:rsidRDefault="001A63C6" w:rsidP="001A63C6">
            <w:pPr>
              <w:pStyle w:val="TableText"/>
              <w:widowControl w:val="0"/>
              <w:rPr>
                <w:rFonts w:ascii="Tahoma" w:hAnsi="Tahoma" w:cs="Tahoma"/>
                <w:sz w:val="13"/>
              </w:rPr>
            </w:pPr>
          </w:p>
        </w:tc>
        <w:tc>
          <w:tcPr>
            <w:tcW w:w="539"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OL</w:t>
            </w:r>
          </w:p>
        </w:tc>
      </w:tr>
      <w:tr w:rsidR="00B33D0E" w:rsidRPr="00A75DF9" w:rsidTr="008A1262">
        <w:trPr>
          <w:trHeight w:val="287"/>
        </w:trPr>
        <w:tc>
          <w:tcPr>
            <w:tcW w:w="2724" w:type="dxa"/>
            <w:gridSpan w:val="2"/>
            <w:tcBorders>
              <w:bottom w:val="single" w:sz="4" w:space="0" w:color="auto"/>
            </w:tcBorders>
            <w:shd w:val="clear" w:color="auto" w:fill="auto"/>
            <w:vAlign w:val="center"/>
          </w:tcPr>
          <w:p w:rsidR="001A63C6" w:rsidRPr="00A75DF9" w:rsidRDefault="001A63C6" w:rsidP="001A63C6">
            <w:pPr>
              <w:pStyle w:val="Heading2"/>
              <w:spacing w:before="20" w:after="20"/>
              <w:ind w:left="0"/>
              <w:rPr>
                <w:rFonts w:ascii="Tahoma" w:hAnsi="Tahoma" w:cs="Tahoma"/>
                <w:b w:val="0"/>
                <w:sz w:val="14"/>
                <w:szCs w:val="14"/>
              </w:rPr>
            </w:pPr>
            <w:bookmarkStart w:id="507" w:name="_Toc336338124"/>
            <w:bookmarkStart w:id="508" w:name="_Toc368310121"/>
            <w:r w:rsidRPr="00A75DF9">
              <w:rPr>
                <w:rFonts w:ascii="Tahoma" w:hAnsi="Tahoma" w:cs="Tahoma"/>
                <w:b w:val="0"/>
                <w:sz w:val="14"/>
                <w:szCs w:val="14"/>
              </w:rPr>
              <w:t>Windows Essential Business Server 2008 Premium</w:t>
            </w:r>
            <w:bookmarkEnd w:id="507"/>
            <w:bookmarkEnd w:id="508"/>
            <w:r w:rsidRPr="00A75DF9">
              <w:rPr>
                <w:rFonts w:ascii="Tahoma" w:hAnsi="Tahoma" w:cs="Tahoma"/>
                <w:b w:val="0"/>
                <w:sz w:val="14"/>
                <w:szCs w:val="14"/>
              </w:rPr>
              <w:t xml:space="preserve"> </w:t>
            </w:r>
          </w:p>
        </w:tc>
        <w:tc>
          <w:tcPr>
            <w:tcW w:w="448" w:type="dxa"/>
            <w:tcBorders>
              <w:bottom w:val="single" w:sz="4" w:space="0" w:color="auto"/>
            </w:tcBorders>
            <w:shd w:val="clear" w:color="auto" w:fill="auto"/>
            <w:vAlign w:val="center"/>
          </w:tcPr>
          <w:p w:rsidR="001A63C6" w:rsidRPr="00B41377" w:rsidRDefault="00B54770" w:rsidP="00FC0808">
            <w:pPr>
              <w:pStyle w:val="TableText"/>
              <w:widowControl w:val="0"/>
              <w:spacing w:before="100" w:beforeAutospacing="1"/>
              <w:rPr>
                <w:rStyle w:val="EndnoteReference"/>
                <w:rFonts w:cs="Tahoma"/>
                <w:b w:val="0"/>
                <w:color w:val="0000FF"/>
                <w:sz w:val="13"/>
                <w:szCs w:val="13"/>
                <w:u w:val="single"/>
              </w:rPr>
            </w:pPr>
            <w:hyperlink w:anchor="_100_Windows_EBS" w:history="1">
              <w:r w:rsidR="00734B17" w:rsidRPr="00B41377">
                <w:rPr>
                  <w:rStyle w:val="Hyperlink"/>
                  <w:rFonts w:cs="Tahoma"/>
                  <w:b/>
                  <w:sz w:val="13"/>
                  <w:szCs w:val="13"/>
                </w:rPr>
                <w:t>102</w:t>
              </w:r>
            </w:hyperlink>
          </w:p>
        </w:tc>
        <w:tc>
          <w:tcPr>
            <w:tcW w:w="449" w:type="dxa"/>
            <w:tcBorders>
              <w:bottom w:val="single" w:sz="4" w:space="0" w:color="auto"/>
            </w:tcBorders>
            <w:shd w:val="clear" w:color="auto" w:fill="auto"/>
            <w:vAlign w:val="center"/>
          </w:tcPr>
          <w:p w:rsidR="001A63C6" w:rsidRPr="00A75DF9" w:rsidRDefault="001A63C6" w:rsidP="001A63C6">
            <w:pPr>
              <w:pStyle w:val="TableText"/>
              <w:widowControl w:val="0"/>
              <w:spacing w:before="80"/>
              <w:rPr>
                <w:rFonts w:ascii="Tahoma" w:hAnsi="Tahoma" w:cs="Tahoma"/>
                <w:sz w:val="13"/>
              </w:rPr>
            </w:pPr>
          </w:p>
        </w:tc>
        <w:tc>
          <w:tcPr>
            <w:tcW w:w="359"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5"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41" w:type="dxa"/>
            <w:gridSpan w:val="2"/>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4" w:type="dxa"/>
            <w:gridSpan w:val="2"/>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374"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5"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A75DF9" w:rsidRDefault="001A63C6" w:rsidP="001A63C6">
            <w:pPr>
              <w:pStyle w:val="TableText"/>
              <w:widowControl w:val="0"/>
              <w:rPr>
                <w:rFonts w:ascii="Tahoma" w:hAnsi="Tahoma" w:cs="Tahoma"/>
                <w:sz w:val="13"/>
              </w:rPr>
            </w:pPr>
          </w:p>
        </w:tc>
        <w:tc>
          <w:tcPr>
            <w:tcW w:w="539"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r>
      <w:tr w:rsidR="0084456B" w:rsidRPr="00A75DF9" w:rsidTr="008A1262">
        <w:trPr>
          <w:trHeight w:val="287"/>
        </w:trPr>
        <w:tc>
          <w:tcPr>
            <w:tcW w:w="2724" w:type="dxa"/>
            <w:gridSpan w:val="2"/>
            <w:tcBorders>
              <w:bottom w:val="single" w:sz="4" w:space="0" w:color="auto"/>
            </w:tcBorders>
            <w:shd w:val="clear" w:color="auto" w:fill="FABF8F"/>
            <w:vAlign w:val="center"/>
          </w:tcPr>
          <w:p w:rsidR="001A63C6" w:rsidRPr="00A75DF9" w:rsidRDefault="001A63C6" w:rsidP="001A63C6">
            <w:pPr>
              <w:pStyle w:val="Heading2"/>
              <w:spacing w:before="20" w:after="20"/>
              <w:ind w:left="0"/>
              <w:rPr>
                <w:rFonts w:ascii="Tahoma" w:hAnsi="Tahoma" w:cs="Tahoma"/>
                <w:b w:val="0"/>
                <w:sz w:val="14"/>
                <w:szCs w:val="14"/>
              </w:rPr>
            </w:pPr>
            <w:bookmarkStart w:id="509" w:name="_Toc336338125"/>
            <w:bookmarkStart w:id="510" w:name="_Toc368310122"/>
            <w:r w:rsidRPr="00A75DF9">
              <w:rPr>
                <w:rFonts w:ascii="Tahoma" w:hAnsi="Tahoma" w:cs="Tahoma"/>
                <w:b w:val="0"/>
                <w:sz w:val="14"/>
                <w:szCs w:val="14"/>
              </w:rPr>
              <w:t>CAL Suite per Windows Essential Business Server 2008 per Utenti o Dispositivi Premium</w:t>
            </w:r>
            <w:bookmarkEnd w:id="509"/>
            <w:bookmarkEnd w:id="510"/>
            <w:r w:rsidRPr="00A75DF9">
              <w:rPr>
                <w:rFonts w:ascii="Tahoma" w:hAnsi="Tahoma" w:cs="Tahoma"/>
                <w:b w:val="0"/>
                <w:sz w:val="14"/>
                <w:szCs w:val="14"/>
              </w:rPr>
              <w:t xml:space="preserve"> </w:t>
            </w:r>
          </w:p>
        </w:tc>
        <w:tc>
          <w:tcPr>
            <w:tcW w:w="448" w:type="dxa"/>
            <w:tcBorders>
              <w:bottom w:val="single" w:sz="4" w:space="0" w:color="auto"/>
            </w:tcBorders>
            <w:shd w:val="clear" w:color="auto" w:fill="FABF8F"/>
            <w:vAlign w:val="center"/>
          </w:tcPr>
          <w:p w:rsidR="001A63C6" w:rsidRPr="00B41377" w:rsidRDefault="001A63C6" w:rsidP="001A63C6">
            <w:pPr>
              <w:pStyle w:val="TableText"/>
              <w:widowControl w:val="0"/>
              <w:spacing w:before="100" w:beforeAutospacing="1"/>
              <w:rPr>
                <w:rStyle w:val="EndnoteReference"/>
                <w:rFonts w:cs="Tahoma"/>
                <w:sz w:val="13"/>
              </w:rPr>
            </w:pPr>
          </w:p>
        </w:tc>
        <w:tc>
          <w:tcPr>
            <w:tcW w:w="449" w:type="dxa"/>
            <w:tcBorders>
              <w:bottom w:val="single" w:sz="4" w:space="0" w:color="auto"/>
            </w:tcBorders>
            <w:shd w:val="clear" w:color="auto" w:fill="FABF8F"/>
            <w:vAlign w:val="center"/>
          </w:tcPr>
          <w:p w:rsidR="001A63C6" w:rsidRPr="00A75DF9" w:rsidRDefault="001A63C6" w:rsidP="001A63C6">
            <w:pPr>
              <w:pStyle w:val="TableText"/>
              <w:widowControl w:val="0"/>
              <w:spacing w:before="80"/>
              <w:rPr>
                <w:rFonts w:ascii="Tahoma" w:hAnsi="Tahoma" w:cs="Tahoma"/>
                <w:sz w:val="13"/>
              </w:rPr>
            </w:pPr>
            <w:r w:rsidRPr="00A75DF9">
              <w:rPr>
                <w:rFonts w:ascii="Tahoma" w:hAnsi="Tahoma" w:cs="Tahoma"/>
                <w:sz w:val="13"/>
              </w:rPr>
              <w:t>11/08</w:t>
            </w:r>
          </w:p>
        </w:tc>
        <w:tc>
          <w:tcPr>
            <w:tcW w:w="359"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SRV</w:t>
            </w:r>
          </w:p>
        </w:tc>
        <w:tc>
          <w:tcPr>
            <w:tcW w:w="356"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41" w:type="dxa"/>
            <w:gridSpan w:val="2"/>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4" w:type="dxa"/>
            <w:gridSpan w:val="2"/>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374"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5"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A75DF9" w:rsidRDefault="001A63C6" w:rsidP="001A63C6">
            <w:pPr>
              <w:pStyle w:val="TableText"/>
              <w:widowControl w:val="0"/>
              <w:rPr>
                <w:rFonts w:ascii="Tahoma" w:hAnsi="Tahoma" w:cs="Tahoma"/>
                <w:sz w:val="13"/>
              </w:rPr>
            </w:pPr>
          </w:p>
        </w:tc>
        <w:tc>
          <w:tcPr>
            <w:tcW w:w="539"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r>
      <w:tr w:rsidR="00B33D0E" w:rsidRPr="00A75DF9" w:rsidTr="008A1262">
        <w:trPr>
          <w:trHeight w:val="287"/>
        </w:trPr>
        <w:tc>
          <w:tcPr>
            <w:tcW w:w="2724" w:type="dxa"/>
            <w:gridSpan w:val="2"/>
            <w:tcBorders>
              <w:bottom w:val="single" w:sz="4" w:space="0" w:color="auto"/>
            </w:tcBorders>
            <w:shd w:val="clear" w:color="auto" w:fill="auto"/>
            <w:vAlign w:val="center"/>
          </w:tcPr>
          <w:p w:rsidR="001A63C6" w:rsidRPr="00A75DF9" w:rsidRDefault="001A63C6" w:rsidP="001A63C6">
            <w:pPr>
              <w:pStyle w:val="Heading2"/>
              <w:spacing w:before="20" w:after="20"/>
              <w:ind w:left="0"/>
              <w:rPr>
                <w:rFonts w:ascii="Tahoma" w:hAnsi="Tahoma" w:cs="Tahoma"/>
                <w:b w:val="0"/>
                <w:sz w:val="14"/>
                <w:szCs w:val="14"/>
              </w:rPr>
            </w:pPr>
            <w:bookmarkStart w:id="511" w:name="_Toc336338126"/>
            <w:bookmarkStart w:id="512" w:name="_Toc368310123"/>
            <w:r w:rsidRPr="00A75DF9">
              <w:rPr>
                <w:rFonts w:ascii="Tahoma" w:hAnsi="Tahoma" w:cs="Tahoma"/>
                <w:b w:val="0"/>
                <w:sz w:val="14"/>
                <w:szCs w:val="14"/>
              </w:rPr>
              <w:lastRenderedPageBreak/>
              <w:t>CAL Suite per Windows Essential Business Server 2008 per Utenti o Dispositivi Premium (5 client)</w:t>
            </w:r>
            <w:bookmarkEnd w:id="511"/>
            <w:bookmarkEnd w:id="512"/>
          </w:p>
        </w:tc>
        <w:tc>
          <w:tcPr>
            <w:tcW w:w="448" w:type="dxa"/>
            <w:tcBorders>
              <w:bottom w:val="single" w:sz="4" w:space="0" w:color="auto"/>
            </w:tcBorders>
            <w:shd w:val="clear" w:color="auto" w:fill="auto"/>
            <w:vAlign w:val="center"/>
          </w:tcPr>
          <w:p w:rsidR="001A63C6" w:rsidRPr="00B41377" w:rsidRDefault="001A63C6" w:rsidP="001A63C6">
            <w:pPr>
              <w:pStyle w:val="TableText"/>
              <w:widowControl w:val="0"/>
              <w:spacing w:before="100" w:beforeAutospacing="1"/>
              <w:rPr>
                <w:rStyle w:val="EndnoteReference"/>
                <w:rFonts w:cs="Tahoma"/>
                <w:sz w:val="13"/>
              </w:rPr>
            </w:pPr>
          </w:p>
        </w:tc>
        <w:tc>
          <w:tcPr>
            <w:tcW w:w="449" w:type="dxa"/>
            <w:tcBorders>
              <w:bottom w:val="single" w:sz="4" w:space="0" w:color="auto"/>
            </w:tcBorders>
            <w:shd w:val="clear" w:color="auto" w:fill="auto"/>
            <w:vAlign w:val="center"/>
          </w:tcPr>
          <w:p w:rsidR="001A63C6" w:rsidRPr="00A75DF9" w:rsidRDefault="001A63C6" w:rsidP="001A63C6">
            <w:pPr>
              <w:pStyle w:val="TableText"/>
              <w:widowControl w:val="0"/>
              <w:spacing w:before="200"/>
              <w:rPr>
                <w:rFonts w:ascii="Tahoma" w:hAnsi="Tahoma" w:cs="Tahoma"/>
                <w:sz w:val="13"/>
              </w:rPr>
            </w:pPr>
            <w:r w:rsidRPr="00A75DF9">
              <w:rPr>
                <w:rFonts w:ascii="Tahoma" w:hAnsi="Tahoma" w:cs="Tahoma"/>
                <w:sz w:val="13"/>
              </w:rPr>
              <w:t>11/08</w:t>
            </w:r>
          </w:p>
        </w:tc>
        <w:tc>
          <w:tcPr>
            <w:tcW w:w="359"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SRV</w:t>
            </w:r>
          </w:p>
        </w:tc>
        <w:tc>
          <w:tcPr>
            <w:tcW w:w="356"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5"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41" w:type="dxa"/>
            <w:gridSpan w:val="2"/>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4" w:type="dxa"/>
            <w:gridSpan w:val="2"/>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374"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5"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15</w:t>
            </w: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P</w:t>
            </w:r>
          </w:p>
        </w:tc>
        <w:tc>
          <w:tcPr>
            <w:tcW w:w="450" w:type="dxa"/>
            <w:tcBorders>
              <w:bottom w:val="single" w:sz="4" w:space="0" w:color="auto"/>
            </w:tcBorders>
            <w:shd w:val="clear" w:color="auto" w:fill="auto"/>
          </w:tcPr>
          <w:p w:rsidR="001A63C6" w:rsidRPr="00A75DF9" w:rsidRDefault="001A63C6" w:rsidP="001A63C6">
            <w:pPr>
              <w:pStyle w:val="TableText"/>
              <w:widowControl w:val="0"/>
              <w:rPr>
                <w:rFonts w:ascii="Tahoma" w:hAnsi="Tahoma" w:cs="Tahoma"/>
                <w:sz w:val="13"/>
              </w:rPr>
            </w:pPr>
          </w:p>
        </w:tc>
        <w:tc>
          <w:tcPr>
            <w:tcW w:w="539"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OL</w:t>
            </w:r>
          </w:p>
        </w:tc>
      </w:tr>
      <w:tr w:rsidR="0084456B" w:rsidRPr="00A75DF9" w:rsidTr="008A1262">
        <w:trPr>
          <w:trHeight w:val="287"/>
        </w:trPr>
        <w:tc>
          <w:tcPr>
            <w:tcW w:w="2724" w:type="dxa"/>
            <w:gridSpan w:val="2"/>
            <w:tcBorders>
              <w:bottom w:val="single" w:sz="4" w:space="0" w:color="auto"/>
            </w:tcBorders>
            <w:shd w:val="clear" w:color="auto" w:fill="FABF8F"/>
            <w:vAlign w:val="center"/>
          </w:tcPr>
          <w:p w:rsidR="001A63C6" w:rsidRPr="00A75DF9" w:rsidRDefault="001A63C6" w:rsidP="001A63C6">
            <w:pPr>
              <w:pStyle w:val="Heading2"/>
              <w:spacing w:before="20" w:after="20"/>
              <w:ind w:left="0"/>
              <w:rPr>
                <w:rFonts w:ascii="Tahoma" w:hAnsi="Tahoma" w:cs="Tahoma"/>
                <w:b w:val="0"/>
                <w:sz w:val="14"/>
                <w:szCs w:val="14"/>
              </w:rPr>
            </w:pPr>
            <w:bookmarkStart w:id="513" w:name="_Toc336338127"/>
            <w:bookmarkStart w:id="514" w:name="_Toc368310124"/>
            <w:r w:rsidRPr="00A75DF9">
              <w:rPr>
                <w:rFonts w:ascii="Tahoma" w:hAnsi="Tahoma" w:cs="Tahoma"/>
                <w:b w:val="0"/>
                <w:sz w:val="14"/>
                <w:szCs w:val="14"/>
              </w:rPr>
              <w:t>CAL Suite per Windows Essential Business Server 2008 per Utenti o Dispositivi Premium (20 client)</w:t>
            </w:r>
            <w:bookmarkEnd w:id="513"/>
            <w:bookmarkEnd w:id="514"/>
          </w:p>
        </w:tc>
        <w:tc>
          <w:tcPr>
            <w:tcW w:w="448" w:type="dxa"/>
            <w:tcBorders>
              <w:bottom w:val="single" w:sz="4" w:space="0" w:color="auto"/>
            </w:tcBorders>
            <w:shd w:val="clear" w:color="auto" w:fill="FABF8F"/>
            <w:vAlign w:val="center"/>
          </w:tcPr>
          <w:p w:rsidR="001A63C6" w:rsidRPr="00B41377" w:rsidRDefault="001A63C6" w:rsidP="001A63C6">
            <w:pPr>
              <w:pStyle w:val="TableText"/>
              <w:widowControl w:val="0"/>
              <w:spacing w:before="100" w:beforeAutospacing="1"/>
              <w:rPr>
                <w:rStyle w:val="EndnoteReference"/>
                <w:rFonts w:cs="Tahoma"/>
                <w:sz w:val="13"/>
              </w:rPr>
            </w:pPr>
          </w:p>
        </w:tc>
        <w:tc>
          <w:tcPr>
            <w:tcW w:w="449" w:type="dxa"/>
            <w:tcBorders>
              <w:bottom w:val="single" w:sz="4" w:space="0" w:color="auto"/>
            </w:tcBorders>
            <w:shd w:val="clear" w:color="auto" w:fill="FABF8F"/>
            <w:vAlign w:val="center"/>
          </w:tcPr>
          <w:p w:rsidR="001A63C6" w:rsidRPr="00A75DF9" w:rsidRDefault="001A63C6" w:rsidP="001A63C6">
            <w:pPr>
              <w:pStyle w:val="TableText"/>
              <w:widowControl w:val="0"/>
              <w:spacing w:before="160"/>
              <w:rPr>
                <w:rFonts w:ascii="Tahoma" w:hAnsi="Tahoma" w:cs="Tahoma"/>
                <w:sz w:val="13"/>
              </w:rPr>
            </w:pPr>
            <w:r w:rsidRPr="00A75DF9">
              <w:rPr>
                <w:rFonts w:ascii="Tahoma" w:hAnsi="Tahoma" w:cs="Tahoma"/>
                <w:sz w:val="13"/>
              </w:rPr>
              <w:t>11/08</w:t>
            </w:r>
          </w:p>
        </w:tc>
        <w:tc>
          <w:tcPr>
            <w:tcW w:w="359"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SRV</w:t>
            </w:r>
          </w:p>
        </w:tc>
        <w:tc>
          <w:tcPr>
            <w:tcW w:w="356"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41" w:type="dxa"/>
            <w:gridSpan w:val="2"/>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4" w:type="dxa"/>
            <w:gridSpan w:val="2"/>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374"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5"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50</w:t>
            </w: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P</w:t>
            </w:r>
          </w:p>
        </w:tc>
        <w:tc>
          <w:tcPr>
            <w:tcW w:w="450" w:type="dxa"/>
            <w:tcBorders>
              <w:bottom w:val="single" w:sz="4" w:space="0" w:color="auto"/>
            </w:tcBorders>
            <w:shd w:val="clear" w:color="auto" w:fill="FABF8F"/>
          </w:tcPr>
          <w:p w:rsidR="001A63C6" w:rsidRPr="00A75DF9" w:rsidRDefault="001A63C6" w:rsidP="001A63C6">
            <w:pPr>
              <w:pStyle w:val="TableText"/>
              <w:widowControl w:val="0"/>
              <w:rPr>
                <w:rFonts w:ascii="Tahoma" w:hAnsi="Tahoma" w:cs="Tahoma"/>
                <w:sz w:val="13"/>
              </w:rPr>
            </w:pPr>
          </w:p>
        </w:tc>
        <w:tc>
          <w:tcPr>
            <w:tcW w:w="539"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OL</w:t>
            </w:r>
          </w:p>
        </w:tc>
      </w:tr>
      <w:tr w:rsidR="00B33D0E" w:rsidRPr="00A75DF9" w:rsidTr="008A1262">
        <w:trPr>
          <w:trHeight w:val="287"/>
        </w:trPr>
        <w:tc>
          <w:tcPr>
            <w:tcW w:w="2724" w:type="dxa"/>
            <w:gridSpan w:val="2"/>
            <w:tcBorders>
              <w:bottom w:val="single" w:sz="4" w:space="0" w:color="auto"/>
            </w:tcBorders>
            <w:shd w:val="clear" w:color="auto" w:fill="auto"/>
            <w:vAlign w:val="center"/>
          </w:tcPr>
          <w:p w:rsidR="001A63C6" w:rsidRPr="00A75DF9" w:rsidRDefault="001A63C6" w:rsidP="001A63C6">
            <w:pPr>
              <w:pStyle w:val="Heading2"/>
              <w:spacing w:before="20" w:after="20"/>
              <w:ind w:left="0"/>
              <w:rPr>
                <w:rFonts w:ascii="Tahoma" w:hAnsi="Tahoma" w:cs="Tahoma"/>
                <w:b w:val="0"/>
                <w:sz w:val="14"/>
                <w:szCs w:val="14"/>
              </w:rPr>
            </w:pPr>
            <w:bookmarkStart w:id="515" w:name="_Toc336338128"/>
            <w:bookmarkStart w:id="516" w:name="_Toc368310125"/>
            <w:r w:rsidRPr="00A75DF9">
              <w:rPr>
                <w:rFonts w:ascii="Tahoma" w:hAnsi="Tahoma" w:cs="Tahoma"/>
                <w:b w:val="0"/>
                <w:sz w:val="14"/>
                <w:szCs w:val="14"/>
              </w:rPr>
              <w:t>CAL Suite per Windows Essential Business Server 2008 per Utenti o Dispositivi Premium (50 client)</w:t>
            </w:r>
            <w:bookmarkEnd w:id="515"/>
            <w:bookmarkEnd w:id="516"/>
          </w:p>
        </w:tc>
        <w:tc>
          <w:tcPr>
            <w:tcW w:w="448" w:type="dxa"/>
            <w:tcBorders>
              <w:bottom w:val="single" w:sz="4" w:space="0" w:color="auto"/>
            </w:tcBorders>
            <w:shd w:val="clear" w:color="auto" w:fill="auto"/>
            <w:vAlign w:val="center"/>
          </w:tcPr>
          <w:p w:rsidR="001A63C6" w:rsidRPr="00B41377" w:rsidRDefault="001A63C6" w:rsidP="001A63C6">
            <w:pPr>
              <w:pStyle w:val="TableText"/>
              <w:widowControl w:val="0"/>
              <w:spacing w:before="100" w:beforeAutospacing="1"/>
              <w:rPr>
                <w:rStyle w:val="EndnoteReference"/>
                <w:rFonts w:cs="Tahoma"/>
                <w:color w:val="0000FF"/>
                <w:sz w:val="13"/>
              </w:rPr>
            </w:pPr>
          </w:p>
        </w:tc>
        <w:tc>
          <w:tcPr>
            <w:tcW w:w="449" w:type="dxa"/>
            <w:tcBorders>
              <w:bottom w:val="single" w:sz="4" w:space="0" w:color="auto"/>
            </w:tcBorders>
            <w:shd w:val="clear" w:color="auto" w:fill="auto"/>
            <w:vAlign w:val="center"/>
          </w:tcPr>
          <w:p w:rsidR="001A63C6" w:rsidRPr="00A75DF9" w:rsidRDefault="001A63C6" w:rsidP="001A63C6">
            <w:pPr>
              <w:pStyle w:val="TableText"/>
              <w:widowControl w:val="0"/>
              <w:spacing w:before="180"/>
              <w:rPr>
                <w:rFonts w:ascii="Tahoma" w:hAnsi="Tahoma" w:cs="Tahoma"/>
                <w:sz w:val="13"/>
              </w:rPr>
            </w:pPr>
            <w:r w:rsidRPr="00A75DF9">
              <w:rPr>
                <w:rFonts w:ascii="Tahoma" w:hAnsi="Tahoma" w:cs="Tahoma"/>
                <w:sz w:val="13"/>
              </w:rPr>
              <w:t>11/08</w:t>
            </w:r>
          </w:p>
        </w:tc>
        <w:tc>
          <w:tcPr>
            <w:tcW w:w="359"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SRV</w:t>
            </w:r>
          </w:p>
        </w:tc>
        <w:tc>
          <w:tcPr>
            <w:tcW w:w="356"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5"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41" w:type="dxa"/>
            <w:gridSpan w:val="2"/>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4" w:type="dxa"/>
            <w:gridSpan w:val="2"/>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374"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5"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75</w:t>
            </w: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P</w:t>
            </w:r>
          </w:p>
        </w:tc>
        <w:tc>
          <w:tcPr>
            <w:tcW w:w="450" w:type="dxa"/>
            <w:tcBorders>
              <w:bottom w:val="single" w:sz="4" w:space="0" w:color="auto"/>
            </w:tcBorders>
            <w:shd w:val="clear" w:color="auto" w:fill="auto"/>
          </w:tcPr>
          <w:p w:rsidR="001A63C6" w:rsidRPr="00A75DF9" w:rsidRDefault="001A63C6" w:rsidP="001A63C6">
            <w:pPr>
              <w:pStyle w:val="TableText"/>
              <w:widowControl w:val="0"/>
              <w:rPr>
                <w:rFonts w:ascii="Tahoma" w:hAnsi="Tahoma" w:cs="Tahoma"/>
                <w:sz w:val="13"/>
              </w:rPr>
            </w:pPr>
          </w:p>
        </w:tc>
        <w:tc>
          <w:tcPr>
            <w:tcW w:w="539"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OL</w:t>
            </w:r>
          </w:p>
        </w:tc>
      </w:tr>
      <w:tr w:rsidR="0084456B" w:rsidRPr="00A75DF9" w:rsidTr="008A1262">
        <w:trPr>
          <w:trHeight w:val="145"/>
        </w:trPr>
        <w:tc>
          <w:tcPr>
            <w:tcW w:w="2724" w:type="dxa"/>
            <w:gridSpan w:val="2"/>
            <w:tcBorders>
              <w:bottom w:val="single" w:sz="4" w:space="0" w:color="auto"/>
            </w:tcBorders>
            <w:shd w:val="clear" w:color="auto" w:fill="FABF8F"/>
            <w:vAlign w:val="center"/>
          </w:tcPr>
          <w:p w:rsidR="001A63C6" w:rsidRPr="00A75DF9" w:rsidRDefault="001A63C6" w:rsidP="0044693F">
            <w:pPr>
              <w:pStyle w:val="Heading2"/>
              <w:keepNext/>
              <w:spacing w:before="20" w:after="20"/>
              <w:ind w:left="0"/>
              <w:rPr>
                <w:rFonts w:ascii="Tahoma" w:hAnsi="Tahoma" w:cs="Tahoma"/>
                <w:b w:val="0"/>
                <w:sz w:val="14"/>
                <w:szCs w:val="14"/>
              </w:rPr>
            </w:pPr>
            <w:bookmarkStart w:id="517" w:name="_Toc336338129"/>
            <w:bookmarkStart w:id="518" w:name="_Toc368310126"/>
            <w:r w:rsidRPr="00A75DF9">
              <w:rPr>
                <w:rFonts w:ascii="Tahoma" w:hAnsi="Tahoma" w:cs="Tahoma"/>
                <w:b w:val="0"/>
                <w:sz w:val="14"/>
                <w:szCs w:val="14"/>
              </w:rPr>
              <w:t>Windows HPC Server 2008 R2 Suite</w:t>
            </w:r>
            <w:bookmarkEnd w:id="517"/>
            <w:bookmarkEnd w:id="518"/>
            <w:r w:rsidRPr="00A75DF9">
              <w:rPr>
                <w:rFonts w:ascii="Tahoma" w:hAnsi="Tahoma" w:cs="Tahoma"/>
                <w:b w:val="0"/>
                <w:sz w:val="14"/>
                <w:szCs w:val="14"/>
              </w:rPr>
              <w:t xml:space="preserve"> </w:t>
            </w:r>
          </w:p>
        </w:tc>
        <w:tc>
          <w:tcPr>
            <w:tcW w:w="448" w:type="dxa"/>
            <w:tcBorders>
              <w:bottom w:val="single" w:sz="4" w:space="0" w:color="auto"/>
            </w:tcBorders>
            <w:shd w:val="clear" w:color="auto" w:fill="FABF8F"/>
            <w:vAlign w:val="center"/>
          </w:tcPr>
          <w:p w:rsidR="001A63C6" w:rsidRPr="00B41377" w:rsidRDefault="00B54770" w:rsidP="00FC0808">
            <w:pPr>
              <w:pStyle w:val="TableText"/>
              <w:widowControl w:val="0"/>
              <w:rPr>
                <w:rFonts w:cs="Tahoma"/>
                <w:b/>
                <w:sz w:val="13"/>
                <w:szCs w:val="13"/>
                <w:u w:val="single"/>
              </w:rPr>
            </w:pPr>
            <w:hyperlink w:anchor="_104_Windows_HPC" w:history="1">
              <w:r w:rsidR="00734B17" w:rsidRPr="00B41377">
                <w:rPr>
                  <w:rStyle w:val="Hyperlink"/>
                  <w:rFonts w:cs="Tahoma"/>
                  <w:b/>
                  <w:sz w:val="13"/>
                  <w:szCs w:val="13"/>
                </w:rPr>
                <w:t>103</w:t>
              </w:r>
            </w:hyperlink>
          </w:p>
        </w:tc>
        <w:tc>
          <w:tcPr>
            <w:tcW w:w="449" w:type="dxa"/>
            <w:tcBorders>
              <w:bottom w:val="single" w:sz="4" w:space="0" w:color="auto"/>
            </w:tcBorders>
            <w:shd w:val="clear" w:color="auto" w:fill="FABF8F"/>
            <w:vAlign w:val="center"/>
          </w:tcPr>
          <w:p w:rsidR="001A63C6" w:rsidRPr="00A75DF9" w:rsidRDefault="001A63C6" w:rsidP="007E466C">
            <w:pPr>
              <w:pStyle w:val="TableText"/>
              <w:widowControl w:val="0"/>
              <w:rPr>
                <w:rFonts w:ascii="Tahoma" w:hAnsi="Tahoma" w:cs="Tahoma"/>
                <w:color w:val="000000"/>
                <w:sz w:val="13"/>
              </w:rPr>
            </w:pPr>
            <w:r w:rsidRPr="00A75DF9">
              <w:rPr>
                <w:rFonts w:ascii="Tahoma" w:hAnsi="Tahoma" w:cs="Tahoma"/>
                <w:color w:val="000000"/>
                <w:sz w:val="13"/>
              </w:rPr>
              <w:t>09/10</w:t>
            </w:r>
          </w:p>
        </w:tc>
        <w:tc>
          <w:tcPr>
            <w:tcW w:w="359"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SRV</w:t>
            </w:r>
          </w:p>
        </w:tc>
        <w:tc>
          <w:tcPr>
            <w:tcW w:w="356"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41" w:type="dxa"/>
            <w:gridSpan w:val="2"/>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4" w:type="dxa"/>
            <w:gridSpan w:val="2"/>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374"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5"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A75DF9" w:rsidRDefault="001A63C6" w:rsidP="001A63C6">
            <w:pPr>
              <w:pStyle w:val="TableText"/>
              <w:widowControl w:val="0"/>
              <w:rPr>
                <w:rFonts w:ascii="Tahoma" w:hAnsi="Tahoma" w:cs="Tahoma"/>
                <w:color w:val="000000"/>
                <w:sz w:val="13"/>
              </w:rPr>
            </w:pPr>
          </w:p>
        </w:tc>
        <w:tc>
          <w:tcPr>
            <w:tcW w:w="539"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r>
      <w:tr w:rsidR="00B33D0E" w:rsidRPr="00A75DF9" w:rsidTr="008A1262">
        <w:trPr>
          <w:trHeight w:val="145"/>
        </w:trPr>
        <w:tc>
          <w:tcPr>
            <w:tcW w:w="2724" w:type="dxa"/>
            <w:gridSpan w:val="2"/>
            <w:tcBorders>
              <w:bottom w:val="single" w:sz="4" w:space="0" w:color="auto"/>
            </w:tcBorders>
            <w:shd w:val="clear" w:color="auto" w:fill="auto"/>
            <w:vAlign w:val="center"/>
          </w:tcPr>
          <w:p w:rsidR="001A63C6" w:rsidRPr="00A75DF9" w:rsidRDefault="001A63C6" w:rsidP="001A63C6">
            <w:pPr>
              <w:pStyle w:val="Heading2"/>
              <w:spacing w:before="20" w:after="20"/>
              <w:ind w:left="0"/>
              <w:rPr>
                <w:rFonts w:ascii="Tahoma" w:hAnsi="Tahoma" w:cs="Tahoma"/>
                <w:b w:val="0"/>
                <w:sz w:val="14"/>
                <w:szCs w:val="14"/>
              </w:rPr>
            </w:pPr>
            <w:bookmarkStart w:id="519" w:name="_Toc368310127"/>
            <w:r w:rsidRPr="00A75DF9">
              <w:rPr>
                <w:rFonts w:ascii="Tahoma" w:hAnsi="Tahoma" w:cs="Tahoma"/>
                <w:b w:val="0"/>
                <w:sz w:val="14"/>
              </w:rPr>
              <w:t>Componente Aggiuntivo per Windows Intune per System Center Configuration Manager e System Center EndPoint Protection (Per Utente)</w:t>
            </w:r>
            <w:bookmarkEnd w:id="519"/>
          </w:p>
        </w:tc>
        <w:tc>
          <w:tcPr>
            <w:tcW w:w="448" w:type="dxa"/>
            <w:tcBorders>
              <w:bottom w:val="single" w:sz="4" w:space="0" w:color="auto"/>
            </w:tcBorders>
            <w:shd w:val="clear" w:color="auto" w:fill="auto"/>
            <w:vAlign w:val="center"/>
          </w:tcPr>
          <w:p w:rsidR="001A63C6" w:rsidRPr="00B41377" w:rsidRDefault="001A63C6" w:rsidP="001A63C6">
            <w:pPr>
              <w:pStyle w:val="TableText"/>
              <w:widowControl w:val="0"/>
              <w:rPr>
                <w:rFonts w:cs="Tahoma"/>
                <w:b/>
                <w:sz w:val="13"/>
                <w:szCs w:val="13"/>
              </w:rPr>
            </w:pPr>
          </w:p>
        </w:tc>
        <w:tc>
          <w:tcPr>
            <w:tcW w:w="449" w:type="dxa"/>
            <w:tcBorders>
              <w:bottom w:val="single" w:sz="4" w:space="0" w:color="auto"/>
            </w:tcBorders>
            <w:shd w:val="clear" w:color="auto" w:fill="auto"/>
            <w:vAlign w:val="center"/>
          </w:tcPr>
          <w:p w:rsidR="001A63C6" w:rsidRPr="00A75DF9" w:rsidRDefault="001A63C6" w:rsidP="001A63C6">
            <w:pPr>
              <w:pStyle w:val="TableText"/>
              <w:widowControl w:val="0"/>
              <w:spacing w:before="80"/>
              <w:rPr>
                <w:rFonts w:ascii="Tahoma" w:hAnsi="Tahoma" w:cs="Tahoma"/>
                <w:color w:val="000000"/>
                <w:sz w:val="13"/>
              </w:rPr>
            </w:pPr>
            <w:r w:rsidRPr="00A75DF9">
              <w:rPr>
                <w:rFonts w:ascii="Tahoma" w:hAnsi="Tahoma" w:cs="Tahoma"/>
                <w:color w:val="000000"/>
                <w:sz w:val="13"/>
              </w:rPr>
              <w:t>12/12</w:t>
            </w:r>
          </w:p>
        </w:tc>
        <w:tc>
          <w:tcPr>
            <w:tcW w:w="359"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OSB</w:t>
            </w:r>
          </w:p>
        </w:tc>
        <w:tc>
          <w:tcPr>
            <w:tcW w:w="356"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5"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41" w:type="dxa"/>
            <w:gridSpan w:val="2"/>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4" w:type="dxa"/>
            <w:gridSpan w:val="2"/>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374"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5"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A, ST</w:t>
            </w:r>
          </w:p>
        </w:tc>
        <w:tc>
          <w:tcPr>
            <w:tcW w:w="539"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r>
      <w:tr w:rsidR="0084456B" w:rsidRPr="00A75DF9" w:rsidTr="008A1262">
        <w:trPr>
          <w:trHeight w:val="145"/>
        </w:trPr>
        <w:tc>
          <w:tcPr>
            <w:tcW w:w="2724" w:type="dxa"/>
            <w:gridSpan w:val="2"/>
            <w:tcBorders>
              <w:bottom w:val="single" w:sz="4" w:space="0" w:color="auto"/>
            </w:tcBorders>
            <w:shd w:val="clear" w:color="auto" w:fill="FABF8F"/>
            <w:vAlign w:val="center"/>
          </w:tcPr>
          <w:p w:rsidR="001A63C6" w:rsidRPr="00A75DF9" w:rsidRDefault="001A63C6" w:rsidP="001A63C6">
            <w:pPr>
              <w:pStyle w:val="Heading2"/>
              <w:spacing w:before="20" w:after="20"/>
              <w:ind w:left="0"/>
              <w:rPr>
                <w:rFonts w:ascii="Tahoma" w:hAnsi="Tahoma" w:cs="Tahoma"/>
                <w:b w:val="0"/>
                <w:sz w:val="14"/>
                <w:szCs w:val="14"/>
              </w:rPr>
            </w:pPr>
            <w:bookmarkStart w:id="520" w:name="_Toc368310128"/>
            <w:r w:rsidRPr="00A75DF9">
              <w:rPr>
                <w:rFonts w:ascii="Tahoma" w:hAnsi="Tahoma" w:cs="Tahoma"/>
                <w:b w:val="0"/>
                <w:sz w:val="14"/>
                <w:szCs w:val="14"/>
              </w:rPr>
              <w:t>Windows Intune (Per Utente)</w:t>
            </w:r>
            <w:bookmarkEnd w:id="520"/>
          </w:p>
        </w:tc>
        <w:tc>
          <w:tcPr>
            <w:tcW w:w="448" w:type="dxa"/>
            <w:tcBorders>
              <w:bottom w:val="single" w:sz="4" w:space="0" w:color="auto"/>
            </w:tcBorders>
            <w:shd w:val="clear" w:color="auto" w:fill="FABF8F"/>
            <w:vAlign w:val="center"/>
          </w:tcPr>
          <w:p w:rsidR="001A63C6" w:rsidRPr="00B41377" w:rsidRDefault="001A63C6" w:rsidP="001A63C6">
            <w:pPr>
              <w:pStyle w:val="TableText"/>
              <w:widowControl w:val="0"/>
              <w:rPr>
                <w:rFonts w:cs="Tahoma"/>
                <w:b/>
                <w:sz w:val="13"/>
                <w:szCs w:val="13"/>
              </w:rPr>
            </w:pPr>
          </w:p>
        </w:tc>
        <w:tc>
          <w:tcPr>
            <w:tcW w:w="449" w:type="dxa"/>
            <w:tcBorders>
              <w:bottom w:val="single" w:sz="4" w:space="0" w:color="auto"/>
            </w:tcBorders>
            <w:shd w:val="clear" w:color="auto" w:fill="FABF8F"/>
            <w:vAlign w:val="center"/>
          </w:tcPr>
          <w:p w:rsidR="001A63C6" w:rsidRPr="00A75DF9" w:rsidRDefault="001A63C6" w:rsidP="007E466C">
            <w:pPr>
              <w:pStyle w:val="TableText"/>
              <w:widowControl w:val="0"/>
              <w:rPr>
                <w:rFonts w:ascii="Tahoma" w:hAnsi="Tahoma" w:cs="Tahoma"/>
                <w:color w:val="000000"/>
                <w:sz w:val="13"/>
              </w:rPr>
            </w:pPr>
            <w:r w:rsidRPr="00A75DF9">
              <w:rPr>
                <w:rFonts w:ascii="Tahoma" w:hAnsi="Tahoma" w:cs="Tahoma"/>
                <w:color w:val="000000"/>
                <w:sz w:val="13"/>
              </w:rPr>
              <w:t>12/12</w:t>
            </w:r>
          </w:p>
        </w:tc>
        <w:tc>
          <w:tcPr>
            <w:tcW w:w="359"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OSB</w:t>
            </w:r>
          </w:p>
        </w:tc>
        <w:tc>
          <w:tcPr>
            <w:tcW w:w="356"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41" w:type="dxa"/>
            <w:gridSpan w:val="2"/>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4" w:type="dxa"/>
            <w:gridSpan w:val="2"/>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374"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5"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EOLS</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A75DF9" w:rsidRDefault="001A63C6" w:rsidP="001A63C6">
            <w:pPr>
              <w:pStyle w:val="TableText"/>
              <w:widowControl w:val="0"/>
              <w:rPr>
                <w:rFonts w:ascii="Tahoma" w:hAnsi="Tahoma" w:cs="Tahoma"/>
                <w:sz w:val="13"/>
              </w:rPr>
            </w:pPr>
          </w:p>
        </w:tc>
        <w:tc>
          <w:tcPr>
            <w:tcW w:w="539"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r>
      <w:tr w:rsidR="00B33D0E" w:rsidRPr="00A75DF9" w:rsidTr="008A1262">
        <w:trPr>
          <w:trHeight w:val="145"/>
        </w:trPr>
        <w:tc>
          <w:tcPr>
            <w:tcW w:w="2724" w:type="dxa"/>
            <w:gridSpan w:val="2"/>
            <w:tcBorders>
              <w:bottom w:val="single" w:sz="4" w:space="0" w:color="auto"/>
            </w:tcBorders>
            <w:shd w:val="clear" w:color="auto" w:fill="auto"/>
            <w:vAlign w:val="center"/>
          </w:tcPr>
          <w:p w:rsidR="001A63C6" w:rsidRPr="00A75DF9" w:rsidRDefault="001A63C6" w:rsidP="001A63C6">
            <w:pPr>
              <w:pStyle w:val="Heading2"/>
              <w:spacing w:before="20" w:after="20"/>
              <w:ind w:left="0"/>
              <w:rPr>
                <w:rFonts w:ascii="Tahoma" w:hAnsi="Tahoma" w:cs="Tahoma"/>
                <w:b w:val="0"/>
                <w:sz w:val="14"/>
                <w:szCs w:val="14"/>
              </w:rPr>
            </w:pPr>
            <w:bookmarkStart w:id="521" w:name="_Toc336338132"/>
            <w:bookmarkStart w:id="522" w:name="_Toc341193035"/>
            <w:bookmarkStart w:id="523" w:name="_Toc368310129"/>
            <w:r w:rsidRPr="00A75DF9">
              <w:rPr>
                <w:rFonts w:ascii="Tahoma" w:hAnsi="Tahoma" w:cs="Tahoma"/>
                <w:b w:val="0"/>
                <w:sz w:val="14"/>
                <w:szCs w:val="14"/>
              </w:rPr>
              <w:t>USL Add-On per Windows Intune Extra Storage 1 GB</w:t>
            </w:r>
            <w:bookmarkEnd w:id="521"/>
            <w:bookmarkEnd w:id="522"/>
            <w:bookmarkEnd w:id="523"/>
          </w:p>
        </w:tc>
        <w:tc>
          <w:tcPr>
            <w:tcW w:w="448" w:type="dxa"/>
            <w:tcBorders>
              <w:bottom w:val="single" w:sz="4" w:space="0" w:color="auto"/>
            </w:tcBorders>
            <w:shd w:val="clear" w:color="auto" w:fill="auto"/>
            <w:vAlign w:val="center"/>
          </w:tcPr>
          <w:p w:rsidR="001A63C6" w:rsidRPr="00B41377" w:rsidRDefault="001A63C6" w:rsidP="001A63C6">
            <w:pPr>
              <w:pStyle w:val="TableText"/>
              <w:widowControl w:val="0"/>
              <w:rPr>
                <w:rFonts w:cs="Tahoma"/>
                <w:b/>
                <w:sz w:val="13"/>
                <w:szCs w:val="13"/>
              </w:rPr>
            </w:pPr>
          </w:p>
        </w:tc>
        <w:tc>
          <w:tcPr>
            <w:tcW w:w="449" w:type="dxa"/>
            <w:tcBorders>
              <w:bottom w:val="single" w:sz="4" w:space="0" w:color="auto"/>
            </w:tcBorders>
            <w:shd w:val="clear" w:color="auto" w:fill="auto"/>
            <w:vAlign w:val="center"/>
          </w:tcPr>
          <w:p w:rsidR="001A63C6" w:rsidRPr="00A75DF9" w:rsidRDefault="001A63C6" w:rsidP="001A63C6">
            <w:pPr>
              <w:pStyle w:val="TableText"/>
              <w:widowControl w:val="0"/>
              <w:spacing w:before="80"/>
              <w:rPr>
                <w:rFonts w:ascii="Tahoma" w:hAnsi="Tahoma" w:cs="Tahoma"/>
                <w:color w:val="000000"/>
                <w:sz w:val="13"/>
              </w:rPr>
            </w:pPr>
            <w:r w:rsidRPr="00A75DF9">
              <w:rPr>
                <w:rFonts w:ascii="Tahoma" w:hAnsi="Tahoma" w:cs="Tahoma"/>
                <w:color w:val="000000"/>
                <w:sz w:val="13"/>
              </w:rPr>
              <w:t>12/12</w:t>
            </w:r>
          </w:p>
        </w:tc>
        <w:tc>
          <w:tcPr>
            <w:tcW w:w="359"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c>
          <w:tcPr>
            <w:tcW w:w="356"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5"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41" w:type="dxa"/>
            <w:gridSpan w:val="2"/>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4" w:type="dxa"/>
            <w:gridSpan w:val="2"/>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374"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5"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A, ST</w:t>
            </w:r>
          </w:p>
        </w:tc>
        <w:tc>
          <w:tcPr>
            <w:tcW w:w="539"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r>
      <w:tr w:rsidR="0084456B" w:rsidRPr="00A75DF9" w:rsidTr="008A1262">
        <w:trPr>
          <w:trHeight w:val="145"/>
        </w:trPr>
        <w:tc>
          <w:tcPr>
            <w:tcW w:w="2724" w:type="dxa"/>
            <w:gridSpan w:val="2"/>
            <w:tcBorders>
              <w:bottom w:val="single" w:sz="4" w:space="0" w:color="auto"/>
            </w:tcBorders>
            <w:shd w:val="clear" w:color="auto" w:fill="FABF8F"/>
            <w:vAlign w:val="center"/>
          </w:tcPr>
          <w:p w:rsidR="001A63C6" w:rsidRPr="00A75DF9" w:rsidRDefault="001A63C6" w:rsidP="001A63C6">
            <w:pPr>
              <w:pStyle w:val="Heading2"/>
              <w:spacing w:before="20" w:after="20"/>
              <w:ind w:left="0"/>
              <w:rPr>
                <w:rFonts w:ascii="Tahoma" w:hAnsi="Tahoma" w:cs="Tahoma"/>
                <w:b w:val="0"/>
                <w:sz w:val="14"/>
                <w:szCs w:val="14"/>
              </w:rPr>
            </w:pPr>
            <w:bookmarkStart w:id="524" w:name="_Toc336338133"/>
            <w:bookmarkStart w:id="525" w:name="_Toc368310130"/>
            <w:r w:rsidRPr="00A75DF9">
              <w:rPr>
                <w:rFonts w:ascii="Tahoma" w:hAnsi="Tahoma" w:cs="Tahoma"/>
                <w:b w:val="0"/>
                <w:sz w:val="14"/>
                <w:szCs w:val="14"/>
              </w:rPr>
              <w:t>Windows MultiPoint Server 2012 Standard</w:t>
            </w:r>
            <w:bookmarkEnd w:id="524"/>
            <w:bookmarkEnd w:id="525"/>
          </w:p>
        </w:tc>
        <w:tc>
          <w:tcPr>
            <w:tcW w:w="448" w:type="dxa"/>
            <w:tcBorders>
              <w:bottom w:val="single" w:sz="4" w:space="0" w:color="auto"/>
            </w:tcBorders>
            <w:shd w:val="clear" w:color="auto" w:fill="FABF8F"/>
            <w:vAlign w:val="center"/>
          </w:tcPr>
          <w:p w:rsidR="001A63C6" w:rsidRPr="00B41377" w:rsidRDefault="00B54770" w:rsidP="00FC0808">
            <w:pPr>
              <w:pStyle w:val="TableText"/>
              <w:widowControl w:val="0"/>
              <w:rPr>
                <w:rFonts w:cs="Tahoma"/>
                <w:b/>
                <w:sz w:val="13"/>
                <w:szCs w:val="13"/>
                <w:u w:val="single"/>
              </w:rPr>
            </w:pPr>
            <w:hyperlink w:anchor="_105_Windows_Multipoint" w:history="1">
              <w:r w:rsidR="00734B17" w:rsidRPr="00B41377">
                <w:rPr>
                  <w:rStyle w:val="Hyperlink"/>
                  <w:rFonts w:cs="Tahoma"/>
                  <w:b/>
                  <w:sz w:val="13"/>
                  <w:szCs w:val="13"/>
                </w:rPr>
                <w:t>104</w:t>
              </w:r>
            </w:hyperlink>
            <w:hyperlink w:anchor="_98_Windows_Multipoint" w:history="1"/>
          </w:p>
        </w:tc>
        <w:tc>
          <w:tcPr>
            <w:tcW w:w="449" w:type="dxa"/>
            <w:tcBorders>
              <w:bottom w:val="single" w:sz="4" w:space="0" w:color="auto"/>
            </w:tcBorders>
            <w:shd w:val="clear" w:color="auto" w:fill="FABF8F"/>
            <w:vAlign w:val="center"/>
          </w:tcPr>
          <w:p w:rsidR="001A63C6" w:rsidRPr="00A75DF9" w:rsidRDefault="001A63C6" w:rsidP="001A63C6">
            <w:pPr>
              <w:pStyle w:val="TableText"/>
              <w:widowControl w:val="0"/>
              <w:spacing w:before="80"/>
              <w:rPr>
                <w:rFonts w:ascii="Tahoma" w:hAnsi="Tahoma" w:cs="Tahoma"/>
                <w:color w:val="000000"/>
                <w:sz w:val="13"/>
              </w:rPr>
            </w:pPr>
            <w:r w:rsidRPr="00A75DF9">
              <w:rPr>
                <w:rFonts w:ascii="Tahoma" w:hAnsi="Tahoma" w:cs="Tahoma"/>
                <w:color w:val="000000"/>
                <w:sz w:val="13"/>
              </w:rPr>
              <w:t>12/12</w:t>
            </w:r>
          </w:p>
        </w:tc>
        <w:tc>
          <w:tcPr>
            <w:tcW w:w="359"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SRV</w:t>
            </w:r>
          </w:p>
        </w:tc>
        <w:tc>
          <w:tcPr>
            <w:tcW w:w="356"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5</w:t>
            </w: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13</w:t>
            </w:r>
          </w:p>
        </w:tc>
        <w:tc>
          <w:tcPr>
            <w:tcW w:w="45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10</w:t>
            </w:r>
          </w:p>
        </w:tc>
        <w:tc>
          <w:tcPr>
            <w:tcW w:w="441" w:type="dxa"/>
            <w:gridSpan w:val="2"/>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8</w:t>
            </w:r>
          </w:p>
        </w:tc>
        <w:tc>
          <w:tcPr>
            <w:tcW w:w="454" w:type="dxa"/>
            <w:gridSpan w:val="2"/>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8</w:t>
            </w: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5</w:t>
            </w:r>
          </w:p>
        </w:tc>
        <w:tc>
          <w:tcPr>
            <w:tcW w:w="374"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3</w:t>
            </w:r>
          </w:p>
        </w:tc>
        <w:tc>
          <w:tcPr>
            <w:tcW w:w="455"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5</w:t>
            </w: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sz w:val="13"/>
              </w:rPr>
              <w:t>A</w:t>
            </w:r>
          </w:p>
        </w:tc>
        <w:tc>
          <w:tcPr>
            <w:tcW w:w="539"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r>
      <w:tr w:rsidR="00B33D0E" w:rsidRPr="00A75DF9" w:rsidTr="008A1262">
        <w:trPr>
          <w:trHeight w:val="145"/>
        </w:trPr>
        <w:tc>
          <w:tcPr>
            <w:tcW w:w="2724" w:type="dxa"/>
            <w:gridSpan w:val="2"/>
            <w:tcBorders>
              <w:bottom w:val="single" w:sz="4" w:space="0" w:color="auto"/>
            </w:tcBorders>
            <w:shd w:val="clear" w:color="auto" w:fill="auto"/>
            <w:vAlign w:val="center"/>
          </w:tcPr>
          <w:p w:rsidR="001A63C6" w:rsidRPr="00A75DF9" w:rsidRDefault="001A63C6" w:rsidP="001A63C6">
            <w:pPr>
              <w:pStyle w:val="Heading2"/>
              <w:spacing w:before="20" w:after="20"/>
              <w:ind w:left="0"/>
              <w:rPr>
                <w:rFonts w:ascii="Tahoma" w:hAnsi="Tahoma" w:cs="Tahoma"/>
                <w:b w:val="0"/>
                <w:sz w:val="14"/>
                <w:szCs w:val="14"/>
              </w:rPr>
            </w:pPr>
            <w:bookmarkStart w:id="526" w:name="_Toc336338134"/>
            <w:bookmarkStart w:id="527" w:name="_Toc368310131"/>
            <w:r w:rsidRPr="00A75DF9">
              <w:rPr>
                <w:rFonts w:ascii="Tahoma" w:hAnsi="Tahoma" w:cs="Tahoma"/>
                <w:b w:val="0"/>
                <w:sz w:val="14"/>
                <w:szCs w:val="14"/>
              </w:rPr>
              <w:t>Windows MultiPoint Server 2012 Premium</w:t>
            </w:r>
            <w:bookmarkEnd w:id="526"/>
            <w:bookmarkEnd w:id="527"/>
          </w:p>
        </w:tc>
        <w:tc>
          <w:tcPr>
            <w:tcW w:w="448" w:type="dxa"/>
            <w:tcBorders>
              <w:bottom w:val="single" w:sz="4" w:space="0" w:color="auto"/>
            </w:tcBorders>
            <w:shd w:val="clear" w:color="auto" w:fill="auto"/>
            <w:vAlign w:val="center"/>
          </w:tcPr>
          <w:p w:rsidR="001A63C6" w:rsidRPr="00B41377" w:rsidRDefault="00B54770" w:rsidP="00FC0808">
            <w:pPr>
              <w:pStyle w:val="TableText"/>
              <w:widowControl w:val="0"/>
              <w:rPr>
                <w:rFonts w:cs="Tahoma"/>
                <w:b/>
                <w:sz w:val="13"/>
                <w:szCs w:val="13"/>
                <w:u w:val="single"/>
              </w:rPr>
            </w:pPr>
            <w:hyperlink w:anchor="_106_Windows_Multipoint" w:history="1">
              <w:hyperlink w:anchor="Srv_107WinMultipointSvr2011Premium" w:history="1">
                <w:r w:rsidR="00734B17" w:rsidRPr="003F1FE0">
                  <w:rPr>
                    <w:rStyle w:val="Hyperlink"/>
                    <w:rFonts w:cs="Tahoma"/>
                    <w:b/>
                    <w:sz w:val="13"/>
                    <w:szCs w:val="13"/>
                  </w:rPr>
                  <w:t>10</w:t>
                </w:r>
              </w:hyperlink>
              <w:r w:rsidR="00734B17" w:rsidRPr="003F1FE0">
                <w:rPr>
                  <w:rStyle w:val="Hyperlink"/>
                  <w:rFonts w:cs="Tahoma"/>
                  <w:b/>
                  <w:sz w:val="13"/>
                  <w:szCs w:val="13"/>
                </w:rPr>
                <w:t>5</w:t>
              </w:r>
            </w:hyperlink>
          </w:p>
        </w:tc>
        <w:tc>
          <w:tcPr>
            <w:tcW w:w="449" w:type="dxa"/>
            <w:tcBorders>
              <w:bottom w:val="single" w:sz="4" w:space="0" w:color="auto"/>
            </w:tcBorders>
            <w:shd w:val="clear" w:color="auto" w:fill="auto"/>
            <w:vAlign w:val="center"/>
          </w:tcPr>
          <w:p w:rsidR="001A63C6" w:rsidRPr="00A75DF9" w:rsidRDefault="001A63C6" w:rsidP="001A63C6">
            <w:pPr>
              <w:pStyle w:val="TableText"/>
              <w:widowControl w:val="0"/>
              <w:spacing w:before="80"/>
              <w:rPr>
                <w:rFonts w:ascii="Tahoma" w:hAnsi="Tahoma" w:cs="Tahoma"/>
                <w:color w:val="000000"/>
                <w:sz w:val="13"/>
              </w:rPr>
            </w:pPr>
            <w:r w:rsidRPr="00A75DF9">
              <w:rPr>
                <w:rFonts w:ascii="Tahoma" w:hAnsi="Tahoma" w:cs="Tahoma"/>
                <w:color w:val="000000"/>
                <w:sz w:val="13"/>
              </w:rPr>
              <w:t>12/12</w:t>
            </w:r>
          </w:p>
        </w:tc>
        <w:tc>
          <w:tcPr>
            <w:tcW w:w="359"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SRV</w:t>
            </w:r>
          </w:p>
        </w:tc>
        <w:tc>
          <w:tcPr>
            <w:tcW w:w="356"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10</w:t>
            </w: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25</w:t>
            </w:r>
          </w:p>
        </w:tc>
        <w:tc>
          <w:tcPr>
            <w:tcW w:w="455"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20</w:t>
            </w:r>
          </w:p>
        </w:tc>
        <w:tc>
          <w:tcPr>
            <w:tcW w:w="441" w:type="dxa"/>
            <w:gridSpan w:val="2"/>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15</w:t>
            </w:r>
          </w:p>
        </w:tc>
        <w:tc>
          <w:tcPr>
            <w:tcW w:w="454" w:type="dxa"/>
            <w:gridSpan w:val="2"/>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15</w:t>
            </w: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10</w:t>
            </w:r>
          </w:p>
        </w:tc>
        <w:tc>
          <w:tcPr>
            <w:tcW w:w="374"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5</w:t>
            </w:r>
          </w:p>
        </w:tc>
        <w:tc>
          <w:tcPr>
            <w:tcW w:w="455"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10</w:t>
            </w: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20</w:t>
            </w: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10</w:t>
            </w:r>
          </w:p>
        </w:tc>
        <w:tc>
          <w:tcPr>
            <w:tcW w:w="450"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10</w:t>
            </w: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sz w:val="13"/>
              </w:rPr>
              <w:t>A</w:t>
            </w:r>
          </w:p>
        </w:tc>
        <w:tc>
          <w:tcPr>
            <w:tcW w:w="539"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r>
      <w:tr w:rsidR="0084456B" w:rsidRPr="00A75DF9" w:rsidTr="008A1262">
        <w:trPr>
          <w:trHeight w:val="145"/>
        </w:trPr>
        <w:tc>
          <w:tcPr>
            <w:tcW w:w="2724" w:type="dxa"/>
            <w:gridSpan w:val="2"/>
            <w:tcBorders>
              <w:bottom w:val="single" w:sz="4" w:space="0" w:color="auto"/>
            </w:tcBorders>
            <w:shd w:val="clear" w:color="auto" w:fill="FABF8F"/>
            <w:vAlign w:val="center"/>
          </w:tcPr>
          <w:p w:rsidR="001A63C6" w:rsidRPr="00A75DF9" w:rsidRDefault="001A63C6" w:rsidP="001A63C6">
            <w:pPr>
              <w:pStyle w:val="Heading2"/>
              <w:spacing w:before="20" w:after="20"/>
              <w:ind w:left="0"/>
              <w:rPr>
                <w:rFonts w:ascii="Tahoma" w:hAnsi="Tahoma" w:cs="Tahoma"/>
                <w:b w:val="0"/>
                <w:sz w:val="14"/>
                <w:szCs w:val="14"/>
              </w:rPr>
            </w:pPr>
            <w:bookmarkStart w:id="528" w:name="_Toc336338135"/>
            <w:bookmarkStart w:id="529" w:name="_Toc368310132"/>
            <w:r w:rsidRPr="00A75DF9">
              <w:rPr>
                <w:rFonts w:ascii="Tahoma" w:hAnsi="Tahoma" w:cs="Tahoma"/>
                <w:b w:val="0"/>
                <w:sz w:val="14"/>
                <w:szCs w:val="14"/>
              </w:rPr>
              <w:t>CAL per Windows MultiPoint Server 2012</w:t>
            </w:r>
            <w:bookmarkEnd w:id="528"/>
            <w:bookmarkEnd w:id="529"/>
          </w:p>
        </w:tc>
        <w:tc>
          <w:tcPr>
            <w:tcW w:w="448" w:type="dxa"/>
            <w:tcBorders>
              <w:bottom w:val="single" w:sz="4" w:space="0" w:color="auto"/>
            </w:tcBorders>
            <w:shd w:val="clear" w:color="auto" w:fill="FABF8F"/>
            <w:vAlign w:val="center"/>
          </w:tcPr>
          <w:p w:rsidR="001A63C6" w:rsidRPr="00B41377" w:rsidRDefault="00B54770" w:rsidP="00FC0808">
            <w:pPr>
              <w:pStyle w:val="TableText"/>
              <w:widowControl w:val="0"/>
              <w:rPr>
                <w:rFonts w:cs="Tahoma"/>
                <w:b/>
                <w:sz w:val="13"/>
                <w:szCs w:val="13"/>
                <w:u w:val="single"/>
              </w:rPr>
            </w:pPr>
            <w:hyperlink w:anchor="Srv_108WinMultipointSvr2011CAL" w:history="1">
              <w:r w:rsidR="00734B17" w:rsidRPr="00B41377">
                <w:rPr>
                  <w:rStyle w:val="Hyperlink"/>
                  <w:rFonts w:cs="Tahoma"/>
                  <w:b/>
                  <w:sz w:val="13"/>
                  <w:szCs w:val="13"/>
                </w:rPr>
                <w:t>106</w:t>
              </w:r>
            </w:hyperlink>
          </w:p>
        </w:tc>
        <w:tc>
          <w:tcPr>
            <w:tcW w:w="449" w:type="dxa"/>
            <w:tcBorders>
              <w:bottom w:val="single" w:sz="4" w:space="0" w:color="auto"/>
            </w:tcBorders>
            <w:shd w:val="clear" w:color="auto" w:fill="FABF8F"/>
            <w:vAlign w:val="center"/>
          </w:tcPr>
          <w:p w:rsidR="001A63C6" w:rsidRPr="00A75DF9" w:rsidRDefault="001A63C6" w:rsidP="001A63C6">
            <w:pPr>
              <w:pStyle w:val="TableText"/>
              <w:widowControl w:val="0"/>
              <w:spacing w:before="80"/>
              <w:rPr>
                <w:rFonts w:ascii="Tahoma" w:hAnsi="Tahoma" w:cs="Tahoma"/>
                <w:color w:val="000000"/>
                <w:sz w:val="13"/>
              </w:rPr>
            </w:pPr>
            <w:r w:rsidRPr="00A75DF9">
              <w:rPr>
                <w:rFonts w:ascii="Tahoma" w:hAnsi="Tahoma" w:cs="Tahoma"/>
                <w:color w:val="000000"/>
                <w:sz w:val="13"/>
              </w:rPr>
              <w:t>12/12</w:t>
            </w:r>
          </w:p>
        </w:tc>
        <w:tc>
          <w:tcPr>
            <w:tcW w:w="359"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SRV</w:t>
            </w:r>
          </w:p>
        </w:tc>
        <w:tc>
          <w:tcPr>
            <w:tcW w:w="356"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w:t>
            </w: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3</w:t>
            </w:r>
          </w:p>
        </w:tc>
        <w:tc>
          <w:tcPr>
            <w:tcW w:w="45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w:t>
            </w:r>
          </w:p>
        </w:tc>
        <w:tc>
          <w:tcPr>
            <w:tcW w:w="441" w:type="dxa"/>
            <w:gridSpan w:val="2"/>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w:t>
            </w:r>
          </w:p>
        </w:tc>
        <w:tc>
          <w:tcPr>
            <w:tcW w:w="454" w:type="dxa"/>
            <w:gridSpan w:val="2"/>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w:t>
            </w: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w:t>
            </w:r>
          </w:p>
        </w:tc>
        <w:tc>
          <w:tcPr>
            <w:tcW w:w="374"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w:t>
            </w:r>
          </w:p>
        </w:tc>
        <w:tc>
          <w:tcPr>
            <w:tcW w:w="455"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w:t>
            </w: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w:t>
            </w: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w:t>
            </w:r>
          </w:p>
        </w:tc>
        <w:tc>
          <w:tcPr>
            <w:tcW w:w="450"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w:t>
            </w: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sz w:val="13"/>
              </w:rPr>
              <w:t>A</w:t>
            </w:r>
          </w:p>
        </w:tc>
        <w:tc>
          <w:tcPr>
            <w:tcW w:w="539"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r>
      <w:tr w:rsidR="00B33D0E" w:rsidRPr="00A75DF9" w:rsidTr="008A1262">
        <w:trPr>
          <w:trHeight w:val="145"/>
        </w:trPr>
        <w:tc>
          <w:tcPr>
            <w:tcW w:w="2724" w:type="dxa"/>
            <w:gridSpan w:val="2"/>
            <w:tcBorders>
              <w:bottom w:val="single" w:sz="4" w:space="0" w:color="auto"/>
            </w:tcBorders>
            <w:shd w:val="clear" w:color="auto" w:fill="auto"/>
            <w:vAlign w:val="center"/>
          </w:tcPr>
          <w:p w:rsidR="001A63C6" w:rsidRPr="00A75DF9" w:rsidRDefault="001A63C6" w:rsidP="001A63C6">
            <w:pPr>
              <w:pStyle w:val="Heading2"/>
              <w:spacing w:before="20" w:after="20"/>
              <w:ind w:left="0"/>
              <w:rPr>
                <w:rFonts w:ascii="Tahoma" w:hAnsi="Tahoma" w:cs="Tahoma"/>
                <w:b w:val="0"/>
                <w:sz w:val="14"/>
                <w:szCs w:val="14"/>
              </w:rPr>
            </w:pPr>
            <w:bookmarkStart w:id="530" w:name="_Toc336338136"/>
            <w:bookmarkStart w:id="531" w:name="_Toc368310133"/>
            <w:r w:rsidRPr="00A75DF9">
              <w:rPr>
                <w:rFonts w:ascii="Tahoma" w:hAnsi="Tahoma" w:cs="Tahoma"/>
                <w:b w:val="0"/>
                <w:sz w:val="14"/>
                <w:szCs w:val="14"/>
              </w:rPr>
              <w:t>CAL per Windows MultiPoint Server 2012 con CAL per Windows Server 2012</w:t>
            </w:r>
            <w:bookmarkEnd w:id="530"/>
            <w:bookmarkEnd w:id="531"/>
          </w:p>
        </w:tc>
        <w:tc>
          <w:tcPr>
            <w:tcW w:w="448" w:type="dxa"/>
            <w:tcBorders>
              <w:bottom w:val="single" w:sz="4" w:space="0" w:color="auto"/>
            </w:tcBorders>
            <w:shd w:val="clear" w:color="auto" w:fill="auto"/>
            <w:vAlign w:val="center"/>
          </w:tcPr>
          <w:p w:rsidR="001A63C6" w:rsidRPr="00B41377" w:rsidRDefault="001A63C6" w:rsidP="001A63C6">
            <w:pPr>
              <w:pStyle w:val="TableText"/>
              <w:widowControl w:val="0"/>
              <w:rPr>
                <w:rFonts w:cs="Tahoma"/>
                <w:b/>
                <w:sz w:val="13"/>
                <w:szCs w:val="13"/>
              </w:rPr>
            </w:pPr>
          </w:p>
        </w:tc>
        <w:tc>
          <w:tcPr>
            <w:tcW w:w="449" w:type="dxa"/>
            <w:tcBorders>
              <w:bottom w:val="single" w:sz="4" w:space="0" w:color="auto"/>
            </w:tcBorders>
            <w:shd w:val="clear" w:color="auto" w:fill="auto"/>
            <w:vAlign w:val="center"/>
          </w:tcPr>
          <w:p w:rsidR="001A63C6" w:rsidRPr="00A75DF9" w:rsidRDefault="001A63C6" w:rsidP="001A63C6">
            <w:pPr>
              <w:pStyle w:val="TableText"/>
              <w:widowControl w:val="0"/>
              <w:spacing w:before="80"/>
              <w:rPr>
                <w:rFonts w:ascii="Tahoma" w:hAnsi="Tahoma" w:cs="Tahoma"/>
                <w:color w:val="000000"/>
                <w:sz w:val="13"/>
              </w:rPr>
            </w:pPr>
            <w:r w:rsidRPr="00A75DF9">
              <w:rPr>
                <w:rFonts w:ascii="Tahoma" w:hAnsi="Tahoma" w:cs="Tahoma"/>
                <w:color w:val="000000"/>
                <w:sz w:val="13"/>
              </w:rPr>
              <w:t>12/12</w:t>
            </w:r>
          </w:p>
        </w:tc>
        <w:tc>
          <w:tcPr>
            <w:tcW w:w="359"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SRV</w:t>
            </w:r>
          </w:p>
        </w:tc>
        <w:tc>
          <w:tcPr>
            <w:tcW w:w="356"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w:t>
            </w: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3</w:t>
            </w:r>
          </w:p>
        </w:tc>
        <w:tc>
          <w:tcPr>
            <w:tcW w:w="455"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w:t>
            </w:r>
          </w:p>
        </w:tc>
        <w:tc>
          <w:tcPr>
            <w:tcW w:w="441" w:type="dxa"/>
            <w:gridSpan w:val="2"/>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w:t>
            </w:r>
          </w:p>
        </w:tc>
        <w:tc>
          <w:tcPr>
            <w:tcW w:w="454" w:type="dxa"/>
            <w:gridSpan w:val="2"/>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w:t>
            </w: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w:t>
            </w:r>
          </w:p>
        </w:tc>
        <w:tc>
          <w:tcPr>
            <w:tcW w:w="374"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w:t>
            </w:r>
          </w:p>
        </w:tc>
        <w:tc>
          <w:tcPr>
            <w:tcW w:w="455"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w:t>
            </w: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sz w:val="13"/>
              </w:rPr>
              <w:t>A</w:t>
            </w:r>
          </w:p>
        </w:tc>
        <w:tc>
          <w:tcPr>
            <w:tcW w:w="539"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r>
      <w:tr w:rsidR="0084456B" w:rsidRPr="00A75DF9" w:rsidTr="008A1262">
        <w:trPr>
          <w:trHeight w:val="145"/>
        </w:trPr>
        <w:tc>
          <w:tcPr>
            <w:tcW w:w="2724" w:type="dxa"/>
            <w:gridSpan w:val="2"/>
            <w:tcBorders>
              <w:bottom w:val="single" w:sz="4" w:space="0" w:color="auto"/>
            </w:tcBorders>
            <w:shd w:val="clear" w:color="auto" w:fill="FABF8F"/>
            <w:vAlign w:val="center"/>
          </w:tcPr>
          <w:p w:rsidR="001A63C6" w:rsidRPr="00A75DF9" w:rsidRDefault="001A63C6" w:rsidP="001A63C6">
            <w:pPr>
              <w:pStyle w:val="Heading2"/>
              <w:spacing w:before="20" w:after="20"/>
              <w:ind w:left="0"/>
              <w:rPr>
                <w:rFonts w:ascii="Tahoma" w:hAnsi="Tahoma" w:cs="Tahoma"/>
                <w:b w:val="0"/>
                <w:sz w:val="14"/>
                <w:szCs w:val="14"/>
              </w:rPr>
            </w:pPr>
            <w:bookmarkStart w:id="532" w:name="_Toc336338137"/>
            <w:bookmarkStart w:id="533" w:name="_Toc368310134"/>
            <w:r w:rsidRPr="00A75DF9">
              <w:rPr>
                <w:rFonts w:ascii="Tahoma" w:hAnsi="Tahoma" w:cs="Tahoma"/>
                <w:b w:val="0"/>
                <w:sz w:val="14"/>
                <w:szCs w:val="14"/>
              </w:rPr>
              <w:t>Windows MultiPoint Server 2012 Premium con Windows MultiPoint Server 2012 (CAL) (5 Client)</w:t>
            </w:r>
            <w:bookmarkEnd w:id="532"/>
            <w:bookmarkEnd w:id="533"/>
          </w:p>
        </w:tc>
        <w:tc>
          <w:tcPr>
            <w:tcW w:w="448" w:type="dxa"/>
            <w:tcBorders>
              <w:bottom w:val="single" w:sz="4" w:space="0" w:color="auto"/>
            </w:tcBorders>
            <w:shd w:val="clear" w:color="auto" w:fill="FABF8F"/>
            <w:vAlign w:val="center"/>
          </w:tcPr>
          <w:p w:rsidR="001A63C6" w:rsidRPr="00B41377" w:rsidRDefault="001A63C6" w:rsidP="001A63C6">
            <w:pPr>
              <w:pStyle w:val="TableText"/>
              <w:widowControl w:val="0"/>
              <w:rPr>
                <w:rFonts w:cs="Tahoma"/>
                <w:b/>
                <w:sz w:val="13"/>
                <w:szCs w:val="13"/>
              </w:rPr>
            </w:pPr>
          </w:p>
        </w:tc>
        <w:tc>
          <w:tcPr>
            <w:tcW w:w="449" w:type="dxa"/>
            <w:tcBorders>
              <w:bottom w:val="single" w:sz="4" w:space="0" w:color="auto"/>
            </w:tcBorders>
            <w:shd w:val="clear" w:color="auto" w:fill="FABF8F"/>
            <w:vAlign w:val="center"/>
          </w:tcPr>
          <w:p w:rsidR="001A63C6" w:rsidRPr="00A75DF9" w:rsidRDefault="001A63C6" w:rsidP="001A63C6">
            <w:pPr>
              <w:pStyle w:val="TableText"/>
              <w:widowControl w:val="0"/>
              <w:spacing w:before="80"/>
              <w:rPr>
                <w:rFonts w:ascii="Tahoma" w:hAnsi="Tahoma" w:cs="Tahoma"/>
                <w:color w:val="000000"/>
                <w:sz w:val="13"/>
              </w:rPr>
            </w:pPr>
            <w:r w:rsidRPr="00A75DF9">
              <w:rPr>
                <w:rFonts w:ascii="Tahoma" w:hAnsi="Tahoma" w:cs="Tahoma"/>
                <w:color w:val="000000"/>
                <w:sz w:val="13"/>
              </w:rPr>
              <w:t>01/13</w:t>
            </w:r>
          </w:p>
        </w:tc>
        <w:tc>
          <w:tcPr>
            <w:tcW w:w="359"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SRV</w:t>
            </w:r>
          </w:p>
        </w:tc>
        <w:tc>
          <w:tcPr>
            <w:tcW w:w="356"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25</w:t>
            </w: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63</w:t>
            </w:r>
          </w:p>
        </w:tc>
        <w:tc>
          <w:tcPr>
            <w:tcW w:w="45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50</w:t>
            </w:r>
          </w:p>
        </w:tc>
        <w:tc>
          <w:tcPr>
            <w:tcW w:w="441" w:type="dxa"/>
            <w:gridSpan w:val="2"/>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38</w:t>
            </w:r>
          </w:p>
        </w:tc>
        <w:tc>
          <w:tcPr>
            <w:tcW w:w="454" w:type="dxa"/>
            <w:gridSpan w:val="2"/>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38</w:t>
            </w: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25</w:t>
            </w:r>
          </w:p>
        </w:tc>
        <w:tc>
          <w:tcPr>
            <w:tcW w:w="374"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13</w:t>
            </w:r>
          </w:p>
        </w:tc>
        <w:tc>
          <w:tcPr>
            <w:tcW w:w="455"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25</w:t>
            </w: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sz w:val="13"/>
              </w:rPr>
              <w:t>A</w:t>
            </w:r>
          </w:p>
        </w:tc>
        <w:tc>
          <w:tcPr>
            <w:tcW w:w="539"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OL/OV</w:t>
            </w:r>
          </w:p>
        </w:tc>
      </w:tr>
      <w:tr w:rsidR="00B33D0E" w:rsidRPr="00A75DF9" w:rsidTr="008A1262">
        <w:trPr>
          <w:trHeight w:val="145"/>
        </w:trPr>
        <w:tc>
          <w:tcPr>
            <w:tcW w:w="2724" w:type="dxa"/>
            <w:gridSpan w:val="2"/>
            <w:tcBorders>
              <w:bottom w:val="single" w:sz="4" w:space="0" w:color="auto"/>
            </w:tcBorders>
            <w:shd w:val="clear" w:color="auto" w:fill="auto"/>
            <w:vAlign w:val="center"/>
          </w:tcPr>
          <w:p w:rsidR="001A63C6" w:rsidRPr="00A75DF9" w:rsidRDefault="001A63C6" w:rsidP="001A63C6">
            <w:pPr>
              <w:pStyle w:val="Heading2"/>
              <w:spacing w:before="20" w:after="20"/>
              <w:ind w:left="0"/>
              <w:rPr>
                <w:rFonts w:ascii="Tahoma" w:hAnsi="Tahoma" w:cs="Tahoma"/>
                <w:b w:val="0"/>
                <w:sz w:val="14"/>
                <w:szCs w:val="14"/>
              </w:rPr>
            </w:pPr>
            <w:bookmarkStart w:id="534" w:name="_Toc336338138"/>
            <w:bookmarkStart w:id="535" w:name="_Toc368310135"/>
            <w:r w:rsidRPr="00A75DF9">
              <w:rPr>
                <w:rFonts w:ascii="Tahoma" w:hAnsi="Tahoma" w:cs="Tahoma"/>
                <w:b w:val="0"/>
                <w:sz w:val="14"/>
                <w:szCs w:val="14"/>
              </w:rPr>
              <w:t>Windows MultiPoint Server 2012 Premium con Windows MultiPoint Server 2012 (CAL) (5 Client) con Windows Server 2012 (CAL) (5 Client)</w:t>
            </w:r>
            <w:bookmarkEnd w:id="534"/>
            <w:bookmarkEnd w:id="535"/>
          </w:p>
        </w:tc>
        <w:tc>
          <w:tcPr>
            <w:tcW w:w="448" w:type="dxa"/>
            <w:tcBorders>
              <w:bottom w:val="single" w:sz="4" w:space="0" w:color="auto"/>
            </w:tcBorders>
            <w:shd w:val="clear" w:color="auto" w:fill="auto"/>
            <w:vAlign w:val="center"/>
          </w:tcPr>
          <w:p w:rsidR="001A63C6" w:rsidRPr="00B41377" w:rsidRDefault="001A63C6" w:rsidP="001A63C6">
            <w:pPr>
              <w:pStyle w:val="TableText"/>
              <w:widowControl w:val="0"/>
              <w:rPr>
                <w:rFonts w:cs="Tahoma"/>
                <w:b/>
                <w:sz w:val="13"/>
                <w:szCs w:val="13"/>
              </w:rPr>
            </w:pPr>
          </w:p>
        </w:tc>
        <w:tc>
          <w:tcPr>
            <w:tcW w:w="449" w:type="dxa"/>
            <w:tcBorders>
              <w:bottom w:val="single" w:sz="4" w:space="0" w:color="auto"/>
            </w:tcBorders>
            <w:shd w:val="clear" w:color="auto" w:fill="auto"/>
            <w:vAlign w:val="center"/>
          </w:tcPr>
          <w:p w:rsidR="001A63C6" w:rsidRPr="00A75DF9" w:rsidRDefault="001A63C6" w:rsidP="001A63C6">
            <w:pPr>
              <w:pStyle w:val="TableText"/>
              <w:widowControl w:val="0"/>
              <w:spacing w:before="80"/>
              <w:rPr>
                <w:rFonts w:ascii="Tahoma" w:hAnsi="Tahoma" w:cs="Tahoma"/>
                <w:color w:val="000000"/>
                <w:sz w:val="13"/>
              </w:rPr>
            </w:pPr>
            <w:r w:rsidRPr="00A75DF9">
              <w:rPr>
                <w:rFonts w:ascii="Tahoma" w:hAnsi="Tahoma" w:cs="Tahoma"/>
                <w:color w:val="000000"/>
                <w:sz w:val="13"/>
              </w:rPr>
              <w:t>01/13</w:t>
            </w:r>
          </w:p>
        </w:tc>
        <w:tc>
          <w:tcPr>
            <w:tcW w:w="359"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SRV</w:t>
            </w:r>
          </w:p>
        </w:tc>
        <w:tc>
          <w:tcPr>
            <w:tcW w:w="356"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25</w:t>
            </w: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63</w:t>
            </w:r>
          </w:p>
        </w:tc>
        <w:tc>
          <w:tcPr>
            <w:tcW w:w="455"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50</w:t>
            </w:r>
          </w:p>
        </w:tc>
        <w:tc>
          <w:tcPr>
            <w:tcW w:w="441" w:type="dxa"/>
            <w:gridSpan w:val="2"/>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38</w:t>
            </w:r>
          </w:p>
        </w:tc>
        <w:tc>
          <w:tcPr>
            <w:tcW w:w="454" w:type="dxa"/>
            <w:gridSpan w:val="2"/>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38</w:t>
            </w: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25</w:t>
            </w:r>
          </w:p>
        </w:tc>
        <w:tc>
          <w:tcPr>
            <w:tcW w:w="374"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13</w:t>
            </w:r>
          </w:p>
        </w:tc>
        <w:tc>
          <w:tcPr>
            <w:tcW w:w="455"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25</w:t>
            </w: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sz w:val="13"/>
              </w:rPr>
              <w:t>A</w:t>
            </w:r>
          </w:p>
        </w:tc>
        <w:tc>
          <w:tcPr>
            <w:tcW w:w="539"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OL/OV</w:t>
            </w:r>
          </w:p>
        </w:tc>
      </w:tr>
      <w:tr w:rsidR="0084456B" w:rsidRPr="00A75DF9" w:rsidTr="008A1262">
        <w:trPr>
          <w:trHeight w:val="145"/>
        </w:trPr>
        <w:tc>
          <w:tcPr>
            <w:tcW w:w="2724" w:type="dxa"/>
            <w:gridSpan w:val="2"/>
            <w:tcBorders>
              <w:bottom w:val="single" w:sz="4" w:space="0" w:color="auto"/>
            </w:tcBorders>
            <w:shd w:val="clear" w:color="auto" w:fill="FABF8F"/>
            <w:vAlign w:val="center"/>
          </w:tcPr>
          <w:p w:rsidR="001933C6" w:rsidRPr="00A75DF9" w:rsidRDefault="001933C6" w:rsidP="001A63C6">
            <w:pPr>
              <w:pStyle w:val="Heading2"/>
              <w:spacing w:before="20" w:after="20"/>
              <w:ind w:left="0"/>
              <w:rPr>
                <w:rFonts w:ascii="Tahoma" w:hAnsi="Tahoma" w:cs="Tahoma"/>
                <w:b w:val="0"/>
                <w:sz w:val="14"/>
                <w:szCs w:val="14"/>
              </w:rPr>
            </w:pPr>
            <w:bookmarkStart w:id="536" w:name="_Toc368310136"/>
            <w:r w:rsidRPr="00A75DF9">
              <w:rPr>
                <w:rFonts w:ascii="Tahoma" w:hAnsi="Tahoma" w:cs="Tahoma"/>
                <w:b w:val="0"/>
                <w:sz w:val="14"/>
                <w:szCs w:val="14"/>
              </w:rPr>
              <w:t>Windows Server™ 2008 R2 HPC Edition</w:t>
            </w:r>
            <w:bookmarkEnd w:id="536"/>
          </w:p>
        </w:tc>
        <w:tc>
          <w:tcPr>
            <w:tcW w:w="448" w:type="dxa"/>
            <w:tcBorders>
              <w:bottom w:val="single" w:sz="4" w:space="0" w:color="auto"/>
            </w:tcBorders>
            <w:shd w:val="clear" w:color="auto" w:fill="FABF8F"/>
            <w:vAlign w:val="center"/>
          </w:tcPr>
          <w:p w:rsidR="001933C6" w:rsidRPr="00B41377" w:rsidRDefault="00B54770" w:rsidP="00FC0808">
            <w:pPr>
              <w:pStyle w:val="TableText"/>
              <w:widowControl w:val="0"/>
              <w:rPr>
                <w:rFonts w:cs="Tahoma"/>
              </w:rPr>
            </w:pPr>
            <w:hyperlink w:anchor="_108_Windows_Server" w:history="1">
              <w:hyperlink w:anchor="Srv_110WinSvr08R2HPC" w:history="1">
                <w:r w:rsidR="00734B17" w:rsidRPr="00B41377">
                  <w:rPr>
                    <w:rStyle w:val="Hyperlink"/>
                    <w:rFonts w:cs="Tahoma"/>
                    <w:b/>
                    <w:sz w:val="13"/>
                    <w:szCs w:val="13"/>
                  </w:rPr>
                  <w:t>10</w:t>
                </w:r>
              </w:hyperlink>
            </w:hyperlink>
            <w:r w:rsidR="00734B17" w:rsidRPr="00B41377">
              <w:rPr>
                <w:rStyle w:val="Hyperlink"/>
                <w:rFonts w:cs="Tahoma"/>
                <w:b/>
                <w:sz w:val="13"/>
                <w:szCs w:val="13"/>
              </w:rPr>
              <w:t>7</w:t>
            </w:r>
          </w:p>
        </w:tc>
        <w:tc>
          <w:tcPr>
            <w:tcW w:w="449" w:type="dxa"/>
            <w:tcBorders>
              <w:bottom w:val="single" w:sz="4" w:space="0" w:color="auto"/>
            </w:tcBorders>
            <w:shd w:val="clear" w:color="auto" w:fill="FABF8F"/>
            <w:vAlign w:val="center"/>
          </w:tcPr>
          <w:p w:rsidR="001933C6" w:rsidRPr="00A75DF9" w:rsidRDefault="001933C6" w:rsidP="001A63C6">
            <w:pPr>
              <w:pStyle w:val="TableText"/>
              <w:widowControl w:val="0"/>
              <w:spacing w:before="80"/>
              <w:rPr>
                <w:rFonts w:ascii="Tahoma" w:hAnsi="Tahoma" w:cs="Tahoma"/>
                <w:color w:val="000000"/>
                <w:sz w:val="13"/>
              </w:rPr>
            </w:pPr>
            <w:r w:rsidRPr="00A75DF9">
              <w:rPr>
                <w:rFonts w:ascii="Tahoma" w:hAnsi="Tahoma" w:cs="Tahoma"/>
                <w:sz w:val="13"/>
              </w:rPr>
              <w:t>09/10</w:t>
            </w:r>
          </w:p>
        </w:tc>
        <w:tc>
          <w:tcPr>
            <w:tcW w:w="359" w:type="dxa"/>
            <w:tcBorders>
              <w:bottom w:val="single" w:sz="4" w:space="0" w:color="auto"/>
              <w:right w:val="single" w:sz="18" w:space="0" w:color="auto"/>
            </w:tcBorders>
            <w:shd w:val="clear" w:color="auto" w:fill="FABF8F"/>
            <w:vAlign w:val="center"/>
          </w:tcPr>
          <w:p w:rsidR="001933C6" w:rsidRPr="00A75DF9" w:rsidRDefault="001933C6" w:rsidP="001A63C6">
            <w:pPr>
              <w:pStyle w:val="TableText"/>
              <w:widowControl w:val="0"/>
              <w:rPr>
                <w:rFonts w:ascii="Tahoma" w:hAnsi="Tahoma" w:cs="Tahoma"/>
                <w:color w:val="000000"/>
                <w:sz w:val="13"/>
              </w:rPr>
            </w:pPr>
            <w:r w:rsidRPr="00A75DF9">
              <w:rPr>
                <w:rFonts w:ascii="Tahoma" w:hAnsi="Tahoma" w:cs="Tahoma"/>
                <w:color w:val="000000"/>
                <w:sz w:val="13"/>
              </w:rPr>
              <w:t>SRV</w:t>
            </w:r>
          </w:p>
        </w:tc>
        <w:tc>
          <w:tcPr>
            <w:tcW w:w="356" w:type="dxa"/>
            <w:tcBorders>
              <w:left w:val="single" w:sz="18" w:space="0" w:color="auto"/>
              <w:bottom w:val="single" w:sz="4" w:space="0" w:color="auto"/>
            </w:tcBorders>
            <w:shd w:val="clear" w:color="auto" w:fill="FABF8F"/>
            <w:vAlign w:val="center"/>
          </w:tcPr>
          <w:p w:rsidR="001933C6" w:rsidRPr="00A75DF9" w:rsidRDefault="00193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933C6" w:rsidRPr="00A75DF9" w:rsidRDefault="001933C6" w:rsidP="001A63C6">
            <w:pPr>
              <w:pStyle w:val="TableText"/>
              <w:widowControl w:val="0"/>
              <w:rPr>
                <w:rFonts w:ascii="Tahoma" w:hAnsi="Tahoma" w:cs="Tahoma"/>
                <w:sz w:val="13"/>
              </w:rPr>
            </w:pPr>
          </w:p>
        </w:tc>
        <w:tc>
          <w:tcPr>
            <w:tcW w:w="455" w:type="dxa"/>
            <w:tcBorders>
              <w:bottom w:val="single" w:sz="4" w:space="0" w:color="auto"/>
            </w:tcBorders>
            <w:shd w:val="clear" w:color="auto" w:fill="FABF8F"/>
            <w:vAlign w:val="center"/>
          </w:tcPr>
          <w:p w:rsidR="001933C6" w:rsidRPr="00A75DF9" w:rsidRDefault="001933C6" w:rsidP="001A63C6">
            <w:pPr>
              <w:pStyle w:val="TableText"/>
              <w:widowControl w:val="0"/>
              <w:rPr>
                <w:rFonts w:ascii="Tahoma" w:hAnsi="Tahoma" w:cs="Tahoma"/>
                <w:sz w:val="13"/>
              </w:rPr>
            </w:pPr>
          </w:p>
        </w:tc>
        <w:tc>
          <w:tcPr>
            <w:tcW w:w="441" w:type="dxa"/>
            <w:gridSpan w:val="2"/>
            <w:tcBorders>
              <w:bottom w:val="single" w:sz="4" w:space="0" w:color="auto"/>
            </w:tcBorders>
            <w:shd w:val="clear" w:color="auto" w:fill="FABF8F"/>
            <w:vAlign w:val="center"/>
          </w:tcPr>
          <w:p w:rsidR="001933C6" w:rsidRPr="00A75DF9" w:rsidRDefault="001933C6" w:rsidP="001A63C6">
            <w:pPr>
              <w:pStyle w:val="TableText"/>
              <w:widowControl w:val="0"/>
              <w:rPr>
                <w:rFonts w:ascii="Tahoma" w:hAnsi="Tahoma" w:cs="Tahoma"/>
                <w:sz w:val="13"/>
              </w:rPr>
            </w:pPr>
          </w:p>
        </w:tc>
        <w:tc>
          <w:tcPr>
            <w:tcW w:w="454" w:type="dxa"/>
            <w:gridSpan w:val="2"/>
            <w:tcBorders>
              <w:bottom w:val="single" w:sz="4" w:space="0" w:color="auto"/>
            </w:tcBorders>
            <w:shd w:val="clear" w:color="auto" w:fill="FABF8F"/>
            <w:vAlign w:val="center"/>
          </w:tcPr>
          <w:p w:rsidR="001933C6" w:rsidRPr="00A75DF9" w:rsidRDefault="00193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933C6" w:rsidRPr="00A75DF9" w:rsidRDefault="001933C6" w:rsidP="001A63C6">
            <w:pPr>
              <w:pStyle w:val="TableText"/>
              <w:widowControl w:val="0"/>
              <w:rPr>
                <w:rFonts w:ascii="Tahoma" w:hAnsi="Tahoma" w:cs="Tahoma"/>
                <w:sz w:val="13"/>
              </w:rPr>
            </w:pPr>
          </w:p>
        </w:tc>
        <w:tc>
          <w:tcPr>
            <w:tcW w:w="374" w:type="dxa"/>
            <w:tcBorders>
              <w:bottom w:val="single" w:sz="4" w:space="0" w:color="auto"/>
              <w:right w:val="single" w:sz="18" w:space="0" w:color="auto"/>
            </w:tcBorders>
            <w:shd w:val="clear" w:color="auto" w:fill="FABF8F"/>
            <w:vAlign w:val="center"/>
          </w:tcPr>
          <w:p w:rsidR="001933C6" w:rsidRPr="00A75DF9" w:rsidRDefault="001933C6" w:rsidP="001A63C6">
            <w:pPr>
              <w:pStyle w:val="TableText"/>
              <w:widowControl w:val="0"/>
              <w:rPr>
                <w:rFonts w:ascii="Tahoma" w:hAnsi="Tahoma" w:cs="Tahoma"/>
                <w:sz w:val="13"/>
              </w:rPr>
            </w:pPr>
          </w:p>
        </w:tc>
        <w:tc>
          <w:tcPr>
            <w:tcW w:w="455" w:type="dxa"/>
            <w:tcBorders>
              <w:left w:val="single" w:sz="18" w:space="0" w:color="auto"/>
              <w:bottom w:val="single" w:sz="4" w:space="0" w:color="auto"/>
            </w:tcBorders>
            <w:shd w:val="clear" w:color="auto" w:fill="FABF8F"/>
            <w:vAlign w:val="center"/>
          </w:tcPr>
          <w:p w:rsidR="001933C6" w:rsidRPr="00A75DF9" w:rsidRDefault="00193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933C6" w:rsidRPr="00A75DF9" w:rsidRDefault="00193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933C6" w:rsidRPr="00A75DF9" w:rsidRDefault="00193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933C6" w:rsidRPr="00A75DF9" w:rsidRDefault="00193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933C6" w:rsidRPr="00A75DF9" w:rsidRDefault="00193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933C6" w:rsidRPr="00A75DF9" w:rsidRDefault="00193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933C6" w:rsidRPr="00A75DF9" w:rsidRDefault="001933C6" w:rsidP="001A63C6">
            <w:pPr>
              <w:pStyle w:val="TableText"/>
              <w:widowControl w:val="0"/>
              <w:rPr>
                <w:rFonts w:ascii="Tahoma" w:hAnsi="Tahoma" w:cs="Tahoma"/>
                <w:color w:val="000000"/>
                <w:sz w:val="13"/>
              </w:rPr>
            </w:pPr>
          </w:p>
        </w:tc>
        <w:tc>
          <w:tcPr>
            <w:tcW w:w="539" w:type="dxa"/>
            <w:tcBorders>
              <w:bottom w:val="single" w:sz="4" w:space="0" w:color="auto"/>
            </w:tcBorders>
            <w:shd w:val="clear" w:color="auto" w:fill="FABF8F"/>
            <w:vAlign w:val="center"/>
          </w:tcPr>
          <w:p w:rsidR="001933C6" w:rsidRPr="00A75DF9" w:rsidRDefault="001933C6" w:rsidP="001A63C6">
            <w:pPr>
              <w:pStyle w:val="TableText"/>
              <w:widowControl w:val="0"/>
              <w:rPr>
                <w:rFonts w:ascii="Tahoma" w:hAnsi="Tahoma" w:cs="Tahoma"/>
                <w:color w:val="000000"/>
                <w:sz w:val="13"/>
              </w:rPr>
            </w:pPr>
          </w:p>
        </w:tc>
      </w:tr>
      <w:tr w:rsidR="00B33D0E" w:rsidRPr="00A75DF9" w:rsidTr="008A1262">
        <w:trPr>
          <w:trHeight w:val="145"/>
        </w:trPr>
        <w:tc>
          <w:tcPr>
            <w:tcW w:w="2724" w:type="dxa"/>
            <w:gridSpan w:val="2"/>
            <w:tcBorders>
              <w:bottom w:val="single" w:sz="4" w:space="0" w:color="auto"/>
            </w:tcBorders>
            <w:shd w:val="clear" w:color="auto" w:fill="auto"/>
            <w:vAlign w:val="center"/>
          </w:tcPr>
          <w:p w:rsidR="001A63C6" w:rsidRPr="00A75DF9" w:rsidRDefault="001A63C6" w:rsidP="001A63C6">
            <w:pPr>
              <w:pStyle w:val="Heading2"/>
              <w:spacing w:before="20" w:after="20"/>
              <w:ind w:left="0"/>
              <w:rPr>
                <w:rFonts w:ascii="Tahoma" w:hAnsi="Tahoma" w:cs="Tahoma"/>
                <w:b w:val="0"/>
                <w:sz w:val="14"/>
                <w:szCs w:val="14"/>
              </w:rPr>
            </w:pPr>
            <w:bookmarkStart w:id="537" w:name="_Toc336338140"/>
            <w:bookmarkStart w:id="538" w:name="_Toc368310137"/>
            <w:r w:rsidRPr="00A75DF9">
              <w:rPr>
                <w:rFonts w:ascii="Tahoma" w:hAnsi="Tahoma" w:cs="Tahoma"/>
                <w:b w:val="0"/>
                <w:sz w:val="14"/>
                <w:szCs w:val="14"/>
              </w:rPr>
              <w:t>Windows Server™ 2008 R2 Enterprise</w:t>
            </w:r>
            <w:bookmarkEnd w:id="537"/>
            <w:bookmarkEnd w:id="538"/>
          </w:p>
        </w:tc>
        <w:tc>
          <w:tcPr>
            <w:tcW w:w="448" w:type="dxa"/>
            <w:tcBorders>
              <w:bottom w:val="single" w:sz="4" w:space="0" w:color="auto"/>
            </w:tcBorders>
            <w:shd w:val="clear" w:color="auto" w:fill="auto"/>
            <w:vAlign w:val="center"/>
          </w:tcPr>
          <w:p w:rsidR="001A63C6" w:rsidRPr="00B41377" w:rsidRDefault="00B54770" w:rsidP="00FC0808">
            <w:pPr>
              <w:pStyle w:val="TableText"/>
              <w:widowControl w:val="0"/>
              <w:rPr>
                <w:rStyle w:val="EndnoteReference"/>
                <w:rFonts w:cs="Tahoma"/>
                <w:b w:val="0"/>
                <w:color w:val="0000FF"/>
                <w:sz w:val="13"/>
                <w:szCs w:val="13"/>
                <w:u w:val="single"/>
              </w:rPr>
            </w:pPr>
            <w:hyperlink w:anchor="_109_Windows_Server" w:history="1">
              <w:r w:rsidR="00734B17" w:rsidRPr="00B41377">
                <w:rPr>
                  <w:rStyle w:val="Hyperlink"/>
                  <w:rFonts w:cs="Tahoma"/>
                  <w:b/>
                  <w:sz w:val="13"/>
                  <w:szCs w:val="13"/>
                </w:rPr>
                <w:t>108</w:t>
              </w:r>
            </w:hyperlink>
          </w:p>
        </w:tc>
        <w:tc>
          <w:tcPr>
            <w:tcW w:w="449" w:type="dxa"/>
            <w:tcBorders>
              <w:bottom w:val="single" w:sz="4" w:space="0" w:color="auto"/>
            </w:tcBorders>
            <w:shd w:val="clear" w:color="auto" w:fill="auto"/>
            <w:vAlign w:val="center"/>
          </w:tcPr>
          <w:p w:rsidR="001A63C6" w:rsidRPr="00A75DF9" w:rsidRDefault="001A63C6" w:rsidP="001A63C6">
            <w:pPr>
              <w:pStyle w:val="TableText"/>
              <w:widowControl w:val="0"/>
              <w:spacing w:before="80"/>
              <w:rPr>
                <w:rFonts w:ascii="Tahoma" w:hAnsi="Tahoma" w:cs="Tahoma"/>
                <w:color w:val="000000"/>
                <w:sz w:val="13"/>
              </w:rPr>
            </w:pPr>
            <w:r w:rsidRPr="00A75DF9">
              <w:rPr>
                <w:rFonts w:ascii="Tahoma" w:hAnsi="Tahoma" w:cs="Tahoma"/>
                <w:color w:val="000000"/>
                <w:sz w:val="13"/>
              </w:rPr>
              <w:t>08/09</w:t>
            </w:r>
          </w:p>
        </w:tc>
        <w:tc>
          <w:tcPr>
            <w:tcW w:w="359"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SRV</w:t>
            </w:r>
          </w:p>
        </w:tc>
        <w:tc>
          <w:tcPr>
            <w:tcW w:w="356"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5"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41" w:type="dxa"/>
            <w:gridSpan w:val="2"/>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4" w:type="dxa"/>
            <w:gridSpan w:val="2"/>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374"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5"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auto"/>
          </w:tcPr>
          <w:p w:rsidR="001A63C6" w:rsidRPr="00A75DF9" w:rsidRDefault="001A63C6" w:rsidP="001A63C6">
            <w:pPr>
              <w:pStyle w:val="TableText"/>
              <w:widowControl w:val="0"/>
              <w:rPr>
                <w:rFonts w:ascii="Tahoma" w:hAnsi="Tahoma" w:cs="Tahoma"/>
                <w:color w:val="000000"/>
                <w:sz w:val="13"/>
              </w:rPr>
            </w:pPr>
          </w:p>
        </w:tc>
        <w:tc>
          <w:tcPr>
            <w:tcW w:w="539"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r>
      <w:tr w:rsidR="0084456B" w:rsidRPr="00A75DF9" w:rsidTr="008A1262">
        <w:trPr>
          <w:trHeight w:val="145"/>
        </w:trPr>
        <w:tc>
          <w:tcPr>
            <w:tcW w:w="2724" w:type="dxa"/>
            <w:gridSpan w:val="2"/>
            <w:tcBorders>
              <w:bottom w:val="single" w:sz="4" w:space="0" w:color="auto"/>
            </w:tcBorders>
            <w:shd w:val="clear" w:color="auto" w:fill="FABF8F"/>
            <w:vAlign w:val="center"/>
          </w:tcPr>
          <w:p w:rsidR="001A63C6" w:rsidRPr="00A75DF9" w:rsidRDefault="001A63C6" w:rsidP="001A63C6">
            <w:pPr>
              <w:pStyle w:val="Heading2"/>
              <w:spacing w:before="20" w:after="20"/>
              <w:ind w:left="0"/>
              <w:rPr>
                <w:rFonts w:ascii="Tahoma" w:hAnsi="Tahoma" w:cs="Tahoma"/>
                <w:b w:val="0"/>
                <w:sz w:val="14"/>
                <w:szCs w:val="14"/>
              </w:rPr>
            </w:pPr>
            <w:bookmarkStart w:id="539" w:name="_Toc336338141"/>
            <w:bookmarkStart w:id="540" w:name="_Toc368310138"/>
            <w:r w:rsidRPr="00A75DF9">
              <w:rPr>
                <w:rFonts w:ascii="Tahoma" w:hAnsi="Tahoma" w:cs="Tahoma"/>
                <w:b w:val="0"/>
                <w:sz w:val="14"/>
                <w:szCs w:val="14"/>
              </w:rPr>
              <w:t>Windows Server™ 2008 R2 per Sistemi Basati su Itanium</w:t>
            </w:r>
            <w:bookmarkEnd w:id="539"/>
            <w:bookmarkEnd w:id="540"/>
          </w:p>
        </w:tc>
        <w:tc>
          <w:tcPr>
            <w:tcW w:w="448" w:type="dxa"/>
            <w:tcBorders>
              <w:bottom w:val="single" w:sz="4" w:space="0" w:color="auto"/>
            </w:tcBorders>
            <w:shd w:val="clear" w:color="auto" w:fill="FABF8F"/>
            <w:vAlign w:val="center"/>
          </w:tcPr>
          <w:p w:rsidR="001A63C6" w:rsidRPr="00B41377" w:rsidRDefault="00B54770" w:rsidP="00FC0808">
            <w:pPr>
              <w:pStyle w:val="TableText"/>
              <w:widowControl w:val="0"/>
              <w:rPr>
                <w:rStyle w:val="EndnoteReference"/>
                <w:rFonts w:cs="Tahoma"/>
                <w:b w:val="0"/>
                <w:sz w:val="13"/>
                <w:szCs w:val="13"/>
                <w:u w:val="single"/>
              </w:rPr>
            </w:pPr>
            <w:hyperlink w:anchor="_110_Windows_Server_1" w:history="1">
              <w:r w:rsidR="00734B17" w:rsidRPr="00B41377">
                <w:rPr>
                  <w:rStyle w:val="Hyperlink"/>
                  <w:rFonts w:cs="Tahoma"/>
                  <w:b/>
                  <w:sz w:val="13"/>
                  <w:szCs w:val="13"/>
                </w:rPr>
                <w:t>109</w:t>
              </w:r>
            </w:hyperlink>
          </w:p>
        </w:tc>
        <w:tc>
          <w:tcPr>
            <w:tcW w:w="449" w:type="dxa"/>
            <w:tcBorders>
              <w:bottom w:val="single" w:sz="4" w:space="0" w:color="auto"/>
            </w:tcBorders>
            <w:shd w:val="clear" w:color="auto" w:fill="FABF8F"/>
            <w:vAlign w:val="center"/>
          </w:tcPr>
          <w:p w:rsidR="001A63C6" w:rsidRPr="00A75DF9" w:rsidRDefault="001A63C6" w:rsidP="001A63C6">
            <w:pPr>
              <w:pStyle w:val="TableText"/>
              <w:widowControl w:val="0"/>
              <w:spacing w:before="120"/>
              <w:rPr>
                <w:rFonts w:ascii="Tahoma" w:hAnsi="Tahoma" w:cs="Tahoma"/>
                <w:color w:val="000000"/>
                <w:sz w:val="13"/>
              </w:rPr>
            </w:pPr>
            <w:r w:rsidRPr="00A75DF9">
              <w:rPr>
                <w:rFonts w:ascii="Tahoma" w:hAnsi="Tahoma" w:cs="Tahoma"/>
                <w:color w:val="000000"/>
                <w:sz w:val="13"/>
              </w:rPr>
              <w:t>08/09</w:t>
            </w:r>
          </w:p>
        </w:tc>
        <w:tc>
          <w:tcPr>
            <w:tcW w:w="359"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SRV</w:t>
            </w:r>
          </w:p>
        </w:tc>
        <w:tc>
          <w:tcPr>
            <w:tcW w:w="356"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41" w:type="dxa"/>
            <w:gridSpan w:val="2"/>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4" w:type="dxa"/>
            <w:gridSpan w:val="2"/>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374"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5"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p>
        </w:tc>
        <w:tc>
          <w:tcPr>
            <w:tcW w:w="450" w:type="dxa"/>
            <w:tcBorders>
              <w:bottom w:val="single" w:sz="4" w:space="0" w:color="auto"/>
            </w:tcBorders>
            <w:shd w:val="clear" w:color="auto" w:fill="FABF8F"/>
          </w:tcPr>
          <w:p w:rsidR="001A63C6" w:rsidRPr="00A75DF9" w:rsidRDefault="001A63C6" w:rsidP="001A63C6">
            <w:pPr>
              <w:pStyle w:val="TableText"/>
              <w:widowControl w:val="0"/>
              <w:rPr>
                <w:rFonts w:ascii="Tahoma" w:hAnsi="Tahoma" w:cs="Tahoma"/>
                <w:color w:val="000000"/>
                <w:sz w:val="13"/>
              </w:rPr>
            </w:pPr>
          </w:p>
        </w:tc>
        <w:tc>
          <w:tcPr>
            <w:tcW w:w="539"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p>
        </w:tc>
      </w:tr>
      <w:tr w:rsidR="00B33D0E" w:rsidRPr="00A75DF9" w:rsidTr="008A1262">
        <w:trPr>
          <w:trHeight w:val="145"/>
        </w:trPr>
        <w:tc>
          <w:tcPr>
            <w:tcW w:w="2724" w:type="dxa"/>
            <w:gridSpan w:val="2"/>
            <w:tcBorders>
              <w:bottom w:val="single" w:sz="4" w:space="0" w:color="auto"/>
            </w:tcBorders>
            <w:shd w:val="clear" w:color="auto" w:fill="auto"/>
            <w:vAlign w:val="center"/>
          </w:tcPr>
          <w:p w:rsidR="001A63C6" w:rsidRPr="00A75DF9" w:rsidRDefault="001A63C6" w:rsidP="001A63C6">
            <w:pPr>
              <w:pStyle w:val="Heading2"/>
              <w:spacing w:before="20" w:after="20"/>
              <w:ind w:left="0"/>
              <w:rPr>
                <w:rFonts w:ascii="Tahoma" w:hAnsi="Tahoma" w:cs="Tahoma"/>
                <w:b w:val="0"/>
                <w:sz w:val="14"/>
                <w:szCs w:val="14"/>
              </w:rPr>
            </w:pPr>
            <w:bookmarkStart w:id="541" w:name="_Toc336338142"/>
            <w:bookmarkStart w:id="542" w:name="_Toc368310139"/>
            <w:r w:rsidRPr="00A75DF9">
              <w:rPr>
                <w:rFonts w:ascii="Tahoma" w:hAnsi="Tahoma" w:cs="Tahoma"/>
                <w:b w:val="0"/>
                <w:sz w:val="14"/>
                <w:szCs w:val="14"/>
              </w:rPr>
              <w:t>CAL per Windows Server™ 2012 (Dispositivo e Utente)</w:t>
            </w:r>
            <w:bookmarkEnd w:id="541"/>
            <w:bookmarkEnd w:id="542"/>
          </w:p>
        </w:tc>
        <w:tc>
          <w:tcPr>
            <w:tcW w:w="448" w:type="dxa"/>
            <w:tcBorders>
              <w:bottom w:val="single" w:sz="4" w:space="0" w:color="auto"/>
            </w:tcBorders>
            <w:shd w:val="clear" w:color="auto" w:fill="auto"/>
            <w:vAlign w:val="center"/>
          </w:tcPr>
          <w:p w:rsidR="001A63C6" w:rsidRPr="00B41377" w:rsidRDefault="00B54770" w:rsidP="00FC0808">
            <w:pPr>
              <w:pStyle w:val="TableText"/>
              <w:widowControl w:val="0"/>
              <w:rPr>
                <w:rFonts w:cs="Tahoma"/>
                <w:b/>
                <w:sz w:val="13"/>
                <w:szCs w:val="13"/>
                <w:u w:val="single"/>
              </w:rPr>
            </w:pPr>
            <w:hyperlink w:anchor="_116_Windows_Server" w:history="1">
              <w:r w:rsidR="00734B17" w:rsidRPr="00B41377">
                <w:rPr>
                  <w:rStyle w:val="Hyperlink"/>
                  <w:rFonts w:cs="Tahoma"/>
                  <w:b/>
                  <w:sz w:val="13"/>
                  <w:szCs w:val="13"/>
                </w:rPr>
                <w:t>110</w:t>
              </w:r>
            </w:hyperlink>
          </w:p>
        </w:tc>
        <w:tc>
          <w:tcPr>
            <w:tcW w:w="449" w:type="dxa"/>
            <w:tcBorders>
              <w:bottom w:val="single" w:sz="4" w:space="0" w:color="auto"/>
            </w:tcBorders>
            <w:shd w:val="clear" w:color="auto" w:fill="auto"/>
            <w:vAlign w:val="center"/>
          </w:tcPr>
          <w:p w:rsidR="001A63C6" w:rsidRPr="00A75DF9" w:rsidRDefault="001A63C6" w:rsidP="001A63C6">
            <w:pPr>
              <w:pStyle w:val="TableText"/>
              <w:widowControl w:val="0"/>
              <w:spacing w:before="120"/>
              <w:rPr>
                <w:rFonts w:ascii="Tahoma" w:hAnsi="Tahoma" w:cs="Tahoma"/>
                <w:color w:val="000000"/>
                <w:sz w:val="13"/>
              </w:rPr>
            </w:pPr>
            <w:r w:rsidRPr="00A75DF9">
              <w:rPr>
                <w:rFonts w:ascii="Tahoma" w:hAnsi="Tahoma" w:cs="Tahoma"/>
                <w:color w:val="000000"/>
                <w:sz w:val="13"/>
              </w:rPr>
              <w:t>09/12</w:t>
            </w:r>
          </w:p>
        </w:tc>
        <w:tc>
          <w:tcPr>
            <w:tcW w:w="359"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SRV</w:t>
            </w:r>
          </w:p>
        </w:tc>
        <w:tc>
          <w:tcPr>
            <w:tcW w:w="356"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w:t>
            </w: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3</w:t>
            </w:r>
          </w:p>
        </w:tc>
        <w:tc>
          <w:tcPr>
            <w:tcW w:w="455"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w:t>
            </w:r>
          </w:p>
        </w:tc>
        <w:tc>
          <w:tcPr>
            <w:tcW w:w="441" w:type="dxa"/>
            <w:gridSpan w:val="2"/>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w:t>
            </w:r>
          </w:p>
        </w:tc>
        <w:tc>
          <w:tcPr>
            <w:tcW w:w="454" w:type="dxa"/>
            <w:gridSpan w:val="2"/>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w:t>
            </w: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w:t>
            </w:r>
          </w:p>
        </w:tc>
        <w:tc>
          <w:tcPr>
            <w:tcW w:w="374"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w:t>
            </w:r>
          </w:p>
        </w:tc>
        <w:tc>
          <w:tcPr>
            <w:tcW w:w="455"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w:t>
            </w: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P</w:t>
            </w:r>
          </w:p>
        </w:tc>
        <w:tc>
          <w:tcPr>
            <w:tcW w:w="450" w:type="dxa"/>
            <w:tcBorders>
              <w:bottom w:val="single" w:sz="4" w:space="0" w:color="auto"/>
            </w:tcBorders>
            <w:shd w:val="clear" w:color="auto" w:fill="auto"/>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A, ST</w:t>
            </w:r>
          </w:p>
        </w:tc>
        <w:tc>
          <w:tcPr>
            <w:tcW w:w="539"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r>
      <w:tr w:rsidR="0084456B" w:rsidRPr="00A75DF9" w:rsidTr="008A1262">
        <w:trPr>
          <w:trHeight w:val="145"/>
        </w:trPr>
        <w:tc>
          <w:tcPr>
            <w:tcW w:w="2724" w:type="dxa"/>
            <w:gridSpan w:val="2"/>
            <w:tcBorders>
              <w:bottom w:val="single" w:sz="4" w:space="0" w:color="auto"/>
            </w:tcBorders>
            <w:shd w:val="clear" w:color="auto" w:fill="FABF8F"/>
            <w:vAlign w:val="center"/>
          </w:tcPr>
          <w:p w:rsidR="001A63C6" w:rsidRPr="00A75DF9" w:rsidRDefault="001A63C6" w:rsidP="001A63C6">
            <w:pPr>
              <w:pStyle w:val="Heading2"/>
              <w:spacing w:before="20" w:after="20"/>
              <w:ind w:left="0"/>
              <w:rPr>
                <w:rFonts w:ascii="Tahoma" w:hAnsi="Tahoma" w:cs="Tahoma"/>
                <w:b w:val="0"/>
                <w:sz w:val="14"/>
                <w:szCs w:val="14"/>
              </w:rPr>
            </w:pPr>
            <w:bookmarkStart w:id="543" w:name="_Toc336338143"/>
            <w:bookmarkStart w:id="544" w:name="_Toc368310140"/>
            <w:r w:rsidRPr="00A75DF9">
              <w:rPr>
                <w:rFonts w:ascii="Tahoma" w:hAnsi="Tahoma" w:cs="Tahoma"/>
                <w:b w:val="0"/>
                <w:sz w:val="14"/>
                <w:szCs w:val="14"/>
              </w:rPr>
              <w:t>Windows Server™ 2012 Datacenter</w:t>
            </w:r>
            <w:bookmarkEnd w:id="543"/>
            <w:bookmarkEnd w:id="544"/>
          </w:p>
        </w:tc>
        <w:tc>
          <w:tcPr>
            <w:tcW w:w="448" w:type="dxa"/>
            <w:tcBorders>
              <w:bottom w:val="single" w:sz="4" w:space="0" w:color="auto"/>
            </w:tcBorders>
            <w:shd w:val="clear" w:color="auto" w:fill="FABF8F"/>
            <w:vAlign w:val="center"/>
          </w:tcPr>
          <w:p w:rsidR="001A63C6" w:rsidRPr="00B41377" w:rsidRDefault="00B54770" w:rsidP="00FC0808">
            <w:pPr>
              <w:pStyle w:val="TableText"/>
              <w:widowControl w:val="0"/>
              <w:rPr>
                <w:rStyle w:val="EndnoteReference"/>
                <w:rFonts w:cs="Tahoma"/>
                <w:b w:val="0"/>
                <w:color w:val="0070C0"/>
                <w:sz w:val="13"/>
                <w:szCs w:val="13"/>
                <w:u w:val="single"/>
              </w:rPr>
            </w:pPr>
            <w:hyperlink w:anchor="_114_Windows_Server" w:history="1">
              <w:r w:rsidR="00734B17" w:rsidRPr="00B41377">
                <w:rPr>
                  <w:rStyle w:val="Hyperlink"/>
                  <w:rFonts w:cs="Tahoma"/>
                  <w:b/>
                  <w:sz w:val="13"/>
                  <w:szCs w:val="13"/>
                </w:rPr>
                <w:t>111</w:t>
              </w:r>
            </w:hyperlink>
          </w:p>
        </w:tc>
        <w:tc>
          <w:tcPr>
            <w:tcW w:w="449" w:type="dxa"/>
            <w:tcBorders>
              <w:bottom w:val="single" w:sz="4" w:space="0" w:color="auto"/>
            </w:tcBorders>
            <w:shd w:val="clear" w:color="auto" w:fill="FABF8F"/>
            <w:vAlign w:val="center"/>
          </w:tcPr>
          <w:p w:rsidR="001A63C6" w:rsidRPr="00A75DF9" w:rsidRDefault="001A63C6" w:rsidP="001A63C6">
            <w:pPr>
              <w:pStyle w:val="TableText"/>
              <w:widowControl w:val="0"/>
              <w:spacing w:before="120"/>
              <w:rPr>
                <w:rFonts w:ascii="Tahoma" w:hAnsi="Tahoma" w:cs="Tahoma"/>
                <w:color w:val="000000"/>
                <w:sz w:val="13"/>
              </w:rPr>
            </w:pPr>
            <w:r w:rsidRPr="00A75DF9">
              <w:rPr>
                <w:rFonts w:ascii="Tahoma" w:hAnsi="Tahoma" w:cs="Tahoma"/>
                <w:color w:val="000000"/>
                <w:sz w:val="13"/>
              </w:rPr>
              <w:t>08/12</w:t>
            </w:r>
          </w:p>
        </w:tc>
        <w:tc>
          <w:tcPr>
            <w:tcW w:w="359"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SRV</w:t>
            </w:r>
          </w:p>
        </w:tc>
        <w:tc>
          <w:tcPr>
            <w:tcW w:w="356"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50</w:t>
            </w: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125</w:t>
            </w:r>
          </w:p>
        </w:tc>
        <w:tc>
          <w:tcPr>
            <w:tcW w:w="45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100</w:t>
            </w:r>
          </w:p>
        </w:tc>
        <w:tc>
          <w:tcPr>
            <w:tcW w:w="441" w:type="dxa"/>
            <w:gridSpan w:val="2"/>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75</w:t>
            </w:r>
          </w:p>
        </w:tc>
        <w:tc>
          <w:tcPr>
            <w:tcW w:w="454" w:type="dxa"/>
            <w:gridSpan w:val="2"/>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75</w:t>
            </w: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50</w:t>
            </w:r>
          </w:p>
        </w:tc>
        <w:tc>
          <w:tcPr>
            <w:tcW w:w="374"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25</w:t>
            </w:r>
          </w:p>
        </w:tc>
        <w:tc>
          <w:tcPr>
            <w:tcW w:w="455"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50</w:t>
            </w: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100</w:t>
            </w: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50</w:t>
            </w:r>
          </w:p>
        </w:tc>
        <w:tc>
          <w:tcPr>
            <w:tcW w:w="450"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P</w:t>
            </w:r>
          </w:p>
        </w:tc>
        <w:tc>
          <w:tcPr>
            <w:tcW w:w="450" w:type="dxa"/>
            <w:tcBorders>
              <w:bottom w:val="single" w:sz="4" w:space="0" w:color="auto"/>
            </w:tcBorders>
            <w:shd w:val="clear" w:color="auto" w:fill="FABF8F"/>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A</w:t>
            </w:r>
          </w:p>
        </w:tc>
        <w:tc>
          <w:tcPr>
            <w:tcW w:w="539"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OL/OV</w:t>
            </w:r>
          </w:p>
        </w:tc>
      </w:tr>
      <w:tr w:rsidR="00B33D0E" w:rsidRPr="00A75DF9" w:rsidTr="008A1262">
        <w:trPr>
          <w:trHeight w:val="145"/>
        </w:trPr>
        <w:tc>
          <w:tcPr>
            <w:tcW w:w="2724" w:type="dxa"/>
            <w:gridSpan w:val="2"/>
            <w:tcBorders>
              <w:bottom w:val="single" w:sz="4" w:space="0" w:color="auto"/>
            </w:tcBorders>
            <w:shd w:val="clear" w:color="auto" w:fill="auto"/>
            <w:vAlign w:val="center"/>
          </w:tcPr>
          <w:p w:rsidR="001A63C6" w:rsidRPr="00A75DF9" w:rsidRDefault="001A63C6" w:rsidP="001A63C6">
            <w:pPr>
              <w:pStyle w:val="Heading2"/>
              <w:spacing w:before="20" w:after="20"/>
              <w:ind w:left="0"/>
              <w:rPr>
                <w:rFonts w:ascii="Tahoma" w:hAnsi="Tahoma" w:cs="Tahoma"/>
                <w:b w:val="0"/>
                <w:sz w:val="14"/>
                <w:szCs w:val="14"/>
              </w:rPr>
            </w:pPr>
            <w:bookmarkStart w:id="545" w:name="_Toc336338144"/>
            <w:bookmarkStart w:id="546" w:name="_Toc368310141"/>
            <w:r w:rsidRPr="00A75DF9">
              <w:rPr>
                <w:rFonts w:ascii="Tahoma" w:hAnsi="Tahoma" w:cs="Tahoma"/>
                <w:b w:val="0"/>
                <w:sz w:val="14"/>
                <w:szCs w:val="14"/>
              </w:rPr>
              <w:t>Windows Server™ 2012 Standard</w:t>
            </w:r>
            <w:bookmarkEnd w:id="545"/>
            <w:bookmarkEnd w:id="546"/>
          </w:p>
        </w:tc>
        <w:tc>
          <w:tcPr>
            <w:tcW w:w="448" w:type="dxa"/>
            <w:tcBorders>
              <w:bottom w:val="single" w:sz="4" w:space="0" w:color="auto"/>
            </w:tcBorders>
            <w:shd w:val="clear" w:color="auto" w:fill="auto"/>
            <w:vAlign w:val="center"/>
          </w:tcPr>
          <w:p w:rsidR="001A63C6" w:rsidRPr="00B41377" w:rsidRDefault="00B54770" w:rsidP="00FC0808">
            <w:pPr>
              <w:pStyle w:val="TableText"/>
              <w:widowControl w:val="0"/>
              <w:rPr>
                <w:rStyle w:val="EndnoteReference"/>
                <w:rFonts w:cs="Tahoma"/>
                <w:b w:val="0"/>
                <w:color w:val="0070C0"/>
                <w:sz w:val="13"/>
                <w:szCs w:val="13"/>
                <w:u w:val="single"/>
                <w:vertAlign w:val="baseline"/>
              </w:rPr>
            </w:pPr>
            <w:hyperlink w:anchor="_113_Windows_Server" w:history="1">
              <w:r w:rsidR="00734B17" w:rsidRPr="00B41377">
                <w:rPr>
                  <w:rStyle w:val="Hyperlink"/>
                  <w:rFonts w:cs="Tahoma"/>
                  <w:b/>
                  <w:sz w:val="13"/>
                  <w:szCs w:val="13"/>
                </w:rPr>
                <w:t>112</w:t>
              </w:r>
            </w:hyperlink>
          </w:p>
        </w:tc>
        <w:tc>
          <w:tcPr>
            <w:tcW w:w="449" w:type="dxa"/>
            <w:tcBorders>
              <w:bottom w:val="single" w:sz="4" w:space="0" w:color="auto"/>
            </w:tcBorders>
            <w:shd w:val="clear" w:color="auto" w:fill="auto"/>
            <w:vAlign w:val="center"/>
          </w:tcPr>
          <w:p w:rsidR="001A63C6" w:rsidRPr="00A75DF9" w:rsidRDefault="001A63C6" w:rsidP="001A63C6">
            <w:pPr>
              <w:pStyle w:val="TableText"/>
              <w:widowControl w:val="0"/>
              <w:spacing w:before="120"/>
              <w:rPr>
                <w:rFonts w:ascii="Tahoma" w:hAnsi="Tahoma" w:cs="Tahoma"/>
                <w:color w:val="000000"/>
                <w:sz w:val="13"/>
              </w:rPr>
            </w:pPr>
            <w:r w:rsidRPr="00A75DF9">
              <w:rPr>
                <w:rFonts w:ascii="Tahoma" w:hAnsi="Tahoma" w:cs="Tahoma"/>
                <w:color w:val="000000"/>
                <w:sz w:val="13"/>
              </w:rPr>
              <w:t>08/12</w:t>
            </w:r>
          </w:p>
        </w:tc>
        <w:tc>
          <w:tcPr>
            <w:tcW w:w="359"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SRV</w:t>
            </w:r>
          </w:p>
        </w:tc>
        <w:tc>
          <w:tcPr>
            <w:tcW w:w="356"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15</w:t>
            </w: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38</w:t>
            </w:r>
          </w:p>
        </w:tc>
        <w:tc>
          <w:tcPr>
            <w:tcW w:w="455"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30</w:t>
            </w:r>
          </w:p>
        </w:tc>
        <w:tc>
          <w:tcPr>
            <w:tcW w:w="441" w:type="dxa"/>
            <w:gridSpan w:val="2"/>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23</w:t>
            </w:r>
          </w:p>
        </w:tc>
        <w:tc>
          <w:tcPr>
            <w:tcW w:w="454" w:type="dxa"/>
            <w:gridSpan w:val="2"/>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23</w:t>
            </w: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15</w:t>
            </w:r>
          </w:p>
        </w:tc>
        <w:tc>
          <w:tcPr>
            <w:tcW w:w="374"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8</w:t>
            </w:r>
          </w:p>
        </w:tc>
        <w:tc>
          <w:tcPr>
            <w:tcW w:w="455"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15</w:t>
            </w: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30</w:t>
            </w: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15</w:t>
            </w:r>
          </w:p>
        </w:tc>
        <w:tc>
          <w:tcPr>
            <w:tcW w:w="450"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15</w:t>
            </w: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P</w:t>
            </w:r>
          </w:p>
        </w:tc>
        <w:tc>
          <w:tcPr>
            <w:tcW w:w="450" w:type="dxa"/>
            <w:tcBorders>
              <w:bottom w:val="single" w:sz="4" w:space="0" w:color="auto"/>
            </w:tcBorders>
            <w:shd w:val="clear" w:color="auto" w:fill="auto"/>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A</w:t>
            </w:r>
          </w:p>
        </w:tc>
        <w:tc>
          <w:tcPr>
            <w:tcW w:w="539"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r>
      <w:tr w:rsidR="0084456B" w:rsidRPr="00A75DF9" w:rsidTr="008A1262">
        <w:trPr>
          <w:trHeight w:val="145"/>
        </w:trPr>
        <w:tc>
          <w:tcPr>
            <w:tcW w:w="2724" w:type="dxa"/>
            <w:gridSpan w:val="2"/>
            <w:tcBorders>
              <w:bottom w:val="single" w:sz="4" w:space="0" w:color="auto"/>
            </w:tcBorders>
            <w:shd w:val="clear" w:color="auto" w:fill="FABF8F"/>
            <w:vAlign w:val="center"/>
          </w:tcPr>
          <w:p w:rsidR="001A63C6" w:rsidRPr="00A75DF9" w:rsidRDefault="001A63C6" w:rsidP="001A63C6">
            <w:pPr>
              <w:pStyle w:val="Heading2"/>
              <w:spacing w:before="20" w:after="20"/>
              <w:ind w:left="0"/>
              <w:rPr>
                <w:rFonts w:ascii="Tahoma" w:hAnsi="Tahoma" w:cs="Tahoma"/>
                <w:b w:val="0"/>
                <w:sz w:val="14"/>
                <w:szCs w:val="14"/>
              </w:rPr>
            </w:pPr>
            <w:bookmarkStart w:id="547" w:name="_Toc336338145"/>
            <w:bookmarkStart w:id="548" w:name="_Toc368310142"/>
            <w:r w:rsidRPr="00A75DF9">
              <w:rPr>
                <w:rFonts w:ascii="Tahoma" w:hAnsi="Tahoma" w:cs="Tahoma"/>
                <w:b w:val="0"/>
                <w:sz w:val="14"/>
                <w:szCs w:val="14"/>
              </w:rPr>
              <w:t>External Connector per Windows Server™</w:t>
            </w:r>
            <w:bookmarkEnd w:id="547"/>
            <w:bookmarkEnd w:id="548"/>
          </w:p>
        </w:tc>
        <w:tc>
          <w:tcPr>
            <w:tcW w:w="448" w:type="dxa"/>
            <w:tcBorders>
              <w:bottom w:val="single" w:sz="4" w:space="0" w:color="auto"/>
            </w:tcBorders>
            <w:shd w:val="clear" w:color="auto" w:fill="FABF8F"/>
            <w:vAlign w:val="center"/>
          </w:tcPr>
          <w:p w:rsidR="001A63C6" w:rsidRPr="00B41377" w:rsidRDefault="001A63C6" w:rsidP="001A63C6">
            <w:pPr>
              <w:pStyle w:val="TableText"/>
              <w:widowControl w:val="0"/>
              <w:rPr>
                <w:rStyle w:val="EndnoteReference"/>
                <w:rFonts w:cs="Tahoma"/>
                <w:sz w:val="13"/>
                <w:szCs w:val="13"/>
                <w:u w:val="single"/>
              </w:rPr>
            </w:pPr>
          </w:p>
        </w:tc>
        <w:tc>
          <w:tcPr>
            <w:tcW w:w="449" w:type="dxa"/>
            <w:tcBorders>
              <w:bottom w:val="single" w:sz="4" w:space="0" w:color="auto"/>
            </w:tcBorders>
            <w:shd w:val="clear" w:color="auto" w:fill="FABF8F"/>
            <w:vAlign w:val="center"/>
          </w:tcPr>
          <w:p w:rsidR="001A63C6" w:rsidRPr="00A75DF9" w:rsidRDefault="001A63C6" w:rsidP="001A63C6">
            <w:pPr>
              <w:pStyle w:val="TableText"/>
              <w:widowControl w:val="0"/>
              <w:spacing w:before="160"/>
              <w:rPr>
                <w:rFonts w:ascii="Tahoma" w:hAnsi="Tahoma" w:cs="Tahoma"/>
                <w:color w:val="000000"/>
                <w:sz w:val="13"/>
              </w:rPr>
            </w:pPr>
            <w:r w:rsidRPr="00A75DF9">
              <w:rPr>
                <w:rFonts w:ascii="Tahoma" w:hAnsi="Tahoma" w:cs="Tahoma"/>
                <w:color w:val="000000"/>
                <w:sz w:val="13"/>
              </w:rPr>
              <w:t>09/12</w:t>
            </w:r>
          </w:p>
        </w:tc>
        <w:tc>
          <w:tcPr>
            <w:tcW w:w="359"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SRV</w:t>
            </w:r>
          </w:p>
        </w:tc>
        <w:tc>
          <w:tcPr>
            <w:tcW w:w="356"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25</w:t>
            </w: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63</w:t>
            </w:r>
          </w:p>
        </w:tc>
        <w:tc>
          <w:tcPr>
            <w:tcW w:w="45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50</w:t>
            </w:r>
          </w:p>
        </w:tc>
        <w:tc>
          <w:tcPr>
            <w:tcW w:w="441" w:type="dxa"/>
            <w:gridSpan w:val="2"/>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38</w:t>
            </w:r>
          </w:p>
        </w:tc>
        <w:tc>
          <w:tcPr>
            <w:tcW w:w="454" w:type="dxa"/>
            <w:gridSpan w:val="2"/>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38</w:t>
            </w: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25</w:t>
            </w:r>
          </w:p>
        </w:tc>
        <w:tc>
          <w:tcPr>
            <w:tcW w:w="374"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13</w:t>
            </w:r>
          </w:p>
        </w:tc>
        <w:tc>
          <w:tcPr>
            <w:tcW w:w="455"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25</w:t>
            </w: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50</w:t>
            </w: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25</w:t>
            </w:r>
          </w:p>
        </w:tc>
        <w:tc>
          <w:tcPr>
            <w:tcW w:w="450"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25</w:t>
            </w: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P</w:t>
            </w:r>
          </w:p>
        </w:tc>
        <w:tc>
          <w:tcPr>
            <w:tcW w:w="450" w:type="dxa"/>
            <w:tcBorders>
              <w:bottom w:val="single" w:sz="4" w:space="0" w:color="auto"/>
            </w:tcBorders>
            <w:shd w:val="clear" w:color="auto" w:fill="FABF8F"/>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A</w:t>
            </w:r>
          </w:p>
        </w:tc>
        <w:tc>
          <w:tcPr>
            <w:tcW w:w="539"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OL/OV</w:t>
            </w:r>
          </w:p>
        </w:tc>
      </w:tr>
      <w:tr w:rsidR="00B33D0E" w:rsidRPr="00A75DF9" w:rsidTr="008A1262">
        <w:trPr>
          <w:trHeight w:val="145"/>
        </w:trPr>
        <w:tc>
          <w:tcPr>
            <w:tcW w:w="2724" w:type="dxa"/>
            <w:gridSpan w:val="2"/>
            <w:tcBorders>
              <w:bottom w:val="single" w:sz="4" w:space="0" w:color="auto"/>
            </w:tcBorders>
            <w:shd w:val="clear" w:color="auto" w:fill="auto"/>
            <w:vAlign w:val="center"/>
          </w:tcPr>
          <w:p w:rsidR="001A63C6" w:rsidRPr="00A75DF9" w:rsidRDefault="001A63C6" w:rsidP="001A63C6">
            <w:pPr>
              <w:pStyle w:val="Heading2"/>
              <w:spacing w:before="20" w:after="20"/>
              <w:ind w:left="0"/>
              <w:rPr>
                <w:rFonts w:ascii="Tahoma" w:hAnsi="Tahoma" w:cs="Tahoma"/>
                <w:b w:val="0"/>
                <w:sz w:val="14"/>
                <w:szCs w:val="14"/>
              </w:rPr>
            </w:pPr>
            <w:bookmarkStart w:id="549" w:name="_Toc336338146"/>
            <w:bookmarkStart w:id="550" w:name="_Toc368310143"/>
            <w:r w:rsidRPr="00A75DF9">
              <w:rPr>
                <w:rFonts w:ascii="Tahoma" w:hAnsi="Tahoma" w:cs="Tahoma"/>
                <w:b w:val="0"/>
                <w:sz w:val="14"/>
                <w:szCs w:val="14"/>
              </w:rPr>
              <w:t>CAL per Servizi Desktop Remoto Windows Server™ 2012</w:t>
            </w:r>
            <w:bookmarkEnd w:id="549"/>
            <w:bookmarkEnd w:id="550"/>
          </w:p>
        </w:tc>
        <w:tc>
          <w:tcPr>
            <w:tcW w:w="448" w:type="dxa"/>
            <w:tcBorders>
              <w:bottom w:val="single" w:sz="4" w:space="0" w:color="auto"/>
            </w:tcBorders>
            <w:shd w:val="clear" w:color="auto" w:fill="auto"/>
            <w:vAlign w:val="center"/>
          </w:tcPr>
          <w:p w:rsidR="001A63C6" w:rsidRPr="00B41377" w:rsidRDefault="001A63C6" w:rsidP="001A63C6">
            <w:pPr>
              <w:pStyle w:val="TableText"/>
              <w:widowControl w:val="0"/>
              <w:rPr>
                <w:rStyle w:val="EndnoteReference"/>
                <w:rFonts w:cs="Tahoma"/>
                <w:sz w:val="13"/>
                <w:szCs w:val="13"/>
                <w:u w:val="single"/>
              </w:rPr>
            </w:pPr>
          </w:p>
        </w:tc>
        <w:tc>
          <w:tcPr>
            <w:tcW w:w="449" w:type="dxa"/>
            <w:tcBorders>
              <w:bottom w:val="single" w:sz="4" w:space="0" w:color="auto"/>
            </w:tcBorders>
            <w:shd w:val="clear" w:color="auto" w:fill="auto"/>
            <w:vAlign w:val="center"/>
          </w:tcPr>
          <w:p w:rsidR="001A63C6" w:rsidRPr="00A75DF9" w:rsidRDefault="001A63C6" w:rsidP="001A63C6">
            <w:pPr>
              <w:pStyle w:val="TableText"/>
              <w:widowControl w:val="0"/>
              <w:spacing w:before="160"/>
              <w:rPr>
                <w:rFonts w:ascii="Tahoma" w:hAnsi="Tahoma" w:cs="Tahoma"/>
                <w:color w:val="000000"/>
                <w:sz w:val="13"/>
              </w:rPr>
            </w:pPr>
            <w:r w:rsidRPr="00A75DF9">
              <w:rPr>
                <w:rFonts w:ascii="Tahoma" w:hAnsi="Tahoma" w:cs="Tahoma"/>
                <w:color w:val="000000"/>
                <w:sz w:val="13"/>
              </w:rPr>
              <w:t>09/12</w:t>
            </w:r>
          </w:p>
        </w:tc>
        <w:tc>
          <w:tcPr>
            <w:tcW w:w="359"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SRV</w:t>
            </w:r>
          </w:p>
        </w:tc>
        <w:tc>
          <w:tcPr>
            <w:tcW w:w="356"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w:t>
            </w: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3</w:t>
            </w:r>
          </w:p>
        </w:tc>
        <w:tc>
          <w:tcPr>
            <w:tcW w:w="455"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w:t>
            </w:r>
          </w:p>
        </w:tc>
        <w:tc>
          <w:tcPr>
            <w:tcW w:w="441" w:type="dxa"/>
            <w:gridSpan w:val="2"/>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w:t>
            </w:r>
          </w:p>
        </w:tc>
        <w:tc>
          <w:tcPr>
            <w:tcW w:w="454" w:type="dxa"/>
            <w:gridSpan w:val="2"/>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w:t>
            </w: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w:t>
            </w:r>
          </w:p>
        </w:tc>
        <w:tc>
          <w:tcPr>
            <w:tcW w:w="374"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w:t>
            </w:r>
          </w:p>
        </w:tc>
        <w:tc>
          <w:tcPr>
            <w:tcW w:w="455"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w:t>
            </w: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A,D</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P</w:t>
            </w:r>
          </w:p>
        </w:tc>
        <w:tc>
          <w:tcPr>
            <w:tcW w:w="450" w:type="dxa"/>
            <w:tcBorders>
              <w:bottom w:val="single" w:sz="4" w:space="0" w:color="auto"/>
            </w:tcBorders>
            <w:shd w:val="clear" w:color="auto" w:fill="auto"/>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A, ST</w:t>
            </w:r>
          </w:p>
        </w:tc>
        <w:tc>
          <w:tcPr>
            <w:tcW w:w="539"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r>
      <w:tr w:rsidR="0084456B" w:rsidRPr="00A75DF9" w:rsidTr="008A1262">
        <w:trPr>
          <w:trHeight w:val="431"/>
        </w:trPr>
        <w:tc>
          <w:tcPr>
            <w:tcW w:w="2724" w:type="dxa"/>
            <w:gridSpan w:val="2"/>
            <w:tcBorders>
              <w:bottom w:val="single" w:sz="4" w:space="0" w:color="auto"/>
            </w:tcBorders>
            <w:shd w:val="clear" w:color="auto" w:fill="FABF8F"/>
            <w:vAlign w:val="center"/>
          </w:tcPr>
          <w:p w:rsidR="001A63C6" w:rsidRPr="00A75DF9" w:rsidRDefault="001A63C6" w:rsidP="001A63C6">
            <w:pPr>
              <w:pStyle w:val="Heading2"/>
              <w:spacing w:before="20" w:after="20"/>
              <w:ind w:left="0"/>
              <w:rPr>
                <w:rFonts w:ascii="Tahoma" w:hAnsi="Tahoma" w:cs="Tahoma"/>
                <w:b w:val="0"/>
                <w:sz w:val="14"/>
                <w:szCs w:val="14"/>
              </w:rPr>
            </w:pPr>
            <w:bookmarkStart w:id="551" w:name="_Toc336338147"/>
            <w:bookmarkStart w:id="552" w:name="_Toc368310144"/>
            <w:r w:rsidRPr="00A75DF9">
              <w:rPr>
                <w:rFonts w:ascii="Tahoma" w:hAnsi="Tahoma" w:cs="Tahoma"/>
                <w:b w:val="0"/>
                <w:sz w:val="14"/>
                <w:szCs w:val="14"/>
              </w:rPr>
              <w:t>External Connector per Servizi Desktop Remoto Windows Server™ 2012</w:t>
            </w:r>
            <w:bookmarkEnd w:id="551"/>
            <w:bookmarkEnd w:id="552"/>
          </w:p>
        </w:tc>
        <w:tc>
          <w:tcPr>
            <w:tcW w:w="448" w:type="dxa"/>
            <w:tcBorders>
              <w:bottom w:val="single" w:sz="4" w:space="0" w:color="auto"/>
            </w:tcBorders>
            <w:shd w:val="clear" w:color="auto" w:fill="FABF8F"/>
            <w:vAlign w:val="center"/>
          </w:tcPr>
          <w:p w:rsidR="001A63C6" w:rsidRPr="00B41377" w:rsidRDefault="001A63C6" w:rsidP="001A63C6">
            <w:pPr>
              <w:pStyle w:val="TableText"/>
              <w:widowControl w:val="0"/>
              <w:rPr>
                <w:rStyle w:val="EndnoteReference"/>
                <w:rFonts w:cs="Tahoma"/>
                <w:sz w:val="13"/>
                <w:szCs w:val="13"/>
                <w:u w:val="single"/>
              </w:rPr>
            </w:pPr>
          </w:p>
        </w:tc>
        <w:tc>
          <w:tcPr>
            <w:tcW w:w="449" w:type="dxa"/>
            <w:tcBorders>
              <w:bottom w:val="single" w:sz="4" w:space="0" w:color="auto"/>
            </w:tcBorders>
            <w:shd w:val="clear" w:color="auto" w:fill="FABF8F"/>
            <w:vAlign w:val="center"/>
          </w:tcPr>
          <w:p w:rsidR="001A63C6" w:rsidRPr="00A75DF9" w:rsidRDefault="001A63C6" w:rsidP="001A63C6">
            <w:pPr>
              <w:pStyle w:val="TableText"/>
              <w:widowControl w:val="0"/>
              <w:spacing w:before="160"/>
              <w:rPr>
                <w:rFonts w:ascii="Tahoma" w:hAnsi="Tahoma" w:cs="Tahoma"/>
                <w:color w:val="000000"/>
                <w:sz w:val="13"/>
              </w:rPr>
            </w:pPr>
            <w:r w:rsidRPr="00A75DF9">
              <w:rPr>
                <w:rFonts w:ascii="Tahoma" w:hAnsi="Tahoma" w:cs="Tahoma"/>
                <w:color w:val="000000"/>
                <w:sz w:val="13"/>
              </w:rPr>
              <w:t>09/12</w:t>
            </w:r>
          </w:p>
        </w:tc>
        <w:tc>
          <w:tcPr>
            <w:tcW w:w="359"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SRV</w:t>
            </w:r>
          </w:p>
        </w:tc>
        <w:tc>
          <w:tcPr>
            <w:tcW w:w="356"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75</w:t>
            </w: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188</w:t>
            </w:r>
          </w:p>
        </w:tc>
        <w:tc>
          <w:tcPr>
            <w:tcW w:w="455"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150</w:t>
            </w:r>
          </w:p>
        </w:tc>
        <w:tc>
          <w:tcPr>
            <w:tcW w:w="441" w:type="dxa"/>
            <w:gridSpan w:val="2"/>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113</w:t>
            </w:r>
          </w:p>
        </w:tc>
        <w:tc>
          <w:tcPr>
            <w:tcW w:w="454" w:type="dxa"/>
            <w:gridSpan w:val="2"/>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113</w:t>
            </w: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75</w:t>
            </w:r>
          </w:p>
        </w:tc>
        <w:tc>
          <w:tcPr>
            <w:tcW w:w="374"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38</w:t>
            </w:r>
          </w:p>
        </w:tc>
        <w:tc>
          <w:tcPr>
            <w:tcW w:w="455"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75</w:t>
            </w:r>
          </w:p>
        </w:tc>
        <w:tc>
          <w:tcPr>
            <w:tcW w:w="450"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150</w:t>
            </w: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75</w:t>
            </w:r>
          </w:p>
        </w:tc>
        <w:tc>
          <w:tcPr>
            <w:tcW w:w="450" w:type="dxa"/>
            <w:tcBorders>
              <w:left w:val="single" w:sz="18" w:space="0" w:color="auto"/>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75</w:t>
            </w:r>
          </w:p>
        </w:tc>
        <w:tc>
          <w:tcPr>
            <w:tcW w:w="450" w:type="dxa"/>
            <w:tcBorders>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P</w:t>
            </w:r>
          </w:p>
        </w:tc>
        <w:tc>
          <w:tcPr>
            <w:tcW w:w="450" w:type="dxa"/>
            <w:tcBorders>
              <w:bottom w:val="single" w:sz="4" w:space="0" w:color="auto"/>
            </w:tcBorders>
            <w:shd w:val="clear" w:color="auto" w:fill="FABF8F"/>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A</w:t>
            </w:r>
          </w:p>
        </w:tc>
        <w:tc>
          <w:tcPr>
            <w:tcW w:w="539" w:type="dxa"/>
            <w:tcBorders>
              <w:bottom w:val="single" w:sz="4" w:space="0" w:color="auto"/>
            </w:tcBorders>
            <w:shd w:val="clear" w:color="auto" w:fill="FABF8F"/>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OL/OV</w:t>
            </w:r>
          </w:p>
        </w:tc>
      </w:tr>
      <w:tr w:rsidR="00B33D0E" w:rsidRPr="00A75DF9" w:rsidTr="008A1262">
        <w:trPr>
          <w:trHeight w:val="145"/>
        </w:trPr>
        <w:tc>
          <w:tcPr>
            <w:tcW w:w="2724" w:type="dxa"/>
            <w:gridSpan w:val="2"/>
            <w:tcBorders>
              <w:bottom w:val="single" w:sz="4" w:space="0" w:color="auto"/>
            </w:tcBorders>
            <w:shd w:val="clear" w:color="auto" w:fill="auto"/>
            <w:vAlign w:val="center"/>
          </w:tcPr>
          <w:p w:rsidR="001A63C6" w:rsidRPr="00A75DF9" w:rsidRDefault="001A63C6" w:rsidP="001A63C6">
            <w:pPr>
              <w:pStyle w:val="Heading2"/>
              <w:spacing w:before="20" w:after="20"/>
              <w:ind w:left="0"/>
              <w:rPr>
                <w:rFonts w:ascii="Tahoma" w:hAnsi="Tahoma" w:cs="Tahoma"/>
                <w:b w:val="0"/>
                <w:sz w:val="14"/>
                <w:szCs w:val="14"/>
              </w:rPr>
            </w:pPr>
            <w:bookmarkStart w:id="553" w:name="_Toc336338148"/>
            <w:bookmarkStart w:id="554" w:name="_Toc368310145"/>
            <w:r w:rsidRPr="00A75DF9">
              <w:rPr>
                <w:rFonts w:ascii="Tahoma" w:hAnsi="Tahoma" w:cs="Tahoma"/>
                <w:b w:val="0"/>
                <w:sz w:val="14"/>
                <w:szCs w:val="14"/>
              </w:rPr>
              <w:t>CAL per Windows Server™ 2012 Active Directory Rights Management Services</w:t>
            </w:r>
            <w:bookmarkEnd w:id="553"/>
            <w:bookmarkEnd w:id="554"/>
          </w:p>
        </w:tc>
        <w:tc>
          <w:tcPr>
            <w:tcW w:w="448" w:type="dxa"/>
            <w:tcBorders>
              <w:bottom w:val="single" w:sz="4" w:space="0" w:color="auto"/>
            </w:tcBorders>
            <w:shd w:val="clear" w:color="auto" w:fill="auto"/>
            <w:vAlign w:val="center"/>
          </w:tcPr>
          <w:p w:rsidR="001A63C6" w:rsidRPr="00B41377" w:rsidRDefault="001A63C6" w:rsidP="001A63C6">
            <w:pPr>
              <w:pStyle w:val="TableText"/>
              <w:widowControl w:val="0"/>
              <w:rPr>
                <w:rStyle w:val="EndnoteReference"/>
                <w:rFonts w:cs="Tahoma"/>
                <w:sz w:val="13"/>
                <w:szCs w:val="13"/>
                <w:u w:val="single"/>
              </w:rPr>
            </w:pPr>
          </w:p>
        </w:tc>
        <w:tc>
          <w:tcPr>
            <w:tcW w:w="449" w:type="dxa"/>
            <w:tcBorders>
              <w:bottom w:val="single" w:sz="4" w:space="0" w:color="auto"/>
            </w:tcBorders>
            <w:shd w:val="clear" w:color="auto" w:fill="auto"/>
            <w:vAlign w:val="center"/>
          </w:tcPr>
          <w:p w:rsidR="001A63C6" w:rsidRPr="00A75DF9" w:rsidRDefault="001A63C6" w:rsidP="001A63C6">
            <w:pPr>
              <w:pStyle w:val="TableText"/>
              <w:widowControl w:val="0"/>
              <w:spacing w:before="160"/>
              <w:rPr>
                <w:rFonts w:ascii="Tahoma" w:hAnsi="Tahoma" w:cs="Tahoma"/>
                <w:color w:val="000000"/>
                <w:sz w:val="13"/>
              </w:rPr>
            </w:pPr>
            <w:r w:rsidRPr="00A75DF9">
              <w:rPr>
                <w:rFonts w:ascii="Tahoma" w:hAnsi="Tahoma" w:cs="Tahoma"/>
                <w:color w:val="000000"/>
                <w:sz w:val="13"/>
              </w:rPr>
              <w:t>09/12</w:t>
            </w:r>
          </w:p>
        </w:tc>
        <w:tc>
          <w:tcPr>
            <w:tcW w:w="359"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r w:rsidRPr="00A75DF9">
              <w:rPr>
                <w:rFonts w:ascii="Tahoma" w:hAnsi="Tahoma" w:cs="Tahoma"/>
                <w:color w:val="000000"/>
                <w:sz w:val="13"/>
              </w:rPr>
              <w:t>SRV</w:t>
            </w:r>
          </w:p>
        </w:tc>
        <w:tc>
          <w:tcPr>
            <w:tcW w:w="356"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w:t>
            </w: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3</w:t>
            </w:r>
          </w:p>
        </w:tc>
        <w:tc>
          <w:tcPr>
            <w:tcW w:w="455"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w:t>
            </w:r>
          </w:p>
        </w:tc>
        <w:tc>
          <w:tcPr>
            <w:tcW w:w="441" w:type="dxa"/>
            <w:gridSpan w:val="2"/>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w:t>
            </w:r>
          </w:p>
        </w:tc>
        <w:tc>
          <w:tcPr>
            <w:tcW w:w="454" w:type="dxa"/>
            <w:gridSpan w:val="2"/>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w:t>
            </w: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w:t>
            </w:r>
          </w:p>
        </w:tc>
        <w:tc>
          <w:tcPr>
            <w:tcW w:w="374"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w:t>
            </w:r>
          </w:p>
        </w:tc>
        <w:tc>
          <w:tcPr>
            <w:tcW w:w="455"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w:t>
            </w:r>
          </w:p>
        </w:tc>
        <w:tc>
          <w:tcPr>
            <w:tcW w:w="450"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auto"/>
            <w:vAlign w:val="center"/>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P</w:t>
            </w:r>
          </w:p>
        </w:tc>
        <w:tc>
          <w:tcPr>
            <w:tcW w:w="450" w:type="dxa"/>
            <w:tcBorders>
              <w:bottom w:val="single" w:sz="4" w:space="0" w:color="auto"/>
            </w:tcBorders>
            <w:shd w:val="clear" w:color="auto" w:fill="auto"/>
          </w:tcPr>
          <w:p w:rsidR="001A63C6" w:rsidRPr="00A75DF9" w:rsidRDefault="001A63C6" w:rsidP="001A63C6">
            <w:pPr>
              <w:pStyle w:val="TableText"/>
              <w:widowControl w:val="0"/>
              <w:rPr>
                <w:rFonts w:ascii="Tahoma" w:hAnsi="Tahoma" w:cs="Tahoma"/>
                <w:sz w:val="13"/>
              </w:rPr>
            </w:pPr>
            <w:r w:rsidRPr="00A75DF9">
              <w:rPr>
                <w:rFonts w:ascii="Tahoma" w:hAnsi="Tahoma" w:cs="Tahoma"/>
                <w:sz w:val="13"/>
              </w:rPr>
              <w:t>A, ST</w:t>
            </w:r>
          </w:p>
        </w:tc>
        <w:tc>
          <w:tcPr>
            <w:tcW w:w="539" w:type="dxa"/>
            <w:tcBorders>
              <w:bottom w:val="single" w:sz="4" w:space="0" w:color="auto"/>
            </w:tcBorders>
            <w:shd w:val="clear" w:color="auto" w:fill="auto"/>
            <w:vAlign w:val="center"/>
          </w:tcPr>
          <w:p w:rsidR="001A63C6" w:rsidRPr="00A75DF9" w:rsidRDefault="001A63C6" w:rsidP="001A63C6">
            <w:pPr>
              <w:pStyle w:val="TableText"/>
              <w:widowControl w:val="0"/>
              <w:rPr>
                <w:rFonts w:ascii="Tahoma" w:hAnsi="Tahoma" w:cs="Tahoma"/>
                <w:color w:val="000000"/>
                <w:sz w:val="13"/>
              </w:rPr>
            </w:pPr>
          </w:p>
        </w:tc>
      </w:tr>
      <w:tr w:rsidR="0084456B" w:rsidRPr="00A75DF9" w:rsidTr="008A1262">
        <w:trPr>
          <w:trHeight w:val="467"/>
        </w:trPr>
        <w:tc>
          <w:tcPr>
            <w:tcW w:w="2724" w:type="dxa"/>
            <w:gridSpan w:val="2"/>
            <w:tcBorders>
              <w:bottom w:val="single" w:sz="4" w:space="0" w:color="auto"/>
            </w:tcBorders>
            <w:shd w:val="clear" w:color="auto" w:fill="FABF8F"/>
            <w:vAlign w:val="center"/>
          </w:tcPr>
          <w:p w:rsidR="001A63C6" w:rsidRPr="00A75DF9" w:rsidRDefault="001A63C6" w:rsidP="007E466C">
            <w:pPr>
              <w:pStyle w:val="Heading2"/>
              <w:keepNext/>
              <w:keepLines/>
              <w:spacing w:before="20" w:after="20"/>
              <w:ind w:left="0"/>
              <w:rPr>
                <w:rFonts w:ascii="Tahoma" w:hAnsi="Tahoma" w:cs="Tahoma"/>
                <w:b w:val="0"/>
                <w:sz w:val="14"/>
                <w:szCs w:val="14"/>
              </w:rPr>
            </w:pPr>
            <w:bookmarkStart w:id="555" w:name="_Toc336338149"/>
            <w:bookmarkStart w:id="556" w:name="_Toc368310146"/>
            <w:r w:rsidRPr="00A75DF9">
              <w:rPr>
                <w:rFonts w:ascii="Tahoma" w:hAnsi="Tahoma" w:cs="Tahoma"/>
                <w:b w:val="0"/>
                <w:sz w:val="14"/>
                <w:szCs w:val="14"/>
              </w:rPr>
              <w:t>External Connector per Windows Server™ Active Directory Rights Management Services</w:t>
            </w:r>
            <w:bookmarkEnd w:id="555"/>
            <w:bookmarkEnd w:id="556"/>
          </w:p>
        </w:tc>
        <w:tc>
          <w:tcPr>
            <w:tcW w:w="448" w:type="dxa"/>
            <w:tcBorders>
              <w:bottom w:val="single" w:sz="4" w:space="0" w:color="auto"/>
            </w:tcBorders>
            <w:shd w:val="clear" w:color="auto" w:fill="FABF8F"/>
            <w:vAlign w:val="center"/>
          </w:tcPr>
          <w:p w:rsidR="001A63C6" w:rsidRPr="00B41377" w:rsidRDefault="001A63C6" w:rsidP="007E466C">
            <w:pPr>
              <w:pStyle w:val="TableText"/>
              <w:keepNext/>
              <w:keepLines/>
              <w:widowControl w:val="0"/>
              <w:rPr>
                <w:rStyle w:val="EndnoteReference"/>
                <w:rFonts w:cs="Tahoma"/>
                <w:sz w:val="13"/>
                <w:szCs w:val="13"/>
                <w:u w:val="single"/>
              </w:rPr>
            </w:pPr>
          </w:p>
        </w:tc>
        <w:tc>
          <w:tcPr>
            <w:tcW w:w="449" w:type="dxa"/>
            <w:tcBorders>
              <w:bottom w:val="single" w:sz="4" w:space="0" w:color="auto"/>
            </w:tcBorders>
            <w:shd w:val="clear" w:color="auto" w:fill="FABF8F"/>
            <w:vAlign w:val="center"/>
          </w:tcPr>
          <w:p w:rsidR="001A63C6" w:rsidRPr="00A75DF9" w:rsidRDefault="001A63C6" w:rsidP="007E466C">
            <w:pPr>
              <w:pStyle w:val="TableText"/>
              <w:keepNext/>
              <w:keepLines/>
              <w:widowControl w:val="0"/>
              <w:spacing w:before="160"/>
              <w:rPr>
                <w:rFonts w:ascii="Tahoma" w:hAnsi="Tahoma" w:cs="Tahoma"/>
                <w:color w:val="000000"/>
                <w:sz w:val="13"/>
              </w:rPr>
            </w:pPr>
            <w:r w:rsidRPr="00A75DF9">
              <w:rPr>
                <w:rFonts w:ascii="Tahoma" w:hAnsi="Tahoma" w:cs="Tahoma"/>
                <w:color w:val="000000"/>
                <w:sz w:val="13"/>
              </w:rPr>
              <w:t>09/12</w:t>
            </w:r>
          </w:p>
        </w:tc>
        <w:tc>
          <w:tcPr>
            <w:tcW w:w="359" w:type="dxa"/>
            <w:tcBorders>
              <w:bottom w:val="single" w:sz="4" w:space="0" w:color="auto"/>
              <w:right w:val="single" w:sz="18" w:space="0" w:color="auto"/>
            </w:tcBorders>
            <w:shd w:val="clear" w:color="auto" w:fill="FABF8F"/>
            <w:vAlign w:val="center"/>
          </w:tcPr>
          <w:p w:rsidR="001A63C6" w:rsidRPr="00A75DF9" w:rsidRDefault="001A63C6" w:rsidP="007E466C">
            <w:pPr>
              <w:pStyle w:val="TableText"/>
              <w:keepNext/>
              <w:keepLines/>
              <w:widowControl w:val="0"/>
              <w:rPr>
                <w:rFonts w:ascii="Tahoma" w:hAnsi="Tahoma" w:cs="Tahoma"/>
                <w:color w:val="000000"/>
                <w:sz w:val="13"/>
              </w:rPr>
            </w:pPr>
            <w:r w:rsidRPr="00A75DF9">
              <w:rPr>
                <w:rFonts w:ascii="Tahoma" w:hAnsi="Tahoma" w:cs="Tahoma"/>
                <w:color w:val="000000"/>
                <w:sz w:val="13"/>
              </w:rPr>
              <w:t>SRV</w:t>
            </w:r>
          </w:p>
        </w:tc>
        <w:tc>
          <w:tcPr>
            <w:tcW w:w="356" w:type="dxa"/>
            <w:tcBorders>
              <w:left w:val="single" w:sz="18" w:space="0" w:color="auto"/>
              <w:bottom w:val="single" w:sz="4" w:space="0" w:color="auto"/>
            </w:tcBorders>
            <w:shd w:val="clear" w:color="auto" w:fill="FABF8F"/>
            <w:vAlign w:val="center"/>
          </w:tcPr>
          <w:p w:rsidR="001A63C6" w:rsidRPr="00A75DF9" w:rsidRDefault="001A63C6" w:rsidP="007E466C">
            <w:pPr>
              <w:pStyle w:val="TableText"/>
              <w:keepNext/>
              <w:keepLines/>
              <w:widowControl w:val="0"/>
              <w:rPr>
                <w:rFonts w:ascii="Tahoma" w:hAnsi="Tahoma" w:cs="Tahoma"/>
                <w:sz w:val="13"/>
              </w:rPr>
            </w:pPr>
            <w:r w:rsidRPr="00A75DF9">
              <w:rPr>
                <w:rFonts w:ascii="Tahoma" w:hAnsi="Tahoma" w:cs="Tahoma"/>
                <w:sz w:val="13"/>
              </w:rPr>
              <w:t>125</w:t>
            </w:r>
          </w:p>
        </w:tc>
        <w:tc>
          <w:tcPr>
            <w:tcW w:w="450" w:type="dxa"/>
            <w:tcBorders>
              <w:bottom w:val="single" w:sz="4" w:space="0" w:color="auto"/>
            </w:tcBorders>
            <w:shd w:val="clear" w:color="auto" w:fill="FABF8F"/>
            <w:vAlign w:val="center"/>
          </w:tcPr>
          <w:p w:rsidR="001A63C6" w:rsidRPr="00A75DF9" w:rsidRDefault="001A63C6" w:rsidP="007E466C">
            <w:pPr>
              <w:pStyle w:val="TableText"/>
              <w:keepNext/>
              <w:keepLines/>
              <w:widowControl w:val="0"/>
              <w:rPr>
                <w:rFonts w:ascii="Tahoma" w:hAnsi="Tahoma" w:cs="Tahoma"/>
                <w:sz w:val="13"/>
              </w:rPr>
            </w:pPr>
            <w:r w:rsidRPr="00A75DF9">
              <w:rPr>
                <w:rFonts w:ascii="Tahoma" w:hAnsi="Tahoma" w:cs="Tahoma"/>
                <w:sz w:val="13"/>
              </w:rPr>
              <w:t>313</w:t>
            </w:r>
          </w:p>
        </w:tc>
        <w:tc>
          <w:tcPr>
            <w:tcW w:w="455" w:type="dxa"/>
            <w:tcBorders>
              <w:bottom w:val="single" w:sz="4" w:space="0" w:color="auto"/>
            </w:tcBorders>
            <w:shd w:val="clear" w:color="auto" w:fill="FABF8F"/>
            <w:vAlign w:val="center"/>
          </w:tcPr>
          <w:p w:rsidR="001A63C6" w:rsidRPr="00A75DF9" w:rsidRDefault="001A63C6" w:rsidP="007E466C">
            <w:pPr>
              <w:pStyle w:val="TableText"/>
              <w:keepNext/>
              <w:keepLines/>
              <w:widowControl w:val="0"/>
              <w:rPr>
                <w:rFonts w:ascii="Tahoma" w:hAnsi="Tahoma" w:cs="Tahoma"/>
                <w:sz w:val="13"/>
              </w:rPr>
            </w:pPr>
            <w:r w:rsidRPr="00A75DF9">
              <w:rPr>
                <w:rFonts w:ascii="Tahoma" w:hAnsi="Tahoma" w:cs="Tahoma"/>
                <w:sz w:val="13"/>
              </w:rPr>
              <w:t>250</w:t>
            </w:r>
          </w:p>
        </w:tc>
        <w:tc>
          <w:tcPr>
            <w:tcW w:w="441" w:type="dxa"/>
            <w:gridSpan w:val="2"/>
            <w:tcBorders>
              <w:bottom w:val="single" w:sz="4" w:space="0" w:color="auto"/>
            </w:tcBorders>
            <w:shd w:val="clear" w:color="auto" w:fill="FABF8F"/>
            <w:vAlign w:val="center"/>
          </w:tcPr>
          <w:p w:rsidR="001A63C6" w:rsidRPr="00A75DF9" w:rsidRDefault="001A63C6" w:rsidP="007E466C">
            <w:pPr>
              <w:pStyle w:val="TableText"/>
              <w:keepNext/>
              <w:keepLines/>
              <w:widowControl w:val="0"/>
              <w:rPr>
                <w:rFonts w:ascii="Tahoma" w:hAnsi="Tahoma" w:cs="Tahoma"/>
                <w:sz w:val="13"/>
              </w:rPr>
            </w:pPr>
            <w:r w:rsidRPr="00A75DF9">
              <w:rPr>
                <w:rFonts w:ascii="Tahoma" w:hAnsi="Tahoma" w:cs="Tahoma"/>
                <w:sz w:val="13"/>
              </w:rPr>
              <w:t>188</w:t>
            </w:r>
          </w:p>
        </w:tc>
        <w:tc>
          <w:tcPr>
            <w:tcW w:w="454" w:type="dxa"/>
            <w:gridSpan w:val="2"/>
            <w:tcBorders>
              <w:bottom w:val="single" w:sz="4" w:space="0" w:color="auto"/>
            </w:tcBorders>
            <w:shd w:val="clear" w:color="auto" w:fill="FABF8F"/>
            <w:vAlign w:val="center"/>
          </w:tcPr>
          <w:p w:rsidR="001A63C6" w:rsidRPr="00A75DF9" w:rsidRDefault="001A63C6" w:rsidP="007E466C">
            <w:pPr>
              <w:pStyle w:val="TableText"/>
              <w:keepNext/>
              <w:keepLines/>
              <w:widowControl w:val="0"/>
              <w:rPr>
                <w:rFonts w:ascii="Tahoma" w:hAnsi="Tahoma" w:cs="Tahoma"/>
                <w:sz w:val="13"/>
              </w:rPr>
            </w:pPr>
            <w:r w:rsidRPr="00A75DF9">
              <w:rPr>
                <w:rFonts w:ascii="Tahoma" w:hAnsi="Tahoma" w:cs="Tahoma"/>
                <w:sz w:val="13"/>
              </w:rPr>
              <w:t>188</w:t>
            </w:r>
          </w:p>
        </w:tc>
        <w:tc>
          <w:tcPr>
            <w:tcW w:w="450" w:type="dxa"/>
            <w:tcBorders>
              <w:bottom w:val="single" w:sz="4" w:space="0" w:color="auto"/>
            </w:tcBorders>
            <w:shd w:val="clear" w:color="auto" w:fill="FABF8F"/>
            <w:vAlign w:val="center"/>
          </w:tcPr>
          <w:p w:rsidR="001A63C6" w:rsidRPr="00A75DF9" w:rsidRDefault="001A63C6" w:rsidP="007E466C">
            <w:pPr>
              <w:pStyle w:val="TableText"/>
              <w:keepNext/>
              <w:keepLines/>
              <w:widowControl w:val="0"/>
              <w:rPr>
                <w:rFonts w:ascii="Tahoma" w:hAnsi="Tahoma" w:cs="Tahoma"/>
                <w:sz w:val="13"/>
              </w:rPr>
            </w:pPr>
            <w:r w:rsidRPr="00A75DF9">
              <w:rPr>
                <w:rFonts w:ascii="Tahoma" w:hAnsi="Tahoma" w:cs="Tahoma"/>
                <w:sz w:val="13"/>
              </w:rPr>
              <w:t>125</w:t>
            </w:r>
          </w:p>
        </w:tc>
        <w:tc>
          <w:tcPr>
            <w:tcW w:w="374" w:type="dxa"/>
            <w:tcBorders>
              <w:bottom w:val="single" w:sz="4" w:space="0" w:color="auto"/>
              <w:right w:val="single" w:sz="18" w:space="0" w:color="auto"/>
            </w:tcBorders>
            <w:shd w:val="clear" w:color="auto" w:fill="FABF8F"/>
            <w:vAlign w:val="center"/>
          </w:tcPr>
          <w:p w:rsidR="001A63C6" w:rsidRPr="00A75DF9" w:rsidRDefault="001A63C6" w:rsidP="007E466C">
            <w:pPr>
              <w:pStyle w:val="TableText"/>
              <w:keepNext/>
              <w:keepLines/>
              <w:widowControl w:val="0"/>
              <w:rPr>
                <w:rFonts w:ascii="Tahoma" w:hAnsi="Tahoma" w:cs="Tahoma"/>
                <w:sz w:val="13"/>
              </w:rPr>
            </w:pPr>
            <w:r w:rsidRPr="00A75DF9">
              <w:rPr>
                <w:rFonts w:ascii="Tahoma" w:hAnsi="Tahoma" w:cs="Tahoma"/>
                <w:sz w:val="13"/>
              </w:rPr>
              <w:t>63</w:t>
            </w:r>
          </w:p>
        </w:tc>
        <w:tc>
          <w:tcPr>
            <w:tcW w:w="455" w:type="dxa"/>
            <w:tcBorders>
              <w:left w:val="single" w:sz="18" w:space="0" w:color="auto"/>
              <w:bottom w:val="single" w:sz="4" w:space="0" w:color="auto"/>
            </w:tcBorders>
            <w:shd w:val="clear" w:color="auto" w:fill="FABF8F"/>
            <w:vAlign w:val="center"/>
          </w:tcPr>
          <w:p w:rsidR="001A63C6" w:rsidRPr="00A75DF9" w:rsidRDefault="001A63C6" w:rsidP="007E466C">
            <w:pPr>
              <w:pStyle w:val="TableText"/>
              <w:keepNext/>
              <w:keepLines/>
              <w:widowControl w:val="0"/>
              <w:rPr>
                <w:rFonts w:ascii="Tahoma" w:hAnsi="Tahoma" w:cs="Tahoma"/>
                <w:sz w:val="13"/>
              </w:rPr>
            </w:pPr>
            <w:r w:rsidRPr="00A75DF9">
              <w:rPr>
                <w:rFonts w:ascii="Tahoma" w:hAnsi="Tahoma" w:cs="Tahoma"/>
                <w:sz w:val="13"/>
              </w:rPr>
              <w:t>125</w:t>
            </w:r>
          </w:p>
        </w:tc>
        <w:tc>
          <w:tcPr>
            <w:tcW w:w="450" w:type="dxa"/>
            <w:tcBorders>
              <w:bottom w:val="single" w:sz="4" w:space="0" w:color="auto"/>
            </w:tcBorders>
            <w:shd w:val="clear" w:color="auto" w:fill="FABF8F"/>
            <w:vAlign w:val="center"/>
          </w:tcPr>
          <w:p w:rsidR="001A63C6" w:rsidRPr="00A75DF9" w:rsidRDefault="001A63C6" w:rsidP="007E466C">
            <w:pPr>
              <w:pStyle w:val="TableText"/>
              <w:keepNext/>
              <w:keepLines/>
              <w:widowControl w:val="0"/>
              <w:rPr>
                <w:rFonts w:ascii="Tahoma" w:hAnsi="Tahoma" w:cs="Tahoma"/>
                <w:sz w:val="13"/>
              </w:rPr>
            </w:pPr>
            <w:r w:rsidRPr="00A75DF9">
              <w:rPr>
                <w:rFonts w:ascii="Tahoma" w:hAnsi="Tahoma" w:cs="Tahoma"/>
                <w:sz w:val="13"/>
              </w:rPr>
              <w:t>250</w:t>
            </w:r>
          </w:p>
        </w:tc>
        <w:tc>
          <w:tcPr>
            <w:tcW w:w="450" w:type="dxa"/>
            <w:tcBorders>
              <w:bottom w:val="single" w:sz="4" w:space="0" w:color="auto"/>
              <w:right w:val="single" w:sz="18" w:space="0" w:color="auto"/>
            </w:tcBorders>
            <w:shd w:val="clear" w:color="auto" w:fill="FABF8F"/>
            <w:vAlign w:val="center"/>
          </w:tcPr>
          <w:p w:rsidR="001A63C6" w:rsidRPr="00A75DF9" w:rsidRDefault="001A63C6" w:rsidP="007E466C">
            <w:pPr>
              <w:pStyle w:val="TableText"/>
              <w:keepNext/>
              <w:keepLines/>
              <w:widowControl w:val="0"/>
              <w:rPr>
                <w:rFonts w:ascii="Tahoma" w:hAnsi="Tahoma" w:cs="Tahoma"/>
                <w:sz w:val="13"/>
              </w:rPr>
            </w:pPr>
            <w:r w:rsidRPr="00A75DF9">
              <w:rPr>
                <w:rFonts w:ascii="Tahoma" w:hAnsi="Tahoma" w:cs="Tahoma"/>
                <w:sz w:val="13"/>
              </w:rPr>
              <w:t>125</w:t>
            </w:r>
          </w:p>
        </w:tc>
        <w:tc>
          <w:tcPr>
            <w:tcW w:w="450" w:type="dxa"/>
            <w:tcBorders>
              <w:left w:val="single" w:sz="18" w:space="0" w:color="auto"/>
              <w:bottom w:val="single" w:sz="4" w:space="0" w:color="auto"/>
            </w:tcBorders>
            <w:shd w:val="clear" w:color="auto" w:fill="FABF8F"/>
            <w:vAlign w:val="center"/>
          </w:tcPr>
          <w:p w:rsidR="001A63C6" w:rsidRPr="00A75DF9" w:rsidRDefault="001A63C6" w:rsidP="007E466C">
            <w:pPr>
              <w:pStyle w:val="TableText"/>
              <w:keepNext/>
              <w:keepLines/>
              <w:widowControl w:val="0"/>
              <w:rPr>
                <w:rFonts w:ascii="Tahoma" w:hAnsi="Tahoma" w:cs="Tahoma"/>
                <w:sz w:val="13"/>
              </w:rPr>
            </w:pPr>
            <w:r w:rsidRPr="00A75DF9">
              <w:rPr>
                <w:rFonts w:ascii="Tahoma" w:hAnsi="Tahoma" w:cs="Tahoma"/>
                <w:sz w:val="13"/>
              </w:rPr>
              <w:t>125</w:t>
            </w:r>
          </w:p>
        </w:tc>
        <w:tc>
          <w:tcPr>
            <w:tcW w:w="450" w:type="dxa"/>
            <w:tcBorders>
              <w:bottom w:val="single" w:sz="4" w:space="0" w:color="auto"/>
              <w:right w:val="single" w:sz="18" w:space="0" w:color="auto"/>
            </w:tcBorders>
            <w:shd w:val="clear" w:color="auto" w:fill="FABF8F"/>
            <w:vAlign w:val="center"/>
          </w:tcPr>
          <w:p w:rsidR="001A63C6" w:rsidRPr="00A75DF9" w:rsidRDefault="001A63C6" w:rsidP="007E466C">
            <w:pPr>
              <w:pStyle w:val="TableText"/>
              <w:keepNext/>
              <w:keepLines/>
              <w:widowControl w:val="0"/>
              <w:rPr>
                <w:rFonts w:ascii="Tahoma" w:hAnsi="Tahoma" w:cs="Tahoma"/>
                <w:sz w:val="13"/>
              </w:rPr>
            </w:pPr>
            <w:r w:rsidRPr="00A75DF9">
              <w:rPr>
                <w:rFonts w:ascii="Tahoma" w:hAnsi="Tahoma" w:cs="Tahoma"/>
                <w:sz w:val="13"/>
              </w:rPr>
              <w:t>A</w:t>
            </w:r>
          </w:p>
        </w:tc>
        <w:tc>
          <w:tcPr>
            <w:tcW w:w="450" w:type="dxa"/>
            <w:tcBorders>
              <w:left w:val="single" w:sz="18" w:space="0" w:color="auto"/>
              <w:bottom w:val="single" w:sz="4" w:space="0" w:color="auto"/>
              <w:right w:val="single" w:sz="18" w:space="0" w:color="auto"/>
            </w:tcBorders>
            <w:shd w:val="clear" w:color="auto" w:fill="FABF8F"/>
            <w:vAlign w:val="center"/>
          </w:tcPr>
          <w:p w:rsidR="001A63C6" w:rsidRPr="00A75DF9" w:rsidRDefault="001A63C6" w:rsidP="007E466C">
            <w:pPr>
              <w:pStyle w:val="TableText"/>
              <w:keepNext/>
              <w:keepLines/>
              <w:widowControl w:val="0"/>
              <w:rPr>
                <w:rFonts w:ascii="Tahoma" w:hAnsi="Tahoma" w:cs="Tahoma"/>
                <w:sz w:val="13"/>
              </w:rPr>
            </w:pPr>
            <w:r w:rsidRPr="00A75DF9">
              <w:rPr>
                <w:rFonts w:ascii="Tahoma" w:hAnsi="Tahoma" w:cs="Tahoma"/>
                <w:sz w:val="13"/>
              </w:rPr>
              <w:t>P</w:t>
            </w:r>
          </w:p>
        </w:tc>
        <w:tc>
          <w:tcPr>
            <w:tcW w:w="450" w:type="dxa"/>
            <w:tcBorders>
              <w:bottom w:val="single" w:sz="4" w:space="0" w:color="auto"/>
            </w:tcBorders>
            <w:shd w:val="clear" w:color="auto" w:fill="FABF8F"/>
          </w:tcPr>
          <w:p w:rsidR="001A63C6" w:rsidRPr="00A75DF9" w:rsidRDefault="001A63C6" w:rsidP="007E466C">
            <w:pPr>
              <w:pStyle w:val="TableText"/>
              <w:keepNext/>
              <w:keepLines/>
              <w:widowControl w:val="0"/>
              <w:rPr>
                <w:rFonts w:ascii="Tahoma" w:hAnsi="Tahoma" w:cs="Tahoma"/>
                <w:sz w:val="13"/>
              </w:rPr>
            </w:pPr>
            <w:r w:rsidRPr="00A75DF9">
              <w:rPr>
                <w:rFonts w:ascii="Tahoma" w:hAnsi="Tahoma" w:cs="Tahoma"/>
                <w:sz w:val="13"/>
              </w:rPr>
              <w:t>A, ST</w:t>
            </w:r>
          </w:p>
        </w:tc>
        <w:tc>
          <w:tcPr>
            <w:tcW w:w="539" w:type="dxa"/>
            <w:tcBorders>
              <w:bottom w:val="single" w:sz="4" w:space="0" w:color="auto"/>
            </w:tcBorders>
            <w:shd w:val="clear" w:color="auto" w:fill="FABF8F"/>
            <w:vAlign w:val="center"/>
          </w:tcPr>
          <w:p w:rsidR="001A63C6" w:rsidRPr="00A75DF9" w:rsidRDefault="001A63C6" w:rsidP="007E466C">
            <w:pPr>
              <w:pStyle w:val="TableText"/>
              <w:keepNext/>
              <w:keepLines/>
              <w:widowControl w:val="0"/>
              <w:rPr>
                <w:rFonts w:ascii="Tahoma" w:hAnsi="Tahoma" w:cs="Tahoma"/>
                <w:color w:val="000000"/>
                <w:sz w:val="13"/>
              </w:rPr>
            </w:pPr>
            <w:r w:rsidRPr="00A75DF9">
              <w:rPr>
                <w:rFonts w:ascii="Tahoma" w:hAnsi="Tahoma" w:cs="Tahoma"/>
                <w:color w:val="000000"/>
                <w:sz w:val="13"/>
              </w:rPr>
              <w:t>OL/OV</w:t>
            </w:r>
          </w:p>
        </w:tc>
      </w:tr>
      <w:tr w:rsidR="00A5643F" w:rsidRPr="00A75DF9" w:rsidTr="008A1262">
        <w:trPr>
          <w:gridBefore w:val="1"/>
          <w:wBefore w:w="17" w:type="dxa"/>
          <w:trHeight w:val="145"/>
        </w:trPr>
        <w:tc>
          <w:tcPr>
            <w:tcW w:w="2707" w:type="dxa"/>
            <w:tcBorders>
              <w:bottom w:val="single" w:sz="4" w:space="0" w:color="auto"/>
            </w:tcBorders>
            <w:shd w:val="clear" w:color="auto" w:fill="auto"/>
            <w:vAlign w:val="center"/>
          </w:tcPr>
          <w:p w:rsidR="00A5643F" w:rsidRPr="00A75DF9" w:rsidRDefault="00A5643F" w:rsidP="007E466C">
            <w:pPr>
              <w:pStyle w:val="Heading2"/>
              <w:keepNext/>
              <w:keepLines/>
              <w:spacing w:before="20" w:after="20"/>
              <w:ind w:left="0"/>
              <w:rPr>
                <w:rFonts w:ascii="Tahoma" w:hAnsi="Tahoma" w:cs="Tahoma"/>
                <w:b w:val="0"/>
                <w:sz w:val="14"/>
                <w:szCs w:val="14"/>
              </w:rPr>
            </w:pPr>
            <w:bookmarkStart w:id="557" w:name="_Toc368310147"/>
            <w:r w:rsidRPr="00A75DF9">
              <w:rPr>
                <w:rFonts w:ascii="Tahoma" w:hAnsi="Tahoma" w:cs="Tahoma"/>
                <w:b w:val="0"/>
                <w:sz w:val="14"/>
                <w:szCs w:val="14"/>
              </w:rPr>
              <w:t>Windows Small Business Server 2008 Premium</w:t>
            </w:r>
            <w:bookmarkEnd w:id="557"/>
            <w:r w:rsidRPr="00A75DF9">
              <w:rPr>
                <w:rFonts w:ascii="Tahoma" w:hAnsi="Tahoma" w:cs="Tahoma"/>
                <w:b w:val="0"/>
                <w:sz w:val="14"/>
                <w:szCs w:val="14"/>
              </w:rPr>
              <w:t xml:space="preserve"> </w:t>
            </w:r>
          </w:p>
        </w:tc>
        <w:tc>
          <w:tcPr>
            <w:tcW w:w="448" w:type="dxa"/>
            <w:tcBorders>
              <w:bottom w:val="single" w:sz="4" w:space="0" w:color="auto"/>
            </w:tcBorders>
            <w:shd w:val="clear" w:color="auto" w:fill="auto"/>
            <w:vAlign w:val="center"/>
          </w:tcPr>
          <w:p w:rsidR="00A5643F" w:rsidRPr="00B41377" w:rsidRDefault="00B54770" w:rsidP="00FC0808">
            <w:pPr>
              <w:pStyle w:val="TableText"/>
              <w:keepNext/>
              <w:keepLines/>
              <w:widowControl w:val="0"/>
              <w:rPr>
                <w:rFonts w:cs="Tahoma"/>
                <w:b/>
                <w:sz w:val="13"/>
                <w:szCs w:val="13"/>
                <w:u w:val="single"/>
              </w:rPr>
            </w:pPr>
            <w:hyperlink w:anchor="_115_Windows_Small" w:history="1">
              <w:r w:rsidR="00734B17" w:rsidRPr="00B41377">
                <w:rPr>
                  <w:rStyle w:val="Hyperlink"/>
                  <w:rFonts w:cs="Tahoma"/>
                  <w:b/>
                  <w:sz w:val="13"/>
                  <w:szCs w:val="13"/>
                </w:rPr>
                <w:t>113</w:t>
              </w:r>
            </w:hyperlink>
            <w:hyperlink w:anchor="_111_Windows_Web" w:history="1"/>
            <w:hyperlink w:anchor="Srv_116WinSmallBizSVR2011Addon" w:history="1"/>
          </w:p>
        </w:tc>
        <w:tc>
          <w:tcPr>
            <w:tcW w:w="449" w:type="dxa"/>
            <w:tcBorders>
              <w:bottom w:val="single" w:sz="4" w:space="0" w:color="auto"/>
            </w:tcBorders>
            <w:shd w:val="clear" w:color="auto" w:fill="auto"/>
            <w:vAlign w:val="center"/>
          </w:tcPr>
          <w:p w:rsidR="00A5643F" w:rsidRPr="00A75DF9" w:rsidRDefault="00A5643F" w:rsidP="007E466C">
            <w:pPr>
              <w:pStyle w:val="TableText"/>
              <w:keepNext/>
              <w:keepLines/>
              <w:widowControl w:val="0"/>
              <w:spacing w:before="120"/>
              <w:rPr>
                <w:rFonts w:ascii="Tahoma" w:hAnsi="Tahoma" w:cs="Tahoma"/>
                <w:sz w:val="13"/>
              </w:rPr>
            </w:pPr>
            <w:r w:rsidRPr="00A75DF9">
              <w:rPr>
                <w:rFonts w:ascii="Tahoma" w:hAnsi="Tahoma" w:cs="Tahoma"/>
                <w:sz w:val="13"/>
              </w:rPr>
              <w:t>10/08</w:t>
            </w:r>
          </w:p>
        </w:tc>
        <w:tc>
          <w:tcPr>
            <w:tcW w:w="359" w:type="dxa"/>
            <w:tcBorders>
              <w:bottom w:val="single" w:sz="4" w:space="0" w:color="auto"/>
              <w:right w:val="single" w:sz="18" w:space="0" w:color="auto"/>
            </w:tcBorders>
            <w:shd w:val="clear" w:color="auto" w:fill="auto"/>
            <w:vAlign w:val="center"/>
          </w:tcPr>
          <w:p w:rsidR="00A5643F" w:rsidRPr="00A75DF9" w:rsidRDefault="00A5643F" w:rsidP="007E466C">
            <w:pPr>
              <w:pStyle w:val="TableText"/>
              <w:keepNext/>
              <w:keepLines/>
              <w:widowControl w:val="0"/>
              <w:rPr>
                <w:rFonts w:ascii="Tahoma" w:hAnsi="Tahoma" w:cs="Tahoma"/>
                <w:sz w:val="13"/>
              </w:rPr>
            </w:pPr>
            <w:r w:rsidRPr="00A75DF9">
              <w:rPr>
                <w:rFonts w:ascii="Tahoma" w:hAnsi="Tahoma" w:cs="Tahoma"/>
                <w:sz w:val="13"/>
              </w:rPr>
              <w:t>SRV</w:t>
            </w:r>
          </w:p>
        </w:tc>
        <w:tc>
          <w:tcPr>
            <w:tcW w:w="356" w:type="dxa"/>
            <w:tcBorders>
              <w:left w:val="single" w:sz="18" w:space="0" w:color="auto"/>
              <w:bottom w:val="single" w:sz="4" w:space="0" w:color="auto"/>
            </w:tcBorders>
            <w:shd w:val="clear" w:color="auto" w:fill="auto"/>
            <w:vAlign w:val="center"/>
          </w:tcPr>
          <w:p w:rsidR="00A5643F" w:rsidRPr="00A75DF9"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A75DF9" w:rsidRDefault="00A5643F" w:rsidP="007E466C">
            <w:pPr>
              <w:pStyle w:val="TableText"/>
              <w:keepNext/>
              <w:keepLines/>
              <w:widowControl w:val="0"/>
              <w:rPr>
                <w:rFonts w:ascii="Tahoma" w:hAnsi="Tahoma" w:cs="Tahoma"/>
                <w:sz w:val="13"/>
              </w:rPr>
            </w:pPr>
          </w:p>
        </w:tc>
        <w:tc>
          <w:tcPr>
            <w:tcW w:w="455" w:type="dxa"/>
            <w:tcBorders>
              <w:bottom w:val="single" w:sz="4" w:space="0" w:color="auto"/>
            </w:tcBorders>
            <w:shd w:val="clear" w:color="auto" w:fill="auto"/>
            <w:vAlign w:val="center"/>
          </w:tcPr>
          <w:p w:rsidR="00A5643F" w:rsidRPr="00A75DF9" w:rsidRDefault="00A5643F" w:rsidP="007E466C">
            <w:pPr>
              <w:pStyle w:val="TableText"/>
              <w:keepNext/>
              <w:keepLines/>
              <w:widowControl w:val="0"/>
              <w:rPr>
                <w:rFonts w:ascii="Tahoma" w:hAnsi="Tahoma" w:cs="Tahoma"/>
                <w:sz w:val="13"/>
              </w:rPr>
            </w:pPr>
          </w:p>
        </w:tc>
        <w:tc>
          <w:tcPr>
            <w:tcW w:w="441" w:type="dxa"/>
            <w:gridSpan w:val="2"/>
            <w:tcBorders>
              <w:bottom w:val="single" w:sz="4" w:space="0" w:color="auto"/>
            </w:tcBorders>
            <w:shd w:val="clear" w:color="auto" w:fill="auto"/>
            <w:vAlign w:val="center"/>
          </w:tcPr>
          <w:p w:rsidR="00A5643F" w:rsidRPr="00A75DF9" w:rsidRDefault="00A5643F" w:rsidP="007E466C">
            <w:pPr>
              <w:pStyle w:val="TableText"/>
              <w:keepNext/>
              <w:keepLines/>
              <w:widowControl w:val="0"/>
              <w:rPr>
                <w:rFonts w:ascii="Tahoma" w:hAnsi="Tahoma" w:cs="Tahoma"/>
                <w:sz w:val="13"/>
              </w:rPr>
            </w:pPr>
          </w:p>
        </w:tc>
        <w:tc>
          <w:tcPr>
            <w:tcW w:w="454" w:type="dxa"/>
            <w:gridSpan w:val="2"/>
            <w:tcBorders>
              <w:bottom w:val="single" w:sz="4" w:space="0" w:color="auto"/>
            </w:tcBorders>
            <w:shd w:val="clear" w:color="auto" w:fill="auto"/>
            <w:vAlign w:val="center"/>
          </w:tcPr>
          <w:p w:rsidR="00A5643F" w:rsidRPr="00A75DF9"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A75DF9" w:rsidRDefault="00A5643F" w:rsidP="007E466C">
            <w:pPr>
              <w:pStyle w:val="TableText"/>
              <w:keepNext/>
              <w:keepLines/>
              <w:widowControl w:val="0"/>
              <w:rPr>
                <w:rFonts w:ascii="Tahoma" w:hAnsi="Tahoma" w:cs="Tahoma"/>
                <w:sz w:val="13"/>
              </w:rPr>
            </w:pPr>
          </w:p>
        </w:tc>
        <w:tc>
          <w:tcPr>
            <w:tcW w:w="374" w:type="dxa"/>
            <w:tcBorders>
              <w:bottom w:val="single" w:sz="4" w:space="0" w:color="auto"/>
              <w:right w:val="single" w:sz="18" w:space="0" w:color="auto"/>
            </w:tcBorders>
            <w:shd w:val="clear" w:color="auto" w:fill="auto"/>
            <w:vAlign w:val="center"/>
          </w:tcPr>
          <w:p w:rsidR="00A5643F" w:rsidRPr="00A75DF9" w:rsidRDefault="00A5643F" w:rsidP="007E466C">
            <w:pPr>
              <w:pStyle w:val="TableText"/>
              <w:keepNext/>
              <w:keepLines/>
              <w:widowControl w:val="0"/>
              <w:rPr>
                <w:rFonts w:ascii="Tahoma" w:hAnsi="Tahoma" w:cs="Tahoma"/>
                <w:sz w:val="13"/>
              </w:rPr>
            </w:pPr>
          </w:p>
        </w:tc>
        <w:tc>
          <w:tcPr>
            <w:tcW w:w="455" w:type="dxa"/>
            <w:tcBorders>
              <w:left w:val="single" w:sz="18" w:space="0" w:color="auto"/>
              <w:bottom w:val="single" w:sz="4" w:space="0" w:color="auto"/>
            </w:tcBorders>
            <w:shd w:val="clear" w:color="auto" w:fill="auto"/>
            <w:vAlign w:val="center"/>
          </w:tcPr>
          <w:p w:rsidR="00A5643F" w:rsidRPr="00A75DF9"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A75DF9" w:rsidDel="001265B4" w:rsidRDefault="00A5643F" w:rsidP="007E466C">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A75DF9" w:rsidRDefault="00A5643F"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A75DF9" w:rsidRDefault="00A5643F" w:rsidP="007E466C">
            <w:pPr>
              <w:pStyle w:val="TableText"/>
              <w:keepNext/>
              <w:keepLines/>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A75DF9" w:rsidRDefault="00A5643F" w:rsidP="007E466C">
            <w:pPr>
              <w:pStyle w:val="TableText"/>
              <w:keepNext/>
              <w:keepLines/>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A75DF9" w:rsidRDefault="00A5643F" w:rsidP="007E466C">
            <w:pPr>
              <w:pStyle w:val="TableText"/>
              <w:keepNext/>
              <w:keepLines/>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A75DF9" w:rsidRDefault="00A5643F" w:rsidP="007E466C">
            <w:pPr>
              <w:pStyle w:val="TableText"/>
              <w:keepNext/>
              <w:keepLines/>
              <w:widowControl w:val="0"/>
              <w:rPr>
                <w:rFonts w:ascii="Tahoma" w:hAnsi="Tahoma" w:cs="Tahoma"/>
                <w:sz w:val="13"/>
              </w:rPr>
            </w:pPr>
          </w:p>
        </w:tc>
        <w:tc>
          <w:tcPr>
            <w:tcW w:w="539" w:type="dxa"/>
            <w:tcBorders>
              <w:bottom w:val="single" w:sz="4" w:space="0" w:color="auto"/>
            </w:tcBorders>
            <w:shd w:val="clear" w:color="auto" w:fill="auto"/>
            <w:vAlign w:val="center"/>
          </w:tcPr>
          <w:p w:rsidR="00A5643F" w:rsidRPr="00A75DF9" w:rsidRDefault="00A5643F" w:rsidP="007E466C">
            <w:pPr>
              <w:pStyle w:val="TableText"/>
              <w:keepNext/>
              <w:keepLines/>
              <w:widowControl w:val="0"/>
              <w:rPr>
                <w:rFonts w:ascii="Tahoma" w:hAnsi="Tahoma" w:cs="Tahoma"/>
                <w:sz w:val="13"/>
              </w:rPr>
            </w:pPr>
          </w:p>
        </w:tc>
      </w:tr>
      <w:tr w:rsidR="0084456B" w:rsidRPr="00A75DF9" w:rsidTr="008A1262">
        <w:trPr>
          <w:gridBefore w:val="1"/>
          <w:wBefore w:w="17" w:type="dxa"/>
          <w:trHeight w:val="145"/>
        </w:trPr>
        <w:tc>
          <w:tcPr>
            <w:tcW w:w="2707" w:type="dxa"/>
            <w:tcBorders>
              <w:bottom w:val="single" w:sz="4" w:space="0" w:color="auto"/>
            </w:tcBorders>
            <w:shd w:val="clear" w:color="auto" w:fill="FABF8F"/>
            <w:vAlign w:val="center"/>
          </w:tcPr>
          <w:p w:rsidR="0091195E" w:rsidRPr="00A75DF9" w:rsidRDefault="0091195E" w:rsidP="002E5D03">
            <w:pPr>
              <w:pStyle w:val="Heading2"/>
              <w:spacing w:before="20" w:after="20"/>
              <w:ind w:left="0"/>
              <w:rPr>
                <w:rFonts w:ascii="Tahoma" w:hAnsi="Tahoma" w:cs="Tahoma"/>
                <w:b w:val="0"/>
                <w:sz w:val="14"/>
                <w:szCs w:val="14"/>
              </w:rPr>
            </w:pPr>
            <w:bookmarkStart w:id="558" w:name="_Toc368310148"/>
            <w:r w:rsidRPr="00A75DF9">
              <w:rPr>
                <w:rFonts w:ascii="Tahoma" w:hAnsi="Tahoma" w:cs="Tahoma"/>
                <w:b w:val="0"/>
                <w:sz w:val="14"/>
                <w:szCs w:val="14"/>
              </w:rPr>
              <w:t>Windows Small Business Server 2011 Standard</w:t>
            </w:r>
            <w:bookmarkEnd w:id="558"/>
          </w:p>
        </w:tc>
        <w:tc>
          <w:tcPr>
            <w:tcW w:w="448" w:type="dxa"/>
            <w:tcBorders>
              <w:bottom w:val="single" w:sz="4" w:space="0" w:color="auto"/>
            </w:tcBorders>
            <w:shd w:val="clear" w:color="auto" w:fill="FABF8F"/>
            <w:vAlign w:val="center"/>
          </w:tcPr>
          <w:p w:rsidR="0091195E" w:rsidRPr="00B41377" w:rsidRDefault="00B54770" w:rsidP="00FC0808">
            <w:pPr>
              <w:pStyle w:val="TableText"/>
              <w:widowControl w:val="0"/>
              <w:rPr>
                <w:rFonts w:cs="Tahoma"/>
              </w:rPr>
            </w:pPr>
            <w:hyperlink w:anchor="_114_Windows_Small_1" w:history="1">
              <w:r w:rsidR="00ED1DE2" w:rsidRPr="0003250E">
                <w:rPr>
                  <w:rStyle w:val="Hyperlink"/>
                  <w:rFonts w:cs="Tahoma"/>
                  <w:b/>
                  <w:sz w:val="13"/>
                  <w:szCs w:val="13"/>
                </w:rPr>
                <w:t>11</w:t>
              </w:r>
              <w:r w:rsidR="00ED1DE2" w:rsidRPr="0003250E">
                <w:rPr>
                  <w:rStyle w:val="Hyperlink"/>
                  <w:rFonts w:cs="Tahoma"/>
                </w:rPr>
                <w:t>4</w:t>
              </w:r>
            </w:hyperlink>
          </w:p>
        </w:tc>
        <w:tc>
          <w:tcPr>
            <w:tcW w:w="449" w:type="dxa"/>
            <w:tcBorders>
              <w:bottom w:val="single" w:sz="4" w:space="0" w:color="auto"/>
            </w:tcBorders>
            <w:shd w:val="clear" w:color="auto" w:fill="FABF8F"/>
            <w:vAlign w:val="center"/>
          </w:tcPr>
          <w:p w:rsidR="0091195E" w:rsidRPr="00A75DF9" w:rsidRDefault="0091195E" w:rsidP="00886719">
            <w:pPr>
              <w:pStyle w:val="TableText"/>
              <w:widowControl w:val="0"/>
              <w:spacing w:before="120"/>
              <w:rPr>
                <w:rFonts w:ascii="Tahoma" w:hAnsi="Tahoma" w:cs="Tahoma"/>
                <w:sz w:val="13"/>
              </w:rPr>
            </w:pPr>
          </w:p>
        </w:tc>
        <w:tc>
          <w:tcPr>
            <w:tcW w:w="359" w:type="dxa"/>
            <w:tcBorders>
              <w:bottom w:val="single" w:sz="4" w:space="0" w:color="auto"/>
              <w:right w:val="single" w:sz="18" w:space="0" w:color="auto"/>
            </w:tcBorders>
            <w:shd w:val="clear" w:color="auto" w:fill="FABF8F"/>
            <w:vAlign w:val="center"/>
          </w:tcPr>
          <w:p w:rsidR="0091195E" w:rsidRPr="00A75DF9" w:rsidRDefault="0091195E" w:rsidP="00886719">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FABF8F"/>
            <w:vAlign w:val="center"/>
          </w:tcPr>
          <w:p w:rsidR="0091195E" w:rsidRPr="00A75DF9" w:rsidRDefault="0091195E"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195E" w:rsidRPr="00A75DF9" w:rsidRDefault="0091195E" w:rsidP="00886719">
            <w:pPr>
              <w:pStyle w:val="TableText"/>
              <w:widowControl w:val="0"/>
              <w:rPr>
                <w:rFonts w:ascii="Tahoma" w:hAnsi="Tahoma" w:cs="Tahoma"/>
                <w:sz w:val="13"/>
              </w:rPr>
            </w:pPr>
          </w:p>
        </w:tc>
        <w:tc>
          <w:tcPr>
            <w:tcW w:w="455" w:type="dxa"/>
            <w:tcBorders>
              <w:bottom w:val="single" w:sz="4" w:space="0" w:color="auto"/>
            </w:tcBorders>
            <w:shd w:val="clear" w:color="auto" w:fill="FABF8F"/>
            <w:vAlign w:val="center"/>
          </w:tcPr>
          <w:p w:rsidR="0091195E" w:rsidRPr="00A75DF9" w:rsidRDefault="0091195E" w:rsidP="00886719">
            <w:pPr>
              <w:pStyle w:val="TableText"/>
              <w:widowControl w:val="0"/>
              <w:rPr>
                <w:rFonts w:ascii="Tahoma" w:hAnsi="Tahoma" w:cs="Tahoma"/>
                <w:sz w:val="13"/>
              </w:rPr>
            </w:pPr>
          </w:p>
        </w:tc>
        <w:tc>
          <w:tcPr>
            <w:tcW w:w="441" w:type="dxa"/>
            <w:gridSpan w:val="2"/>
            <w:tcBorders>
              <w:bottom w:val="single" w:sz="4" w:space="0" w:color="auto"/>
            </w:tcBorders>
            <w:shd w:val="clear" w:color="auto" w:fill="FABF8F"/>
            <w:vAlign w:val="center"/>
          </w:tcPr>
          <w:p w:rsidR="0091195E" w:rsidRPr="00A75DF9" w:rsidRDefault="0091195E" w:rsidP="00886719">
            <w:pPr>
              <w:pStyle w:val="TableText"/>
              <w:widowControl w:val="0"/>
              <w:rPr>
                <w:rFonts w:ascii="Tahoma" w:hAnsi="Tahoma" w:cs="Tahoma"/>
                <w:sz w:val="13"/>
              </w:rPr>
            </w:pPr>
          </w:p>
        </w:tc>
        <w:tc>
          <w:tcPr>
            <w:tcW w:w="454" w:type="dxa"/>
            <w:gridSpan w:val="2"/>
            <w:tcBorders>
              <w:bottom w:val="single" w:sz="4" w:space="0" w:color="auto"/>
            </w:tcBorders>
            <w:shd w:val="clear" w:color="auto" w:fill="FABF8F"/>
            <w:vAlign w:val="center"/>
          </w:tcPr>
          <w:p w:rsidR="0091195E" w:rsidRPr="00A75DF9" w:rsidRDefault="0091195E"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195E" w:rsidRPr="00A75DF9" w:rsidRDefault="0091195E" w:rsidP="00886719">
            <w:pPr>
              <w:pStyle w:val="TableText"/>
              <w:widowControl w:val="0"/>
              <w:rPr>
                <w:rFonts w:ascii="Tahoma" w:hAnsi="Tahoma" w:cs="Tahoma"/>
                <w:sz w:val="13"/>
              </w:rPr>
            </w:pPr>
          </w:p>
        </w:tc>
        <w:tc>
          <w:tcPr>
            <w:tcW w:w="374" w:type="dxa"/>
            <w:tcBorders>
              <w:bottom w:val="single" w:sz="4" w:space="0" w:color="auto"/>
              <w:right w:val="single" w:sz="18" w:space="0" w:color="auto"/>
            </w:tcBorders>
            <w:shd w:val="clear" w:color="auto" w:fill="FABF8F"/>
            <w:vAlign w:val="center"/>
          </w:tcPr>
          <w:p w:rsidR="0091195E" w:rsidRPr="00A75DF9" w:rsidRDefault="0091195E" w:rsidP="00886719">
            <w:pPr>
              <w:pStyle w:val="TableText"/>
              <w:widowControl w:val="0"/>
              <w:rPr>
                <w:rFonts w:ascii="Tahoma" w:hAnsi="Tahoma" w:cs="Tahoma"/>
                <w:sz w:val="13"/>
              </w:rPr>
            </w:pPr>
          </w:p>
        </w:tc>
        <w:tc>
          <w:tcPr>
            <w:tcW w:w="455" w:type="dxa"/>
            <w:tcBorders>
              <w:left w:val="single" w:sz="18" w:space="0" w:color="auto"/>
              <w:bottom w:val="single" w:sz="4" w:space="0" w:color="auto"/>
            </w:tcBorders>
            <w:shd w:val="clear" w:color="auto" w:fill="FABF8F"/>
            <w:vAlign w:val="center"/>
          </w:tcPr>
          <w:p w:rsidR="0091195E" w:rsidRPr="00A75DF9" w:rsidRDefault="0091195E" w:rsidP="00886719">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195E" w:rsidRPr="00A75DF9" w:rsidRDefault="0091195E"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195E" w:rsidRPr="00A75DF9" w:rsidRDefault="0091195E"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195E" w:rsidRPr="00A75DF9" w:rsidRDefault="0091195E"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195E" w:rsidRPr="00A75DF9" w:rsidRDefault="0091195E"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195E" w:rsidRPr="00A75DF9" w:rsidRDefault="0091195E" w:rsidP="00886719">
            <w:pPr>
              <w:pStyle w:val="TableText"/>
              <w:widowControl w:val="0"/>
              <w:rPr>
                <w:rFonts w:ascii="Tahoma" w:hAnsi="Tahoma" w:cs="Tahoma"/>
                <w:sz w:val="13"/>
              </w:rPr>
            </w:pPr>
          </w:p>
        </w:tc>
        <w:tc>
          <w:tcPr>
            <w:tcW w:w="450" w:type="dxa"/>
            <w:tcBorders>
              <w:bottom w:val="single" w:sz="4" w:space="0" w:color="auto"/>
            </w:tcBorders>
            <w:shd w:val="clear" w:color="auto" w:fill="FABF8F"/>
          </w:tcPr>
          <w:p w:rsidR="0091195E" w:rsidRPr="00A75DF9" w:rsidRDefault="0091195E" w:rsidP="00886719">
            <w:pPr>
              <w:pStyle w:val="TableText"/>
              <w:widowControl w:val="0"/>
              <w:rPr>
                <w:rFonts w:ascii="Tahoma" w:hAnsi="Tahoma" w:cs="Tahoma"/>
                <w:sz w:val="13"/>
              </w:rPr>
            </w:pPr>
          </w:p>
        </w:tc>
        <w:tc>
          <w:tcPr>
            <w:tcW w:w="539" w:type="dxa"/>
            <w:tcBorders>
              <w:bottom w:val="single" w:sz="4" w:space="0" w:color="auto"/>
            </w:tcBorders>
            <w:shd w:val="clear" w:color="auto" w:fill="FABF8F"/>
            <w:vAlign w:val="center"/>
          </w:tcPr>
          <w:p w:rsidR="0091195E" w:rsidRPr="00A75DF9" w:rsidRDefault="0091195E" w:rsidP="00886719">
            <w:pPr>
              <w:pStyle w:val="TableText"/>
              <w:widowControl w:val="0"/>
              <w:rPr>
                <w:rFonts w:ascii="Tahoma" w:hAnsi="Tahoma" w:cs="Tahoma"/>
                <w:sz w:val="13"/>
              </w:rPr>
            </w:pPr>
          </w:p>
        </w:tc>
      </w:tr>
      <w:tr w:rsidR="00500991" w:rsidRPr="00A75DF9" w:rsidTr="008A1262">
        <w:trPr>
          <w:gridBefore w:val="1"/>
          <w:wBefore w:w="17" w:type="dxa"/>
          <w:trHeight w:val="145"/>
        </w:trPr>
        <w:tc>
          <w:tcPr>
            <w:tcW w:w="2707" w:type="dxa"/>
            <w:tcBorders>
              <w:bottom w:val="single" w:sz="4" w:space="0" w:color="auto"/>
            </w:tcBorders>
            <w:shd w:val="clear" w:color="auto" w:fill="auto"/>
            <w:vAlign w:val="center"/>
          </w:tcPr>
          <w:p w:rsidR="00A5643F" w:rsidRPr="00A75DF9" w:rsidRDefault="00A5643F" w:rsidP="002E5D03">
            <w:pPr>
              <w:pStyle w:val="Heading2"/>
              <w:spacing w:before="20" w:after="20"/>
              <w:ind w:left="0"/>
              <w:rPr>
                <w:rFonts w:ascii="Tahoma" w:hAnsi="Tahoma" w:cs="Tahoma"/>
                <w:b w:val="0"/>
                <w:sz w:val="14"/>
                <w:szCs w:val="14"/>
              </w:rPr>
            </w:pPr>
            <w:bookmarkStart w:id="559" w:name="_Toc336338158"/>
            <w:bookmarkStart w:id="560" w:name="_Toc368310149"/>
            <w:r w:rsidRPr="00A75DF9">
              <w:rPr>
                <w:rFonts w:ascii="Tahoma" w:hAnsi="Tahoma" w:cs="Tahoma"/>
                <w:b w:val="0"/>
                <w:sz w:val="14"/>
                <w:szCs w:val="14"/>
              </w:rPr>
              <w:t>CAL Suite per Windows Small Business Server 2011 (1 client)</w:t>
            </w:r>
            <w:bookmarkEnd w:id="559"/>
            <w:bookmarkEnd w:id="560"/>
          </w:p>
        </w:tc>
        <w:tc>
          <w:tcPr>
            <w:tcW w:w="448" w:type="dxa"/>
            <w:tcBorders>
              <w:bottom w:val="single" w:sz="4" w:space="0" w:color="auto"/>
            </w:tcBorders>
            <w:shd w:val="clear" w:color="auto" w:fill="auto"/>
            <w:vAlign w:val="center"/>
          </w:tcPr>
          <w:p w:rsidR="00A5643F" w:rsidRPr="00B41377" w:rsidRDefault="00B54770" w:rsidP="00FC0808">
            <w:pPr>
              <w:pStyle w:val="TableText"/>
              <w:widowControl w:val="0"/>
              <w:rPr>
                <w:rStyle w:val="EndnoteReference"/>
                <w:rFonts w:cs="Tahoma"/>
                <w:b w:val="0"/>
                <w:color w:val="0000FF"/>
                <w:sz w:val="13"/>
                <w:szCs w:val="13"/>
                <w:u w:val="single"/>
              </w:rPr>
            </w:pPr>
            <w:hyperlink w:anchor="_116_Windows_Small" w:history="1">
              <w:r w:rsidR="00734B17" w:rsidRPr="00B41377">
                <w:rPr>
                  <w:rStyle w:val="Hyperlink"/>
                  <w:rFonts w:cs="Tahoma"/>
                  <w:b/>
                  <w:sz w:val="13"/>
                  <w:szCs w:val="13"/>
                </w:rPr>
                <w:t>115</w:t>
              </w:r>
            </w:hyperlink>
          </w:p>
        </w:tc>
        <w:tc>
          <w:tcPr>
            <w:tcW w:w="449" w:type="dxa"/>
            <w:tcBorders>
              <w:bottom w:val="single" w:sz="4" w:space="0" w:color="auto"/>
            </w:tcBorders>
            <w:shd w:val="clear" w:color="auto" w:fill="auto"/>
            <w:vAlign w:val="center"/>
          </w:tcPr>
          <w:p w:rsidR="00A5643F" w:rsidRPr="00A75DF9" w:rsidRDefault="00A5643F" w:rsidP="00886719">
            <w:pPr>
              <w:pStyle w:val="TableText"/>
              <w:widowControl w:val="0"/>
              <w:spacing w:before="120"/>
              <w:rPr>
                <w:rFonts w:ascii="Tahoma" w:hAnsi="Tahoma" w:cs="Tahoma"/>
                <w:sz w:val="13"/>
              </w:rPr>
            </w:pPr>
            <w:r w:rsidRPr="00A75DF9">
              <w:rPr>
                <w:rFonts w:ascii="Tahoma" w:hAnsi="Tahoma" w:cs="Tahoma"/>
                <w:sz w:val="13"/>
              </w:rPr>
              <w:t>01/11</w:t>
            </w:r>
          </w:p>
        </w:tc>
        <w:tc>
          <w:tcPr>
            <w:tcW w:w="359" w:type="dxa"/>
            <w:tcBorders>
              <w:bottom w:val="single" w:sz="4" w:space="0" w:color="auto"/>
              <w:right w:val="single" w:sz="18" w:space="0" w:color="auto"/>
            </w:tcBorders>
            <w:shd w:val="clear" w:color="auto" w:fill="auto"/>
            <w:vAlign w:val="center"/>
          </w:tcPr>
          <w:p w:rsidR="00A5643F" w:rsidRPr="00A75DF9" w:rsidRDefault="00A5643F" w:rsidP="00886719">
            <w:pPr>
              <w:pStyle w:val="TableText"/>
              <w:widowControl w:val="0"/>
              <w:rPr>
                <w:rFonts w:ascii="Tahoma" w:hAnsi="Tahoma" w:cs="Tahoma"/>
                <w:sz w:val="13"/>
              </w:rPr>
            </w:pPr>
            <w:r w:rsidRPr="00A75DF9">
              <w:rPr>
                <w:rFonts w:ascii="Tahoma" w:hAnsi="Tahoma" w:cs="Tahoma"/>
                <w:sz w:val="13"/>
              </w:rPr>
              <w:t>SRV</w:t>
            </w:r>
          </w:p>
        </w:tc>
        <w:tc>
          <w:tcPr>
            <w:tcW w:w="356" w:type="dxa"/>
            <w:tcBorders>
              <w:left w:val="single" w:sz="18" w:space="0" w:color="auto"/>
              <w:bottom w:val="single" w:sz="4" w:space="0" w:color="auto"/>
            </w:tcBorders>
            <w:shd w:val="clear" w:color="auto" w:fill="auto"/>
            <w:vAlign w:val="center"/>
          </w:tcPr>
          <w:p w:rsidR="00A5643F" w:rsidRPr="00A75DF9"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A75DF9" w:rsidRDefault="00A5643F" w:rsidP="00886719">
            <w:pPr>
              <w:pStyle w:val="TableText"/>
              <w:widowControl w:val="0"/>
              <w:rPr>
                <w:rFonts w:ascii="Tahoma" w:hAnsi="Tahoma" w:cs="Tahoma"/>
                <w:sz w:val="13"/>
              </w:rPr>
            </w:pPr>
          </w:p>
        </w:tc>
        <w:tc>
          <w:tcPr>
            <w:tcW w:w="455" w:type="dxa"/>
            <w:tcBorders>
              <w:bottom w:val="single" w:sz="4" w:space="0" w:color="auto"/>
            </w:tcBorders>
            <w:shd w:val="clear" w:color="auto" w:fill="auto"/>
            <w:vAlign w:val="center"/>
          </w:tcPr>
          <w:p w:rsidR="00A5643F" w:rsidRPr="00A75DF9" w:rsidRDefault="00A5643F" w:rsidP="00886719">
            <w:pPr>
              <w:pStyle w:val="TableText"/>
              <w:widowControl w:val="0"/>
              <w:rPr>
                <w:rFonts w:ascii="Tahoma" w:hAnsi="Tahoma" w:cs="Tahoma"/>
                <w:sz w:val="13"/>
              </w:rPr>
            </w:pPr>
          </w:p>
        </w:tc>
        <w:tc>
          <w:tcPr>
            <w:tcW w:w="441" w:type="dxa"/>
            <w:gridSpan w:val="2"/>
            <w:tcBorders>
              <w:bottom w:val="single" w:sz="4" w:space="0" w:color="auto"/>
            </w:tcBorders>
            <w:shd w:val="clear" w:color="auto" w:fill="auto"/>
            <w:vAlign w:val="center"/>
          </w:tcPr>
          <w:p w:rsidR="00A5643F" w:rsidRPr="00A75DF9" w:rsidRDefault="00A5643F" w:rsidP="00886719">
            <w:pPr>
              <w:pStyle w:val="TableText"/>
              <w:widowControl w:val="0"/>
              <w:rPr>
                <w:rFonts w:ascii="Tahoma" w:hAnsi="Tahoma" w:cs="Tahoma"/>
                <w:sz w:val="13"/>
              </w:rPr>
            </w:pPr>
          </w:p>
        </w:tc>
        <w:tc>
          <w:tcPr>
            <w:tcW w:w="454" w:type="dxa"/>
            <w:gridSpan w:val="2"/>
            <w:tcBorders>
              <w:bottom w:val="single" w:sz="4" w:space="0" w:color="auto"/>
            </w:tcBorders>
            <w:shd w:val="clear" w:color="auto" w:fill="auto"/>
            <w:vAlign w:val="center"/>
          </w:tcPr>
          <w:p w:rsidR="00A5643F" w:rsidRPr="00A75DF9" w:rsidRDefault="00A5643F" w:rsidP="00886719">
            <w:pPr>
              <w:pStyle w:val="TableText"/>
              <w:widowControl w:val="0"/>
              <w:rPr>
                <w:rFonts w:ascii="Tahoma" w:hAnsi="Tahoma" w:cs="Tahoma"/>
                <w:sz w:val="13"/>
              </w:rPr>
            </w:pPr>
          </w:p>
        </w:tc>
        <w:tc>
          <w:tcPr>
            <w:tcW w:w="450" w:type="dxa"/>
            <w:tcBorders>
              <w:bottom w:val="single" w:sz="4" w:space="0" w:color="auto"/>
            </w:tcBorders>
            <w:shd w:val="clear" w:color="auto" w:fill="auto"/>
            <w:vAlign w:val="center"/>
          </w:tcPr>
          <w:p w:rsidR="00A5643F" w:rsidRPr="00A75DF9" w:rsidRDefault="00A5643F" w:rsidP="00886719">
            <w:pPr>
              <w:pStyle w:val="TableText"/>
              <w:widowControl w:val="0"/>
              <w:rPr>
                <w:rFonts w:ascii="Tahoma" w:hAnsi="Tahoma" w:cs="Tahoma"/>
                <w:sz w:val="13"/>
              </w:rPr>
            </w:pPr>
          </w:p>
        </w:tc>
        <w:tc>
          <w:tcPr>
            <w:tcW w:w="374" w:type="dxa"/>
            <w:tcBorders>
              <w:bottom w:val="single" w:sz="4" w:space="0" w:color="auto"/>
              <w:right w:val="single" w:sz="18" w:space="0" w:color="auto"/>
            </w:tcBorders>
            <w:shd w:val="clear" w:color="auto" w:fill="auto"/>
            <w:vAlign w:val="center"/>
          </w:tcPr>
          <w:p w:rsidR="00A5643F" w:rsidRPr="00A75DF9" w:rsidRDefault="00A5643F" w:rsidP="00886719">
            <w:pPr>
              <w:pStyle w:val="TableText"/>
              <w:widowControl w:val="0"/>
              <w:rPr>
                <w:rFonts w:ascii="Tahoma" w:hAnsi="Tahoma" w:cs="Tahoma"/>
                <w:sz w:val="13"/>
              </w:rPr>
            </w:pPr>
          </w:p>
        </w:tc>
        <w:tc>
          <w:tcPr>
            <w:tcW w:w="455" w:type="dxa"/>
            <w:tcBorders>
              <w:left w:val="single" w:sz="18" w:space="0" w:color="auto"/>
              <w:bottom w:val="single" w:sz="4" w:space="0" w:color="auto"/>
            </w:tcBorders>
            <w:shd w:val="clear" w:color="auto" w:fill="auto"/>
            <w:vAlign w:val="center"/>
          </w:tcPr>
          <w:p w:rsidR="00A5643F" w:rsidRPr="00A75DF9" w:rsidRDefault="00A5643F" w:rsidP="00886719">
            <w:pPr>
              <w:pStyle w:val="TableText"/>
              <w:widowControl w:val="0"/>
              <w:rPr>
                <w:rFonts w:ascii="Tahoma" w:hAnsi="Tahoma" w:cs="Tahoma"/>
                <w:sz w:val="13"/>
              </w:rPr>
            </w:pPr>
            <w:r w:rsidRPr="00A75DF9">
              <w:rPr>
                <w:rFonts w:ascii="Tahoma" w:hAnsi="Tahoma" w:cs="Tahoma"/>
                <w:sz w:val="13"/>
              </w:rPr>
              <w:t>1</w:t>
            </w:r>
          </w:p>
        </w:tc>
        <w:tc>
          <w:tcPr>
            <w:tcW w:w="450" w:type="dxa"/>
            <w:tcBorders>
              <w:bottom w:val="single" w:sz="4" w:space="0" w:color="auto"/>
            </w:tcBorders>
            <w:shd w:val="clear" w:color="auto" w:fill="auto"/>
            <w:vAlign w:val="center"/>
          </w:tcPr>
          <w:p w:rsidR="00A5643F" w:rsidRPr="00A75DF9"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A75DF9"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A75DF9" w:rsidRDefault="00A5643F" w:rsidP="00886719">
            <w:pPr>
              <w:pStyle w:val="TableText"/>
              <w:widowControl w:val="0"/>
              <w:rPr>
                <w:rFonts w:ascii="Tahoma" w:hAnsi="Tahoma" w:cs="Tahoma"/>
                <w:sz w:val="13"/>
              </w:rPr>
            </w:pPr>
            <w:r w:rsidRPr="00A75DF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A5643F" w:rsidRPr="00A75DF9"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A75DF9" w:rsidRDefault="00A5643F" w:rsidP="00886719">
            <w:pPr>
              <w:pStyle w:val="TableText"/>
              <w:widowControl w:val="0"/>
              <w:rPr>
                <w:rFonts w:ascii="Tahoma" w:hAnsi="Tahoma" w:cs="Tahoma"/>
                <w:sz w:val="13"/>
              </w:rPr>
            </w:pPr>
            <w:r w:rsidRPr="00A75DF9">
              <w:rPr>
                <w:rFonts w:ascii="Tahoma" w:hAnsi="Tahoma" w:cs="Tahoma"/>
                <w:sz w:val="13"/>
              </w:rPr>
              <w:t>E, P</w:t>
            </w:r>
          </w:p>
        </w:tc>
        <w:tc>
          <w:tcPr>
            <w:tcW w:w="450" w:type="dxa"/>
            <w:tcBorders>
              <w:bottom w:val="single" w:sz="4" w:space="0" w:color="auto"/>
            </w:tcBorders>
            <w:shd w:val="clear" w:color="auto" w:fill="auto"/>
          </w:tcPr>
          <w:p w:rsidR="00A5643F" w:rsidRPr="00A75DF9" w:rsidRDefault="00A5643F" w:rsidP="00886719">
            <w:pPr>
              <w:pStyle w:val="TableText"/>
              <w:widowControl w:val="0"/>
              <w:rPr>
                <w:rFonts w:ascii="Tahoma" w:hAnsi="Tahoma" w:cs="Tahoma"/>
                <w:sz w:val="13"/>
              </w:rPr>
            </w:pPr>
            <w:r w:rsidRPr="00A75DF9">
              <w:rPr>
                <w:rFonts w:ascii="Tahoma" w:hAnsi="Tahoma" w:cs="Tahoma"/>
                <w:sz w:val="13"/>
              </w:rPr>
              <w:t>A, ST</w:t>
            </w:r>
          </w:p>
        </w:tc>
        <w:tc>
          <w:tcPr>
            <w:tcW w:w="539" w:type="dxa"/>
            <w:tcBorders>
              <w:bottom w:val="single" w:sz="4" w:space="0" w:color="auto"/>
            </w:tcBorders>
            <w:shd w:val="clear" w:color="auto" w:fill="auto"/>
            <w:vAlign w:val="center"/>
          </w:tcPr>
          <w:p w:rsidR="00A5643F" w:rsidRPr="00A75DF9" w:rsidRDefault="00A5643F" w:rsidP="00886719">
            <w:pPr>
              <w:pStyle w:val="TableText"/>
              <w:widowControl w:val="0"/>
              <w:rPr>
                <w:rFonts w:ascii="Tahoma" w:hAnsi="Tahoma" w:cs="Tahoma"/>
                <w:sz w:val="13"/>
              </w:rPr>
            </w:pPr>
          </w:p>
        </w:tc>
      </w:tr>
      <w:tr w:rsidR="0084456B" w:rsidRPr="00A75DF9" w:rsidTr="008A1262">
        <w:trPr>
          <w:gridBefore w:val="1"/>
          <w:wBefore w:w="17" w:type="dxa"/>
          <w:trHeight w:val="145"/>
        </w:trPr>
        <w:tc>
          <w:tcPr>
            <w:tcW w:w="2707" w:type="dxa"/>
            <w:tcBorders>
              <w:bottom w:val="single" w:sz="4" w:space="0" w:color="auto"/>
            </w:tcBorders>
            <w:shd w:val="clear" w:color="auto" w:fill="FABF8F"/>
            <w:vAlign w:val="center"/>
          </w:tcPr>
          <w:p w:rsidR="00A5643F" w:rsidRPr="00A75DF9" w:rsidRDefault="00A5643F" w:rsidP="002E5D03">
            <w:pPr>
              <w:pStyle w:val="Heading2"/>
              <w:spacing w:before="20" w:after="20"/>
              <w:ind w:left="0"/>
              <w:rPr>
                <w:rFonts w:ascii="Tahoma" w:hAnsi="Tahoma" w:cs="Tahoma"/>
                <w:b w:val="0"/>
                <w:color w:val="000000"/>
                <w:sz w:val="14"/>
                <w:szCs w:val="14"/>
              </w:rPr>
            </w:pPr>
            <w:bookmarkStart w:id="561" w:name="_Toc336338159"/>
            <w:bookmarkStart w:id="562" w:name="_Toc368310150"/>
            <w:r w:rsidRPr="00A75DF9">
              <w:rPr>
                <w:rFonts w:ascii="Tahoma" w:hAnsi="Tahoma" w:cs="Tahoma"/>
                <w:b w:val="0"/>
                <w:sz w:val="14"/>
                <w:szCs w:val="14"/>
              </w:rPr>
              <w:t>CAL Suite per Windows Small Business Server 2011 (5 client)</w:t>
            </w:r>
            <w:bookmarkEnd w:id="561"/>
            <w:bookmarkEnd w:id="562"/>
          </w:p>
        </w:tc>
        <w:tc>
          <w:tcPr>
            <w:tcW w:w="448" w:type="dxa"/>
            <w:tcBorders>
              <w:bottom w:val="single" w:sz="4" w:space="0" w:color="auto"/>
            </w:tcBorders>
            <w:shd w:val="clear" w:color="auto" w:fill="FABF8F"/>
            <w:vAlign w:val="center"/>
          </w:tcPr>
          <w:p w:rsidR="00A5643F" w:rsidRPr="00B41377" w:rsidRDefault="00B54770" w:rsidP="00FC0808">
            <w:pPr>
              <w:pStyle w:val="TableText"/>
              <w:widowControl w:val="0"/>
              <w:rPr>
                <w:rStyle w:val="EndnoteReference"/>
                <w:rFonts w:cs="Tahoma"/>
                <w:b w:val="0"/>
                <w:sz w:val="13"/>
                <w:szCs w:val="13"/>
                <w:u w:val="single"/>
              </w:rPr>
            </w:pPr>
            <w:hyperlink w:anchor="_116_Windows_Small" w:history="1">
              <w:r w:rsidR="00734B17" w:rsidRPr="00B41377">
                <w:rPr>
                  <w:rStyle w:val="Hyperlink"/>
                  <w:rFonts w:cs="Tahoma"/>
                  <w:b/>
                  <w:sz w:val="13"/>
                  <w:szCs w:val="13"/>
                </w:rPr>
                <w:t>115</w:t>
              </w:r>
            </w:hyperlink>
          </w:p>
        </w:tc>
        <w:tc>
          <w:tcPr>
            <w:tcW w:w="449" w:type="dxa"/>
            <w:tcBorders>
              <w:bottom w:val="single" w:sz="4" w:space="0" w:color="auto"/>
            </w:tcBorders>
            <w:shd w:val="clear" w:color="auto" w:fill="FABF8F"/>
            <w:vAlign w:val="center"/>
          </w:tcPr>
          <w:p w:rsidR="00A5643F" w:rsidRPr="00A75DF9" w:rsidRDefault="00A5643F" w:rsidP="00886719">
            <w:pPr>
              <w:pStyle w:val="TableText"/>
              <w:widowControl w:val="0"/>
              <w:spacing w:before="120"/>
              <w:rPr>
                <w:rFonts w:ascii="Tahoma" w:hAnsi="Tahoma" w:cs="Tahoma"/>
                <w:sz w:val="13"/>
              </w:rPr>
            </w:pPr>
            <w:r w:rsidRPr="00A75DF9">
              <w:rPr>
                <w:rFonts w:ascii="Tahoma" w:hAnsi="Tahoma" w:cs="Tahoma"/>
                <w:sz w:val="13"/>
              </w:rPr>
              <w:t>01/11</w:t>
            </w:r>
          </w:p>
        </w:tc>
        <w:tc>
          <w:tcPr>
            <w:tcW w:w="359" w:type="dxa"/>
            <w:tcBorders>
              <w:bottom w:val="single" w:sz="4" w:space="0" w:color="auto"/>
              <w:right w:val="single" w:sz="18" w:space="0" w:color="auto"/>
            </w:tcBorders>
            <w:shd w:val="clear" w:color="auto" w:fill="FABF8F"/>
            <w:vAlign w:val="center"/>
          </w:tcPr>
          <w:p w:rsidR="00A5643F" w:rsidRPr="00A75DF9" w:rsidRDefault="00A5643F" w:rsidP="00886719">
            <w:pPr>
              <w:pStyle w:val="TableText"/>
              <w:widowControl w:val="0"/>
              <w:rPr>
                <w:rFonts w:ascii="Tahoma" w:hAnsi="Tahoma" w:cs="Tahoma"/>
                <w:sz w:val="13"/>
              </w:rPr>
            </w:pPr>
            <w:r w:rsidRPr="00A75DF9">
              <w:rPr>
                <w:rFonts w:ascii="Tahoma" w:hAnsi="Tahoma" w:cs="Tahoma"/>
                <w:sz w:val="13"/>
              </w:rPr>
              <w:t>SRV</w:t>
            </w:r>
          </w:p>
        </w:tc>
        <w:tc>
          <w:tcPr>
            <w:tcW w:w="356" w:type="dxa"/>
            <w:tcBorders>
              <w:left w:val="single" w:sz="18" w:space="0" w:color="auto"/>
              <w:bottom w:val="single" w:sz="4" w:space="0" w:color="auto"/>
            </w:tcBorders>
            <w:shd w:val="clear" w:color="auto" w:fill="FABF8F"/>
            <w:vAlign w:val="center"/>
          </w:tcPr>
          <w:p w:rsidR="00A5643F" w:rsidRPr="00A75DF9" w:rsidRDefault="00A5643F" w:rsidP="00886719">
            <w:pPr>
              <w:pStyle w:val="TableText"/>
              <w:widowControl w:val="0"/>
              <w:rPr>
                <w:rFonts w:ascii="Tahoma" w:hAnsi="Tahoma" w:cs="Tahoma"/>
                <w:b/>
                <w:color w:val="FF0000"/>
                <w:sz w:val="13"/>
              </w:rPr>
            </w:pPr>
          </w:p>
        </w:tc>
        <w:tc>
          <w:tcPr>
            <w:tcW w:w="450" w:type="dxa"/>
            <w:tcBorders>
              <w:bottom w:val="single" w:sz="4" w:space="0" w:color="auto"/>
            </w:tcBorders>
            <w:shd w:val="clear" w:color="auto" w:fill="FABF8F"/>
            <w:vAlign w:val="center"/>
          </w:tcPr>
          <w:p w:rsidR="00A5643F" w:rsidRPr="00A75DF9" w:rsidRDefault="00A5643F" w:rsidP="00886719">
            <w:pPr>
              <w:pStyle w:val="TableText"/>
              <w:widowControl w:val="0"/>
              <w:rPr>
                <w:rFonts w:ascii="Tahoma" w:hAnsi="Tahoma" w:cs="Tahoma"/>
                <w:b/>
                <w:color w:val="008000"/>
                <w:sz w:val="13"/>
              </w:rPr>
            </w:pPr>
          </w:p>
        </w:tc>
        <w:tc>
          <w:tcPr>
            <w:tcW w:w="455" w:type="dxa"/>
            <w:tcBorders>
              <w:bottom w:val="single" w:sz="4" w:space="0" w:color="auto"/>
            </w:tcBorders>
            <w:shd w:val="clear" w:color="auto" w:fill="FABF8F"/>
            <w:vAlign w:val="center"/>
          </w:tcPr>
          <w:p w:rsidR="00A5643F" w:rsidRPr="00A75DF9" w:rsidRDefault="00A5643F" w:rsidP="00886719">
            <w:pPr>
              <w:pStyle w:val="TableText"/>
              <w:widowControl w:val="0"/>
              <w:rPr>
                <w:rFonts w:ascii="Tahoma" w:hAnsi="Tahoma" w:cs="Tahoma"/>
                <w:b/>
                <w:color w:val="008000"/>
                <w:sz w:val="13"/>
              </w:rPr>
            </w:pPr>
          </w:p>
        </w:tc>
        <w:tc>
          <w:tcPr>
            <w:tcW w:w="441" w:type="dxa"/>
            <w:gridSpan w:val="2"/>
            <w:tcBorders>
              <w:bottom w:val="single" w:sz="4" w:space="0" w:color="auto"/>
            </w:tcBorders>
            <w:shd w:val="clear" w:color="auto" w:fill="FABF8F"/>
            <w:vAlign w:val="center"/>
          </w:tcPr>
          <w:p w:rsidR="00A5643F" w:rsidRPr="00A75DF9" w:rsidRDefault="00A5643F" w:rsidP="00886719">
            <w:pPr>
              <w:pStyle w:val="TableText"/>
              <w:widowControl w:val="0"/>
              <w:rPr>
                <w:rFonts w:ascii="Tahoma" w:hAnsi="Tahoma" w:cs="Tahoma"/>
                <w:b/>
                <w:color w:val="008000"/>
                <w:sz w:val="13"/>
              </w:rPr>
            </w:pPr>
          </w:p>
        </w:tc>
        <w:tc>
          <w:tcPr>
            <w:tcW w:w="454" w:type="dxa"/>
            <w:gridSpan w:val="2"/>
            <w:tcBorders>
              <w:bottom w:val="single" w:sz="4" w:space="0" w:color="auto"/>
            </w:tcBorders>
            <w:shd w:val="clear" w:color="auto" w:fill="FABF8F"/>
            <w:vAlign w:val="center"/>
          </w:tcPr>
          <w:p w:rsidR="00A5643F" w:rsidRPr="00A75DF9" w:rsidRDefault="00A5643F" w:rsidP="00886719">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rsidR="00A5643F" w:rsidRPr="00A75DF9" w:rsidRDefault="00A5643F" w:rsidP="00886719">
            <w:pPr>
              <w:pStyle w:val="TableText"/>
              <w:widowControl w:val="0"/>
              <w:rPr>
                <w:rFonts w:ascii="Tahoma" w:hAnsi="Tahoma" w:cs="Tahoma"/>
                <w:b/>
                <w:color w:val="0000FF"/>
                <w:sz w:val="13"/>
              </w:rPr>
            </w:pPr>
          </w:p>
        </w:tc>
        <w:tc>
          <w:tcPr>
            <w:tcW w:w="374" w:type="dxa"/>
            <w:tcBorders>
              <w:bottom w:val="single" w:sz="4" w:space="0" w:color="auto"/>
              <w:right w:val="single" w:sz="18" w:space="0" w:color="auto"/>
            </w:tcBorders>
            <w:shd w:val="clear" w:color="auto" w:fill="FABF8F"/>
            <w:vAlign w:val="center"/>
          </w:tcPr>
          <w:p w:rsidR="00A5643F" w:rsidRPr="00A75DF9" w:rsidRDefault="00A5643F" w:rsidP="00886719">
            <w:pPr>
              <w:pStyle w:val="TableText"/>
              <w:widowControl w:val="0"/>
              <w:rPr>
                <w:rFonts w:ascii="Tahoma" w:hAnsi="Tahoma" w:cs="Tahoma"/>
                <w:b/>
                <w:color w:val="0000FF"/>
                <w:sz w:val="13"/>
              </w:rPr>
            </w:pPr>
          </w:p>
        </w:tc>
        <w:tc>
          <w:tcPr>
            <w:tcW w:w="455" w:type="dxa"/>
            <w:tcBorders>
              <w:left w:val="single" w:sz="18" w:space="0" w:color="auto"/>
              <w:bottom w:val="single" w:sz="4" w:space="0" w:color="auto"/>
            </w:tcBorders>
            <w:shd w:val="clear" w:color="auto" w:fill="FABF8F"/>
            <w:vAlign w:val="center"/>
          </w:tcPr>
          <w:p w:rsidR="00A5643F" w:rsidRPr="00A75DF9" w:rsidRDefault="00A5643F" w:rsidP="00886719">
            <w:pPr>
              <w:pStyle w:val="TableText"/>
              <w:widowControl w:val="0"/>
              <w:rPr>
                <w:rFonts w:ascii="Tahoma" w:hAnsi="Tahoma" w:cs="Tahoma"/>
                <w:sz w:val="13"/>
              </w:rPr>
            </w:pPr>
            <w:r w:rsidRPr="00A75DF9">
              <w:rPr>
                <w:rFonts w:ascii="Tahoma" w:hAnsi="Tahoma" w:cs="Tahoma"/>
                <w:sz w:val="13"/>
              </w:rPr>
              <w:t>5</w:t>
            </w:r>
          </w:p>
        </w:tc>
        <w:tc>
          <w:tcPr>
            <w:tcW w:w="450" w:type="dxa"/>
            <w:tcBorders>
              <w:bottom w:val="single" w:sz="4" w:space="0" w:color="auto"/>
            </w:tcBorders>
            <w:shd w:val="clear" w:color="auto" w:fill="FABF8F"/>
            <w:vAlign w:val="center"/>
          </w:tcPr>
          <w:p w:rsidR="00A5643F" w:rsidRPr="00A75DF9"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A5643F" w:rsidRPr="00A75DF9"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A5643F" w:rsidRPr="00A75DF9" w:rsidRDefault="00A5643F" w:rsidP="00886719">
            <w:pPr>
              <w:pStyle w:val="TableText"/>
              <w:widowControl w:val="0"/>
              <w:rPr>
                <w:rFonts w:ascii="Tahoma" w:hAnsi="Tahoma" w:cs="Tahoma"/>
                <w:sz w:val="13"/>
              </w:rPr>
            </w:pPr>
            <w:r w:rsidRPr="00A75DF9">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A75DF9"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A75DF9" w:rsidRDefault="00A5643F" w:rsidP="00886719">
            <w:pPr>
              <w:pStyle w:val="TableText"/>
              <w:widowControl w:val="0"/>
              <w:rPr>
                <w:rFonts w:ascii="Tahoma" w:hAnsi="Tahoma" w:cs="Tahoma"/>
                <w:sz w:val="13"/>
              </w:rPr>
            </w:pPr>
            <w:r w:rsidRPr="00A75DF9">
              <w:rPr>
                <w:rFonts w:ascii="Tahoma" w:hAnsi="Tahoma" w:cs="Tahoma"/>
                <w:sz w:val="13"/>
              </w:rPr>
              <w:t>P</w:t>
            </w:r>
          </w:p>
        </w:tc>
        <w:tc>
          <w:tcPr>
            <w:tcW w:w="450" w:type="dxa"/>
            <w:tcBorders>
              <w:bottom w:val="single" w:sz="4" w:space="0" w:color="auto"/>
            </w:tcBorders>
            <w:shd w:val="clear" w:color="auto" w:fill="FABF8F"/>
          </w:tcPr>
          <w:p w:rsidR="00A5643F" w:rsidRPr="00A75DF9" w:rsidRDefault="00A5643F" w:rsidP="00886719">
            <w:pPr>
              <w:pStyle w:val="TableText"/>
              <w:widowControl w:val="0"/>
              <w:rPr>
                <w:rFonts w:ascii="Tahoma" w:hAnsi="Tahoma" w:cs="Tahoma"/>
                <w:sz w:val="13"/>
              </w:rPr>
            </w:pPr>
            <w:r w:rsidRPr="00A75DF9">
              <w:rPr>
                <w:rFonts w:ascii="Tahoma" w:hAnsi="Tahoma" w:cs="Tahoma"/>
                <w:sz w:val="13"/>
              </w:rPr>
              <w:t>A</w:t>
            </w:r>
          </w:p>
        </w:tc>
        <w:tc>
          <w:tcPr>
            <w:tcW w:w="539" w:type="dxa"/>
            <w:tcBorders>
              <w:bottom w:val="single" w:sz="4" w:space="0" w:color="auto"/>
            </w:tcBorders>
            <w:shd w:val="clear" w:color="auto" w:fill="FABF8F"/>
            <w:vAlign w:val="center"/>
          </w:tcPr>
          <w:p w:rsidR="00A5643F" w:rsidRPr="00A75DF9" w:rsidRDefault="00A5643F" w:rsidP="00886719">
            <w:pPr>
              <w:pStyle w:val="TableText"/>
              <w:widowControl w:val="0"/>
              <w:rPr>
                <w:rFonts w:ascii="Tahoma" w:hAnsi="Tahoma" w:cs="Tahoma"/>
                <w:sz w:val="13"/>
              </w:rPr>
            </w:pPr>
            <w:r w:rsidRPr="00A75DF9">
              <w:rPr>
                <w:rFonts w:ascii="Tahoma" w:hAnsi="Tahoma" w:cs="Tahoma"/>
                <w:color w:val="000000"/>
                <w:sz w:val="13"/>
              </w:rPr>
              <w:t>OL/OV</w:t>
            </w:r>
          </w:p>
        </w:tc>
      </w:tr>
      <w:tr w:rsidR="00500991" w:rsidRPr="00A75DF9" w:rsidTr="008A1262">
        <w:trPr>
          <w:gridBefore w:val="1"/>
          <w:wBefore w:w="17" w:type="dxa"/>
          <w:trHeight w:val="145"/>
        </w:trPr>
        <w:tc>
          <w:tcPr>
            <w:tcW w:w="2707" w:type="dxa"/>
            <w:tcBorders>
              <w:bottom w:val="single" w:sz="4" w:space="0" w:color="auto"/>
            </w:tcBorders>
            <w:shd w:val="clear" w:color="auto" w:fill="auto"/>
          </w:tcPr>
          <w:p w:rsidR="00A5643F" w:rsidRPr="00A75DF9" w:rsidRDefault="00A5643F" w:rsidP="002E5D03">
            <w:pPr>
              <w:pStyle w:val="Heading2"/>
              <w:spacing w:before="20" w:after="20"/>
              <w:ind w:left="0"/>
              <w:rPr>
                <w:rFonts w:ascii="Tahoma" w:hAnsi="Tahoma" w:cs="Tahoma"/>
                <w:b w:val="0"/>
                <w:color w:val="000000"/>
                <w:sz w:val="14"/>
                <w:szCs w:val="14"/>
              </w:rPr>
            </w:pPr>
            <w:bookmarkStart w:id="563" w:name="_Toc336338160"/>
            <w:bookmarkStart w:id="564" w:name="_Toc368310151"/>
            <w:r w:rsidRPr="00A75DF9">
              <w:rPr>
                <w:rFonts w:ascii="Tahoma" w:hAnsi="Tahoma" w:cs="Tahoma"/>
                <w:b w:val="0"/>
                <w:sz w:val="14"/>
                <w:szCs w:val="14"/>
              </w:rPr>
              <w:t>CAL Suite per Windows Small Business Server 2011 (20 client)</w:t>
            </w:r>
            <w:bookmarkEnd w:id="563"/>
            <w:bookmarkEnd w:id="564"/>
            <w:r w:rsidRPr="00A75DF9">
              <w:rPr>
                <w:rFonts w:ascii="Tahoma" w:eastAsia="Times New Roman" w:hAnsi="Tahoma" w:cs="Tahoma"/>
                <w:b w:val="0"/>
                <w:sz w:val="14"/>
                <w:szCs w:val="14"/>
              </w:rPr>
              <w:t xml:space="preserve"> </w:t>
            </w:r>
          </w:p>
        </w:tc>
        <w:tc>
          <w:tcPr>
            <w:tcW w:w="448" w:type="dxa"/>
            <w:tcBorders>
              <w:bottom w:val="single" w:sz="4" w:space="0" w:color="auto"/>
            </w:tcBorders>
            <w:shd w:val="clear" w:color="auto" w:fill="auto"/>
            <w:vAlign w:val="center"/>
          </w:tcPr>
          <w:p w:rsidR="00A5643F" w:rsidRPr="00B41377" w:rsidRDefault="00B54770" w:rsidP="00FC0808">
            <w:pPr>
              <w:pStyle w:val="TableText"/>
              <w:widowControl w:val="0"/>
              <w:rPr>
                <w:rStyle w:val="EndnoteReference"/>
                <w:rFonts w:cs="Tahoma"/>
                <w:b w:val="0"/>
                <w:sz w:val="13"/>
                <w:szCs w:val="13"/>
                <w:u w:val="single"/>
              </w:rPr>
            </w:pPr>
            <w:hyperlink w:anchor="_116_Windows_Small" w:history="1">
              <w:r w:rsidR="00734B17" w:rsidRPr="00B41377">
                <w:rPr>
                  <w:rStyle w:val="Hyperlink"/>
                  <w:rFonts w:cs="Tahoma"/>
                  <w:b/>
                  <w:sz w:val="13"/>
                  <w:szCs w:val="13"/>
                </w:rPr>
                <w:t>115</w:t>
              </w:r>
            </w:hyperlink>
          </w:p>
        </w:tc>
        <w:tc>
          <w:tcPr>
            <w:tcW w:w="449" w:type="dxa"/>
            <w:tcBorders>
              <w:bottom w:val="single" w:sz="4" w:space="0" w:color="auto"/>
            </w:tcBorders>
            <w:shd w:val="clear" w:color="auto" w:fill="auto"/>
            <w:vAlign w:val="center"/>
          </w:tcPr>
          <w:p w:rsidR="00A5643F" w:rsidRPr="00A75DF9" w:rsidRDefault="00A5643F" w:rsidP="00886719">
            <w:pPr>
              <w:pStyle w:val="TableText"/>
              <w:widowControl w:val="0"/>
              <w:spacing w:before="120"/>
              <w:rPr>
                <w:rFonts w:ascii="Tahoma" w:hAnsi="Tahoma" w:cs="Tahoma"/>
                <w:sz w:val="13"/>
              </w:rPr>
            </w:pPr>
            <w:r w:rsidRPr="00A75DF9">
              <w:rPr>
                <w:rFonts w:ascii="Tahoma" w:hAnsi="Tahoma" w:cs="Tahoma"/>
                <w:sz w:val="13"/>
              </w:rPr>
              <w:t>01/11</w:t>
            </w:r>
          </w:p>
        </w:tc>
        <w:tc>
          <w:tcPr>
            <w:tcW w:w="359" w:type="dxa"/>
            <w:tcBorders>
              <w:bottom w:val="single" w:sz="4" w:space="0" w:color="auto"/>
              <w:right w:val="single" w:sz="18" w:space="0" w:color="auto"/>
            </w:tcBorders>
            <w:shd w:val="clear" w:color="auto" w:fill="auto"/>
            <w:vAlign w:val="center"/>
          </w:tcPr>
          <w:p w:rsidR="00A5643F" w:rsidRPr="00A75DF9" w:rsidRDefault="00A5643F" w:rsidP="00886719">
            <w:pPr>
              <w:pStyle w:val="TableText"/>
              <w:widowControl w:val="0"/>
              <w:rPr>
                <w:rFonts w:ascii="Tahoma" w:hAnsi="Tahoma" w:cs="Tahoma"/>
                <w:sz w:val="13"/>
              </w:rPr>
            </w:pPr>
            <w:r w:rsidRPr="00A75DF9">
              <w:rPr>
                <w:rFonts w:ascii="Tahoma" w:hAnsi="Tahoma" w:cs="Tahoma"/>
                <w:sz w:val="13"/>
              </w:rPr>
              <w:t>SRV</w:t>
            </w:r>
          </w:p>
        </w:tc>
        <w:tc>
          <w:tcPr>
            <w:tcW w:w="356" w:type="dxa"/>
            <w:tcBorders>
              <w:left w:val="single" w:sz="18" w:space="0" w:color="auto"/>
              <w:bottom w:val="single" w:sz="4" w:space="0" w:color="auto"/>
            </w:tcBorders>
            <w:shd w:val="clear" w:color="auto" w:fill="auto"/>
            <w:vAlign w:val="center"/>
          </w:tcPr>
          <w:p w:rsidR="00A5643F" w:rsidRPr="00A75DF9" w:rsidRDefault="00A5643F" w:rsidP="00886719">
            <w:pPr>
              <w:pStyle w:val="TableText"/>
              <w:widowControl w:val="0"/>
              <w:rPr>
                <w:rFonts w:ascii="Tahoma" w:hAnsi="Tahoma" w:cs="Tahoma"/>
                <w:b/>
                <w:color w:val="FF0000"/>
                <w:sz w:val="13"/>
              </w:rPr>
            </w:pPr>
          </w:p>
        </w:tc>
        <w:tc>
          <w:tcPr>
            <w:tcW w:w="450" w:type="dxa"/>
            <w:tcBorders>
              <w:bottom w:val="single" w:sz="4" w:space="0" w:color="auto"/>
            </w:tcBorders>
            <w:shd w:val="clear" w:color="auto" w:fill="auto"/>
            <w:vAlign w:val="center"/>
          </w:tcPr>
          <w:p w:rsidR="00A5643F" w:rsidRPr="00A75DF9" w:rsidRDefault="00A5643F" w:rsidP="00886719">
            <w:pPr>
              <w:pStyle w:val="TableText"/>
              <w:widowControl w:val="0"/>
              <w:rPr>
                <w:rFonts w:ascii="Tahoma" w:hAnsi="Tahoma" w:cs="Tahoma"/>
                <w:b/>
                <w:color w:val="008000"/>
                <w:sz w:val="13"/>
              </w:rPr>
            </w:pPr>
          </w:p>
        </w:tc>
        <w:tc>
          <w:tcPr>
            <w:tcW w:w="455" w:type="dxa"/>
            <w:tcBorders>
              <w:bottom w:val="single" w:sz="4" w:space="0" w:color="auto"/>
            </w:tcBorders>
            <w:shd w:val="clear" w:color="auto" w:fill="auto"/>
            <w:vAlign w:val="center"/>
          </w:tcPr>
          <w:p w:rsidR="00A5643F" w:rsidRPr="00A75DF9" w:rsidRDefault="00A5643F" w:rsidP="00886719">
            <w:pPr>
              <w:pStyle w:val="TableText"/>
              <w:widowControl w:val="0"/>
              <w:rPr>
                <w:rFonts w:ascii="Tahoma" w:hAnsi="Tahoma" w:cs="Tahoma"/>
                <w:b/>
                <w:color w:val="008000"/>
                <w:sz w:val="13"/>
              </w:rPr>
            </w:pPr>
          </w:p>
        </w:tc>
        <w:tc>
          <w:tcPr>
            <w:tcW w:w="441" w:type="dxa"/>
            <w:gridSpan w:val="2"/>
            <w:tcBorders>
              <w:bottom w:val="single" w:sz="4" w:space="0" w:color="auto"/>
            </w:tcBorders>
            <w:shd w:val="clear" w:color="auto" w:fill="auto"/>
            <w:vAlign w:val="center"/>
          </w:tcPr>
          <w:p w:rsidR="00A5643F" w:rsidRPr="00A75DF9" w:rsidRDefault="00A5643F" w:rsidP="00886719">
            <w:pPr>
              <w:pStyle w:val="TableText"/>
              <w:widowControl w:val="0"/>
              <w:rPr>
                <w:rFonts w:ascii="Tahoma" w:hAnsi="Tahoma" w:cs="Tahoma"/>
                <w:b/>
                <w:color w:val="008000"/>
                <w:sz w:val="13"/>
              </w:rPr>
            </w:pPr>
          </w:p>
        </w:tc>
        <w:tc>
          <w:tcPr>
            <w:tcW w:w="454" w:type="dxa"/>
            <w:gridSpan w:val="2"/>
            <w:tcBorders>
              <w:bottom w:val="single" w:sz="4" w:space="0" w:color="auto"/>
            </w:tcBorders>
            <w:shd w:val="clear" w:color="auto" w:fill="auto"/>
            <w:vAlign w:val="center"/>
          </w:tcPr>
          <w:p w:rsidR="00A5643F" w:rsidRPr="00A75DF9" w:rsidRDefault="00A5643F" w:rsidP="00886719">
            <w:pPr>
              <w:pStyle w:val="TableText"/>
              <w:widowControl w:val="0"/>
              <w:rPr>
                <w:rFonts w:ascii="Tahoma" w:hAnsi="Tahoma" w:cs="Tahoma"/>
                <w:b/>
                <w:color w:val="0000FF"/>
                <w:sz w:val="13"/>
              </w:rPr>
            </w:pPr>
          </w:p>
        </w:tc>
        <w:tc>
          <w:tcPr>
            <w:tcW w:w="450" w:type="dxa"/>
            <w:tcBorders>
              <w:bottom w:val="single" w:sz="4" w:space="0" w:color="auto"/>
            </w:tcBorders>
            <w:shd w:val="clear" w:color="auto" w:fill="auto"/>
            <w:vAlign w:val="center"/>
          </w:tcPr>
          <w:p w:rsidR="00A5643F" w:rsidRPr="00A75DF9" w:rsidRDefault="00A5643F" w:rsidP="00886719">
            <w:pPr>
              <w:pStyle w:val="TableText"/>
              <w:widowControl w:val="0"/>
              <w:rPr>
                <w:rFonts w:ascii="Tahoma" w:hAnsi="Tahoma" w:cs="Tahoma"/>
                <w:b/>
                <w:color w:val="0000FF"/>
                <w:sz w:val="13"/>
              </w:rPr>
            </w:pPr>
          </w:p>
        </w:tc>
        <w:tc>
          <w:tcPr>
            <w:tcW w:w="374" w:type="dxa"/>
            <w:tcBorders>
              <w:bottom w:val="single" w:sz="4" w:space="0" w:color="auto"/>
              <w:right w:val="single" w:sz="18" w:space="0" w:color="auto"/>
            </w:tcBorders>
            <w:shd w:val="clear" w:color="auto" w:fill="auto"/>
            <w:vAlign w:val="center"/>
          </w:tcPr>
          <w:p w:rsidR="00A5643F" w:rsidRPr="00A75DF9" w:rsidRDefault="00A5643F" w:rsidP="00886719">
            <w:pPr>
              <w:pStyle w:val="TableText"/>
              <w:widowControl w:val="0"/>
              <w:rPr>
                <w:rFonts w:ascii="Tahoma" w:hAnsi="Tahoma" w:cs="Tahoma"/>
                <w:b/>
                <w:color w:val="0000FF"/>
                <w:sz w:val="13"/>
              </w:rPr>
            </w:pPr>
          </w:p>
        </w:tc>
        <w:tc>
          <w:tcPr>
            <w:tcW w:w="455" w:type="dxa"/>
            <w:tcBorders>
              <w:left w:val="single" w:sz="18" w:space="0" w:color="auto"/>
              <w:bottom w:val="single" w:sz="4" w:space="0" w:color="auto"/>
            </w:tcBorders>
            <w:shd w:val="clear" w:color="auto" w:fill="auto"/>
            <w:vAlign w:val="center"/>
          </w:tcPr>
          <w:p w:rsidR="00A5643F" w:rsidRPr="00A75DF9" w:rsidRDefault="00A5643F" w:rsidP="00886719">
            <w:pPr>
              <w:pStyle w:val="TableText"/>
              <w:widowControl w:val="0"/>
              <w:rPr>
                <w:rFonts w:ascii="Tahoma" w:hAnsi="Tahoma" w:cs="Tahoma"/>
                <w:sz w:val="13"/>
              </w:rPr>
            </w:pPr>
            <w:r w:rsidRPr="00A75DF9">
              <w:rPr>
                <w:rFonts w:ascii="Tahoma" w:hAnsi="Tahoma" w:cs="Tahoma"/>
                <w:sz w:val="13"/>
              </w:rPr>
              <w:t>25</w:t>
            </w:r>
          </w:p>
        </w:tc>
        <w:tc>
          <w:tcPr>
            <w:tcW w:w="450" w:type="dxa"/>
            <w:tcBorders>
              <w:bottom w:val="single" w:sz="4" w:space="0" w:color="auto"/>
            </w:tcBorders>
            <w:shd w:val="clear" w:color="auto" w:fill="auto"/>
            <w:vAlign w:val="center"/>
          </w:tcPr>
          <w:p w:rsidR="00A5643F" w:rsidRPr="00A75DF9" w:rsidRDefault="00A5643F" w:rsidP="00886719">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A75DF9"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A75DF9" w:rsidRDefault="00A5643F" w:rsidP="00886719">
            <w:pPr>
              <w:pStyle w:val="TableText"/>
              <w:widowControl w:val="0"/>
              <w:rPr>
                <w:rFonts w:ascii="Tahoma" w:hAnsi="Tahoma" w:cs="Tahoma"/>
                <w:sz w:val="13"/>
              </w:rPr>
            </w:pPr>
            <w:r w:rsidRPr="00A75DF9">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A5643F" w:rsidRPr="00A75DF9" w:rsidRDefault="00A5643F" w:rsidP="00886719">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A75DF9" w:rsidRDefault="00A5643F" w:rsidP="00886719">
            <w:pPr>
              <w:pStyle w:val="TableText"/>
              <w:widowControl w:val="0"/>
              <w:rPr>
                <w:rFonts w:ascii="Tahoma" w:hAnsi="Tahoma" w:cs="Tahoma"/>
                <w:sz w:val="13"/>
              </w:rPr>
            </w:pPr>
            <w:r w:rsidRPr="00A75DF9">
              <w:rPr>
                <w:rFonts w:ascii="Tahoma" w:hAnsi="Tahoma" w:cs="Tahoma"/>
                <w:sz w:val="13"/>
              </w:rPr>
              <w:t>P</w:t>
            </w:r>
          </w:p>
        </w:tc>
        <w:tc>
          <w:tcPr>
            <w:tcW w:w="450" w:type="dxa"/>
            <w:tcBorders>
              <w:bottom w:val="single" w:sz="4" w:space="0" w:color="auto"/>
            </w:tcBorders>
            <w:shd w:val="clear" w:color="auto" w:fill="auto"/>
          </w:tcPr>
          <w:p w:rsidR="00A5643F" w:rsidRPr="00A75DF9" w:rsidRDefault="00A5643F" w:rsidP="00886719">
            <w:pPr>
              <w:pStyle w:val="TableText"/>
              <w:widowControl w:val="0"/>
              <w:rPr>
                <w:rFonts w:ascii="Tahoma" w:hAnsi="Tahoma" w:cs="Tahoma"/>
                <w:sz w:val="13"/>
              </w:rPr>
            </w:pPr>
            <w:r w:rsidRPr="00A75DF9">
              <w:rPr>
                <w:rFonts w:ascii="Tahoma" w:hAnsi="Tahoma" w:cs="Tahoma"/>
                <w:sz w:val="13"/>
              </w:rPr>
              <w:t>A</w:t>
            </w:r>
          </w:p>
        </w:tc>
        <w:tc>
          <w:tcPr>
            <w:tcW w:w="539" w:type="dxa"/>
            <w:tcBorders>
              <w:bottom w:val="single" w:sz="4" w:space="0" w:color="auto"/>
            </w:tcBorders>
            <w:shd w:val="clear" w:color="auto" w:fill="auto"/>
            <w:vAlign w:val="center"/>
          </w:tcPr>
          <w:p w:rsidR="00A5643F" w:rsidRPr="00A75DF9" w:rsidRDefault="00A5643F" w:rsidP="00886719">
            <w:pPr>
              <w:pStyle w:val="TableText"/>
              <w:widowControl w:val="0"/>
              <w:rPr>
                <w:rFonts w:ascii="Tahoma" w:hAnsi="Tahoma" w:cs="Tahoma"/>
                <w:sz w:val="13"/>
              </w:rPr>
            </w:pPr>
            <w:r w:rsidRPr="00A75DF9">
              <w:rPr>
                <w:rFonts w:ascii="Tahoma" w:hAnsi="Tahoma" w:cs="Tahoma"/>
                <w:color w:val="000000"/>
                <w:sz w:val="13"/>
              </w:rPr>
              <w:t>OL/OV</w:t>
            </w:r>
          </w:p>
        </w:tc>
      </w:tr>
      <w:tr w:rsidR="0084456B" w:rsidRPr="00A75DF9" w:rsidTr="008A1262">
        <w:trPr>
          <w:gridBefore w:val="1"/>
          <w:wBefore w:w="17" w:type="dxa"/>
          <w:trHeight w:val="145"/>
        </w:trPr>
        <w:tc>
          <w:tcPr>
            <w:tcW w:w="2707" w:type="dxa"/>
            <w:tcBorders>
              <w:bottom w:val="single" w:sz="4" w:space="0" w:color="auto"/>
            </w:tcBorders>
            <w:shd w:val="clear" w:color="auto" w:fill="FABF8F"/>
            <w:vAlign w:val="center"/>
          </w:tcPr>
          <w:p w:rsidR="0091195E" w:rsidRPr="00A75DF9" w:rsidRDefault="0091195E" w:rsidP="002E5D03">
            <w:pPr>
              <w:pStyle w:val="Heading2"/>
              <w:spacing w:before="20" w:after="20"/>
              <w:ind w:left="0"/>
              <w:rPr>
                <w:rFonts w:ascii="Tahoma" w:hAnsi="Tahoma" w:cs="Tahoma"/>
                <w:b w:val="0"/>
                <w:sz w:val="14"/>
                <w:szCs w:val="14"/>
              </w:rPr>
            </w:pPr>
            <w:bookmarkStart w:id="565" w:name="_Toc368310152"/>
            <w:r w:rsidRPr="00A75DF9">
              <w:rPr>
                <w:rFonts w:ascii="Tahoma" w:hAnsi="Tahoma" w:cs="Tahoma"/>
                <w:b w:val="0"/>
                <w:sz w:val="14"/>
                <w:szCs w:val="14"/>
              </w:rPr>
              <w:t>Premium Add-on per Windows Small Business Server 2011</w:t>
            </w:r>
            <w:bookmarkEnd w:id="565"/>
          </w:p>
        </w:tc>
        <w:tc>
          <w:tcPr>
            <w:tcW w:w="448" w:type="dxa"/>
            <w:tcBorders>
              <w:bottom w:val="single" w:sz="4" w:space="0" w:color="auto"/>
            </w:tcBorders>
            <w:shd w:val="clear" w:color="auto" w:fill="FABF8F"/>
            <w:vAlign w:val="center"/>
          </w:tcPr>
          <w:p w:rsidR="0091195E" w:rsidRPr="00B41377" w:rsidRDefault="00B54770" w:rsidP="0091195E">
            <w:pPr>
              <w:pStyle w:val="TableText"/>
              <w:widowControl w:val="0"/>
              <w:rPr>
                <w:rFonts w:cs="Tahoma"/>
              </w:rPr>
            </w:pPr>
            <w:hyperlink w:anchor="_116_Premium_Add-on" w:history="1">
              <w:r w:rsidR="00734B17" w:rsidRPr="00B41377">
                <w:rPr>
                  <w:rStyle w:val="Hyperlink"/>
                  <w:rFonts w:cs="Tahoma"/>
                  <w:b/>
                  <w:sz w:val="13"/>
                  <w:szCs w:val="13"/>
                </w:rPr>
                <w:t>116</w:t>
              </w:r>
            </w:hyperlink>
          </w:p>
        </w:tc>
        <w:tc>
          <w:tcPr>
            <w:tcW w:w="449" w:type="dxa"/>
            <w:tcBorders>
              <w:bottom w:val="single" w:sz="4" w:space="0" w:color="auto"/>
            </w:tcBorders>
            <w:shd w:val="clear" w:color="auto" w:fill="FABF8F"/>
          </w:tcPr>
          <w:p w:rsidR="0091195E" w:rsidRPr="00A75DF9" w:rsidRDefault="0091195E">
            <w:pPr>
              <w:pStyle w:val="TableText"/>
              <w:widowControl w:val="0"/>
              <w:spacing w:before="120"/>
              <w:rPr>
                <w:rFonts w:ascii="Tahoma" w:hAnsi="Tahoma" w:cs="Tahoma"/>
                <w:sz w:val="13"/>
              </w:rPr>
            </w:pPr>
          </w:p>
        </w:tc>
        <w:tc>
          <w:tcPr>
            <w:tcW w:w="359" w:type="dxa"/>
            <w:tcBorders>
              <w:bottom w:val="single" w:sz="4" w:space="0" w:color="auto"/>
              <w:right w:val="single" w:sz="18" w:space="0" w:color="auto"/>
            </w:tcBorders>
            <w:shd w:val="clear" w:color="auto" w:fill="FABF8F"/>
            <w:vAlign w:val="center"/>
          </w:tcPr>
          <w:p w:rsidR="0091195E" w:rsidRPr="00A75DF9" w:rsidRDefault="0091195E">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FABF8F"/>
            <w:vAlign w:val="center"/>
          </w:tcPr>
          <w:p w:rsidR="0091195E" w:rsidRPr="00A75DF9" w:rsidRDefault="0091195E">
            <w:pPr>
              <w:pStyle w:val="TableText"/>
              <w:widowControl w:val="0"/>
              <w:rPr>
                <w:rFonts w:ascii="Tahoma" w:hAnsi="Tahoma" w:cs="Tahoma"/>
                <w:b/>
                <w:color w:val="FF0000"/>
                <w:sz w:val="13"/>
              </w:rPr>
            </w:pPr>
          </w:p>
        </w:tc>
        <w:tc>
          <w:tcPr>
            <w:tcW w:w="450" w:type="dxa"/>
            <w:tcBorders>
              <w:bottom w:val="single" w:sz="4" w:space="0" w:color="auto"/>
            </w:tcBorders>
            <w:shd w:val="clear" w:color="auto" w:fill="FABF8F"/>
            <w:vAlign w:val="center"/>
          </w:tcPr>
          <w:p w:rsidR="0091195E" w:rsidRPr="00A75DF9" w:rsidRDefault="0091195E">
            <w:pPr>
              <w:pStyle w:val="TableText"/>
              <w:widowControl w:val="0"/>
              <w:rPr>
                <w:rFonts w:ascii="Tahoma" w:hAnsi="Tahoma" w:cs="Tahoma"/>
                <w:b/>
                <w:color w:val="008000"/>
                <w:sz w:val="13"/>
              </w:rPr>
            </w:pPr>
          </w:p>
        </w:tc>
        <w:tc>
          <w:tcPr>
            <w:tcW w:w="455" w:type="dxa"/>
            <w:tcBorders>
              <w:bottom w:val="single" w:sz="4" w:space="0" w:color="auto"/>
            </w:tcBorders>
            <w:shd w:val="clear" w:color="auto" w:fill="FABF8F"/>
            <w:vAlign w:val="center"/>
          </w:tcPr>
          <w:p w:rsidR="0091195E" w:rsidRPr="00A75DF9" w:rsidRDefault="0091195E">
            <w:pPr>
              <w:pStyle w:val="TableText"/>
              <w:widowControl w:val="0"/>
              <w:rPr>
                <w:rFonts w:ascii="Tahoma" w:hAnsi="Tahoma" w:cs="Tahoma"/>
                <w:b/>
                <w:color w:val="008000"/>
                <w:sz w:val="13"/>
              </w:rPr>
            </w:pPr>
          </w:p>
        </w:tc>
        <w:tc>
          <w:tcPr>
            <w:tcW w:w="441" w:type="dxa"/>
            <w:gridSpan w:val="2"/>
            <w:tcBorders>
              <w:bottom w:val="single" w:sz="4" w:space="0" w:color="auto"/>
            </w:tcBorders>
            <w:shd w:val="clear" w:color="auto" w:fill="FABF8F"/>
            <w:vAlign w:val="center"/>
          </w:tcPr>
          <w:p w:rsidR="0091195E" w:rsidRPr="00A75DF9" w:rsidRDefault="0091195E">
            <w:pPr>
              <w:pStyle w:val="TableText"/>
              <w:widowControl w:val="0"/>
              <w:rPr>
                <w:rFonts w:ascii="Tahoma" w:hAnsi="Tahoma" w:cs="Tahoma"/>
                <w:b/>
                <w:color w:val="008000"/>
                <w:sz w:val="13"/>
              </w:rPr>
            </w:pPr>
          </w:p>
        </w:tc>
        <w:tc>
          <w:tcPr>
            <w:tcW w:w="454" w:type="dxa"/>
            <w:gridSpan w:val="2"/>
            <w:tcBorders>
              <w:bottom w:val="single" w:sz="4" w:space="0" w:color="auto"/>
            </w:tcBorders>
            <w:shd w:val="clear" w:color="auto" w:fill="FABF8F"/>
            <w:vAlign w:val="center"/>
          </w:tcPr>
          <w:p w:rsidR="0091195E" w:rsidRPr="00A75DF9" w:rsidRDefault="0091195E">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rsidR="0091195E" w:rsidRPr="00A75DF9" w:rsidRDefault="0091195E">
            <w:pPr>
              <w:pStyle w:val="TableText"/>
              <w:widowControl w:val="0"/>
              <w:rPr>
                <w:rFonts w:ascii="Tahoma" w:hAnsi="Tahoma" w:cs="Tahoma"/>
                <w:b/>
                <w:color w:val="0000FF"/>
                <w:sz w:val="13"/>
              </w:rPr>
            </w:pPr>
          </w:p>
        </w:tc>
        <w:tc>
          <w:tcPr>
            <w:tcW w:w="374" w:type="dxa"/>
            <w:tcBorders>
              <w:bottom w:val="single" w:sz="4" w:space="0" w:color="auto"/>
              <w:right w:val="single" w:sz="18" w:space="0" w:color="auto"/>
            </w:tcBorders>
            <w:shd w:val="clear" w:color="auto" w:fill="FABF8F"/>
            <w:vAlign w:val="center"/>
          </w:tcPr>
          <w:p w:rsidR="0091195E" w:rsidRPr="00A75DF9" w:rsidRDefault="0091195E">
            <w:pPr>
              <w:pStyle w:val="TableText"/>
              <w:widowControl w:val="0"/>
              <w:rPr>
                <w:rFonts w:ascii="Tahoma" w:hAnsi="Tahoma" w:cs="Tahoma"/>
                <w:b/>
                <w:color w:val="0000FF"/>
                <w:sz w:val="13"/>
              </w:rPr>
            </w:pPr>
          </w:p>
        </w:tc>
        <w:tc>
          <w:tcPr>
            <w:tcW w:w="455" w:type="dxa"/>
            <w:tcBorders>
              <w:left w:val="single" w:sz="18" w:space="0" w:color="auto"/>
              <w:bottom w:val="single" w:sz="4" w:space="0" w:color="auto"/>
            </w:tcBorders>
            <w:shd w:val="clear" w:color="auto" w:fill="FABF8F"/>
            <w:vAlign w:val="center"/>
          </w:tcPr>
          <w:p w:rsidR="0091195E" w:rsidRPr="00A75DF9" w:rsidRDefault="0091195E">
            <w:pPr>
              <w:pStyle w:val="TableText"/>
              <w:widowControl w:val="0"/>
              <w:rPr>
                <w:rFonts w:ascii="Tahoma" w:hAnsi="Tahoma" w:cs="Tahoma"/>
                <w:sz w:val="13"/>
              </w:rPr>
            </w:pPr>
          </w:p>
        </w:tc>
        <w:tc>
          <w:tcPr>
            <w:tcW w:w="450" w:type="dxa"/>
            <w:tcBorders>
              <w:bottom w:val="single" w:sz="4" w:space="0" w:color="auto"/>
            </w:tcBorders>
            <w:shd w:val="clear" w:color="auto" w:fill="FABF8F"/>
            <w:vAlign w:val="center"/>
          </w:tcPr>
          <w:p w:rsidR="0091195E" w:rsidRPr="00A75DF9" w:rsidRDefault="0091195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195E" w:rsidRPr="00A75DF9" w:rsidRDefault="0091195E">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91195E" w:rsidRPr="00A75DF9" w:rsidRDefault="0091195E">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91195E" w:rsidRPr="00A75DF9" w:rsidRDefault="0091195E">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91195E" w:rsidRPr="00A75DF9" w:rsidRDefault="0091195E">
            <w:pPr>
              <w:pStyle w:val="TableText"/>
              <w:widowControl w:val="0"/>
              <w:rPr>
                <w:rFonts w:ascii="Tahoma" w:hAnsi="Tahoma" w:cs="Tahoma"/>
                <w:sz w:val="13"/>
              </w:rPr>
            </w:pPr>
          </w:p>
        </w:tc>
        <w:tc>
          <w:tcPr>
            <w:tcW w:w="450" w:type="dxa"/>
            <w:tcBorders>
              <w:bottom w:val="single" w:sz="4" w:space="0" w:color="auto"/>
            </w:tcBorders>
            <w:shd w:val="clear" w:color="auto" w:fill="FABF8F"/>
          </w:tcPr>
          <w:p w:rsidR="0091195E" w:rsidRPr="00A75DF9" w:rsidRDefault="0091195E">
            <w:pPr>
              <w:pStyle w:val="TableText"/>
              <w:widowControl w:val="0"/>
              <w:rPr>
                <w:rFonts w:ascii="Tahoma" w:hAnsi="Tahoma" w:cs="Tahoma"/>
                <w:sz w:val="13"/>
              </w:rPr>
            </w:pPr>
          </w:p>
        </w:tc>
        <w:tc>
          <w:tcPr>
            <w:tcW w:w="539" w:type="dxa"/>
            <w:tcBorders>
              <w:bottom w:val="single" w:sz="4" w:space="0" w:color="auto"/>
            </w:tcBorders>
            <w:shd w:val="clear" w:color="auto" w:fill="FABF8F"/>
            <w:vAlign w:val="center"/>
          </w:tcPr>
          <w:p w:rsidR="0091195E" w:rsidRPr="00A75DF9" w:rsidRDefault="0091195E">
            <w:pPr>
              <w:pStyle w:val="TableText"/>
              <w:widowControl w:val="0"/>
              <w:rPr>
                <w:rFonts w:ascii="Tahoma" w:hAnsi="Tahoma" w:cs="Tahoma"/>
                <w:sz w:val="13"/>
              </w:rPr>
            </w:pPr>
          </w:p>
        </w:tc>
      </w:tr>
      <w:tr w:rsidR="00A5643F" w:rsidRPr="00A75DF9" w:rsidTr="008A1262">
        <w:trPr>
          <w:gridBefore w:val="1"/>
          <w:wBefore w:w="17" w:type="dxa"/>
          <w:trHeight w:val="145"/>
        </w:trPr>
        <w:tc>
          <w:tcPr>
            <w:tcW w:w="2707" w:type="dxa"/>
            <w:tcBorders>
              <w:bottom w:val="single" w:sz="4" w:space="0" w:color="auto"/>
            </w:tcBorders>
            <w:shd w:val="clear" w:color="auto" w:fill="auto"/>
            <w:vAlign w:val="center"/>
          </w:tcPr>
          <w:p w:rsidR="00A5643F" w:rsidRPr="00A75DF9" w:rsidRDefault="00A5643F" w:rsidP="002E5D03">
            <w:pPr>
              <w:pStyle w:val="Heading2"/>
              <w:spacing w:before="20" w:after="20"/>
              <w:ind w:left="0"/>
              <w:rPr>
                <w:rFonts w:ascii="Tahoma" w:hAnsi="Tahoma" w:cs="Tahoma"/>
                <w:b w:val="0"/>
                <w:sz w:val="14"/>
                <w:szCs w:val="14"/>
              </w:rPr>
            </w:pPr>
            <w:bookmarkStart w:id="566" w:name="_Toc336338162"/>
            <w:bookmarkStart w:id="567" w:name="_Toc368310153"/>
            <w:r w:rsidRPr="00A75DF9">
              <w:rPr>
                <w:rFonts w:ascii="Tahoma" w:hAnsi="Tahoma" w:cs="Tahoma"/>
                <w:b w:val="0"/>
                <w:sz w:val="14"/>
                <w:szCs w:val="14"/>
              </w:rPr>
              <w:lastRenderedPageBreak/>
              <w:t>Premium Add-on CAL Suite per Windows Small Business Server 2011</w:t>
            </w:r>
            <w:bookmarkEnd w:id="566"/>
            <w:bookmarkEnd w:id="567"/>
            <w:r w:rsidRPr="00A75DF9">
              <w:rPr>
                <w:rFonts w:ascii="Tahoma" w:hAnsi="Tahoma" w:cs="Tahoma"/>
                <w:b w:val="0"/>
                <w:sz w:val="14"/>
                <w:szCs w:val="14"/>
              </w:rPr>
              <w:t xml:space="preserve"> </w:t>
            </w:r>
          </w:p>
        </w:tc>
        <w:tc>
          <w:tcPr>
            <w:tcW w:w="448" w:type="dxa"/>
            <w:tcBorders>
              <w:bottom w:val="single" w:sz="4" w:space="0" w:color="auto"/>
            </w:tcBorders>
            <w:shd w:val="clear" w:color="auto" w:fill="auto"/>
            <w:vAlign w:val="center"/>
          </w:tcPr>
          <w:p w:rsidR="00A5643F" w:rsidRPr="00B41377" w:rsidRDefault="00B54770" w:rsidP="00FC0808">
            <w:pPr>
              <w:pStyle w:val="TableText"/>
              <w:widowControl w:val="0"/>
              <w:rPr>
                <w:rFonts w:cs="Tahoma"/>
                <w:b/>
                <w:sz w:val="13"/>
                <w:szCs w:val="13"/>
                <w:u w:val="single"/>
              </w:rPr>
            </w:pPr>
            <w:hyperlink w:anchor="_124_Windows_Small" w:history="1">
              <w:r w:rsidR="00734B17" w:rsidRPr="00B41377">
                <w:rPr>
                  <w:rStyle w:val="Hyperlink"/>
                  <w:rFonts w:cs="Tahoma"/>
                  <w:b/>
                  <w:sz w:val="13"/>
                  <w:szCs w:val="13"/>
                </w:rPr>
                <w:t>117</w:t>
              </w:r>
            </w:hyperlink>
          </w:p>
        </w:tc>
        <w:tc>
          <w:tcPr>
            <w:tcW w:w="449" w:type="dxa"/>
            <w:tcBorders>
              <w:bottom w:val="single" w:sz="4" w:space="0" w:color="auto"/>
            </w:tcBorders>
            <w:shd w:val="clear" w:color="auto" w:fill="auto"/>
          </w:tcPr>
          <w:p w:rsidR="00A5643F" w:rsidRPr="00A75DF9" w:rsidRDefault="00A5643F">
            <w:pPr>
              <w:pStyle w:val="TableText"/>
              <w:widowControl w:val="0"/>
              <w:spacing w:before="120"/>
              <w:rPr>
                <w:rFonts w:ascii="Tahoma" w:hAnsi="Tahoma" w:cs="Tahoma"/>
                <w:sz w:val="13"/>
              </w:rPr>
            </w:pPr>
            <w:r w:rsidRPr="00A75DF9">
              <w:rPr>
                <w:rFonts w:ascii="Tahoma" w:hAnsi="Tahoma" w:cs="Tahoma"/>
                <w:sz w:val="13"/>
              </w:rPr>
              <w:t>01/11</w:t>
            </w:r>
          </w:p>
        </w:tc>
        <w:tc>
          <w:tcPr>
            <w:tcW w:w="359" w:type="dxa"/>
            <w:tcBorders>
              <w:bottom w:val="single" w:sz="4" w:space="0" w:color="auto"/>
              <w:right w:val="single" w:sz="18" w:space="0" w:color="auto"/>
            </w:tcBorders>
            <w:shd w:val="clear" w:color="auto" w:fill="auto"/>
            <w:vAlign w:val="center"/>
          </w:tcPr>
          <w:p w:rsidR="00A5643F" w:rsidRPr="00A75DF9" w:rsidRDefault="00A5643F">
            <w:pPr>
              <w:pStyle w:val="TableText"/>
              <w:widowControl w:val="0"/>
              <w:rPr>
                <w:rFonts w:ascii="Tahoma" w:hAnsi="Tahoma" w:cs="Tahoma"/>
                <w:sz w:val="13"/>
              </w:rPr>
            </w:pPr>
            <w:r w:rsidRPr="00A75DF9">
              <w:rPr>
                <w:rFonts w:ascii="Tahoma" w:hAnsi="Tahoma" w:cs="Tahoma"/>
                <w:sz w:val="13"/>
              </w:rPr>
              <w:t>SRV</w:t>
            </w:r>
          </w:p>
        </w:tc>
        <w:tc>
          <w:tcPr>
            <w:tcW w:w="356" w:type="dxa"/>
            <w:tcBorders>
              <w:left w:val="single" w:sz="18" w:space="0" w:color="auto"/>
              <w:bottom w:val="single" w:sz="4" w:space="0" w:color="auto"/>
            </w:tcBorders>
            <w:shd w:val="clear" w:color="auto" w:fill="auto"/>
            <w:vAlign w:val="center"/>
          </w:tcPr>
          <w:p w:rsidR="00A5643F" w:rsidRPr="00A75DF9" w:rsidRDefault="00A5643F">
            <w:pPr>
              <w:pStyle w:val="TableText"/>
              <w:widowControl w:val="0"/>
              <w:rPr>
                <w:rFonts w:ascii="Tahoma" w:hAnsi="Tahoma" w:cs="Tahoma"/>
                <w:b/>
                <w:color w:val="FF0000"/>
                <w:sz w:val="13"/>
              </w:rPr>
            </w:pPr>
          </w:p>
        </w:tc>
        <w:tc>
          <w:tcPr>
            <w:tcW w:w="450" w:type="dxa"/>
            <w:tcBorders>
              <w:bottom w:val="single" w:sz="4" w:space="0" w:color="auto"/>
            </w:tcBorders>
            <w:shd w:val="clear" w:color="auto" w:fill="auto"/>
            <w:vAlign w:val="center"/>
          </w:tcPr>
          <w:p w:rsidR="00A5643F" w:rsidRPr="00A75DF9" w:rsidRDefault="00A5643F">
            <w:pPr>
              <w:pStyle w:val="TableText"/>
              <w:widowControl w:val="0"/>
              <w:rPr>
                <w:rFonts w:ascii="Tahoma" w:hAnsi="Tahoma" w:cs="Tahoma"/>
                <w:b/>
                <w:color w:val="008000"/>
                <w:sz w:val="13"/>
              </w:rPr>
            </w:pPr>
          </w:p>
        </w:tc>
        <w:tc>
          <w:tcPr>
            <w:tcW w:w="455" w:type="dxa"/>
            <w:tcBorders>
              <w:bottom w:val="single" w:sz="4" w:space="0" w:color="auto"/>
            </w:tcBorders>
            <w:shd w:val="clear" w:color="auto" w:fill="auto"/>
            <w:vAlign w:val="center"/>
          </w:tcPr>
          <w:p w:rsidR="00A5643F" w:rsidRPr="00A75DF9" w:rsidRDefault="00A5643F">
            <w:pPr>
              <w:pStyle w:val="TableText"/>
              <w:widowControl w:val="0"/>
              <w:rPr>
                <w:rFonts w:ascii="Tahoma" w:hAnsi="Tahoma" w:cs="Tahoma"/>
                <w:b/>
                <w:color w:val="008000"/>
                <w:sz w:val="13"/>
              </w:rPr>
            </w:pPr>
          </w:p>
        </w:tc>
        <w:tc>
          <w:tcPr>
            <w:tcW w:w="441" w:type="dxa"/>
            <w:gridSpan w:val="2"/>
            <w:tcBorders>
              <w:bottom w:val="single" w:sz="4" w:space="0" w:color="auto"/>
            </w:tcBorders>
            <w:shd w:val="clear" w:color="auto" w:fill="auto"/>
            <w:vAlign w:val="center"/>
          </w:tcPr>
          <w:p w:rsidR="00A5643F" w:rsidRPr="00A75DF9" w:rsidRDefault="00A5643F">
            <w:pPr>
              <w:pStyle w:val="TableText"/>
              <w:widowControl w:val="0"/>
              <w:rPr>
                <w:rFonts w:ascii="Tahoma" w:hAnsi="Tahoma" w:cs="Tahoma"/>
                <w:b/>
                <w:color w:val="008000"/>
                <w:sz w:val="13"/>
              </w:rPr>
            </w:pPr>
          </w:p>
        </w:tc>
        <w:tc>
          <w:tcPr>
            <w:tcW w:w="454" w:type="dxa"/>
            <w:gridSpan w:val="2"/>
            <w:tcBorders>
              <w:bottom w:val="single" w:sz="4" w:space="0" w:color="auto"/>
            </w:tcBorders>
            <w:shd w:val="clear" w:color="auto" w:fill="auto"/>
            <w:vAlign w:val="center"/>
          </w:tcPr>
          <w:p w:rsidR="00A5643F" w:rsidRPr="00A75DF9" w:rsidRDefault="00A5643F">
            <w:pPr>
              <w:pStyle w:val="TableText"/>
              <w:widowControl w:val="0"/>
              <w:rPr>
                <w:rFonts w:ascii="Tahoma" w:hAnsi="Tahoma" w:cs="Tahoma"/>
                <w:b/>
                <w:color w:val="0000FF"/>
                <w:sz w:val="13"/>
              </w:rPr>
            </w:pPr>
          </w:p>
        </w:tc>
        <w:tc>
          <w:tcPr>
            <w:tcW w:w="450" w:type="dxa"/>
            <w:tcBorders>
              <w:bottom w:val="single" w:sz="4" w:space="0" w:color="auto"/>
            </w:tcBorders>
            <w:shd w:val="clear" w:color="auto" w:fill="auto"/>
            <w:vAlign w:val="center"/>
          </w:tcPr>
          <w:p w:rsidR="00A5643F" w:rsidRPr="00A75DF9" w:rsidRDefault="00A5643F">
            <w:pPr>
              <w:pStyle w:val="TableText"/>
              <w:widowControl w:val="0"/>
              <w:rPr>
                <w:rFonts w:ascii="Tahoma" w:hAnsi="Tahoma" w:cs="Tahoma"/>
                <w:b/>
                <w:color w:val="0000FF"/>
                <w:sz w:val="13"/>
              </w:rPr>
            </w:pPr>
          </w:p>
        </w:tc>
        <w:tc>
          <w:tcPr>
            <w:tcW w:w="374" w:type="dxa"/>
            <w:tcBorders>
              <w:bottom w:val="single" w:sz="4" w:space="0" w:color="auto"/>
              <w:right w:val="single" w:sz="18" w:space="0" w:color="auto"/>
            </w:tcBorders>
            <w:shd w:val="clear" w:color="auto" w:fill="auto"/>
            <w:vAlign w:val="center"/>
          </w:tcPr>
          <w:p w:rsidR="00A5643F" w:rsidRPr="00A75DF9" w:rsidRDefault="00A5643F">
            <w:pPr>
              <w:pStyle w:val="TableText"/>
              <w:widowControl w:val="0"/>
              <w:rPr>
                <w:rFonts w:ascii="Tahoma" w:hAnsi="Tahoma" w:cs="Tahoma"/>
                <w:b/>
                <w:color w:val="0000FF"/>
                <w:sz w:val="13"/>
              </w:rPr>
            </w:pPr>
          </w:p>
        </w:tc>
        <w:tc>
          <w:tcPr>
            <w:tcW w:w="455" w:type="dxa"/>
            <w:tcBorders>
              <w:left w:val="single" w:sz="18" w:space="0" w:color="auto"/>
              <w:bottom w:val="single" w:sz="4" w:space="0" w:color="auto"/>
            </w:tcBorders>
            <w:shd w:val="clear" w:color="auto" w:fill="auto"/>
            <w:vAlign w:val="center"/>
          </w:tcPr>
          <w:p w:rsidR="00A5643F" w:rsidRPr="00A75DF9" w:rsidRDefault="00A5643F">
            <w:pPr>
              <w:pStyle w:val="TableText"/>
              <w:widowControl w:val="0"/>
              <w:rPr>
                <w:rFonts w:ascii="Tahoma" w:hAnsi="Tahoma" w:cs="Tahoma"/>
                <w:sz w:val="13"/>
              </w:rPr>
            </w:pPr>
            <w:r w:rsidRPr="00A75DF9">
              <w:rPr>
                <w:rFonts w:ascii="Tahoma" w:hAnsi="Tahoma" w:cs="Tahoma"/>
                <w:sz w:val="13"/>
              </w:rPr>
              <w:t>1</w:t>
            </w:r>
          </w:p>
        </w:tc>
        <w:tc>
          <w:tcPr>
            <w:tcW w:w="450" w:type="dxa"/>
            <w:tcBorders>
              <w:bottom w:val="single" w:sz="4" w:space="0" w:color="auto"/>
            </w:tcBorders>
            <w:shd w:val="clear" w:color="auto" w:fill="auto"/>
            <w:vAlign w:val="center"/>
          </w:tcPr>
          <w:p w:rsidR="00A5643F" w:rsidRPr="00A75DF9" w:rsidRDefault="00A5643F">
            <w:pPr>
              <w:pStyle w:val="TableText"/>
              <w:widowControl w:val="0"/>
              <w:rPr>
                <w:rFonts w:ascii="Tahoma" w:hAnsi="Tahoma" w:cs="Tahoma"/>
                <w:sz w:val="13"/>
              </w:rPr>
            </w:pPr>
            <w:r w:rsidRPr="00A75DF9">
              <w:rPr>
                <w:rFonts w:ascii="Tahoma" w:hAnsi="Tahoma" w:cs="Tahoma"/>
                <w:sz w:val="13"/>
              </w:rPr>
              <w:t>2</w:t>
            </w:r>
          </w:p>
        </w:tc>
        <w:tc>
          <w:tcPr>
            <w:tcW w:w="450" w:type="dxa"/>
            <w:tcBorders>
              <w:bottom w:val="single" w:sz="4" w:space="0" w:color="auto"/>
              <w:right w:val="single" w:sz="18" w:space="0" w:color="auto"/>
            </w:tcBorders>
            <w:shd w:val="clear" w:color="auto" w:fill="auto"/>
            <w:vAlign w:val="center"/>
          </w:tcPr>
          <w:p w:rsidR="00A5643F" w:rsidRPr="00A75DF9" w:rsidRDefault="00A5643F">
            <w:pPr>
              <w:pStyle w:val="TableText"/>
              <w:widowControl w:val="0"/>
              <w:rPr>
                <w:rFonts w:ascii="Tahoma" w:hAnsi="Tahoma" w:cs="Tahoma"/>
                <w:sz w:val="13"/>
              </w:rPr>
            </w:pPr>
            <w:r w:rsidRPr="00A75DF9">
              <w:rPr>
                <w:rFonts w:ascii="Tahoma" w:hAnsi="Tahoma" w:cs="Tahoma"/>
                <w:sz w:val="13"/>
              </w:rPr>
              <w:t>1</w:t>
            </w:r>
          </w:p>
        </w:tc>
        <w:tc>
          <w:tcPr>
            <w:tcW w:w="450" w:type="dxa"/>
            <w:tcBorders>
              <w:left w:val="single" w:sz="18" w:space="0" w:color="auto"/>
              <w:bottom w:val="single" w:sz="4" w:space="0" w:color="auto"/>
            </w:tcBorders>
            <w:shd w:val="clear" w:color="auto" w:fill="auto"/>
            <w:vAlign w:val="center"/>
          </w:tcPr>
          <w:p w:rsidR="00A5643F" w:rsidRPr="00A75DF9" w:rsidRDefault="00A5643F">
            <w:pPr>
              <w:pStyle w:val="TableText"/>
              <w:widowControl w:val="0"/>
              <w:rPr>
                <w:rFonts w:ascii="Tahoma" w:hAnsi="Tahoma" w:cs="Tahoma"/>
                <w:sz w:val="13"/>
              </w:rPr>
            </w:pPr>
            <w:r w:rsidRPr="00A75DF9">
              <w:rPr>
                <w:rFonts w:ascii="Tahoma" w:hAnsi="Tahoma" w:cs="Tahoma"/>
                <w:sz w:val="13"/>
              </w:rPr>
              <w:t>1</w:t>
            </w:r>
          </w:p>
        </w:tc>
        <w:tc>
          <w:tcPr>
            <w:tcW w:w="450" w:type="dxa"/>
            <w:tcBorders>
              <w:bottom w:val="single" w:sz="4" w:space="0" w:color="auto"/>
              <w:right w:val="single" w:sz="18" w:space="0" w:color="auto"/>
            </w:tcBorders>
            <w:shd w:val="clear" w:color="auto" w:fill="auto"/>
            <w:vAlign w:val="center"/>
          </w:tcPr>
          <w:p w:rsidR="00A5643F" w:rsidRPr="00A75DF9" w:rsidRDefault="00A5643F">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A75DF9" w:rsidRDefault="00A5643F">
            <w:pPr>
              <w:pStyle w:val="TableText"/>
              <w:widowControl w:val="0"/>
              <w:rPr>
                <w:rFonts w:ascii="Tahoma" w:hAnsi="Tahoma" w:cs="Tahoma"/>
                <w:sz w:val="13"/>
              </w:rPr>
            </w:pPr>
            <w:r w:rsidRPr="00A75DF9">
              <w:rPr>
                <w:rFonts w:ascii="Tahoma" w:hAnsi="Tahoma" w:cs="Tahoma"/>
                <w:sz w:val="13"/>
              </w:rPr>
              <w:t>E, P</w:t>
            </w:r>
          </w:p>
        </w:tc>
        <w:tc>
          <w:tcPr>
            <w:tcW w:w="450" w:type="dxa"/>
            <w:tcBorders>
              <w:bottom w:val="single" w:sz="4" w:space="0" w:color="auto"/>
            </w:tcBorders>
            <w:shd w:val="clear" w:color="auto" w:fill="auto"/>
          </w:tcPr>
          <w:p w:rsidR="00A5643F" w:rsidRPr="00A75DF9" w:rsidRDefault="00A5643F">
            <w:pPr>
              <w:pStyle w:val="TableText"/>
              <w:widowControl w:val="0"/>
              <w:rPr>
                <w:rFonts w:ascii="Tahoma" w:hAnsi="Tahoma" w:cs="Tahoma"/>
                <w:sz w:val="13"/>
              </w:rPr>
            </w:pPr>
            <w:r w:rsidRPr="00A75DF9">
              <w:rPr>
                <w:rFonts w:ascii="Tahoma" w:hAnsi="Tahoma" w:cs="Tahoma"/>
                <w:sz w:val="13"/>
              </w:rPr>
              <w:t>A, ST</w:t>
            </w:r>
          </w:p>
        </w:tc>
        <w:tc>
          <w:tcPr>
            <w:tcW w:w="539" w:type="dxa"/>
            <w:tcBorders>
              <w:bottom w:val="single" w:sz="4" w:space="0" w:color="auto"/>
            </w:tcBorders>
            <w:shd w:val="clear" w:color="auto" w:fill="auto"/>
            <w:vAlign w:val="center"/>
          </w:tcPr>
          <w:p w:rsidR="00A5643F" w:rsidRPr="00A75DF9" w:rsidRDefault="00A5643F">
            <w:pPr>
              <w:pStyle w:val="TableText"/>
              <w:widowControl w:val="0"/>
              <w:rPr>
                <w:rFonts w:ascii="Tahoma" w:hAnsi="Tahoma" w:cs="Tahoma"/>
                <w:sz w:val="13"/>
              </w:rPr>
            </w:pPr>
          </w:p>
        </w:tc>
      </w:tr>
      <w:tr w:rsidR="0084456B" w:rsidRPr="00A75DF9" w:rsidTr="008A1262">
        <w:trPr>
          <w:gridBefore w:val="1"/>
          <w:wBefore w:w="17" w:type="dxa"/>
          <w:trHeight w:val="145"/>
        </w:trPr>
        <w:tc>
          <w:tcPr>
            <w:tcW w:w="2707" w:type="dxa"/>
            <w:tcBorders>
              <w:bottom w:val="single" w:sz="4" w:space="0" w:color="auto"/>
            </w:tcBorders>
            <w:shd w:val="clear" w:color="auto" w:fill="FABF8F"/>
            <w:vAlign w:val="center"/>
          </w:tcPr>
          <w:p w:rsidR="00A5643F" w:rsidRPr="00A75DF9" w:rsidRDefault="00A5643F" w:rsidP="002E5D03">
            <w:pPr>
              <w:pStyle w:val="Heading2"/>
              <w:spacing w:before="20" w:after="20"/>
              <w:ind w:left="0"/>
              <w:rPr>
                <w:rFonts w:ascii="Tahoma" w:hAnsi="Tahoma" w:cs="Tahoma"/>
                <w:b w:val="0"/>
                <w:sz w:val="14"/>
                <w:szCs w:val="14"/>
              </w:rPr>
            </w:pPr>
            <w:bookmarkStart w:id="568" w:name="_Toc336338163"/>
            <w:bookmarkStart w:id="569" w:name="_Toc368310154"/>
            <w:r w:rsidRPr="00A75DF9">
              <w:rPr>
                <w:rFonts w:ascii="Tahoma" w:hAnsi="Tahoma" w:cs="Tahoma"/>
                <w:b w:val="0"/>
                <w:sz w:val="14"/>
                <w:szCs w:val="14"/>
              </w:rPr>
              <w:t>Premium Add-on CAL Suite per Windows Small Business Server 2011 (5 client)</w:t>
            </w:r>
            <w:bookmarkEnd w:id="568"/>
            <w:bookmarkEnd w:id="569"/>
          </w:p>
        </w:tc>
        <w:tc>
          <w:tcPr>
            <w:tcW w:w="448" w:type="dxa"/>
            <w:tcBorders>
              <w:bottom w:val="single" w:sz="4" w:space="0" w:color="auto"/>
            </w:tcBorders>
            <w:shd w:val="clear" w:color="auto" w:fill="FABF8F"/>
            <w:vAlign w:val="center"/>
          </w:tcPr>
          <w:p w:rsidR="00A5643F" w:rsidRPr="00B41377" w:rsidRDefault="00B54770" w:rsidP="0091195E">
            <w:pPr>
              <w:pStyle w:val="TableText"/>
              <w:widowControl w:val="0"/>
              <w:rPr>
                <w:rFonts w:cs="Tahoma"/>
                <w:b/>
                <w:sz w:val="13"/>
                <w:szCs w:val="13"/>
                <w:u w:val="single"/>
              </w:rPr>
            </w:pPr>
            <w:hyperlink w:anchor="_124_Windows_Small" w:history="1">
              <w:r w:rsidR="00734B17" w:rsidRPr="00B41377">
                <w:rPr>
                  <w:rStyle w:val="Hyperlink"/>
                  <w:rFonts w:cs="Tahoma"/>
                  <w:b/>
                  <w:sz w:val="13"/>
                  <w:szCs w:val="13"/>
                </w:rPr>
                <w:t>117</w:t>
              </w:r>
            </w:hyperlink>
          </w:p>
        </w:tc>
        <w:tc>
          <w:tcPr>
            <w:tcW w:w="449" w:type="dxa"/>
            <w:tcBorders>
              <w:bottom w:val="single" w:sz="4" w:space="0" w:color="auto"/>
            </w:tcBorders>
            <w:shd w:val="clear" w:color="auto" w:fill="FABF8F"/>
          </w:tcPr>
          <w:p w:rsidR="00A5643F" w:rsidRPr="00A75DF9" w:rsidRDefault="00A5643F" w:rsidP="00F97D54">
            <w:pPr>
              <w:pStyle w:val="TableText"/>
              <w:widowControl w:val="0"/>
              <w:spacing w:before="120"/>
              <w:rPr>
                <w:rFonts w:ascii="Tahoma" w:hAnsi="Tahoma" w:cs="Tahoma"/>
                <w:sz w:val="13"/>
              </w:rPr>
            </w:pPr>
            <w:r w:rsidRPr="00A75DF9">
              <w:rPr>
                <w:rFonts w:ascii="Tahoma" w:hAnsi="Tahoma" w:cs="Tahoma"/>
                <w:sz w:val="13"/>
              </w:rPr>
              <w:t>01/11</w:t>
            </w:r>
          </w:p>
        </w:tc>
        <w:tc>
          <w:tcPr>
            <w:tcW w:w="359" w:type="dxa"/>
            <w:tcBorders>
              <w:bottom w:val="single" w:sz="4" w:space="0" w:color="auto"/>
              <w:right w:val="single" w:sz="18" w:space="0" w:color="auto"/>
            </w:tcBorders>
            <w:shd w:val="clear" w:color="auto" w:fill="FABF8F"/>
            <w:vAlign w:val="center"/>
          </w:tcPr>
          <w:p w:rsidR="00A5643F" w:rsidRPr="00A75DF9" w:rsidRDefault="00A5643F" w:rsidP="00F97D54">
            <w:pPr>
              <w:pStyle w:val="TableText"/>
              <w:widowControl w:val="0"/>
              <w:rPr>
                <w:rFonts w:ascii="Tahoma" w:hAnsi="Tahoma" w:cs="Tahoma"/>
                <w:sz w:val="13"/>
              </w:rPr>
            </w:pPr>
            <w:r w:rsidRPr="00A75DF9">
              <w:rPr>
                <w:rFonts w:ascii="Tahoma" w:hAnsi="Tahoma" w:cs="Tahoma"/>
                <w:sz w:val="13"/>
              </w:rPr>
              <w:t>SRV</w:t>
            </w:r>
          </w:p>
        </w:tc>
        <w:tc>
          <w:tcPr>
            <w:tcW w:w="356" w:type="dxa"/>
            <w:tcBorders>
              <w:left w:val="single" w:sz="18" w:space="0" w:color="auto"/>
              <w:bottom w:val="single" w:sz="4" w:space="0" w:color="auto"/>
            </w:tcBorders>
            <w:shd w:val="clear" w:color="auto" w:fill="FABF8F"/>
            <w:vAlign w:val="center"/>
          </w:tcPr>
          <w:p w:rsidR="00A5643F" w:rsidRPr="00A75DF9" w:rsidRDefault="00A5643F" w:rsidP="00F97D54">
            <w:pPr>
              <w:pStyle w:val="TableText"/>
              <w:widowControl w:val="0"/>
              <w:rPr>
                <w:rFonts w:ascii="Tahoma" w:hAnsi="Tahoma" w:cs="Tahoma"/>
                <w:b/>
                <w:color w:val="FF0000"/>
                <w:sz w:val="13"/>
              </w:rPr>
            </w:pPr>
          </w:p>
        </w:tc>
        <w:tc>
          <w:tcPr>
            <w:tcW w:w="450" w:type="dxa"/>
            <w:tcBorders>
              <w:bottom w:val="single" w:sz="4" w:space="0" w:color="auto"/>
            </w:tcBorders>
            <w:shd w:val="clear" w:color="auto" w:fill="FABF8F"/>
            <w:vAlign w:val="center"/>
          </w:tcPr>
          <w:p w:rsidR="00A5643F" w:rsidRPr="00A75DF9" w:rsidRDefault="00A5643F" w:rsidP="00F97D54">
            <w:pPr>
              <w:pStyle w:val="TableText"/>
              <w:widowControl w:val="0"/>
              <w:rPr>
                <w:rFonts w:ascii="Tahoma" w:hAnsi="Tahoma" w:cs="Tahoma"/>
                <w:b/>
                <w:color w:val="008000"/>
                <w:sz w:val="13"/>
              </w:rPr>
            </w:pPr>
          </w:p>
        </w:tc>
        <w:tc>
          <w:tcPr>
            <w:tcW w:w="455" w:type="dxa"/>
            <w:tcBorders>
              <w:bottom w:val="single" w:sz="4" w:space="0" w:color="auto"/>
            </w:tcBorders>
            <w:shd w:val="clear" w:color="auto" w:fill="FABF8F"/>
            <w:vAlign w:val="center"/>
          </w:tcPr>
          <w:p w:rsidR="00A5643F" w:rsidRPr="00A75DF9" w:rsidRDefault="00A5643F" w:rsidP="00F97D54">
            <w:pPr>
              <w:pStyle w:val="TableText"/>
              <w:widowControl w:val="0"/>
              <w:rPr>
                <w:rFonts w:ascii="Tahoma" w:hAnsi="Tahoma" w:cs="Tahoma"/>
                <w:b/>
                <w:color w:val="008000"/>
                <w:sz w:val="13"/>
              </w:rPr>
            </w:pPr>
          </w:p>
        </w:tc>
        <w:tc>
          <w:tcPr>
            <w:tcW w:w="441" w:type="dxa"/>
            <w:gridSpan w:val="2"/>
            <w:tcBorders>
              <w:bottom w:val="single" w:sz="4" w:space="0" w:color="auto"/>
            </w:tcBorders>
            <w:shd w:val="clear" w:color="auto" w:fill="FABF8F"/>
            <w:vAlign w:val="center"/>
          </w:tcPr>
          <w:p w:rsidR="00A5643F" w:rsidRPr="00A75DF9" w:rsidRDefault="00A5643F" w:rsidP="00F97D54">
            <w:pPr>
              <w:pStyle w:val="TableText"/>
              <w:widowControl w:val="0"/>
              <w:rPr>
                <w:rFonts w:ascii="Tahoma" w:hAnsi="Tahoma" w:cs="Tahoma"/>
                <w:b/>
                <w:color w:val="008000"/>
                <w:sz w:val="13"/>
              </w:rPr>
            </w:pPr>
          </w:p>
        </w:tc>
        <w:tc>
          <w:tcPr>
            <w:tcW w:w="454" w:type="dxa"/>
            <w:gridSpan w:val="2"/>
            <w:tcBorders>
              <w:bottom w:val="single" w:sz="4" w:space="0" w:color="auto"/>
            </w:tcBorders>
            <w:shd w:val="clear" w:color="auto" w:fill="FABF8F"/>
            <w:vAlign w:val="center"/>
          </w:tcPr>
          <w:p w:rsidR="00A5643F" w:rsidRPr="00A75DF9" w:rsidRDefault="00A5643F"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rsidR="00A5643F" w:rsidRPr="00A75DF9" w:rsidRDefault="00A5643F" w:rsidP="00F97D54">
            <w:pPr>
              <w:pStyle w:val="TableText"/>
              <w:widowControl w:val="0"/>
              <w:rPr>
                <w:rFonts w:ascii="Tahoma" w:hAnsi="Tahoma" w:cs="Tahoma"/>
                <w:b/>
                <w:color w:val="0000FF"/>
                <w:sz w:val="13"/>
              </w:rPr>
            </w:pPr>
          </w:p>
        </w:tc>
        <w:tc>
          <w:tcPr>
            <w:tcW w:w="374" w:type="dxa"/>
            <w:tcBorders>
              <w:bottom w:val="single" w:sz="4" w:space="0" w:color="auto"/>
              <w:right w:val="single" w:sz="18" w:space="0" w:color="auto"/>
            </w:tcBorders>
            <w:shd w:val="clear" w:color="auto" w:fill="FABF8F"/>
            <w:vAlign w:val="center"/>
          </w:tcPr>
          <w:p w:rsidR="00A5643F" w:rsidRPr="00A75DF9" w:rsidRDefault="00A5643F" w:rsidP="00F97D54">
            <w:pPr>
              <w:pStyle w:val="TableText"/>
              <w:widowControl w:val="0"/>
              <w:rPr>
                <w:rFonts w:ascii="Tahoma" w:hAnsi="Tahoma" w:cs="Tahoma"/>
                <w:b/>
                <w:color w:val="0000FF"/>
                <w:sz w:val="13"/>
              </w:rPr>
            </w:pPr>
          </w:p>
        </w:tc>
        <w:tc>
          <w:tcPr>
            <w:tcW w:w="455" w:type="dxa"/>
            <w:tcBorders>
              <w:left w:val="single" w:sz="18" w:space="0" w:color="auto"/>
              <w:bottom w:val="single" w:sz="4" w:space="0" w:color="auto"/>
            </w:tcBorders>
            <w:shd w:val="clear" w:color="auto" w:fill="FABF8F"/>
            <w:vAlign w:val="center"/>
          </w:tcPr>
          <w:p w:rsidR="00A5643F" w:rsidRPr="00A75DF9" w:rsidRDefault="00A5643F" w:rsidP="00F97D54">
            <w:pPr>
              <w:pStyle w:val="TableText"/>
              <w:widowControl w:val="0"/>
              <w:rPr>
                <w:rFonts w:ascii="Tahoma" w:hAnsi="Tahoma" w:cs="Tahoma"/>
                <w:sz w:val="13"/>
              </w:rPr>
            </w:pPr>
            <w:r w:rsidRPr="00A75DF9">
              <w:rPr>
                <w:rFonts w:ascii="Tahoma" w:hAnsi="Tahoma" w:cs="Tahoma"/>
                <w:sz w:val="13"/>
              </w:rPr>
              <w:t>5</w:t>
            </w:r>
          </w:p>
        </w:tc>
        <w:tc>
          <w:tcPr>
            <w:tcW w:w="450" w:type="dxa"/>
            <w:tcBorders>
              <w:bottom w:val="single" w:sz="4" w:space="0" w:color="auto"/>
            </w:tcBorders>
            <w:shd w:val="clear" w:color="auto" w:fill="FABF8F"/>
            <w:vAlign w:val="center"/>
          </w:tcPr>
          <w:p w:rsidR="00A5643F" w:rsidRPr="00A75DF9" w:rsidRDefault="00A5643F" w:rsidP="00F97D54">
            <w:pPr>
              <w:pStyle w:val="TableText"/>
              <w:widowControl w:val="0"/>
              <w:rPr>
                <w:rFonts w:ascii="Tahoma" w:hAnsi="Tahoma" w:cs="Tahoma"/>
                <w:sz w:val="13"/>
              </w:rPr>
            </w:pPr>
            <w:r w:rsidRPr="00A75DF9">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A5643F" w:rsidRPr="00A75DF9" w:rsidRDefault="00A5643F" w:rsidP="00F97D54">
            <w:pPr>
              <w:pStyle w:val="TableText"/>
              <w:widowControl w:val="0"/>
              <w:rPr>
                <w:rFonts w:ascii="Tahoma" w:hAnsi="Tahoma" w:cs="Tahoma"/>
                <w:sz w:val="13"/>
              </w:rPr>
            </w:pPr>
            <w:r w:rsidRPr="00A75DF9">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A5643F" w:rsidRPr="00A75DF9" w:rsidRDefault="00A5643F" w:rsidP="00F97D54">
            <w:pPr>
              <w:pStyle w:val="TableText"/>
              <w:widowControl w:val="0"/>
              <w:rPr>
                <w:rFonts w:ascii="Tahoma" w:hAnsi="Tahoma" w:cs="Tahoma"/>
                <w:sz w:val="13"/>
              </w:rPr>
            </w:pPr>
            <w:r w:rsidRPr="00A75DF9">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A75DF9"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A75DF9" w:rsidRDefault="00A5643F" w:rsidP="00F97D54">
            <w:pPr>
              <w:pStyle w:val="TableText"/>
              <w:widowControl w:val="0"/>
              <w:rPr>
                <w:rFonts w:ascii="Tahoma" w:hAnsi="Tahoma" w:cs="Tahoma"/>
                <w:sz w:val="13"/>
              </w:rPr>
            </w:pPr>
            <w:r w:rsidRPr="00A75DF9">
              <w:rPr>
                <w:rFonts w:ascii="Tahoma" w:hAnsi="Tahoma" w:cs="Tahoma"/>
                <w:sz w:val="13"/>
              </w:rPr>
              <w:t>P</w:t>
            </w:r>
          </w:p>
        </w:tc>
        <w:tc>
          <w:tcPr>
            <w:tcW w:w="450" w:type="dxa"/>
            <w:tcBorders>
              <w:bottom w:val="single" w:sz="4" w:space="0" w:color="auto"/>
            </w:tcBorders>
            <w:shd w:val="clear" w:color="auto" w:fill="FABF8F"/>
          </w:tcPr>
          <w:p w:rsidR="00A5643F" w:rsidRPr="00A75DF9" w:rsidRDefault="00A5643F" w:rsidP="00F97D54">
            <w:pPr>
              <w:pStyle w:val="TableText"/>
              <w:widowControl w:val="0"/>
              <w:rPr>
                <w:rFonts w:ascii="Tahoma" w:hAnsi="Tahoma" w:cs="Tahoma"/>
                <w:sz w:val="13"/>
              </w:rPr>
            </w:pPr>
            <w:r w:rsidRPr="00A75DF9">
              <w:rPr>
                <w:rFonts w:ascii="Tahoma" w:hAnsi="Tahoma" w:cs="Tahoma"/>
                <w:sz w:val="13"/>
              </w:rPr>
              <w:t>A</w:t>
            </w:r>
          </w:p>
        </w:tc>
        <w:tc>
          <w:tcPr>
            <w:tcW w:w="539" w:type="dxa"/>
            <w:tcBorders>
              <w:bottom w:val="single" w:sz="4" w:space="0" w:color="auto"/>
            </w:tcBorders>
            <w:shd w:val="clear" w:color="auto" w:fill="FABF8F"/>
            <w:vAlign w:val="center"/>
          </w:tcPr>
          <w:p w:rsidR="00A5643F" w:rsidRPr="00A75DF9" w:rsidRDefault="00A5643F" w:rsidP="00F97D54">
            <w:pPr>
              <w:pStyle w:val="TableText"/>
              <w:widowControl w:val="0"/>
              <w:rPr>
                <w:rFonts w:ascii="Tahoma" w:hAnsi="Tahoma" w:cs="Tahoma"/>
                <w:sz w:val="13"/>
              </w:rPr>
            </w:pPr>
            <w:r w:rsidRPr="00A75DF9">
              <w:rPr>
                <w:rFonts w:ascii="Tahoma" w:hAnsi="Tahoma" w:cs="Tahoma"/>
                <w:sz w:val="13"/>
              </w:rPr>
              <w:t>OL/OV</w:t>
            </w:r>
          </w:p>
        </w:tc>
      </w:tr>
      <w:tr w:rsidR="00A5643F" w:rsidRPr="00A75DF9" w:rsidTr="008A1262">
        <w:trPr>
          <w:gridBefore w:val="1"/>
          <w:wBefore w:w="17" w:type="dxa"/>
          <w:trHeight w:val="440"/>
        </w:trPr>
        <w:tc>
          <w:tcPr>
            <w:tcW w:w="2707" w:type="dxa"/>
            <w:tcBorders>
              <w:bottom w:val="single" w:sz="4" w:space="0" w:color="auto"/>
            </w:tcBorders>
            <w:shd w:val="clear" w:color="auto" w:fill="auto"/>
            <w:vAlign w:val="center"/>
          </w:tcPr>
          <w:p w:rsidR="00A5643F" w:rsidRPr="00A75DF9" w:rsidRDefault="00A5643F" w:rsidP="002E5D03">
            <w:pPr>
              <w:pStyle w:val="Heading2"/>
              <w:spacing w:before="20" w:after="20"/>
              <w:ind w:left="0"/>
              <w:rPr>
                <w:rFonts w:ascii="Tahoma" w:hAnsi="Tahoma" w:cs="Tahoma"/>
                <w:b w:val="0"/>
                <w:sz w:val="14"/>
                <w:szCs w:val="14"/>
              </w:rPr>
            </w:pPr>
            <w:bookmarkStart w:id="570" w:name="_Toc336338164"/>
            <w:bookmarkStart w:id="571" w:name="_Toc368310155"/>
            <w:r w:rsidRPr="00A75DF9">
              <w:rPr>
                <w:rFonts w:ascii="Tahoma" w:hAnsi="Tahoma" w:cs="Tahoma"/>
                <w:b w:val="0"/>
                <w:sz w:val="14"/>
                <w:szCs w:val="14"/>
              </w:rPr>
              <w:t>Premium Add-on CAL Suite per Windows Small Business Server 2011 (20 client)</w:t>
            </w:r>
            <w:bookmarkEnd w:id="570"/>
            <w:bookmarkEnd w:id="571"/>
          </w:p>
        </w:tc>
        <w:tc>
          <w:tcPr>
            <w:tcW w:w="448" w:type="dxa"/>
            <w:tcBorders>
              <w:bottom w:val="single" w:sz="4" w:space="0" w:color="auto"/>
            </w:tcBorders>
            <w:shd w:val="clear" w:color="auto" w:fill="auto"/>
            <w:vAlign w:val="center"/>
          </w:tcPr>
          <w:p w:rsidR="00A5643F" w:rsidRPr="00B41377" w:rsidRDefault="00B54770" w:rsidP="00FC0808">
            <w:pPr>
              <w:pStyle w:val="TableText"/>
              <w:widowControl w:val="0"/>
              <w:rPr>
                <w:rFonts w:cs="Tahoma"/>
                <w:b/>
                <w:sz w:val="13"/>
                <w:szCs w:val="13"/>
                <w:u w:val="single"/>
              </w:rPr>
            </w:pPr>
            <w:hyperlink w:anchor="_124_Windows_Small" w:history="1">
              <w:r w:rsidR="00734B17" w:rsidRPr="00B41377">
                <w:rPr>
                  <w:rStyle w:val="Hyperlink"/>
                  <w:rFonts w:cs="Tahoma"/>
                  <w:b/>
                  <w:sz w:val="13"/>
                  <w:szCs w:val="13"/>
                </w:rPr>
                <w:t>117</w:t>
              </w:r>
            </w:hyperlink>
          </w:p>
        </w:tc>
        <w:tc>
          <w:tcPr>
            <w:tcW w:w="449" w:type="dxa"/>
            <w:tcBorders>
              <w:bottom w:val="single" w:sz="4" w:space="0" w:color="auto"/>
            </w:tcBorders>
            <w:shd w:val="clear" w:color="auto" w:fill="auto"/>
          </w:tcPr>
          <w:p w:rsidR="00A5643F" w:rsidRPr="00A75DF9" w:rsidRDefault="00A5643F" w:rsidP="00F97D54">
            <w:pPr>
              <w:pStyle w:val="TableText"/>
              <w:widowControl w:val="0"/>
              <w:spacing w:before="120"/>
              <w:rPr>
                <w:rFonts w:ascii="Tahoma" w:hAnsi="Tahoma" w:cs="Tahoma"/>
                <w:sz w:val="13"/>
              </w:rPr>
            </w:pPr>
            <w:r w:rsidRPr="00A75DF9">
              <w:rPr>
                <w:rFonts w:ascii="Tahoma" w:hAnsi="Tahoma" w:cs="Tahoma"/>
                <w:sz w:val="13"/>
              </w:rPr>
              <w:t>01/11</w:t>
            </w:r>
          </w:p>
        </w:tc>
        <w:tc>
          <w:tcPr>
            <w:tcW w:w="359" w:type="dxa"/>
            <w:tcBorders>
              <w:bottom w:val="single" w:sz="4" w:space="0" w:color="auto"/>
              <w:right w:val="single" w:sz="18" w:space="0" w:color="auto"/>
            </w:tcBorders>
            <w:shd w:val="clear" w:color="auto" w:fill="auto"/>
            <w:vAlign w:val="center"/>
          </w:tcPr>
          <w:p w:rsidR="00A5643F" w:rsidRPr="00A75DF9" w:rsidRDefault="00A5643F" w:rsidP="00F97D54">
            <w:pPr>
              <w:pStyle w:val="TableText"/>
              <w:widowControl w:val="0"/>
              <w:rPr>
                <w:rFonts w:ascii="Tahoma" w:hAnsi="Tahoma" w:cs="Tahoma"/>
                <w:sz w:val="13"/>
              </w:rPr>
            </w:pPr>
            <w:r w:rsidRPr="00A75DF9">
              <w:rPr>
                <w:rFonts w:ascii="Tahoma" w:hAnsi="Tahoma" w:cs="Tahoma"/>
                <w:sz w:val="13"/>
              </w:rPr>
              <w:t>SRV</w:t>
            </w:r>
          </w:p>
        </w:tc>
        <w:tc>
          <w:tcPr>
            <w:tcW w:w="356" w:type="dxa"/>
            <w:tcBorders>
              <w:left w:val="single" w:sz="18" w:space="0" w:color="auto"/>
              <w:bottom w:val="single" w:sz="4" w:space="0" w:color="auto"/>
            </w:tcBorders>
            <w:shd w:val="clear" w:color="auto" w:fill="auto"/>
            <w:vAlign w:val="center"/>
          </w:tcPr>
          <w:p w:rsidR="00A5643F" w:rsidRPr="00A75DF9" w:rsidRDefault="00A5643F" w:rsidP="00F97D54">
            <w:pPr>
              <w:pStyle w:val="TableText"/>
              <w:widowControl w:val="0"/>
              <w:rPr>
                <w:rFonts w:ascii="Tahoma" w:hAnsi="Tahoma" w:cs="Tahoma"/>
                <w:b/>
                <w:color w:val="FF0000"/>
                <w:sz w:val="13"/>
              </w:rPr>
            </w:pPr>
          </w:p>
        </w:tc>
        <w:tc>
          <w:tcPr>
            <w:tcW w:w="450" w:type="dxa"/>
            <w:tcBorders>
              <w:bottom w:val="single" w:sz="4" w:space="0" w:color="auto"/>
            </w:tcBorders>
            <w:shd w:val="clear" w:color="auto" w:fill="auto"/>
            <w:vAlign w:val="center"/>
          </w:tcPr>
          <w:p w:rsidR="00A5643F" w:rsidRPr="00A75DF9" w:rsidRDefault="00A5643F" w:rsidP="00F97D54">
            <w:pPr>
              <w:pStyle w:val="TableText"/>
              <w:widowControl w:val="0"/>
              <w:rPr>
                <w:rFonts w:ascii="Tahoma" w:hAnsi="Tahoma" w:cs="Tahoma"/>
                <w:b/>
                <w:color w:val="008000"/>
                <w:sz w:val="13"/>
              </w:rPr>
            </w:pPr>
          </w:p>
        </w:tc>
        <w:tc>
          <w:tcPr>
            <w:tcW w:w="455" w:type="dxa"/>
            <w:tcBorders>
              <w:bottom w:val="single" w:sz="4" w:space="0" w:color="auto"/>
            </w:tcBorders>
            <w:shd w:val="clear" w:color="auto" w:fill="auto"/>
            <w:vAlign w:val="center"/>
          </w:tcPr>
          <w:p w:rsidR="00A5643F" w:rsidRPr="00A75DF9" w:rsidRDefault="00A5643F" w:rsidP="00F97D54">
            <w:pPr>
              <w:pStyle w:val="TableText"/>
              <w:widowControl w:val="0"/>
              <w:rPr>
                <w:rFonts w:ascii="Tahoma" w:hAnsi="Tahoma" w:cs="Tahoma"/>
                <w:b/>
                <w:color w:val="008000"/>
                <w:sz w:val="13"/>
              </w:rPr>
            </w:pPr>
          </w:p>
        </w:tc>
        <w:tc>
          <w:tcPr>
            <w:tcW w:w="441" w:type="dxa"/>
            <w:gridSpan w:val="2"/>
            <w:tcBorders>
              <w:bottom w:val="single" w:sz="4" w:space="0" w:color="auto"/>
            </w:tcBorders>
            <w:shd w:val="clear" w:color="auto" w:fill="auto"/>
            <w:vAlign w:val="center"/>
          </w:tcPr>
          <w:p w:rsidR="00A5643F" w:rsidRPr="00A75DF9" w:rsidRDefault="00A5643F" w:rsidP="00F97D54">
            <w:pPr>
              <w:pStyle w:val="TableText"/>
              <w:widowControl w:val="0"/>
              <w:rPr>
                <w:rFonts w:ascii="Tahoma" w:hAnsi="Tahoma" w:cs="Tahoma"/>
                <w:b/>
                <w:color w:val="008000"/>
                <w:sz w:val="13"/>
              </w:rPr>
            </w:pPr>
          </w:p>
        </w:tc>
        <w:tc>
          <w:tcPr>
            <w:tcW w:w="454" w:type="dxa"/>
            <w:gridSpan w:val="2"/>
            <w:tcBorders>
              <w:bottom w:val="single" w:sz="4" w:space="0" w:color="auto"/>
            </w:tcBorders>
            <w:shd w:val="clear" w:color="auto" w:fill="auto"/>
            <w:vAlign w:val="center"/>
          </w:tcPr>
          <w:p w:rsidR="00A5643F" w:rsidRPr="00A75DF9" w:rsidRDefault="00A5643F"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auto"/>
            <w:vAlign w:val="center"/>
          </w:tcPr>
          <w:p w:rsidR="00A5643F" w:rsidRPr="00A75DF9" w:rsidRDefault="00A5643F" w:rsidP="00F97D54">
            <w:pPr>
              <w:pStyle w:val="TableText"/>
              <w:widowControl w:val="0"/>
              <w:rPr>
                <w:rFonts w:ascii="Tahoma" w:hAnsi="Tahoma" w:cs="Tahoma"/>
                <w:b/>
                <w:color w:val="0000FF"/>
                <w:sz w:val="13"/>
              </w:rPr>
            </w:pPr>
          </w:p>
        </w:tc>
        <w:tc>
          <w:tcPr>
            <w:tcW w:w="374" w:type="dxa"/>
            <w:tcBorders>
              <w:bottom w:val="single" w:sz="4" w:space="0" w:color="auto"/>
              <w:right w:val="single" w:sz="18" w:space="0" w:color="auto"/>
            </w:tcBorders>
            <w:shd w:val="clear" w:color="auto" w:fill="auto"/>
            <w:vAlign w:val="center"/>
          </w:tcPr>
          <w:p w:rsidR="00A5643F" w:rsidRPr="00A75DF9" w:rsidRDefault="00A5643F" w:rsidP="00F97D54">
            <w:pPr>
              <w:pStyle w:val="TableText"/>
              <w:widowControl w:val="0"/>
              <w:rPr>
                <w:rFonts w:ascii="Tahoma" w:hAnsi="Tahoma" w:cs="Tahoma"/>
                <w:b/>
                <w:color w:val="0000FF"/>
                <w:sz w:val="13"/>
              </w:rPr>
            </w:pPr>
          </w:p>
        </w:tc>
        <w:tc>
          <w:tcPr>
            <w:tcW w:w="455" w:type="dxa"/>
            <w:tcBorders>
              <w:left w:val="single" w:sz="18" w:space="0" w:color="auto"/>
              <w:bottom w:val="single" w:sz="4" w:space="0" w:color="auto"/>
            </w:tcBorders>
            <w:shd w:val="clear" w:color="auto" w:fill="auto"/>
            <w:vAlign w:val="center"/>
          </w:tcPr>
          <w:p w:rsidR="00A5643F" w:rsidRPr="00A75DF9" w:rsidRDefault="00A5643F" w:rsidP="00F97D54">
            <w:pPr>
              <w:pStyle w:val="TableText"/>
              <w:widowControl w:val="0"/>
              <w:rPr>
                <w:rFonts w:ascii="Tahoma" w:hAnsi="Tahoma" w:cs="Tahoma"/>
                <w:sz w:val="13"/>
              </w:rPr>
            </w:pPr>
            <w:r w:rsidRPr="00A75DF9">
              <w:rPr>
                <w:rFonts w:ascii="Tahoma" w:hAnsi="Tahoma" w:cs="Tahoma"/>
                <w:sz w:val="13"/>
              </w:rPr>
              <w:t>25</w:t>
            </w:r>
          </w:p>
        </w:tc>
        <w:tc>
          <w:tcPr>
            <w:tcW w:w="450" w:type="dxa"/>
            <w:tcBorders>
              <w:bottom w:val="single" w:sz="4" w:space="0" w:color="auto"/>
            </w:tcBorders>
            <w:shd w:val="clear" w:color="auto" w:fill="auto"/>
            <w:vAlign w:val="center"/>
          </w:tcPr>
          <w:p w:rsidR="00A5643F" w:rsidRPr="00A75DF9" w:rsidRDefault="00A5643F" w:rsidP="00F97D54">
            <w:pPr>
              <w:pStyle w:val="TableText"/>
              <w:widowControl w:val="0"/>
              <w:rPr>
                <w:rFonts w:ascii="Tahoma" w:hAnsi="Tahoma" w:cs="Tahoma"/>
                <w:sz w:val="13"/>
              </w:rPr>
            </w:pPr>
            <w:r w:rsidRPr="00A75DF9">
              <w:rPr>
                <w:rFonts w:ascii="Tahoma" w:hAnsi="Tahoma" w:cs="Tahoma"/>
                <w:sz w:val="13"/>
              </w:rPr>
              <w:t>50</w:t>
            </w:r>
          </w:p>
        </w:tc>
        <w:tc>
          <w:tcPr>
            <w:tcW w:w="450" w:type="dxa"/>
            <w:tcBorders>
              <w:bottom w:val="single" w:sz="4" w:space="0" w:color="auto"/>
              <w:right w:val="single" w:sz="18" w:space="0" w:color="auto"/>
            </w:tcBorders>
            <w:shd w:val="clear" w:color="auto" w:fill="auto"/>
            <w:vAlign w:val="center"/>
          </w:tcPr>
          <w:p w:rsidR="00A5643F" w:rsidRPr="00A75DF9" w:rsidRDefault="00A5643F" w:rsidP="00F97D54">
            <w:pPr>
              <w:pStyle w:val="TableText"/>
              <w:widowControl w:val="0"/>
              <w:rPr>
                <w:rFonts w:ascii="Tahoma" w:hAnsi="Tahoma" w:cs="Tahoma"/>
                <w:sz w:val="13"/>
              </w:rPr>
            </w:pPr>
            <w:r w:rsidRPr="00A75DF9">
              <w:rPr>
                <w:rFonts w:ascii="Tahoma" w:hAnsi="Tahoma" w:cs="Tahoma"/>
                <w:sz w:val="13"/>
              </w:rPr>
              <w:t>25</w:t>
            </w:r>
          </w:p>
        </w:tc>
        <w:tc>
          <w:tcPr>
            <w:tcW w:w="450" w:type="dxa"/>
            <w:tcBorders>
              <w:left w:val="single" w:sz="18" w:space="0" w:color="auto"/>
              <w:bottom w:val="single" w:sz="4" w:space="0" w:color="auto"/>
            </w:tcBorders>
            <w:shd w:val="clear" w:color="auto" w:fill="auto"/>
            <w:vAlign w:val="center"/>
          </w:tcPr>
          <w:p w:rsidR="00A5643F" w:rsidRPr="00A75DF9" w:rsidRDefault="00A5643F" w:rsidP="00F97D54">
            <w:pPr>
              <w:pStyle w:val="TableText"/>
              <w:widowControl w:val="0"/>
              <w:rPr>
                <w:rFonts w:ascii="Tahoma" w:hAnsi="Tahoma" w:cs="Tahoma"/>
                <w:sz w:val="13"/>
              </w:rPr>
            </w:pPr>
            <w:r w:rsidRPr="00A75DF9">
              <w:rPr>
                <w:rFonts w:ascii="Tahoma" w:hAnsi="Tahoma" w:cs="Tahoma"/>
                <w:sz w:val="13"/>
              </w:rPr>
              <w:t>25</w:t>
            </w:r>
          </w:p>
        </w:tc>
        <w:tc>
          <w:tcPr>
            <w:tcW w:w="450" w:type="dxa"/>
            <w:tcBorders>
              <w:bottom w:val="single" w:sz="4" w:space="0" w:color="auto"/>
              <w:right w:val="single" w:sz="18" w:space="0" w:color="auto"/>
            </w:tcBorders>
            <w:shd w:val="clear" w:color="auto" w:fill="auto"/>
            <w:vAlign w:val="center"/>
          </w:tcPr>
          <w:p w:rsidR="00A5643F" w:rsidRPr="00A75DF9"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A75DF9" w:rsidRDefault="00A5643F" w:rsidP="00F97D54">
            <w:pPr>
              <w:pStyle w:val="TableText"/>
              <w:widowControl w:val="0"/>
              <w:rPr>
                <w:rFonts w:ascii="Tahoma" w:hAnsi="Tahoma" w:cs="Tahoma"/>
                <w:sz w:val="13"/>
              </w:rPr>
            </w:pPr>
            <w:r w:rsidRPr="00A75DF9">
              <w:rPr>
                <w:rFonts w:ascii="Tahoma" w:hAnsi="Tahoma" w:cs="Tahoma"/>
                <w:sz w:val="13"/>
              </w:rPr>
              <w:t>P</w:t>
            </w:r>
          </w:p>
        </w:tc>
        <w:tc>
          <w:tcPr>
            <w:tcW w:w="450" w:type="dxa"/>
            <w:tcBorders>
              <w:bottom w:val="single" w:sz="4" w:space="0" w:color="auto"/>
            </w:tcBorders>
            <w:shd w:val="clear" w:color="auto" w:fill="auto"/>
          </w:tcPr>
          <w:p w:rsidR="00A5643F" w:rsidRPr="00A75DF9" w:rsidRDefault="00A5643F" w:rsidP="00F97D54">
            <w:pPr>
              <w:pStyle w:val="TableText"/>
              <w:widowControl w:val="0"/>
              <w:rPr>
                <w:rFonts w:ascii="Tahoma" w:hAnsi="Tahoma" w:cs="Tahoma"/>
                <w:sz w:val="13"/>
              </w:rPr>
            </w:pPr>
            <w:r w:rsidRPr="00A75DF9">
              <w:rPr>
                <w:rFonts w:ascii="Tahoma" w:hAnsi="Tahoma" w:cs="Tahoma"/>
                <w:sz w:val="13"/>
              </w:rPr>
              <w:t>A</w:t>
            </w:r>
          </w:p>
        </w:tc>
        <w:tc>
          <w:tcPr>
            <w:tcW w:w="539" w:type="dxa"/>
            <w:tcBorders>
              <w:bottom w:val="single" w:sz="4" w:space="0" w:color="auto"/>
            </w:tcBorders>
            <w:shd w:val="clear" w:color="auto" w:fill="auto"/>
            <w:vAlign w:val="center"/>
          </w:tcPr>
          <w:p w:rsidR="00A5643F" w:rsidRPr="00A75DF9" w:rsidRDefault="00A5643F" w:rsidP="00F97D54">
            <w:pPr>
              <w:pStyle w:val="TableText"/>
              <w:widowControl w:val="0"/>
              <w:rPr>
                <w:rFonts w:ascii="Tahoma" w:hAnsi="Tahoma" w:cs="Tahoma"/>
                <w:sz w:val="13"/>
              </w:rPr>
            </w:pPr>
            <w:r w:rsidRPr="00A75DF9">
              <w:rPr>
                <w:rFonts w:ascii="Tahoma" w:hAnsi="Tahoma" w:cs="Tahoma"/>
                <w:color w:val="000000"/>
                <w:sz w:val="13"/>
              </w:rPr>
              <w:t>OL/OV</w:t>
            </w:r>
          </w:p>
        </w:tc>
      </w:tr>
      <w:tr w:rsidR="0084456B" w:rsidRPr="00A75DF9" w:rsidTr="008A1262">
        <w:trPr>
          <w:gridBefore w:val="1"/>
          <w:wBefore w:w="17" w:type="dxa"/>
          <w:trHeight w:val="233"/>
        </w:trPr>
        <w:tc>
          <w:tcPr>
            <w:tcW w:w="2707" w:type="dxa"/>
            <w:tcBorders>
              <w:bottom w:val="single" w:sz="4" w:space="0" w:color="auto"/>
            </w:tcBorders>
            <w:shd w:val="clear" w:color="auto" w:fill="FABF8F"/>
            <w:vAlign w:val="center"/>
          </w:tcPr>
          <w:p w:rsidR="00A5643F" w:rsidRPr="00A75DF9" w:rsidRDefault="00A5643F" w:rsidP="002E5D03">
            <w:pPr>
              <w:pStyle w:val="Heading2"/>
              <w:spacing w:before="20" w:after="20"/>
              <w:ind w:left="0"/>
              <w:rPr>
                <w:rFonts w:ascii="Tahoma" w:hAnsi="Tahoma" w:cs="Tahoma"/>
                <w:b w:val="0"/>
                <w:sz w:val="14"/>
                <w:szCs w:val="14"/>
              </w:rPr>
            </w:pPr>
            <w:bookmarkStart w:id="572" w:name="_Toc336338165"/>
            <w:bookmarkStart w:id="573" w:name="_Toc368310156"/>
            <w:r w:rsidRPr="00A75DF9">
              <w:rPr>
                <w:rFonts w:ascii="Tahoma" w:hAnsi="Tahoma" w:cs="Tahoma"/>
                <w:b w:val="0"/>
                <w:sz w:val="14"/>
                <w:szCs w:val="14"/>
              </w:rPr>
              <w:t>Windows Server Essentials 2012</w:t>
            </w:r>
            <w:bookmarkEnd w:id="572"/>
            <w:bookmarkEnd w:id="573"/>
          </w:p>
        </w:tc>
        <w:tc>
          <w:tcPr>
            <w:tcW w:w="448" w:type="dxa"/>
            <w:tcBorders>
              <w:bottom w:val="single" w:sz="4" w:space="0" w:color="auto"/>
            </w:tcBorders>
            <w:shd w:val="clear" w:color="auto" w:fill="FABF8F"/>
            <w:vAlign w:val="center"/>
          </w:tcPr>
          <w:p w:rsidR="00A5643F" w:rsidRPr="00B41377" w:rsidRDefault="00A5643F" w:rsidP="0059600B">
            <w:pPr>
              <w:pStyle w:val="TableText"/>
              <w:widowControl w:val="0"/>
              <w:rPr>
                <w:rFonts w:cs="Tahoma"/>
                <w:b/>
                <w:sz w:val="13"/>
                <w:szCs w:val="13"/>
                <w:u w:val="single"/>
              </w:rPr>
            </w:pPr>
          </w:p>
        </w:tc>
        <w:tc>
          <w:tcPr>
            <w:tcW w:w="449" w:type="dxa"/>
            <w:tcBorders>
              <w:bottom w:val="single" w:sz="4" w:space="0" w:color="auto"/>
            </w:tcBorders>
            <w:shd w:val="clear" w:color="auto" w:fill="FABF8F"/>
          </w:tcPr>
          <w:p w:rsidR="00A5643F" w:rsidRPr="00A75DF9" w:rsidRDefault="00A5643F" w:rsidP="00F97D54">
            <w:pPr>
              <w:pStyle w:val="TableText"/>
              <w:widowControl w:val="0"/>
              <w:spacing w:before="120"/>
              <w:rPr>
                <w:rFonts w:ascii="Tahoma" w:hAnsi="Tahoma" w:cs="Tahoma"/>
                <w:sz w:val="13"/>
              </w:rPr>
            </w:pPr>
            <w:r w:rsidRPr="00A75DF9">
              <w:rPr>
                <w:rFonts w:ascii="Tahoma" w:hAnsi="Tahoma" w:cs="Tahoma"/>
                <w:sz w:val="13"/>
              </w:rPr>
              <w:t>11/12</w:t>
            </w:r>
          </w:p>
        </w:tc>
        <w:tc>
          <w:tcPr>
            <w:tcW w:w="359" w:type="dxa"/>
            <w:tcBorders>
              <w:bottom w:val="single" w:sz="4" w:space="0" w:color="auto"/>
              <w:right w:val="single" w:sz="18" w:space="0" w:color="auto"/>
            </w:tcBorders>
            <w:shd w:val="clear" w:color="auto" w:fill="FABF8F"/>
            <w:vAlign w:val="center"/>
          </w:tcPr>
          <w:p w:rsidR="00A5643F" w:rsidRPr="00A75DF9" w:rsidRDefault="00A5643F" w:rsidP="00F97D54">
            <w:pPr>
              <w:pStyle w:val="TableText"/>
              <w:widowControl w:val="0"/>
              <w:rPr>
                <w:rFonts w:ascii="Tahoma" w:hAnsi="Tahoma" w:cs="Tahoma"/>
                <w:sz w:val="13"/>
              </w:rPr>
            </w:pPr>
          </w:p>
        </w:tc>
        <w:tc>
          <w:tcPr>
            <w:tcW w:w="356" w:type="dxa"/>
            <w:tcBorders>
              <w:left w:val="single" w:sz="18" w:space="0" w:color="auto"/>
              <w:bottom w:val="single" w:sz="4" w:space="0" w:color="auto"/>
            </w:tcBorders>
            <w:shd w:val="clear" w:color="auto" w:fill="FABF8F"/>
            <w:vAlign w:val="center"/>
          </w:tcPr>
          <w:p w:rsidR="00A5643F" w:rsidRPr="00A75DF9" w:rsidRDefault="00A5643F" w:rsidP="00F97D54">
            <w:pPr>
              <w:pStyle w:val="TableText"/>
              <w:widowControl w:val="0"/>
              <w:rPr>
                <w:rFonts w:ascii="Tahoma" w:hAnsi="Tahoma" w:cs="Tahoma"/>
                <w:b/>
                <w:color w:val="FF0000"/>
                <w:sz w:val="13"/>
              </w:rPr>
            </w:pPr>
          </w:p>
        </w:tc>
        <w:tc>
          <w:tcPr>
            <w:tcW w:w="450" w:type="dxa"/>
            <w:tcBorders>
              <w:bottom w:val="single" w:sz="4" w:space="0" w:color="auto"/>
            </w:tcBorders>
            <w:shd w:val="clear" w:color="auto" w:fill="FABF8F"/>
            <w:vAlign w:val="center"/>
          </w:tcPr>
          <w:p w:rsidR="00A5643F" w:rsidRPr="00A75DF9" w:rsidRDefault="00A5643F" w:rsidP="00F97D54">
            <w:pPr>
              <w:pStyle w:val="TableText"/>
              <w:widowControl w:val="0"/>
              <w:rPr>
                <w:rFonts w:ascii="Tahoma" w:hAnsi="Tahoma" w:cs="Tahoma"/>
                <w:b/>
                <w:color w:val="008000"/>
                <w:sz w:val="13"/>
              </w:rPr>
            </w:pPr>
          </w:p>
        </w:tc>
        <w:tc>
          <w:tcPr>
            <w:tcW w:w="455" w:type="dxa"/>
            <w:tcBorders>
              <w:bottom w:val="single" w:sz="4" w:space="0" w:color="auto"/>
            </w:tcBorders>
            <w:shd w:val="clear" w:color="auto" w:fill="FABF8F"/>
            <w:vAlign w:val="center"/>
          </w:tcPr>
          <w:p w:rsidR="00A5643F" w:rsidRPr="00A75DF9" w:rsidRDefault="00A5643F" w:rsidP="00F97D54">
            <w:pPr>
              <w:pStyle w:val="TableText"/>
              <w:widowControl w:val="0"/>
              <w:rPr>
                <w:rFonts w:ascii="Tahoma" w:hAnsi="Tahoma" w:cs="Tahoma"/>
                <w:b/>
                <w:color w:val="008000"/>
                <w:sz w:val="13"/>
              </w:rPr>
            </w:pPr>
          </w:p>
        </w:tc>
        <w:tc>
          <w:tcPr>
            <w:tcW w:w="441" w:type="dxa"/>
            <w:gridSpan w:val="2"/>
            <w:tcBorders>
              <w:bottom w:val="single" w:sz="4" w:space="0" w:color="auto"/>
            </w:tcBorders>
            <w:shd w:val="clear" w:color="auto" w:fill="FABF8F"/>
            <w:vAlign w:val="center"/>
          </w:tcPr>
          <w:p w:rsidR="00A5643F" w:rsidRPr="00A75DF9" w:rsidRDefault="00A5643F" w:rsidP="00F97D54">
            <w:pPr>
              <w:pStyle w:val="TableText"/>
              <w:widowControl w:val="0"/>
              <w:rPr>
                <w:rFonts w:ascii="Tahoma" w:hAnsi="Tahoma" w:cs="Tahoma"/>
                <w:b/>
                <w:color w:val="008000"/>
                <w:sz w:val="13"/>
              </w:rPr>
            </w:pPr>
          </w:p>
        </w:tc>
        <w:tc>
          <w:tcPr>
            <w:tcW w:w="454" w:type="dxa"/>
            <w:gridSpan w:val="2"/>
            <w:tcBorders>
              <w:bottom w:val="single" w:sz="4" w:space="0" w:color="auto"/>
            </w:tcBorders>
            <w:shd w:val="clear" w:color="auto" w:fill="FABF8F"/>
            <w:vAlign w:val="center"/>
          </w:tcPr>
          <w:p w:rsidR="00A5643F" w:rsidRPr="00A75DF9" w:rsidRDefault="00A5643F" w:rsidP="00F97D54">
            <w:pPr>
              <w:pStyle w:val="TableText"/>
              <w:widowControl w:val="0"/>
              <w:rPr>
                <w:rFonts w:ascii="Tahoma" w:hAnsi="Tahoma" w:cs="Tahoma"/>
                <w:b/>
                <w:color w:val="0000FF"/>
                <w:sz w:val="13"/>
              </w:rPr>
            </w:pPr>
          </w:p>
        </w:tc>
        <w:tc>
          <w:tcPr>
            <w:tcW w:w="450" w:type="dxa"/>
            <w:tcBorders>
              <w:bottom w:val="single" w:sz="4" w:space="0" w:color="auto"/>
            </w:tcBorders>
            <w:shd w:val="clear" w:color="auto" w:fill="FABF8F"/>
            <w:vAlign w:val="center"/>
          </w:tcPr>
          <w:p w:rsidR="00A5643F" w:rsidRPr="00A75DF9" w:rsidRDefault="00A5643F" w:rsidP="00F97D54">
            <w:pPr>
              <w:pStyle w:val="TableText"/>
              <w:widowControl w:val="0"/>
              <w:rPr>
                <w:rFonts w:ascii="Tahoma" w:hAnsi="Tahoma" w:cs="Tahoma"/>
                <w:b/>
                <w:color w:val="0000FF"/>
                <w:sz w:val="13"/>
              </w:rPr>
            </w:pPr>
          </w:p>
        </w:tc>
        <w:tc>
          <w:tcPr>
            <w:tcW w:w="374" w:type="dxa"/>
            <w:tcBorders>
              <w:bottom w:val="single" w:sz="4" w:space="0" w:color="auto"/>
              <w:right w:val="single" w:sz="18" w:space="0" w:color="auto"/>
            </w:tcBorders>
            <w:shd w:val="clear" w:color="auto" w:fill="FABF8F"/>
            <w:vAlign w:val="center"/>
          </w:tcPr>
          <w:p w:rsidR="00A5643F" w:rsidRPr="00A75DF9" w:rsidRDefault="00A5643F" w:rsidP="00F97D54">
            <w:pPr>
              <w:pStyle w:val="TableText"/>
              <w:widowControl w:val="0"/>
              <w:rPr>
                <w:rFonts w:ascii="Tahoma" w:hAnsi="Tahoma" w:cs="Tahoma"/>
                <w:b/>
                <w:color w:val="0000FF"/>
                <w:sz w:val="13"/>
              </w:rPr>
            </w:pPr>
          </w:p>
        </w:tc>
        <w:tc>
          <w:tcPr>
            <w:tcW w:w="455" w:type="dxa"/>
            <w:tcBorders>
              <w:left w:val="single" w:sz="18" w:space="0" w:color="auto"/>
              <w:bottom w:val="single" w:sz="4" w:space="0" w:color="auto"/>
            </w:tcBorders>
            <w:shd w:val="clear" w:color="auto" w:fill="FABF8F"/>
            <w:vAlign w:val="center"/>
          </w:tcPr>
          <w:p w:rsidR="00A5643F" w:rsidRPr="00A75DF9" w:rsidRDefault="00A5643F" w:rsidP="00F97D54">
            <w:pPr>
              <w:pStyle w:val="TableText"/>
              <w:widowControl w:val="0"/>
              <w:rPr>
                <w:rFonts w:ascii="Tahoma" w:hAnsi="Tahoma" w:cs="Tahoma"/>
                <w:sz w:val="13"/>
              </w:rPr>
            </w:pPr>
            <w:r w:rsidRPr="00A75DF9">
              <w:rPr>
                <w:rFonts w:ascii="Tahoma" w:hAnsi="Tahoma" w:cs="Tahoma"/>
                <w:sz w:val="13"/>
              </w:rPr>
              <w:t>5</w:t>
            </w:r>
          </w:p>
        </w:tc>
        <w:tc>
          <w:tcPr>
            <w:tcW w:w="450" w:type="dxa"/>
            <w:tcBorders>
              <w:bottom w:val="single" w:sz="4" w:space="0" w:color="auto"/>
            </w:tcBorders>
            <w:shd w:val="clear" w:color="auto" w:fill="FABF8F"/>
            <w:vAlign w:val="center"/>
          </w:tcPr>
          <w:p w:rsidR="00A5643F" w:rsidRPr="00A75DF9" w:rsidRDefault="00A5643F" w:rsidP="00F97D54">
            <w:pPr>
              <w:pStyle w:val="TableText"/>
              <w:widowControl w:val="0"/>
              <w:rPr>
                <w:rFonts w:ascii="Tahoma" w:hAnsi="Tahoma" w:cs="Tahoma"/>
                <w:sz w:val="13"/>
              </w:rPr>
            </w:pPr>
            <w:r w:rsidRPr="00A75DF9">
              <w:rPr>
                <w:rFonts w:ascii="Tahoma" w:hAnsi="Tahoma" w:cs="Tahoma"/>
                <w:sz w:val="13"/>
              </w:rPr>
              <w:t>10</w:t>
            </w:r>
          </w:p>
        </w:tc>
        <w:tc>
          <w:tcPr>
            <w:tcW w:w="450" w:type="dxa"/>
            <w:tcBorders>
              <w:bottom w:val="single" w:sz="4" w:space="0" w:color="auto"/>
              <w:right w:val="single" w:sz="18" w:space="0" w:color="auto"/>
            </w:tcBorders>
            <w:shd w:val="clear" w:color="auto" w:fill="FABF8F"/>
            <w:vAlign w:val="center"/>
          </w:tcPr>
          <w:p w:rsidR="00A5643F" w:rsidRPr="00A75DF9" w:rsidRDefault="00A5643F" w:rsidP="00F97D54">
            <w:pPr>
              <w:pStyle w:val="TableText"/>
              <w:widowControl w:val="0"/>
              <w:rPr>
                <w:rFonts w:ascii="Tahoma" w:hAnsi="Tahoma" w:cs="Tahoma"/>
                <w:sz w:val="13"/>
              </w:rPr>
            </w:pPr>
            <w:r w:rsidRPr="00A75DF9">
              <w:rPr>
                <w:rFonts w:ascii="Tahoma" w:hAnsi="Tahoma" w:cs="Tahoma"/>
                <w:sz w:val="13"/>
              </w:rPr>
              <w:t>5</w:t>
            </w:r>
          </w:p>
        </w:tc>
        <w:tc>
          <w:tcPr>
            <w:tcW w:w="450" w:type="dxa"/>
            <w:tcBorders>
              <w:left w:val="single" w:sz="18" w:space="0" w:color="auto"/>
              <w:bottom w:val="single" w:sz="4" w:space="0" w:color="auto"/>
            </w:tcBorders>
            <w:shd w:val="clear" w:color="auto" w:fill="FABF8F"/>
            <w:vAlign w:val="center"/>
          </w:tcPr>
          <w:p w:rsidR="00A5643F" w:rsidRPr="00A75DF9" w:rsidRDefault="00A5643F" w:rsidP="00F97D54">
            <w:pPr>
              <w:pStyle w:val="TableText"/>
              <w:widowControl w:val="0"/>
              <w:rPr>
                <w:rFonts w:ascii="Tahoma" w:hAnsi="Tahoma" w:cs="Tahoma"/>
                <w:sz w:val="13"/>
              </w:rPr>
            </w:pPr>
            <w:r w:rsidRPr="00A75DF9">
              <w:rPr>
                <w:rFonts w:ascii="Tahoma" w:hAnsi="Tahoma" w:cs="Tahoma"/>
                <w:sz w:val="13"/>
              </w:rPr>
              <w:t>5</w:t>
            </w:r>
          </w:p>
        </w:tc>
        <w:tc>
          <w:tcPr>
            <w:tcW w:w="450" w:type="dxa"/>
            <w:tcBorders>
              <w:bottom w:val="single" w:sz="4" w:space="0" w:color="auto"/>
              <w:right w:val="single" w:sz="18" w:space="0" w:color="auto"/>
            </w:tcBorders>
            <w:shd w:val="clear" w:color="auto" w:fill="FABF8F"/>
            <w:vAlign w:val="center"/>
          </w:tcPr>
          <w:p w:rsidR="00A5643F" w:rsidRPr="00A75DF9"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A5643F" w:rsidRPr="00A75DF9" w:rsidRDefault="00A5643F" w:rsidP="00F97D54">
            <w:pPr>
              <w:pStyle w:val="TableText"/>
              <w:widowControl w:val="0"/>
              <w:rPr>
                <w:rFonts w:ascii="Tahoma" w:hAnsi="Tahoma" w:cs="Tahoma"/>
                <w:sz w:val="13"/>
              </w:rPr>
            </w:pPr>
            <w:r w:rsidRPr="00A75DF9">
              <w:rPr>
                <w:rFonts w:ascii="Tahoma" w:hAnsi="Tahoma" w:cs="Tahoma"/>
                <w:sz w:val="13"/>
              </w:rPr>
              <w:t>P</w:t>
            </w:r>
          </w:p>
        </w:tc>
        <w:tc>
          <w:tcPr>
            <w:tcW w:w="450" w:type="dxa"/>
            <w:tcBorders>
              <w:bottom w:val="single" w:sz="4" w:space="0" w:color="auto"/>
            </w:tcBorders>
            <w:shd w:val="clear" w:color="auto" w:fill="FABF8F"/>
          </w:tcPr>
          <w:p w:rsidR="00A5643F" w:rsidRPr="00A75DF9" w:rsidRDefault="00A5643F" w:rsidP="00F97D54">
            <w:pPr>
              <w:pStyle w:val="TableText"/>
              <w:widowControl w:val="0"/>
              <w:rPr>
                <w:rFonts w:ascii="Tahoma" w:hAnsi="Tahoma" w:cs="Tahoma"/>
                <w:sz w:val="13"/>
              </w:rPr>
            </w:pPr>
            <w:r w:rsidRPr="00A75DF9">
              <w:rPr>
                <w:rFonts w:ascii="Tahoma" w:hAnsi="Tahoma" w:cs="Tahoma"/>
                <w:sz w:val="13"/>
              </w:rPr>
              <w:t>A</w:t>
            </w:r>
          </w:p>
        </w:tc>
        <w:tc>
          <w:tcPr>
            <w:tcW w:w="539" w:type="dxa"/>
            <w:tcBorders>
              <w:bottom w:val="single" w:sz="4" w:space="0" w:color="auto"/>
            </w:tcBorders>
            <w:shd w:val="clear" w:color="auto" w:fill="FABF8F"/>
            <w:vAlign w:val="center"/>
          </w:tcPr>
          <w:p w:rsidR="00A5643F" w:rsidRPr="00A75DF9" w:rsidRDefault="00A5643F" w:rsidP="00F97D54">
            <w:pPr>
              <w:pStyle w:val="TableText"/>
              <w:widowControl w:val="0"/>
              <w:rPr>
                <w:rFonts w:ascii="Tahoma" w:hAnsi="Tahoma" w:cs="Tahoma"/>
                <w:color w:val="000000"/>
                <w:sz w:val="13"/>
              </w:rPr>
            </w:pPr>
          </w:p>
        </w:tc>
      </w:tr>
      <w:tr w:rsidR="00A5643F" w:rsidRPr="00A75DF9" w:rsidTr="008A1262">
        <w:trPr>
          <w:gridBefore w:val="1"/>
          <w:wBefore w:w="17" w:type="dxa"/>
          <w:trHeight w:val="145"/>
        </w:trPr>
        <w:tc>
          <w:tcPr>
            <w:tcW w:w="2707" w:type="dxa"/>
            <w:shd w:val="clear" w:color="auto" w:fill="auto"/>
            <w:vAlign w:val="center"/>
          </w:tcPr>
          <w:p w:rsidR="00A5643F" w:rsidRPr="00A75DF9" w:rsidRDefault="00A5643F" w:rsidP="002E5D03">
            <w:pPr>
              <w:pStyle w:val="Heading2"/>
              <w:spacing w:before="20" w:after="20"/>
              <w:ind w:left="0"/>
              <w:rPr>
                <w:rFonts w:ascii="Tahoma" w:hAnsi="Tahoma" w:cs="Tahoma"/>
                <w:b w:val="0"/>
                <w:sz w:val="14"/>
                <w:szCs w:val="14"/>
              </w:rPr>
            </w:pPr>
            <w:bookmarkStart w:id="574" w:name="_Toc336338166"/>
            <w:bookmarkStart w:id="575" w:name="_Toc368310157"/>
            <w:r w:rsidRPr="00A75DF9">
              <w:rPr>
                <w:rFonts w:ascii="Tahoma" w:hAnsi="Tahoma" w:cs="Tahoma"/>
                <w:b w:val="0"/>
                <w:sz w:val="14"/>
                <w:szCs w:val="14"/>
              </w:rPr>
              <w:t>Windows Small Business Server 2011 Essentials</w:t>
            </w:r>
            <w:bookmarkEnd w:id="574"/>
            <w:bookmarkEnd w:id="575"/>
          </w:p>
        </w:tc>
        <w:tc>
          <w:tcPr>
            <w:tcW w:w="448" w:type="dxa"/>
            <w:shd w:val="clear" w:color="auto" w:fill="auto"/>
            <w:vAlign w:val="center"/>
          </w:tcPr>
          <w:p w:rsidR="00A5643F" w:rsidRPr="00B41377" w:rsidRDefault="00B54770" w:rsidP="00FC0808">
            <w:pPr>
              <w:pStyle w:val="TableText"/>
              <w:widowControl w:val="0"/>
              <w:rPr>
                <w:rFonts w:cs="Tahoma"/>
                <w:b/>
                <w:sz w:val="13"/>
                <w:szCs w:val="13"/>
                <w:u w:val="single"/>
              </w:rPr>
            </w:pPr>
            <w:hyperlink w:anchor="_118_Windows_Small" w:history="1">
              <w:r w:rsidR="00734B17" w:rsidRPr="00B41377">
                <w:rPr>
                  <w:rStyle w:val="Hyperlink"/>
                  <w:rFonts w:cs="Tahoma"/>
                  <w:b/>
                  <w:sz w:val="13"/>
                  <w:szCs w:val="13"/>
                </w:rPr>
                <w:t>118</w:t>
              </w:r>
            </w:hyperlink>
          </w:p>
        </w:tc>
        <w:tc>
          <w:tcPr>
            <w:tcW w:w="449" w:type="dxa"/>
            <w:shd w:val="clear" w:color="auto" w:fill="auto"/>
          </w:tcPr>
          <w:p w:rsidR="00A5643F" w:rsidRPr="00A75DF9" w:rsidRDefault="00A5643F" w:rsidP="00F97D54">
            <w:pPr>
              <w:pStyle w:val="TableText"/>
              <w:widowControl w:val="0"/>
              <w:spacing w:before="120"/>
              <w:rPr>
                <w:rFonts w:ascii="Tahoma" w:hAnsi="Tahoma" w:cs="Tahoma"/>
                <w:sz w:val="13"/>
              </w:rPr>
            </w:pPr>
            <w:r w:rsidRPr="00A75DF9">
              <w:rPr>
                <w:rFonts w:ascii="Tahoma" w:hAnsi="Tahoma" w:cs="Tahoma"/>
                <w:sz w:val="13"/>
              </w:rPr>
              <w:t>05/11</w:t>
            </w:r>
          </w:p>
        </w:tc>
        <w:tc>
          <w:tcPr>
            <w:tcW w:w="359" w:type="dxa"/>
            <w:tcBorders>
              <w:right w:val="single" w:sz="18" w:space="0" w:color="auto"/>
            </w:tcBorders>
            <w:shd w:val="clear" w:color="auto" w:fill="auto"/>
            <w:vAlign w:val="center"/>
          </w:tcPr>
          <w:p w:rsidR="00A5643F" w:rsidRPr="00A75DF9" w:rsidRDefault="00A5643F" w:rsidP="00F97D54">
            <w:pPr>
              <w:pStyle w:val="TableText"/>
              <w:widowControl w:val="0"/>
              <w:rPr>
                <w:rFonts w:ascii="Tahoma" w:hAnsi="Tahoma" w:cs="Tahoma"/>
                <w:sz w:val="13"/>
              </w:rPr>
            </w:pPr>
            <w:r w:rsidRPr="00A75DF9">
              <w:rPr>
                <w:rFonts w:ascii="Tahoma" w:hAnsi="Tahoma" w:cs="Tahoma"/>
                <w:sz w:val="13"/>
              </w:rPr>
              <w:t>SRV</w:t>
            </w:r>
          </w:p>
        </w:tc>
        <w:tc>
          <w:tcPr>
            <w:tcW w:w="356" w:type="dxa"/>
            <w:tcBorders>
              <w:left w:val="single" w:sz="18" w:space="0" w:color="auto"/>
            </w:tcBorders>
            <w:shd w:val="clear" w:color="auto" w:fill="auto"/>
            <w:vAlign w:val="center"/>
          </w:tcPr>
          <w:p w:rsidR="00A5643F" w:rsidRPr="00A75DF9" w:rsidRDefault="00A5643F" w:rsidP="00F97D54">
            <w:pPr>
              <w:pStyle w:val="TableText"/>
              <w:widowControl w:val="0"/>
              <w:rPr>
                <w:rFonts w:ascii="Tahoma" w:hAnsi="Tahoma" w:cs="Tahoma"/>
                <w:color w:val="000000"/>
                <w:sz w:val="13"/>
              </w:rPr>
            </w:pPr>
          </w:p>
        </w:tc>
        <w:tc>
          <w:tcPr>
            <w:tcW w:w="450" w:type="dxa"/>
            <w:shd w:val="clear" w:color="auto" w:fill="auto"/>
            <w:vAlign w:val="center"/>
          </w:tcPr>
          <w:p w:rsidR="00A5643F" w:rsidRPr="00A75DF9" w:rsidRDefault="00A5643F" w:rsidP="00F97D54">
            <w:pPr>
              <w:pStyle w:val="TableText"/>
              <w:widowControl w:val="0"/>
              <w:rPr>
                <w:rFonts w:ascii="Tahoma" w:hAnsi="Tahoma" w:cs="Tahoma"/>
                <w:color w:val="000000"/>
                <w:sz w:val="13"/>
              </w:rPr>
            </w:pPr>
          </w:p>
        </w:tc>
        <w:tc>
          <w:tcPr>
            <w:tcW w:w="455" w:type="dxa"/>
            <w:shd w:val="clear" w:color="auto" w:fill="auto"/>
            <w:vAlign w:val="center"/>
          </w:tcPr>
          <w:p w:rsidR="00A5643F" w:rsidRPr="00A75DF9" w:rsidRDefault="00A5643F" w:rsidP="00F97D54">
            <w:pPr>
              <w:pStyle w:val="TableText"/>
              <w:widowControl w:val="0"/>
              <w:rPr>
                <w:rFonts w:ascii="Tahoma" w:hAnsi="Tahoma" w:cs="Tahoma"/>
                <w:color w:val="000000"/>
                <w:sz w:val="13"/>
              </w:rPr>
            </w:pPr>
          </w:p>
        </w:tc>
        <w:tc>
          <w:tcPr>
            <w:tcW w:w="441" w:type="dxa"/>
            <w:gridSpan w:val="2"/>
            <w:shd w:val="clear" w:color="auto" w:fill="auto"/>
            <w:vAlign w:val="center"/>
          </w:tcPr>
          <w:p w:rsidR="00A5643F" w:rsidRPr="00A75DF9" w:rsidRDefault="00A5643F" w:rsidP="00F97D54">
            <w:pPr>
              <w:pStyle w:val="TableText"/>
              <w:widowControl w:val="0"/>
              <w:rPr>
                <w:rFonts w:ascii="Tahoma" w:hAnsi="Tahoma" w:cs="Tahoma"/>
                <w:color w:val="000000"/>
                <w:sz w:val="13"/>
              </w:rPr>
            </w:pPr>
          </w:p>
        </w:tc>
        <w:tc>
          <w:tcPr>
            <w:tcW w:w="454" w:type="dxa"/>
            <w:gridSpan w:val="2"/>
            <w:shd w:val="clear" w:color="auto" w:fill="auto"/>
            <w:vAlign w:val="center"/>
          </w:tcPr>
          <w:p w:rsidR="00A5643F" w:rsidRPr="00A75DF9" w:rsidRDefault="00A5643F" w:rsidP="00F97D54">
            <w:pPr>
              <w:pStyle w:val="TableText"/>
              <w:widowControl w:val="0"/>
              <w:rPr>
                <w:rFonts w:ascii="Tahoma" w:hAnsi="Tahoma" w:cs="Tahoma"/>
                <w:color w:val="000000"/>
                <w:sz w:val="13"/>
              </w:rPr>
            </w:pPr>
          </w:p>
        </w:tc>
        <w:tc>
          <w:tcPr>
            <w:tcW w:w="450" w:type="dxa"/>
            <w:shd w:val="clear" w:color="auto" w:fill="auto"/>
            <w:vAlign w:val="center"/>
          </w:tcPr>
          <w:p w:rsidR="00A5643F" w:rsidRPr="00A75DF9" w:rsidRDefault="00A5643F" w:rsidP="00F97D54">
            <w:pPr>
              <w:pStyle w:val="TableText"/>
              <w:widowControl w:val="0"/>
              <w:rPr>
                <w:rFonts w:ascii="Tahoma" w:hAnsi="Tahoma" w:cs="Tahoma"/>
                <w:color w:val="000000"/>
                <w:sz w:val="13"/>
              </w:rPr>
            </w:pPr>
          </w:p>
        </w:tc>
        <w:tc>
          <w:tcPr>
            <w:tcW w:w="374" w:type="dxa"/>
            <w:tcBorders>
              <w:right w:val="single" w:sz="18" w:space="0" w:color="auto"/>
            </w:tcBorders>
            <w:shd w:val="clear" w:color="auto" w:fill="auto"/>
            <w:vAlign w:val="center"/>
          </w:tcPr>
          <w:p w:rsidR="00A5643F" w:rsidRPr="00A75DF9" w:rsidRDefault="00A5643F" w:rsidP="00F97D54">
            <w:pPr>
              <w:pStyle w:val="TableText"/>
              <w:widowControl w:val="0"/>
              <w:rPr>
                <w:rFonts w:ascii="Tahoma" w:hAnsi="Tahoma" w:cs="Tahoma"/>
                <w:color w:val="000000"/>
                <w:sz w:val="13"/>
              </w:rPr>
            </w:pPr>
          </w:p>
        </w:tc>
        <w:tc>
          <w:tcPr>
            <w:tcW w:w="455" w:type="dxa"/>
            <w:tcBorders>
              <w:left w:val="single" w:sz="18" w:space="0" w:color="auto"/>
            </w:tcBorders>
            <w:shd w:val="clear" w:color="auto" w:fill="auto"/>
            <w:vAlign w:val="center"/>
          </w:tcPr>
          <w:p w:rsidR="00A5643F" w:rsidRPr="00A75DF9" w:rsidRDefault="00A5643F" w:rsidP="00F97D54">
            <w:pPr>
              <w:pStyle w:val="TableText"/>
              <w:widowControl w:val="0"/>
              <w:rPr>
                <w:rFonts w:ascii="Tahoma" w:hAnsi="Tahoma" w:cs="Tahoma"/>
                <w:color w:val="000000"/>
                <w:sz w:val="13"/>
              </w:rPr>
            </w:pPr>
          </w:p>
        </w:tc>
        <w:tc>
          <w:tcPr>
            <w:tcW w:w="450" w:type="dxa"/>
            <w:shd w:val="clear" w:color="auto" w:fill="auto"/>
            <w:vAlign w:val="center"/>
          </w:tcPr>
          <w:p w:rsidR="00A5643F" w:rsidRPr="00A75DF9" w:rsidRDefault="00A5643F" w:rsidP="00F97D54">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rsidR="00A5643F" w:rsidRPr="00A75DF9" w:rsidRDefault="00A5643F" w:rsidP="00F97D54">
            <w:pPr>
              <w:pStyle w:val="TableText"/>
              <w:widowControl w:val="0"/>
              <w:rPr>
                <w:rFonts w:ascii="Tahoma" w:hAnsi="Tahoma" w:cs="Tahoma"/>
                <w:sz w:val="13"/>
              </w:rPr>
            </w:pPr>
          </w:p>
        </w:tc>
        <w:tc>
          <w:tcPr>
            <w:tcW w:w="450" w:type="dxa"/>
            <w:tcBorders>
              <w:left w:val="single" w:sz="18" w:space="0" w:color="auto"/>
            </w:tcBorders>
            <w:shd w:val="clear" w:color="auto" w:fill="auto"/>
            <w:vAlign w:val="center"/>
          </w:tcPr>
          <w:p w:rsidR="00A5643F" w:rsidRPr="00A75DF9" w:rsidRDefault="00A5643F" w:rsidP="00F97D54">
            <w:pPr>
              <w:pStyle w:val="TableText"/>
              <w:widowControl w:val="0"/>
              <w:rPr>
                <w:rFonts w:ascii="Tahoma" w:hAnsi="Tahoma" w:cs="Tahoma"/>
                <w:sz w:val="13"/>
              </w:rPr>
            </w:pPr>
          </w:p>
        </w:tc>
        <w:tc>
          <w:tcPr>
            <w:tcW w:w="450" w:type="dxa"/>
            <w:tcBorders>
              <w:right w:val="single" w:sz="18" w:space="0" w:color="auto"/>
            </w:tcBorders>
            <w:shd w:val="clear" w:color="auto" w:fill="auto"/>
            <w:vAlign w:val="center"/>
          </w:tcPr>
          <w:p w:rsidR="00A5643F" w:rsidRPr="00A75DF9" w:rsidRDefault="00A5643F" w:rsidP="00F97D54">
            <w:pPr>
              <w:pStyle w:val="TableText"/>
              <w:widowControl w:val="0"/>
              <w:rPr>
                <w:rFonts w:ascii="Tahoma" w:hAnsi="Tahoma" w:cs="Tahoma"/>
                <w:sz w:val="13"/>
              </w:rPr>
            </w:pPr>
          </w:p>
        </w:tc>
        <w:tc>
          <w:tcPr>
            <w:tcW w:w="450" w:type="dxa"/>
            <w:tcBorders>
              <w:left w:val="single" w:sz="18" w:space="0" w:color="auto"/>
              <w:right w:val="single" w:sz="18" w:space="0" w:color="auto"/>
            </w:tcBorders>
            <w:shd w:val="clear" w:color="auto" w:fill="auto"/>
            <w:vAlign w:val="center"/>
          </w:tcPr>
          <w:p w:rsidR="00A5643F" w:rsidRPr="00A75DF9" w:rsidRDefault="00A5643F" w:rsidP="00F97D54">
            <w:pPr>
              <w:pStyle w:val="TableText"/>
              <w:widowControl w:val="0"/>
              <w:rPr>
                <w:rFonts w:ascii="Tahoma" w:hAnsi="Tahoma" w:cs="Tahoma"/>
                <w:sz w:val="13"/>
              </w:rPr>
            </w:pPr>
          </w:p>
        </w:tc>
        <w:tc>
          <w:tcPr>
            <w:tcW w:w="450" w:type="dxa"/>
            <w:shd w:val="clear" w:color="auto" w:fill="auto"/>
          </w:tcPr>
          <w:p w:rsidR="00A5643F" w:rsidRPr="00A75DF9" w:rsidRDefault="00A5643F" w:rsidP="00E27A85">
            <w:pPr>
              <w:pStyle w:val="TableText"/>
              <w:widowControl w:val="0"/>
              <w:spacing w:before="60"/>
              <w:rPr>
                <w:rFonts w:ascii="Tahoma" w:hAnsi="Tahoma" w:cs="Tahoma"/>
                <w:sz w:val="13"/>
              </w:rPr>
            </w:pPr>
          </w:p>
        </w:tc>
        <w:tc>
          <w:tcPr>
            <w:tcW w:w="539" w:type="dxa"/>
            <w:shd w:val="clear" w:color="auto" w:fill="auto"/>
            <w:vAlign w:val="center"/>
          </w:tcPr>
          <w:p w:rsidR="00A5643F" w:rsidRPr="00A75DF9" w:rsidRDefault="00A5643F" w:rsidP="00F97D54">
            <w:pPr>
              <w:pStyle w:val="TableText"/>
              <w:widowControl w:val="0"/>
              <w:rPr>
                <w:rFonts w:ascii="Tahoma" w:hAnsi="Tahoma" w:cs="Tahoma"/>
                <w:color w:val="000000"/>
                <w:sz w:val="13"/>
              </w:rPr>
            </w:pPr>
          </w:p>
        </w:tc>
      </w:tr>
      <w:tr w:rsidR="0084456B" w:rsidRPr="00A75DF9" w:rsidTr="008A1262">
        <w:trPr>
          <w:gridBefore w:val="1"/>
          <w:wBefore w:w="17" w:type="dxa"/>
          <w:trHeight w:val="278"/>
        </w:trPr>
        <w:tc>
          <w:tcPr>
            <w:tcW w:w="2707" w:type="dxa"/>
            <w:tcBorders>
              <w:bottom w:val="single" w:sz="4" w:space="0" w:color="auto"/>
            </w:tcBorders>
            <w:shd w:val="clear" w:color="auto" w:fill="FABF8F"/>
            <w:vAlign w:val="center"/>
          </w:tcPr>
          <w:p w:rsidR="00CE1716" w:rsidRPr="00A75DF9" w:rsidRDefault="00CE1716" w:rsidP="00E13599">
            <w:pPr>
              <w:pStyle w:val="Heading2"/>
              <w:keepNext/>
              <w:spacing w:before="20" w:after="20"/>
              <w:ind w:left="0"/>
              <w:rPr>
                <w:rFonts w:ascii="Tahoma" w:hAnsi="Tahoma" w:cs="Tahoma"/>
                <w:b w:val="0"/>
                <w:sz w:val="14"/>
                <w:szCs w:val="14"/>
              </w:rPr>
            </w:pPr>
            <w:bookmarkStart w:id="576" w:name="_Toc368310158"/>
            <w:r w:rsidRPr="00A75DF9">
              <w:rPr>
                <w:rFonts w:ascii="Tahoma" w:hAnsi="Tahoma" w:cs="Tahoma"/>
                <w:b w:val="0"/>
                <w:sz w:val="14"/>
                <w:szCs w:val="14"/>
              </w:rPr>
              <w:t>Windows Web Server 2008 R2</w:t>
            </w:r>
            <w:bookmarkEnd w:id="576"/>
          </w:p>
        </w:tc>
        <w:tc>
          <w:tcPr>
            <w:tcW w:w="448" w:type="dxa"/>
            <w:tcBorders>
              <w:bottom w:val="single" w:sz="4" w:space="0" w:color="auto"/>
            </w:tcBorders>
            <w:shd w:val="clear" w:color="auto" w:fill="FABF8F"/>
            <w:vAlign w:val="center"/>
          </w:tcPr>
          <w:p w:rsidR="00CE1716" w:rsidRPr="00B41377" w:rsidRDefault="00B54770" w:rsidP="00FC0808">
            <w:pPr>
              <w:pStyle w:val="TableText"/>
              <w:keepNext/>
              <w:widowControl w:val="0"/>
              <w:rPr>
                <w:rStyle w:val="EndnoteReference"/>
                <w:rFonts w:cs="Tahoma"/>
                <w:b w:val="0"/>
                <w:sz w:val="13"/>
                <w:szCs w:val="13"/>
                <w:u w:val="single"/>
              </w:rPr>
            </w:pPr>
            <w:hyperlink w:anchor="_119_Windows_Web_1" w:history="1">
              <w:hyperlink w:anchor="_114_Windows_Small" w:history="1">
                <w:r w:rsidR="00734B17" w:rsidRPr="003F1FE0">
                  <w:rPr>
                    <w:rStyle w:val="Hyperlink"/>
                    <w:rFonts w:cs="Tahoma"/>
                    <w:b/>
                    <w:sz w:val="13"/>
                    <w:szCs w:val="13"/>
                  </w:rPr>
                  <w:t>11</w:t>
                </w:r>
              </w:hyperlink>
              <w:r w:rsidR="00734B17" w:rsidRPr="003F1FE0">
                <w:rPr>
                  <w:rStyle w:val="Hyperlink"/>
                  <w:rFonts w:cs="Tahoma"/>
                  <w:b/>
                  <w:sz w:val="13"/>
                  <w:szCs w:val="13"/>
                </w:rPr>
                <w:t>9</w:t>
              </w:r>
            </w:hyperlink>
          </w:p>
        </w:tc>
        <w:tc>
          <w:tcPr>
            <w:tcW w:w="449" w:type="dxa"/>
            <w:tcBorders>
              <w:bottom w:val="single" w:sz="4" w:space="0" w:color="auto"/>
            </w:tcBorders>
            <w:shd w:val="clear" w:color="auto" w:fill="FABF8F"/>
            <w:vAlign w:val="center"/>
          </w:tcPr>
          <w:p w:rsidR="00CE1716" w:rsidRPr="00A75DF9" w:rsidRDefault="00CE1716" w:rsidP="00E13599">
            <w:pPr>
              <w:pStyle w:val="TableText"/>
              <w:keepNext/>
              <w:widowControl w:val="0"/>
              <w:spacing w:before="120"/>
              <w:rPr>
                <w:rFonts w:ascii="Tahoma" w:hAnsi="Tahoma" w:cs="Tahoma"/>
                <w:color w:val="000000"/>
                <w:sz w:val="13"/>
              </w:rPr>
            </w:pPr>
            <w:r w:rsidRPr="00A75DF9">
              <w:rPr>
                <w:rFonts w:ascii="Tahoma" w:hAnsi="Tahoma" w:cs="Tahoma"/>
                <w:color w:val="000000"/>
                <w:sz w:val="13"/>
              </w:rPr>
              <w:t>08/09</w:t>
            </w:r>
          </w:p>
        </w:tc>
        <w:tc>
          <w:tcPr>
            <w:tcW w:w="359" w:type="dxa"/>
            <w:tcBorders>
              <w:bottom w:val="single" w:sz="4" w:space="0" w:color="auto"/>
              <w:right w:val="single" w:sz="18" w:space="0" w:color="auto"/>
            </w:tcBorders>
            <w:shd w:val="clear" w:color="auto" w:fill="FABF8F"/>
            <w:vAlign w:val="center"/>
          </w:tcPr>
          <w:p w:rsidR="00CE1716" w:rsidRPr="00A75DF9" w:rsidRDefault="00CE1716" w:rsidP="00E13599">
            <w:pPr>
              <w:pStyle w:val="TableText"/>
              <w:keepNext/>
              <w:widowControl w:val="0"/>
              <w:rPr>
                <w:rFonts w:ascii="Tahoma" w:hAnsi="Tahoma" w:cs="Tahoma"/>
                <w:color w:val="000000"/>
                <w:sz w:val="13"/>
              </w:rPr>
            </w:pPr>
            <w:r w:rsidRPr="00A75DF9">
              <w:rPr>
                <w:rFonts w:ascii="Tahoma" w:hAnsi="Tahoma" w:cs="Tahoma"/>
                <w:color w:val="000000"/>
                <w:sz w:val="13"/>
              </w:rPr>
              <w:t>SRV</w:t>
            </w:r>
          </w:p>
        </w:tc>
        <w:tc>
          <w:tcPr>
            <w:tcW w:w="356" w:type="dxa"/>
            <w:tcBorders>
              <w:left w:val="single" w:sz="18" w:space="0" w:color="auto"/>
              <w:bottom w:val="single" w:sz="4" w:space="0" w:color="auto"/>
            </w:tcBorders>
            <w:shd w:val="clear" w:color="auto" w:fill="FABF8F"/>
            <w:vAlign w:val="center"/>
          </w:tcPr>
          <w:p w:rsidR="00CE1716" w:rsidRPr="00A75DF9"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A75DF9" w:rsidRDefault="00CE1716" w:rsidP="00E13599">
            <w:pPr>
              <w:pStyle w:val="TableText"/>
              <w:keepNext/>
              <w:widowControl w:val="0"/>
              <w:rPr>
                <w:rFonts w:ascii="Tahoma" w:hAnsi="Tahoma" w:cs="Tahoma"/>
                <w:sz w:val="13"/>
              </w:rPr>
            </w:pPr>
          </w:p>
        </w:tc>
        <w:tc>
          <w:tcPr>
            <w:tcW w:w="455" w:type="dxa"/>
            <w:tcBorders>
              <w:bottom w:val="single" w:sz="4" w:space="0" w:color="auto"/>
            </w:tcBorders>
            <w:shd w:val="clear" w:color="auto" w:fill="FABF8F"/>
            <w:vAlign w:val="center"/>
          </w:tcPr>
          <w:p w:rsidR="00CE1716" w:rsidRPr="00A75DF9" w:rsidRDefault="00CE1716" w:rsidP="00E13599">
            <w:pPr>
              <w:pStyle w:val="TableText"/>
              <w:keepNext/>
              <w:widowControl w:val="0"/>
              <w:rPr>
                <w:rFonts w:ascii="Tahoma" w:hAnsi="Tahoma" w:cs="Tahoma"/>
                <w:sz w:val="13"/>
              </w:rPr>
            </w:pPr>
          </w:p>
        </w:tc>
        <w:tc>
          <w:tcPr>
            <w:tcW w:w="441" w:type="dxa"/>
            <w:gridSpan w:val="2"/>
            <w:tcBorders>
              <w:bottom w:val="single" w:sz="4" w:space="0" w:color="auto"/>
            </w:tcBorders>
            <w:shd w:val="clear" w:color="auto" w:fill="FABF8F"/>
            <w:vAlign w:val="center"/>
          </w:tcPr>
          <w:p w:rsidR="00CE1716" w:rsidRPr="00A75DF9" w:rsidRDefault="00CE1716" w:rsidP="00E13599">
            <w:pPr>
              <w:pStyle w:val="TableText"/>
              <w:keepNext/>
              <w:widowControl w:val="0"/>
              <w:rPr>
                <w:rFonts w:ascii="Tahoma" w:hAnsi="Tahoma" w:cs="Tahoma"/>
                <w:sz w:val="13"/>
              </w:rPr>
            </w:pPr>
          </w:p>
        </w:tc>
        <w:tc>
          <w:tcPr>
            <w:tcW w:w="454" w:type="dxa"/>
            <w:gridSpan w:val="2"/>
            <w:tcBorders>
              <w:bottom w:val="single" w:sz="4" w:space="0" w:color="auto"/>
            </w:tcBorders>
            <w:shd w:val="clear" w:color="auto" w:fill="FABF8F"/>
            <w:vAlign w:val="center"/>
          </w:tcPr>
          <w:p w:rsidR="00CE1716" w:rsidRPr="00A75DF9"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A75DF9" w:rsidRDefault="00CE1716" w:rsidP="00E13599">
            <w:pPr>
              <w:pStyle w:val="TableText"/>
              <w:keepNext/>
              <w:widowControl w:val="0"/>
              <w:rPr>
                <w:rFonts w:ascii="Tahoma" w:hAnsi="Tahoma" w:cs="Tahoma"/>
                <w:sz w:val="13"/>
              </w:rPr>
            </w:pPr>
          </w:p>
        </w:tc>
        <w:tc>
          <w:tcPr>
            <w:tcW w:w="374" w:type="dxa"/>
            <w:tcBorders>
              <w:bottom w:val="single" w:sz="4" w:space="0" w:color="auto"/>
              <w:right w:val="single" w:sz="18" w:space="0" w:color="auto"/>
            </w:tcBorders>
            <w:shd w:val="clear" w:color="auto" w:fill="FABF8F"/>
            <w:vAlign w:val="center"/>
          </w:tcPr>
          <w:p w:rsidR="00CE1716" w:rsidRPr="00A75DF9" w:rsidRDefault="00CE1716" w:rsidP="00E13599">
            <w:pPr>
              <w:pStyle w:val="TableText"/>
              <w:keepNext/>
              <w:widowControl w:val="0"/>
              <w:rPr>
                <w:rFonts w:ascii="Tahoma" w:hAnsi="Tahoma" w:cs="Tahoma"/>
                <w:sz w:val="13"/>
              </w:rPr>
            </w:pPr>
          </w:p>
        </w:tc>
        <w:tc>
          <w:tcPr>
            <w:tcW w:w="455" w:type="dxa"/>
            <w:tcBorders>
              <w:left w:val="single" w:sz="18" w:space="0" w:color="auto"/>
              <w:bottom w:val="single" w:sz="4" w:space="0" w:color="auto"/>
            </w:tcBorders>
            <w:shd w:val="clear" w:color="auto" w:fill="FABF8F"/>
            <w:vAlign w:val="center"/>
          </w:tcPr>
          <w:p w:rsidR="00CE1716" w:rsidRPr="00A75DF9"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A75DF9" w:rsidRDefault="00CE1716" w:rsidP="00E13599">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E1716" w:rsidRPr="00A75DF9" w:rsidRDefault="00CE1716" w:rsidP="00E13599">
            <w:pPr>
              <w:pStyle w:val="TableText"/>
              <w:keepNext/>
              <w:widowControl w:val="0"/>
              <w:rPr>
                <w:rFonts w:ascii="Tahoma" w:hAnsi="Tahoma" w:cs="Tahoma"/>
                <w:sz w:val="13"/>
              </w:rPr>
            </w:pPr>
          </w:p>
        </w:tc>
        <w:tc>
          <w:tcPr>
            <w:tcW w:w="450" w:type="dxa"/>
            <w:tcBorders>
              <w:left w:val="single" w:sz="18" w:space="0" w:color="auto"/>
              <w:bottom w:val="single" w:sz="4" w:space="0" w:color="auto"/>
            </w:tcBorders>
            <w:shd w:val="clear" w:color="auto" w:fill="FABF8F"/>
            <w:vAlign w:val="center"/>
          </w:tcPr>
          <w:p w:rsidR="00CE1716" w:rsidRPr="00A75DF9" w:rsidRDefault="00CE1716" w:rsidP="00E13599">
            <w:pPr>
              <w:pStyle w:val="TableText"/>
              <w:keepNext/>
              <w:widowControl w:val="0"/>
              <w:rPr>
                <w:rFonts w:ascii="Tahoma" w:hAnsi="Tahoma" w:cs="Tahoma"/>
                <w:sz w:val="13"/>
              </w:rPr>
            </w:pPr>
          </w:p>
        </w:tc>
        <w:tc>
          <w:tcPr>
            <w:tcW w:w="450" w:type="dxa"/>
            <w:tcBorders>
              <w:bottom w:val="single" w:sz="4" w:space="0" w:color="auto"/>
              <w:right w:val="single" w:sz="18" w:space="0" w:color="auto"/>
            </w:tcBorders>
            <w:shd w:val="clear" w:color="auto" w:fill="FABF8F"/>
            <w:vAlign w:val="center"/>
          </w:tcPr>
          <w:p w:rsidR="00CE1716" w:rsidRPr="00A75DF9" w:rsidRDefault="00CE1716" w:rsidP="00E13599">
            <w:pPr>
              <w:pStyle w:val="TableText"/>
              <w:keepN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FABF8F"/>
            <w:vAlign w:val="center"/>
          </w:tcPr>
          <w:p w:rsidR="00CE1716" w:rsidRPr="00A75DF9" w:rsidRDefault="00CE1716" w:rsidP="00E13599">
            <w:pPr>
              <w:pStyle w:val="TableText"/>
              <w:keepNext/>
              <w:widowControl w:val="0"/>
              <w:rPr>
                <w:rFonts w:ascii="Tahoma" w:hAnsi="Tahoma" w:cs="Tahoma"/>
                <w:sz w:val="13"/>
              </w:rPr>
            </w:pPr>
          </w:p>
        </w:tc>
        <w:tc>
          <w:tcPr>
            <w:tcW w:w="450" w:type="dxa"/>
            <w:tcBorders>
              <w:bottom w:val="single" w:sz="4" w:space="0" w:color="auto"/>
            </w:tcBorders>
            <w:shd w:val="clear" w:color="auto" w:fill="FABF8F"/>
            <w:vAlign w:val="center"/>
          </w:tcPr>
          <w:p w:rsidR="00CE1716" w:rsidRPr="00A75DF9" w:rsidRDefault="00CE1716" w:rsidP="00E13599">
            <w:pPr>
              <w:pStyle w:val="TableText"/>
              <w:keepNext/>
              <w:widowControl w:val="0"/>
              <w:rPr>
                <w:rFonts w:ascii="Tahoma" w:hAnsi="Tahoma" w:cs="Tahoma"/>
                <w:color w:val="000000"/>
                <w:sz w:val="13"/>
              </w:rPr>
            </w:pPr>
          </w:p>
        </w:tc>
        <w:tc>
          <w:tcPr>
            <w:tcW w:w="539" w:type="dxa"/>
            <w:tcBorders>
              <w:bottom w:val="single" w:sz="4" w:space="0" w:color="auto"/>
            </w:tcBorders>
            <w:shd w:val="clear" w:color="auto" w:fill="FABF8F"/>
            <w:vAlign w:val="center"/>
          </w:tcPr>
          <w:p w:rsidR="00CE1716" w:rsidRPr="00A75DF9" w:rsidRDefault="00CE1716" w:rsidP="00E13599">
            <w:pPr>
              <w:pStyle w:val="TableText"/>
              <w:keepNext/>
              <w:widowControl w:val="0"/>
              <w:rPr>
                <w:rFonts w:ascii="Tahoma" w:hAnsi="Tahoma" w:cs="Tahoma"/>
                <w:color w:val="000000"/>
                <w:sz w:val="13"/>
              </w:rPr>
            </w:pPr>
          </w:p>
        </w:tc>
      </w:tr>
      <w:tr w:rsidR="00A5643F" w:rsidRPr="00A75DF9" w:rsidTr="008A1262">
        <w:trPr>
          <w:gridBefore w:val="1"/>
          <w:wBefore w:w="17" w:type="dxa"/>
          <w:trHeight w:val="145"/>
        </w:trPr>
        <w:tc>
          <w:tcPr>
            <w:tcW w:w="2707" w:type="dxa"/>
            <w:tcBorders>
              <w:bottom w:val="single" w:sz="4" w:space="0" w:color="auto"/>
            </w:tcBorders>
            <w:shd w:val="clear" w:color="auto" w:fill="auto"/>
            <w:vAlign w:val="center"/>
          </w:tcPr>
          <w:p w:rsidR="00A5643F" w:rsidRPr="00A75DF9" w:rsidRDefault="00A5643F" w:rsidP="002E5D03">
            <w:pPr>
              <w:pStyle w:val="Heading2"/>
              <w:spacing w:before="20" w:after="20"/>
              <w:ind w:left="0"/>
              <w:rPr>
                <w:rFonts w:ascii="Tahoma" w:hAnsi="Tahoma" w:cs="Tahoma"/>
                <w:b w:val="0"/>
                <w:sz w:val="14"/>
                <w:szCs w:val="14"/>
              </w:rPr>
            </w:pPr>
            <w:bookmarkStart w:id="577" w:name="_Toc368310159"/>
            <w:r w:rsidRPr="00A75DF9">
              <w:rPr>
                <w:rFonts w:ascii="Tahoma" w:hAnsi="Tahoma" w:cs="Tahoma"/>
                <w:b w:val="0"/>
                <w:sz w:val="14"/>
                <w:szCs w:val="14"/>
              </w:rPr>
              <w:t>Yammer Enterprise</w:t>
            </w:r>
            <w:bookmarkEnd w:id="577"/>
          </w:p>
        </w:tc>
        <w:tc>
          <w:tcPr>
            <w:tcW w:w="448" w:type="dxa"/>
            <w:tcBorders>
              <w:bottom w:val="single" w:sz="4" w:space="0" w:color="auto"/>
            </w:tcBorders>
            <w:shd w:val="clear" w:color="auto" w:fill="auto"/>
            <w:vAlign w:val="center"/>
          </w:tcPr>
          <w:p w:rsidR="00A5643F" w:rsidRPr="00B41377" w:rsidRDefault="00A5643F" w:rsidP="00370049">
            <w:pPr>
              <w:pStyle w:val="TableText"/>
              <w:widowControl w:val="0"/>
              <w:rPr>
                <w:rFonts w:cs="Tahoma"/>
                <w:b/>
                <w:sz w:val="13"/>
                <w:szCs w:val="13"/>
              </w:rPr>
            </w:pPr>
          </w:p>
        </w:tc>
        <w:tc>
          <w:tcPr>
            <w:tcW w:w="449" w:type="dxa"/>
            <w:tcBorders>
              <w:bottom w:val="single" w:sz="4" w:space="0" w:color="auto"/>
            </w:tcBorders>
            <w:shd w:val="clear" w:color="auto" w:fill="auto"/>
          </w:tcPr>
          <w:p w:rsidR="00A5643F" w:rsidRPr="00A75DF9" w:rsidRDefault="00A5643F" w:rsidP="00F97D54">
            <w:pPr>
              <w:pStyle w:val="TableText"/>
              <w:widowControl w:val="0"/>
              <w:spacing w:before="120"/>
              <w:rPr>
                <w:rFonts w:ascii="Tahoma" w:hAnsi="Tahoma" w:cs="Tahoma"/>
                <w:sz w:val="13"/>
              </w:rPr>
            </w:pPr>
            <w:r w:rsidRPr="00A75DF9">
              <w:rPr>
                <w:rFonts w:ascii="Tahoma" w:hAnsi="Tahoma" w:cs="Tahoma"/>
                <w:sz w:val="13"/>
              </w:rPr>
              <w:t>03/13</w:t>
            </w:r>
          </w:p>
        </w:tc>
        <w:tc>
          <w:tcPr>
            <w:tcW w:w="359" w:type="dxa"/>
            <w:tcBorders>
              <w:bottom w:val="single" w:sz="4" w:space="0" w:color="auto"/>
              <w:right w:val="single" w:sz="18" w:space="0" w:color="auto"/>
            </w:tcBorders>
            <w:shd w:val="clear" w:color="auto" w:fill="auto"/>
            <w:vAlign w:val="center"/>
          </w:tcPr>
          <w:p w:rsidR="00A5643F" w:rsidRPr="00A75DF9" w:rsidRDefault="00A5643F" w:rsidP="00F97D54">
            <w:pPr>
              <w:pStyle w:val="TableText"/>
              <w:widowControl w:val="0"/>
              <w:rPr>
                <w:rFonts w:ascii="Tahoma" w:hAnsi="Tahoma" w:cs="Tahoma"/>
                <w:sz w:val="13"/>
              </w:rPr>
            </w:pPr>
            <w:r w:rsidRPr="00A75DF9">
              <w:rPr>
                <w:rFonts w:ascii="Tahoma" w:hAnsi="Tahoma" w:cs="Tahoma"/>
                <w:sz w:val="13"/>
              </w:rPr>
              <w:t>SRV</w:t>
            </w:r>
          </w:p>
        </w:tc>
        <w:tc>
          <w:tcPr>
            <w:tcW w:w="356" w:type="dxa"/>
            <w:tcBorders>
              <w:left w:val="single" w:sz="18" w:space="0" w:color="auto"/>
              <w:bottom w:val="single" w:sz="4" w:space="0" w:color="auto"/>
            </w:tcBorders>
            <w:shd w:val="clear" w:color="auto" w:fill="auto"/>
            <w:vAlign w:val="center"/>
          </w:tcPr>
          <w:p w:rsidR="00A5643F" w:rsidRPr="00A75DF9"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A75DF9" w:rsidRDefault="00A5643F" w:rsidP="00F97D54">
            <w:pPr>
              <w:pStyle w:val="TableText"/>
              <w:widowControl w:val="0"/>
              <w:rPr>
                <w:rFonts w:ascii="Tahoma" w:hAnsi="Tahoma" w:cs="Tahoma"/>
                <w:color w:val="000000"/>
                <w:sz w:val="13"/>
              </w:rPr>
            </w:pPr>
          </w:p>
        </w:tc>
        <w:tc>
          <w:tcPr>
            <w:tcW w:w="455" w:type="dxa"/>
            <w:tcBorders>
              <w:bottom w:val="single" w:sz="4" w:space="0" w:color="auto"/>
            </w:tcBorders>
            <w:shd w:val="clear" w:color="auto" w:fill="auto"/>
            <w:vAlign w:val="center"/>
          </w:tcPr>
          <w:p w:rsidR="00A5643F" w:rsidRPr="00A75DF9" w:rsidRDefault="00A5643F" w:rsidP="00F97D54">
            <w:pPr>
              <w:pStyle w:val="TableText"/>
              <w:widowControl w:val="0"/>
              <w:rPr>
                <w:rFonts w:ascii="Tahoma" w:hAnsi="Tahoma" w:cs="Tahoma"/>
                <w:color w:val="000000"/>
                <w:sz w:val="13"/>
              </w:rPr>
            </w:pPr>
          </w:p>
        </w:tc>
        <w:tc>
          <w:tcPr>
            <w:tcW w:w="441" w:type="dxa"/>
            <w:gridSpan w:val="2"/>
            <w:tcBorders>
              <w:bottom w:val="single" w:sz="4" w:space="0" w:color="auto"/>
            </w:tcBorders>
            <w:shd w:val="clear" w:color="auto" w:fill="auto"/>
            <w:vAlign w:val="center"/>
          </w:tcPr>
          <w:p w:rsidR="00A5643F" w:rsidRPr="00A75DF9" w:rsidRDefault="00A5643F" w:rsidP="00F97D54">
            <w:pPr>
              <w:pStyle w:val="TableText"/>
              <w:widowControl w:val="0"/>
              <w:rPr>
                <w:rFonts w:ascii="Tahoma" w:hAnsi="Tahoma" w:cs="Tahoma"/>
                <w:color w:val="000000"/>
                <w:sz w:val="13"/>
              </w:rPr>
            </w:pPr>
          </w:p>
        </w:tc>
        <w:tc>
          <w:tcPr>
            <w:tcW w:w="454" w:type="dxa"/>
            <w:gridSpan w:val="2"/>
            <w:tcBorders>
              <w:bottom w:val="single" w:sz="4" w:space="0" w:color="auto"/>
            </w:tcBorders>
            <w:shd w:val="clear" w:color="auto" w:fill="auto"/>
            <w:vAlign w:val="center"/>
          </w:tcPr>
          <w:p w:rsidR="00A5643F" w:rsidRPr="00A75DF9"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A75DF9" w:rsidRDefault="00A5643F" w:rsidP="00F97D54">
            <w:pPr>
              <w:pStyle w:val="TableText"/>
              <w:widowControl w:val="0"/>
              <w:rPr>
                <w:rFonts w:ascii="Tahoma" w:hAnsi="Tahoma" w:cs="Tahoma"/>
                <w:color w:val="000000"/>
                <w:sz w:val="13"/>
              </w:rPr>
            </w:pPr>
          </w:p>
        </w:tc>
        <w:tc>
          <w:tcPr>
            <w:tcW w:w="374" w:type="dxa"/>
            <w:tcBorders>
              <w:bottom w:val="single" w:sz="4" w:space="0" w:color="auto"/>
              <w:right w:val="single" w:sz="18" w:space="0" w:color="auto"/>
            </w:tcBorders>
            <w:shd w:val="clear" w:color="auto" w:fill="auto"/>
            <w:vAlign w:val="center"/>
          </w:tcPr>
          <w:p w:rsidR="00A5643F" w:rsidRPr="00A75DF9" w:rsidRDefault="00A5643F" w:rsidP="00F97D54">
            <w:pPr>
              <w:pStyle w:val="TableText"/>
              <w:widowControl w:val="0"/>
              <w:rPr>
                <w:rFonts w:ascii="Tahoma" w:hAnsi="Tahoma" w:cs="Tahoma"/>
                <w:color w:val="000000"/>
                <w:sz w:val="13"/>
              </w:rPr>
            </w:pPr>
          </w:p>
        </w:tc>
        <w:tc>
          <w:tcPr>
            <w:tcW w:w="455" w:type="dxa"/>
            <w:tcBorders>
              <w:left w:val="single" w:sz="18" w:space="0" w:color="auto"/>
              <w:bottom w:val="single" w:sz="4" w:space="0" w:color="auto"/>
            </w:tcBorders>
            <w:shd w:val="clear" w:color="auto" w:fill="auto"/>
            <w:vAlign w:val="center"/>
          </w:tcPr>
          <w:p w:rsidR="00A5643F" w:rsidRPr="00A75DF9" w:rsidRDefault="00A5643F" w:rsidP="00F97D54">
            <w:pPr>
              <w:pStyle w:val="TableText"/>
              <w:widowControl w:val="0"/>
              <w:rPr>
                <w:rFonts w:ascii="Tahoma" w:hAnsi="Tahoma" w:cs="Tahoma"/>
                <w:color w:val="000000"/>
                <w:sz w:val="13"/>
              </w:rPr>
            </w:pPr>
          </w:p>
        </w:tc>
        <w:tc>
          <w:tcPr>
            <w:tcW w:w="450" w:type="dxa"/>
            <w:tcBorders>
              <w:bottom w:val="single" w:sz="4" w:space="0" w:color="auto"/>
            </w:tcBorders>
            <w:shd w:val="clear" w:color="auto" w:fill="auto"/>
            <w:vAlign w:val="center"/>
          </w:tcPr>
          <w:p w:rsidR="00A5643F" w:rsidRPr="00A75DF9" w:rsidRDefault="00A5643F" w:rsidP="00F97D5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A75DF9"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tcBorders>
            <w:shd w:val="clear" w:color="auto" w:fill="auto"/>
            <w:vAlign w:val="center"/>
          </w:tcPr>
          <w:p w:rsidR="00A5643F" w:rsidRPr="00A75DF9" w:rsidRDefault="00A5643F" w:rsidP="00F97D54">
            <w:pPr>
              <w:pStyle w:val="TableText"/>
              <w:widowControl w:val="0"/>
              <w:rPr>
                <w:rFonts w:ascii="Tahoma" w:hAnsi="Tahoma" w:cs="Tahoma"/>
                <w:sz w:val="13"/>
              </w:rPr>
            </w:pPr>
          </w:p>
        </w:tc>
        <w:tc>
          <w:tcPr>
            <w:tcW w:w="450" w:type="dxa"/>
            <w:tcBorders>
              <w:bottom w:val="single" w:sz="4" w:space="0" w:color="auto"/>
              <w:right w:val="single" w:sz="18" w:space="0" w:color="auto"/>
            </w:tcBorders>
            <w:shd w:val="clear" w:color="auto" w:fill="auto"/>
            <w:vAlign w:val="center"/>
          </w:tcPr>
          <w:p w:rsidR="00A5643F" w:rsidRPr="00A75DF9" w:rsidRDefault="00A5643F" w:rsidP="00F97D54">
            <w:pPr>
              <w:pStyle w:val="TableText"/>
              <w:widowControl w:val="0"/>
              <w:rPr>
                <w:rFonts w:ascii="Tahoma" w:hAnsi="Tahoma" w:cs="Tahoma"/>
                <w:sz w:val="13"/>
              </w:rPr>
            </w:pPr>
          </w:p>
        </w:tc>
        <w:tc>
          <w:tcPr>
            <w:tcW w:w="450" w:type="dxa"/>
            <w:tcBorders>
              <w:left w:val="single" w:sz="18" w:space="0" w:color="auto"/>
              <w:bottom w:val="single" w:sz="4" w:space="0" w:color="auto"/>
              <w:right w:val="single" w:sz="18" w:space="0" w:color="auto"/>
            </w:tcBorders>
            <w:shd w:val="clear" w:color="auto" w:fill="auto"/>
            <w:vAlign w:val="center"/>
          </w:tcPr>
          <w:p w:rsidR="00A5643F" w:rsidRPr="00A75DF9" w:rsidRDefault="00A5643F" w:rsidP="00F97D54">
            <w:pPr>
              <w:pStyle w:val="TableText"/>
              <w:widowControl w:val="0"/>
              <w:rPr>
                <w:rFonts w:ascii="Tahoma" w:hAnsi="Tahoma" w:cs="Tahoma"/>
                <w:sz w:val="13"/>
              </w:rPr>
            </w:pPr>
          </w:p>
        </w:tc>
        <w:tc>
          <w:tcPr>
            <w:tcW w:w="450" w:type="dxa"/>
            <w:tcBorders>
              <w:bottom w:val="single" w:sz="4" w:space="0" w:color="auto"/>
            </w:tcBorders>
            <w:shd w:val="clear" w:color="auto" w:fill="auto"/>
          </w:tcPr>
          <w:p w:rsidR="00A5643F" w:rsidRPr="00A75DF9" w:rsidRDefault="00A5643F" w:rsidP="00E27A85">
            <w:pPr>
              <w:pStyle w:val="TableText"/>
              <w:widowControl w:val="0"/>
              <w:spacing w:before="60"/>
              <w:rPr>
                <w:rFonts w:ascii="Tahoma" w:hAnsi="Tahoma" w:cs="Tahoma"/>
                <w:sz w:val="13"/>
              </w:rPr>
            </w:pPr>
            <w:r w:rsidRPr="00A75DF9">
              <w:rPr>
                <w:rFonts w:ascii="Tahoma" w:hAnsi="Tahoma" w:cs="Tahoma"/>
                <w:sz w:val="13"/>
              </w:rPr>
              <w:t>A</w:t>
            </w:r>
          </w:p>
        </w:tc>
        <w:tc>
          <w:tcPr>
            <w:tcW w:w="539" w:type="dxa"/>
            <w:tcBorders>
              <w:bottom w:val="single" w:sz="4" w:space="0" w:color="auto"/>
            </w:tcBorders>
            <w:shd w:val="clear" w:color="auto" w:fill="auto"/>
            <w:vAlign w:val="center"/>
          </w:tcPr>
          <w:p w:rsidR="00A5643F" w:rsidRPr="00A75DF9" w:rsidRDefault="00A5643F" w:rsidP="00F97D54">
            <w:pPr>
              <w:pStyle w:val="TableText"/>
              <w:widowControl w:val="0"/>
              <w:rPr>
                <w:rFonts w:ascii="Tahoma" w:hAnsi="Tahoma" w:cs="Tahoma"/>
                <w:color w:val="000000"/>
                <w:sz w:val="13"/>
              </w:rPr>
            </w:pPr>
          </w:p>
        </w:tc>
      </w:tr>
    </w:tbl>
    <w:bookmarkStart w:id="578" w:name="_Toc349586123"/>
    <w:bookmarkStart w:id="579" w:name="_Toc349586654"/>
    <w:bookmarkStart w:id="580" w:name="_Toc354459730"/>
    <w:bookmarkStart w:id="581" w:name="_Toc336338167"/>
    <w:p w:rsidR="00612FCC" w:rsidRPr="00A75DF9" w:rsidRDefault="000B31FC" w:rsidP="00652B91">
      <w:pPr>
        <w:rPr>
          <w:rFonts w:cs="Tahoma"/>
        </w:rPr>
      </w:pPr>
      <w:r>
        <w:rPr>
          <w:rFonts w:cs="Tahoma"/>
          <w:noProof/>
          <w:sz w:val="14"/>
        </w:rPr>
        <mc:AlternateContent>
          <mc:Choice Requires="wps">
            <w:drawing>
              <wp:anchor distT="0" distB="0" distL="114300" distR="114300" simplePos="0" relativeHeight="251656704" behindDoc="0" locked="0" layoutInCell="1" allowOverlap="1" wp14:anchorId="5F587C33" wp14:editId="60A1A62A">
                <wp:simplePos x="0" y="0"/>
                <wp:positionH relativeFrom="column">
                  <wp:posOffset>-331470</wp:posOffset>
                </wp:positionH>
                <wp:positionV relativeFrom="paragraph">
                  <wp:posOffset>117475</wp:posOffset>
                </wp:positionV>
                <wp:extent cx="6547485" cy="504190"/>
                <wp:effectExtent l="0" t="0" r="0" b="0"/>
                <wp:wrapTopAndBottom/>
                <wp:docPr id="2" name="Text Box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47485" cy="504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C5829" w:rsidRDefault="001C5829" w:rsidP="00C8780F">
                            <w:pPr>
                              <w:rPr>
                                <w:rFonts w:cs="Tahoma"/>
                                <w:i/>
                                <w:color w:val="000000"/>
                                <w:sz w:val="14"/>
                                <w:szCs w:val="14"/>
                              </w:rPr>
                            </w:pPr>
                            <w:proofErr w:type="spellStart"/>
                            <w:r>
                              <w:rPr>
                                <w:rFonts w:cs="Tahoma"/>
                                <w:i/>
                                <w:color w:val="000000"/>
                                <w:sz w:val="14"/>
                                <w:szCs w:val="14"/>
                              </w:rPr>
                              <w:t>Nota</w:t>
                            </w:r>
                            <w:proofErr w:type="spellEnd"/>
                            <w:r>
                              <w:rPr>
                                <w:rFonts w:cs="Tahoma"/>
                                <w:i/>
                                <w:color w:val="000000"/>
                                <w:sz w:val="14"/>
                                <w:szCs w:val="14"/>
                              </w:rPr>
                              <w:t xml:space="preserve">: se la </w:t>
                            </w:r>
                            <w:proofErr w:type="spellStart"/>
                            <w:r>
                              <w:rPr>
                                <w:rFonts w:cs="Tahoma"/>
                                <w:i/>
                                <w:color w:val="000000"/>
                                <w:sz w:val="14"/>
                                <w:szCs w:val="14"/>
                              </w:rPr>
                              <w:t>cella</w:t>
                            </w:r>
                            <w:proofErr w:type="spellEnd"/>
                            <w:r>
                              <w:rPr>
                                <w:rFonts w:cs="Tahoma"/>
                                <w:i/>
                                <w:color w:val="000000"/>
                                <w:sz w:val="14"/>
                                <w:szCs w:val="14"/>
                              </w:rPr>
                              <w:t xml:space="preserve"> </w:t>
                            </w:r>
                            <w:proofErr w:type="gramStart"/>
                            <w:r>
                              <w:rPr>
                                <w:rFonts w:cs="Tahoma"/>
                                <w:i/>
                                <w:color w:val="000000"/>
                                <w:sz w:val="14"/>
                                <w:szCs w:val="14"/>
                              </w:rPr>
                              <w:t>del</w:t>
                            </w:r>
                            <w:proofErr w:type="gramEnd"/>
                            <w:r>
                              <w:rPr>
                                <w:rFonts w:cs="Tahoma"/>
                                <w:i/>
                                <w:color w:val="000000"/>
                                <w:sz w:val="14"/>
                                <w:szCs w:val="14"/>
                              </w:rPr>
                              <w:t xml:space="preserve"> </w:t>
                            </w:r>
                            <w:proofErr w:type="spellStart"/>
                            <w:r>
                              <w:rPr>
                                <w:rFonts w:cs="Tahoma"/>
                                <w:i/>
                                <w:color w:val="000000"/>
                                <w:sz w:val="14"/>
                                <w:szCs w:val="14"/>
                              </w:rPr>
                              <w:t>prodotto</w:t>
                            </w:r>
                            <w:proofErr w:type="spellEnd"/>
                            <w:r>
                              <w:rPr>
                                <w:rFonts w:cs="Tahoma"/>
                                <w:i/>
                                <w:color w:val="000000"/>
                                <w:sz w:val="14"/>
                                <w:szCs w:val="14"/>
                              </w:rPr>
                              <w:t xml:space="preserve"> è </w:t>
                            </w:r>
                            <w:proofErr w:type="spellStart"/>
                            <w:r>
                              <w:rPr>
                                <w:rFonts w:cs="Tahoma"/>
                                <w:i/>
                                <w:color w:val="000000"/>
                                <w:sz w:val="14"/>
                                <w:szCs w:val="14"/>
                              </w:rPr>
                              <w:t>vuota</w:t>
                            </w:r>
                            <w:proofErr w:type="spellEnd"/>
                            <w:r>
                              <w:rPr>
                                <w:rFonts w:cs="Tahoma"/>
                                <w:i/>
                                <w:color w:val="000000"/>
                                <w:sz w:val="14"/>
                                <w:szCs w:val="14"/>
                              </w:rPr>
                              <w:t xml:space="preserve"> </w:t>
                            </w:r>
                            <w:proofErr w:type="spellStart"/>
                            <w:r>
                              <w:rPr>
                                <w:rFonts w:cs="Tahoma"/>
                                <w:i/>
                                <w:color w:val="000000"/>
                                <w:sz w:val="14"/>
                                <w:szCs w:val="14"/>
                              </w:rPr>
                              <w:t>significa</w:t>
                            </w:r>
                            <w:proofErr w:type="spellEnd"/>
                            <w:r>
                              <w:rPr>
                                <w:rFonts w:cs="Tahoma"/>
                                <w:i/>
                                <w:color w:val="000000"/>
                                <w:sz w:val="14"/>
                                <w:szCs w:val="14"/>
                              </w:rPr>
                              <w:t xml:space="preserve"> </w:t>
                            </w:r>
                            <w:proofErr w:type="spellStart"/>
                            <w:r>
                              <w:rPr>
                                <w:rFonts w:cs="Tahoma"/>
                                <w:i/>
                                <w:color w:val="000000"/>
                                <w:sz w:val="14"/>
                                <w:szCs w:val="14"/>
                              </w:rPr>
                              <w:t>che</w:t>
                            </w:r>
                            <w:proofErr w:type="spellEnd"/>
                            <w:r>
                              <w:rPr>
                                <w:rFonts w:cs="Tahoma"/>
                                <w:i/>
                                <w:color w:val="000000"/>
                                <w:sz w:val="14"/>
                                <w:szCs w:val="14"/>
                              </w:rPr>
                              <w:t xml:space="preserve"> </w:t>
                            </w:r>
                            <w:proofErr w:type="spellStart"/>
                            <w:r>
                              <w:rPr>
                                <w:rFonts w:cs="Tahoma"/>
                                <w:i/>
                                <w:color w:val="000000"/>
                                <w:sz w:val="14"/>
                                <w:szCs w:val="14"/>
                              </w:rPr>
                              <w:t>il</w:t>
                            </w:r>
                            <w:proofErr w:type="spellEnd"/>
                            <w:r>
                              <w:rPr>
                                <w:rFonts w:cs="Tahoma"/>
                                <w:i/>
                                <w:color w:val="000000"/>
                                <w:sz w:val="14"/>
                                <w:szCs w:val="14"/>
                              </w:rPr>
                              <w:t xml:space="preserve"> </w:t>
                            </w:r>
                            <w:proofErr w:type="spellStart"/>
                            <w:r>
                              <w:rPr>
                                <w:rFonts w:cs="Tahoma"/>
                                <w:i/>
                                <w:color w:val="000000"/>
                                <w:sz w:val="14"/>
                                <w:szCs w:val="14"/>
                              </w:rPr>
                              <w:t>prodotto</w:t>
                            </w:r>
                            <w:proofErr w:type="spellEnd"/>
                            <w:r>
                              <w:rPr>
                                <w:rFonts w:cs="Tahoma"/>
                                <w:i/>
                                <w:color w:val="000000"/>
                                <w:sz w:val="14"/>
                                <w:szCs w:val="14"/>
                              </w:rPr>
                              <w:t xml:space="preserve"> non è </w:t>
                            </w:r>
                            <w:proofErr w:type="spellStart"/>
                            <w:r>
                              <w:rPr>
                                <w:rFonts w:cs="Tahoma"/>
                                <w:i/>
                                <w:color w:val="000000"/>
                                <w:sz w:val="14"/>
                                <w:szCs w:val="14"/>
                              </w:rPr>
                              <w:t>attualmente</w:t>
                            </w:r>
                            <w:proofErr w:type="spellEnd"/>
                            <w:r>
                              <w:rPr>
                                <w:rFonts w:cs="Tahoma"/>
                                <w:i/>
                                <w:color w:val="000000"/>
                                <w:sz w:val="14"/>
                                <w:szCs w:val="14"/>
                              </w:rPr>
                              <w:t xml:space="preserve"> </w:t>
                            </w:r>
                            <w:proofErr w:type="spellStart"/>
                            <w:r>
                              <w:rPr>
                                <w:rFonts w:cs="Tahoma"/>
                                <w:i/>
                                <w:color w:val="000000"/>
                                <w:sz w:val="14"/>
                                <w:szCs w:val="14"/>
                              </w:rPr>
                              <w:t>offerto</w:t>
                            </w:r>
                            <w:proofErr w:type="spellEnd"/>
                            <w:r>
                              <w:rPr>
                                <w:rFonts w:cs="Tahoma"/>
                                <w:i/>
                                <w:color w:val="000000"/>
                                <w:sz w:val="14"/>
                                <w:szCs w:val="14"/>
                              </w:rPr>
                              <w:t xml:space="preserve"> </w:t>
                            </w:r>
                            <w:proofErr w:type="spellStart"/>
                            <w:r>
                              <w:rPr>
                                <w:rFonts w:cs="Tahoma"/>
                                <w:i/>
                                <w:color w:val="000000"/>
                                <w:sz w:val="14"/>
                                <w:szCs w:val="14"/>
                              </w:rPr>
                              <w:t>nel</w:t>
                            </w:r>
                            <w:proofErr w:type="spellEnd"/>
                            <w:r>
                              <w:rPr>
                                <w:rFonts w:cs="Tahoma"/>
                                <w:i/>
                                <w:color w:val="000000"/>
                                <w:sz w:val="14"/>
                                <w:szCs w:val="14"/>
                              </w:rPr>
                              <w:t xml:space="preserve"> </w:t>
                            </w:r>
                            <w:proofErr w:type="spellStart"/>
                            <w:r>
                              <w:rPr>
                                <w:rFonts w:cs="Tahoma"/>
                                <w:i/>
                                <w:color w:val="000000"/>
                                <w:sz w:val="14"/>
                                <w:szCs w:val="14"/>
                              </w:rPr>
                              <w:t>programma</w:t>
                            </w:r>
                            <w:proofErr w:type="spellEnd"/>
                            <w:r>
                              <w:rPr>
                                <w:rFonts w:cs="Tahoma"/>
                                <w:i/>
                                <w:color w:val="000000"/>
                                <w:sz w:val="14"/>
                                <w:szCs w:val="14"/>
                              </w:rPr>
                              <w:t>.</w:t>
                            </w:r>
                          </w:p>
                          <w:p w:rsidR="001C5829" w:rsidRDefault="001C5829" w:rsidP="00C8780F">
                            <w:pPr>
                              <w:rPr>
                                <w:rFonts w:cs="Tahoma"/>
                                <w:i/>
                                <w:color w:val="000000"/>
                                <w:sz w:val="14"/>
                                <w:szCs w:val="14"/>
                              </w:rPr>
                            </w:pPr>
                            <w:r>
                              <w:rPr>
                                <w:rFonts w:cs="Tahoma"/>
                                <w:i/>
                                <w:color w:val="000000"/>
                                <w:sz w:val="14"/>
                                <w:szCs w:val="14"/>
                              </w:rPr>
                              <w:t xml:space="preserve">*Per </w:t>
                            </w:r>
                            <w:proofErr w:type="spellStart"/>
                            <w:r>
                              <w:rPr>
                                <w:rFonts w:cs="Tahoma"/>
                                <w:i/>
                                <w:color w:val="000000"/>
                                <w:sz w:val="14"/>
                                <w:szCs w:val="14"/>
                              </w:rPr>
                              <w:t>quanto</w:t>
                            </w:r>
                            <w:proofErr w:type="spellEnd"/>
                            <w:r>
                              <w:rPr>
                                <w:rFonts w:cs="Tahoma"/>
                                <w:i/>
                                <w:color w:val="000000"/>
                                <w:sz w:val="14"/>
                                <w:szCs w:val="14"/>
                              </w:rPr>
                              <w:t xml:space="preserve"> </w:t>
                            </w:r>
                            <w:proofErr w:type="spellStart"/>
                            <w:r>
                              <w:rPr>
                                <w:rFonts w:cs="Tahoma"/>
                                <w:i/>
                                <w:color w:val="000000"/>
                                <w:sz w:val="14"/>
                                <w:szCs w:val="14"/>
                              </w:rPr>
                              <w:t>riguarda</w:t>
                            </w:r>
                            <w:proofErr w:type="spellEnd"/>
                            <w:r>
                              <w:rPr>
                                <w:rFonts w:cs="Tahoma"/>
                                <w:i/>
                                <w:color w:val="000000"/>
                                <w:sz w:val="14"/>
                                <w:szCs w:val="14"/>
                              </w:rPr>
                              <w:t xml:space="preserve"> Select Plus </w:t>
                            </w:r>
                            <w:proofErr w:type="spellStart"/>
                            <w:r>
                              <w:rPr>
                                <w:rFonts w:cs="Tahoma"/>
                                <w:i/>
                                <w:color w:val="000000"/>
                                <w:sz w:val="14"/>
                                <w:szCs w:val="14"/>
                              </w:rPr>
                              <w:t>verranno</w:t>
                            </w:r>
                            <w:proofErr w:type="spellEnd"/>
                            <w:r>
                              <w:rPr>
                                <w:rFonts w:cs="Tahoma"/>
                                <w:i/>
                                <w:color w:val="000000"/>
                                <w:sz w:val="14"/>
                                <w:szCs w:val="14"/>
                              </w:rPr>
                              <w:t xml:space="preserve"> </w:t>
                            </w:r>
                            <w:proofErr w:type="spellStart"/>
                            <w:r>
                              <w:rPr>
                                <w:rFonts w:cs="Tahoma"/>
                                <w:i/>
                                <w:color w:val="000000"/>
                                <w:sz w:val="14"/>
                                <w:szCs w:val="14"/>
                              </w:rPr>
                              <w:t>utilizzati</w:t>
                            </w:r>
                            <w:proofErr w:type="spellEnd"/>
                            <w:r>
                              <w:rPr>
                                <w:rFonts w:cs="Tahoma"/>
                                <w:i/>
                                <w:color w:val="000000"/>
                                <w:sz w:val="14"/>
                                <w:szCs w:val="14"/>
                              </w:rPr>
                              <w:t xml:space="preserve"> solo </w:t>
                            </w:r>
                            <w:proofErr w:type="spellStart"/>
                            <w:r>
                              <w:rPr>
                                <w:rFonts w:cs="Tahoma"/>
                                <w:i/>
                                <w:color w:val="000000"/>
                                <w:sz w:val="14"/>
                                <w:szCs w:val="14"/>
                              </w:rPr>
                              <w:t>i</w:t>
                            </w:r>
                            <w:proofErr w:type="spellEnd"/>
                            <w:r>
                              <w:rPr>
                                <w:rFonts w:cs="Tahoma"/>
                                <w:i/>
                                <w:color w:val="000000"/>
                                <w:sz w:val="14"/>
                                <w:szCs w:val="14"/>
                              </w:rPr>
                              <w:t xml:space="preserve"> </w:t>
                            </w:r>
                            <w:proofErr w:type="spellStart"/>
                            <w:r>
                              <w:rPr>
                                <w:rFonts w:cs="Tahoma"/>
                                <w:i/>
                                <w:color w:val="000000"/>
                                <w:sz w:val="14"/>
                                <w:szCs w:val="14"/>
                              </w:rPr>
                              <w:t>valori</w:t>
                            </w:r>
                            <w:proofErr w:type="spellEnd"/>
                            <w:r>
                              <w:rPr>
                                <w:rFonts w:cs="Tahoma"/>
                                <w:i/>
                                <w:color w:val="000000"/>
                                <w:sz w:val="14"/>
                                <w:szCs w:val="14"/>
                              </w:rPr>
                              <w:t xml:space="preserve"> "L" e </w:t>
                            </w:r>
                            <w:proofErr w:type="spellStart"/>
                            <w:r>
                              <w:rPr>
                                <w:rFonts w:cs="Tahoma"/>
                                <w:i/>
                                <w:color w:val="000000"/>
                                <w:sz w:val="14"/>
                                <w:szCs w:val="14"/>
                              </w:rPr>
                              <w:t>tre</w:t>
                            </w:r>
                            <w:proofErr w:type="spellEnd"/>
                            <w:r>
                              <w:rPr>
                                <w:rFonts w:cs="Tahoma"/>
                                <w:i/>
                                <w:color w:val="000000"/>
                                <w:sz w:val="14"/>
                                <w:szCs w:val="14"/>
                              </w:rPr>
                              <w:t xml:space="preserve"> </w:t>
                            </w:r>
                            <w:proofErr w:type="spellStart"/>
                            <w:r>
                              <w:rPr>
                                <w:rFonts w:cs="Tahoma"/>
                                <w:i/>
                                <w:color w:val="000000"/>
                                <w:sz w:val="14"/>
                                <w:szCs w:val="14"/>
                              </w:rPr>
                              <w:t>anni</w:t>
                            </w:r>
                            <w:proofErr w:type="spellEnd"/>
                            <w:r>
                              <w:rPr>
                                <w:rFonts w:cs="Tahoma"/>
                                <w:i/>
                                <w:color w:val="000000"/>
                                <w:sz w:val="14"/>
                                <w:szCs w:val="14"/>
                              </w:rPr>
                              <w:t xml:space="preserve"> per "L&amp;SA" / "SA".</w:t>
                            </w:r>
                          </w:p>
                          <w:p w:rsidR="001C5829" w:rsidRDefault="001C5829" w:rsidP="00C8780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9" o:spid="_x0000_s1029" type="#_x0000_t202" style="position:absolute;margin-left:-26.1pt;margin-top:9.25pt;width:515.55pt;height:39.7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" filled="f" stroked="f">
                <v:textbox>
                  <w:txbxContent>
                    <w:p w:rsidR="001C5829" w:rsidRDefault="001C5829" w:rsidP="00C8780F">
                      <w:pPr>
                        <w:rPr>
                          <w:rFonts w:cs="Tahoma"/>
                          <w:i/>
                          <w:color w:val="000000"/>
                          <w:sz w:val="14"/>
                          <w:szCs w:val="14"/>
                        </w:rPr>
                      </w:pPr>
                      <w:r>
                        <w:rPr>
                          <w:rFonts w:cs="Tahoma"/>
                          <w:i/>
                          <w:color w:val="000000"/>
                          <w:sz w:val="14"/>
                          <w:szCs w:val="14"/>
                        </w:rPr>
                        <w:t>Nota: se la cella del prodotto è vuota significa che il prodotto non è attualmente offerto nel programma.</w:t>
                      </w:r>
                    </w:p>
                    <w:p w:rsidR="001C5829" w:rsidRDefault="001C5829" w:rsidP="00C8780F">
                      <w:pPr>
                        <w:rPr>
                          <w:rFonts w:cs="Tahoma"/>
                          <w:i/>
                          <w:color w:val="000000"/>
                          <w:sz w:val="14"/>
                          <w:szCs w:val="14"/>
                        </w:rPr>
                      </w:pPr>
                      <w:r>
                        <w:rPr>
                          <w:rFonts w:cs="Tahoma"/>
                          <w:i/>
                          <w:color w:val="000000"/>
                          <w:sz w:val="14"/>
                          <w:szCs w:val="14"/>
                        </w:rPr>
                        <w:t>*Per quanto riguarda Select Plus verranno utilizzati solo i valori "L" e tre anni per "L&amp;SA" / "SA".</w:t>
                      </w:r>
                    </w:p>
                    <w:p w:rsidR="001C5829" w:rsidRDefault="001C5829" w:rsidP="00C8780F"/>
                  </w:txbxContent>
                </v:textbox>
                <w10:wrap type="topAndBottom"/>
              </v:shape>
            </w:pict>
          </mc:Fallback>
        </mc:AlternateContent>
      </w:r>
      <w:bookmarkEnd w:id="578"/>
      <w:bookmarkEnd w:id="579"/>
      <w:bookmarkEnd w:id="580"/>
      <w:r w:rsidR="00734B17" w:rsidRPr="00A75DF9">
        <w:rPr>
          <w:rFonts w:cs="Tahoma"/>
        </w:rPr>
        <w:br w:type="page"/>
      </w:r>
    </w:p>
    <w:p w:rsidR="00023FE7" w:rsidRPr="00A75DF9" w:rsidRDefault="00A33112" w:rsidP="0053746E">
      <w:pPr>
        <w:pStyle w:val="Heading1"/>
        <w:spacing w:before="0"/>
        <w:rPr>
          <w:rFonts w:cs="Tahoma"/>
        </w:rPr>
      </w:pPr>
      <w:bookmarkStart w:id="582" w:name="_Toc349586124"/>
      <w:bookmarkStart w:id="583" w:name="_Toc368310160"/>
      <w:r w:rsidRPr="00A75DF9">
        <w:rPr>
          <w:rFonts w:cs="Tahoma"/>
        </w:rPr>
        <w:lastRenderedPageBreak/>
        <w:t>ARTICOLO 1 - Modifiche apportate alla LISTA DEI PRODOTTI</w:t>
      </w:r>
      <w:bookmarkEnd w:id="582"/>
      <w:r w:rsidRPr="00A75DF9">
        <w:rPr>
          <w:rFonts w:cs="Tahoma"/>
        </w:rPr>
        <w:t xml:space="preserve"> negli ultimi 12 mesi</w:t>
      </w:r>
      <w:bookmarkEnd w:id="581"/>
      <w:bookmarkEnd w:id="583"/>
    </w:p>
    <w:p w:rsidR="00D94BF5" w:rsidRPr="00A75DF9" w:rsidRDefault="00D94BF5" w:rsidP="00D94BF5">
      <w:pPr>
        <w:pStyle w:val="Heading2"/>
        <w:ind w:left="0"/>
        <w:jc w:val="both"/>
        <w:rPr>
          <w:rFonts w:ascii="Tahoma" w:hAnsi="Tahoma" w:cs="Tahoma"/>
        </w:rPr>
      </w:pPr>
      <w:bookmarkStart w:id="584" w:name="_Toc336338168"/>
    </w:p>
    <w:p w:rsidR="00C87808" w:rsidRPr="00A75DF9" w:rsidRDefault="00C87808" w:rsidP="00D94BF5">
      <w:pPr>
        <w:pStyle w:val="Heading2"/>
        <w:ind w:left="0"/>
        <w:jc w:val="both"/>
        <w:rPr>
          <w:rFonts w:ascii="Tahoma" w:hAnsi="Tahoma" w:cs="Tahoma"/>
        </w:rPr>
      </w:pPr>
      <w:bookmarkStart w:id="585" w:name="_Toc368310161"/>
      <w:r w:rsidRPr="00A75DF9">
        <w:rPr>
          <w:rFonts w:ascii="Tahoma" w:hAnsi="Tahoma" w:cs="Tahoma"/>
          <w:color w:val="FF6600"/>
        </w:rPr>
        <w:t>MODIFICHE APPORTATE NEL MESE DI OTTOBRE 2013</w:t>
      </w:r>
      <w:bookmarkEnd w:id="585"/>
    </w:p>
    <w:p w:rsidR="00C87808" w:rsidRPr="00A75DF9" w:rsidRDefault="00C87808" w:rsidP="00C87808">
      <w:pPr>
        <w:spacing w:after="60"/>
        <w:rPr>
          <w:rFonts w:cs="Tahoma"/>
        </w:rPr>
      </w:pPr>
    </w:p>
    <w:p w:rsidR="00C87808" w:rsidRPr="00A75DF9" w:rsidRDefault="00C87808" w:rsidP="00C87808">
      <w:pPr>
        <w:spacing w:after="60"/>
        <w:rPr>
          <w:rFonts w:cs="Tahoma"/>
        </w:rPr>
      </w:pPr>
      <w:r w:rsidRPr="00A75DF9">
        <w:rPr>
          <w:rFonts w:cs="Tahoma"/>
          <w:b/>
        </w:rPr>
        <w:t>Prodotti Aggiunti</w:t>
      </w:r>
    </w:p>
    <w:p w:rsidR="004D5959" w:rsidRPr="00A75DF9" w:rsidRDefault="004D5959" w:rsidP="00383917">
      <w:pPr>
        <w:rPr>
          <w:rFonts w:cs="Tahoma"/>
        </w:rPr>
      </w:pPr>
      <w:r w:rsidRPr="00A75DF9">
        <w:rPr>
          <w:rFonts w:cs="Tahoma"/>
        </w:rPr>
        <w:t>CAL per Microsoft Dynamics CRM 2013 Basic</w:t>
      </w:r>
    </w:p>
    <w:p w:rsidR="004D5959" w:rsidRPr="00A75DF9" w:rsidRDefault="004D5959" w:rsidP="00383917">
      <w:pPr>
        <w:rPr>
          <w:rFonts w:cs="Tahoma"/>
        </w:rPr>
      </w:pPr>
      <w:r w:rsidRPr="00A75DF9">
        <w:rPr>
          <w:rFonts w:cs="Tahoma"/>
        </w:rPr>
        <w:t>CAL Aggiuntiva per l</w:t>
      </w:r>
      <w:r w:rsidR="00F2643E">
        <w:rPr>
          <w:rFonts w:cs="Tahoma"/>
        </w:rPr>
        <w:t>’</w:t>
      </w:r>
      <w:r w:rsidRPr="00A75DF9">
        <w:rPr>
          <w:rFonts w:cs="Tahoma"/>
        </w:rPr>
        <w:t>Utilizzo di Microsoft Dynamics CRM 2013 Basic</w:t>
      </w:r>
    </w:p>
    <w:p w:rsidR="004D5959" w:rsidRPr="00A75DF9" w:rsidRDefault="004D5959" w:rsidP="00383917">
      <w:pPr>
        <w:rPr>
          <w:rFonts w:cs="Tahoma"/>
        </w:rPr>
      </w:pPr>
      <w:r w:rsidRPr="00A75DF9">
        <w:rPr>
          <w:rFonts w:cs="Tahoma"/>
        </w:rPr>
        <w:t>CAL per Microsoft Dynamics CRM 2013 Essential</w:t>
      </w:r>
    </w:p>
    <w:p w:rsidR="004D5959" w:rsidRPr="00A75DF9" w:rsidRDefault="004D5959" w:rsidP="00383917">
      <w:pPr>
        <w:rPr>
          <w:rFonts w:cs="Tahoma"/>
        </w:rPr>
      </w:pPr>
      <w:r w:rsidRPr="00A75DF9">
        <w:rPr>
          <w:rFonts w:cs="Tahoma"/>
        </w:rPr>
        <w:t>CAL per Microsoft Dynamics CRM 2013 Professional</w:t>
      </w:r>
    </w:p>
    <w:p w:rsidR="004D5959" w:rsidRPr="00A75DF9" w:rsidRDefault="004D5959" w:rsidP="00383917">
      <w:pPr>
        <w:rPr>
          <w:rFonts w:cs="Tahoma"/>
        </w:rPr>
      </w:pPr>
      <w:r w:rsidRPr="00A75DF9">
        <w:rPr>
          <w:rFonts w:cs="Tahoma"/>
        </w:rPr>
        <w:t>CAL Aggiuntiva per l</w:t>
      </w:r>
      <w:r w:rsidR="00F2643E">
        <w:rPr>
          <w:rFonts w:cs="Tahoma"/>
        </w:rPr>
        <w:t>’</w:t>
      </w:r>
      <w:r w:rsidRPr="00A75DF9">
        <w:rPr>
          <w:rFonts w:cs="Tahoma"/>
        </w:rPr>
        <w:t>Utilizzo di Microsoft Dynamics CRM 2013 Professional</w:t>
      </w:r>
    </w:p>
    <w:p w:rsidR="00453E57" w:rsidRPr="00A75DF9" w:rsidRDefault="00453E57" w:rsidP="00383917">
      <w:pPr>
        <w:rPr>
          <w:rFonts w:cs="Tahoma"/>
        </w:rPr>
      </w:pPr>
      <w:r w:rsidRPr="00A75DF9">
        <w:rPr>
          <w:rFonts w:cs="Tahoma"/>
        </w:rPr>
        <w:t>Microsoft Dynamics CRM 2013 Server</w:t>
      </w:r>
    </w:p>
    <w:p w:rsidR="00453E57" w:rsidRPr="00A75DF9" w:rsidRDefault="00453E57" w:rsidP="00383917">
      <w:pPr>
        <w:rPr>
          <w:rFonts w:cs="Tahoma"/>
        </w:rPr>
      </w:pPr>
      <w:r w:rsidRPr="00A75DF9">
        <w:rPr>
          <w:rFonts w:cs="Tahoma"/>
        </w:rPr>
        <w:t>Microsoft Dynamics CRM Workgroup Server 2013</w:t>
      </w:r>
    </w:p>
    <w:p w:rsidR="00CB4307" w:rsidRPr="00A75DF9" w:rsidRDefault="00CB4307" w:rsidP="00383917">
      <w:pPr>
        <w:rPr>
          <w:rFonts w:cs="Tahoma"/>
        </w:rPr>
      </w:pPr>
      <w:r w:rsidRPr="00A75DF9">
        <w:rPr>
          <w:rFonts w:cs="Tahoma"/>
        </w:rPr>
        <w:t>Microsoft Dynamics CRM Online Basic</w:t>
      </w:r>
    </w:p>
    <w:p w:rsidR="00CB4307" w:rsidRPr="00A75DF9" w:rsidRDefault="00CB4307" w:rsidP="00383917">
      <w:pPr>
        <w:rPr>
          <w:rFonts w:cs="Tahoma"/>
        </w:rPr>
      </w:pPr>
      <w:r w:rsidRPr="00A75DF9">
        <w:rPr>
          <w:rFonts w:cs="Tahoma"/>
        </w:rPr>
        <w:t>Microsoft Dynamics CRM Online Enhanced Support</w:t>
      </w:r>
    </w:p>
    <w:p w:rsidR="00CB4307" w:rsidRPr="00A75DF9" w:rsidRDefault="00CB4307" w:rsidP="00383917">
      <w:pPr>
        <w:rPr>
          <w:rFonts w:cs="Tahoma"/>
        </w:rPr>
      </w:pPr>
      <w:r w:rsidRPr="00A75DF9">
        <w:rPr>
          <w:rFonts w:cs="Tahoma"/>
        </w:rPr>
        <w:t>Microsoft Dynamics CRM Online Essential</w:t>
      </w:r>
    </w:p>
    <w:p w:rsidR="004D5959" w:rsidRPr="00A75DF9" w:rsidRDefault="004D5959" w:rsidP="00383917">
      <w:pPr>
        <w:rPr>
          <w:rFonts w:cs="Tahoma"/>
        </w:rPr>
      </w:pPr>
      <w:r w:rsidRPr="00A75DF9">
        <w:rPr>
          <w:rFonts w:cs="Tahoma"/>
        </w:rPr>
        <w:t>Microsoft Dynamics CRM Production Instance</w:t>
      </w:r>
    </w:p>
    <w:p w:rsidR="004D5959" w:rsidRPr="00A75DF9" w:rsidRDefault="004D5959" w:rsidP="00383917">
      <w:pPr>
        <w:rPr>
          <w:rFonts w:cs="Tahoma"/>
        </w:rPr>
      </w:pPr>
      <w:r w:rsidRPr="00A75DF9">
        <w:rPr>
          <w:rFonts w:cs="Tahoma"/>
        </w:rPr>
        <w:t>Microsoft Dynamics CRM Non-Production Instance</w:t>
      </w:r>
    </w:p>
    <w:p w:rsidR="00CB4307" w:rsidRPr="00A75DF9" w:rsidRDefault="00CB4307" w:rsidP="00383917">
      <w:pPr>
        <w:rPr>
          <w:rFonts w:cs="Tahoma"/>
        </w:rPr>
      </w:pPr>
      <w:r w:rsidRPr="00A75DF9">
        <w:rPr>
          <w:rFonts w:cs="Tahoma"/>
        </w:rPr>
        <w:t>Microsoft Dynamics CRM Online Professional</w:t>
      </w:r>
    </w:p>
    <w:p w:rsidR="00CB4307" w:rsidRPr="00A75DF9" w:rsidRDefault="00CB4307" w:rsidP="00383917">
      <w:pPr>
        <w:rPr>
          <w:rFonts w:cs="Tahoma"/>
        </w:rPr>
      </w:pPr>
      <w:r w:rsidRPr="00A75DF9">
        <w:rPr>
          <w:rFonts w:cs="Tahoma"/>
        </w:rPr>
        <w:t>Microsoft Dynamics CRM Online Professional Direct Support</w:t>
      </w:r>
    </w:p>
    <w:p w:rsidR="00CB4307" w:rsidRPr="00A75DF9" w:rsidRDefault="00CB4307" w:rsidP="00383917">
      <w:pPr>
        <w:rPr>
          <w:rFonts w:cs="Tahoma"/>
        </w:rPr>
      </w:pPr>
      <w:r w:rsidRPr="00A75DF9">
        <w:rPr>
          <w:rFonts w:cs="Tahoma"/>
        </w:rPr>
        <w:t>Microsoft Dynamics CRM Online Storage Windows Azure Active Directory Rights Management Add-on (SL per Utente)</w:t>
      </w:r>
    </w:p>
    <w:p w:rsidR="00C87808" w:rsidRPr="00A75DF9" w:rsidRDefault="00C87808" w:rsidP="00C87808">
      <w:pPr>
        <w:spacing w:after="60"/>
        <w:rPr>
          <w:rFonts w:cs="Tahoma"/>
        </w:rPr>
      </w:pPr>
    </w:p>
    <w:p w:rsidR="00C87808" w:rsidRPr="00A75DF9" w:rsidRDefault="00C87808" w:rsidP="00C87808">
      <w:pPr>
        <w:spacing w:after="60"/>
        <w:rPr>
          <w:rFonts w:cs="Tahoma"/>
        </w:rPr>
      </w:pPr>
      <w:r w:rsidRPr="00A75DF9">
        <w:rPr>
          <w:rFonts w:cs="Tahoma"/>
          <w:b/>
        </w:rPr>
        <w:t>Prodotti Eliminati</w:t>
      </w:r>
    </w:p>
    <w:p w:rsidR="00383917" w:rsidRPr="00A75DF9" w:rsidRDefault="00383917" w:rsidP="00383917">
      <w:pPr>
        <w:rPr>
          <w:rFonts w:cs="Tahoma"/>
        </w:rPr>
      </w:pPr>
      <w:r w:rsidRPr="00A75DF9">
        <w:rPr>
          <w:rFonts w:cs="Tahoma"/>
        </w:rPr>
        <w:t>Microsoft Dynamics CRM Online Extra Storage</w:t>
      </w:r>
    </w:p>
    <w:p w:rsidR="00383917" w:rsidRPr="00A75DF9" w:rsidRDefault="00383917" w:rsidP="00383917">
      <w:pPr>
        <w:rPr>
          <w:rFonts w:cs="Tahoma"/>
        </w:rPr>
      </w:pPr>
      <w:r w:rsidRPr="00A75DF9">
        <w:rPr>
          <w:rFonts w:cs="Tahoma"/>
        </w:rPr>
        <w:t>Microsoft Dynamics CRM Online Per Utente</w:t>
      </w:r>
    </w:p>
    <w:p w:rsidR="00383917" w:rsidRPr="00A75DF9" w:rsidRDefault="00383917" w:rsidP="00383917">
      <w:pPr>
        <w:rPr>
          <w:rFonts w:cs="Tahoma"/>
        </w:rPr>
      </w:pPr>
      <w:r w:rsidRPr="00A75DF9">
        <w:rPr>
          <w:rFonts w:cs="Tahoma"/>
        </w:rPr>
        <w:t>Microsoft Dynamics CRM Online per SA</w:t>
      </w:r>
    </w:p>
    <w:p w:rsidR="00383917" w:rsidRPr="00A75DF9" w:rsidRDefault="00383917" w:rsidP="00383917">
      <w:pPr>
        <w:rPr>
          <w:rFonts w:cs="Tahoma"/>
        </w:rPr>
      </w:pPr>
      <w:r w:rsidRPr="00A75DF9">
        <w:rPr>
          <w:rFonts w:cs="Tahoma"/>
        </w:rPr>
        <w:t>CAL per Microsoft Dynamics CRM 2011 (Utente e Dispositivo)</w:t>
      </w:r>
    </w:p>
    <w:p w:rsidR="00383917" w:rsidRPr="00A75DF9" w:rsidRDefault="00383917" w:rsidP="00383917">
      <w:pPr>
        <w:rPr>
          <w:rFonts w:cs="Tahoma"/>
        </w:rPr>
      </w:pPr>
      <w:r w:rsidRPr="00A75DF9">
        <w:rPr>
          <w:rFonts w:cs="Tahoma"/>
        </w:rPr>
        <w:t>Employee Self Service per Microsoft Dynamics CRM 2011 (Utente e Dispositivo)</w:t>
      </w:r>
    </w:p>
    <w:p w:rsidR="00383917" w:rsidRPr="00A75DF9" w:rsidRDefault="00383917" w:rsidP="00383917">
      <w:pPr>
        <w:rPr>
          <w:rFonts w:cs="Tahoma"/>
        </w:rPr>
      </w:pPr>
      <w:r w:rsidRPr="00A75DF9">
        <w:rPr>
          <w:rFonts w:cs="Tahoma"/>
        </w:rPr>
        <w:t>Microsoft Dynamics CRM 2011 External Connector</w:t>
      </w:r>
    </w:p>
    <w:p w:rsidR="00383917" w:rsidRPr="00A75DF9" w:rsidRDefault="00383917" w:rsidP="00383917">
      <w:pPr>
        <w:rPr>
          <w:rFonts w:cs="Tahoma"/>
        </w:rPr>
      </w:pPr>
      <w:r w:rsidRPr="00A75DF9">
        <w:rPr>
          <w:rFonts w:cs="Tahoma"/>
        </w:rPr>
        <w:t>CAL Aggiuntiva per l</w:t>
      </w:r>
      <w:r w:rsidR="00F2643E">
        <w:rPr>
          <w:rFonts w:cs="Tahoma"/>
        </w:rPr>
        <w:t>’</w:t>
      </w:r>
      <w:r w:rsidRPr="00A75DF9">
        <w:rPr>
          <w:rFonts w:cs="Tahoma"/>
        </w:rPr>
        <w:t>Utilizzo Completo di Microsoft Dynamics CRM 2011 (Utente e Dispositivo)</w:t>
      </w:r>
    </w:p>
    <w:p w:rsidR="00383917" w:rsidRPr="00A75DF9" w:rsidRDefault="00383917" w:rsidP="00383917">
      <w:pPr>
        <w:rPr>
          <w:rFonts w:cs="Tahoma"/>
        </w:rPr>
      </w:pPr>
      <w:r w:rsidRPr="00A75DF9">
        <w:rPr>
          <w:rFonts w:cs="Tahoma"/>
        </w:rPr>
        <w:t>CAL per l</w:t>
      </w:r>
      <w:r w:rsidR="00F2643E">
        <w:rPr>
          <w:rFonts w:cs="Tahoma"/>
        </w:rPr>
        <w:t>’</w:t>
      </w:r>
      <w:r w:rsidRPr="00A75DF9">
        <w:rPr>
          <w:rFonts w:cs="Tahoma"/>
        </w:rPr>
        <w:t>Utilizzo Limitato di Microsoft Dynamics CRM 2011 (Utente e Dispositivo)</w:t>
      </w:r>
    </w:p>
    <w:p w:rsidR="00383917" w:rsidRPr="00A75DF9" w:rsidRDefault="00383917" w:rsidP="00383917">
      <w:pPr>
        <w:rPr>
          <w:rFonts w:cs="Tahoma"/>
        </w:rPr>
      </w:pPr>
      <w:r w:rsidRPr="00A75DF9">
        <w:rPr>
          <w:rFonts w:cs="Tahoma"/>
        </w:rPr>
        <w:t>CAL Aggiuntiva per l</w:t>
      </w:r>
      <w:r w:rsidR="00F2643E">
        <w:rPr>
          <w:rFonts w:cs="Tahoma"/>
        </w:rPr>
        <w:t>’</w:t>
      </w:r>
      <w:r w:rsidRPr="00A75DF9">
        <w:rPr>
          <w:rFonts w:cs="Tahoma"/>
        </w:rPr>
        <w:t>Utilizzo Limitato di Microsoft Dynamics CRM 2011 (Utente e Dispositivo)</w:t>
      </w:r>
    </w:p>
    <w:p w:rsidR="00383917" w:rsidRPr="00A75DF9" w:rsidRDefault="00383917" w:rsidP="00383917">
      <w:pPr>
        <w:rPr>
          <w:rFonts w:cs="Tahoma"/>
        </w:rPr>
      </w:pPr>
      <w:r w:rsidRPr="00A75DF9">
        <w:rPr>
          <w:rFonts w:cs="Tahoma"/>
        </w:rPr>
        <w:t>Microsoft Dynamics CRM Server 2011</w:t>
      </w:r>
    </w:p>
    <w:p w:rsidR="00383917" w:rsidRPr="00A75DF9" w:rsidRDefault="00383917" w:rsidP="00383917">
      <w:pPr>
        <w:rPr>
          <w:rFonts w:cs="Tahoma"/>
        </w:rPr>
      </w:pPr>
      <w:r w:rsidRPr="00A75DF9">
        <w:rPr>
          <w:rFonts w:cs="Tahoma"/>
        </w:rPr>
        <w:t>Microsoft Dynamics CRM Workgroup Server 2011</w:t>
      </w:r>
    </w:p>
    <w:p w:rsidR="00CB4307" w:rsidRPr="00A75DF9" w:rsidRDefault="00CB4307" w:rsidP="00C87808">
      <w:pPr>
        <w:spacing w:after="60"/>
        <w:rPr>
          <w:rFonts w:cs="Tahoma"/>
        </w:rPr>
      </w:pPr>
      <w:r w:rsidRPr="00A75DF9">
        <w:rPr>
          <w:rFonts w:cs="Tahoma"/>
        </w:rPr>
        <w:t>Bing Maps Public Website Usage 250K Transactions Monthly Sub</w:t>
      </w:r>
    </w:p>
    <w:p w:rsidR="00C87808" w:rsidRPr="00A75DF9" w:rsidRDefault="00C87808" w:rsidP="00C87808">
      <w:pPr>
        <w:spacing w:after="60"/>
        <w:rPr>
          <w:rFonts w:cs="Tahoma"/>
        </w:rPr>
      </w:pPr>
    </w:p>
    <w:p w:rsidR="00C87808" w:rsidRPr="00A75DF9" w:rsidRDefault="00C87808" w:rsidP="00C87808">
      <w:pPr>
        <w:spacing w:after="60"/>
        <w:rPr>
          <w:rFonts w:cs="Tahoma"/>
        </w:rPr>
      </w:pPr>
      <w:r w:rsidRPr="00A75DF9">
        <w:rPr>
          <w:rFonts w:cs="Tahoma"/>
          <w:b/>
        </w:rPr>
        <w:t>Modifiche</w:t>
      </w:r>
    </w:p>
    <w:p w:rsidR="00CB4307" w:rsidRPr="00A75DF9" w:rsidRDefault="00CB4307" w:rsidP="00383917">
      <w:pPr>
        <w:rPr>
          <w:rFonts w:cs="Tahoma"/>
        </w:rPr>
      </w:pPr>
      <w:r w:rsidRPr="00A75DF9">
        <w:rPr>
          <w:rFonts w:cs="Tahoma"/>
        </w:rPr>
        <w:t>Bing Maps Enterprise Fee Monthly Sub</w:t>
      </w:r>
    </w:p>
    <w:p w:rsidR="00CB4307" w:rsidRPr="00A75DF9" w:rsidRDefault="00CB4307" w:rsidP="00383917">
      <w:pPr>
        <w:rPr>
          <w:rFonts w:cs="Tahoma"/>
        </w:rPr>
      </w:pPr>
      <w:r w:rsidRPr="00A75DF9">
        <w:rPr>
          <w:rFonts w:cs="Tahoma"/>
        </w:rPr>
        <w:t>Bing Maps Mobile Asset Management Platform Fee Monthly Sub</w:t>
      </w:r>
    </w:p>
    <w:p w:rsidR="00CB4307" w:rsidRPr="00A75DF9" w:rsidRDefault="00CB4307" w:rsidP="00383917">
      <w:pPr>
        <w:rPr>
          <w:rFonts w:cs="Tahoma"/>
        </w:rPr>
      </w:pPr>
      <w:r w:rsidRPr="00A75DF9">
        <w:rPr>
          <w:rFonts w:cs="Tahoma"/>
        </w:rPr>
        <w:t>Windows Azure Active Directory Rights Management (SL per Utente)</w:t>
      </w:r>
    </w:p>
    <w:p w:rsidR="00C87808" w:rsidRPr="00A75DF9" w:rsidRDefault="00C87808" w:rsidP="00D94BF5">
      <w:pPr>
        <w:pStyle w:val="Heading2"/>
        <w:ind w:left="0"/>
        <w:jc w:val="both"/>
        <w:rPr>
          <w:rFonts w:ascii="Tahoma" w:hAnsi="Tahoma" w:cs="Tahoma"/>
        </w:rPr>
      </w:pPr>
    </w:p>
    <w:p w:rsidR="00C87808" w:rsidRPr="00A75DF9" w:rsidRDefault="00C87808" w:rsidP="00C87808">
      <w:pPr>
        <w:rPr>
          <w:rFonts w:cs="Tahoma"/>
        </w:rPr>
      </w:pPr>
    </w:p>
    <w:p w:rsidR="00D94BF5" w:rsidRPr="00A75DF9" w:rsidRDefault="00D94BF5" w:rsidP="00D94BF5">
      <w:pPr>
        <w:pStyle w:val="Heading2"/>
        <w:ind w:left="0"/>
        <w:jc w:val="both"/>
        <w:rPr>
          <w:rFonts w:ascii="Tahoma" w:hAnsi="Tahoma" w:cs="Tahoma"/>
        </w:rPr>
      </w:pPr>
      <w:bookmarkStart w:id="586" w:name="_Toc368310162"/>
      <w:r w:rsidRPr="00A75DF9">
        <w:rPr>
          <w:rFonts w:ascii="Tahoma" w:hAnsi="Tahoma" w:cs="Tahoma"/>
          <w:color w:val="FF6600"/>
        </w:rPr>
        <w:t>MODIFICHE APPORTATE NEL MESE DI SETTEMBRE 2013</w:t>
      </w:r>
      <w:bookmarkEnd w:id="586"/>
    </w:p>
    <w:p w:rsidR="00D94BF5" w:rsidRPr="00A75DF9" w:rsidRDefault="00D94BF5" w:rsidP="00D94BF5">
      <w:pPr>
        <w:spacing w:after="60"/>
        <w:rPr>
          <w:rFonts w:cs="Tahoma"/>
        </w:rPr>
      </w:pPr>
    </w:p>
    <w:p w:rsidR="00D94BF5" w:rsidRPr="00A75DF9" w:rsidRDefault="00D94BF5" w:rsidP="0047054A">
      <w:pPr>
        <w:spacing w:after="60"/>
        <w:rPr>
          <w:rFonts w:cs="Tahoma"/>
        </w:rPr>
      </w:pPr>
      <w:r w:rsidRPr="00A75DF9">
        <w:rPr>
          <w:rFonts w:cs="Tahoma"/>
          <w:b/>
        </w:rPr>
        <w:t>Prodotti Aggiunti</w:t>
      </w:r>
    </w:p>
    <w:p w:rsidR="00D40DF3" w:rsidRPr="00A75DF9" w:rsidRDefault="00D40DF3" w:rsidP="00652B91">
      <w:pPr>
        <w:rPr>
          <w:rFonts w:cs="Tahoma"/>
        </w:rPr>
      </w:pPr>
      <w:r w:rsidRPr="00A75DF9">
        <w:rPr>
          <w:rFonts w:cs="Tahoma"/>
        </w:rPr>
        <w:t>Windows Azure Active Directory Rights Management</w:t>
      </w:r>
    </w:p>
    <w:p w:rsidR="00D40DF3" w:rsidRPr="00A75DF9" w:rsidRDefault="00D40DF3" w:rsidP="00652B91">
      <w:pPr>
        <w:rPr>
          <w:rFonts w:cs="Tahoma"/>
        </w:rPr>
      </w:pPr>
    </w:p>
    <w:p w:rsidR="00D94BF5" w:rsidRPr="00A75DF9" w:rsidRDefault="00D94BF5" w:rsidP="0047054A">
      <w:pPr>
        <w:spacing w:after="60"/>
        <w:rPr>
          <w:rFonts w:cs="Tahoma"/>
        </w:rPr>
      </w:pPr>
      <w:r w:rsidRPr="00A75DF9">
        <w:rPr>
          <w:rFonts w:cs="Tahoma"/>
          <w:b/>
        </w:rPr>
        <w:t>Promozioni</w:t>
      </w:r>
    </w:p>
    <w:p w:rsidR="00D94BF5" w:rsidRPr="00A75DF9" w:rsidRDefault="00D40DF3" w:rsidP="00652B91">
      <w:pPr>
        <w:rPr>
          <w:rFonts w:cs="Tahoma"/>
        </w:rPr>
      </w:pPr>
      <w:r w:rsidRPr="00A75DF9">
        <w:rPr>
          <w:rFonts w:cs="Tahoma"/>
        </w:rPr>
        <w:t>Sono state aggiunte le seguenti promozioni:</w:t>
      </w:r>
    </w:p>
    <w:p w:rsidR="00D40DF3" w:rsidRPr="00A75DF9" w:rsidRDefault="00D40DF3" w:rsidP="00652B91">
      <w:pPr>
        <w:rPr>
          <w:rFonts w:cs="Tahoma"/>
        </w:rPr>
      </w:pPr>
      <w:r w:rsidRPr="00A75DF9">
        <w:rPr>
          <w:rStyle w:val="Strong"/>
          <w:rFonts w:cs="Tahoma"/>
          <w:b w:val="0"/>
          <w:color w:val="000000" w:themeColor="text1"/>
          <w:szCs w:val="18"/>
          <w:bdr w:val="none" w:sz="0" w:space="0" w:color="auto" w:frame="1"/>
          <w:shd w:val="clear" w:color="auto" w:fill="FFFFFF"/>
        </w:rPr>
        <w:t>Promozione di Windows Companion Kickstart</w:t>
      </w:r>
    </w:p>
    <w:p w:rsidR="00F67139" w:rsidRPr="00A75DF9" w:rsidRDefault="00F67139" w:rsidP="00652B91">
      <w:pPr>
        <w:rPr>
          <w:rFonts w:cs="Tahoma"/>
        </w:rPr>
      </w:pPr>
      <w:r w:rsidRPr="00A75DF9">
        <w:rPr>
          <w:rStyle w:val="Strong"/>
          <w:rFonts w:cs="Tahoma"/>
          <w:b w:val="0"/>
          <w:color w:val="000000" w:themeColor="text1"/>
          <w:szCs w:val="18"/>
          <w:bdr w:val="none" w:sz="0" w:space="0" w:color="auto" w:frame="1"/>
          <w:shd w:val="clear" w:color="auto" w:fill="FFFFFF"/>
        </w:rPr>
        <w:t>Windows Legalization Drive</w:t>
      </w:r>
    </w:p>
    <w:p w:rsidR="00D40DF3" w:rsidRPr="00A75DF9" w:rsidRDefault="00D40DF3" w:rsidP="00652B91">
      <w:pPr>
        <w:rPr>
          <w:rFonts w:cs="Tahoma"/>
        </w:rPr>
      </w:pPr>
      <w:r w:rsidRPr="00A75DF9">
        <w:rPr>
          <w:rStyle w:val="Strong"/>
          <w:rFonts w:cs="Tahoma"/>
          <w:b w:val="0"/>
          <w:color w:val="000000" w:themeColor="text1"/>
          <w:szCs w:val="18"/>
          <w:bdr w:val="none" w:sz="0" w:space="0" w:color="auto" w:frame="1"/>
          <w:shd w:val="clear" w:color="auto" w:fill="FFFFFF"/>
        </w:rPr>
        <w:t>Promozione di</w:t>
      </w:r>
      <w:r w:rsidRPr="00A75DF9">
        <w:rPr>
          <w:rFonts w:cs="Tahoma"/>
          <w:b/>
          <w:color w:val="000000" w:themeColor="text1"/>
          <w:szCs w:val="18"/>
          <w:bdr w:val="none" w:sz="0" w:space="0" w:color="auto" w:frame="1"/>
          <w:shd w:val="clear" w:color="auto" w:fill="FFFFFF"/>
        </w:rPr>
        <w:t xml:space="preserve"> </w:t>
      </w:r>
      <w:r w:rsidRPr="00A75DF9">
        <w:rPr>
          <w:rStyle w:val="Strong"/>
          <w:rFonts w:cs="Tahoma"/>
          <w:b w:val="0"/>
          <w:color w:val="000000" w:themeColor="text1"/>
          <w:szCs w:val="18"/>
          <w:bdr w:val="none" w:sz="0" w:space="0" w:color="auto" w:frame="1"/>
          <w:shd w:val="clear" w:color="auto" w:fill="FFFFFF"/>
        </w:rPr>
        <w:t>Windows Intune</w:t>
      </w:r>
      <w:r w:rsidRPr="00A75DF9">
        <w:rPr>
          <w:rFonts w:cs="Tahoma"/>
          <w:b/>
          <w:color w:val="000000" w:themeColor="text1"/>
          <w:szCs w:val="18"/>
          <w:bdr w:val="none" w:sz="0" w:space="0" w:color="auto" w:frame="1"/>
          <w:shd w:val="clear" w:color="auto" w:fill="FFFFFF"/>
        </w:rPr>
        <w:t xml:space="preserve"> </w:t>
      </w:r>
    </w:p>
    <w:p w:rsidR="00D94BF5" w:rsidRPr="00A75DF9" w:rsidRDefault="00D94BF5" w:rsidP="0047054A">
      <w:pPr>
        <w:spacing w:after="60"/>
        <w:rPr>
          <w:rFonts w:cs="Tahoma"/>
        </w:rPr>
      </w:pPr>
      <w:r w:rsidRPr="00A75DF9">
        <w:rPr>
          <w:rFonts w:cs="Tahoma"/>
          <w:b/>
        </w:rPr>
        <w:lastRenderedPageBreak/>
        <w:t>Prodotti Eliminati</w:t>
      </w:r>
    </w:p>
    <w:p w:rsidR="00D40DF3" w:rsidRPr="00A75DF9" w:rsidRDefault="00D40DF3" w:rsidP="00652B91">
      <w:pPr>
        <w:rPr>
          <w:rFonts w:cs="Tahoma"/>
        </w:rPr>
      </w:pPr>
      <w:r w:rsidRPr="00A75DF9">
        <w:rPr>
          <w:rFonts w:cs="Tahoma"/>
        </w:rPr>
        <w:t>Office 365 Enterprise E2 (SL per Utente)</w:t>
      </w:r>
    </w:p>
    <w:p w:rsidR="00D40DF3" w:rsidRPr="00A75DF9" w:rsidRDefault="00D40DF3" w:rsidP="00652B91">
      <w:pPr>
        <w:rPr>
          <w:rFonts w:cs="Tahoma"/>
        </w:rPr>
      </w:pPr>
      <w:r w:rsidRPr="00A75DF9">
        <w:rPr>
          <w:rFonts w:cs="Tahoma"/>
        </w:rPr>
        <w:t>Office 365 Enterprise K2 (SL per Utente)</w:t>
      </w:r>
    </w:p>
    <w:p w:rsidR="00D40DF3" w:rsidRPr="00A75DF9" w:rsidRDefault="00D40DF3" w:rsidP="00652B91">
      <w:pPr>
        <w:rPr>
          <w:rFonts w:cs="Tahoma"/>
        </w:rPr>
      </w:pPr>
      <w:r w:rsidRPr="00A75DF9">
        <w:rPr>
          <w:rFonts w:cs="Tahoma"/>
        </w:rPr>
        <w:t>System Center Essentials 2010</w:t>
      </w:r>
    </w:p>
    <w:p w:rsidR="00D40DF3" w:rsidRPr="00A75DF9" w:rsidRDefault="00D40DF3" w:rsidP="00652B91">
      <w:pPr>
        <w:rPr>
          <w:rFonts w:cs="Tahoma"/>
        </w:rPr>
      </w:pPr>
      <w:r w:rsidRPr="00A75DF9">
        <w:rPr>
          <w:rFonts w:cs="Tahoma"/>
        </w:rPr>
        <w:t>Server ML per System Center Essentials 2010</w:t>
      </w:r>
    </w:p>
    <w:p w:rsidR="00D40DF3" w:rsidRPr="00A75DF9" w:rsidRDefault="00D40DF3" w:rsidP="00652B91">
      <w:pPr>
        <w:rPr>
          <w:rFonts w:cs="Tahoma"/>
        </w:rPr>
      </w:pPr>
      <w:r w:rsidRPr="00A75DF9">
        <w:rPr>
          <w:rFonts w:cs="Tahoma"/>
        </w:rPr>
        <w:t>Client ML per System Center Essentials 2010</w:t>
      </w:r>
    </w:p>
    <w:p w:rsidR="00D40DF3" w:rsidRPr="00A75DF9" w:rsidRDefault="00D40DF3" w:rsidP="00652B91">
      <w:pPr>
        <w:rPr>
          <w:rFonts w:cs="Tahoma"/>
        </w:rPr>
      </w:pPr>
      <w:r w:rsidRPr="00A75DF9">
        <w:rPr>
          <w:rFonts w:cs="Tahoma"/>
        </w:rPr>
        <w:t>Client Management License Suite per System Center Essentials Plus 2010</w:t>
      </w:r>
    </w:p>
    <w:p w:rsidR="00A86BEB" w:rsidRPr="00A75DF9" w:rsidRDefault="00A86BEB" w:rsidP="00652B91">
      <w:pPr>
        <w:rPr>
          <w:rFonts w:cs="Tahoma"/>
        </w:rPr>
      </w:pPr>
      <w:r w:rsidRPr="00A75DF9">
        <w:rPr>
          <w:rFonts w:cs="Tahoma"/>
        </w:rPr>
        <w:t>TechNet Plus Direct</w:t>
      </w:r>
    </w:p>
    <w:p w:rsidR="00A86BEB" w:rsidRPr="00A75DF9" w:rsidRDefault="00A86BEB" w:rsidP="00652B91">
      <w:pPr>
        <w:rPr>
          <w:rFonts w:cs="Tahoma"/>
        </w:rPr>
      </w:pPr>
      <w:r w:rsidRPr="00A75DF9">
        <w:rPr>
          <w:rFonts w:cs="Tahoma"/>
        </w:rPr>
        <w:t>TechNet Plus Single User</w:t>
      </w:r>
    </w:p>
    <w:p w:rsidR="00D94BF5" w:rsidRPr="00A75DF9" w:rsidRDefault="00A86BEB" w:rsidP="00652B91">
      <w:pPr>
        <w:rPr>
          <w:rFonts w:cs="Tahoma"/>
        </w:rPr>
      </w:pPr>
      <w:r w:rsidRPr="00A75DF9">
        <w:rPr>
          <w:rFonts w:cs="Tahoma"/>
        </w:rPr>
        <w:t>Sottoscrizioni TechNet</w:t>
      </w:r>
    </w:p>
    <w:p w:rsidR="00A86BEB" w:rsidRPr="00A75DF9" w:rsidRDefault="00A86BEB" w:rsidP="00652B91">
      <w:pPr>
        <w:rPr>
          <w:rFonts w:cs="Tahoma"/>
        </w:rPr>
      </w:pPr>
    </w:p>
    <w:p w:rsidR="00D94BF5" w:rsidRPr="00A75DF9" w:rsidRDefault="00D94BF5" w:rsidP="0047054A">
      <w:pPr>
        <w:spacing w:after="60"/>
        <w:rPr>
          <w:rFonts w:cs="Tahoma"/>
        </w:rPr>
      </w:pPr>
      <w:r w:rsidRPr="00A75DF9">
        <w:rPr>
          <w:rFonts w:cs="Tahoma"/>
          <w:b/>
        </w:rPr>
        <w:t>Modifiche</w:t>
      </w:r>
    </w:p>
    <w:p w:rsidR="00471E00" w:rsidRPr="00A75DF9" w:rsidRDefault="00C358B7" w:rsidP="0053746E">
      <w:pPr>
        <w:rPr>
          <w:rFonts w:cs="Tahoma"/>
        </w:rPr>
      </w:pPr>
      <w:r w:rsidRPr="00A75DF9">
        <w:rPr>
          <w:rFonts w:cs="Tahoma"/>
          <w:color w:val="000000" w:themeColor="text1"/>
        </w:rPr>
        <w:t>Learning Solutions E-Reference Library (SL per Utente) cambiato in Microsoft Learning E-Reference Library (SL</w:t>
      </w:r>
      <w:r w:rsidR="0053746E">
        <w:rPr>
          <w:rFonts w:cs="Tahoma"/>
          <w:color w:val="000000" w:themeColor="text1"/>
        </w:rPr>
        <w:t> </w:t>
      </w:r>
      <w:r w:rsidRPr="00A75DF9">
        <w:rPr>
          <w:rFonts w:cs="Tahoma"/>
          <w:color w:val="000000" w:themeColor="text1"/>
        </w:rPr>
        <w:t>per</w:t>
      </w:r>
      <w:r w:rsidR="00791108">
        <w:rPr>
          <w:rFonts w:cs="Tahoma"/>
          <w:color w:val="000000" w:themeColor="text1"/>
        </w:rPr>
        <w:t xml:space="preserve"> </w:t>
      </w:r>
      <w:r w:rsidRPr="00A75DF9">
        <w:rPr>
          <w:rFonts w:cs="Tahoma"/>
          <w:color w:val="000000" w:themeColor="text1"/>
        </w:rPr>
        <w:t>Utente)</w:t>
      </w:r>
    </w:p>
    <w:p w:rsidR="00C358B7" w:rsidRPr="00A75DF9" w:rsidRDefault="00C358B7" w:rsidP="00652B91">
      <w:pPr>
        <w:rPr>
          <w:rFonts w:cs="Tahoma"/>
        </w:rPr>
      </w:pPr>
      <w:r w:rsidRPr="00A75DF9">
        <w:rPr>
          <w:rFonts w:cs="Tahoma"/>
          <w:color w:val="000000" w:themeColor="text1"/>
        </w:rPr>
        <w:t>Learning Solutions IT Academy (SL per Utente) cambiato in Microsoft Learning IT Academy (SL per Utente)</w:t>
      </w:r>
    </w:p>
    <w:p w:rsidR="00C358B7" w:rsidRPr="00A75DF9" w:rsidRDefault="00C358B7" w:rsidP="0053746E">
      <w:pPr>
        <w:rPr>
          <w:rFonts w:cs="Tahoma"/>
        </w:rPr>
      </w:pPr>
      <w:r w:rsidRPr="00A75DF9">
        <w:rPr>
          <w:rFonts w:cs="Tahoma"/>
          <w:color w:val="000000" w:themeColor="text1"/>
        </w:rPr>
        <w:t>Learning Solutions MCP 1 Exam Vouchers (SL per Utente) cambiato in Microsoft Learning MCP 1 Exam Vouchers (SL</w:t>
      </w:r>
      <w:r w:rsidR="0053746E">
        <w:rPr>
          <w:rFonts w:cs="Tahoma"/>
          <w:color w:val="000000" w:themeColor="text1"/>
        </w:rPr>
        <w:t> </w:t>
      </w:r>
      <w:r w:rsidRPr="00A75DF9">
        <w:rPr>
          <w:rFonts w:cs="Tahoma"/>
          <w:color w:val="000000" w:themeColor="text1"/>
        </w:rPr>
        <w:t>per Utente)</w:t>
      </w:r>
    </w:p>
    <w:p w:rsidR="00C358B7" w:rsidRPr="00A75DF9" w:rsidRDefault="00C358B7" w:rsidP="00652B91">
      <w:pPr>
        <w:rPr>
          <w:rFonts w:cs="Tahoma"/>
        </w:rPr>
      </w:pPr>
      <w:r w:rsidRPr="00A75DF9">
        <w:rPr>
          <w:rFonts w:cs="Tahoma"/>
          <w:color w:val="000000" w:themeColor="text1"/>
        </w:rPr>
        <w:t>Learning Solutions MCP 30 Exam Vouchers (SL per Utente) cambiato in Microsoft Learning MCP 30 Exam Vouchers (SL per Utente)</w:t>
      </w:r>
    </w:p>
    <w:p w:rsidR="00C358B7" w:rsidRPr="00A75DF9" w:rsidRDefault="00C358B7" w:rsidP="00652B91">
      <w:pPr>
        <w:rPr>
          <w:rFonts w:cs="Tahoma"/>
        </w:rPr>
      </w:pPr>
      <w:r w:rsidRPr="00A75DF9">
        <w:rPr>
          <w:rFonts w:cs="Tahoma"/>
          <w:color w:val="000000" w:themeColor="text1"/>
        </w:rPr>
        <w:t xml:space="preserve">Learning Solutions MOS 500 Exam Site License (SL per Utente) cambiato in Microsoft Learning MOS 500 Exam Site License (SL per Utente) </w:t>
      </w:r>
    </w:p>
    <w:p w:rsidR="00C358B7" w:rsidRPr="00A75DF9" w:rsidRDefault="00C358B7" w:rsidP="00652B91">
      <w:pPr>
        <w:rPr>
          <w:rFonts w:cs="Tahoma"/>
        </w:rPr>
      </w:pPr>
      <w:r w:rsidRPr="00A75DF9">
        <w:rPr>
          <w:rFonts w:cs="Tahoma"/>
          <w:color w:val="000000" w:themeColor="text1"/>
        </w:rPr>
        <w:t>Learning Solutions MTA 250 Exam Site License (SL per Utente) cambiato in Microsoft Learning MTA 250 Exam Site License (SL per Utente)</w:t>
      </w:r>
    </w:p>
    <w:p w:rsidR="00D94BF5" w:rsidRPr="00A75DF9" w:rsidRDefault="00D94BF5" w:rsidP="00652B91">
      <w:pPr>
        <w:rPr>
          <w:rFonts w:cs="Tahoma"/>
        </w:rPr>
      </w:pPr>
    </w:p>
    <w:p w:rsidR="0047054A" w:rsidRPr="00A75DF9" w:rsidRDefault="0047054A" w:rsidP="00652B91">
      <w:pPr>
        <w:rPr>
          <w:rFonts w:cs="Tahoma"/>
        </w:rPr>
      </w:pPr>
    </w:p>
    <w:p w:rsidR="007C2F29" w:rsidRPr="00A75DF9" w:rsidRDefault="007C2F29" w:rsidP="00DE520D">
      <w:pPr>
        <w:pStyle w:val="Heading2"/>
        <w:ind w:left="0"/>
        <w:jc w:val="both"/>
        <w:rPr>
          <w:rFonts w:ascii="Tahoma" w:hAnsi="Tahoma" w:cs="Tahoma"/>
        </w:rPr>
      </w:pPr>
      <w:bookmarkStart w:id="587" w:name="_Toc368310163"/>
      <w:r w:rsidRPr="00A75DF9">
        <w:rPr>
          <w:rFonts w:ascii="Tahoma" w:hAnsi="Tahoma" w:cs="Tahoma"/>
          <w:color w:val="FF6600"/>
        </w:rPr>
        <w:t>MODIFICHE APPORTATE NEL MESE DI AGOSTO 2013</w:t>
      </w:r>
      <w:bookmarkEnd w:id="587"/>
    </w:p>
    <w:p w:rsidR="007C2F29" w:rsidRPr="00A75DF9" w:rsidRDefault="007C2F29" w:rsidP="007C2F29">
      <w:pPr>
        <w:spacing w:after="60"/>
        <w:rPr>
          <w:rFonts w:cs="Tahoma"/>
        </w:rPr>
      </w:pPr>
    </w:p>
    <w:p w:rsidR="007C2F29" w:rsidRPr="00A75DF9" w:rsidRDefault="007C2F29" w:rsidP="007C2F29">
      <w:pPr>
        <w:spacing w:after="60"/>
        <w:rPr>
          <w:rFonts w:cs="Tahoma"/>
        </w:rPr>
      </w:pPr>
      <w:r w:rsidRPr="00A75DF9">
        <w:rPr>
          <w:rFonts w:cs="Tahoma"/>
          <w:b/>
        </w:rPr>
        <w:t>Prodotti Aggiunti</w:t>
      </w:r>
    </w:p>
    <w:p w:rsidR="006068C9" w:rsidRPr="00A75DF9" w:rsidRDefault="006068C9" w:rsidP="003F1A34">
      <w:pPr>
        <w:rPr>
          <w:rFonts w:cs="Tahoma"/>
        </w:rPr>
      </w:pPr>
      <w:r w:rsidRPr="00A75DF9">
        <w:rPr>
          <w:rFonts w:cs="Tahoma"/>
          <w:szCs w:val="18"/>
        </w:rPr>
        <w:t>Componente Aggiuntivo di Exchange Online Piano 1 (SL per Utente)</w:t>
      </w:r>
    </w:p>
    <w:p w:rsidR="006068C9" w:rsidRPr="00A75DF9" w:rsidRDefault="006068C9" w:rsidP="003F1A34">
      <w:pPr>
        <w:rPr>
          <w:rFonts w:cs="Tahoma"/>
        </w:rPr>
      </w:pPr>
      <w:r w:rsidRPr="00A75DF9">
        <w:rPr>
          <w:rFonts w:cs="Tahoma"/>
          <w:szCs w:val="18"/>
        </w:rPr>
        <w:t>Componente Aggiuntivo di Lync Online Piano 1 (SL per Utente)</w:t>
      </w:r>
    </w:p>
    <w:p w:rsidR="006068C9" w:rsidRPr="00A75DF9" w:rsidRDefault="006068C9" w:rsidP="003F1A34">
      <w:pPr>
        <w:rPr>
          <w:rFonts w:cs="Tahoma"/>
        </w:rPr>
      </w:pPr>
      <w:r w:rsidRPr="00A75DF9">
        <w:rPr>
          <w:rFonts w:cs="Tahoma"/>
          <w:szCs w:val="18"/>
        </w:rPr>
        <w:t>Componente Aggiuntivo di SharePoint Online Piano 1 (SL per Utente)</w:t>
      </w:r>
    </w:p>
    <w:p w:rsidR="006068C9" w:rsidRPr="00A75DF9" w:rsidRDefault="006068C9" w:rsidP="003F1A34">
      <w:pPr>
        <w:rPr>
          <w:rFonts w:cs="Tahoma"/>
        </w:rPr>
      </w:pPr>
      <w:r w:rsidRPr="00A75DF9">
        <w:rPr>
          <w:rFonts w:cs="Tahoma"/>
          <w:szCs w:val="18"/>
        </w:rPr>
        <w:t>SharePoint Online Piano 1 con Componente Aggiuntivo di Yammer (SL per Utente)</w:t>
      </w:r>
    </w:p>
    <w:p w:rsidR="006068C9" w:rsidRPr="00A75DF9" w:rsidRDefault="006068C9" w:rsidP="003F1A34">
      <w:pPr>
        <w:rPr>
          <w:rFonts w:cs="Tahoma"/>
        </w:rPr>
      </w:pPr>
      <w:r w:rsidRPr="00A75DF9">
        <w:rPr>
          <w:rFonts w:cs="Tahoma"/>
          <w:szCs w:val="18"/>
        </w:rPr>
        <w:t>Componente Aggiuntivo di Office 365 Enterprise E1, E3, E4 (SL per Utente)</w:t>
      </w:r>
    </w:p>
    <w:p w:rsidR="006068C9" w:rsidRPr="00A75DF9" w:rsidRDefault="006068C9" w:rsidP="003F1A34">
      <w:pPr>
        <w:rPr>
          <w:rFonts w:cs="Tahoma"/>
        </w:rPr>
      </w:pPr>
      <w:r w:rsidRPr="00A75DF9">
        <w:rPr>
          <w:rFonts w:cs="Tahoma"/>
          <w:szCs w:val="18"/>
        </w:rPr>
        <w:t>Componente Aggiuntivo di Office 365 Government G1, G3, G4 (SL per Utente)</w:t>
      </w:r>
    </w:p>
    <w:p w:rsidR="006068C9" w:rsidRPr="00A75DF9" w:rsidRDefault="006068C9" w:rsidP="003F1A34">
      <w:pPr>
        <w:rPr>
          <w:rFonts w:cs="Tahoma"/>
        </w:rPr>
      </w:pPr>
      <w:r w:rsidRPr="00A75DF9">
        <w:rPr>
          <w:rFonts w:cs="Tahoma"/>
          <w:szCs w:val="18"/>
        </w:rPr>
        <w:t>Office 365 Enterprise E3, E4 senza Componente Aggiuntivo di Office Pro Plus (SL per Utente)</w:t>
      </w:r>
    </w:p>
    <w:p w:rsidR="007C2F29" w:rsidRPr="00A75DF9" w:rsidRDefault="006068C9" w:rsidP="003F1A34">
      <w:pPr>
        <w:rPr>
          <w:rFonts w:cs="Tahoma"/>
        </w:rPr>
      </w:pPr>
      <w:r w:rsidRPr="00A75DF9">
        <w:rPr>
          <w:rFonts w:cs="Tahoma"/>
          <w:szCs w:val="18"/>
        </w:rPr>
        <w:t>Office 365 Government G3, G4 senza Componente Aggiuntivo di Office Pro Plus (SL per Utente)</w:t>
      </w:r>
    </w:p>
    <w:p w:rsidR="006068C9" w:rsidRPr="00A75DF9" w:rsidRDefault="006068C9" w:rsidP="007C2F29">
      <w:pPr>
        <w:spacing w:after="60"/>
        <w:rPr>
          <w:rFonts w:cs="Tahoma"/>
        </w:rPr>
      </w:pPr>
    </w:p>
    <w:p w:rsidR="007C2F29" w:rsidRPr="00A75DF9" w:rsidRDefault="007C2F29" w:rsidP="007C2F29">
      <w:pPr>
        <w:spacing w:after="60"/>
        <w:rPr>
          <w:rFonts w:cs="Tahoma"/>
        </w:rPr>
      </w:pPr>
      <w:r w:rsidRPr="00A75DF9">
        <w:rPr>
          <w:rFonts w:cs="Tahoma"/>
          <w:b/>
        </w:rPr>
        <w:t>Promozioni</w:t>
      </w:r>
    </w:p>
    <w:p w:rsidR="00DB6980" w:rsidRPr="00A75DF9" w:rsidRDefault="00DB6980" w:rsidP="003F1A34">
      <w:pPr>
        <w:rPr>
          <w:rFonts w:cs="Tahoma"/>
        </w:rPr>
      </w:pPr>
      <w:r w:rsidRPr="00A75DF9">
        <w:rPr>
          <w:rFonts w:cs="Tahoma"/>
          <w:szCs w:val="18"/>
        </w:rPr>
        <w:t>Sono state eliminate le seguenti promozioni:</w:t>
      </w:r>
    </w:p>
    <w:p w:rsidR="006068C9" w:rsidRPr="00A75DF9" w:rsidRDefault="003F5594" w:rsidP="003F1A34">
      <w:pPr>
        <w:rPr>
          <w:rFonts w:cs="Tahoma"/>
        </w:rPr>
      </w:pPr>
      <w:r w:rsidRPr="00A75DF9">
        <w:rPr>
          <w:rFonts w:cs="Tahoma"/>
          <w:szCs w:val="18"/>
        </w:rPr>
        <w:t>Microsoft Dynamics AX 2012 R2 Promozione: Acquista Una Enterprise CAL e Ricevi Una Functional CAL</w:t>
      </w:r>
    </w:p>
    <w:p w:rsidR="003F5594" w:rsidRPr="00A75DF9" w:rsidRDefault="003F5594" w:rsidP="003F1A34">
      <w:pPr>
        <w:rPr>
          <w:rFonts w:cs="Tahoma"/>
        </w:rPr>
      </w:pPr>
      <w:r w:rsidRPr="00A75DF9">
        <w:rPr>
          <w:rFonts w:cs="Tahoma"/>
          <w:szCs w:val="18"/>
        </w:rPr>
        <w:t>15% di sconto sulle Licenze Step-up per Project/Visio</w:t>
      </w:r>
    </w:p>
    <w:p w:rsidR="003F5594" w:rsidRPr="00A75DF9" w:rsidRDefault="003F5594" w:rsidP="003F1A34">
      <w:pPr>
        <w:rPr>
          <w:rFonts w:cs="Tahoma"/>
        </w:rPr>
      </w:pPr>
      <w:r w:rsidRPr="00A75DF9">
        <w:rPr>
          <w:rFonts w:cs="Tahoma"/>
          <w:szCs w:val="18"/>
        </w:rPr>
        <w:t>55% di sconto sulle CAL per Project Server Acquistate a Livello Aziendale</w:t>
      </w:r>
    </w:p>
    <w:p w:rsidR="003F5594" w:rsidRPr="00A75DF9" w:rsidRDefault="003F5594" w:rsidP="003F1A34">
      <w:pPr>
        <w:rPr>
          <w:rFonts w:cs="Tahoma"/>
        </w:rPr>
      </w:pPr>
    </w:p>
    <w:p w:rsidR="007C2F29" w:rsidRPr="00A75DF9" w:rsidRDefault="007C2F29" w:rsidP="007C2F29">
      <w:pPr>
        <w:spacing w:after="60"/>
        <w:rPr>
          <w:rFonts w:cs="Tahoma"/>
        </w:rPr>
      </w:pPr>
      <w:r w:rsidRPr="00A75DF9">
        <w:rPr>
          <w:rFonts w:cs="Tahoma"/>
          <w:b/>
        </w:rPr>
        <w:t>Prodotti Eliminati</w:t>
      </w:r>
    </w:p>
    <w:p w:rsidR="007C2F29" w:rsidRPr="00A75DF9" w:rsidRDefault="007C2F29" w:rsidP="007C2F29">
      <w:pPr>
        <w:spacing w:after="60"/>
        <w:rPr>
          <w:rFonts w:cs="Tahoma"/>
        </w:rPr>
      </w:pPr>
    </w:p>
    <w:p w:rsidR="007C2F29" w:rsidRPr="00A75DF9" w:rsidRDefault="007C2F29" w:rsidP="007C2F29">
      <w:pPr>
        <w:spacing w:after="60"/>
        <w:rPr>
          <w:rFonts w:cs="Tahoma"/>
        </w:rPr>
      </w:pPr>
      <w:r w:rsidRPr="00A75DF9">
        <w:rPr>
          <w:rFonts w:cs="Tahoma"/>
          <w:b/>
        </w:rPr>
        <w:t>Modifiche</w:t>
      </w:r>
    </w:p>
    <w:p w:rsidR="006068C9" w:rsidRPr="00A75DF9" w:rsidRDefault="006068C9" w:rsidP="006068C9">
      <w:pPr>
        <w:rPr>
          <w:rFonts w:cs="Tahoma"/>
        </w:rPr>
      </w:pPr>
      <w:r w:rsidRPr="00A75DF9">
        <w:rPr>
          <w:rFonts w:cs="Tahoma"/>
          <w:szCs w:val="18"/>
        </w:rPr>
        <w:t>Office 365 A3, A4 (SL per Utente)</w:t>
      </w:r>
    </w:p>
    <w:p w:rsidR="006068C9" w:rsidRPr="00A75DF9" w:rsidRDefault="000F1BE7" w:rsidP="006068C9">
      <w:pPr>
        <w:rPr>
          <w:rFonts w:cs="Tahoma"/>
        </w:rPr>
      </w:pPr>
      <w:r w:rsidRPr="00A75DF9">
        <w:rPr>
          <w:rFonts w:cs="Tahoma"/>
          <w:szCs w:val="18"/>
        </w:rPr>
        <w:t>Office 365 Enterprise E2-E4 (SL per Utente)</w:t>
      </w:r>
    </w:p>
    <w:p w:rsidR="007C2F29" w:rsidRPr="00A75DF9" w:rsidRDefault="007C2F29" w:rsidP="007C2F29">
      <w:pPr>
        <w:rPr>
          <w:rFonts w:cs="Tahoma"/>
        </w:rPr>
      </w:pPr>
    </w:p>
    <w:p w:rsidR="007C2F29" w:rsidRDefault="007C2F29" w:rsidP="007C2F29">
      <w:pPr>
        <w:rPr>
          <w:rFonts w:cs="Tahoma"/>
        </w:rPr>
      </w:pPr>
    </w:p>
    <w:p w:rsidR="0053746E" w:rsidRDefault="0053746E" w:rsidP="007C2F29">
      <w:pPr>
        <w:rPr>
          <w:rFonts w:cs="Tahoma"/>
        </w:rPr>
      </w:pPr>
    </w:p>
    <w:p w:rsidR="0053746E" w:rsidRDefault="0053746E" w:rsidP="007C2F29">
      <w:pPr>
        <w:rPr>
          <w:rFonts w:cs="Tahoma"/>
        </w:rPr>
      </w:pPr>
    </w:p>
    <w:p w:rsidR="0053746E" w:rsidRDefault="0053746E" w:rsidP="007C2F29">
      <w:pPr>
        <w:rPr>
          <w:rFonts w:cs="Tahoma"/>
        </w:rPr>
      </w:pPr>
    </w:p>
    <w:p w:rsidR="0053746E" w:rsidRDefault="0053746E" w:rsidP="007C2F29">
      <w:pPr>
        <w:rPr>
          <w:rFonts w:cs="Tahoma"/>
        </w:rPr>
      </w:pPr>
    </w:p>
    <w:p w:rsidR="0053746E" w:rsidRDefault="0053746E" w:rsidP="007C2F29">
      <w:pPr>
        <w:rPr>
          <w:rFonts w:cs="Tahoma"/>
        </w:rPr>
      </w:pPr>
    </w:p>
    <w:p w:rsidR="0053746E" w:rsidRPr="00A75DF9" w:rsidRDefault="0053746E" w:rsidP="007C2F29">
      <w:pPr>
        <w:rPr>
          <w:rFonts w:cs="Tahoma"/>
        </w:rPr>
      </w:pPr>
    </w:p>
    <w:p w:rsidR="00DE520D" w:rsidRPr="00A75DF9" w:rsidRDefault="00DE520D" w:rsidP="00DE520D">
      <w:pPr>
        <w:pStyle w:val="Heading2"/>
        <w:ind w:left="0"/>
        <w:jc w:val="both"/>
        <w:rPr>
          <w:rFonts w:ascii="Tahoma" w:hAnsi="Tahoma" w:cs="Tahoma"/>
        </w:rPr>
      </w:pPr>
      <w:bookmarkStart w:id="588" w:name="_Toc368310164"/>
      <w:r w:rsidRPr="00A75DF9">
        <w:rPr>
          <w:rFonts w:ascii="Tahoma" w:hAnsi="Tahoma" w:cs="Tahoma"/>
          <w:color w:val="FF6600"/>
        </w:rPr>
        <w:lastRenderedPageBreak/>
        <w:t>MODIFICHE APPORTATE NEL MESE DI LUGLIO 2013</w:t>
      </w:r>
      <w:bookmarkEnd w:id="588"/>
    </w:p>
    <w:p w:rsidR="00DE520D" w:rsidRPr="00A75DF9" w:rsidRDefault="00DE520D" w:rsidP="00DE520D">
      <w:pPr>
        <w:rPr>
          <w:rFonts w:cs="Tahoma"/>
        </w:rPr>
      </w:pPr>
    </w:p>
    <w:p w:rsidR="00DE520D" w:rsidRPr="00A75DF9" w:rsidRDefault="00DE520D" w:rsidP="00DE520D">
      <w:pPr>
        <w:spacing w:after="60"/>
        <w:rPr>
          <w:rFonts w:cs="Tahoma"/>
        </w:rPr>
      </w:pPr>
      <w:r w:rsidRPr="00A75DF9">
        <w:rPr>
          <w:rFonts w:cs="Tahoma"/>
          <w:b/>
        </w:rPr>
        <w:t>Prodotti Aggiunti</w:t>
      </w:r>
    </w:p>
    <w:p w:rsidR="00DE520D" w:rsidRPr="00A75DF9" w:rsidRDefault="00230E06" w:rsidP="00DE520D">
      <w:pPr>
        <w:rPr>
          <w:rFonts w:cs="Tahoma"/>
        </w:rPr>
      </w:pPr>
      <w:r w:rsidRPr="00A75DF9">
        <w:rPr>
          <w:rFonts w:cs="Tahoma"/>
          <w:szCs w:val="18"/>
        </w:rPr>
        <w:t>Windows</w:t>
      </w:r>
      <w:r w:rsidR="009D5D7B" w:rsidRPr="00A75DF9">
        <w:rPr>
          <w:rFonts w:cs="Tahoma"/>
          <w:szCs w:val="18"/>
          <w:vertAlign w:val="superscript"/>
        </w:rPr>
        <w:t>®</w:t>
      </w:r>
      <w:r w:rsidRPr="00A75DF9">
        <w:rPr>
          <w:rFonts w:cs="Tahoma"/>
          <w:szCs w:val="18"/>
        </w:rPr>
        <w:t xml:space="preserve"> Embedded 8 Industry Pro</w:t>
      </w:r>
    </w:p>
    <w:p w:rsidR="00230E06" w:rsidRPr="00A75DF9" w:rsidRDefault="00230E06" w:rsidP="00DE520D">
      <w:pPr>
        <w:rPr>
          <w:rFonts w:cs="Tahoma"/>
        </w:rPr>
      </w:pPr>
      <w:r w:rsidRPr="00A75DF9">
        <w:rPr>
          <w:rFonts w:cs="Tahoma"/>
          <w:szCs w:val="18"/>
        </w:rPr>
        <w:t>Windows</w:t>
      </w:r>
      <w:r w:rsidR="009D5D7B" w:rsidRPr="00A75DF9">
        <w:rPr>
          <w:rFonts w:cs="Tahoma"/>
          <w:szCs w:val="18"/>
          <w:vertAlign w:val="superscript"/>
        </w:rPr>
        <w:t>®</w:t>
      </w:r>
      <w:r w:rsidRPr="00A75DF9">
        <w:rPr>
          <w:rFonts w:cs="Tahoma"/>
          <w:szCs w:val="18"/>
        </w:rPr>
        <w:t xml:space="preserve"> Embedded 8 Standard Enterprise Kit</w:t>
      </w:r>
    </w:p>
    <w:p w:rsidR="00230E06" w:rsidRPr="00A75DF9" w:rsidRDefault="00230E06" w:rsidP="00DE520D">
      <w:pPr>
        <w:rPr>
          <w:rFonts w:cs="Tahoma"/>
        </w:rPr>
      </w:pPr>
      <w:r w:rsidRPr="00A75DF9">
        <w:rPr>
          <w:rFonts w:cs="Tahoma"/>
          <w:szCs w:val="18"/>
        </w:rPr>
        <w:t>Windows</w:t>
      </w:r>
      <w:r w:rsidR="009D5D7B" w:rsidRPr="00A75DF9">
        <w:rPr>
          <w:rFonts w:cs="Tahoma"/>
          <w:szCs w:val="18"/>
          <w:vertAlign w:val="superscript"/>
        </w:rPr>
        <w:t>®</w:t>
      </w:r>
      <w:r w:rsidRPr="00A75DF9">
        <w:rPr>
          <w:rFonts w:cs="Tahoma"/>
          <w:szCs w:val="18"/>
        </w:rPr>
        <w:t xml:space="preserve"> Embedded 8 Industry Pro Sideloading</w:t>
      </w:r>
    </w:p>
    <w:p w:rsidR="00F23DD6" w:rsidRPr="00A75DF9" w:rsidRDefault="00F23DD6" w:rsidP="00DE520D">
      <w:pPr>
        <w:rPr>
          <w:rFonts w:cs="Tahoma"/>
        </w:rPr>
      </w:pPr>
      <w:r w:rsidRPr="00A75DF9">
        <w:rPr>
          <w:rFonts w:cs="Tahoma"/>
          <w:szCs w:val="18"/>
        </w:rPr>
        <w:t>Windows</w:t>
      </w:r>
      <w:r w:rsidR="009D5D7B" w:rsidRPr="00A75DF9">
        <w:rPr>
          <w:rFonts w:cs="Tahoma"/>
          <w:szCs w:val="18"/>
          <w:vertAlign w:val="superscript"/>
        </w:rPr>
        <w:t>®</w:t>
      </w:r>
      <w:r w:rsidRPr="00A75DF9">
        <w:rPr>
          <w:rFonts w:cs="Tahoma"/>
          <w:szCs w:val="18"/>
        </w:rPr>
        <w:t xml:space="preserve"> 8 Pro Sideloading</w:t>
      </w:r>
    </w:p>
    <w:p w:rsidR="00DE520D" w:rsidRPr="00A75DF9" w:rsidRDefault="00DE520D" w:rsidP="00DE520D">
      <w:pPr>
        <w:rPr>
          <w:rFonts w:cs="Tahoma"/>
        </w:rPr>
      </w:pPr>
    </w:p>
    <w:p w:rsidR="00DE520D" w:rsidRPr="00A75DF9" w:rsidRDefault="00DE520D" w:rsidP="00DE520D">
      <w:pPr>
        <w:spacing w:after="60"/>
        <w:rPr>
          <w:rFonts w:cs="Tahoma"/>
        </w:rPr>
      </w:pPr>
      <w:r w:rsidRPr="00A75DF9">
        <w:rPr>
          <w:rFonts w:cs="Tahoma"/>
          <w:b/>
        </w:rPr>
        <w:t>Promozioni</w:t>
      </w:r>
    </w:p>
    <w:p w:rsidR="00DE520D" w:rsidRPr="00A75DF9" w:rsidRDefault="00230E06" w:rsidP="00DE520D">
      <w:pPr>
        <w:rPr>
          <w:rFonts w:cs="Tahoma"/>
        </w:rPr>
      </w:pPr>
      <w:r w:rsidRPr="00A75DF9">
        <w:rPr>
          <w:rFonts w:cs="Tahoma"/>
          <w:color w:val="000000"/>
          <w:szCs w:val="18"/>
        </w:rPr>
        <w:t>Nessuna modifica alle Promozioni</w:t>
      </w:r>
    </w:p>
    <w:p w:rsidR="00DE520D" w:rsidRPr="00A75DF9" w:rsidRDefault="00DE520D" w:rsidP="00DE520D">
      <w:pPr>
        <w:rPr>
          <w:rFonts w:cs="Tahoma"/>
        </w:rPr>
      </w:pPr>
    </w:p>
    <w:p w:rsidR="00DE520D" w:rsidRPr="00A75DF9" w:rsidRDefault="00DE520D" w:rsidP="00DE520D">
      <w:pPr>
        <w:spacing w:after="60"/>
        <w:rPr>
          <w:rFonts w:cs="Tahoma"/>
        </w:rPr>
      </w:pPr>
      <w:r w:rsidRPr="00A75DF9">
        <w:rPr>
          <w:rFonts w:cs="Tahoma"/>
          <w:b/>
        </w:rPr>
        <w:t>Prodotti Eliminati</w:t>
      </w:r>
    </w:p>
    <w:p w:rsidR="00DE520D" w:rsidRPr="00A75DF9" w:rsidRDefault="00230E06" w:rsidP="00DE520D">
      <w:pPr>
        <w:rPr>
          <w:rFonts w:cs="Tahoma"/>
        </w:rPr>
      </w:pPr>
      <w:r w:rsidRPr="00A75DF9">
        <w:rPr>
          <w:rFonts w:cs="Tahoma"/>
          <w:color w:val="000000"/>
          <w:szCs w:val="20"/>
        </w:rPr>
        <w:t>Vexcel Server</w:t>
      </w:r>
    </w:p>
    <w:p w:rsidR="00230E06" w:rsidRPr="00A75DF9" w:rsidRDefault="00230E06" w:rsidP="00DE520D">
      <w:pPr>
        <w:rPr>
          <w:rFonts w:cs="Tahoma"/>
        </w:rPr>
      </w:pPr>
      <w:r w:rsidRPr="00A75DF9">
        <w:rPr>
          <w:rFonts w:cs="Tahoma"/>
          <w:color w:val="000000"/>
          <w:szCs w:val="20"/>
        </w:rPr>
        <w:t>Vexcel Server con Enhanced Content Pack</w:t>
      </w:r>
    </w:p>
    <w:p w:rsidR="00230E06" w:rsidRPr="00A75DF9" w:rsidRDefault="00230E06" w:rsidP="00DE520D">
      <w:pPr>
        <w:rPr>
          <w:rFonts w:cs="Tahoma"/>
        </w:rPr>
      </w:pPr>
      <w:r w:rsidRPr="00A75DF9">
        <w:rPr>
          <w:rFonts w:cs="Tahoma"/>
          <w:color w:val="000000"/>
          <w:szCs w:val="20"/>
        </w:rPr>
        <w:t>Vexcel Desktop con Enhanced Content Pack</w:t>
      </w:r>
    </w:p>
    <w:p w:rsidR="00230E06" w:rsidRPr="00A75DF9" w:rsidRDefault="00230E06" w:rsidP="00DE520D">
      <w:pPr>
        <w:rPr>
          <w:rFonts w:cs="Tahoma"/>
        </w:rPr>
      </w:pPr>
      <w:r w:rsidRPr="00A75DF9">
        <w:rPr>
          <w:rFonts w:cs="Tahoma"/>
          <w:color w:val="000000"/>
          <w:szCs w:val="20"/>
        </w:rPr>
        <w:t>GeoSynther 3.0</w:t>
      </w:r>
    </w:p>
    <w:p w:rsidR="00230E06" w:rsidRPr="00A75DF9" w:rsidRDefault="00230E06" w:rsidP="00DE520D">
      <w:pPr>
        <w:rPr>
          <w:rFonts w:cs="Tahoma"/>
        </w:rPr>
      </w:pPr>
      <w:r w:rsidRPr="00A75DF9">
        <w:rPr>
          <w:rFonts w:cs="Tahoma"/>
          <w:color w:val="000000"/>
          <w:szCs w:val="20"/>
        </w:rPr>
        <w:t>GeoSynth Viewer 3.0</w:t>
      </w:r>
    </w:p>
    <w:p w:rsidR="00230E06" w:rsidRPr="00A75DF9" w:rsidRDefault="00230E06" w:rsidP="00DE520D">
      <w:pPr>
        <w:rPr>
          <w:rFonts w:cs="Tahoma"/>
        </w:rPr>
      </w:pPr>
      <w:r w:rsidRPr="00A75DF9">
        <w:rPr>
          <w:rFonts w:cs="Tahoma"/>
          <w:color w:val="000000"/>
          <w:szCs w:val="20"/>
        </w:rPr>
        <w:t>GeoSynth Server</w:t>
      </w:r>
    </w:p>
    <w:p w:rsidR="00230E06" w:rsidRPr="00A75DF9" w:rsidRDefault="00230E06" w:rsidP="00230E06">
      <w:pPr>
        <w:rPr>
          <w:rFonts w:cs="Tahoma"/>
        </w:rPr>
      </w:pPr>
      <w:r w:rsidRPr="00A75DF9">
        <w:rPr>
          <w:rFonts w:eastAsia="Times New Roman" w:cs="Tahoma"/>
          <w:szCs w:val="18"/>
        </w:rPr>
        <w:t>Premium Add-on per Windows Small Business Server 2011 (5 client)</w:t>
      </w:r>
    </w:p>
    <w:p w:rsidR="00230E06" w:rsidRPr="00A75DF9" w:rsidRDefault="00230E06" w:rsidP="00230E06">
      <w:pPr>
        <w:rPr>
          <w:rFonts w:cs="Tahoma"/>
        </w:rPr>
      </w:pPr>
      <w:r w:rsidRPr="00A75DF9">
        <w:rPr>
          <w:rFonts w:eastAsia="Times New Roman" w:cs="Tahoma"/>
          <w:szCs w:val="18"/>
        </w:rPr>
        <w:t>Windows Small Business Server 2011 Standard (5 client)</w:t>
      </w:r>
    </w:p>
    <w:p w:rsidR="00230E06" w:rsidRPr="00A75DF9" w:rsidRDefault="00230E06" w:rsidP="00230E06">
      <w:pPr>
        <w:rPr>
          <w:rFonts w:cs="Tahoma"/>
        </w:rPr>
      </w:pPr>
      <w:r w:rsidRPr="00A75DF9">
        <w:rPr>
          <w:rFonts w:eastAsia="Times New Roman" w:cs="Tahoma"/>
          <w:szCs w:val="18"/>
        </w:rPr>
        <w:t>CAL Suite per Windows Small Business Server 2008 per Utenti o Dispositivi Premium</w:t>
      </w:r>
    </w:p>
    <w:p w:rsidR="00230E06" w:rsidRPr="00A75DF9" w:rsidRDefault="00230E06" w:rsidP="00230E06">
      <w:pPr>
        <w:rPr>
          <w:rFonts w:cs="Tahoma"/>
        </w:rPr>
      </w:pPr>
      <w:r w:rsidRPr="00A75DF9">
        <w:rPr>
          <w:rFonts w:eastAsia="Times New Roman" w:cs="Tahoma"/>
          <w:szCs w:val="18"/>
        </w:rPr>
        <w:t>CAL Suite per Windows Small Business Server 2008 per Utenti o Dispositivi Premium (5 client)</w:t>
      </w:r>
    </w:p>
    <w:p w:rsidR="00230E06" w:rsidRPr="00A75DF9" w:rsidRDefault="00230E06" w:rsidP="00DE520D">
      <w:pPr>
        <w:rPr>
          <w:rFonts w:cs="Tahoma"/>
        </w:rPr>
      </w:pPr>
      <w:r w:rsidRPr="00A75DF9">
        <w:rPr>
          <w:rFonts w:eastAsia="Times New Roman" w:cs="Tahoma"/>
          <w:szCs w:val="18"/>
        </w:rPr>
        <w:t>CAL Suite per Windows Small Business Server 2008 per Utenti o Dispositivi Premium (20 client)</w:t>
      </w:r>
    </w:p>
    <w:p w:rsidR="00DE520D" w:rsidRPr="00A75DF9" w:rsidRDefault="00DE520D" w:rsidP="00DE520D">
      <w:pPr>
        <w:rPr>
          <w:rFonts w:cs="Tahoma"/>
        </w:rPr>
      </w:pPr>
    </w:p>
    <w:p w:rsidR="00DE520D" w:rsidRPr="00A75DF9" w:rsidRDefault="00DE520D" w:rsidP="00DE520D">
      <w:pPr>
        <w:spacing w:after="60"/>
        <w:rPr>
          <w:rFonts w:cs="Tahoma"/>
        </w:rPr>
      </w:pPr>
      <w:r w:rsidRPr="00A75DF9">
        <w:rPr>
          <w:rFonts w:cs="Tahoma"/>
          <w:b/>
        </w:rPr>
        <w:t>Modifiche</w:t>
      </w:r>
    </w:p>
    <w:p w:rsidR="00230E06" w:rsidRPr="00A75DF9" w:rsidRDefault="00230E06" w:rsidP="00230E06">
      <w:pPr>
        <w:rPr>
          <w:rFonts w:cs="Tahoma"/>
        </w:rPr>
      </w:pPr>
      <w:r w:rsidRPr="00A75DF9">
        <w:rPr>
          <w:rFonts w:eastAsia="Times New Roman" w:cs="Tahoma"/>
          <w:sz w:val="20"/>
          <w:szCs w:val="20"/>
        </w:rPr>
        <w:t>Visual Studio</w:t>
      </w:r>
      <w:r w:rsidR="009D5D7B" w:rsidRPr="00A75DF9">
        <w:rPr>
          <w:rFonts w:eastAsia="Times New Roman" w:cs="Tahoma"/>
          <w:sz w:val="20"/>
          <w:szCs w:val="20"/>
          <w:vertAlign w:val="superscript"/>
        </w:rPr>
        <w:t>®</w:t>
      </w:r>
      <w:r w:rsidRPr="00A75DF9">
        <w:rPr>
          <w:rFonts w:eastAsia="Times New Roman" w:cs="Tahoma"/>
          <w:sz w:val="20"/>
          <w:szCs w:val="20"/>
        </w:rPr>
        <w:t xml:space="preserve"> Premium 2012 con MSDN</w:t>
      </w:r>
    </w:p>
    <w:p w:rsidR="00230E06" w:rsidRPr="00A75DF9" w:rsidRDefault="00230E06" w:rsidP="00230E06">
      <w:pPr>
        <w:rPr>
          <w:rFonts w:cs="Tahoma"/>
        </w:rPr>
      </w:pPr>
      <w:r w:rsidRPr="00A75DF9">
        <w:rPr>
          <w:rFonts w:eastAsia="Times New Roman" w:cs="Tahoma"/>
          <w:sz w:val="20"/>
          <w:szCs w:val="20"/>
        </w:rPr>
        <w:t>Visual Studio</w:t>
      </w:r>
      <w:r w:rsidR="009D5D7B" w:rsidRPr="00A75DF9">
        <w:rPr>
          <w:rFonts w:eastAsia="Times New Roman" w:cs="Tahoma"/>
          <w:sz w:val="20"/>
          <w:szCs w:val="20"/>
          <w:vertAlign w:val="superscript"/>
        </w:rPr>
        <w:t>®</w:t>
      </w:r>
      <w:r w:rsidRPr="00A75DF9">
        <w:rPr>
          <w:rFonts w:eastAsia="Times New Roman" w:cs="Tahoma"/>
          <w:sz w:val="20"/>
          <w:szCs w:val="20"/>
        </w:rPr>
        <w:t xml:space="preserve"> Ultimate 2012 con MSDN</w:t>
      </w:r>
    </w:p>
    <w:p w:rsidR="00230E06" w:rsidRPr="00A75DF9" w:rsidRDefault="00230E06" w:rsidP="00230E06">
      <w:pPr>
        <w:rPr>
          <w:rFonts w:cs="Tahoma"/>
        </w:rPr>
      </w:pPr>
      <w:r w:rsidRPr="00A75DF9">
        <w:rPr>
          <w:rFonts w:eastAsia="Times New Roman" w:cs="Tahoma"/>
          <w:sz w:val="20"/>
          <w:szCs w:val="20"/>
        </w:rPr>
        <w:t>Windows Vista DVD Playback Pack</w:t>
      </w:r>
    </w:p>
    <w:p w:rsidR="00DE520D" w:rsidRPr="00A75DF9" w:rsidRDefault="00230E06" w:rsidP="00862623">
      <w:pPr>
        <w:rPr>
          <w:rFonts w:cs="Tahoma"/>
        </w:rPr>
      </w:pPr>
      <w:r w:rsidRPr="00A75DF9">
        <w:rPr>
          <w:rFonts w:eastAsia="Times New Roman" w:cs="Tahoma"/>
          <w:sz w:val="20"/>
          <w:szCs w:val="20"/>
        </w:rPr>
        <w:t>Windows 8 Enterprise Sideloading (100 Confezioni)</w:t>
      </w:r>
    </w:p>
    <w:p w:rsidR="00862623" w:rsidRPr="00A75DF9" w:rsidRDefault="00862623" w:rsidP="00862623">
      <w:pPr>
        <w:rPr>
          <w:rFonts w:cs="Tahoma"/>
        </w:rPr>
      </w:pPr>
    </w:p>
    <w:p w:rsidR="00862623" w:rsidRPr="00A75DF9" w:rsidRDefault="00862623" w:rsidP="00862623">
      <w:pPr>
        <w:rPr>
          <w:rFonts w:cs="Tahoma"/>
        </w:rPr>
      </w:pPr>
    </w:p>
    <w:p w:rsidR="00471E00" w:rsidRPr="00A75DF9" w:rsidRDefault="00471E00" w:rsidP="00471E00">
      <w:pPr>
        <w:pStyle w:val="Heading2"/>
        <w:ind w:left="0"/>
        <w:jc w:val="both"/>
        <w:rPr>
          <w:rFonts w:ascii="Tahoma" w:hAnsi="Tahoma" w:cs="Tahoma"/>
        </w:rPr>
      </w:pPr>
      <w:bookmarkStart w:id="589" w:name="_Toc368310165"/>
      <w:r w:rsidRPr="00A75DF9">
        <w:rPr>
          <w:rFonts w:ascii="Tahoma" w:hAnsi="Tahoma" w:cs="Tahoma"/>
          <w:color w:val="FF6600"/>
        </w:rPr>
        <w:t>MODIFICHE APPORTATE NEL MESE DI GIUGNO 2013</w:t>
      </w:r>
      <w:bookmarkEnd w:id="589"/>
    </w:p>
    <w:p w:rsidR="00471E00" w:rsidRPr="00A75DF9" w:rsidRDefault="00471E00" w:rsidP="00471E00">
      <w:pPr>
        <w:rPr>
          <w:rFonts w:cs="Tahoma"/>
        </w:rPr>
      </w:pPr>
    </w:p>
    <w:p w:rsidR="00471E00" w:rsidRPr="00A75DF9" w:rsidRDefault="00471E00" w:rsidP="00471E00">
      <w:pPr>
        <w:spacing w:after="60"/>
        <w:rPr>
          <w:rFonts w:cs="Tahoma"/>
        </w:rPr>
      </w:pPr>
      <w:r w:rsidRPr="00A75DF9">
        <w:rPr>
          <w:rFonts w:cs="Tahoma"/>
          <w:b/>
        </w:rPr>
        <w:t>Prodotti Aggiunti</w:t>
      </w:r>
    </w:p>
    <w:p w:rsidR="00471E00" w:rsidRPr="00A75DF9" w:rsidRDefault="00471E00" w:rsidP="00471E00">
      <w:pPr>
        <w:rPr>
          <w:rFonts w:cs="Tahoma"/>
        </w:rPr>
      </w:pPr>
      <w:r w:rsidRPr="00A75DF9">
        <w:rPr>
          <w:rFonts w:cs="Tahoma"/>
          <w:szCs w:val="18"/>
        </w:rPr>
        <w:t>Microsoft Office Audit and Control Management</w:t>
      </w:r>
    </w:p>
    <w:p w:rsidR="00984919" w:rsidRPr="00A75DF9" w:rsidRDefault="00984919" w:rsidP="00471E00">
      <w:pPr>
        <w:rPr>
          <w:rFonts w:cs="Tahoma"/>
        </w:rPr>
      </w:pPr>
      <w:r w:rsidRPr="00A75DF9">
        <w:rPr>
          <w:rFonts w:cs="Tahoma"/>
          <w:szCs w:val="18"/>
        </w:rPr>
        <w:t>Piattaforme MSDN</w:t>
      </w:r>
    </w:p>
    <w:p w:rsidR="00471E00" w:rsidRPr="00A75DF9" w:rsidRDefault="00471E00" w:rsidP="00471E00">
      <w:pPr>
        <w:rPr>
          <w:rFonts w:cs="Tahoma"/>
        </w:rPr>
      </w:pPr>
    </w:p>
    <w:p w:rsidR="00471E00" w:rsidRPr="00A75DF9" w:rsidRDefault="00471E00" w:rsidP="00471E00">
      <w:pPr>
        <w:spacing w:after="60"/>
        <w:rPr>
          <w:rFonts w:cs="Tahoma"/>
        </w:rPr>
      </w:pPr>
      <w:r w:rsidRPr="00A75DF9">
        <w:rPr>
          <w:rFonts w:cs="Tahoma"/>
          <w:b/>
        </w:rPr>
        <w:t>Promozioni</w:t>
      </w:r>
    </w:p>
    <w:p w:rsidR="00471E00" w:rsidRPr="00A75DF9" w:rsidRDefault="00471E00" w:rsidP="00471E00">
      <w:pPr>
        <w:rPr>
          <w:rFonts w:cs="Tahoma"/>
        </w:rPr>
      </w:pPr>
      <w:r w:rsidRPr="00A75DF9">
        <w:rPr>
          <w:rFonts w:cs="Tahoma"/>
          <w:color w:val="000000"/>
          <w:szCs w:val="18"/>
        </w:rPr>
        <w:t>Nessuna modifica alle Promozioni</w:t>
      </w:r>
    </w:p>
    <w:p w:rsidR="00471E00" w:rsidRPr="00A75DF9" w:rsidRDefault="00471E00" w:rsidP="00471E00">
      <w:pPr>
        <w:spacing w:after="60"/>
        <w:rPr>
          <w:rFonts w:cs="Tahoma"/>
        </w:rPr>
      </w:pPr>
      <w:r w:rsidRPr="00A75DF9">
        <w:rPr>
          <w:rFonts w:cs="Tahoma"/>
          <w:szCs w:val="18"/>
        </w:rPr>
        <w:br/>
      </w:r>
      <w:r w:rsidRPr="00A75DF9">
        <w:rPr>
          <w:rFonts w:cs="Tahoma"/>
          <w:b/>
        </w:rPr>
        <w:t>Prodotti Eliminati</w:t>
      </w:r>
    </w:p>
    <w:p w:rsidR="0064651F" w:rsidRPr="00A75DF9" w:rsidRDefault="005D7F61" w:rsidP="00862623">
      <w:pPr>
        <w:rPr>
          <w:rFonts w:cs="Tahoma"/>
        </w:rPr>
      </w:pPr>
      <w:r w:rsidRPr="00A75DF9">
        <w:rPr>
          <w:rFonts w:cs="Tahoma"/>
          <w:color w:val="000000"/>
          <w:szCs w:val="20"/>
        </w:rPr>
        <w:t>Web Antimalware Subscription per Forefront TMG</w:t>
      </w:r>
    </w:p>
    <w:p w:rsidR="00862623" w:rsidRPr="00A75DF9" w:rsidRDefault="00862623" w:rsidP="00862623">
      <w:pPr>
        <w:rPr>
          <w:rFonts w:cs="Tahoma"/>
        </w:rPr>
      </w:pPr>
    </w:p>
    <w:p w:rsidR="00862623" w:rsidRPr="00A75DF9" w:rsidRDefault="00862623" w:rsidP="00862623">
      <w:pPr>
        <w:rPr>
          <w:rFonts w:cs="Tahoma"/>
        </w:rPr>
      </w:pPr>
    </w:p>
    <w:p w:rsidR="00290FC1" w:rsidRPr="00A75DF9" w:rsidRDefault="00290FC1" w:rsidP="0047054A">
      <w:pPr>
        <w:pStyle w:val="Heading2"/>
        <w:keepNext/>
        <w:ind w:left="0"/>
        <w:jc w:val="both"/>
        <w:rPr>
          <w:rFonts w:ascii="Tahoma" w:hAnsi="Tahoma" w:cs="Tahoma"/>
        </w:rPr>
      </w:pPr>
      <w:bookmarkStart w:id="590" w:name="_Toc368310166"/>
      <w:r w:rsidRPr="00A75DF9">
        <w:rPr>
          <w:rFonts w:ascii="Tahoma" w:hAnsi="Tahoma" w:cs="Tahoma"/>
          <w:color w:val="FF6600"/>
        </w:rPr>
        <w:t>MODIFICHE APPORTATE NEL MESE DI MAGGIO 2013</w:t>
      </w:r>
      <w:bookmarkEnd w:id="590"/>
    </w:p>
    <w:p w:rsidR="00290FC1" w:rsidRPr="00A75DF9" w:rsidRDefault="00290FC1" w:rsidP="0047054A">
      <w:pPr>
        <w:pStyle w:val="Heading2"/>
        <w:keepNext/>
        <w:ind w:left="0"/>
        <w:jc w:val="both"/>
        <w:rPr>
          <w:rFonts w:ascii="Tahoma" w:hAnsi="Tahoma" w:cs="Tahoma"/>
        </w:rPr>
      </w:pPr>
    </w:p>
    <w:p w:rsidR="00290FC1" w:rsidRPr="00A75DF9" w:rsidRDefault="00290FC1" w:rsidP="0047054A">
      <w:pPr>
        <w:keepNext/>
        <w:spacing w:after="60"/>
        <w:rPr>
          <w:rFonts w:cs="Tahoma"/>
        </w:rPr>
      </w:pPr>
      <w:r w:rsidRPr="00A75DF9">
        <w:rPr>
          <w:rFonts w:cs="Tahoma"/>
          <w:b/>
        </w:rPr>
        <w:t>Prodotti Aggiunti</w:t>
      </w:r>
    </w:p>
    <w:p w:rsidR="007E2DBF" w:rsidRPr="00A75DF9" w:rsidRDefault="007E2DBF" w:rsidP="007E2DBF">
      <w:pPr>
        <w:rPr>
          <w:rFonts w:cs="Tahoma"/>
        </w:rPr>
      </w:pPr>
      <w:r w:rsidRPr="00A75DF9">
        <w:rPr>
          <w:rFonts w:cs="Tahoma"/>
        </w:rPr>
        <w:t>Learning Solutions MCP 30 Exam Vouchers (SL Utente)</w:t>
      </w:r>
    </w:p>
    <w:p w:rsidR="007E2DBF" w:rsidRPr="00A75DF9" w:rsidRDefault="007E2DBF" w:rsidP="007E2DBF">
      <w:pPr>
        <w:rPr>
          <w:rFonts w:cs="Tahoma"/>
        </w:rPr>
      </w:pPr>
      <w:r w:rsidRPr="00A75DF9">
        <w:rPr>
          <w:rFonts w:cs="Tahoma"/>
        </w:rPr>
        <w:t>Learning Solutions MOS 500 Exam Site License (SL Servizi)</w:t>
      </w:r>
    </w:p>
    <w:p w:rsidR="007E2DBF" w:rsidRPr="00A75DF9" w:rsidRDefault="007E2DBF" w:rsidP="007E2DBF">
      <w:pPr>
        <w:rPr>
          <w:rFonts w:cs="Tahoma"/>
        </w:rPr>
      </w:pPr>
      <w:r w:rsidRPr="00A75DF9">
        <w:rPr>
          <w:rFonts w:cs="Tahoma"/>
        </w:rPr>
        <w:t>Learning Solutions MTA 250 Exam Site License (SL Servizi)</w:t>
      </w:r>
    </w:p>
    <w:p w:rsidR="00290FC1" w:rsidRDefault="00290FC1" w:rsidP="00290FC1">
      <w:pPr>
        <w:rPr>
          <w:rFonts w:cs="Tahoma"/>
        </w:rPr>
      </w:pPr>
    </w:p>
    <w:p w:rsidR="0053746E" w:rsidRDefault="0053746E" w:rsidP="00290FC1">
      <w:pPr>
        <w:rPr>
          <w:rFonts w:cs="Tahoma"/>
        </w:rPr>
      </w:pPr>
    </w:p>
    <w:p w:rsidR="0053746E" w:rsidRDefault="0053746E" w:rsidP="00290FC1">
      <w:pPr>
        <w:rPr>
          <w:rFonts w:cs="Tahoma"/>
        </w:rPr>
      </w:pPr>
    </w:p>
    <w:p w:rsidR="0053746E" w:rsidRDefault="0053746E" w:rsidP="00290FC1">
      <w:pPr>
        <w:rPr>
          <w:rFonts w:cs="Tahoma"/>
        </w:rPr>
      </w:pPr>
    </w:p>
    <w:p w:rsidR="0053746E" w:rsidRPr="00A75DF9" w:rsidRDefault="0053746E" w:rsidP="00290FC1">
      <w:pPr>
        <w:rPr>
          <w:rFonts w:cs="Tahoma"/>
        </w:rPr>
      </w:pPr>
    </w:p>
    <w:p w:rsidR="00290FC1" w:rsidRPr="00A75DF9" w:rsidRDefault="00290FC1" w:rsidP="00290FC1">
      <w:pPr>
        <w:spacing w:after="60"/>
        <w:rPr>
          <w:rFonts w:cs="Tahoma"/>
        </w:rPr>
      </w:pPr>
      <w:r w:rsidRPr="00A75DF9">
        <w:rPr>
          <w:rFonts w:cs="Tahoma"/>
          <w:b/>
        </w:rPr>
        <w:lastRenderedPageBreak/>
        <w:t>Modifiche</w:t>
      </w:r>
    </w:p>
    <w:p w:rsidR="00290FC1" w:rsidRPr="00A75DF9" w:rsidRDefault="007E2DBF" w:rsidP="00290FC1">
      <w:pPr>
        <w:rPr>
          <w:rFonts w:cs="Tahoma"/>
        </w:rPr>
      </w:pPr>
      <w:r w:rsidRPr="00A75DF9">
        <w:rPr>
          <w:rFonts w:cs="Tahoma"/>
        </w:rPr>
        <w:t>Learning Solutions MCP 1 Exam Vouchers (SL Servizi)</w:t>
      </w:r>
    </w:p>
    <w:p w:rsidR="007E2DBF" w:rsidRPr="00A75DF9" w:rsidRDefault="007E2DBF" w:rsidP="00290FC1">
      <w:pPr>
        <w:rPr>
          <w:rFonts w:cs="Tahoma"/>
        </w:rPr>
      </w:pPr>
      <w:r w:rsidRPr="00A75DF9">
        <w:rPr>
          <w:rFonts w:cs="Tahoma"/>
        </w:rPr>
        <w:t>Licenza “Subscription” per Windows Companion</w:t>
      </w:r>
    </w:p>
    <w:p w:rsidR="007E2DBF" w:rsidRPr="00A75DF9" w:rsidRDefault="007E2DBF" w:rsidP="00290FC1">
      <w:pPr>
        <w:rPr>
          <w:rFonts w:cs="Tahoma"/>
        </w:rPr>
      </w:pPr>
      <w:r w:rsidRPr="00A75DF9">
        <w:rPr>
          <w:rFonts w:cs="Tahoma"/>
        </w:rPr>
        <w:t>Windows Desktop Optimization Pack per Software Assurance</w:t>
      </w:r>
    </w:p>
    <w:p w:rsidR="007E2DBF" w:rsidRPr="00A75DF9" w:rsidRDefault="007E2DBF" w:rsidP="00290FC1">
      <w:pPr>
        <w:rPr>
          <w:rFonts w:cs="Tahoma"/>
        </w:rPr>
      </w:pPr>
      <w:r w:rsidRPr="00A75DF9">
        <w:rPr>
          <w:rFonts w:cs="Tahoma"/>
        </w:rPr>
        <w:t>Windows 8 Enterprise Sideloading (100 confezioni)</w:t>
      </w:r>
    </w:p>
    <w:p w:rsidR="007E2DBF" w:rsidRPr="00A75DF9" w:rsidRDefault="007E2DBF" w:rsidP="00290FC1">
      <w:pPr>
        <w:rPr>
          <w:rFonts w:cs="Tahoma"/>
        </w:rPr>
      </w:pPr>
      <w:r w:rsidRPr="00A75DF9">
        <w:rPr>
          <w:rFonts w:cs="Tahoma"/>
        </w:rPr>
        <w:t>Windows</w:t>
      </w:r>
      <w:r w:rsidR="009D5D7B" w:rsidRPr="00A75DF9">
        <w:rPr>
          <w:rFonts w:cs="Tahoma"/>
          <w:vertAlign w:val="superscript"/>
        </w:rPr>
        <w:t>®</w:t>
      </w:r>
      <w:r w:rsidRPr="00A75DF9">
        <w:rPr>
          <w:rFonts w:cs="Tahoma"/>
        </w:rPr>
        <w:t xml:space="preserve"> 8 Pro con MDOP</w:t>
      </w:r>
    </w:p>
    <w:p w:rsidR="00D57D2B" w:rsidRPr="00A75DF9" w:rsidRDefault="00D57D2B" w:rsidP="00290FC1">
      <w:pPr>
        <w:rPr>
          <w:rFonts w:cs="Tahoma"/>
        </w:rPr>
      </w:pPr>
    </w:p>
    <w:p w:rsidR="00D57D2B" w:rsidRPr="00A75DF9" w:rsidRDefault="00D57D2B" w:rsidP="00290FC1">
      <w:pPr>
        <w:rPr>
          <w:rFonts w:cs="Tahoma"/>
        </w:rPr>
      </w:pPr>
    </w:p>
    <w:p w:rsidR="00B65F35" w:rsidRPr="00A75DF9" w:rsidRDefault="00B65F35" w:rsidP="00B65F35">
      <w:pPr>
        <w:pStyle w:val="Heading2"/>
        <w:ind w:left="0"/>
        <w:jc w:val="both"/>
        <w:rPr>
          <w:rFonts w:ascii="Tahoma" w:hAnsi="Tahoma" w:cs="Tahoma"/>
        </w:rPr>
      </w:pPr>
      <w:bookmarkStart w:id="591" w:name="_Toc368310167"/>
      <w:r w:rsidRPr="00A75DF9">
        <w:rPr>
          <w:rFonts w:ascii="Tahoma" w:hAnsi="Tahoma" w:cs="Tahoma"/>
          <w:color w:val="FF6600"/>
        </w:rPr>
        <w:t>MODIFICHE APPORTATE NEL MESE DI APRILE 2013</w:t>
      </w:r>
      <w:bookmarkEnd w:id="591"/>
    </w:p>
    <w:p w:rsidR="00B65F35" w:rsidRPr="00A75DF9" w:rsidRDefault="00B65F35" w:rsidP="004759C6">
      <w:pPr>
        <w:pStyle w:val="Heading2"/>
        <w:ind w:left="0"/>
        <w:jc w:val="both"/>
        <w:rPr>
          <w:rFonts w:ascii="Tahoma" w:hAnsi="Tahoma" w:cs="Tahoma"/>
        </w:rPr>
      </w:pPr>
    </w:p>
    <w:p w:rsidR="00B65F35" w:rsidRPr="00A75DF9" w:rsidRDefault="00B65F35" w:rsidP="00B65F35">
      <w:pPr>
        <w:spacing w:after="60"/>
        <w:rPr>
          <w:rFonts w:cs="Tahoma"/>
        </w:rPr>
      </w:pPr>
      <w:r w:rsidRPr="00A75DF9">
        <w:rPr>
          <w:rFonts w:cs="Tahoma"/>
          <w:b/>
        </w:rPr>
        <w:t>Prodotti Aggiunti</w:t>
      </w:r>
    </w:p>
    <w:p w:rsidR="00D02D7A" w:rsidRPr="00A75DF9" w:rsidRDefault="00D02D7A" w:rsidP="00D02D7A">
      <w:pPr>
        <w:rPr>
          <w:rFonts w:cs="Tahoma"/>
        </w:rPr>
      </w:pPr>
      <w:r w:rsidRPr="00A75DF9">
        <w:rPr>
          <w:rFonts w:cs="Tahoma"/>
        </w:rPr>
        <w:t>Bing Maps Consumer Tracked Per Asset Monthly Sub</w:t>
      </w:r>
    </w:p>
    <w:p w:rsidR="00D02D7A" w:rsidRPr="00A75DF9" w:rsidRDefault="00D02D7A" w:rsidP="00D02D7A">
      <w:pPr>
        <w:rPr>
          <w:rFonts w:cs="Tahoma"/>
        </w:rPr>
      </w:pPr>
      <w:r w:rsidRPr="00A75DF9">
        <w:rPr>
          <w:rFonts w:cs="Tahoma"/>
        </w:rPr>
        <w:t>Bing Maps Desktop con Enhanced Content Pack</w:t>
      </w:r>
    </w:p>
    <w:p w:rsidR="00D02D7A" w:rsidRPr="00A75DF9" w:rsidRDefault="00D02D7A" w:rsidP="00D02D7A">
      <w:pPr>
        <w:rPr>
          <w:rFonts w:cs="Tahoma"/>
        </w:rPr>
      </w:pPr>
      <w:r w:rsidRPr="00A75DF9">
        <w:rPr>
          <w:rFonts w:cs="Tahoma"/>
        </w:rPr>
        <w:t>Bing Maps for Enterprise Platform Fee Monthly Sub</w:t>
      </w:r>
    </w:p>
    <w:p w:rsidR="00D02D7A" w:rsidRPr="00A75DF9" w:rsidRDefault="00D02D7A" w:rsidP="00D02D7A">
      <w:pPr>
        <w:rPr>
          <w:rFonts w:cs="Tahoma"/>
        </w:rPr>
      </w:pPr>
      <w:r w:rsidRPr="00A75DF9">
        <w:rPr>
          <w:rFonts w:cs="Tahoma"/>
        </w:rPr>
        <w:t>Bing Maps Public Website Usage 100K Transactions Monthly Sub</w:t>
      </w:r>
    </w:p>
    <w:p w:rsidR="00D02D7A" w:rsidRPr="00A75DF9" w:rsidRDefault="00D02D7A" w:rsidP="00D02D7A">
      <w:pPr>
        <w:rPr>
          <w:rFonts w:cs="Tahoma"/>
        </w:rPr>
      </w:pPr>
      <w:r w:rsidRPr="00A75DF9">
        <w:rPr>
          <w:rFonts w:cs="Tahoma"/>
        </w:rPr>
        <w:t>Bing Maps Public Website Usage 250K Transactions Monthly Sub</w:t>
      </w:r>
    </w:p>
    <w:p w:rsidR="00D02D7A" w:rsidRPr="00A75DF9" w:rsidRDefault="00D02D7A" w:rsidP="00D02D7A">
      <w:pPr>
        <w:rPr>
          <w:rFonts w:cs="Tahoma"/>
        </w:rPr>
      </w:pPr>
      <w:r w:rsidRPr="00A75DF9">
        <w:rPr>
          <w:rFonts w:cs="Tahoma"/>
        </w:rPr>
        <w:t>Bing Maps Public Website Usage 420K Transactions Monthly Sub</w:t>
      </w:r>
    </w:p>
    <w:p w:rsidR="00D02D7A" w:rsidRPr="00A75DF9" w:rsidRDefault="00D02D7A" w:rsidP="00D02D7A">
      <w:pPr>
        <w:rPr>
          <w:rFonts w:cs="Tahoma"/>
        </w:rPr>
      </w:pPr>
      <w:r w:rsidRPr="00A75DF9">
        <w:rPr>
          <w:rFonts w:cs="Tahoma"/>
        </w:rPr>
        <w:t>Bing Maps Public Website Usage 840K Transactions Monthly Sub</w:t>
      </w:r>
    </w:p>
    <w:p w:rsidR="00D02D7A" w:rsidRPr="00A75DF9" w:rsidRDefault="00D02D7A" w:rsidP="00D02D7A">
      <w:pPr>
        <w:rPr>
          <w:rFonts w:cs="Tahoma"/>
        </w:rPr>
      </w:pPr>
      <w:r w:rsidRPr="00A75DF9">
        <w:rPr>
          <w:rFonts w:cs="Tahoma"/>
        </w:rPr>
        <w:t>Bing Maps Public Website Usage 2.5m Transactions Monthly Sub</w:t>
      </w:r>
    </w:p>
    <w:p w:rsidR="00D02D7A" w:rsidRPr="00A75DF9" w:rsidRDefault="00D02D7A" w:rsidP="00D02D7A">
      <w:pPr>
        <w:rPr>
          <w:rFonts w:cs="Tahoma"/>
        </w:rPr>
      </w:pPr>
      <w:r w:rsidRPr="00A75DF9">
        <w:rPr>
          <w:rFonts w:cs="Tahoma"/>
        </w:rPr>
        <w:t>Bing Maps Public Website Usage 4.2m Transactions Monthly Sub</w:t>
      </w:r>
    </w:p>
    <w:p w:rsidR="00D02D7A" w:rsidRPr="00A75DF9" w:rsidRDefault="00D02D7A" w:rsidP="00D02D7A">
      <w:pPr>
        <w:rPr>
          <w:rFonts w:cs="Tahoma"/>
        </w:rPr>
      </w:pPr>
      <w:r w:rsidRPr="00A75DF9">
        <w:rPr>
          <w:rFonts w:cs="Tahoma"/>
        </w:rPr>
        <w:t>Bing Maps Public Website Usage 8.4m Transactions Monthly Sub</w:t>
      </w:r>
    </w:p>
    <w:p w:rsidR="00D02D7A" w:rsidRPr="00A75DF9" w:rsidRDefault="00D02D7A" w:rsidP="00D02D7A">
      <w:pPr>
        <w:rPr>
          <w:rFonts w:cs="Tahoma"/>
        </w:rPr>
      </w:pPr>
      <w:r w:rsidRPr="00A75DF9">
        <w:rPr>
          <w:rFonts w:cs="Tahoma"/>
        </w:rPr>
        <w:t>Bing Maps Public Website Usage Unlimited Transactions Monthly Sub</w:t>
      </w:r>
    </w:p>
    <w:p w:rsidR="00D02D7A" w:rsidRPr="00A75DF9" w:rsidRDefault="00D02D7A" w:rsidP="00D02D7A">
      <w:pPr>
        <w:rPr>
          <w:rFonts w:cs="Tahoma"/>
        </w:rPr>
      </w:pPr>
      <w:r w:rsidRPr="00A75DF9">
        <w:rPr>
          <w:rFonts w:cs="Tahoma"/>
        </w:rPr>
        <w:t>Bing Maps Internal Website Usage 100K Transactions Monthly Sub</w:t>
      </w:r>
    </w:p>
    <w:p w:rsidR="00D02D7A" w:rsidRPr="00A75DF9" w:rsidRDefault="00D02D7A" w:rsidP="00D02D7A">
      <w:pPr>
        <w:rPr>
          <w:rFonts w:cs="Tahoma"/>
        </w:rPr>
      </w:pPr>
      <w:r w:rsidRPr="00A75DF9">
        <w:rPr>
          <w:rFonts w:cs="Tahoma"/>
        </w:rPr>
        <w:t>Bing Maps Internal Website Usage 250K Transactions Monthly Sub</w:t>
      </w:r>
    </w:p>
    <w:p w:rsidR="00D02D7A" w:rsidRPr="00A75DF9" w:rsidRDefault="00D02D7A" w:rsidP="00D02D7A">
      <w:pPr>
        <w:rPr>
          <w:rFonts w:cs="Tahoma"/>
        </w:rPr>
      </w:pPr>
      <w:r w:rsidRPr="00A75DF9">
        <w:rPr>
          <w:rFonts w:cs="Tahoma"/>
        </w:rPr>
        <w:t>Bing Maps Internal Website Usage 420K Transactions Monthly Sub</w:t>
      </w:r>
    </w:p>
    <w:p w:rsidR="00D02D7A" w:rsidRPr="00A75DF9" w:rsidRDefault="00D02D7A" w:rsidP="00D02D7A">
      <w:pPr>
        <w:rPr>
          <w:rFonts w:cs="Tahoma"/>
        </w:rPr>
      </w:pPr>
      <w:r w:rsidRPr="00A75DF9">
        <w:rPr>
          <w:rFonts w:cs="Tahoma"/>
        </w:rPr>
        <w:t>Bing Maps Internal Website Usage 1.25m Transactions Monthly Sub</w:t>
      </w:r>
    </w:p>
    <w:p w:rsidR="00D02D7A" w:rsidRPr="00A75DF9" w:rsidRDefault="00D02D7A" w:rsidP="00D02D7A">
      <w:pPr>
        <w:rPr>
          <w:rFonts w:cs="Tahoma"/>
        </w:rPr>
      </w:pPr>
      <w:r w:rsidRPr="00A75DF9">
        <w:rPr>
          <w:rFonts w:cs="Tahoma"/>
        </w:rPr>
        <w:t>Bing Maps Internal Website Usage 2.1m Transactions Monthly Sub</w:t>
      </w:r>
    </w:p>
    <w:p w:rsidR="00D02D7A" w:rsidRPr="00A75DF9" w:rsidRDefault="00D02D7A" w:rsidP="00D02D7A">
      <w:pPr>
        <w:rPr>
          <w:rFonts w:cs="Tahoma"/>
        </w:rPr>
      </w:pPr>
      <w:r w:rsidRPr="00A75DF9">
        <w:rPr>
          <w:rFonts w:cs="Tahoma"/>
        </w:rPr>
        <w:t>Bing Maps Internal Website Usage Unlimited Transactions Monthly Sub</w:t>
      </w:r>
    </w:p>
    <w:p w:rsidR="00D02D7A" w:rsidRPr="00A75DF9" w:rsidRDefault="00D02D7A" w:rsidP="00D02D7A">
      <w:pPr>
        <w:rPr>
          <w:rFonts w:cs="Tahoma"/>
        </w:rPr>
      </w:pPr>
      <w:r w:rsidRPr="00A75DF9">
        <w:rPr>
          <w:rFonts w:cs="Tahoma"/>
        </w:rPr>
        <w:t>Bing Maps Per Known User Monthly Sub</w:t>
      </w:r>
    </w:p>
    <w:p w:rsidR="00D02D7A" w:rsidRPr="00A75DF9" w:rsidRDefault="00D02D7A" w:rsidP="00D02D7A">
      <w:pPr>
        <w:rPr>
          <w:rFonts w:cs="Tahoma"/>
        </w:rPr>
      </w:pPr>
      <w:r w:rsidRPr="00A75DF9">
        <w:rPr>
          <w:rFonts w:cs="Tahoma"/>
        </w:rPr>
        <w:t>Bing Maps Known User 5K Bundle Monthly Sub</w:t>
      </w:r>
    </w:p>
    <w:p w:rsidR="00D02D7A" w:rsidRPr="00A75DF9" w:rsidRDefault="00D02D7A" w:rsidP="00D02D7A">
      <w:pPr>
        <w:rPr>
          <w:rFonts w:cs="Tahoma"/>
        </w:rPr>
      </w:pPr>
      <w:r w:rsidRPr="00A75DF9">
        <w:rPr>
          <w:rFonts w:cs="Tahoma"/>
        </w:rPr>
        <w:t>Bing Maps Light Known Per User Monthly Sub</w:t>
      </w:r>
    </w:p>
    <w:p w:rsidR="00D02D7A" w:rsidRPr="00A75DF9" w:rsidRDefault="00D02D7A" w:rsidP="00D02D7A">
      <w:pPr>
        <w:rPr>
          <w:rFonts w:cs="Tahoma"/>
        </w:rPr>
      </w:pPr>
      <w:r w:rsidRPr="00A75DF9">
        <w:rPr>
          <w:rFonts w:cs="Tahoma"/>
        </w:rPr>
        <w:t>Bing Maps Light Known 5K User Bundle Monthly Sub</w:t>
      </w:r>
    </w:p>
    <w:p w:rsidR="00D02D7A" w:rsidRPr="00A75DF9" w:rsidRDefault="00D02D7A" w:rsidP="00D02D7A">
      <w:pPr>
        <w:rPr>
          <w:rFonts w:cs="Tahoma"/>
        </w:rPr>
      </w:pPr>
      <w:r w:rsidRPr="00A75DF9">
        <w:rPr>
          <w:rFonts w:cs="Tahoma"/>
        </w:rPr>
        <w:t>Bing Maps Mobile Asset Management Platform Fee Monthly Sub</w:t>
      </w:r>
    </w:p>
    <w:p w:rsidR="00D02D7A" w:rsidRPr="00A75DF9" w:rsidRDefault="00D02D7A" w:rsidP="00D02D7A">
      <w:pPr>
        <w:rPr>
          <w:rFonts w:cs="Tahoma"/>
        </w:rPr>
      </w:pPr>
      <w:r w:rsidRPr="00A75DF9">
        <w:rPr>
          <w:rFonts w:cs="Tahoma"/>
        </w:rPr>
        <w:t>Bing Maps Mobile Asset Management NA w routing Per Asset Monthly Sub</w:t>
      </w:r>
    </w:p>
    <w:p w:rsidR="00D02D7A" w:rsidRPr="00A75DF9" w:rsidRDefault="00D02D7A" w:rsidP="00D02D7A">
      <w:pPr>
        <w:rPr>
          <w:rFonts w:cs="Tahoma"/>
        </w:rPr>
      </w:pPr>
      <w:r w:rsidRPr="00A75DF9">
        <w:rPr>
          <w:rFonts w:cs="Tahoma"/>
        </w:rPr>
        <w:t>Bing Maps Mobile Asset Management NA w/o routing Per Asset Monthly Sub</w:t>
      </w:r>
    </w:p>
    <w:p w:rsidR="00D02D7A" w:rsidRPr="00A75DF9" w:rsidRDefault="00D02D7A" w:rsidP="00D02D7A">
      <w:pPr>
        <w:rPr>
          <w:rFonts w:cs="Tahoma"/>
        </w:rPr>
      </w:pPr>
      <w:r w:rsidRPr="00A75DF9">
        <w:rPr>
          <w:rFonts w:cs="Tahoma"/>
        </w:rPr>
        <w:t>Bing Maps Mobile Asset Management Europe w routing Per Asset Monthly Sub</w:t>
      </w:r>
    </w:p>
    <w:p w:rsidR="00D02D7A" w:rsidRPr="00A75DF9" w:rsidRDefault="00D02D7A" w:rsidP="00D02D7A">
      <w:pPr>
        <w:rPr>
          <w:rFonts w:cs="Tahoma"/>
        </w:rPr>
      </w:pPr>
      <w:r w:rsidRPr="00A75DF9">
        <w:rPr>
          <w:rFonts w:cs="Tahoma"/>
        </w:rPr>
        <w:t>Bing Maps Mobile Asset Management Europe w/o routing Per Asset Monthly Sub</w:t>
      </w:r>
    </w:p>
    <w:p w:rsidR="00D02D7A" w:rsidRPr="00A75DF9" w:rsidRDefault="00D02D7A" w:rsidP="00D02D7A">
      <w:pPr>
        <w:rPr>
          <w:rFonts w:cs="Tahoma"/>
        </w:rPr>
      </w:pPr>
      <w:r w:rsidRPr="00A75DF9">
        <w:rPr>
          <w:rFonts w:cs="Tahoma"/>
        </w:rPr>
        <w:t>Bing Maps Server</w:t>
      </w:r>
    </w:p>
    <w:p w:rsidR="00D02D7A" w:rsidRPr="00A75DF9" w:rsidRDefault="00D02D7A" w:rsidP="00D02D7A">
      <w:pPr>
        <w:rPr>
          <w:rFonts w:cs="Tahoma"/>
        </w:rPr>
      </w:pPr>
      <w:r w:rsidRPr="00A75DF9">
        <w:rPr>
          <w:rFonts w:cs="Tahoma"/>
        </w:rPr>
        <w:t>BizTalk</w:t>
      </w:r>
      <w:r w:rsidR="009D5D7B" w:rsidRPr="00A75DF9">
        <w:rPr>
          <w:rFonts w:cs="Tahoma"/>
          <w:vertAlign w:val="superscript"/>
        </w:rPr>
        <w:t>®</w:t>
      </w:r>
      <w:r w:rsidRPr="00A75DF9">
        <w:rPr>
          <w:rFonts w:cs="Tahoma"/>
        </w:rPr>
        <w:t xml:space="preserve"> Server 2013 Enterprise Edition </w:t>
      </w:r>
    </w:p>
    <w:p w:rsidR="00D02D7A" w:rsidRPr="00A75DF9" w:rsidRDefault="00D02D7A" w:rsidP="00D02D7A">
      <w:pPr>
        <w:rPr>
          <w:rFonts w:cs="Tahoma"/>
        </w:rPr>
      </w:pPr>
      <w:r w:rsidRPr="00A75DF9">
        <w:rPr>
          <w:rFonts w:cs="Tahoma"/>
        </w:rPr>
        <w:t>BizTalk</w:t>
      </w:r>
      <w:r w:rsidR="009D5D7B" w:rsidRPr="00A75DF9">
        <w:rPr>
          <w:rFonts w:cs="Tahoma"/>
          <w:vertAlign w:val="superscript"/>
        </w:rPr>
        <w:t>®</w:t>
      </w:r>
      <w:r w:rsidRPr="00A75DF9">
        <w:rPr>
          <w:rFonts w:cs="Tahoma"/>
        </w:rPr>
        <w:t xml:space="preserve"> Server 2013 Standard Edition </w:t>
      </w:r>
    </w:p>
    <w:p w:rsidR="00D02D7A" w:rsidRPr="00A75DF9" w:rsidRDefault="00D02D7A" w:rsidP="00D02D7A">
      <w:pPr>
        <w:rPr>
          <w:rFonts w:cs="Tahoma"/>
        </w:rPr>
      </w:pPr>
      <w:r w:rsidRPr="00A75DF9">
        <w:rPr>
          <w:rFonts w:cs="Tahoma"/>
        </w:rPr>
        <w:t>BizTalk</w:t>
      </w:r>
      <w:r w:rsidR="009D5D7B" w:rsidRPr="00A75DF9">
        <w:rPr>
          <w:rFonts w:cs="Tahoma"/>
          <w:vertAlign w:val="superscript"/>
        </w:rPr>
        <w:t>®</w:t>
      </w:r>
      <w:r w:rsidRPr="00A75DF9">
        <w:rPr>
          <w:rFonts w:cs="Tahoma"/>
        </w:rPr>
        <w:t xml:space="preserve"> Server 2013 Branch</w:t>
      </w:r>
    </w:p>
    <w:p w:rsidR="00D02D7A" w:rsidRPr="00A75DF9" w:rsidRDefault="00D02D7A" w:rsidP="00D02D7A">
      <w:pPr>
        <w:rPr>
          <w:rFonts w:cs="Tahoma"/>
        </w:rPr>
      </w:pPr>
      <w:r w:rsidRPr="00A75DF9">
        <w:rPr>
          <w:rFonts w:cs="Tahoma"/>
        </w:rPr>
        <w:t>BizTalk</w:t>
      </w:r>
      <w:r w:rsidR="009D5D7B" w:rsidRPr="00A75DF9">
        <w:rPr>
          <w:rFonts w:cs="Tahoma"/>
          <w:vertAlign w:val="superscript"/>
        </w:rPr>
        <w:t>®</w:t>
      </w:r>
      <w:r w:rsidRPr="00A75DF9">
        <w:rPr>
          <w:rFonts w:cs="Tahoma"/>
        </w:rPr>
        <w:t xml:space="preserve"> Server 2013 Branch IDC </w:t>
      </w:r>
    </w:p>
    <w:p w:rsidR="00D02D7A" w:rsidRPr="00A75DF9" w:rsidRDefault="00D02D7A" w:rsidP="00D02D7A">
      <w:pPr>
        <w:rPr>
          <w:rFonts w:cs="Tahoma"/>
        </w:rPr>
      </w:pPr>
      <w:r w:rsidRPr="00A75DF9">
        <w:rPr>
          <w:rFonts w:cs="Tahoma"/>
        </w:rPr>
        <w:t>BizTalk</w:t>
      </w:r>
      <w:r w:rsidR="009D5D7B" w:rsidRPr="00A75DF9">
        <w:rPr>
          <w:rFonts w:cs="Tahoma"/>
          <w:vertAlign w:val="superscript"/>
        </w:rPr>
        <w:t>®</w:t>
      </w:r>
      <w:r w:rsidRPr="00A75DF9">
        <w:rPr>
          <w:rFonts w:cs="Tahoma"/>
        </w:rPr>
        <w:t xml:space="preserve"> Server 2013 Standard Edition IDC </w:t>
      </w:r>
    </w:p>
    <w:p w:rsidR="00D02D7A" w:rsidRPr="00A75DF9" w:rsidRDefault="00D02D7A" w:rsidP="00D02D7A">
      <w:pPr>
        <w:rPr>
          <w:rFonts w:cs="Tahoma"/>
        </w:rPr>
      </w:pPr>
      <w:r w:rsidRPr="00A75DF9">
        <w:rPr>
          <w:rFonts w:cs="Tahoma"/>
        </w:rPr>
        <w:t>Office 365 Enterprise E1 (SL per Utente) (Pool di Applicazioni)</w:t>
      </w:r>
    </w:p>
    <w:p w:rsidR="00D02D7A" w:rsidRPr="00A75DF9" w:rsidRDefault="00D02D7A" w:rsidP="00D02D7A">
      <w:pPr>
        <w:rPr>
          <w:rFonts w:cs="Tahoma"/>
        </w:rPr>
      </w:pPr>
      <w:r w:rsidRPr="00A75DF9">
        <w:rPr>
          <w:rFonts w:cs="Tahoma"/>
        </w:rPr>
        <w:t>Office 365 Enterprise E2 (SL per Utente) (Pool di Applicazioni)</w:t>
      </w:r>
    </w:p>
    <w:p w:rsidR="00D02D7A" w:rsidRPr="00A75DF9" w:rsidRDefault="00D02D7A" w:rsidP="00D02D7A">
      <w:pPr>
        <w:rPr>
          <w:rFonts w:cs="Tahoma"/>
        </w:rPr>
      </w:pPr>
      <w:r w:rsidRPr="00A75DF9">
        <w:rPr>
          <w:rFonts w:cs="Tahoma"/>
        </w:rPr>
        <w:t>Office 365 Enterprise E3 (SL per Utente) (Pool di Applicazioni)</w:t>
      </w:r>
    </w:p>
    <w:p w:rsidR="00D02D7A" w:rsidRPr="00A75DF9" w:rsidRDefault="00D02D7A" w:rsidP="00D02D7A">
      <w:pPr>
        <w:rPr>
          <w:rFonts w:cs="Tahoma"/>
        </w:rPr>
      </w:pPr>
      <w:r w:rsidRPr="00A75DF9">
        <w:rPr>
          <w:rFonts w:cs="Tahoma"/>
        </w:rPr>
        <w:t>Office 365 Enterprise E4 (SL per Utente) (Pool di Applicazioni)</w:t>
      </w:r>
    </w:p>
    <w:p w:rsidR="00D02D7A" w:rsidRPr="00A75DF9" w:rsidRDefault="00D02D7A" w:rsidP="00D02D7A">
      <w:pPr>
        <w:rPr>
          <w:rFonts w:cs="Tahoma"/>
        </w:rPr>
      </w:pPr>
      <w:r w:rsidRPr="00A75DF9">
        <w:rPr>
          <w:rFonts w:cs="Tahoma"/>
        </w:rPr>
        <w:t>Office 365 Education A2 (SL per Utente) (Pool di Applicazioni)</w:t>
      </w:r>
    </w:p>
    <w:p w:rsidR="00D02D7A" w:rsidRPr="00A75DF9" w:rsidRDefault="00D02D7A" w:rsidP="00D02D7A">
      <w:pPr>
        <w:rPr>
          <w:rFonts w:cs="Tahoma"/>
        </w:rPr>
      </w:pPr>
      <w:r w:rsidRPr="00A75DF9">
        <w:rPr>
          <w:rFonts w:cs="Tahoma"/>
        </w:rPr>
        <w:t>Office 365 Education A3 (SL per Utente) (Pool di Applicazioni)</w:t>
      </w:r>
    </w:p>
    <w:p w:rsidR="00D02D7A" w:rsidRPr="00A75DF9" w:rsidRDefault="00D02D7A" w:rsidP="00D02D7A">
      <w:pPr>
        <w:rPr>
          <w:rFonts w:cs="Tahoma"/>
        </w:rPr>
      </w:pPr>
      <w:r w:rsidRPr="00A75DF9">
        <w:rPr>
          <w:rFonts w:cs="Tahoma"/>
        </w:rPr>
        <w:t>Office 365 Education A4 (SL per Utente) (Pool di Applicazioni)</w:t>
      </w:r>
    </w:p>
    <w:p w:rsidR="00D02D7A" w:rsidRPr="00A75DF9" w:rsidRDefault="00D02D7A" w:rsidP="00D02D7A">
      <w:pPr>
        <w:rPr>
          <w:rFonts w:cs="Tahoma"/>
        </w:rPr>
      </w:pPr>
      <w:r w:rsidRPr="00A75DF9">
        <w:rPr>
          <w:rFonts w:cs="Tahoma"/>
        </w:rPr>
        <w:t>Office 365 Enterprise E1 (SL per Utente) (Pool di Server)</w:t>
      </w:r>
    </w:p>
    <w:p w:rsidR="00D02D7A" w:rsidRPr="00A75DF9" w:rsidRDefault="00D02D7A" w:rsidP="00D02D7A">
      <w:pPr>
        <w:rPr>
          <w:rFonts w:cs="Tahoma"/>
        </w:rPr>
      </w:pPr>
      <w:r w:rsidRPr="00A75DF9">
        <w:rPr>
          <w:rFonts w:cs="Tahoma"/>
        </w:rPr>
        <w:t>Office 365 Enterprise E2 (SL per Utente) (Pool di Server)</w:t>
      </w:r>
    </w:p>
    <w:p w:rsidR="00D02D7A" w:rsidRPr="00A75DF9" w:rsidRDefault="00D02D7A" w:rsidP="00D02D7A">
      <w:pPr>
        <w:rPr>
          <w:rFonts w:cs="Tahoma"/>
        </w:rPr>
      </w:pPr>
      <w:r w:rsidRPr="00A75DF9">
        <w:rPr>
          <w:rFonts w:cs="Tahoma"/>
        </w:rPr>
        <w:t>Office 365 Enterprise E3 (SL per Utente) (Pool di Server)</w:t>
      </w:r>
    </w:p>
    <w:p w:rsidR="00D02D7A" w:rsidRPr="00A75DF9" w:rsidRDefault="00D02D7A" w:rsidP="00D02D7A">
      <w:pPr>
        <w:rPr>
          <w:rFonts w:cs="Tahoma"/>
        </w:rPr>
      </w:pPr>
      <w:r w:rsidRPr="00A75DF9">
        <w:rPr>
          <w:rFonts w:cs="Tahoma"/>
        </w:rPr>
        <w:t>Office 365 Enterprise E4 (SL per Utente) (Pool di Server)</w:t>
      </w:r>
    </w:p>
    <w:p w:rsidR="00D02D7A" w:rsidRPr="00A75DF9" w:rsidRDefault="00D02D7A" w:rsidP="00D02D7A">
      <w:pPr>
        <w:rPr>
          <w:rFonts w:cs="Tahoma"/>
        </w:rPr>
      </w:pPr>
      <w:r w:rsidRPr="00A75DF9">
        <w:rPr>
          <w:rFonts w:cs="Tahoma"/>
        </w:rPr>
        <w:t>Office 365 Government G1 (SL per Utente) (Pool di Server)</w:t>
      </w:r>
    </w:p>
    <w:p w:rsidR="00D02D7A" w:rsidRPr="00A75DF9" w:rsidRDefault="00D02D7A" w:rsidP="00D02D7A">
      <w:pPr>
        <w:rPr>
          <w:rFonts w:cs="Tahoma"/>
        </w:rPr>
      </w:pPr>
      <w:r w:rsidRPr="00A75DF9">
        <w:rPr>
          <w:rFonts w:cs="Tahoma"/>
        </w:rPr>
        <w:t>Office 365 Government G2 (SL per Utente) (Pool di Server)</w:t>
      </w:r>
    </w:p>
    <w:p w:rsidR="00D02D7A" w:rsidRPr="00A75DF9" w:rsidRDefault="00D02D7A" w:rsidP="00D02D7A">
      <w:pPr>
        <w:rPr>
          <w:rFonts w:cs="Tahoma"/>
        </w:rPr>
      </w:pPr>
      <w:r w:rsidRPr="00A75DF9">
        <w:rPr>
          <w:rFonts w:cs="Tahoma"/>
        </w:rPr>
        <w:t>Office 365 Government G3 (SL per Utente) (Pool di Server)</w:t>
      </w:r>
    </w:p>
    <w:p w:rsidR="00D02D7A" w:rsidRPr="00A75DF9" w:rsidRDefault="00D02D7A" w:rsidP="00D02D7A">
      <w:pPr>
        <w:rPr>
          <w:rFonts w:cs="Tahoma"/>
        </w:rPr>
      </w:pPr>
      <w:r w:rsidRPr="00A75DF9">
        <w:rPr>
          <w:rFonts w:cs="Tahoma"/>
        </w:rPr>
        <w:t>Office 365 Government G4 (SL per Utente) (Pool di Server)</w:t>
      </w:r>
    </w:p>
    <w:p w:rsidR="00D02D7A" w:rsidRPr="00A75DF9" w:rsidRDefault="00D02D7A" w:rsidP="00D02D7A">
      <w:pPr>
        <w:rPr>
          <w:rFonts w:cs="Tahoma"/>
        </w:rPr>
      </w:pPr>
      <w:r w:rsidRPr="00A75DF9">
        <w:rPr>
          <w:rFonts w:cs="Tahoma"/>
        </w:rPr>
        <w:lastRenderedPageBreak/>
        <w:t>Office 365 Enterprise K1 (SL per Utente) (Pool di Server)</w:t>
      </w:r>
    </w:p>
    <w:p w:rsidR="00D02D7A" w:rsidRPr="00A75DF9" w:rsidRDefault="00D02D7A" w:rsidP="00D02D7A">
      <w:pPr>
        <w:rPr>
          <w:rFonts w:cs="Tahoma"/>
        </w:rPr>
      </w:pPr>
      <w:r w:rsidRPr="00A75DF9">
        <w:rPr>
          <w:rFonts w:cs="Tahoma"/>
        </w:rPr>
        <w:t>Office 365 Enterprise K2 (SL per Utente) (Pool di Server)</w:t>
      </w:r>
    </w:p>
    <w:p w:rsidR="003418C5" w:rsidRPr="00A75DF9" w:rsidRDefault="003418C5" w:rsidP="003418C5">
      <w:pPr>
        <w:rPr>
          <w:rFonts w:cs="Tahoma"/>
        </w:rPr>
      </w:pPr>
      <w:r w:rsidRPr="00A75DF9">
        <w:rPr>
          <w:rFonts w:cs="Tahoma"/>
        </w:rPr>
        <w:t>Office 365 ProPlus SA Transition (SL per Utente) (Pool di Applicazioni)</w:t>
      </w:r>
    </w:p>
    <w:p w:rsidR="00D02D7A" w:rsidRPr="00A75DF9" w:rsidRDefault="00D02D7A">
      <w:pPr>
        <w:rPr>
          <w:rFonts w:cs="Tahoma"/>
        </w:rPr>
      </w:pPr>
      <w:r w:rsidRPr="00A75DF9">
        <w:rPr>
          <w:rFonts w:cs="Tahoma"/>
        </w:rPr>
        <w:t>Microsoft Desktop Optimization Pack 2013 per Software Assurance</w:t>
      </w:r>
    </w:p>
    <w:p w:rsidR="00D02D7A" w:rsidRPr="00A75DF9" w:rsidRDefault="00D02D7A" w:rsidP="007E466C">
      <w:pPr>
        <w:rPr>
          <w:rFonts w:cs="Tahoma"/>
        </w:rPr>
      </w:pPr>
      <w:r w:rsidRPr="00A75DF9">
        <w:rPr>
          <w:rFonts w:cs="Tahoma"/>
        </w:rPr>
        <w:t>System Center Global Service Monitor</w:t>
      </w:r>
    </w:p>
    <w:p w:rsidR="005F584F" w:rsidRPr="00A75DF9" w:rsidRDefault="005F584F" w:rsidP="005F584F">
      <w:pPr>
        <w:rPr>
          <w:rFonts w:cs="Tahoma"/>
        </w:rPr>
      </w:pPr>
      <w:r w:rsidRPr="00A75DF9">
        <w:rPr>
          <w:rFonts w:cs="Tahoma"/>
        </w:rPr>
        <w:t>Vexcel Desktop con Enhanced Content Pack</w:t>
      </w:r>
    </w:p>
    <w:p w:rsidR="009C779A" w:rsidRPr="00A75DF9" w:rsidRDefault="00242B11">
      <w:pPr>
        <w:rPr>
          <w:rFonts w:cs="Tahoma"/>
        </w:rPr>
      </w:pPr>
      <w:r w:rsidRPr="00A75DF9">
        <w:rPr>
          <w:rFonts w:cs="Tahoma"/>
        </w:rPr>
        <w:t>Vexcel Server</w:t>
      </w:r>
    </w:p>
    <w:p w:rsidR="00242B11" w:rsidRPr="00A75DF9" w:rsidRDefault="00242B11">
      <w:pPr>
        <w:rPr>
          <w:rFonts w:cs="Tahoma"/>
        </w:rPr>
      </w:pPr>
      <w:r w:rsidRPr="00A75DF9">
        <w:rPr>
          <w:rFonts w:cs="Tahoma"/>
        </w:rPr>
        <w:t>Vexcel Server con Enhanced Content Pack</w:t>
      </w:r>
    </w:p>
    <w:p w:rsidR="003F5594" w:rsidRPr="00A75DF9" w:rsidRDefault="003F5594" w:rsidP="00B65F35">
      <w:pPr>
        <w:spacing w:after="60"/>
        <w:rPr>
          <w:rFonts w:cs="Tahoma"/>
        </w:rPr>
      </w:pPr>
    </w:p>
    <w:p w:rsidR="00B65F35" w:rsidRPr="00A75DF9" w:rsidRDefault="00B65F35" w:rsidP="00B65F35">
      <w:pPr>
        <w:spacing w:after="60"/>
        <w:rPr>
          <w:rFonts w:cs="Tahoma"/>
        </w:rPr>
      </w:pPr>
      <w:r w:rsidRPr="00A75DF9">
        <w:rPr>
          <w:rFonts w:cs="Tahoma"/>
          <w:b/>
        </w:rPr>
        <w:t>Modifiche</w:t>
      </w:r>
    </w:p>
    <w:p w:rsidR="00B65F35" w:rsidRPr="00A75DF9" w:rsidRDefault="009C779A" w:rsidP="009C779A">
      <w:pPr>
        <w:rPr>
          <w:rFonts w:cs="Tahoma"/>
        </w:rPr>
      </w:pPr>
      <w:r w:rsidRPr="00A75DF9">
        <w:rPr>
          <w:rFonts w:cs="Tahoma"/>
        </w:rPr>
        <w:t>Bing Maps Standard (SL per Utente)</w:t>
      </w:r>
    </w:p>
    <w:p w:rsidR="009C779A" w:rsidRPr="00A75DF9" w:rsidRDefault="009C779A" w:rsidP="00D66F68">
      <w:pPr>
        <w:rPr>
          <w:rFonts w:cs="Tahoma"/>
        </w:rPr>
      </w:pPr>
      <w:r w:rsidRPr="00A75DF9">
        <w:rPr>
          <w:rFonts w:cs="Tahoma"/>
        </w:rPr>
        <w:t>Office 365 Piano E1 (SL per Utente) (Pool di Applicazioni)</w:t>
      </w:r>
    </w:p>
    <w:p w:rsidR="009C779A" w:rsidRPr="00A75DF9" w:rsidRDefault="009C779A" w:rsidP="00D66F68">
      <w:pPr>
        <w:rPr>
          <w:rFonts w:cs="Tahoma"/>
        </w:rPr>
      </w:pPr>
      <w:r w:rsidRPr="00A75DF9">
        <w:rPr>
          <w:rFonts w:cs="Tahoma"/>
        </w:rPr>
        <w:t>Office 365 Piano E2 (SL per Utente) (Pool di Applicazioni)</w:t>
      </w:r>
    </w:p>
    <w:p w:rsidR="009C779A" w:rsidRPr="00A75DF9" w:rsidRDefault="009C779A" w:rsidP="00D02D7A">
      <w:pPr>
        <w:rPr>
          <w:rFonts w:cs="Tahoma"/>
        </w:rPr>
      </w:pPr>
      <w:r w:rsidRPr="00A75DF9">
        <w:rPr>
          <w:rFonts w:cs="Tahoma"/>
        </w:rPr>
        <w:t>Office 365 Piano E3 (SL per Utente) (Pool di Applicazioni)</w:t>
      </w:r>
    </w:p>
    <w:p w:rsidR="009C779A" w:rsidRPr="00A75DF9" w:rsidRDefault="009C779A" w:rsidP="00D02D7A">
      <w:pPr>
        <w:rPr>
          <w:rFonts w:cs="Tahoma"/>
        </w:rPr>
      </w:pPr>
      <w:r w:rsidRPr="00A75DF9">
        <w:rPr>
          <w:rFonts w:cs="Tahoma"/>
        </w:rPr>
        <w:t>Office 365 Piano E4 (SL per Utente) (Pool di Applicazioni)</w:t>
      </w:r>
    </w:p>
    <w:p w:rsidR="009C779A" w:rsidRPr="00A75DF9" w:rsidRDefault="009C779A" w:rsidP="00242B11">
      <w:pPr>
        <w:rPr>
          <w:rFonts w:cs="Tahoma"/>
        </w:rPr>
      </w:pPr>
      <w:r w:rsidRPr="00A75DF9">
        <w:rPr>
          <w:rFonts w:cs="Tahoma"/>
        </w:rPr>
        <w:t>Office 365 Piano A2 (SL per Utente) (Pool di Applicazioni)</w:t>
      </w:r>
    </w:p>
    <w:p w:rsidR="009C779A" w:rsidRPr="00A75DF9" w:rsidRDefault="009C779A" w:rsidP="00242B11">
      <w:pPr>
        <w:rPr>
          <w:rFonts w:cs="Tahoma"/>
        </w:rPr>
      </w:pPr>
      <w:r w:rsidRPr="00A75DF9">
        <w:rPr>
          <w:rFonts w:cs="Tahoma"/>
        </w:rPr>
        <w:t>Office 365 Piano A3 (SL per Utente) (Pool di Applicazioni)</w:t>
      </w:r>
    </w:p>
    <w:p w:rsidR="009C779A" w:rsidRPr="00A75DF9" w:rsidRDefault="009C779A" w:rsidP="00EA31A6">
      <w:pPr>
        <w:rPr>
          <w:rFonts w:cs="Tahoma"/>
        </w:rPr>
      </w:pPr>
      <w:r w:rsidRPr="00A75DF9">
        <w:rPr>
          <w:rFonts w:cs="Tahoma"/>
        </w:rPr>
        <w:t>Office 365 Piano A4 (SL per Utente) (Pool di Applicazioni)</w:t>
      </w:r>
    </w:p>
    <w:p w:rsidR="009C779A" w:rsidRPr="00A75DF9" w:rsidRDefault="009C779A" w:rsidP="00EA31A6">
      <w:pPr>
        <w:rPr>
          <w:rFonts w:cs="Tahoma"/>
        </w:rPr>
      </w:pPr>
      <w:r w:rsidRPr="00A75DF9">
        <w:rPr>
          <w:rFonts w:cs="Tahoma"/>
        </w:rPr>
        <w:t>Office 365 Piano E1 (SL per Utente) (Pool di Server)</w:t>
      </w:r>
    </w:p>
    <w:p w:rsidR="009C779A" w:rsidRPr="00A75DF9" w:rsidRDefault="009C779A" w:rsidP="00EA31A6">
      <w:pPr>
        <w:rPr>
          <w:rFonts w:cs="Tahoma"/>
        </w:rPr>
      </w:pPr>
      <w:r w:rsidRPr="00A75DF9">
        <w:rPr>
          <w:rFonts w:cs="Tahoma"/>
        </w:rPr>
        <w:t>Office 365 Piano E2 - E4 (SL per Utente) (Pool di Server)</w:t>
      </w:r>
    </w:p>
    <w:p w:rsidR="009C779A" w:rsidRPr="00A75DF9" w:rsidRDefault="009C779A" w:rsidP="00EA31A6">
      <w:pPr>
        <w:rPr>
          <w:rFonts w:cs="Tahoma"/>
        </w:rPr>
      </w:pPr>
      <w:r w:rsidRPr="00A75DF9">
        <w:rPr>
          <w:rFonts w:cs="Tahoma"/>
        </w:rPr>
        <w:t>Office 365 Piano G1 - G4 (SL per Utente) (Pool di Server)</w:t>
      </w:r>
    </w:p>
    <w:p w:rsidR="009C779A" w:rsidRPr="00A75DF9" w:rsidRDefault="009C779A" w:rsidP="003537B9">
      <w:pPr>
        <w:rPr>
          <w:rFonts w:cs="Tahoma"/>
        </w:rPr>
      </w:pPr>
      <w:r w:rsidRPr="00A75DF9">
        <w:rPr>
          <w:rFonts w:cs="Tahoma"/>
        </w:rPr>
        <w:t>Office 365 Piano K1 (SL per Utente) (Pool di Server)</w:t>
      </w:r>
    </w:p>
    <w:p w:rsidR="009C779A" w:rsidRPr="00A75DF9" w:rsidRDefault="009C779A" w:rsidP="003537B9">
      <w:pPr>
        <w:rPr>
          <w:rFonts w:cs="Tahoma"/>
        </w:rPr>
      </w:pPr>
      <w:r w:rsidRPr="00A75DF9">
        <w:rPr>
          <w:rFonts w:cs="Tahoma"/>
        </w:rPr>
        <w:t>Office 365 Piano K2 (SL per Utente) (Pool di Server)</w:t>
      </w:r>
    </w:p>
    <w:p w:rsidR="003A31B1" w:rsidRPr="00A75DF9" w:rsidRDefault="003A31B1" w:rsidP="003A31B1">
      <w:pPr>
        <w:rPr>
          <w:rFonts w:cs="Tahoma"/>
        </w:rPr>
      </w:pPr>
      <w:r w:rsidRPr="00A75DF9">
        <w:rPr>
          <w:rFonts w:cs="Tahoma"/>
        </w:rPr>
        <w:t>System Center 2012 Endpoint Protection</w:t>
      </w:r>
    </w:p>
    <w:p w:rsidR="00242B11" w:rsidRPr="00A75DF9" w:rsidRDefault="00242B11" w:rsidP="00242B11">
      <w:pPr>
        <w:rPr>
          <w:rFonts w:cs="Tahoma"/>
        </w:rPr>
      </w:pPr>
      <w:r w:rsidRPr="00A75DF9">
        <w:rPr>
          <w:rFonts w:cs="Tahoma"/>
        </w:rPr>
        <w:t>BizTalk Server passa dal modello di licenza per “Processore” al modello di licenza “Core” per la versione 2013</w:t>
      </w:r>
    </w:p>
    <w:p w:rsidR="00242B11" w:rsidRPr="00A75DF9" w:rsidRDefault="00242B11" w:rsidP="00242B11">
      <w:pPr>
        <w:rPr>
          <w:rFonts w:cs="Tahoma"/>
        </w:rPr>
      </w:pPr>
      <w:r w:rsidRPr="00A75DF9">
        <w:rPr>
          <w:rFonts w:cs="Tahoma"/>
        </w:rPr>
        <w:t>Rimosso Prodotto Aggiuntivo ("A") da Sys Ctr Endpoint Protection</w:t>
      </w:r>
    </w:p>
    <w:p w:rsidR="00242B11" w:rsidRPr="00A75DF9" w:rsidRDefault="00242B11" w:rsidP="00242B11">
      <w:pPr>
        <w:rPr>
          <w:rFonts w:cs="Tahoma"/>
        </w:rPr>
      </w:pPr>
      <w:r w:rsidRPr="00A75DF9">
        <w:rPr>
          <w:rFonts w:cs="Tahoma"/>
        </w:rPr>
        <w:t>Rimosso Professional dalla voce Bing Maps Standard (SL per Utente)</w:t>
      </w:r>
    </w:p>
    <w:p w:rsidR="009C779A" w:rsidRPr="00A75DF9" w:rsidRDefault="009C779A" w:rsidP="009C779A">
      <w:pPr>
        <w:rPr>
          <w:rFonts w:cs="Tahoma"/>
        </w:rPr>
      </w:pPr>
    </w:p>
    <w:p w:rsidR="00B65F35" w:rsidRPr="00A75DF9" w:rsidRDefault="00B65F35" w:rsidP="007E466C">
      <w:pPr>
        <w:spacing w:after="60"/>
        <w:rPr>
          <w:rFonts w:cs="Tahoma"/>
        </w:rPr>
      </w:pPr>
      <w:r w:rsidRPr="00A75DF9">
        <w:rPr>
          <w:rFonts w:cs="Tahoma"/>
          <w:b/>
        </w:rPr>
        <w:t>Prodotti Eliminati</w:t>
      </w:r>
    </w:p>
    <w:p w:rsidR="00D02D7A" w:rsidRPr="00A75DF9" w:rsidRDefault="00D02D7A" w:rsidP="00D02D7A">
      <w:pPr>
        <w:rPr>
          <w:rFonts w:cs="Tahoma"/>
        </w:rPr>
      </w:pPr>
      <w:r w:rsidRPr="00A75DF9">
        <w:rPr>
          <w:rFonts w:cs="Tahoma"/>
        </w:rPr>
        <w:t>Bing Maps 25KTrx (SL Add-on)</w:t>
      </w:r>
    </w:p>
    <w:p w:rsidR="00D02D7A" w:rsidRPr="00A75DF9" w:rsidRDefault="00D02D7A" w:rsidP="00D02D7A">
      <w:pPr>
        <w:rPr>
          <w:rFonts w:cs="Tahoma"/>
        </w:rPr>
      </w:pPr>
      <w:r w:rsidRPr="00A75DF9">
        <w:rPr>
          <w:rFonts w:cs="Tahoma"/>
        </w:rPr>
        <w:t>Bing Maps 250KTrx (SL Add-on)</w:t>
      </w:r>
    </w:p>
    <w:p w:rsidR="00D02D7A" w:rsidRPr="00A75DF9" w:rsidRDefault="00D02D7A" w:rsidP="00D02D7A">
      <w:pPr>
        <w:rPr>
          <w:rFonts w:cs="Tahoma"/>
        </w:rPr>
      </w:pPr>
      <w:r w:rsidRPr="00A75DF9">
        <w:rPr>
          <w:rFonts w:cs="Tahoma"/>
        </w:rPr>
        <w:t>Bing Maps Professional (SL Servizi)</w:t>
      </w:r>
    </w:p>
    <w:p w:rsidR="005F584F" w:rsidRPr="00A75DF9" w:rsidRDefault="005F584F" w:rsidP="005F584F">
      <w:pPr>
        <w:rPr>
          <w:rFonts w:cs="Tahoma"/>
        </w:rPr>
      </w:pPr>
      <w:r w:rsidRPr="00A75DF9">
        <w:rPr>
          <w:rFonts w:cs="Tahoma"/>
        </w:rPr>
        <w:t>Bing Maps Desktop con Enhanced Content Pack</w:t>
      </w:r>
    </w:p>
    <w:p w:rsidR="005F584F" w:rsidRPr="00A75DF9" w:rsidRDefault="005F584F" w:rsidP="005F584F">
      <w:pPr>
        <w:rPr>
          <w:rFonts w:cs="Tahoma"/>
        </w:rPr>
      </w:pPr>
      <w:r w:rsidRPr="00A75DF9">
        <w:rPr>
          <w:rFonts w:cs="Tahoma"/>
        </w:rPr>
        <w:t>Bing Maps Server</w:t>
      </w:r>
    </w:p>
    <w:p w:rsidR="005F584F" w:rsidRPr="00A75DF9" w:rsidRDefault="005F584F" w:rsidP="005F584F">
      <w:pPr>
        <w:rPr>
          <w:rFonts w:cs="Tahoma"/>
        </w:rPr>
      </w:pPr>
      <w:r w:rsidRPr="00A75DF9">
        <w:rPr>
          <w:rFonts w:cs="Tahoma"/>
        </w:rPr>
        <w:t>Bing Maps con Enhanced Content Pack</w:t>
      </w:r>
    </w:p>
    <w:p w:rsidR="00D02D7A" w:rsidRPr="00A75DF9" w:rsidRDefault="00D02D7A" w:rsidP="00D02D7A">
      <w:pPr>
        <w:rPr>
          <w:rFonts w:cs="Tahoma"/>
        </w:rPr>
      </w:pPr>
      <w:r w:rsidRPr="00A75DF9">
        <w:rPr>
          <w:rFonts w:cs="Tahoma"/>
        </w:rPr>
        <w:t>Bing Maps Unlimited Trx (SL Add-on)</w:t>
      </w:r>
    </w:p>
    <w:p w:rsidR="00242B11" w:rsidRPr="00A75DF9" w:rsidRDefault="00242B11" w:rsidP="00D02D7A">
      <w:pPr>
        <w:rPr>
          <w:rFonts w:cs="Tahoma"/>
        </w:rPr>
      </w:pPr>
      <w:r w:rsidRPr="00A75DF9">
        <w:rPr>
          <w:rFonts w:cs="Tahoma"/>
        </w:rPr>
        <w:t>Bing Server</w:t>
      </w:r>
    </w:p>
    <w:p w:rsidR="00242B11" w:rsidRPr="00A75DF9" w:rsidRDefault="00242B11" w:rsidP="00D02D7A">
      <w:pPr>
        <w:rPr>
          <w:rFonts w:cs="Tahoma"/>
        </w:rPr>
      </w:pPr>
      <w:r w:rsidRPr="00A75DF9">
        <w:rPr>
          <w:rFonts w:cs="Tahoma"/>
        </w:rPr>
        <w:t>Bing Server con Enhanced Content Pack</w:t>
      </w:r>
    </w:p>
    <w:p w:rsidR="00D02D7A" w:rsidRPr="00A75DF9" w:rsidRDefault="00D02D7A" w:rsidP="00D02D7A">
      <w:pPr>
        <w:rPr>
          <w:rFonts w:cs="Tahoma"/>
        </w:rPr>
      </w:pPr>
      <w:r w:rsidRPr="00A75DF9">
        <w:rPr>
          <w:rFonts w:cs="Tahoma"/>
        </w:rPr>
        <w:t>BizTalk</w:t>
      </w:r>
      <w:r w:rsidR="009D5D7B" w:rsidRPr="00A75DF9">
        <w:rPr>
          <w:rFonts w:cs="Tahoma"/>
          <w:vertAlign w:val="superscript"/>
        </w:rPr>
        <w:t>®</w:t>
      </w:r>
      <w:r w:rsidRPr="00A75DF9">
        <w:rPr>
          <w:rFonts w:cs="Tahoma"/>
        </w:rPr>
        <w:t xml:space="preserve"> Server 2010 Branch Edition </w:t>
      </w:r>
    </w:p>
    <w:p w:rsidR="00D02D7A" w:rsidRPr="00A75DF9" w:rsidRDefault="00D02D7A" w:rsidP="00D02D7A">
      <w:pPr>
        <w:rPr>
          <w:rFonts w:cs="Tahoma"/>
        </w:rPr>
      </w:pPr>
      <w:r w:rsidRPr="00A75DF9">
        <w:rPr>
          <w:rFonts w:cs="Tahoma"/>
        </w:rPr>
        <w:t>BizTalk</w:t>
      </w:r>
      <w:r w:rsidR="009D5D7B" w:rsidRPr="00A75DF9">
        <w:rPr>
          <w:rFonts w:cs="Tahoma"/>
          <w:vertAlign w:val="superscript"/>
        </w:rPr>
        <w:t>®</w:t>
      </w:r>
      <w:r w:rsidRPr="00A75DF9">
        <w:rPr>
          <w:rFonts w:cs="Tahoma"/>
        </w:rPr>
        <w:t xml:space="preserve"> Server 2010 Enterprise Edition</w:t>
      </w:r>
    </w:p>
    <w:p w:rsidR="00D02D7A" w:rsidRPr="00A75DF9" w:rsidRDefault="00D02D7A" w:rsidP="00D02D7A">
      <w:pPr>
        <w:rPr>
          <w:rFonts w:cs="Tahoma"/>
        </w:rPr>
      </w:pPr>
      <w:r w:rsidRPr="00A75DF9">
        <w:rPr>
          <w:rFonts w:cs="Tahoma"/>
        </w:rPr>
        <w:t>BizTalk</w:t>
      </w:r>
      <w:r w:rsidR="009D5D7B" w:rsidRPr="00A75DF9">
        <w:rPr>
          <w:rFonts w:cs="Tahoma"/>
          <w:vertAlign w:val="superscript"/>
        </w:rPr>
        <w:t>®</w:t>
      </w:r>
      <w:r w:rsidRPr="00A75DF9">
        <w:rPr>
          <w:rFonts w:cs="Tahoma"/>
        </w:rPr>
        <w:t xml:space="preserve"> Server 2010 Enterprise RFID</w:t>
      </w:r>
    </w:p>
    <w:p w:rsidR="00D02D7A" w:rsidRPr="00A75DF9" w:rsidRDefault="00D02D7A" w:rsidP="00D02D7A">
      <w:pPr>
        <w:rPr>
          <w:rFonts w:cs="Tahoma"/>
        </w:rPr>
      </w:pPr>
      <w:r w:rsidRPr="00A75DF9">
        <w:rPr>
          <w:rFonts w:cs="Tahoma"/>
        </w:rPr>
        <w:t>BizTalk</w:t>
      </w:r>
      <w:r w:rsidR="009D5D7B" w:rsidRPr="00A75DF9">
        <w:rPr>
          <w:rFonts w:cs="Tahoma"/>
          <w:vertAlign w:val="superscript"/>
        </w:rPr>
        <w:t>®</w:t>
      </w:r>
      <w:r w:rsidRPr="00A75DF9">
        <w:rPr>
          <w:rFonts w:cs="Tahoma"/>
        </w:rPr>
        <w:t xml:space="preserve"> Server 2010 Standard Edition </w:t>
      </w:r>
    </w:p>
    <w:p w:rsidR="00D02D7A" w:rsidRPr="00A75DF9" w:rsidRDefault="00D02D7A" w:rsidP="00D02D7A">
      <w:pPr>
        <w:rPr>
          <w:rFonts w:cs="Tahoma"/>
        </w:rPr>
      </w:pPr>
      <w:r w:rsidRPr="00A75DF9">
        <w:rPr>
          <w:rFonts w:cs="Tahoma"/>
        </w:rPr>
        <w:t>BizTalk</w:t>
      </w:r>
      <w:r w:rsidR="009D5D7B" w:rsidRPr="00A75DF9">
        <w:rPr>
          <w:rFonts w:cs="Tahoma"/>
          <w:vertAlign w:val="superscript"/>
        </w:rPr>
        <w:t>®</w:t>
      </w:r>
      <w:r w:rsidRPr="00A75DF9">
        <w:rPr>
          <w:rFonts w:cs="Tahoma"/>
        </w:rPr>
        <w:t xml:space="preserve"> Server 2010 Developer IDC </w:t>
      </w:r>
    </w:p>
    <w:p w:rsidR="00D02D7A" w:rsidRPr="00A75DF9" w:rsidRDefault="00D02D7A" w:rsidP="00D02D7A">
      <w:pPr>
        <w:rPr>
          <w:rFonts w:cs="Tahoma"/>
        </w:rPr>
      </w:pPr>
      <w:r w:rsidRPr="00A75DF9">
        <w:rPr>
          <w:rFonts w:cs="Tahoma"/>
        </w:rPr>
        <w:t>BizTalk</w:t>
      </w:r>
      <w:r w:rsidR="009D5D7B" w:rsidRPr="00A75DF9">
        <w:rPr>
          <w:rFonts w:cs="Tahoma"/>
          <w:vertAlign w:val="superscript"/>
        </w:rPr>
        <w:t>®</w:t>
      </w:r>
      <w:r w:rsidRPr="00A75DF9">
        <w:rPr>
          <w:rFonts w:cs="Tahoma"/>
        </w:rPr>
        <w:t xml:space="preserve"> Server 2010 Branch IDC </w:t>
      </w:r>
    </w:p>
    <w:p w:rsidR="00D02D7A" w:rsidRPr="00A75DF9" w:rsidRDefault="00D02D7A" w:rsidP="00D02D7A">
      <w:pPr>
        <w:rPr>
          <w:rFonts w:cs="Tahoma"/>
        </w:rPr>
      </w:pPr>
      <w:r w:rsidRPr="00A75DF9">
        <w:rPr>
          <w:rFonts w:cs="Tahoma"/>
        </w:rPr>
        <w:t>Data Warehouse Appliance 2012</w:t>
      </w:r>
    </w:p>
    <w:p w:rsidR="00D02D7A" w:rsidRPr="00A75DF9" w:rsidRDefault="00D02D7A" w:rsidP="00D02D7A">
      <w:pPr>
        <w:rPr>
          <w:rFonts w:cs="Tahoma"/>
        </w:rPr>
      </w:pPr>
      <w:r w:rsidRPr="00A75DF9">
        <w:rPr>
          <w:rFonts w:cs="Tahoma"/>
        </w:rPr>
        <w:t>Office 365 Piano E1 (SL per Utente) (Pool di Applicazioni)</w:t>
      </w:r>
    </w:p>
    <w:p w:rsidR="00D02D7A" w:rsidRPr="00A75DF9" w:rsidRDefault="00D02D7A" w:rsidP="00D02D7A">
      <w:pPr>
        <w:rPr>
          <w:rFonts w:cs="Tahoma"/>
        </w:rPr>
      </w:pPr>
      <w:r w:rsidRPr="00A75DF9">
        <w:rPr>
          <w:rFonts w:cs="Tahoma"/>
        </w:rPr>
        <w:t>Office 365 Piano E2 (SL per Utente) (Pool di Applicazioni)</w:t>
      </w:r>
    </w:p>
    <w:p w:rsidR="00D02D7A" w:rsidRPr="00A75DF9" w:rsidRDefault="00D02D7A" w:rsidP="00D02D7A">
      <w:pPr>
        <w:rPr>
          <w:rFonts w:cs="Tahoma"/>
        </w:rPr>
      </w:pPr>
      <w:r w:rsidRPr="00A75DF9">
        <w:rPr>
          <w:rFonts w:cs="Tahoma"/>
        </w:rPr>
        <w:t>Office 365 Piano E3 (SL per Utente) (Pool di Applicazioni)</w:t>
      </w:r>
    </w:p>
    <w:p w:rsidR="00D02D7A" w:rsidRPr="00A75DF9" w:rsidRDefault="00D02D7A" w:rsidP="00D02D7A">
      <w:pPr>
        <w:rPr>
          <w:rFonts w:cs="Tahoma"/>
        </w:rPr>
      </w:pPr>
      <w:r w:rsidRPr="00A75DF9">
        <w:rPr>
          <w:rFonts w:cs="Tahoma"/>
        </w:rPr>
        <w:t>Office 365 Piano E4 (SL per Utente) (Pool di Applicazioni)</w:t>
      </w:r>
    </w:p>
    <w:p w:rsidR="00D02D7A" w:rsidRPr="00A75DF9" w:rsidRDefault="00D02D7A" w:rsidP="00D02D7A">
      <w:pPr>
        <w:rPr>
          <w:rFonts w:cs="Tahoma"/>
        </w:rPr>
      </w:pPr>
      <w:r w:rsidRPr="00A75DF9">
        <w:rPr>
          <w:rFonts w:cs="Tahoma"/>
        </w:rPr>
        <w:t>Office 365 Piano A2 (SL per Utente) (Pool di Applicazioni)</w:t>
      </w:r>
    </w:p>
    <w:p w:rsidR="00D02D7A" w:rsidRPr="00A75DF9" w:rsidRDefault="00D02D7A" w:rsidP="00D02D7A">
      <w:pPr>
        <w:rPr>
          <w:rFonts w:cs="Tahoma"/>
        </w:rPr>
      </w:pPr>
      <w:r w:rsidRPr="00A75DF9">
        <w:rPr>
          <w:rFonts w:cs="Tahoma"/>
        </w:rPr>
        <w:t>Office 365 Piano A3 (SL per Utente) (Pool di Applicazioni)</w:t>
      </w:r>
    </w:p>
    <w:p w:rsidR="00D02D7A" w:rsidRPr="00A75DF9" w:rsidRDefault="00D02D7A" w:rsidP="00D02D7A">
      <w:pPr>
        <w:rPr>
          <w:rFonts w:cs="Tahoma"/>
        </w:rPr>
      </w:pPr>
      <w:r w:rsidRPr="00A75DF9">
        <w:rPr>
          <w:rFonts w:cs="Tahoma"/>
        </w:rPr>
        <w:t>Office 365 Piano A4 (SL per Utente) (Pool di Applicazioni)</w:t>
      </w:r>
    </w:p>
    <w:p w:rsidR="00D02D7A" w:rsidRPr="00A75DF9" w:rsidRDefault="00D02D7A" w:rsidP="00D02D7A">
      <w:pPr>
        <w:rPr>
          <w:rFonts w:cs="Tahoma"/>
        </w:rPr>
      </w:pPr>
      <w:r w:rsidRPr="00A75DF9">
        <w:rPr>
          <w:rFonts w:cs="Tahoma"/>
        </w:rPr>
        <w:t>Office 365 Piano E1 (SL per Utente) (Pool di Server)</w:t>
      </w:r>
    </w:p>
    <w:p w:rsidR="00D02D7A" w:rsidRPr="00A75DF9" w:rsidRDefault="00D02D7A" w:rsidP="00D02D7A">
      <w:pPr>
        <w:rPr>
          <w:rFonts w:cs="Tahoma"/>
        </w:rPr>
      </w:pPr>
      <w:r w:rsidRPr="00A75DF9">
        <w:rPr>
          <w:rFonts w:cs="Tahoma"/>
        </w:rPr>
        <w:t>Office 365 Piano E2 (SL per Utente) (Pool di Server)</w:t>
      </w:r>
    </w:p>
    <w:p w:rsidR="00D02D7A" w:rsidRPr="00A75DF9" w:rsidRDefault="00D02D7A" w:rsidP="00D02D7A">
      <w:pPr>
        <w:rPr>
          <w:rFonts w:cs="Tahoma"/>
        </w:rPr>
      </w:pPr>
      <w:r w:rsidRPr="00A75DF9">
        <w:rPr>
          <w:rFonts w:cs="Tahoma"/>
        </w:rPr>
        <w:t>Office 365 Piano E3 (SL per Utente) (Pool di Server)</w:t>
      </w:r>
    </w:p>
    <w:p w:rsidR="00D02D7A" w:rsidRPr="00A75DF9" w:rsidRDefault="00D02D7A" w:rsidP="00D02D7A">
      <w:pPr>
        <w:rPr>
          <w:rFonts w:cs="Tahoma"/>
        </w:rPr>
      </w:pPr>
      <w:r w:rsidRPr="00A75DF9">
        <w:rPr>
          <w:rFonts w:cs="Tahoma"/>
        </w:rPr>
        <w:t>Office 365 Piano E4 (SL per Utente) (Pool di Server)</w:t>
      </w:r>
    </w:p>
    <w:p w:rsidR="00D02D7A" w:rsidRPr="00A75DF9" w:rsidRDefault="00D02D7A" w:rsidP="00D02D7A">
      <w:pPr>
        <w:rPr>
          <w:rFonts w:cs="Tahoma"/>
        </w:rPr>
      </w:pPr>
      <w:r w:rsidRPr="00A75DF9">
        <w:rPr>
          <w:rFonts w:cs="Tahoma"/>
        </w:rPr>
        <w:t>Office 365 Piano G1 (SL per Utente) (Pool di Server)</w:t>
      </w:r>
    </w:p>
    <w:p w:rsidR="00D02D7A" w:rsidRPr="00A75DF9" w:rsidRDefault="00D02D7A" w:rsidP="00D02D7A">
      <w:pPr>
        <w:rPr>
          <w:rFonts w:cs="Tahoma"/>
        </w:rPr>
      </w:pPr>
      <w:r w:rsidRPr="00A75DF9">
        <w:rPr>
          <w:rFonts w:cs="Tahoma"/>
        </w:rPr>
        <w:t>Office 365 Piano G2 (SL per Utente) (Pool di Server)</w:t>
      </w:r>
    </w:p>
    <w:p w:rsidR="00D02D7A" w:rsidRPr="00A75DF9" w:rsidRDefault="00D02D7A" w:rsidP="00D02D7A">
      <w:pPr>
        <w:rPr>
          <w:rFonts w:cs="Tahoma"/>
        </w:rPr>
      </w:pPr>
      <w:r w:rsidRPr="00A75DF9">
        <w:rPr>
          <w:rFonts w:cs="Tahoma"/>
        </w:rPr>
        <w:lastRenderedPageBreak/>
        <w:t>Office 365 Piano G3 (SL per Utente) (Pool di Server)</w:t>
      </w:r>
    </w:p>
    <w:p w:rsidR="00D02D7A" w:rsidRPr="00A75DF9" w:rsidRDefault="00D02D7A" w:rsidP="00D02D7A">
      <w:pPr>
        <w:rPr>
          <w:rFonts w:cs="Tahoma"/>
        </w:rPr>
      </w:pPr>
      <w:r w:rsidRPr="00A75DF9">
        <w:rPr>
          <w:rFonts w:cs="Tahoma"/>
        </w:rPr>
        <w:t>Office 365 Piano G4 (SL per Utente) (Pool di Server)</w:t>
      </w:r>
    </w:p>
    <w:p w:rsidR="00D02D7A" w:rsidRPr="00A75DF9" w:rsidRDefault="00D02D7A" w:rsidP="00D02D7A">
      <w:pPr>
        <w:rPr>
          <w:rFonts w:cs="Tahoma"/>
        </w:rPr>
      </w:pPr>
      <w:r w:rsidRPr="00A75DF9">
        <w:rPr>
          <w:rFonts w:cs="Tahoma"/>
        </w:rPr>
        <w:t>Office 365 Piano K1 (SL per Utente) (Pool di Server)</w:t>
      </w:r>
    </w:p>
    <w:p w:rsidR="00D02D7A" w:rsidRPr="00A75DF9" w:rsidRDefault="00D02D7A" w:rsidP="00D02D7A">
      <w:pPr>
        <w:rPr>
          <w:rFonts w:cs="Tahoma"/>
        </w:rPr>
      </w:pPr>
      <w:r w:rsidRPr="00A75DF9">
        <w:rPr>
          <w:rFonts w:cs="Tahoma"/>
        </w:rPr>
        <w:t>Office 365 Piano K2 (SL per Utente) (Pool di Server)</w:t>
      </w:r>
    </w:p>
    <w:p w:rsidR="00D02D7A" w:rsidRPr="00A75DF9" w:rsidRDefault="00D02D7A" w:rsidP="00D02D7A">
      <w:pPr>
        <w:rPr>
          <w:rFonts w:cs="Tahoma"/>
        </w:rPr>
      </w:pPr>
      <w:r w:rsidRPr="00A75DF9">
        <w:rPr>
          <w:rFonts w:cs="Tahoma"/>
        </w:rPr>
        <w:t>System Center 2012 Endpoint Protection</w:t>
      </w:r>
    </w:p>
    <w:p w:rsidR="00D02D7A" w:rsidRPr="00A75DF9" w:rsidRDefault="00D02D7A" w:rsidP="00D02D7A">
      <w:pPr>
        <w:rPr>
          <w:rFonts w:cs="Tahoma"/>
        </w:rPr>
      </w:pPr>
      <w:r w:rsidRPr="00A75DF9">
        <w:rPr>
          <w:rFonts w:cs="Tahoma"/>
        </w:rPr>
        <w:t>Forefront Online Protection for Exchange (SL per Dispositivo e Utente)</w:t>
      </w:r>
    </w:p>
    <w:p w:rsidR="00D02D7A" w:rsidRPr="00A75DF9" w:rsidRDefault="00D02D7A" w:rsidP="00D02D7A">
      <w:pPr>
        <w:rPr>
          <w:rFonts w:cs="Tahoma"/>
        </w:rPr>
      </w:pPr>
      <w:r w:rsidRPr="00A75DF9">
        <w:rPr>
          <w:rFonts w:cs="Tahoma"/>
        </w:rPr>
        <w:t>Microsoft Desktop Optimization Pack 2012 per Software Assurance</w:t>
      </w:r>
    </w:p>
    <w:p w:rsidR="00B65F35" w:rsidRPr="00A75DF9" w:rsidRDefault="00B65F35" w:rsidP="007E466C">
      <w:pPr>
        <w:rPr>
          <w:rFonts w:cs="Tahoma"/>
        </w:rPr>
      </w:pPr>
    </w:p>
    <w:p w:rsidR="00D57D2B" w:rsidRPr="00A75DF9" w:rsidRDefault="00D57D2B" w:rsidP="007E466C">
      <w:pPr>
        <w:rPr>
          <w:rFonts w:cs="Tahoma"/>
        </w:rPr>
      </w:pPr>
    </w:p>
    <w:p w:rsidR="004759C6" w:rsidRPr="00A75DF9" w:rsidRDefault="004759C6" w:rsidP="004759C6">
      <w:pPr>
        <w:pStyle w:val="Heading2"/>
        <w:ind w:left="0"/>
        <w:jc w:val="both"/>
        <w:rPr>
          <w:rFonts w:ascii="Tahoma" w:hAnsi="Tahoma" w:cs="Tahoma"/>
        </w:rPr>
      </w:pPr>
      <w:bookmarkStart w:id="592" w:name="_Toc368310168"/>
      <w:r w:rsidRPr="00A75DF9">
        <w:rPr>
          <w:rFonts w:ascii="Tahoma" w:hAnsi="Tahoma" w:cs="Tahoma"/>
          <w:color w:val="FF6600"/>
        </w:rPr>
        <w:t>MODIFICHE APPORTATE NEL MESE DI MARZO 2013</w:t>
      </w:r>
      <w:bookmarkEnd w:id="592"/>
    </w:p>
    <w:p w:rsidR="004759C6" w:rsidRPr="00A75DF9" w:rsidRDefault="004759C6" w:rsidP="004759C6">
      <w:pPr>
        <w:pStyle w:val="Heading2"/>
        <w:ind w:left="0"/>
        <w:jc w:val="both"/>
        <w:rPr>
          <w:rFonts w:ascii="Tahoma" w:hAnsi="Tahoma" w:cs="Tahoma"/>
        </w:rPr>
      </w:pPr>
    </w:p>
    <w:p w:rsidR="0064651F" w:rsidRPr="00A75DF9" w:rsidRDefault="004759C6" w:rsidP="0064651F">
      <w:pPr>
        <w:spacing w:after="60"/>
        <w:rPr>
          <w:rFonts w:cs="Tahoma"/>
        </w:rPr>
      </w:pPr>
      <w:r w:rsidRPr="00A75DF9">
        <w:rPr>
          <w:rFonts w:cs="Tahoma"/>
          <w:b/>
        </w:rPr>
        <w:t>Prodotti Aggiunti</w:t>
      </w:r>
    </w:p>
    <w:p w:rsidR="006D5B20" w:rsidRPr="00A75DF9" w:rsidRDefault="006D5B20" w:rsidP="006D5B20">
      <w:pPr>
        <w:rPr>
          <w:rFonts w:cs="Tahoma"/>
        </w:rPr>
      </w:pPr>
      <w:r w:rsidRPr="00A75DF9">
        <w:rPr>
          <w:rFonts w:cs="Tahoma"/>
          <w:color w:val="000000"/>
          <w:szCs w:val="18"/>
        </w:rPr>
        <w:t>Archiviazione Exchange Online per Exchange Online</w:t>
      </w:r>
    </w:p>
    <w:p w:rsidR="006D5B20" w:rsidRPr="00A75DF9" w:rsidRDefault="006D5B20" w:rsidP="006D5B20">
      <w:pPr>
        <w:rPr>
          <w:rFonts w:cs="Tahoma"/>
        </w:rPr>
      </w:pPr>
      <w:r w:rsidRPr="00A75DF9">
        <w:rPr>
          <w:rFonts w:cs="Tahoma"/>
          <w:color w:val="000000"/>
          <w:szCs w:val="18"/>
        </w:rPr>
        <w:t xml:space="preserve">Archiviazione Exchange Online per Exchange Online A </w:t>
      </w:r>
    </w:p>
    <w:p w:rsidR="006D5B20" w:rsidRPr="00A75DF9" w:rsidRDefault="006D5B20" w:rsidP="006D5B20">
      <w:pPr>
        <w:rPr>
          <w:rFonts w:cs="Tahoma"/>
        </w:rPr>
      </w:pPr>
      <w:r w:rsidRPr="00A75DF9">
        <w:rPr>
          <w:rFonts w:cs="Tahoma"/>
          <w:color w:val="000000"/>
          <w:szCs w:val="18"/>
        </w:rPr>
        <w:t>Exchange Online Protection (SL per Utente)</w:t>
      </w:r>
    </w:p>
    <w:p w:rsidR="00140B67" w:rsidRPr="00A75DF9" w:rsidRDefault="00140B67" w:rsidP="006D6A83">
      <w:pPr>
        <w:rPr>
          <w:rFonts w:cs="Tahoma"/>
        </w:rPr>
      </w:pPr>
      <w:r w:rsidRPr="00A75DF9">
        <w:rPr>
          <w:rFonts w:cs="Tahoma"/>
          <w:color w:val="000000"/>
          <w:szCs w:val="18"/>
        </w:rPr>
        <w:t>Office 365 Midsize Business (SL per Utente)</w:t>
      </w:r>
    </w:p>
    <w:p w:rsidR="00170CFB" w:rsidRPr="00A75DF9" w:rsidRDefault="006D5B20" w:rsidP="006D6A83">
      <w:pPr>
        <w:rPr>
          <w:rFonts w:cs="Tahoma"/>
        </w:rPr>
      </w:pPr>
      <w:r w:rsidRPr="00A75DF9">
        <w:rPr>
          <w:rFonts w:cs="Tahoma"/>
          <w:color w:val="000000"/>
          <w:szCs w:val="18"/>
        </w:rPr>
        <w:t>Office 365 Piano E1 (SL per Utente) SQL Server</w:t>
      </w:r>
      <w:r w:rsidR="009D5D7B" w:rsidRPr="00A75DF9">
        <w:rPr>
          <w:rFonts w:cs="Tahoma"/>
          <w:color w:val="000000"/>
          <w:szCs w:val="18"/>
          <w:vertAlign w:val="superscript"/>
        </w:rPr>
        <w:t>®</w:t>
      </w:r>
      <w:r w:rsidRPr="00A75DF9">
        <w:rPr>
          <w:rFonts w:cs="Tahoma"/>
          <w:color w:val="000000"/>
          <w:szCs w:val="18"/>
        </w:rPr>
        <w:t xml:space="preserve"> 2012 Parallel Data Warehouse</w:t>
      </w:r>
    </w:p>
    <w:p w:rsidR="006D5B20" w:rsidRPr="00A75DF9" w:rsidRDefault="006D5B20" w:rsidP="006D5B20">
      <w:pPr>
        <w:rPr>
          <w:rFonts w:cs="Tahoma"/>
        </w:rPr>
      </w:pPr>
      <w:r w:rsidRPr="00A75DF9">
        <w:rPr>
          <w:rFonts w:cs="Tahoma"/>
          <w:color w:val="000000"/>
          <w:szCs w:val="18"/>
        </w:rPr>
        <w:t xml:space="preserve">Project Online </w:t>
      </w:r>
    </w:p>
    <w:p w:rsidR="006D5B20" w:rsidRPr="00A75DF9" w:rsidRDefault="006D5B20" w:rsidP="006D5B20">
      <w:pPr>
        <w:rPr>
          <w:rFonts w:cs="Tahoma"/>
        </w:rPr>
      </w:pPr>
      <w:r w:rsidRPr="00A75DF9">
        <w:rPr>
          <w:rFonts w:cs="Tahoma"/>
          <w:color w:val="000000"/>
          <w:szCs w:val="18"/>
        </w:rPr>
        <w:t>Project Online A</w:t>
      </w:r>
      <w:r w:rsidR="009D3B41" w:rsidRPr="00A75DF9">
        <w:rPr>
          <w:rFonts w:cs="Tahoma"/>
          <w:color w:val="000000"/>
          <w:szCs w:val="18"/>
        </w:rPr>
        <w:t xml:space="preserve"> </w:t>
      </w:r>
    </w:p>
    <w:p w:rsidR="006D5B20" w:rsidRPr="00A75DF9" w:rsidRDefault="006D5B20" w:rsidP="006D5B20">
      <w:pPr>
        <w:rPr>
          <w:rFonts w:cs="Tahoma"/>
        </w:rPr>
      </w:pPr>
      <w:r w:rsidRPr="00A75DF9">
        <w:rPr>
          <w:rFonts w:cs="Tahoma"/>
          <w:color w:val="000000"/>
          <w:szCs w:val="18"/>
        </w:rPr>
        <w:t xml:space="preserve">Project Pro per Office 365 </w:t>
      </w:r>
    </w:p>
    <w:p w:rsidR="006D5B20" w:rsidRPr="00A75DF9" w:rsidRDefault="006D5B20" w:rsidP="006D5B20">
      <w:pPr>
        <w:rPr>
          <w:rFonts w:cs="Tahoma"/>
        </w:rPr>
      </w:pPr>
      <w:r w:rsidRPr="00A75DF9">
        <w:rPr>
          <w:rFonts w:cs="Tahoma"/>
          <w:color w:val="000000"/>
          <w:szCs w:val="18"/>
        </w:rPr>
        <w:t>Project Pro per Office 365 A</w:t>
      </w:r>
      <w:r w:rsidR="009D3B41" w:rsidRPr="00A75DF9">
        <w:rPr>
          <w:rFonts w:cs="Tahoma"/>
          <w:color w:val="000000"/>
          <w:szCs w:val="18"/>
        </w:rPr>
        <w:t xml:space="preserve"> </w:t>
      </w:r>
    </w:p>
    <w:p w:rsidR="00170CFB" w:rsidRPr="00A75DF9" w:rsidRDefault="00170CFB" w:rsidP="006D6A83">
      <w:pPr>
        <w:rPr>
          <w:rFonts w:cs="Tahoma"/>
        </w:rPr>
      </w:pPr>
      <w:r w:rsidRPr="00A75DF9">
        <w:rPr>
          <w:rFonts w:cs="Tahoma"/>
          <w:color w:val="000000"/>
          <w:szCs w:val="18"/>
        </w:rPr>
        <w:t>SQL Server</w:t>
      </w:r>
      <w:r w:rsidR="009D5D7B" w:rsidRPr="00A75DF9">
        <w:rPr>
          <w:rFonts w:cs="Tahoma"/>
          <w:color w:val="000000"/>
          <w:szCs w:val="18"/>
          <w:vertAlign w:val="superscript"/>
        </w:rPr>
        <w:t>®</w:t>
      </w:r>
      <w:r w:rsidRPr="00A75DF9">
        <w:rPr>
          <w:rFonts w:cs="Tahoma"/>
          <w:color w:val="000000"/>
          <w:szCs w:val="18"/>
        </w:rPr>
        <w:t xml:space="preserve"> 2012 Parallel Data Warehouse Developer</w:t>
      </w:r>
    </w:p>
    <w:p w:rsidR="00170CFB" w:rsidRPr="00A75DF9" w:rsidRDefault="00170CFB" w:rsidP="006D6A83">
      <w:pPr>
        <w:rPr>
          <w:rFonts w:cs="Tahoma"/>
        </w:rPr>
      </w:pPr>
      <w:r w:rsidRPr="00A75DF9">
        <w:rPr>
          <w:rFonts w:cs="Tahoma"/>
          <w:color w:val="000000"/>
          <w:szCs w:val="18"/>
        </w:rPr>
        <w:t>Visio Pro per Office 365 A</w:t>
      </w:r>
      <w:r w:rsidR="009D3B41" w:rsidRPr="00A75DF9">
        <w:rPr>
          <w:rFonts w:cs="Tahoma"/>
          <w:color w:val="000000"/>
          <w:szCs w:val="18"/>
        </w:rPr>
        <w:t xml:space="preserve"> </w:t>
      </w:r>
    </w:p>
    <w:p w:rsidR="00170CFB" w:rsidRPr="00A75DF9" w:rsidRDefault="00170CFB" w:rsidP="006D6A83">
      <w:pPr>
        <w:rPr>
          <w:rFonts w:cs="Tahoma"/>
        </w:rPr>
      </w:pPr>
      <w:r w:rsidRPr="00A75DF9">
        <w:rPr>
          <w:rFonts w:cs="Tahoma"/>
          <w:color w:val="000000"/>
          <w:szCs w:val="18"/>
        </w:rPr>
        <w:t xml:space="preserve">Visio Pro per Office 365 </w:t>
      </w:r>
    </w:p>
    <w:p w:rsidR="00170CFB" w:rsidRPr="00A75DF9" w:rsidRDefault="00170CFB" w:rsidP="006D6A83">
      <w:pPr>
        <w:rPr>
          <w:rFonts w:cs="Tahoma"/>
        </w:rPr>
      </w:pPr>
      <w:r w:rsidRPr="00A75DF9">
        <w:rPr>
          <w:rFonts w:cs="Tahoma"/>
          <w:color w:val="000000"/>
          <w:szCs w:val="18"/>
        </w:rPr>
        <w:t xml:space="preserve">Yammer Enterprise </w:t>
      </w:r>
    </w:p>
    <w:p w:rsidR="004759C6" w:rsidRPr="00A75DF9" w:rsidRDefault="004759C6" w:rsidP="004759C6">
      <w:pPr>
        <w:keepNext/>
        <w:tabs>
          <w:tab w:val="num" w:pos="720"/>
        </w:tabs>
        <w:outlineLvl w:val="3"/>
        <w:rPr>
          <w:rFonts w:cs="Tahoma"/>
        </w:rPr>
      </w:pPr>
    </w:p>
    <w:p w:rsidR="004759C6" w:rsidRPr="00A75DF9" w:rsidRDefault="004759C6" w:rsidP="004759C6">
      <w:pPr>
        <w:spacing w:after="60"/>
        <w:rPr>
          <w:rFonts w:cs="Tahoma"/>
        </w:rPr>
      </w:pPr>
      <w:r w:rsidRPr="00A75DF9">
        <w:rPr>
          <w:rFonts w:cs="Tahoma"/>
          <w:b/>
        </w:rPr>
        <w:t>Modifiche</w:t>
      </w:r>
    </w:p>
    <w:p w:rsidR="00497ADA" w:rsidRPr="00A75DF9" w:rsidRDefault="001B413E" w:rsidP="006D5B20">
      <w:pPr>
        <w:rPr>
          <w:rFonts w:cs="Tahoma"/>
        </w:rPr>
      </w:pPr>
      <w:r w:rsidRPr="00A75DF9">
        <w:rPr>
          <w:rFonts w:cs="Tahoma"/>
          <w:color w:val="000000"/>
          <w:szCs w:val="18"/>
        </w:rPr>
        <w:t>Microsoft Dynamics CRM Online</w:t>
      </w:r>
    </w:p>
    <w:p w:rsidR="006D5B20" w:rsidRPr="00A75DF9" w:rsidRDefault="006D5B20" w:rsidP="006D5B20">
      <w:pPr>
        <w:rPr>
          <w:rFonts w:cs="Tahoma"/>
        </w:rPr>
      </w:pPr>
      <w:r w:rsidRPr="00A75DF9">
        <w:rPr>
          <w:rFonts w:cs="Tahoma"/>
          <w:color w:val="000000"/>
          <w:szCs w:val="18"/>
        </w:rPr>
        <w:t>Archiviazione Exchange Online per Exchange Server</w:t>
      </w:r>
    </w:p>
    <w:p w:rsidR="006D5B20" w:rsidRPr="00A75DF9" w:rsidRDefault="006D5B20" w:rsidP="006D5B20">
      <w:pPr>
        <w:rPr>
          <w:rFonts w:cs="Tahoma"/>
        </w:rPr>
      </w:pPr>
      <w:r w:rsidRPr="00A75DF9">
        <w:rPr>
          <w:rFonts w:cs="Tahoma"/>
          <w:color w:val="000000"/>
          <w:szCs w:val="18"/>
        </w:rPr>
        <w:t>Exchange Online Piano 1 (SL per Utente)</w:t>
      </w:r>
    </w:p>
    <w:p w:rsidR="006D5B20" w:rsidRPr="00A75DF9" w:rsidRDefault="006D5B20" w:rsidP="006D5B20">
      <w:pPr>
        <w:rPr>
          <w:rFonts w:cs="Tahoma"/>
        </w:rPr>
      </w:pPr>
      <w:r w:rsidRPr="00A75DF9">
        <w:rPr>
          <w:rFonts w:cs="Tahoma"/>
          <w:color w:val="000000"/>
          <w:szCs w:val="18"/>
        </w:rPr>
        <w:t>Exchange Online Piano 2 (SL per Utente)</w:t>
      </w:r>
    </w:p>
    <w:p w:rsidR="006D5B20" w:rsidRPr="00A75DF9" w:rsidRDefault="006D5B20" w:rsidP="006D5B20">
      <w:pPr>
        <w:rPr>
          <w:rFonts w:cs="Tahoma"/>
        </w:rPr>
      </w:pPr>
      <w:r w:rsidRPr="00A75DF9">
        <w:rPr>
          <w:rFonts w:cs="Tahoma"/>
          <w:color w:val="000000"/>
          <w:szCs w:val="18"/>
        </w:rPr>
        <w:t>Exchange Online Piano 1A per Ex Allievi (SL per Utente)</w:t>
      </w:r>
    </w:p>
    <w:p w:rsidR="006D5B20" w:rsidRPr="00A75DF9" w:rsidRDefault="006D5B20" w:rsidP="006D5B20">
      <w:pPr>
        <w:rPr>
          <w:rFonts w:cs="Tahoma"/>
        </w:rPr>
      </w:pPr>
      <w:r w:rsidRPr="00A75DF9">
        <w:rPr>
          <w:rFonts w:cs="Tahoma"/>
          <w:color w:val="000000"/>
          <w:szCs w:val="18"/>
        </w:rPr>
        <w:t>Exchange Online Piano 2A (SL per Utente)</w:t>
      </w:r>
    </w:p>
    <w:p w:rsidR="006D5B20" w:rsidRPr="00A75DF9" w:rsidRDefault="006D5B20" w:rsidP="006D5B20">
      <w:pPr>
        <w:rPr>
          <w:rFonts w:cs="Tahoma"/>
        </w:rPr>
      </w:pPr>
      <w:r w:rsidRPr="00A75DF9">
        <w:rPr>
          <w:rFonts w:cs="Tahoma"/>
          <w:color w:val="000000"/>
          <w:szCs w:val="18"/>
        </w:rPr>
        <w:t>Lync Online Piano 3A (SL per Utente)</w:t>
      </w:r>
    </w:p>
    <w:p w:rsidR="00497ADA" w:rsidRPr="00A75DF9" w:rsidRDefault="00497ADA" w:rsidP="006D5B20">
      <w:pPr>
        <w:rPr>
          <w:rFonts w:cs="Tahoma"/>
        </w:rPr>
      </w:pPr>
      <w:r w:rsidRPr="00A75DF9">
        <w:rPr>
          <w:rFonts w:cs="Tahoma"/>
          <w:color w:val="000000"/>
          <w:szCs w:val="18"/>
        </w:rPr>
        <w:t>Microsoft Dynamics CRM 2011 Server</w:t>
      </w:r>
    </w:p>
    <w:p w:rsidR="006D5B20" w:rsidRPr="00A75DF9" w:rsidRDefault="006D5B20" w:rsidP="006D5B20">
      <w:pPr>
        <w:rPr>
          <w:rFonts w:cs="Tahoma"/>
        </w:rPr>
      </w:pPr>
      <w:r w:rsidRPr="00A75DF9">
        <w:rPr>
          <w:rFonts w:cs="Tahoma"/>
          <w:color w:val="000000"/>
          <w:szCs w:val="18"/>
        </w:rPr>
        <w:t>Offerte di Supporto per Microsoft Windows Azure</w:t>
      </w:r>
    </w:p>
    <w:p w:rsidR="006D5B20" w:rsidRPr="00A75DF9" w:rsidRDefault="006D5B20" w:rsidP="006D5B20">
      <w:pPr>
        <w:rPr>
          <w:rFonts w:cs="Tahoma"/>
        </w:rPr>
      </w:pPr>
      <w:r w:rsidRPr="00A75DF9">
        <w:rPr>
          <w:rFonts w:cs="Tahoma"/>
          <w:color w:val="000000"/>
          <w:szCs w:val="18"/>
        </w:rPr>
        <w:t>Office 365 A2 (SL per Utente)</w:t>
      </w:r>
    </w:p>
    <w:p w:rsidR="006D5B20" w:rsidRPr="00A75DF9" w:rsidRDefault="006D5B20" w:rsidP="006D5B20">
      <w:pPr>
        <w:rPr>
          <w:rFonts w:cs="Tahoma"/>
        </w:rPr>
      </w:pPr>
      <w:r w:rsidRPr="00A75DF9">
        <w:rPr>
          <w:rFonts w:cs="Tahoma"/>
          <w:color w:val="000000"/>
          <w:szCs w:val="18"/>
        </w:rPr>
        <w:t>Office 365 A3 (SL per Utente)</w:t>
      </w:r>
    </w:p>
    <w:p w:rsidR="006D5B20" w:rsidRPr="00A75DF9" w:rsidRDefault="006D5B20" w:rsidP="006D5B20">
      <w:pPr>
        <w:rPr>
          <w:rFonts w:cs="Tahoma"/>
        </w:rPr>
      </w:pPr>
      <w:r w:rsidRPr="00A75DF9">
        <w:rPr>
          <w:rFonts w:cs="Tahoma"/>
          <w:color w:val="000000"/>
          <w:szCs w:val="18"/>
        </w:rPr>
        <w:t>Office 365 A4 (SL per Utente)</w:t>
      </w:r>
    </w:p>
    <w:p w:rsidR="006D5B20" w:rsidRPr="00A75DF9" w:rsidRDefault="006D5B20" w:rsidP="006D5B20">
      <w:pPr>
        <w:rPr>
          <w:rFonts w:cs="Tahoma"/>
        </w:rPr>
      </w:pPr>
      <w:r w:rsidRPr="00A75DF9">
        <w:rPr>
          <w:rFonts w:cs="Tahoma"/>
          <w:color w:val="000000"/>
          <w:szCs w:val="18"/>
        </w:rPr>
        <w:t>Sottoscrizione Office Professional Plus A (SL per Utente)</w:t>
      </w:r>
    </w:p>
    <w:p w:rsidR="006D5B20" w:rsidRPr="00A75DF9" w:rsidRDefault="006D5B20" w:rsidP="006D5B20">
      <w:pPr>
        <w:rPr>
          <w:rFonts w:cs="Tahoma"/>
        </w:rPr>
      </w:pPr>
      <w:r w:rsidRPr="00A75DF9">
        <w:rPr>
          <w:rFonts w:cs="Tahoma"/>
          <w:color w:val="000000"/>
          <w:szCs w:val="18"/>
        </w:rPr>
        <w:t>Office Web Applications con SharePoint Piano 2A (SL per utente)</w:t>
      </w:r>
    </w:p>
    <w:p w:rsidR="006D5B20" w:rsidRPr="00A75DF9" w:rsidRDefault="006D5B20" w:rsidP="006D6A83">
      <w:pPr>
        <w:rPr>
          <w:rFonts w:cs="Tahoma"/>
        </w:rPr>
      </w:pPr>
      <w:r w:rsidRPr="00A75DF9">
        <w:rPr>
          <w:rFonts w:cs="Tahoma"/>
          <w:color w:val="000000"/>
          <w:szCs w:val="18"/>
        </w:rPr>
        <w:t>SharePoint™ Online Extra Storage 1 GB A (SL Add-on)</w:t>
      </w:r>
    </w:p>
    <w:p w:rsidR="00170CFB" w:rsidRPr="00A75DF9" w:rsidRDefault="00170CFB" w:rsidP="006D6A83">
      <w:pPr>
        <w:rPr>
          <w:rFonts w:cs="Tahoma"/>
        </w:rPr>
      </w:pPr>
      <w:r w:rsidRPr="00A75DF9">
        <w:rPr>
          <w:rFonts w:cs="Tahoma"/>
          <w:color w:val="000000"/>
          <w:szCs w:val="18"/>
        </w:rPr>
        <w:t>Licenza di Gestione Server Enterprise per System Center Configuration Manager 2007 R3</w:t>
      </w:r>
    </w:p>
    <w:p w:rsidR="00170CFB" w:rsidRPr="00A75DF9" w:rsidRDefault="00170CFB" w:rsidP="006D6A83">
      <w:pPr>
        <w:rPr>
          <w:rFonts w:cs="Tahoma"/>
        </w:rPr>
      </w:pPr>
      <w:r w:rsidRPr="00A75DF9">
        <w:rPr>
          <w:rFonts w:cs="Tahoma"/>
          <w:color w:val="000000"/>
          <w:szCs w:val="18"/>
        </w:rPr>
        <w:t>Licenza di Gestione Server Standard (Standard Server ML) per System Center Configuration Manager 2007 R3</w:t>
      </w:r>
    </w:p>
    <w:p w:rsidR="00170CFB" w:rsidRPr="00A75DF9" w:rsidRDefault="00170CFB" w:rsidP="006D6A83">
      <w:pPr>
        <w:rPr>
          <w:rFonts w:cs="Tahoma"/>
        </w:rPr>
      </w:pPr>
      <w:r w:rsidRPr="00A75DF9">
        <w:rPr>
          <w:rFonts w:cs="Tahoma"/>
          <w:color w:val="000000"/>
          <w:szCs w:val="18"/>
        </w:rPr>
        <w:t>Licenza di Gestione Server Enterprise per System Center Data Protection Manager 2010</w:t>
      </w:r>
    </w:p>
    <w:p w:rsidR="00170CFB" w:rsidRPr="00A75DF9" w:rsidRDefault="00170CFB" w:rsidP="006D6A83">
      <w:pPr>
        <w:rPr>
          <w:rFonts w:cs="Tahoma"/>
        </w:rPr>
      </w:pPr>
      <w:r w:rsidRPr="00A75DF9">
        <w:rPr>
          <w:rFonts w:cs="Tahoma"/>
          <w:color w:val="000000"/>
          <w:szCs w:val="18"/>
        </w:rPr>
        <w:t>Licenza di Gestione Server Standard per System Center Data Protection Manager 2010</w:t>
      </w:r>
    </w:p>
    <w:p w:rsidR="00170CFB" w:rsidRPr="00A75DF9" w:rsidRDefault="00170CFB" w:rsidP="006D6A83">
      <w:pPr>
        <w:rPr>
          <w:rFonts w:cs="Tahoma"/>
        </w:rPr>
      </w:pPr>
      <w:r w:rsidRPr="00A75DF9">
        <w:rPr>
          <w:rFonts w:cs="Tahoma"/>
          <w:color w:val="000000"/>
          <w:szCs w:val="18"/>
        </w:rPr>
        <w:t>Licenza di Gestione Client per Utente per System Center Operations Manager 2007 R2</w:t>
      </w:r>
    </w:p>
    <w:p w:rsidR="00170CFB" w:rsidRPr="00A75DF9" w:rsidRDefault="00170CFB" w:rsidP="006D6A83">
      <w:pPr>
        <w:rPr>
          <w:rFonts w:cs="Tahoma"/>
        </w:rPr>
      </w:pPr>
      <w:r w:rsidRPr="00A75DF9">
        <w:rPr>
          <w:rFonts w:cs="Tahoma"/>
          <w:color w:val="000000"/>
          <w:szCs w:val="18"/>
        </w:rPr>
        <w:t>Licenza di Gestione Client per OSE per System Center Operations Manager 2007 R2</w:t>
      </w:r>
    </w:p>
    <w:p w:rsidR="00170CFB" w:rsidRPr="00A75DF9" w:rsidRDefault="00170CFB" w:rsidP="006D6A83">
      <w:pPr>
        <w:rPr>
          <w:rFonts w:cs="Tahoma"/>
        </w:rPr>
      </w:pPr>
      <w:r w:rsidRPr="00A75DF9">
        <w:rPr>
          <w:rFonts w:cs="Tahoma"/>
          <w:color w:val="000000"/>
          <w:szCs w:val="18"/>
        </w:rPr>
        <w:t>Licenza di Gestione Server Enterprise per System Center Operations Manager 2007 R2</w:t>
      </w:r>
    </w:p>
    <w:p w:rsidR="00170CFB" w:rsidRPr="00A75DF9" w:rsidRDefault="00170CFB" w:rsidP="006D6A83">
      <w:pPr>
        <w:rPr>
          <w:rFonts w:cs="Tahoma"/>
        </w:rPr>
      </w:pPr>
      <w:r w:rsidRPr="00A75DF9">
        <w:rPr>
          <w:rFonts w:cs="Tahoma"/>
          <w:color w:val="000000"/>
          <w:szCs w:val="18"/>
        </w:rPr>
        <w:t>Licenza di Gestione Server Standard per System Center Operations Manager 2007 R2</w:t>
      </w:r>
    </w:p>
    <w:p w:rsidR="00170CFB" w:rsidRPr="00A75DF9" w:rsidRDefault="00170CFB" w:rsidP="006D6A83">
      <w:pPr>
        <w:rPr>
          <w:rFonts w:cs="Tahoma"/>
        </w:rPr>
      </w:pPr>
      <w:r w:rsidRPr="00A75DF9">
        <w:rPr>
          <w:rFonts w:cs="Tahoma"/>
          <w:color w:val="000000"/>
          <w:szCs w:val="18"/>
        </w:rPr>
        <w:t>Licenza di Gestione Client (Client ML) per Utente per System Center Service Manager 2010</w:t>
      </w:r>
    </w:p>
    <w:p w:rsidR="00170CFB" w:rsidRPr="00A75DF9" w:rsidRDefault="00170CFB" w:rsidP="006D6A83">
      <w:pPr>
        <w:rPr>
          <w:rFonts w:cs="Tahoma"/>
        </w:rPr>
      </w:pPr>
      <w:r w:rsidRPr="00A75DF9">
        <w:rPr>
          <w:rFonts w:cs="Tahoma"/>
          <w:color w:val="000000"/>
          <w:szCs w:val="18"/>
        </w:rPr>
        <w:t>Licenza di Gestione Client (Client ML) per OSE per System Center Service Manager 2010</w:t>
      </w:r>
    </w:p>
    <w:p w:rsidR="00170CFB" w:rsidRPr="00A75DF9" w:rsidRDefault="00170CFB" w:rsidP="006D6A83">
      <w:pPr>
        <w:rPr>
          <w:rFonts w:cs="Tahoma"/>
        </w:rPr>
      </w:pPr>
      <w:r w:rsidRPr="00A75DF9">
        <w:rPr>
          <w:rFonts w:cs="Tahoma"/>
          <w:color w:val="000000"/>
          <w:szCs w:val="18"/>
        </w:rPr>
        <w:t>Licenza di Gestione Server (Server ML) per OSE per System Center Service Manager 2010</w:t>
      </w:r>
    </w:p>
    <w:p w:rsidR="00170CFB" w:rsidRPr="00A75DF9" w:rsidRDefault="00170CFB" w:rsidP="006D6A83">
      <w:pPr>
        <w:rPr>
          <w:rFonts w:cs="Tahoma"/>
        </w:rPr>
      </w:pPr>
      <w:r w:rsidRPr="00A75DF9">
        <w:rPr>
          <w:rFonts w:cs="Tahoma"/>
          <w:color w:val="000000"/>
          <w:szCs w:val="18"/>
        </w:rPr>
        <w:t>Licenza di Gestione Client per Utente per System Center Virtual Machine Manager 2008 R2</w:t>
      </w:r>
    </w:p>
    <w:p w:rsidR="00170CFB" w:rsidRPr="00A75DF9" w:rsidRDefault="00170CFB" w:rsidP="006D6A83">
      <w:pPr>
        <w:rPr>
          <w:rFonts w:cs="Tahoma"/>
        </w:rPr>
      </w:pPr>
      <w:r w:rsidRPr="00A75DF9">
        <w:rPr>
          <w:rFonts w:cs="Tahoma"/>
          <w:color w:val="000000"/>
          <w:szCs w:val="18"/>
        </w:rPr>
        <w:t>Licenza di Gestione Client per OSE per System Center Virtual Machine Manager 2008 R2</w:t>
      </w:r>
    </w:p>
    <w:p w:rsidR="00170CFB" w:rsidRPr="00A75DF9" w:rsidRDefault="00170CFB" w:rsidP="006D6A83">
      <w:pPr>
        <w:rPr>
          <w:rFonts w:cs="Tahoma"/>
        </w:rPr>
      </w:pPr>
      <w:r w:rsidRPr="00A75DF9">
        <w:rPr>
          <w:rFonts w:cs="Tahoma"/>
          <w:color w:val="000000"/>
          <w:szCs w:val="18"/>
        </w:rPr>
        <w:t>Licenza di Gestione Server per System Center Virtual Machine Manager 2008 R2 Enterprise</w:t>
      </w:r>
    </w:p>
    <w:p w:rsidR="0064651F" w:rsidRPr="00A75DF9" w:rsidRDefault="00497ADA">
      <w:pPr>
        <w:rPr>
          <w:rFonts w:cs="Tahoma"/>
        </w:rPr>
      </w:pPr>
      <w:r w:rsidRPr="00A75DF9">
        <w:rPr>
          <w:rFonts w:cs="Tahoma"/>
          <w:color w:val="000000"/>
          <w:szCs w:val="18"/>
        </w:rPr>
        <w:t>Windows Intune USL</w:t>
      </w:r>
    </w:p>
    <w:p w:rsidR="0064651F" w:rsidRPr="00A75DF9" w:rsidRDefault="0064651F">
      <w:pPr>
        <w:rPr>
          <w:rFonts w:cs="Tahoma"/>
        </w:rPr>
      </w:pPr>
    </w:p>
    <w:p w:rsidR="004759C6" w:rsidRPr="00A75DF9" w:rsidRDefault="004759C6" w:rsidP="0064651F">
      <w:pPr>
        <w:keepNext/>
        <w:tabs>
          <w:tab w:val="num" w:pos="720"/>
        </w:tabs>
        <w:spacing w:after="60"/>
        <w:outlineLvl w:val="3"/>
        <w:rPr>
          <w:rFonts w:cs="Tahoma"/>
        </w:rPr>
      </w:pPr>
      <w:r w:rsidRPr="00A75DF9">
        <w:rPr>
          <w:rFonts w:cs="Tahoma"/>
          <w:b/>
        </w:rPr>
        <w:lastRenderedPageBreak/>
        <w:t>Prodotti Eliminati</w:t>
      </w:r>
    </w:p>
    <w:p w:rsidR="006D5B20" w:rsidRPr="00A75DF9" w:rsidRDefault="006D5B20" w:rsidP="006D5B20">
      <w:pPr>
        <w:rPr>
          <w:rFonts w:cs="Tahoma"/>
        </w:rPr>
      </w:pPr>
      <w:r w:rsidRPr="00A75DF9">
        <w:rPr>
          <w:rFonts w:cs="Tahoma"/>
          <w:color w:val="000000"/>
          <w:szCs w:val="18"/>
        </w:rPr>
        <w:t>Expression Studio Professional 4</w:t>
      </w:r>
    </w:p>
    <w:p w:rsidR="006D5B20" w:rsidRPr="00A75DF9" w:rsidRDefault="006D5B20" w:rsidP="006D5B20">
      <w:pPr>
        <w:rPr>
          <w:rFonts w:cs="Tahoma"/>
        </w:rPr>
      </w:pPr>
      <w:r w:rsidRPr="00A75DF9">
        <w:rPr>
          <w:rFonts w:cs="Tahoma"/>
          <w:color w:val="000000"/>
          <w:szCs w:val="18"/>
        </w:rPr>
        <w:t>Expression Studio Ultimate 4</w:t>
      </w:r>
    </w:p>
    <w:p w:rsidR="006D5B20" w:rsidRPr="00A75DF9" w:rsidRDefault="006D5B20" w:rsidP="006D5B20">
      <w:pPr>
        <w:rPr>
          <w:rFonts w:cs="Tahoma"/>
        </w:rPr>
      </w:pPr>
      <w:r w:rsidRPr="00A75DF9">
        <w:rPr>
          <w:rFonts w:cs="Tahoma"/>
          <w:color w:val="000000"/>
          <w:szCs w:val="18"/>
        </w:rPr>
        <w:t>Office Web Applications A (SL per Utente)</w:t>
      </w:r>
    </w:p>
    <w:p w:rsidR="006D5B20" w:rsidRPr="00A75DF9" w:rsidRDefault="006D5B20" w:rsidP="006D5B20">
      <w:pPr>
        <w:rPr>
          <w:rFonts w:cs="Tahoma"/>
        </w:rPr>
      </w:pPr>
      <w:r w:rsidRPr="00A75DF9">
        <w:rPr>
          <w:rFonts w:cs="Tahoma"/>
          <w:color w:val="000000"/>
          <w:szCs w:val="18"/>
        </w:rPr>
        <w:t>SQL Server</w:t>
      </w:r>
      <w:r w:rsidR="009D5D7B" w:rsidRPr="00A75DF9">
        <w:rPr>
          <w:rFonts w:cs="Tahoma"/>
          <w:color w:val="000000"/>
          <w:szCs w:val="18"/>
          <w:vertAlign w:val="superscript"/>
        </w:rPr>
        <w:t>®</w:t>
      </w:r>
      <w:r w:rsidRPr="00A75DF9">
        <w:rPr>
          <w:rFonts w:cs="Tahoma"/>
          <w:color w:val="000000"/>
          <w:szCs w:val="18"/>
        </w:rPr>
        <w:t xml:space="preserve"> 2008 R2 Parallel Data Warehouse</w:t>
      </w:r>
    </w:p>
    <w:p w:rsidR="006D5B20" w:rsidRPr="00A75DF9" w:rsidRDefault="006D5B20" w:rsidP="006D5B20">
      <w:pPr>
        <w:rPr>
          <w:rFonts w:cs="Tahoma"/>
        </w:rPr>
      </w:pPr>
      <w:r w:rsidRPr="00A75DF9">
        <w:rPr>
          <w:rFonts w:cs="Tahoma"/>
          <w:color w:val="000000"/>
          <w:szCs w:val="18"/>
        </w:rPr>
        <w:t>SQL Server</w:t>
      </w:r>
      <w:r w:rsidR="009D5D7B" w:rsidRPr="00A75DF9">
        <w:rPr>
          <w:rFonts w:cs="Tahoma"/>
          <w:color w:val="000000"/>
          <w:szCs w:val="18"/>
          <w:vertAlign w:val="superscript"/>
        </w:rPr>
        <w:t>®</w:t>
      </w:r>
      <w:r w:rsidRPr="00A75DF9">
        <w:rPr>
          <w:rFonts w:cs="Tahoma"/>
          <w:color w:val="000000"/>
          <w:szCs w:val="18"/>
        </w:rPr>
        <w:t xml:space="preserve"> 2008 R2 Parallel Data Warehouse Developer</w:t>
      </w:r>
    </w:p>
    <w:p w:rsidR="00170CFB" w:rsidRPr="00A75DF9" w:rsidRDefault="00170CFB" w:rsidP="006D6A83">
      <w:pPr>
        <w:rPr>
          <w:rFonts w:cs="Tahoma"/>
        </w:rPr>
      </w:pPr>
      <w:r w:rsidRPr="00A75DF9">
        <w:rPr>
          <w:rFonts w:cs="Tahoma"/>
          <w:color w:val="000000"/>
          <w:szCs w:val="18"/>
        </w:rPr>
        <w:t>System Center Configuration Manager 2007 R3</w:t>
      </w:r>
    </w:p>
    <w:p w:rsidR="00170CFB" w:rsidRPr="00A75DF9" w:rsidRDefault="00170CFB" w:rsidP="006D6A83">
      <w:pPr>
        <w:rPr>
          <w:rFonts w:cs="Tahoma"/>
        </w:rPr>
      </w:pPr>
      <w:r w:rsidRPr="00A75DF9">
        <w:rPr>
          <w:rFonts w:cs="Tahoma"/>
          <w:color w:val="000000"/>
          <w:szCs w:val="18"/>
        </w:rPr>
        <w:t>System Center Configuration Manager 2007 R3 con Tecnologia SQL Server 2008</w:t>
      </w:r>
    </w:p>
    <w:p w:rsidR="00170CFB" w:rsidRPr="00A75DF9" w:rsidRDefault="00170CFB" w:rsidP="006D6A83">
      <w:pPr>
        <w:rPr>
          <w:rFonts w:cs="Tahoma"/>
        </w:rPr>
      </w:pPr>
      <w:r w:rsidRPr="00A75DF9">
        <w:rPr>
          <w:rFonts w:cs="Tahoma"/>
          <w:color w:val="000000"/>
          <w:szCs w:val="18"/>
        </w:rPr>
        <w:t>Licenza di Gestione Client per Utente per System Center Data Protection Manager 2010</w:t>
      </w:r>
    </w:p>
    <w:p w:rsidR="00170CFB" w:rsidRPr="00A75DF9" w:rsidRDefault="00170CFB" w:rsidP="006D6A83">
      <w:pPr>
        <w:rPr>
          <w:rFonts w:cs="Tahoma"/>
        </w:rPr>
      </w:pPr>
      <w:r w:rsidRPr="00A75DF9">
        <w:rPr>
          <w:rFonts w:cs="Tahoma"/>
          <w:color w:val="000000"/>
          <w:szCs w:val="18"/>
        </w:rPr>
        <w:t>Licenza di Gestione Client per OSE per System Center Data Protection Manager 2010</w:t>
      </w:r>
    </w:p>
    <w:p w:rsidR="00170CFB" w:rsidRPr="00A75DF9" w:rsidRDefault="00170CFB" w:rsidP="006D6A83">
      <w:pPr>
        <w:rPr>
          <w:rFonts w:cs="Tahoma"/>
        </w:rPr>
      </w:pPr>
      <w:r w:rsidRPr="00A75DF9">
        <w:rPr>
          <w:rFonts w:cs="Tahoma"/>
          <w:color w:val="000000"/>
          <w:szCs w:val="18"/>
        </w:rPr>
        <w:t>System Center Operations Manager 2007 R2</w:t>
      </w:r>
    </w:p>
    <w:p w:rsidR="00170CFB" w:rsidRPr="00A75DF9" w:rsidRDefault="00170CFB" w:rsidP="006D6A83">
      <w:pPr>
        <w:rPr>
          <w:rFonts w:cs="Tahoma"/>
        </w:rPr>
      </w:pPr>
      <w:r w:rsidRPr="00A75DF9">
        <w:rPr>
          <w:rFonts w:cs="Tahoma"/>
          <w:color w:val="000000"/>
          <w:szCs w:val="18"/>
        </w:rPr>
        <w:t>System Center Operations Manager 2007 R2 con Tecnologia SQL Server 2008</w:t>
      </w:r>
    </w:p>
    <w:p w:rsidR="00170CFB" w:rsidRPr="00A75DF9" w:rsidRDefault="00170CFB" w:rsidP="006D6A83">
      <w:pPr>
        <w:rPr>
          <w:rFonts w:cs="Tahoma"/>
        </w:rPr>
      </w:pPr>
      <w:r w:rsidRPr="00A75DF9">
        <w:rPr>
          <w:rFonts w:cs="Tahoma"/>
          <w:color w:val="000000"/>
          <w:szCs w:val="18"/>
        </w:rPr>
        <w:t>System Center Service Manager 2010</w:t>
      </w:r>
    </w:p>
    <w:p w:rsidR="00170CFB" w:rsidRPr="00A75DF9" w:rsidRDefault="00170CFB" w:rsidP="006D6A83">
      <w:pPr>
        <w:rPr>
          <w:rFonts w:cs="Tahoma"/>
        </w:rPr>
      </w:pPr>
      <w:r w:rsidRPr="00A75DF9">
        <w:rPr>
          <w:rFonts w:cs="Tahoma"/>
          <w:color w:val="000000"/>
          <w:szCs w:val="18"/>
        </w:rPr>
        <w:t>System Center Service Manager 2010 con Tecnologia SQL Server 2008</w:t>
      </w:r>
    </w:p>
    <w:p w:rsidR="00170CFB" w:rsidRPr="00A75DF9" w:rsidRDefault="00170CFB" w:rsidP="006D6A83">
      <w:pPr>
        <w:rPr>
          <w:rFonts w:cs="Tahoma"/>
        </w:rPr>
      </w:pPr>
      <w:r w:rsidRPr="00A75DF9">
        <w:rPr>
          <w:rFonts w:cs="Tahoma"/>
          <w:color w:val="000000"/>
          <w:szCs w:val="18"/>
        </w:rPr>
        <w:t>System Center Essentials 2010</w:t>
      </w:r>
    </w:p>
    <w:p w:rsidR="00170CFB" w:rsidRPr="00A75DF9" w:rsidRDefault="00170CFB" w:rsidP="006D6A83">
      <w:pPr>
        <w:rPr>
          <w:rFonts w:cs="Tahoma"/>
        </w:rPr>
      </w:pPr>
      <w:r w:rsidRPr="00A75DF9">
        <w:rPr>
          <w:rFonts w:cs="Tahoma"/>
          <w:color w:val="000000"/>
          <w:szCs w:val="18"/>
        </w:rPr>
        <w:t>Client ML per System Center Essentials 2010</w:t>
      </w:r>
    </w:p>
    <w:p w:rsidR="00170CFB" w:rsidRPr="00A75DF9" w:rsidRDefault="00170CFB" w:rsidP="006D6A83">
      <w:pPr>
        <w:rPr>
          <w:rFonts w:cs="Tahoma"/>
        </w:rPr>
      </w:pPr>
      <w:r w:rsidRPr="00A75DF9">
        <w:rPr>
          <w:rFonts w:cs="Tahoma"/>
          <w:color w:val="000000"/>
          <w:szCs w:val="18"/>
        </w:rPr>
        <w:t>Server ML per System Center Essentials 2010</w:t>
      </w:r>
    </w:p>
    <w:p w:rsidR="00170CFB" w:rsidRPr="00A75DF9" w:rsidRDefault="00170CFB" w:rsidP="006D6A83">
      <w:pPr>
        <w:rPr>
          <w:rFonts w:cs="Tahoma"/>
        </w:rPr>
      </w:pPr>
      <w:r w:rsidRPr="00A75DF9">
        <w:rPr>
          <w:rFonts w:cs="Tahoma"/>
          <w:color w:val="000000"/>
          <w:szCs w:val="18"/>
        </w:rPr>
        <w:t xml:space="preserve">System Center Essentials 2010 con Tecnologia SQL Server 2008 </w:t>
      </w:r>
    </w:p>
    <w:p w:rsidR="00170CFB" w:rsidRPr="00A75DF9" w:rsidRDefault="00170CFB" w:rsidP="006D6A83">
      <w:pPr>
        <w:rPr>
          <w:rFonts w:cs="Tahoma"/>
        </w:rPr>
      </w:pPr>
      <w:r w:rsidRPr="00A75DF9">
        <w:rPr>
          <w:rFonts w:cs="Tahoma"/>
          <w:color w:val="000000"/>
          <w:szCs w:val="18"/>
        </w:rPr>
        <w:t>Suite di Licenza di Gestione Client per System Center Essentials Plus 2010</w:t>
      </w:r>
    </w:p>
    <w:p w:rsidR="00170CFB" w:rsidRPr="00A75DF9" w:rsidRDefault="00170CFB" w:rsidP="006D6A83">
      <w:pPr>
        <w:rPr>
          <w:rFonts w:cs="Tahoma"/>
        </w:rPr>
      </w:pPr>
      <w:r w:rsidRPr="00A75DF9">
        <w:rPr>
          <w:rFonts w:cs="Tahoma"/>
          <w:color w:val="000000"/>
          <w:szCs w:val="18"/>
        </w:rPr>
        <w:t>Suite di Licenza di Gestione Server per System Center Essentials Plus 2010</w:t>
      </w:r>
    </w:p>
    <w:p w:rsidR="00170CFB" w:rsidRPr="00A75DF9" w:rsidRDefault="00170CFB" w:rsidP="006D6A83">
      <w:pPr>
        <w:rPr>
          <w:rFonts w:cs="Tahoma"/>
        </w:rPr>
      </w:pPr>
      <w:r w:rsidRPr="00A75DF9">
        <w:rPr>
          <w:rFonts w:cs="Tahoma"/>
          <w:color w:val="000000"/>
          <w:szCs w:val="18"/>
        </w:rPr>
        <w:t>System Center Virtual Machine Manager 2008 R2 Workgroup Edition</w:t>
      </w:r>
    </w:p>
    <w:p w:rsidR="00170CFB" w:rsidRPr="00A75DF9" w:rsidRDefault="00170CFB" w:rsidP="006D6A83">
      <w:pPr>
        <w:rPr>
          <w:rFonts w:cs="Tahoma"/>
        </w:rPr>
      </w:pPr>
      <w:r w:rsidRPr="00A75DF9">
        <w:rPr>
          <w:rFonts w:cs="Tahoma"/>
          <w:color w:val="000000"/>
          <w:szCs w:val="18"/>
        </w:rPr>
        <w:t>External Connector per Visual Studio</w:t>
      </w:r>
      <w:r w:rsidR="009D5D7B" w:rsidRPr="00A75DF9">
        <w:rPr>
          <w:rFonts w:cs="Tahoma"/>
          <w:color w:val="000000"/>
          <w:szCs w:val="18"/>
          <w:vertAlign w:val="superscript"/>
        </w:rPr>
        <w:t>®</w:t>
      </w:r>
      <w:r w:rsidRPr="00A75DF9">
        <w:rPr>
          <w:rFonts w:cs="Tahoma"/>
          <w:color w:val="000000"/>
          <w:szCs w:val="18"/>
        </w:rPr>
        <w:t xml:space="preserve"> Team Foundation Server 2012</w:t>
      </w:r>
    </w:p>
    <w:p w:rsidR="004759C6" w:rsidRPr="00A75DF9" w:rsidRDefault="004759C6" w:rsidP="007E466C">
      <w:pPr>
        <w:rPr>
          <w:rFonts w:cs="Tahoma"/>
        </w:rPr>
      </w:pPr>
    </w:p>
    <w:p w:rsidR="0064651F" w:rsidRPr="00A75DF9" w:rsidRDefault="0064651F" w:rsidP="0064651F">
      <w:pPr>
        <w:rPr>
          <w:rFonts w:cs="Tahoma"/>
        </w:rPr>
      </w:pPr>
    </w:p>
    <w:p w:rsidR="00243B33" w:rsidRPr="00A75DF9" w:rsidRDefault="000225E7" w:rsidP="00243B33">
      <w:pPr>
        <w:pStyle w:val="Heading2"/>
        <w:ind w:left="0"/>
        <w:jc w:val="both"/>
        <w:rPr>
          <w:rFonts w:ascii="Tahoma" w:hAnsi="Tahoma" w:cs="Tahoma"/>
        </w:rPr>
      </w:pPr>
      <w:bookmarkStart w:id="593" w:name="_Toc368310169"/>
      <w:r w:rsidRPr="00A75DF9">
        <w:rPr>
          <w:rFonts w:ascii="Tahoma" w:hAnsi="Tahoma" w:cs="Tahoma"/>
          <w:color w:val="FF6600"/>
        </w:rPr>
        <w:t>MODIFICHE APPORTATE NEL MESE DI FEBBRAIO 2013</w:t>
      </w:r>
      <w:bookmarkEnd w:id="593"/>
    </w:p>
    <w:p w:rsidR="00243B33" w:rsidRPr="00A75DF9" w:rsidRDefault="00243B33" w:rsidP="00E06050">
      <w:pPr>
        <w:pStyle w:val="Heading2"/>
        <w:ind w:left="0"/>
        <w:jc w:val="both"/>
        <w:rPr>
          <w:rFonts w:ascii="Tahoma" w:hAnsi="Tahoma" w:cs="Tahoma"/>
        </w:rPr>
      </w:pPr>
    </w:p>
    <w:p w:rsidR="00662A44" w:rsidRPr="00A75DF9" w:rsidRDefault="00662A44" w:rsidP="00662A44">
      <w:pPr>
        <w:spacing w:after="60"/>
        <w:rPr>
          <w:rFonts w:cs="Tahoma"/>
        </w:rPr>
      </w:pPr>
      <w:r w:rsidRPr="00A75DF9">
        <w:rPr>
          <w:rFonts w:cs="Tahoma"/>
          <w:b/>
        </w:rPr>
        <w:t>Prodotti Aggiunti</w:t>
      </w:r>
    </w:p>
    <w:p w:rsidR="00662A44" w:rsidRPr="00A75DF9" w:rsidRDefault="00662A44" w:rsidP="00662A44">
      <w:pPr>
        <w:rPr>
          <w:rFonts w:cs="Tahoma"/>
        </w:rPr>
      </w:pPr>
      <w:r w:rsidRPr="00A75DF9">
        <w:rPr>
          <w:rFonts w:cs="Tahoma"/>
          <w:color w:val="000000"/>
          <w:szCs w:val="18"/>
        </w:rPr>
        <w:t xml:space="preserve">Enterprise Additive CAL per Microsoft </w:t>
      </w:r>
      <w:r w:rsidRPr="00A75DF9">
        <w:rPr>
          <w:rFonts w:cs="Tahoma"/>
          <w:color w:val="000000"/>
          <w:szCs w:val="20"/>
        </w:rPr>
        <w:t>Dynamics AX 2012 R2 (Utente e Dispositivo)</w:t>
      </w:r>
    </w:p>
    <w:p w:rsidR="00662A44" w:rsidRPr="00A75DF9" w:rsidRDefault="00662A44" w:rsidP="00662A44">
      <w:pPr>
        <w:rPr>
          <w:rFonts w:cs="Tahoma"/>
        </w:rPr>
      </w:pPr>
      <w:r w:rsidRPr="00A75DF9">
        <w:rPr>
          <w:rFonts w:cs="Tahoma"/>
          <w:color w:val="000000"/>
          <w:szCs w:val="18"/>
        </w:rPr>
        <w:t xml:space="preserve">Enterprise CAL per Microsoft </w:t>
      </w:r>
      <w:r w:rsidRPr="00A75DF9">
        <w:rPr>
          <w:rFonts w:cs="Tahoma"/>
          <w:color w:val="000000"/>
          <w:szCs w:val="20"/>
        </w:rPr>
        <w:t>Dynamics AX 2012 R2 (Utente e Dispositivo)</w:t>
      </w:r>
    </w:p>
    <w:p w:rsidR="00662A44" w:rsidRPr="00A75DF9" w:rsidRDefault="00662A44" w:rsidP="00662A44">
      <w:pPr>
        <w:rPr>
          <w:rFonts w:cs="Tahoma"/>
        </w:rPr>
      </w:pPr>
      <w:r w:rsidRPr="00A75DF9">
        <w:rPr>
          <w:rFonts w:cs="Tahoma"/>
          <w:color w:val="000000"/>
          <w:szCs w:val="18"/>
        </w:rPr>
        <w:t xml:space="preserve">Functional Additive CAL per Microsoft </w:t>
      </w:r>
      <w:r w:rsidRPr="00A75DF9">
        <w:rPr>
          <w:rFonts w:cs="Tahoma"/>
          <w:color w:val="000000"/>
          <w:szCs w:val="20"/>
        </w:rPr>
        <w:t>Dynamics AX 2012 R2 (Utente e Dispositivo)</w:t>
      </w:r>
    </w:p>
    <w:p w:rsidR="00662A44" w:rsidRPr="00A75DF9" w:rsidRDefault="00662A44" w:rsidP="00662A44">
      <w:pPr>
        <w:rPr>
          <w:rFonts w:cs="Tahoma"/>
        </w:rPr>
      </w:pPr>
      <w:r w:rsidRPr="00A75DF9">
        <w:rPr>
          <w:rFonts w:cs="Tahoma"/>
          <w:color w:val="000000"/>
          <w:szCs w:val="18"/>
        </w:rPr>
        <w:t xml:space="preserve">Functional CAL per Microsoft </w:t>
      </w:r>
      <w:r w:rsidRPr="00A75DF9">
        <w:rPr>
          <w:rFonts w:cs="Tahoma"/>
          <w:color w:val="000000"/>
          <w:szCs w:val="20"/>
        </w:rPr>
        <w:t>Dynamics AX 2012 R2 (Utente e Dispositivo)</w:t>
      </w:r>
    </w:p>
    <w:p w:rsidR="00662A44" w:rsidRPr="00A75DF9" w:rsidRDefault="00662A44" w:rsidP="00662A44">
      <w:pPr>
        <w:rPr>
          <w:rFonts w:cs="Tahoma"/>
        </w:rPr>
      </w:pPr>
      <w:r w:rsidRPr="00A75DF9">
        <w:rPr>
          <w:rFonts w:cs="Tahoma"/>
          <w:color w:val="000000"/>
          <w:szCs w:val="18"/>
        </w:rPr>
        <w:t xml:space="preserve">Self Serve CAL per Microsoft </w:t>
      </w:r>
      <w:r w:rsidRPr="00A75DF9">
        <w:rPr>
          <w:rFonts w:cs="Tahoma"/>
          <w:color w:val="000000"/>
          <w:szCs w:val="20"/>
        </w:rPr>
        <w:t>Dynamics AX 2012 R2 (Utente e Dispositivo)</w:t>
      </w:r>
    </w:p>
    <w:p w:rsidR="00662A44" w:rsidRPr="00A75DF9" w:rsidRDefault="00662A44" w:rsidP="00662A44">
      <w:pPr>
        <w:rPr>
          <w:rFonts w:cs="Tahoma"/>
        </w:rPr>
      </w:pPr>
      <w:r w:rsidRPr="00A75DF9">
        <w:rPr>
          <w:rFonts w:cs="Tahoma"/>
          <w:color w:val="000000"/>
          <w:szCs w:val="18"/>
        </w:rPr>
        <w:t xml:space="preserve">Microsoft </w:t>
      </w:r>
      <w:r w:rsidRPr="00A75DF9">
        <w:rPr>
          <w:rFonts w:cs="Tahoma"/>
          <w:color w:val="000000"/>
          <w:szCs w:val="20"/>
        </w:rPr>
        <w:t>Dynamics AX 2012 R2 Server</w:t>
      </w:r>
    </w:p>
    <w:p w:rsidR="00662A44" w:rsidRPr="00A75DF9" w:rsidRDefault="00662A44" w:rsidP="00662A44">
      <w:pPr>
        <w:rPr>
          <w:rFonts w:cs="Tahoma"/>
        </w:rPr>
      </w:pPr>
      <w:r w:rsidRPr="00A75DF9">
        <w:rPr>
          <w:rFonts w:cs="Tahoma"/>
          <w:color w:val="000000"/>
          <w:szCs w:val="18"/>
        </w:rPr>
        <w:t xml:space="preserve">Task Additive CAL per Microsoft </w:t>
      </w:r>
      <w:r w:rsidRPr="00A75DF9">
        <w:rPr>
          <w:rFonts w:cs="Tahoma"/>
          <w:color w:val="000000"/>
          <w:szCs w:val="20"/>
        </w:rPr>
        <w:t>Dynamics AX 2012 R2 (Utente e Dispositivo)</w:t>
      </w:r>
    </w:p>
    <w:p w:rsidR="00662A44" w:rsidRPr="00A75DF9" w:rsidRDefault="00662A44" w:rsidP="00662A44">
      <w:pPr>
        <w:keepNext/>
        <w:tabs>
          <w:tab w:val="num" w:pos="720"/>
        </w:tabs>
        <w:outlineLvl w:val="3"/>
        <w:rPr>
          <w:rFonts w:cs="Tahoma"/>
        </w:rPr>
      </w:pPr>
      <w:r w:rsidRPr="00A75DF9">
        <w:rPr>
          <w:rFonts w:cs="Tahoma"/>
          <w:color w:val="000000"/>
          <w:szCs w:val="18"/>
        </w:rPr>
        <w:t xml:space="preserve">Task CAL per Microsoft </w:t>
      </w:r>
      <w:r w:rsidRPr="00A75DF9">
        <w:rPr>
          <w:rFonts w:cs="Tahoma"/>
          <w:color w:val="000000"/>
          <w:szCs w:val="20"/>
        </w:rPr>
        <w:t>Dynamics AX 2012 R2 (Utente e Dispositivo)</w:t>
      </w:r>
    </w:p>
    <w:p w:rsidR="00662A44" w:rsidRPr="00A75DF9" w:rsidRDefault="00662A44" w:rsidP="00662A44">
      <w:pPr>
        <w:keepNext/>
        <w:tabs>
          <w:tab w:val="num" w:pos="720"/>
        </w:tabs>
        <w:outlineLvl w:val="3"/>
        <w:rPr>
          <w:rFonts w:cs="Tahoma"/>
        </w:rPr>
      </w:pPr>
    </w:p>
    <w:p w:rsidR="00662A44" w:rsidRPr="00A75DF9" w:rsidRDefault="00662A44" w:rsidP="00662A44">
      <w:pPr>
        <w:spacing w:after="60"/>
        <w:rPr>
          <w:rFonts w:cs="Tahoma"/>
        </w:rPr>
      </w:pPr>
      <w:r w:rsidRPr="00A75DF9">
        <w:rPr>
          <w:rFonts w:cs="Tahoma"/>
          <w:b/>
        </w:rPr>
        <w:t>Modifiche</w:t>
      </w:r>
    </w:p>
    <w:p w:rsidR="00662A44" w:rsidRPr="00A75DF9" w:rsidRDefault="00662A44" w:rsidP="00662A44">
      <w:pPr>
        <w:keepNext/>
        <w:tabs>
          <w:tab w:val="num" w:pos="720"/>
        </w:tabs>
        <w:outlineLvl w:val="3"/>
        <w:rPr>
          <w:rFonts w:cs="Tahoma"/>
        </w:rPr>
      </w:pPr>
      <w:r w:rsidRPr="00A75DF9">
        <w:rPr>
          <w:rFonts w:cs="Tahoma"/>
          <w:color w:val="000000"/>
          <w:szCs w:val="20"/>
        </w:rPr>
        <w:t>Visio 2013 Professional</w:t>
      </w:r>
    </w:p>
    <w:p w:rsidR="00662A44" w:rsidRPr="00A75DF9" w:rsidRDefault="00662A44" w:rsidP="00662A44">
      <w:pPr>
        <w:keepNext/>
        <w:tabs>
          <w:tab w:val="num" w:pos="720"/>
        </w:tabs>
        <w:outlineLvl w:val="3"/>
        <w:rPr>
          <w:rFonts w:cs="Tahoma"/>
        </w:rPr>
      </w:pPr>
    </w:p>
    <w:p w:rsidR="00662A44" w:rsidRPr="00A75DF9" w:rsidRDefault="00662A44" w:rsidP="0064651F">
      <w:pPr>
        <w:keepNext/>
        <w:tabs>
          <w:tab w:val="num" w:pos="720"/>
        </w:tabs>
        <w:spacing w:after="60"/>
        <w:outlineLvl w:val="3"/>
        <w:rPr>
          <w:rFonts w:cs="Tahoma"/>
        </w:rPr>
      </w:pPr>
      <w:r w:rsidRPr="00A75DF9">
        <w:rPr>
          <w:rFonts w:cs="Tahoma"/>
          <w:b/>
        </w:rPr>
        <w:t>Prodotti Eliminati</w:t>
      </w:r>
    </w:p>
    <w:p w:rsidR="00662A44" w:rsidRPr="00A75DF9" w:rsidRDefault="00662A44" w:rsidP="00662A44">
      <w:pPr>
        <w:rPr>
          <w:rFonts w:cs="Tahoma"/>
        </w:rPr>
      </w:pPr>
      <w:r w:rsidRPr="00A75DF9">
        <w:rPr>
          <w:rFonts w:cs="Tahoma"/>
          <w:color w:val="000000"/>
          <w:szCs w:val="18"/>
        </w:rPr>
        <w:t xml:space="preserve">Enterprise Additive CAL per Microsoft </w:t>
      </w:r>
      <w:r w:rsidRPr="00A75DF9">
        <w:rPr>
          <w:rFonts w:cs="Tahoma"/>
          <w:color w:val="000000"/>
          <w:szCs w:val="20"/>
        </w:rPr>
        <w:t>Dynamics AX 2012 (Utente e Dispositivo)</w:t>
      </w:r>
    </w:p>
    <w:p w:rsidR="00662A44" w:rsidRPr="00A75DF9" w:rsidRDefault="00662A44" w:rsidP="00662A44">
      <w:pPr>
        <w:rPr>
          <w:rFonts w:cs="Tahoma"/>
        </w:rPr>
      </w:pPr>
      <w:r w:rsidRPr="00A75DF9">
        <w:rPr>
          <w:rFonts w:cs="Tahoma"/>
          <w:color w:val="000000"/>
          <w:szCs w:val="18"/>
        </w:rPr>
        <w:t xml:space="preserve">Enterprise CAL per Microsoft </w:t>
      </w:r>
      <w:r w:rsidRPr="00A75DF9">
        <w:rPr>
          <w:rFonts w:cs="Tahoma"/>
          <w:color w:val="000000"/>
          <w:szCs w:val="20"/>
        </w:rPr>
        <w:t>Dynamics AX 2012 (Utente e Dispositivo)</w:t>
      </w:r>
    </w:p>
    <w:p w:rsidR="00662A44" w:rsidRPr="00A75DF9" w:rsidRDefault="00662A44" w:rsidP="00662A44">
      <w:pPr>
        <w:rPr>
          <w:rFonts w:cs="Tahoma"/>
        </w:rPr>
      </w:pPr>
      <w:r w:rsidRPr="00A75DF9">
        <w:rPr>
          <w:rFonts w:cs="Tahoma"/>
          <w:color w:val="000000"/>
          <w:szCs w:val="18"/>
        </w:rPr>
        <w:t xml:space="preserve">Functional Additive CAL per Microsoft </w:t>
      </w:r>
      <w:r w:rsidRPr="00A75DF9">
        <w:rPr>
          <w:rFonts w:cs="Tahoma"/>
          <w:color w:val="000000"/>
          <w:szCs w:val="20"/>
        </w:rPr>
        <w:t>Dynamics AX 2012 (Utente e Dispositivo)</w:t>
      </w:r>
    </w:p>
    <w:p w:rsidR="00662A44" w:rsidRPr="00A75DF9" w:rsidRDefault="00662A44" w:rsidP="00662A44">
      <w:pPr>
        <w:rPr>
          <w:rFonts w:cs="Tahoma"/>
        </w:rPr>
      </w:pPr>
      <w:r w:rsidRPr="00A75DF9">
        <w:rPr>
          <w:rFonts w:cs="Tahoma"/>
          <w:color w:val="000000"/>
          <w:szCs w:val="18"/>
        </w:rPr>
        <w:t xml:space="preserve">Functional CAL per Microsoft </w:t>
      </w:r>
      <w:r w:rsidRPr="00A75DF9">
        <w:rPr>
          <w:rFonts w:cs="Tahoma"/>
          <w:color w:val="000000"/>
          <w:szCs w:val="20"/>
        </w:rPr>
        <w:t>Dynamics AX 2012 (Utente e Dispositivo)</w:t>
      </w:r>
    </w:p>
    <w:p w:rsidR="00662A44" w:rsidRPr="00A75DF9" w:rsidRDefault="00662A44" w:rsidP="00662A44">
      <w:pPr>
        <w:rPr>
          <w:rFonts w:cs="Tahoma"/>
        </w:rPr>
      </w:pPr>
      <w:r w:rsidRPr="00A75DF9">
        <w:rPr>
          <w:rFonts w:cs="Tahoma"/>
          <w:color w:val="000000"/>
          <w:szCs w:val="18"/>
        </w:rPr>
        <w:t xml:space="preserve">Self Serve CAL per Microsoft </w:t>
      </w:r>
      <w:r w:rsidRPr="00A75DF9">
        <w:rPr>
          <w:rFonts w:cs="Tahoma"/>
          <w:color w:val="000000"/>
          <w:szCs w:val="20"/>
        </w:rPr>
        <w:t>Dynamics AX 2012 (Utente e Dispositivo)</w:t>
      </w:r>
    </w:p>
    <w:p w:rsidR="00662A44" w:rsidRPr="00A75DF9" w:rsidRDefault="00662A44" w:rsidP="00662A44">
      <w:pPr>
        <w:rPr>
          <w:rFonts w:cs="Tahoma"/>
        </w:rPr>
      </w:pPr>
      <w:r w:rsidRPr="00A75DF9">
        <w:rPr>
          <w:rFonts w:cs="Tahoma"/>
          <w:color w:val="000000"/>
          <w:szCs w:val="18"/>
        </w:rPr>
        <w:t xml:space="preserve">Microsoft </w:t>
      </w:r>
      <w:r w:rsidRPr="00A75DF9">
        <w:rPr>
          <w:rFonts w:cs="Tahoma"/>
          <w:color w:val="000000"/>
          <w:szCs w:val="20"/>
        </w:rPr>
        <w:t>Dynamics AX 2012 Server</w:t>
      </w:r>
    </w:p>
    <w:p w:rsidR="00662A44" w:rsidRPr="00A75DF9" w:rsidRDefault="00662A44" w:rsidP="00662A44">
      <w:pPr>
        <w:rPr>
          <w:rFonts w:cs="Tahoma"/>
        </w:rPr>
      </w:pPr>
      <w:r w:rsidRPr="00A75DF9">
        <w:rPr>
          <w:rFonts w:cs="Tahoma"/>
          <w:color w:val="000000"/>
          <w:szCs w:val="18"/>
        </w:rPr>
        <w:t xml:space="preserve">Task Additive CAL per Microsoft </w:t>
      </w:r>
      <w:r w:rsidRPr="00A75DF9">
        <w:rPr>
          <w:rFonts w:cs="Tahoma"/>
          <w:color w:val="000000"/>
          <w:szCs w:val="20"/>
        </w:rPr>
        <w:t>Dynamics AX 2012 (Utente e Dispositivo)</w:t>
      </w:r>
    </w:p>
    <w:p w:rsidR="00662A44" w:rsidRPr="00A75DF9" w:rsidRDefault="00662A44" w:rsidP="00662A44">
      <w:pPr>
        <w:rPr>
          <w:rFonts w:cs="Tahoma"/>
        </w:rPr>
      </w:pPr>
      <w:r w:rsidRPr="00A75DF9">
        <w:rPr>
          <w:rFonts w:cs="Tahoma"/>
          <w:color w:val="000000"/>
          <w:szCs w:val="18"/>
        </w:rPr>
        <w:t xml:space="preserve">Task CAL per Microsoft </w:t>
      </w:r>
      <w:r w:rsidRPr="00A75DF9">
        <w:rPr>
          <w:rFonts w:cs="Tahoma"/>
          <w:color w:val="000000"/>
          <w:szCs w:val="20"/>
        </w:rPr>
        <w:t>Dynamics AX 2012 (Utente e Dispositivo)</w:t>
      </w:r>
    </w:p>
    <w:p w:rsidR="00243B33" w:rsidRPr="00A75DF9" w:rsidRDefault="00243B33" w:rsidP="00B50A5B">
      <w:pPr>
        <w:rPr>
          <w:rFonts w:cs="Tahoma"/>
        </w:rPr>
      </w:pPr>
    </w:p>
    <w:p w:rsidR="001C1727" w:rsidRPr="00A75DF9" w:rsidRDefault="001C1727" w:rsidP="00292088">
      <w:pPr>
        <w:rPr>
          <w:rFonts w:cs="Tahoma"/>
        </w:rPr>
      </w:pPr>
    </w:p>
    <w:p w:rsidR="00E06050" w:rsidRPr="00A75DF9" w:rsidRDefault="00E06050" w:rsidP="00E06050">
      <w:pPr>
        <w:pStyle w:val="Heading2"/>
        <w:ind w:left="0"/>
        <w:jc w:val="both"/>
        <w:rPr>
          <w:rFonts w:ascii="Tahoma" w:hAnsi="Tahoma" w:cs="Tahoma"/>
        </w:rPr>
      </w:pPr>
      <w:bookmarkStart w:id="594" w:name="_Toc368310170"/>
      <w:r w:rsidRPr="00A75DF9">
        <w:rPr>
          <w:rFonts w:ascii="Tahoma" w:hAnsi="Tahoma" w:cs="Tahoma"/>
          <w:color w:val="FF6600"/>
        </w:rPr>
        <w:t>MODIFICHE APPORTATE NEL MESE DI GENNAIO 2013</w:t>
      </w:r>
      <w:bookmarkEnd w:id="594"/>
    </w:p>
    <w:p w:rsidR="00E06050" w:rsidRPr="00A75DF9" w:rsidRDefault="00E06050" w:rsidP="00E06050">
      <w:pPr>
        <w:rPr>
          <w:rFonts w:cs="Tahoma"/>
        </w:rPr>
      </w:pPr>
    </w:p>
    <w:p w:rsidR="00E06050" w:rsidRPr="00A75DF9" w:rsidRDefault="00E06050" w:rsidP="003E606C">
      <w:pPr>
        <w:spacing w:after="60"/>
        <w:rPr>
          <w:rFonts w:cs="Tahoma"/>
        </w:rPr>
      </w:pPr>
      <w:r w:rsidRPr="00A75DF9">
        <w:rPr>
          <w:rFonts w:cs="Tahoma"/>
          <w:b/>
        </w:rPr>
        <w:t>Prodotti Aggiunti</w:t>
      </w:r>
    </w:p>
    <w:p w:rsidR="00CC66A0" w:rsidRPr="00A75DF9" w:rsidRDefault="00CC66A0" w:rsidP="00737831">
      <w:pPr>
        <w:keepNext/>
        <w:tabs>
          <w:tab w:val="num" w:pos="720"/>
        </w:tabs>
        <w:outlineLvl w:val="3"/>
        <w:rPr>
          <w:rFonts w:cs="Tahoma"/>
        </w:rPr>
      </w:pPr>
      <w:r w:rsidRPr="00A75DF9">
        <w:rPr>
          <w:rFonts w:cs="Tahoma"/>
          <w:color w:val="000000"/>
          <w:szCs w:val="20"/>
        </w:rPr>
        <w:t>Windows MultiPoint Server 2012 Premium con Windows MultiPoint Server 2012 (CAL) (5 Client)</w:t>
      </w:r>
    </w:p>
    <w:p w:rsidR="00E06050" w:rsidRPr="00A75DF9" w:rsidRDefault="00CC66A0" w:rsidP="00862623">
      <w:pPr>
        <w:keepNext/>
        <w:tabs>
          <w:tab w:val="num" w:pos="720"/>
        </w:tabs>
        <w:outlineLvl w:val="3"/>
        <w:rPr>
          <w:rFonts w:cs="Tahoma"/>
        </w:rPr>
      </w:pPr>
      <w:r w:rsidRPr="00A75DF9">
        <w:rPr>
          <w:rFonts w:cs="Tahoma"/>
          <w:color w:val="000000"/>
          <w:szCs w:val="20"/>
        </w:rPr>
        <w:t>Windows MultiPoint Server 2012 Premium con Windows MultiPoint Server 2012 (CAL) (5 Client) con Windows</w:t>
      </w:r>
    </w:p>
    <w:p w:rsidR="00140B67" w:rsidRPr="00A75DF9" w:rsidRDefault="00140B67" w:rsidP="003E606C">
      <w:pPr>
        <w:spacing w:after="60"/>
        <w:rPr>
          <w:rFonts w:cs="Tahoma"/>
        </w:rPr>
      </w:pPr>
    </w:p>
    <w:p w:rsidR="001D63C2" w:rsidRPr="00A75DF9" w:rsidRDefault="001D63C2" w:rsidP="003E606C">
      <w:pPr>
        <w:spacing w:after="60"/>
        <w:rPr>
          <w:rFonts w:cs="Tahoma"/>
        </w:rPr>
      </w:pPr>
      <w:r w:rsidRPr="00A75DF9">
        <w:rPr>
          <w:rFonts w:cs="Tahoma"/>
          <w:b/>
        </w:rPr>
        <w:lastRenderedPageBreak/>
        <w:t>Modifiche</w:t>
      </w:r>
    </w:p>
    <w:p w:rsidR="001D63C2" w:rsidRPr="00A75DF9" w:rsidRDefault="001D63C2" w:rsidP="00E06050">
      <w:pPr>
        <w:rPr>
          <w:rFonts w:cs="Tahoma"/>
        </w:rPr>
      </w:pPr>
      <w:r w:rsidRPr="00A75DF9">
        <w:rPr>
          <w:rFonts w:cs="Tahoma"/>
          <w:color w:val="000000"/>
        </w:rPr>
        <w:t>CAL Suite per Windows Small Business Server 2008 per Utenti o Dispositivi Premium</w:t>
      </w:r>
    </w:p>
    <w:p w:rsidR="001D63C2" w:rsidRPr="00A75DF9" w:rsidRDefault="001D63C2" w:rsidP="00E06050">
      <w:pPr>
        <w:rPr>
          <w:rFonts w:cs="Tahoma"/>
        </w:rPr>
      </w:pPr>
      <w:r w:rsidRPr="00A75DF9">
        <w:rPr>
          <w:rFonts w:cs="Tahoma"/>
          <w:color w:val="000000"/>
        </w:rPr>
        <w:t>CAL Suite per Windows Small Business Server 2008 per Utenti o Dispositivi Premium (5 Client)</w:t>
      </w:r>
    </w:p>
    <w:p w:rsidR="001D63C2" w:rsidRPr="00A75DF9" w:rsidRDefault="001D63C2" w:rsidP="00E06050">
      <w:pPr>
        <w:rPr>
          <w:rFonts w:cs="Tahoma"/>
        </w:rPr>
      </w:pPr>
      <w:r w:rsidRPr="00A75DF9">
        <w:rPr>
          <w:rFonts w:cs="Tahoma"/>
          <w:color w:val="000000"/>
        </w:rPr>
        <w:t>CAL Suite per Windows Small Business Server 2008 per Utenti o Dispositivi Premium (20 Client)</w:t>
      </w:r>
    </w:p>
    <w:p w:rsidR="001D63C2" w:rsidRPr="00A75DF9" w:rsidRDefault="001D63C2" w:rsidP="00E06050">
      <w:pPr>
        <w:rPr>
          <w:rFonts w:cs="Tahoma"/>
        </w:rPr>
      </w:pPr>
      <w:r w:rsidRPr="00A75DF9">
        <w:rPr>
          <w:rFonts w:cs="Tahoma"/>
          <w:color w:val="000000"/>
        </w:rPr>
        <w:t>CAL Suite per Windows Small Business Server 2011 (1 Client)</w:t>
      </w:r>
    </w:p>
    <w:p w:rsidR="001D63C2" w:rsidRPr="00A75DF9" w:rsidRDefault="001D63C2" w:rsidP="001D63C2">
      <w:pPr>
        <w:rPr>
          <w:rFonts w:cs="Tahoma"/>
        </w:rPr>
      </w:pPr>
      <w:r w:rsidRPr="00A75DF9">
        <w:rPr>
          <w:rFonts w:cs="Tahoma"/>
          <w:color w:val="000000"/>
        </w:rPr>
        <w:t>CAL Suite per Windows Small Business Server 2011 (5 Client)</w:t>
      </w:r>
    </w:p>
    <w:p w:rsidR="001D63C2" w:rsidRPr="00A75DF9" w:rsidRDefault="001D63C2" w:rsidP="00E06050">
      <w:pPr>
        <w:rPr>
          <w:rFonts w:cs="Tahoma"/>
        </w:rPr>
      </w:pPr>
      <w:r w:rsidRPr="00A75DF9">
        <w:rPr>
          <w:rFonts w:cs="Tahoma"/>
          <w:color w:val="000000"/>
        </w:rPr>
        <w:t>CAL Suite per Windows Small Business Server 2011 (20 Client)</w:t>
      </w:r>
    </w:p>
    <w:p w:rsidR="001D63C2" w:rsidRPr="00A75DF9" w:rsidRDefault="001D63C2" w:rsidP="001D63C2">
      <w:pPr>
        <w:rPr>
          <w:rFonts w:cs="Tahoma"/>
        </w:rPr>
      </w:pPr>
      <w:r w:rsidRPr="00A75DF9">
        <w:rPr>
          <w:rFonts w:cs="Tahoma"/>
          <w:color w:val="000000"/>
        </w:rPr>
        <w:t>Windows Small Business Server 2011 Standard (5 Client)</w:t>
      </w:r>
    </w:p>
    <w:p w:rsidR="001D63C2" w:rsidRPr="00A75DF9" w:rsidRDefault="001D63C2" w:rsidP="00E06050">
      <w:pPr>
        <w:rPr>
          <w:rFonts w:cs="Tahoma"/>
        </w:rPr>
      </w:pPr>
      <w:r w:rsidRPr="00A75DF9">
        <w:rPr>
          <w:rFonts w:cs="Tahoma"/>
          <w:color w:val="000000"/>
        </w:rPr>
        <w:t>Premium Add-On per Windows Small Business Server 2011 (5 Client)</w:t>
      </w:r>
    </w:p>
    <w:p w:rsidR="001D63C2" w:rsidRPr="00A75DF9" w:rsidRDefault="001D63C2" w:rsidP="00E06050">
      <w:pPr>
        <w:rPr>
          <w:rFonts w:cs="Tahoma"/>
        </w:rPr>
      </w:pPr>
    </w:p>
    <w:p w:rsidR="00E06050" w:rsidRPr="00A75DF9" w:rsidRDefault="00E06050" w:rsidP="003E606C">
      <w:pPr>
        <w:spacing w:after="60"/>
        <w:rPr>
          <w:rFonts w:cs="Tahoma"/>
        </w:rPr>
      </w:pPr>
      <w:r w:rsidRPr="00A75DF9">
        <w:rPr>
          <w:rFonts w:cs="Tahoma"/>
          <w:b/>
        </w:rPr>
        <w:t>Prodotti Eliminati</w:t>
      </w:r>
    </w:p>
    <w:p w:rsidR="00E06050" w:rsidRPr="00A75DF9" w:rsidRDefault="00E06050" w:rsidP="00E06050">
      <w:pPr>
        <w:rPr>
          <w:rFonts w:cs="Tahoma"/>
        </w:rPr>
      </w:pPr>
      <w:r w:rsidRPr="00A75DF9">
        <w:rPr>
          <w:rFonts w:cs="Tahoma"/>
          <w:color w:val="000000"/>
        </w:rPr>
        <w:t>Licenza di Gestione Client per OSE per Windows Embedded Device Manager 2011</w:t>
      </w:r>
    </w:p>
    <w:p w:rsidR="00E06050" w:rsidRPr="00A75DF9" w:rsidRDefault="00E06050" w:rsidP="00E06050">
      <w:pPr>
        <w:rPr>
          <w:rFonts w:cs="Tahoma"/>
        </w:rPr>
      </w:pPr>
      <w:r w:rsidRPr="00A75DF9">
        <w:rPr>
          <w:rFonts w:cs="Tahoma"/>
          <w:color w:val="000000"/>
        </w:rPr>
        <w:t>Licenza di Gestione Client per Utente per Windows Embedded Device Manager 2011</w:t>
      </w:r>
    </w:p>
    <w:p w:rsidR="00844BAF" w:rsidRPr="00A75DF9" w:rsidRDefault="00844BAF" w:rsidP="00E06050">
      <w:pPr>
        <w:rPr>
          <w:rFonts w:cs="Tahoma"/>
        </w:rPr>
      </w:pPr>
      <w:r w:rsidRPr="00A75DF9">
        <w:rPr>
          <w:rFonts w:cs="Tahoma"/>
          <w:color w:val="000000"/>
          <w:szCs w:val="20"/>
        </w:rPr>
        <w:t>Licenza CAL per Dispositivo per Windows Server 2008 per Windows Essential Server Solutions (5 Client)</w:t>
      </w:r>
    </w:p>
    <w:p w:rsidR="00844BAF" w:rsidRPr="00A75DF9" w:rsidRDefault="00844BAF" w:rsidP="00E06050">
      <w:pPr>
        <w:rPr>
          <w:rFonts w:cs="Tahoma"/>
        </w:rPr>
      </w:pPr>
      <w:r w:rsidRPr="00A75DF9">
        <w:rPr>
          <w:rFonts w:cs="Tahoma"/>
          <w:color w:val="000000"/>
          <w:szCs w:val="20"/>
        </w:rPr>
        <w:t>User CAL per Windows Server 2008 per Windows Essential Server Solutions (5 Client)</w:t>
      </w:r>
    </w:p>
    <w:p w:rsidR="00844BAF" w:rsidRPr="00A75DF9" w:rsidRDefault="00844BAF" w:rsidP="00844BAF">
      <w:pPr>
        <w:keepNext/>
        <w:tabs>
          <w:tab w:val="num" w:pos="720"/>
        </w:tabs>
        <w:outlineLvl w:val="3"/>
        <w:rPr>
          <w:rFonts w:cs="Tahoma"/>
        </w:rPr>
      </w:pPr>
      <w:r w:rsidRPr="00A75DF9">
        <w:rPr>
          <w:rFonts w:cs="Tahoma"/>
          <w:color w:val="000000"/>
          <w:szCs w:val="20"/>
        </w:rPr>
        <w:t>Windows MultiPoint Server 2011 Premium con Windows MultiPoint Server 2011 (CAL) (5 Client)</w:t>
      </w:r>
    </w:p>
    <w:p w:rsidR="00E06050" w:rsidRPr="00A75DF9" w:rsidRDefault="00844BAF" w:rsidP="00E06050">
      <w:pPr>
        <w:rPr>
          <w:rFonts w:cs="Tahoma"/>
        </w:rPr>
      </w:pPr>
      <w:r w:rsidRPr="00A75DF9">
        <w:rPr>
          <w:rFonts w:cs="Tahoma"/>
          <w:color w:val="000000"/>
          <w:szCs w:val="20"/>
        </w:rPr>
        <w:t>Windows MultiPoint Server 2011 Premium con Windows MultiPoint Server 2011 (CAL) (5 Client) con Windows</w:t>
      </w:r>
    </w:p>
    <w:p w:rsidR="00A12176" w:rsidRPr="00A75DF9" w:rsidRDefault="00A12176" w:rsidP="00BA756F">
      <w:pPr>
        <w:pStyle w:val="Heading2"/>
        <w:ind w:left="0"/>
        <w:jc w:val="both"/>
        <w:rPr>
          <w:rFonts w:ascii="Tahoma" w:hAnsi="Tahoma" w:cs="Tahoma"/>
        </w:rPr>
      </w:pPr>
    </w:p>
    <w:p w:rsidR="001C1727" w:rsidRPr="00A75DF9" w:rsidRDefault="001C1727">
      <w:pPr>
        <w:rPr>
          <w:rFonts w:cs="Tahoma"/>
        </w:rPr>
      </w:pPr>
    </w:p>
    <w:p w:rsidR="00173A20" w:rsidRPr="00A75DF9" w:rsidRDefault="00173A20" w:rsidP="00BA756F">
      <w:pPr>
        <w:pStyle w:val="Heading2"/>
        <w:ind w:left="0"/>
        <w:jc w:val="both"/>
        <w:rPr>
          <w:rFonts w:ascii="Tahoma" w:hAnsi="Tahoma" w:cs="Tahoma"/>
        </w:rPr>
      </w:pPr>
      <w:bookmarkStart w:id="595" w:name="_Toc368310171"/>
      <w:r w:rsidRPr="00A75DF9">
        <w:rPr>
          <w:rFonts w:ascii="Tahoma" w:hAnsi="Tahoma" w:cs="Tahoma"/>
          <w:color w:val="FF6600"/>
        </w:rPr>
        <w:t>MODIFICHE APPORTATE NEL MESE DI DICEMBRE 2012</w:t>
      </w:r>
      <w:bookmarkEnd w:id="584"/>
      <w:bookmarkEnd w:id="595"/>
    </w:p>
    <w:p w:rsidR="00173A20" w:rsidRPr="00A75DF9" w:rsidRDefault="00173A20" w:rsidP="00173A20">
      <w:pPr>
        <w:jc w:val="both"/>
        <w:outlineLvl w:val="1"/>
        <w:rPr>
          <w:rFonts w:cs="Tahoma"/>
        </w:rPr>
      </w:pPr>
    </w:p>
    <w:p w:rsidR="00173A20" w:rsidRPr="00A75DF9" w:rsidRDefault="00173A20" w:rsidP="003E606C">
      <w:pPr>
        <w:spacing w:after="60"/>
        <w:rPr>
          <w:rFonts w:cs="Tahoma"/>
        </w:rPr>
      </w:pPr>
      <w:r w:rsidRPr="00A75DF9">
        <w:rPr>
          <w:rFonts w:cs="Tahoma"/>
          <w:b/>
        </w:rPr>
        <w:t>Prodotti Aggiunti</w:t>
      </w:r>
    </w:p>
    <w:p w:rsidR="00173A20" w:rsidRPr="00A75DF9" w:rsidRDefault="00BA756F" w:rsidP="00173A20">
      <w:pPr>
        <w:rPr>
          <w:rFonts w:cs="Tahoma"/>
        </w:rPr>
      </w:pPr>
      <w:r w:rsidRPr="00A75DF9">
        <w:rPr>
          <w:rFonts w:cs="Tahoma"/>
          <w:color w:val="000000"/>
        </w:rPr>
        <w:t>Access 2013</w:t>
      </w:r>
    </w:p>
    <w:p w:rsidR="00BA756F" w:rsidRPr="00A75DF9" w:rsidRDefault="00BA756F" w:rsidP="00173A20">
      <w:pPr>
        <w:rPr>
          <w:rFonts w:cs="Tahoma"/>
        </w:rPr>
      </w:pPr>
      <w:r w:rsidRPr="00A75DF9">
        <w:rPr>
          <w:rFonts w:cs="Tahoma"/>
          <w:color w:val="000000"/>
        </w:rPr>
        <w:t>Excel 2013</w:t>
      </w:r>
    </w:p>
    <w:p w:rsidR="00BA756F" w:rsidRPr="00A75DF9" w:rsidRDefault="00BA756F" w:rsidP="00173A20">
      <w:pPr>
        <w:rPr>
          <w:rFonts w:cs="Tahoma"/>
        </w:rPr>
      </w:pPr>
      <w:r w:rsidRPr="00A75DF9">
        <w:rPr>
          <w:rFonts w:cs="Tahoma"/>
          <w:color w:val="000000"/>
        </w:rPr>
        <w:t>Enterprise CAL per Exchange 2013 con Servizi</w:t>
      </w:r>
    </w:p>
    <w:p w:rsidR="00BA756F" w:rsidRPr="00A75DF9" w:rsidRDefault="00BA756F" w:rsidP="00173A20">
      <w:pPr>
        <w:rPr>
          <w:rFonts w:cs="Tahoma"/>
        </w:rPr>
      </w:pPr>
      <w:r w:rsidRPr="00A75DF9">
        <w:rPr>
          <w:rFonts w:cs="Tahoma"/>
          <w:color w:val="000000"/>
        </w:rPr>
        <w:t>Enterprise CAL per Exchange 2013 senza Servizi</w:t>
      </w:r>
    </w:p>
    <w:p w:rsidR="00BA756F" w:rsidRPr="00A75DF9" w:rsidRDefault="00BA756F" w:rsidP="00173A20">
      <w:pPr>
        <w:rPr>
          <w:rFonts w:cs="Tahoma"/>
        </w:rPr>
      </w:pPr>
      <w:r w:rsidRPr="00A75DF9">
        <w:rPr>
          <w:rFonts w:cs="Tahoma"/>
          <w:color w:val="000000"/>
        </w:rPr>
        <w:t>Exchange Server Enterprise 2013</w:t>
      </w:r>
    </w:p>
    <w:p w:rsidR="00BA756F" w:rsidRPr="00A75DF9" w:rsidRDefault="00BA756F" w:rsidP="00173A20">
      <w:pPr>
        <w:rPr>
          <w:rFonts w:cs="Tahoma"/>
        </w:rPr>
      </w:pPr>
      <w:r w:rsidRPr="00A75DF9">
        <w:rPr>
          <w:rFonts w:cs="Tahoma"/>
          <w:color w:val="000000"/>
        </w:rPr>
        <w:t>Exchange Server Standard 2013</w:t>
      </w:r>
    </w:p>
    <w:p w:rsidR="00BA756F" w:rsidRPr="00A75DF9" w:rsidRDefault="00BA756F" w:rsidP="00173A20">
      <w:pPr>
        <w:rPr>
          <w:rFonts w:cs="Tahoma"/>
        </w:rPr>
      </w:pPr>
      <w:r w:rsidRPr="00A75DF9">
        <w:rPr>
          <w:rFonts w:cs="Tahoma"/>
          <w:color w:val="000000"/>
        </w:rPr>
        <w:t>Standard CAL per Exchange 2013</w:t>
      </w:r>
    </w:p>
    <w:p w:rsidR="00BA756F" w:rsidRPr="00A75DF9" w:rsidRDefault="00BA756F" w:rsidP="00173A20">
      <w:pPr>
        <w:rPr>
          <w:rFonts w:cs="Tahoma"/>
        </w:rPr>
      </w:pPr>
      <w:r w:rsidRPr="00A75DF9">
        <w:rPr>
          <w:rFonts w:cs="Tahoma"/>
          <w:color w:val="000000"/>
        </w:rPr>
        <w:t>InfoPath 2013</w:t>
      </w:r>
    </w:p>
    <w:p w:rsidR="00BA756F" w:rsidRPr="00A75DF9" w:rsidRDefault="00BA756F" w:rsidP="00173A20">
      <w:pPr>
        <w:rPr>
          <w:rFonts w:cs="Tahoma"/>
        </w:rPr>
      </w:pPr>
      <w:r w:rsidRPr="00A75DF9">
        <w:rPr>
          <w:rFonts w:cs="Tahoma"/>
          <w:color w:val="000000"/>
        </w:rPr>
        <w:t>Lync 2013</w:t>
      </w:r>
    </w:p>
    <w:p w:rsidR="00BA756F" w:rsidRPr="00A75DF9" w:rsidRDefault="00BA756F" w:rsidP="00173A20">
      <w:pPr>
        <w:rPr>
          <w:rFonts w:cs="Tahoma"/>
        </w:rPr>
      </w:pPr>
      <w:r w:rsidRPr="00A75DF9">
        <w:rPr>
          <w:rFonts w:cs="Tahoma"/>
          <w:color w:val="000000"/>
        </w:rPr>
        <w:t>Lync Server 2013</w:t>
      </w:r>
    </w:p>
    <w:p w:rsidR="00BA756F" w:rsidRPr="00A75DF9" w:rsidRDefault="00BA756F" w:rsidP="00173A20">
      <w:pPr>
        <w:rPr>
          <w:rFonts w:cs="Tahoma"/>
        </w:rPr>
      </w:pPr>
      <w:r w:rsidRPr="00A75DF9">
        <w:rPr>
          <w:rFonts w:cs="Tahoma"/>
          <w:color w:val="000000"/>
        </w:rPr>
        <w:t>Enterprise CAL per Lync Server 2013</w:t>
      </w:r>
    </w:p>
    <w:p w:rsidR="00BA756F" w:rsidRPr="00A75DF9" w:rsidRDefault="00BA756F" w:rsidP="00173A20">
      <w:pPr>
        <w:rPr>
          <w:rFonts w:cs="Tahoma"/>
        </w:rPr>
      </w:pPr>
      <w:r w:rsidRPr="00A75DF9">
        <w:rPr>
          <w:rFonts w:cs="Tahoma"/>
          <w:color w:val="000000"/>
        </w:rPr>
        <w:t>Plus CAL per Lync Server 2013</w:t>
      </w:r>
    </w:p>
    <w:p w:rsidR="00BA756F" w:rsidRPr="00A75DF9" w:rsidRDefault="00BA756F" w:rsidP="00173A20">
      <w:pPr>
        <w:rPr>
          <w:rFonts w:cs="Tahoma"/>
        </w:rPr>
      </w:pPr>
      <w:r w:rsidRPr="00A75DF9">
        <w:rPr>
          <w:rFonts w:cs="Tahoma"/>
          <w:color w:val="000000"/>
        </w:rPr>
        <w:t>Standard CAL per Lync Server 2013</w:t>
      </w:r>
    </w:p>
    <w:p w:rsidR="00BA756F" w:rsidRPr="00A75DF9" w:rsidRDefault="00BA756F" w:rsidP="00173A20">
      <w:pPr>
        <w:rPr>
          <w:rFonts w:cs="Tahoma"/>
        </w:rPr>
      </w:pPr>
      <w:r w:rsidRPr="00A75DF9">
        <w:rPr>
          <w:rFonts w:cs="Tahoma"/>
          <w:color w:val="000000"/>
        </w:rPr>
        <w:t>Office Home and Student RT 2013</w:t>
      </w:r>
    </w:p>
    <w:p w:rsidR="00BA756F" w:rsidRPr="00A75DF9" w:rsidRDefault="00BA756F" w:rsidP="00173A20">
      <w:pPr>
        <w:rPr>
          <w:rFonts w:cs="Tahoma"/>
        </w:rPr>
      </w:pPr>
      <w:r w:rsidRPr="00A75DF9">
        <w:rPr>
          <w:rFonts w:cs="Tahoma"/>
          <w:color w:val="000000"/>
        </w:rPr>
        <w:t>Office Multi Language Pack 2013</w:t>
      </w:r>
    </w:p>
    <w:p w:rsidR="00BA756F" w:rsidRPr="00A75DF9" w:rsidRDefault="00BA756F" w:rsidP="00173A20">
      <w:pPr>
        <w:rPr>
          <w:rFonts w:cs="Tahoma"/>
        </w:rPr>
      </w:pPr>
      <w:r w:rsidRPr="00A75DF9">
        <w:rPr>
          <w:rFonts w:cs="Tahoma"/>
          <w:color w:val="000000"/>
        </w:rPr>
        <w:t>Office Professional Plus 2013</w:t>
      </w:r>
    </w:p>
    <w:p w:rsidR="00BA756F" w:rsidRPr="00A75DF9" w:rsidRDefault="00BA756F" w:rsidP="00173A20">
      <w:pPr>
        <w:rPr>
          <w:rFonts w:cs="Tahoma"/>
        </w:rPr>
      </w:pPr>
      <w:r w:rsidRPr="00A75DF9">
        <w:rPr>
          <w:rFonts w:cs="Tahoma"/>
          <w:color w:val="000000"/>
        </w:rPr>
        <w:t>Office Standard 2013</w:t>
      </w:r>
    </w:p>
    <w:p w:rsidR="00BA756F" w:rsidRPr="00A75DF9" w:rsidRDefault="00BA756F" w:rsidP="00173A20">
      <w:pPr>
        <w:rPr>
          <w:rFonts w:cs="Tahoma"/>
        </w:rPr>
      </w:pPr>
      <w:r w:rsidRPr="00A75DF9">
        <w:rPr>
          <w:rFonts w:cs="Tahoma"/>
          <w:color w:val="000000"/>
        </w:rPr>
        <w:t>OneNote 2013</w:t>
      </w:r>
    </w:p>
    <w:p w:rsidR="00BA756F" w:rsidRPr="00A75DF9" w:rsidRDefault="00BA756F" w:rsidP="00173A20">
      <w:pPr>
        <w:rPr>
          <w:rFonts w:cs="Tahoma"/>
        </w:rPr>
      </w:pPr>
      <w:r w:rsidRPr="00A75DF9">
        <w:rPr>
          <w:rFonts w:cs="Tahoma"/>
          <w:color w:val="000000"/>
        </w:rPr>
        <w:t>Outlook 2013</w:t>
      </w:r>
    </w:p>
    <w:p w:rsidR="00BA756F" w:rsidRPr="00A75DF9" w:rsidRDefault="00BA756F" w:rsidP="00173A20">
      <w:pPr>
        <w:rPr>
          <w:rFonts w:cs="Tahoma"/>
        </w:rPr>
      </w:pPr>
      <w:r w:rsidRPr="00A75DF9">
        <w:rPr>
          <w:rFonts w:cs="Tahoma"/>
          <w:color w:val="000000"/>
        </w:rPr>
        <w:t>PowerPoint 2013</w:t>
      </w:r>
    </w:p>
    <w:p w:rsidR="00BA756F" w:rsidRPr="00A75DF9" w:rsidRDefault="00BA756F" w:rsidP="00173A20">
      <w:pPr>
        <w:rPr>
          <w:rFonts w:cs="Tahoma"/>
        </w:rPr>
      </w:pPr>
      <w:r w:rsidRPr="00A75DF9">
        <w:rPr>
          <w:rFonts w:cs="Tahoma"/>
          <w:color w:val="000000"/>
        </w:rPr>
        <w:t>Project Standard 2013</w:t>
      </w:r>
    </w:p>
    <w:p w:rsidR="00BA756F" w:rsidRPr="00A75DF9" w:rsidRDefault="00BA756F" w:rsidP="00173A20">
      <w:pPr>
        <w:rPr>
          <w:rFonts w:cs="Tahoma"/>
        </w:rPr>
      </w:pPr>
      <w:r w:rsidRPr="00A75DF9">
        <w:rPr>
          <w:rFonts w:cs="Tahoma"/>
          <w:color w:val="000000"/>
        </w:rPr>
        <w:t>Project Professional 2013</w:t>
      </w:r>
    </w:p>
    <w:p w:rsidR="00BA756F" w:rsidRPr="00A75DF9" w:rsidRDefault="00BA756F" w:rsidP="00173A20">
      <w:pPr>
        <w:rPr>
          <w:rFonts w:cs="Tahoma"/>
        </w:rPr>
      </w:pPr>
      <w:r w:rsidRPr="00A75DF9">
        <w:rPr>
          <w:rFonts w:cs="Tahoma"/>
          <w:color w:val="000000"/>
        </w:rPr>
        <w:t>Project Server 2013</w:t>
      </w:r>
    </w:p>
    <w:p w:rsidR="00BA756F" w:rsidRPr="00A75DF9" w:rsidRDefault="00BA756F" w:rsidP="00173A20">
      <w:pPr>
        <w:rPr>
          <w:rFonts w:cs="Tahoma"/>
        </w:rPr>
      </w:pPr>
      <w:r w:rsidRPr="00A75DF9">
        <w:rPr>
          <w:rFonts w:cs="Tahoma"/>
          <w:color w:val="000000"/>
        </w:rPr>
        <w:t>CAL per Project Server 2013</w:t>
      </w:r>
    </w:p>
    <w:p w:rsidR="00BA756F" w:rsidRPr="00A75DF9" w:rsidRDefault="00FE3510" w:rsidP="00173A20">
      <w:pPr>
        <w:rPr>
          <w:rFonts w:cs="Tahoma"/>
        </w:rPr>
      </w:pPr>
      <w:r w:rsidRPr="00A75DF9">
        <w:rPr>
          <w:rFonts w:cs="Tahoma"/>
          <w:color w:val="000000"/>
        </w:rPr>
        <w:t>Publisher 2013</w:t>
      </w:r>
    </w:p>
    <w:p w:rsidR="00FE3510" w:rsidRPr="00A75DF9" w:rsidRDefault="00FE3510" w:rsidP="00173A20">
      <w:pPr>
        <w:rPr>
          <w:rFonts w:cs="Tahoma"/>
        </w:rPr>
      </w:pPr>
      <w:r w:rsidRPr="00A75DF9">
        <w:rPr>
          <w:rFonts w:cs="Tahoma"/>
          <w:color w:val="000000"/>
        </w:rPr>
        <w:t>Enterprise CAL per SharePoint 2013</w:t>
      </w:r>
    </w:p>
    <w:p w:rsidR="00FE3510" w:rsidRPr="00A75DF9" w:rsidRDefault="00FE3510" w:rsidP="00173A20">
      <w:pPr>
        <w:rPr>
          <w:rFonts w:cs="Tahoma"/>
        </w:rPr>
      </w:pPr>
      <w:r w:rsidRPr="00A75DF9">
        <w:rPr>
          <w:rFonts w:cs="Tahoma"/>
          <w:color w:val="000000"/>
        </w:rPr>
        <w:t>SharePoint Server 2013</w:t>
      </w:r>
    </w:p>
    <w:p w:rsidR="00FE3510" w:rsidRPr="00A75DF9" w:rsidRDefault="00FE3510" w:rsidP="00173A20">
      <w:pPr>
        <w:rPr>
          <w:rFonts w:cs="Tahoma"/>
        </w:rPr>
      </w:pPr>
      <w:r w:rsidRPr="00A75DF9">
        <w:rPr>
          <w:rFonts w:cs="Tahoma"/>
          <w:color w:val="000000"/>
        </w:rPr>
        <w:t>Standard CAL per SharePoint 2013</w:t>
      </w:r>
    </w:p>
    <w:p w:rsidR="00FE3510" w:rsidRPr="00A75DF9" w:rsidRDefault="00FE3510" w:rsidP="00173A20">
      <w:pPr>
        <w:rPr>
          <w:rFonts w:cs="Tahoma"/>
        </w:rPr>
      </w:pPr>
      <w:r w:rsidRPr="00A75DF9">
        <w:rPr>
          <w:rFonts w:cs="Tahoma"/>
          <w:color w:val="000000"/>
        </w:rPr>
        <w:t>Visio Professional 2013</w:t>
      </w:r>
    </w:p>
    <w:p w:rsidR="00FE3510" w:rsidRPr="00A75DF9" w:rsidRDefault="00FE3510" w:rsidP="00173A20">
      <w:pPr>
        <w:rPr>
          <w:rFonts w:cs="Tahoma"/>
        </w:rPr>
      </w:pPr>
      <w:r w:rsidRPr="00A75DF9">
        <w:rPr>
          <w:rFonts w:cs="Tahoma"/>
          <w:color w:val="000000"/>
        </w:rPr>
        <w:t>Visio Standard 2013</w:t>
      </w:r>
    </w:p>
    <w:p w:rsidR="00FE3510" w:rsidRPr="00A75DF9" w:rsidRDefault="00FE3510" w:rsidP="00173A20">
      <w:pPr>
        <w:rPr>
          <w:rFonts w:cs="Tahoma"/>
        </w:rPr>
      </w:pPr>
      <w:r w:rsidRPr="00A75DF9">
        <w:rPr>
          <w:rFonts w:cs="Tahoma"/>
          <w:color w:val="000000"/>
        </w:rPr>
        <w:t>Word 2013</w:t>
      </w:r>
    </w:p>
    <w:p w:rsidR="00FE3510" w:rsidRPr="00A75DF9" w:rsidRDefault="00FE3510" w:rsidP="00173A20">
      <w:pPr>
        <w:rPr>
          <w:rFonts w:cs="Tahoma"/>
        </w:rPr>
      </w:pPr>
      <w:r w:rsidRPr="00A75DF9">
        <w:rPr>
          <w:rFonts w:cs="Tahoma"/>
          <w:color w:val="000000"/>
        </w:rPr>
        <w:t>Windows MultiPoint Server Standard 2012</w:t>
      </w:r>
    </w:p>
    <w:p w:rsidR="00FE3510" w:rsidRPr="00A75DF9" w:rsidRDefault="00FE3510" w:rsidP="00173A20">
      <w:pPr>
        <w:rPr>
          <w:rFonts w:cs="Tahoma"/>
        </w:rPr>
      </w:pPr>
      <w:r w:rsidRPr="00A75DF9">
        <w:rPr>
          <w:rFonts w:cs="Tahoma"/>
          <w:color w:val="000000"/>
        </w:rPr>
        <w:t>Windows MultiPoint Server Premium 2012</w:t>
      </w:r>
    </w:p>
    <w:p w:rsidR="00FE3510" w:rsidRPr="00A75DF9" w:rsidRDefault="00FE3510" w:rsidP="00173A20">
      <w:pPr>
        <w:rPr>
          <w:rFonts w:cs="Tahoma"/>
        </w:rPr>
      </w:pPr>
      <w:r w:rsidRPr="00A75DF9">
        <w:rPr>
          <w:rFonts w:cs="Tahoma"/>
          <w:color w:val="000000"/>
        </w:rPr>
        <w:t>Licenza CAL per Windows MultiPoint Server 2012</w:t>
      </w:r>
    </w:p>
    <w:p w:rsidR="00FE3510" w:rsidRPr="00A75DF9" w:rsidRDefault="00FE3510" w:rsidP="00173A20">
      <w:pPr>
        <w:rPr>
          <w:rFonts w:cs="Tahoma"/>
        </w:rPr>
      </w:pPr>
      <w:r w:rsidRPr="00A75DF9">
        <w:rPr>
          <w:rFonts w:cs="Tahoma"/>
          <w:color w:val="000000"/>
        </w:rPr>
        <w:t>Licenza CAL per Windows MultiPoint Server con Licenza CAL per Windows Server 2012</w:t>
      </w:r>
    </w:p>
    <w:p w:rsidR="006F741C" w:rsidRPr="00A75DF9" w:rsidRDefault="006F741C" w:rsidP="006F741C">
      <w:pPr>
        <w:rPr>
          <w:rFonts w:cs="Tahoma"/>
        </w:rPr>
      </w:pPr>
      <w:r w:rsidRPr="00A75DF9">
        <w:rPr>
          <w:rFonts w:cs="Tahoma"/>
          <w:color w:val="000000"/>
        </w:rPr>
        <w:t>Windows Intune (Per Utente)</w:t>
      </w:r>
    </w:p>
    <w:p w:rsidR="006F741C" w:rsidRPr="00A75DF9" w:rsidRDefault="006F741C" w:rsidP="006F741C">
      <w:pPr>
        <w:rPr>
          <w:rFonts w:cs="Tahoma"/>
        </w:rPr>
      </w:pPr>
      <w:r w:rsidRPr="00A75DF9">
        <w:rPr>
          <w:rFonts w:cs="Tahoma"/>
          <w:color w:val="000000"/>
        </w:rPr>
        <w:lastRenderedPageBreak/>
        <w:t>Componente Aggiuntivo per Windows Intune per System Center Configuration Manager e System Center EndPoint Protection (Per Utente)</w:t>
      </w:r>
    </w:p>
    <w:p w:rsidR="00FE3510" w:rsidRPr="00A75DF9" w:rsidRDefault="00FE3510" w:rsidP="00173A20">
      <w:pPr>
        <w:rPr>
          <w:rFonts w:cs="Tahoma"/>
        </w:rPr>
      </w:pPr>
      <w:r w:rsidRPr="00A75DF9">
        <w:rPr>
          <w:rFonts w:cs="Tahoma"/>
          <w:color w:val="000000"/>
        </w:rPr>
        <w:t>Windows Intune USL</w:t>
      </w:r>
    </w:p>
    <w:p w:rsidR="00FE3510" w:rsidRPr="00A75DF9" w:rsidRDefault="00FE3510" w:rsidP="00173A20">
      <w:pPr>
        <w:rPr>
          <w:rFonts w:cs="Tahoma"/>
        </w:rPr>
      </w:pPr>
      <w:r w:rsidRPr="00A75DF9">
        <w:rPr>
          <w:rFonts w:cs="Tahoma"/>
          <w:color w:val="000000"/>
        </w:rPr>
        <w:t>USL Add-On per Windows Intune</w:t>
      </w:r>
    </w:p>
    <w:p w:rsidR="00FE3510" w:rsidRPr="00A75DF9" w:rsidRDefault="00FE3510" w:rsidP="00173A20">
      <w:pPr>
        <w:rPr>
          <w:rFonts w:cs="Tahoma"/>
        </w:rPr>
      </w:pPr>
      <w:r w:rsidRPr="00A75DF9">
        <w:rPr>
          <w:rFonts w:cs="Tahoma"/>
          <w:color w:val="000000"/>
        </w:rPr>
        <w:t>USL Add-On per Windows Intune Extra Storage 1 GB</w:t>
      </w:r>
    </w:p>
    <w:p w:rsidR="00FE3510" w:rsidRPr="00A75DF9" w:rsidRDefault="00FE3510" w:rsidP="00173A20">
      <w:pPr>
        <w:rPr>
          <w:rFonts w:cs="Tahoma"/>
        </w:rPr>
      </w:pPr>
      <w:r w:rsidRPr="00A75DF9">
        <w:rPr>
          <w:rFonts w:cs="Tahoma"/>
          <w:color w:val="000000"/>
        </w:rPr>
        <w:t>Win Pro con MDOP 8</w:t>
      </w:r>
    </w:p>
    <w:p w:rsidR="00173A20" w:rsidRPr="00A75DF9" w:rsidRDefault="00173A20" w:rsidP="00173A20">
      <w:pPr>
        <w:keepNext/>
        <w:tabs>
          <w:tab w:val="num" w:pos="720"/>
        </w:tabs>
        <w:spacing w:before="60"/>
        <w:outlineLvl w:val="3"/>
        <w:rPr>
          <w:rFonts w:cs="Tahoma"/>
        </w:rPr>
      </w:pPr>
    </w:p>
    <w:p w:rsidR="00173A20" w:rsidRPr="00A75DF9" w:rsidRDefault="00173A20" w:rsidP="003E606C">
      <w:pPr>
        <w:spacing w:after="60"/>
        <w:rPr>
          <w:rFonts w:cs="Tahoma"/>
        </w:rPr>
      </w:pPr>
      <w:r w:rsidRPr="00A75DF9">
        <w:rPr>
          <w:rFonts w:cs="Tahoma"/>
          <w:b/>
        </w:rPr>
        <w:t xml:space="preserve">Promozioni </w:t>
      </w:r>
    </w:p>
    <w:p w:rsidR="00173A20" w:rsidRPr="00A75DF9" w:rsidRDefault="00FE3510" w:rsidP="00173A20">
      <w:pPr>
        <w:outlineLvl w:val="1"/>
        <w:rPr>
          <w:rFonts w:cs="Tahoma"/>
        </w:rPr>
      </w:pPr>
      <w:r w:rsidRPr="00A75DF9">
        <w:rPr>
          <w:rFonts w:cs="Tahoma"/>
          <w:color w:val="000000"/>
          <w:szCs w:val="18"/>
        </w:rPr>
        <w:t>Sono state aggiunte le seguenti promozioni:</w:t>
      </w:r>
    </w:p>
    <w:p w:rsidR="00FE3510" w:rsidRPr="00A75DF9" w:rsidRDefault="00A4121E" w:rsidP="00173A20">
      <w:pPr>
        <w:outlineLvl w:val="1"/>
        <w:rPr>
          <w:rFonts w:cs="Tahoma"/>
        </w:rPr>
      </w:pPr>
      <w:r w:rsidRPr="00A75DF9">
        <w:rPr>
          <w:rFonts w:cs="Tahoma"/>
          <w:color w:val="000000"/>
          <w:szCs w:val="18"/>
        </w:rPr>
        <w:t>Microsoft Dynamics AX 2012 R2 - Promozione: Acquista Una Enterprise CAL e Ricevi Una Functional CAL</w:t>
      </w:r>
    </w:p>
    <w:p w:rsidR="00A4121E" w:rsidRPr="00A75DF9" w:rsidRDefault="00A4121E" w:rsidP="00173A20">
      <w:pPr>
        <w:outlineLvl w:val="1"/>
        <w:rPr>
          <w:rFonts w:cs="Tahoma"/>
        </w:rPr>
      </w:pPr>
      <w:r w:rsidRPr="00A75DF9">
        <w:rPr>
          <w:rFonts w:cs="Tahoma"/>
          <w:color w:val="000000"/>
          <w:szCs w:val="18"/>
        </w:rPr>
        <w:t>Microsoft Dynamics AX 2012 R2 - Promozione EA Starter</w:t>
      </w:r>
    </w:p>
    <w:p w:rsidR="00A4121E" w:rsidRPr="00A75DF9" w:rsidRDefault="00A4121E" w:rsidP="00173A20">
      <w:pPr>
        <w:outlineLvl w:val="1"/>
        <w:rPr>
          <w:rFonts w:cs="Tahoma"/>
        </w:rPr>
      </w:pPr>
      <w:r w:rsidRPr="00A75DF9">
        <w:rPr>
          <w:rFonts w:cs="Tahoma"/>
          <w:color w:val="000000"/>
          <w:szCs w:val="18"/>
        </w:rPr>
        <w:t>Sconto Promozionale del 20% per PC Nuovi con Windows Intune</w:t>
      </w:r>
    </w:p>
    <w:p w:rsidR="00FE3510" w:rsidRPr="00A75DF9" w:rsidRDefault="00FE3510" w:rsidP="00173A20">
      <w:pPr>
        <w:outlineLvl w:val="1"/>
        <w:rPr>
          <w:rFonts w:cs="Tahoma"/>
        </w:rPr>
      </w:pPr>
    </w:p>
    <w:p w:rsidR="00FE3510" w:rsidRPr="00A75DF9" w:rsidRDefault="00FE3510" w:rsidP="00173A20">
      <w:pPr>
        <w:outlineLvl w:val="1"/>
        <w:rPr>
          <w:rFonts w:cs="Tahoma"/>
        </w:rPr>
      </w:pPr>
      <w:r w:rsidRPr="00A75DF9">
        <w:rPr>
          <w:rFonts w:cs="Tahoma"/>
          <w:color w:val="000000"/>
          <w:szCs w:val="18"/>
        </w:rPr>
        <w:t>Sono state eliminate le seguenti promozioni:</w:t>
      </w:r>
    </w:p>
    <w:p w:rsidR="00FE3510" w:rsidRPr="00A75DF9" w:rsidRDefault="00FE3510" w:rsidP="00173A20">
      <w:pPr>
        <w:outlineLvl w:val="1"/>
        <w:rPr>
          <w:rFonts w:cs="Tahoma"/>
        </w:rPr>
      </w:pPr>
      <w:r w:rsidRPr="00A75DF9">
        <w:rPr>
          <w:rFonts w:cs="Tahoma"/>
        </w:rPr>
        <w:t>Sconto Promozionale del 20% per PC Nuovi con Windows Intune</w:t>
      </w:r>
    </w:p>
    <w:p w:rsidR="00173A20" w:rsidRPr="00A75DF9" w:rsidRDefault="00173A20" w:rsidP="00173A20">
      <w:pPr>
        <w:outlineLvl w:val="1"/>
        <w:rPr>
          <w:rFonts w:cs="Tahoma"/>
        </w:rPr>
      </w:pPr>
    </w:p>
    <w:p w:rsidR="00CD7EA6" w:rsidRPr="00A75DF9" w:rsidRDefault="00173A20" w:rsidP="003E606C">
      <w:pPr>
        <w:spacing w:after="60"/>
        <w:rPr>
          <w:rFonts w:cs="Tahoma"/>
        </w:rPr>
      </w:pPr>
      <w:r w:rsidRPr="00A75DF9">
        <w:rPr>
          <w:rFonts w:cs="Tahoma"/>
          <w:b/>
        </w:rPr>
        <w:t>Prodotti Eliminati</w:t>
      </w:r>
    </w:p>
    <w:p w:rsidR="00685009" w:rsidRPr="00A75DF9" w:rsidRDefault="00685009" w:rsidP="00685009">
      <w:pPr>
        <w:rPr>
          <w:rFonts w:cs="Tahoma"/>
        </w:rPr>
      </w:pPr>
      <w:r w:rsidRPr="00A75DF9">
        <w:rPr>
          <w:rFonts w:cs="Tahoma"/>
          <w:color w:val="000000"/>
        </w:rPr>
        <w:t>Access 2010</w:t>
      </w:r>
    </w:p>
    <w:p w:rsidR="00685009" w:rsidRPr="00A75DF9" w:rsidRDefault="00685009" w:rsidP="00685009">
      <w:pPr>
        <w:rPr>
          <w:rFonts w:cs="Tahoma"/>
        </w:rPr>
      </w:pPr>
      <w:r w:rsidRPr="00A75DF9">
        <w:rPr>
          <w:rFonts w:cs="Tahoma"/>
          <w:color w:val="000000"/>
        </w:rPr>
        <w:t>Duet Enterprise per Microsoft SharePoint e SAP 1.0</w:t>
      </w:r>
    </w:p>
    <w:p w:rsidR="00685009" w:rsidRPr="00A75DF9" w:rsidRDefault="00685009" w:rsidP="00685009">
      <w:pPr>
        <w:rPr>
          <w:rFonts w:cs="Tahoma"/>
        </w:rPr>
      </w:pPr>
      <w:r w:rsidRPr="00A75DF9">
        <w:rPr>
          <w:rFonts w:cs="Tahoma"/>
          <w:color w:val="000000"/>
        </w:rPr>
        <w:t>Dynamics CRM Onprem Mobile</w:t>
      </w:r>
    </w:p>
    <w:p w:rsidR="00685009" w:rsidRPr="00A75DF9" w:rsidRDefault="00685009" w:rsidP="00685009">
      <w:pPr>
        <w:rPr>
          <w:rFonts w:cs="Tahoma"/>
        </w:rPr>
      </w:pPr>
      <w:r w:rsidRPr="00A75DF9">
        <w:rPr>
          <w:rFonts w:cs="Tahoma"/>
          <w:color w:val="000000"/>
        </w:rPr>
        <w:t>Dynamics CRM Mobile</w:t>
      </w:r>
    </w:p>
    <w:p w:rsidR="00685009" w:rsidRPr="00A75DF9" w:rsidRDefault="00685009" w:rsidP="00685009">
      <w:pPr>
        <w:rPr>
          <w:rFonts w:cs="Tahoma"/>
        </w:rPr>
      </w:pPr>
      <w:r w:rsidRPr="00A75DF9">
        <w:rPr>
          <w:rFonts w:cs="Tahoma"/>
          <w:color w:val="000000"/>
        </w:rPr>
        <w:t>Excel 2010</w:t>
      </w:r>
    </w:p>
    <w:p w:rsidR="00685009" w:rsidRPr="00A75DF9" w:rsidRDefault="00685009" w:rsidP="00685009">
      <w:pPr>
        <w:rPr>
          <w:rFonts w:cs="Tahoma"/>
        </w:rPr>
      </w:pPr>
      <w:r w:rsidRPr="00A75DF9">
        <w:rPr>
          <w:rFonts w:cs="Tahoma"/>
          <w:color w:val="000000"/>
        </w:rPr>
        <w:t>Exchange Server 2010 External Connector</w:t>
      </w:r>
    </w:p>
    <w:p w:rsidR="00685009" w:rsidRPr="00A75DF9" w:rsidRDefault="00685009" w:rsidP="00685009">
      <w:pPr>
        <w:rPr>
          <w:rFonts w:cs="Tahoma"/>
        </w:rPr>
      </w:pPr>
      <w:r w:rsidRPr="00A75DF9">
        <w:rPr>
          <w:rFonts w:cs="Tahoma"/>
          <w:color w:val="000000"/>
        </w:rPr>
        <w:t>FAST SearchServer per SharePoint</w:t>
      </w:r>
    </w:p>
    <w:p w:rsidR="00685009" w:rsidRPr="00A75DF9" w:rsidRDefault="00685009" w:rsidP="00685009">
      <w:pPr>
        <w:rPr>
          <w:rFonts w:cs="Tahoma"/>
        </w:rPr>
      </w:pPr>
      <w:r w:rsidRPr="00A75DF9">
        <w:rPr>
          <w:rFonts w:cs="Tahoma"/>
          <w:color w:val="000000"/>
        </w:rPr>
        <w:t>Forefront Protection Suite</w:t>
      </w:r>
    </w:p>
    <w:p w:rsidR="00685009" w:rsidRPr="00A75DF9" w:rsidRDefault="00685009" w:rsidP="00685009">
      <w:pPr>
        <w:rPr>
          <w:rFonts w:cs="Tahoma"/>
        </w:rPr>
      </w:pPr>
      <w:r w:rsidRPr="00A75DF9">
        <w:rPr>
          <w:rFonts w:cs="Tahoma"/>
          <w:color w:val="000000"/>
        </w:rPr>
        <w:t>Forefront Security Exchange Server</w:t>
      </w:r>
    </w:p>
    <w:p w:rsidR="00685009" w:rsidRPr="00A75DF9" w:rsidRDefault="00685009" w:rsidP="00685009">
      <w:pPr>
        <w:rPr>
          <w:rFonts w:cs="Tahoma"/>
        </w:rPr>
      </w:pPr>
      <w:r w:rsidRPr="00A75DF9">
        <w:rPr>
          <w:rFonts w:cs="Tahoma"/>
          <w:color w:val="000000"/>
        </w:rPr>
        <w:t>Forefront Security for Office Communications Server</w:t>
      </w:r>
    </w:p>
    <w:p w:rsidR="00685009" w:rsidRPr="00A75DF9" w:rsidRDefault="00685009" w:rsidP="00685009">
      <w:pPr>
        <w:rPr>
          <w:rFonts w:cs="Tahoma"/>
        </w:rPr>
      </w:pPr>
      <w:r w:rsidRPr="00A75DF9">
        <w:rPr>
          <w:rFonts w:cs="Tahoma"/>
          <w:color w:val="000000"/>
        </w:rPr>
        <w:t>Forefront Security per SharePoint</w:t>
      </w:r>
    </w:p>
    <w:p w:rsidR="00685009" w:rsidRPr="00A75DF9" w:rsidRDefault="00685009" w:rsidP="00685009">
      <w:pPr>
        <w:rPr>
          <w:rFonts w:cs="Tahoma"/>
        </w:rPr>
      </w:pPr>
      <w:r w:rsidRPr="00A75DF9">
        <w:rPr>
          <w:rFonts w:cs="Tahoma"/>
          <w:color w:val="000000"/>
        </w:rPr>
        <w:t>Forefront Security Server Management Console</w:t>
      </w:r>
    </w:p>
    <w:p w:rsidR="00685009" w:rsidRPr="00A75DF9" w:rsidRDefault="00685009" w:rsidP="00685009">
      <w:pPr>
        <w:rPr>
          <w:rFonts w:cs="Tahoma"/>
        </w:rPr>
      </w:pPr>
      <w:r w:rsidRPr="00A75DF9">
        <w:rPr>
          <w:rFonts w:cs="Tahoma"/>
          <w:color w:val="000000"/>
        </w:rPr>
        <w:t>Forefront Security Web</w:t>
      </w:r>
    </w:p>
    <w:p w:rsidR="00685009" w:rsidRPr="00A75DF9" w:rsidRDefault="00685009" w:rsidP="00685009">
      <w:pPr>
        <w:rPr>
          <w:rFonts w:cs="Tahoma"/>
        </w:rPr>
      </w:pPr>
      <w:r w:rsidRPr="00A75DF9">
        <w:rPr>
          <w:rFonts w:cs="Tahoma"/>
          <w:color w:val="000000"/>
        </w:rPr>
        <w:t>Forefront Threat Management Gateway Enterprise</w:t>
      </w:r>
    </w:p>
    <w:p w:rsidR="00685009" w:rsidRPr="00A75DF9" w:rsidRDefault="00685009" w:rsidP="00685009">
      <w:pPr>
        <w:rPr>
          <w:rFonts w:cs="Tahoma"/>
        </w:rPr>
      </w:pPr>
      <w:r w:rsidRPr="00A75DF9">
        <w:rPr>
          <w:rFonts w:cs="Tahoma"/>
          <w:color w:val="000000"/>
        </w:rPr>
        <w:t>Forefront Threat Management Gateway Medium Business</w:t>
      </w:r>
    </w:p>
    <w:p w:rsidR="00685009" w:rsidRPr="00A75DF9" w:rsidRDefault="00685009" w:rsidP="00685009">
      <w:pPr>
        <w:rPr>
          <w:rFonts w:cs="Tahoma"/>
        </w:rPr>
      </w:pPr>
      <w:r w:rsidRPr="00A75DF9">
        <w:rPr>
          <w:rFonts w:cs="Tahoma"/>
          <w:color w:val="000000"/>
        </w:rPr>
        <w:t>Forefront Threat Management Gateway Standard</w:t>
      </w:r>
    </w:p>
    <w:p w:rsidR="00685009" w:rsidRPr="00A75DF9" w:rsidRDefault="00685009" w:rsidP="00685009">
      <w:pPr>
        <w:rPr>
          <w:rFonts w:cs="Tahoma"/>
        </w:rPr>
      </w:pPr>
      <w:r w:rsidRPr="00A75DF9">
        <w:rPr>
          <w:rFonts w:cs="Tahoma"/>
          <w:color w:val="000000"/>
        </w:rPr>
        <w:t>Forefront Threat Management Gateway Web Protection Service</w:t>
      </w:r>
    </w:p>
    <w:p w:rsidR="00685009" w:rsidRPr="00A75DF9" w:rsidRDefault="00685009" w:rsidP="00685009">
      <w:pPr>
        <w:rPr>
          <w:rFonts w:cs="Tahoma"/>
        </w:rPr>
      </w:pPr>
      <w:r w:rsidRPr="00A75DF9">
        <w:rPr>
          <w:rFonts w:cs="Tahoma"/>
          <w:color w:val="000000"/>
        </w:rPr>
        <w:t>Forefront Protection 2010 for Exchange Server</w:t>
      </w:r>
    </w:p>
    <w:p w:rsidR="00685009" w:rsidRPr="00A75DF9" w:rsidRDefault="00685009" w:rsidP="00685009">
      <w:pPr>
        <w:rPr>
          <w:rFonts w:cs="Tahoma"/>
        </w:rPr>
      </w:pPr>
      <w:r w:rsidRPr="00A75DF9">
        <w:rPr>
          <w:rFonts w:cs="Tahoma"/>
          <w:color w:val="000000"/>
        </w:rPr>
        <w:t>External Connector per Forefront Protection 2010 for Exchange Server</w:t>
      </w:r>
    </w:p>
    <w:p w:rsidR="00685009" w:rsidRPr="00A75DF9" w:rsidRDefault="00685009" w:rsidP="00685009">
      <w:pPr>
        <w:rPr>
          <w:rFonts w:cs="Tahoma"/>
        </w:rPr>
      </w:pPr>
      <w:r w:rsidRPr="00A75DF9">
        <w:rPr>
          <w:rFonts w:cs="Tahoma"/>
          <w:color w:val="000000"/>
        </w:rPr>
        <w:t>Forefront Protection for SharePoint</w:t>
      </w:r>
    </w:p>
    <w:p w:rsidR="00685009" w:rsidRPr="00A75DF9" w:rsidRDefault="00685009" w:rsidP="00685009">
      <w:pPr>
        <w:rPr>
          <w:rFonts w:cs="Tahoma"/>
        </w:rPr>
      </w:pPr>
      <w:r w:rsidRPr="00A75DF9">
        <w:rPr>
          <w:rFonts w:cs="Tahoma"/>
          <w:color w:val="000000"/>
        </w:rPr>
        <w:t>Groove Enterprise Services</w:t>
      </w:r>
    </w:p>
    <w:p w:rsidR="00685009" w:rsidRPr="00A75DF9" w:rsidRDefault="00685009" w:rsidP="00685009">
      <w:pPr>
        <w:rPr>
          <w:rFonts w:cs="Tahoma"/>
        </w:rPr>
      </w:pPr>
      <w:r w:rsidRPr="00A75DF9">
        <w:rPr>
          <w:rFonts w:cs="Tahoma"/>
          <w:color w:val="000000"/>
        </w:rPr>
        <w:t>Groove Server</w:t>
      </w:r>
    </w:p>
    <w:p w:rsidR="00685009" w:rsidRPr="00A75DF9" w:rsidRDefault="00685009" w:rsidP="00685009">
      <w:pPr>
        <w:rPr>
          <w:rFonts w:cs="Tahoma"/>
        </w:rPr>
      </w:pPr>
      <w:r w:rsidRPr="00A75DF9">
        <w:rPr>
          <w:rFonts w:cs="Tahoma"/>
          <w:color w:val="000000"/>
        </w:rPr>
        <w:t>InfoPath 2010</w:t>
      </w:r>
    </w:p>
    <w:p w:rsidR="00685009" w:rsidRPr="00A75DF9" w:rsidRDefault="00685009" w:rsidP="00685009">
      <w:pPr>
        <w:rPr>
          <w:rFonts w:cs="Tahoma"/>
        </w:rPr>
      </w:pPr>
      <w:r w:rsidRPr="00A75DF9">
        <w:rPr>
          <w:rFonts w:cs="Tahoma"/>
          <w:color w:val="000000"/>
        </w:rPr>
        <w:t>Lync 2010</w:t>
      </w:r>
    </w:p>
    <w:p w:rsidR="00685009" w:rsidRPr="00A75DF9" w:rsidRDefault="00685009" w:rsidP="00685009">
      <w:pPr>
        <w:rPr>
          <w:rFonts w:cs="Tahoma"/>
        </w:rPr>
      </w:pPr>
      <w:r w:rsidRPr="00A75DF9">
        <w:rPr>
          <w:rFonts w:cs="Tahoma"/>
          <w:color w:val="000000"/>
        </w:rPr>
        <w:t>Lync Server 2010 Enterprise Edition</w:t>
      </w:r>
    </w:p>
    <w:p w:rsidR="00685009" w:rsidRPr="00A75DF9" w:rsidRDefault="00685009" w:rsidP="00685009">
      <w:pPr>
        <w:rPr>
          <w:rFonts w:cs="Tahoma"/>
        </w:rPr>
      </w:pPr>
      <w:r w:rsidRPr="00A75DF9">
        <w:rPr>
          <w:rFonts w:cs="Tahoma"/>
          <w:color w:val="000000"/>
        </w:rPr>
        <w:t>Enterprise External Connector per Lync Server 2010</w:t>
      </w:r>
    </w:p>
    <w:p w:rsidR="00685009" w:rsidRPr="00A75DF9" w:rsidRDefault="00685009" w:rsidP="00685009">
      <w:pPr>
        <w:rPr>
          <w:rFonts w:cs="Tahoma"/>
        </w:rPr>
      </w:pPr>
      <w:r w:rsidRPr="00A75DF9">
        <w:rPr>
          <w:rFonts w:cs="Tahoma"/>
          <w:color w:val="000000"/>
        </w:rPr>
        <w:t>Plus External Connector per Lync Server 2010</w:t>
      </w:r>
    </w:p>
    <w:p w:rsidR="00685009" w:rsidRPr="00A75DF9" w:rsidRDefault="00685009" w:rsidP="00685009">
      <w:pPr>
        <w:rPr>
          <w:rFonts w:cs="Tahoma"/>
        </w:rPr>
      </w:pPr>
      <w:r w:rsidRPr="00A75DF9">
        <w:rPr>
          <w:rFonts w:cs="Tahoma"/>
          <w:color w:val="000000"/>
        </w:rPr>
        <w:t>Standard External Connector per Lync Server 2010</w:t>
      </w:r>
    </w:p>
    <w:p w:rsidR="00685009" w:rsidRPr="00A75DF9" w:rsidRDefault="00685009" w:rsidP="00685009">
      <w:pPr>
        <w:rPr>
          <w:rFonts w:cs="Tahoma"/>
        </w:rPr>
      </w:pPr>
      <w:r w:rsidRPr="00A75DF9">
        <w:rPr>
          <w:rFonts w:cs="Tahoma"/>
          <w:color w:val="000000"/>
        </w:rPr>
        <w:t>Lync Server 2010 Standard Edition</w:t>
      </w:r>
    </w:p>
    <w:p w:rsidR="00685009" w:rsidRPr="00A75DF9" w:rsidRDefault="00685009" w:rsidP="00685009">
      <w:pPr>
        <w:rPr>
          <w:rFonts w:cs="Tahoma"/>
        </w:rPr>
      </w:pPr>
      <w:r w:rsidRPr="00A75DF9">
        <w:rPr>
          <w:rFonts w:cs="Tahoma"/>
          <w:color w:val="000000"/>
        </w:rPr>
        <w:t>Office Groove Enterprise Services</w:t>
      </w:r>
    </w:p>
    <w:p w:rsidR="00685009" w:rsidRPr="00A75DF9" w:rsidRDefault="00685009" w:rsidP="00685009">
      <w:pPr>
        <w:rPr>
          <w:rFonts w:cs="Tahoma"/>
        </w:rPr>
      </w:pPr>
      <w:r w:rsidRPr="00A75DF9">
        <w:rPr>
          <w:rFonts w:cs="Tahoma"/>
          <w:color w:val="000000"/>
        </w:rPr>
        <w:t>Office Multi-Language Pack 2010</w:t>
      </w:r>
    </w:p>
    <w:p w:rsidR="00685009" w:rsidRPr="00A75DF9" w:rsidRDefault="00685009" w:rsidP="00685009">
      <w:pPr>
        <w:rPr>
          <w:rFonts w:cs="Tahoma"/>
        </w:rPr>
      </w:pPr>
      <w:r w:rsidRPr="00A75DF9">
        <w:rPr>
          <w:rFonts w:cs="Tahoma"/>
          <w:color w:val="000000"/>
        </w:rPr>
        <w:t>Office Professional Plus 2010</w:t>
      </w:r>
    </w:p>
    <w:p w:rsidR="00685009" w:rsidRPr="00A75DF9" w:rsidRDefault="00685009" w:rsidP="00685009">
      <w:pPr>
        <w:rPr>
          <w:rFonts w:cs="Tahoma"/>
        </w:rPr>
      </w:pPr>
      <w:r w:rsidRPr="00A75DF9">
        <w:rPr>
          <w:rFonts w:cs="Tahoma"/>
          <w:color w:val="000000"/>
        </w:rPr>
        <w:t>Office Standard 2010</w:t>
      </w:r>
    </w:p>
    <w:p w:rsidR="00685009" w:rsidRPr="00A75DF9" w:rsidRDefault="00685009" w:rsidP="00685009">
      <w:pPr>
        <w:rPr>
          <w:rFonts w:cs="Tahoma"/>
        </w:rPr>
      </w:pPr>
      <w:r w:rsidRPr="00A75DF9">
        <w:rPr>
          <w:rFonts w:cs="Tahoma"/>
          <w:color w:val="000000"/>
        </w:rPr>
        <w:t>Office Small Business Get Genuine</w:t>
      </w:r>
    </w:p>
    <w:p w:rsidR="00685009" w:rsidRPr="00A75DF9" w:rsidRDefault="00685009" w:rsidP="00685009">
      <w:pPr>
        <w:rPr>
          <w:rFonts w:cs="Tahoma"/>
        </w:rPr>
      </w:pPr>
      <w:r w:rsidRPr="00A75DF9">
        <w:rPr>
          <w:rFonts w:cs="Tahoma"/>
          <w:color w:val="000000"/>
        </w:rPr>
        <w:t>OneNote 2010</w:t>
      </w:r>
    </w:p>
    <w:p w:rsidR="00685009" w:rsidRPr="00A75DF9" w:rsidRDefault="00685009" w:rsidP="00685009">
      <w:pPr>
        <w:rPr>
          <w:rFonts w:cs="Tahoma"/>
        </w:rPr>
      </w:pPr>
      <w:r w:rsidRPr="00A75DF9">
        <w:rPr>
          <w:rFonts w:cs="Tahoma"/>
          <w:color w:val="000000"/>
        </w:rPr>
        <w:t>Outlook 2010</w:t>
      </w:r>
    </w:p>
    <w:p w:rsidR="00685009" w:rsidRPr="00A75DF9" w:rsidRDefault="00685009" w:rsidP="00685009">
      <w:pPr>
        <w:rPr>
          <w:rFonts w:cs="Tahoma"/>
        </w:rPr>
      </w:pPr>
      <w:r w:rsidRPr="00A75DF9">
        <w:rPr>
          <w:rFonts w:cs="Tahoma"/>
          <w:color w:val="000000"/>
        </w:rPr>
        <w:t>Outlook con Business Contact Manager</w:t>
      </w:r>
    </w:p>
    <w:p w:rsidR="00685009" w:rsidRPr="00A75DF9" w:rsidRDefault="00685009" w:rsidP="00685009">
      <w:pPr>
        <w:rPr>
          <w:rFonts w:cs="Tahoma"/>
        </w:rPr>
      </w:pPr>
      <w:r w:rsidRPr="00A75DF9">
        <w:rPr>
          <w:rFonts w:cs="Tahoma"/>
          <w:color w:val="000000"/>
        </w:rPr>
        <w:t>PowerPoint 2010</w:t>
      </w:r>
    </w:p>
    <w:p w:rsidR="00685009" w:rsidRPr="00A75DF9" w:rsidRDefault="00685009" w:rsidP="00685009">
      <w:pPr>
        <w:rPr>
          <w:rFonts w:cs="Tahoma"/>
        </w:rPr>
      </w:pPr>
      <w:r w:rsidRPr="00A75DF9">
        <w:rPr>
          <w:rFonts w:cs="Tahoma"/>
          <w:color w:val="000000"/>
        </w:rPr>
        <w:t>Project 2010 Standard</w:t>
      </w:r>
    </w:p>
    <w:p w:rsidR="00685009" w:rsidRPr="00A75DF9" w:rsidRDefault="00685009" w:rsidP="00685009">
      <w:pPr>
        <w:rPr>
          <w:rFonts w:cs="Tahoma"/>
        </w:rPr>
      </w:pPr>
      <w:r w:rsidRPr="00A75DF9">
        <w:rPr>
          <w:rFonts w:cs="Tahoma"/>
          <w:color w:val="000000"/>
        </w:rPr>
        <w:t>Project 2010 Professional</w:t>
      </w:r>
    </w:p>
    <w:p w:rsidR="00685009" w:rsidRPr="00A75DF9" w:rsidRDefault="00685009" w:rsidP="00685009">
      <w:pPr>
        <w:rPr>
          <w:rFonts w:cs="Tahoma"/>
        </w:rPr>
      </w:pPr>
      <w:r w:rsidRPr="00A75DF9">
        <w:rPr>
          <w:rFonts w:cs="Tahoma"/>
          <w:color w:val="000000"/>
        </w:rPr>
        <w:t>Search Server 2010</w:t>
      </w:r>
    </w:p>
    <w:p w:rsidR="00685009" w:rsidRPr="00A75DF9" w:rsidRDefault="00685009" w:rsidP="00685009">
      <w:pPr>
        <w:rPr>
          <w:rFonts w:cs="Tahoma"/>
        </w:rPr>
      </w:pPr>
      <w:r w:rsidRPr="00A75DF9">
        <w:rPr>
          <w:rFonts w:cs="Tahoma"/>
          <w:color w:val="000000"/>
        </w:rPr>
        <w:lastRenderedPageBreak/>
        <w:t>SharePoint Server 2010 for Internet Sites Enterprise</w:t>
      </w:r>
    </w:p>
    <w:p w:rsidR="00685009" w:rsidRPr="00A75DF9" w:rsidRDefault="00685009" w:rsidP="00685009">
      <w:pPr>
        <w:rPr>
          <w:rFonts w:cs="Tahoma"/>
        </w:rPr>
      </w:pPr>
      <w:r w:rsidRPr="00A75DF9">
        <w:rPr>
          <w:rFonts w:cs="Tahoma"/>
          <w:color w:val="000000"/>
        </w:rPr>
        <w:t>SharePoint Server 2010 for Internet Sites Standard</w:t>
      </w:r>
    </w:p>
    <w:p w:rsidR="00685009" w:rsidRPr="00A75DF9" w:rsidRDefault="00685009" w:rsidP="00685009">
      <w:pPr>
        <w:rPr>
          <w:rFonts w:cs="Tahoma"/>
        </w:rPr>
      </w:pPr>
      <w:r w:rsidRPr="00A75DF9">
        <w:rPr>
          <w:rFonts w:cs="Tahoma"/>
          <w:color w:val="000000"/>
        </w:rPr>
        <w:t>SharePoint Workspace 2010</w:t>
      </w:r>
    </w:p>
    <w:p w:rsidR="00685009" w:rsidRPr="00A75DF9" w:rsidRDefault="00685009" w:rsidP="00685009">
      <w:pPr>
        <w:rPr>
          <w:rFonts w:cs="Tahoma"/>
        </w:rPr>
      </w:pPr>
      <w:r w:rsidRPr="00A75DF9">
        <w:rPr>
          <w:rFonts w:cs="Tahoma"/>
          <w:color w:val="000000"/>
        </w:rPr>
        <w:t>Visio 2010 Premium</w:t>
      </w:r>
    </w:p>
    <w:p w:rsidR="00685009" w:rsidRPr="00A75DF9" w:rsidRDefault="00685009" w:rsidP="00685009">
      <w:pPr>
        <w:rPr>
          <w:rFonts w:cs="Tahoma"/>
        </w:rPr>
      </w:pPr>
      <w:r w:rsidRPr="00A75DF9">
        <w:rPr>
          <w:rFonts w:cs="Tahoma"/>
          <w:color w:val="000000"/>
        </w:rPr>
        <w:t>Visio 2010 Standard</w:t>
      </w:r>
    </w:p>
    <w:p w:rsidR="00685009" w:rsidRPr="00A75DF9" w:rsidRDefault="00685009" w:rsidP="00685009">
      <w:pPr>
        <w:rPr>
          <w:rFonts w:cs="Tahoma"/>
        </w:rPr>
      </w:pPr>
      <w:r w:rsidRPr="00A75DF9">
        <w:rPr>
          <w:rFonts w:cs="Tahoma"/>
          <w:color w:val="000000"/>
        </w:rPr>
        <w:t>Windows Intune (Per Dispositivo)</w:t>
      </w:r>
    </w:p>
    <w:p w:rsidR="00685009" w:rsidRPr="00A75DF9" w:rsidRDefault="00685009" w:rsidP="00685009">
      <w:pPr>
        <w:rPr>
          <w:rFonts w:cs="Tahoma"/>
        </w:rPr>
      </w:pPr>
      <w:r w:rsidRPr="00A75DF9">
        <w:rPr>
          <w:rFonts w:cs="Tahoma"/>
          <w:color w:val="000000"/>
        </w:rPr>
        <w:t>Componente Aggiuntivo per Windows Intune (Per Dispositivo)</w:t>
      </w:r>
    </w:p>
    <w:p w:rsidR="00685009" w:rsidRPr="00A75DF9" w:rsidRDefault="00685009" w:rsidP="00685009">
      <w:pPr>
        <w:rPr>
          <w:rFonts w:cs="Tahoma"/>
        </w:rPr>
      </w:pPr>
      <w:r w:rsidRPr="00A75DF9">
        <w:rPr>
          <w:rFonts w:cs="Tahoma"/>
          <w:color w:val="000000"/>
        </w:rPr>
        <w:t>Windows MultiPoint Server 2011 Standard</w:t>
      </w:r>
    </w:p>
    <w:p w:rsidR="00685009" w:rsidRPr="00A75DF9" w:rsidRDefault="00685009" w:rsidP="00685009">
      <w:pPr>
        <w:rPr>
          <w:rFonts w:cs="Tahoma"/>
        </w:rPr>
      </w:pPr>
      <w:r w:rsidRPr="00A75DF9">
        <w:rPr>
          <w:rFonts w:cs="Tahoma"/>
          <w:color w:val="000000"/>
        </w:rPr>
        <w:t>Windows MultiPoint Server 2011 Premium</w:t>
      </w:r>
    </w:p>
    <w:p w:rsidR="00685009" w:rsidRPr="00A75DF9" w:rsidRDefault="00685009" w:rsidP="00685009">
      <w:pPr>
        <w:rPr>
          <w:rFonts w:cs="Tahoma"/>
        </w:rPr>
      </w:pPr>
      <w:r w:rsidRPr="00A75DF9">
        <w:rPr>
          <w:rFonts w:cs="Tahoma"/>
          <w:color w:val="000000"/>
        </w:rPr>
        <w:t>CAL per Windows MultiPoint Server 2011</w:t>
      </w:r>
    </w:p>
    <w:p w:rsidR="00685009" w:rsidRPr="00A75DF9" w:rsidRDefault="00685009" w:rsidP="00685009">
      <w:pPr>
        <w:rPr>
          <w:rFonts w:cs="Tahoma"/>
        </w:rPr>
      </w:pPr>
      <w:r w:rsidRPr="00A75DF9">
        <w:rPr>
          <w:rFonts w:cs="Tahoma"/>
          <w:color w:val="000000"/>
        </w:rPr>
        <w:t>CAL per Windows MultiPoint Server 2011 con CAL per Windows Server 2008</w:t>
      </w:r>
    </w:p>
    <w:p w:rsidR="00685009" w:rsidRPr="00A75DF9" w:rsidRDefault="00685009" w:rsidP="00685009">
      <w:pPr>
        <w:rPr>
          <w:rFonts w:cs="Tahoma"/>
        </w:rPr>
      </w:pPr>
      <w:r w:rsidRPr="00A75DF9">
        <w:rPr>
          <w:rFonts w:cs="Tahoma"/>
          <w:color w:val="000000"/>
        </w:rPr>
        <w:t>Licenza CAL per Windows MultiPoint Server 2011 Premium con Windows MultiPoint Server 2011 (5 Client)</w:t>
      </w:r>
    </w:p>
    <w:p w:rsidR="00685009" w:rsidRPr="00A75DF9" w:rsidRDefault="00685009" w:rsidP="00685009">
      <w:pPr>
        <w:rPr>
          <w:rFonts w:cs="Tahoma"/>
        </w:rPr>
      </w:pPr>
      <w:r w:rsidRPr="00A75DF9">
        <w:rPr>
          <w:rFonts w:cs="Tahoma"/>
          <w:color w:val="000000"/>
        </w:rPr>
        <w:t>Licenza CAL per Windows MultiPoint Server 2011 Premium con Windows MultiPoint Server 2011 (5 Client) con Licenza CAL per Windows Server 2008 (5 Client)</w:t>
      </w:r>
    </w:p>
    <w:p w:rsidR="00685009" w:rsidRPr="00A75DF9" w:rsidRDefault="00685009" w:rsidP="00685009">
      <w:pPr>
        <w:rPr>
          <w:rFonts w:cs="Tahoma"/>
        </w:rPr>
      </w:pPr>
      <w:r w:rsidRPr="00A75DF9">
        <w:rPr>
          <w:rFonts w:cs="Tahoma"/>
          <w:color w:val="000000"/>
        </w:rPr>
        <w:t>Word 2010</w:t>
      </w:r>
    </w:p>
    <w:p w:rsidR="00173A20" w:rsidRPr="00A75DF9" w:rsidRDefault="00173A20" w:rsidP="00173A20">
      <w:pPr>
        <w:rPr>
          <w:rFonts w:cs="Tahoma"/>
        </w:rPr>
      </w:pPr>
    </w:p>
    <w:p w:rsidR="00A33CF7" w:rsidRPr="00A75DF9" w:rsidRDefault="00A33CF7" w:rsidP="00173A20">
      <w:pPr>
        <w:rPr>
          <w:rFonts w:cs="Tahoma"/>
        </w:rPr>
      </w:pPr>
    </w:p>
    <w:p w:rsidR="00E64830" w:rsidRPr="00A75DF9" w:rsidRDefault="00E64830" w:rsidP="00E64830">
      <w:pPr>
        <w:pStyle w:val="Heading2"/>
        <w:ind w:left="0"/>
        <w:jc w:val="both"/>
        <w:rPr>
          <w:rFonts w:ascii="Tahoma" w:hAnsi="Tahoma" w:cs="Tahoma"/>
        </w:rPr>
      </w:pPr>
      <w:bookmarkStart w:id="596" w:name="_Toc368310172"/>
      <w:r w:rsidRPr="00A75DF9">
        <w:rPr>
          <w:rFonts w:ascii="Tahoma" w:hAnsi="Tahoma" w:cs="Tahoma"/>
          <w:color w:val="FF6600"/>
        </w:rPr>
        <w:t>MODIFICHE APPORTATE NEL MESE DI NOVEMBRE 2012</w:t>
      </w:r>
      <w:bookmarkEnd w:id="596"/>
    </w:p>
    <w:p w:rsidR="00E64830" w:rsidRPr="00A75DF9" w:rsidRDefault="00E64830" w:rsidP="007B0DDA">
      <w:pPr>
        <w:pStyle w:val="Heading2"/>
        <w:ind w:left="0"/>
        <w:jc w:val="both"/>
        <w:rPr>
          <w:rFonts w:ascii="Tahoma" w:hAnsi="Tahoma" w:cs="Tahoma"/>
        </w:rPr>
      </w:pPr>
    </w:p>
    <w:p w:rsidR="00E64830" w:rsidRPr="00A75DF9" w:rsidRDefault="00E64830" w:rsidP="003E606C">
      <w:pPr>
        <w:spacing w:after="60"/>
        <w:rPr>
          <w:rFonts w:cs="Tahoma"/>
        </w:rPr>
      </w:pPr>
      <w:r w:rsidRPr="00A75DF9">
        <w:rPr>
          <w:rFonts w:cs="Tahoma"/>
          <w:b/>
        </w:rPr>
        <w:t>Prodotti Aggiunti</w:t>
      </w:r>
    </w:p>
    <w:p w:rsidR="00E64830" w:rsidRPr="00A75DF9" w:rsidRDefault="00E64830" w:rsidP="00C530A9">
      <w:pPr>
        <w:rPr>
          <w:rFonts w:cs="Tahoma"/>
        </w:rPr>
      </w:pPr>
      <w:r w:rsidRPr="00A75DF9">
        <w:rPr>
          <w:rFonts w:cs="Tahoma"/>
        </w:rPr>
        <w:t>Microsoft Windows Server Essentials 2012</w:t>
      </w:r>
    </w:p>
    <w:p w:rsidR="00E64830" w:rsidRPr="00A75DF9" w:rsidRDefault="00E64830" w:rsidP="00C530A9">
      <w:pPr>
        <w:rPr>
          <w:rFonts w:cs="Tahoma"/>
        </w:rPr>
      </w:pPr>
      <w:r w:rsidRPr="00A75DF9">
        <w:rPr>
          <w:rFonts w:cs="Tahoma"/>
        </w:rPr>
        <w:t>Microsoft AutoRoute Euro 2013</w:t>
      </w:r>
    </w:p>
    <w:p w:rsidR="00E64830" w:rsidRPr="00A75DF9" w:rsidRDefault="00E64830" w:rsidP="00C530A9">
      <w:pPr>
        <w:rPr>
          <w:rFonts w:cs="Tahoma"/>
        </w:rPr>
      </w:pPr>
      <w:r w:rsidRPr="00A75DF9">
        <w:rPr>
          <w:rFonts w:cs="Tahoma"/>
        </w:rPr>
        <w:t>Microsoft Desktop Organization Pack 2012 per Software Assurance</w:t>
      </w:r>
    </w:p>
    <w:p w:rsidR="00E64830" w:rsidRPr="00A75DF9" w:rsidRDefault="00E64830" w:rsidP="00C530A9">
      <w:pPr>
        <w:rPr>
          <w:rFonts w:cs="Tahoma"/>
        </w:rPr>
      </w:pPr>
    </w:p>
    <w:p w:rsidR="00D24E3C" w:rsidRPr="00A75DF9" w:rsidRDefault="00D24E3C" w:rsidP="003E606C">
      <w:pPr>
        <w:spacing w:after="60"/>
        <w:rPr>
          <w:rFonts w:cs="Tahoma"/>
        </w:rPr>
      </w:pPr>
      <w:r w:rsidRPr="00A75DF9">
        <w:rPr>
          <w:rFonts w:cs="Tahoma"/>
          <w:b/>
        </w:rPr>
        <w:t>Promozioni</w:t>
      </w:r>
    </w:p>
    <w:p w:rsidR="00D24E3C" w:rsidRPr="00A75DF9" w:rsidRDefault="00D24E3C" w:rsidP="00E64830">
      <w:pPr>
        <w:rPr>
          <w:rFonts w:cs="Tahoma"/>
        </w:rPr>
      </w:pPr>
      <w:r w:rsidRPr="00A75DF9">
        <w:rPr>
          <w:rFonts w:cs="Tahoma"/>
          <w:color w:val="000000"/>
        </w:rPr>
        <w:t>Sono state aggiunte le seguenti promozioni:</w:t>
      </w:r>
    </w:p>
    <w:p w:rsidR="00D24E3C" w:rsidRPr="00A75DF9" w:rsidRDefault="00D24E3C" w:rsidP="00E64830">
      <w:pPr>
        <w:rPr>
          <w:rFonts w:cs="Tahoma"/>
        </w:rPr>
      </w:pPr>
      <w:r w:rsidRPr="00A75DF9">
        <w:rPr>
          <w:rFonts w:cs="Tahoma"/>
          <w:color w:val="000000"/>
        </w:rPr>
        <w:t>Sconto del 30% per l</w:t>
      </w:r>
      <w:r w:rsidR="00F2643E">
        <w:rPr>
          <w:rFonts w:cs="Tahoma"/>
          <w:color w:val="000000"/>
        </w:rPr>
        <w:t>’</w:t>
      </w:r>
      <w:r w:rsidRPr="00A75DF9">
        <w:rPr>
          <w:rFonts w:cs="Tahoma"/>
          <w:color w:val="000000"/>
        </w:rPr>
        <w:t>Aggiornamento a Visual Studio Premium con MSDN</w:t>
      </w:r>
    </w:p>
    <w:p w:rsidR="00D24E3C" w:rsidRPr="00A75DF9" w:rsidRDefault="00D24E3C" w:rsidP="00ED2410">
      <w:pPr>
        <w:rPr>
          <w:rFonts w:cs="Tahoma"/>
        </w:rPr>
      </w:pPr>
      <w:r w:rsidRPr="00A75DF9">
        <w:rPr>
          <w:rFonts w:cs="Tahoma"/>
        </w:rPr>
        <w:t>Step-Up a Windows 8 con SA</w:t>
      </w:r>
    </w:p>
    <w:p w:rsidR="00D24E3C" w:rsidRPr="00A75DF9" w:rsidRDefault="00D24E3C" w:rsidP="00ED2410">
      <w:pPr>
        <w:rPr>
          <w:rFonts w:cs="Tahoma"/>
        </w:rPr>
      </w:pPr>
      <w:r w:rsidRPr="00A75DF9">
        <w:rPr>
          <w:rFonts w:cs="Tahoma"/>
        </w:rPr>
        <w:t>Sconto Promozionale del 20% per PC Nuovi con Windows Intune</w:t>
      </w:r>
    </w:p>
    <w:p w:rsidR="00D24E3C" w:rsidRPr="00A75DF9" w:rsidRDefault="00D24E3C" w:rsidP="00E64830">
      <w:pPr>
        <w:rPr>
          <w:rFonts w:cs="Tahoma"/>
        </w:rPr>
      </w:pPr>
    </w:p>
    <w:p w:rsidR="00E64830" w:rsidRPr="00A75DF9" w:rsidRDefault="00E64830" w:rsidP="003E606C">
      <w:pPr>
        <w:spacing w:after="60"/>
        <w:rPr>
          <w:rFonts w:cs="Tahoma"/>
        </w:rPr>
      </w:pPr>
      <w:r w:rsidRPr="00A75DF9">
        <w:rPr>
          <w:rFonts w:cs="Tahoma"/>
          <w:b/>
        </w:rPr>
        <w:t>Modifiche</w:t>
      </w:r>
    </w:p>
    <w:p w:rsidR="00D24E3C" w:rsidRPr="00A75DF9" w:rsidRDefault="00D8428A" w:rsidP="00E64830">
      <w:pPr>
        <w:rPr>
          <w:rFonts w:cs="Tahoma"/>
        </w:rPr>
      </w:pPr>
      <w:r w:rsidRPr="00A75DF9">
        <w:rPr>
          <w:rFonts w:cs="Tahoma"/>
          <w:color w:val="000000"/>
        </w:rPr>
        <w:t>Sono stati apportati aggiornamenti ai seguenti prodotti:</w:t>
      </w:r>
    </w:p>
    <w:p w:rsidR="003A5ABA" w:rsidRPr="00A75DF9" w:rsidRDefault="00D8428A" w:rsidP="00E64830">
      <w:pPr>
        <w:rPr>
          <w:rFonts w:cs="Tahoma"/>
        </w:rPr>
      </w:pPr>
      <w:r w:rsidRPr="00A75DF9">
        <w:rPr>
          <w:rFonts w:cs="Tahoma"/>
          <w:color w:val="000000"/>
        </w:rPr>
        <w:t>Microsoft Desktop Optimization Pack</w:t>
      </w:r>
    </w:p>
    <w:p w:rsidR="000225E7" w:rsidRPr="00A75DF9" w:rsidRDefault="000225E7" w:rsidP="00C530A9">
      <w:pPr>
        <w:rPr>
          <w:rFonts w:cs="Tahoma"/>
        </w:rPr>
      </w:pPr>
    </w:p>
    <w:p w:rsidR="00E64830" w:rsidRPr="00A75DF9" w:rsidRDefault="00E64830" w:rsidP="003E606C">
      <w:pPr>
        <w:spacing w:after="60"/>
        <w:rPr>
          <w:rFonts w:cs="Tahoma"/>
        </w:rPr>
      </w:pPr>
      <w:r w:rsidRPr="00A75DF9">
        <w:rPr>
          <w:rFonts w:cs="Tahoma"/>
          <w:b/>
        </w:rPr>
        <w:t>Prodotti Eliminati</w:t>
      </w:r>
    </w:p>
    <w:p w:rsidR="00E64830" w:rsidRPr="00A75DF9" w:rsidRDefault="00E64830" w:rsidP="00C530A9">
      <w:pPr>
        <w:rPr>
          <w:rFonts w:cs="Tahoma"/>
        </w:rPr>
      </w:pPr>
      <w:r w:rsidRPr="00A75DF9">
        <w:rPr>
          <w:rFonts w:cs="Tahoma"/>
        </w:rPr>
        <w:t>Windows Small Business Server Essentials 2011</w:t>
      </w:r>
    </w:p>
    <w:p w:rsidR="00E64830" w:rsidRPr="00A75DF9" w:rsidRDefault="00E64830" w:rsidP="00C530A9">
      <w:pPr>
        <w:rPr>
          <w:rFonts w:cs="Tahoma"/>
        </w:rPr>
      </w:pPr>
      <w:r w:rsidRPr="00A75DF9">
        <w:rPr>
          <w:rFonts w:cs="Tahoma"/>
        </w:rPr>
        <w:t>AutoRoute 2011</w:t>
      </w:r>
    </w:p>
    <w:p w:rsidR="00E64830" w:rsidRPr="00A75DF9" w:rsidRDefault="00E64830" w:rsidP="00C530A9">
      <w:pPr>
        <w:rPr>
          <w:rFonts w:cs="Tahoma"/>
        </w:rPr>
      </w:pPr>
      <w:r w:rsidRPr="00A75DF9">
        <w:rPr>
          <w:rFonts w:cs="Tahoma"/>
        </w:rPr>
        <w:t>Microsoft Desktop Optimization Pack 2011 R2 per Software Assurance.</w:t>
      </w:r>
    </w:p>
    <w:p w:rsidR="00593FBD" w:rsidRPr="00A75DF9" w:rsidRDefault="00593FBD" w:rsidP="00593FBD">
      <w:pPr>
        <w:ind w:right="720"/>
        <w:rPr>
          <w:rFonts w:cs="Tahoma"/>
        </w:rPr>
      </w:pPr>
    </w:p>
    <w:p w:rsidR="00A31A6D" w:rsidRPr="00A75DF9" w:rsidRDefault="00A31A6D" w:rsidP="00593FBD">
      <w:pPr>
        <w:ind w:right="720"/>
        <w:rPr>
          <w:rFonts w:cs="Tahoma"/>
        </w:rPr>
      </w:pPr>
    </w:p>
    <w:p w:rsidR="00023FE7" w:rsidRPr="00A75DF9" w:rsidRDefault="00EF4590" w:rsidP="0053746E">
      <w:pPr>
        <w:spacing w:after="120"/>
        <w:rPr>
          <w:rFonts w:cs="Tahoma"/>
        </w:rPr>
      </w:pPr>
      <w:r w:rsidRPr="00A75DF9">
        <w:rPr>
          <w:rFonts w:cs="Tahoma"/>
        </w:rPr>
        <w:br w:type="page"/>
      </w:r>
      <w:bookmarkStart w:id="597" w:name="_Toc336338180"/>
      <w:bookmarkStart w:id="598" w:name="_Toc368310173"/>
      <w:r w:rsidRPr="00A75DF9">
        <w:rPr>
          <w:rStyle w:val="Heading1Char"/>
          <w:rFonts w:cs="Tahoma"/>
        </w:rPr>
        <w:lastRenderedPageBreak/>
        <w:t>ARTICOLO 2 - PROMOZIONI DI PRODOTTI</w:t>
      </w:r>
      <w:bookmarkEnd w:id="597"/>
      <w:bookmarkEnd w:id="598"/>
    </w:p>
    <w:p w:rsidR="00023FE7" w:rsidRPr="00A75DF9" w:rsidRDefault="00023FE7" w:rsidP="00510F6B">
      <w:pPr>
        <w:ind w:right="720"/>
        <w:rPr>
          <w:rFonts w:cs="Tahoma"/>
        </w:rPr>
      </w:pPr>
    </w:p>
    <w:p w:rsidR="00187499" w:rsidRPr="00A75DF9" w:rsidRDefault="00187499" w:rsidP="005D753D">
      <w:pPr>
        <w:pStyle w:val="Heading2"/>
        <w:spacing w:after="120"/>
        <w:ind w:left="0"/>
        <w:rPr>
          <w:rFonts w:ascii="Tahoma" w:hAnsi="Tahoma" w:cs="Tahoma"/>
        </w:rPr>
      </w:pPr>
      <w:bookmarkStart w:id="599" w:name="_Toc336338182"/>
      <w:bookmarkStart w:id="600" w:name="_Toc368310174"/>
      <w:r w:rsidRPr="00A75DF9">
        <w:rPr>
          <w:rFonts w:ascii="Tahoma" w:hAnsi="Tahoma" w:cs="Tahoma"/>
          <w:color w:val="FF9429"/>
        </w:rPr>
        <w:t>Microsoft Dynamics AX 2012 R2 - Promozione EA Starter</w:t>
      </w:r>
      <w:bookmarkEnd w:id="600"/>
    </w:p>
    <w:bookmarkEnd w:id="599"/>
    <w:p w:rsidR="001D214E" w:rsidRPr="00A75DF9" w:rsidRDefault="001D214E" w:rsidP="005D753D">
      <w:pPr>
        <w:spacing w:after="120" w:line="276" w:lineRule="auto"/>
        <w:rPr>
          <w:rFonts w:cs="Tahoma"/>
        </w:rPr>
      </w:pPr>
      <w:r w:rsidRPr="00A75DF9">
        <w:rPr>
          <w:rFonts w:cs="Tahoma"/>
        </w:rPr>
        <w:t>Grazie a un</w:t>
      </w:r>
      <w:r w:rsidR="00F2643E">
        <w:rPr>
          <w:rFonts w:cs="Tahoma"/>
        </w:rPr>
        <w:t>’</w:t>
      </w:r>
      <w:r w:rsidRPr="00A75DF9">
        <w:rPr>
          <w:rFonts w:cs="Tahoma"/>
        </w:rPr>
        <w:t xml:space="preserve">offerta di durata limitata, che va dal </w:t>
      </w:r>
      <w:r w:rsidRPr="00A75DF9">
        <w:rPr>
          <w:rFonts w:eastAsia="Calibri" w:cs="Tahoma"/>
          <w:szCs w:val="18"/>
        </w:rPr>
        <w:t>1 marzo 2013 al 31 dicembre 2013, Microsoft offre 3 (tre) Enterprise CAL e 50 (cinquanta) Self Serve CAL con l</w:t>
      </w:r>
      <w:r w:rsidR="00F2643E">
        <w:rPr>
          <w:rFonts w:eastAsia="Calibri" w:cs="Tahoma"/>
          <w:szCs w:val="18"/>
        </w:rPr>
        <w:t>’</w:t>
      </w:r>
      <w:r w:rsidRPr="00A75DF9">
        <w:rPr>
          <w:rFonts w:eastAsia="Calibri" w:cs="Tahoma"/>
          <w:szCs w:val="18"/>
        </w:rPr>
        <w:t>acquisto della prima licenza Server per Microsoft Dynamics AX</w:t>
      </w:r>
      <w:r w:rsidRPr="00A75DF9">
        <w:rPr>
          <w:rFonts w:cs="Tahoma"/>
        </w:rPr>
        <w:t xml:space="preserve"> 2012 </w:t>
      </w:r>
      <w:r w:rsidRPr="00A75DF9">
        <w:rPr>
          <w:rFonts w:eastAsia="Calibri" w:cs="Tahoma"/>
          <w:szCs w:val="18"/>
        </w:rPr>
        <w:t>R2.</w:t>
      </w:r>
      <w:r w:rsidRPr="00A75DF9">
        <w:rPr>
          <w:rFonts w:cs="Tahoma"/>
        </w:rPr>
        <w:t xml:space="preserve"> Questa promozione è disponibile </w:t>
      </w:r>
      <w:r w:rsidRPr="00A75DF9">
        <w:rPr>
          <w:rFonts w:eastAsia="Calibri" w:cs="Tahoma"/>
          <w:szCs w:val="18"/>
        </w:rPr>
        <w:t xml:space="preserve">solo </w:t>
      </w:r>
      <w:r w:rsidRPr="00A75DF9">
        <w:rPr>
          <w:rFonts w:cs="Tahoma"/>
        </w:rPr>
        <w:t>ai sensi del programma di licenze Contratto Microsoft Enterprise</w:t>
      </w:r>
      <w:r w:rsidRPr="00A75DF9">
        <w:rPr>
          <w:rFonts w:eastAsia="Calibri" w:cs="Tahoma"/>
          <w:szCs w:val="18"/>
        </w:rPr>
        <w:t xml:space="preserve">. </w:t>
      </w:r>
    </w:p>
    <w:p w:rsidR="00187499" w:rsidRPr="00A75DF9" w:rsidRDefault="00187499" w:rsidP="0053746E">
      <w:pPr>
        <w:spacing w:after="120" w:line="276" w:lineRule="auto"/>
        <w:rPr>
          <w:rFonts w:cs="Tahoma"/>
        </w:rPr>
      </w:pPr>
      <w:r w:rsidRPr="00A75DF9">
        <w:rPr>
          <w:rFonts w:eastAsia="Calibri" w:cs="Tahoma"/>
          <w:szCs w:val="18"/>
        </w:rPr>
        <w:t xml:space="preserve">Tutte le licenze concesse ai sensi della presente offerta includeranno la copertura Software Assurance. Tale copertura cesserà alla scadenza della copertura per le licenze qualificanti. Alla scadenza della copertura, le società potranno rinnovare Software Assurance sulle licenze concesse. </w:t>
      </w:r>
      <w:bookmarkStart w:id="601" w:name="_Toc336338183"/>
      <w:r w:rsidRPr="00A75DF9">
        <w:rPr>
          <w:rFonts w:eastAsia="Calibri" w:cs="Tahoma"/>
          <w:szCs w:val="18"/>
        </w:rPr>
        <w:t>Il diritto di utilizzo del software in concessione scadrà alla scadenza del diritto di utilizzo del software ai sensi della licenza Server qualificante per Microsoft Dynamics AX 2012 R2. Questa Nota relativa al Prodotto insieme alla prova della licenza Server qualificante attesteranno il diritto della società di utilizzare le licenze per Microsoft Dynamics AX 2012 R2 ai sensi delle condizioni della presente offerta. Le</w:t>
      </w:r>
      <w:r w:rsidR="0053746E">
        <w:rPr>
          <w:rFonts w:eastAsia="Calibri" w:cs="Tahoma"/>
          <w:szCs w:val="18"/>
        </w:rPr>
        <w:t> </w:t>
      </w:r>
      <w:r w:rsidRPr="00A75DF9">
        <w:rPr>
          <w:rFonts w:eastAsia="Calibri" w:cs="Tahoma"/>
          <w:szCs w:val="18"/>
        </w:rPr>
        <w:t>società non potranno trasferire le licenze concesse in virtù della presente offerta separatamente dalle licenze qualificanti corrispondenti.</w:t>
      </w:r>
    </w:p>
    <w:bookmarkEnd w:id="601"/>
    <w:p w:rsidR="00491DAC" w:rsidRPr="00A75DF9" w:rsidRDefault="00491DAC" w:rsidP="005D753D">
      <w:pPr>
        <w:spacing w:after="120" w:line="276" w:lineRule="auto"/>
        <w:rPr>
          <w:rFonts w:cs="Tahoma"/>
        </w:rPr>
      </w:pPr>
      <w:r w:rsidRPr="00A75DF9">
        <w:rPr>
          <w:rFonts w:cs="Tahoma"/>
          <w:color w:val="000000"/>
        </w:rPr>
        <w:t>Programmi Plus, EAP, ECI e Open Value.</w:t>
      </w:r>
    </w:p>
    <w:p w:rsidR="006D4F1D" w:rsidRPr="00A75DF9" w:rsidRDefault="006D4F1D" w:rsidP="005D753D">
      <w:pPr>
        <w:spacing w:after="120" w:line="276" w:lineRule="auto"/>
        <w:rPr>
          <w:rFonts w:cs="Tahoma"/>
        </w:rPr>
      </w:pPr>
    </w:p>
    <w:p w:rsidR="00517645" w:rsidRPr="00A75DF9" w:rsidRDefault="00517645" w:rsidP="005D753D">
      <w:pPr>
        <w:pStyle w:val="Heading2"/>
        <w:spacing w:after="120" w:line="276" w:lineRule="auto"/>
        <w:ind w:left="0"/>
        <w:rPr>
          <w:rFonts w:ascii="Tahoma" w:hAnsi="Tahoma" w:cs="Tahoma"/>
        </w:rPr>
      </w:pPr>
      <w:bookmarkStart w:id="602" w:name="_Toc368310175"/>
      <w:r w:rsidRPr="00A75DF9">
        <w:rPr>
          <w:rStyle w:val="Strong"/>
          <w:rFonts w:ascii="Tahoma" w:hAnsi="Tahoma" w:cs="Tahoma"/>
          <w:b/>
          <w:color w:val="FF9429"/>
          <w:bdr w:val="none" w:sz="0" w:space="0" w:color="auto" w:frame="1"/>
          <w:shd w:val="clear" w:color="auto" w:fill="FFFFFF"/>
        </w:rPr>
        <w:t>Promozione di Windows Companion Kickstart</w:t>
      </w:r>
      <w:bookmarkEnd w:id="602"/>
    </w:p>
    <w:p w:rsidR="00517645" w:rsidRPr="00A75DF9" w:rsidRDefault="00517645" w:rsidP="005D753D">
      <w:pPr>
        <w:spacing w:after="120" w:line="276" w:lineRule="auto"/>
        <w:rPr>
          <w:rFonts w:cs="Tahoma"/>
        </w:rPr>
      </w:pPr>
      <w:r w:rsidRPr="00A75DF9">
        <w:rPr>
          <w:rFonts w:cs="Tahoma"/>
          <w:color w:val="000000" w:themeColor="text1"/>
          <w:szCs w:val="18"/>
          <w:bdr w:val="none" w:sz="0" w:space="0" w:color="auto" w:frame="1"/>
          <w:shd w:val="clear" w:color="auto" w:fill="FFFFFF"/>
        </w:rPr>
        <w:t>Tra il 1 maggio 2013 e il 30 settembre 2013 Microsoft offrirà uno sconto del 67% sulle Licenze “Subscription” per Windows Companion alle società con contratti EA e Select (oltre 250) che si impegnano a sottoscrivere un add-on per i contratti nuovi, rinnovati o di metà corso. Per qualificarsi per questa offerta sono necessarie almeno 250 postazioni. Questa offerta sarà disponibile per le società tramite i programmi EA, EAS, EES e Select Plus. I segmenti di società presi in considerazione includono società commerciali, pubbliche e istituti didattici di segmenti EPG/SMS&amp;P/CA.</w:t>
      </w:r>
      <w:r w:rsidRPr="00A75DF9">
        <w:rPr>
          <w:rFonts w:cs="Tahoma"/>
          <w:color w:val="000000" w:themeColor="text1"/>
          <w:szCs w:val="18"/>
        </w:rPr>
        <w:t xml:space="preserve"> </w:t>
      </w:r>
    </w:p>
    <w:p w:rsidR="006D4F1D" w:rsidRPr="00A75DF9" w:rsidRDefault="006D4F1D" w:rsidP="005D753D">
      <w:pPr>
        <w:spacing w:after="120" w:line="276" w:lineRule="auto"/>
        <w:rPr>
          <w:rFonts w:cs="Tahoma"/>
        </w:rPr>
      </w:pPr>
    </w:p>
    <w:p w:rsidR="006D4F1D" w:rsidRPr="00A75DF9" w:rsidRDefault="006D4F1D" w:rsidP="005D753D">
      <w:pPr>
        <w:pStyle w:val="Heading2"/>
        <w:spacing w:after="120"/>
        <w:ind w:left="0"/>
        <w:rPr>
          <w:rFonts w:ascii="Tahoma" w:hAnsi="Tahoma" w:cs="Tahoma"/>
        </w:rPr>
      </w:pPr>
      <w:bookmarkStart w:id="603" w:name="_Toc368310176"/>
      <w:r w:rsidRPr="00A75DF9">
        <w:rPr>
          <w:rFonts w:ascii="Tahoma" w:eastAsia="Times New Roman" w:hAnsi="Tahoma" w:cs="Tahoma"/>
          <w:color w:val="FF9429"/>
        </w:rPr>
        <w:t>Windows Legalization Drive: mercati Select</w:t>
      </w:r>
      <w:bookmarkEnd w:id="603"/>
    </w:p>
    <w:p w:rsidR="006D4F1D" w:rsidRPr="00A75DF9" w:rsidRDefault="006D4F1D" w:rsidP="005D753D">
      <w:pPr>
        <w:spacing w:after="120" w:line="276" w:lineRule="auto"/>
        <w:rPr>
          <w:rFonts w:cs="Tahoma"/>
        </w:rPr>
      </w:pPr>
      <w:r w:rsidRPr="00A75DF9">
        <w:rPr>
          <w:rFonts w:cs="Tahoma"/>
        </w:rPr>
        <w:t>Per l</w:t>
      </w:r>
      <w:r w:rsidR="00F2643E">
        <w:rPr>
          <w:rFonts w:cs="Tahoma"/>
        </w:rPr>
        <w:t>’</w:t>
      </w:r>
      <w:r w:rsidRPr="00A75DF9">
        <w:rPr>
          <w:rFonts w:cs="Tahoma"/>
        </w:rPr>
        <w:t>anno fiscale 2014 (1 luglio 2013 - 30 giugno 2014) Microsoft condurrà una campagna di legalizzazione incentrata sul Settore Pubblico. Le caratteristiche principali di questa campagna mirano a utilizzare software originale presso gli Enti Pubblici e a offrire a tali enti l</w:t>
      </w:r>
      <w:r w:rsidR="00F2643E">
        <w:rPr>
          <w:rFonts w:cs="Tahoma"/>
        </w:rPr>
        <w:t>’</w:t>
      </w:r>
      <w:r w:rsidRPr="00A75DF9">
        <w:rPr>
          <w:rFonts w:cs="Tahoma"/>
        </w:rPr>
        <w:t>opportunità unica di ottenere il migliore prezzo di legalizzazione per il quale si qualificano, senza alcun problema ad accedervi.</w:t>
      </w:r>
    </w:p>
    <w:p w:rsidR="006D4F1D" w:rsidRPr="00A75DF9" w:rsidRDefault="006D4F1D" w:rsidP="0053746E">
      <w:pPr>
        <w:spacing w:after="120" w:line="276" w:lineRule="auto"/>
        <w:rPr>
          <w:rFonts w:cs="Tahoma"/>
        </w:rPr>
      </w:pPr>
      <w:r w:rsidRPr="00A75DF9">
        <w:rPr>
          <w:rFonts w:cs="Tahoma"/>
        </w:rPr>
        <w:t>Tale offerta è disponibile solo per società del settore pubblico, mentre non lo è per società commerciali. Esistono SKU speciali create solo per gli enti pubblici. Questa campagna offre un prezzo flat pari a 135 USD per SKU GGWA-SMO e</w:t>
      </w:r>
      <w:r w:rsidR="0053746E">
        <w:rPr>
          <w:rFonts w:cs="Tahoma"/>
        </w:rPr>
        <w:t> </w:t>
      </w:r>
      <w:r w:rsidRPr="00A75DF9">
        <w:rPr>
          <w:rFonts w:cs="Tahoma"/>
        </w:rPr>
        <w:t>GGWA-LO. Le società che acquistano GGWA-LO avranno anche la possibilità di registrarsi per una copertura SA di 3</w:t>
      </w:r>
      <w:r w:rsidR="0053746E">
        <w:rPr>
          <w:rFonts w:cs="Tahoma"/>
        </w:rPr>
        <w:t> </w:t>
      </w:r>
      <w:r w:rsidRPr="00A75DF9">
        <w:rPr>
          <w:rFonts w:cs="Tahoma"/>
        </w:rPr>
        <w:t>anni (con il primo anno gratuito): questa parte dell</w:t>
      </w:r>
      <w:r w:rsidR="00F2643E">
        <w:rPr>
          <w:rFonts w:cs="Tahoma"/>
        </w:rPr>
        <w:t>’</w:t>
      </w:r>
      <w:r w:rsidRPr="00A75DF9">
        <w:rPr>
          <w:rFonts w:cs="Tahoma"/>
        </w:rPr>
        <w:t>offerta dovrà essere eseguita manualmente. L</w:t>
      </w:r>
      <w:r w:rsidR="00F2643E">
        <w:rPr>
          <w:rFonts w:cs="Tahoma"/>
        </w:rPr>
        <w:t>’</w:t>
      </w:r>
      <w:r w:rsidRPr="00A75DF9">
        <w:rPr>
          <w:rFonts w:cs="Tahoma"/>
        </w:rPr>
        <w:t>utilizzo di queste SKU non può essere associato ad altri sconti né ulteriori concessioni sono consentite relativamente a tali prezzi. Diverse società avranno accesso a prezzi di legalizzazione migliori tramite normale concessione e potranno decidere di non utilizzare queste SKU specifiche.</w:t>
      </w:r>
    </w:p>
    <w:p w:rsidR="006D4F1D" w:rsidRPr="00A75DF9" w:rsidRDefault="006D4F1D" w:rsidP="005D753D">
      <w:pPr>
        <w:spacing w:after="120" w:line="276" w:lineRule="auto"/>
        <w:rPr>
          <w:rFonts w:cs="Tahoma"/>
        </w:rPr>
      </w:pPr>
    </w:p>
    <w:p w:rsidR="00517645" w:rsidRPr="00A75DF9" w:rsidRDefault="00517645" w:rsidP="005D753D">
      <w:pPr>
        <w:pStyle w:val="Heading2"/>
        <w:spacing w:after="120" w:line="276" w:lineRule="auto"/>
        <w:ind w:left="0"/>
        <w:rPr>
          <w:rFonts w:ascii="Tahoma" w:hAnsi="Tahoma" w:cs="Tahoma"/>
        </w:rPr>
      </w:pPr>
      <w:bookmarkStart w:id="604" w:name="_Toc368310177"/>
      <w:r w:rsidRPr="00A75DF9">
        <w:rPr>
          <w:rStyle w:val="Strong"/>
          <w:rFonts w:ascii="Tahoma" w:hAnsi="Tahoma" w:cs="Tahoma"/>
          <w:b/>
          <w:color w:val="FF9429"/>
          <w:bdr w:val="none" w:sz="0" w:space="0" w:color="auto" w:frame="1"/>
          <w:shd w:val="clear" w:color="auto" w:fill="FFFFFF"/>
        </w:rPr>
        <w:t>Promozione di</w:t>
      </w:r>
      <w:r w:rsidRPr="00A75DF9">
        <w:rPr>
          <w:rFonts w:ascii="Tahoma" w:hAnsi="Tahoma" w:cs="Tahoma"/>
          <w:color w:val="FF9429"/>
          <w:bdr w:val="none" w:sz="0" w:space="0" w:color="auto" w:frame="1"/>
          <w:shd w:val="clear" w:color="auto" w:fill="FFFFFF"/>
        </w:rPr>
        <w:t xml:space="preserve"> </w:t>
      </w:r>
      <w:r w:rsidRPr="00A75DF9">
        <w:rPr>
          <w:rStyle w:val="Strong"/>
          <w:rFonts w:ascii="Tahoma" w:hAnsi="Tahoma" w:cs="Tahoma"/>
          <w:b/>
          <w:color w:val="FF9429"/>
          <w:bdr w:val="none" w:sz="0" w:space="0" w:color="auto" w:frame="1"/>
          <w:shd w:val="clear" w:color="auto" w:fill="FFFFFF"/>
        </w:rPr>
        <w:t>Windows Intune</w:t>
      </w:r>
      <w:bookmarkEnd w:id="604"/>
      <w:r w:rsidRPr="00A75DF9">
        <w:rPr>
          <w:rFonts w:ascii="Tahoma" w:hAnsi="Tahoma" w:cs="Tahoma"/>
          <w:color w:val="FF9429"/>
          <w:bdr w:val="none" w:sz="0" w:space="0" w:color="auto" w:frame="1"/>
          <w:shd w:val="clear" w:color="auto" w:fill="FFFFFF"/>
        </w:rPr>
        <w:t xml:space="preserve"> </w:t>
      </w:r>
    </w:p>
    <w:p w:rsidR="00676723" w:rsidRPr="00DC2DAE" w:rsidRDefault="00517645" w:rsidP="005D753D">
      <w:pPr>
        <w:spacing w:after="120" w:line="276" w:lineRule="auto"/>
        <w:rPr>
          <w:rFonts w:cs="Tahoma"/>
          <w:spacing w:val="-2"/>
        </w:rPr>
      </w:pPr>
      <w:r w:rsidRPr="00DC2DAE">
        <w:rPr>
          <w:rFonts w:cs="Tahoma"/>
          <w:color w:val="000000" w:themeColor="text1"/>
          <w:spacing w:val="-2"/>
          <w:szCs w:val="18"/>
          <w:bdr w:val="none" w:sz="0" w:space="0" w:color="auto" w:frame="1"/>
          <w:shd w:val="clear" w:color="auto" w:fill="FFFFFF"/>
        </w:rPr>
        <w:t>Tra il 1 ottobre 2013 e il 30 giugno 2014 Microsoft offrirà uno sconto del 30% su Intune e Intune Add-on per System Center Configuration Manager e System Center Endpoint Protection alle società che acquistano Office 365 Suite (E/A/G) o le SKU standalone (ad esempio, Exchange Online) tramite programmi per Contratti Multilicenza Enterprise. Per qualificarsi per questa offerta sono necessarie almeno 250 postazioni. Questa offerta sarà disponibile per le società tramite i programmi EA, EAS ed EES. I segmenti di società presi in considerazione includono sia società commerciali, pubbliche e istituti didattici di segmenti EPG, che società commerciali, pubbliche e istituti didattici di segmenti SMS&amp;P.</w:t>
      </w:r>
      <w:r w:rsidRPr="00DC2DAE">
        <w:rPr>
          <w:rFonts w:cs="Tahoma"/>
          <w:color w:val="000000" w:themeColor="text1"/>
          <w:spacing w:val="-2"/>
          <w:szCs w:val="18"/>
        </w:rPr>
        <w:t xml:space="preserve"> </w:t>
      </w:r>
      <w:r w:rsidRPr="00DC2DAE">
        <w:rPr>
          <w:rFonts w:cs="Tahoma"/>
          <w:color w:val="000000" w:themeColor="text1"/>
          <w:spacing w:val="-2"/>
          <w:szCs w:val="18"/>
        </w:rPr>
        <w:br w:type="page"/>
      </w:r>
    </w:p>
    <w:p w:rsidR="00023FE7" w:rsidRPr="00A75DF9" w:rsidRDefault="00714962" w:rsidP="00DC2DAE">
      <w:pPr>
        <w:pStyle w:val="Heading1"/>
        <w:spacing w:before="0"/>
        <w:rPr>
          <w:rFonts w:cs="Tahoma"/>
        </w:rPr>
      </w:pPr>
      <w:bookmarkStart w:id="605" w:name="_Toc336338188"/>
      <w:bookmarkStart w:id="606" w:name="_Toc368310178"/>
      <w:r w:rsidRPr="00A75DF9">
        <w:rPr>
          <w:rFonts w:cs="Tahoma"/>
        </w:rPr>
        <w:lastRenderedPageBreak/>
        <w:t>ARTICOLO 3 - CONDIZIONI Dei Programmi Multilicenza</w:t>
      </w:r>
      <w:bookmarkEnd w:id="605"/>
      <w:bookmarkEnd w:id="606"/>
    </w:p>
    <w:p w:rsidR="00E64551" w:rsidRPr="00A75DF9" w:rsidRDefault="00E64551" w:rsidP="00456002">
      <w:pPr>
        <w:pStyle w:val="Heading3"/>
        <w:ind w:right="720"/>
        <w:rPr>
          <w:rFonts w:ascii="Tahoma" w:hAnsi="Tahoma" w:cs="Tahoma"/>
        </w:rPr>
      </w:pPr>
      <w:bookmarkStart w:id="607" w:name="_Toc323159724"/>
    </w:p>
    <w:p w:rsidR="00456002" w:rsidRPr="00A75DF9" w:rsidRDefault="00456002" w:rsidP="003E606C">
      <w:pPr>
        <w:pStyle w:val="Heading3"/>
        <w:ind w:right="720"/>
        <w:rPr>
          <w:rFonts w:ascii="Tahoma" w:hAnsi="Tahoma" w:cs="Tahoma"/>
        </w:rPr>
      </w:pPr>
      <w:bookmarkStart w:id="608" w:name="_Toc336338189"/>
      <w:bookmarkStart w:id="609" w:name="_Toc368310179"/>
      <w:r w:rsidRPr="00A75DF9">
        <w:rPr>
          <w:rFonts w:ascii="Tahoma" w:hAnsi="Tahoma" w:cs="Tahoma"/>
          <w:sz w:val="24"/>
          <w:szCs w:val="22"/>
        </w:rPr>
        <w:t>Programmi di Contratti Multilicenza Applicabili</w:t>
      </w:r>
      <w:bookmarkEnd w:id="608"/>
      <w:bookmarkEnd w:id="609"/>
      <w:r w:rsidRPr="00A75DF9">
        <w:rPr>
          <w:rFonts w:ascii="Tahoma" w:hAnsi="Tahoma" w:cs="Tahoma"/>
          <w:sz w:val="22"/>
        </w:rPr>
        <w:t xml:space="preserve"> </w:t>
      </w:r>
      <w:bookmarkEnd w:id="607"/>
    </w:p>
    <w:p w:rsidR="00E64551" w:rsidRPr="00A75DF9" w:rsidRDefault="00E64551" w:rsidP="003E606C">
      <w:pPr>
        <w:rPr>
          <w:rFonts w:cs="Tahoma"/>
        </w:rPr>
      </w:pPr>
    </w:p>
    <w:p w:rsidR="00456002" w:rsidRPr="00A75DF9" w:rsidRDefault="00456002" w:rsidP="00456002">
      <w:pPr>
        <w:rPr>
          <w:rFonts w:cs="Tahoma"/>
        </w:rPr>
      </w:pPr>
      <w:r w:rsidRPr="00A75DF9">
        <w:rPr>
          <w:rFonts w:cs="Tahoma"/>
        </w:rPr>
        <w:t>Il presente Articolo si applica ai seguenti Programmi per i Contratti Multilicenza, incluse le versioni Academic, Charity e Government, ove applicabile.</w:t>
      </w:r>
    </w:p>
    <w:p w:rsidR="00510F6B" w:rsidRPr="00A75DF9" w:rsidRDefault="00510F6B" w:rsidP="00456002">
      <w:pPr>
        <w:rPr>
          <w:rFonts w:cs="Tahoma"/>
        </w:rPr>
      </w:pPr>
    </w:p>
    <w:p w:rsidR="00456002" w:rsidRPr="00A75DF9" w:rsidRDefault="00456002" w:rsidP="00822871">
      <w:pPr>
        <w:numPr>
          <w:ilvl w:val="0"/>
          <w:numId w:val="19"/>
        </w:numPr>
        <w:spacing w:after="60"/>
        <w:rPr>
          <w:rFonts w:cs="Tahoma"/>
        </w:rPr>
      </w:pPr>
      <w:r w:rsidRPr="00A75DF9">
        <w:rPr>
          <w:rFonts w:cs="Tahoma"/>
        </w:rPr>
        <w:t>Licenza Open</w:t>
      </w:r>
    </w:p>
    <w:p w:rsidR="00456002" w:rsidRPr="00A75DF9" w:rsidRDefault="00456002" w:rsidP="00822871">
      <w:pPr>
        <w:numPr>
          <w:ilvl w:val="0"/>
          <w:numId w:val="19"/>
        </w:numPr>
        <w:spacing w:after="60"/>
        <w:rPr>
          <w:rFonts w:cs="Tahoma"/>
        </w:rPr>
      </w:pPr>
      <w:r w:rsidRPr="00A75DF9">
        <w:rPr>
          <w:rFonts w:cs="Tahoma"/>
        </w:rPr>
        <w:t xml:space="preserve">Open Value </w:t>
      </w:r>
    </w:p>
    <w:p w:rsidR="00456002" w:rsidRPr="00A75DF9" w:rsidRDefault="00456002" w:rsidP="00822871">
      <w:pPr>
        <w:numPr>
          <w:ilvl w:val="0"/>
          <w:numId w:val="19"/>
        </w:numPr>
        <w:spacing w:after="60"/>
        <w:rPr>
          <w:rFonts w:cs="Tahoma"/>
        </w:rPr>
      </w:pPr>
      <w:r w:rsidRPr="00A75DF9">
        <w:rPr>
          <w:rFonts w:cs="Tahoma"/>
        </w:rPr>
        <w:t xml:space="preserve">Open Value Subscription </w:t>
      </w:r>
    </w:p>
    <w:p w:rsidR="00456002" w:rsidRPr="00A75DF9" w:rsidRDefault="00456002" w:rsidP="00822871">
      <w:pPr>
        <w:numPr>
          <w:ilvl w:val="0"/>
          <w:numId w:val="19"/>
        </w:numPr>
        <w:spacing w:after="60"/>
        <w:rPr>
          <w:rFonts w:cs="Tahoma"/>
        </w:rPr>
      </w:pPr>
      <w:r w:rsidRPr="00A75DF9">
        <w:rPr>
          <w:rFonts w:cs="Tahoma"/>
        </w:rPr>
        <w:t xml:space="preserve">Select </w:t>
      </w:r>
    </w:p>
    <w:p w:rsidR="00456002" w:rsidRPr="00A75DF9" w:rsidRDefault="00456002" w:rsidP="00822871">
      <w:pPr>
        <w:numPr>
          <w:ilvl w:val="0"/>
          <w:numId w:val="19"/>
        </w:numPr>
        <w:spacing w:after="60"/>
        <w:rPr>
          <w:rFonts w:cs="Tahoma"/>
        </w:rPr>
      </w:pPr>
      <w:r w:rsidRPr="00A75DF9">
        <w:rPr>
          <w:rFonts w:cs="Tahoma"/>
        </w:rPr>
        <w:t xml:space="preserve">Select Plus </w:t>
      </w:r>
    </w:p>
    <w:p w:rsidR="0091793D" w:rsidRPr="00A75DF9" w:rsidRDefault="00F84FA6" w:rsidP="00822871">
      <w:pPr>
        <w:numPr>
          <w:ilvl w:val="0"/>
          <w:numId w:val="19"/>
        </w:numPr>
        <w:spacing w:after="60"/>
        <w:rPr>
          <w:rFonts w:cs="Tahoma"/>
        </w:rPr>
      </w:pPr>
      <w:r w:rsidRPr="00A75DF9">
        <w:rPr>
          <w:rFonts w:cs="Tahoma"/>
          <w:szCs w:val="18"/>
        </w:rPr>
        <w:t xml:space="preserve">Contratto Enterprise </w:t>
      </w:r>
    </w:p>
    <w:p w:rsidR="0091793D" w:rsidRPr="00A75DF9" w:rsidRDefault="00F84FA6" w:rsidP="00822871">
      <w:pPr>
        <w:numPr>
          <w:ilvl w:val="0"/>
          <w:numId w:val="19"/>
        </w:numPr>
        <w:spacing w:after="60"/>
        <w:rPr>
          <w:rFonts w:cs="Tahoma"/>
        </w:rPr>
      </w:pPr>
      <w:r w:rsidRPr="00A75DF9">
        <w:rPr>
          <w:rFonts w:cs="Tahoma"/>
          <w:szCs w:val="18"/>
        </w:rPr>
        <w:t>Contratto Enterprise Subscription</w:t>
      </w:r>
      <w:r w:rsidRPr="00A75DF9">
        <w:rPr>
          <w:rFonts w:cs="Tahoma"/>
          <w:color w:val="000000"/>
          <w:szCs w:val="18"/>
        </w:rPr>
        <w:t xml:space="preserve"> </w:t>
      </w:r>
    </w:p>
    <w:p w:rsidR="0091793D" w:rsidRPr="00A75DF9" w:rsidRDefault="0091793D" w:rsidP="0091793D">
      <w:pPr>
        <w:pStyle w:val="Heading3"/>
        <w:ind w:right="720"/>
        <w:rPr>
          <w:rFonts w:ascii="Tahoma" w:hAnsi="Tahoma" w:cs="Tahoma"/>
        </w:rPr>
      </w:pPr>
    </w:p>
    <w:p w:rsidR="0091793D" w:rsidRPr="00A75DF9" w:rsidRDefault="0091793D" w:rsidP="003E606C">
      <w:pPr>
        <w:pStyle w:val="Heading3"/>
        <w:ind w:right="720"/>
        <w:rPr>
          <w:rFonts w:ascii="Tahoma" w:hAnsi="Tahoma" w:cs="Tahoma"/>
        </w:rPr>
      </w:pPr>
      <w:bookmarkStart w:id="610" w:name="_Toc336338190"/>
      <w:bookmarkStart w:id="611" w:name="_Toc368310180"/>
      <w:r w:rsidRPr="00A75DF9">
        <w:rPr>
          <w:rFonts w:ascii="Tahoma" w:hAnsi="Tahoma" w:cs="Tahoma"/>
          <w:sz w:val="24"/>
          <w:szCs w:val="22"/>
        </w:rPr>
        <w:t>Punti e Requisiti Minimi per gli Ordini</w:t>
      </w:r>
      <w:bookmarkEnd w:id="610"/>
      <w:bookmarkEnd w:id="611"/>
    </w:p>
    <w:p w:rsidR="00BA4C27" w:rsidRPr="00A75DF9" w:rsidRDefault="00BA4C27" w:rsidP="003E606C">
      <w:pPr>
        <w:rPr>
          <w:rFonts w:cs="Tahoma"/>
        </w:rPr>
      </w:pPr>
    </w:p>
    <w:p w:rsidR="00BA4C27" w:rsidRPr="00A75DF9" w:rsidRDefault="00BA4C27" w:rsidP="00DC2DAE">
      <w:pPr>
        <w:pStyle w:val="AppendixBodyText"/>
        <w:ind w:right="720"/>
        <w:rPr>
          <w:rFonts w:ascii="Tahoma" w:hAnsi="Tahoma" w:cs="Tahoma"/>
        </w:rPr>
      </w:pPr>
      <w:r w:rsidRPr="00A75DF9">
        <w:rPr>
          <w:rFonts w:ascii="Tahoma" w:hAnsi="Tahoma" w:cs="Tahoma"/>
          <w:sz w:val="18"/>
        </w:rPr>
        <w:t>Select, Select Plus e Open License sono accompagnati da un numero o “Punto” che indica il valore di punti</w:t>
      </w:r>
      <w:r w:rsidR="00DC2DAE">
        <w:rPr>
          <w:rFonts w:ascii="Tahoma" w:hAnsi="Tahoma" w:cs="Tahoma"/>
          <w:sz w:val="18"/>
        </w:rPr>
        <w:t> </w:t>
      </w:r>
      <w:r w:rsidRPr="00A75DF9">
        <w:rPr>
          <w:rFonts w:ascii="Tahoma" w:hAnsi="Tahoma" w:cs="Tahoma"/>
          <w:sz w:val="18"/>
        </w:rPr>
        <w:t>assegnato da Microsoft per ogni licenza. I punti consentono di calcolare il livello di prezzo per volume applicabile al contratto di una società. Quando a un determinato prodotto viene assegnato un punto “0”, ciò significa che il prodotto è offerto nel programma specificato, ma ha un valore di punti pari a zero.</w:t>
      </w:r>
      <w:r w:rsidR="009D3B41" w:rsidRPr="00A75DF9">
        <w:rPr>
          <w:rFonts w:ascii="Tahoma" w:hAnsi="Tahoma" w:cs="Tahoma"/>
          <w:sz w:val="18"/>
        </w:rPr>
        <w:t xml:space="preserve"> </w:t>
      </w:r>
      <w:r w:rsidRPr="00A75DF9">
        <w:rPr>
          <w:rFonts w:ascii="Tahoma" w:hAnsi="Tahoma" w:cs="Tahoma"/>
          <w:sz w:val="18"/>
        </w:rPr>
        <w:t>Di seguito è riportata l</w:t>
      </w:r>
      <w:r w:rsidR="00F2643E">
        <w:rPr>
          <w:rFonts w:ascii="Tahoma" w:hAnsi="Tahoma" w:cs="Tahoma"/>
          <w:sz w:val="18"/>
        </w:rPr>
        <w:t>’</w:t>
      </w:r>
      <w:r w:rsidRPr="00A75DF9">
        <w:rPr>
          <w:rFonts w:ascii="Tahoma" w:hAnsi="Tahoma" w:cs="Tahoma"/>
          <w:sz w:val="18"/>
        </w:rPr>
        <w:t>assegnazione delle unità alle licenze ai fini del requisito d</w:t>
      </w:r>
      <w:r w:rsidR="00F2643E">
        <w:rPr>
          <w:rFonts w:ascii="Tahoma" w:hAnsi="Tahoma" w:cs="Tahoma"/>
          <w:sz w:val="18"/>
        </w:rPr>
        <w:t>’</w:t>
      </w:r>
      <w:r w:rsidRPr="00A75DF9">
        <w:rPr>
          <w:rFonts w:ascii="Tahoma" w:hAnsi="Tahoma" w:cs="Tahoma"/>
          <w:sz w:val="18"/>
        </w:rPr>
        <w:t>ordine minimo di Open/ Open Value/ Open Value Subscription:</w:t>
      </w:r>
    </w:p>
    <w:p w:rsidR="00E64551" w:rsidRPr="00A75DF9" w:rsidRDefault="00E64551" w:rsidP="00E64551">
      <w:pPr>
        <w:pStyle w:val="AppendixBodyText"/>
        <w:ind w:right="720"/>
        <w:rPr>
          <w:rFonts w:ascii="Tahoma" w:hAnsi="Tahoma" w:cs="Tahoma"/>
        </w:rPr>
      </w:pPr>
    </w:p>
    <w:p w:rsidR="00456002" w:rsidRPr="00A75DF9" w:rsidRDefault="00456002" w:rsidP="00822871">
      <w:pPr>
        <w:numPr>
          <w:ilvl w:val="0"/>
          <w:numId w:val="19"/>
        </w:numPr>
        <w:spacing w:after="60"/>
        <w:rPr>
          <w:rFonts w:cs="Tahoma"/>
        </w:rPr>
      </w:pPr>
      <w:r w:rsidRPr="00A75DF9">
        <w:rPr>
          <w:rFonts w:cs="Tahoma"/>
        </w:rPr>
        <w:t xml:space="preserve">Licenza Standard: 1 licenza </w:t>
      </w:r>
    </w:p>
    <w:p w:rsidR="00456002" w:rsidRPr="00A75DF9" w:rsidRDefault="00456002" w:rsidP="00822871">
      <w:pPr>
        <w:numPr>
          <w:ilvl w:val="0"/>
          <w:numId w:val="19"/>
        </w:numPr>
        <w:spacing w:after="60"/>
        <w:rPr>
          <w:rFonts w:cs="Tahoma"/>
        </w:rPr>
      </w:pPr>
      <w:r w:rsidRPr="00A75DF9">
        <w:rPr>
          <w:rFonts w:cs="Tahoma"/>
        </w:rPr>
        <w:t xml:space="preserve">Aggiornamento: 1 licenza </w:t>
      </w:r>
    </w:p>
    <w:p w:rsidR="00456002" w:rsidRPr="00A75DF9" w:rsidRDefault="00456002" w:rsidP="00822871">
      <w:pPr>
        <w:numPr>
          <w:ilvl w:val="0"/>
          <w:numId w:val="19"/>
        </w:numPr>
        <w:spacing w:after="60"/>
        <w:rPr>
          <w:rFonts w:cs="Tahoma"/>
        </w:rPr>
      </w:pPr>
      <w:r w:rsidRPr="00A75DF9">
        <w:rPr>
          <w:rFonts w:cs="Tahoma"/>
        </w:rPr>
        <w:t xml:space="preserve">Software Assurance: 1 licenza </w:t>
      </w:r>
    </w:p>
    <w:p w:rsidR="00456002" w:rsidRPr="00A75DF9" w:rsidRDefault="00456002" w:rsidP="00822871">
      <w:pPr>
        <w:numPr>
          <w:ilvl w:val="0"/>
          <w:numId w:val="19"/>
        </w:numPr>
        <w:spacing w:after="60"/>
        <w:rPr>
          <w:rFonts w:cs="Tahoma"/>
        </w:rPr>
      </w:pPr>
      <w:r w:rsidRPr="00A75DF9">
        <w:rPr>
          <w:rFonts w:cs="Tahoma"/>
        </w:rPr>
        <w:t xml:space="preserve">Licenza e Software Assurance: 2 licenze </w:t>
      </w:r>
    </w:p>
    <w:p w:rsidR="00456002" w:rsidRPr="00A75DF9" w:rsidRDefault="00456002" w:rsidP="00822871">
      <w:pPr>
        <w:numPr>
          <w:ilvl w:val="0"/>
          <w:numId w:val="19"/>
        </w:numPr>
        <w:spacing w:after="60"/>
        <w:rPr>
          <w:rFonts w:cs="Tahoma"/>
        </w:rPr>
      </w:pPr>
      <w:r w:rsidRPr="00A75DF9">
        <w:rPr>
          <w:rFonts w:cs="Tahoma"/>
        </w:rPr>
        <w:t>Aggiornamento e Software Assurance: 2 licenze</w:t>
      </w:r>
    </w:p>
    <w:p w:rsidR="00456002" w:rsidRPr="00A75DF9" w:rsidRDefault="00456002" w:rsidP="00822871">
      <w:pPr>
        <w:numPr>
          <w:ilvl w:val="0"/>
          <w:numId w:val="19"/>
        </w:numPr>
        <w:spacing w:after="60"/>
        <w:rPr>
          <w:rFonts w:cs="Tahoma"/>
        </w:rPr>
      </w:pPr>
      <w:r w:rsidRPr="00A75DF9">
        <w:rPr>
          <w:rFonts w:cs="Tahoma"/>
        </w:rPr>
        <w:t xml:space="preserve">Licenza Work at Home: 1 licenza </w:t>
      </w:r>
    </w:p>
    <w:p w:rsidR="00456002" w:rsidRPr="00A75DF9" w:rsidRDefault="00456002" w:rsidP="00822871">
      <w:pPr>
        <w:numPr>
          <w:ilvl w:val="0"/>
          <w:numId w:val="19"/>
        </w:numPr>
        <w:spacing w:after="60"/>
        <w:rPr>
          <w:rFonts w:cs="Tahoma"/>
        </w:rPr>
      </w:pPr>
      <w:r w:rsidRPr="00A75DF9">
        <w:rPr>
          <w:rFonts w:cs="Tahoma"/>
        </w:rPr>
        <w:t>Licenza Step-Up: 1 licenza</w:t>
      </w:r>
    </w:p>
    <w:p w:rsidR="00456002" w:rsidRPr="00A75DF9" w:rsidRDefault="002435BA" w:rsidP="00822871">
      <w:pPr>
        <w:numPr>
          <w:ilvl w:val="0"/>
          <w:numId w:val="19"/>
        </w:numPr>
        <w:spacing w:after="60"/>
        <w:rPr>
          <w:rFonts w:cs="Tahoma"/>
        </w:rPr>
      </w:pPr>
      <w:r w:rsidRPr="00A75DF9">
        <w:rPr>
          <w:rFonts w:cs="Tahoma"/>
        </w:rPr>
        <w:t>Corrispettivi. 1 licenza</w:t>
      </w:r>
    </w:p>
    <w:p w:rsidR="00456002" w:rsidRPr="00A75DF9" w:rsidRDefault="00456002" w:rsidP="00822871">
      <w:pPr>
        <w:numPr>
          <w:ilvl w:val="0"/>
          <w:numId w:val="19"/>
        </w:numPr>
        <w:spacing w:after="60"/>
        <w:rPr>
          <w:rFonts w:cs="Tahoma"/>
        </w:rPr>
      </w:pPr>
      <w:r w:rsidRPr="00A75DF9">
        <w:rPr>
          <w:rFonts w:cs="Tahoma"/>
        </w:rPr>
        <w:t>Licenza “Subscription”: 1 licenza</w:t>
      </w:r>
    </w:p>
    <w:p w:rsidR="00456002" w:rsidRPr="00DC2DAE" w:rsidRDefault="00456002" w:rsidP="00E64551">
      <w:pPr>
        <w:pStyle w:val="Heading2"/>
        <w:ind w:left="0"/>
        <w:rPr>
          <w:rFonts w:ascii="Tahoma" w:hAnsi="Tahoma" w:cs="Tahoma"/>
          <w:b w:val="0"/>
          <w:bCs/>
          <w:sz w:val="18"/>
          <w:szCs w:val="18"/>
        </w:rPr>
      </w:pPr>
    </w:p>
    <w:p w:rsidR="00E64551" w:rsidRPr="00A75DF9" w:rsidRDefault="00456002" w:rsidP="009C0DC9">
      <w:pPr>
        <w:pStyle w:val="Heading2"/>
        <w:ind w:left="0"/>
        <w:rPr>
          <w:rFonts w:ascii="Tahoma" w:hAnsi="Tahoma" w:cs="Tahoma"/>
        </w:rPr>
      </w:pPr>
      <w:bookmarkStart w:id="612" w:name="_Toc336338191"/>
      <w:bookmarkStart w:id="613" w:name="_Toc323159726"/>
      <w:bookmarkStart w:id="614" w:name="_Toc368310181"/>
      <w:r w:rsidRPr="00A75DF9">
        <w:rPr>
          <w:rFonts w:ascii="Tahoma" w:hAnsi="Tahoma" w:cs="Tahoma"/>
        </w:rPr>
        <w:t>Requisiti Minimi dell</w:t>
      </w:r>
      <w:r w:rsidR="00F2643E">
        <w:rPr>
          <w:rFonts w:ascii="Tahoma" w:hAnsi="Tahoma" w:cs="Tahoma"/>
        </w:rPr>
        <w:t>’</w:t>
      </w:r>
      <w:r w:rsidRPr="00A75DF9">
        <w:rPr>
          <w:rFonts w:ascii="Tahoma" w:hAnsi="Tahoma" w:cs="Tahoma"/>
        </w:rPr>
        <w:t>Ordine</w:t>
      </w:r>
      <w:bookmarkEnd w:id="612"/>
      <w:bookmarkEnd w:id="614"/>
    </w:p>
    <w:bookmarkEnd w:id="613"/>
    <w:p w:rsidR="00456002" w:rsidRPr="00A75DF9" w:rsidRDefault="00456002" w:rsidP="00456002">
      <w:pPr>
        <w:rPr>
          <w:rFonts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270"/>
        <w:gridCol w:w="6946"/>
      </w:tblGrid>
      <w:tr w:rsidR="00456002" w:rsidRPr="00A75DF9" w:rsidTr="00DC2DAE">
        <w:trPr>
          <w:tblHeader/>
        </w:trPr>
        <w:tc>
          <w:tcPr>
            <w:tcW w:w="2270" w:type="dxa"/>
            <w:shd w:val="clear" w:color="auto" w:fill="FABF8F"/>
          </w:tcPr>
          <w:p w:rsidR="00456002" w:rsidRPr="00A75DF9" w:rsidRDefault="00456002" w:rsidP="005C647E">
            <w:pPr>
              <w:pStyle w:val="AppendixBodyText"/>
              <w:ind w:right="720"/>
              <w:jc w:val="center"/>
              <w:rPr>
                <w:rFonts w:ascii="Tahoma" w:hAnsi="Tahoma" w:cs="Tahoma"/>
                <w:b/>
                <w:color w:val="000000"/>
                <w:sz w:val="22"/>
                <w:szCs w:val="18"/>
                <w:lang w:eastAsia="ja-JP"/>
              </w:rPr>
            </w:pPr>
            <w:r w:rsidRPr="00A75DF9">
              <w:rPr>
                <w:rFonts w:ascii="Tahoma" w:hAnsi="Tahoma" w:cs="Tahoma"/>
                <w:b/>
                <w:color w:val="000000"/>
                <w:sz w:val="22"/>
                <w:szCs w:val="18"/>
              </w:rPr>
              <w:t>Programmi</w:t>
            </w:r>
          </w:p>
        </w:tc>
        <w:tc>
          <w:tcPr>
            <w:tcW w:w="6946" w:type="dxa"/>
            <w:shd w:val="clear" w:color="auto" w:fill="FABF8F"/>
          </w:tcPr>
          <w:p w:rsidR="00456002" w:rsidRPr="00A75DF9" w:rsidRDefault="00456002" w:rsidP="005C647E">
            <w:pPr>
              <w:pStyle w:val="AppendixBodyText"/>
              <w:ind w:right="720"/>
              <w:jc w:val="center"/>
              <w:rPr>
                <w:rFonts w:ascii="Tahoma" w:hAnsi="Tahoma" w:cs="Tahoma"/>
                <w:b/>
                <w:color w:val="000000"/>
                <w:sz w:val="22"/>
                <w:szCs w:val="18"/>
                <w:lang w:eastAsia="ja-JP"/>
              </w:rPr>
            </w:pPr>
            <w:r w:rsidRPr="00A75DF9">
              <w:rPr>
                <w:rFonts w:ascii="Tahoma" w:hAnsi="Tahoma" w:cs="Tahoma"/>
                <w:b/>
                <w:color w:val="000000"/>
                <w:sz w:val="22"/>
                <w:szCs w:val="18"/>
              </w:rPr>
              <w:t>Requisiti Minimi dell</w:t>
            </w:r>
            <w:r w:rsidR="00F2643E">
              <w:rPr>
                <w:rFonts w:ascii="Tahoma" w:hAnsi="Tahoma" w:cs="Tahoma"/>
                <w:b/>
                <w:color w:val="000000"/>
                <w:sz w:val="22"/>
                <w:szCs w:val="18"/>
              </w:rPr>
              <w:t>’</w:t>
            </w:r>
            <w:r w:rsidRPr="00A75DF9">
              <w:rPr>
                <w:rFonts w:ascii="Tahoma" w:hAnsi="Tahoma" w:cs="Tahoma"/>
                <w:b/>
                <w:color w:val="000000"/>
                <w:sz w:val="22"/>
                <w:szCs w:val="18"/>
              </w:rPr>
              <w:t>Ordine</w:t>
            </w:r>
          </w:p>
        </w:tc>
      </w:tr>
      <w:tr w:rsidR="00456002" w:rsidRPr="00A75DF9" w:rsidTr="00DC2DAE">
        <w:trPr>
          <w:trHeight w:val="1025"/>
        </w:trPr>
        <w:tc>
          <w:tcPr>
            <w:tcW w:w="2270" w:type="dxa"/>
            <w:shd w:val="clear" w:color="auto" w:fill="auto"/>
          </w:tcPr>
          <w:p w:rsidR="00456002" w:rsidRPr="00A75DF9" w:rsidRDefault="00456002" w:rsidP="001323B9">
            <w:pPr>
              <w:pStyle w:val="AppendixBodyText"/>
              <w:spacing w:before="60"/>
              <w:ind w:right="720"/>
              <w:rPr>
                <w:rFonts w:ascii="Tahoma" w:hAnsi="Tahoma" w:cs="Tahoma"/>
                <w:b/>
                <w:color w:val="000000"/>
                <w:sz w:val="18"/>
                <w:szCs w:val="18"/>
                <w:lang w:eastAsia="ja-JP"/>
              </w:rPr>
            </w:pPr>
            <w:r w:rsidRPr="00A75DF9">
              <w:rPr>
                <w:rFonts w:ascii="Tahoma" w:hAnsi="Tahoma" w:cs="Tahoma"/>
                <w:b/>
                <w:color w:val="000000"/>
                <w:szCs w:val="18"/>
              </w:rPr>
              <w:t>Open License, Open Value, e Open Value Subscription (per Società Commerciali ed Enti Pubblici)</w:t>
            </w:r>
          </w:p>
        </w:tc>
        <w:tc>
          <w:tcPr>
            <w:tcW w:w="6946" w:type="dxa"/>
            <w:shd w:val="clear" w:color="auto" w:fill="auto"/>
          </w:tcPr>
          <w:p w:rsidR="00456002" w:rsidRPr="00A75DF9" w:rsidRDefault="004B6D8C" w:rsidP="00A70464">
            <w:pPr>
              <w:pStyle w:val="AppendixBodyText"/>
              <w:spacing w:before="60"/>
              <w:ind w:right="720"/>
              <w:rPr>
                <w:rFonts w:ascii="Tahoma" w:hAnsi="Tahoma" w:cs="Tahoma"/>
              </w:rPr>
            </w:pPr>
            <w:r w:rsidRPr="00A75DF9">
              <w:rPr>
                <w:rFonts w:ascii="Tahoma" w:hAnsi="Tahoma" w:cs="Tahoma"/>
                <w:b/>
                <w:sz w:val="18"/>
              </w:rPr>
              <w:t>Licenza Open</w:t>
            </w:r>
          </w:p>
          <w:p w:rsidR="00456002" w:rsidRPr="00DC2DAE" w:rsidRDefault="00456002" w:rsidP="00DC2DAE">
            <w:pPr>
              <w:pStyle w:val="AppendixBodyText"/>
              <w:ind w:right="720"/>
              <w:rPr>
                <w:rFonts w:ascii="Tahoma" w:hAnsi="Tahoma" w:cs="Tahoma"/>
                <w:spacing w:val="-4"/>
              </w:rPr>
            </w:pPr>
            <w:r w:rsidRPr="00DC2DAE">
              <w:rPr>
                <w:rFonts w:ascii="Tahoma" w:hAnsi="Tahoma" w:cs="Tahoma"/>
                <w:spacing w:val="-4"/>
                <w:sz w:val="18"/>
              </w:rPr>
              <w:t>Open License richiede un ordine minimo di 5 licenze, 5 SA o di qualsiasi combinazione per stabilire un Numero di Autorizzazione.</w:t>
            </w:r>
            <w:r w:rsidR="009D3B41" w:rsidRPr="00DC2DAE">
              <w:rPr>
                <w:rFonts w:ascii="Tahoma" w:hAnsi="Tahoma" w:cs="Tahoma"/>
                <w:spacing w:val="-4"/>
                <w:sz w:val="18"/>
              </w:rPr>
              <w:t xml:space="preserve"> </w:t>
            </w:r>
            <w:r w:rsidRPr="00DC2DAE">
              <w:rPr>
                <w:rFonts w:ascii="Tahoma" w:hAnsi="Tahoma" w:cs="Tahoma"/>
                <w:spacing w:val="-4"/>
                <w:sz w:val="18"/>
              </w:rPr>
              <w:t>Ad esempio, 2</w:t>
            </w:r>
            <w:r w:rsidR="00DC2DAE" w:rsidRPr="00DC2DAE">
              <w:rPr>
                <w:rFonts w:ascii="Tahoma" w:hAnsi="Tahoma" w:cs="Tahoma"/>
                <w:spacing w:val="-4"/>
                <w:sz w:val="18"/>
              </w:rPr>
              <w:t> </w:t>
            </w:r>
            <w:r w:rsidRPr="00DC2DAE">
              <w:rPr>
                <w:rFonts w:ascii="Tahoma" w:hAnsi="Tahoma" w:cs="Tahoma"/>
                <w:spacing w:val="-4"/>
                <w:sz w:val="18"/>
              </w:rPr>
              <w:t>Licenza e Software Assurance e 1 Licenza Standard soddisferebbero l</w:t>
            </w:r>
            <w:r w:rsidR="00F2643E">
              <w:rPr>
                <w:rFonts w:ascii="Tahoma" w:hAnsi="Tahoma" w:cs="Tahoma"/>
                <w:spacing w:val="-4"/>
                <w:sz w:val="18"/>
              </w:rPr>
              <w:t>’</w:t>
            </w:r>
            <w:r w:rsidRPr="00DC2DAE">
              <w:rPr>
                <w:rFonts w:ascii="Tahoma" w:hAnsi="Tahoma" w:cs="Tahoma"/>
                <w:spacing w:val="-4"/>
                <w:sz w:val="18"/>
              </w:rPr>
              <w:t>acquisto minimo di 5 licenze richiesto per partecipare a uno o all</w:t>
            </w:r>
            <w:r w:rsidR="00F2643E">
              <w:rPr>
                <w:rFonts w:ascii="Tahoma" w:hAnsi="Tahoma" w:cs="Tahoma"/>
                <w:spacing w:val="-4"/>
                <w:sz w:val="18"/>
              </w:rPr>
              <w:t>’</w:t>
            </w:r>
            <w:r w:rsidRPr="00DC2DAE">
              <w:rPr>
                <w:rFonts w:ascii="Tahoma" w:hAnsi="Tahoma" w:cs="Tahoma"/>
                <w:spacing w:val="-4"/>
                <w:sz w:val="18"/>
              </w:rPr>
              <w:t xml:space="preserve">altro programma. </w:t>
            </w:r>
          </w:p>
          <w:p w:rsidR="00456002" w:rsidRDefault="00456002" w:rsidP="003E606C">
            <w:pPr>
              <w:pStyle w:val="AppendixBodyText"/>
              <w:spacing w:after="0"/>
              <w:ind w:right="720"/>
              <w:rPr>
                <w:rFonts w:ascii="Tahoma" w:hAnsi="Tahoma" w:cs="Tahoma"/>
              </w:rPr>
            </w:pPr>
          </w:p>
          <w:p w:rsidR="004B6D8C" w:rsidRPr="00A75DF9" w:rsidRDefault="00456002" w:rsidP="005C647E">
            <w:pPr>
              <w:pStyle w:val="AppendixBodyText"/>
              <w:ind w:right="720"/>
              <w:rPr>
                <w:rFonts w:ascii="Tahoma" w:hAnsi="Tahoma" w:cs="Tahoma"/>
              </w:rPr>
            </w:pPr>
            <w:r w:rsidRPr="00A75DF9">
              <w:rPr>
                <w:rFonts w:ascii="Tahoma" w:hAnsi="Tahoma" w:cs="Tahoma"/>
                <w:b/>
                <w:sz w:val="18"/>
              </w:rPr>
              <w:t>Open Value e Open Value Subscription</w:t>
            </w:r>
          </w:p>
          <w:p w:rsidR="00456002" w:rsidRPr="00A75DF9" w:rsidRDefault="00456002" w:rsidP="005C647E">
            <w:pPr>
              <w:pStyle w:val="AppendixBodyText"/>
              <w:ind w:right="720"/>
              <w:rPr>
                <w:rFonts w:ascii="Tahoma" w:hAnsi="Tahoma" w:cs="Tahoma"/>
              </w:rPr>
            </w:pPr>
            <w:r w:rsidRPr="00A75DF9">
              <w:rPr>
                <w:rFonts w:ascii="Tahoma" w:hAnsi="Tahoma" w:cs="Tahoma"/>
                <w:sz w:val="18"/>
              </w:rPr>
              <w:t xml:space="preserve">Open Value richiede un ordine minimo di 5 U&amp;SA, 5 L&amp;SA, 5 SA, 5 Licenze “Subscription” o di qualsiasi combinazione per stipulare un contratto. </w:t>
            </w:r>
          </w:p>
          <w:p w:rsidR="00456002" w:rsidRPr="00DC2DAE" w:rsidRDefault="00456002" w:rsidP="00A51838">
            <w:pPr>
              <w:pStyle w:val="AppendixBodyText"/>
              <w:spacing w:after="0"/>
              <w:ind w:right="720"/>
              <w:rPr>
                <w:rFonts w:ascii="Tahoma" w:hAnsi="Tahoma" w:cs="Tahoma"/>
                <w:spacing w:val="-2"/>
              </w:rPr>
            </w:pPr>
            <w:r w:rsidRPr="00DC2DAE">
              <w:rPr>
                <w:rFonts w:ascii="Tahoma" w:hAnsi="Tahoma" w:cs="Tahoma"/>
                <w:b/>
                <w:spacing w:val="-2"/>
                <w:sz w:val="18"/>
              </w:rPr>
              <w:lastRenderedPageBreak/>
              <w:t>Nota:</w:t>
            </w:r>
            <w:r w:rsidRPr="00DC2DAE">
              <w:rPr>
                <w:rFonts w:ascii="Tahoma" w:hAnsi="Tahoma" w:cs="Tahoma"/>
                <w:spacing w:val="-2"/>
                <w:sz w:val="18"/>
              </w:rPr>
              <w:t xml:space="preserve"> una licenza singola per alcuni prodotti dei programmi Open e Open Value soddisfa il requisito minimo di 5 licenze.</w:t>
            </w:r>
            <w:r w:rsidR="009D3B41" w:rsidRPr="00DC2DAE">
              <w:rPr>
                <w:rFonts w:ascii="Tahoma" w:hAnsi="Tahoma" w:cs="Tahoma"/>
                <w:spacing w:val="-2"/>
                <w:sz w:val="18"/>
              </w:rPr>
              <w:t xml:space="preserve"> </w:t>
            </w:r>
            <w:r w:rsidRPr="00DC2DAE">
              <w:rPr>
                <w:rFonts w:ascii="Tahoma" w:hAnsi="Tahoma" w:cs="Tahoma"/>
                <w:spacing w:val="-2"/>
                <w:sz w:val="18"/>
              </w:rPr>
              <w:t>Fare riferimento alle singole note del prodotto per determinare quali prodotti si qualificano per questa eccezione.</w:t>
            </w:r>
          </w:p>
          <w:p w:rsidR="00A51838" w:rsidRPr="00A75DF9" w:rsidRDefault="00A51838" w:rsidP="00A51838">
            <w:pPr>
              <w:pStyle w:val="AppendixBodyText"/>
              <w:spacing w:after="0"/>
              <w:ind w:right="720"/>
              <w:rPr>
                <w:rFonts w:ascii="Tahoma" w:hAnsi="Tahoma" w:cs="Tahoma"/>
                <w:sz w:val="18"/>
                <w:lang w:eastAsia="ja-JP"/>
              </w:rPr>
            </w:pPr>
          </w:p>
        </w:tc>
      </w:tr>
      <w:tr w:rsidR="00456002" w:rsidRPr="00A75DF9" w:rsidTr="00DC2DAE">
        <w:trPr>
          <w:trHeight w:val="710"/>
        </w:trPr>
        <w:tc>
          <w:tcPr>
            <w:tcW w:w="2270" w:type="dxa"/>
            <w:shd w:val="clear" w:color="auto" w:fill="auto"/>
          </w:tcPr>
          <w:p w:rsidR="00456002" w:rsidRPr="00A75DF9" w:rsidRDefault="00456002" w:rsidP="00A70464">
            <w:pPr>
              <w:pStyle w:val="AppendixBodyText"/>
              <w:spacing w:before="60"/>
              <w:ind w:right="720"/>
              <w:rPr>
                <w:rFonts w:ascii="Tahoma" w:hAnsi="Tahoma" w:cs="Tahoma"/>
                <w:b/>
                <w:color w:val="000000"/>
                <w:szCs w:val="18"/>
                <w:lang w:eastAsia="ja-JP"/>
              </w:rPr>
            </w:pPr>
            <w:r w:rsidRPr="00A75DF9">
              <w:rPr>
                <w:rFonts w:ascii="Tahoma" w:hAnsi="Tahoma" w:cs="Tahoma"/>
                <w:b/>
                <w:color w:val="000000"/>
                <w:szCs w:val="18"/>
              </w:rPr>
              <w:lastRenderedPageBreak/>
              <w:t>Open Value Subscription - ES</w:t>
            </w:r>
          </w:p>
        </w:tc>
        <w:tc>
          <w:tcPr>
            <w:tcW w:w="6946" w:type="dxa"/>
            <w:shd w:val="clear" w:color="auto" w:fill="auto"/>
          </w:tcPr>
          <w:p w:rsidR="00456002" w:rsidRPr="00A75DF9" w:rsidRDefault="00456002" w:rsidP="00DC2DAE">
            <w:pPr>
              <w:spacing w:before="60"/>
              <w:rPr>
                <w:rFonts w:cs="Tahoma"/>
              </w:rPr>
            </w:pPr>
            <w:r w:rsidRPr="00A75DF9">
              <w:rPr>
                <w:rFonts w:cs="Tahoma"/>
                <w:szCs w:val="18"/>
              </w:rPr>
              <w:t>Open Value Subscription - ES richiede che vi sia almeno un Prodotto della Piattaforma Desktop ogni 5 dell</w:t>
            </w:r>
            <w:r w:rsidR="00F2643E">
              <w:rPr>
                <w:rFonts w:cs="Tahoma"/>
                <w:szCs w:val="18"/>
              </w:rPr>
              <w:t>’</w:t>
            </w:r>
            <w:r w:rsidRPr="00A75DF9">
              <w:rPr>
                <w:rFonts w:cs="Tahoma"/>
                <w:szCs w:val="18"/>
              </w:rPr>
              <w:t>intera organizzazione OPPURE almeno un Prodotto</w:t>
            </w:r>
            <w:r w:rsidR="00DC2DAE">
              <w:rPr>
                <w:rFonts w:cs="Tahoma"/>
                <w:szCs w:val="18"/>
              </w:rPr>
              <w:t> </w:t>
            </w:r>
            <w:r w:rsidRPr="00A75DF9">
              <w:rPr>
                <w:rFonts w:cs="Tahoma"/>
                <w:szCs w:val="18"/>
              </w:rPr>
              <w:t>della Piattaforma Desktop ogni 5 Studenti.</w:t>
            </w:r>
          </w:p>
          <w:p w:rsidR="00230E01" w:rsidRPr="00A75DF9" w:rsidRDefault="00230E01" w:rsidP="00230E01">
            <w:pPr>
              <w:rPr>
                <w:rFonts w:cs="Tahoma"/>
                <w:szCs w:val="18"/>
              </w:rPr>
            </w:pPr>
          </w:p>
        </w:tc>
      </w:tr>
      <w:tr w:rsidR="00456002" w:rsidRPr="00A75DF9" w:rsidTr="00E72B9D">
        <w:tc>
          <w:tcPr>
            <w:tcW w:w="2270" w:type="dxa"/>
            <w:shd w:val="clear" w:color="auto" w:fill="auto"/>
          </w:tcPr>
          <w:p w:rsidR="00456002" w:rsidRPr="00A75DF9" w:rsidRDefault="00456002" w:rsidP="00A70464">
            <w:pPr>
              <w:pStyle w:val="AppendixBodyText"/>
              <w:spacing w:before="60"/>
              <w:ind w:right="720"/>
              <w:rPr>
                <w:rFonts w:ascii="Tahoma" w:hAnsi="Tahoma" w:cs="Tahoma"/>
                <w:b/>
                <w:color w:val="000000"/>
                <w:szCs w:val="18"/>
                <w:lang w:eastAsia="ja-JP"/>
              </w:rPr>
            </w:pPr>
            <w:r w:rsidRPr="00A75DF9">
              <w:rPr>
                <w:rFonts w:ascii="Tahoma" w:hAnsi="Tahoma" w:cs="Tahoma"/>
                <w:b/>
                <w:color w:val="000000"/>
                <w:szCs w:val="18"/>
              </w:rPr>
              <w:t>Select</w:t>
            </w:r>
          </w:p>
        </w:tc>
        <w:tc>
          <w:tcPr>
            <w:tcW w:w="6946" w:type="dxa"/>
            <w:shd w:val="clear" w:color="auto" w:fill="auto"/>
          </w:tcPr>
          <w:p w:rsidR="00456002" w:rsidRPr="00A75DF9" w:rsidRDefault="00456002" w:rsidP="00230E01">
            <w:pPr>
              <w:pStyle w:val="AppendixBodyText"/>
              <w:spacing w:before="60" w:after="0"/>
              <w:ind w:right="720"/>
              <w:rPr>
                <w:rFonts w:ascii="Tahoma" w:hAnsi="Tahoma" w:cs="Tahoma"/>
              </w:rPr>
            </w:pPr>
            <w:r w:rsidRPr="00A75DF9">
              <w:rPr>
                <w:rFonts w:ascii="Tahoma" w:hAnsi="Tahoma" w:cs="Tahoma"/>
                <w:color w:val="000000"/>
                <w:sz w:val="18"/>
                <w:szCs w:val="18"/>
              </w:rPr>
              <w:t>Select richiede un ordine minimo di 1.500 punti per gruppo per il periodo di validità del contratto.</w:t>
            </w:r>
            <w:r w:rsidR="009D3B41" w:rsidRPr="00A75DF9">
              <w:rPr>
                <w:rFonts w:ascii="Tahoma" w:hAnsi="Tahoma" w:cs="Tahoma"/>
                <w:color w:val="000000"/>
                <w:sz w:val="18"/>
                <w:szCs w:val="18"/>
              </w:rPr>
              <w:t xml:space="preserve"> </w:t>
            </w:r>
            <w:r w:rsidRPr="00A75DF9">
              <w:rPr>
                <w:rFonts w:ascii="Tahoma" w:hAnsi="Tahoma" w:cs="Tahoma"/>
                <w:color w:val="000000"/>
                <w:sz w:val="18"/>
                <w:szCs w:val="18"/>
              </w:rPr>
              <w:t>È possibile ignorare i requisiti di quantità minima per l</w:t>
            </w:r>
            <w:r w:rsidR="00F2643E">
              <w:rPr>
                <w:rFonts w:ascii="Tahoma" w:hAnsi="Tahoma" w:cs="Tahoma"/>
                <w:color w:val="000000"/>
                <w:sz w:val="18"/>
                <w:szCs w:val="18"/>
              </w:rPr>
              <w:t>’</w:t>
            </w:r>
            <w:r w:rsidRPr="00A75DF9">
              <w:rPr>
                <w:rFonts w:ascii="Tahoma" w:hAnsi="Tahoma" w:cs="Tahoma"/>
                <w:color w:val="000000"/>
                <w:sz w:val="18"/>
                <w:szCs w:val="18"/>
              </w:rPr>
              <w:t>ordine nel caso in cui venga fornito un contratto qualificante.</w:t>
            </w:r>
          </w:p>
          <w:p w:rsidR="00230E01" w:rsidRPr="00A75DF9" w:rsidRDefault="00230E01" w:rsidP="00230E01">
            <w:pPr>
              <w:pStyle w:val="AppendixBodyText"/>
              <w:spacing w:after="0"/>
              <w:ind w:right="720"/>
              <w:rPr>
                <w:rFonts w:ascii="Tahoma" w:hAnsi="Tahoma" w:cs="Tahoma"/>
                <w:color w:val="000000"/>
                <w:sz w:val="18"/>
                <w:szCs w:val="18"/>
                <w:lang w:eastAsia="ja-JP"/>
              </w:rPr>
            </w:pPr>
          </w:p>
        </w:tc>
      </w:tr>
      <w:tr w:rsidR="00456002" w:rsidRPr="00A75DF9" w:rsidTr="00E72B9D">
        <w:tc>
          <w:tcPr>
            <w:tcW w:w="2270" w:type="dxa"/>
            <w:shd w:val="clear" w:color="auto" w:fill="auto"/>
          </w:tcPr>
          <w:p w:rsidR="00456002" w:rsidRPr="00A75DF9" w:rsidRDefault="00456002" w:rsidP="00A70464">
            <w:pPr>
              <w:pStyle w:val="AppendixBodyText"/>
              <w:spacing w:before="60"/>
              <w:ind w:right="720"/>
              <w:rPr>
                <w:rFonts w:ascii="Tahoma" w:hAnsi="Tahoma" w:cs="Tahoma"/>
                <w:b/>
                <w:color w:val="000000"/>
                <w:szCs w:val="18"/>
                <w:lang w:eastAsia="ja-JP"/>
              </w:rPr>
            </w:pPr>
            <w:r w:rsidRPr="00A75DF9">
              <w:rPr>
                <w:rFonts w:ascii="Tahoma" w:hAnsi="Tahoma" w:cs="Tahoma"/>
                <w:b/>
                <w:color w:val="000000"/>
                <w:szCs w:val="18"/>
              </w:rPr>
              <w:t>Select Plus</w:t>
            </w:r>
          </w:p>
        </w:tc>
        <w:tc>
          <w:tcPr>
            <w:tcW w:w="6946" w:type="dxa"/>
            <w:shd w:val="clear" w:color="auto" w:fill="auto"/>
          </w:tcPr>
          <w:p w:rsidR="00456002" w:rsidRPr="00A75DF9" w:rsidRDefault="00456002" w:rsidP="00A70464">
            <w:pPr>
              <w:pStyle w:val="AppendixBodyText"/>
              <w:spacing w:before="60"/>
              <w:ind w:right="720"/>
              <w:rPr>
                <w:rFonts w:ascii="Tahoma" w:hAnsi="Tahoma" w:cs="Tahoma"/>
              </w:rPr>
            </w:pPr>
            <w:r w:rsidRPr="00A75DF9">
              <w:rPr>
                <w:rFonts w:ascii="Tahoma" w:hAnsi="Tahoma" w:cs="Tahoma"/>
                <w:color w:val="000000"/>
                <w:sz w:val="18"/>
                <w:szCs w:val="18"/>
              </w:rPr>
              <w:t>Select Plus richiede un ordine minimo di 500 punti per gruppo nel corso del primo anno.</w:t>
            </w:r>
            <w:r w:rsidR="009D3B41" w:rsidRPr="00A75DF9">
              <w:rPr>
                <w:rFonts w:ascii="Tahoma" w:hAnsi="Tahoma" w:cs="Tahoma"/>
                <w:color w:val="000000"/>
                <w:sz w:val="18"/>
                <w:szCs w:val="18"/>
              </w:rPr>
              <w:t xml:space="preserve"> </w:t>
            </w:r>
            <w:r w:rsidRPr="00A75DF9">
              <w:rPr>
                <w:rFonts w:ascii="Tahoma" w:hAnsi="Tahoma" w:cs="Tahoma"/>
                <w:color w:val="000000"/>
                <w:sz w:val="18"/>
                <w:szCs w:val="18"/>
              </w:rPr>
              <w:t>È possibile ignorare il requisito di quantità per l</w:t>
            </w:r>
            <w:r w:rsidR="00F2643E">
              <w:rPr>
                <w:rFonts w:ascii="Tahoma" w:hAnsi="Tahoma" w:cs="Tahoma"/>
                <w:color w:val="000000"/>
                <w:sz w:val="18"/>
                <w:szCs w:val="18"/>
              </w:rPr>
              <w:t>’</w:t>
            </w:r>
            <w:r w:rsidRPr="00A75DF9">
              <w:rPr>
                <w:rFonts w:ascii="Tahoma" w:hAnsi="Tahoma" w:cs="Tahoma"/>
                <w:color w:val="000000"/>
                <w:sz w:val="18"/>
                <w:szCs w:val="18"/>
              </w:rPr>
              <w:t>ordine nel caso in cui venga fornito un contratto qualificante.</w:t>
            </w:r>
          </w:p>
          <w:p w:rsidR="00456002" w:rsidRPr="00A75DF9" w:rsidRDefault="00456002" w:rsidP="00A70464">
            <w:pPr>
              <w:pStyle w:val="AppendixBodyText"/>
              <w:spacing w:after="0"/>
              <w:ind w:right="720"/>
              <w:rPr>
                <w:rFonts w:ascii="Tahoma" w:hAnsi="Tahoma" w:cs="Tahoma"/>
              </w:rPr>
            </w:pPr>
          </w:p>
          <w:p w:rsidR="00456002" w:rsidRPr="00A75DF9" w:rsidRDefault="00456002" w:rsidP="004B6D8C">
            <w:pPr>
              <w:spacing w:after="60"/>
              <w:rPr>
                <w:rFonts w:cs="Tahoma"/>
              </w:rPr>
            </w:pPr>
            <w:bookmarkStart w:id="615" w:name="_Toc323159727"/>
            <w:r w:rsidRPr="00A75DF9">
              <w:rPr>
                <w:rFonts w:cs="Tahoma"/>
                <w:b/>
              </w:rPr>
              <w:t>Livelli di Prezzo in Select Plus</w:t>
            </w:r>
            <w:bookmarkEnd w:id="615"/>
          </w:p>
          <w:p w:rsidR="00456002" w:rsidRPr="00A75DF9" w:rsidRDefault="00456002" w:rsidP="00DC2DAE">
            <w:pPr>
              <w:rPr>
                <w:rFonts w:cs="Tahoma"/>
              </w:rPr>
            </w:pPr>
            <w:r w:rsidRPr="00A75DF9">
              <w:rPr>
                <w:rFonts w:cs="Tahoma"/>
                <w:szCs w:val="18"/>
              </w:rPr>
              <w:t>La società si qualifica per il Programma Select Plus se soddisfa uno dei tre seguenti</w:t>
            </w:r>
            <w:r w:rsidR="00DC2DAE">
              <w:rPr>
                <w:rFonts w:cs="Tahoma"/>
                <w:szCs w:val="18"/>
              </w:rPr>
              <w:t> </w:t>
            </w:r>
            <w:r w:rsidRPr="00A75DF9">
              <w:rPr>
                <w:rFonts w:cs="Tahoma"/>
                <w:szCs w:val="18"/>
              </w:rPr>
              <w:t xml:space="preserve">criteri: </w:t>
            </w:r>
          </w:p>
          <w:p w:rsidR="00406CB0" w:rsidRPr="00A75DF9" w:rsidRDefault="00406CB0" w:rsidP="00A70464">
            <w:pPr>
              <w:rPr>
                <w:rFonts w:cs="Tahoma"/>
              </w:rPr>
            </w:pPr>
          </w:p>
          <w:p w:rsidR="00456002" w:rsidRPr="00A75DF9" w:rsidRDefault="00456002" w:rsidP="00346F4B">
            <w:pPr>
              <w:numPr>
                <w:ilvl w:val="0"/>
                <w:numId w:val="64"/>
              </w:numPr>
              <w:spacing w:after="60"/>
              <w:rPr>
                <w:rFonts w:cs="Tahoma"/>
              </w:rPr>
            </w:pPr>
            <w:r w:rsidRPr="00A75DF9">
              <w:rPr>
                <w:rFonts w:cs="Tahoma"/>
              </w:rPr>
              <w:t>Dispone di un</w:t>
            </w:r>
            <w:r w:rsidR="00F2643E">
              <w:rPr>
                <w:rFonts w:cs="Tahoma"/>
              </w:rPr>
              <w:t>’</w:t>
            </w:r>
            <w:r w:rsidRPr="00A75DF9">
              <w:rPr>
                <w:rFonts w:cs="Tahoma"/>
              </w:rPr>
              <w:t>Iscrizione Enterprise attiva ai sensi di un Contratto Enterprise separato o di un</w:t>
            </w:r>
            <w:r w:rsidR="00F2643E">
              <w:rPr>
                <w:rFonts w:cs="Tahoma"/>
              </w:rPr>
              <w:t>’</w:t>
            </w:r>
            <w:r w:rsidRPr="00A75DF9">
              <w:rPr>
                <w:rFonts w:cs="Tahoma"/>
              </w:rPr>
              <w:t>Iscrizione Enterprise Subscription ai sensi di un contratto Enterprise Subscription (gli istituti didattici possono utilizzare un Contratto Campus o School attivo oppure un Enrollment for Education Solutions attivo quale contratto qualificante);</w:t>
            </w:r>
          </w:p>
          <w:p w:rsidR="00456002" w:rsidRPr="00A75DF9" w:rsidRDefault="00456002" w:rsidP="00346F4B">
            <w:pPr>
              <w:numPr>
                <w:ilvl w:val="0"/>
                <w:numId w:val="64"/>
              </w:numPr>
              <w:spacing w:after="60"/>
              <w:rPr>
                <w:rFonts w:cs="Tahoma"/>
              </w:rPr>
            </w:pPr>
            <w:r w:rsidRPr="00A75DF9">
              <w:rPr>
                <w:rFonts w:cs="Tahoma"/>
              </w:rPr>
              <w:t xml:space="preserve">Effettua un ordine iniziale che raggiunge un minimo di 500 punti per ogni pool di prodotti che la Società seleziona durante il primo anno; </w:t>
            </w:r>
          </w:p>
          <w:p w:rsidR="00456002" w:rsidRPr="00A75DF9" w:rsidRDefault="00456002" w:rsidP="00346F4B">
            <w:pPr>
              <w:numPr>
                <w:ilvl w:val="0"/>
                <w:numId w:val="64"/>
              </w:numPr>
              <w:spacing w:after="60"/>
              <w:rPr>
                <w:rFonts w:cs="Tahoma"/>
              </w:rPr>
            </w:pPr>
            <w:r w:rsidRPr="00A75DF9">
              <w:rPr>
                <w:rFonts w:cs="Tahoma"/>
              </w:rPr>
              <w:t>Identifica un contratto in cui l</w:t>
            </w:r>
            <w:r w:rsidR="00F2643E">
              <w:rPr>
                <w:rFonts w:cs="Tahoma"/>
              </w:rPr>
              <w:t>’</w:t>
            </w:r>
            <w:r w:rsidRPr="00A75DF9">
              <w:rPr>
                <w:rFonts w:cs="Tahoma"/>
              </w:rPr>
              <w:t xml:space="preserve">ordine minimo è stato acquistato nei 12 mesi precedenti alla data di entrata in vigore del Contratto Select Plus della Società e </w:t>
            </w:r>
          </w:p>
          <w:p w:rsidR="00456002" w:rsidRPr="00A75DF9" w:rsidRDefault="00456002" w:rsidP="00A70464">
            <w:pPr>
              <w:rPr>
                <w:rFonts w:cs="Tahoma"/>
              </w:rPr>
            </w:pPr>
          </w:p>
          <w:p w:rsidR="00456002" w:rsidRPr="00A75DF9" w:rsidRDefault="00456002" w:rsidP="005C647E">
            <w:pPr>
              <w:rPr>
                <w:rFonts w:cs="Tahoma"/>
              </w:rPr>
            </w:pPr>
            <w:r w:rsidRPr="00A75DF9">
              <w:rPr>
                <w:rFonts w:cs="Tahoma"/>
                <w:szCs w:val="18"/>
              </w:rPr>
              <w:t>Per le precedenti opzioni 2 e 3, la Società deve mantenere un minimo di 500 punti in ciascun pool di prodotti scelto dalla Società all</w:t>
            </w:r>
            <w:r w:rsidR="00F2643E">
              <w:rPr>
                <w:rFonts w:cs="Tahoma"/>
                <w:szCs w:val="18"/>
              </w:rPr>
              <w:t>’</w:t>
            </w:r>
            <w:r w:rsidRPr="00A75DF9">
              <w:rPr>
                <w:rFonts w:cs="Tahoma"/>
                <w:szCs w:val="18"/>
              </w:rPr>
              <w:t xml:space="preserve">epoca della revisione. </w:t>
            </w:r>
          </w:p>
          <w:p w:rsidR="00456002" w:rsidRPr="00A75DF9" w:rsidRDefault="00456002" w:rsidP="005C647E">
            <w:pPr>
              <w:rPr>
                <w:rFonts w:cs="Tahoma"/>
              </w:rPr>
            </w:pPr>
          </w:p>
          <w:p w:rsidR="00456002" w:rsidRPr="00A75DF9" w:rsidRDefault="00456002" w:rsidP="005C647E">
            <w:pPr>
              <w:rPr>
                <w:rFonts w:cs="Tahoma"/>
              </w:rPr>
            </w:pPr>
            <w:r w:rsidRPr="00A75DF9">
              <w:rPr>
                <w:rFonts w:cs="Tahoma"/>
                <w:szCs w:val="18"/>
              </w:rPr>
              <w:t>I prezzi della Società sono basati su un contratto concluso tra la Società e il suo rivenditore. Tuttavia Microsoft fornisce al rivenditore i seguenti criteri relativi ai prezzi e ai punti per aiutarlo a definire i prezzi per il cliente finale:</w:t>
            </w:r>
            <w:r w:rsidR="009D3B41" w:rsidRPr="00A75DF9">
              <w:rPr>
                <w:rFonts w:cs="Tahoma"/>
                <w:szCs w:val="18"/>
              </w:rPr>
              <w:t xml:space="preserve"> </w:t>
            </w:r>
          </w:p>
          <w:p w:rsidR="00456002" w:rsidRPr="00A75DF9" w:rsidRDefault="00456002" w:rsidP="005C647E">
            <w:pPr>
              <w:rPr>
                <w:rFonts w:cs="Tahoma"/>
              </w:rPr>
            </w:pPr>
          </w:p>
          <w:tbl>
            <w:tblPr>
              <w:tblW w:w="0" w:type="auto"/>
              <w:jc w:val="center"/>
              <w:tblCellMar>
                <w:left w:w="0" w:type="dxa"/>
                <w:right w:w="0" w:type="dxa"/>
              </w:tblCellMar>
              <w:tblLook w:val="04A0" w:firstRow="1" w:lastRow="0" w:firstColumn="1" w:lastColumn="0" w:noHBand="0" w:noVBand="1"/>
            </w:tblPr>
            <w:tblGrid>
              <w:gridCol w:w="3321"/>
              <w:gridCol w:w="2430"/>
            </w:tblGrid>
            <w:tr w:rsidR="00DC2DAE" w:rsidRPr="00A75DF9" w:rsidTr="007E7FA6">
              <w:trPr>
                <w:trHeight w:hRule="exact" w:val="650"/>
                <w:tblHeader/>
                <w:jc w:val="center"/>
              </w:trPr>
              <w:tc>
                <w:tcPr>
                  <w:tcW w:w="3321"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hideMark/>
                </w:tcPr>
                <w:p w:rsidR="00DC2DAE" w:rsidRPr="00A75DF9" w:rsidRDefault="00DC2DAE" w:rsidP="00DC2DAE">
                  <w:pPr>
                    <w:jc w:val="center"/>
                    <w:rPr>
                      <w:rFonts w:cs="Tahoma"/>
                      <w:b/>
                      <w:sz w:val="20"/>
                      <w:szCs w:val="18"/>
                    </w:rPr>
                  </w:pPr>
                  <w:r w:rsidRPr="00A75DF9">
                    <w:rPr>
                      <w:rFonts w:cs="Tahoma"/>
                      <w:b/>
                      <w:sz w:val="20"/>
                      <w:szCs w:val="18"/>
                    </w:rPr>
                    <w:t>Livello di Prezzo in Select Plus - Commerciale</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DC2DAE" w:rsidRPr="00A75DF9" w:rsidRDefault="00DC2DAE" w:rsidP="00DC2DAE">
                  <w:pPr>
                    <w:jc w:val="center"/>
                    <w:rPr>
                      <w:rFonts w:cs="Tahoma"/>
                      <w:b/>
                      <w:sz w:val="20"/>
                      <w:szCs w:val="18"/>
                    </w:rPr>
                  </w:pPr>
                  <w:r w:rsidRPr="00A75DF9">
                    <w:rPr>
                      <w:rFonts w:cs="Tahoma"/>
                      <w:b/>
                      <w:sz w:val="20"/>
                      <w:szCs w:val="18"/>
                    </w:rPr>
                    <w:t>Minimo Punti Annuali per Pool</w:t>
                  </w:r>
                </w:p>
              </w:tc>
            </w:tr>
            <w:tr w:rsidR="00DC2DAE" w:rsidRPr="00A75DF9" w:rsidTr="007E7FA6">
              <w:trPr>
                <w:trHeight w:hRule="exact" w:val="389"/>
                <w:jc w:val="center"/>
              </w:trPr>
              <w:tc>
                <w:tcPr>
                  <w:tcW w:w="3321"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DC2DAE" w:rsidRPr="00A75DF9" w:rsidRDefault="00DC2DAE" w:rsidP="00DC2DAE">
                  <w:pPr>
                    <w:jc w:val="center"/>
                    <w:rPr>
                      <w:rFonts w:cs="Tahoma"/>
                      <w:szCs w:val="18"/>
                    </w:rPr>
                  </w:pPr>
                  <w:r w:rsidRPr="00A75DF9">
                    <w:rPr>
                      <w:rFonts w:cs="Tahoma"/>
                      <w:szCs w:val="18"/>
                    </w:rPr>
                    <w:t>A</w:t>
                  </w:r>
                </w:p>
              </w:tc>
              <w:tc>
                <w:tcPr>
                  <w:tcW w:w="2430"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C2DAE" w:rsidRPr="00A75DF9" w:rsidRDefault="00DC2DAE" w:rsidP="00DC2DAE">
                  <w:pPr>
                    <w:jc w:val="center"/>
                    <w:rPr>
                      <w:rFonts w:cs="Tahoma"/>
                      <w:szCs w:val="18"/>
                    </w:rPr>
                  </w:pPr>
                  <w:r w:rsidRPr="00A75DF9">
                    <w:rPr>
                      <w:rFonts w:cs="Tahoma"/>
                      <w:szCs w:val="18"/>
                    </w:rPr>
                    <w:t>500</w:t>
                  </w:r>
                </w:p>
              </w:tc>
            </w:tr>
            <w:tr w:rsidR="00DC2DAE" w:rsidRPr="00A75DF9" w:rsidTr="007E7FA6">
              <w:trPr>
                <w:trHeight w:hRule="exact" w:val="389"/>
                <w:jc w:val="center"/>
              </w:trPr>
              <w:tc>
                <w:tcPr>
                  <w:tcW w:w="3321"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DC2DAE" w:rsidRPr="00A75DF9" w:rsidRDefault="00DC2DAE" w:rsidP="00DC2DAE">
                  <w:pPr>
                    <w:jc w:val="center"/>
                    <w:rPr>
                      <w:rFonts w:cs="Tahoma"/>
                      <w:szCs w:val="18"/>
                    </w:rPr>
                  </w:pPr>
                  <w:r w:rsidRPr="00A75DF9">
                    <w:rPr>
                      <w:rFonts w:cs="Tahoma"/>
                      <w:szCs w:val="18"/>
                    </w:rPr>
                    <w:t>B</w:t>
                  </w:r>
                </w:p>
              </w:tc>
              <w:tc>
                <w:tcPr>
                  <w:tcW w:w="2430"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C2DAE" w:rsidRPr="00A75DF9" w:rsidRDefault="00DC2DAE" w:rsidP="00DC2DAE">
                  <w:pPr>
                    <w:jc w:val="center"/>
                    <w:rPr>
                      <w:rFonts w:cs="Tahoma"/>
                      <w:szCs w:val="18"/>
                    </w:rPr>
                  </w:pPr>
                  <w:r w:rsidRPr="00A75DF9">
                    <w:rPr>
                      <w:rFonts w:cs="Tahoma"/>
                      <w:szCs w:val="18"/>
                    </w:rPr>
                    <w:t>4</w:t>
                  </w:r>
                  <w:r>
                    <w:rPr>
                      <w:rFonts w:cs="Tahoma"/>
                      <w:szCs w:val="18"/>
                    </w:rPr>
                    <w:t>.</w:t>
                  </w:r>
                  <w:r w:rsidRPr="00A75DF9">
                    <w:rPr>
                      <w:rFonts w:cs="Tahoma"/>
                      <w:szCs w:val="18"/>
                    </w:rPr>
                    <w:t>000</w:t>
                  </w:r>
                </w:p>
              </w:tc>
            </w:tr>
            <w:tr w:rsidR="00DC2DAE" w:rsidRPr="00A75DF9" w:rsidTr="007E7FA6">
              <w:trPr>
                <w:trHeight w:hRule="exact" w:val="389"/>
                <w:jc w:val="center"/>
              </w:trPr>
              <w:tc>
                <w:tcPr>
                  <w:tcW w:w="3321"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DC2DAE" w:rsidRPr="00A75DF9" w:rsidRDefault="00DC2DAE" w:rsidP="00DC2DAE">
                  <w:pPr>
                    <w:jc w:val="center"/>
                    <w:rPr>
                      <w:rFonts w:cs="Tahoma"/>
                      <w:szCs w:val="18"/>
                    </w:rPr>
                  </w:pPr>
                  <w:r w:rsidRPr="00A75DF9">
                    <w:rPr>
                      <w:rFonts w:cs="Tahoma"/>
                      <w:szCs w:val="18"/>
                    </w:rPr>
                    <w:t>C</w:t>
                  </w:r>
                </w:p>
              </w:tc>
              <w:tc>
                <w:tcPr>
                  <w:tcW w:w="2430"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C2DAE" w:rsidRPr="00A75DF9" w:rsidRDefault="00DC2DAE" w:rsidP="00DC2DAE">
                  <w:pPr>
                    <w:jc w:val="center"/>
                    <w:rPr>
                      <w:rFonts w:cs="Tahoma"/>
                      <w:szCs w:val="18"/>
                    </w:rPr>
                  </w:pPr>
                  <w:r w:rsidRPr="00A75DF9">
                    <w:rPr>
                      <w:rFonts w:cs="Tahoma"/>
                      <w:szCs w:val="18"/>
                    </w:rPr>
                    <w:t>10</w:t>
                  </w:r>
                  <w:r>
                    <w:rPr>
                      <w:rFonts w:cs="Tahoma"/>
                      <w:szCs w:val="18"/>
                    </w:rPr>
                    <w:t>.</w:t>
                  </w:r>
                  <w:r w:rsidRPr="00A75DF9">
                    <w:rPr>
                      <w:rFonts w:cs="Tahoma"/>
                      <w:szCs w:val="18"/>
                    </w:rPr>
                    <w:t>000</w:t>
                  </w:r>
                </w:p>
              </w:tc>
            </w:tr>
            <w:tr w:rsidR="00DC2DAE" w:rsidRPr="00A75DF9" w:rsidTr="007E7FA6">
              <w:trPr>
                <w:trHeight w:hRule="exact" w:val="389"/>
                <w:jc w:val="center"/>
              </w:trPr>
              <w:tc>
                <w:tcPr>
                  <w:tcW w:w="3321"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hideMark/>
                </w:tcPr>
                <w:p w:rsidR="00DC2DAE" w:rsidRPr="00A75DF9" w:rsidRDefault="00DC2DAE" w:rsidP="00DC2DAE">
                  <w:pPr>
                    <w:jc w:val="center"/>
                    <w:rPr>
                      <w:rFonts w:cs="Tahoma"/>
                      <w:szCs w:val="18"/>
                    </w:rPr>
                  </w:pPr>
                  <w:r w:rsidRPr="00A75DF9">
                    <w:rPr>
                      <w:rFonts w:cs="Tahoma"/>
                      <w:szCs w:val="18"/>
                    </w:rPr>
                    <w:t>D</w:t>
                  </w:r>
                </w:p>
              </w:tc>
              <w:tc>
                <w:tcPr>
                  <w:tcW w:w="2430"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hideMark/>
                </w:tcPr>
                <w:p w:rsidR="00DC2DAE" w:rsidRPr="00A75DF9" w:rsidRDefault="00DC2DAE" w:rsidP="00DC2DAE">
                  <w:pPr>
                    <w:jc w:val="center"/>
                    <w:rPr>
                      <w:rFonts w:cs="Tahoma"/>
                      <w:szCs w:val="18"/>
                    </w:rPr>
                  </w:pPr>
                  <w:r w:rsidRPr="00A75DF9">
                    <w:rPr>
                      <w:rFonts w:cs="Tahoma"/>
                      <w:szCs w:val="18"/>
                    </w:rPr>
                    <w:t>25</w:t>
                  </w:r>
                  <w:r>
                    <w:rPr>
                      <w:rFonts w:cs="Tahoma"/>
                      <w:szCs w:val="18"/>
                    </w:rPr>
                    <w:t>.</w:t>
                  </w:r>
                  <w:r w:rsidRPr="00A75DF9">
                    <w:rPr>
                      <w:rFonts w:cs="Tahoma"/>
                      <w:szCs w:val="18"/>
                    </w:rPr>
                    <w:t>000</w:t>
                  </w:r>
                </w:p>
              </w:tc>
            </w:tr>
          </w:tbl>
          <w:p w:rsidR="00DC2DAE" w:rsidRDefault="00DC2DAE" w:rsidP="00230E01">
            <w:pPr>
              <w:pStyle w:val="AppendixBodyText"/>
              <w:spacing w:after="0"/>
              <w:ind w:left="605" w:right="720"/>
              <w:rPr>
                <w:rFonts w:ascii="Tahoma" w:hAnsi="Tahoma" w:cs="Tahoma"/>
                <w:i/>
                <w:sz w:val="16"/>
              </w:rPr>
            </w:pPr>
          </w:p>
          <w:p w:rsidR="00230E01" w:rsidRPr="00A75DF9" w:rsidRDefault="00646BA0" w:rsidP="00DC2DAE">
            <w:pPr>
              <w:pStyle w:val="AppendixBodyText"/>
              <w:spacing w:after="0"/>
              <w:ind w:left="605" w:right="720"/>
              <w:rPr>
                <w:rFonts w:ascii="Tahoma" w:hAnsi="Tahoma" w:cs="Tahoma"/>
                <w:color w:val="000000"/>
                <w:sz w:val="18"/>
                <w:szCs w:val="18"/>
                <w:lang w:eastAsia="ja-JP"/>
              </w:rPr>
            </w:pPr>
            <w:r w:rsidRPr="00A75DF9">
              <w:rPr>
                <w:rFonts w:ascii="Tahoma" w:hAnsi="Tahoma" w:cs="Tahoma"/>
                <w:i/>
                <w:sz w:val="16"/>
              </w:rPr>
              <w:t>Nota: qualsiasi punto che la società ha in eccesso rispetto al livello minimo di prezzo verrà riportato all</w:t>
            </w:r>
            <w:r w:rsidR="00F2643E">
              <w:rPr>
                <w:rFonts w:ascii="Tahoma" w:hAnsi="Tahoma" w:cs="Tahoma"/>
                <w:i/>
                <w:sz w:val="16"/>
              </w:rPr>
              <w:t>’</w:t>
            </w:r>
            <w:r w:rsidRPr="00A75DF9">
              <w:rPr>
                <w:rFonts w:ascii="Tahoma" w:hAnsi="Tahoma" w:cs="Tahoma"/>
                <w:i/>
                <w:sz w:val="16"/>
              </w:rPr>
              <w:t>anno successivo per il controllo della conformità di tale anno. Ad esempio, qualora la società abbia 4.500 punti al momento del controllo annuale della conformità, 500 punti verranno riportati all</w:t>
            </w:r>
            <w:r w:rsidR="00F2643E">
              <w:rPr>
                <w:rFonts w:ascii="Tahoma" w:hAnsi="Tahoma" w:cs="Tahoma"/>
                <w:i/>
                <w:sz w:val="16"/>
              </w:rPr>
              <w:t>’</w:t>
            </w:r>
            <w:r w:rsidRPr="00A75DF9">
              <w:rPr>
                <w:rFonts w:ascii="Tahoma" w:hAnsi="Tahoma" w:cs="Tahoma"/>
                <w:i/>
                <w:sz w:val="16"/>
              </w:rPr>
              <w:t>anno successivo per essere utilizzati per la conformità di quell</w:t>
            </w:r>
            <w:r w:rsidR="00F2643E">
              <w:rPr>
                <w:rFonts w:ascii="Tahoma" w:hAnsi="Tahoma" w:cs="Tahoma"/>
                <w:i/>
                <w:sz w:val="16"/>
              </w:rPr>
              <w:t>’</w:t>
            </w:r>
            <w:r w:rsidRPr="00A75DF9">
              <w:rPr>
                <w:rFonts w:ascii="Tahoma" w:hAnsi="Tahoma" w:cs="Tahoma"/>
                <w:i/>
                <w:sz w:val="16"/>
              </w:rPr>
              <w:t>anno.</w:t>
            </w:r>
          </w:p>
        </w:tc>
      </w:tr>
      <w:tr w:rsidR="00456002" w:rsidRPr="00A75DF9" w:rsidTr="00E72B9D">
        <w:tc>
          <w:tcPr>
            <w:tcW w:w="2270" w:type="dxa"/>
            <w:shd w:val="clear" w:color="auto" w:fill="auto"/>
          </w:tcPr>
          <w:p w:rsidR="00456002" w:rsidRPr="00A75DF9" w:rsidRDefault="00456002" w:rsidP="00A70464">
            <w:pPr>
              <w:pStyle w:val="AppendixBodyText"/>
              <w:spacing w:before="60"/>
              <w:ind w:right="720"/>
              <w:rPr>
                <w:rFonts w:ascii="Tahoma" w:hAnsi="Tahoma" w:cs="Tahoma"/>
                <w:b/>
                <w:color w:val="000000"/>
                <w:szCs w:val="18"/>
                <w:lang w:eastAsia="ja-JP"/>
              </w:rPr>
            </w:pPr>
            <w:r w:rsidRPr="00A75DF9">
              <w:rPr>
                <w:rFonts w:ascii="Tahoma" w:hAnsi="Tahoma" w:cs="Tahoma"/>
                <w:b/>
                <w:color w:val="000000"/>
                <w:szCs w:val="18"/>
              </w:rPr>
              <w:lastRenderedPageBreak/>
              <w:t>School</w:t>
            </w:r>
          </w:p>
        </w:tc>
        <w:tc>
          <w:tcPr>
            <w:tcW w:w="6946" w:type="dxa"/>
            <w:shd w:val="clear" w:color="auto" w:fill="auto"/>
          </w:tcPr>
          <w:p w:rsidR="00456002" w:rsidRPr="00A75DF9" w:rsidRDefault="00456002" w:rsidP="00A70464">
            <w:pPr>
              <w:pStyle w:val="AppendixBodyText"/>
              <w:spacing w:before="60"/>
              <w:ind w:right="720"/>
              <w:rPr>
                <w:rFonts w:ascii="Tahoma" w:hAnsi="Tahoma" w:cs="Tahoma"/>
              </w:rPr>
            </w:pPr>
            <w:r w:rsidRPr="00A75DF9">
              <w:rPr>
                <w:rFonts w:ascii="Tahoma" w:hAnsi="Tahoma" w:cs="Tahoma"/>
                <w:sz w:val="18"/>
              </w:rPr>
              <w:t>Il Contratto School</w:t>
            </w:r>
            <w:r w:rsidRPr="00A75DF9">
              <w:rPr>
                <w:rFonts w:ascii="Tahoma" w:hAnsi="Tahoma" w:cs="Tahoma"/>
                <w:b/>
                <w:sz w:val="18"/>
              </w:rPr>
              <w:t xml:space="preserve"> </w:t>
            </w:r>
            <w:r w:rsidRPr="00A75DF9">
              <w:rPr>
                <w:rFonts w:ascii="Tahoma" w:hAnsi="Tahoma" w:cs="Tahoma"/>
                <w:sz w:val="18"/>
              </w:rPr>
              <w:t>richiede un ordine minimo di 300 unità.</w:t>
            </w:r>
            <w:r w:rsidR="009D3B41" w:rsidRPr="00A75DF9">
              <w:rPr>
                <w:rFonts w:ascii="Tahoma" w:hAnsi="Tahoma" w:cs="Tahoma"/>
                <w:sz w:val="18"/>
              </w:rPr>
              <w:t xml:space="preserve"> </w:t>
            </w:r>
            <w:r w:rsidRPr="00A75DF9">
              <w:rPr>
                <w:rFonts w:ascii="Tahoma" w:hAnsi="Tahoma" w:cs="Tahoma"/>
                <w:sz w:val="18"/>
              </w:rPr>
              <w:t>Le unità sono determinate moltiplicando il numero totale di applicazioni, sistemi e CAL selezionati per il numero totale di PC idonei o di Personale non docente/FTE idoneo. Il requisito minimo di ordine potrà variare in base all</w:t>
            </w:r>
            <w:r w:rsidR="00F2643E">
              <w:rPr>
                <w:rFonts w:ascii="Tahoma" w:hAnsi="Tahoma" w:cs="Tahoma"/>
                <w:sz w:val="18"/>
              </w:rPr>
              <w:t>’</w:t>
            </w:r>
            <w:r w:rsidRPr="00A75DF9">
              <w:rPr>
                <w:rFonts w:ascii="Tahoma" w:hAnsi="Tahoma" w:cs="Tahoma"/>
                <w:sz w:val="18"/>
              </w:rPr>
              <w:t>area geografica.</w:t>
            </w:r>
          </w:p>
          <w:p w:rsidR="00406CB0" w:rsidRPr="00A75DF9" w:rsidRDefault="00406CB0" w:rsidP="00A70464">
            <w:pPr>
              <w:pStyle w:val="AppendixBodyText"/>
              <w:spacing w:after="0"/>
              <w:ind w:right="720"/>
              <w:rPr>
                <w:rFonts w:ascii="Tahoma" w:hAnsi="Tahoma" w:cs="Tahoma"/>
              </w:rPr>
            </w:pPr>
          </w:p>
          <w:p w:rsidR="00456002" w:rsidRPr="00A75DF9" w:rsidRDefault="00456002" w:rsidP="00230E01">
            <w:pPr>
              <w:tabs>
                <w:tab w:val="left" w:pos="8640"/>
              </w:tabs>
              <w:ind w:right="720"/>
              <w:rPr>
                <w:rFonts w:cs="Tahoma"/>
              </w:rPr>
            </w:pPr>
            <w:r w:rsidRPr="00A75DF9">
              <w:rPr>
                <w:rFonts w:cs="Tahoma"/>
                <w:b/>
                <w:bCs/>
                <w:color w:val="000000"/>
                <w:szCs w:val="20"/>
              </w:rPr>
              <w:t>Nota:</w:t>
            </w:r>
            <w:r w:rsidRPr="00A75DF9">
              <w:rPr>
                <w:rFonts w:cs="Tahoma"/>
                <w:color w:val="000000"/>
                <w:szCs w:val="20"/>
              </w:rPr>
              <w:t xml:space="preserve"> Le società in possesso del Contratto School non sono idonee a scegliere prodotti applicativi, di sistema, con Licenza “Subscription” (utente/dispositivo) e CAL solo per una parte dei PC inclusi nella sottoscrizione, </w:t>
            </w:r>
            <w:r w:rsidRPr="00A75DF9">
              <w:rPr>
                <w:rFonts w:cs="Tahoma"/>
                <w:color w:val="000000"/>
                <w:szCs w:val="18"/>
              </w:rPr>
              <w:t>se non dichiarato espressamente nelle Note relative alle Condizioni del Prodotto contenute nella Lista dei Prodotti</w:t>
            </w:r>
            <w:r w:rsidRPr="00A75DF9">
              <w:rPr>
                <w:rFonts w:cs="Tahoma"/>
                <w:color w:val="000000"/>
                <w:szCs w:val="20"/>
              </w:rPr>
              <w:t>. Ad esempio, qualora la sottoscrizione comprenda la totalità dei PC, i prodotti applicativi, di sistema, con Licenza “Subscription” (utente/dispositivo) e CAL selezionati riguarderanno tutti i PC, anche nel caso in cui un particolare prodotto venga eseguito su un solo componente di tali PC.</w:t>
            </w:r>
          </w:p>
          <w:p w:rsidR="00230E01" w:rsidRPr="00A75DF9" w:rsidRDefault="00230E01" w:rsidP="00230E01">
            <w:pPr>
              <w:tabs>
                <w:tab w:val="left" w:pos="8640"/>
              </w:tabs>
              <w:ind w:right="720"/>
              <w:rPr>
                <w:rFonts w:cs="Tahoma"/>
                <w:color w:val="000000"/>
                <w:szCs w:val="20"/>
                <w:lang w:eastAsia="ja-JP"/>
              </w:rPr>
            </w:pPr>
          </w:p>
        </w:tc>
      </w:tr>
      <w:tr w:rsidR="00456002" w:rsidRPr="00A75DF9" w:rsidTr="00E72B9D">
        <w:tc>
          <w:tcPr>
            <w:tcW w:w="2270" w:type="dxa"/>
            <w:shd w:val="clear" w:color="auto" w:fill="auto"/>
          </w:tcPr>
          <w:p w:rsidR="00456002" w:rsidRPr="00A75DF9" w:rsidRDefault="00456002" w:rsidP="00DC2DAE">
            <w:pPr>
              <w:pStyle w:val="AppendixBodyText"/>
              <w:spacing w:before="60"/>
              <w:ind w:right="720"/>
              <w:rPr>
                <w:rFonts w:ascii="Tahoma" w:hAnsi="Tahoma" w:cs="Tahoma"/>
                <w:b/>
                <w:color w:val="000000"/>
                <w:sz w:val="18"/>
                <w:szCs w:val="18"/>
                <w:lang w:eastAsia="ja-JP"/>
              </w:rPr>
            </w:pPr>
            <w:r w:rsidRPr="00A75DF9">
              <w:rPr>
                <w:rFonts w:ascii="Tahoma" w:hAnsi="Tahoma" w:cs="Tahoma"/>
                <w:b/>
              </w:rPr>
              <w:t>Contratto Enterprise e</w:t>
            </w:r>
            <w:r w:rsidR="00DC2DAE">
              <w:rPr>
                <w:rFonts w:ascii="Tahoma" w:hAnsi="Tahoma" w:cs="Tahoma"/>
                <w:b/>
              </w:rPr>
              <w:t> </w:t>
            </w:r>
            <w:r w:rsidRPr="00A75DF9">
              <w:rPr>
                <w:rFonts w:ascii="Tahoma" w:hAnsi="Tahoma" w:cs="Tahoma"/>
                <w:b/>
              </w:rPr>
              <w:t>Contratto Enterprise Subscription</w:t>
            </w:r>
          </w:p>
        </w:tc>
        <w:tc>
          <w:tcPr>
            <w:tcW w:w="6946" w:type="dxa"/>
            <w:shd w:val="clear" w:color="auto" w:fill="auto"/>
          </w:tcPr>
          <w:p w:rsidR="00456002" w:rsidRPr="00A75DF9" w:rsidRDefault="00456002" w:rsidP="00A70464">
            <w:pPr>
              <w:spacing w:before="60"/>
              <w:rPr>
                <w:rFonts w:cs="Tahoma"/>
              </w:rPr>
            </w:pPr>
            <w:r w:rsidRPr="00A75DF9">
              <w:rPr>
                <w:rFonts w:cs="Tahoma"/>
              </w:rPr>
              <w:t>Il Contratto Enterprise (EA) e il Contratto Enterprise Subscription (ESA) richiedono almeno 250 Dispositivi/Desktop Qualificati o Utenti Qualificati.</w:t>
            </w:r>
          </w:p>
          <w:p w:rsidR="00456002" w:rsidRPr="00A75DF9" w:rsidRDefault="00456002" w:rsidP="00A70464">
            <w:pPr>
              <w:rPr>
                <w:rFonts w:cs="Tahoma"/>
              </w:rPr>
            </w:pPr>
          </w:p>
          <w:p w:rsidR="0091793D" w:rsidRPr="00A75DF9" w:rsidRDefault="0091793D" w:rsidP="004B6D8C">
            <w:pPr>
              <w:spacing w:after="60"/>
              <w:rPr>
                <w:rFonts w:cs="Tahoma"/>
              </w:rPr>
            </w:pPr>
            <w:r w:rsidRPr="00A75DF9">
              <w:rPr>
                <w:rFonts w:cs="Tahoma"/>
                <w:b/>
              </w:rPr>
              <w:t>Dispositivi/Desktop Qualificati</w:t>
            </w:r>
          </w:p>
          <w:p w:rsidR="0091793D" w:rsidRPr="00A75DF9" w:rsidRDefault="0091793D" w:rsidP="00DC2DAE">
            <w:pPr>
              <w:rPr>
                <w:rFonts w:cs="Tahoma"/>
              </w:rPr>
            </w:pPr>
            <w:bookmarkStart w:id="616" w:name="_Toc323159729"/>
            <w:bookmarkStart w:id="617" w:name="_Toc325313134"/>
            <w:bookmarkStart w:id="618" w:name="_Toc325609169"/>
            <w:r w:rsidRPr="00A75DF9">
              <w:rPr>
                <w:rFonts w:cs="Tahoma"/>
              </w:rPr>
              <w:t xml:space="preserve">Nonostante quanto diversamente stabilito nel contratto multilicenza, i Dispositivi/Desktop Qualificati non includono </w:t>
            </w:r>
            <w:r w:rsidRPr="00A75DF9">
              <w:rPr>
                <w:rFonts w:cs="Tahoma"/>
                <w:iCs/>
              </w:rPr>
              <w:t>dispositivi di terzi qualificanti</w:t>
            </w:r>
            <w:r w:rsidRPr="00A75DF9">
              <w:rPr>
                <w:rFonts w:cs="Tahoma"/>
              </w:rPr>
              <w:t xml:space="preserve"> tramite </w:t>
            </w:r>
            <w:r w:rsidR="00DC2DAE">
              <w:rPr>
                <w:rFonts w:cs="Tahoma"/>
              </w:rPr>
              <w:t>I </w:t>
            </w:r>
            <w:r w:rsidRPr="00A75DF9">
              <w:rPr>
                <w:rFonts w:cs="Tahoma"/>
              </w:rPr>
              <w:t>quali gli utenti possono accedere e utilizzare il software esclusivamente ai sensi dei</w:t>
            </w:r>
            <w:r w:rsidR="00DC2DAE">
              <w:rPr>
                <w:rFonts w:cs="Tahoma"/>
              </w:rPr>
              <w:t> </w:t>
            </w:r>
            <w:r w:rsidRPr="00A75DF9">
              <w:rPr>
                <w:rFonts w:cs="Tahoma"/>
              </w:rPr>
              <w:t>Diritti di Utilizzo del Roaming applicabili a:</w:t>
            </w:r>
            <w:bookmarkEnd w:id="616"/>
            <w:bookmarkEnd w:id="617"/>
            <w:bookmarkEnd w:id="618"/>
          </w:p>
          <w:p w:rsidR="00456002" w:rsidRPr="00A75DF9" w:rsidRDefault="00456002" w:rsidP="00A70464">
            <w:pPr>
              <w:rPr>
                <w:rFonts w:cs="Tahoma"/>
              </w:rPr>
            </w:pPr>
          </w:p>
          <w:p w:rsidR="00406CB0" w:rsidRPr="00A75DF9" w:rsidRDefault="00456002" w:rsidP="00346F4B">
            <w:pPr>
              <w:numPr>
                <w:ilvl w:val="0"/>
                <w:numId w:val="64"/>
              </w:numPr>
              <w:spacing w:after="60"/>
              <w:rPr>
                <w:rFonts w:cs="Tahoma"/>
              </w:rPr>
            </w:pPr>
            <w:r w:rsidRPr="00A75DF9">
              <w:rPr>
                <w:rFonts w:cs="Tahoma"/>
              </w:rPr>
              <w:t xml:space="preserve">Windows Software Assurance, </w:t>
            </w:r>
          </w:p>
          <w:p w:rsidR="00456002" w:rsidRPr="00A75DF9" w:rsidRDefault="00456002" w:rsidP="00346F4B">
            <w:pPr>
              <w:numPr>
                <w:ilvl w:val="0"/>
                <w:numId w:val="64"/>
              </w:numPr>
              <w:spacing w:after="60"/>
              <w:rPr>
                <w:rFonts w:cs="Tahoma"/>
              </w:rPr>
            </w:pPr>
            <w:r w:rsidRPr="00A75DF9">
              <w:rPr>
                <w:rFonts w:cs="Tahoma"/>
              </w:rPr>
              <w:t xml:space="preserve">Windows Virtual Desktop Access, </w:t>
            </w:r>
          </w:p>
          <w:p w:rsidR="00456002" w:rsidRPr="00A75DF9" w:rsidRDefault="00456002" w:rsidP="00346F4B">
            <w:pPr>
              <w:numPr>
                <w:ilvl w:val="0"/>
                <w:numId w:val="64"/>
              </w:numPr>
              <w:spacing w:after="60"/>
              <w:rPr>
                <w:rFonts w:cs="Tahoma"/>
              </w:rPr>
            </w:pPr>
            <w:r w:rsidRPr="00A75DF9">
              <w:rPr>
                <w:rFonts w:cs="Tahoma"/>
              </w:rPr>
              <w:t xml:space="preserve">Virtual Desktop Infrastructure Suite, </w:t>
            </w:r>
          </w:p>
          <w:p w:rsidR="00456002" w:rsidRPr="00A75DF9" w:rsidRDefault="00456002" w:rsidP="00346F4B">
            <w:pPr>
              <w:numPr>
                <w:ilvl w:val="0"/>
                <w:numId w:val="64"/>
              </w:numPr>
              <w:spacing w:after="60"/>
              <w:rPr>
                <w:rFonts w:cs="Tahoma"/>
              </w:rPr>
            </w:pPr>
            <w:r w:rsidRPr="00A75DF9">
              <w:rPr>
                <w:rFonts w:cs="Tahoma"/>
              </w:rPr>
              <w:t xml:space="preserve">MDOP per Software Assurance e </w:t>
            </w:r>
          </w:p>
          <w:p w:rsidR="00456002" w:rsidRPr="00A75DF9" w:rsidRDefault="00456002" w:rsidP="00DC2DAE">
            <w:pPr>
              <w:numPr>
                <w:ilvl w:val="0"/>
                <w:numId w:val="64"/>
              </w:numPr>
              <w:spacing w:after="60"/>
              <w:rPr>
                <w:rFonts w:cs="Tahoma"/>
              </w:rPr>
            </w:pPr>
            <w:r w:rsidRPr="00A75DF9">
              <w:rPr>
                <w:rFonts w:cs="Tahoma"/>
              </w:rPr>
              <w:t>Software Assurance per tutte le versioni di Office, Project e Visio che</w:t>
            </w:r>
            <w:r w:rsidR="00DC2DAE">
              <w:rPr>
                <w:rFonts w:cs="Tahoma"/>
              </w:rPr>
              <w:t> </w:t>
            </w:r>
            <w:r w:rsidRPr="00A75DF9">
              <w:rPr>
                <w:rFonts w:cs="Tahoma"/>
              </w:rPr>
              <w:t>includono i Diritti di Utilizzo Roaming.</w:t>
            </w:r>
            <w:r w:rsidR="009D3B41" w:rsidRPr="00A75DF9">
              <w:rPr>
                <w:rFonts w:cs="Tahoma"/>
              </w:rPr>
              <w:t xml:space="preserve"> </w:t>
            </w:r>
          </w:p>
          <w:p w:rsidR="00456002" w:rsidRPr="00A75DF9" w:rsidRDefault="00456002" w:rsidP="00A70464">
            <w:pPr>
              <w:rPr>
                <w:rFonts w:cs="Tahoma"/>
              </w:rPr>
            </w:pPr>
          </w:p>
          <w:p w:rsidR="00456002" w:rsidRPr="00A75DF9" w:rsidRDefault="00456002" w:rsidP="00DC2DAE">
            <w:pPr>
              <w:rPr>
                <w:rFonts w:cs="Tahoma"/>
              </w:rPr>
            </w:pPr>
            <w:bookmarkStart w:id="619" w:name="_Toc323159730"/>
            <w:bookmarkStart w:id="620" w:name="_Toc325313135"/>
            <w:bookmarkStart w:id="621" w:name="_Toc325609170"/>
            <w:r w:rsidRPr="00A75DF9">
              <w:rPr>
                <w:rFonts w:cs="Tahoma"/>
              </w:rPr>
              <w:t>Un “dispositivo di terzi qualificante” è un dispositivo non controllato, direttamente o</w:t>
            </w:r>
            <w:r w:rsidR="00DC2DAE">
              <w:rPr>
                <w:rFonts w:cs="Tahoma"/>
              </w:rPr>
              <w:t> </w:t>
            </w:r>
            <w:r w:rsidRPr="00A75DF9">
              <w:rPr>
                <w:rFonts w:cs="Tahoma"/>
              </w:rPr>
              <w:t>indirettamente, dal licenziatario o dalle sue consociate (ad esempio un chiosco pubblico di terzi). Per ulteriori informazioni, vedere i Diritti di Utilizzo del Prodotto.</w:t>
            </w:r>
            <w:bookmarkEnd w:id="619"/>
            <w:bookmarkEnd w:id="620"/>
            <w:bookmarkEnd w:id="621"/>
          </w:p>
          <w:p w:rsidR="00456002" w:rsidRPr="00DC2DAE" w:rsidRDefault="00456002" w:rsidP="00E64551">
            <w:pPr>
              <w:pStyle w:val="Heading3"/>
              <w:ind w:left="70"/>
              <w:rPr>
                <w:rFonts w:ascii="Tahoma" w:hAnsi="Tahoma" w:cs="Tahoma"/>
                <w:b w:val="0"/>
                <w:bCs/>
                <w:sz w:val="18"/>
                <w:szCs w:val="18"/>
              </w:rPr>
            </w:pPr>
          </w:p>
          <w:p w:rsidR="0091793D" w:rsidRPr="00A75DF9" w:rsidRDefault="0091793D" w:rsidP="004B6D8C">
            <w:pPr>
              <w:spacing w:after="60"/>
              <w:rPr>
                <w:rFonts w:cs="Tahoma"/>
              </w:rPr>
            </w:pPr>
            <w:r w:rsidRPr="00A75DF9">
              <w:rPr>
                <w:rFonts w:cs="Tahoma"/>
                <w:b/>
              </w:rPr>
              <w:t xml:space="preserve">Esenzioni degli Utenti Qualificati </w:t>
            </w:r>
          </w:p>
          <w:p w:rsidR="00456002" w:rsidRPr="00A75DF9" w:rsidRDefault="00456002" w:rsidP="004B6D8C">
            <w:pPr>
              <w:pStyle w:val="AppendixBodyText"/>
              <w:ind w:right="720"/>
              <w:rPr>
                <w:rFonts w:ascii="Tahoma" w:hAnsi="Tahoma" w:cs="Tahoma"/>
              </w:rPr>
            </w:pPr>
            <w:r w:rsidRPr="00A75DF9">
              <w:rPr>
                <w:rFonts w:ascii="Tahoma" w:hAnsi="Tahoma" w:cs="Tahoma"/>
                <w:sz w:val="18"/>
              </w:rPr>
              <w:t>Una persona che accede al software server o ai servizi online unicamente con le licenze identificate nel seguente elenco viene esentata dall</w:t>
            </w:r>
            <w:r w:rsidR="00F2643E">
              <w:rPr>
                <w:rFonts w:ascii="Tahoma" w:hAnsi="Tahoma" w:cs="Tahoma"/>
                <w:sz w:val="18"/>
              </w:rPr>
              <w:t>’</w:t>
            </w:r>
            <w:r w:rsidRPr="00A75DF9">
              <w:rPr>
                <w:rFonts w:ascii="Tahoma" w:hAnsi="Tahoma" w:cs="Tahoma"/>
                <w:sz w:val="18"/>
              </w:rPr>
              <w:t>essere conteggiata come Utente Qualificato:</w:t>
            </w:r>
          </w:p>
          <w:p w:rsidR="00456002" w:rsidRPr="00DC2DAE" w:rsidRDefault="00456002" w:rsidP="00A70464">
            <w:pPr>
              <w:pStyle w:val="AppendixBodyText"/>
              <w:spacing w:after="0"/>
              <w:ind w:right="720"/>
              <w:rPr>
                <w:rFonts w:ascii="Tahoma" w:hAnsi="Tahoma" w:cs="Tahoma"/>
                <w:sz w:val="18"/>
                <w:szCs w:val="18"/>
              </w:rPr>
            </w:pPr>
          </w:p>
          <w:p w:rsidR="00456002" w:rsidRPr="00A75DF9" w:rsidRDefault="00456002" w:rsidP="00346F4B">
            <w:pPr>
              <w:numPr>
                <w:ilvl w:val="0"/>
                <w:numId w:val="64"/>
              </w:numPr>
              <w:spacing w:after="60"/>
              <w:rPr>
                <w:rFonts w:cs="Tahoma"/>
              </w:rPr>
            </w:pPr>
            <w:r w:rsidRPr="00A75DF9">
              <w:rPr>
                <w:rFonts w:cs="Tahoma"/>
              </w:rPr>
              <w:t>Licenza “Subscription” Utente (USL) per Office 365 Enterprise K1</w:t>
            </w:r>
          </w:p>
          <w:p w:rsidR="00456002" w:rsidRPr="00A75DF9" w:rsidRDefault="00456002" w:rsidP="00346F4B">
            <w:pPr>
              <w:numPr>
                <w:ilvl w:val="0"/>
                <w:numId w:val="64"/>
              </w:numPr>
              <w:spacing w:after="60"/>
              <w:rPr>
                <w:rFonts w:cs="Tahoma"/>
              </w:rPr>
            </w:pPr>
            <w:r w:rsidRPr="00A75DF9">
              <w:rPr>
                <w:rFonts w:cs="Tahoma"/>
              </w:rPr>
              <w:t>USL Chiosco SharePoint</w:t>
            </w:r>
          </w:p>
          <w:p w:rsidR="00456002" w:rsidRPr="00A75DF9" w:rsidRDefault="00456002" w:rsidP="00346F4B">
            <w:pPr>
              <w:numPr>
                <w:ilvl w:val="0"/>
                <w:numId w:val="64"/>
              </w:numPr>
              <w:spacing w:after="60"/>
              <w:rPr>
                <w:rFonts w:cs="Tahoma"/>
              </w:rPr>
            </w:pPr>
            <w:r w:rsidRPr="00A75DF9">
              <w:rPr>
                <w:rFonts w:cs="Tahoma"/>
              </w:rPr>
              <w:t>USL Chiosco Exchange Online</w:t>
            </w:r>
          </w:p>
          <w:p w:rsidR="00456002" w:rsidRPr="00A75DF9" w:rsidRDefault="00456002" w:rsidP="00DC2DAE">
            <w:pPr>
              <w:numPr>
                <w:ilvl w:val="0"/>
                <w:numId w:val="64"/>
              </w:numPr>
              <w:spacing w:after="60"/>
              <w:rPr>
                <w:rFonts w:cs="Tahoma"/>
              </w:rPr>
            </w:pPr>
            <w:r w:rsidRPr="00A75DF9">
              <w:rPr>
                <w:rFonts w:cs="Tahoma"/>
              </w:rPr>
              <w:t>Le licenze per i prodotti software server o i servizi online che non richiedono licenze individuali per gli utenti o i dispositivi che accedono a</w:t>
            </w:r>
            <w:r w:rsidR="00DC2DAE">
              <w:rPr>
                <w:rFonts w:cs="Tahoma"/>
              </w:rPr>
              <w:t> </w:t>
            </w:r>
            <w:r w:rsidRPr="00A75DF9">
              <w:rPr>
                <w:rFonts w:cs="Tahoma"/>
              </w:rPr>
              <w:t>tali</w:t>
            </w:r>
            <w:r w:rsidR="00DC2DAE">
              <w:rPr>
                <w:rFonts w:cs="Tahoma"/>
              </w:rPr>
              <w:t> </w:t>
            </w:r>
            <w:r w:rsidRPr="00A75DF9">
              <w:rPr>
                <w:rFonts w:cs="Tahoma"/>
              </w:rPr>
              <w:t>prodotti o servizi online (come le Client Access License, le Licenze di</w:t>
            </w:r>
            <w:r w:rsidR="00DC2DAE">
              <w:rPr>
                <w:rFonts w:cs="Tahoma"/>
              </w:rPr>
              <w:t> </w:t>
            </w:r>
            <w:r w:rsidRPr="00A75DF9">
              <w:rPr>
                <w:rFonts w:cs="Tahoma"/>
              </w:rPr>
              <w:t>Gestione Client, nonché le licenze USL e DSL).</w:t>
            </w:r>
          </w:p>
          <w:p w:rsidR="00456002" w:rsidRPr="00A75DF9" w:rsidRDefault="00456002" w:rsidP="00346F4B">
            <w:pPr>
              <w:numPr>
                <w:ilvl w:val="0"/>
                <w:numId w:val="64"/>
              </w:numPr>
              <w:spacing w:after="60"/>
              <w:rPr>
                <w:rFonts w:cs="Tahoma"/>
              </w:rPr>
            </w:pPr>
            <w:r w:rsidRPr="00A75DF9">
              <w:rPr>
                <w:rFonts w:cs="Tahoma"/>
              </w:rPr>
              <w:t>Qualunque Licenza External Connector</w:t>
            </w:r>
          </w:p>
          <w:p w:rsidR="00456002" w:rsidRDefault="00456002" w:rsidP="00A70464">
            <w:pPr>
              <w:pStyle w:val="AppendixBodyText"/>
              <w:spacing w:after="0"/>
              <w:ind w:right="720"/>
              <w:rPr>
                <w:rFonts w:ascii="Tahoma" w:hAnsi="Tahoma" w:cs="Tahoma"/>
                <w:sz w:val="18"/>
                <w:szCs w:val="18"/>
              </w:rPr>
            </w:pPr>
          </w:p>
          <w:p w:rsidR="00DC2DAE" w:rsidRDefault="00DC2DAE" w:rsidP="00A70464">
            <w:pPr>
              <w:pStyle w:val="AppendixBodyText"/>
              <w:spacing w:after="0"/>
              <w:ind w:right="720"/>
              <w:rPr>
                <w:rFonts w:ascii="Tahoma" w:hAnsi="Tahoma" w:cs="Tahoma"/>
                <w:sz w:val="18"/>
                <w:szCs w:val="18"/>
              </w:rPr>
            </w:pPr>
          </w:p>
          <w:p w:rsidR="00DC2DAE" w:rsidRPr="00DC2DAE" w:rsidRDefault="00DC2DAE" w:rsidP="00A70464">
            <w:pPr>
              <w:pStyle w:val="AppendixBodyText"/>
              <w:spacing w:after="0"/>
              <w:ind w:right="720"/>
              <w:rPr>
                <w:rFonts w:ascii="Tahoma" w:hAnsi="Tahoma" w:cs="Tahoma"/>
                <w:sz w:val="18"/>
                <w:szCs w:val="18"/>
              </w:rPr>
            </w:pPr>
          </w:p>
          <w:p w:rsidR="00456002" w:rsidRPr="00A75DF9" w:rsidRDefault="00456002" w:rsidP="00230E01">
            <w:pPr>
              <w:pStyle w:val="AppendixBodyText"/>
              <w:spacing w:after="0"/>
              <w:ind w:right="720"/>
              <w:rPr>
                <w:rFonts w:ascii="Tahoma" w:hAnsi="Tahoma" w:cs="Tahoma"/>
              </w:rPr>
            </w:pPr>
            <w:r w:rsidRPr="00A75DF9">
              <w:rPr>
                <w:rFonts w:ascii="Tahoma" w:hAnsi="Tahoma" w:cs="Tahoma"/>
                <w:sz w:val="18"/>
              </w:rPr>
              <w:lastRenderedPageBreak/>
              <w:t>Queste esenzioni per gli Utenti Qualificati si applicano a tutte le società che abbiano stipulato contratti EA ed ESA, indipendentemente dal fatto che le esenzioni per gli Utenti Qualificati siano contemplate o meno nelle condizioni dei contratti delle società.</w:t>
            </w:r>
          </w:p>
          <w:p w:rsidR="00230E01" w:rsidRPr="00A75DF9" w:rsidRDefault="00230E01" w:rsidP="00230E01">
            <w:pPr>
              <w:pStyle w:val="AppendixBodyText"/>
              <w:spacing w:after="0"/>
              <w:ind w:right="720"/>
              <w:rPr>
                <w:rFonts w:ascii="Tahoma" w:hAnsi="Tahoma" w:cs="Tahoma"/>
                <w:sz w:val="18"/>
                <w:lang w:eastAsia="ja-JP"/>
              </w:rPr>
            </w:pPr>
          </w:p>
        </w:tc>
      </w:tr>
      <w:tr w:rsidR="00456002" w:rsidRPr="00A75DF9" w:rsidTr="00E72B9D">
        <w:tc>
          <w:tcPr>
            <w:tcW w:w="2270" w:type="dxa"/>
            <w:shd w:val="clear" w:color="auto" w:fill="auto"/>
          </w:tcPr>
          <w:p w:rsidR="00456002" w:rsidRPr="00A75DF9" w:rsidRDefault="00456002" w:rsidP="00A70464">
            <w:pPr>
              <w:pStyle w:val="AppendixBodyText"/>
              <w:spacing w:before="60"/>
              <w:ind w:right="720"/>
              <w:rPr>
                <w:rFonts w:ascii="Tahoma" w:hAnsi="Tahoma" w:cs="Tahoma"/>
                <w:b/>
                <w:lang w:eastAsia="ja-JP"/>
              </w:rPr>
            </w:pPr>
            <w:r w:rsidRPr="00A75DF9">
              <w:rPr>
                <w:rFonts w:ascii="Tahoma" w:hAnsi="Tahoma" w:cs="Tahoma"/>
                <w:b/>
                <w:color w:val="000000"/>
                <w:szCs w:val="18"/>
              </w:rPr>
              <w:lastRenderedPageBreak/>
              <w:t>EES</w:t>
            </w:r>
          </w:p>
        </w:tc>
        <w:tc>
          <w:tcPr>
            <w:tcW w:w="6946" w:type="dxa"/>
            <w:shd w:val="clear" w:color="auto" w:fill="auto"/>
          </w:tcPr>
          <w:p w:rsidR="00456002" w:rsidRPr="00DC2DAE" w:rsidRDefault="00456002" w:rsidP="00A70464">
            <w:pPr>
              <w:pStyle w:val="ListParagraph"/>
              <w:spacing w:before="60"/>
              <w:ind w:left="0"/>
              <w:contextualSpacing w:val="0"/>
              <w:rPr>
                <w:rFonts w:ascii="Tahoma" w:hAnsi="Tahoma" w:cs="Tahoma"/>
                <w:sz w:val="18"/>
                <w:szCs w:val="18"/>
              </w:rPr>
            </w:pPr>
            <w:r w:rsidRPr="00A75DF9">
              <w:rPr>
                <w:rFonts w:ascii="Tahoma" w:hAnsi="Tahoma" w:cs="Tahoma"/>
                <w:sz w:val="18"/>
                <w:szCs w:val="18"/>
              </w:rPr>
              <w:t>EES richiede un ordine minimo, come specificato di seguito:</w:t>
            </w:r>
            <w:r w:rsidR="009D3B41" w:rsidRPr="00A75DF9">
              <w:rPr>
                <w:rFonts w:ascii="Tahoma" w:hAnsi="Tahoma" w:cs="Tahoma"/>
                <w:sz w:val="18"/>
                <w:szCs w:val="18"/>
              </w:rPr>
              <w:t xml:space="preserve"> </w:t>
            </w:r>
          </w:p>
          <w:p w:rsidR="00406CB0" w:rsidRPr="00DC2DAE" w:rsidRDefault="00406CB0" w:rsidP="00A70464">
            <w:pPr>
              <w:pStyle w:val="ListParagraph"/>
              <w:ind w:left="0"/>
              <w:contextualSpacing w:val="0"/>
              <w:rPr>
                <w:rFonts w:ascii="Tahoma" w:hAnsi="Tahoma" w:cs="Tahoma"/>
                <w:sz w:val="18"/>
                <w:szCs w:val="18"/>
              </w:rPr>
            </w:pPr>
          </w:p>
          <w:p w:rsidR="00456002" w:rsidRPr="00A75DF9" w:rsidRDefault="00456002" w:rsidP="00346F4B">
            <w:pPr>
              <w:numPr>
                <w:ilvl w:val="0"/>
                <w:numId w:val="64"/>
              </w:numPr>
              <w:spacing w:after="60"/>
              <w:rPr>
                <w:rFonts w:cs="Tahoma"/>
              </w:rPr>
            </w:pPr>
            <w:r w:rsidRPr="00A75DF9">
              <w:rPr>
                <w:rFonts w:cs="Tahoma"/>
              </w:rPr>
              <w:t>almeno un Prodotto della Piattaforma Desktop per un Numero dell</w:t>
            </w:r>
            <w:r w:rsidR="00F2643E">
              <w:rPr>
                <w:rFonts w:cs="Tahoma"/>
              </w:rPr>
              <w:t>’</w:t>
            </w:r>
            <w:r w:rsidRPr="00A75DF9">
              <w:rPr>
                <w:rFonts w:cs="Tahoma"/>
              </w:rPr>
              <w:t>intera organizzazione di almeno 1000 O</w:t>
            </w:r>
          </w:p>
          <w:p w:rsidR="00456002" w:rsidRPr="00A75DF9" w:rsidRDefault="00456002" w:rsidP="00346F4B">
            <w:pPr>
              <w:numPr>
                <w:ilvl w:val="0"/>
                <w:numId w:val="64"/>
              </w:numPr>
              <w:spacing w:after="60"/>
              <w:rPr>
                <w:rFonts w:cs="Tahoma"/>
              </w:rPr>
            </w:pPr>
            <w:r w:rsidRPr="00A75DF9">
              <w:rPr>
                <w:rFonts w:cs="Tahoma"/>
              </w:rPr>
              <w:t>almeno un Servizio Online della Piattaforma per il Personale Docente/Non Docente su una quantità di 1000 O</w:t>
            </w:r>
          </w:p>
          <w:p w:rsidR="00456002" w:rsidRPr="00A75DF9" w:rsidRDefault="00456002" w:rsidP="00346F4B">
            <w:pPr>
              <w:numPr>
                <w:ilvl w:val="0"/>
                <w:numId w:val="64"/>
              </w:numPr>
              <w:spacing w:after="60"/>
              <w:rPr>
                <w:rFonts w:cs="Tahoma"/>
              </w:rPr>
            </w:pPr>
            <w:r w:rsidRPr="00A75DF9">
              <w:rPr>
                <w:rFonts w:cs="Tahoma"/>
              </w:rPr>
              <w:t>almeno un Prodotto della Piattaforma Desktop per un Numero degli Studenti di almeno 1000 O</w:t>
            </w:r>
          </w:p>
          <w:p w:rsidR="00456002" w:rsidRPr="00A75DF9" w:rsidRDefault="00456002" w:rsidP="00346F4B">
            <w:pPr>
              <w:numPr>
                <w:ilvl w:val="0"/>
                <w:numId w:val="64"/>
              </w:numPr>
              <w:spacing w:after="60"/>
              <w:rPr>
                <w:rFonts w:cs="Tahoma"/>
              </w:rPr>
            </w:pPr>
            <w:r w:rsidRPr="00A75DF9">
              <w:rPr>
                <w:rFonts w:cs="Tahoma"/>
              </w:rPr>
              <w:t xml:space="preserve">almeno un Servizio Online della Piattaforma per gli Studenti su una quantità di 1000 O </w:t>
            </w:r>
          </w:p>
          <w:p w:rsidR="00456002" w:rsidRPr="00A75DF9" w:rsidRDefault="00456002" w:rsidP="00A70464">
            <w:pPr>
              <w:rPr>
                <w:rFonts w:cs="Tahoma"/>
              </w:rPr>
            </w:pPr>
          </w:p>
          <w:p w:rsidR="00A9013C" w:rsidRPr="00A75DF9" w:rsidRDefault="00456002" w:rsidP="00DC2DAE">
            <w:pPr>
              <w:rPr>
                <w:rFonts w:cs="Tahoma"/>
              </w:rPr>
            </w:pPr>
            <w:r w:rsidRPr="00A75DF9">
              <w:rPr>
                <w:rFonts w:cs="Tahoma"/>
                <w:b/>
                <w:color w:val="000000"/>
                <w:szCs w:val="18"/>
              </w:rPr>
              <w:t>Nota:</w:t>
            </w:r>
            <w:r w:rsidRPr="00A75DF9">
              <w:rPr>
                <w:rFonts w:cs="Tahoma"/>
                <w:color w:val="000000"/>
                <w:szCs w:val="18"/>
              </w:rPr>
              <w:t xml:space="preserve"> è possibile ignorare il requisito di quantità per l</w:t>
            </w:r>
            <w:r w:rsidR="00F2643E">
              <w:rPr>
                <w:rFonts w:cs="Tahoma"/>
                <w:color w:val="000000"/>
                <w:szCs w:val="18"/>
              </w:rPr>
              <w:t>’</w:t>
            </w:r>
            <w:r w:rsidRPr="00A75DF9">
              <w:rPr>
                <w:rFonts w:cs="Tahoma"/>
                <w:color w:val="000000"/>
                <w:szCs w:val="18"/>
              </w:rPr>
              <w:t>ordine nel caso in cui venga</w:t>
            </w:r>
            <w:r w:rsidR="00DC2DAE">
              <w:rPr>
                <w:rFonts w:cs="Tahoma"/>
                <w:color w:val="000000"/>
                <w:szCs w:val="18"/>
              </w:rPr>
              <w:t> </w:t>
            </w:r>
            <w:r w:rsidRPr="00A75DF9">
              <w:rPr>
                <w:rFonts w:cs="Tahoma"/>
                <w:color w:val="000000"/>
                <w:szCs w:val="18"/>
              </w:rPr>
              <w:t>fornita un</w:t>
            </w:r>
            <w:r w:rsidR="00F2643E">
              <w:rPr>
                <w:rFonts w:cs="Tahoma"/>
                <w:color w:val="000000"/>
                <w:szCs w:val="18"/>
              </w:rPr>
              <w:t>’</w:t>
            </w:r>
            <w:r w:rsidRPr="00A75DF9">
              <w:rPr>
                <w:rFonts w:cs="Tahoma"/>
                <w:color w:val="000000"/>
                <w:szCs w:val="18"/>
              </w:rPr>
              <w:t>iscrizione qualificante.</w:t>
            </w:r>
          </w:p>
          <w:p w:rsidR="00406CB0" w:rsidRPr="00A75DF9" w:rsidRDefault="00406CB0" w:rsidP="005C647E">
            <w:pPr>
              <w:rPr>
                <w:rFonts w:cs="Tahoma"/>
              </w:rPr>
            </w:pPr>
          </w:p>
          <w:p w:rsidR="00822871" w:rsidRPr="00A75DF9" w:rsidRDefault="00A9013C" w:rsidP="00DC2DAE">
            <w:pPr>
              <w:rPr>
                <w:rFonts w:cs="Tahoma"/>
              </w:rPr>
            </w:pPr>
            <w:r w:rsidRPr="00A75DF9">
              <w:rPr>
                <w:rFonts w:cs="Tahoma"/>
                <w:b/>
                <w:color w:val="000000"/>
                <w:szCs w:val="18"/>
              </w:rPr>
              <w:t xml:space="preserve">Nota: </w:t>
            </w:r>
            <w:r w:rsidRPr="00A75DF9">
              <w:rPr>
                <w:rFonts w:cs="Tahoma"/>
                <w:color w:val="000000"/>
                <w:szCs w:val="18"/>
              </w:rPr>
              <w:t>le licenze CAL (Client Access License) acquistate ai sensi del contratto Enrollment for Education Solutions (EES) nell</w:t>
            </w:r>
            <w:r w:rsidR="00F2643E">
              <w:rPr>
                <w:rFonts w:cs="Tahoma"/>
                <w:color w:val="000000"/>
                <w:szCs w:val="18"/>
              </w:rPr>
              <w:t>’</w:t>
            </w:r>
            <w:r w:rsidRPr="00A75DF9">
              <w:rPr>
                <w:rFonts w:cs="Tahoma"/>
                <w:color w:val="000000"/>
                <w:szCs w:val="18"/>
              </w:rPr>
              <w:t>opzione non per l</w:t>
            </w:r>
            <w:r w:rsidR="00F2643E">
              <w:rPr>
                <w:rFonts w:cs="Tahoma"/>
                <w:color w:val="000000"/>
                <w:szCs w:val="18"/>
              </w:rPr>
              <w:t>’</w:t>
            </w:r>
            <w:r w:rsidRPr="00A75DF9">
              <w:rPr>
                <w:rFonts w:cs="Tahoma"/>
                <w:color w:val="000000"/>
                <w:szCs w:val="18"/>
              </w:rPr>
              <w:t>intera Organizzazione potranno essere cedute e utilizzate come licenze CAL per dispositivo o user CAL, a discrezione dell</w:t>
            </w:r>
            <w:r w:rsidR="00F2643E">
              <w:rPr>
                <w:rFonts w:cs="Tahoma"/>
                <w:color w:val="000000"/>
                <w:szCs w:val="18"/>
              </w:rPr>
              <w:t>’</w:t>
            </w:r>
            <w:r w:rsidRPr="00A75DF9">
              <w:rPr>
                <w:rFonts w:cs="Tahoma"/>
                <w:color w:val="000000"/>
                <w:szCs w:val="18"/>
              </w:rPr>
              <w:t>Istituto. Le user CAL non potranno essere cedute di</w:t>
            </w:r>
            <w:r w:rsidR="00DC2DAE">
              <w:rPr>
                <w:rFonts w:cs="Tahoma"/>
                <w:color w:val="000000"/>
                <w:szCs w:val="18"/>
              </w:rPr>
              <w:t> </w:t>
            </w:r>
            <w:r w:rsidRPr="00A75DF9">
              <w:rPr>
                <w:rFonts w:cs="Tahoma"/>
                <w:color w:val="000000"/>
                <w:szCs w:val="18"/>
              </w:rPr>
              <w:t>nuovo come licenze CAL per dispositivo e le licenze CAL per dispositivo non potranno essere cedute di nuovo come user CAL, tranne nel caso di seguito indicato. Qualsiasi licenza CAL ordinata in base all</w:t>
            </w:r>
            <w:r w:rsidR="00F2643E">
              <w:rPr>
                <w:rFonts w:cs="Tahoma"/>
                <w:color w:val="000000"/>
                <w:szCs w:val="18"/>
              </w:rPr>
              <w:t>’</w:t>
            </w:r>
            <w:r w:rsidRPr="00A75DF9">
              <w:rPr>
                <w:rFonts w:cs="Tahoma"/>
                <w:color w:val="000000"/>
                <w:szCs w:val="18"/>
              </w:rPr>
              <w:t>opzione non per l</w:t>
            </w:r>
            <w:r w:rsidR="00F2643E">
              <w:rPr>
                <w:rFonts w:cs="Tahoma"/>
                <w:color w:val="000000"/>
                <w:szCs w:val="18"/>
              </w:rPr>
              <w:t>’</w:t>
            </w:r>
            <w:r w:rsidRPr="00A75DF9">
              <w:rPr>
                <w:rFonts w:cs="Tahoma"/>
                <w:color w:val="000000"/>
                <w:szCs w:val="18"/>
              </w:rPr>
              <w:t>intera Organizzazione potrà essere ceduta di nuovo e utilizzata come licenza CAL per dispositivo o user CAL in fase di rinnovo della sottoscrizione attraverso un nuovo Contratto.</w:t>
            </w:r>
          </w:p>
          <w:p w:rsidR="00230E01" w:rsidRPr="00A75DF9" w:rsidRDefault="00230E01" w:rsidP="00230E01">
            <w:pPr>
              <w:rPr>
                <w:rFonts w:cs="Tahoma"/>
                <w:color w:val="000000"/>
                <w:szCs w:val="18"/>
              </w:rPr>
            </w:pPr>
          </w:p>
        </w:tc>
      </w:tr>
    </w:tbl>
    <w:p w:rsidR="00366502" w:rsidRPr="00DC2DAE" w:rsidRDefault="00366502" w:rsidP="00456002">
      <w:pPr>
        <w:pStyle w:val="Heading3"/>
        <w:ind w:right="720"/>
        <w:rPr>
          <w:rFonts w:ascii="Tahoma" w:hAnsi="Tahoma" w:cs="Tahoma"/>
          <w:b w:val="0"/>
          <w:bCs/>
          <w:sz w:val="18"/>
          <w:szCs w:val="18"/>
        </w:rPr>
      </w:pPr>
      <w:bookmarkStart w:id="622" w:name="_Toc323159731"/>
      <w:bookmarkStart w:id="623" w:name="_Toc325609171"/>
      <w:bookmarkStart w:id="624" w:name="_Toc336338192"/>
    </w:p>
    <w:p w:rsidR="00456002" w:rsidRPr="00A75DF9" w:rsidRDefault="00456002" w:rsidP="00456002">
      <w:pPr>
        <w:pStyle w:val="Heading3"/>
        <w:ind w:right="720"/>
        <w:rPr>
          <w:rFonts w:ascii="Tahoma" w:hAnsi="Tahoma" w:cs="Tahoma"/>
        </w:rPr>
      </w:pPr>
      <w:bookmarkStart w:id="625" w:name="_Toc368310182"/>
      <w:r w:rsidRPr="00A75DF9">
        <w:rPr>
          <w:rFonts w:ascii="Tahoma" w:hAnsi="Tahoma" w:cs="Tahoma"/>
          <w:sz w:val="24"/>
          <w:szCs w:val="22"/>
        </w:rPr>
        <w:t>Piattaforme</w:t>
      </w:r>
      <w:bookmarkEnd w:id="622"/>
      <w:bookmarkEnd w:id="623"/>
      <w:bookmarkEnd w:id="624"/>
      <w:bookmarkEnd w:id="625"/>
    </w:p>
    <w:p w:rsidR="00456002" w:rsidRPr="00A75DF9" w:rsidRDefault="00456002" w:rsidP="00456002">
      <w:pPr>
        <w:rPr>
          <w:rFonts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90"/>
        <w:gridCol w:w="7308"/>
      </w:tblGrid>
      <w:tr w:rsidR="00456002" w:rsidRPr="00A75DF9" w:rsidTr="00DC2DAE">
        <w:trPr>
          <w:tblHeader/>
        </w:trPr>
        <w:tc>
          <w:tcPr>
            <w:tcW w:w="1890" w:type="dxa"/>
            <w:shd w:val="clear" w:color="auto" w:fill="FABF8F"/>
          </w:tcPr>
          <w:p w:rsidR="00456002" w:rsidRPr="00A75DF9" w:rsidRDefault="00456002" w:rsidP="00E64551">
            <w:pPr>
              <w:rPr>
                <w:rFonts w:cs="Tahoma"/>
                <w:b/>
                <w:sz w:val="22"/>
                <w:lang w:eastAsia="ja-JP"/>
              </w:rPr>
            </w:pPr>
            <w:r w:rsidRPr="00A75DF9">
              <w:rPr>
                <w:rFonts w:cs="Tahoma"/>
                <w:b/>
                <w:sz w:val="22"/>
              </w:rPr>
              <w:t>Programmi</w:t>
            </w:r>
          </w:p>
        </w:tc>
        <w:tc>
          <w:tcPr>
            <w:tcW w:w="7308" w:type="dxa"/>
            <w:shd w:val="clear" w:color="auto" w:fill="FABF8F"/>
          </w:tcPr>
          <w:p w:rsidR="00456002" w:rsidRPr="00A75DF9" w:rsidRDefault="00456002" w:rsidP="005C647E">
            <w:pPr>
              <w:jc w:val="center"/>
              <w:rPr>
                <w:rFonts w:cs="Tahoma"/>
                <w:b/>
                <w:sz w:val="22"/>
                <w:lang w:eastAsia="ja-JP"/>
              </w:rPr>
            </w:pPr>
            <w:r w:rsidRPr="00A75DF9">
              <w:rPr>
                <w:rFonts w:cs="Tahoma"/>
                <w:b/>
                <w:sz w:val="22"/>
              </w:rPr>
              <w:t>Piattaforme</w:t>
            </w:r>
          </w:p>
        </w:tc>
      </w:tr>
      <w:tr w:rsidR="00456002" w:rsidRPr="00A75DF9" w:rsidTr="00E72B9D">
        <w:tc>
          <w:tcPr>
            <w:tcW w:w="1890" w:type="dxa"/>
            <w:shd w:val="clear" w:color="auto" w:fill="auto"/>
          </w:tcPr>
          <w:p w:rsidR="00456002" w:rsidRPr="00A75DF9" w:rsidRDefault="00DD367D" w:rsidP="00DC2DAE">
            <w:pPr>
              <w:spacing w:before="60"/>
              <w:rPr>
                <w:rFonts w:cs="Tahoma"/>
                <w:b/>
                <w:lang w:eastAsia="ja-JP"/>
              </w:rPr>
            </w:pPr>
            <w:r w:rsidRPr="00A75DF9">
              <w:rPr>
                <w:rFonts w:cs="Tahoma"/>
                <w:b/>
              </w:rPr>
              <w:t>Contratto Enterprise e</w:t>
            </w:r>
            <w:r w:rsidR="00DC2DAE">
              <w:rPr>
                <w:rFonts w:cs="Tahoma"/>
                <w:b/>
              </w:rPr>
              <w:t> </w:t>
            </w:r>
            <w:r w:rsidRPr="00A75DF9">
              <w:rPr>
                <w:rFonts w:cs="Tahoma"/>
                <w:b/>
              </w:rPr>
              <w:t>Contratto Enterprise Subscription</w:t>
            </w:r>
          </w:p>
        </w:tc>
        <w:tc>
          <w:tcPr>
            <w:tcW w:w="7308" w:type="dxa"/>
            <w:shd w:val="clear" w:color="auto" w:fill="auto"/>
          </w:tcPr>
          <w:p w:rsidR="00456002" w:rsidRPr="00A75DF9" w:rsidRDefault="00456002" w:rsidP="00346F4B">
            <w:pPr>
              <w:pStyle w:val="ListParagraph"/>
              <w:numPr>
                <w:ilvl w:val="0"/>
                <w:numId w:val="123"/>
              </w:numPr>
              <w:spacing w:before="60" w:after="60"/>
              <w:ind w:left="245"/>
              <w:rPr>
                <w:rFonts w:ascii="Tahoma" w:hAnsi="Tahoma" w:cs="Tahoma"/>
              </w:rPr>
            </w:pPr>
            <w:r w:rsidRPr="00A75DF9">
              <w:rPr>
                <w:rFonts w:ascii="Tahoma" w:hAnsi="Tahoma" w:cs="Tahoma"/>
                <w:b/>
                <w:sz w:val="18"/>
              </w:rPr>
              <w:t>Prodotti della Piattaforma Enterprise Desktop</w:t>
            </w:r>
          </w:p>
          <w:p w:rsidR="00456002" w:rsidRPr="00A75DF9" w:rsidRDefault="00456002" w:rsidP="00DC2DAE">
            <w:pPr>
              <w:rPr>
                <w:rFonts w:cs="Tahoma"/>
              </w:rPr>
            </w:pPr>
            <w:r w:rsidRPr="00A75DF9">
              <w:rPr>
                <w:rFonts w:cs="Tahoma"/>
                <w:color w:val="000000"/>
                <w:szCs w:val="18"/>
              </w:rPr>
              <w:t>I prodotti della piattaforma Enterprise Desktop sono disponibili per le società con un</w:t>
            </w:r>
            <w:r w:rsidR="00DC2DAE">
              <w:rPr>
                <w:rFonts w:cs="Tahoma"/>
                <w:color w:val="000000"/>
                <w:szCs w:val="18"/>
              </w:rPr>
              <w:t> </w:t>
            </w:r>
            <w:r w:rsidRPr="00A75DF9">
              <w:rPr>
                <w:rFonts w:cs="Tahoma"/>
                <w:color w:val="000000"/>
                <w:szCs w:val="18"/>
              </w:rPr>
              <w:t xml:space="preserve">Contratto Enterprise. La Piattaforma Enterprise Desktop include la versione più aggiornata di Office </w:t>
            </w:r>
            <w:r w:rsidRPr="00A75DF9">
              <w:rPr>
                <w:rFonts w:cs="Tahoma"/>
                <w:szCs w:val="18"/>
              </w:rPr>
              <w:t>Professional Plus</w:t>
            </w:r>
            <w:r w:rsidRPr="00A75DF9">
              <w:rPr>
                <w:rFonts w:cs="Tahoma"/>
                <w:color w:val="000000"/>
                <w:szCs w:val="18"/>
              </w:rPr>
              <w:t>, dell</w:t>
            </w:r>
            <w:r w:rsidR="00F2643E">
              <w:rPr>
                <w:rFonts w:cs="Tahoma"/>
                <w:color w:val="000000"/>
                <w:szCs w:val="18"/>
              </w:rPr>
              <w:t>’</w:t>
            </w:r>
            <w:r w:rsidRPr="00A75DF9">
              <w:rPr>
                <w:rFonts w:cs="Tahoma"/>
                <w:color w:val="000000"/>
                <w:szCs w:val="18"/>
              </w:rPr>
              <w:t>Aggiornamento per il Sistema Operativo Windows 8 Pro o Windows Virtual Desktop Access (VDA) e la licenza Enterprise CAL Suite. I Prodotti della Piattaforma Enterprise Desktop sono indicati da una “E” nelle colonne del Contratto Enterprise.</w:t>
            </w:r>
            <w:r w:rsidR="009D3B41" w:rsidRPr="00A75DF9">
              <w:rPr>
                <w:rFonts w:cs="Tahoma"/>
                <w:color w:val="000000"/>
                <w:szCs w:val="18"/>
              </w:rPr>
              <w:t xml:space="preserve"> </w:t>
            </w:r>
            <w:r w:rsidRPr="00A75DF9">
              <w:rPr>
                <w:rFonts w:cs="Tahoma"/>
                <w:color w:val="000000"/>
                <w:szCs w:val="18"/>
              </w:rPr>
              <w:t>Le società che hanno sottoscritto un Contratto Enterprise ed Enterprise Subscription possono anch</w:t>
            </w:r>
            <w:r w:rsidR="00F2643E">
              <w:rPr>
                <w:rFonts w:cs="Tahoma"/>
                <w:color w:val="000000"/>
                <w:szCs w:val="18"/>
              </w:rPr>
              <w:t>’</w:t>
            </w:r>
            <w:r w:rsidRPr="00A75DF9">
              <w:rPr>
                <w:rFonts w:cs="Tahoma"/>
                <w:color w:val="000000"/>
                <w:szCs w:val="18"/>
              </w:rPr>
              <w:t>esse acquistare la piattaforma Enterprise Desktop con MDOP.</w:t>
            </w:r>
          </w:p>
          <w:p w:rsidR="00456002" w:rsidRPr="00A75DF9" w:rsidRDefault="00456002" w:rsidP="005C647E">
            <w:pPr>
              <w:rPr>
                <w:rFonts w:cs="Tahoma"/>
              </w:rPr>
            </w:pPr>
          </w:p>
          <w:p w:rsidR="00456002" w:rsidRPr="00A75DF9" w:rsidRDefault="00456002" w:rsidP="00346F4B">
            <w:pPr>
              <w:pStyle w:val="ListParagraph"/>
              <w:numPr>
                <w:ilvl w:val="0"/>
                <w:numId w:val="123"/>
              </w:numPr>
              <w:spacing w:after="60"/>
              <w:ind w:left="252"/>
              <w:rPr>
                <w:rFonts w:ascii="Tahoma" w:hAnsi="Tahoma" w:cs="Tahoma"/>
              </w:rPr>
            </w:pPr>
            <w:r w:rsidRPr="00A75DF9">
              <w:rPr>
                <w:rFonts w:ascii="Tahoma" w:hAnsi="Tahoma" w:cs="Tahoma"/>
                <w:b/>
                <w:sz w:val="18"/>
              </w:rPr>
              <w:t>Prodotti della Piattaforma Professional Desktop</w:t>
            </w:r>
          </w:p>
          <w:p w:rsidR="00456002" w:rsidRPr="00A75DF9" w:rsidRDefault="00456002" w:rsidP="00DC2DAE">
            <w:pPr>
              <w:rPr>
                <w:rFonts w:cs="Tahoma"/>
              </w:rPr>
            </w:pPr>
            <w:r w:rsidRPr="00A75DF9">
              <w:rPr>
                <w:rFonts w:cs="Tahoma"/>
                <w:color w:val="000000"/>
                <w:szCs w:val="18"/>
              </w:rPr>
              <w:t>I prodotti della piattaforma Professional Desktop sono disponibili per le società che hanno sottoscritto un Contratto Enterprise. La Piattaforma Professional Desktop include la versione più aggiornata di Office Professional Plus, l</w:t>
            </w:r>
            <w:r w:rsidR="00F2643E">
              <w:rPr>
                <w:rFonts w:cs="Tahoma"/>
                <w:color w:val="000000"/>
                <w:szCs w:val="18"/>
              </w:rPr>
              <w:t>’</w:t>
            </w:r>
            <w:r w:rsidRPr="00A75DF9">
              <w:rPr>
                <w:rFonts w:cs="Tahoma"/>
                <w:color w:val="000000"/>
                <w:szCs w:val="18"/>
              </w:rPr>
              <w:t>Aggiornamento per il Sistema Operativo Windows 8 Pro o Windows Virtual Enterprise Desktop Access (VDA) (solo per</w:t>
            </w:r>
            <w:r w:rsidR="00DC2DAE">
              <w:rPr>
                <w:rFonts w:cs="Tahoma"/>
                <w:color w:val="000000"/>
                <w:szCs w:val="18"/>
              </w:rPr>
              <w:t> I </w:t>
            </w:r>
            <w:r w:rsidRPr="00A75DF9">
              <w:rPr>
                <w:rFonts w:cs="Tahoma"/>
                <w:color w:val="000000"/>
                <w:szCs w:val="18"/>
              </w:rPr>
              <w:t>Contratti EA) e la licenza Core CAL Suite. I prodotti della piattaforma Professional Desktop sono indicati da una “E” nelle colonne del Contratto Enterprise. Le società che hanno sottoscritto un Contratto Enterprise ed Enterprise Subscription possono anch</w:t>
            </w:r>
            <w:r w:rsidR="00F2643E">
              <w:rPr>
                <w:rFonts w:cs="Tahoma"/>
                <w:color w:val="000000"/>
                <w:szCs w:val="18"/>
              </w:rPr>
              <w:t>’</w:t>
            </w:r>
            <w:r w:rsidRPr="00A75DF9">
              <w:rPr>
                <w:rFonts w:cs="Tahoma"/>
                <w:color w:val="000000"/>
                <w:szCs w:val="18"/>
              </w:rPr>
              <w:t>esse acquistare la piattaforma Professional Desktop con MDOP.</w:t>
            </w:r>
          </w:p>
          <w:p w:rsidR="00456002" w:rsidRPr="00A75DF9" w:rsidRDefault="00456002" w:rsidP="005C647E">
            <w:pPr>
              <w:rPr>
                <w:rFonts w:cs="Tahoma"/>
                <w:szCs w:val="18"/>
                <w:lang w:eastAsia="ja-JP"/>
              </w:rPr>
            </w:pPr>
          </w:p>
        </w:tc>
      </w:tr>
      <w:tr w:rsidR="00456002" w:rsidRPr="00A75DF9" w:rsidTr="00E72B9D">
        <w:trPr>
          <w:trHeight w:val="278"/>
        </w:trPr>
        <w:tc>
          <w:tcPr>
            <w:tcW w:w="1890" w:type="dxa"/>
            <w:shd w:val="clear" w:color="auto" w:fill="auto"/>
          </w:tcPr>
          <w:p w:rsidR="00456002" w:rsidRPr="00A75DF9" w:rsidRDefault="00456002" w:rsidP="00DC2DAE">
            <w:pPr>
              <w:spacing w:before="60"/>
              <w:rPr>
                <w:rFonts w:cs="Tahoma"/>
                <w:b/>
                <w:lang w:eastAsia="ja-JP"/>
              </w:rPr>
            </w:pPr>
            <w:r w:rsidRPr="00A75DF9">
              <w:rPr>
                <w:rFonts w:cs="Tahoma"/>
                <w:b/>
                <w:sz w:val="20"/>
              </w:rPr>
              <w:lastRenderedPageBreak/>
              <w:t>Open Value e</w:t>
            </w:r>
            <w:r w:rsidR="00DC2DAE">
              <w:rPr>
                <w:rFonts w:cs="Tahoma"/>
                <w:b/>
                <w:sz w:val="20"/>
              </w:rPr>
              <w:t> </w:t>
            </w:r>
            <w:r w:rsidRPr="00A75DF9">
              <w:rPr>
                <w:rFonts w:cs="Tahoma"/>
                <w:b/>
                <w:sz w:val="20"/>
              </w:rPr>
              <w:t>Open Value Subscription (per Società Commerciali ed Enti Pubblici)</w:t>
            </w:r>
          </w:p>
        </w:tc>
        <w:tc>
          <w:tcPr>
            <w:tcW w:w="7308" w:type="dxa"/>
            <w:shd w:val="clear" w:color="auto" w:fill="auto"/>
          </w:tcPr>
          <w:p w:rsidR="00456002" w:rsidRPr="00A75DF9" w:rsidRDefault="00456002" w:rsidP="00346F4B">
            <w:pPr>
              <w:pStyle w:val="ListParagraph"/>
              <w:numPr>
                <w:ilvl w:val="0"/>
                <w:numId w:val="123"/>
              </w:numPr>
              <w:spacing w:before="60" w:after="60"/>
              <w:ind w:left="245"/>
              <w:rPr>
                <w:rFonts w:ascii="Tahoma" w:hAnsi="Tahoma" w:cs="Tahoma"/>
              </w:rPr>
            </w:pPr>
            <w:r w:rsidRPr="00A75DF9">
              <w:rPr>
                <w:rFonts w:ascii="Tahoma" w:hAnsi="Tahoma" w:cs="Tahoma"/>
                <w:b/>
                <w:sz w:val="18"/>
              </w:rPr>
              <w:t>Prodotti della Piattaforma Desktop Personalizzati</w:t>
            </w:r>
          </w:p>
          <w:p w:rsidR="00456002" w:rsidRPr="00A75DF9" w:rsidRDefault="00456002" w:rsidP="00DC2DAE">
            <w:pPr>
              <w:rPr>
                <w:rFonts w:cs="Tahoma"/>
              </w:rPr>
            </w:pPr>
            <w:r w:rsidRPr="00A75DF9">
              <w:rPr>
                <w:rFonts w:cs="Tahoma"/>
                <w:color w:val="000000"/>
                <w:szCs w:val="18"/>
              </w:rPr>
              <w:t>I Prodotti della Piattaforma Desktop Personalizzati sono disponibili per le società Open Value e Open Value Subscription quando scelgono l</w:t>
            </w:r>
            <w:r w:rsidR="00F2643E">
              <w:rPr>
                <w:rFonts w:cs="Tahoma"/>
                <w:color w:val="000000"/>
                <w:szCs w:val="18"/>
              </w:rPr>
              <w:t>’</w:t>
            </w:r>
            <w:r w:rsidRPr="00A75DF9">
              <w:rPr>
                <w:rFonts w:cs="Tahoma"/>
                <w:color w:val="000000"/>
                <w:szCs w:val="18"/>
              </w:rPr>
              <w:t>opzione per l</w:t>
            </w:r>
            <w:r w:rsidR="00F2643E">
              <w:rPr>
                <w:rFonts w:cs="Tahoma"/>
                <w:color w:val="000000"/>
                <w:szCs w:val="18"/>
              </w:rPr>
              <w:t>’</w:t>
            </w:r>
            <w:r w:rsidRPr="00A75DF9">
              <w:rPr>
                <w:rFonts w:cs="Tahoma"/>
                <w:szCs w:val="18"/>
              </w:rPr>
              <w:t>intera organizzazione/a livello aziendale</w:t>
            </w:r>
            <w:r w:rsidRPr="00A75DF9">
              <w:rPr>
                <w:rFonts w:cs="Tahoma"/>
                <w:color w:val="000000"/>
                <w:szCs w:val="18"/>
              </w:rPr>
              <w:t>. La Piattaforma Desktop Personalizzata include le versioni correnti di Office Professional Plus, l</w:t>
            </w:r>
            <w:r w:rsidR="00F2643E">
              <w:rPr>
                <w:rFonts w:cs="Tahoma"/>
                <w:color w:val="000000"/>
                <w:szCs w:val="18"/>
              </w:rPr>
              <w:t>’</w:t>
            </w:r>
            <w:r w:rsidRPr="00A75DF9">
              <w:rPr>
                <w:rFonts w:cs="Tahoma"/>
                <w:color w:val="000000"/>
                <w:szCs w:val="18"/>
              </w:rPr>
              <w:t>Aggiornamento per il Sistema Operativo Windows 8 Pro*, la</w:t>
            </w:r>
            <w:r w:rsidR="00DC2DAE">
              <w:rPr>
                <w:rFonts w:cs="Tahoma"/>
                <w:color w:val="000000"/>
                <w:szCs w:val="18"/>
              </w:rPr>
              <w:t> </w:t>
            </w:r>
            <w:r w:rsidRPr="00A75DF9">
              <w:rPr>
                <w:rFonts w:cs="Tahoma"/>
                <w:color w:val="000000"/>
                <w:szCs w:val="18"/>
              </w:rPr>
              <w:t>licenza di accesso client per Enterprise CAL Suite, Core CAL Suite, Essential Business Server CAL Suite o Small Business Server CAL Suite. I Prodotti della Piattaforma Desktop Personalizzati sono indicati da una “E” nelle colonne Open Value.</w:t>
            </w:r>
            <w:r w:rsidR="009D3B41" w:rsidRPr="00A75DF9">
              <w:rPr>
                <w:rFonts w:cs="Tahoma"/>
                <w:color w:val="000000"/>
                <w:szCs w:val="18"/>
              </w:rPr>
              <w:t xml:space="preserve"> </w:t>
            </w:r>
          </w:p>
          <w:p w:rsidR="00456002" w:rsidRPr="00A75DF9" w:rsidRDefault="00456002" w:rsidP="005C647E">
            <w:pPr>
              <w:rPr>
                <w:rFonts w:cs="Tahoma"/>
                <w:szCs w:val="18"/>
                <w:lang w:eastAsia="ja-JP"/>
              </w:rPr>
            </w:pPr>
          </w:p>
        </w:tc>
      </w:tr>
      <w:tr w:rsidR="00456002" w:rsidRPr="00A75DF9" w:rsidTr="00E72B9D">
        <w:trPr>
          <w:trHeight w:val="278"/>
        </w:trPr>
        <w:tc>
          <w:tcPr>
            <w:tcW w:w="1890" w:type="dxa"/>
            <w:shd w:val="clear" w:color="auto" w:fill="auto"/>
          </w:tcPr>
          <w:p w:rsidR="00456002" w:rsidRPr="00A75DF9" w:rsidRDefault="00456002" w:rsidP="00DC2DAE">
            <w:pPr>
              <w:spacing w:before="60"/>
              <w:rPr>
                <w:rFonts w:cs="Tahoma"/>
                <w:b/>
                <w:lang w:eastAsia="ja-JP"/>
              </w:rPr>
            </w:pPr>
            <w:r w:rsidRPr="00A75DF9">
              <w:rPr>
                <w:rFonts w:cs="Tahoma"/>
                <w:b/>
                <w:sz w:val="20"/>
              </w:rPr>
              <w:t>Piattaforme Academic (EES,</w:t>
            </w:r>
            <w:r w:rsidR="00DC2DAE">
              <w:rPr>
                <w:rFonts w:cs="Tahoma"/>
                <w:b/>
                <w:sz w:val="20"/>
              </w:rPr>
              <w:t> </w:t>
            </w:r>
            <w:r w:rsidRPr="00A75DF9">
              <w:rPr>
                <w:rFonts w:cs="Tahoma"/>
                <w:b/>
                <w:sz w:val="20"/>
              </w:rPr>
              <w:t>OVS-ES e</w:t>
            </w:r>
            <w:r w:rsidR="00DC2DAE">
              <w:rPr>
                <w:rFonts w:cs="Tahoma"/>
                <w:b/>
                <w:sz w:val="20"/>
              </w:rPr>
              <w:t> </w:t>
            </w:r>
            <w:r w:rsidRPr="00A75DF9">
              <w:rPr>
                <w:rFonts w:cs="Tahoma"/>
                <w:b/>
                <w:sz w:val="20"/>
              </w:rPr>
              <w:t>Contratto School)</w:t>
            </w:r>
          </w:p>
        </w:tc>
        <w:tc>
          <w:tcPr>
            <w:tcW w:w="7308" w:type="dxa"/>
            <w:shd w:val="clear" w:color="auto" w:fill="auto"/>
          </w:tcPr>
          <w:p w:rsidR="00821966" w:rsidRPr="00A75DF9" w:rsidRDefault="00456002" w:rsidP="00346F4B">
            <w:pPr>
              <w:pStyle w:val="ListParagraph"/>
              <w:numPr>
                <w:ilvl w:val="0"/>
                <w:numId w:val="123"/>
              </w:numPr>
              <w:spacing w:before="60" w:after="60"/>
              <w:ind w:left="245"/>
              <w:contextualSpacing w:val="0"/>
              <w:rPr>
                <w:rFonts w:ascii="Tahoma" w:hAnsi="Tahoma" w:cs="Tahoma"/>
              </w:rPr>
            </w:pPr>
            <w:r w:rsidRPr="00A75DF9">
              <w:rPr>
                <w:rFonts w:ascii="Tahoma" w:hAnsi="Tahoma" w:cs="Tahoma"/>
                <w:b/>
                <w:sz w:val="18"/>
              </w:rPr>
              <w:t>Prodotti della Piattaforma Desktop Education e Piattaforma Desktop School con Enterprise CAL Suite</w:t>
            </w:r>
          </w:p>
          <w:p w:rsidR="00456002" w:rsidRPr="00A75DF9" w:rsidRDefault="00456002" w:rsidP="00346F4B">
            <w:pPr>
              <w:pStyle w:val="ListParagraph"/>
              <w:numPr>
                <w:ilvl w:val="0"/>
                <w:numId w:val="123"/>
              </w:numPr>
              <w:spacing w:after="60"/>
              <w:ind w:left="252"/>
              <w:rPr>
                <w:rFonts w:ascii="Tahoma" w:hAnsi="Tahoma" w:cs="Tahoma"/>
              </w:rPr>
            </w:pPr>
            <w:r w:rsidRPr="00A75DF9">
              <w:rPr>
                <w:rFonts w:ascii="Tahoma" w:hAnsi="Tahoma" w:cs="Tahoma"/>
                <w:b/>
                <w:sz w:val="18"/>
              </w:rPr>
              <w:t>Prodotti della Piattaforma Desktop Education e Piattaforma Desktop School con Core CAL Suite</w:t>
            </w:r>
          </w:p>
          <w:p w:rsidR="00456002" w:rsidRPr="00A75DF9" w:rsidRDefault="00456002" w:rsidP="00821966">
            <w:pPr>
              <w:rPr>
                <w:rFonts w:cs="Tahoma"/>
              </w:rPr>
            </w:pPr>
            <w:r w:rsidRPr="00A75DF9">
              <w:rPr>
                <w:rFonts w:cs="Tahoma"/>
                <w:szCs w:val="18"/>
              </w:rPr>
              <w:t>I Prodotti della Piattaforma Desktop Education sono disponibili per le società Enrollment for Education Solutions (EES) e Open Value Subscription - Education Solutions (OVS-ES). I Prodotti della Piattaforma Desktop School sono disponibili per le società che hanno sottoscritto un Contratto School. La Piattaforma Desktop Education con Enterprise CAL Suite e la Piattaforma Desktop School con Enterprise CAL Suite includono la versione più aggiornata di Office Professional Plus o Office per Mac, l</w:t>
            </w:r>
            <w:r w:rsidR="00F2643E">
              <w:rPr>
                <w:rFonts w:cs="Tahoma"/>
                <w:szCs w:val="18"/>
              </w:rPr>
              <w:t>’</w:t>
            </w:r>
            <w:r w:rsidRPr="00A75DF9">
              <w:rPr>
                <w:rFonts w:cs="Tahoma"/>
                <w:szCs w:val="18"/>
              </w:rPr>
              <w:t xml:space="preserve">Aggiornamento per il Sistema Operativo Windows 8 Pro e la licenza Enterprise CAL Suite. </w:t>
            </w:r>
          </w:p>
          <w:p w:rsidR="00456002" w:rsidRPr="00A75DF9" w:rsidRDefault="00456002" w:rsidP="00E64551">
            <w:pPr>
              <w:ind w:left="360"/>
              <w:rPr>
                <w:rFonts w:cs="Tahoma"/>
              </w:rPr>
            </w:pPr>
          </w:p>
          <w:p w:rsidR="00456002" w:rsidRPr="00A75DF9" w:rsidRDefault="00456002" w:rsidP="00821966">
            <w:pPr>
              <w:rPr>
                <w:rFonts w:cs="Tahoma"/>
              </w:rPr>
            </w:pPr>
            <w:r w:rsidRPr="00A75DF9">
              <w:rPr>
                <w:rFonts w:cs="Tahoma"/>
                <w:iCs/>
                <w:szCs w:val="18"/>
              </w:rPr>
              <w:t>Il Prodotto della Piattaforma Desktop School nel listino prezzi conta come 3 unità.</w:t>
            </w:r>
          </w:p>
          <w:p w:rsidR="00456002" w:rsidRPr="00A75DF9" w:rsidRDefault="00456002" w:rsidP="00821966">
            <w:pPr>
              <w:rPr>
                <w:rFonts w:cs="Tahoma"/>
              </w:rPr>
            </w:pPr>
          </w:p>
          <w:p w:rsidR="00456002" w:rsidRPr="00A75DF9" w:rsidRDefault="00456002" w:rsidP="00DC2DAE">
            <w:pPr>
              <w:tabs>
                <w:tab w:val="left" w:pos="8640"/>
              </w:tabs>
              <w:ind w:right="720"/>
              <w:rPr>
                <w:rFonts w:cs="Tahoma"/>
              </w:rPr>
            </w:pPr>
            <w:r w:rsidRPr="00A75DF9">
              <w:rPr>
                <w:rFonts w:cs="Tahoma"/>
                <w:b/>
                <w:bCs/>
                <w:color w:val="000000"/>
                <w:szCs w:val="18"/>
              </w:rPr>
              <w:t xml:space="preserve">Nota: </w:t>
            </w:r>
            <w:r w:rsidRPr="00A75DF9">
              <w:rPr>
                <w:rFonts w:cs="Tahoma"/>
                <w:bCs/>
                <w:color w:val="000000"/>
                <w:szCs w:val="18"/>
              </w:rPr>
              <w:t>le società con contratti EES e OVS-ES non sono idonee a scegliere Prodotti della Piattaforma Desktop e singoli prodotti con CAL inclusi nella Core</w:t>
            </w:r>
            <w:r w:rsidR="00DC2DAE">
              <w:rPr>
                <w:rFonts w:cs="Tahoma"/>
                <w:bCs/>
                <w:color w:val="000000"/>
                <w:szCs w:val="18"/>
              </w:rPr>
              <w:t> </w:t>
            </w:r>
            <w:r w:rsidRPr="00A75DF9">
              <w:rPr>
                <w:rFonts w:cs="Tahoma"/>
                <w:bCs/>
                <w:color w:val="000000"/>
                <w:szCs w:val="18"/>
              </w:rPr>
              <w:t>CAL Suite o nell</w:t>
            </w:r>
            <w:r w:rsidR="00F2643E">
              <w:rPr>
                <w:rFonts w:cs="Tahoma"/>
                <w:bCs/>
                <w:color w:val="000000"/>
                <w:szCs w:val="18"/>
              </w:rPr>
              <w:t>’</w:t>
            </w:r>
            <w:r w:rsidRPr="00A75DF9">
              <w:rPr>
                <w:rFonts w:cs="Tahoma"/>
                <w:bCs/>
                <w:color w:val="000000"/>
                <w:szCs w:val="18"/>
              </w:rPr>
              <w:t>Enterprise CAL Suite per un solo componente del Numero</w:t>
            </w:r>
            <w:r w:rsidR="00DC2DAE">
              <w:rPr>
                <w:rFonts w:cs="Tahoma"/>
                <w:bCs/>
                <w:color w:val="000000"/>
                <w:szCs w:val="18"/>
              </w:rPr>
              <w:t> </w:t>
            </w:r>
            <w:r w:rsidRPr="00A75DF9">
              <w:rPr>
                <w:rFonts w:cs="Tahoma"/>
                <w:bCs/>
                <w:color w:val="000000"/>
                <w:szCs w:val="18"/>
              </w:rPr>
              <w:t>dell</w:t>
            </w:r>
            <w:r w:rsidR="00F2643E">
              <w:rPr>
                <w:rFonts w:cs="Tahoma"/>
                <w:bCs/>
                <w:color w:val="000000"/>
                <w:szCs w:val="18"/>
              </w:rPr>
              <w:t>’</w:t>
            </w:r>
            <w:r w:rsidRPr="00A75DF9">
              <w:rPr>
                <w:rFonts w:cs="Tahoma"/>
                <w:bCs/>
                <w:color w:val="000000"/>
                <w:szCs w:val="18"/>
              </w:rPr>
              <w:t>intera organizzazione e/o degli Studenti. Ad esempio, qualora la</w:t>
            </w:r>
            <w:r w:rsidR="00DC2DAE">
              <w:rPr>
                <w:rFonts w:cs="Tahoma"/>
                <w:bCs/>
                <w:color w:val="000000"/>
                <w:szCs w:val="18"/>
              </w:rPr>
              <w:t> </w:t>
            </w:r>
            <w:r w:rsidRPr="00A75DF9">
              <w:rPr>
                <w:rFonts w:cs="Tahoma"/>
                <w:bCs/>
                <w:color w:val="000000"/>
                <w:szCs w:val="18"/>
              </w:rPr>
              <w:t>sottoscrizione sia applicabile a 1.200 dipendenti full time dell</w:t>
            </w:r>
            <w:r w:rsidR="00F2643E">
              <w:rPr>
                <w:rFonts w:cs="Tahoma"/>
                <w:bCs/>
                <w:color w:val="000000"/>
                <w:szCs w:val="18"/>
              </w:rPr>
              <w:t>’</w:t>
            </w:r>
            <w:r w:rsidRPr="00A75DF9">
              <w:rPr>
                <w:rFonts w:cs="Tahoma"/>
                <w:bCs/>
                <w:color w:val="000000"/>
                <w:szCs w:val="18"/>
              </w:rPr>
              <w:t>intera organizzazione, i Prodotti della Piattaforma Desktop e i prodotti dei componenti di CAL Suite selezionati saranno applicabili a 1.000 dipendenti dell</w:t>
            </w:r>
            <w:r w:rsidR="00F2643E">
              <w:rPr>
                <w:rFonts w:cs="Tahoma"/>
                <w:bCs/>
                <w:color w:val="000000"/>
                <w:szCs w:val="18"/>
              </w:rPr>
              <w:t>’</w:t>
            </w:r>
            <w:r w:rsidRPr="00A75DF9">
              <w:rPr>
                <w:rFonts w:cs="Tahoma"/>
                <w:bCs/>
                <w:color w:val="000000"/>
                <w:szCs w:val="18"/>
              </w:rPr>
              <w:t>intera organizzazione, anche nel caso in cui su un componente di tali PC venga eseguito un particolare prodotto della Piattaforma Desktop o un prodotto con CAL del componente.</w:t>
            </w:r>
          </w:p>
          <w:p w:rsidR="00456002" w:rsidRPr="00A75DF9" w:rsidRDefault="00456002" w:rsidP="005C647E">
            <w:pPr>
              <w:rPr>
                <w:rFonts w:cs="Tahoma"/>
                <w:szCs w:val="18"/>
                <w:lang w:eastAsia="ja-JP"/>
              </w:rPr>
            </w:pPr>
          </w:p>
        </w:tc>
      </w:tr>
    </w:tbl>
    <w:p w:rsidR="00456002" w:rsidRPr="00DC2DAE" w:rsidRDefault="00456002" w:rsidP="00456002">
      <w:pPr>
        <w:pStyle w:val="Heading4"/>
        <w:tabs>
          <w:tab w:val="clear" w:pos="720"/>
          <w:tab w:val="num" w:pos="0"/>
        </w:tabs>
        <w:ind w:left="0" w:right="720" w:firstLine="0"/>
        <w:rPr>
          <w:rFonts w:ascii="Tahoma" w:hAnsi="Tahoma" w:cs="Tahoma"/>
          <w:b w:val="0"/>
          <w:bCs/>
          <w:sz w:val="18"/>
          <w:szCs w:val="18"/>
        </w:rPr>
      </w:pPr>
    </w:p>
    <w:p w:rsidR="004641FD" w:rsidRPr="00A75DF9" w:rsidRDefault="00755633" w:rsidP="004641FD">
      <w:pPr>
        <w:pStyle w:val="Heading3"/>
        <w:ind w:right="720"/>
        <w:rPr>
          <w:rFonts w:ascii="Tahoma" w:hAnsi="Tahoma" w:cs="Tahoma"/>
        </w:rPr>
      </w:pPr>
      <w:bookmarkStart w:id="626" w:name="_Toc336338193"/>
      <w:bookmarkStart w:id="627" w:name="_Toc368310183"/>
      <w:r w:rsidRPr="00A75DF9">
        <w:rPr>
          <w:rFonts w:ascii="Tahoma" w:hAnsi="Tahoma" w:cs="Tahoma"/>
          <w:sz w:val="24"/>
          <w:szCs w:val="22"/>
        </w:rPr>
        <w:t>Definizione di Gestione per i Dispositivi Qualificanti</w:t>
      </w:r>
      <w:bookmarkEnd w:id="626"/>
      <w:bookmarkEnd w:id="627"/>
    </w:p>
    <w:p w:rsidR="00406CB0" w:rsidRPr="00A75DF9" w:rsidRDefault="00406CB0" w:rsidP="00406CB0">
      <w:pPr>
        <w:rPr>
          <w:rFonts w:cs="Tahoma"/>
        </w:rPr>
      </w:pPr>
    </w:p>
    <w:p w:rsidR="004641FD" w:rsidRPr="00A75DF9" w:rsidRDefault="004641FD" w:rsidP="004641FD">
      <w:pPr>
        <w:rPr>
          <w:rFonts w:cs="Tahoma"/>
        </w:rPr>
      </w:pPr>
      <w:r w:rsidRPr="00A75DF9">
        <w:rPr>
          <w:rFonts w:cs="Tahoma"/>
        </w:rPr>
        <w:t>Una società titolare di Contratti Multilicenza “gestisce” qualsiasi dispositivo su cui controlla direttamente o indirettamente uno o più ambienti del sistema operativo.</w:t>
      </w:r>
      <w:r w:rsidR="009D3B41" w:rsidRPr="00A75DF9">
        <w:rPr>
          <w:rFonts w:cs="Tahoma"/>
        </w:rPr>
        <w:t xml:space="preserve"> </w:t>
      </w:r>
      <w:r w:rsidRPr="00A75DF9">
        <w:rPr>
          <w:rFonts w:cs="Tahoma"/>
        </w:rPr>
        <w:t>Ad esempio, una società titolare di Contratti Multilicenza gestisce qualsiasi dispositivo</w:t>
      </w:r>
    </w:p>
    <w:p w:rsidR="00406CB0" w:rsidRPr="00A75DF9" w:rsidRDefault="00406CB0" w:rsidP="00822871">
      <w:pPr>
        <w:spacing w:after="60"/>
        <w:rPr>
          <w:rFonts w:cs="Tahoma"/>
        </w:rPr>
      </w:pPr>
    </w:p>
    <w:p w:rsidR="004641FD" w:rsidRPr="00A75DF9" w:rsidRDefault="004641FD" w:rsidP="00822871">
      <w:pPr>
        <w:numPr>
          <w:ilvl w:val="0"/>
          <w:numId w:val="19"/>
        </w:numPr>
        <w:spacing w:after="60"/>
        <w:rPr>
          <w:rFonts w:cs="Tahoma"/>
        </w:rPr>
      </w:pPr>
      <w:r w:rsidRPr="00A75DF9">
        <w:rPr>
          <w:rFonts w:cs="Tahoma"/>
        </w:rPr>
        <w:t>che autorizza a unirsi al suo dominio OPPURE</w:t>
      </w:r>
    </w:p>
    <w:p w:rsidR="004641FD" w:rsidRPr="00A75DF9" w:rsidRDefault="004641FD" w:rsidP="00822871">
      <w:pPr>
        <w:numPr>
          <w:ilvl w:val="0"/>
          <w:numId w:val="19"/>
        </w:numPr>
        <w:spacing w:after="60"/>
        <w:rPr>
          <w:rFonts w:cs="Tahoma"/>
        </w:rPr>
      </w:pPr>
      <w:r w:rsidRPr="00A75DF9">
        <w:rPr>
          <w:rFonts w:cs="Tahoma"/>
        </w:rPr>
        <w:t>che autentica come requisito per utilizzare le applicazioni mentre si trova in sede OPPURE</w:t>
      </w:r>
    </w:p>
    <w:p w:rsidR="004641FD" w:rsidRPr="00A75DF9" w:rsidRDefault="004641FD" w:rsidP="00822871">
      <w:pPr>
        <w:numPr>
          <w:ilvl w:val="0"/>
          <w:numId w:val="19"/>
        </w:numPr>
        <w:spacing w:after="60"/>
        <w:rPr>
          <w:rFonts w:cs="Tahoma"/>
        </w:rPr>
      </w:pPr>
      <w:r w:rsidRPr="00A75DF9">
        <w:rPr>
          <w:rFonts w:cs="Tahoma"/>
        </w:rPr>
        <w:t>su cui installa agenti (ad esempio, antivirus, antimalware o altri agenti imposti dai criteri della società) OPPURE</w:t>
      </w:r>
    </w:p>
    <w:p w:rsidR="004641FD" w:rsidRPr="00A75DF9" w:rsidRDefault="004641FD" w:rsidP="00822871">
      <w:pPr>
        <w:numPr>
          <w:ilvl w:val="0"/>
          <w:numId w:val="19"/>
        </w:numPr>
        <w:spacing w:after="60"/>
        <w:rPr>
          <w:rFonts w:cs="Tahoma"/>
        </w:rPr>
      </w:pPr>
      <w:r w:rsidRPr="00A75DF9">
        <w:rPr>
          <w:rFonts w:cs="Tahoma"/>
        </w:rPr>
        <w:t>al quale applica e per il quale rende attuabili* direttamente o indirettamente i criteri di gruppo OPPURE</w:t>
      </w:r>
    </w:p>
    <w:p w:rsidR="004641FD" w:rsidRPr="00A75DF9" w:rsidRDefault="004641FD" w:rsidP="00822871">
      <w:pPr>
        <w:numPr>
          <w:ilvl w:val="0"/>
          <w:numId w:val="19"/>
        </w:numPr>
        <w:spacing w:after="60"/>
        <w:rPr>
          <w:rFonts w:cs="Tahoma"/>
        </w:rPr>
      </w:pPr>
      <w:r w:rsidRPr="00A75DF9">
        <w:rPr>
          <w:rFonts w:cs="Tahoma"/>
        </w:rPr>
        <w:t>tramite il quale richiede o riceve dati e configura o fornisce istruzioni all</w:t>
      </w:r>
      <w:r w:rsidR="00F2643E">
        <w:rPr>
          <w:rFonts w:cs="Tahoma"/>
        </w:rPr>
        <w:t>’</w:t>
      </w:r>
      <w:r w:rsidRPr="00A75DF9">
        <w:rPr>
          <w:rFonts w:cs="Tahoma"/>
        </w:rPr>
        <w:t>hardware o al software associato direttamente o indirettamente a un ambiente del sistema operativo OPPURE</w:t>
      </w:r>
    </w:p>
    <w:p w:rsidR="004641FD" w:rsidRPr="00A75DF9" w:rsidRDefault="004641FD" w:rsidP="00DC2DAE">
      <w:pPr>
        <w:numPr>
          <w:ilvl w:val="0"/>
          <w:numId w:val="19"/>
        </w:numPr>
        <w:spacing w:after="60"/>
        <w:rPr>
          <w:rFonts w:cs="Tahoma"/>
        </w:rPr>
      </w:pPr>
      <w:r w:rsidRPr="00A75DF9">
        <w:rPr>
          <w:rFonts w:cs="Tahoma"/>
        </w:rPr>
        <w:t>che autorizza ad accedere a un</w:t>
      </w:r>
      <w:r w:rsidR="00F2643E">
        <w:rPr>
          <w:rFonts w:cs="Tahoma"/>
        </w:rPr>
        <w:t>’</w:t>
      </w:r>
      <w:r w:rsidRPr="00A75DF9">
        <w:rPr>
          <w:rFonts w:cs="Tahoma"/>
        </w:rPr>
        <w:t>infrastruttura desktop virtuale (Virtual Desktop Infrastructure o</w:t>
      </w:r>
      <w:r w:rsidR="00DC2DAE">
        <w:rPr>
          <w:rFonts w:cs="Tahoma"/>
        </w:rPr>
        <w:t> </w:t>
      </w:r>
      <w:r w:rsidRPr="00A75DF9">
        <w:rPr>
          <w:rFonts w:cs="Tahoma"/>
        </w:rPr>
        <w:t>VDI) esterna a Windows Software Assurance, Windows Intune (Per Dispositivo) o ai Diritti di</w:t>
      </w:r>
      <w:r w:rsidR="00DC2DAE">
        <w:rPr>
          <w:rFonts w:cs="Tahoma"/>
        </w:rPr>
        <w:t> </w:t>
      </w:r>
      <w:r w:rsidRPr="00A75DF9">
        <w:rPr>
          <w:rFonts w:cs="Tahoma"/>
        </w:rPr>
        <w:t>Roaming per Windows Virtual Desktop Access.</w:t>
      </w:r>
    </w:p>
    <w:p w:rsidR="00755633" w:rsidRPr="00A75DF9" w:rsidRDefault="00755633" w:rsidP="00755633">
      <w:pPr>
        <w:ind w:left="1440"/>
        <w:rPr>
          <w:rFonts w:cs="Tahoma"/>
        </w:rPr>
      </w:pPr>
    </w:p>
    <w:p w:rsidR="004641FD" w:rsidRPr="00A75DF9" w:rsidRDefault="004641FD" w:rsidP="00DC2DAE">
      <w:pPr>
        <w:rPr>
          <w:rFonts w:cs="Tahoma"/>
        </w:rPr>
      </w:pPr>
      <w:r w:rsidRPr="00A75DF9">
        <w:rPr>
          <w:rFonts w:cs="Tahoma"/>
        </w:rPr>
        <w:lastRenderedPageBreak/>
        <w:t>Un dispositivo che accede solo a un</w:t>
      </w:r>
      <w:r w:rsidR="00F2643E">
        <w:rPr>
          <w:rFonts w:cs="Tahoma"/>
        </w:rPr>
        <w:t>’</w:t>
      </w:r>
      <w:r w:rsidRPr="00A75DF9">
        <w:rPr>
          <w:rFonts w:cs="Tahoma"/>
        </w:rPr>
        <w:t>infrastruttura VDI ai sensi dei Diritti di Roaming o utilizza Windows To Go su un</w:t>
      </w:r>
      <w:r w:rsidR="00DC2DAE">
        <w:rPr>
          <w:rFonts w:cs="Tahoma"/>
        </w:rPr>
        <w:t> </w:t>
      </w:r>
      <w:r w:rsidRPr="00A75DF9">
        <w:rPr>
          <w:rFonts w:cs="Tahoma"/>
        </w:rPr>
        <w:t>Dispositivo di Terzi Qualificante solo all</w:t>
      </w:r>
      <w:r w:rsidR="00F2643E">
        <w:rPr>
          <w:rFonts w:cs="Tahoma"/>
        </w:rPr>
        <w:t>’</w:t>
      </w:r>
      <w:r w:rsidRPr="00A75DF9">
        <w:rPr>
          <w:rFonts w:cs="Tahoma"/>
        </w:rPr>
        <w:t>esterno dei locali della società, e non viene gestito per altri scopi nella modalità ivi descritta, non è considerato “gestito” ai fini dell</w:t>
      </w:r>
      <w:r w:rsidR="00F2643E">
        <w:rPr>
          <w:rFonts w:cs="Tahoma"/>
        </w:rPr>
        <w:t>’</w:t>
      </w:r>
      <w:r w:rsidRPr="00A75DF9">
        <w:rPr>
          <w:rFonts w:cs="Tahoma"/>
        </w:rPr>
        <w:t>interpretazione della presente definizione.</w:t>
      </w:r>
    </w:p>
    <w:p w:rsidR="00755633" w:rsidRPr="00A75DF9" w:rsidRDefault="00755633" w:rsidP="004641FD">
      <w:pPr>
        <w:rPr>
          <w:rFonts w:cs="Tahoma"/>
        </w:rPr>
      </w:pPr>
    </w:p>
    <w:p w:rsidR="00371299" w:rsidRPr="00A75DF9" w:rsidRDefault="004641FD" w:rsidP="00DC2DAE">
      <w:pPr>
        <w:rPr>
          <w:rFonts w:cs="Tahoma"/>
        </w:rPr>
      </w:pPr>
      <w:r w:rsidRPr="00A75DF9">
        <w:rPr>
          <w:rFonts w:cs="Tahoma"/>
        </w:rPr>
        <w:t>*Una società titolare di Contratti Multilicenza che controlla la disponibilità di nuovi aggiornamenti per il software del</w:t>
      </w:r>
      <w:r w:rsidR="00DC2DAE">
        <w:rPr>
          <w:rFonts w:cs="Tahoma"/>
        </w:rPr>
        <w:t> </w:t>
      </w:r>
      <w:r w:rsidRPr="00A75DF9">
        <w:rPr>
          <w:rFonts w:cs="Tahoma"/>
        </w:rPr>
        <w:t>sistema operativo o la protezione/i virus, e che informa l</w:t>
      </w:r>
      <w:r w:rsidR="00F2643E">
        <w:rPr>
          <w:rFonts w:cs="Tahoma"/>
        </w:rPr>
        <w:t>’</w:t>
      </w:r>
      <w:r w:rsidRPr="00A75DF9">
        <w:rPr>
          <w:rFonts w:cs="Tahoma"/>
        </w:rPr>
        <w:t>utente solo nel caso in cui non siano aggiornati, non</w:t>
      </w:r>
      <w:r w:rsidR="00DC2DAE">
        <w:rPr>
          <w:rFonts w:cs="Tahoma"/>
        </w:rPr>
        <w:t> </w:t>
      </w:r>
      <w:r w:rsidRPr="00A75DF9">
        <w:rPr>
          <w:rFonts w:cs="Tahoma"/>
        </w:rPr>
        <w:t>sta</w:t>
      </w:r>
      <w:r w:rsidR="00DC2DAE">
        <w:rPr>
          <w:rFonts w:cs="Tahoma"/>
        </w:rPr>
        <w:t> </w:t>
      </w:r>
      <w:r w:rsidRPr="00A75DF9">
        <w:rPr>
          <w:rFonts w:cs="Tahoma"/>
        </w:rPr>
        <w:t>“attuando i criteri di gruppo” per gli scopi previsti dal presente esempio.</w:t>
      </w:r>
      <w:r w:rsidR="009D3B41" w:rsidRPr="00A75DF9">
        <w:rPr>
          <w:rFonts w:cs="Tahoma"/>
        </w:rPr>
        <w:t xml:space="preserve"> </w:t>
      </w:r>
    </w:p>
    <w:p w:rsidR="00991DD4" w:rsidRPr="00A75DF9" w:rsidRDefault="00991DD4" w:rsidP="00510F6B">
      <w:pPr>
        <w:rPr>
          <w:rFonts w:cs="Tahoma"/>
        </w:rPr>
      </w:pPr>
    </w:p>
    <w:p w:rsidR="00406CB0" w:rsidRPr="00A75DF9" w:rsidRDefault="00023FE7" w:rsidP="00406CB0">
      <w:pPr>
        <w:pStyle w:val="Heading3"/>
        <w:rPr>
          <w:rFonts w:ascii="Tahoma" w:hAnsi="Tahoma" w:cs="Tahoma"/>
        </w:rPr>
      </w:pPr>
      <w:bookmarkStart w:id="628" w:name="_Toc243157227"/>
      <w:bookmarkStart w:id="629" w:name="_Toc336338194"/>
      <w:bookmarkStart w:id="630" w:name="_Toc368310184"/>
      <w:r w:rsidRPr="00A75DF9">
        <w:rPr>
          <w:rFonts w:ascii="Tahoma" w:hAnsi="Tahoma" w:cs="Tahoma"/>
          <w:sz w:val="24"/>
        </w:rPr>
        <w:t>Prodotti Qualificati per lo Sconto Up-to-Date (UTD)</w:t>
      </w:r>
      <w:bookmarkEnd w:id="628"/>
      <w:bookmarkEnd w:id="629"/>
      <w:bookmarkEnd w:id="630"/>
    </w:p>
    <w:p w:rsidR="00406CB0" w:rsidRPr="00DC2DAE" w:rsidRDefault="00406CB0" w:rsidP="00406CB0">
      <w:pPr>
        <w:pStyle w:val="Heading3"/>
        <w:rPr>
          <w:rFonts w:ascii="Tahoma" w:hAnsi="Tahoma" w:cs="Tahoma"/>
          <w:b w:val="0"/>
          <w:bCs/>
          <w:sz w:val="18"/>
          <w:szCs w:val="18"/>
        </w:rPr>
      </w:pPr>
    </w:p>
    <w:p w:rsidR="00023FE7" w:rsidRPr="00A75DF9" w:rsidRDefault="00023FE7" w:rsidP="00DC2DAE">
      <w:pPr>
        <w:rPr>
          <w:rFonts w:cs="Tahoma"/>
        </w:rPr>
      </w:pPr>
      <w:r w:rsidRPr="00A75DF9">
        <w:rPr>
          <w:rFonts w:cs="Tahoma"/>
        </w:rPr>
        <w:t xml:space="preserve">Le società Open Value Subscription sono idonee allo Sconto UTD durante il primo anno del contratto “subscription”. Le società qualificanti potranno acquistare le Licenze UTD indicate di seguito, qualora siano in possesso della licenza per una delle versioni qualificanti corrispondenti precedenti o correnti tramite OEM, FPP o Contratti Multilicenza. </w:t>
      </w:r>
      <w:r w:rsidRPr="00A75DF9">
        <w:rPr>
          <w:rFonts w:cs="Tahoma"/>
          <w:color w:val="000000"/>
        </w:rPr>
        <w:t>A</w:t>
      </w:r>
      <w:r w:rsidR="00DC2DAE">
        <w:rPr>
          <w:rFonts w:cs="Tahoma"/>
          <w:color w:val="000000"/>
        </w:rPr>
        <w:t> </w:t>
      </w:r>
      <w:r w:rsidRPr="00A75DF9">
        <w:rPr>
          <w:rFonts w:cs="Tahoma"/>
          <w:color w:val="000000"/>
        </w:rPr>
        <w:t>livello generale, lo sconto viene concesso solo alla versione corrente del prodotto o alla versione immediatamente precedente. Lo Sconto UTD è indipendente dalla piattaforma, pertanto anche Mac avrà diritto allo sconto.</w:t>
      </w:r>
    </w:p>
    <w:p w:rsidR="00C353DE" w:rsidRPr="00DC2DAE" w:rsidRDefault="00C353DE">
      <w:pPr>
        <w:pStyle w:val="FootnoteBulletLevel1"/>
        <w:ind w:left="360" w:right="720" w:firstLine="0"/>
        <w:rPr>
          <w:rFonts w:ascii="Tahoma" w:hAnsi="Tahoma" w:cs="Tahoma"/>
          <w:sz w:val="18"/>
          <w:szCs w:val="18"/>
        </w:rPr>
      </w:pPr>
    </w:p>
    <w:tbl>
      <w:tblPr>
        <w:tblW w:w="0" w:type="auto"/>
        <w:tblInd w:w="730" w:type="dxa"/>
        <w:tblCellMar>
          <w:left w:w="0" w:type="dxa"/>
          <w:right w:w="0" w:type="dxa"/>
        </w:tblCellMar>
        <w:tblLook w:val="04A0" w:firstRow="1" w:lastRow="0" w:firstColumn="1" w:lastColumn="0" w:noHBand="0" w:noVBand="1"/>
      </w:tblPr>
      <w:tblGrid>
        <w:gridCol w:w="3809"/>
        <w:gridCol w:w="4298"/>
      </w:tblGrid>
      <w:tr w:rsidR="00023FE7" w:rsidRPr="00A75DF9" w:rsidTr="0044720D">
        <w:trPr>
          <w:tblHeader/>
        </w:trPr>
        <w:tc>
          <w:tcPr>
            <w:tcW w:w="3809" w:type="dxa"/>
            <w:tcBorders>
              <w:top w:val="single" w:sz="8" w:space="0" w:color="auto"/>
              <w:left w:val="single" w:sz="8" w:space="0" w:color="auto"/>
              <w:bottom w:val="single" w:sz="8" w:space="0" w:color="auto"/>
              <w:right w:val="single" w:sz="8" w:space="0" w:color="auto"/>
            </w:tcBorders>
            <w:shd w:val="clear" w:color="auto" w:fill="FFCC99"/>
          </w:tcPr>
          <w:p w:rsidR="00023FE7" w:rsidRPr="00A75DF9" w:rsidRDefault="00023FE7">
            <w:pPr>
              <w:ind w:right="720"/>
              <w:jc w:val="center"/>
              <w:rPr>
                <w:rFonts w:eastAsia="Calibri" w:cs="Tahoma"/>
                <w:b/>
                <w:bCs/>
                <w:color w:val="404040"/>
              </w:rPr>
            </w:pPr>
            <w:r w:rsidRPr="00A75DF9">
              <w:rPr>
                <w:rFonts w:cs="Tahoma"/>
                <w:b/>
                <w:bCs/>
              </w:rPr>
              <w:t>Licenza UTD</w:t>
            </w:r>
          </w:p>
        </w:tc>
        <w:tc>
          <w:tcPr>
            <w:tcW w:w="4298" w:type="dxa"/>
            <w:tcBorders>
              <w:top w:val="single" w:sz="8" w:space="0" w:color="auto"/>
              <w:left w:val="nil"/>
              <w:bottom w:val="single" w:sz="8" w:space="0" w:color="auto"/>
              <w:right w:val="single" w:sz="8" w:space="0" w:color="auto"/>
            </w:tcBorders>
            <w:shd w:val="clear" w:color="auto" w:fill="FFCC99"/>
          </w:tcPr>
          <w:p w:rsidR="00023FE7" w:rsidRPr="00A75DF9" w:rsidRDefault="00023FE7">
            <w:pPr>
              <w:ind w:right="720"/>
              <w:jc w:val="center"/>
              <w:rPr>
                <w:rFonts w:eastAsia="Calibri" w:cs="Tahoma"/>
                <w:b/>
                <w:bCs/>
                <w:color w:val="404040"/>
              </w:rPr>
            </w:pPr>
            <w:r w:rsidRPr="00A75DF9">
              <w:rPr>
                <w:rFonts w:cs="Tahoma"/>
                <w:b/>
                <w:bCs/>
              </w:rPr>
              <w:t>Versione Qualificante</w:t>
            </w:r>
          </w:p>
        </w:tc>
      </w:tr>
      <w:tr w:rsidR="00023FE7" w:rsidRPr="00A75DF9" w:rsidTr="0044720D">
        <w:trPr>
          <w:trHeight w:val="576"/>
        </w:trPr>
        <w:tc>
          <w:tcPr>
            <w:tcW w:w="3809" w:type="dxa"/>
            <w:tcBorders>
              <w:top w:val="nil"/>
              <w:left w:val="single" w:sz="8" w:space="0" w:color="auto"/>
              <w:bottom w:val="single" w:sz="8" w:space="0" w:color="auto"/>
              <w:right w:val="single" w:sz="8" w:space="0" w:color="auto"/>
            </w:tcBorders>
          </w:tcPr>
          <w:p w:rsidR="00023FE7" w:rsidRPr="00A75DF9" w:rsidRDefault="00023FE7" w:rsidP="00230E01">
            <w:pPr>
              <w:spacing w:before="60"/>
              <w:ind w:left="360" w:right="720"/>
              <w:jc w:val="center"/>
              <w:rPr>
                <w:rFonts w:eastAsia="Calibri" w:cs="Tahoma"/>
                <w:szCs w:val="18"/>
              </w:rPr>
            </w:pPr>
            <w:r w:rsidRPr="00A75DF9">
              <w:rPr>
                <w:rFonts w:cs="Tahoma"/>
                <w:szCs w:val="18"/>
              </w:rPr>
              <w:t>Core CAL (Dispositivo o Utente)</w:t>
            </w:r>
          </w:p>
        </w:tc>
        <w:tc>
          <w:tcPr>
            <w:tcW w:w="4298" w:type="dxa"/>
            <w:tcBorders>
              <w:top w:val="nil"/>
              <w:left w:val="nil"/>
              <w:bottom w:val="single" w:sz="8" w:space="0" w:color="auto"/>
              <w:right w:val="single" w:sz="8" w:space="0" w:color="auto"/>
            </w:tcBorders>
          </w:tcPr>
          <w:p w:rsidR="00023FE7" w:rsidRPr="00A75DF9" w:rsidRDefault="00023FE7" w:rsidP="00230E01">
            <w:pPr>
              <w:pStyle w:val="Bulletedlistflush"/>
              <w:spacing w:before="60"/>
              <w:ind w:left="576" w:right="720" w:firstLine="0"/>
              <w:jc w:val="center"/>
              <w:rPr>
                <w:rFonts w:ascii="Tahoma" w:hAnsi="Tahoma" w:cs="Tahoma"/>
              </w:rPr>
            </w:pPr>
            <w:r w:rsidRPr="00A75DF9">
              <w:rPr>
                <w:rFonts w:ascii="Tahoma" w:hAnsi="Tahoma" w:cs="Tahoma"/>
                <w:sz w:val="18"/>
                <w:szCs w:val="18"/>
              </w:rPr>
              <w:t>Qualsiasi Core CAL</w:t>
            </w:r>
          </w:p>
          <w:p w:rsidR="00023FE7" w:rsidRPr="00A75DF9" w:rsidRDefault="00023FE7" w:rsidP="00230E01">
            <w:pPr>
              <w:pStyle w:val="Bulletedlistflush"/>
              <w:ind w:left="576" w:right="720" w:firstLine="0"/>
              <w:jc w:val="center"/>
              <w:rPr>
                <w:rFonts w:ascii="Tahoma" w:hAnsi="Tahoma" w:cs="Tahoma"/>
                <w:sz w:val="18"/>
                <w:szCs w:val="18"/>
              </w:rPr>
            </w:pPr>
          </w:p>
        </w:tc>
      </w:tr>
      <w:tr w:rsidR="00023FE7" w:rsidRPr="00A75DF9" w:rsidTr="0044720D">
        <w:trPr>
          <w:trHeight w:val="576"/>
        </w:trPr>
        <w:tc>
          <w:tcPr>
            <w:tcW w:w="3809" w:type="dxa"/>
            <w:tcBorders>
              <w:top w:val="nil"/>
              <w:left w:val="single" w:sz="8" w:space="0" w:color="auto"/>
              <w:bottom w:val="single" w:sz="8" w:space="0" w:color="auto"/>
              <w:right w:val="single" w:sz="8" w:space="0" w:color="auto"/>
            </w:tcBorders>
          </w:tcPr>
          <w:p w:rsidR="00023FE7" w:rsidRPr="00A75DF9" w:rsidRDefault="00023FE7" w:rsidP="00DC2DAE">
            <w:pPr>
              <w:spacing w:before="60"/>
              <w:ind w:left="360" w:right="720"/>
              <w:jc w:val="center"/>
              <w:rPr>
                <w:rFonts w:eastAsia="Calibri" w:cs="Tahoma"/>
                <w:szCs w:val="18"/>
              </w:rPr>
            </w:pPr>
            <w:r w:rsidRPr="00A75DF9">
              <w:rPr>
                <w:rFonts w:cs="Tahoma"/>
                <w:szCs w:val="18"/>
              </w:rPr>
              <w:t>Enterprise CAL (Dispositivo o</w:t>
            </w:r>
            <w:r w:rsidR="00DC2DAE">
              <w:rPr>
                <w:rFonts w:cs="Tahoma"/>
                <w:szCs w:val="18"/>
              </w:rPr>
              <w:t> </w:t>
            </w:r>
            <w:r w:rsidRPr="00A75DF9">
              <w:rPr>
                <w:rFonts w:cs="Tahoma"/>
                <w:szCs w:val="18"/>
              </w:rPr>
              <w:t>Utente)</w:t>
            </w:r>
          </w:p>
        </w:tc>
        <w:tc>
          <w:tcPr>
            <w:tcW w:w="4298" w:type="dxa"/>
            <w:tcBorders>
              <w:top w:val="nil"/>
              <w:left w:val="nil"/>
              <w:bottom w:val="single" w:sz="8" w:space="0" w:color="auto"/>
              <w:right w:val="single" w:sz="8" w:space="0" w:color="auto"/>
            </w:tcBorders>
          </w:tcPr>
          <w:p w:rsidR="00023FE7" w:rsidRPr="00A75DF9" w:rsidRDefault="00023FE7" w:rsidP="00230E01">
            <w:pPr>
              <w:pStyle w:val="Bulletedlistflush"/>
              <w:spacing w:before="60"/>
              <w:ind w:left="576" w:right="720" w:firstLine="0"/>
              <w:jc w:val="center"/>
              <w:rPr>
                <w:rFonts w:ascii="Tahoma" w:hAnsi="Tahoma" w:cs="Tahoma"/>
                <w:sz w:val="18"/>
                <w:szCs w:val="18"/>
              </w:rPr>
            </w:pPr>
            <w:r w:rsidRPr="00A75DF9">
              <w:rPr>
                <w:rFonts w:ascii="Tahoma" w:hAnsi="Tahoma" w:cs="Tahoma"/>
                <w:sz w:val="18"/>
                <w:szCs w:val="18"/>
              </w:rPr>
              <w:t>Qualsiasi Enterprise CAL</w:t>
            </w:r>
          </w:p>
        </w:tc>
      </w:tr>
      <w:tr w:rsidR="0000615E" w:rsidRPr="00A75DF9" w:rsidTr="0044720D">
        <w:trPr>
          <w:trHeight w:val="576"/>
        </w:trPr>
        <w:tc>
          <w:tcPr>
            <w:tcW w:w="3809" w:type="dxa"/>
            <w:tcBorders>
              <w:top w:val="nil"/>
              <w:left w:val="single" w:sz="8" w:space="0" w:color="auto"/>
              <w:bottom w:val="single" w:sz="8" w:space="0" w:color="auto"/>
              <w:right w:val="single" w:sz="8" w:space="0" w:color="auto"/>
            </w:tcBorders>
          </w:tcPr>
          <w:p w:rsidR="0000615E" w:rsidRPr="00A75DF9" w:rsidRDefault="0000615E" w:rsidP="00230E01">
            <w:pPr>
              <w:spacing w:before="60"/>
              <w:ind w:left="360" w:right="720"/>
              <w:jc w:val="center"/>
              <w:rPr>
                <w:rFonts w:eastAsia="Calibri" w:cs="Tahoma"/>
                <w:szCs w:val="18"/>
              </w:rPr>
            </w:pPr>
            <w:r w:rsidRPr="00A75DF9">
              <w:rPr>
                <w:rFonts w:cs="Tahoma"/>
                <w:szCs w:val="18"/>
              </w:rPr>
              <w:t>Office Professional Plus 2013</w:t>
            </w:r>
          </w:p>
        </w:tc>
        <w:tc>
          <w:tcPr>
            <w:tcW w:w="4298" w:type="dxa"/>
            <w:tcBorders>
              <w:top w:val="nil"/>
              <w:left w:val="nil"/>
              <w:bottom w:val="single" w:sz="8" w:space="0" w:color="auto"/>
              <w:right w:val="single" w:sz="8" w:space="0" w:color="auto"/>
            </w:tcBorders>
          </w:tcPr>
          <w:p w:rsidR="008B2AA7" w:rsidRPr="00A75DF9" w:rsidRDefault="008B2AA7" w:rsidP="00230E01">
            <w:pPr>
              <w:pStyle w:val="Bulletedlistflush"/>
              <w:spacing w:before="60"/>
              <w:ind w:left="576" w:right="720" w:firstLine="0"/>
              <w:jc w:val="center"/>
              <w:rPr>
                <w:rFonts w:ascii="Tahoma" w:hAnsi="Tahoma" w:cs="Tahoma"/>
              </w:rPr>
            </w:pPr>
            <w:r w:rsidRPr="00A75DF9">
              <w:rPr>
                <w:rFonts w:ascii="Tahoma" w:hAnsi="Tahoma" w:cs="Tahoma"/>
                <w:sz w:val="18"/>
                <w:szCs w:val="18"/>
              </w:rPr>
              <w:t>Office Professional Plus 2013</w:t>
            </w:r>
          </w:p>
          <w:p w:rsidR="0000615E" w:rsidRPr="00A75DF9" w:rsidRDefault="0000615E" w:rsidP="00230E01">
            <w:pPr>
              <w:pStyle w:val="Bulletedlistflush"/>
              <w:ind w:left="576" w:right="720" w:firstLine="0"/>
              <w:jc w:val="center"/>
              <w:rPr>
                <w:rFonts w:ascii="Tahoma" w:hAnsi="Tahoma" w:cs="Tahoma"/>
              </w:rPr>
            </w:pPr>
            <w:r w:rsidRPr="00A75DF9">
              <w:rPr>
                <w:rFonts w:ascii="Tahoma" w:hAnsi="Tahoma" w:cs="Tahoma"/>
                <w:sz w:val="18"/>
                <w:szCs w:val="18"/>
              </w:rPr>
              <w:t>Office Professional Plus 2010</w:t>
            </w:r>
          </w:p>
          <w:p w:rsidR="002D0FAC" w:rsidRPr="00A75DF9" w:rsidRDefault="002D0FAC" w:rsidP="00230E01">
            <w:pPr>
              <w:pStyle w:val="Bulletedlistflush"/>
              <w:ind w:left="576" w:right="720" w:firstLine="0"/>
              <w:jc w:val="center"/>
              <w:rPr>
                <w:rFonts w:ascii="Tahoma" w:hAnsi="Tahoma" w:cs="Tahoma"/>
              </w:rPr>
            </w:pPr>
            <w:r w:rsidRPr="00A75DF9">
              <w:rPr>
                <w:rFonts w:ascii="Tahoma" w:hAnsi="Tahoma" w:cs="Tahoma"/>
                <w:sz w:val="18"/>
                <w:szCs w:val="18"/>
              </w:rPr>
              <w:t>Office 2013 Professional</w:t>
            </w:r>
          </w:p>
          <w:p w:rsidR="0000615E" w:rsidRPr="00A75DF9" w:rsidRDefault="0000615E" w:rsidP="00230E01">
            <w:pPr>
              <w:pStyle w:val="Bulletedlistflush"/>
              <w:ind w:left="576" w:right="720" w:firstLine="0"/>
              <w:jc w:val="center"/>
              <w:rPr>
                <w:rFonts w:ascii="Tahoma" w:hAnsi="Tahoma" w:cs="Tahoma"/>
              </w:rPr>
            </w:pPr>
            <w:r w:rsidRPr="00A75DF9">
              <w:rPr>
                <w:rFonts w:ascii="Tahoma" w:hAnsi="Tahoma" w:cs="Tahoma"/>
                <w:sz w:val="18"/>
                <w:szCs w:val="18"/>
              </w:rPr>
              <w:t>Office 2010 Professional</w:t>
            </w:r>
          </w:p>
          <w:p w:rsidR="0000615E" w:rsidRPr="00A75DF9" w:rsidRDefault="0000615E" w:rsidP="008B2AA7">
            <w:pPr>
              <w:pStyle w:val="Bulletedlistflush"/>
              <w:ind w:left="576" w:right="720" w:firstLine="0"/>
              <w:jc w:val="center"/>
              <w:rPr>
                <w:rFonts w:ascii="Tahoma" w:hAnsi="Tahoma" w:cs="Tahoma"/>
                <w:sz w:val="18"/>
                <w:szCs w:val="18"/>
              </w:rPr>
            </w:pPr>
          </w:p>
        </w:tc>
      </w:tr>
      <w:tr w:rsidR="00023FE7" w:rsidRPr="00A75DF9" w:rsidTr="0044720D">
        <w:trPr>
          <w:trHeight w:val="576"/>
        </w:trPr>
        <w:tc>
          <w:tcPr>
            <w:tcW w:w="3809" w:type="dxa"/>
            <w:tcBorders>
              <w:top w:val="nil"/>
              <w:left w:val="single" w:sz="8" w:space="0" w:color="auto"/>
              <w:bottom w:val="single" w:sz="8" w:space="0" w:color="auto"/>
              <w:right w:val="single" w:sz="8" w:space="0" w:color="auto"/>
            </w:tcBorders>
          </w:tcPr>
          <w:p w:rsidR="00023FE7" w:rsidRPr="00A75DF9" w:rsidRDefault="00023FE7" w:rsidP="00DC2DAE">
            <w:pPr>
              <w:spacing w:before="60"/>
              <w:ind w:left="360" w:right="720"/>
              <w:jc w:val="center"/>
              <w:rPr>
                <w:rFonts w:eastAsia="Calibri" w:cs="Tahoma"/>
                <w:color w:val="000000"/>
                <w:szCs w:val="18"/>
              </w:rPr>
            </w:pPr>
            <w:r w:rsidRPr="00A75DF9">
              <w:rPr>
                <w:rFonts w:cs="Tahoma"/>
                <w:color w:val="000000"/>
                <w:szCs w:val="18"/>
              </w:rPr>
              <w:t>CAL per Small Business Server Standard 2011 (Dispositivo o</w:t>
            </w:r>
            <w:r w:rsidR="00DC2DAE">
              <w:rPr>
                <w:rFonts w:cs="Tahoma"/>
                <w:color w:val="000000"/>
                <w:szCs w:val="18"/>
              </w:rPr>
              <w:t> </w:t>
            </w:r>
            <w:r w:rsidRPr="00A75DF9">
              <w:rPr>
                <w:rFonts w:cs="Tahoma"/>
                <w:color w:val="000000"/>
                <w:szCs w:val="18"/>
              </w:rPr>
              <w:t>Utente)</w:t>
            </w:r>
          </w:p>
        </w:tc>
        <w:tc>
          <w:tcPr>
            <w:tcW w:w="4298" w:type="dxa"/>
            <w:tcBorders>
              <w:top w:val="nil"/>
              <w:left w:val="nil"/>
              <w:bottom w:val="single" w:sz="8" w:space="0" w:color="auto"/>
              <w:right w:val="single" w:sz="8" w:space="0" w:color="auto"/>
            </w:tcBorders>
          </w:tcPr>
          <w:p w:rsidR="00684C4D" w:rsidRPr="00A75DF9" w:rsidRDefault="00684C4D" w:rsidP="00230E01">
            <w:pPr>
              <w:spacing w:before="60"/>
              <w:ind w:left="576" w:right="720"/>
              <w:jc w:val="center"/>
              <w:rPr>
                <w:rFonts w:cs="Tahoma"/>
              </w:rPr>
            </w:pPr>
            <w:r w:rsidRPr="00A75DF9">
              <w:rPr>
                <w:rFonts w:eastAsia="Calibri" w:cs="Tahoma"/>
                <w:color w:val="000000"/>
                <w:szCs w:val="18"/>
              </w:rPr>
              <w:t>CAL per Windows Small Business Server 2011</w:t>
            </w:r>
          </w:p>
          <w:p w:rsidR="00023FE7" w:rsidRPr="00A75DF9" w:rsidRDefault="00023FE7">
            <w:pPr>
              <w:pStyle w:val="Bulletedlistflush"/>
              <w:ind w:left="576" w:right="720" w:firstLine="0"/>
              <w:jc w:val="center"/>
              <w:rPr>
                <w:rFonts w:ascii="Tahoma" w:hAnsi="Tahoma" w:cs="Tahoma"/>
              </w:rPr>
            </w:pPr>
            <w:r w:rsidRPr="00A75DF9">
              <w:rPr>
                <w:rFonts w:ascii="Tahoma" w:hAnsi="Tahoma" w:cs="Tahoma"/>
                <w:color w:val="000000"/>
                <w:sz w:val="18"/>
                <w:szCs w:val="18"/>
              </w:rPr>
              <w:t>CAL per Windows Small Business Server Standard 2008</w:t>
            </w:r>
          </w:p>
          <w:p w:rsidR="00023FE7" w:rsidRPr="00A75DF9" w:rsidRDefault="00023FE7" w:rsidP="00230E01">
            <w:pPr>
              <w:pStyle w:val="Bulletedlistflush"/>
              <w:ind w:left="576" w:right="720" w:firstLine="0"/>
              <w:jc w:val="center"/>
              <w:rPr>
                <w:rFonts w:ascii="Tahoma" w:hAnsi="Tahoma" w:cs="Tahoma"/>
                <w:color w:val="000000"/>
                <w:sz w:val="18"/>
                <w:szCs w:val="18"/>
              </w:rPr>
            </w:pPr>
          </w:p>
        </w:tc>
      </w:tr>
      <w:tr w:rsidR="00023FE7" w:rsidRPr="00A75DF9" w:rsidTr="0044720D">
        <w:trPr>
          <w:trHeight w:val="576"/>
        </w:trPr>
        <w:tc>
          <w:tcPr>
            <w:tcW w:w="3809" w:type="dxa"/>
            <w:tcBorders>
              <w:top w:val="nil"/>
              <w:left w:val="single" w:sz="8" w:space="0" w:color="auto"/>
              <w:bottom w:val="single" w:sz="8" w:space="0" w:color="auto"/>
              <w:right w:val="single" w:sz="8" w:space="0" w:color="auto"/>
            </w:tcBorders>
          </w:tcPr>
          <w:p w:rsidR="00023FE7" w:rsidRPr="00A75DF9" w:rsidRDefault="00023FE7" w:rsidP="00DC2DAE">
            <w:pPr>
              <w:spacing w:before="60"/>
              <w:ind w:left="360" w:right="720"/>
              <w:jc w:val="center"/>
              <w:rPr>
                <w:rFonts w:eastAsia="Calibri" w:cs="Tahoma"/>
                <w:szCs w:val="18"/>
              </w:rPr>
            </w:pPr>
            <w:r w:rsidRPr="00A75DF9">
              <w:rPr>
                <w:rFonts w:cs="Tahoma"/>
                <w:szCs w:val="18"/>
              </w:rPr>
              <w:t>CAL per Small Business Server Premium 2011 (Dispositivo o</w:t>
            </w:r>
            <w:r w:rsidR="00DC2DAE">
              <w:rPr>
                <w:rFonts w:cs="Tahoma"/>
                <w:szCs w:val="18"/>
              </w:rPr>
              <w:t> </w:t>
            </w:r>
            <w:r w:rsidRPr="00A75DF9">
              <w:rPr>
                <w:rFonts w:cs="Tahoma"/>
                <w:szCs w:val="18"/>
              </w:rPr>
              <w:t>Utente)</w:t>
            </w:r>
          </w:p>
        </w:tc>
        <w:tc>
          <w:tcPr>
            <w:tcW w:w="4298" w:type="dxa"/>
            <w:tcBorders>
              <w:top w:val="nil"/>
              <w:left w:val="nil"/>
              <w:bottom w:val="single" w:sz="8" w:space="0" w:color="auto"/>
              <w:right w:val="single" w:sz="8" w:space="0" w:color="auto"/>
            </w:tcBorders>
          </w:tcPr>
          <w:p w:rsidR="00684C4D" w:rsidRPr="00A75DF9" w:rsidRDefault="00684C4D" w:rsidP="00230E01">
            <w:pPr>
              <w:spacing w:before="60"/>
              <w:ind w:left="576" w:right="720"/>
              <w:jc w:val="center"/>
              <w:rPr>
                <w:rFonts w:cs="Tahoma"/>
              </w:rPr>
            </w:pPr>
            <w:r w:rsidRPr="00A75DF9">
              <w:rPr>
                <w:rFonts w:eastAsia="Calibri" w:cs="Tahoma"/>
                <w:color w:val="000000"/>
                <w:szCs w:val="18"/>
              </w:rPr>
              <w:t>CAL per Windows Small Business Server Premium 2011</w:t>
            </w:r>
          </w:p>
          <w:p w:rsidR="00023FE7" w:rsidRPr="00A75DF9" w:rsidRDefault="00023FE7">
            <w:pPr>
              <w:pStyle w:val="Bulletedlistflush"/>
              <w:ind w:left="576" w:right="720" w:firstLine="0"/>
              <w:jc w:val="center"/>
              <w:rPr>
                <w:rFonts w:ascii="Tahoma" w:hAnsi="Tahoma" w:cs="Tahoma"/>
              </w:rPr>
            </w:pPr>
            <w:r w:rsidRPr="00A75DF9">
              <w:rPr>
                <w:rFonts w:ascii="Tahoma" w:hAnsi="Tahoma" w:cs="Tahoma"/>
                <w:color w:val="000000"/>
                <w:sz w:val="18"/>
                <w:szCs w:val="18"/>
              </w:rPr>
              <w:t>CAL per Windows Small Business Server Premium 2008</w:t>
            </w:r>
          </w:p>
          <w:p w:rsidR="00023FE7" w:rsidRPr="00A75DF9" w:rsidRDefault="00023FE7" w:rsidP="00230E01">
            <w:pPr>
              <w:pStyle w:val="Bulletedlistflush"/>
              <w:ind w:left="576" w:right="720" w:firstLine="0"/>
              <w:jc w:val="center"/>
              <w:rPr>
                <w:rFonts w:ascii="Tahoma" w:hAnsi="Tahoma" w:cs="Tahoma"/>
                <w:sz w:val="18"/>
                <w:szCs w:val="18"/>
              </w:rPr>
            </w:pPr>
          </w:p>
        </w:tc>
      </w:tr>
      <w:tr w:rsidR="00023FE7" w:rsidRPr="00A75DF9" w:rsidTr="0044720D">
        <w:trPr>
          <w:trHeight w:val="576"/>
        </w:trPr>
        <w:tc>
          <w:tcPr>
            <w:tcW w:w="3809" w:type="dxa"/>
            <w:tcBorders>
              <w:top w:val="nil"/>
              <w:left w:val="single" w:sz="8" w:space="0" w:color="auto"/>
              <w:bottom w:val="single" w:sz="8" w:space="0" w:color="auto"/>
              <w:right w:val="single" w:sz="8" w:space="0" w:color="auto"/>
            </w:tcBorders>
          </w:tcPr>
          <w:p w:rsidR="00023FE7" w:rsidRPr="00A75DF9" w:rsidRDefault="00023FE7" w:rsidP="00DC2DAE">
            <w:pPr>
              <w:spacing w:before="60"/>
              <w:ind w:left="360" w:right="720"/>
              <w:jc w:val="center"/>
              <w:rPr>
                <w:rFonts w:cs="Tahoma"/>
              </w:rPr>
            </w:pPr>
            <w:r w:rsidRPr="00A75DF9">
              <w:rPr>
                <w:rFonts w:cs="Tahoma"/>
                <w:szCs w:val="18"/>
              </w:rPr>
              <w:t>CAL per Essential Business Server Standard 2008 (Dispositivo o</w:t>
            </w:r>
            <w:r w:rsidR="00DC2DAE">
              <w:rPr>
                <w:rFonts w:cs="Tahoma"/>
                <w:szCs w:val="18"/>
              </w:rPr>
              <w:t> </w:t>
            </w:r>
            <w:r w:rsidRPr="00A75DF9">
              <w:rPr>
                <w:rFonts w:cs="Tahoma"/>
                <w:szCs w:val="18"/>
              </w:rPr>
              <w:t>Utente)</w:t>
            </w:r>
          </w:p>
          <w:p w:rsidR="00230E01" w:rsidRPr="00A75DF9" w:rsidRDefault="00230E01" w:rsidP="00230E01">
            <w:pPr>
              <w:ind w:left="360" w:right="720"/>
              <w:jc w:val="center"/>
              <w:rPr>
                <w:rFonts w:eastAsia="Calibri" w:cs="Tahoma"/>
                <w:szCs w:val="18"/>
              </w:rPr>
            </w:pPr>
          </w:p>
        </w:tc>
        <w:tc>
          <w:tcPr>
            <w:tcW w:w="4298" w:type="dxa"/>
            <w:tcBorders>
              <w:top w:val="nil"/>
              <w:left w:val="nil"/>
              <w:bottom w:val="single" w:sz="8" w:space="0" w:color="auto"/>
              <w:right w:val="single" w:sz="8" w:space="0" w:color="auto"/>
            </w:tcBorders>
          </w:tcPr>
          <w:p w:rsidR="00023FE7" w:rsidRPr="00A75DF9" w:rsidRDefault="00023FE7" w:rsidP="00230E01">
            <w:pPr>
              <w:pStyle w:val="Bulletedlistflush"/>
              <w:spacing w:before="60"/>
              <w:ind w:left="576" w:right="720" w:firstLine="0"/>
              <w:jc w:val="center"/>
              <w:rPr>
                <w:rFonts w:ascii="Tahoma" w:hAnsi="Tahoma" w:cs="Tahoma"/>
                <w:sz w:val="18"/>
                <w:szCs w:val="18"/>
              </w:rPr>
            </w:pPr>
            <w:r w:rsidRPr="00A75DF9">
              <w:rPr>
                <w:rFonts w:ascii="Tahoma" w:hAnsi="Tahoma" w:cs="Tahoma"/>
                <w:sz w:val="18"/>
                <w:szCs w:val="18"/>
              </w:rPr>
              <w:t>CAL per Windows Essential Business Server Standard 2008</w:t>
            </w:r>
          </w:p>
        </w:tc>
      </w:tr>
      <w:tr w:rsidR="00023FE7" w:rsidRPr="00A75DF9" w:rsidTr="0044720D">
        <w:trPr>
          <w:trHeight w:val="576"/>
        </w:trPr>
        <w:tc>
          <w:tcPr>
            <w:tcW w:w="3809" w:type="dxa"/>
            <w:tcBorders>
              <w:top w:val="nil"/>
              <w:left w:val="single" w:sz="8" w:space="0" w:color="auto"/>
              <w:bottom w:val="single" w:sz="8" w:space="0" w:color="auto"/>
              <w:right w:val="single" w:sz="8" w:space="0" w:color="auto"/>
            </w:tcBorders>
          </w:tcPr>
          <w:p w:rsidR="00023FE7" w:rsidRPr="00A75DF9" w:rsidRDefault="00023FE7" w:rsidP="00DC2DAE">
            <w:pPr>
              <w:spacing w:before="60"/>
              <w:ind w:left="360" w:right="720"/>
              <w:jc w:val="center"/>
              <w:rPr>
                <w:rFonts w:cs="Tahoma"/>
              </w:rPr>
            </w:pPr>
            <w:r w:rsidRPr="00A75DF9">
              <w:rPr>
                <w:rFonts w:cs="Tahoma"/>
                <w:szCs w:val="18"/>
              </w:rPr>
              <w:t>CAL per Essential Business Server Premium 2008 (Dispositivo o</w:t>
            </w:r>
            <w:r w:rsidR="00DC2DAE">
              <w:rPr>
                <w:rFonts w:cs="Tahoma"/>
                <w:szCs w:val="18"/>
              </w:rPr>
              <w:t> </w:t>
            </w:r>
            <w:r w:rsidRPr="00A75DF9">
              <w:rPr>
                <w:rFonts w:cs="Tahoma"/>
                <w:szCs w:val="18"/>
              </w:rPr>
              <w:t>Utente)</w:t>
            </w:r>
          </w:p>
          <w:p w:rsidR="00230E01" w:rsidRPr="00A75DF9" w:rsidRDefault="00230E01" w:rsidP="00230E01">
            <w:pPr>
              <w:ind w:left="360" w:right="720"/>
              <w:jc w:val="center"/>
              <w:rPr>
                <w:rFonts w:eastAsia="Calibri" w:cs="Tahoma"/>
                <w:szCs w:val="18"/>
              </w:rPr>
            </w:pPr>
          </w:p>
        </w:tc>
        <w:tc>
          <w:tcPr>
            <w:tcW w:w="4298" w:type="dxa"/>
            <w:tcBorders>
              <w:top w:val="nil"/>
              <w:left w:val="nil"/>
              <w:bottom w:val="single" w:sz="8" w:space="0" w:color="auto"/>
              <w:right w:val="single" w:sz="8" w:space="0" w:color="auto"/>
            </w:tcBorders>
          </w:tcPr>
          <w:p w:rsidR="00023FE7" w:rsidRPr="00A75DF9" w:rsidRDefault="00023FE7" w:rsidP="00230E01">
            <w:pPr>
              <w:pStyle w:val="Bulletedlistflush"/>
              <w:spacing w:before="60"/>
              <w:ind w:left="576" w:right="720" w:firstLine="0"/>
              <w:jc w:val="center"/>
              <w:rPr>
                <w:rFonts w:ascii="Tahoma" w:hAnsi="Tahoma" w:cs="Tahoma"/>
                <w:sz w:val="18"/>
                <w:szCs w:val="18"/>
              </w:rPr>
            </w:pPr>
            <w:r w:rsidRPr="00A75DF9">
              <w:rPr>
                <w:rFonts w:ascii="Tahoma" w:hAnsi="Tahoma" w:cs="Tahoma"/>
                <w:sz w:val="18"/>
                <w:szCs w:val="18"/>
              </w:rPr>
              <w:t>CAL per Windows Essential Business Server Premium 2008</w:t>
            </w:r>
          </w:p>
        </w:tc>
      </w:tr>
      <w:tr w:rsidR="00023FE7" w:rsidRPr="00A75DF9" w:rsidTr="0044720D">
        <w:trPr>
          <w:trHeight w:val="576"/>
        </w:trPr>
        <w:tc>
          <w:tcPr>
            <w:tcW w:w="3809" w:type="dxa"/>
            <w:tcBorders>
              <w:top w:val="nil"/>
              <w:left w:val="single" w:sz="8" w:space="0" w:color="auto"/>
              <w:bottom w:val="single" w:sz="8" w:space="0" w:color="auto"/>
              <w:right w:val="single" w:sz="8" w:space="0" w:color="auto"/>
            </w:tcBorders>
          </w:tcPr>
          <w:p w:rsidR="00023FE7" w:rsidRPr="00A75DF9" w:rsidRDefault="00023FE7" w:rsidP="00281082">
            <w:pPr>
              <w:spacing w:before="60"/>
              <w:ind w:left="360" w:right="720"/>
              <w:jc w:val="center"/>
              <w:rPr>
                <w:rFonts w:eastAsia="Calibri" w:cs="Tahoma"/>
                <w:szCs w:val="18"/>
              </w:rPr>
            </w:pPr>
            <w:r w:rsidRPr="00A75DF9">
              <w:rPr>
                <w:rFonts w:cs="Tahoma"/>
                <w:szCs w:val="18"/>
              </w:rPr>
              <w:t xml:space="preserve">Aggiornamento per </w:t>
            </w:r>
            <w:r w:rsidR="00DC2DAE">
              <w:rPr>
                <w:rFonts w:cs="Tahoma"/>
                <w:szCs w:val="18"/>
              </w:rPr>
              <w:br/>
            </w:r>
            <w:r w:rsidRPr="00A75DF9">
              <w:rPr>
                <w:rFonts w:cs="Tahoma"/>
                <w:szCs w:val="18"/>
              </w:rPr>
              <w:t>Windows 8 Pro</w:t>
            </w:r>
          </w:p>
        </w:tc>
        <w:tc>
          <w:tcPr>
            <w:tcW w:w="4298" w:type="dxa"/>
            <w:tcBorders>
              <w:top w:val="nil"/>
              <w:left w:val="nil"/>
              <w:bottom w:val="single" w:sz="8" w:space="0" w:color="auto"/>
              <w:right w:val="single" w:sz="8" w:space="0" w:color="auto"/>
            </w:tcBorders>
          </w:tcPr>
          <w:p w:rsidR="008B6EDD" w:rsidRPr="00A75DF9" w:rsidRDefault="008B6EDD" w:rsidP="00230E01">
            <w:pPr>
              <w:pStyle w:val="Bulletedlistflush"/>
              <w:spacing w:before="60"/>
              <w:ind w:left="576" w:right="720" w:firstLine="0"/>
              <w:jc w:val="center"/>
              <w:rPr>
                <w:rFonts w:ascii="Tahoma" w:hAnsi="Tahoma" w:cs="Tahoma"/>
              </w:rPr>
            </w:pPr>
            <w:r w:rsidRPr="00A75DF9">
              <w:rPr>
                <w:rFonts w:ascii="Tahoma" w:hAnsi="Tahoma" w:cs="Tahoma"/>
                <w:sz w:val="18"/>
                <w:szCs w:val="18"/>
              </w:rPr>
              <w:t>Windows 8 Pro</w:t>
            </w:r>
          </w:p>
          <w:p w:rsidR="00023FE7" w:rsidRPr="00A75DF9" w:rsidRDefault="00023FE7" w:rsidP="008B6EDD">
            <w:pPr>
              <w:pStyle w:val="Bulletedlistflush"/>
              <w:ind w:left="576" w:right="720" w:firstLine="0"/>
              <w:jc w:val="center"/>
              <w:rPr>
                <w:rFonts w:ascii="Tahoma" w:hAnsi="Tahoma" w:cs="Tahoma"/>
                <w:sz w:val="18"/>
                <w:szCs w:val="18"/>
              </w:rPr>
            </w:pPr>
            <w:r w:rsidRPr="00A75DF9">
              <w:rPr>
                <w:rFonts w:ascii="Tahoma" w:hAnsi="Tahoma" w:cs="Tahoma"/>
                <w:sz w:val="18"/>
                <w:szCs w:val="18"/>
              </w:rPr>
              <w:t>Windows 7 Professional</w:t>
            </w:r>
          </w:p>
        </w:tc>
      </w:tr>
    </w:tbl>
    <w:p w:rsidR="00991DD4" w:rsidRDefault="00991DD4">
      <w:pPr>
        <w:rPr>
          <w:rFonts w:cs="Tahoma"/>
        </w:rPr>
      </w:pPr>
    </w:p>
    <w:p w:rsidR="00DC2DAE" w:rsidRDefault="00DC2DAE">
      <w:pPr>
        <w:rPr>
          <w:rFonts w:cs="Tahoma"/>
        </w:rPr>
      </w:pPr>
    </w:p>
    <w:p w:rsidR="00DC2DAE" w:rsidRDefault="00DC2DAE">
      <w:pPr>
        <w:rPr>
          <w:rFonts w:cs="Tahoma"/>
        </w:rPr>
      </w:pPr>
    </w:p>
    <w:p w:rsidR="00DC2DAE" w:rsidRDefault="00DC2DAE">
      <w:pPr>
        <w:rPr>
          <w:rFonts w:cs="Tahoma"/>
        </w:rPr>
      </w:pPr>
    </w:p>
    <w:p w:rsidR="00DC2DAE" w:rsidRDefault="00DC2DAE">
      <w:pPr>
        <w:rPr>
          <w:rFonts w:cs="Tahoma"/>
        </w:rPr>
      </w:pPr>
    </w:p>
    <w:p w:rsidR="00DC2DAE" w:rsidRPr="00A75DF9" w:rsidRDefault="00DC2DAE">
      <w:pPr>
        <w:rPr>
          <w:rFonts w:cs="Tahoma"/>
        </w:rPr>
      </w:pPr>
    </w:p>
    <w:p w:rsidR="00456002" w:rsidRPr="00A75DF9" w:rsidRDefault="00456002" w:rsidP="00456002">
      <w:pPr>
        <w:pStyle w:val="Heading2"/>
        <w:ind w:left="0"/>
        <w:rPr>
          <w:rFonts w:ascii="Tahoma" w:hAnsi="Tahoma" w:cs="Tahoma"/>
        </w:rPr>
      </w:pPr>
      <w:bookmarkStart w:id="631" w:name="_Toc336338195"/>
      <w:bookmarkStart w:id="632" w:name="_Toc368310185"/>
      <w:r w:rsidRPr="00A75DF9">
        <w:rPr>
          <w:rFonts w:ascii="Tahoma" w:hAnsi="Tahoma" w:cs="Tahoma"/>
        </w:rPr>
        <w:lastRenderedPageBreak/>
        <w:t>Condizioni Aggiornate per i Programmi Contratto Enterprise e Contratto Subscription</w:t>
      </w:r>
      <w:bookmarkEnd w:id="631"/>
      <w:bookmarkEnd w:id="632"/>
    </w:p>
    <w:p w:rsidR="00456002" w:rsidRPr="00A75DF9" w:rsidRDefault="00456002" w:rsidP="00456002">
      <w:pPr>
        <w:tabs>
          <w:tab w:val="left" w:pos="360"/>
        </w:tabs>
        <w:rPr>
          <w:rFonts w:cs="Tahoma"/>
        </w:rPr>
      </w:pPr>
    </w:p>
    <w:p w:rsidR="00456002" w:rsidRPr="00A75DF9" w:rsidRDefault="00456002" w:rsidP="00F06EC5">
      <w:pPr>
        <w:keepNext/>
        <w:spacing w:after="60"/>
        <w:outlineLvl w:val="3"/>
        <w:rPr>
          <w:rFonts w:cs="Tahoma"/>
        </w:rPr>
      </w:pPr>
      <w:r w:rsidRPr="00A75DF9">
        <w:rPr>
          <w:rFonts w:cs="Tahoma"/>
          <w:b/>
          <w:szCs w:val="20"/>
        </w:rPr>
        <w:t>Servizi Online Enterprise che soddisfano i requisiti dei Prodotti Enterprise</w:t>
      </w:r>
    </w:p>
    <w:p w:rsidR="00456002" w:rsidRPr="00A75DF9" w:rsidRDefault="00456002" w:rsidP="00DC2DAE">
      <w:pPr>
        <w:tabs>
          <w:tab w:val="left" w:pos="360"/>
        </w:tabs>
        <w:rPr>
          <w:rFonts w:cs="Tahoma"/>
        </w:rPr>
      </w:pPr>
      <w:r w:rsidRPr="00A75DF9">
        <w:rPr>
          <w:rFonts w:cs="Tahoma"/>
          <w:b/>
          <w:szCs w:val="20"/>
        </w:rPr>
        <w:t>Nota:</w:t>
      </w:r>
      <w:r w:rsidRPr="00A75DF9">
        <w:rPr>
          <w:rFonts w:cs="Tahoma"/>
          <w:szCs w:val="20"/>
        </w:rPr>
        <w:t xml:space="preserve"> quanto segue si applica alle società in possesso delle Iscrizioni Enterprise ed Enterprise Subscription che sono</w:t>
      </w:r>
      <w:r w:rsidR="00DC2DAE">
        <w:rPr>
          <w:rFonts w:cs="Tahoma"/>
          <w:szCs w:val="20"/>
        </w:rPr>
        <w:t> </w:t>
      </w:r>
      <w:r w:rsidRPr="00A75DF9">
        <w:rPr>
          <w:rFonts w:cs="Tahoma"/>
          <w:szCs w:val="20"/>
        </w:rPr>
        <w:t xml:space="preserve">idonee ad acquistare i Servizi Online Enterprise. Le società che non sono certe della loro idoneità ad acquistare </w:t>
      </w:r>
      <w:r w:rsidR="00DC2DAE">
        <w:rPr>
          <w:rFonts w:cs="Tahoma"/>
          <w:szCs w:val="20"/>
        </w:rPr>
        <w:t>I </w:t>
      </w:r>
      <w:r w:rsidRPr="00A75DF9">
        <w:rPr>
          <w:rFonts w:cs="Tahoma"/>
          <w:szCs w:val="20"/>
        </w:rPr>
        <w:t>Servizi Online Enterprise dovranno contattare il loro Software Advisor, Rivenditore o Account Manager designato da</w:t>
      </w:r>
      <w:r w:rsidR="00DC2DAE">
        <w:rPr>
          <w:rFonts w:cs="Tahoma"/>
          <w:szCs w:val="20"/>
        </w:rPr>
        <w:t> </w:t>
      </w:r>
      <w:r w:rsidRPr="00A75DF9">
        <w:rPr>
          <w:rFonts w:cs="Tahoma"/>
          <w:szCs w:val="20"/>
        </w:rPr>
        <w:t>Microsoft per ulteriori informazioni.</w:t>
      </w:r>
      <w:r w:rsidR="009D3B41" w:rsidRPr="00A75DF9">
        <w:rPr>
          <w:rFonts w:cs="Tahoma"/>
          <w:szCs w:val="20"/>
        </w:rPr>
        <w:t xml:space="preserve"> </w:t>
      </w:r>
    </w:p>
    <w:p w:rsidR="00456002" w:rsidRPr="00A75DF9" w:rsidRDefault="00456002" w:rsidP="00366502">
      <w:pPr>
        <w:tabs>
          <w:tab w:val="left" w:pos="360"/>
        </w:tabs>
        <w:rPr>
          <w:rFonts w:cs="Tahoma"/>
        </w:rPr>
      </w:pPr>
    </w:p>
    <w:p w:rsidR="00456002" w:rsidRPr="00A75DF9" w:rsidRDefault="00456002" w:rsidP="00366502">
      <w:pPr>
        <w:tabs>
          <w:tab w:val="left" w:pos="360"/>
        </w:tabs>
        <w:rPr>
          <w:rFonts w:cs="Tahoma"/>
        </w:rPr>
      </w:pPr>
      <w:r w:rsidRPr="00A75DF9">
        <w:rPr>
          <w:rFonts w:cs="Tahoma"/>
          <w:szCs w:val="20"/>
        </w:rPr>
        <w:t>Una combinazione di Prodotti Enterprise e di Servizi Online Enterprise potrà essere utilizzata per soddisfare i requisiti dell</w:t>
      </w:r>
      <w:r w:rsidR="00F2643E">
        <w:rPr>
          <w:rFonts w:cs="Tahoma"/>
          <w:szCs w:val="20"/>
        </w:rPr>
        <w:t>’</w:t>
      </w:r>
      <w:r w:rsidRPr="00A75DF9">
        <w:rPr>
          <w:rFonts w:cs="Tahoma"/>
          <w:szCs w:val="20"/>
        </w:rPr>
        <w:t>intera Organizzazione in un</w:t>
      </w:r>
      <w:r w:rsidR="00F2643E">
        <w:rPr>
          <w:rFonts w:cs="Tahoma"/>
          <w:szCs w:val="20"/>
        </w:rPr>
        <w:t>’</w:t>
      </w:r>
      <w:r w:rsidRPr="00A75DF9">
        <w:rPr>
          <w:rFonts w:cs="Tahoma"/>
          <w:szCs w:val="20"/>
        </w:rPr>
        <w:t>Iscrizione Enterprise o Enterprise Subscription.</w:t>
      </w:r>
    </w:p>
    <w:p w:rsidR="00456002" w:rsidRPr="00A75DF9" w:rsidRDefault="00456002" w:rsidP="00366502">
      <w:pPr>
        <w:tabs>
          <w:tab w:val="left" w:pos="360"/>
        </w:tabs>
        <w:rPr>
          <w:rFonts w:cs="Tahoma"/>
        </w:rPr>
      </w:pPr>
    </w:p>
    <w:p w:rsidR="00456002" w:rsidRPr="00A75DF9" w:rsidRDefault="00456002" w:rsidP="00366502">
      <w:pPr>
        <w:tabs>
          <w:tab w:val="left" w:pos="360"/>
        </w:tabs>
        <w:rPr>
          <w:rFonts w:cs="Tahoma"/>
        </w:rPr>
      </w:pPr>
      <w:r w:rsidRPr="00A75DF9">
        <w:rPr>
          <w:rFonts w:cs="Tahoma"/>
          <w:szCs w:val="20"/>
        </w:rPr>
        <w:t>Nella tabella che segue sono identificati i Servizi Online Enterprise e le eventuali CAL necessarie in grado di soddisfare il requisito per l</w:t>
      </w:r>
      <w:r w:rsidR="00F2643E">
        <w:rPr>
          <w:rFonts w:cs="Tahoma"/>
          <w:szCs w:val="20"/>
        </w:rPr>
        <w:t>’</w:t>
      </w:r>
      <w:r w:rsidRPr="00A75DF9">
        <w:rPr>
          <w:rFonts w:cs="Tahoma"/>
          <w:szCs w:val="20"/>
        </w:rPr>
        <w:t>intera Organizzazione per i Prodotti Enterprise.</w:t>
      </w:r>
      <w:r w:rsidR="009D3B41" w:rsidRPr="00A75DF9">
        <w:rPr>
          <w:rFonts w:cs="Tahoma"/>
          <w:szCs w:val="20"/>
        </w:rPr>
        <w:t xml:space="preserve"> </w:t>
      </w:r>
    </w:p>
    <w:p w:rsidR="00456002" w:rsidRPr="00A75DF9" w:rsidRDefault="00456002" w:rsidP="0055442E">
      <w:pPr>
        <w:ind w:left="720"/>
        <w:rPr>
          <w:rFonts w:cs="Tahoma"/>
        </w:rPr>
      </w:pPr>
    </w:p>
    <w:tbl>
      <w:tblPr>
        <w:tblW w:w="8049" w:type="dxa"/>
        <w:jc w:val="center"/>
        <w:tblCellMar>
          <w:left w:w="0" w:type="dxa"/>
          <w:right w:w="0" w:type="dxa"/>
        </w:tblCellMar>
        <w:tblLook w:val="04A0" w:firstRow="1" w:lastRow="0" w:firstColumn="1" w:lastColumn="0" w:noHBand="0" w:noVBand="1"/>
      </w:tblPr>
      <w:tblGrid>
        <w:gridCol w:w="3892"/>
        <w:gridCol w:w="4157"/>
      </w:tblGrid>
      <w:tr w:rsidR="00456002" w:rsidRPr="00A75DF9" w:rsidTr="0044720D">
        <w:trPr>
          <w:trHeight w:val="194"/>
          <w:tblHeader/>
          <w:jc w:val="center"/>
        </w:trPr>
        <w:tc>
          <w:tcPr>
            <w:tcW w:w="3892"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A75DF9" w:rsidRDefault="00456002" w:rsidP="005C647E">
            <w:pPr>
              <w:keepNext/>
              <w:jc w:val="center"/>
              <w:rPr>
                <w:rFonts w:cs="Tahoma"/>
                <w:b/>
              </w:rPr>
            </w:pPr>
            <w:r w:rsidRPr="00A75DF9">
              <w:rPr>
                <w:rFonts w:cs="Tahoma"/>
                <w:b/>
              </w:rPr>
              <w:t>Prodotto Enterprise</w:t>
            </w:r>
          </w:p>
        </w:tc>
        <w:tc>
          <w:tcPr>
            <w:tcW w:w="4157" w:type="dxa"/>
            <w:tcBorders>
              <w:top w:val="single" w:sz="8" w:space="0" w:color="auto"/>
              <w:left w:val="nil"/>
              <w:bottom w:val="single" w:sz="8" w:space="0" w:color="auto"/>
              <w:right w:val="single" w:sz="8" w:space="0" w:color="auto"/>
            </w:tcBorders>
            <w:shd w:val="clear" w:color="auto" w:fill="FABF8F"/>
            <w:vAlign w:val="center"/>
            <w:hideMark/>
          </w:tcPr>
          <w:p w:rsidR="00456002" w:rsidRPr="00A75DF9" w:rsidRDefault="00456002" w:rsidP="005C647E">
            <w:pPr>
              <w:keepNext/>
              <w:jc w:val="center"/>
              <w:rPr>
                <w:rFonts w:cs="Tahoma"/>
                <w:b/>
              </w:rPr>
            </w:pPr>
            <w:r w:rsidRPr="00A75DF9">
              <w:rPr>
                <w:rFonts w:cs="Tahoma"/>
                <w:b/>
                <w:bCs/>
              </w:rPr>
              <w:t>Servizi Online Enterprise***</w:t>
            </w:r>
          </w:p>
        </w:tc>
      </w:tr>
      <w:tr w:rsidR="00E71EB9" w:rsidRPr="00A75DF9" w:rsidTr="0044720D">
        <w:trPr>
          <w:trHeight w:val="497"/>
          <w:jc w:val="center"/>
        </w:trPr>
        <w:tc>
          <w:tcPr>
            <w:tcW w:w="3892" w:type="dxa"/>
            <w:tcBorders>
              <w:top w:val="nil"/>
              <w:left w:val="single" w:sz="8" w:space="0" w:color="auto"/>
              <w:bottom w:val="single" w:sz="4" w:space="0" w:color="auto"/>
              <w:right w:val="single" w:sz="8" w:space="0" w:color="auto"/>
            </w:tcBorders>
            <w:vAlign w:val="center"/>
          </w:tcPr>
          <w:p w:rsidR="00E71EB9" w:rsidRPr="00A75DF9" w:rsidRDefault="00E71EB9" w:rsidP="005C647E">
            <w:pPr>
              <w:ind w:left="144"/>
              <w:rPr>
                <w:rFonts w:cs="Tahoma"/>
                <w:szCs w:val="18"/>
              </w:rPr>
            </w:pPr>
            <w:r w:rsidRPr="00A75DF9">
              <w:rPr>
                <w:rFonts w:cs="Tahoma"/>
                <w:szCs w:val="18"/>
              </w:rPr>
              <w:t>Office Professional Plus**</w:t>
            </w:r>
          </w:p>
        </w:tc>
        <w:tc>
          <w:tcPr>
            <w:tcW w:w="4157" w:type="dxa"/>
            <w:tcBorders>
              <w:top w:val="nil"/>
              <w:left w:val="nil"/>
              <w:bottom w:val="single" w:sz="4" w:space="0" w:color="auto"/>
              <w:right w:val="single" w:sz="8" w:space="0" w:color="auto"/>
            </w:tcBorders>
            <w:vAlign w:val="center"/>
          </w:tcPr>
          <w:p w:rsidR="00E71EB9" w:rsidRPr="00A75DF9" w:rsidRDefault="00E71EB9" w:rsidP="00346F4B">
            <w:pPr>
              <w:numPr>
                <w:ilvl w:val="0"/>
                <w:numId w:val="35"/>
              </w:numPr>
              <w:spacing w:after="60"/>
              <w:ind w:left="907"/>
              <w:rPr>
                <w:rFonts w:cs="Tahoma"/>
              </w:rPr>
            </w:pPr>
            <w:r w:rsidRPr="00A75DF9">
              <w:rPr>
                <w:rFonts w:cs="Tahoma"/>
                <w:color w:val="000000"/>
                <w:szCs w:val="18"/>
              </w:rPr>
              <w:t>Office 365 (Enterprise E3)</w:t>
            </w:r>
          </w:p>
          <w:p w:rsidR="00E71EB9" w:rsidRPr="00A75DF9" w:rsidRDefault="00E71EB9" w:rsidP="00346F4B">
            <w:pPr>
              <w:numPr>
                <w:ilvl w:val="0"/>
                <w:numId w:val="35"/>
              </w:numPr>
              <w:spacing w:after="60"/>
              <w:ind w:left="907"/>
              <w:rPr>
                <w:rFonts w:cs="Tahoma"/>
              </w:rPr>
            </w:pPr>
            <w:r w:rsidRPr="00A75DF9">
              <w:rPr>
                <w:rFonts w:cs="Tahoma"/>
                <w:color w:val="000000"/>
                <w:szCs w:val="18"/>
              </w:rPr>
              <w:t xml:space="preserve">Office 365 (Enterprise E4) </w:t>
            </w:r>
          </w:p>
          <w:p w:rsidR="00E71EB9" w:rsidRPr="00A75DF9" w:rsidRDefault="00E71EB9" w:rsidP="00346F4B">
            <w:pPr>
              <w:numPr>
                <w:ilvl w:val="0"/>
                <w:numId w:val="35"/>
              </w:numPr>
              <w:spacing w:after="60"/>
              <w:ind w:left="907"/>
              <w:rPr>
                <w:rFonts w:cs="Tahoma"/>
              </w:rPr>
            </w:pPr>
            <w:r w:rsidRPr="00A75DF9">
              <w:rPr>
                <w:rFonts w:cs="Tahoma"/>
                <w:color w:val="000000"/>
                <w:szCs w:val="18"/>
              </w:rPr>
              <w:t>Office 365 (Government G3)</w:t>
            </w:r>
          </w:p>
          <w:p w:rsidR="00E71EB9" w:rsidRPr="00A75DF9" w:rsidRDefault="00E71EB9" w:rsidP="00346F4B">
            <w:pPr>
              <w:numPr>
                <w:ilvl w:val="0"/>
                <w:numId w:val="35"/>
              </w:numPr>
              <w:spacing w:after="60"/>
              <w:ind w:left="907"/>
              <w:rPr>
                <w:rFonts w:cs="Tahoma"/>
              </w:rPr>
            </w:pPr>
            <w:r w:rsidRPr="00A75DF9">
              <w:rPr>
                <w:rFonts w:cs="Tahoma"/>
                <w:color w:val="000000"/>
                <w:szCs w:val="18"/>
              </w:rPr>
              <w:t>Office 365 (Government G4)</w:t>
            </w:r>
          </w:p>
          <w:p w:rsidR="00C571BD" w:rsidRPr="00A75DF9" w:rsidRDefault="00C571BD" w:rsidP="00F06EC5">
            <w:pPr>
              <w:ind w:left="907"/>
              <w:rPr>
                <w:rFonts w:cs="Tahoma"/>
                <w:color w:val="000000"/>
                <w:szCs w:val="18"/>
              </w:rPr>
            </w:pPr>
          </w:p>
        </w:tc>
      </w:tr>
      <w:tr w:rsidR="00E71EB9" w:rsidRPr="00A75DF9" w:rsidTr="0044720D">
        <w:trPr>
          <w:trHeight w:val="497"/>
          <w:jc w:val="center"/>
        </w:trPr>
        <w:tc>
          <w:tcPr>
            <w:tcW w:w="3892" w:type="dxa"/>
            <w:tcBorders>
              <w:top w:val="nil"/>
              <w:left w:val="single" w:sz="8" w:space="0" w:color="auto"/>
              <w:bottom w:val="single" w:sz="4" w:space="0" w:color="auto"/>
              <w:right w:val="single" w:sz="8" w:space="0" w:color="auto"/>
            </w:tcBorders>
            <w:vAlign w:val="center"/>
            <w:hideMark/>
          </w:tcPr>
          <w:p w:rsidR="00E71EB9" w:rsidRPr="00A75DF9" w:rsidRDefault="00E71EB9" w:rsidP="005C647E">
            <w:pPr>
              <w:ind w:left="144"/>
              <w:rPr>
                <w:rFonts w:cs="Tahoma"/>
                <w:szCs w:val="18"/>
              </w:rPr>
            </w:pPr>
            <w:r w:rsidRPr="00A75DF9">
              <w:rPr>
                <w:rFonts w:cs="Tahoma"/>
                <w:szCs w:val="18"/>
              </w:rPr>
              <w:t>Core CAL Suite</w:t>
            </w:r>
          </w:p>
        </w:tc>
        <w:tc>
          <w:tcPr>
            <w:tcW w:w="4157" w:type="dxa"/>
            <w:tcBorders>
              <w:top w:val="nil"/>
              <w:left w:val="nil"/>
              <w:bottom w:val="single" w:sz="4" w:space="0" w:color="auto"/>
              <w:right w:val="single" w:sz="8" w:space="0" w:color="auto"/>
            </w:tcBorders>
            <w:vAlign w:val="center"/>
          </w:tcPr>
          <w:p w:rsidR="008368B4" w:rsidRPr="00A75DF9" w:rsidRDefault="008368B4" w:rsidP="00346F4B">
            <w:pPr>
              <w:numPr>
                <w:ilvl w:val="0"/>
                <w:numId w:val="35"/>
              </w:numPr>
              <w:spacing w:before="60" w:after="60"/>
              <w:ind w:left="907"/>
              <w:rPr>
                <w:rFonts w:cs="Tahoma"/>
              </w:rPr>
            </w:pPr>
            <w:r w:rsidRPr="00A75DF9">
              <w:rPr>
                <w:rFonts w:cs="Tahoma"/>
                <w:color w:val="000000"/>
                <w:szCs w:val="18"/>
              </w:rPr>
              <w:t>Office 365 (Enterprise E1)*</w:t>
            </w:r>
          </w:p>
          <w:p w:rsidR="008368B4" w:rsidRPr="00A75DF9" w:rsidRDefault="008368B4" w:rsidP="00346F4B">
            <w:pPr>
              <w:numPr>
                <w:ilvl w:val="0"/>
                <w:numId w:val="35"/>
              </w:numPr>
              <w:spacing w:after="60"/>
              <w:rPr>
                <w:rFonts w:cs="Tahoma"/>
              </w:rPr>
            </w:pPr>
            <w:r w:rsidRPr="00A75DF9">
              <w:rPr>
                <w:rFonts w:cs="Tahoma"/>
                <w:color w:val="000000"/>
                <w:szCs w:val="18"/>
              </w:rPr>
              <w:t>Office 365 (Enterprise E3)*</w:t>
            </w:r>
          </w:p>
          <w:p w:rsidR="008368B4" w:rsidRPr="00A75DF9" w:rsidRDefault="008368B4" w:rsidP="00346F4B">
            <w:pPr>
              <w:numPr>
                <w:ilvl w:val="0"/>
                <w:numId w:val="35"/>
              </w:numPr>
              <w:spacing w:after="60"/>
              <w:rPr>
                <w:rFonts w:cs="Tahoma"/>
              </w:rPr>
            </w:pPr>
            <w:r w:rsidRPr="00A75DF9">
              <w:rPr>
                <w:rFonts w:cs="Tahoma"/>
                <w:color w:val="000000"/>
                <w:szCs w:val="18"/>
              </w:rPr>
              <w:t>Office 365 (Enterprise E4)*</w:t>
            </w:r>
          </w:p>
          <w:p w:rsidR="008368B4" w:rsidRPr="00A75DF9" w:rsidRDefault="008368B4" w:rsidP="00346F4B">
            <w:pPr>
              <w:numPr>
                <w:ilvl w:val="0"/>
                <w:numId w:val="35"/>
              </w:numPr>
              <w:spacing w:after="60"/>
              <w:rPr>
                <w:rFonts w:cs="Tahoma"/>
              </w:rPr>
            </w:pPr>
            <w:r w:rsidRPr="00A75DF9">
              <w:rPr>
                <w:rFonts w:cs="Tahoma"/>
                <w:color w:val="000000"/>
                <w:szCs w:val="18"/>
              </w:rPr>
              <w:t>Office 365 (Government G1)*</w:t>
            </w:r>
          </w:p>
          <w:p w:rsidR="008368B4" w:rsidRPr="00A75DF9" w:rsidRDefault="004D2744" w:rsidP="00346F4B">
            <w:pPr>
              <w:numPr>
                <w:ilvl w:val="0"/>
                <w:numId w:val="35"/>
              </w:numPr>
              <w:spacing w:after="60"/>
              <w:rPr>
                <w:rFonts w:cs="Tahoma"/>
              </w:rPr>
            </w:pPr>
            <w:r w:rsidRPr="00A75DF9">
              <w:rPr>
                <w:rFonts w:cs="Tahoma"/>
                <w:color w:val="000000"/>
                <w:szCs w:val="18"/>
              </w:rPr>
              <w:t>Office 365(Government G3)*</w:t>
            </w:r>
          </w:p>
          <w:p w:rsidR="008368B4" w:rsidRPr="00A75DF9" w:rsidRDefault="008368B4" w:rsidP="00346F4B">
            <w:pPr>
              <w:numPr>
                <w:ilvl w:val="0"/>
                <w:numId w:val="35"/>
              </w:numPr>
              <w:spacing w:after="60"/>
              <w:rPr>
                <w:rFonts w:cs="Tahoma"/>
              </w:rPr>
            </w:pPr>
            <w:r w:rsidRPr="00A75DF9">
              <w:rPr>
                <w:rFonts w:cs="Tahoma"/>
                <w:color w:val="000000"/>
                <w:szCs w:val="18"/>
              </w:rPr>
              <w:t>Office 365 (Government G4)*</w:t>
            </w:r>
          </w:p>
          <w:p w:rsidR="00822871" w:rsidRPr="00A75DF9" w:rsidRDefault="00E71EB9" w:rsidP="00346F4B">
            <w:pPr>
              <w:numPr>
                <w:ilvl w:val="0"/>
                <w:numId w:val="35"/>
              </w:numPr>
              <w:spacing w:after="60"/>
              <w:rPr>
                <w:rFonts w:cs="Tahoma"/>
              </w:rPr>
            </w:pPr>
            <w:r w:rsidRPr="00A75DF9">
              <w:rPr>
                <w:rFonts w:cs="Tahoma"/>
                <w:color w:val="000000"/>
                <w:szCs w:val="18"/>
              </w:rPr>
              <w:t xml:space="preserve">Windows Intune* </w:t>
            </w:r>
          </w:p>
          <w:p w:rsidR="00822871" w:rsidRPr="00A75DF9" w:rsidRDefault="00822871" w:rsidP="00F06EC5">
            <w:pPr>
              <w:ind w:left="907"/>
              <w:rPr>
                <w:rFonts w:cs="Tahoma"/>
                <w:color w:val="000000"/>
                <w:szCs w:val="18"/>
              </w:rPr>
            </w:pPr>
          </w:p>
        </w:tc>
      </w:tr>
      <w:tr w:rsidR="00E71EB9" w:rsidRPr="00A75DF9" w:rsidTr="0044720D">
        <w:trPr>
          <w:trHeight w:val="497"/>
          <w:jc w:val="center"/>
        </w:trPr>
        <w:tc>
          <w:tcPr>
            <w:tcW w:w="3892" w:type="dxa"/>
            <w:tcBorders>
              <w:top w:val="single" w:sz="4" w:space="0" w:color="auto"/>
              <w:left w:val="single" w:sz="8" w:space="0" w:color="auto"/>
              <w:bottom w:val="single" w:sz="4" w:space="0" w:color="auto"/>
              <w:right w:val="single" w:sz="8" w:space="0" w:color="auto"/>
            </w:tcBorders>
            <w:vAlign w:val="center"/>
          </w:tcPr>
          <w:p w:rsidR="00E71EB9" w:rsidRPr="00A75DF9" w:rsidRDefault="00E71EB9" w:rsidP="005C647E">
            <w:pPr>
              <w:ind w:left="144"/>
              <w:rPr>
                <w:rFonts w:cs="Tahoma"/>
                <w:szCs w:val="18"/>
              </w:rPr>
            </w:pPr>
            <w:r w:rsidRPr="00A75DF9">
              <w:rPr>
                <w:rFonts w:cs="Tahoma"/>
                <w:szCs w:val="18"/>
              </w:rPr>
              <w:t>Enterprise CAL Suite</w:t>
            </w:r>
          </w:p>
        </w:tc>
        <w:tc>
          <w:tcPr>
            <w:tcW w:w="4157" w:type="dxa"/>
            <w:tcBorders>
              <w:top w:val="single" w:sz="4" w:space="0" w:color="auto"/>
              <w:left w:val="nil"/>
              <w:bottom w:val="single" w:sz="4" w:space="0" w:color="auto"/>
              <w:right w:val="single" w:sz="8" w:space="0" w:color="auto"/>
            </w:tcBorders>
            <w:vAlign w:val="center"/>
          </w:tcPr>
          <w:p w:rsidR="008368B4" w:rsidRPr="00A75DF9" w:rsidRDefault="008368B4" w:rsidP="00346F4B">
            <w:pPr>
              <w:numPr>
                <w:ilvl w:val="0"/>
                <w:numId w:val="36"/>
              </w:numPr>
              <w:spacing w:before="60" w:after="60"/>
              <w:ind w:left="907"/>
              <w:rPr>
                <w:rFonts w:cs="Tahoma"/>
              </w:rPr>
            </w:pPr>
            <w:r w:rsidRPr="00A75DF9">
              <w:rPr>
                <w:rFonts w:eastAsia="Calibri" w:cs="Tahoma"/>
                <w:color w:val="000000"/>
                <w:szCs w:val="18"/>
              </w:rPr>
              <w:t xml:space="preserve">Office 365 </w:t>
            </w:r>
            <w:r w:rsidRPr="00A75DF9">
              <w:rPr>
                <w:rFonts w:cs="Tahoma"/>
                <w:color w:val="000000"/>
                <w:szCs w:val="18"/>
              </w:rPr>
              <w:t>(Enterprise E3)*</w:t>
            </w:r>
          </w:p>
          <w:p w:rsidR="008368B4" w:rsidRPr="00A75DF9" w:rsidRDefault="008368B4" w:rsidP="00346F4B">
            <w:pPr>
              <w:numPr>
                <w:ilvl w:val="0"/>
                <w:numId w:val="36"/>
              </w:numPr>
              <w:spacing w:after="60"/>
              <w:rPr>
                <w:rFonts w:cs="Tahoma"/>
              </w:rPr>
            </w:pPr>
            <w:r w:rsidRPr="00A75DF9">
              <w:rPr>
                <w:rFonts w:eastAsia="Calibri" w:cs="Tahoma"/>
                <w:color w:val="000000"/>
                <w:szCs w:val="18"/>
              </w:rPr>
              <w:t xml:space="preserve">Office 365 </w:t>
            </w:r>
            <w:r w:rsidRPr="00A75DF9">
              <w:rPr>
                <w:rFonts w:cs="Tahoma"/>
                <w:color w:val="000000"/>
                <w:szCs w:val="18"/>
              </w:rPr>
              <w:t>(Enterprise E4)*</w:t>
            </w:r>
          </w:p>
          <w:p w:rsidR="008368B4" w:rsidRPr="00A75DF9" w:rsidRDefault="008368B4" w:rsidP="00346F4B">
            <w:pPr>
              <w:numPr>
                <w:ilvl w:val="0"/>
                <w:numId w:val="36"/>
              </w:numPr>
              <w:spacing w:after="60"/>
              <w:rPr>
                <w:rFonts w:cs="Tahoma"/>
              </w:rPr>
            </w:pPr>
            <w:r w:rsidRPr="00A75DF9">
              <w:rPr>
                <w:rFonts w:eastAsia="Calibri" w:cs="Tahoma"/>
                <w:color w:val="000000"/>
                <w:szCs w:val="18"/>
              </w:rPr>
              <w:t xml:space="preserve">Office 365 </w:t>
            </w:r>
            <w:r w:rsidRPr="00A75DF9">
              <w:rPr>
                <w:rFonts w:cs="Tahoma"/>
                <w:color w:val="000000"/>
                <w:szCs w:val="18"/>
              </w:rPr>
              <w:t>(Government G3)*</w:t>
            </w:r>
          </w:p>
          <w:p w:rsidR="008368B4" w:rsidRPr="00A75DF9" w:rsidRDefault="008368B4" w:rsidP="00346F4B">
            <w:pPr>
              <w:numPr>
                <w:ilvl w:val="0"/>
                <w:numId w:val="36"/>
              </w:numPr>
              <w:spacing w:after="60"/>
              <w:rPr>
                <w:rFonts w:cs="Tahoma"/>
              </w:rPr>
            </w:pPr>
            <w:r w:rsidRPr="00A75DF9">
              <w:rPr>
                <w:rFonts w:eastAsia="Calibri" w:cs="Tahoma"/>
                <w:color w:val="000000"/>
                <w:szCs w:val="18"/>
              </w:rPr>
              <w:t xml:space="preserve">Office 365 </w:t>
            </w:r>
            <w:r w:rsidRPr="00A75DF9">
              <w:rPr>
                <w:rFonts w:cs="Tahoma"/>
                <w:color w:val="000000"/>
                <w:szCs w:val="18"/>
              </w:rPr>
              <w:t>(Government G4)*</w:t>
            </w:r>
          </w:p>
          <w:p w:rsidR="00822871" w:rsidRPr="00A75DF9" w:rsidRDefault="00E71EB9" w:rsidP="00346F4B">
            <w:pPr>
              <w:numPr>
                <w:ilvl w:val="0"/>
                <w:numId w:val="36"/>
              </w:numPr>
              <w:spacing w:after="60"/>
              <w:rPr>
                <w:rFonts w:cs="Tahoma"/>
              </w:rPr>
            </w:pPr>
            <w:r w:rsidRPr="00A75DF9">
              <w:rPr>
                <w:rFonts w:cs="Tahoma"/>
                <w:color w:val="000000"/>
                <w:szCs w:val="18"/>
              </w:rPr>
              <w:t>Windows Intune*</w:t>
            </w:r>
          </w:p>
          <w:p w:rsidR="00E71EB9" w:rsidRPr="00A75DF9" w:rsidRDefault="00E71EB9" w:rsidP="0038120B">
            <w:pPr>
              <w:ind w:left="907"/>
              <w:rPr>
                <w:rFonts w:cs="Tahoma"/>
                <w:color w:val="000000"/>
                <w:szCs w:val="18"/>
              </w:rPr>
            </w:pPr>
            <w:r w:rsidRPr="00A75DF9">
              <w:rPr>
                <w:rFonts w:cs="Tahoma"/>
                <w:color w:val="000000"/>
                <w:szCs w:val="18"/>
              </w:rPr>
              <w:t xml:space="preserve"> </w:t>
            </w:r>
          </w:p>
        </w:tc>
      </w:tr>
    </w:tbl>
    <w:p w:rsidR="00456002" w:rsidRPr="00A75DF9" w:rsidRDefault="00456002" w:rsidP="00456002">
      <w:pPr>
        <w:tabs>
          <w:tab w:val="left" w:pos="360"/>
        </w:tabs>
        <w:ind w:left="720"/>
        <w:rPr>
          <w:rFonts w:cs="Tahoma"/>
        </w:rPr>
      </w:pPr>
      <w:r w:rsidRPr="00A75DF9">
        <w:rPr>
          <w:rFonts w:cs="Tahoma"/>
          <w:i/>
          <w:sz w:val="16"/>
          <w:szCs w:val="20"/>
        </w:rPr>
        <w:t>* Richiede la CAL Suite Bridge appropriata. Per ulteriori informazioni sulla CAL Suite Bridge, fare riferimento all</w:t>
      </w:r>
      <w:r w:rsidR="00F2643E">
        <w:rPr>
          <w:rFonts w:cs="Tahoma"/>
          <w:i/>
          <w:sz w:val="16"/>
          <w:szCs w:val="20"/>
        </w:rPr>
        <w:t>’</w:t>
      </w:r>
      <w:r w:rsidRPr="00A75DF9">
        <w:rPr>
          <w:rFonts w:cs="Tahoma"/>
          <w:i/>
          <w:sz w:val="16"/>
          <w:szCs w:val="20"/>
        </w:rPr>
        <w:t>articolo relativo alle note del prodotto nel presente documento.</w:t>
      </w:r>
    </w:p>
    <w:p w:rsidR="00456002" w:rsidRPr="00A75DF9" w:rsidRDefault="00456002" w:rsidP="00456002">
      <w:pPr>
        <w:tabs>
          <w:tab w:val="left" w:pos="360"/>
        </w:tabs>
        <w:ind w:left="720"/>
        <w:rPr>
          <w:rFonts w:cs="Tahoma"/>
        </w:rPr>
      </w:pPr>
      <w:r w:rsidRPr="00A75DF9">
        <w:rPr>
          <w:rFonts w:cs="Tahoma"/>
          <w:i/>
          <w:sz w:val="16"/>
          <w:szCs w:val="20"/>
        </w:rPr>
        <w:t>**</w:t>
      </w:r>
      <w:r w:rsidR="00DC2DAE">
        <w:rPr>
          <w:rFonts w:cs="Tahoma"/>
          <w:i/>
          <w:sz w:val="16"/>
          <w:szCs w:val="20"/>
        </w:rPr>
        <w:t xml:space="preserve"> </w:t>
      </w:r>
      <w:r w:rsidRPr="00A75DF9">
        <w:rPr>
          <w:rFonts w:cs="Tahoma"/>
          <w:i/>
          <w:sz w:val="16"/>
          <w:szCs w:val="20"/>
        </w:rPr>
        <w:t>Office 365 ProPlus e Windows VDA sono Prodotti Enterprise e possono soddisfare i requisiti per l</w:t>
      </w:r>
      <w:r w:rsidR="00F2643E">
        <w:rPr>
          <w:rFonts w:cs="Tahoma"/>
          <w:i/>
          <w:sz w:val="16"/>
          <w:szCs w:val="20"/>
        </w:rPr>
        <w:t>’</w:t>
      </w:r>
      <w:r w:rsidRPr="00A75DF9">
        <w:rPr>
          <w:rFonts w:cs="Tahoma"/>
          <w:i/>
          <w:sz w:val="16"/>
          <w:szCs w:val="20"/>
        </w:rPr>
        <w:t>intera Organizzazione di Prodotti Enterprise.</w:t>
      </w:r>
    </w:p>
    <w:p w:rsidR="00456002" w:rsidRPr="00A75DF9" w:rsidRDefault="00456002" w:rsidP="00366502">
      <w:pPr>
        <w:tabs>
          <w:tab w:val="left" w:pos="360"/>
        </w:tabs>
        <w:ind w:left="720"/>
        <w:rPr>
          <w:rFonts w:cs="Tahoma"/>
        </w:rPr>
      </w:pPr>
      <w:r w:rsidRPr="00A75DF9">
        <w:rPr>
          <w:rFonts w:cs="Tahoma"/>
          <w:i/>
          <w:sz w:val="16"/>
          <w:szCs w:val="20"/>
        </w:rPr>
        <w:t>***</w:t>
      </w:r>
      <w:r w:rsidR="00DC2DAE">
        <w:rPr>
          <w:rFonts w:cs="Tahoma"/>
          <w:i/>
          <w:sz w:val="16"/>
          <w:szCs w:val="20"/>
        </w:rPr>
        <w:t xml:space="preserve"> </w:t>
      </w:r>
      <w:r w:rsidRPr="00A75DF9">
        <w:rPr>
          <w:rFonts w:cs="Tahoma"/>
          <w:i/>
          <w:sz w:val="16"/>
          <w:szCs w:val="20"/>
        </w:rPr>
        <w:t>I Servizi Online Enterprise includono solo USL complete.</w:t>
      </w:r>
      <w:r w:rsidR="009D3B41" w:rsidRPr="00A75DF9">
        <w:rPr>
          <w:rFonts w:cs="Tahoma"/>
          <w:i/>
          <w:sz w:val="16"/>
          <w:szCs w:val="20"/>
        </w:rPr>
        <w:t xml:space="preserve"> </w:t>
      </w:r>
      <w:r w:rsidRPr="00A75DF9">
        <w:rPr>
          <w:rFonts w:cs="Tahoma"/>
          <w:i/>
          <w:sz w:val="16"/>
          <w:szCs w:val="20"/>
        </w:rPr>
        <w:t>Le USL per Software Assurance, il cui acquisto è subordinato a Core CAL o Enterprise CAL, non costituiscono Servizi Online Enterprise.</w:t>
      </w:r>
    </w:p>
    <w:p w:rsidR="00366502" w:rsidRPr="00A75DF9" w:rsidRDefault="00366502" w:rsidP="00456002">
      <w:pPr>
        <w:tabs>
          <w:tab w:val="left" w:pos="360"/>
        </w:tabs>
        <w:ind w:left="720"/>
        <w:rPr>
          <w:rFonts w:cs="Tahoma"/>
        </w:rPr>
      </w:pPr>
    </w:p>
    <w:p w:rsidR="00456002" w:rsidRPr="00A75DF9" w:rsidRDefault="00456002" w:rsidP="0055442E">
      <w:pPr>
        <w:tabs>
          <w:tab w:val="left" w:pos="360"/>
        </w:tabs>
        <w:spacing w:after="60"/>
        <w:rPr>
          <w:rFonts w:cs="Tahoma"/>
        </w:rPr>
      </w:pPr>
      <w:r w:rsidRPr="00A75DF9">
        <w:rPr>
          <w:rFonts w:cs="Tahoma"/>
          <w:b/>
          <w:szCs w:val="18"/>
        </w:rPr>
        <w:t>Transizioni Autorizzate</w:t>
      </w:r>
    </w:p>
    <w:p w:rsidR="00456002" w:rsidRPr="00A75DF9" w:rsidRDefault="0014632E" w:rsidP="00366502">
      <w:pPr>
        <w:tabs>
          <w:tab w:val="left" w:pos="360"/>
        </w:tabs>
        <w:rPr>
          <w:rFonts w:cs="Tahoma"/>
        </w:rPr>
      </w:pPr>
      <w:r w:rsidRPr="00A75DF9">
        <w:rPr>
          <w:rFonts w:cs="Tahoma"/>
          <w:b/>
          <w:szCs w:val="20"/>
        </w:rPr>
        <w:t xml:space="preserve">Nota: </w:t>
      </w:r>
      <w:r w:rsidRPr="00A75DF9">
        <w:rPr>
          <w:rFonts w:cs="Tahoma"/>
          <w:szCs w:val="20"/>
        </w:rPr>
        <w:t>quanto segue si applica alle società in possesso delle Iscrizioni Enterprise ed Enterprise Subscription che hanno i diritti di Transizione. Le società che non sono certe di disporre dei diritti di Transizione ai sensi della loro iscrizione dovranno contattare il loro Software Advisor, Rivenditore o Account Manager designato da Microsoft per ulteriori informazioni.</w:t>
      </w:r>
      <w:r w:rsidR="009D3B41" w:rsidRPr="00A75DF9">
        <w:rPr>
          <w:rFonts w:cs="Tahoma"/>
          <w:szCs w:val="20"/>
        </w:rPr>
        <w:t xml:space="preserve"> </w:t>
      </w:r>
    </w:p>
    <w:p w:rsidR="00456002" w:rsidRDefault="00456002" w:rsidP="00366502">
      <w:pPr>
        <w:tabs>
          <w:tab w:val="left" w:pos="360"/>
        </w:tabs>
        <w:rPr>
          <w:rFonts w:cs="Tahoma"/>
        </w:rPr>
      </w:pPr>
    </w:p>
    <w:p w:rsidR="00DC2DAE" w:rsidRDefault="00DC2DAE" w:rsidP="00366502">
      <w:pPr>
        <w:tabs>
          <w:tab w:val="left" w:pos="360"/>
        </w:tabs>
        <w:rPr>
          <w:rFonts w:cs="Tahoma"/>
        </w:rPr>
      </w:pPr>
    </w:p>
    <w:p w:rsidR="00DC2DAE" w:rsidRDefault="00DC2DAE" w:rsidP="00366502">
      <w:pPr>
        <w:tabs>
          <w:tab w:val="left" w:pos="360"/>
        </w:tabs>
        <w:rPr>
          <w:rFonts w:cs="Tahoma"/>
        </w:rPr>
      </w:pPr>
    </w:p>
    <w:p w:rsidR="00DC2DAE" w:rsidRDefault="00DC2DAE" w:rsidP="00366502">
      <w:pPr>
        <w:tabs>
          <w:tab w:val="left" w:pos="360"/>
        </w:tabs>
        <w:rPr>
          <w:rFonts w:cs="Tahoma"/>
        </w:rPr>
      </w:pPr>
    </w:p>
    <w:p w:rsidR="00DC2DAE" w:rsidRPr="00A75DF9" w:rsidRDefault="00DC2DAE" w:rsidP="00366502">
      <w:pPr>
        <w:tabs>
          <w:tab w:val="left" w:pos="360"/>
        </w:tabs>
        <w:rPr>
          <w:rFonts w:cs="Tahoma"/>
        </w:rPr>
      </w:pPr>
    </w:p>
    <w:p w:rsidR="00456002" w:rsidRPr="00A75DF9" w:rsidRDefault="00456002" w:rsidP="00366502">
      <w:pPr>
        <w:tabs>
          <w:tab w:val="left" w:pos="360"/>
        </w:tabs>
        <w:rPr>
          <w:rFonts w:cs="Tahoma"/>
        </w:rPr>
      </w:pPr>
      <w:r w:rsidRPr="00A75DF9">
        <w:rPr>
          <w:rFonts w:cs="Tahoma"/>
          <w:szCs w:val="20"/>
        </w:rPr>
        <w:lastRenderedPageBreak/>
        <w:t>Nella tabella che segue sono identificati i prodotti idonei per la Transizione e le Transizioni autorizzate.</w:t>
      </w:r>
      <w:r w:rsidR="009D3B41" w:rsidRPr="00A75DF9">
        <w:rPr>
          <w:rFonts w:cs="Tahoma"/>
          <w:szCs w:val="20"/>
        </w:rPr>
        <w:t xml:space="preserve"> </w:t>
      </w:r>
      <w:r w:rsidRPr="00A75DF9">
        <w:rPr>
          <w:rFonts w:cs="Tahoma"/>
          <w:szCs w:val="20"/>
        </w:rPr>
        <w:t>Sono inclusi prodotti soggetti alla transizione al momento dell</w:t>
      </w:r>
      <w:r w:rsidR="00F2643E">
        <w:rPr>
          <w:rFonts w:cs="Tahoma"/>
          <w:szCs w:val="20"/>
        </w:rPr>
        <w:t>’</w:t>
      </w:r>
      <w:r w:rsidRPr="00A75DF9">
        <w:rPr>
          <w:rFonts w:cs="Tahoma"/>
          <w:szCs w:val="20"/>
        </w:rPr>
        <w:t>acquisto come parte di una desktop platform.</w:t>
      </w:r>
    </w:p>
    <w:p w:rsidR="00456002" w:rsidRPr="00A75DF9" w:rsidRDefault="00456002" w:rsidP="00456002">
      <w:pPr>
        <w:tabs>
          <w:tab w:val="left" w:pos="360"/>
        </w:tabs>
        <w:ind w:left="720"/>
        <w:rPr>
          <w:rFonts w:cs="Tahoma"/>
        </w:rPr>
      </w:pPr>
    </w:p>
    <w:tbl>
      <w:tblPr>
        <w:tblW w:w="8021" w:type="dxa"/>
        <w:tblInd w:w="720" w:type="dxa"/>
        <w:tblCellMar>
          <w:left w:w="0" w:type="dxa"/>
          <w:right w:w="0" w:type="dxa"/>
        </w:tblCellMar>
        <w:tblLook w:val="04A0" w:firstRow="1" w:lastRow="0" w:firstColumn="1" w:lastColumn="0" w:noHBand="0" w:noVBand="1"/>
      </w:tblPr>
      <w:tblGrid>
        <w:gridCol w:w="3687"/>
        <w:gridCol w:w="4334"/>
      </w:tblGrid>
      <w:tr w:rsidR="00456002" w:rsidRPr="00A75DF9" w:rsidTr="005C647E">
        <w:trPr>
          <w:cantSplit/>
          <w:trHeight w:val="189"/>
        </w:trPr>
        <w:tc>
          <w:tcPr>
            <w:tcW w:w="3687" w:type="dxa"/>
            <w:tcBorders>
              <w:top w:val="single" w:sz="8" w:space="0" w:color="auto"/>
              <w:left w:val="single" w:sz="8" w:space="0" w:color="auto"/>
              <w:bottom w:val="single" w:sz="8" w:space="0" w:color="auto"/>
              <w:right w:val="single" w:sz="8" w:space="0" w:color="auto"/>
            </w:tcBorders>
            <w:shd w:val="clear" w:color="auto" w:fill="FABF8F"/>
            <w:vAlign w:val="center"/>
            <w:hideMark/>
          </w:tcPr>
          <w:p w:rsidR="00456002" w:rsidRPr="00A75DF9" w:rsidRDefault="00456002" w:rsidP="005C647E">
            <w:pPr>
              <w:keepNext/>
              <w:jc w:val="center"/>
              <w:rPr>
                <w:rFonts w:cs="Tahoma"/>
                <w:b/>
              </w:rPr>
            </w:pPr>
            <w:r w:rsidRPr="00A75DF9">
              <w:rPr>
                <w:rFonts w:cs="Tahoma"/>
                <w:b/>
              </w:rPr>
              <w:t>Prodotti per la Transizione</w:t>
            </w:r>
          </w:p>
        </w:tc>
        <w:tc>
          <w:tcPr>
            <w:tcW w:w="4334" w:type="dxa"/>
            <w:tcBorders>
              <w:top w:val="single" w:sz="8" w:space="0" w:color="auto"/>
              <w:left w:val="nil"/>
              <w:bottom w:val="single" w:sz="8" w:space="0" w:color="auto"/>
              <w:right w:val="single" w:sz="8" w:space="0" w:color="auto"/>
            </w:tcBorders>
            <w:shd w:val="clear" w:color="auto" w:fill="FABF8F"/>
            <w:vAlign w:val="center"/>
            <w:hideMark/>
          </w:tcPr>
          <w:p w:rsidR="00456002" w:rsidRPr="00A75DF9" w:rsidRDefault="00456002" w:rsidP="005C647E">
            <w:pPr>
              <w:keepNext/>
              <w:jc w:val="center"/>
              <w:rPr>
                <w:rFonts w:cs="Tahoma"/>
                <w:b/>
              </w:rPr>
            </w:pPr>
            <w:r w:rsidRPr="00A75DF9">
              <w:rPr>
                <w:rFonts w:cs="Tahoma"/>
                <w:b/>
              </w:rPr>
              <w:t>Transizioni Autorizzate</w:t>
            </w:r>
          </w:p>
        </w:tc>
      </w:tr>
      <w:tr w:rsidR="00A32052" w:rsidRPr="00A75DF9" w:rsidTr="00DC2DAE">
        <w:trPr>
          <w:cantSplit/>
          <w:trHeight w:val="2077"/>
        </w:trPr>
        <w:tc>
          <w:tcPr>
            <w:tcW w:w="3687" w:type="dxa"/>
            <w:tcBorders>
              <w:top w:val="nil"/>
              <w:left w:val="single" w:sz="8" w:space="0" w:color="auto"/>
              <w:bottom w:val="single" w:sz="8" w:space="0" w:color="auto"/>
              <w:right w:val="single" w:sz="8" w:space="0" w:color="auto"/>
            </w:tcBorders>
            <w:vAlign w:val="center"/>
          </w:tcPr>
          <w:p w:rsidR="00A32052" w:rsidRPr="00A75DF9" w:rsidRDefault="00A32052" w:rsidP="005C647E">
            <w:pPr>
              <w:spacing w:before="60" w:after="60"/>
              <w:ind w:left="144"/>
              <w:rPr>
                <w:rFonts w:cs="Tahoma"/>
              </w:rPr>
            </w:pPr>
            <w:r w:rsidRPr="00A75DF9">
              <w:rPr>
                <w:rFonts w:cs="Tahoma"/>
              </w:rPr>
              <w:t xml:space="preserve">Core CAL Suite </w:t>
            </w:r>
          </w:p>
        </w:tc>
        <w:tc>
          <w:tcPr>
            <w:tcW w:w="4334" w:type="dxa"/>
            <w:tcBorders>
              <w:top w:val="nil"/>
              <w:left w:val="nil"/>
              <w:bottom w:val="single" w:sz="8" w:space="0" w:color="auto"/>
              <w:right w:val="single" w:sz="8" w:space="0" w:color="auto"/>
            </w:tcBorders>
            <w:vAlign w:val="center"/>
          </w:tcPr>
          <w:p w:rsidR="008368B4" w:rsidRPr="00A75DF9" w:rsidRDefault="008368B4" w:rsidP="00346F4B">
            <w:pPr>
              <w:numPr>
                <w:ilvl w:val="0"/>
                <w:numId w:val="37"/>
              </w:numPr>
              <w:spacing w:before="60" w:after="60"/>
              <w:rPr>
                <w:rFonts w:cs="Tahoma"/>
              </w:rPr>
            </w:pPr>
            <w:r w:rsidRPr="00A75DF9">
              <w:rPr>
                <w:rFonts w:cs="Tahoma"/>
                <w:color w:val="000000"/>
                <w:szCs w:val="18"/>
              </w:rPr>
              <w:t>Office 365 (Enterprise E1)*</w:t>
            </w:r>
          </w:p>
          <w:p w:rsidR="008368B4" w:rsidRPr="00A75DF9" w:rsidRDefault="008368B4" w:rsidP="00346F4B">
            <w:pPr>
              <w:numPr>
                <w:ilvl w:val="0"/>
                <w:numId w:val="37"/>
              </w:numPr>
              <w:spacing w:after="60"/>
              <w:rPr>
                <w:rFonts w:cs="Tahoma"/>
              </w:rPr>
            </w:pPr>
            <w:r w:rsidRPr="00A75DF9">
              <w:rPr>
                <w:rFonts w:cs="Tahoma"/>
                <w:color w:val="000000"/>
                <w:szCs w:val="18"/>
              </w:rPr>
              <w:t>Office 365 (Enterprise E3)*</w:t>
            </w:r>
          </w:p>
          <w:p w:rsidR="008368B4" w:rsidRPr="00A75DF9" w:rsidRDefault="008368B4" w:rsidP="00346F4B">
            <w:pPr>
              <w:numPr>
                <w:ilvl w:val="0"/>
                <w:numId w:val="37"/>
              </w:numPr>
              <w:spacing w:after="60"/>
              <w:rPr>
                <w:rFonts w:cs="Tahoma"/>
              </w:rPr>
            </w:pPr>
            <w:r w:rsidRPr="00A75DF9">
              <w:rPr>
                <w:rFonts w:cs="Tahoma"/>
                <w:color w:val="000000"/>
                <w:szCs w:val="18"/>
              </w:rPr>
              <w:t>Office 365 (Enterprise E4)*</w:t>
            </w:r>
          </w:p>
          <w:p w:rsidR="008368B4" w:rsidRPr="00A75DF9" w:rsidRDefault="008368B4" w:rsidP="00346F4B">
            <w:pPr>
              <w:numPr>
                <w:ilvl w:val="0"/>
                <w:numId w:val="37"/>
              </w:numPr>
              <w:spacing w:after="60"/>
              <w:rPr>
                <w:rFonts w:cs="Tahoma"/>
              </w:rPr>
            </w:pPr>
            <w:r w:rsidRPr="00A75DF9">
              <w:rPr>
                <w:rFonts w:cs="Tahoma"/>
                <w:color w:val="000000"/>
                <w:szCs w:val="18"/>
              </w:rPr>
              <w:t>Office 365 (Government G1)*</w:t>
            </w:r>
          </w:p>
          <w:p w:rsidR="008368B4" w:rsidRPr="00A75DF9" w:rsidRDefault="008368B4" w:rsidP="00346F4B">
            <w:pPr>
              <w:numPr>
                <w:ilvl w:val="0"/>
                <w:numId w:val="37"/>
              </w:numPr>
              <w:spacing w:after="60"/>
              <w:rPr>
                <w:rFonts w:cs="Tahoma"/>
              </w:rPr>
            </w:pPr>
            <w:r w:rsidRPr="00A75DF9">
              <w:rPr>
                <w:rFonts w:cs="Tahoma"/>
                <w:color w:val="000000"/>
                <w:szCs w:val="18"/>
              </w:rPr>
              <w:t>Office 365 (Government G3)*</w:t>
            </w:r>
          </w:p>
          <w:p w:rsidR="008368B4" w:rsidRPr="00A75DF9" w:rsidRDefault="008368B4" w:rsidP="00346F4B">
            <w:pPr>
              <w:numPr>
                <w:ilvl w:val="0"/>
                <w:numId w:val="37"/>
              </w:numPr>
              <w:spacing w:after="60"/>
              <w:rPr>
                <w:rFonts w:cs="Tahoma"/>
              </w:rPr>
            </w:pPr>
            <w:r w:rsidRPr="00A75DF9">
              <w:rPr>
                <w:rFonts w:cs="Tahoma"/>
                <w:color w:val="000000"/>
                <w:szCs w:val="18"/>
              </w:rPr>
              <w:t>Office 365 (Government G4)*</w:t>
            </w:r>
          </w:p>
          <w:p w:rsidR="00A32052" w:rsidRPr="00A75DF9" w:rsidRDefault="00A32052" w:rsidP="00346F4B">
            <w:pPr>
              <w:numPr>
                <w:ilvl w:val="0"/>
                <w:numId w:val="37"/>
              </w:numPr>
              <w:ind w:right="144"/>
              <w:rPr>
                <w:rFonts w:cs="Tahoma"/>
              </w:rPr>
            </w:pPr>
            <w:r w:rsidRPr="00A75DF9">
              <w:rPr>
                <w:rFonts w:cs="Tahoma"/>
                <w:color w:val="000000"/>
              </w:rPr>
              <w:t>Windows Intune*</w:t>
            </w:r>
          </w:p>
          <w:p w:rsidR="00A32052" w:rsidRPr="00A75DF9" w:rsidRDefault="00A32052" w:rsidP="0055442E">
            <w:pPr>
              <w:ind w:left="720" w:right="144"/>
              <w:rPr>
                <w:rFonts w:cs="Tahoma"/>
                <w:color w:val="000000"/>
              </w:rPr>
            </w:pPr>
          </w:p>
        </w:tc>
      </w:tr>
      <w:tr w:rsidR="00A32052" w:rsidRPr="00A75DF9" w:rsidTr="00DC2DAE">
        <w:trPr>
          <w:cantSplit/>
          <w:trHeight w:val="1438"/>
        </w:trPr>
        <w:tc>
          <w:tcPr>
            <w:tcW w:w="3687" w:type="dxa"/>
            <w:tcBorders>
              <w:top w:val="nil"/>
              <w:left w:val="single" w:sz="8" w:space="0" w:color="auto"/>
              <w:bottom w:val="single" w:sz="8" w:space="0" w:color="auto"/>
              <w:right w:val="single" w:sz="8" w:space="0" w:color="auto"/>
            </w:tcBorders>
            <w:vAlign w:val="center"/>
          </w:tcPr>
          <w:p w:rsidR="00A32052" w:rsidRPr="00A75DF9" w:rsidRDefault="00A32052" w:rsidP="005C647E">
            <w:pPr>
              <w:spacing w:before="60" w:after="60"/>
              <w:ind w:left="144"/>
              <w:rPr>
                <w:rFonts w:cs="Tahoma"/>
              </w:rPr>
            </w:pPr>
            <w:r w:rsidRPr="00A75DF9">
              <w:rPr>
                <w:rFonts w:cs="Tahoma"/>
              </w:rPr>
              <w:t>Enterprise CAL Suite</w:t>
            </w:r>
          </w:p>
        </w:tc>
        <w:tc>
          <w:tcPr>
            <w:tcW w:w="4334" w:type="dxa"/>
            <w:tcBorders>
              <w:top w:val="nil"/>
              <w:left w:val="nil"/>
              <w:bottom w:val="single" w:sz="8" w:space="0" w:color="auto"/>
              <w:right w:val="single" w:sz="8" w:space="0" w:color="auto"/>
            </w:tcBorders>
            <w:vAlign w:val="center"/>
          </w:tcPr>
          <w:p w:rsidR="00A32052" w:rsidRPr="00A75DF9" w:rsidRDefault="00A32052" w:rsidP="00346F4B">
            <w:pPr>
              <w:numPr>
                <w:ilvl w:val="0"/>
                <w:numId w:val="37"/>
              </w:numPr>
              <w:spacing w:before="60" w:after="60"/>
              <w:rPr>
                <w:rFonts w:cs="Tahoma"/>
              </w:rPr>
            </w:pPr>
            <w:r w:rsidRPr="00A75DF9">
              <w:rPr>
                <w:rFonts w:cs="Tahoma"/>
                <w:color w:val="000000"/>
                <w:szCs w:val="18"/>
              </w:rPr>
              <w:t>Office 365 (Enterprise E3)*</w:t>
            </w:r>
          </w:p>
          <w:p w:rsidR="00A32052" w:rsidRPr="00A75DF9" w:rsidRDefault="00A32052" w:rsidP="00346F4B">
            <w:pPr>
              <w:numPr>
                <w:ilvl w:val="0"/>
                <w:numId w:val="37"/>
              </w:numPr>
              <w:spacing w:after="60"/>
              <w:rPr>
                <w:rFonts w:cs="Tahoma"/>
              </w:rPr>
            </w:pPr>
            <w:r w:rsidRPr="00A75DF9">
              <w:rPr>
                <w:rFonts w:cs="Tahoma"/>
                <w:color w:val="000000"/>
                <w:szCs w:val="18"/>
              </w:rPr>
              <w:t>Office 365 (Enterprise E4)*</w:t>
            </w:r>
          </w:p>
          <w:p w:rsidR="004D2744" w:rsidRPr="00A75DF9" w:rsidRDefault="004D2744" w:rsidP="00346F4B">
            <w:pPr>
              <w:numPr>
                <w:ilvl w:val="0"/>
                <w:numId w:val="37"/>
              </w:numPr>
              <w:spacing w:after="60"/>
              <w:rPr>
                <w:rFonts w:cs="Tahoma"/>
              </w:rPr>
            </w:pPr>
            <w:r w:rsidRPr="00A75DF9">
              <w:rPr>
                <w:rFonts w:cs="Tahoma"/>
                <w:color w:val="000000"/>
                <w:szCs w:val="18"/>
              </w:rPr>
              <w:t>Office 365 (Enterprise G3)*</w:t>
            </w:r>
          </w:p>
          <w:p w:rsidR="004D2744" w:rsidRPr="00A75DF9" w:rsidRDefault="004D2744" w:rsidP="00346F4B">
            <w:pPr>
              <w:numPr>
                <w:ilvl w:val="0"/>
                <w:numId w:val="37"/>
              </w:numPr>
              <w:spacing w:after="60"/>
              <w:rPr>
                <w:rFonts w:cs="Tahoma"/>
              </w:rPr>
            </w:pPr>
            <w:r w:rsidRPr="00A75DF9">
              <w:rPr>
                <w:rFonts w:cs="Tahoma"/>
                <w:color w:val="000000"/>
                <w:szCs w:val="18"/>
              </w:rPr>
              <w:t>Office 365 (Enterprise G4)*</w:t>
            </w:r>
          </w:p>
          <w:p w:rsidR="00A32052" w:rsidRPr="00A75DF9" w:rsidRDefault="00A32052" w:rsidP="00346F4B">
            <w:pPr>
              <w:numPr>
                <w:ilvl w:val="0"/>
                <w:numId w:val="37"/>
              </w:numPr>
              <w:ind w:right="144"/>
              <w:rPr>
                <w:rFonts w:cs="Tahoma"/>
              </w:rPr>
            </w:pPr>
            <w:r w:rsidRPr="00A75DF9">
              <w:rPr>
                <w:rFonts w:cs="Tahoma"/>
                <w:color w:val="000000"/>
              </w:rPr>
              <w:t>Windows</w:t>
            </w:r>
            <w:r w:rsidR="009D5D7B" w:rsidRPr="00A75DF9">
              <w:rPr>
                <w:rFonts w:cs="Tahoma"/>
                <w:color w:val="000000"/>
                <w:vertAlign w:val="superscript"/>
              </w:rPr>
              <w:t>®</w:t>
            </w:r>
            <w:r w:rsidRPr="00A75DF9">
              <w:rPr>
                <w:rFonts w:cs="Tahoma"/>
                <w:color w:val="000000"/>
              </w:rPr>
              <w:t xml:space="preserve"> Intune*</w:t>
            </w:r>
          </w:p>
          <w:p w:rsidR="00A32052" w:rsidRPr="00A75DF9" w:rsidRDefault="00A32052" w:rsidP="00BD6C2C">
            <w:pPr>
              <w:ind w:right="144"/>
              <w:rPr>
                <w:rFonts w:cs="Tahoma"/>
                <w:color w:val="000000"/>
              </w:rPr>
            </w:pPr>
          </w:p>
        </w:tc>
      </w:tr>
      <w:tr w:rsidR="00A32052" w:rsidRPr="00A75DF9" w:rsidTr="005C647E">
        <w:trPr>
          <w:cantSplit/>
          <w:trHeight w:val="354"/>
        </w:trPr>
        <w:tc>
          <w:tcPr>
            <w:tcW w:w="3687" w:type="dxa"/>
            <w:tcBorders>
              <w:top w:val="single" w:sz="8" w:space="0" w:color="auto"/>
              <w:left w:val="single" w:sz="8" w:space="0" w:color="auto"/>
              <w:bottom w:val="nil"/>
              <w:right w:val="single" w:sz="8" w:space="0" w:color="auto"/>
            </w:tcBorders>
            <w:vAlign w:val="center"/>
          </w:tcPr>
          <w:p w:rsidR="00A32052" w:rsidRPr="00A75DF9" w:rsidRDefault="00A32052" w:rsidP="005C647E">
            <w:pPr>
              <w:spacing w:before="60" w:after="60"/>
              <w:ind w:left="144"/>
              <w:rPr>
                <w:rFonts w:cs="Tahoma"/>
              </w:rPr>
            </w:pPr>
            <w:r w:rsidRPr="00A75DF9">
              <w:rPr>
                <w:rFonts w:cs="Tahoma"/>
              </w:rPr>
              <w:t>Office Professional Plus</w:t>
            </w:r>
          </w:p>
        </w:tc>
        <w:tc>
          <w:tcPr>
            <w:tcW w:w="4334" w:type="dxa"/>
            <w:tcBorders>
              <w:top w:val="single" w:sz="8" w:space="0" w:color="auto"/>
              <w:left w:val="nil"/>
              <w:bottom w:val="nil"/>
              <w:right w:val="single" w:sz="8" w:space="0" w:color="auto"/>
            </w:tcBorders>
            <w:vAlign w:val="center"/>
          </w:tcPr>
          <w:p w:rsidR="00A32052" w:rsidRPr="00A75DF9" w:rsidRDefault="00A32052" w:rsidP="00346F4B">
            <w:pPr>
              <w:numPr>
                <w:ilvl w:val="0"/>
                <w:numId w:val="37"/>
              </w:numPr>
              <w:spacing w:after="60"/>
              <w:rPr>
                <w:rFonts w:cs="Tahoma"/>
              </w:rPr>
            </w:pPr>
            <w:r w:rsidRPr="00A75DF9">
              <w:rPr>
                <w:rFonts w:cs="Tahoma"/>
                <w:color w:val="000000"/>
                <w:szCs w:val="18"/>
              </w:rPr>
              <w:t>Office 365 (Enterprise E3)*</w:t>
            </w:r>
          </w:p>
          <w:p w:rsidR="00A32052" w:rsidRPr="00A75DF9" w:rsidRDefault="00A32052" w:rsidP="00346F4B">
            <w:pPr>
              <w:numPr>
                <w:ilvl w:val="0"/>
                <w:numId w:val="37"/>
              </w:numPr>
              <w:spacing w:after="60"/>
              <w:rPr>
                <w:rFonts w:cs="Tahoma"/>
              </w:rPr>
            </w:pPr>
            <w:r w:rsidRPr="00A75DF9">
              <w:rPr>
                <w:rFonts w:cs="Tahoma"/>
                <w:color w:val="000000"/>
                <w:szCs w:val="18"/>
              </w:rPr>
              <w:t>Office 365 (Enterprise E4)*</w:t>
            </w:r>
          </w:p>
          <w:p w:rsidR="00A32052" w:rsidRPr="00A75DF9" w:rsidRDefault="00A32052" w:rsidP="00346F4B">
            <w:pPr>
              <w:numPr>
                <w:ilvl w:val="0"/>
                <w:numId w:val="37"/>
              </w:numPr>
              <w:spacing w:after="60"/>
              <w:rPr>
                <w:rFonts w:cs="Tahoma"/>
              </w:rPr>
            </w:pPr>
            <w:r w:rsidRPr="00A75DF9">
              <w:rPr>
                <w:rFonts w:cs="Tahoma"/>
                <w:color w:val="000000"/>
                <w:szCs w:val="18"/>
              </w:rPr>
              <w:t>Office 365 (Government G3)</w:t>
            </w:r>
          </w:p>
          <w:p w:rsidR="00A32052" w:rsidRPr="00A75DF9" w:rsidRDefault="00A32052" w:rsidP="00346F4B">
            <w:pPr>
              <w:numPr>
                <w:ilvl w:val="0"/>
                <w:numId w:val="37"/>
              </w:numPr>
              <w:spacing w:after="60"/>
              <w:rPr>
                <w:rFonts w:cs="Tahoma"/>
              </w:rPr>
            </w:pPr>
            <w:r w:rsidRPr="00A75DF9">
              <w:rPr>
                <w:rFonts w:cs="Tahoma"/>
                <w:color w:val="000000"/>
                <w:szCs w:val="18"/>
              </w:rPr>
              <w:t>Office 365 (Government G4)</w:t>
            </w:r>
          </w:p>
          <w:p w:rsidR="00A32052" w:rsidRPr="00A75DF9" w:rsidRDefault="004D2744" w:rsidP="00346F4B">
            <w:pPr>
              <w:numPr>
                <w:ilvl w:val="0"/>
                <w:numId w:val="37"/>
              </w:numPr>
              <w:spacing w:after="60"/>
              <w:rPr>
                <w:rFonts w:cs="Tahoma"/>
              </w:rPr>
            </w:pPr>
            <w:r w:rsidRPr="00A75DF9">
              <w:rPr>
                <w:rFonts w:cs="Tahoma"/>
                <w:color w:val="000000"/>
                <w:szCs w:val="18"/>
              </w:rPr>
              <w:t>Office 365 ProPlus</w:t>
            </w:r>
          </w:p>
          <w:p w:rsidR="002D25C8" w:rsidRPr="00A75DF9" w:rsidRDefault="002D25C8" w:rsidP="0055442E">
            <w:pPr>
              <w:ind w:left="720"/>
              <w:rPr>
                <w:rFonts w:cs="Tahoma"/>
                <w:color w:val="000000"/>
              </w:rPr>
            </w:pPr>
          </w:p>
        </w:tc>
      </w:tr>
      <w:tr w:rsidR="00A32052" w:rsidRPr="00A75DF9" w:rsidTr="005C647E">
        <w:trPr>
          <w:cantSplit/>
          <w:trHeight w:val="354"/>
        </w:trPr>
        <w:tc>
          <w:tcPr>
            <w:tcW w:w="3687" w:type="dxa"/>
            <w:tcBorders>
              <w:top w:val="single" w:sz="8" w:space="0" w:color="auto"/>
              <w:left w:val="single" w:sz="8" w:space="0" w:color="auto"/>
              <w:bottom w:val="nil"/>
              <w:right w:val="single" w:sz="8" w:space="0" w:color="auto"/>
            </w:tcBorders>
            <w:vAlign w:val="center"/>
          </w:tcPr>
          <w:p w:rsidR="00A32052" w:rsidRPr="00A75DF9" w:rsidRDefault="00A32052" w:rsidP="005C647E">
            <w:pPr>
              <w:spacing w:before="60" w:after="60"/>
              <w:ind w:left="144"/>
              <w:rPr>
                <w:rFonts w:cs="Tahoma"/>
              </w:rPr>
            </w:pPr>
            <w:r w:rsidRPr="00A75DF9">
              <w:rPr>
                <w:rFonts w:cs="Tahoma"/>
              </w:rPr>
              <w:t>Office Professional Plus e Core CAL Suite</w:t>
            </w:r>
          </w:p>
        </w:tc>
        <w:tc>
          <w:tcPr>
            <w:tcW w:w="4334" w:type="dxa"/>
            <w:tcBorders>
              <w:top w:val="single" w:sz="8" w:space="0" w:color="auto"/>
              <w:left w:val="nil"/>
              <w:bottom w:val="nil"/>
              <w:right w:val="single" w:sz="8" w:space="0" w:color="auto"/>
            </w:tcBorders>
            <w:vAlign w:val="center"/>
          </w:tcPr>
          <w:p w:rsidR="008368B4" w:rsidRPr="00A75DF9" w:rsidRDefault="008368B4" w:rsidP="00346F4B">
            <w:pPr>
              <w:numPr>
                <w:ilvl w:val="0"/>
                <w:numId w:val="37"/>
              </w:numPr>
              <w:spacing w:after="60"/>
              <w:rPr>
                <w:rFonts w:cs="Tahoma"/>
              </w:rPr>
            </w:pPr>
            <w:r w:rsidRPr="00A75DF9">
              <w:rPr>
                <w:rFonts w:cs="Tahoma"/>
                <w:color w:val="000000"/>
                <w:szCs w:val="18"/>
              </w:rPr>
              <w:t>Office 365 (Enterprise E3)*</w:t>
            </w:r>
          </w:p>
          <w:p w:rsidR="008368B4" w:rsidRPr="00A75DF9" w:rsidRDefault="008368B4" w:rsidP="00346F4B">
            <w:pPr>
              <w:numPr>
                <w:ilvl w:val="0"/>
                <w:numId w:val="37"/>
              </w:numPr>
              <w:spacing w:after="60"/>
              <w:rPr>
                <w:rFonts w:cs="Tahoma"/>
              </w:rPr>
            </w:pPr>
            <w:r w:rsidRPr="00A75DF9">
              <w:rPr>
                <w:rFonts w:cs="Tahoma"/>
                <w:color w:val="000000"/>
                <w:szCs w:val="18"/>
              </w:rPr>
              <w:t>Office 365 (Enterprise E4)*</w:t>
            </w:r>
          </w:p>
          <w:p w:rsidR="008368B4" w:rsidRPr="00A75DF9" w:rsidRDefault="008368B4" w:rsidP="00346F4B">
            <w:pPr>
              <w:numPr>
                <w:ilvl w:val="0"/>
                <w:numId w:val="37"/>
              </w:numPr>
              <w:spacing w:after="60"/>
              <w:rPr>
                <w:rFonts w:cs="Tahoma"/>
              </w:rPr>
            </w:pPr>
            <w:r w:rsidRPr="00A75DF9">
              <w:rPr>
                <w:rFonts w:cs="Tahoma"/>
                <w:color w:val="000000"/>
                <w:szCs w:val="18"/>
              </w:rPr>
              <w:t>Office 365 (Government G3)*</w:t>
            </w:r>
          </w:p>
          <w:p w:rsidR="008368B4" w:rsidRPr="00A75DF9" w:rsidRDefault="008368B4" w:rsidP="00346F4B">
            <w:pPr>
              <w:numPr>
                <w:ilvl w:val="0"/>
                <w:numId w:val="37"/>
              </w:numPr>
              <w:spacing w:after="60"/>
              <w:rPr>
                <w:rFonts w:cs="Tahoma"/>
              </w:rPr>
            </w:pPr>
            <w:r w:rsidRPr="00A75DF9">
              <w:rPr>
                <w:rFonts w:cs="Tahoma"/>
                <w:color w:val="000000"/>
                <w:szCs w:val="18"/>
              </w:rPr>
              <w:t>Office 365 (Government G4)*</w:t>
            </w:r>
          </w:p>
          <w:p w:rsidR="002D25C8" w:rsidRPr="00A75DF9" w:rsidRDefault="002D25C8" w:rsidP="0055442E">
            <w:pPr>
              <w:ind w:left="720"/>
              <w:rPr>
                <w:rFonts w:cs="Tahoma"/>
                <w:color w:val="000000"/>
              </w:rPr>
            </w:pPr>
          </w:p>
        </w:tc>
      </w:tr>
      <w:tr w:rsidR="00A32052" w:rsidRPr="00A75DF9"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A32052" w:rsidRPr="00A75DF9" w:rsidRDefault="00A32052" w:rsidP="00DC2DAE">
            <w:pPr>
              <w:spacing w:before="60" w:after="60"/>
              <w:ind w:left="144"/>
              <w:rPr>
                <w:rFonts w:cs="Tahoma"/>
              </w:rPr>
            </w:pPr>
            <w:r w:rsidRPr="00A75DF9">
              <w:rPr>
                <w:rFonts w:cs="Tahoma"/>
              </w:rPr>
              <w:t>Office Professional Plus ed Enterprise CAL</w:t>
            </w:r>
            <w:r w:rsidR="00DC2DAE">
              <w:rPr>
                <w:rFonts w:cs="Tahoma"/>
              </w:rPr>
              <w:t> </w:t>
            </w:r>
            <w:r w:rsidRPr="00A75DF9">
              <w:rPr>
                <w:rFonts w:cs="Tahoma"/>
              </w:rPr>
              <w:t>Suite</w:t>
            </w:r>
          </w:p>
        </w:tc>
        <w:tc>
          <w:tcPr>
            <w:tcW w:w="4334" w:type="dxa"/>
            <w:tcBorders>
              <w:top w:val="single" w:sz="8" w:space="0" w:color="auto"/>
              <w:left w:val="nil"/>
              <w:bottom w:val="single" w:sz="8" w:space="0" w:color="auto"/>
              <w:right w:val="single" w:sz="8" w:space="0" w:color="auto"/>
            </w:tcBorders>
            <w:vAlign w:val="center"/>
          </w:tcPr>
          <w:p w:rsidR="008368B4" w:rsidRPr="00A75DF9" w:rsidRDefault="008368B4" w:rsidP="00346F4B">
            <w:pPr>
              <w:numPr>
                <w:ilvl w:val="0"/>
                <w:numId w:val="37"/>
              </w:numPr>
              <w:spacing w:before="60" w:after="60"/>
              <w:rPr>
                <w:rFonts w:cs="Tahoma"/>
              </w:rPr>
            </w:pPr>
            <w:r w:rsidRPr="00A75DF9">
              <w:rPr>
                <w:rFonts w:cs="Tahoma"/>
                <w:color w:val="000000"/>
                <w:szCs w:val="18"/>
              </w:rPr>
              <w:t>Office 365 (Enterprise E3)*</w:t>
            </w:r>
          </w:p>
          <w:p w:rsidR="008368B4" w:rsidRPr="00A75DF9" w:rsidRDefault="008368B4" w:rsidP="00346F4B">
            <w:pPr>
              <w:numPr>
                <w:ilvl w:val="0"/>
                <w:numId w:val="37"/>
              </w:numPr>
              <w:spacing w:after="60"/>
              <w:rPr>
                <w:rFonts w:cs="Tahoma"/>
              </w:rPr>
            </w:pPr>
            <w:r w:rsidRPr="00A75DF9">
              <w:rPr>
                <w:rFonts w:cs="Tahoma"/>
                <w:color w:val="000000"/>
                <w:szCs w:val="18"/>
              </w:rPr>
              <w:t>Office 365 (Enterprise E4)*</w:t>
            </w:r>
          </w:p>
          <w:p w:rsidR="008368B4" w:rsidRPr="00A75DF9" w:rsidRDefault="008368B4" w:rsidP="00346F4B">
            <w:pPr>
              <w:numPr>
                <w:ilvl w:val="0"/>
                <w:numId w:val="37"/>
              </w:numPr>
              <w:spacing w:after="60"/>
              <w:rPr>
                <w:rFonts w:cs="Tahoma"/>
              </w:rPr>
            </w:pPr>
            <w:r w:rsidRPr="00A75DF9">
              <w:rPr>
                <w:rFonts w:cs="Tahoma"/>
                <w:color w:val="000000"/>
                <w:szCs w:val="18"/>
              </w:rPr>
              <w:t>Office 365 (Government G3)*</w:t>
            </w:r>
          </w:p>
          <w:p w:rsidR="008368B4" w:rsidRPr="00A75DF9" w:rsidRDefault="008368B4" w:rsidP="00346F4B">
            <w:pPr>
              <w:numPr>
                <w:ilvl w:val="0"/>
                <w:numId w:val="37"/>
              </w:numPr>
              <w:spacing w:after="60"/>
              <w:rPr>
                <w:rFonts w:cs="Tahoma"/>
              </w:rPr>
            </w:pPr>
            <w:r w:rsidRPr="00A75DF9">
              <w:rPr>
                <w:rFonts w:cs="Tahoma"/>
                <w:color w:val="000000"/>
                <w:szCs w:val="18"/>
              </w:rPr>
              <w:t>Office 365 (Government G4)*</w:t>
            </w:r>
          </w:p>
          <w:p w:rsidR="002D25C8" w:rsidRPr="00A75DF9" w:rsidRDefault="002D25C8" w:rsidP="0055442E">
            <w:pPr>
              <w:ind w:left="720"/>
              <w:rPr>
                <w:rFonts w:cs="Tahoma"/>
                <w:color w:val="000000"/>
              </w:rPr>
            </w:pPr>
          </w:p>
        </w:tc>
      </w:tr>
      <w:tr w:rsidR="00454646" w:rsidRPr="00A75DF9"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54646" w:rsidRPr="00A75DF9" w:rsidRDefault="00454646" w:rsidP="00B1054F">
            <w:pPr>
              <w:spacing w:before="60" w:after="60"/>
              <w:ind w:left="144"/>
              <w:rPr>
                <w:rFonts w:cs="Tahoma"/>
              </w:rPr>
            </w:pPr>
            <w:r w:rsidRPr="00A75DF9">
              <w:rPr>
                <w:rFonts w:cs="Tahoma"/>
              </w:rPr>
              <w:t>Project Professional</w:t>
            </w:r>
          </w:p>
        </w:tc>
        <w:tc>
          <w:tcPr>
            <w:tcW w:w="4334" w:type="dxa"/>
            <w:tcBorders>
              <w:top w:val="single" w:sz="8" w:space="0" w:color="auto"/>
              <w:left w:val="nil"/>
              <w:bottom w:val="single" w:sz="8" w:space="0" w:color="auto"/>
              <w:right w:val="single" w:sz="8" w:space="0" w:color="auto"/>
            </w:tcBorders>
            <w:vAlign w:val="center"/>
          </w:tcPr>
          <w:p w:rsidR="00454646" w:rsidRPr="00A75DF9" w:rsidRDefault="00454646" w:rsidP="00346F4B">
            <w:pPr>
              <w:numPr>
                <w:ilvl w:val="0"/>
                <w:numId w:val="37"/>
              </w:numPr>
              <w:spacing w:before="60" w:after="60"/>
              <w:rPr>
                <w:rFonts w:cs="Tahoma"/>
                <w:color w:val="000000" w:themeColor="text1"/>
              </w:rPr>
            </w:pPr>
            <w:r w:rsidRPr="00A75DF9">
              <w:rPr>
                <w:rFonts w:cs="Tahoma"/>
                <w:color w:val="000000" w:themeColor="text1"/>
              </w:rPr>
              <w:t>Project Pro per Office 365</w:t>
            </w:r>
          </w:p>
        </w:tc>
      </w:tr>
      <w:tr w:rsidR="00454646" w:rsidRPr="00A75DF9"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54646" w:rsidRPr="00A75DF9" w:rsidRDefault="00454646" w:rsidP="00B1054F">
            <w:pPr>
              <w:spacing w:before="60" w:after="60"/>
              <w:ind w:left="144"/>
              <w:rPr>
                <w:rFonts w:cs="Tahoma"/>
              </w:rPr>
            </w:pPr>
            <w:r w:rsidRPr="00A75DF9">
              <w:rPr>
                <w:rFonts w:cs="Tahoma"/>
              </w:rPr>
              <w:t>CAL per Project Server</w:t>
            </w:r>
          </w:p>
        </w:tc>
        <w:tc>
          <w:tcPr>
            <w:tcW w:w="4334" w:type="dxa"/>
            <w:tcBorders>
              <w:top w:val="single" w:sz="8" w:space="0" w:color="auto"/>
              <w:left w:val="nil"/>
              <w:bottom w:val="single" w:sz="8" w:space="0" w:color="auto"/>
              <w:right w:val="single" w:sz="8" w:space="0" w:color="auto"/>
            </w:tcBorders>
            <w:vAlign w:val="center"/>
          </w:tcPr>
          <w:p w:rsidR="00454646" w:rsidRPr="00A75DF9" w:rsidRDefault="00454646" w:rsidP="00346F4B">
            <w:pPr>
              <w:numPr>
                <w:ilvl w:val="0"/>
                <w:numId w:val="37"/>
              </w:numPr>
              <w:spacing w:before="60" w:after="60"/>
              <w:rPr>
                <w:rFonts w:cs="Tahoma"/>
                <w:color w:val="000000" w:themeColor="text1"/>
              </w:rPr>
            </w:pPr>
            <w:r w:rsidRPr="00A75DF9">
              <w:rPr>
                <w:rFonts w:cs="Tahoma"/>
                <w:color w:val="000000" w:themeColor="text1"/>
              </w:rPr>
              <w:t>Project Online</w:t>
            </w:r>
          </w:p>
        </w:tc>
      </w:tr>
      <w:tr w:rsidR="00454646" w:rsidRPr="00A75DF9"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454646" w:rsidRPr="00A75DF9" w:rsidRDefault="00454646" w:rsidP="00B1054F">
            <w:pPr>
              <w:spacing w:before="60" w:after="60"/>
              <w:ind w:left="144"/>
              <w:rPr>
                <w:rFonts w:cs="Tahoma"/>
              </w:rPr>
            </w:pPr>
            <w:r w:rsidRPr="00A75DF9">
              <w:rPr>
                <w:rFonts w:cs="Tahoma"/>
              </w:rPr>
              <w:t>Visio Professional</w:t>
            </w:r>
          </w:p>
        </w:tc>
        <w:tc>
          <w:tcPr>
            <w:tcW w:w="4334" w:type="dxa"/>
            <w:tcBorders>
              <w:top w:val="single" w:sz="8" w:space="0" w:color="auto"/>
              <w:left w:val="nil"/>
              <w:bottom w:val="single" w:sz="8" w:space="0" w:color="auto"/>
              <w:right w:val="single" w:sz="8" w:space="0" w:color="auto"/>
            </w:tcBorders>
            <w:vAlign w:val="center"/>
          </w:tcPr>
          <w:p w:rsidR="00454646" w:rsidRPr="00A75DF9" w:rsidRDefault="00454646" w:rsidP="00346F4B">
            <w:pPr>
              <w:numPr>
                <w:ilvl w:val="0"/>
                <w:numId w:val="37"/>
              </w:numPr>
              <w:spacing w:before="60" w:after="60"/>
              <w:rPr>
                <w:rFonts w:cs="Tahoma"/>
                <w:color w:val="000000" w:themeColor="text1"/>
              </w:rPr>
            </w:pPr>
            <w:r w:rsidRPr="00A75DF9">
              <w:rPr>
                <w:rFonts w:cs="Tahoma"/>
                <w:color w:val="000000" w:themeColor="text1"/>
              </w:rPr>
              <w:t>Visio Pro per Office 365</w:t>
            </w:r>
          </w:p>
        </w:tc>
      </w:tr>
      <w:tr w:rsidR="00B1054F" w:rsidRPr="00A75DF9"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A75DF9" w:rsidRDefault="00B1054F" w:rsidP="00B1054F">
            <w:pPr>
              <w:spacing w:before="60" w:after="60"/>
              <w:ind w:left="144"/>
              <w:rPr>
                <w:rFonts w:cs="Tahoma"/>
              </w:rPr>
            </w:pPr>
            <w:r w:rsidRPr="00A75DF9">
              <w:rPr>
                <w:rFonts w:cs="Tahoma"/>
              </w:rPr>
              <w:t xml:space="preserve">Aggiornamento per Windows Pro </w:t>
            </w:r>
          </w:p>
        </w:tc>
        <w:tc>
          <w:tcPr>
            <w:tcW w:w="4334" w:type="dxa"/>
            <w:tcBorders>
              <w:top w:val="single" w:sz="8" w:space="0" w:color="auto"/>
              <w:left w:val="nil"/>
              <w:bottom w:val="single" w:sz="8" w:space="0" w:color="auto"/>
              <w:right w:val="single" w:sz="8" w:space="0" w:color="auto"/>
            </w:tcBorders>
            <w:vAlign w:val="center"/>
          </w:tcPr>
          <w:p w:rsidR="00B1054F" w:rsidRPr="00A75DF9" w:rsidRDefault="00B1054F" w:rsidP="00346F4B">
            <w:pPr>
              <w:numPr>
                <w:ilvl w:val="0"/>
                <w:numId w:val="37"/>
              </w:numPr>
              <w:spacing w:before="60" w:after="60"/>
              <w:rPr>
                <w:rFonts w:cs="Tahoma"/>
                <w:color w:val="000000"/>
                <w:szCs w:val="18"/>
              </w:rPr>
            </w:pPr>
            <w:r w:rsidRPr="00A75DF9">
              <w:rPr>
                <w:rFonts w:cs="Tahoma"/>
                <w:color w:val="000000" w:themeColor="text1"/>
              </w:rPr>
              <w:t>Windows Virtual Desktop Access</w:t>
            </w:r>
          </w:p>
        </w:tc>
      </w:tr>
      <w:tr w:rsidR="00B1054F" w:rsidRPr="00A75DF9"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A75DF9" w:rsidRDefault="00B1054F" w:rsidP="00B1054F">
            <w:pPr>
              <w:spacing w:before="60" w:after="60"/>
              <w:ind w:left="144"/>
              <w:rPr>
                <w:rFonts w:cs="Tahoma"/>
              </w:rPr>
            </w:pPr>
            <w:r w:rsidRPr="00A75DF9">
              <w:rPr>
                <w:rFonts w:cs="Tahoma"/>
                <w:color w:val="000000" w:themeColor="text1"/>
              </w:rPr>
              <w:t>Windows Virtual Desktop Access</w:t>
            </w:r>
          </w:p>
        </w:tc>
        <w:tc>
          <w:tcPr>
            <w:tcW w:w="4334" w:type="dxa"/>
            <w:tcBorders>
              <w:top w:val="single" w:sz="8" w:space="0" w:color="auto"/>
              <w:left w:val="nil"/>
              <w:bottom w:val="single" w:sz="8" w:space="0" w:color="auto"/>
              <w:right w:val="single" w:sz="8" w:space="0" w:color="auto"/>
            </w:tcBorders>
            <w:vAlign w:val="center"/>
          </w:tcPr>
          <w:p w:rsidR="00B1054F" w:rsidRPr="00A75DF9" w:rsidRDefault="00B1054F" w:rsidP="00346F4B">
            <w:pPr>
              <w:numPr>
                <w:ilvl w:val="0"/>
                <w:numId w:val="37"/>
              </w:numPr>
              <w:spacing w:before="60" w:after="60"/>
              <w:rPr>
                <w:rFonts w:cs="Tahoma"/>
                <w:color w:val="000000"/>
                <w:szCs w:val="18"/>
              </w:rPr>
            </w:pPr>
            <w:r w:rsidRPr="00A75DF9">
              <w:rPr>
                <w:rFonts w:cs="Tahoma"/>
                <w:color w:val="000000" w:themeColor="text1"/>
              </w:rPr>
              <w:t>Licenza “Subscription” per Windows Companion</w:t>
            </w:r>
          </w:p>
        </w:tc>
      </w:tr>
      <w:tr w:rsidR="00B1054F" w:rsidRPr="00A75DF9" w:rsidTr="005C647E">
        <w:trPr>
          <w:cantSplit/>
          <w:trHeight w:val="354"/>
        </w:trPr>
        <w:tc>
          <w:tcPr>
            <w:tcW w:w="3687" w:type="dxa"/>
            <w:tcBorders>
              <w:top w:val="single" w:sz="8" w:space="0" w:color="auto"/>
              <w:left w:val="single" w:sz="8" w:space="0" w:color="auto"/>
              <w:bottom w:val="single" w:sz="8" w:space="0" w:color="auto"/>
              <w:right w:val="single" w:sz="8" w:space="0" w:color="auto"/>
            </w:tcBorders>
            <w:vAlign w:val="center"/>
          </w:tcPr>
          <w:p w:rsidR="00B1054F" w:rsidRPr="00A75DF9" w:rsidRDefault="00B1054F" w:rsidP="00B1054F">
            <w:pPr>
              <w:spacing w:before="60" w:after="60"/>
              <w:ind w:left="144"/>
              <w:rPr>
                <w:rFonts w:cs="Tahoma"/>
              </w:rPr>
            </w:pPr>
            <w:r w:rsidRPr="00A75DF9">
              <w:rPr>
                <w:rFonts w:cs="Tahoma"/>
              </w:rPr>
              <w:t>Aggiornamento per Windows Pro</w:t>
            </w:r>
          </w:p>
        </w:tc>
        <w:tc>
          <w:tcPr>
            <w:tcW w:w="4334" w:type="dxa"/>
            <w:tcBorders>
              <w:top w:val="single" w:sz="8" w:space="0" w:color="auto"/>
              <w:left w:val="nil"/>
              <w:bottom w:val="single" w:sz="8" w:space="0" w:color="auto"/>
              <w:right w:val="single" w:sz="8" w:space="0" w:color="auto"/>
            </w:tcBorders>
            <w:vAlign w:val="center"/>
          </w:tcPr>
          <w:p w:rsidR="00B1054F" w:rsidRPr="00A75DF9" w:rsidRDefault="00B1054F" w:rsidP="00346F4B">
            <w:pPr>
              <w:numPr>
                <w:ilvl w:val="0"/>
                <w:numId w:val="37"/>
              </w:numPr>
              <w:spacing w:before="60" w:after="60"/>
              <w:rPr>
                <w:rFonts w:cs="Tahoma"/>
                <w:color w:val="000000"/>
                <w:szCs w:val="18"/>
              </w:rPr>
            </w:pPr>
            <w:r w:rsidRPr="00A75DF9">
              <w:rPr>
                <w:rFonts w:cs="Tahoma"/>
                <w:color w:val="000000" w:themeColor="text1"/>
              </w:rPr>
              <w:t>Licenza “Subscription” per Windows Companion</w:t>
            </w:r>
          </w:p>
        </w:tc>
      </w:tr>
    </w:tbl>
    <w:p w:rsidR="00456002" w:rsidRPr="00A75DF9" w:rsidRDefault="00456002" w:rsidP="00456002">
      <w:pPr>
        <w:tabs>
          <w:tab w:val="left" w:pos="360"/>
        </w:tabs>
        <w:ind w:left="720"/>
        <w:rPr>
          <w:rFonts w:cs="Tahoma"/>
        </w:rPr>
      </w:pPr>
      <w:r w:rsidRPr="00A75DF9">
        <w:rPr>
          <w:rFonts w:cs="Tahoma"/>
          <w:i/>
          <w:sz w:val="16"/>
          <w:szCs w:val="20"/>
        </w:rPr>
        <w:t>* Richiede la CAL Suite Bridge appropriata. Per ulteriori informazioni sulla CAL Suite Bridge, fare riferimento all</w:t>
      </w:r>
      <w:r w:rsidR="00F2643E">
        <w:rPr>
          <w:rFonts w:cs="Tahoma"/>
          <w:i/>
          <w:sz w:val="16"/>
          <w:szCs w:val="20"/>
        </w:rPr>
        <w:t>’</w:t>
      </w:r>
      <w:r w:rsidRPr="00A75DF9">
        <w:rPr>
          <w:rFonts w:cs="Tahoma"/>
          <w:i/>
          <w:sz w:val="16"/>
          <w:szCs w:val="20"/>
        </w:rPr>
        <w:t>articolo relativo alle note del prodotto nel presente documento.</w:t>
      </w:r>
    </w:p>
    <w:p w:rsidR="00456002" w:rsidRPr="00A75DF9" w:rsidRDefault="00456002" w:rsidP="00456002">
      <w:pPr>
        <w:tabs>
          <w:tab w:val="left" w:pos="360"/>
        </w:tabs>
        <w:ind w:left="720"/>
        <w:rPr>
          <w:rFonts w:cs="Tahoma"/>
        </w:rPr>
      </w:pPr>
    </w:p>
    <w:p w:rsidR="00456002" w:rsidRPr="00A75DF9" w:rsidRDefault="00456002" w:rsidP="00366502">
      <w:pPr>
        <w:rPr>
          <w:rFonts w:cs="Tahoma"/>
        </w:rPr>
      </w:pPr>
      <w:r w:rsidRPr="00A75DF9">
        <w:rPr>
          <w:rFonts w:cs="Tahoma"/>
          <w:szCs w:val="20"/>
        </w:rPr>
        <w:lastRenderedPageBreak/>
        <w:t>Altre Transizioni potranno essere aggiunte a discrezione di Microsoft.</w:t>
      </w:r>
      <w:r w:rsidR="009D3B41" w:rsidRPr="00A75DF9">
        <w:rPr>
          <w:rFonts w:cs="Tahoma"/>
          <w:szCs w:val="20"/>
        </w:rPr>
        <w:t xml:space="preserve"> </w:t>
      </w:r>
      <w:r w:rsidRPr="00A75DF9">
        <w:rPr>
          <w:rFonts w:cs="Tahoma"/>
          <w:szCs w:val="20"/>
        </w:rPr>
        <w:t>Potranno applicarsi requisiti relativi alla licenza e corrispettivi aggiuntivi.</w:t>
      </w:r>
      <w:r w:rsidR="009D3B41" w:rsidRPr="00A75DF9">
        <w:rPr>
          <w:rFonts w:cs="Tahoma"/>
          <w:szCs w:val="20"/>
        </w:rPr>
        <w:t xml:space="preserve"> </w:t>
      </w:r>
    </w:p>
    <w:p w:rsidR="00456002" w:rsidRPr="00A75DF9" w:rsidRDefault="00456002" w:rsidP="00366502">
      <w:pPr>
        <w:outlineLvl w:val="2"/>
        <w:rPr>
          <w:rFonts w:cs="Tahoma"/>
        </w:rPr>
      </w:pPr>
    </w:p>
    <w:p w:rsidR="00456002" w:rsidRPr="00A75DF9" w:rsidRDefault="00456002" w:rsidP="0055442E">
      <w:pPr>
        <w:keepNext/>
        <w:tabs>
          <w:tab w:val="num" w:pos="720"/>
        </w:tabs>
        <w:spacing w:after="60"/>
        <w:outlineLvl w:val="3"/>
        <w:rPr>
          <w:rFonts w:cs="Tahoma"/>
        </w:rPr>
      </w:pPr>
      <w:r w:rsidRPr="00A75DF9">
        <w:rPr>
          <w:rFonts w:cs="Tahoma"/>
          <w:b/>
          <w:szCs w:val="20"/>
        </w:rPr>
        <w:t>Ordini annuali o true-up di Servizi Online</w:t>
      </w:r>
      <w:r w:rsidRPr="00A75DF9">
        <w:rPr>
          <w:rFonts w:eastAsia="Times New Roman" w:cs="Tahoma"/>
          <w:b/>
          <w:sz w:val="22"/>
          <w:szCs w:val="20"/>
        </w:rPr>
        <w:t xml:space="preserve"> </w:t>
      </w:r>
    </w:p>
    <w:p w:rsidR="00456002" w:rsidRPr="00A75DF9" w:rsidRDefault="00456002" w:rsidP="00DC2DAE">
      <w:pPr>
        <w:rPr>
          <w:rFonts w:cs="Tahoma"/>
        </w:rPr>
      </w:pPr>
      <w:r w:rsidRPr="00A75DF9">
        <w:rPr>
          <w:rFonts w:cs="Tahoma"/>
          <w:b/>
          <w:szCs w:val="20"/>
        </w:rPr>
        <w:t>Nota:</w:t>
      </w:r>
      <w:r w:rsidRPr="00A75DF9">
        <w:rPr>
          <w:rFonts w:cs="Tahoma"/>
          <w:szCs w:val="20"/>
        </w:rPr>
        <w:t xml:space="preserve"> quanto segue si applica alle società in possesso delle Iscrizioni Enterprise ed Enterprise Subscription che sono</w:t>
      </w:r>
      <w:r w:rsidR="00DC2DAE">
        <w:rPr>
          <w:rFonts w:cs="Tahoma"/>
          <w:szCs w:val="20"/>
        </w:rPr>
        <w:t> </w:t>
      </w:r>
      <w:r w:rsidRPr="00A75DF9">
        <w:rPr>
          <w:rFonts w:cs="Tahoma"/>
          <w:szCs w:val="20"/>
        </w:rPr>
        <w:t>idonee a effettuare ordini annuali o true-up di servizi online. Le società che non sono certe della loro idoneità a</w:t>
      </w:r>
      <w:r w:rsidR="00DC2DAE">
        <w:rPr>
          <w:rFonts w:cs="Tahoma"/>
          <w:szCs w:val="20"/>
        </w:rPr>
        <w:t> </w:t>
      </w:r>
      <w:r w:rsidRPr="00A75DF9">
        <w:rPr>
          <w:rFonts w:cs="Tahoma"/>
          <w:szCs w:val="20"/>
        </w:rPr>
        <w:t>effettuare ordini annuali o true-up di servizi online dovranno contattare il loro Software Advisor, Rivenditore o</w:t>
      </w:r>
      <w:r w:rsidR="00DC2DAE">
        <w:rPr>
          <w:rFonts w:cs="Tahoma"/>
          <w:szCs w:val="20"/>
        </w:rPr>
        <w:t> </w:t>
      </w:r>
      <w:r w:rsidRPr="00A75DF9">
        <w:rPr>
          <w:rFonts w:cs="Tahoma"/>
          <w:szCs w:val="20"/>
        </w:rPr>
        <w:t>Account Manager designato da Microsoft per ulteriori informazioni.</w:t>
      </w:r>
    </w:p>
    <w:p w:rsidR="00456002" w:rsidRPr="00A75DF9" w:rsidRDefault="00456002" w:rsidP="00366502">
      <w:pPr>
        <w:rPr>
          <w:rFonts w:cs="Tahoma"/>
        </w:rPr>
      </w:pPr>
    </w:p>
    <w:p w:rsidR="00456002" w:rsidRPr="00A75DF9" w:rsidRDefault="00456002" w:rsidP="00366502">
      <w:pPr>
        <w:rPr>
          <w:rFonts w:cs="Tahoma"/>
        </w:rPr>
      </w:pPr>
      <w:r w:rsidRPr="00A75DF9">
        <w:rPr>
          <w:rFonts w:cs="Tahoma"/>
          <w:szCs w:val="20"/>
        </w:rPr>
        <w:t>I seguenti Servizi Online sono idonei per l</w:t>
      </w:r>
      <w:r w:rsidR="00F2643E">
        <w:rPr>
          <w:rFonts w:cs="Tahoma"/>
          <w:szCs w:val="20"/>
        </w:rPr>
        <w:t>’</w:t>
      </w:r>
      <w:r w:rsidRPr="00A75DF9">
        <w:rPr>
          <w:rFonts w:cs="Tahoma"/>
          <w:szCs w:val="20"/>
        </w:rPr>
        <w:t xml:space="preserve">ordine annuale o true-up di Servizi Online: </w:t>
      </w:r>
    </w:p>
    <w:p w:rsidR="00456002" w:rsidRPr="00A75DF9" w:rsidRDefault="00456002" w:rsidP="0055442E">
      <w:pPr>
        <w:ind w:left="720"/>
        <w:rPr>
          <w:rFonts w:cs="Tahoma"/>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A75DF9" w:rsidTr="005C647E">
        <w:trPr>
          <w:trHeight w:val="80"/>
          <w:tblHeader/>
        </w:trPr>
        <w:tc>
          <w:tcPr>
            <w:tcW w:w="5000" w:type="pct"/>
            <w:gridSpan w:val="2"/>
            <w:shd w:val="clear" w:color="auto" w:fill="FABF8F"/>
          </w:tcPr>
          <w:p w:rsidR="00456002" w:rsidRPr="00A75DF9" w:rsidRDefault="00456002" w:rsidP="005C647E">
            <w:pPr>
              <w:jc w:val="center"/>
              <w:rPr>
                <w:rFonts w:cs="Tahoma"/>
                <w:b/>
              </w:rPr>
            </w:pPr>
            <w:r w:rsidRPr="00A75DF9">
              <w:rPr>
                <w:rFonts w:cs="Tahoma"/>
                <w:b/>
              </w:rPr>
              <w:t>Servizi Online</w:t>
            </w:r>
          </w:p>
        </w:tc>
      </w:tr>
      <w:tr w:rsidR="00456002" w:rsidRPr="00A75DF9" w:rsidTr="005C647E">
        <w:trPr>
          <w:trHeight w:val="219"/>
        </w:trPr>
        <w:tc>
          <w:tcPr>
            <w:tcW w:w="2603" w:type="pct"/>
          </w:tcPr>
          <w:p w:rsidR="00D85FDD" w:rsidRPr="00A75DF9" w:rsidRDefault="00D85FDD" w:rsidP="00DC2DAE">
            <w:pPr>
              <w:numPr>
                <w:ilvl w:val="0"/>
                <w:numId w:val="38"/>
              </w:numPr>
              <w:spacing w:before="80"/>
              <w:ind w:left="625" w:hanging="345"/>
              <w:jc w:val="both"/>
              <w:rPr>
                <w:rFonts w:cs="Tahoma"/>
              </w:rPr>
            </w:pPr>
            <w:r w:rsidRPr="00A75DF9">
              <w:rPr>
                <w:rFonts w:cs="Tahoma"/>
              </w:rPr>
              <w:t>Archiviazione</w:t>
            </w:r>
            <w:r w:rsidR="00DC2DAE">
              <w:rPr>
                <w:rFonts w:cs="Tahoma"/>
              </w:rPr>
              <w:t> </w:t>
            </w:r>
            <w:r w:rsidRPr="00A75DF9">
              <w:rPr>
                <w:rFonts w:cs="Tahoma"/>
              </w:rPr>
              <w:t>Exchange</w:t>
            </w:r>
            <w:r w:rsidR="00DC2DAE">
              <w:rPr>
                <w:rFonts w:cs="Tahoma"/>
              </w:rPr>
              <w:t> </w:t>
            </w:r>
            <w:r w:rsidRPr="00A75DF9">
              <w:rPr>
                <w:rFonts w:cs="Tahoma"/>
              </w:rPr>
              <w:t>Online</w:t>
            </w:r>
            <w:r w:rsidR="00DC2DAE">
              <w:rPr>
                <w:rFonts w:cs="Tahoma"/>
              </w:rPr>
              <w:t> </w:t>
            </w:r>
            <w:r w:rsidRPr="00A75DF9">
              <w:rPr>
                <w:rFonts w:cs="Tahoma"/>
              </w:rPr>
              <w:t>per Exchange Online*</w:t>
            </w:r>
          </w:p>
          <w:p w:rsidR="00D85FDD" w:rsidRPr="00A75DF9" w:rsidRDefault="00D85FDD" w:rsidP="00DC2DAE">
            <w:pPr>
              <w:numPr>
                <w:ilvl w:val="0"/>
                <w:numId w:val="38"/>
              </w:numPr>
              <w:spacing w:before="80"/>
              <w:ind w:left="625" w:hanging="345"/>
              <w:jc w:val="both"/>
              <w:rPr>
                <w:rFonts w:cs="Tahoma"/>
              </w:rPr>
            </w:pPr>
            <w:r w:rsidRPr="00A75DF9">
              <w:rPr>
                <w:rFonts w:cs="Tahoma"/>
              </w:rPr>
              <w:t>Archiviazione</w:t>
            </w:r>
            <w:r w:rsidR="00DC2DAE">
              <w:rPr>
                <w:rFonts w:cs="Tahoma"/>
              </w:rPr>
              <w:t> </w:t>
            </w:r>
            <w:r w:rsidRPr="00A75DF9">
              <w:rPr>
                <w:rFonts w:cs="Tahoma"/>
              </w:rPr>
              <w:t>Exchange</w:t>
            </w:r>
            <w:r w:rsidR="00DC2DAE">
              <w:rPr>
                <w:rFonts w:cs="Tahoma"/>
              </w:rPr>
              <w:t> </w:t>
            </w:r>
            <w:r w:rsidRPr="00A75DF9">
              <w:rPr>
                <w:rFonts w:cs="Tahoma"/>
              </w:rPr>
              <w:t>Online</w:t>
            </w:r>
            <w:r w:rsidR="00DC2DAE">
              <w:rPr>
                <w:rFonts w:cs="Tahoma"/>
              </w:rPr>
              <w:t> </w:t>
            </w:r>
            <w:r w:rsidRPr="00A75DF9">
              <w:rPr>
                <w:rFonts w:cs="Tahoma"/>
              </w:rPr>
              <w:t>per Exchange Server*</w:t>
            </w:r>
          </w:p>
          <w:p w:rsidR="00456002" w:rsidRPr="00A75DF9" w:rsidRDefault="00456002" w:rsidP="00A42F94">
            <w:pPr>
              <w:numPr>
                <w:ilvl w:val="0"/>
                <w:numId w:val="38"/>
              </w:numPr>
              <w:spacing w:before="80"/>
              <w:ind w:left="625" w:hanging="345"/>
              <w:jc w:val="both"/>
              <w:rPr>
                <w:rFonts w:cs="Tahoma"/>
              </w:rPr>
            </w:pPr>
            <w:r w:rsidRPr="00A75DF9">
              <w:rPr>
                <w:rFonts w:cs="Tahoma"/>
              </w:rPr>
              <w:t>Chiosco Exchange Online*</w:t>
            </w:r>
          </w:p>
          <w:p w:rsidR="00456002" w:rsidRPr="00A75DF9" w:rsidRDefault="00456002" w:rsidP="00A42F94">
            <w:pPr>
              <w:numPr>
                <w:ilvl w:val="0"/>
                <w:numId w:val="38"/>
              </w:numPr>
              <w:spacing w:before="80"/>
              <w:ind w:left="625" w:hanging="345"/>
              <w:jc w:val="both"/>
              <w:rPr>
                <w:rFonts w:cs="Tahoma"/>
              </w:rPr>
            </w:pPr>
            <w:r w:rsidRPr="00A75DF9">
              <w:rPr>
                <w:rFonts w:cs="Tahoma"/>
              </w:rPr>
              <w:t>Exchange Online Piano 1*</w:t>
            </w:r>
          </w:p>
          <w:p w:rsidR="00456002" w:rsidRPr="00A75DF9" w:rsidRDefault="00456002" w:rsidP="00A42F94">
            <w:pPr>
              <w:numPr>
                <w:ilvl w:val="0"/>
                <w:numId w:val="38"/>
              </w:numPr>
              <w:spacing w:before="80"/>
              <w:ind w:left="625" w:hanging="345"/>
              <w:jc w:val="both"/>
              <w:rPr>
                <w:rFonts w:cs="Tahoma"/>
              </w:rPr>
            </w:pPr>
            <w:r w:rsidRPr="00A75DF9">
              <w:rPr>
                <w:rFonts w:cs="Tahoma"/>
              </w:rPr>
              <w:t>Exchange Online Piano 2*</w:t>
            </w:r>
          </w:p>
          <w:p w:rsidR="00D85FDD" w:rsidRPr="00A75DF9" w:rsidRDefault="00D85FDD" w:rsidP="00A42F94">
            <w:pPr>
              <w:numPr>
                <w:ilvl w:val="0"/>
                <w:numId w:val="38"/>
              </w:numPr>
              <w:spacing w:before="80"/>
              <w:ind w:left="625" w:hanging="345"/>
              <w:jc w:val="both"/>
              <w:rPr>
                <w:rFonts w:cs="Tahoma"/>
              </w:rPr>
            </w:pPr>
            <w:r w:rsidRPr="00A75DF9">
              <w:rPr>
                <w:rFonts w:cs="Tahoma"/>
              </w:rPr>
              <w:t>Exchange Online Protection*</w:t>
            </w:r>
          </w:p>
          <w:p w:rsidR="00456002" w:rsidRPr="00A75DF9" w:rsidRDefault="00456002" w:rsidP="00A42F94">
            <w:pPr>
              <w:numPr>
                <w:ilvl w:val="0"/>
                <w:numId w:val="38"/>
              </w:numPr>
              <w:spacing w:before="80"/>
              <w:ind w:left="625" w:hanging="345"/>
              <w:jc w:val="both"/>
              <w:rPr>
                <w:rFonts w:cs="Tahoma"/>
              </w:rPr>
            </w:pPr>
            <w:r w:rsidRPr="00A75DF9">
              <w:rPr>
                <w:rFonts w:cs="Tahoma"/>
              </w:rPr>
              <w:t>Lync Online Piano 1*</w:t>
            </w:r>
          </w:p>
          <w:p w:rsidR="00456002" w:rsidRPr="00A75DF9" w:rsidRDefault="00456002" w:rsidP="00A42F94">
            <w:pPr>
              <w:numPr>
                <w:ilvl w:val="0"/>
                <w:numId w:val="38"/>
              </w:numPr>
              <w:spacing w:before="80"/>
              <w:ind w:left="625" w:hanging="345"/>
              <w:jc w:val="both"/>
              <w:rPr>
                <w:rFonts w:cs="Tahoma"/>
              </w:rPr>
            </w:pPr>
            <w:r w:rsidRPr="00A75DF9">
              <w:rPr>
                <w:rFonts w:cs="Tahoma"/>
              </w:rPr>
              <w:t>Lync Online Piano 2*</w:t>
            </w:r>
          </w:p>
          <w:p w:rsidR="00E77288" w:rsidRPr="00A75DF9" w:rsidRDefault="00E77288" w:rsidP="00A42F94">
            <w:pPr>
              <w:numPr>
                <w:ilvl w:val="0"/>
                <w:numId w:val="38"/>
              </w:numPr>
              <w:spacing w:before="80"/>
              <w:ind w:left="625" w:hanging="345"/>
              <w:jc w:val="both"/>
              <w:rPr>
                <w:rFonts w:cs="Tahoma"/>
              </w:rPr>
            </w:pPr>
            <w:r w:rsidRPr="00A75DF9">
              <w:rPr>
                <w:rFonts w:cs="Tahoma"/>
              </w:rPr>
              <w:t>Lync Online Piano 3*</w:t>
            </w:r>
          </w:p>
          <w:p w:rsidR="00456002" w:rsidRPr="00A75DF9" w:rsidRDefault="00456002" w:rsidP="00A42F94">
            <w:pPr>
              <w:numPr>
                <w:ilvl w:val="0"/>
                <w:numId w:val="38"/>
              </w:numPr>
              <w:spacing w:before="80"/>
              <w:ind w:left="625" w:hanging="345"/>
              <w:jc w:val="both"/>
              <w:rPr>
                <w:rFonts w:cs="Tahoma"/>
              </w:rPr>
            </w:pPr>
            <w:r w:rsidRPr="00A75DF9">
              <w:rPr>
                <w:rFonts w:cs="Tahoma"/>
              </w:rPr>
              <w:t>Office 365 (Enterprise K1)*</w:t>
            </w:r>
          </w:p>
          <w:p w:rsidR="00456002" w:rsidRPr="00A75DF9" w:rsidRDefault="00456002" w:rsidP="00A42F94">
            <w:pPr>
              <w:numPr>
                <w:ilvl w:val="0"/>
                <w:numId w:val="38"/>
              </w:numPr>
              <w:spacing w:before="80"/>
              <w:ind w:left="625" w:hanging="345"/>
              <w:jc w:val="both"/>
              <w:rPr>
                <w:rFonts w:cs="Tahoma"/>
              </w:rPr>
            </w:pPr>
            <w:r w:rsidRPr="00A75DF9">
              <w:rPr>
                <w:rFonts w:cs="Tahoma"/>
              </w:rPr>
              <w:t>Office 365 (Enterprise E1)</w:t>
            </w:r>
          </w:p>
          <w:p w:rsidR="00456002" w:rsidRPr="00A75DF9" w:rsidRDefault="00456002" w:rsidP="00A42F94">
            <w:pPr>
              <w:numPr>
                <w:ilvl w:val="0"/>
                <w:numId w:val="38"/>
              </w:numPr>
              <w:spacing w:before="80"/>
              <w:ind w:left="625" w:hanging="345"/>
              <w:jc w:val="both"/>
              <w:rPr>
                <w:rFonts w:cs="Tahoma"/>
              </w:rPr>
            </w:pPr>
            <w:r w:rsidRPr="00A75DF9">
              <w:rPr>
                <w:rFonts w:cs="Tahoma"/>
              </w:rPr>
              <w:t>Office 365 (Enterprise E3)</w:t>
            </w:r>
          </w:p>
          <w:p w:rsidR="00456002" w:rsidRPr="00A75DF9" w:rsidRDefault="00456002" w:rsidP="00A42F94">
            <w:pPr>
              <w:numPr>
                <w:ilvl w:val="0"/>
                <w:numId w:val="38"/>
              </w:numPr>
              <w:spacing w:before="80"/>
              <w:ind w:left="625" w:hanging="345"/>
              <w:jc w:val="both"/>
              <w:rPr>
                <w:rFonts w:cs="Tahoma"/>
              </w:rPr>
            </w:pPr>
            <w:r w:rsidRPr="00A75DF9">
              <w:rPr>
                <w:rFonts w:cs="Tahoma"/>
              </w:rPr>
              <w:t>Office 365 (Enterprise E4)</w:t>
            </w:r>
          </w:p>
        </w:tc>
        <w:tc>
          <w:tcPr>
            <w:tcW w:w="2397" w:type="pct"/>
          </w:tcPr>
          <w:p w:rsidR="00A32052" w:rsidRPr="00A75DF9" w:rsidRDefault="00A32052" w:rsidP="00346F4B">
            <w:pPr>
              <w:numPr>
                <w:ilvl w:val="0"/>
                <w:numId w:val="38"/>
              </w:numPr>
              <w:spacing w:before="80"/>
              <w:ind w:left="692"/>
              <w:jc w:val="both"/>
              <w:rPr>
                <w:rFonts w:cs="Tahoma"/>
              </w:rPr>
            </w:pPr>
            <w:r w:rsidRPr="00A75DF9">
              <w:rPr>
                <w:rFonts w:cs="Tahoma"/>
                <w:color w:val="000000"/>
              </w:rPr>
              <w:t>Office 365 (Government G1)</w:t>
            </w:r>
          </w:p>
          <w:p w:rsidR="00A32052" w:rsidRPr="00A75DF9" w:rsidRDefault="00A32052" w:rsidP="00346F4B">
            <w:pPr>
              <w:numPr>
                <w:ilvl w:val="0"/>
                <w:numId w:val="38"/>
              </w:numPr>
              <w:spacing w:before="80"/>
              <w:ind w:left="692"/>
              <w:jc w:val="both"/>
              <w:rPr>
                <w:rFonts w:cs="Tahoma"/>
              </w:rPr>
            </w:pPr>
            <w:r w:rsidRPr="00A75DF9">
              <w:rPr>
                <w:rFonts w:cs="Tahoma"/>
                <w:color w:val="000000"/>
              </w:rPr>
              <w:t>Office 365 (Government G3)</w:t>
            </w:r>
          </w:p>
          <w:p w:rsidR="00A32052" w:rsidRPr="00A75DF9" w:rsidRDefault="00A32052" w:rsidP="00346F4B">
            <w:pPr>
              <w:numPr>
                <w:ilvl w:val="0"/>
                <w:numId w:val="38"/>
              </w:numPr>
              <w:spacing w:before="80"/>
              <w:ind w:left="692"/>
              <w:jc w:val="both"/>
              <w:rPr>
                <w:rFonts w:cs="Tahoma"/>
              </w:rPr>
            </w:pPr>
            <w:r w:rsidRPr="00A75DF9">
              <w:rPr>
                <w:rFonts w:cs="Tahoma"/>
                <w:color w:val="000000"/>
              </w:rPr>
              <w:t>Office 365 (Government G4)</w:t>
            </w:r>
          </w:p>
          <w:p w:rsidR="00456002" w:rsidRPr="00A75DF9" w:rsidRDefault="00456002" w:rsidP="00346F4B">
            <w:pPr>
              <w:numPr>
                <w:ilvl w:val="0"/>
                <w:numId w:val="38"/>
              </w:numPr>
              <w:spacing w:before="80"/>
              <w:ind w:left="692"/>
              <w:jc w:val="both"/>
              <w:rPr>
                <w:rFonts w:cs="Tahoma"/>
              </w:rPr>
            </w:pPr>
            <w:r w:rsidRPr="00A75DF9">
              <w:rPr>
                <w:rFonts w:cs="Tahoma"/>
                <w:color w:val="000000"/>
              </w:rPr>
              <w:t>Office Web Applications*</w:t>
            </w:r>
          </w:p>
          <w:p w:rsidR="00454646" w:rsidRPr="00A75DF9" w:rsidRDefault="00454646" w:rsidP="00346F4B">
            <w:pPr>
              <w:numPr>
                <w:ilvl w:val="0"/>
                <w:numId w:val="38"/>
              </w:numPr>
              <w:spacing w:before="80"/>
              <w:ind w:left="692"/>
              <w:jc w:val="both"/>
              <w:rPr>
                <w:rFonts w:cs="Tahoma"/>
              </w:rPr>
            </w:pPr>
            <w:r w:rsidRPr="00A75DF9">
              <w:rPr>
                <w:rFonts w:cs="Tahoma"/>
                <w:color w:val="000000"/>
              </w:rPr>
              <w:t>Project Pro per Office 365*</w:t>
            </w:r>
          </w:p>
          <w:p w:rsidR="00454646" w:rsidRPr="00A75DF9" w:rsidRDefault="00454646" w:rsidP="00346F4B">
            <w:pPr>
              <w:numPr>
                <w:ilvl w:val="0"/>
                <w:numId w:val="38"/>
              </w:numPr>
              <w:spacing w:before="80"/>
              <w:ind w:left="692"/>
              <w:jc w:val="both"/>
              <w:rPr>
                <w:rFonts w:cs="Tahoma"/>
              </w:rPr>
            </w:pPr>
            <w:r w:rsidRPr="00A75DF9">
              <w:rPr>
                <w:rFonts w:cs="Tahoma"/>
                <w:color w:val="000000"/>
              </w:rPr>
              <w:t>Project Online*</w:t>
            </w:r>
          </w:p>
          <w:p w:rsidR="00456002" w:rsidRPr="00A75DF9" w:rsidRDefault="00456002" w:rsidP="00346F4B">
            <w:pPr>
              <w:numPr>
                <w:ilvl w:val="0"/>
                <w:numId w:val="38"/>
              </w:numPr>
              <w:spacing w:before="80"/>
              <w:ind w:left="692"/>
              <w:jc w:val="both"/>
              <w:rPr>
                <w:rFonts w:cs="Tahoma"/>
              </w:rPr>
            </w:pPr>
            <w:r w:rsidRPr="00A75DF9">
              <w:rPr>
                <w:rFonts w:cs="Tahoma"/>
                <w:color w:val="000000"/>
              </w:rPr>
              <w:t>SharePoint Online Piano 1*</w:t>
            </w:r>
          </w:p>
          <w:p w:rsidR="00456002" w:rsidRPr="00A75DF9" w:rsidRDefault="00456002" w:rsidP="00346F4B">
            <w:pPr>
              <w:numPr>
                <w:ilvl w:val="0"/>
                <w:numId w:val="38"/>
              </w:numPr>
              <w:spacing w:before="80"/>
              <w:ind w:left="692"/>
              <w:jc w:val="both"/>
              <w:rPr>
                <w:rFonts w:cs="Tahoma"/>
              </w:rPr>
            </w:pPr>
            <w:r w:rsidRPr="00A75DF9">
              <w:rPr>
                <w:rFonts w:cs="Tahoma"/>
                <w:color w:val="000000"/>
              </w:rPr>
              <w:t>SharePoint Online Piano 2*</w:t>
            </w:r>
          </w:p>
          <w:p w:rsidR="00456002" w:rsidRPr="00A75DF9" w:rsidRDefault="00456002" w:rsidP="00346F4B">
            <w:pPr>
              <w:numPr>
                <w:ilvl w:val="0"/>
                <w:numId w:val="38"/>
              </w:numPr>
              <w:spacing w:before="80"/>
              <w:ind w:left="692"/>
              <w:jc w:val="both"/>
              <w:rPr>
                <w:rFonts w:cs="Tahoma"/>
              </w:rPr>
            </w:pPr>
            <w:r w:rsidRPr="00A75DF9">
              <w:rPr>
                <w:rFonts w:cs="Tahoma"/>
                <w:color w:val="000000"/>
              </w:rPr>
              <w:t>Accesso partner SharePoint Online*</w:t>
            </w:r>
          </w:p>
          <w:p w:rsidR="00454646" w:rsidRPr="00A75DF9" w:rsidRDefault="00454646" w:rsidP="00346F4B">
            <w:pPr>
              <w:numPr>
                <w:ilvl w:val="0"/>
                <w:numId w:val="38"/>
              </w:numPr>
              <w:spacing w:before="80"/>
              <w:ind w:left="692"/>
              <w:jc w:val="both"/>
              <w:rPr>
                <w:rFonts w:cs="Tahoma"/>
              </w:rPr>
            </w:pPr>
            <w:r w:rsidRPr="00A75DF9">
              <w:rPr>
                <w:rFonts w:cs="Tahoma"/>
                <w:color w:val="000000"/>
              </w:rPr>
              <w:t>Visio Pro per Office 365*</w:t>
            </w:r>
          </w:p>
          <w:p w:rsidR="00D8521B" w:rsidRPr="00A75DF9" w:rsidRDefault="00D8521B" w:rsidP="00D8521B">
            <w:pPr>
              <w:numPr>
                <w:ilvl w:val="0"/>
                <w:numId w:val="38"/>
              </w:numPr>
              <w:spacing w:before="80"/>
              <w:ind w:left="692"/>
              <w:jc w:val="both"/>
              <w:rPr>
                <w:rFonts w:cs="Tahoma"/>
              </w:rPr>
            </w:pPr>
            <w:r w:rsidRPr="00A75DF9">
              <w:rPr>
                <w:rFonts w:cs="Tahoma"/>
                <w:color w:val="000000"/>
              </w:rPr>
              <w:t>Windows Azure Active Directory Rights Management*</w:t>
            </w:r>
          </w:p>
          <w:p w:rsidR="00456002" w:rsidRPr="00A75DF9" w:rsidRDefault="00456002" w:rsidP="00346F4B">
            <w:pPr>
              <w:numPr>
                <w:ilvl w:val="0"/>
                <w:numId w:val="38"/>
              </w:numPr>
              <w:spacing w:before="80"/>
              <w:ind w:left="692"/>
              <w:jc w:val="both"/>
              <w:rPr>
                <w:rFonts w:cs="Tahoma"/>
              </w:rPr>
            </w:pPr>
            <w:r w:rsidRPr="00A75DF9">
              <w:rPr>
                <w:rFonts w:cs="Tahoma"/>
                <w:color w:val="000000"/>
              </w:rPr>
              <w:t>Windows Intune</w:t>
            </w:r>
          </w:p>
          <w:p w:rsidR="00456002" w:rsidRPr="00A75DF9" w:rsidRDefault="00BD6C2C" w:rsidP="00DC2DAE">
            <w:pPr>
              <w:numPr>
                <w:ilvl w:val="0"/>
                <w:numId w:val="38"/>
              </w:numPr>
              <w:spacing w:before="80"/>
              <w:ind w:left="692"/>
              <w:jc w:val="both"/>
              <w:rPr>
                <w:rFonts w:cs="Tahoma"/>
              </w:rPr>
            </w:pPr>
            <w:r w:rsidRPr="00A75DF9">
              <w:rPr>
                <w:rFonts w:cs="Tahoma"/>
                <w:color w:val="000000"/>
              </w:rPr>
              <w:t>Componente</w:t>
            </w:r>
            <w:r w:rsidR="00DC2DAE">
              <w:rPr>
                <w:rFonts w:cs="Tahoma"/>
                <w:color w:val="000000"/>
              </w:rPr>
              <w:t> </w:t>
            </w:r>
            <w:r w:rsidRPr="00A75DF9">
              <w:rPr>
                <w:rFonts w:cs="Tahoma"/>
                <w:color w:val="000000"/>
              </w:rPr>
              <w:t>Aggiuntivo</w:t>
            </w:r>
            <w:r w:rsidR="00DC2DAE">
              <w:rPr>
                <w:rFonts w:cs="Tahoma"/>
                <w:color w:val="000000"/>
              </w:rPr>
              <w:t> </w:t>
            </w:r>
            <w:r w:rsidRPr="00A75DF9">
              <w:rPr>
                <w:rFonts w:cs="Tahoma"/>
                <w:color w:val="000000"/>
              </w:rPr>
              <w:t>di</w:t>
            </w:r>
            <w:r w:rsidR="00DC2DAE">
              <w:rPr>
                <w:rFonts w:cs="Tahoma"/>
                <w:color w:val="000000"/>
              </w:rPr>
              <w:t> </w:t>
            </w:r>
            <w:r w:rsidRPr="00A75DF9">
              <w:rPr>
                <w:rFonts w:cs="Tahoma"/>
                <w:color w:val="000000"/>
              </w:rPr>
              <w:t>Windows Intune*, **</w:t>
            </w:r>
          </w:p>
          <w:p w:rsidR="00F27B29" w:rsidRPr="00A75DF9" w:rsidRDefault="00F27B29" w:rsidP="00346F4B">
            <w:pPr>
              <w:numPr>
                <w:ilvl w:val="0"/>
                <w:numId w:val="38"/>
              </w:numPr>
              <w:spacing w:before="80"/>
              <w:ind w:left="692"/>
              <w:jc w:val="both"/>
              <w:rPr>
                <w:rFonts w:cs="Tahoma"/>
              </w:rPr>
            </w:pPr>
            <w:r w:rsidRPr="00A75DF9">
              <w:rPr>
                <w:rFonts w:cs="Tahoma"/>
                <w:color w:val="000000"/>
              </w:rPr>
              <w:t>Yammer Enterprise*</w:t>
            </w:r>
          </w:p>
        </w:tc>
      </w:tr>
    </w:tbl>
    <w:p w:rsidR="00456002" w:rsidRPr="00A75DF9" w:rsidRDefault="00456002" w:rsidP="00456002">
      <w:pPr>
        <w:tabs>
          <w:tab w:val="left" w:pos="360"/>
        </w:tabs>
        <w:ind w:left="720"/>
        <w:rPr>
          <w:rFonts w:cs="Tahoma"/>
        </w:rPr>
      </w:pPr>
      <w:r w:rsidRPr="00A75DF9">
        <w:rPr>
          <w:rFonts w:cs="Tahoma"/>
          <w:i/>
          <w:sz w:val="16"/>
          <w:szCs w:val="20"/>
        </w:rPr>
        <w:t>* Prodotto aggiuntivo</w:t>
      </w:r>
    </w:p>
    <w:p w:rsidR="00456002" w:rsidRPr="00A75DF9" w:rsidRDefault="003929D1" w:rsidP="00456002">
      <w:pPr>
        <w:tabs>
          <w:tab w:val="left" w:pos="360"/>
        </w:tabs>
        <w:ind w:left="720"/>
        <w:rPr>
          <w:rFonts w:cs="Tahoma"/>
        </w:rPr>
      </w:pPr>
      <w:r w:rsidRPr="00A75DF9">
        <w:rPr>
          <w:rFonts w:cs="Tahoma"/>
          <w:i/>
          <w:sz w:val="16"/>
          <w:szCs w:val="20"/>
        </w:rPr>
        <w:t>** “Componente Aggiuntivo per Windows Intune” è un</w:t>
      </w:r>
      <w:r w:rsidR="00F2643E">
        <w:rPr>
          <w:rFonts w:cs="Tahoma"/>
          <w:i/>
          <w:sz w:val="16"/>
          <w:szCs w:val="20"/>
        </w:rPr>
        <w:t>’</w:t>
      </w:r>
      <w:r w:rsidRPr="00A75DF9">
        <w:rPr>
          <w:rFonts w:cs="Tahoma"/>
          <w:i/>
          <w:sz w:val="16"/>
          <w:szCs w:val="20"/>
        </w:rPr>
        <w:t>abbreviazione di Componente Aggiuntivo per Windows Intune per System Center Configuration Manager e System Center EndPoint Protection (Per Utente)</w:t>
      </w:r>
    </w:p>
    <w:p w:rsidR="003929D1" w:rsidRPr="00A75DF9" w:rsidRDefault="003929D1" w:rsidP="00A12176">
      <w:pPr>
        <w:tabs>
          <w:tab w:val="left" w:pos="360"/>
        </w:tabs>
        <w:rPr>
          <w:rFonts w:cs="Tahoma"/>
        </w:rPr>
      </w:pPr>
    </w:p>
    <w:p w:rsidR="00456002" w:rsidRPr="00A75DF9" w:rsidRDefault="00456002" w:rsidP="001E7C5F">
      <w:pPr>
        <w:tabs>
          <w:tab w:val="left" w:pos="360"/>
        </w:tabs>
        <w:spacing w:after="60"/>
        <w:rPr>
          <w:rFonts w:cs="Tahoma"/>
        </w:rPr>
      </w:pPr>
      <w:r w:rsidRPr="00A75DF9">
        <w:rPr>
          <w:rFonts w:cs="Tahoma"/>
          <w:b/>
          <w:szCs w:val="20"/>
        </w:rPr>
        <w:t>Riduzioni delle Licenze “Subscription”</w:t>
      </w:r>
    </w:p>
    <w:p w:rsidR="00456002" w:rsidRPr="00A75DF9" w:rsidRDefault="00456002" w:rsidP="00DC2DAE">
      <w:pPr>
        <w:tabs>
          <w:tab w:val="left" w:pos="360"/>
        </w:tabs>
        <w:rPr>
          <w:rFonts w:cs="Tahoma"/>
        </w:rPr>
      </w:pPr>
      <w:r w:rsidRPr="00A75DF9">
        <w:rPr>
          <w:rFonts w:cs="Tahoma"/>
          <w:b/>
          <w:szCs w:val="20"/>
        </w:rPr>
        <w:t>Nota:</w:t>
      </w:r>
      <w:r w:rsidRPr="00A75DF9">
        <w:rPr>
          <w:rFonts w:cs="Tahoma"/>
          <w:szCs w:val="20"/>
        </w:rPr>
        <w:t xml:space="preserve"> quanto segue si applica alle società Enterprise che sono idonee a riportare riduzioni alle quantità di Licenze</w:t>
      </w:r>
      <w:r w:rsidR="00DC2DAE">
        <w:rPr>
          <w:rFonts w:cs="Tahoma"/>
          <w:szCs w:val="20"/>
        </w:rPr>
        <w:t> </w:t>
      </w:r>
      <w:r w:rsidRPr="00A75DF9">
        <w:rPr>
          <w:rFonts w:cs="Tahoma"/>
          <w:szCs w:val="20"/>
        </w:rPr>
        <w:t>“Subscription”. Le società che non sono certe della loro idoneità a riportare riduzioni alle quantità di Licenze “Subscription” dovranno contattare il loro Software Advisor, Rivenditore o Account Manager designato da Microsoft per ulteriori informazioni.</w:t>
      </w:r>
      <w:r w:rsidR="009D3B41" w:rsidRPr="00A75DF9">
        <w:rPr>
          <w:rFonts w:cs="Tahoma"/>
          <w:szCs w:val="20"/>
        </w:rPr>
        <w:t xml:space="preserve"> </w:t>
      </w:r>
    </w:p>
    <w:p w:rsidR="00456002" w:rsidRPr="00A75DF9" w:rsidRDefault="00456002" w:rsidP="00366502">
      <w:pPr>
        <w:tabs>
          <w:tab w:val="left" w:pos="360"/>
        </w:tabs>
        <w:rPr>
          <w:rFonts w:cs="Tahoma"/>
        </w:rPr>
      </w:pPr>
    </w:p>
    <w:p w:rsidR="00456002" w:rsidRPr="00A75DF9" w:rsidRDefault="00456002" w:rsidP="00366502">
      <w:pPr>
        <w:tabs>
          <w:tab w:val="left" w:pos="360"/>
        </w:tabs>
        <w:rPr>
          <w:rFonts w:cs="Tahoma"/>
        </w:rPr>
      </w:pPr>
      <w:r w:rsidRPr="00A75DF9">
        <w:rPr>
          <w:rFonts w:cs="Tahoma"/>
          <w:szCs w:val="20"/>
        </w:rPr>
        <w:t>Le seguenti Licenze “Subscription” sono idonee a essere soggette a modifiche relative alle quantità:</w:t>
      </w:r>
    </w:p>
    <w:p w:rsidR="00456002" w:rsidRPr="00A75DF9" w:rsidRDefault="00456002" w:rsidP="00456002">
      <w:pPr>
        <w:tabs>
          <w:tab w:val="left" w:pos="360"/>
        </w:tabs>
        <w:ind w:left="720"/>
        <w:rPr>
          <w:rFonts w:cs="Tahoma"/>
        </w:rPr>
      </w:pPr>
    </w:p>
    <w:tbl>
      <w:tblPr>
        <w:tblW w:w="4620"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19"/>
        <w:gridCol w:w="4320"/>
      </w:tblGrid>
      <w:tr w:rsidR="00456002" w:rsidRPr="00A75DF9" w:rsidTr="00DC2DAE">
        <w:trPr>
          <w:trHeight w:val="80"/>
          <w:tblHeader/>
        </w:trPr>
        <w:tc>
          <w:tcPr>
            <w:tcW w:w="5000" w:type="pct"/>
            <w:gridSpan w:val="2"/>
            <w:shd w:val="clear" w:color="auto" w:fill="FABF8F"/>
          </w:tcPr>
          <w:p w:rsidR="00456002" w:rsidRPr="00A75DF9" w:rsidRDefault="00456002" w:rsidP="005C647E">
            <w:pPr>
              <w:jc w:val="center"/>
              <w:rPr>
                <w:rFonts w:cs="Tahoma"/>
                <w:b/>
              </w:rPr>
            </w:pPr>
            <w:r w:rsidRPr="00A75DF9">
              <w:rPr>
                <w:rFonts w:cs="Tahoma"/>
                <w:b/>
              </w:rPr>
              <w:t>Servizi Online</w:t>
            </w:r>
          </w:p>
        </w:tc>
      </w:tr>
      <w:tr w:rsidR="00456002" w:rsidRPr="00A75DF9" w:rsidTr="007E466C">
        <w:trPr>
          <w:trHeight w:val="219"/>
        </w:trPr>
        <w:tc>
          <w:tcPr>
            <w:tcW w:w="2500" w:type="pct"/>
          </w:tcPr>
          <w:p w:rsidR="00D85FDD" w:rsidRPr="00A75DF9" w:rsidRDefault="00D85FDD" w:rsidP="00346F4B">
            <w:pPr>
              <w:numPr>
                <w:ilvl w:val="0"/>
                <w:numId w:val="38"/>
              </w:numPr>
              <w:spacing w:before="80"/>
              <w:rPr>
                <w:rFonts w:cs="Tahoma"/>
              </w:rPr>
            </w:pPr>
            <w:r w:rsidRPr="00A75DF9">
              <w:rPr>
                <w:rFonts w:cs="Tahoma"/>
              </w:rPr>
              <w:t>Archiviazione Exchange Online per Exchange Online*</w:t>
            </w:r>
          </w:p>
          <w:p w:rsidR="00D85FDD" w:rsidRPr="00A75DF9" w:rsidRDefault="00D85FDD" w:rsidP="00346F4B">
            <w:pPr>
              <w:numPr>
                <w:ilvl w:val="0"/>
                <w:numId w:val="38"/>
              </w:numPr>
              <w:spacing w:before="80"/>
              <w:rPr>
                <w:rFonts w:cs="Tahoma"/>
              </w:rPr>
            </w:pPr>
            <w:r w:rsidRPr="00A75DF9">
              <w:rPr>
                <w:rFonts w:cs="Tahoma"/>
              </w:rPr>
              <w:t>Archiviazione Exchange Online per Exchange Server*</w:t>
            </w:r>
          </w:p>
          <w:p w:rsidR="00456002" w:rsidRPr="00A75DF9" w:rsidRDefault="00456002" w:rsidP="00346F4B">
            <w:pPr>
              <w:numPr>
                <w:ilvl w:val="0"/>
                <w:numId w:val="38"/>
              </w:numPr>
              <w:spacing w:before="80"/>
              <w:rPr>
                <w:rFonts w:cs="Tahoma"/>
              </w:rPr>
            </w:pPr>
            <w:r w:rsidRPr="00A75DF9">
              <w:rPr>
                <w:rFonts w:cs="Tahoma"/>
              </w:rPr>
              <w:t>Chiosco Exchange Online*</w:t>
            </w:r>
          </w:p>
          <w:p w:rsidR="00456002" w:rsidRPr="00A75DF9" w:rsidRDefault="00456002" w:rsidP="00346F4B">
            <w:pPr>
              <w:numPr>
                <w:ilvl w:val="0"/>
                <w:numId w:val="38"/>
              </w:numPr>
              <w:spacing w:before="80"/>
              <w:rPr>
                <w:rFonts w:cs="Tahoma"/>
              </w:rPr>
            </w:pPr>
            <w:r w:rsidRPr="00A75DF9">
              <w:rPr>
                <w:rFonts w:cs="Tahoma"/>
              </w:rPr>
              <w:t>Exchange Online Piano 1*</w:t>
            </w:r>
          </w:p>
          <w:p w:rsidR="00456002" w:rsidRPr="00A75DF9" w:rsidRDefault="00456002" w:rsidP="00346F4B">
            <w:pPr>
              <w:numPr>
                <w:ilvl w:val="0"/>
                <w:numId w:val="38"/>
              </w:numPr>
              <w:spacing w:before="80"/>
              <w:rPr>
                <w:rFonts w:cs="Tahoma"/>
              </w:rPr>
            </w:pPr>
            <w:r w:rsidRPr="00A75DF9">
              <w:rPr>
                <w:rFonts w:cs="Tahoma"/>
              </w:rPr>
              <w:t>Exchange Online Piano 2*</w:t>
            </w:r>
          </w:p>
          <w:p w:rsidR="00D85FDD" w:rsidRPr="00A75DF9" w:rsidRDefault="00D85FDD" w:rsidP="00346F4B">
            <w:pPr>
              <w:numPr>
                <w:ilvl w:val="0"/>
                <w:numId w:val="38"/>
              </w:numPr>
              <w:spacing w:before="80"/>
              <w:rPr>
                <w:rFonts w:cs="Tahoma"/>
              </w:rPr>
            </w:pPr>
            <w:r w:rsidRPr="00A75DF9">
              <w:rPr>
                <w:rFonts w:cs="Tahoma"/>
              </w:rPr>
              <w:t>Exchange Online Protection*</w:t>
            </w:r>
          </w:p>
          <w:p w:rsidR="00456002" w:rsidRPr="00A75DF9" w:rsidRDefault="00456002" w:rsidP="00346F4B">
            <w:pPr>
              <w:numPr>
                <w:ilvl w:val="0"/>
                <w:numId w:val="38"/>
              </w:numPr>
              <w:spacing w:before="80"/>
              <w:rPr>
                <w:rFonts w:cs="Tahoma"/>
              </w:rPr>
            </w:pPr>
            <w:r w:rsidRPr="00A75DF9">
              <w:rPr>
                <w:rFonts w:cs="Tahoma"/>
              </w:rPr>
              <w:t>Lync Online Piano 1*</w:t>
            </w:r>
          </w:p>
          <w:p w:rsidR="00456002" w:rsidRPr="00A75DF9" w:rsidRDefault="00456002" w:rsidP="00346F4B">
            <w:pPr>
              <w:numPr>
                <w:ilvl w:val="0"/>
                <w:numId w:val="38"/>
              </w:numPr>
              <w:spacing w:before="80"/>
              <w:rPr>
                <w:rFonts w:cs="Tahoma"/>
              </w:rPr>
            </w:pPr>
            <w:r w:rsidRPr="00A75DF9">
              <w:rPr>
                <w:rFonts w:cs="Tahoma"/>
              </w:rPr>
              <w:lastRenderedPageBreak/>
              <w:t>Lync Online Piano 2*</w:t>
            </w:r>
          </w:p>
          <w:p w:rsidR="00E77288" w:rsidRPr="00A75DF9" w:rsidRDefault="00E77288" w:rsidP="00346F4B">
            <w:pPr>
              <w:numPr>
                <w:ilvl w:val="0"/>
                <w:numId w:val="38"/>
              </w:numPr>
              <w:spacing w:before="80"/>
              <w:rPr>
                <w:rFonts w:cs="Tahoma"/>
              </w:rPr>
            </w:pPr>
            <w:r w:rsidRPr="00A75DF9">
              <w:rPr>
                <w:rFonts w:cs="Tahoma"/>
              </w:rPr>
              <w:t>Lync Online Piano 3*</w:t>
            </w:r>
          </w:p>
          <w:p w:rsidR="00456002" w:rsidRPr="00A75DF9" w:rsidRDefault="00456002" w:rsidP="00346F4B">
            <w:pPr>
              <w:numPr>
                <w:ilvl w:val="0"/>
                <w:numId w:val="38"/>
              </w:numPr>
              <w:spacing w:before="80"/>
              <w:rPr>
                <w:rFonts w:cs="Tahoma"/>
              </w:rPr>
            </w:pPr>
            <w:r w:rsidRPr="00A75DF9">
              <w:rPr>
                <w:rFonts w:cs="Tahoma"/>
              </w:rPr>
              <w:t>Office 365 (Enterprise K1)*</w:t>
            </w:r>
          </w:p>
          <w:p w:rsidR="00456002" w:rsidRPr="00A75DF9" w:rsidRDefault="00456002" w:rsidP="00346F4B">
            <w:pPr>
              <w:numPr>
                <w:ilvl w:val="0"/>
                <w:numId w:val="38"/>
              </w:numPr>
              <w:spacing w:before="80"/>
              <w:rPr>
                <w:rFonts w:cs="Tahoma"/>
              </w:rPr>
            </w:pPr>
            <w:r w:rsidRPr="00A75DF9">
              <w:rPr>
                <w:rFonts w:cs="Tahoma"/>
              </w:rPr>
              <w:t>Office 365 (Enterprise E1)</w:t>
            </w:r>
          </w:p>
          <w:p w:rsidR="00456002" w:rsidRPr="00A75DF9" w:rsidRDefault="00456002" w:rsidP="00346F4B">
            <w:pPr>
              <w:numPr>
                <w:ilvl w:val="0"/>
                <w:numId w:val="38"/>
              </w:numPr>
              <w:spacing w:before="80"/>
              <w:rPr>
                <w:rFonts w:cs="Tahoma"/>
              </w:rPr>
            </w:pPr>
            <w:r w:rsidRPr="00A75DF9">
              <w:rPr>
                <w:rFonts w:cs="Tahoma"/>
              </w:rPr>
              <w:t>Office 365 (Enterprise E3)</w:t>
            </w:r>
          </w:p>
          <w:p w:rsidR="00456002" w:rsidRPr="00A75DF9" w:rsidRDefault="00456002" w:rsidP="00346F4B">
            <w:pPr>
              <w:numPr>
                <w:ilvl w:val="0"/>
                <w:numId w:val="38"/>
              </w:numPr>
              <w:spacing w:before="80"/>
              <w:rPr>
                <w:rFonts w:cs="Tahoma"/>
              </w:rPr>
            </w:pPr>
            <w:r w:rsidRPr="00A75DF9">
              <w:rPr>
                <w:rFonts w:cs="Tahoma"/>
              </w:rPr>
              <w:t>Office 365 (Enterprise E4)</w:t>
            </w:r>
          </w:p>
          <w:p w:rsidR="005272FA" w:rsidRPr="00A75DF9" w:rsidRDefault="005272FA" w:rsidP="00346F4B">
            <w:pPr>
              <w:numPr>
                <w:ilvl w:val="0"/>
                <w:numId w:val="38"/>
              </w:numPr>
              <w:spacing w:before="80"/>
              <w:jc w:val="both"/>
              <w:rPr>
                <w:rFonts w:cs="Tahoma"/>
              </w:rPr>
            </w:pPr>
            <w:r w:rsidRPr="00A75DF9">
              <w:rPr>
                <w:rFonts w:cs="Tahoma"/>
                <w:color w:val="000000"/>
              </w:rPr>
              <w:t>Office 365 (Government G1)</w:t>
            </w:r>
          </w:p>
          <w:p w:rsidR="005272FA" w:rsidRPr="00A75DF9" w:rsidRDefault="005272FA" w:rsidP="00346F4B">
            <w:pPr>
              <w:numPr>
                <w:ilvl w:val="0"/>
                <w:numId w:val="38"/>
              </w:numPr>
              <w:spacing w:before="80"/>
              <w:jc w:val="both"/>
              <w:rPr>
                <w:rFonts w:cs="Tahoma"/>
              </w:rPr>
            </w:pPr>
            <w:r w:rsidRPr="00A75DF9">
              <w:rPr>
                <w:rFonts w:cs="Tahoma"/>
                <w:color w:val="000000"/>
              </w:rPr>
              <w:t>Office 365 (Government G3)</w:t>
            </w:r>
          </w:p>
          <w:p w:rsidR="005272FA" w:rsidRPr="00A75DF9" w:rsidRDefault="005272FA" w:rsidP="00346F4B">
            <w:pPr>
              <w:numPr>
                <w:ilvl w:val="0"/>
                <w:numId w:val="38"/>
              </w:numPr>
              <w:spacing w:before="80"/>
              <w:jc w:val="both"/>
              <w:rPr>
                <w:rFonts w:cs="Tahoma"/>
              </w:rPr>
            </w:pPr>
            <w:r w:rsidRPr="00A75DF9">
              <w:rPr>
                <w:rFonts w:cs="Tahoma"/>
                <w:color w:val="000000"/>
              </w:rPr>
              <w:t>Office 365 (Government G4)</w:t>
            </w:r>
          </w:p>
          <w:p w:rsidR="005272FA" w:rsidRPr="00A75DF9" w:rsidRDefault="005272FA" w:rsidP="007E466C">
            <w:pPr>
              <w:spacing w:before="80"/>
              <w:ind w:left="522"/>
              <w:rPr>
                <w:rFonts w:cs="Tahoma"/>
              </w:rPr>
            </w:pPr>
          </w:p>
        </w:tc>
        <w:tc>
          <w:tcPr>
            <w:tcW w:w="2500" w:type="pct"/>
          </w:tcPr>
          <w:p w:rsidR="00456002" w:rsidRPr="00A75DF9" w:rsidRDefault="00456002" w:rsidP="00346F4B">
            <w:pPr>
              <w:numPr>
                <w:ilvl w:val="0"/>
                <w:numId w:val="38"/>
              </w:numPr>
              <w:spacing w:before="80"/>
              <w:jc w:val="both"/>
              <w:rPr>
                <w:rFonts w:cs="Tahoma"/>
              </w:rPr>
            </w:pPr>
            <w:r w:rsidRPr="00A75DF9">
              <w:rPr>
                <w:rFonts w:cs="Tahoma"/>
                <w:color w:val="000000"/>
              </w:rPr>
              <w:lastRenderedPageBreak/>
              <w:t>Office Web Applications*</w:t>
            </w:r>
          </w:p>
          <w:p w:rsidR="00CE1716" w:rsidRPr="00A75DF9" w:rsidRDefault="00CE1716" w:rsidP="00346F4B">
            <w:pPr>
              <w:numPr>
                <w:ilvl w:val="0"/>
                <w:numId w:val="38"/>
              </w:numPr>
              <w:spacing w:before="80"/>
              <w:jc w:val="both"/>
              <w:rPr>
                <w:rFonts w:cs="Tahoma"/>
              </w:rPr>
            </w:pPr>
            <w:r w:rsidRPr="00A75DF9">
              <w:rPr>
                <w:rFonts w:cs="Tahoma"/>
                <w:color w:val="000000"/>
              </w:rPr>
              <w:t>Project Online*</w:t>
            </w:r>
          </w:p>
          <w:p w:rsidR="005272FA" w:rsidRPr="00A75DF9" w:rsidRDefault="005272FA" w:rsidP="00346F4B">
            <w:pPr>
              <w:numPr>
                <w:ilvl w:val="0"/>
                <w:numId w:val="38"/>
              </w:numPr>
              <w:spacing w:before="80"/>
              <w:jc w:val="both"/>
              <w:rPr>
                <w:rFonts w:cs="Tahoma"/>
              </w:rPr>
            </w:pPr>
            <w:r w:rsidRPr="00A75DF9">
              <w:rPr>
                <w:rFonts w:cs="Tahoma"/>
                <w:color w:val="000000"/>
              </w:rPr>
              <w:t>Project Pro per Office 365*</w:t>
            </w:r>
          </w:p>
          <w:p w:rsidR="00456002" w:rsidRPr="00A75DF9" w:rsidRDefault="00456002" w:rsidP="00346F4B">
            <w:pPr>
              <w:numPr>
                <w:ilvl w:val="0"/>
                <w:numId w:val="38"/>
              </w:numPr>
              <w:spacing w:before="80"/>
              <w:jc w:val="both"/>
              <w:rPr>
                <w:rFonts w:cs="Tahoma"/>
              </w:rPr>
            </w:pPr>
            <w:r w:rsidRPr="00A75DF9">
              <w:rPr>
                <w:rFonts w:cs="Tahoma"/>
                <w:color w:val="000000"/>
              </w:rPr>
              <w:t>SharePoint Online Piano 1*</w:t>
            </w:r>
          </w:p>
          <w:p w:rsidR="00456002" w:rsidRPr="00A75DF9" w:rsidRDefault="00456002" w:rsidP="00346F4B">
            <w:pPr>
              <w:numPr>
                <w:ilvl w:val="0"/>
                <w:numId w:val="38"/>
              </w:numPr>
              <w:spacing w:before="80"/>
              <w:jc w:val="both"/>
              <w:rPr>
                <w:rFonts w:cs="Tahoma"/>
              </w:rPr>
            </w:pPr>
            <w:r w:rsidRPr="00A75DF9">
              <w:rPr>
                <w:rFonts w:cs="Tahoma"/>
                <w:color w:val="000000"/>
              </w:rPr>
              <w:t>SharePoint Online Piano 2*</w:t>
            </w:r>
          </w:p>
          <w:p w:rsidR="00456002" w:rsidRPr="00A75DF9" w:rsidRDefault="00456002" w:rsidP="00346F4B">
            <w:pPr>
              <w:numPr>
                <w:ilvl w:val="0"/>
                <w:numId w:val="38"/>
              </w:numPr>
              <w:spacing w:before="80"/>
              <w:ind w:right="270"/>
              <w:jc w:val="both"/>
              <w:rPr>
                <w:rFonts w:cs="Tahoma"/>
              </w:rPr>
            </w:pPr>
            <w:r w:rsidRPr="00A75DF9">
              <w:rPr>
                <w:rFonts w:cs="Tahoma"/>
                <w:color w:val="000000"/>
              </w:rPr>
              <w:t>Accesso partner SharePoint Online*</w:t>
            </w:r>
          </w:p>
          <w:p w:rsidR="00D8521B" w:rsidRPr="00A75DF9" w:rsidRDefault="00D8521B" w:rsidP="00D8521B">
            <w:pPr>
              <w:numPr>
                <w:ilvl w:val="0"/>
                <w:numId w:val="38"/>
              </w:numPr>
              <w:spacing w:before="80"/>
              <w:ind w:left="896"/>
              <w:jc w:val="both"/>
              <w:rPr>
                <w:rFonts w:cs="Tahoma"/>
              </w:rPr>
            </w:pPr>
            <w:r w:rsidRPr="00A75DF9">
              <w:rPr>
                <w:rFonts w:cs="Tahoma"/>
                <w:color w:val="000000"/>
              </w:rPr>
              <w:t>Windows Azure Active Directory Rights Management*</w:t>
            </w:r>
          </w:p>
          <w:p w:rsidR="00456002" w:rsidRPr="00A75DF9" w:rsidRDefault="00456002" w:rsidP="00346F4B">
            <w:pPr>
              <w:numPr>
                <w:ilvl w:val="0"/>
                <w:numId w:val="38"/>
              </w:numPr>
              <w:spacing w:before="80"/>
              <w:jc w:val="both"/>
              <w:rPr>
                <w:rFonts w:cs="Tahoma"/>
              </w:rPr>
            </w:pPr>
            <w:r w:rsidRPr="00A75DF9">
              <w:rPr>
                <w:rFonts w:cs="Tahoma"/>
                <w:color w:val="000000"/>
              </w:rPr>
              <w:lastRenderedPageBreak/>
              <w:t>Windows Intune</w:t>
            </w:r>
          </w:p>
          <w:p w:rsidR="00456002" w:rsidRPr="00A75DF9" w:rsidRDefault="00456002" w:rsidP="00346F4B">
            <w:pPr>
              <w:numPr>
                <w:ilvl w:val="0"/>
                <w:numId w:val="38"/>
              </w:numPr>
              <w:spacing w:before="80"/>
              <w:jc w:val="both"/>
              <w:rPr>
                <w:rFonts w:cs="Tahoma"/>
              </w:rPr>
            </w:pPr>
            <w:r w:rsidRPr="00A75DF9">
              <w:rPr>
                <w:rFonts w:cs="Tahoma"/>
                <w:color w:val="000000"/>
              </w:rPr>
              <w:t>Componente aggiuntivo di Windows Intune*</w:t>
            </w:r>
          </w:p>
          <w:p w:rsidR="00A2058E" w:rsidRPr="00A75DF9" w:rsidRDefault="00A2058E" w:rsidP="00346F4B">
            <w:pPr>
              <w:numPr>
                <w:ilvl w:val="0"/>
                <w:numId w:val="38"/>
              </w:numPr>
              <w:spacing w:before="80"/>
              <w:jc w:val="both"/>
              <w:rPr>
                <w:rFonts w:cs="Tahoma"/>
              </w:rPr>
            </w:pPr>
            <w:r w:rsidRPr="00A75DF9">
              <w:rPr>
                <w:rFonts w:cs="Tahoma"/>
                <w:color w:val="000000"/>
              </w:rPr>
              <w:t>Microsoft Dynamics CRM Online*</w:t>
            </w:r>
          </w:p>
          <w:p w:rsidR="005272FA" w:rsidRPr="00A75DF9" w:rsidRDefault="005272FA" w:rsidP="00346F4B">
            <w:pPr>
              <w:numPr>
                <w:ilvl w:val="0"/>
                <w:numId w:val="38"/>
              </w:numPr>
              <w:spacing w:before="80"/>
              <w:jc w:val="both"/>
              <w:rPr>
                <w:rFonts w:cs="Tahoma"/>
              </w:rPr>
            </w:pPr>
            <w:r w:rsidRPr="00A75DF9">
              <w:rPr>
                <w:rFonts w:cs="Tahoma"/>
                <w:color w:val="000000"/>
              </w:rPr>
              <w:t>Visio Pro per Office 365*</w:t>
            </w:r>
          </w:p>
          <w:p w:rsidR="00F27B29" w:rsidRPr="00A75DF9" w:rsidRDefault="00F27B29" w:rsidP="00346F4B">
            <w:pPr>
              <w:numPr>
                <w:ilvl w:val="0"/>
                <w:numId w:val="38"/>
              </w:numPr>
              <w:spacing w:before="80" w:after="120"/>
              <w:jc w:val="both"/>
              <w:rPr>
                <w:rFonts w:cs="Tahoma"/>
              </w:rPr>
            </w:pPr>
            <w:r w:rsidRPr="00A75DF9">
              <w:rPr>
                <w:rFonts w:cs="Tahoma"/>
                <w:color w:val="000000"/>
              </w:rPr>
              <w:t>Yammer Enterprise*</w:t>
            </w:r>
          </w:p>
        </w:tc>
      </w:tr>
    </w:tbl>
    <w:p w:rsidR="00A12176" w:rsidRPr="00A75DF9" w:rsidRDefault="00456002" w:rsidP="001E7C5F">
      <w:pPr>
        <w:tabs>
          <w:tab w:val="left" w:pos="360"/>
        </w:tabs>
        <w:ind w:left="720"/>
        <w:rPr>
          <w:rFonts w:cs="Tahoma"/>
        </w:rPr>
      </w:pPr>
      <w:r w:rsidRPr="00A75DF9">
        <w:rPr>
          <w:rFonts w:cs="Tahoma"/>
          <w:i/>
          <w:sz w:val="16"/>
          <w:szCs w:val="20"/>
        </w:rPr>
        <w:lastRenderedPageBreak/>
        <w:t>* Prodotto aggiuntivo</w:t>
      </w:r>
      <w:bookmarkStart w:id="633" w:name="_Toc336338196"/>
    </w:p>
    <w:p w:rsidR="00A12176" w:rsidRPr="00DC2DAE" w:rsidRDefault="00A12176" w:rsidP="00366502">
      <w:pPr>
        <w:pStyle w:val="Heading2"/>
        <w:ind w:left="0"/>
        <w:rPr>
          <w:rFonts w:ascii="Tahoma" w:hAnsi="Tahoma" w:cs="Tahoma"/>
          <w:sz w:val="18"/>
          <w:szCs w:val="18"/>
        </w:rPr>
      </w:pPr>
    </w:p>
    <w:p w:rsidR="00456002" w:rsidRPr="00A75DF9" w:rsidRDefault="00456002" w:rsidP="00366502">
      <w:pPr>
        <w:pStyle w:val="Heading2"/>
        <w:ind w:left="0"/>
        <w:rPr>
          <w:rFonts w:ascii="Tahoma" w:hAnsi="Tahoma" w:cs="Tahoma"/>
        </w:rPr>
      </w:pPr>
      <w:bookmarkStart w:id="634" w:name="_Toc368310186"/>
      <w:r w:rsidRPr="00A75DF9">
        <w:rPr>
          <w:rFonts w:ascii="Tahoma" w:hAnsi="Tahoma" w:cs="Tahoma"/>
        </w:rPr>
        <w:t>Continuità del Servizio per Proroga del Periodo di Validità</w:t>
      </w:r>
      <w:bookmarkEnd w:id="633"/>
      <w:bookmarkEnd w:id="634"/>
      <w:r w:rsidRPr="00A75DF9">
        <w:rPr>
          <w:rFonts w:ascii="Tahoma" w:eastAsia="Times New Roman" w:hAnsi="Tahoma" w:cs="Tahoma"/>
          <w:sz w:val="20"/>
        </w:rPr>
        <w:t xml:space="preserve"> </w:t>
      </w:r>
    </w:p>
    <w:p w:rsidR="00456002" w:rsidRPr="00A75DF9" w:rsidRDefault="00456002" w:rsidP="00366502">
      <w:pPr>
        <w:tabs>
          <w:tab w:val="left" w:pos="360"/>
        </w:tabs>
        <w:rPr>
          <w:rFonts w:cs="Tahoma"/>
        </w:rPr>
      </w:pPr>
    </w:p>
    <w:p w:rsidR="00456002" w:rsidRPr="00A75DF9" w:rsidRDefault="00456002" w:rsidP="00366502">
      <w:pPr>
        <w:tabs>
          <w:tab w:val="left" w:pos="360"/>
        </w:tabs>
        <w:rPr>
          <w:rFonts w:cs="Tahoma"/>
        </w:rPr>
      </w:pPr>
      <w:r w:rsidRPr="00A75DF9">
        <w:rPr>
          <w:rFonts w:cs="Tahoma"/>
          <w:b/>
          <w:szCs w:val="20"/>
        </w:rPr>
        <w:t>Nota:</w:t>
      </w:r>
      <w:r w:rsidRPr="00A75DF9">
        <w:rPr>
          <w:rFonts w:cs="Tahoma"/>
          <w:szCs w:val="20"/>
        </w:rPr>
        <w:t xml:space="preserve"> quanto segue si applica alle società in possesso delle Iscrizioni Enterprise ed Enterprise Subscription che sono idonee a continuare il servizio in seguito alla Proroga del Periodo di Validità. Le società che non sono certe della loro idoneità a continuare il servizio in seguito alla Proroga del Periodo di Validità dovranno contattare il loro Software Advisor, Rivenditore o Account Manager designato da Microsoft per ulteriori informazioni.</w:t>
      </w:r>
      <w:r w:rsidR="009D3B41" w:rsidRPr="00A75DF9">
        <w:rPr>
          <w:rFonts w:cs="Tahoma"/>
          <w:szCs w:val="20"/>
        </w:rPr>
        <w:t xml:space="preserve"> </w:t>
      </w:r>
    </w:p>
    <w:p w:rsidR="00456002" w:rsidRPr="00A75DF9" w:rsidRDefault="00456002" w:rsidP="00366502">
      <w:pPr>
        <w:tabs>
          <w:tab w:val="left" w:pos="360"/>
        </w:tabs>
        <w:rPr>
          <w:rFonts w:cs="Tahoma"/>
        </w:rPr>
      </w:pPr>
    </w:p>
    <w:p w:rsidR="00456002" w:rsidRPr="00A75DF9" w:rsidRDefault="00456002" w:rsidP="00366502">
      <w:pPr>
        <w:tabs>
          <w:tab w:val="left" w:pos="360"/>
        </w:tabs>
        <w:rPr>
          <w:rFonts w:cs="Tahoma"/>
        </w:rPr>
      </w:pPr>
      <w:r w:rsidRPr="00A75DF9">
        <w:rPr>
          <w:rFonts w:cs="Tahoma"/>
          <w:szCs w:val="20"/>
        </w:rPr>
        <w:t>I servizi online che seguono sono idonei per la Proroga del Periodo di Validità dei Servizi Online in conformità alle condizioni dei contratti multilicenza delle società. Il periodo di validità dell</w:t>
      </w:r>
      <w:r w:rsidR="00F2643E">
        <w:rPr>
          <w:rFonts w:cs="Tahoma"/>
          <w:szCs w:val="20"/>
        </w:rPr>
        <w:t>’</w:t>
      </w:r>
      <w:r w:rsidRPr="00A75DF9">
        <w:rPr>
          <w:rFonts w:cs="Tahoma"/>
          <w:szCs w:val="20"/>
        </w:rPr>
        <w:t>abbonamento di una società ai servizi online dovrà terminare alla data di scadenza del contratto della società (“scadenza identica”) per potersi qualificare per Continuità del Servizio per Proroga del Periodo di Validità:</w:t>
      </w:r>
    </w:p>
    <w:p w:rsidR="00456002" w:rsidRPr="00A75DF9" w:rsidRDefault="00456002" w:rsidP="0014632E">
      <w:pPr>
        <w:ind w:left="720"/>
        <w:rPr>
          <w:rFonts w:cs="Tahoma"/>
        </w:rPr>
      </w:pPr>
    </w:p>
    <w:tbl>
      <w:tblPr>
        <w:tblW w:w="4277" w:type="pct"/>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164"/>
        <w:gridCol w:w="3834"/>
      </w:tblGrid>
      <w:tr w:rsidR="00456002" w:rsidRPr="00A75DF9" w:rsidTr="005C647E">
        <w:trPr>
          <w:trHeight w:val="80"/>
          <w:tblHeader/>
        </w:trPr>
        <w:tc>
          <w:tcPr>
            <w:tcW w:w="5000" w:type="pct"/>
            <w:gridSpan w:val="2"/>
            <w:shd w:val="clear" w:color="auto" w:fill="FABF8F"/>
          </w:tcPr>
          <w:p w:rsidR="00456002" w:rsidRPr="00A75DF9" w:rsidRDefault="00456002" w:rsidP="005C647E">
            <w:pPr>
              <w:jc w:val="center"/>
              <w:rPr>
                <w:rFonts w:cs="Tahoma"/>
                <w:b/>
                <w:sz w:val="20"/>
              </w:rPr>
            </w:pPr>
            <w:r w:rsidRPr="00A75DF9">
              <w:rPr>
                <w:rFonts w:cs="Tahoma"/>
                <w:b/>
                <w:sz w:val="20"/>
              </w:rPr>
              <w:t>Servizi Online</w:t>
            </w:r>
          </w:p>
        </w:tc>
      </w:tr>
      <w:tr w:rsidR="00456002" w:rsidRPr="00A75DF9" w:rsidTr="005C647E">
        <w:trPr>
          <w:trHeight w:val="219"/>
        </w:trPr>
        <w:tc>
          <w:tcPr>
            <w:tcW w:w="2603" w:type="pct"/>
          </w:tcPr>
          <w:p w:rsidR="00D85FDD" w:rsidRPr="00A75DF9" w:rsidRDefault="00D85FDD" w:rsidP="00DC2DAE">
            <w:pPr>
              <w:keepNext/>
              <w:numPr>
                <w:ilvl w:val="0"/>
                <w:numId w:val="38"/>
              </w:numPr>
              <w:spacing w:before="80"/>
              <w:ind w:left="905" w:hanging="540"/>
              <w:jc w:val="both"/>
              <w:rPr>
                <w:rFonts w:cs="Tahoma"/>
              </w:rPr>
            </w:pPr>
            <w:r w:rsidRPr="00A75DF9">
              <w:rPr>
                <w:rFonts w:cs="Tahoma"/>
              </w:rPr>
              <w:t>Archiviazione</w:t>
            </w:r>
            <w:r w:rsidR="00DC2DAE">
              <w:rPr>
                <w:rFonts w:cs="Tahoma"/>
              </w:rPr>
              <w:t> </w:t>
            </w:r>
            <w:r w:rsidRPr="00A75DF9">
              <w:rPr>
                <w:rFonts w:cs="Tahoma"/>
              </w:rPr>
              <w:t>Exchange</w:t>
            </w:r>
            <w:r w:rsidR="00DC2DAE">
              <w:rPr>
                <w:rFonts w:cs="Tahoma"/>
              </w:rPr>
              <w:t> </w:t>
            </w:r>
            <w:r w:rsidRPr="00A75DF9">
              <w:rPr>
                <w:rFonts w:cs="Tahoma"/>
              </w:rPr>
              <w:t>Online</w:t>
            </w:r>
            <w:r w:rsidR="00DC2DAE">
              <w:rPr>
                <w:rFonts w:cs="Tahoma"/>
              </w:rPr>
              <w:t> </w:t>
            </w:r>
            <w:r w:rsidRPr="00A75DF9">
              <w:rPr>
                <w:rFonts w:cs="Tahoma"/>
              </w:rPr>
              <w:t>per Exchange Online*</w:t>
            </w:r>
          </w:p>
          <w:p w:rsidR="00D85FDD" w:rsidRPr="00A75DF9" w:rsidRDefault="00D85FDD" w:rsidP="00DC2DAE">
            <w:pPr>
              <w:keepNext/>
              <w:numPr>
                <w:ilvl w:val="0"/>
                <w:numId w:val="38"/>
              </w:numPr>
              <w:spacing w:before="80"/>
              <w:ind w:left="905" w:hanging="540"/>
              <w:jc w:val="both"/>
              <w:rPr>
                <w:rFonts w:cs="Tahoma"/>
              </w:rPr>
            </w:pPr>
            <w:r w:rsidRPr="00A75DF9">
              <w:rPr>
                <w:rFonts w:cs="Tahoma"/>
              </w:rPr>
              <w:t>Archiviazione</w:t>
            </w:r>
            <w:r w:rsidR="00DC2DAE">
              <w:rPr>
                <w:rFonts w:cs="Tahoma"/>
              </w:rPr>
              <w:t> </w:t>
            </w:r>
            <w:r w:rsidRPr="00A75DF9">
              <w:rPr>
                <w:rFonts w:cs="Tahoma"/>
              </w:rPr>
              <w:t>Exchange</w:t>
            </w:r>
            <w:r w:rsidR="00DC2DAE">
              <w:rPr>
                <w:rFonts w:cs="Tahoma"/>
              </w:rPr>
              <w:t> </w:t>
            </w:r>
            <w:r w:rsidRPr="00A75DF9">
              <w:rPr>
                <w:rFonts w:cs="Tahoma"/>
              </w:rPr>
              <w:t>Online</w:t>
            </w:r>
            <w:r w:rsidR="00DC2DAE">
              <w:rPr>
                <w:rFonts w:cs="Tahoma"/>
              </w:rPr>
              <w:t> </w:t>
            </w:r>
            <w:r w:rsidRPr="00A75DF9">
              <w:rPr>
                <w:rFonts w:cs="Tahoma"/>
              </w:rPr>
              <w:t xml:space="preserve">per Exchange Server* </w:t>
            </w:r>
          </w:p>
          <w:p w:rsidR="00456002" w:rsidRPr="00A75DF9" w:rsidRDefault="00456002" w:rsidP="00346F4B">
            <w:pPr>
              <w:keepNext/>
              <w:numPr>
                <w:ilvl w:val="0"/>
                <w:numId w:val="38"/>
              </w:numPr>
              <w:spacing w:before="80"/>
              <w:ind w:left="905" w:hanging="540"/>
              <w:jc w:val="both"/>
              <w:rPr>
                <w:rFonts w:cs="Tahoma"/>
              </w:rPr>
            </w:pPr>
            <w:r w:rsidRPr="00A75DF9">
              <w:rPr>
                <w:rFonts w:cs="Tahoma"/>
              </w:rPr>
              <w:t>Chiosco Exchange Online*</w:t>
            </w:r>
          </w:p>
          <w:p w:rsidR="00456002" w:rsidRPr="00A75DF9" w:rsidRDefault="00456002" w:rsidP="00346F4B">
            <w:pPr>
              <w:keepNext/>
              <w:numPr>
                <w:ilvl w:val="0"/>
                <w:numId w:val="38"/>
              </w:numPr>
              <w:spacing w:before="80"/>
              <w:ind w:left="905" w:hanging="540"/>
              <w:jc w:val="both"/>
              <w:rPr>
                <w:rFonts w:cs="Tahoma"/>
              </w:rPr>
            </w:pPr>
            <w:r w:rsidRPr="00A75DF9">
              <w:rPr>
                <w:rFonts w:cs="Tahoma"/>
              </w:rPr>
              <w:t>Exchange Online Piano 1*</w:t>
            </w:r>
          </w:p>
          <w:p w:rsidR="00456002" w:rsidRPr="00A75DF9" w:rsidRDefault="00456002" w:rsidP="00346F4B">
            <w:pPr>
              <w:keepNext/>
              <w:numPr>
                <w:ilvl w:val="0"/>
                <w:numId w:val="38"/>
              </w:numPr>
              <w:spacing w:before="80"/>
              <w:ind w:left="905" w:hanging="540"/>
              <w:jc w:val="both"/>
              <w:rPr>
                <w:rFonts w:cs="Tahoma"/>
              </w:rPr>
            </w:pPr>
            <w:r w:rsidRPr="00A75DF9">
              <w:rPr>
                <w:rFonts w:cs="Tahoma"/>
              </w:rPr>
              <w:t>Exchange Online Piano 2*</w:t>
            </w:r>
          </w:p>
          <w:p w:rsidR="00D85FDD" w:rsidRPr="00A75DF9" w:rsidRDefault="00D85FDD" w:rsidP="00346F4B">
            <w:pPr>
              <w:keepNext/>
              <w:numPr>
                <w:ilvl w:val="0"/>
                <w:numId w:val="38"/>
              </w:numPr>
              <w:spacing w:before="80"/>
              <w:ind w:left="905" w:hanging="540"/>
              <w:jc w:val="both"/>
              <w:rPr>
                <w:rFonts w:cs="Tahoma"/>
              </w:rPr>
            </w:pPr>
            <w:r w:rsidRPr="00A75DF9">
              <w:rPr>
                <w:rFonts w:cs="Tahoma"/>
              </w:rPr>
              <w:t>Exchange Online Protection*</w:t>
            </w:r>
          </w:p>
          <w:p w:rsidR="00456002" w:rsidRPr="00A75DF9" w:rsidRDefault="00456002" w:rsidP="00346F4B">
            <w:pPr>
              <w:keepNext/>
              <w:numPr>
                <w:ilvl w:val="0"/>
                <w:numId w:val="38"/>
              </w:numPr>
              <w:spacing w:before="80"/>
              <w:ind w:left="905" w:hanging="540"/>
              <w:jc w:val="both"/>
              <w:rPr>
                <w:rFonts w:cs="Tahoma"/>
              </w:rPr>
            </w:pPr>
            <w:r w:rsidRPr="00A75DF9">
              <w:rPr>
                <w:rFonts w:cs="Tahoma"/>
              </w:rPr>
              <w:t>Lync Online Piano 1*</w:t>
            </w:r>
          </w:p>
          <w:p w:rsidR="00456002" w:rsidRPr="00A75DF9" w:rsidRDefault="00456002" w:rsidP="00346F4B">
            <w:pPr>
              <w:keepNext/>
              <w:numPr>
                <w:ilvl w:val="0"/>
                <w:numId w:val="38"/>
              </w:numPr>
              <w:spacing w:before="80"/>
              <w:ind w:left="905" w:hanging="540"/>
              <w:jc w:val="both"/>
              <w:rPr>
                <w:rFonts w:cs="Tahoma"/>
              </w:rPr>
            </w:pPr>
            <w:r w:rsidRPr="00A75DF9">
              <w:rPr>
                <w:rFonts w:cs="Tahoma"/>
              </w:rPr>
              <w:t>Lync Online Piano 2*</w:t>
            </w:r>
          </w:p>
          <w:p w:rsidR="00E77288" w:rsidRPr="00A75DF9" w:rsidRDefault="00E77288" w:rsidP="00346F4B">
            <w:pPr>
              <w:keepNext/>
              <w:numPr>
                <w:ilvl w:val="0"/>
                <w:numId w:val="38"/>
              </w:numPr>
              <w:spacing w:before="80"/>
              <w:ind w:left="905" w:hanging="540"/>
              <w:jc w:val="both"/>
              <w:rPr>
                <w:rFonts w:cs="Tahoma"/>
              </w:rPr>
            </w:pPr>
            <w:r w:rsidRPr="00A75DF9">
              <w:rPr>
                <w:rFonts w:cs="Tahoma"/>
              </w:rPr>
              <w:t>Lync Online Piano 3*</w:t>
            </w:r>
          </w:p>
          <w:p w:rsidR="00456002" w:rsidRPr="00A75DF9" w:rsidRDefault="00456002" w:rsidP="00346F4B">
            <w:pPr>
              <w:keepNext/>
              <w:numPr>
                <w:ilvl w:val="0"/>
                <w:numId w:val="38"/>
              </w:numPr>
              <w:spacing w:before="80"/>
              <w:ind w:left="905" w:hanging="540"/>
              <w:jc w:val="both"/>
              <w:rPr>
                <w:rFonts w:cs="Tahoma"/>
              </w:rPr>
            </w:pPr>
            <w:r w:rsidRPr="00A75DF9">
              <w:rPr>
                <w:rFonts w:cs="Tahoma"/>
              </w:rPr>
              <w:t>Office 365 (Enterprise K1)*</w:t>
            </w:r>
          </w:p>
          <w:p w:rsidR="00456002" w:rsidRPr="00A75DF9" w:rsidRDefault="00456002" w:rsidP="00346F4B">
            <w:pPr>
              <w:keepNext/>
              <w:numPr>
                <w:ilvl w:val="0"/>
                <w:numId w:val="38"/>
              </w:numPr>
              <w:spacing w:before="80"/>
              <w:ind w:left="905" w:hanging="540"/>
              <w:jc w:val="both"/>
              <w:rPr>
                <w:rFonts w:cs="Tahoma"/>
              </w:rPr>
            </w:pPr>
            <w:r w:rsidRPr="00A75DF9">
              <w:rPr>
                <w:rFonts w:cs="Tahoma"/>
              </w:rPr>
              <w:t>Office 365 (Enterprise E1)</w:t>
            </w:r>
          </w:p>
          <w:p w:rsidR="00456002" w:rsidRPr="00A75DF9" w:rsidRDefault="00456002" w:rsidP="00346F4B">
            <w:pPr>
              <w:keepNext/>
              <w:numPr>
                <w:ilvl w:val="0"/>
                <w:numId w:val="38"/>
              </w:numPr>
              <w:spacing w:before="80"/>
              <w:ind w:left="895" w:hanging="530"/>
              <w:jc w:val="both"/>
              <w:rPr>
                <w:rFonts w:cs="Tahoma"/>
              </w:rPr>
            </w:pPr>
            <w:r w:rsidRPr="00A75DF9">
              <w:rPr>
                <w:rFonts w:cs="Tahoma"/>
              </w:rPr>
              <w:t>Office 365 (Enterprise E3)</w:t>
            </w:r>
          </w:p>
          <w:p w:rsidR="00456002" w:rsidRPr="00A75DF9" w:rsidRDefault="00456002" w:rsidP="00346F4B">
            <w:pPr>
              <w:keepNext/>
              <w:numPr>
                <w:ilvl w:val="0"/>
                <w:numId w:val="38"/>
              </w:numPr>
              <w:spacing w:before="80"/>
              <w:ind w:left="895" w:hanging="530"/>
              <w:jc w:val="both"/>
              <w:rPr>
                <w:rFonts w:cs="Tahoma"/>
              </w:rPr>
            </w:pPr>
            <w:r w:rsidRPr="00A75DF9">
              <w:rPr>
                <w:rFonts w:cs="Tahoma"/>
              </w:rPr>
              <w:t>Office 365 (Enterprise E4)</w:t>
            </w:r>
          </w:p>
        </w:tc>
        <w:tc>
          <w:tcPr>
            <w:tcW w:w="2397" w:type="pct"/>
          </w:tcPr>
          <w:p w:rsidR="00C177EF" w:rsidRPr="00A75DF9" w:rsidRDefault="00C177EF" w:rsidP="00346F4B">
            <w:pPr>
              <w:keepNext/>
              <w:numPr>
                <w:ilvl w:val="0"/>
                <w:numId w:val="38"/>
              </w:numPr>
              <w:spacing w:before="80"/>
              <w:ind w:left="725"/>
              <w:jc w:val="both"/>
              <w:rPr>
                <w:rFonts w:cs="Tahoma"/>
              </w:rPr>
            </w:pPr>
            <w:r w:rsidRPr="00A75DF9">
              <w:rPr>
                <w:rFonts w:cs="Tahoma"/>
              </w:rPr>
              <w:t>Microsoft Dynamics CRM Online*</w:t>
            </w:r>
          </w:p>
          <w:p w:rsidR="009E224B" w:rsidRPr="00A75DF9" w:rsidRDefault="009E224B" w:rsidP="00346F4B">
            <w:pPr>
              <w:keepNext/>
              <w:numPr>
                <w:ilvl w:val="0"/>
                <w:numId w:val="38"/>
              </w:numPr>
              <w:spacing w:before="80"/>
              <w:ind w:left="725"/>
              <w:jc w:val="both"/>
              <w:rPr>
                <w:rFonts w:cs="Tahoma"/>
              </w:rPr>
            </w:pPr>
            <w:r w:rsidRPr="00A75DF9">
              <w:rPr>
                <w:rFonts w:cs="Tahoma"/>
              </w:rPr>
              <w:t>Office 365 (Government G1)</w:t>
            </w:r>
          </w:p>
          <w:p w:rsidR="009E224B" w:rsidRPr="00A75DF9" w:rsidRDefault="009E224B" w:rsidP="00346F4B">
            <w:pPr>
              <w:keepNext/>
              <w:numPr>
                <w:ilvl w:val="0"/>
                <w:numId w:val="38"/>
              </w:numPr>
              <w:spacing w:before="80"/>
              <w:ind w:left="725"/>
              <w:jc w:val="both"/>
              <w:rPr>
                <w:rFonts w:cs="Tahoma"/>
              </w:rPr>
            </w:pPr>
            <w:r w:rsidRPr="00A75DF9">
              <w:rPr>
                <w:rFonts w:cs="Tahoma"/>
              </w:rPr>
              <w:t>Office 365 (Government G3)</w:t>
            </w:r>
          </w:p>
          <w:p w:rsidR="009E224B" w:rsidRPr="00A75DF9" w:rsidRDefault="009E224B" w:rsidP="00346F4B">
            <w:pPr>
              <w:keepNext/>
              <w:numPr>
                <w:ilvl w:val="0"/>
                <w:numId w:val="38"/>
              </w:numPr>
              <w:spacing w:before="80"/>
              <w:ind w:left="725"/>
              <w:jc w:val="both"/>
              <w:rPr>
                <w:rFonts w:cs="Tahoma"/>
              </w:rPr>
            </w:pPr>
            <w:r w:rsidRPr="00A75DF9">
              <w:rPr>
                <w:rFonts w:cs="Tahoma"/>
              </w:rPr>
              <w:t>Office 365 (Government G4)</w:t>
            </w:r>
          </w:p>
          <w:p w:rsidR="00456002" w:rsidRPr="00A75DF9" w:rsidRDefault="00456002" w:rsidP="00346F4B">
            <w:pPr>
              <w:keepNext/>
              <w:numPr>
                <w:ilvl w:val="0"/>
                <w:numId w:val="38"/>
              </w:numPr>
              <w:spacing w:before="80"/>
              <w:ind w:left="725"/>
              <w:jc w:val="both"/>
              <w:rPr>
                <w:rFonts w:cs="Tahoma"/>
              </w:rPr>
            </w:pPr>
            <w:r w:rsidRPr="00A75DF9">
              <w:rPr>
                <w:rFonts w:cs="Tahoma"/>
              </w:rPr>
              <w:t>Office Web Applications*</w:t>
            </w:r>
          </w:p>
          <w:p w:rsidR="00C177EF" w:rsidRPr="00A75DF9" w:rsidRDefault="00C177EF" w:rsidP="00346F4B">
            <w:pPr>
              <w:keepNext/>
              <w:numPr>
                <w:ilvl w:val="0"/>
                <w:numId w:val="38"/>
              </w:numPr>
              <w:spacing w:before="80"/>
              <w:ind w:left="725"/>
              <w:jc w:val="both"/>
              <w:rPr>
                <w:rFonts w:cs="Tahoma"/>
              </w:rPr>
            </w:pPr>
            <w:r w:rsidRPr="00A75DF9">
              <w:rPr>
                <w:rFonts w:cs="Tahoma"/>
              </w:rPr>
              <w:t>Project Online*</w:t>
            </w:r>
          </w:p>
          <w:p w:rsidR="00C177EF" w:rsidRPr="00A75DF9" w:rsidRDefault="00C177EF" w:rsidP="00346F4B">
            <w:pPr>
              <w:keepNext/>
              <w:numPr>
                <w:ilvl w:val="0"/>
                <w:numId w:val="38"/>
              </w:numPr>
              <w:spacing w:before="80"/>
              <w:ind w:left="725"/>
              <w:jc w:val="both"/>
              <w:rPr>
                <w:rFonts w:cs="Tahoma"/>
              </w:rPr>
            </w:pPr>
            <w:r w:rsidRPr="00A75DF9">
              <w:rPr>
                <w:rFonts w:cs="Tahoma"/>
              </w:rPr>
              <w:t>Project Pro per Office 365*</w:t>
            </w:r>
          </w:p>
          <w:p w:rsidR="00456002" w:rsidRPr="00A75DF9" w:rsidRDefault="00456002" w:rsidP="00346F4B">
            <w:pPr>
              <w:keepNext/>
              <w:numPr>
                <w:ilvl w:val="0"/>
                <w:numId w:val="38"/>
              </w:numPr>
              <w:spacing w:before="80"/>
              <w:ind w:left="725"/>
              <w:jc w:val="both"/>
              <w:rPr>
                <w:rFonts w:cs="Tahoma"/>
              </w:rPr>
            </w:pPr>
            <w:r w:rsidRPr="00A75DF9">
              <w:rPr>
                <w:rFonts w:cs="Tahoma"/>
              </w:rPr>
              <w:t>SharePoint Online Piano 1*</w:t>
            </w:r>
          </w:p>
          <w:p w:rsidR="00456002" w:rsidRPr="00A75DF9" w:rsidRDefault="00456002" w:rsidP="00346F4B">
            <w:pPr>
              <w:keepNext/>
              <w:numPr>
                <w:ilvl w:val="0"/>
                <w:numId w:val="38"/>
              </w:numPr>
              <w:spacing w:before="80"/>
              <w:ind w:left="725"/>
              <w:jc w:val="both"/>
              <w:rPr>
                <w:rFonts w:cs="Tahoma"/>
              </w:rPr>
            </w:pPr>
            <w:r w:rsidRPr="00A75DF9">
              <w:rPr>
                <w:rFonts w:cs="Tahoma"/>
              </w:rPr>
              <w:t>SharePoint Online Piano 2*</w:t>
            </w:r>
          </w:p>
          <w:p w:rsidR="00456002" w:rsidRPr="00A75DF9" w:rsidRDefault="00456002" w:rsidP="00346F4B">
            <w:pPr>
              <w:keepNext/>
              <w:numPr>
                <w:ilvl w:val="0"/>
                <w:numId w:val="38"/>
              </w:numPr>
              <w:spacing w:before="80"/>
              <w:ind w:left="725"/>
              <w:jc w:val="both"/>
              <w:rPr>
                <w:rFonts w:cs="Tahoma"/>
              </w:rPr>
            </w:pPr>
            <w:r w:rsidRPr="00A75DF9">
              <w:rPr>
                <w:rFonts w:cs="Tahoma"/>
              </w:rPr>
              <w:t>Accesso partner SharePoint Online*</w:t>
            </w:r>
          </w:p>
          <w:p w:rsidR="00C177EF" w:rsidRPr="00A75DF9" w:rsidRDefault="00C177EF" w:rsidP="00346F4B">
            <w:pPr>
              <w:keepNext/>
              <w:numPr>
                <w:ilvl w:val="0"/>
                <w:numId w:val="38"/>
              </w:numPr>
              <w:spacing w:before="80"/>
              <w:ind w:left="725"/>
              <w:jc w:val="both"/>
              <w:rPr>
                <w:rFonts w:cs="Tahoma"/>
              </w:rPr>
            </w:pPr>
            <w:r w:rsidRPr="00A75DF9">
              <w:rPr>
                <w:rFonts w:cs="Tahoma"/>
              </w:rPr>
              <w:t>Visio Pro per Office 365*</w:t>
            </w:r>
          </w:p>
          <w:p w:rsidR="00D8521B" w:rsidRPr="00A75DF9" w:rsidRDefault="00D8521B" w:rsidP="00DC2DAE">
            <w:pPr>
              <w:numPr>
                <w:ilvl w:val="0"/>
                <w:numId w:val="38"/>
              </w:numPr>
              <w:spacing w:before="80"/>
              <w:ind w:left="692"/>
              <w:jc w:val="both"/>
              <w:rPr>
                <w:rFonts w:cs="Tahoma"/>
              </w:rPr>
            </w:pPr>
            <w:r w:rsidRPr="00A75DF9">
              <w:rPr>
                <w:rFonts w:cs="Tahoma"/>
                <w:color w:val="000000"/>
              </w:rPr>
              <w:t>Windows</w:t>
            </w:r>
            <w:r w:rsidR="00DC2DAE">
              <w:rPr>
                <w:rFonts w:cs="Tahoma"/>
                <w:color w:val="000000"/>
              </w:rPr>
              <w:t> </w:t>
            </w:r>
            <w:r w:rsidRPr="00A75DF9">
              <w:rPr>
                <w:rFonts w:cs="Tahoma"/>
                <w:color w:val="000000"/>
              </w:rPr>
              <w:t>Azure</w:t>
            </w:r>
            <w:r w:rsidR="00DC2DAE">
              <w:rPr>
                <w:rFonts w:cs="Tahoma"/>
                <w:color w:val="000000"/>
              </w:rPr>
              <w:t> </w:t>
            </w:r>
            <w:r w:rsidRPr="00A75DF9">
              <w:rPr>
                <w:rFonts w:cs="Tahoma"/>
                <w:color w:val="000000"/>
              </w:rPr>
              <w:t>Active</w:t>
            </w:r>
            <w:r w:rsidR="00DC2DAE">
              <w:rPr>
                <w:rFonts w:cs="Tahoma"/>
                <w:color w:val="000000"/>
              </w:rPr>
              <w:t> </w:t>
            </w:r>
            <w:r w:rsidRPr="00A75DF9">
              <w:rPr>
                <w:rFonts w:cs="Tahoma"/>
                <w:color w:val="000000"/>
              </w:rPr>
              <w:t>Directory</w:t>
            </w:r>
            <w:r w:rsidR="00DC2DAE">
              <w:rPr>
                <w:rFonts w:cs="Tahoma"/>
                <w:color w:val="000000"/>
              </w:rPr>
              <w:t> </w:t>
            </w:r>
            <w:r w:rsidRPr="00A75DF9">
              <w:rPr>
                <w:rFonts w:cs="Tahoma"/>
                <w:color w:val="000000"/>
              </w:rPr>
              <w:t>Rights Management*</w:t>
            </w:r>
          </w:p>
          <w:p w:rsidR="00776E3B" w:rsidRPr="00A75DF9" w:rsidRDefault="00776E3B" w:rsidP="00346F4B">
            <w:pPr>
              <w:keepNext/>
              <w:numPr>
                <w:ilvl w:val="0"/>
                <w:numId w:val="38"/>
              </w:numPr>
              <w:spacing w:before="80"/>
              <w:ind w:left="725"/>
              <w:jc w:val="both"/>
              <w:rPr>
                <w:rFonts w:cs="Tahoma"/>
              </w:rPr>
            </w:pPr>
            <w:r w:rsidRPr="00A75DF9">
              <w:rPr>
                <w:rFonts w:cs="Tahoma"/>
              </w:rPr>
              <w:t>Servizi di Windows Azure*</w:t>
            </w:r>
          </w:p>
          <w:p w:rsidR="00456002" w:rsidRPr="00A75DF9" w:rsidRDefault="00456002" w:rsidP="00346F4B">
            <w:pPr>
              <w:keepNext/>
              <w:numPr>
                <w:ilvl w:val="0"/>
                <w:numId w:val="38"/>
              </w:numPr>
              <w:spacing w:before="80"/>
              <w:ind w:left="720"/>
              <w:jc w:val="both"/>
              <w:rPr>
                <w:rFonts w:cs="Tahoma"/>
              </w:rPr>
            </w:pPr>
            <w:r w:rsidRPr="00A75DF9">
              <w:rPr>
                <w:rFonts w:cs="Tahoma"/>
              </w:rPr>
              <w:t>Windows Intune</w:t>
            </w:r>
          </w:p>
          <w:p w:rsidR="00456002" w:rsidRPr="00A75DF9" w:rsidRDefault="00456002" w:rsidP="00DC2DAE">
            <w:pPr>
              <w:keepNext/>
              <w:numPr>
                <w:ilvl w:val="0"/>
                <w:numId w:val="38"/>
              </w:numPr>
              <w:spacing w:before="80"/>
              <w:ind w:left="725"/>
              <w:jc w:val="both"/>
              <w:rPr>
                <w:rFonts w:cs="Tahoma"/>
              </w:rPr>
            </w:pPr>
            <w:r w:rsidRPr="00A75DF9">
              <w:rPr>
                <w:rFonts w:cs="Tahoma"/>
              </w:rPr>
              <w:t>Componente</w:t>
            </w:r>
            <w:r w:rsidR="00DC2DAE">
              <w:rPr>
                <w:rFonts w:cs="Tahoma"/>
              </w:rPr>
              <w:t> </w:t>
            </w:r>
            <w:r w:rsidRPr="00A75DF9">
              <w:rPr>
                <w:rFonts w:cs="Tahoma"/>
              </w:rPr>
              <w:t>aggiuntivo</w:t>
            </w:r>
            <w:r w:rsidR="00DC2DAE">
              <w:rPr>
                <w:rFonts w:cs="Tahoma"/>
              </w:rPr>
              <w:t> </w:t>
            </w:r>
            <w:r w:rsidRPr="00A75DF9">
              <w:rPr>
                <w:rFonts w:cs="Tahoma"/>
              </w:rPr>
              <w:t>di</w:t>
            </w:r>
            <w:r w:rsidR="00DC2DAE">
              <w:rPr>
                <w:rFonts w:cs="Tahoma"/>
              </w:rPr>
              <w:t> </w:t>
            </w:r>
            <w:r w:rsidRPr="00A75DF9">
              <w:rPr>
                <w:rFonts w:cs="Tahoma"/>
              </w:rPr>
              <w:t>Windows Intune*</w:t>
            </w:r>
          </w:p>
          <w:p w:rsidR="00F27B29" w:rsidRPr="00A75DF9" w:rsidRDefault="00F27B29" w:rsidP="00346F4B">
            <w:pPr>
              <w:keepNext/>
              <w:numPr>
                <w:ilvl w:val="0"/>
                <w:numId w:val="38"/>
              </w:numPr>
              <w:spacing w:before="80" w:after="120"/>
              <w:ind w:left="720"/>
              <w:jc w:val="both"/>
              <w:rPr>
                <w:rFonts w:cs="Tahoma"/>
              </w:rPr>
            </w:pPr>
            <w:r w:rsidRPr="00A75DF9">
              <w:rPr>
                <w:rFonts w:cs="Tahoma"/>
              </w:rPr>
              <w:t>Yammer Enterprise*</w:t>
            </w:r>
          </w:p>
        </w:tc>
      </w:tr>
    </w:tbl>
    <w:p w:rsidR="00776E3B" w:rsidRPr="00A75DF9" w:rsidRDefault="00776E3B" w:rsidP="00776E3B">
      <w:pPr>
        <w:tabs>
          <w:tab w:val="left" w:pos="360"/>
        </w:tabs>
        <w:ind w:left="720"/>
        <w:rPr>
          <w:rFonts w:cs="Tahoma"/>
        </w:rPr>
      </w:pPr>
      <w:r w:rsidRPr="00A75DF9">
        <w:rPr>
          <w:rFonts w:cs="Tahoma"/>
          <w:i/>
          <w:sz w:val="16"/>
          <w:szCs w:val="20"/>
        </w:rPr>
        <w:t>* Prodotto aggiuntivo</w:t>
      </w:r>
    </w:p>
    <w:p w:rsidR="00023FE7" w:rsidRPr="00A75DF9" w:rsidRDefault="00023FE7" w:rsidP="00DC2DAE">
      <w:pPr>
        <w:pStyle w:val="Heading1"/>
        <w:spacing w:before="0"/>
        <w:rPr>
          <w:rFonts w:cs="Tahoma"/>
        </w:rPr>
      </w:pPr>
      <w:r w:rsidRPr="00A75DF9">
        <w:rPr>
          <w:rFonts w:cs="Tahoma"/>
        </w:rPr>
        <w:br w:type="page"/>
      </w:r>
      <w:bookmarkStart w:id="635" w:name="_Toc336338197"/>
      <w:bookmarkStart w:id="636" w:name="_Toc368310187"/>
      <w:r w:rsidRPr="00A75DF9">
        <w:rPr>
          <w:rFonts w:cs="Tahoma"/>
        </w:rPr>
        <w:lastRenderedPageBreak/>
        <w:t>ARTICOLO 4 - Tipi di Licenze e Corrispettivi</w:t>
      </w:r>
      <w:bookmarkEnd w:id="635"/>
      <w:bookmarkEnd w:id="636"/>
      <w:r w:rsidRPr="00A75DF9">
        <w:rPr>
          <w:rFonts w:cs="Tahoma"/>
        </w:rPr>
        <w:t xml:space="preserve"> </w:t>
      </w:r>
    </w:p>
    <w:p w:rsidR="00023FE7" w:rsidRPr="00A75DF9" w:rsidRDefault="00023FE7">
      <w:pPr>
        <w:pStyle w:val="Heading2"/>
        <w:ind w:left="0" w:right="720"/>
        <w:rPr>
          <w:rFonts w:ascii="Tahoma" w:hAnsi="Tahoma" w:cs="Tahoma"/>
        </w:rPr>
      </w:pPr>
    </w:p>
    <w:p w:rsidR="00456002" w:rsidRPr="00A75DF9" w:rsidRDefault="00456002" w:rsidP="00456002">
      <w:pPr>
        <w:pStyle w:val="Heading2"/>
        <w:tabs>
          <w:tab w:val="left" w:pos="90"/>
        </w:tabs>
        <w:ind w:left="0" w:right="720"/>
        <w:rPr>
          <w:rFonts w:ascii="Tahoma" w:hAnsi="Tahoma" w:cs="Tahoma"/>
        </w:rPr>
      </w:pPr>
      <w:bookmarkStart w:id="637" w:name="_Toc336338198"/>
      <w:bookmarkStart w:id="638" w:name="_Toc368310188"/>
      <w:r w:rsidRPr="00A75DF9">
        <w:rPr>
          <w:rFonts w:ascii="Tahoma" w:hAnsi="Tahoma" w:cs="Tahoma"/>
        </w:rPr>
        <w:t>Corrispettivi</w:t>
      </w:r>
      <w:bookmarkEnd w:id="637"/>
      <w:bookmarkEnd w:id="638"/>
      <w:r w:rsidRPr="00A75DF9">
        <w:rPr>
          <w:rFonts w:ascii="Tahoma" w:hAnsi="Tahoma" w:cs="Tahoma"/>
        </w:rPr>
        <w:t> </w:t>
      </w:r>
    </w:p>
    <w:p w:rsidR="00456002" w:rsidRPr="00A75DF9" w:rsidRDefault="00456002" w:rsidP="00ED589D">
      <w:pPr>
        <w:ind w:right="720"/>
        <w:rPr>
          <w:rFonts w:cs="Tahoma"/>
        </w:rPr>
      </w:pPr>
    </w:p>
    <w:p w:rsidR="00456002" w:rsidRPr="00A75DF9" w:rsidRDefault="00456002" w:rsidP="00DC2DAE">
      <w:pPr>
        <w:pStyle w:val="AppendixBodyText"/>
        <w:spacing w:after="0"/>
        <w:ind w:right="720"/>
        <w:rPr>
          <w:rFonts w:ascii="Tahoma" w:hAnsi="Tahoma" w:cs="Tahoma"/>
        </w:rPr>
      </w:pPr>
      <w:r w:rsidRPr="00A75DF9">
        <w:rPr>
          <w:rFonts w:ascii="Tahoma" w:hAnsi="Tahoma" w:cs="Tahoma"/>
          <w:sz w:val="18"/>
        </w:rPr>
        <w:t>Questo tipo di prodotto è disponibile per alcuni Servizi Online e prodotti software.</w:t>
      </w:r>
      <w:r w:rsidR="009D3B41" w:rsidRPr="00A75DF9">
        <w:rPr>
          <w:rFonts w:ascii="Tahoma" w:hAnsi="Tahoma" w:cs="Tahoma"/>
          <w:sz w:val="18"/>
        </w:rPr>
        <w:t xml:space="preserve"> </w:t>
      </w:r>
      <w:r w:rsidRPr="00A75DF9">
        <w:rPr>
          <w:rFonts w:ascii="Tahoma" w:hAnsi="Tahoma" w:cs="Tahoma"/>
          <w:sz w:val="18"/>
        </w:rPr>
        <w:t>Non dipende dalla versione, può essere associato a costi di configurazione o altre offerte, quali i pacchetti di attivazione.</w:t>
      </w:r>
      <w:r w:rsidR="009D3B41" w:rsidRPr="00A75DF9">
        <w:rPr>
          <w:rFonts w:ascii="Tahoma" w:hAnsi="Tahoma" w:cs="Tahoma"/>
          <w:sz w:val="18"/>
        </w:rPr>
        <w:t xml:space="preserve"> </w:t>
      </w:r>
      <w:r w:rsidRPr="00A75DF9">
        <w:rPr>
          <w:rFonts w:ascii="Tahoma" w:hAnsi="Tahoma" w:cs="Tahoma"/>
          <w:sz w:val="18"/>
        </w:rPr>
        <w:t>A</w:t>
      </w:r>
      <w:r w:rsidR="00DC2DAE">
        <w:rPr>
          <w:rFonts w:ascii="Tahoma" w:hAnsi="Tahoma" w:cs="Tahoma"/>
          <w:sz w:val="18"/>
        </w:rPr>
        <w:t> </w:t>
      </w:r>
      <w:r w:rsidRPr="00A75DF9">
        <w:rPr>
          <w:rFonts w:ascii="Tahoma" w:hAnsi="Tahoma" w:cs="Tahoma"/>
          <w:sz w:val="18"/>
        </w:rPr>
        <w:t>livello generale non concede il diritto di utilizzare un prodotto o un servizio online.</w:t>
      </w:r>
      <w:r w:rsidR="009D3B41" w:rsidRPr="00A75DF9">
        <w:rPr>
          <w:rFonts w:ascii="Tahoma" w:hAnsi="Tahoma" w:cs="Tahoma"/>
          <w:sz w:val="18"/>
        </w:rPr>
        <w:t xml:space="preserve"> </w:t>
      </w:r>
      <w:r w:rsidRPr="00A75DF9">
        <w:rPr>
          <w:rFonts w:ascii="Tahoma" w:hAnsi="Tahoma" w:cs="Tahoma"/>
          <w:sz w:val="18"/>
        </w:rPr>
        <w:t>Analogamente, non</w:t>
      </w:r>
      <w:r w:rsidR="00DC2DAE">
        <w:rPr>
          <w:rFonts w:ascii="Tahoma" w:hAnsi="Tahoma" w:cs="Tahoma"/>
          <w:sz w:val="18"/>
        </w:rPr>
        <w:t> </w:t>
      </w:r>
      <w:r w:rsidRPr="00A75DF9">
        <w:rPr>
          <w:rFonts w:ascii="Tahoma" w:hAnsi="Tahoma" w:cs="Tahoma"/>
          <w:sz w:val="18"/>
        </w:rPr>
        <w:t>offre alcun vantaggio o serve ad alcun scopo al di fuori del servizio o del software a cui corrisponde.</w:t>
      </w:r>
      <w:r w:rsidR="009D3B41" w:rsidRPr="00A75DF9">
        <w:rPr>
          <w:rFonts w:ascii="Tahoma" w:hAnsi="Tahoma" w:cs="Tahoma"/>
          <w:sz w:val="18"/>
        </w:rPr>
        <w:t xml:space="preserve"> </w:t>
      </w:r>
      <w:r w:rsidRPr="00A75DF9">
        <w:rPr>
          <w:rFonts w:ascii="Tahoma" w:hAnsi="Tahoma" w:cs="Tahoma"/>
          <w:sz w:val="18"/>
        </w:rPr>
        <w:t>Disponibile nei seguenti programmi: Open, Open Value, Open Value Subscription, Select e Select Plus.</w:t>
      </w:r>
    </w:p>
    <w:p w:rsidR="00255158" w:rsidRPr="00A75DF9" w:rsidRDefault="00255158" w:rsidP="0014632E">
      <w:pPr>
        <w:ind w:right="720"/>
        <w:rPr>
          <w:rFonts w:cs="Tahoma"/>
        </w:rPr>
      </w:pPr>
    </w:p>
    <w:p w:rsidR="00456002" w:rsidRPr="00A75DF9" w:rsidRDefault="00456002" w:rsidP="00456002">
      <w:pPr>
        <w:pStyle w:val="Heading2"/>
        <w:tabs>
          <w:tab w:val="left" w:pos="90"/>
        </w:tabs>
        <w:ind w:left="0" w:right="720"/>
        <w:rPr>
          <w:rFonts w:ascii="Tahoma" w:hAnsi="Tahoma" w:cs="Tahoma"/>
        </w:rPr>
      </w:pPr>
      <w:bookmarkStart w:id="639" w:name="_Toc323819648"/>
      <w:bookmarkStart w:id="640" w:name="_Toc336338199"/>
      <w:bookmarkStart w:id="641" w:name="_Toc368310189"/>
      <w:r w:rsidRPr="00A75DF9">
        <w:rPr>
          <w:rFonts w:ascii="Tahoma" w:hAnsi="Tahoma" w:cs="Tahoma"/>
        </w:rPr>
        <w:t>Licenza</w:t>
      </w:r>
      <w:bookmarkEnd w:id="639"/>
      <w:bookmarkEnd w:id="640"/>
      <w:bookmarkEnd w:id="641"/>
    </w:p>
    <w:p w:rsidR="00456002" w:rsidRPr="00A75DF9" w:rsidRDefault="00456002" w:rsidP="00ED589D">
      <w:pPr>
        <w:pStyle w:val="AppendixIndent"/>
        <w:tabs>
          <w:tab w:val="left" w:pos="90"/>
        </w:tabs>
        <w:spacing w:before="0"/>
        <w:ind w:left="0" w:right="720"/>
        <w:rPr>
          <w:rFonts w:ascii="Tahoma" w:hAnsi="Tahoma" w:cs="Tahoma"/>
        </w:rPr>
      </w:pPr>
    </w:p>
    <w:p w:rsidR="00456002" w:rsidRPr="00DC2DAE" w:rsidRDefault="00456002" w:rsidP="0014632E">
      <w:pPr>
        <w:pStyle w:val="AppendixBodyText"/>
        <w:spacing w:after="0"/>
        <w:ind w:right="720"/>
        <w:rPr>
          <w:rFonts w:ascii="Tahoma" w:hAnsi="Tahoma" w:cs="Tahoma"/>
          <w:sz w:val="18"/>
          <w:szCs w:val="18"/>
        </w:rPr>
      </w:pPr>
      <w:r w:rsidRPr="00DC2DAE">
        <w:rPr>
          <w:rFonts w:ascii="Tahoma" w:hAnsi="Tahoma" w:cs="Tahoma"/>
          <w:sz w:val="18"/>
          <w:szCs w:val="18"/>
        </w:rPr>
        <w:t xml:space="preserve">Questo tipo di prodotto dipende dalla versione e concede il diritto di eseguire il prodotto per il quale viene ordinato. Disponibile nei seguenti programmi: </w:t>
      </w:r>
    </w:p>
    <w:p w:rsidR="00456002" w:rsidRPr="00DC2DAE" w:rsidRDefault="00456002" w:rsidP="0014632E">
      <w:pPr>
        <w:pStyle w:val="AppendixIndent"/>
        <w:tabs>
          <w:tab w:val="left" w:pos="90"/>
        </w:tabs>
        <w:spacing w:before="0"/>
        <w:ind w:left="0" w:right="720"/>
        <w:rPr>
          <w:rFonts w:ascii="Tahoma" w:hAnsi="Tahoma" w:cs="Tahoma"/>
          <w:sz w:val="18"/>
          <w:szCs w:val="18"/>
        </w:rPr>
      </w:pPr>
    </w:p>
    <w:p w:rsidR="00456002" w:rsidRPr="00DC2DAE" w:rsidRDefault="00456002" w:rsidP="00346F4B">
      <w:pPr>
        <w:pStyle w:val="AppendixBulletIndent"/>
        <w:numPr>
          <w:ilvl w:val="0"/>
          <w:numId w:val="59"/>
        </w:numPr>
        <w:tabs>
          <w:tab w:val="left" w:pos="90"/>
        </w:tabs>
        <w:spacing w:after="60"/>
        <w:ind w:left="1440" w:right="720"/>
        <w:rPr>
          <w:rFonts w:ascii="Tahoma" w:hAnsi="Tahoma" w:cs="Tahoma"/>
          <w:sz w:val="18"/>
          <w:szCs w:val="18"/>
        </w:rPr>
      </w:pPr>
      <w:r w:rsidRPr="00DC2DAE">
        <w:rPr>
          <w:rFonts w:ascii="Tahoma" w:hAnsi="Tahoma" w:cs="Tahoma"/>
          <w:sz w:val="18"/>
          <w:szCs w:val="18"/>
        </w:rPr>
        <w:t>Licenza Open</w:t>
      </w:r>
    </w:p>
    <w:p w:rsidR="00456002" w:rsidRPr="00DC2DAE" w:rsidRDefault="00456002" w:rsidP="00346F4B">
      <w:pPr>
        <w:pStyle w:val="AppendixBulletIndent"/>
        <w:numPr>
          <w:ilvl w:val="0"/>
          <w:numId w:val="59"/>
        </w:numPr>
        <w:tabs>
          <w:tab w:val="left" w:pos="90"/>
        </w:tabs>
        <w:spacing w:after="60"/>
        <w:ind w:left="1440" w:right="720"/>
        <w:rPr>
          <w:rFonts w:ascii="Tahoma" w:hAnsi="Tahoma" w:cs="Tahoma"/>
          <w:sz w:val="18"/>
          <w:szCs w:val="18"/>
        </w:rPr>
      </w:pPr>
      <w:r w:rsidRPr="00DC2DAE">
        <w:rPr>
          <w:rFonts w:ascii="Tahoma" w:hAnsi="Tahoma" w:cs="Tahoma"/>
          <w:sz w:val="18"/>
          <w:szCs w:val="18"/>
        </w:rPr>
        <w:t xml:space="preserve">Open Value Subscription (solo per ordini buy-out) </w:t>
      </w:r>
    </w:p>
    <w:p w:rsidR="00456002" w:rsidRPr="00DC2DAE" w:rsidRDefault="00456002" w:rsidP="00346F4B">
      <w:pPr>
        <w:pStyle w:val="AppendixBulletIndent"/>
        <w:numPr>
          <w:ilvl w:val="0"/>
          <w:numId w:val="59"/>
        </w:numPr>
        <w:tabs>
          <w:tab w:val="left" w:pos="90"/>
        </w:tabs>
        <w:spacing w:after="60"/>
        <w:ind w:left="1440" w:right="720"/>
        <w:rPr>
          <w:rFonts w:ascii="Tahoma" w:hAnsi="Tahoma" w:cs="Tahoma"/>
          <w:sz w:val="18"/>
          <w:szCs w:val="18"/>
        </w:rPr>
      </w:pPr>
      <w:r w:rsidRPr="00DC2DAE">
        <w:rPr>
          <w:rFonts w:ascii="Tahoma" w:hAnsi="Tahoma" w:cs="Tahoma"/>
          <w:sz w:val="18"/>
          <w:szCs w:val="18"/>
        </w:rPr>
        <w:t xml:space="preserve">Select </w:t>
      </w:r>
    </w:p>
    <w:p w:rsidR="00456002" w:rsidRPr="00DC2DAE" w:rsidRDefault="00456002" w:rsidP="00346F4B">
      <w:pPr>
        <w:pStyle w:val="AppendixBulletIndent"/>
        <w:numPr>
          <w:ilvl w:val="0"/>
          <w:numId w:val="59"/>
        </w:numPr>
        <w:tabs>
          <w:tab w:val="left" w:pos="90"/>
        </w:tabs>
        <w:spacing w:after="60"/>
        <w:ind w:left="1440" w:right="720"/>
        <w:rPr>
          <w:rFonts w:ascii="Tahoma" w:hAnsi="Tahoma" w:cs="Tahoma"/>
          <w:sz w:val="18"/>
          <w:szCs w:val="18"/>
        </w:rPr>
      </w:pPr>
      <w:r w:rsidRPr="00DC2DAE">
        <w:rPr>
          <w:rFonts w:ascii="Tahoma" w:hAnsi="Tahoma" w:cs="Tahoma"/>
          <w:sz w:val="18"/>
          <w:szCs w:val="18"/>
        </w:rPr>
        <w:t>Select Plus</w:t>
      </w:r>
    </w:p>
    <w:p w:rsidR="00456002" w:rsidRPr="00DC2DAE" w:rsidRDefault="00456002" w:rsidP="00346F4B">
      <w:pPr>
        <w:pStyle w:val="AppendixBulletIndent"/>
        <w:numPr>
          <w:ilvl w:val="0"/>
          <w:numId w:val="59"/>
        </w:numPr>
        <w:tabs>
          <w:tab w:val="left" w:pos="90"/>
        </w:tabs>
        <w:spacing w:after="60"/>
        <w:ind w:left="1440" w:right="720"/>
        <w:rPr>
          <w:rFonts w:ascii="Tahoma" w:hAnsi="Tahoma" w:cs="Tahoma"/>
          <w:sz w:val="18"/>
          <w:szCs w:val="18"/>
        </w:rPr>
      </w:pPr>
      <w:r w:rsidRPr="00DC2DAE">
        <w:rPr>
          <w:rFonts w:ascii="Tahoma" w:hAnsi="Tahoma" w:cs="Tahoma"/>
          <w:sz w:val="18"/>
          <w:szCs w:val="18"/>
        </w:rPr>
        <w:t>Contratto School (solo per ordini buy-out)</w:t>
      </w:r>
    </w:p>
    <w:p w:rsidR="00456002" w:rsidRPr="00DC2DAE" w:rsidRDefault="00456002" w:rsidP="00346F4B">
      <w:pPr>
        <w:pStyle w:val="AppendixBulletIndent"/>
        <w:numPr>
          <w:ilvl w:val="0"/>
          <w:numId w:val="59"/>
        </w:numPr>
        <w:tabs>
          <w:tab w:val="left" w:pos="90"/>
        </w:tabs>
        <w:spacing w:after="60"/>
        <w:ind w:left="1440" w:right="720"/>
        <w:rPr>
          <w:rFonts w:ascii="Tahoma" w:hAnsi="Tahoma" w:cs="Tahoma"/>
          <w:sz w:val="18"/>
          <w:szCs w:val="18"/>
        </w:rPr>
      </w:pPr>
      <w:r w:rsidRPr="00DC2DAE">
        <w:rPr>
          <w:rFonts w:ascii="Tahoma" w:hAnsi="Tahoma" w:cs="Tahoma"/>
          <w:sz w:val="18"/>
          <w:szCs w:val="18"/>
        </w:rPr>
        <w:t>EES (solo per ordini buy-out)</w:t>
      </w:r>
    </w:p>
    <w:p w:rsidR="00456002" w:rsidRPr="00DC2DAE" w:rsidRDefault="00456002" w:rsidP="00346F4B">
      <w:pPr>
        <w:pStyle w:val="AppendixBulletIndent"/>
        <w:numPr>
          <w:ilvl w:val="0"/>
          <w:numId w:val="59"/>
        </w:numPr>
        <w:tabs>
          <w:tab w:val="left" w:pos="90"/>
        </w:tabs>
        <w:ind w:left="1440" w:right="720"/>
        <w:rPr>
          <w:rFonts w:ascii="Tahoma" w:hAnsi="Tahoma" w:cs="Tahoma"/>
          <w:sz w:val="18"/>
          <w:szCs w:val="18"/>
        </w:rPr>
      </w:pPr>
      <w:r w:rsidRPr="00DC2DAE">
        <w:rPr>
          <w:rFonts w:ascii="Tahoma" w:hAnsi="Tahoma" w:cs="Tahoma"/>
          <w:sz w:val="18"/>
          <w:szCs w:val="18"/>
        </w:rPr>
        <w:t>Contratto Enterprise Subscription (solo per ordini buy-out)</w:t>
      </w:r>
    </w:p>
    <w:p w:rsidR="00456002" w:rsidRPr="00DC2DAE" w:rsidRDefault="00456002" w:rsidP="0014632E">
      <w:pPr>
        <w:pStyle w:val="AppendixIndent"/>
        <w:tabs>
          <w:tab w:val="left" w:pos="90"/>
        </w:tabs>
        <w:spacing w:before="0"/>
        <w:ind w:left="0" w:right="720"/>
        <w:rPr>
          <w:rFonts w:ascii="Tahoma" w:hAnsi="Tahoma" w:cs="Tahoma"/>
          <w:sz w:val="18"/>
          <w:szCs w:val="18"/>
        </w:rPr>
      </w:pPr>
    </w:p>
    <w:p w:rsidR="00456002" w:rsidRPr="00DC2DAE" w:rsidRDefault="00456002" w:rsidP="0014632E">
      <w:pPr>
        <w:pStyle w:val="AppendixBodyText"/>
        <w:spacing w:after="0"/>
        <w:ind w:right="720"/>
        <w:rPr>
          <w:rFonts w:ascii="Tahoma" w:hAnsi="Tahoma" w:cs="Tahoma"/>
          <w:sz w:val="18"/>
          <w:szCs w:val="18"/>
        </w:rPr>
      </w:pPr>
      <w:r w:rsidRPr="00DC2DAE">
        <w:rPr>
          <w:rFonts w:ascii="Tahoma" w:hAnsi="Tahoma" w:cs="Tahoma"/>
          <w:sz w:val="18"/>
          <w:szCs w:val="18"/>
        </w:rPr>
        <w:t>Non esistono prerequisiti per una società che desidera acquistare una Licenza dei programmi Open License, Select e Select Plus.</w:t>
      </w:r>
      <w:r w:rsidR="009D3B41" w:rsidRPr="00DC2DAE">
        <w:rPr>
          <w:rFonts w:ascii="Tahoma" w:hAnsi="Tahoma" w:cs="Tahoma"/>
          <w:sz w:val="18"/>
          <w:szCs w:val="18"/>
        </w:rPr>
        <w:t xml:space="preserve"> </w:t>
      </w:r>
      <w:r w:rsidRPr="00DC2DAE">
        <w:rPr>
          <w:rFonts w:ascii="Tahoma" w:hAnsi="Tahoma" w:cs="Tahoma"/>
          <w:sz w:val="18"/>
          <w:szCs w:val="18"/>
        </w:rPr>
        <w:t>Fare riferimento al contratto specifico per il programma per conoscere i criteri di idoneità per l</w:t>
      </w:r>
      <w:r w:rsidR="00F2643E">
        <w:rPr>
          <w:rFonts w:ascii="Tahoma" w:hAnsi="Tahoma" w:cs="Tahoma"/>
          <w:sz w:val="18"/>
          <w:szCs w:val="18"/>
        </w:rPr>
        <w:t>’</w:t>
      </w:r>
      <w:r w:rsidRPr="00DC2DAE">
        <w:rPr>
          <w:rFonts w:ascii="Tahoma" w:hAnsi="Tahoma" w:cs="Tahoma"/>
          <w:sz w:val="18"/>
          <w:szCs w:val="18"/>
        </w:rPr>
        <w:t>acquisto di una licenza perpetua tramite ordini buy-out.</w:t>
      </w:r>
    </w:p>
    <w:p w:rsidR="00255158" w:rsidRPr="00DC2DAE" w:rsidRDefault="00255158" w:rsidP="0014632E">
      <w:pPr>
        <w:pStyle w:val="AppendixIndent"/>
        <w:tabs>
          <w:tab w:val="left" w:pos="90"/>
        </w:tabs>
        <w:spacing w:before="0"/>
        <w:ind w:left="0" w:right="720"/>
        <w:rPr>
          <w:rFonts w:ascii="Tahoma" w:hAnsi="Tahoma" w:cs="Tahoma"/>
          <w:sz w:val="18"/>
          <w:szCs w:val="18"/>
        </w:rPr>
      </w:pPr>
    </w:p>
    <w:p w:rsidR="00456002" w:rsidRPr="00A75DF9" w:rsidRDefault="00456002" w:rsidP="00456002">
      <w:pPr>
        <w:pStyle w:val="Heading2"/>
        <w:tabs>
          <w:tab w:val="left" w:pos="90"/>
        </w:tabs>
        <w:ind w:left="0" w:right="720"/>
        <w:rPr>
          <w:rFonts w:ascii="Tahoma" w:hAnsi="Tahoma" w:cs="Tahoma"/>
        </w:rPr>
      </w:pPr>
      <w:bookmarkStart w:id="642" w:name="_Toc323819649"/>
      <w:bookmarkStart w:id="643" w:name="_Toc336338200"/>
      <w:bookmarkStart w:id="644" w:name="_Toc368310190"/>
      <w:r w:rsidRPr="00A75DF9">
        <w:rPr>
          <w:rFonts w:ascii="Tahoma" w:hAnsi="Tahoma" w:cs="Tahoma"/>
        </w:rPr>
        <w:t>Licenza e Software Assurance (L&amp;SA)</w:t>
      </w:r>
      <w:bookmarkEnd w:id="642"/>
      <w:bookmarkEnd w:id="643"/>
      <w:bookmarkEnd w:id="644"/>
      <w:r w:rsidRPr="00A75DF9">
        <w:rPr>
          <w:rFonts w:ascii="Tahoma" w:hAnsi="Tahoma" w:cs="Tahoma"/>
        </w:rPr>
        <w:t xml:space="preserve"> </w:t>
      </w:r>
    </w:p>
    <w:p w:rsidR="00456002" w:rsidRPr="00DC2DAE" w:rsidRDefault="00456002" w:rsidP="00ED589D">
      <w:pPr>
        <w:pStyle w:val="AppendixIndent"/>
        <w:tabs>
          <w:tab w:val="left" w:pos="90"/>
        </w:tabs>
        <w:spacing w:before="0"/>
        <w:ind w:left="0" w:right="720"/>
        <w:rPr>
          <w:rFonts w:ascii="Tahoma" w:hAnsi="Tahoma" w:cs="Tahoma"/>
          <w:sz w:val="18"/>
          <w:szCs w:val="18"/>
        </w:rPr>
      </w:pPr>
    </w:p>
    <w:p w:rsidR="00456002" w:rsidRPr="00A75DF9" w:rsidRDefault="00456002" w:rsidP="0014632E">
      <w:pPr>
        <w:pStyle w:val="AppendixBodyText"/>
        <w:spacing w:after="0"/>
        <w:ind w:right="720"/>
        <w:rPr>
          <w:rFonts w:ascii="Tahoma" w:hAnsi="Tahoma" w:cs="Tahoma"/>
        </w:rPr>
      </w:pPr>
      <w:r w:rsidRPr="00A75DF9">
        <w:rPr>
          <w:rFonts w:ascii="Tahoma" w:hAnsi="Tahoma" w:cs="Tahoma"/>
          <w:sz w:val="18"/>
        </w:rPr>
        <w:t>Questo tipo di prodotto dipende dalla versione. Consente alle società di acquistare insieme la Licenza e Software Assurance. Disponibile nei seguenti programmi:</w:t>
      </w:r>
    </w:p>
    <w:p w:rsidR="00456002" w:rsidRPr="00DC2DAE" w:rsidRDefault="00456002" w:rsidP="0014632E">
      <w:pPr>
        <w:pStyle w:val="AppendixIndent"/>
        <w:tabs>
          <w:tab w:val="left" w:pos="90"/>
        </w:tabs>
        <w:spacing w:before="0"/>
        <w:ind w:left="0" w:right="720"/>
        <w:rPr>
          <w:rFonts w:ascii="Tahoma" w:hAnsi="Tahoma" w:cs="Tahoma"/>
          <w:sz w:val="18"/>
          <w:szCs w:val="18"/>
        </w:rPr>
      </w:pPr>
    </w:p>
    <w:p w:rsidR="00456002" w:rsidRPr="00DC2DAE" w:rsidRDefault="00456002" w:rsidP="00346F4B">
      <w:pPr>
        <w:pStyle w:val="AppendixBulletIndent"/>
        <w:numPr>
          <w:ilvl w:val="0"/>
          <w:numId w:val="63"/>
        </w:numPr>
        <w:tabs>
          <w:tab w:val="left" w:pos="1440"/>
        </w:tabs>
        <w:spacing w:after="60"/>
        <w:ind w:left="1440" w:right="720"/>
        <w:rPr>
          <w:rFonts w:ascii="Tahoma" w:hAnsi="Tahoma" w:cs="Tahoma"/>
          <w:sz w:val="18"/>
          <w:szCs w:val="18"/>
        </w:rPr>
      </w:pPr>
      <w:r w:rsidRPr="00DC2DAE">
        <w:rPr>
          <w:rFonts w:ascii="Tahoma" w:hAnsi="Tahoma" w:cs="Tahoma"/>
          <w:sz w:val="18"/>
          <w:szCs w:val="18"/>
        </w:rPr>
        <w:t xml:space="preserve">Open License </w:t>
      </w:r>
    </w:p>
    <w:p w:rsidR="00456002" w:rsidRPr="00DC2DAE" w:rsidRDefault="00456002" w:rsidP="00346F4B">
      <w:pPr>
        <w:pStyle w:val="AppendixBulletIndent"/>
        <w:numPr>
          <w:ilvl w:val="0"/>
          <w:numId w:val="63"/>
        </w:numPr>
        <w:tabs>
          <w:tab w:val="left" w:pos="1440"/>
        </w:tabs>
        <w:spacing w:after="60"/>
        <w:ind w:left="1440" w:right="720"/>
        <w:rPr>
          <w:rFonts w:ascii="Tahoma" w:hAnsi="Tahoma" w:cs="Tahoma"/>
          <w:sz w:val="18"/>
          <w:szCs w:val="18"/>
        </w:rPr>
      </w:pPr>
      <w:r w:rsidRPr="00DC2DAE">
        <w:rPr>
          <w:rFonts w:ascii="Tahoma" w:hAnsi="Tahoma" w:cs="Tahoma"/>
          <w:sz w:val="18"/>
          <w:szCs w:val="18"/>
        </w:rPr>
        <w:t>Open Value</w:t>
      </w:r>
    </w:p>
    <w:p w:rsidR="00456002" w:rsidRPr="00DC2DAE" w:rsidRDefault="00385C82" w:rsidP="00346F4B">
      <w:pPr>
        <w:pStyle w:val="AppendixBulletIndent"/>
        <w:numPr>
          <w:ilvl w:val="0"/>
          <w:numId w:val="63"/>
        </w:numPr>
        <w:tabs>
          <w:tab w:val="left" w:pos="1440"/>
        </w:tabs>
        <w:spacing w:after="60"/>
        <w:ind w:left="1440" w:right="720"/>
        <w:rPr>
          <w:rFonts w:ascii="Tahoma" w:hAnsi="Tahoma" w:cs="Tahoma"/>
          <w:sz w:val="18"/>
          <w:szCs w:val="18"/>
        </w:rPr>
      </w:pPr>
      <w:r w:rsidRPr="00DC2DAE">
        <w:rPr>
          <w:rFonts w:ascii="Tahoma" w:hAnsi="Tahoma" w:cs="Tahoma"/>
          <w:sz w:val="18"/>
          <w:szCs w:val="18"/>
        </w:rPr>
        <w:t>Open Value Subscription</w:t>
      </w:r>
    </w:p>
    <w:p w:rsidR="00456002" w:rsidRPr="00DC2DAE" w:rsidRDefault="00456002" w:rsidP="00346F4B">
      <w:pPr>
        <w:pStyle w:val="AppendixBulletIndent"/>
        <w:numPr>
          <w:ilvl w:val="0"/>
          <w:numId w:val="63"/>
        </w:numPr>
        <w:tabs>
          <w:tab w:val="left" w:pos="1440"/>
        </w:tabs>
        <w:spacing w:after="60"/>
        <w:ind w:left="1440" w:right="720"/>
        <w:rPr>
          <w:rFonts w:ascii="Tahoma" w:hAnsi="Tahoma" w:cs="Tahoma"/>
          <w:sz w:val="18"/>
          <w:szCs w:val="18"/>
        </w:rPr>
      </w:pPr>
      <w:r w:rsidRPr="00DC2DAE">
        <w:rPr>
          <w:rFonts w:ascii="Tahoma" w:hAnsi="Tahoma" w:cs="Tahoma"/>
          <w:sz w:val="18"/>
          <w:szCs w:val="18"/>
        </w:rPr>
        <w:t xml:space="preserve">Select </w:t>
      </w:r>
    </w:p>
    <w:p w:rsidR="00456002" w:rsidRPr="00DC2DAE" w:rsidRDefault="00456002" w:rsidP="00346F4B">
      <w:pPr>
        <w:pStyle w:val="AppendixBulletIndent"/>
        <w:numPr>
          <w:ilvl w:val="0"/>
          <w:numId w:val="63"/>
        </w:numPr>
        <w:tabs>
          <w:tab w:val="left" w:pos="1440"/>
        </w:tabs>
        <w:spacing w:after="60"/>
        <w:ind w:left="1440" w:right="720"/>
        <w:rPr>
          <w:rFonts w:ascii="Tahoma" w:hAnsi="Tahoma" w:cs="Tahoma"/>
          <w:sz w:val="18"/>
          <w:szCs w:val="18"/>
        </w:rPr>
      </w:pPr>
      <w:r w:rsidRPr="00DC2DAE">
        <w:rPr>
          <w:rFonts w:ascii="Tahoma" w:hAnsi="Tahoma" w:cs="Tahoma"/>
          <w:sz w:val="18"/>
          <w:szCs w:val="18"/>
        </w:rPr>
        <w:t>Select Plus</w:t>
      </w:r>
    </w:p>
    <w:p w:rsidR="00456002" w:rsidRPr="00DC2DAE" w:rsidRDefault="00456002" w:rsidP="00346F4B">
      <w:pPr>
        <w:pStyle w:val="AppendixBulletIndent"/>
        <w:numPr>
          <w:ilvl w:val="0"/>
          <w:numId w:val="63"/>
        </w:numPr>
        <w:tabs>
          <w:tab w:val="left" w:pos="1440"/>
        </w:tabs>
        <w:spacing w:after="60"/>
        <w:ind w:left="1440" w:right="720"/>
        <w:rPr>
          <w:rFonts w:ascii="Tahoma" w:hAnsi="Tahoma" w:cs="Tahoma"/>
          <w:sz w:val="18"/>
          <w:szCs w:val="18"/>
        </w:rPr>
      </w:pPr>
      <w:r w:rsidRPr="00DC2DAE">
        <w:rPr>
          <w:rFonts w:ascii="Tahoma" w:hAnsi="Tahoma" w:cs="Tahoma"/>
          <w:sz w:val="18"/>
          <w:szCs w:val="18"/>
        </w:rPr>
        <w:t>Contratto Enterprise</w:t>
      </w:r>
    </w:p>
    <w:p w:rsidR="00456002" w:rsidRPr="00DC2DAE" w:rsidRDefault="00456002" w:rsidP="00346F4B">
      <w:pPr>
        <w:pStyle w:val="AppendixBulletIndent"/>
        <w:numPr>
          <w:ilvl w:val="0"/>
          <w:numId w:val="63"/>
        </w:numPr>
        <w:tabs>
          <w:tab w:val="left" w:pos="1440"/>
        </w:tabs>
        <w:ind w:left="1440" w:right="720"/>
        <w:rPr>
          <w:rFonts w:ascii="Tahoma" w:hAnsi="Tahoma" w:cs="Tahoma"/>
          <w:sz w:val="18"/>
          <w:szCs w:val="18"/>
        </w:rPr>
      </w:pPr>
      <w:r w:rsidRPr="00DC2DAE">
        <w:rPr>
          <w:rFonts w:ascii="Tahoma" w:hAnsi="Tahoma" w:cs="Tahoma"/>
          <w:sz w:val="18"/>
          <w:szCs w:val="18"/>
        </w:rPr>
        <w:t>Contratto Enterprise Subscription</w:t>
      </w:r>
    </w:p>
    <w:p w:rsidR="00456002" w:rsidRPr="00DC2DAE" w:rsidRDefault="00456002" w:rsidP="00EF6A68">
      <w:pPr>
        <w:pStyle w:val="AppendixIndent"/>
        <w:tabs>
          <w:tab w:val="left" w:pos="90"/>
        </w:tabs>
        <w:spacing w:before="0"/>
        <w:ind w:left="0" w:right="720"/>
        <w:rPr>
          <w:rFonts w:ascii="Tahoma" w:hAnsi="Tahoma" w:cs="Tahoma"/>
          <w:sz w:val="18"/>
          <w:szCs w:val="18"/>
        </w:rPr>
      </w:pPr>
    </w:p>
    <w:p w:rsidR="00456002" w:rsidRPr="00F2643E" w:rsidRDefault="00456002" w:rsidP="00F2643E">
      <w:pPr>
        <w:pStyle w:val="AppendixBodyText"/>
        <w:spacing w:after="0"/>
        <w:ind w:right="270"/>
        <w:rPr>
          <w:rFonts w:ascii="Tahoma" w:hAnsi="Tahoma" w:cs="Tahoma"/>
        </w:rPr>
      </w:pPr>
      <w:r w:rsidRPr="00F2643E">
        <w:rPr>
          <w:rFonts w:ascii="Tahoma" w:hAnsi="Tahoma" w:cs="Tahoma"/>
          <w:sz w:val="18"/>
        </w:rPr>
        <w:t>Non esistono prerequisiti per l</w:t>
      </w:r>
      <w:r w:rsidR="00F2643E" w:rsidRPr="00F2643E">
        <w:rPr>
          <w:rFonts w:ascii="Tahoma" w:hAnsi="Tahoma" w:cs="Tahoma"/>
          <w:sz w:val="18"/>
        </w:rPr>
        <w:t>’</w:t>
      </w:r>
      <w:r w:rsidRPr="00F2643E">
        <w:rPr>
          <w:rFonts w:ascii="Tahoma" w:hAnsi="Tahoma" w:cs="Tahoma"/>
          <w:sz w:val="18"/>
        </w:rPr>
        <w:t>acquisto della Licenza. Software Assurance dovrà essere acquistata al momento dell</w:t>
      </w:r>
      <w:r w:rsidR="00F2643E" w:rsidRPr="00F2643E">
        <w:rPr>
          <w:rFonts w:ascii="Tahoma" w:hAnsi="Tahoma" w:cs="Tahoma"/>
          <w:sz w:val="18"/>
        </w:rPr>
        <w:t>’</w:t>
      </w:r>
      <w:r w:rsidRPr="00F2643E">
        <w:rPr>
          <w:rFonts w:ascii="Tahoma" w:hAnsi="Tahoma" w:cs="Tahoma"/>
          <w:sz w:val="18"/>
        </w:rPr>
        <w:t>acquisto della Licenza corrispondente o al rinnovo di un periodo di validità della copertura Software Assurance in essere.</w:t>
      </w:r>
      <w:r w:rsidR="009D3B41" w:rsidRPr="00F2643E">
        <w:rPr>
          <w:rFonts w:ascii="Tahoma" w:hAnsi="Tahoma" w:cs="Tahoma"/>
          <w:sz w:val="18"/>
        </w:rPr>
        <w:t xml:space="preserve"> </w:t>
      </w:r>
      <w:r w:rsidRPr="00F2643E">
        <w:rPr>
          <w:rFonts w:ascii="Tahoma" w:hAnsi="Tahoma" w:cs="Tahoma"/>
          <w:sz w:val="18"/>
        </w:rPr>
        <w:t>In tutti i Programmi per i Contratti Multilicenza, quando la società non soddisfa i criteri di idoneità per Software Assurance e desidera acquistare la copertura, dovrà acquistare l</w:t>
      </w:r>
      <w:r w:rsidR="00F2643E" w:rsidRPr="00F2643E">
        <w:rPr>
          <w:rFonts w:ascii="Tahoma" w:hAnsi="Tahoma" w:cs="Tahoma"/>
          <w:sz w:val="18"/>
        </w:rPr>
        <w:t>’</w:t>
      </w:r>
      <w:r w:rsidRPr="00F2643E">
        <w:rPr>
          <w:rFonts w:ascii="Tahoma" w:hAnsi="Tahoma" w:cs="Tahoma"/>
          <w:sz w:val="18"/>
        </w:rPr>
        <w:t>offerta Licenza e Software Assurance.</w:t>
      </w:r>
    </w:p>
    <w:p w:rsidR="00255158" w:rsidRPr="00A75DF9" w:rsidRDefault="00255158" w:rsidP="00EF6A68">
      <w:pPr>
        <w:rPr>
          <w:rFonts w:cs="Tahoma"/>
        </w:rPr>
      </w:pPr>
    </w:p>
    <w:p w:rsidR="00456002" w:rsidRPr="00A75DF9" w:rsidRDefault="00456002" w:rsidP="00456002">
      <w:pPr>
        <w:pStyle w:val="Heading2"/>
        <w:tabs>
          <w:tab w:val="left" w:pos="90"/>
        </w:tabs>
        <w:ind w:left="0" w:right="720"/>
        <w:rPr>
          <w:rFonts w:ascii="Tahoma" w:hAnsi="Tahoma" w:cs="Tahoma"/>
        </w:rPr>
      </w:pPr>
      <w:bookmarkStart w:id="645" w:name="_Toc323819650"/>
      <w:bookmarkStart w:id="646" w:name="_Toc336338201"/>
      <w:bookmarkStart w:id="647" w:name="_Toc368310191"/>
      <w:r w:rsidRPr="00A75DF9">
        <w:rPr>
          <w:rFonts w:ascii="Tahoma" w:hAnsi="Tahoma" w:cs="Tahoma"/>
        </w:rPr>
        <w:t>Software Assurance</w:t>
      </w:r>
      <w:bookmarkEnd w:id="645"/>
      <w:bookmarkEnd w:id="646"/>
      <w:bookmarkEnd w:id="647"/>
    </w:p>
    <w:p w:rsidR="00456002" w:rsidRPr="00105321" w:rsidRDefault="00456002" w:rsidP="00EF6A68">
      <w:pPr>
        <w:pStyle w:val="AppendixBodyText"/>
        <w:tabs>
          <w:tab w:val="left" w:pos="90"/>
        </w:tabs>
        <w:spacing w:after="0"/>
        <w:ind w:right="720"/>
        <w:rPr>
          <w:rFonts w:ascii="Tahoma" w:hAnsi="Tahoma" w:cs="Tahoma"/>
          <w:sz w:val="18"/>
          <w:szCs w:val="18"/>
        </w:rPr>
      </w:pPr>
    </w:p>
    <w:p w:rsidR="00456002" w:rsidRPr="00105321" w:rsidRDefault="00456002" w:rsidP="00EF6A68">
      <w:pPr>
        <w:pStyle w:val="AppendixBodyText"/>
        <w:spacing w:after="0"/>
        <w:ind w:right="720"/>
        <w:rPr>
          <w:rFonts w:ascii="Tahoma" w:hAnsi="Tahoma" w:cs="Tahoma"/>
          <w:sz w:val="18"/>
          <w:szCs w:val="18"/>
        </w:rPr>
      </w:pPr>
      <w:r w:rsidRPr="00105321">
        <w:rPr>
          <w:rFonts w:ascii="Tahoma" w:hAnsi="Tahoma" w:cs="Tahoma"/>
          <w:sz w:val="18"/>
          <w:szCs w:val="18"/>
        </w:rPr>
        <w:t>Microsoft Software Assurance offre vantaggi che possono includere nuovi diritti sulle versioni e garantire l</w:t>
      </w:r>
      <w:r w:rsidR="00F2643E">
        <w:rPr>
          <w:rFonts w:ascii="Tahoma" w:hAnsi="Tahoma" w:cs="Tahoma"/>
          <w:sz w:val="18"/>
          <w:szCs w:val="18"/>
        </w:rPr>
        <w:t>’</w:t>
      </w:r>
      <w:r w:rsidRPr="00105321">
        <w:rPr>
          <w:rFonts w:ascii="Tahoma" w:hAnsi="Tahoma" w:cs="Tahoma"/>
          <w:sz w:val="18"/>
          <w:szCs w:val="18"/>
        </w:rPr>
        <w:t>accesso a tecnologie differenziate, nonché diritti aggiuntivi sull</w:t>
      </w:r>
      <w:r w:rsidR="00F2643E">
        <w:rPr>
          <w:rFonts w:ascii="Tahoma" w:hAnsi="Tahoma" w:cs="Tahoma"/>
          <w:sz w:val="18"/>
          <w:szCs w:val="18"/>
        </w:rPr>
        <w:t>’</w:t>
      </w:r>
      <w:r w:rsidRPr="00105321">
        <w:rPr>
          <w:rFonts w:ascii="Tahoma" w:hAnsi="Tahoma" w:cs="Tahoma"/>
          <w:sz w:val="18"/>
          <w:szCs w:val="18"/>
        </w:rPr>
        <w:t>utilizzo dei Prodotti per i quali viene acquistata. Altri vantaggi sono costituiti da pagamenti dilazionati, servizi di consulenza, formazione, supporto tecnico e accesso a offerte esclusive. Per dettagli su ciascun vantaggio e criterio, fare riferimento all</w:t>
      </w:r>
      <w:r w:rsidR="00F2643E">
        <w:rPr>
          <w:rFonts w:ascii="Tahoma" w:hAnsi="Tahoma" w:cs="Tahoma"/>
          <w:sz w:val="18"/>
          <w:szCs w:val="18"/>
        </w:rPr>
        <w:t>’</w:t>
      </w:r>
      <w:r w:rsidRPr="00105321">
        <w:rPr>
          <w:rFonts w:ascii="Tahoma" w:hAnsi="Tahoma" w:cs="Tahoma"/>
          <w:sz w:val="18"/>
          <w:szCs w:val="18"/>
        </w:rPr>
        <w:t>Articolo Vantaggi di Software Assurance (SA) più avanti nel presente documento.</w:t>
      </w:r>
    </w:p>
    <w:p w:rsidR="00456002" w:rsidRPr="00105321" w:rsidRDefault="00456002" w:rsidP="00EF6A68">
      <w:pPr>
        <w:pStyle w:val="AppendixBodyText"/>
        <w:spacing w:after="0"/>
        <w:ind w:right="720"/>
        <w:rPr>
          <w:rFonts w:ascii="Tahoma" w:hAnsi="Tahoma" w:cs="Tahoma"/>
          <w:sz w:val="18"/>
          <w:szCs w:val="18"/>
        </w:rPr>
      </w:pPr>
      <w:r w:rsidRPr="00105321">
        <w:rPr>
          <w:rFonts w:ascii="Tahoma" w:hAnsi="Tahoma" w:cs="Tahoma"/>
          <w:sz w:val="18"/>
          <w:szCs w:val="18"/>
        </w:rPr>
        <w:lastRenderedPageBreak/>
        <w:t>Per dettagli sui diritti sull</w:t>
      </w:r>
      <w:r w:rsidR="00F2643E">
        <w:rPr>
          <w:rFonts w:ascii="Tahoma" w:hAnsi="Tahoma" w:cs="Tahoma"/>
          <w:sz w:val="18"/>
          <w:szCs w:val="18"/>
        </w:rPr>
        <w:t>’</w:t>
      </w:r>
      <w:r w:rsidRPr="00105321">
        <w:rPr>
          <w:rFonts w:ascii="Tahoma" w:hAnsi="Tahoma" w:cs="Tahoma"/>
          <w:sz w:val="18"/>
          <w:szCs w:val="18"/>
        </w:rPr>
        <w:t>utilizzo relativi ai vantaggi, fare riferimento ai Diritti di Utilizzo del Prodotto per Volume License. Software Assurance è disponibile nei seguenti programmi:</w:t>
      </w:r>
    </w:p>
    <w:p w:rsidR="00456002" w:rsidRPr="00105321" w:rsidRDefault="00456002" w:rsidP="00EF6A68">
      <w:pPr>
        <w:pStyle w:val="AppendixIndent"/>
        <w:tabs>
          <w:tab w:val="left" w:pos="90"/>
        </w:tabs>
        <w:spacing w:before="0"/>
        <w:ind w:left="0" w:right="720"/>
        <w:rPr>
          <w:rFonts w:ascii="Tahoma" w:hAnsi="Tahoma" w:cs="Tahoma"/>
          <w:sz w:val="18"/>
          <w:szCs w:val="18"/>
        </w:rPr>
      </w:pPr>
    </w:p>
    <w:p w:rsidR="00456002" w:rsidRPr="00105321" w:rsidRDefault="00456002" w:rsidP="00346F4B">
      <w:pPr>
        <w:pStyle w:val="AppendixBulletIndent"/>
        <w:numPr>
          <w:ilvl w:val="0"/>
          <w:numId w:val="64"/>
        </w:numPr>
        <w:tabs>
          <w:tab w:val="left" w:pos="1440"/>
        </w:tabs>
        <w:spacing w:after="60"/>
        <w:ind w:left="1440" w:right="720"/>
        <w:rPr>
          <w:rFonts w:ascii="Tahoma" w:hAnsi="Tahoma" w:cs="Tahoma"/>
          <w:sz w:val="18"/>
          <w:szCs w:val="18"/>
        </w:rPr>
      </w:pPr>
      <w:r w:rsidRPr="00105321">
        <w:rPr>
          <w:rFonts w:ascii="Tahoma" w:hAnsi="Tahoma" w:cs="Tahoma"/>
          <w:sz w:val="18"/>
          <w:szCs w:val="18"/>
        </w:rPr>
        <w:t xml:space="preserve">Open License </w:t>
      </w:r>
    </w:p>
    <w:p w:rsidR="00456002" w:rsidRPr="00105321" w:rsidRDefault="00456002" w:rsidP="00346F4B">
      <w:pPr>
        <w:pStyle w:val="AppendixBulletIndent"/>
        <w:numPr>
          <w:ilvl w:val="0"/>
          <w:numId w:val="64"/>
        </w:numPr>
        <w:tabs>
          <w:tab w:val="left" w:pos="1440"/>
        </w:tabs>
        <w:spacing w:after="60"/>
        <w:ind w:left="1440" w:right="720"/>
        <w:rPr>
          <w:rFonts w:ascii="Tahoma" w:hAnsi="Tahoma" w:cs="Tahoma"/>
          <w:sz w:val="18"/>
          <w:szCs w:val="18"/>
        </w:rPr>
      </w:pPr>
      <w:r w:rsidRPr="00105321">
        <w:rPr>
          <w:rFonts w:ascii="Tahoma" w:hAnsi="Tahoma" w:cs="Tahoma"/>
          <w:sz w:val="18"/>
          <w:szCs w:val="18"/>
        </w:rPr>
        <w:t xml:space="preserve">Open Value </w:t>
      </w:r>
    </w:p>
    <w:p w:rsidR="00456002" w:rsidRPr="00105321" w:rsidRDefault="00456002" w:rsidP="00346F4B">
      <w:pPr>
        <w:pStyle w:val="AppendixBulletIndent"/>
        <w:numPr>
          <w:ilvl w:val="0"/>
          <w:numId w:val="64"/>
        </w:numPr>
        <w:tabs>
          <w:tab w:val="left" w:pos="1440"/>
        </w:tabs>
        <w:spacing w:after="60"/>
        <w:ind w:left="1440" w:right="720"/>
        <w:rPr>
          <w:rFonts w:ascii="Tahoma" w:hAnsi="Tahoma" w:cs="Tahoma"/>
          <w:sz w:val="18"/>
          <w:szCs w:val="18"/>
        </w:rPr>
      </w:pPr>
      <w:r w:rsidRPr="00105321">
        <w:rPr>
          <w:rFonts w:ascii="Tahoma" w:hAnsi="Tahoma" w:cs="Tahoma"/>
          <w:sz w:val="18"/>
          <w:szCs w:val="18"/>
        </w:rPr>
        <w:t xml:space="preserve">Select </w:t>
      </w:r>
    </w:p>
    <w:p w:rsidR="00456002" w:rsidRPr="00105321" w:rsidRDefault="00456002" w:rsidP="00346F4B">
      <w:pPr>
        <w:pStyle w:val="AppendixBulletIndent"/>
        <w:numPr>
          <w:ilvl w:val="0"/>
          <w:numId w:val="64"/>
        </w:numPr>
        <w:tabs>
          <w:tab w:val="left" w:pos="1440"/>
        </w:tabs>
        <w:spacing w:after="60"/>
        <w:ind w:left="1440" w:right="720"/>
        <w:rPr>
          <w:rFonts w:ascii="Tahoma" w:hAnsi="Tahoma" w:cs="Tahoma"/>
          <w:sz w:val="18"/>
          <w:szCs w:val="18"/>
        </w:rPr>
      </w:pPr>
      <w:r w:rsidRPr="00105321">
        <w:rPr>
          <w:rFonts w:ascii="Tahoma" w:hAnsi="Tahoma" w:cs="Tahoma"/>
          <w:sz w:val="18"/>
          <w:szCs w:val="18"/>
        </w:rPr>
        <w:t>Select Plus</w:t>
      </w:r>
    </w:p>
    <w:p w:rsidR="00456002" w:rsidRPr="00105321" w:rsidRDefault="00456002" w:rsidP="00346F4B">
      <w:pPr>
        <w:pStyle w:val="AppendixBulletIndent"/>
        <w:numPr>
          <w:ilvl w:val="0"/>
          <w:numId w:val="64"/>
        </w:numPr>
        <w:tabs>
          <w:tab w:val="left" w:pos="1440"/>
        </w:tabs>
        <w:ind w:left="1440" w:right="720"/>
        <w:rPr>
          <w:rFonts w:ascii="Tahoma" w:hAnsi="Tahoma" w:cs="Tahoma"/>
          <w:sz w:val="18"/>
          <w:szCs w:val="18"/>
        </w:rPr>
      </w:pPr>
      <w:r w:rsidRPr="00105321">
        <w:rPr>
          <w:rFonts w:ascii="Tahoma" w:hAnsi="Tahoma" w:cs="Tahoma"/>
          <w:sz w:val="18"/>
          <w:szCs w:val="18"/>
        </w:rPr>
        <w:t>Contratto Enterprise</w:t>
      </w:r>
    </w:p>
    <w:p w:rsidR="00456002" w:rsidRPr="00105321" w:rsidRDefault="00456002" w:rsidP="00B147AB">
      <w:pPr>
        <w:pStyle w:val="AppendixIndent"/>
        <w:spacing w:before="0"/>
        <w:ind w:left="0" w:right="720"/>
        <w:rPr>
          <w:rFonts w:ascii="Tahoma" w:hAnsi="Tahoma" w:cs="Tahoma"/>
          <w:sz w:val="18"/>
          <w:szCs w:val="18"/>
        </w:rPr>
      </w:pPr>
    </w:p>
    <w:p w:rsidR="00456002" w:rsidRPr="00105321" w:rsidRDefault="00456002" w:rsidP="00B147AB">
      <w:pPr>
        <w:pStyle w:val="AppendixIndent"/>
        <w:spacing w:before="0"/>
        <w:ind w:left="0" w:right="720"/>
        <w:rPr>
          <w:rFonts w:ascii="Tahoma" w:hAnsi="Tahoma" w:cs="Tahoma"/>
          <w:sz w:val="18"/>
          <w:szCs w:val="18"/>
        </w:rPr>
      </w:pPr>
      <w:r w:rsidRPr="00105321">
        <w:rPr>
          <w:rFonts w:ascii="Tahoma" w:hAnsi="Tahoma" w:cs="Tahoma"/>
          <w:sz w:val="18"/>
          <w:szCs w:val="18"/>
        </w:rPr>
        <w:t>Esistono tre diversi livelli di impegno per cui una società può scegliere Software Assurance.</w:t>
      </w:r>
      <w:r w:rsidR="009D3B41" w:rsidRPr="00105321">
        <w:rPr>
          <w:rFonts w:ascii="Tahoma" w:hAnsi="Tahoma" w:cs="Tahoma"/>
          <w:sz w:val="18"/>
          <w:szCs w:val="18"/>
        </w:rPr>
        <w:t xml:space="preserve"> </w:t>
      </w:r>
      <w:r w:rsidRPr="00105321">
        <w:rPr>
          <w:rFonts w:ascii="Tahoma" w:hAnsi="Tahoma" w:cs="Tahoma"/>
          <w:sz w:val="18"/>
          <w:szCs w:val="18"/>
        </w:rPr>
        <w:t>I livelli disponibili variano in base al programma.</w:t>
      </w:r>
      <w:r w:rsidR="009D3B41" w:rsidRPr="00105321">
        <w:rPr>
          <w:rFonts w:ascii="Tahoma" w:hAnsi="Tahoma" w:cs="Tahoma"/>
          <w:sz w:val="18"/>
          <w:szCs w:val="18"/>
        </w:rPr>
        <w:t xml:space="preserve"> </w:t>
      </w:r>
      <w:r w:rsidRPr="00105321">
        <w:rPr>
          <w:rFonts w:ascii="Tahoma" w:hAnsi="Tahoma" w:cs="Tahoma"/>
          <w:sz w:val="18"/>
          <w:szCs w:val="18"/>
        </w:rPr>
        <w:t>Il livello di impegno di una società rispetto a Software Assurance è uno dei molteplici fattori che possono determinare l</w:t>
      </w:r>
      <w:r w:rsidR="00F2643E">
        <w:rPr>
          <w:rFonts w:ascii="Tahoma" w:hAnsi="Tahoma" w:cs="Tahoma"/>
          <w:sz w:val="18"/>
          <w:szCs w:val="18"/>
        </w:rPr>
        <w:t>’</w:t>
      </w:r>
      <w:r w:rsidRPr="00105321">
        <w:rPr>
          <w:rFonts w:ascii="Tahoma" w:hAnsi="Tahoma" w:cs="Tahoma"/>
          <w:sz w:val="18"/>
          <w:szCs w:val="18"/>
        </w:rPr>
        <w:t>idoneità della società a ottenere il vantaggio.</w:t>
      </w:r>
      <w:r w:rsidR="009D3B41" w:rsidRPr="00105321">
        <w:rPr>
          <w:rFonts w:ascii="Tahoma" w:hAnsi="Tahoma" w:cs="Tahoma"/>
          <w:sz w:val="18"/>
          <w:szCs w:val="18"/>
        </w:rPr>
        <w:t xml:space="preserve"> </w:t>
      </w:r>
      <w:r w:rsidRPr="00105321">
        <w:rPr>
          <w:rFonts w:ascii="Tahoma" w:hAnsi="Tahoma" w:cs="Tahoma"/>
          <w:sz w:val="18"/>
          <w:szCs w:val="18"/>
        </w:rPr>
        <w:t>Una società può</w:t>
      </w:r>
    </w:p>
    <w:p w:rsidR="004C08A3" w:rsidRPr="00105321" w:rsidRDefault="004C08A3" w:rsidP="00B147AB">
      <w:pPr>
        <w:pStyle w:val="AppendixIndent"/>
        <w:spacing w:before="0"/>
        <w:ind w:left="0" w:right="720"/>
        <w:rPr>
          <w:rFonts w:ascii="Tahoma" w:hAnsi="Tahoma" w:cs="Tahoma"/>
          <w:sz w:val="18"/>
          <w:szCs w:val="18"/>
        </w:rPr>
      </w:pPr>
    </w:p>
    <w:p w:rsidR="00456002" w:rsidRPr="00105321" w:rsidRDefault="00456002" w:rsidP="00346F4B">
      <w:pPr>
        <w:pStyle w:val="AppendixIndent"/>
        <w:numPr>
          <w:ilvl w:val="0"/>
          <w:numId w:val="65"/>
        </w:numPr>
        <w:ind w:left="1440" w:right="720"/>
        <w:rPr>
          <w:rFonts w:ascii="Tahoma" w:hAnsi="Tahoma" w:cs="Tahoma"/>
          <w:sz w:val="18"/>
          <w:szCs w:val="18"/>
        </w:rPr>
      </w:pPr>
      <w:r w:rsidRPr="00105321">
        <w:rPr>
          <w:rFonts w:ascii="Tahoma" w:hAnsi="Tahoma" w:cs="Tahoma"/>
          <w:sz w:val="18"/>
          <w:szCs w:val="18"/>
        </w:rPr>
        <w:t>Impegnarsi ad assegnare Software Assurance a tutti i prodotti della piattaforma.</w:t>
      </w:r>
      <w:r w:rsidR="009D3B41" w:rsidRPr="00105321">
        <w:rPr>
          <w:rFonts w:ascii="Tahoma" w:hAnsi="Tahoma" w:cs="Tahoma"/>
          <w:sz w:val="18"/>
          <w:szCs w:val="18"/>
        </w:rPr>
        <w:t xml:space="preserve"> </w:t>
      </w:r>
      <w:r w:rsidRPr="00105321">
        <w:rPr>
          <w:rFonts w:ascii="Tahoma" w:hAnsi="Tahoma" w:cs="Tahoma"/>
          <w:sz w:val="18"/>
          <w:szCs w:val="18"/>
        </w:rPr>
        <w:t>Ciò è più comune nel Contratto Enterprise e in Open Value.</w:t>
      </w:r>
    </w:p>
    <w:p w:rsidR="00456002" w:rsidRPr="00105321" w:rsidRDefault="00456002" w:rsidP="00105321">
      <w:pPr>
        <w:pStyle w:val="AppendixIndent"/>
        <w:numPr>
          <w:ilvl w:val="0"/>
          <w:numId w:val="65"/>
        </w:numPr>
        <w:ind w:left="1440" w:right="720"/>
        <w:rPr>
          <w:rFonts w:ascii="Tahoma" w:hAnsi="Tahoma" w:cs="Tahoma"/>
          <w:sz w:val="18"/>
          <w:szCs w:val="18"/>
        </w:rPr>
      </w:pPr>
      <w:r w:rsidRPr="00105321">
        <w:rPr>
          <w:rFonts w:ascii="Tahoma" w:hAnsi="Tahoma" w:cs="Tahoma"/>
          <w:sz w:val="18"/>
          <w:szCs w:val="18"/>
        </w:rPr>
        <w:t>Impegnarsi ad associare Software Assurance a tutti gli acquisti di un particolare pool di prodotti (Applicazioni, Sistemi o Server).</w:t>
      </w:r>
      <w:r w:rsidR="009D3B41" w:rsidRPr="00105321">
        <w:rPr>
          <w:rFonts w:ascii="Tahoma" w:hAnsi="Tahoma" w:cs="Tahoma"/>
          <w:sz w:val="18"/>
          <w:szCs w:val="18"/>
        </w:rPr>
        <w:t xml:space="preserve"> </w:t>
      </w:r>
      <w:r w:rsidRPr="00105321">
        <w:rPr>
          <w:rFonts w:ascii="Tahoma" w:hAnsi="Tahoma" w:cs="Tahoma"/>
          <w:sz w:val="18"/>
          <w:szCs w:val="18"/>
        </w:rPr>
        <w:t>Questa modalità è nota come Partecipazione a</w:t>
      </w:r>
      <w:r w:rsidR="00105321">
        <w:rPr>
          <w:rFonts w:ascii="Tahoma" w:hAnsi="Tahoma" w:cs="Tahoma"/>
          <w:sz w:val="18"/>
          <w:szCs w:val="18"/>
        </w:rPr>
        <w:t> </w:t>
      </w:r>
      <w:r w:rsidRPr="00105321">
        <w:rPr>
          <w:rFonts w:ascii="Tahoma" w:hAnsi="Tahoma" w:cs="Tahoma"/>
          <w:sz w:val="18"/>
          <w:szCs w:val="18"/>
        </w:rPr>
        <w:t>Software Assurance (Software Assurance Membership o SAM) Non richiede un impegno a livello aziendale per Software Assurance, impegno che è invece necessario nel programma Select.</w:t>
      </w:r>
    </w:p>
    <w:p w:rsidR="00456002" w:rsidRPr="00105321" w:rsidRDefault="00456002" w:rsidP="00346F4B">
      <w:pPr>
        <w:pStyle w:val="AppendixIndent"/>
        <w:numPr>
          <w:ilvl w:val="0"/>
          <w:numId w:val="65"/>
        </w:numPr>
        <w:ind w:left="1440" w:right="720"/>
        <w:rPr>
          <w:rFonts w:ascii="Tahoma" w:hAnsi="Tahoma" w:cs="Tahoma"/>
          <w:sz w:val="18"/>
          <w:szCs w:val="18"/>
        </w:rPr>
      </w:pPr>
      <w:r w:rsidRPr="00105321">
        <w:rPr>
          <w:rFonts w:ascii="Tahoma" w:hAnsi="Tahoma" w:cs="Tahoma"/>
          <w:sz w:val="18"/>
          <w:szCs w:val="18"/>
        </w:rPr>
        <w:t>Acquistare Software Assurance per i singoli prodotti senza alcun impegno a estendere Software Assurance ad altri prodotti.</w:t>
      </w:r>
    </w:p>
    <w:p w:rsidR="0053106B" w:rsidRPr="00105321" w:rsidRDefault="0053106B" w:rsidP="00EF6A68">
      <w:pPr>
        <w:pStyle w:val="AppendixBodyText"/>
        <w:spacing w:after="0"/>
        <w:ind w:right="720"/>
        <w:rPr>
          <w:rFonts w:ascii="Tahoma" w:hAnsi="Tahoma" w:cs="Tahoma"/>
          <w:sz w:val="18"/>
          <w:szCs w:val="18"/>
        </w:rPr>
      </w:pPr>
    </w:p>
    <w:p w:rsidR="00456002" w:rsidRPr="00A75DF9" w:rsidRDefault="00456002" w:rsidP="00B147AB">
      <w:pPr>
        <w:pStyle w:val="AppendixBodyText"/>
        <w:spacing w:after="0"/>
        <w:ind w:right="720"/>
        <w:rPr>
          <w:rFonts w:ascii="Tahoma" w:hAnsi="Tahoma" w:cs="Tahoma"/>
        </w:rPr>
      </w:pPr>
      <w:r w:rsidRPr="00A75DF9">
        <w:rPr>
          <w:rFonts w:ascii="Tahoma" w:hAnsi="Tahoma" w:cs="Tahoma"/>
          <w:sz w:val="18"/>
        </w:rPr>
        <w:t>Software Assurance dovrà essere acquistata al momento dell</w:t>
      </w:r>
      <w:r w:rsidR="00F2643E">
        <w:rPr>
          <w:rFonts w:ascii="Tahoma" w:hAnsi="Tahoma" w:cs="Tahoma"/>
          <w:sz w:val="18"/>
        </w:rPr>
        <w:t>’</w:t>
      </w:r>
      <w:r w:rsidRPr="00A75DF9">
        <w:rPr>
          <w:rFonts w:ascii="Tahoma" w:hAnsi="Tahoma" w:cs="Tahoma"/>
          <w:sz w:val="18"/>
        </w:rPr>
        <w:t>acquisto della Licenza o al rinnovo di un periodo di validità della copertura Software Assurance in essere.</w:t>
      </w:r>
      <w:r w:rsidR="009D3B41" w:rsidRPr="00A75DF9">
        <w:rPr>
          <w:rFonts w:ascii="Tahoma" w:hAnsi="Tahoma" w:cs="Tahoma"/>
          <w:sz w:val="18"/>
        </w:rPr>
        <w:t xml:space="preserve"> </w:t>
      </w:r>
      <w:r w:rsidRPr="00A75DF9">
        <w:rPr>
          <w:rFonts w:ascii="Tahoma" w:hAnsi="Tahoma" w:cs="Tahoma"/>
          <w:sz w:val="18"/>
        </w:rPr>
        <w:t>Diversamente, per aggiornare la Licenza in un secondo momento (per un Sistema Operativo Desktop Windows, l</w:t>
      </w:r>
      <w:r w:rsidR="00F2643E">
        <w:rPr>
          <w:rFonts w:ascii="Tahoma" w:hAnsi="Tahoma" w:cs="Tahoma"/>
          <w:sz w:val="18"/>
        </w:rPr>
        <w:t>’</w:t>
      </w:r>
      <w:r w:rsidRPr="00A75DF9">
        <w:rPr>
          <w:rFonts w:ascii="Tahoma" w:hAnsi="Tahoma" w:cs="Tahoma"/>
          <w:sz w:val="18"/>
        </w:rPr>
        <w:t>opzione è Aggiornamento e Software Assurance), la società dovrà acquistare una nuova Licenza o Licenza e Software Assurance.</w:t>
      </w:r>
      <w:r w:rsidR="009D3B41" w:rsidRPr="00A75DF9">
        <w:rPr>
          <w:rFonts w:ascii="Tahoma" w:hAnsi="Tahoma" w:cs="Tahoma"/>
          <w:sz w:val="18"/>
        </w:rPr>
        <w:t xml:space="preserve"> </w:t>
      </w:r>
      <w:r w:rsidRPr="00A75DF9">
        <w:rPr>
          <w:rFonts w:ascii="Tahoma" w:hAnsi="Tahoma" w:cs="Tahoma"/>
          <w:sz w:val="18"/>
        </w:rPr>
        <w:t>Fare riferimento all</w:t>
      </w:r>
      <w:r w:rsidR="00F2643E">
        <w:rPr>
          <w:rFonts w:ascii="Tahoma" w:hAnsi="Tahoma" w:cs="Tahoma"/>
          <w:sz w:val="18"/>
        </w:rPr>
        <w:t>’</w:t>
      </w:r>
      <w:r w:rsidRPr="00A75DF9">
        <w:rPr>
          <w:rFonts w:ascii="Tahoma" w:hAnsi="Tahoma" w:cs="Tahoma"/>
          <w:sz w:val="18"/>
        </w:rPr>
        <w:t>Articolo relativo alle regole per il rinnovo e al contratto specifico per il programma per conoscere i criteri di idoneità per l</w:t>
      </w:r>
      <w:r w:rsidR="00F2643E">
        <w:rPr>
          <w:rFonts w:ascii="Tahoma" w:hAnsi="Tahoma" w:cs="Tahoma"/>
          <w:sz w:val="18"/>
        </w:rPr>
        <w:t>’</w:t>
      </w:r>
      <w:r w:rsidRPr="00A75DF9">
        <w:rPr>
          <w:rFonts w:ascii="Tahoma" w:hAnsi="Tahoma" w:cs="Tahoma"/>
          <w:sz w:val="18"/>
        </w:rPr>
        <w:t>acquisto di Software Assurance.</w:t>
      </w:r>
    </w:p>
    <w:p w:rsidR="004C08A3" w:rsidRPr="00105321" w:rsidRDefault="004C08A3" w:rsidP="00B147AB">
      <w:pPr>
        <w:pStyle w:val="AppendixBodyText"/>
        <w:spacing w:after="0"/>
        <w:ind w:right="720"/>
        <w:rPr>
          <w:rFonts w:ascii="Tahoma" w:hAnsi="Tahoma" w:cs="Tahoma"/>
          <w:sz w:val="18"/>
          <w:szCs w:val="18"/>
        </w:rPr>
      </w:pPr>
    </w:p>
    <w:p w:rsidR="00456002" w:rsidRPr="00105321" w:rsidRDefault="00456002" w:rsidP="00B147AB">
      <w:pPr>
        <w:pStyle w:val="AppendixBodyText"/>
        <w:spacing w:after="0"/>
        <w:ind w:right="720"/>
        <w:rPr>
          <w:rFonts w:ascii="Tahoma" w:hAnsi="Tahoma" w:cs="Tahoma"/>
          <w:sz w:val="18"/>
          <w:szCs w:val="18"/>
        </w:rPr>
      </w:pPr>
      <w:r w:rsidRPr="00105321">
        <w:rPr>
          <w:rFonts w:ascii="Tahoma" w:hAnsi="Tahoma" w:cs="Tahoma"/>
          <w:sz w:val="18"/>
          <w:szCs w:val="18"/>
        </w:rPr>
        <w:t>Nell</w:t>
      </w:r>
      <w:r w:rsidR="00F2643E">
        <w:rPr>
          <w:rFonts w:ascii="Tahoma" w:hAnsi="Tahoma" w:cs="Tahoma"/>
          <w:sz w:val="18"/>
          <w:szCs w:val="18"/>
        </w:rPr>
        <w:t>’</w:t>
      </w:r>
      <w:r w:rsidRPr="00105321">
        <w:rPr>
          <w:rFonts w:ascii="Tahoma" w:hAnsi="Tahoma" w:cs="Tahoma"/>
          <w:sz w:val="18"/>
          <w:szCs w:val="18"/>
        </w:rPr>
        <w:t xml:space="preserve">eventualità di un trasferimento di Licenze perpetue, il cessionario potrà acquistare Software Assurance per tali Licenze trasferite entro 30 giorni dalla data del trasferimento e a condizioni che le License trasferite abbiano una copertura Software Assurance attiva al momento del trasferimento. </w:t>
      </w:r>
    </w:p>
    <w:p w:rsidR="004C08A3" w:rsidRPr="00105321" w:rsidRDefault="004C08A3" w:rsidP="00B147AB">
      <w:pPr>
        <w:pStyle w:val="AppendixBodyText"/>
        <w:spacing w:after="0"/>
        <w:ind w:right="720"/>
        <w:rPr>
          <w:rFonts w:ascii="Tahoma" w:hAnsi="Tahoma" w:cs="Tahoma"/>
          <w:sz w:val="18"/>
          <w:szCs w:val="18"/>
        </w:rPr>
      </w:pPr>
    </w:p>
    <w:p w:rsidR="00456002" w:rsidRPr="00A75DF9" w:rsidRDefault="00456002" w:rsidP="00B147AB">
      <w:pPr>
        <w:pStyle w:val="AppendixBodyText"/>
        <w:spacing w:after="0"/>
        <w:ind w:right="720"/>
        <w:rPr>
          <w:rFonts w:ascii="Tahoma" w:hAnsi="Tahoma" w:cs="Tahoma"/>
        </w:rPr>
      </w:pPr>
      <w:r w:rsidRPr="00A75DF9">
        <w:rPr>
          <w:rFonts w:ascii="Tahoma" w:hAnsi="Tahoma" w:cs="Tahoma"/>
          <w:sz w:val="18"/>
        </w:rPr>
        <w:t>Le società potranno avere la possibilità di ottenere Software Assurance per alcune licenze acquistate tramite il canale Retail (Full Packaged Product) o tramite un OEM. L</w:t>
      </w:r>
      <w:r w:rsidR="00F2643E">
        <w:rPr>
          <w:rFonts w:ascii="Tahoma" w:hAnsi="Tahoma" w:cs="Tahoma"/>
          <w:sz w:val="18"/>
        </w:rPr>
        <w:t>’</w:t>
      </w:r>
      <w:r w:rsidRPr="00A75DF9">
        <w:rPr>
          <w:rFonts w:ascii="Tahoma" w:hAnsi="Tahoma" w:cs="Tahoma"/>
          <w:sz w:val="18"/>
        </w:rPr>
        <w:t>idoneità varia in base al programma, al pool di prodotti e all</w:t>
      </w:r>
      <w:r w:rsidR="00F2643E">
        <w:rPr>
          <w:rFonts w:ascii="Tahoma" w:hAnsi="Tahoma" w:cs="Tahoma"/>
          <w:sz w:val="18"/>
        </w:rPr>
        <w:t>’</w:t>
      </w:r>
      <w:r w:rsidRPr="00A75DF9">
        <w:rPr>
          <w:rFonts w:ascii="Tahoma" w:hAnsi="Tahoma" w:cs="Tahoma"/>
          <w:sz w:val="18"/>
        </w:rPr>
        <w:t>origine della licenza (vedere di seguito).</w:t>
      </w:r>
      <w:r w:rsidR="009D3B41" w:rsidRPr="00A75DF9">
        <w:rPr>
          <w:rFonts w:ascii="Tahoma" w:hAnsi="Tahoma" w:cs="Tahoma"/>
          <w:sz w:val="18"/>
        </w:rPr>
        <w:t xml:space="preserve"> </w:t>
      </w:r>
      <w:r w:rsidRPr="00A75DF9">
        <w:rPr>
          <w:rFonts w:ascii="Tahoma" w:hAnsi="Tahoma" w:cs="Tahoma"/>
          <w:sz w:val="18"/>
        </w:rPr>
        <w:t>In tutti i casi, salvo quanto diversamente indicato, solo le licenze per l</w:t>
      </w:r>
      <w:r w:rsidR="00F2643E">
        <w:rPr>
          <w:rFonts w:ascii="Tahoma" w:hAnsi="Tahoma" w:cs="Tahoma"/>
          <w:sz w:val="18"/>
        </w:rPr>
        <w:t>’</w:t>
      </w:r>
      <w:r w:rsidRPr="00A75DF9">
        <w:rPr>
          <w:rFonts w:ascii="Tahoma" w:hAnsi="Tahoma" w:cs="Tahoma"/>
          <w:sz w:val="18"/>
        </w:rPr>
        <w:t>ultima versione di un prodotto sono idonee e la copertura Software Assurance dovrà essere acquistata entro 90 giorni dalla data in cui sono state acquistate le licenze. Ai sensi del programma Open Value, questa opzione si applica solo ai prodotti con l</w:t>
      </w:r>
      <w:r w:rsidR="00F2643E">
        <w:rPr>
          <w:rFonts w:ascii="Tahoma" w:hAnsi="Tahoma" w:cs="Tahoma"/>
          <w:sz w:val="18"/>
        </w:rPr>
        <w:t>’</w:t>
      </w:r>
      <w:r w:rsidRPr="00A75DF9">
        <w:rPr>
          <w:rFonts w:ascii="Tahoma" w:hAnsi="Tahoma" w:cs="Tahoma"/>
          <w:sz w:val="18"/>
        </w:rPr>
        <w:t>opzione non per l</w:t>
      </w:r>
      <w:r w:rsidR="00F2643E">
        <w:rPr>
          <w:rFonts w:ascii="Tahoma" w:hAnsi="Tahoma" w:cs="Tahoma"/>
          <w:sz w:val="18"/>
        </w:rPr>
        <w:t>’</w:t>
      </w:r>
      <w:r w:rsidRPr="00A75DF9">
        <w:rPr>
          <w:rFonts w:ascii="Tahoma" w:hAnsi="Tahoma" w:cs="Tahoma"/>
          <w:sz w:val="18"/>
        </w:rPr>
        <w:t>intera Organizzazione/non a livello Aziendale. Ai sensi dei Contratti Enterprise, si applica solo ai Prodotti Aggiuntivi entro 90 giorni. Le società che acquistano Software Assurance per OEM o licenze al dettaglio hanno la possibilità di installare e utilizzare software per Contratti Multilicenza per la versione corrente in qualsiasi momento.</w:t>
      </w:r>
      <w:r w:rsidR="009D3B41" w:rsidRPr="00A75DF9">
        <w:rPr>
          <w:rFonts w:ascii="Tahoma" w:hAnsi="Tahoma" w:cs="Tahoma"/>
          <w:sz w:val="18"/>
        </w:rPr>
        <w:t xml:space="preserve"> </w:t>
      </w:r>
      <w:r w:rsidRPr="00A75DF9">
        <w:rPr>
          <w:rFonts w:ascii="Tahoma" w:hAnsi="Tahoma" w:cs="Tahoma"/>
          <w:sz w:val="18"/>
        </w:rPr>
        <w:t>In questo caso, l</w:t>
      </w:r>
      <w:r w:rsidR="00F2643E">
        <w:rPr>
          <w:rFonts w:ascii="Tahoma" w:hAnsi="Tahoma" w:cs="Tahoma"/>
          <w:sz w:val="18"/>
        </w:rPr>
        <w:t>’</w:t>
      </w:r>
      <w:r w:rsidRPr="00A75DF9">
        <w:rPr>
          <w:rFonts w:ascii="Tahoma" w:hAnsi="Tahoma" w:cs="Tahoma"/>
          <w:sz w:val="18"/>
        </w:rPr>
        <w:t>utilizzo da parte della società del software è soggetto ai Diritti di Utilizzo del Prodotto per tale prodotto e alle condizioni del Contratto Multilicenza della società.</w:t>
      </w:r>
    </w:p>
    <w:p w:rsidR="00456002" w:rsidRPr="00A75DF9" w:rsidRDefault="00456002" w:rsidP="00B147AB">
      <w:pPr>
        <w:pStyle w:val="AppendixIndent"/>
        <w:spacing w:before="0"/>
        <w:ind w:left="0" w:right="720"/>
        <w:rPr>
          <w:rFonts w:ascii="Tahoma" w:hAnsi="Tahoma" w:cs="Tahoma"/>
        </w:rPr>
      </w:pPr>
    </w:p>
    <w:tbl>
      <w:tblPr>
        <w:tblW w:w="8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20"/>
        <w:gridCol w:w="1693"/>
        <w:gridCol w:w="2159"/>
        <w:gridCol w:w="3243"/>
      </w:tblGrid>
      <w:tr w:rsidR="00456002" w:rsidRPr="00A75DF9" w:rsidTr="00105321">
        <w:tc>
          <w:tcPr>
            <w:tcW w:w="1620" w:type="dxa"/>
            <w:tcBorders>
              <w:top w:val="single" w:sz="4" w:space="0" w:color="auto"/>
              <w:left w:val="single" w:sz="4" w:space="0" w:color="auto"/>
              <w:bottom w:val="single" w:sz="4" w:space="0" w:color="auto"/>
              <w:right w:val="single" w:sz="4" w:space="0" w:color="auto"/>
            </w:tcBorders>
            <w:shd w:val="clear" w:color="auto" w:fill="FFCC99"/>
            <w:vAlign w:val="center"/>
          </w:tcPr>
          <w:p w:rsidR="00456002" w:rsidRPr="00A75DF9" w:rsidRDefault="00456002" w:rsidP="005C647E">
            <w:pPr>
              <w:pStyle w:val="AppendixTableHeadings"/>
              <w:rPr>
                <w:rFonts w:ascii="Tahoma" w:hAnsi="Tahoma" w:cs="Tahoma"/>
                <w:sz w:val="20"/>
                <w:szCs w:val="20"/>
              </w:rPr>
            </w:pPr>
          </w:p>
        </w:tc>
        <w:tc>
          <w:tcPr>
            <w:tcW w:w="1693"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A75DF9" w:rsidRDefault="00456002" w:rsidP="005C647E">
            <w:pPr>
              <w:pStyle w:val="AppendixTableHeadings"/>
              <w:rPr>
                <w:rFonts w:ascii="Tahoma" w:hAnsi="Tahoma" w:cs="Tahoma"/>
                <w:sz w:val="20"/>
              </w:rPr>
            </w:pPr>
            <w:r w:rsidRPr="00A75DF9">
              <w:rPr>
                <w:rFonts w:ascii="Tahoma" w:hAnsi="Tahoma" w:cs="Tahoma"/>
                <w:sz w:val="20"/>
              </w:rPr>
              <w:t>Full Packaged Product</w:t>
            </w:r>
          </w:p>
        </w:tc>
        <w:tc>
          <w:tcPr>
            <w:tcW w:w="2159" w:type="dxa"/>
            <w:tcBorders>
              <w:top w:val="single" w:sz="4" w:space="0" w:color="auto"/>
              <w:left w:val="single" w:sz="4" w:space="0" w:color="auto"/>
              <w:bottom w:val="single" w:sz="4" w:space="0" w:color="auto"/>
              <w:right w:val="single" w:sz="4" w:space="0" w:color="auto"/>
            </w:tcBorders>
            <w:shd w:val="clear" w:color="auto" w:fill="FFCC99"/>
            <w:vAlign w:val="center"/>
            <w:hideMark/>
          </w:tcPr>
          <w:p w:rsidR="00456002" w:rsidRPr="00A75DF9" w:rsidRDefault="00456002" w:rsidP="005C647E">
            <w:pPr>
              <w:pStyle w:val="AppendixTableHeadings"/>
              <w:rPr>
                <w:rFonts w:ascii="Tahoma" w:hAnsi="Tahoma" w:cs="Tahoma"/>
                <w:sz w:val="20"/>
              </w:rPr>
            </w:pPr>
            <w:r w:rsidRPr="00A75DF9">
              <w:rPr>
                <w:rFonts w:ascii="Tahoma" w:hAnsi="Tahoma" w:cs="Tahoma"/>
                <w:sz w:val="20"/>
              </w:rPr>
              <w:t>OEM</w:t>
            </w:r>
          </w:p>
        </w:tc>
        <w:tc>
          <w:tcPr>
            <w:tcW w:w="3243" w:type="dxa"/>
            <w:tcBorders>
              <w:top w:val="single" w:sz="4" w:space="0" w:color="auto"/>
              <w:left w:val="single" w:sz="4" w:space="0" w:color="auto"/>
              <w:bottom w:val="single" w:sz="4" w:space="0" w:color="auto"/>
              <w:right w:val="single" w:sz="4" w:space="0" w:color="auto"/>
            </w:tcBorders>
            <w:shd w:val="clear" w:color="auto" w:fill="FFCC99"/>
            <w:hideMark/>
          </w:tcPr>
          <w:p w:rsidR="00456002" w:rsidRPr="00A75DF9" w:rsidRDefault="00456002" w:rsidP="005C647E">
            <w:pPr>
              <w:pStyle w:val="AppendixTableHeadings"/>
              <w:rPr>
                <w:rFonts w:ascii="Tahoma" w:hAnsi="Tahoma" w:cs="Tahoma"/>
                <w:sz w:val="20"/>
              </w:rPr>
            </w:pPr>
            <w:r w:rsidRPr="00A75DF9">
              <w:rPr>
                <w:rFonts w:ascii="Tahoma" w:hAnsi="Tahoma" w:cs="Tahoma"/>
                <w:sz w:val="20"/>
              </w:rPr>
              <w:t>Programmi</w:t>
            </w:r>
          </w:p>
        </w:tc>
      </w:tr>
      <w:tr w:rsidR="00456002" w:rsidRPr="00A75DF9" w:rsidTr="00105321">
        <w:tc>
          <w:tcPr>
            <w:tcW w:w="1620" w:type="dxa"/>
            <w:tcBorders>
              <w:top w:val="single" w:sz="4" w:space="0" w:color="auto"/>
              <w:left w:val="single" w:sz="4" w:space="0" w:color="auto"/>
              <w:bottom w:val="single" w:sz="4" w:space="0" w:color="auto"/>
              <w:right w:val="single" w:sz="4" w:space="0" w:color="auto"/>
            </w:tcBorders>
            <w:vAlign w:val="center"/>
            <w:hideMark/>
          </w:tcPr>
          <w:p w:rsidR="00456002" w:rsidRPr="00A75DF9" w:rsidRDefault="00456002" w:rsidP="005C647E">
            <w:pPr>
              <w:pStyle w:val="AppendixTableText"/>
              <w:rPr>
                <w:rFonts w:ascii="Tahoma" w:hAnsi="Tahoma" w:cs="Tahoma"/>
                <w:b/>
                <w:color w:val="000000"/>
                <w:sz w:val="20"/>
                <w:szCs w:val="20"/>
              </w:rPr>
            </w:pPr>
            <w:r w:rsidRPr="00A75DF9">
              <w:rPr>
                <w:rFonts w:ascii="Tahoma" w:hAnsi="Tahoma" w:cs="Tahoma"/>
                <w:b/>
                <w:color w:val="000000"/>
                <w:sz w:val="20"/>
                <w:szCs w:val="20"/>
              </w:rPr>
              <w:t xml:space="preserve">Pool di Applicazioni </w:t>
            </w:r>
          </w:p>
        </w:tc>
        <w:tc>
          <w:tcPr>
            <w:tcW w:w="1693" w:type="dxa"/>
            <w:tcBorders>
              <w:top w:val="single" w:sz="4" w:space="0" w:color="auto"/>
              <w:left w:val="single" w:sz="4" w:space="0" w:color="auto"/>
              <w:bottom w:val="single" w:sz="4" w:space="0" w:color="auto"/>
              <w:right w:val="single" w:sz="4" w:space="0" w:color="auto"/>
            </w:tcBorders>
            <w:vAlign w:val="center"/>
            <w:hideMark/>
          </w:tcPr>
          <w:p w:rsidR="00456002" w:rsidRPr="00A75DF9" w:rsidRDefault="00456002" w:rsidP="005C647E">
            <w:pPr>
              <w:pStyle w:val="AppendixTableText"/>
              <w:rPr>
                <w:rFonts w:ascii="Tahoma" w:hAnsi="Tahoma" w:cs="Tahoma"/>
                <w:color w:val="000000"/>
              </w:rPr>
            </w:pPr>
            <w:r w:rsidRPr="00A75DF9">
              <w:rPr>
                <w:rFonts w:ascii="Tahoma" w:hAnsi="Tahoma" w:cs="Tahoma"/>
                <w:color w:val="000000"/>
              </w:rPr>
              <w:t xml:space="preserve">N/D </w:t>
            </w:r>
          </w:p>
        </w:tc>
        <w:tc>
          <w:tcPr>
            <w:tcW w:w="2159" w:type="dxa"/>
            <w:tcBorders>
              <w:top w:val="single" w:sz="4" w:space="0" w:color="auto"/>
              <w:left w:val="single" w:sz="4" w:space="0" w:color="auto"/>
              <w:bottom w:val="single" w:sz="4" w:space="0" w:color="auto"/>
              <w:right w:val="single" w:sz="4" w:space="0" w:color="auto"/>
            </w:tcBorders>
            <w:vAlign w:val="center"/>
            <w:hideMark/>
          </w:tcPr>
          <w:p w:rsidR="00456002" w:rsidRPr="00A75DF9" w:rsidRDefault="00456002" w:rsidP="005C647E">
            <w:pPr>
              <w:pStyle w:val="AppendixTableText"/>
              <w:rPr>
                <w:rFonts w:ascii="Tahoma" w:hAnsi="Tahoma" w:cs="Tahoma"/>
                <w:color w:val="000000"/>
              </w:rPr>
            </w:pPr>
            <w:r w:rsidRPr="00A75DF9">
              <w:rPr>
                <w:rFonts w:ascii="Tahoma" w:hAnsi="Tahoma" w:cs="Tahoma"/>
                <w:color w:val="000000"/>
              </w:rPr>
              <w:t>SA disponibile solo nella modalità delineata sotto</w:t>
            </w:r>
          </w:p>
        </w:tc>
        <w:tc>
          <w:tcPr>
            <w:tcW w:w="3243" w:type="dxa"/>
            <w:vMerge w:val="restart"/>
            <w:tcBorders>
              <w:top w:val="single" w:sz="4" w:space="0" w:color="auto"/>
              <w:left w:val="single" w:sz="4" w:space="0" w:color="auto"/>
              <w:bottom w:val="single" w:sz="4" w:space="0" w:color="auto"/>
              <w:right w:val="single" w:sz="4" w:space="0" w:color="auto"/>
            </w:tcBorders>
            <w:hideMark/>
          </w:tcPr>
          <w:p w:rsidR="00456002" w:rsidRPr="00A75DF9" w:rsidRDefault="00456002" w:rsidP="005C647E">
            <w:pPr>
              <w:pStyle w:val="AppendixTableText"/>
              <w:jc w:val="left"/>
              <w:rPr>
                <w:rFonts w:ascii="Tahoma" w:hAnsi="Tahoma" w:cs="Tahoma"/>
                <w:color w:val="000000"/>
              </w:rPr>
            </w:pPr>
            <w:r w:rsidRPr="00A75DF9">
              <w:rPr>
                <w:rFonts w:ascii="Tahoma" w:hAnsi="Tahoma" w:cs="Tahoma"/>
                <w:color w:val="000000"/>
              </w:rPr>
              <w:t>Si applica a Open License, Select, Select Plus, all</w:t>
            </w:r>
            <w:r w:rsidR="00F2643E">
              <w:rPr>
                <w:rFonts w:ascii="Tahoma" w:hAnsi="Tahoma" w:cs="Tahoma"/>
                <w:color w:val="000000"/>
              </w:rPr>
              <w:t>’</w:t>
            </w:r>
            <w:r w:rsidRPr="00A75DF9">
              <w:rPr>
                <w:rFonts w:ascii="Tahoma" w:hAnsi="Tahoma" w:cs="Tahoma"/>
                <w:color w:val="000000"/>
              </w:rPr>
              <w:t xml:space="preserve">opzione </w:t>
            </w:r>
            <w:r w:rsidRPr="00A75DF9">
              <w:rPr>
                <w:rFonts w:ascii="Tahoma" w:hAnsi="Tahoma" w:cs="Tahoma"/>
              </w:rPr>
              <w:t>non per l</w:t>
            </w:r>
            <w:r w:rsidR="00F2643E">
              <w:rPr>
                <w:rFonts w:ascii="Tahoma" w:hAnsi="Tahoma" w:cs="Tahoma"/>
              </w:rPr>
              <w:t>’</w:t>
            </w:r>
            <w:r w:rsidRPr="00A75DF9">
              <w:rPr>
                <w:rFonts w:ascii="Tahoma" w:hAnsi="Tahoma" w:cs="Tahoma"/>
              </w:rPr>
              <w:t>intera organizzazione/non a livello aziendale</w:t>
            </w:r>
            <w:r w:rsidRPr="00A75DF9">
              <w:rPr>
                <w:rFonts w:ascii="Tahoma" w:hAnsi="Tahoma" w:cs="Tahoma"/>
                <w:color w:val="000000"/>
              </w:rPr>
              <w:t xml:space="preserve"> del programma Open Value e ai Prodotti Aggiuntivi dei Contratti Enterprise. Non si applica ai Prodotti Enterprise del programma Open Value e dei Contratti Enterprise</w:t>
            </w:r>
          </w:p>
        </w:tc>
      </w:tr>
      <w:tr w:rsidR="00456002" w:rsidRPr="00A75DF9" w:rsidTr="00105321">
        <w:tc>
          <w:tcPr>
            <w:tcW w:w="1620" w:type="dxa"/>
            <w:tcBorders>
              <w:top w:val="single" w:sz="4" w:space="0" w:color="auto"/>
              <w:left w:val="single" w:sz="4" w:space="0" w:color="auto"/>
              <w:bottom w:val="single" w:sz="4" w:space="0" w:color="auto"/>
              <w:right w:val="single" w:sz="4" w:space="0" w:color="auto"/>
            </w:tcBorders>
            <w:vAlign w:val="center"/>
            <w:hideMark/>
          </w:tcPr>
          <w:p w:rsidR="00456002" w:rsidRPr="00A75DF9" w:rsidRDefault="00456002" w:rsidP="005C647E">
            <w:pPr>
              <w:pStyle w:val="AppendixTableText"/>
              <w:rPr>
                <w:rFonts w:ascii="Tahoma" w:hAnsi="Tahoma" w:cs="Tahoma"/>
                <w:b/>
                <w:color w:val="000000"/>
                <w:sz w:val="20"/>
                <w:szCs w:val="20"/>
              </w:rPr>
            </w:pPr>
            <w:r w:rsidRPr="00A75DF9">
              <w:rPr>
                <w:rFonts w:ascii="Tahoma" w:hAnsi="Tahoma" w:cs="Tahoma"/>
                <w:b/>
                <w:color w:val="000000"/>
                <w:sz w:val="20"/>
                <w:szCs w:val="20"/>
              </w:rPr>
              <w:t xml:space="preserve">Pool di sistemi </w:t>
            </w:r>
          </w:p>
        </w:tc>
        <w:tc>
          <w:tcPr>
            <w:tcW w:w="1693" w:type="dxa"/>
            <w:tcBorders>
              <w:top w:val="single" w:sz="4" w:space="0" w:color="auto"/>
              <w:left w:val="single" w:sz="4" w:space="0" w:color="auto"/>
              <w:bottom w:val="single" w:sz="4" w:space="0" w:color="auto"/>
              <w:right w:val="single" w:sz="4" w:space="0" w:color="auto"/>
            </w:tcBorders>
            <w:vAlign w:val="center"/>
            <w:hideMark/>
          </w:tcPr>
          <w:p w:rsidR="00456002" w:rsidRPr="00A75DF9" w:rsidRDefault="00456002" w:rsidP="005C647E">
            <w:pPr>
              <w:pStyle w:val="AppendixTableText"/>
              <w:rPr>
                <w:rFonts w:ascii="Tahoma" w:hAnsi="Tahoma" w:cs="Tahoma"/>
                <w:color w:val="000000"/>
              </w:rPr>
            </w:pPr>
            <w:r w:rsidRPr="00A75DF9">
              <w:rPr>
                <w:rFonts w:ascii="Tahoma" w:hAnsi="Tahoma" w:cs="Tahoma"/>
                <w:color w:val="000000"/>
              </w:rPr>
              <w:t xml:space="preserve">SA disponibile </w:t>
            </w:r>
          </w:p>
        </w:tc>
        <w:tc>
          <w:tcPr>
            <w:tcW w:w="2159" w:type="dxa"/>
            <w:tcBorders>
              <w:top w:val="single" w:sz="4" w:space="0" w:color="auto"/>
              <w:left w:val="single" w:sz="4" w:space="0" w:color="auto"/>
              <w:bottom w:val="single" w:sz="4" w:space="0" w:color="auto"/>
              <w:right w:val="single" w:sz="4" w:space="0" w:color="auto"/>
            </w:tcBorders>
            <w:vAlign w:val="center"/>
            <w:hideMark/>
          </w:tcPr>
          <w:p w:rsidR="00456002" w:rsidRPr="00A75DF9" w:rsidRDefault="00456002" w:rsidP="005C647E">
            <w:pPr>
              <w:pStyle w:val="AppendixTableText"/>
              <w:rPr>
                <w:rFonts w:ascii="Tahoma" w:hAnsi="Tahoma" w:cs="Tahoma"/>
                <w:color w:val="000000"/>
              </w:rPr>
            </w:pPr>
            <w:r w:rsidRPr="00A75DF9">
              <w:rPr>
                <w:rFonts w:ascii="Tahoma" w:hAnsi="Tahoma" w:cs="Tahoma"/>
                <w:color w:val="000000"/>
              </w:rPr>
              <w:t xml:space="preserve">SA disponibile </w:t>
            </w:r>
          </w:p>
        </w:tc>
        <w:tc>
          <w:tcPr>
            <w:tcW w:w="3243" w:type="dxa"/>
            <w:vMerge/>
            <w:tcBorders>
              <w:top w:val="single" w:sz="4" w:space="0" w:color="auto"/>
              <w:left w:val="single" w:sz="4" w:space="0" w:color="auto"/>
              <w:bottom w:val="single" w:sz="4" w:space="0" w:color="auto"/>
              <w:right w:val="single" w:sz="4" w:space="0" w:color="auto"/>
            </w:tcBorders>
            <w:vAlign w:val="center"/>
            <w:hideMark/>
          </w:tcPr>
          <w:p w:rsidR="00456002" w:rsidRPr="00A75DF9" w:rsidRDefault="00456002" w:rsidP="005C647E">
            <w:pPr>
              <w:rPr>
                <w:rFonts w:cs="Tahoma"/>
                <w:color w:val="000000"/>
                <w:szCs w:val="18"/>
              </w:rPr>
            </w:pPr>
          </w:p>
        </w:tc>
      </w:tr>
      <w:tr w:rsidR="00456002" w:rsidRPr="00A75DF9" w:rsidTr="00105321">
        <w:tc>
          <w:tcPr>
            <w:tcW w:w="1620" w:type="dxa"/>
            <w:tcBorders>
              <w:top w:val="single" w:sz="4" w:space="0" w:color="auto"/>
              <w:left w:val="single" w:sz="4" w:space="0" w:color="auto"/>
              <w:bottom w:val="single" w:sz="4" w:space="0" w:color="auto"/>
              <w:right w:val="single" w:sz="4" w:space="0" w:color="auto"/>
            </w:tcBorders>
            <w:vAlign w:val="center"/>
            <w:hideMark/>
          </w:tcPr>
          <w:p w:rsidR="00456002" w:rsidRPr="00A75DF9" w:rsidRDefault="00456002" w:rsidP="005C647E">
            <w:pPr>
              <w:pStyle w:val="AppendixTableText"/>
              <w:rPr>
                <w:rFonts w:ascii="Tahoma" w:hAnsi="Tahoma" w:cs="Tahoma"/>
                <w:b/>
                <w:color w:val="000000"/>
                <w:sz w:val="20"/>
                <w:szCs w:val="20"/>
              </w:rPr>
            </w:pPr>
            <w:r w:rsidRPr="00A75DF9">
              <w:rPr>
                <w:rFonts w:ascii="Tahoma" w:hAnsi="Tahoma" w:cs="Tahoma"/>
                <w:b/>
                <w:color w:val="000000"/>
                <w:sz w:val="20"/>
                <w:szCs w:val="20"/>
              </w:rPr>
              <w:t>Pool di Server</w:t>
            </w:r>
          </w:p>
        </w:tc>
        <w:tc>
          <w:tcPr>
            <w:tcW w:w="1693" w:type="dxa"/>
            <w:tcBorders>
              <w:top w:val="single" w:sz="4" w:space="0" w:color="auto"/>
              <w:left w:val="single" w:sz="4" w:space="0" w:color="auto"/>
              <w:bottom w:val="single" w:sz="4" w:space="0" w:color="auto"/>
              <w:right w:val="single" w:sz="4" w:space="0" w:color="auto"/>
            </w:tcBorders>
            <w:vAlign w:val="center"/>
            <w:hideMark/>
          </w:tcPr>
          <w:p w:rsidR="00456002" w:rsidRPr="00A75DF9" w:rsidRDefault="00456002" w:rsidP="005C647E">
            <w:pPr>
              <w:pStyle w:val="AppendixTableText"/>
              <w:rPr>
                <w:rFonts w:ascii="Tahoma" w:hAnsi="Tahoma" w:cs="Tahoma"/>
                <w:color w:val="000000"/>
              </w:rPr>
            </w:pPr>
            <w:r w:rsidRPr="00A75DF9">
              <w:rPr>
                <w:rFonts w:ascii="Tahoma" w:hAnsi="Tahoma" w:cs="Tahoma"/>
                <w:color w:val="000000"/>
              </w:rPr>
              <w:t xml:space="preserve">SA disponibile </w:t>
            </w:r>
          </w:p>
        </w:tc>
        <w:tc>
          <w:tcPr>
            <w:tcW w:w="2159" w:type="dxa"/>
            <w:tcBorders>
              <w:top w:val="single" w:sz="4" w:space="0" w:color="auto"/>
              <w:left w:val="single" w:sz="4" w:space="0" w:color="auto"/>
              <w:bottom w:val="single" w:sz="4" w:space="0" w:color="auto"/>
              <w:right w:val="single" w:sz="4" w:space="0" w:color="auto"/>
            </w:tcBorders>
            <w:vAlign w:val="center"/>
            <w:hideMark/>
          </w:tcPr>
          <w:p w:rsidR="00456002" w:rsidRPr="00A75DF9" w:rsidRDefault="00456002" w:rsidP="005C647E">
            <w:pPr>
              <w:pStyle w:val="AppendixTableText"/>
              <w:rPr>
                <w:rFonts w:ascii="Tahoma" w:hAnsi="Tahoma" w:cs="Tahoma"/>
                <w:color w:val="000000"/>
              </w:rPr>
            </w:pPr>
            <w:r w:rsidRPr="00A75DF9">
              <w:rPr>
                <w:rFonts w:ascii="Tahoma" w:hAnsi="Tahoma" w:cs="Tahoma"/>
                <w:color w:val="000000"/>
              </w:rPr>
              <w:t>SA disponibile</w:t>
            </w:r>
          </w:p>
        </w:tc>
        <w:tc>
          <w:tcPr>
            <w:tcW w:w="3243" w:type="dxa"/>
            <w:vMerge/>
            <w:tcBorders>
              <w:top w:val="single" w:sz="4" w:space="0" w:color="auto"/>
              <w:left w:val="single" w:sz="4" w:space="0" w:color="auto"/>
              <w:bottom w:val="single" w:sz="4" w:space="0" w:color="auto"/>
              <w:right w:val="single" w:sz="4" w:space="0" w:color="auto"/>
            </w:tcBorders>
            <w:vAlign w:val="center"/>
            <w:hideMark/>
          </w:tcPr>
          <w:p w:rsidR="00456002" w:rsidRPr="00A75DF9" w:rsidRDefault="00456002" w:rsidP="005C647E">
            <w:pPr>
              <w:rPr>
                <w:rFonts w:cs="Tahoma"/>
                <w:color w:val="000000"/>
                <w:szCs w:val="18"/>
              </w:rPr>
            </w:pPr>
          </w:p>
        </w:tc>
      </w:tr>
    </w:tbl>
    <w:p w:rsidR="00456002" w:rsidRPr="00A75DF9" w:rsidRDefault="00456002" w:rsidP="00B147AB">
      <w:pPr>
        <w:pStyle w:val="AppendixBodyText"/>
        <w:spacing w:after="0"/>
        <w:ind w:right="720"/>
        <w:rPr>
          <w:rFonts w:ascii="Tahoma" w:hAnsi="Tahoma" w:cs="Tahoma"/>
        </w:rPr>
      </w:pPr>
      <w:r w:rsidRPr="00A75DF9">
        <w:rPr>
          <w:rFonts w:ascii="Tahoma" w:hAnsi="Tahoma" w:cs="Tahoma"/>
          <w:sz w:val="18"/>
          <w:szCs w:val="18"/>
        </w:rPr>
        <w:lastRenderedPageBreak/>
        <w:t>Le società che acquistano Microsoft Office Professional 2013 da un OEM potranno acquistare Software Assurance per Microsoft Office Standard 2013 nell</w:t>
      </w:r>
      <w:r w:rsidR="00F2643E">
        <w:rPr>
          <w:rFonts w:ascii="Tahoma" w:hAnsi="Tahoma" w:cs="Tahoma"/>
          <w:sz w:val="18"/>
          <w:szCs w:val="18"/>
        </w:rPr>
        <w:t>’</w:t>
      </w:r>
      <w:r w:rsidRPr="00A75DF9">
        <w:rPr>
          <w:rFonts w:ascii="Tahoma" w:hAnsi="Tahoma" w:cs="Tahoma"/>
          <w:sz w:val="18"/>
          <w:szCs w:val="18"/>
        </w:rPr>
        <w:t>ambito dei programmi Open License, Select e Select Plus e l</w:t>
      </w:r>
      <w:r w:rsidR="00F2643E">
        <w:rPr>
          <w:rFonts w:ascii="Tahoma" w:hAnsi="Tahoma" w:cs="Tahoma"/>
          <w:sz w:val="18"/>
          <w:szCs w:val="18"/>
        </w:rPr>
        <w:t>’</w:t>
      </w:r>
      <w:r w:rsidRPr="00A75DF9">
        <w:rPr>
          <w:rFonts w:ascii="Tahoma" w:hAnsi="Tahoma" w:cs="Tahoma"/>
          <w:sz w:val="18"/>
          <w:szCs w:val="18"/>
        </w:rPr>
        <w:t>opzione non a livello aziendale ai sensi del programma Open Value entro 90 giorni dalla data di acquisto presso l</w:t>
      </w:r>
      <w:r w:rsidR="00F2643E">
        <w:rPr>
          <w:rFonts w:ascii="Tahoma" w:hAnsi="Tahoma" w:cs="Tahoma"/>
          <w:sz w:val="18"/>
          <w:szCs w:val="18"/>
        </w:rPr>
        <w:t>’</w:t>
      </w:r>
      <w:r w:rsidRPr="00A75DF9">
        <w:rPr>
          <w:rFonts w:ascii="Tahoma" w:hAnsi="Tahoma" w:cs="Tahoma"/>
          <w:sz w:val="18"/>
          <w:szCs w:val="18"/>
        </w:rPr>
        <w:t>OEM. Le Product Key Card (PKC) Office sono considerate un</w:t>
      </w:r>
      <w:r w:rsidR="00F2643E">
        <w:rPr>
          <w:rFonts w:ascii="Tahoma" w:hAnsi="Tahoma" w:cs="Tahoma"/>
          <w:sz w:val="18"/>
          <w:szCs w:val="18"/>
        </w:rPr>
        <w:t>’</w:t>
      </w:r>
      <w:r w:rsidRPr="00A75DF9">
        <w:rPr>
          <w:rFonts w:ascii="Tahoma" w:hAnsi="Tahoma" w:cs="Tahoma"/>
          <w:sz w:val="18"/>
          <w:szCs w:val="18"/>
        </w:rPr>
        <w:t>offerta Full Packaged Product (Dettaglio) e pertanto non sono idonee a beneficiare dell</w:t>
      </w:r>
      <w:r w:rsidR="00F2643E">
        <w:rPr>
          <w:rFonts w:ascii="Tahoma" w:hAnsi="Tahoma" w:cs="Tahoma"/>
          <w:sz w:val="18"/>
          <w:szCs w:val="18"/>
        </w:rPr>
        <w:t>’</w:t>
      </w:r>
      <w:r w:rsidRPr="00A75DF9">
        <w:rPr>
          <w:rFonts w:ascii="Tahoma" w:hAnsi="Tahoma" w:cs="Tahoma"/>
          <w:sz w:val="18"/>
          <w:szCs w:val="18"/>
        </w:rPr>
        <w:t>opzione di acquisto di Software Assurance.</w:t>
      </w:r>
    </w:p>
    <w:p w:rsidR="00255158" w:rsidRPr="00A75DF9" w:rsidRDefault="00255158" w:rsidP="00B147AB">
      <w:pPr>
        <w:pStyle w:val="AppendixBodyText"/>
        <w:spacing w:after="0"/>
        <w:ind w:right="720"/>
        <w:rPr>
          <w:rFonts w:ascii="Tahoma" w:hAnsi="Tahoma" w:cs="Tahoma"/>
        </w:rPr>
      </w:pPr>
    </w:p>
    <w:p w:rsidR="00456002" w:rsidRPr="00A75DF9" w:rsidRDefault="00456002" w:rsidP="00456002">
      <w:pPr>
        <w:pStyle w:val="Heading2"/>
        <w:ind w:left="0" w:right="720"/>
        <w:rPr>
          <w:rFonts w:ascii="Tahoma" w:hAnsi="Tahoma" w:cs="Tahoma"/>
        </w:rPr>
      </w:pPr>
      <w:bookmarkStart w:id="648" w:name="_Toc323819651"/>
      <w:bookmarkStart w:id="649" w:name="_Toc336338202"/>
      <w:bookmarkStart w:id="650" w:name="_Toc368310192"/>
      <w:r w:rsidRPr="00A75DF9">
        <w:rPr>
          <w:rFonts w:ascii="Tahoma" w:hAnsi="Tahoma" w:cs="Tahoma"/>
        </w:rPr>
        <w:t>Licenze Step-Up</w:t>
      </w:r>
      <w:bookmarkEnd w:id="648"/>
      <w:bookmarkEnd w:id="649"/>
      <w:bookmarkEnd w:id="650"/>
    </w:p>
    <w:p w:rsidR="00456002" w:rsidRPr="00A75DF9" w:rsidRDefault="00456002" w:rsidP="00B147AB">
      <w:pPr>
        <w:ind w:right="720"/>
        <w:rPr>
          <w:rFonts w:cs="Tahoma"/>
        </w:rPr>
      </w:pPr>
    </w:p>
    <w:p w:rsidR="00456002" w:rsidRPr="00A75DF9" w:rsidRDefault="00456002" w:rsidP="00105321">
      <w:pPr>
        <w:pStyle w:val="AppendixIndent"/>
        <w:ind w:left="0" w:right="720"/>
        <w:rPr>
          <w:rFonts w:ascii="Tahoma" w:hAnsi="Tahoma" w:cs="Tahoma"/>
        </w:rPr>
      </w:pPr>
      <w:r w:rsidRPr="00A75DF9">
        <w:rPr>
          <w:rFonts w:ascii="Tahoma" w:hAnsi="Tahoma" w:cs="Tahoma"/>
          <w:sz w:val="18"/>
        </w:rPr>
        <w:t>Le società potranno migrare dall</w:t>
      </w:r>
      <w:r w:rsidR="00F2643E">
        <w:rPr>
          <w:rFonts w:ascii="Tahoma" w:hAnsi="Tahoma" w:cs="Tahoma"/>
          <w:sz w:val="18"/>
        </w:rPr>
        <w:t>’</w:t>
      </w:r>
      <w:r w:rsidRPr="00A75DF9">
        <w:rPr>
          <w:rFonts w:ascii="Tahoma" w:hAnsi="Tahoma" w:cs="Tahoma"/>
          <w:sz w:val="18"/>
        </w:rPr>
        <w:t>edizione standard a un</w:t>
      </w:r>
      <w:r w:rsidR="00F2643E">
        <w:rPr>
          <w:rFonts w:ascii="Tahoma" w:hAnsi="Tahoma" w:cs="Tahoma"/>
          <w:sz w:val="18"/>
        </w:rPr>
        <w:t>’</w:t>
      </w:r>
      <w:r w:rsidRPr="00A75DF9">
        <w:rPr>
          <w:rFonts w:ascii="Tahoma" w:hAnsi="Tahoma" w:cs="Tahoma"/>
          <w:sz w:val="18"/>
        </w:rPr>
        <w:t xml:space="preserve">edizione premium di determinati prodotti con una Licenza Step-Up. Le società dovranno disporre di una licenza </w:t>
      </w:r>
      <w:r w:rsidRPr="00A75DF9">
        <w:rPr>
          <w:rFonts w:ascii="Tahoma" w:hAnsi="Tahoma" w:cs="Tahoma"/>
          <w:sz w:val="18"/>
          <w:szCs w:val="18"/>
        </w:rPr>
        <w:t xml:space="preserve">con copertura Software </w:t>
      </w:r>
      <w:r w:rsidRPr="00A75DF9">
        <w:rPr>
          <w:rFonts w:ascii="Tahoma" w:hAnsi="Tahoma" w:cs="Tahoma"/>
          <w:color w:val="000000"/>
          <w:sz w:val="18"/>
          <w:szCs w:val="18"/>
        </w:rPr>
        <w:t>Assurance attiva per il prodotto qualificante, al fine di acquistare una Licenza Step-Up. La Licenza Step-Up dovrà essere acquistata, e sarà valida unicamente dopo l</w:t>
      </w:r>
      <w:r w:rsidR="00F2643E">
        <w:rPr>
          <w:rFonts w:ascii="Tahoma" w:hAnsi="Tahoma" w:cs="Tahoma"/>
          <w:color w:val="000000"/>
          <w:sz w:val="18"/>
          <w:szCs w:val="18"/>
        </w:rPr>
        <w:t>’</w:t>
      </w:r>
      <w:r w:rsidRPr="00A75DF9">
        <w:rPr>
          <w:rFonts w:ascii="Tahoma" w:hAnsi="Tahoma" w:cs="Tahoma"/>
          <w:color w:val="000000"/>
          <w:sz w:val="18"/>
          <w:szCs w:val="18"/>
        </w:rPr>
        <w:t>acquisto, nell</w:t>
      </w:r>
      <w:r w:rsidR="00F2643E">
        <w:rPr>
          <w:rFonts w:ascii="Tahoma" w:hAnsi="Tahoma" w:cs="Tahoma"/>
          <w:color w:val="000000"/>
          <w:sz w:val="18"/>
          <w:szCs w:val="18"/>
        </w:rPr>
        <w:t>’</w:t>
      </w:r>
      <w:r w:rsidRPr="00A75DF9">
        <w:rPr>
          <w:rFonts w:ascii="Tahoma" w:hAnsi="Tahoma" w:cs="Tahoma"/>
          <w:color w:val="000000"/>
          <w:sz w:val="18"/>
          <w:szCs w:val="18"/>
        </w:rPr>
        <w:t>ambito del medesimo contratto del Programma di Contratti Multilicenza e della medesima iscrizione, se disponibili, ai sensi dei quali è stata originariamente acquistata la</w:t>
      </w:r>
      <w:r w:rsidR="00105321">
        <w:rPr>
          <w:rFonts w:ascii="Tahoma" w:hAnsi="Tahoma" w:cs="Tahoma"/>
          <w:color w:val="000000"/>
          <w:sz w:val="18"/>
          <w:szCs w:val="18"/>
        </w:rPr>
        <w:t> </w:t>
      </w:r>
      <w:r w:rsidRPr="00A75DF9">
        <w:rPr>
          <w:rFonts w:ascii="Tahoma" w:hAnsi="Tahoma" w:cs="Tahoma"/>
          <w:color w:val="000000"/>
          <w:sz w:val="18"/>
          <w:szCs w:val="18"/>
        </w:rPr>
        <w:t>copertura per la protezione dell</w:t>
      </w:r>
      <w:r w:rsidR="00F2643E">
        <w:rPr>
          <w:rFonts w:ascii="Tahoma" w:hAnsi="Tahoma" w:cs="Tahoma"/>
          <w:color w:val="000000"/>
          <w:sz w:val="18"/>
          <w:szCs w:val="18"/>
        </w:rPr>
        <w:t>’</w:t>
      </w:r>
      <w:r w:rsidRPr="00A75DF9">
        <w:rPr>
          <w:rFonts w:ascii="Tahoma" w:hAnsi="Tahoma" w:cs="Tahoma"/>
          <w:color w:val="000000"/>
          <w:sz w:val="18"/>
          <w:szCs w:val="18"/>
        </w:rPr>
        <w:t xml:space="preserve">aggiornamento del prodotto qualificante. </w:t>
      </w:r>
      <w:r w:rsidRPr="00A75DF9">
        <w:rPr>
          <w:rFonts w:ascii="Tahoma" w:hAnsi="Tahoma" w:cs="Tahoma"/>
          <w:color w:val="000000"/>
          <w:sz w:val="18"/>
        </w:rPr>
        <w:t>Il diritto di utilizzo del software da parte della società ai sensi della Licenza Step-Up è subordinato al possesso e al mantenimento di una Licenza per il</w:t>
      </w:r>
      <w:r w:rsidRPr="00A75DF9">
        <w:rPr>
          <w:rFonts w:ascii="Tahoma" w:hAnsi="Tahoma" w:cs="Tahoma"/>
          <w:sz w:val="18"/>
        </w:rPr>
        <w:t xml:space="preserve"> prodotto qualificante. Le società non possono trasferire la Licenza per il prodotto qualificante separatamente dalla </w:t>
      </w:r>
      <w:r w:rsidRPr="00A75DF9">
        <w:rPr>
          <w:rFonts w:ascii="Tahoma" w:hAnsi="Tahoma" w:cs="Tahoma"/>
          <w:sz w:val="18"/>
          <w:szCs w:val="18"/>
        </w:rPr>
        <w:t>Licenza Step-Up.</w:t>
      </w:r>
      <w:r w:rsidR="009D3B41" w:rsidRPr="00A75DF9">
        <w:rPr>
          <w:rFonts w:ascii="Tahoma" w:hAnsi="Tahoma" w:cs="Tahoma"/>
          <w:sz w:val="18"/>
          <w:szCs w:val="18"/>
        </w:rPr>
        <w:t xml:space="preserve"> </w:t>
      </w:r>
      <w:r w:rsidRPr="00A75DF9">
        <w:rPr>
          <w:rFonts w:ascii="Tahoma" w:hAnsi="Tahoma" w:cs="Tahoma"/>
          <w:sz w:val="18"/>
          <w:szCs w:val="18"/>
        </w:rPr>
        <w:t>Per ulteriori informazioni e per conoscere la disponibilità delle licenze, consultare il Documento relativo alla Licenza Step-up per Enterprise Edition nel quadro del Programma Volume License all</w:t>
      </w:r>
      <w:r w:rsidR="00F2643E">
        <w:rPr>
          <w:rFonts w:ascii="Tahoma" w:hAnsi="Tahoma" w:cs="Tahoma"/>
          <w:sz w:val="18"/>
          <w:szCs w:val="18"/>
        </w:rPr>
        <w:t>’</w:t>
      </w:r>
      <w:r w:rsidRPr="00A75DF9">
        <w:rPr>
          <w:rFonts w:ascii="Tahoma" w:hAnsi="Tahoma" w:cs="Tahoma"/>
          <w:sz w:val="18"/>
          <w:szCs w:val="18"/>
        </w:rPr>
        <w:t xml:space="preserve">indirizzo: </w:t>
      </w:r>
      <w:r w:rsidR="00105321" w:rsidRPr="00EB2B3F">
        <w:rPr>
          <w:rFonts w:ascii="Tahoma" w:hAnsi="Tahoma" w:cs="Tahoma"/>
          <w:sz w:val="18"/>
          <w:szCs w:val="18"/>
        </w:rPr>
        <w:t>http://</w:t>
      </w:r>
      <w:hyperlink r:id="rId20" w:history="1">
        <w:r w:rsidR="00105321" w:rsidRPr="002E57CF">
          <w:rPr>
            <w:rStyle w:val="Hyperlink"/>
            <w:rFonts w:ascii="Tahoma" w:hAnsi="Tahoma" w:cs="Tahoma"/>
            <w:sz w:val="18"/>
            <w:szCs w:val="18"/>
          </w:rPr>
          <w:t>www.microsoft.com/licensing</w:t>
        </w:r>
      </w:hyperlink>
      <w:r w:rsidRPr="00A75DF9">
        <w:rPr>
          <w:rFonts w:ascii="Tahoma" w:hAnsi="Tahoma" w:cs="Tahoma"/>
          <w:sz w:val="18"/>
          <w:szCs w:val="18"/>
        </w:rPr>
        <w:t>.</w:t>
      </w:r>
    </w:p>
    <w:p w:rsidR="00ED589D" w:rsidRPr="00A75DF9" w:rsidRDefault="00ED589D" w:rsidP="00ED589D">
      <w:pPr>
        <w:rPr>
          <w:rFonts w:cs="Tahoma"/>
        </w:rPr>
      </w:pPr>
    </w:p>
    <w:p w:rsidR="00456002" w:rsidRPr="00A75DF9" w:rsidRDefault="00456002" w:rsidP="00456002">
      <w:pPr>
        <w:pStyle w:val="Heading2"/>
        <w:ind w:left="0" w:right="720"/>
        <w:rPr>
          <w:rFonts w:ascii="Tahoma" w:hAnsi="Tahoma" w:cs="Tahoma"/>
        </w:rPr>
      </w:pPr>
      <w:bookmarkStart w:id="651" w:name="_Toc323819652"/>
      <w:bookmarkStart w:id="652" w:name="_Toc336338203"/>
      <w:bookmarkStart w:id="653" w:name="_Toc368310193"/>
      <w:r w:rsidRPr="00A75DF9">
        <w:rPr>
          <w:rFonts w:ascii="Tahoma" w:hAnsi="Tahoma" w:cs="Tahoma"/>
        </w:rPr>
        <w:t>Licenze “Subscription”</w:t>
      </w:r>
      <w:bookmarkEnd w:id="651"/>
      <w:bookmarkEnd w:id="652"/>
      <w:bookmarkEnd w:id="653"/>
      <w:r w:rsidRPr="00A75DF9">
        <w:rPr>
          <w:rFonts w:ascii="Tahoma" w:hAnsi="Tahoma" w:cs="Tahoma"/>
        </w:rPr>
        <w:t xml:space="preserve"> </w:t>
      </w:r>
    </w:p>
    <w:p w:rsidR="00456002" w:rsidRPr="00A75DF9" w:rsidRDefault="00456002" w:rsidP="007C05C1">
      <w:pPr>
        <w:ind w:right="720"/>
        <w:rPr>
          <w:rFonts w:cs="Tahoma"/>
        </w:rPr>
      </w:pPr>
    </w:p>
    <w:p w:rsidR="00456002" w:rsidRPr="00A75DF9" w:rsidRDefault="00456002" w:rsidP="00B147AB">
      <w:pPr>
        <w:pStyle w:val="AppendixIndent"/>
        <w:spacing w:before="0"/>
        <w:ind w:left="0" w:right="720"/>
        <w:rPr>
          <w:rFonts w:ascii="Tahoma" w:hAnsi="Tahoma" w:cs="Tahoma"/>
        </w:rPr>
      </w:pPr>
      <w:r w:rsidRPr="00A75DF9">
        <w:rPr>
          <w:rFonts w:ascii="Tahoma" w:hAnsi="Tahoma" w:cs="Tahoma"/>
          <w:sz w:val="18"/>
        </w:rPr>
        <w:t>Questo tipo di prodotto è disponibile per i Servizi Online e per alcuni prodotti software, non dipende dalla versione e consente alle società di utilizzare il software e, nel caso di un Servizio Online, il servizio durante il periodo di validità dell</w:t>
      </w:r>
      <w:r w:rsidR="00F2643E">
        <w:rPr>
          <w:rFonts w:ascii="Tahoma" w:hAnsi="Tahoma" w:cs="Tahoma"/>
          <w:sz w:val="18"/>
        </w:rPr>
        <w:t>’</w:t>
      </w:r>
      <w:r w:rsidRPr="00A75DF9">
        <w:rPr>
          <w:rFonts w:ascii="Tahoma" w:hAnsi="Tahoma" w:cs="Tahoma"/>
          <w:sz w:val="18"/>
        </w:rPr>
        <w:t>iscrizione Select o Enterprise oppure del contratto Open ai sensi del quale viene acquistato.</w:t>
      </w:r>
      <w:r w:rsidR="009D3B41" w:rsidRPr="00A75DF9">
        <w:rPr>
          <w:rFonts w:ascii="Tahoma" w:hAnsi="Tahoma" w:cs="Tahoma"/>
          <w:sz w:val="18"/>
        </w:rPr>
        <w:t xml:space="preserve"> </w:t>
      </w:r>
      <w:r w:rsidRPr="00A75DF9">
        <w:rPr>
          <w:rFonts w:ascii="Tahoma" w:hAnsi="Tahoma" w:cs="Tahoma"/>
          <w:sz w:val="18"/>
        </w:rPr>
        <w:t>Le licenze “Subscription” acquistate ai sensi di un Contratto Enterprise o Enterprise Subscription dovranno essere acquistate in occasione del primo accesso al servizio e verranno suddivise in misura proporzionale sulla base del numero di mesi che rimangono alla scadenza del periodo di validità del contratto o dell</w:t>
      </w:r>
      <w:r w:rsidR="00F2643E">
        <w:rPr>
          <w:rFonts w:ascii="Tahoma" w:hAnsi="Tahoma" w:cs="Tahoma"/>
          <w:sz w:val="18"/>
        </w:rPr>
        <w:t>’</w:t>
      </w:r>
      <w:r w:rsidRPr="00A75DF9">
        <w:rPr>
          <w:rFonts w:ascii="Tahoma" w:hAnsi="Tahoma" w:cs="Tahoma"/>
          <w:sz w:val="18"/>
        </w:rPr>
        <w:t xml:space="preserve">iscrizione. Disponibile nei seguenti programmi: </w:t>
      </w:r>
    </w:p>
    <w:p w:rsidR="00456002" w:rsidRPr="00105321" w:rsidRDefault="00456002" w:rsidP="00B147AB">
      <w:pPr>
        <w:pStyle w:val="AppendixIndent"/>
        <w:spacing w:before="0"/>
        <w:ind w:left="0" w:right="720"/>
        <w:rPr>
          <w:rFonts w:ascii="Tahoma" w:hAnsi="Tahoma" w:cs="Tahoma"/>
          <w:sz w:val="18"/>
          <w:szCs w:val="18"/>
        </w:rPr>
      </w:pPr>
    </w:p>
    <w:p w:rsidR="00456002" w:rsidRPr="00105321" w:rsidRDefault="00456002" w:rsidP="00346F4B">
      <w:pPr>
        <w:pStyle w:val="AppendixBulletIndent"/>
        <w:numPr>
          <w:ilvl w:val="0"/>
          <w:numId w:val="66"/>
        </w:numPr>
        <w:tabs>
          <w:tab w:val="left" w:pos="1440"/>
        </w:tabs>
        <w:spacing w:after="60"/>
        <w:ind w:left="1440" w:right="720"/>
        <w:rPr>
          <w:rFonts w:ascii="Tahoma" w:hAnsi="Tahoma" w:cs="Tahoma"/>
          <w:sz w:val="18"/>
          <w:szCs w:val="18"/>
        </w:rPr>
      </w:pPr>
      <w:r w:rsidRPr="00105321">
        <w:rPr>
          <w:rFonts w:ascii="Tahoma" w:hAnsi="Tahoma" w:cs="Tahoma"/>
          <w:sz w:val="18"/>
          <w:szCs w:val="18"/>
        </w:rPr>
        <w:t>Open Value</w:t>
      </w:r>
    </w:p>
    <w:p w:rsidR="00456002" w:rsidRPr="00105321" w:rsidRDefault="00456002" w:rsidP="00346F4B">
      <w:pPr>
        <w:pStyle w:val="AppendixBulletIndent"/>
        <w:numPr>
          <w:ilvl w:val="0"/>
          <w:numId w:val="66"/>
        </w:numPr>
        <w:tabs>
          <w:tab w:val="left" w:pos="1440"/>
        </w:tabs>
        <w:spacing w:after="60"/>
        <w:ind w:left="1440" w:right="720"/>
        <w:rPr>
          <w:rFonts w:ascii="Tahoma" w:hAnsi="Tahoma" w:cs="Tahoma"/>
          <w:sz w:val="18"/>
          <w:szCs w:val="18"/>
        </w:rPr>
      </w:pPr>
      <w:r w:rsidRPr="00105321">
        <w:rPr>
          <w:rFonts w:ascii="Tahoma" w:hAnsi="Tahoma" w:cs="Tahoma"/>
          <w:sz w:val="18"/>
          <w:szCs w:val="18"/>
        </w:rPr>
        <w:t xml:space="preserve">Open Value Subscription </w:t>
      </w:r>
    </w:p>
    <w:p w:rsidR="00456002" w:rsidRPr="00105321" w:rsidRDefault="00456002" w:rsidP="00346F4B">
      <w:pPr>
        <w:pStyle w:val="AppendixBulletIndent"/>
        <w:numPr>
          <w:ilvl w:val="0"/>
          <w:numId w:val="66"/>
        </w:numPr>
        <w:tabs>
          <w:tab w:val="left" w:pos="1440"/>
        </w:tabs>
        <w:spacing w:after="60"/>
        <w:ind w:left="1440" w:right="720"/>
        <w:rPr>
          <w:rFonts w:ascii="Tahoma" w:hAnsi="Tahoma" w:cs="Tahoma"/>
          <w:sz w:val="18"/>
          <w:szCs w:val="18"/>
        </w:rPr>
      </w:pPr>
      <w:r w:rsidRPr="00105321">
        <w:rPr>
          <w:rFonts w:ascii="Tahoma" w:hAnsi="Tahoma" w:cs="Tahoma"/>
          <w:sz w:val="18"/>
          <w:szCs w:val="18"/>
        </w:rPr>
        <w:t xml:space="preserve">Select </w:t>
      </w:r>
    </w:p>
    <w:p w:rsidR="00456002" w:rsidRPr="00105321" w:rsidRDefault="00456002" w:rsidP="00346F4B">
      <w:pPr>
        <w:pStyle w:val="AppendixBulletIndent"/>
        <w:numPr>
          <w:ilvl w:val="0"/>
          <w:numId w:val="66"/>
        </w:numPr>
        <w:tabs>
          <w:tab w:val="left" w:pos="1440"/>
        </w:tabs>
        <w:spacing w:after="60"/>
        <w:ind w:left="1440" w:right="720"/>
        <w:rPr>
          <w:rFonts w:ascii="Tahoma" w:hAnsi="Tahoma" w:cs="Tahoma"/>
          <w:sz w:val="18"/>
          <w:szCs w:val="18"/>
        </w:rPr>
      </w:pPr>
      <w:r w:rsidRPr="00105321">
        <w:rPr>
          <w:rFonts w:ascii="Tahoma" w:hAnsi="Tahoma" w:cs="Tahoma"/>
          <w:sz w:val="18"/>
          <w:szCs w:val="18"/>
        </w:rPr>
        <w:t>Select Plus</w:t>
      </w:r>
    </w:p>
    <w:p w:rsidR="00456002" w:rsidRPr="00105321" w:rsidRDefault="00456002" w:rsidP="00346F4B">
      <w:pPr>
        <w:pStyle w:val="AppendixBulletIndent"/>
        <w:numPr>
          <w:ilvl w:val="0"/>
          <w:numId w:val="66"/>
        </w:numPr>
        <w:tabs>
          <w:tab w:val="left" w:pos="1440"/>
        </w:tabs>
        <w:spacing w:after="60"/>
        <w:ind w:left="1440" w:right="720"/>
        <w:rPr>
          <w:rFonts w:ascii="Tahoma" w:hAnsi="Tahoma" w:cs="Tahoma"/>
          <w:sz w:val="18"/>
          <w:szCs w:val="18"/>
        </w:rPr>
      </w:pPr>
      <w:r w:rsidRPr="00105321">
        <w:rPr>
          <w:rFonts w:ascii="Tahoma" w:hAnsi="Tahoma" w:cs="Tahoma"/>
          <w:sz w:val="18"/>
          <w:szCs w:val="18"/>
        </w:rPr>
        <w:t>School</w:t>
      </w:r>
    </w:p>
    <w:p w:rsidR="00456002" w:rsidRPr="00105321" w:rsidRDefault="00456002" w:rsidP="00346F4B">
      <w:pPr>
        <w:pStyle w:val="AppendixBulletIndent"/>
        <w:numPr>
          <w:ilvl w:val="0"/>
          <w:numId w:val="66"/>
        </w:numPr>
        <w:tabs>
          <w:tab w:val="left" w:pos="1440"/>
        </w:tabs>
        <w:spacing w:after="60"/>
        <w:ind w:left="1440" w:right="720"/>
        <w:rPr>
          <w:rFonts w:ascii="Tahoma" w:hAnsi="Tahoma" w:cs="Tahoma"/>
          <w:sz w:val="18"/>
          <w:szCs w:val="18"/>
        </w:rPr>
      </w:pPr>
      <w:r w:rsidRPr="00105321">
        <w:rPr>
          <w:rFonts w:ascii="Tahoma" w:hAnsi="Tahoma" w:cs="Tahoma"/>
          <w:sz w:val="18"/>
          <w:szCs w:val="18"/>
        </w:rPr>
        <w:t>EES</w:t>
      </w:r>
    </w:p>
    <w:p w:rsidR="00456002" w:rsidRPr="00105321" w:rsidRDefault="00456002" w:rsidP="00346F4B">
      <w:pPr>
        <w:pStyle w:val="AppendixBulletIndent"/>
        <w:numPr>
          <w:ilvl w:val="0"/>
          <w:numId w:val="66"/>
        </w:numPr>
        <w:tabs>
          <w:tab w:val="left" w:pos="1440"/>
        </w:tabs>
        <w:spacing w:after="60"/>
        <w:ind w:left="1440" w:right="720"/>
        <w:rPr>
          <w:rFonts w:ascii="Tahoma" w:hAnsi="Tahoma" w:cs="Tahoma"/>
          <w:sz w:val="18"/>
          <w:szCs w:val="18"/>
        </w:rPr>
      </w:pPr>
      <w:r w:rsidRPr="00105321">
        <w:rPr>
          <w:rFonts w:ascii="Tahoma" w:hAnsi="Tahoma" w:cs="Tahoma"/>
          <w:sz w:val="18"/>
          <w:szCs w:val="18"/>
        </w:rPr>
        <w:t>Contratto Enterprise</w:t>
      </w:r>
    </w:p>
    <w:p w:rsidR="00456002" w:rsidRPr="00105321" w:rsidRDefault="00456002" w:rsidP="00346F4B">
      <w:pPr>
        <w:pStyle w:val="AppendixIndent"/>
        <w:numPr>
          <w:ilvl w:val="0"/>
          <w:numId w:val="66"/>
        </w:numPr>
        <w:tabs>
          <w:tab w:val="left" w:pos="1440"/>
        </w:tabs>
        <w:spacing w:before="0"/>
        <w:ind w:left="1440" w:right="720"/>
        <w:rPr>
          <w:rFonts w:ascii="Tahoma" w:hAnsi="Tahoma" w:cs="Tahoma"/>
          <w:sz w:val="18"/>
          <w:szCs w:val="18"/>
        </w:rPr>
      </w:pPr>
      <w:r w:rsidRPr="00105321">
        <w:rPr>
          <w:rFonts w:ascii="Tahoma" w:hAnsi="Tahoma" w:cs="Tahoma"/>
          <w:sz w:val="18"/>
          <w:szCs w:val="18"/>
        </w:rPr>
        <w:t>Contratto Enterprise Subscription</w:t>
      </w:r>
    </w:p>
    <w:p w:rsidR="00ED589D" w:rsidRPr="00105321" w:rsidRDefault="00ED589D" w:rsidP="00B147AB">
      <w:pPr>
        <w:rPr>
          <w:rFonts w:cs="Tahoma"/>
          <w:szCs w:val="18"/>
        </w:rPr>
      </w:pPr>
    </w:p>
    <w:p w:rsidR="00456002" w:rsidRPr="00A75DF9" w:rsidRDefault="00456002" w:rsidP="00456002">
      <w:pPr>
        <w:pStyle w:val="Heading2"/>
        <w:ind w:left="0" w:right="720"/>
        <w:rPr>
          <w:rFonts w:ascii="Tahoma" w:hAnsi="Tahoma" w:cs="Tahoma"/>
        </w:rPr>
      </w:pPr>
      <w:bookmarkStart w:id="654" w:name="_Toc323819653"/>
      <w:bookmarkStart w:id="655" w:name="_Toc336338204"/>
      <w:bookmarkStart w:id="656" w:name="_Toc368310194"/>
      <w:r w:rsidRPr="00A75DF9">
        <w:rPr>
          <w:rFonts w:ascii="Tahoma" w:hAnsi="Tahoma" w:cs="Tahoma"/>
        </w:rPr>
        <w:t>Aggiornamento</w:t>
      </w:r>
      <w:bookmarkEnd w:id="654"/>
      <w:bookmarkEnd w:id="655"/>
      <w:bookmarkEnd w:id="656"/>
    </w:p>
    <w:p w:rsidR="00456002" w:rsidRPr="00105321" w:rsidRDefault="00456002" w:rsidP="00B147AB">
      <w:pPr>
        <w:pStyle w:val="AppendixIndent"/>
        <w:spacing w:before="0"/>
        <w:ind w:left="0" w:right="720"/>
        <w:rPr>
          <w:rFonts w:ascii="Tahoma" w:hAnsi="Tahoma" w:cs="Tahoma"/>
          <w:sz w:val="18"/>
          <w:szCs w:val="18"/>
        </w:rPr>
      </w:pPr>
    </w:p>
    <w:p w:rsidR="00456002" w:rsidRPr="00105321" w:rsidRDefault="00456002" w:rsidP="00B147AB">
      <w:pPr>
        <w:pStyle w:val="AppendixIndent"/>
        <w:spacing w:before="0"/>
        <w:ind w:left="0" w:right="720"/>
        <w:rPr>
          <w:rFonts w:ascii="Tahoma" w:hAnsi="Tahoma" w:cs="Tahoma"/>
          <w:sz w:val="18"/>
          <w:szCs w:val="18"/>
        </w:rPr>
      </w:pPr>
      <w:r w:rsidRPr="00105321">
        <w:rPr>
          <w:rFonts w:ascii="Tahoma" w:hAnsi="Tahoma" w:cs="Tahoma"/>
          <w:sz w:val="18"/>
          <w:szCs w:val="18"/>
        </w:rPr>
        <w:t xml:space="preserve">Questo tipo di prodotto è disponibile solo per il </w:t>
      </w:r>
      <w:r w:rsidRPr="00105321">
        <w:rPr>
          <w:rFonts w:ascii="Tahoma" w:hAnsi="Tahoma" w:cs="Tahoma"/>
          <w:sz w:val="18"/>
          <w:szCs w:val="18"/>
          <w:u w:val="single"/>
        </w:rPr>
        <w:t>Sistema Operativo Desktop Windows</w:t>
      </w:r>
      <w:r w:rsidRPr="00105321">
        <w:rPr>
          <w:rFonts w:ascii="Tahoma" w:hAnsi="Tahoma" w:cs="Tahoma"/>
          <w:sz w:val="18"/>
          <w:szCs w:val="18"/>
        </w:rPr>
        <w:t>, dipende dalla versione e concede il diritto di eseguire la versione del prodotto per il quale viene ordinata.</w:t>
      </w:r>
      <w:r w:rsidR="009D3B41" w:rsidRPr="00105321">
        <w:rPr>
          <w:rFonts w:ascii="Tahoma" w:hAnsi="Tahoma" w:cs="Tahoma"/>
          <w:sz w:val="18"/>
          <w:szCs w:val="18"/>
        </w:rPr>
        <w:t xml:space="preserve"> </w:t>
      </w:r>
      <w:r w:rsidRPr="00105321">
        <w:rPr>
          <w:rFonts w:ascii="Tahoma" w:hAnsi="Tahoma" w:cs="Tahoma"/>
          <w:sz w:val="18"/>
          <w:szCs w:val="18"/>
        </w:rPr>
        <w:t>Disponibile nei seguenti programmi:</w:t>
      </w:r>
    </w:p>
    <w:p w:rsidR="00456002" w:rsidRPr="00105321" w:rsidRDefault="00456002" w:rsidP="00B147AB">
      <w:pPr>
        <w:pStyle w:val="AppendixIndent"/>
        <w:spacing w:before="0"/>
        <w:ind w:left="0" w:right="720"/>
        <w:rPr>
          <w:rFonts w:ascii="Tahoma" w:hAnsi="Tahoma" w:cs="Tahoma"/>
          <w:sz w:val="18"/>
          <w:szCs w:val="18"/>
        </w:rPr>
      </w:pPr>
    </w:p>
    <w:p w:rsidR="00385C82" w:rsidRPr="00105321" w:rsidRDefault="00385C82" w:rsidP="00346F4B">
      <w:pPr>
        <w:pStyle w:val="AppendixBulletIndent"/>
        <w:numPr>
          <w:ilvl w:val="0"/>
          <w:numId w:val="59"/>
        </w:numPr>
        <w:tabs>
          <w:tab w:val="left" w:pos="1440"/>
        </w:tabs>
        <w:spacing w:after="60"/>
        <w:ind w:left="1440" w:right="720"/>
        <w:rPr>
          <w:rFonts w:ascii="Tahoma" w:hAnsi="Tahoma" w:cs="Tahoma"/>
          <w:sz w:val="18"/>
          <w:szCs w:val="18"/>
        </w:rPr>
      </w:pPr>
      <w:r w:rsidRPr="00105321">
        <w:rPr>
          <w:rFonts w:ascii="Tahoma" w:hAnsi="Tahoma" w:cs="Tahoma"/>
          <w:sz w:val="18"/>
          <w:szCs w:val="18"/>
        </w:rPr>
        <w:t>Licenza Open</w:t>
      </w:r>
    </w:p>
    <w:p w:rsidR="00385C82" w:rsidRPr="00105321" w:rsidRDefault="00385C82" w:rsidP="00346F4B">
      <w:pPr>
        <w:pStyle w:val="AppendixBulletIndent"/>
        <w:numPr>
          <w:ilvl w:val="0"/>
          <w:numId w:val="59"/>
        </w:numPr>
        <w:tabs>
          <w:tab w:val="left" w:pos="1440"/>
        </w:tabs>
        <w:spacing w:after="60"/>
        <w:ind w:left="1440" w:right="720"/>
        <w:rPr>
          <w:rFonts w:ascii="Tahoma" w:hAnsi="Tahoma" w:cs="Tahoma"/>
          <w:sz w:val="18"/>
          <w:szCs w:val="18"/>
        </w:rPr>
      </w:pPr>
      <w:r w:rsidRPr="00105321">
        <w:rPr>
          <w:rFonts w:ascii="Tahoma" w:hAnsi="Tahoma" w:cs="Tahoma"/>
          <w:sz w:val="18"/>
          <w:szCs w:val="18"/>
        </w:rPr>
        <w:t xml:space="preserve">Open Value Subscription (solo per ordini buy-out) </w:t>
      </w:r>
    </w:p>
    <w:p w:rsidR="00385C82" w:rsidRPr="00105321" w:rsidRDefault="00385C82" w:rsidP="00346F4B">
      <w:pPr>
        <w:pStyle w:val="AppendixBulletIndent"/>
        <w:numPr>
          <w:ilvl w:val="0"/>
          <w:numId w:val="59"/>
        </w:numPr>
        <w:tabs>
          <w:tab w:val="left" w:pos="1440"/>
        </w:tabs>
        <w:spacing w:after="60"/>
        <w:ind w:left="1440" w:right="720"/>
        <w:rPr>
          <w:rFonts w:ascii="Tahoma" w:hAnsi="Tahoma" w:cs="Tahoma"/>
          <w:sz w:val="18"/>
          <w:szCs w:val="18"/>
        </w:rPr>
      </w:pPr>
      <w:r w:rsidRPr="00105321">
        <w:rPr>
          <w:rFonts w:ascii="Tahoma" w:hAnsi="Tahoma" w:cs="Tahoma"/>
          <w:sz w:val="18"/>
          <w:szCs w:val="18"/>
        </w:rPr>
        <w:t xml:space="preserve">Select </w:t>
      </w:r>
    </w:p>
    <w:p w:rsidR="00385C82" w:rsidRPr="00105321" w:rsidRDefault="00385C82" w:rsidP="00346F4B">
      <w:pPr>
        <w:pStyle w:val="AppendixBulletIndent"/>
        <w:numPr>
          <w:ilvl w:val="0"/>
          <w:numId w:val="59"/>
        </w:numPr>
        <w:tabs>
          <w:tab w:val="left" w:pos="1440"/>
        </w:tabs>
        <w:spacing w:after="60"/>
        <w:ind w:left="1440" w:right="720"/>
        <w:rPr>
          <w:rFonts w:ascii="Tahoma" w:hAnsi="Tahoma" w:cs="Tahoma"/>
          <w:sz w:val="18"/>
          <w:szCs w:val="18"/>
        </w:rPr>
      </w:pPr>
      <w:r w:rsidRPr="00105321">
        <w:rPr>
          <w:rFonts w:ascii="Tahoma" w:hAnsi="Tahoma" w:cs="Tahoma"/>
          <w:sz w:val="18"/>
          <w:szCs w:val="18"/>
        </w:rPr>
        <w:t>Select Plus</w:t>
      </w:r>
    </w:p>
    <w:p w:rsidR="00385C82" w:rsidRPr="00105321" w:rsidRDefault="00385C82" w:rsidP="00346F4B">
      <w:pPr>
        <w:pStyle w:val="AppendixBulletIndent"/>
        <w:numPr>
          <w:ilvl w:val="0"/>
          <w:numId w:val="59"/>
        </w:numPr>
        <w:tabs>
          <w:tab w:val="left" w:pos="1440"/>
        </w:tabs>
        <w:spacing w:after="60"/>
        <w:ind w:left="1440" w:right="720"/>
        <w:rPr>
          <w:rFonts w:ascii="Tahoma" w:hAnsi="Tahoma" w:cs="Tahoma"/>
          <w:sz w:val="18"/>
          <w:szCs w:val="18"/>
        </w:rPr>
      </w:pPr>
      <w:r w:rsidRPr="00105321">
        <w:rPr>
          <w:rFonts w:ascii="Tahoma" w:hAnsi="Tahoma" w:cs="Tahoma"/>
          <w:sz w:val="18"/>
          <w:szCs w:val="18"/>
        </w:rPr>
        <w:t>Contratto School (solo per ordini buy-out)</w:t>
      </w:r>
    </w:p>
    <w:p w:rsidR="00385C82" w:rsidRPr="00105321" w:rsidRDefault="00385C82" w:rsidP="00346F4B">
      <w:pPr>
        <w:pStyle w:val="AppendixBulletIndent"/>
        <w:numPr>
          <w:ilvl w:val="0"/>
          <w:numId w:val="59"/>
        </w:numPr>
        <w:tabs>
          <w:tab w:val="left" w:pos="1440"/>
        </w:tabs>
        <w:spacing w:after="60"/>
        <w:ind w:left="1440" w:right="720"/>
        <w:rPr>
          <w:rFonts w:ascii="Tahoma" w:hAnsi="Tahoma" w:cs="Tahoma"/>
          <w:sz w:val="18"/>
          <w:szCs w:val="18"/>
        </w:rPr>
      </w:pPr>
      <w:r w:rsidRPr="00105321">
        <w:rPr>
          <w:rFonts w:ascii="Tahoma" w:hAnsi="Tahoma" w:cs="Tahoma"/>
          <w:sz w:val="18"/>
          <w:szCs w:val="18"/>
        </w:rPr>
        <w:t>EES (solo per ordini buy-out)</w:t>
      </w:r>
    </w:p>
    <w:p w:rsidR="00385C82" w:rsidRPr="00105321" w:rsidRDefault="00385C82" w:rsidP="00346F4B">
      <w:pPr>
        <w:pStyle w:val="AppendixBulletIndent"/>
        <w:numPr>
          <w:ilvl w:val="0"/>
          <w:numId w:val="59"/>
        </w:numPr>
        <w:tabs>
          <w:tab w:val="left" w:pos="1440"/>
        </w:tabs>
        <w:ind w:left="1440" w:right="720"/>
        <w:rPr>
          <w:rFonts w:ascii="Tahoma" w:hAnsi="Tahoma" w:cs="Tahoma"/>
          <w:sz w:val="18"/>
          <w:szCs w:val="18"/>
        </w:rPr>
      </w:pPr>
      <w:r w:rsidRPr="00105321">
        <w:rPr>
          <w:rFonts w:ascii="Tahoma" w:hAnsi="Tahoma" w:cs="Tahoma"/>
          <w:sz w:val="18"/>
          <w:szCs w:val="18"/>
        </w:rPr>
        <w:t>Contratto Enterprise Subscription (solo per ordini buy-out)</w:t>
      </w:r>
    </w:p>
    <w:p w:rsidR="00456002" w:rsidRPr="00A75DF9" w:rsidRDefault="00456002" w:rsidP="00B147AB">
      <w:pPr>
        <w:pStyle w:val="AppendixIndent"/>
        <w:spacing w:before="0"/>
        <w:ind w:left="0" w:right="720"/>
        <w:rPr>
          <w:rFonts w:ascii="Tahoma" w:hAnsi="Tahoma" w:cs="Tahoma"/>
        </w:rPr>
      </w:pPr>
    </w:p>
    <w:p w:rsidR="00456002" w:rsidRPr="00105321" w:rsidRDefault="00456002" w:rsidP="00105321">
      <w:pPr>
        <w:pStyle w:val="AppendixIndent"/>
        <w:spacing w:before="0"/>
        <w:ind w:left="0" w:right="720"/>
        <w:rPr>
          <w:rFonts w:ascii="Tahoma" w:hAnsi="Tahoma" w:cs="Tahoma"/>
          <w:sz w:val="18"/>
          <w:szCs w:val="18"/>
        </w:rPr>
      </w:pPr>
      <w:r w:rsidRPr="00105321">
        <w:rPr>
          <w:rFonts w:ascii="Tahoma" w:hAnsi="Tahoma" w:cs="Tahoma"/>
          <w:sz w:val="18"/>
          <w:szCs w:val="18"/>
        </w:rPr>
        <w:lastRenderedPageBreak/>
        <w:t>La Società dovrà disporre di una licenza qualificante per il sistema operativo del desktop prima di acquistare la licenza Windows Desktop Operating System Upgrade (Licenza di aggiornamento). Nella sezione dei Prodotti Sistemi è disponibile un elenco dei sistemi operativi qualificanti per desktop, che varia in base al</w:t>
      </w:r>
      <w:r w:rsidR="00105321" w:rsidRPr="00105321">
        <w:rPr>
          <w:rFonts w:ascii="Tahoma" w:hAnsi="Tahoma" w:cs="Tahoma"/>
          <w:sz w:val="18"/>
          <w:szCs w:val="18"/>
        </w:rPr>
        <w:t> </w:t>
      </w:r>
      <w:r w:rsidRPr="00105321">
        <w:rPr>
          <w:rFonts w:ascii="Tahoma" w:hAnsi="Tahoma" w:cs="Tahoma"/>
          <w:sz w:val="18"/>
          <w:szCs w:val="18"/>
        </w:rPr>
        <w:t>programma e all</w:t>
      </w:r>
      <w:r w:rsidR="00F2643E">
        <w:rPr>
          <w:rFonts w:ascii="Tahoma" w:hAnsi="Tahoma" w:cs="Tahoma"/>
          <w:sz w:val="18"/>
          <w:szCs w:val="18"/>
        </w:rPr>
        <w:t>’</w:t>
      </w:r>
      <w:r w:rsidRPr="00105321">
        <w:rPr>
          <w:rFonts w:ascii="Tahoma" w:hAnsi="Tahoma" w:cs="Tahoma"/>
          <w:sz w:val="18"/>
          <w:szCs w:val="18"/>
        </w:rPr>
        <w:t>ordine.</w:t>
      </w:r>
    </w:p>
    <w:p w:rsidR="001C1727" w:rsidRPr="00A75DF9" w:rsidRDefault="001C1727" w:rsidP="00862623">
      <w:pPr>
        <w:rPr>
          <w:rFonts w:cs="Tahoma"/>
        </w:rPr>
      </w:pPr>
      <w:bookmarkStart w:id="657" w:name="_Toc323819654"/>
      <w:bookmarkStart w:id="658" w:name="_Toc336338205"/>
    </w:p>
    <w:p w:rsidR="00456002" w:rsidRPr="00A75DF9" w:rsidRDefault="00456002" w:rsidP="00862623">
      <w:pPr>
        <w:pStyle w:val="Heading2"/>
        <w:keepNext/>
        <w:ind w:left="0" w:right="720"/>
        <w:rPr>
          <w:rFonts w:ascii="Tahoma" w:hAnsi="Tahoma" w:cs="Tahoma"/>
        </w:rPr>
      </w:pPr>
      <w:bookmarkStart w:id="659" w:name="_Toc368310195"/>
      <w:r w:rsidRPr="00A75DF9">
        <w:rPr>
          <w:rFonts w:ascii="Tahoma" w:hAnsi="Tahoma" w:cs="Tahoma"/>
        </w:rPr>
        <w:t>Aggiornamento e Software Assurance</w:t>
      </w:r>
      <w:bookmarkEnd w:id="657"/>
      <w:bookmarkEnd w:id="658"/>
      <w:bookmarkEnd w:id="659"/>
      <w:r w:rsidRPr="00A75DF9">
        <w:rPr>
          <w:rFonts w:ascii="Tahoma" w:hAnsi="Tahoma" w:cs="Tahoma"/>
        </w:rPr>
        <w:t xml:space="preserve"> </w:t>
      </w:r>
    </w:p>
    <w:p w:rsidR="00456002" w:rsidRPr="00A75DF9" w:rsidRDefault="00456002" w:rsidP="00862623">
      <w:pPr>
        <w:keepNext/>
        <w:ind w:right="720"/>
        <w:rPr>
          <w:rFonts w:cs="Tahoma"/>
        </w:rPr>
      </w:pPr>
    </w:p>
    <w:p w:rsidR="00456002" w:rsidRPr="00105321" w:rsidRDefault="00456002" w:rsidP="00B147AB">
      <w:pPr>
        <w:pStyle w:val="AppendixIndent"/>
        <w:spacing w:before="0"/>
        <w:ind w:left="0" w:right="720"/>
        <w:rPr>
          <w:rFonts w:ascii="Tahoma" w:hAnsi="Tahoma" w:cs="Tahoma"/>
          <w:sz w:val="18"/>
          <w:szCs w:val="18"/>
        </w:rPr>
      </w:pPr>
      <w:r w:rsidRPr="00105321">
        <w:rPr>
          <w:rFonts w:ascii="Tahoma" w:hAnsi="Tahoma" w:cs="Tahoma"/>
          <w:sz w:val="18"/>
          <w:szCs w:val="18"/>
        </w:rPr>
        <w:t>Questo tipo di prodotto è disponibile solo per il Sistema Operativo Desktop Windows, non dipende dalla versione e consente alle società di acquistare contemporaneamente Aggiornamento e Software Assurance per il sistema operativo desktop. Disponibile nei seguenti programmi:</w:t>
      </w:r>
    </w:p>
    <w:p w:rsidR="00116EDC" w:rsidRPr="00105321" w:rsidRDefault="00116EDC" w:rsidP="00B147AB">
      <w:pPr>
        <w:pStyle w:val="AppendixIndent"/>
        <w:spacing w:before="0"/>
        <w:ind w:left="0" w:right="720"/>
        <w:rPr>
          <w:rFonts w:ascii="Tahoma" w:hAnsi="Tahoma" w:cs="Tahoma"/>
          <w:sz w:val="18"/>
          <w:szCs w:val="18"/>
        </w:rPr>
      </w:pPr>
    </w:p>
    <w:p w:rsidR="00456002" w:rsidRPr="00105321" w:rsidRDefault="00456002" w:rsidP="00346F4B">
      <w:pPr>
        <w:pStyle w:val="AppendixBulletIndent"/>
        <w:numPr>
          <w:ilvl w:val="0"/>
          <w:numId w:val="60"/>
        </w:numPr>
        <w:tabs>
          <w:tab w:val="clear" w:pos="360"/>
          <w:tab w:val="num" w:pos="1440"/>
        </w:tabs>
        <w:spacing w:after="60"/>
        <w:ind w:left="1440" w:right="720"/>
        <w:rPr>
          <w:rFonts w:ascii="Tahoma" w:hAnsi="Tahoma" w:cs="Tahoma"/>
          <w:sz w:val="18"/>
          <w:szCs w:val="18"/>
        </w:rPr>
      </w:pPr>
      <w:r w:rsidRPr="00105321">
        <w:rPr>
          <w:rFonts w:ascii="Tahoma" w:hAnsi="Tahoma" w:cs="Tahoma"/>
          <w:sz w:val="18"/>
          <w:szCs w:val="18"/>
        </w:rPr>
        <w:t>Licenza Open</w:t>
      </w:r>
    </w:p>
    <w:p w:rsidR="00456002" w:rsidRPr="00105321" w:rsidRDefault="00456002" w:rsidP="00346F4B">
      <w:pPr>
        <w:pStyle w:val="AppendixBulletIndent"/>
        <w:numPr>
          <w:ilvl w:val="0"/>
          <w:numId w:val="60"/>
        </w:numPr>
        <w:tabs>
          <w:tab w:val="clear" w:pos="360"/>
          <w:tab w:val="num" w:pos="1440"/>
        </w:tabs>
        <w:spacing w:after="60"/>
        <w:ind w:left="1440" w:right="720"/>
        <w:rPr>
          <w:rFonts w:ascii="Tahoma" w:hAnsi="Tahoma" w:cs="Tahoma"/>
          <w:sz w:val="18"/>
          <w:szCs w:val="18"/>
        </w:rPr>
      </w:pPr>
      <w:r w:rsidRPr="00105321">
        <w:rPr>
          <w:rFonts w:ascii="Tahoma" w:hAnsi="Tahoma" w:cs="Tahoma"/>
          <w:sz w:val="18"/>
          <w:szCs w:val="18"/>
        </w:rPr>
        <w:t>Open Value</w:t>
      </w:r>
    </w:p>
    <w:p w:rsidR="00456002" w:rsidRPr="00105321" w:rsidRDefault="00456002" w:rsidP="00346F4B">
      <w:pPr>
        <w:pStyle w:val="AppendixBulletIndent"/>
        <w:numPr>
          <w:ilvl w:val="0"/>
          <w:numId w:val="60"/>
        </w:numPr>
        <w:tabs>
          <w:tab w:val="clear" w:pos="360"/>
          <w:tab w:val="num" w:pos="1440"/>
        </w:tabs>
        <w:spacing w:after="60"/>
        <w:ind w:left="1440" w:right="720"/>
        <w:rPr>
          <w:rFonts w:ascii="Tahoma" w:hAnsi="Tahoma" w:cs="Tahoma"/>
          <w:sz w:val="18"/>
          <w:szCs w:val="18"/>
        </w:rPr>
      </w:pPr>
      <w:r w:rsidRPr="00105321">
        <w:rPr>
          <w:rFonts w:ascii="Tahoma" w:hAnsi="Tahoma" w:cs="Tahoma"/>
          <w:sz w:val="18"/>
          <w:szCs w:val="18"/>
        </w:rPr>
        <w:t>Open Value Subscription</w:t>
      </w:r>
    </w:p>
    <w:p w:rsidR="00456002" w:rsidRPr="00105321" w:rsidRDefault="00456002" w:rsidP="00346F4B">
      <w:pPr>
        <w:pStyle w:val="AppendixBulletIndent"/>
        <w:numPr>
          <w:ilvl w:val="0"/>
          <w:numId w:val="60"/>
        </w:numPr>
        <w:tabs>
          <w:tab w:val="clear" w:pos="360"/>
          <w:tab w:val="num" w:pos="1440"/>
        </w:tabs>
        <w:spacing w:after="60"/>
        <w:ind w:left="1440" w:right="720"/>
        <w:rPr>
          <w:rFonts w:ascii="Tahoma" w:hAnsi="Tahoma" w:cs="Tahoma"/>
          <w:sz w:val="18"/>
          <w:szCs w:val="18"/>
        </w:rPr>
      </w:pPr>
      <w:r w:rsidRPr="00105321">
        <w:rPr>
          <w:rFonts w:ascii="Tahoma" w:hAnsi="Tahoma" w:cs="Tahoma"/>
          <w:sz w:val="18"/>
          <w:szCs w:val="18"/>
        </w:rPr>
        <w:t xml:space="preserve">Select </w:t>
      </w:r>
    </w:p>
    <w:p w:rsidR="00456002" w:rsidRPr="00105321" w:rsidRDefault="00456002" w:rsidP="00346F4B">
      <w:pPr>
        <w:pStyle w:val="AppendixBulletIndent"/>
        <w:numPr>
          <w:ilvl w:val="0"/>
          <w:numId w:val="60"/>
        </w:numPr>
        <w:tabs>
          <w:tab w:val="clear" w:pos="360"/>
          <w:tab w:val="num" w:pos="1440"/>
        </w:tabs>
        <w:spacing w:after="60"/>
        <w:ind w:left="1440" w:right="720"/>
        <w:rPr>
          <w:rFonts w:ascii="Tahoma" w:hAnsi="Tahoma" w:cs="Tahoma"/>
          <w:sz w:val="18"/>
          <w:szCs w:val="18"/>
        </w:rPr>
      </w:pPr>
      <w:r w:rsidRPr="00105321">
        <w:rPr>
          <w:rFonts w:ascii="Tahoma" w:hAnsi="Tahoma" w:cs="Tahoma"/>
          <w:sz w:val="18"/>
          <w:szCs w:val="18"/>
        </w:rPr>
        <w:t>Select Plus</w:t>
      </w:r>
    </w:p>
    <w:p w:rsidR="00456002" w:rsidRPr="00105321" w:rsidRDefault="00456002" w:rsidP="00346F4B">
      <w:pPr>
        <w:pStyle w:val="AppendixBulletIndent"/>
        <w:numPr>
          <w:ilvl w:val="0"/>
          <w:numId w:val="60"/>
        </w:numPr>
        <w:tabs>
          <w:tab w:val="clear" w:pos="360"/>
          <w:tab w:val="num" w:pos="1440"/>
        </w:tabs>
        <w:spacing w:after="60"/>
        <w:ind w:left="1440" w:right="720"/>
        <w:rPr>
          <w:rFonts w:ascii="Tahoma" w:hAnsi="Tahoma" w:cs="Tahoma"/>
          <w:sz w:val="18"/>
          <w:szCs w:val="18"/>
        </w:rPr>
      </w:pPr>
      <w:r w:rsidRPr="00105321">
        <w:rPr>
          <w:rFonts w:ascii="Tahoma" w:hAnsi="Tahoma" w:cs="Tahoma"/>
          <w:sz w:val="18"/>
          <w:szCs w:val="18"/>
        </w:rPr>
        <w:t>School</w:t>
      </w:r>
    </w:p>
    <w:p w:rsidR="00456002" w:rsidRPr="00105321" w:rsidRDefault="00456002" w:rsidP="00346F4B">
      <w:pPr>
        <w:pStyle w:val="AppendixBulletIndent"/>
        <w:numPr>
          <w:ilvl w:val="0"/>
          <w:numId w:val="60"/>
        </w:numPr>
        <w:tabs>
          <w:tab w:val="clear" w:pos="360"/>
          <w:tab w:val="num" w:pos="1440"/>
        </w:tabs>
        <w:spacing w:after="60"/>
        <w:ind w:left="1440" w:right="720"/>
        <w:rPr>
          <w:rFonts w:ascii="Tahoma" w:hAnsi="Tahoma" w:cs="Tahoma"/>
          <w:sz w:val="18"/>
          <w:szCs w:val="18"/>
        </w:rPr>
      </w:pPr>
      <w:r w:rsidRPr="00105321">
        <w:rPr>
          <w:rFonts w:ascii="Tahoma" w:hAnsi="Tahoma" w:cs="Tahoma"/>
          <w:sz w:val="18"/>
          <w:szCs w:val="18"/>
        </w:rPr>
        <w:t>ESS</w:t>
      </w:r>
    </w:p>
    <w:p w:rsidR="00456002" w:rsidRPr="00105321" w:rsidRDefault="00456002" w:rsidP="00346F4B">
      <w:pPr>
        <w:pStyle w:val="AppendixBulletIndent"/>
        <w:numPr>
          <w:ilvl w:val="0"/>
          <w:numId w:val="60"/>
        </w:numPr>
        <w:tabs>
          <w:tab w:val="clear" w:pos="360"/>
          <w:tab w:val="num" w:pos="1440"/>
        </w:tabs>
        <w:spacing w:after="60"/>
        <w:ind w:left="1440" w:right="720"/>
        <w:rPr>
          <w:rFonts w:ascii="Tahoma" w:hAnsi="Tahoma" w:cs="Tahoma"/>
          <w:sz w:val="18"/>
          <w:szCs w:val="18"/>
        </w:rPr>
      </w:pPr>
      <w:r w:rsidRPr="00105321">
        <w:rPr>
          <w:rFonts w:ascii="Tahoma" w:hAnsi="Tahoma" w:cs="Tahoma"/>
          <w:sz w:val="18"/>
          <w:szCs w:val="18"/>
        </w:rPr>
        <w:t>Contratto Enterprise</w:t>
      </w:r>
    </w:p>
    <w:p w:rsidR="00456002" w:rsidRPr="00105321" w:rsidRDefault="00456002" w:rsidP="00346F4B">
      <w:pPr>
        <w:pStyle w:val="AppendixBulletIndent"/>
        <w:numPr>
          <w:ilvl w:val="0"/>
          <w:numId w:val="60"/>
        </w:numPr>
        <w:tabs>
          <w:tab w:val="clear" w:pos="360"/>
          <w:tab w:val="num" w:pos="1440"/>
        </w:tabs>
        <w:ind w:left="1440" w:right="720"/>
        <w:rPr>
          <w:rFonts w:ascii="Tahoma" w:hAnsi="Tahoma" w:cs="Tahoma"/>
          <w:sz w:val="18"/>
          <w:szCs w:val="18"/>
        </w:rPr>
      </w:pPr>
      <w:r w:rsidRPr="00105321">
        <w:rPr>
          <w:rFonts w:ascii="Tahoma" w:hAnsi="Tahoma" w:cs="Tahoma"/>
          <w:sz w:val="18"/>
          <w:szCs w:val="18"/>
        </w:rPr>
        <w:t>Contratto Enterprise Subscription</w:t>
      </w:r>
    </w:p>
    <w:p w:rsidR="00456002" w:rsidRPr="00105321" w:rsidRDefault="00456002" w:rsidP="00B147AB">
      <w:pPr>
        <w:pStyle w:val="AppendixIndent"/>
        <w:spacing w:before="0"/>
        <w:ind w:left="0" w:right="720"/>
        <w:rPr>
          <w:rFonts w:ascii="Tahoma" w:hAnsi="Tahoma" w:cs="Tahoma"/>
          <w:sz w:val="18"/>
          <w:szCs w:val="18"/>
        </w:rPr>
      </w:pPr>
    </w:p>
    <w:p w:rsidR="00456002" w:rsidRPr="00105321" w:rsidRDefault="00456002" w:rsidP="00ED589D">
      <w:pPr>
        <w:pStyle w:val="AppendixIndent"/>
        <w:spacing w:before="0"/>
        <w:ind w:left="0" w:right="720"/>
        <w:rPr>
          <w:rFonts w:ascii="Tahoma" w:hAnsi="Tahoma" w:cs="Tahoma"/>
          <w:sz w:val="18"/>
          <w:szCs w:val="18"/>
        </w:rPr>
      </w:pPr>
      <w:r w:rsidRPr="00105321">
        <w:rPr>
          <w:rFonts w:ascii="Tahoma" w:hAnsi="Tahoma" w:cs="Tahoma"/>
          <w:sz w:val="18"/>
          <w:szCs w:val="18"/>
        </w:rPr>
        <w:t>La società dovrà disporre della licenza qualificante per il sistema operativo desktop sottostante prima di acquistare l</w:t>
      </w:r>
      <w:r w:rsidR="00F2643E">
        <w:rPr>
          <w:rFonts w:ascii="Tahoma" w:hAnsi="Tahoma" w:cs="Tahoma"/>
          <w:sz w:val="18"/>
          <w:szCs w:val="18"/>
        </w:rPr>
        <w:t>’</w:t>
      </w:r>
      <w:r w:rsidRPr="00105321">
        <w:rPr>
          <w:rFonts w:ascii="Tahoma" w:hAnsi="Tahoma" w:cs="Tahoma"/>
          <w:sz w:val="18"/>
          <w:szCs w:val="18"/>
        </w:rPr>
        <w:t>aggiornamento. Software Assurance dovrà essere acquistata contemporaneamente all</w:t>
      </w:r>
      <w:r w:rsidR="00F2643E">
        <w:rPr>
          <w:rFonts w:ascii="Tahoma" w:hAnsi="Tahoma" w:cs="Tahoma"/>
          <w:sz w:val="18"/>
          <w:szCs w:val="18"/>
        </w:rPr>
        <w:t>’</w:t>
      </w:r>
      <w:r w:rsidRPr="00105321">
        <w:rPr>
          <w:rFonts w:ascii="Tahoma" w:hAnsi="Tahoma" w:cs="Tahoma"/>
          <w:sz w:val="18"/>
          <w:szCs w:val="18"/>
        </w:rPr>
        <w:t>acquisto dell</w:t>
      </w:r>
      <w:r w:rsidR="00F2643E">
        <w:rPr>
          <w:rFonts w:ascii="Tahoma" w:hAnsi="Tahoma" w:cs="Tahoma"/>
          <w:sz w:val="18"/>
          <w:szCs w:val="18"/>
        </w:rPr>
        <w:t>’</w:t>
      </w:r>
      <w:r w:rsidRPr="00105321">
        <w:rPr>
          <w:rFonts w:ascii="Tahoma" w:hAnsi="Tahoma" w:cs="Tahoma"/>
          <w:sz w:val="18"/>
          <w:szCs w:val="18"/>
        </w:rPr>
        <w:t>aggiornamento corrispondente, tranne nei programmi “Subscription” che prevedono l</w:t>
      </w:r>
      <w:r w:rsidR="00F2643E">
        <w:rPr>
          <w:rFonts w:ascii="Tahoma" w:hAnsi="Tahoma" w:cs="Tahoma"/>
          <w:sz w:val="18"/>
          <w:szCs w:val="18"/>
        </w:rPr>
        <w:t>’</w:t>
      </w:r>
      <w:r w:rsidRPr="00105321">
        <w:rPr>
          <w:rFonts w:ascii="Tahoma" w:hAnsi="Tahoma" w:cs="Tahoma"/>
          <w:sz w:val="18"/>
          <w:szCs w:val="18"/>
        </w:rPr>
        <w:t>acquisto dell</w:t>
      </w:r>
      <w:r w:rsidR="00F2643E">
        <w:rPr>
          <w:rFonts w:ascii="Tahoma" w:hAnsi="Tahoma" w:cs="Tahoma"/>
          <w:sz w:val="18"/>
          <w:szCs w:val="18"/>
        </w:rPr>
        <w:t>’</w:t>
      </w:r>
      <w:r w:rsidRPr="00105321">
        <w:rPr>
          <w:rFonts w:ascii="Tahoma" w:hAnsi="Tahoma" w:cs="Tahoma"/>
          <w:sz w:val="18"/>
          <w:szCs w:val="18"/>
        </w:rPr>
        <w:t>aggiornamento al rinnovo di un periodo di validità della copertura Software Assurance in essere.</w:t>
      </w:r>
    </w:p>
    <w:p w:rsidR="00ED589D" w:rsidRPr="00105321" w:rsidRDefault="00ED589D" w:rsidP="00B147AB">
      <w:pPr>
        <w:pStyle w:val="AppendixIndent"/>
        <w:spacing w:before="0"/>
        <w:ind w:left="0" w:right="720"/>
        <w:rPr>
          <w:rFonts w:ascii="Tahoma" w:hAnsi="Tahoma" w:cs="Tahoma"/>
          <w:sz w:val="18"/>
          <w:szCs w:val="18"/>
        </w:rPr>
      </w:pPr>
    </w:p>
    <w:p w:rsidR="00456002" w:rsidRPr="00A75DF9" w:rsidRDefault="00456002" w:rsidP="00456002">
      <w:pPr>
        <w:pStyle w:val="Heading2"/>
        <w:ind w:left="0" w:right="720"/>
        <w:rPr>
          <w:rFonts w:ascii="Tahoma" w:hAnsi="Tahoma" w:cs="Tahoma"/>
        </w:rPr>
      </w:pPr>
      <w:bookmarkStart w:id="660" w:name="_Toc323819656"/>
      <w:bookmarkStart w:id="661" w:name="_Toc336338206"/>
      <w:bookmarkStart w:id="662" w:name="_Toc368310196"/>
      <w:r w:rsidRPr="00A75DF9">
        <w:rPr>
          <w:rFonts w:ascii="Tahoma" w:hAnsi="Tahoma" w:cs="Tahoma"/>
        </w:rPr>
        <w:t>Licenze Work at Home</w:t>
      </w:r>
      <w:bookmarkEnd w:id="660"/>
      <w:bookmarkEnd w:id="661"/>
      <w:bookmarkEnd w:id="662"/>
    </w:p>
    <w:p w:rsidR="00456002" w:rsidRPr="00A75DF9" w:rsidRDefault="00456002" w:rsidP="00B147AB">
      <w:pPr>
        <w:ind w:right="720"/>
        <w:rPr>
          <w:rFonts w:cs="Tahoma"/>
        </w:rPr>
      </w:pPr>
    </w:p>
    <w:p w:rsidR="00456002" w:rsidRPr="00105321" w:rsidRDefault="00456002" w:rsidP="00B147AB">
      <w:pPr>
        <w:pStyle w:val="AppendixIndent"/>
        <w:spacing w:before="0"/>
        <w:ind w:left="0" w:right="720"/>
        <w:rPr>
          <w:rFonts w:ascii="Tahoma" w:hAnsi="Tahoma" w:cs="Tahoma"/>
          <w:sz w:val="18"/>
          <w:szCs w:val="18"/>
        </w:rPr>
      </w:pPr>
      <w:r w:rsidRPr="00105321">
        <w:rPr>
          <w:rFonts w:ascii="Tahoma" w:hAnsi="Tahoma" w:cs="Tahoma"/>
          <w:sz w:val="18"/>
          <w:szCs w:val="18"/>
        </w:rPr>
        <w:t>Disponibile nei seguenti programmi:</w:t>
      </w:r>
    </w:p>
    <w:p w:rsidR="00456002" w:rsidRPr="00105321" w:rsidRDefault="00456002" w:rsidP="00B147AB">
      <w:pPr>
        <w:pStyle w:val="AppendixBulletIndent"/>
        <w:ind w:left="0" w:right="720" w:firstLine="0"/>
        <w:rPr>
          <w:rFonts w:ascii="Tahoma" w:hAnsi="Tahoma" w:cs="Tahoma"/>
          <w:sz w:val="18"/>
          <w:szCs w:val="18"/>
        </w:rPr>
      </w:pPr>
    </w:p>
    <w:p w:rsidR="00456002" w:rsidRPr="00105321" w:rsidRDefault="00456002" w:rsidP="00346F4B">
      <w:pPr>
        <w:pStyle w:val="AppendixBulletIndent"/>
        <w:numPr>
          <w:ilvl w:val="0"/>
          <w:numId w:val="62"/>
        </w:numPr>
        <w:tabs>
          <w:tab w:val="clear" w:pos="360"/>
          <w:tab w:val="num" w:pos="1440"/>
        </w:tabs>
        <w:spacing w:after="60"/>
        <w:ind w:left="1440" w:right="720"/>
        <w:rPr>
          <w:rFonts w:ascii="Tahoma" w:hAnsi="Tahoma" w:cs="Tahoma"/>
          <w:sz w:val="18"/>
          <w:szCs w:val="18"/>
        </w:rPr>
      </w:pPr>
      <w:r w:rsidRPr="00105321">
        <w:rPr>
          <w:rFonts w:ascii="Tahoma" w:hAnsi="Tahoma" w:cs="Tahoma"/>
          <w:sz w:val="18"/>
          <w:szCs w:val="18"/>
        </w:rPr>
        <w:t xml:space="preserve">Select </w:t>
      </w:r>
    </w:p>
    <w:p w:rsidR="00456002" w:rsidRPr="00105321" w:rsidRDefault="00456002" w:rsidP="00346F4B">
      <w:pPr>
        <w:pStyle w:val="AppendixBulletIndent"/>
        <w:numPr>
          <w:ilvl w:val="0"/>
          <w:numId w:val="62"/>
        </w:numPr>
        <w:tabs>
          <w:tab w:val="clear" w:pos="360"/>
          <w:tab w:val="num" w:pos="1440"/>
        </w:tabs>
        <w:spacing w:after="60"/>
        <w:ind w:left="1440" w:right="720"/>
        <w:rPr>
          <w:rFonts w:ascii="Tahoma" w:hAnsi="Tahoma" w:cs="Tahoma"/>
          <w:sz w:val="18"/>
          <w:szCs w:val="18"/>
        </w:rPr>
      </w:pPr>
      <w:r w:rsidRPr="00105321">
        <w:rPr>
          <w:rFonts w:ascii="Tahoma" w:hAnsi="Tahoma" w:cs="Tahoma"/>
          <w:sz w:val="18"/>
          <w:szCs w:val="18"/>
        </w:rPr>
        <w:t>Select Plus</w:t>
      </w:r>
    </w:p>
    <w:p w:rsidR="00456002" w:rsidRPr="00105321" w:rsidRDefault="00456002" w:rsidP="00346F4B">
      <w:pPr>
        <w:pStyle w:val="AppendixBulletIndent"/>
        <w:numPr>
          <w:ilvl w:val="0"/>
          <w:numId w:val="62"/>
        </w:numPr>
        <w:tabs>
          <w:tab w:val="clear" w:pos="360"/>
          <w:tab w:val="num" w:pos="1440"/>
        </w:tabs>
        <w:ind w:left="1440" w:right="720"/>
        <w:rPr>
          <w:rFonts w:ascii="Tahoma" w:hAnsi="Tahoma" w:cs="Tahoma"/>
          <w:sz w:val="18"/>
          <w:szCs w:val="18"/>
        </w:rPr>
      </w:pPr>
      <w:r w:rsidRPr="00105321">
        <w:rPr>
          <w:rFonts w:ascii="Tahoma" w:hAnsi="Tahoma" w:cs="Tahoma"/>
          <w:sz w:val="18"/>
          <w:szCs w:val="18"/>
        </w:rPr>
        <w:t>Contratto Enterprise</w:t>
      </w:r>
    </w:p>
    <w:p w:rsidR="00456002" w:rsidRPr="00105321" w:rsidRDefault="00456002" w:rsidP="00B147AB">
      <w:pPr>
        <w:pStyle w:val="AppendixBulletIndent"/>
        <w:ind w:left="0" w:right="720" w:firstLine="0"/>
        <w:rPr>
          <w:rFonts w:ascii="Tahoma" w:hAnsi="Tahoma" w:cs="Tahoma"/>
          <w:sz w:val="18"/>
          <w:szCs w:val="18"/>
        </w:rPr>
      </w:pPr>
    </w:p>
    <w:p w:rsidR="00023FE7" w:rsidRPr="00105321" w:rsidRDefault="00456002" w:rsidP="00105321">
      <w:pPr>
        <w:rPr>
          <w:rFonts w:cs="Tahoma"/>
          <w:szCs w:val="18"/>
        </w:rPr>
      </w:pPr>
      <w:r w:rsidRPr="00105321">
        <w:rPr>
          <w:rFonts w:cs="Tahoma"/>
          <w:szCs w:val="18"/>
        </w:rPr>
        <w:t>Una licenza Work at Home potrà essere acquistata solo insieme a un prodotto autorizzato a essere eseguito su un desktop At Work. L</w:t>
      </w:r>
      <w:r w:rsidR="00F2643E">
        <w:rPr>
          <w:rFonts w:cs="Tahoma"/>
          <w:szCs w:val="18"/>
        </w:rPr>
        <w:t>’</w:t>
      </w:r>
      <w:r w:rsidRPr="00105321">
        <w:rPr>
          <w:rFonts w:cs="Tahoma"/>
          <w:szCs w:val="18"/>
        </w:rPr>
        <w:t>offerta Work at Home non è un</w:t>
      </w:r>
      <w:r w:rsidR="00F2643E">
        <w:rPr>
          <w:rFonts w:cs="Tahoma"/>
          <w:szCs w:val="18"/>
        </w:rPr>
        <w:t>’</w:t>
      </w:r>
      <w:r w:rsidRPr="00105321">
        <w:rPr>
          <w:rFonts w:cs="Tahoma"/>
          <w:szCs w:val="18"/>
        </w:rPr>
        <w:t>offerta di un piano di acquisti per dipendenti. La società con licenza Select, Select Plus o con Contratto Enterprise (non il dipendente) mantiene i diritti sulla licenza Work at Home.</w:t>
      </w:r>
      <w:r w:rsidR="009D3B41" w:rsidRPr="00105321">
        <w:rPr>
          <w:rFonts w:cs="Tahoma"/>
          <w:szCs w:val="18"/>
        </w:rPr>
        <w:t xml:space="preserve"> </w:t>
      </w:r>
      <w:r w:rsidRPr="00105321">
        <w:rPr>
          <w:rFonts w:cs="Tahoma"/>
          <w:szCs w:val="18"/>
        </w:rPr>
        <w:t>Per i diritti relativi alla licenza Work at Home di cui dispongono gli istituti accademici idonei, fare riferimento al</w:t>
      </w:r>
      <w:r w:rsidR="00105321">
        <w:rPr>
          <w:rFonts w:cs="Tahoma"/>
          <w:szCs w:val="18"/>
        </w:rPr>
        <w:t> </w:t>
      </w:r>
      <w:r w:rsidRPr="00105321">
        <w:rPr>
          <w:rFonts w:cs="Tahoma"/>
          <w:szCs w:val="18"/>
        </w:rPr>
        <w:t>Contratto/iscrizione.</w:t>
      </w:r>
      <w:r w:rsidR="009D3B41" w:rsidRPr="00105321">
        <w:rPr>
          <w:rFonts w:cs="Tahoma"/>
          <w:szCs w:val="18"/>
        </w:rPr>
        <w:t xml:space="preserve"> </w:t>
      </w:r>
    </w:p>
    <w:p w:rsidR="00A237D8" w:rsidRDefault="00023FE7" w:rsidP="00105321">
      <w:pPr>
        <w:pStyle w:val="Heading1"/>
        <w:spacing w:before="0"/>
      </w:pPr>
      <w:bookmarkStart w:id="663" w:name="_Section_5_–"/>
      <w:bookmarkStart w:id="664" w:name="_Articolo_5_-"/>
      <w:bookmarkEnd w:id="663"/>
      <w:bookmarkEnd w:id="664"/>
      <w:r w:rsidRPr="00A237D8">
        <w:br w:type="page"/>
      </w:r>
      <w:bookmarkStart w:id="665" w:name="_Toc336338207"/>
    </w:p>
    <w:p w:rsidR="00A237D8" w:rsidRPr="00A237D8" w:rsidRDefault="00A237D8" w:rsidP="00A237D8">
      <w:pPr>
        <w:rPr>
          <w:sz w:val="4"/>
          <w:szCs w:val="4"/>
        </w:rPr>
      </w:pPr>
    </w:p>
    <w:p w:rsidR="00456002" w:rsidRPr="00A75DF9" w:rsidRDefault="00023FE7" w:rsidP="00105321">
      <w:pPr>
        <w:pStyle w:val="Heading1"/>
        <w:spacing w:before="0"/>
        <w:rPr>
          <w:rFonts w:cs="Tahoma"/>
        </w:rPr>
      </w:pPr>
      <w:bookmarkStart w:id="666" w:name="_Articolo_5_-_1"/>
      <w:bookmarkStart w:id="667" w:name="_Toc368310197"/>
      <w:bookmarkEnd w:id="666"/>
      <w:r w:rsidRPr="00A75DF9">
        <w:rPr>
          <w:rFonts w:cs="Tahoma"/>
        </w:rPr>
        <w:t>Articolo 5 -</w:t>
      </w:r>
      <w:bookmarkStart w:id="668" w:name="Sect5_OnlineServices"/>
      <w:r w:rsidRPr="00A75DF9">
        <w:rPr>
          <w:rFonts w:cs="Tahoma"/>
        </w:rPr>
        <w:t xml:space="preserve"> PREZZI DEI SERVIZI ONLINE e CONDIZIONI DI PAGAMENTO</w:t>
      </w:r>
      <w:bookmarkEnd w:id="665"/>
      <w:bookmarkEnd w:id="667"/>
      <w:bookmarkEnd w:id="668"/>
    </w:p>
    <w:p w:rsidR="00456002" w:rsidRPr="00A75DF9" w:rsidRDefault="00456002" w:rsidP="00456002">
      <w:pPr>
        <w:outlineLvl w:val="2"/>
        <w:rPr>
          <w:rFonts w:cs="Tahoma"/>
        </w:rPr>
      </w:pPr>
    </w:p>
    <w:p w:rsidR="00D85FDD" w:rsidRPr="00A75DF9" w:rsidRDefault="00D85FDD" w:rsidP="003C3A72">
      <w:pPr>
        <w:pStyle w:val="Heading2"/>
        <w:ind w:left="0"/>
        <w:rPr>
          <w:rFonts w:ascii="Tahoma" w:hAnsi="Tahoma" w:cs="Tahoma"/>
        </w:rPr>
      </w:pPr>
      <w:bookmarkStart w:id="669" w:name="_Toc368310198"/>
      <w:r w:rsidRPr="00A75DF9">
        <w:rPr>
          <w:rFonts w:ascii="Tahoma" w:hAnsi="Tahoma" w:cs="Tahoma"/>
          <w:sz w:val="32"/>
        </w:rPr>
        <w:t>Prezzi dei Servizi Online e Condizioni di Pagamento</w:t>
      </w:r>
      <w:bookmarkEnd w:id="669"/>
    </w:p>
    <w:p w:rsidR="00D85FDD" w:rsidRPr="00A75DF9" w:rsidRDefault="00D85FDD" w:rsidP="00212CC6">
      <w:pPr>
        <w:outlineLvl w:val="2"/>
        <w:rPr>
          <w:rFonts w:cs="Tahoma"/>
        </w:rPr>
      </w:pPr>
    </w:p>
    <w:p w:rsidR="00456002" w:rsidRPr="00A75DF9" w:rsidRDefault="00456002" w:rsidP="00212CC6">
      <w:pPr>
        <w:outlineLvl w:val="2"/>
        <w:rPr>
          <w:rFonts w:cs="Tahoma"/>
        </w:rPr>
      </w:pPr>
      <w:r w:rsidRPr="00A75DF9">
        <w:rPr>
          <w:rFonts w:cs="Tahoma"/>
          <w:szCs w:val="18"/>
        </w:rPr>
        <w:t>I Servizi Online sono prodotti, che includono software con servizi, disponibili con la formula cosiddetta “subscription” nella modalità descritta nei Diritti di Utilizzo del Prodotto e forniti online.</w:t>
      </w:r>
      <w:r w:rsidR="009D3B41" w:rsidRPr="00A75DF9">
        <w:rPr>
          <w:rFonts w:cs="Tahoma"/>
          <w:szCs w:val="18"/>
        </w:rPr>
        <w:t xml:space="preserve"> </w:t>
      </w:r>
      <w:r w:rsidRPr="00A75DF9">
        <w:rPr>
          <w:rFonts w:cs="Tahoma"/>
          <w:szCs w:val="18"/>
        </w:rPr>
        <w:t>Alcuni contratti multilicenza indirizzano le società alla Lista dei Prodotti per un elenco di “Servizi Online” disponibili. Ai fini di tale riferimento, i Servizi Online includono:</w:t>
      </w:r>
    </w:p>
    <w:p w:rsidR="002D25C8" w:rsidRPr="00A75DF9" w:rsidRDefault="002D25C8" w:rsidP="00212CC6">
      <w:pPr>
        <w:outlineLvl w:val="2"/>
        <w:rPr>
          <w:rFonts w:cs="Tahoma"/>
        </w:rPr>
      </w:pPr>
    </w:p>
    <w:p w:rsidR="00073E15" w:rsidRPr="00A75DF9" w:rsidRDefault="00A0550D" w:rsidP="00A0550D">
      <w:pPr>
        <w:numPr>
          <w:ilvl w:val="0"/>
          <w:numId w:val="67"/>
        </w:numPr>
        <w:spacing w:after="60"/>
        <w:rPr>
          <w:rFonts w:cs="Tahoma"/>
        </w:rPr>
      </w:pPr>
      <w:r w:rsidRPr="00A75DF9">
        <w:rPr>
          <w:rFonts w:eastAsia="Calibri" w:cs="Tahoma"/>
          <w:color w:val="000000"/>
          <w:szCs w:val="18"/>
        </w:rPr>
        <w:t>Bing Maps Enterprise Platform</w:t>
      </w:r>
    </w:p>
    <w:p w:rsidR="00A0550D" w:rsidRPr="00A75DF9" w:rsidRDefault="00A0550D" w:rsidP="00A0550D">
      <w:pPr>
        <w:numPr>
          <w:ilvl w:val="0"/>
          <w:numId w:val="67"/>
        </w:numPr>
        <w:spacing w:after="60"/>
        <w:rPr>
          <w:rFonts w:cs="Tahoma"/>
        </w:rPr>
      </w:pPr>
      <w:r w:rsidRPr="00A75DF9">
        <w:rPr>
          <w:rFonts w:eastAsia="Calibri" w:cs="Tahoma"/>
          <w:color w:val="000000"/>
          <w:szCs w:val="18"/>
        </w:rPr>
        <w:t>Bing Maps Mobile Asset Management Platform</w:t>
      </w:r>
    </w:p>
    <w:p w:rsidR="00A0550D" w:rsidRPr="00A75DF9" w:rsidRDefault="00A0550D" w:rsidP="00A0550D">
      <w:pPr>
        <w:numPr>
          <w:ilvl w:val="0"/>
          <w:numId w:val="67"/>
        </w:numPr>
        <w:spacing w:after="60"/>
        <w:rPr>
          <w:rFonts w:cs="Tahoma"/>
        </w:rPr>
      </w:pPr>
      <w:r w:rsidRPr="00A75DF9">
        <w:rPr>
          <w:rFonts w:eastAsia="Calibri" w:cs="Tahoma"/>
          <w:color w:val="000000"/>
          <w:szCs w:val="18"/>
        </w:rPr>
        <w:t xml:space="preserve">Prevenzione delle Perdite di Dati </w:t>
      </w:r>
    </w:p>
    <w:p w:rsidR="00A0550D" w:rsidRPr="00A75DF9" w:rsidRDefault="00A0550D" w:rsidP="00A0550D">
      <w:pPr>
        <w:numPr>
          <w:ilvl w:val="0"/>
          <w:numId w:val="67"/>
        </w:numPr>
        <w:spacing w:after="60"/>
        <w:rPr>
          <w:rFonts w:cs="Tahoma"/>
        </w:rPr>
      </w:pPr>
      <w:r w:rsidRPr="00A75DF9">
        <w:rPr>
          <w:rFonts w:eastAsia="Calibri" w:cs="Tahoma"/>
          <w:color w:val="000000"/>
          <w:szCs w:val="18"/>
        </w:rPr>
        <w:t xml:space="preserve">Duet Enterprise Online per Microsoft SharePoint e SAP </w:t>
      </w:r>
    </w:p>
    <w:p w:rsidR="00B00423" w:rsidRPr="00A75DF9" w:rsidRDefault="00B00423" w:rsidP="00B00423">
      <w:pPr>
        <w:numPr>
          <w:ilvl w:val="0"/>
          <w:numId w:val="67"/>
        </w:numPr>
        <w:spacing w:after="60"/>
        <w:rPr>
          <w:rFonts w:cs="Tahoma"/>
        </w:rPr>
      </w:pPr>
      <w:r w:rsidRPr="00A75DF9">
        <w:rPr>
          <w:rFonts w:eastAsia="Calibri" w:cs="Tahoma"/>
          <w:color w:val="000000"/>
          <w:szCs w:val="18"/>
        </w:rPr>
        <w:t>Exchange Hosted Encryption</w:t>
      </w:r>
      <w:r w:rsidR="009D3B41" w:rsidRPr="00A75DF9">
        <w:rPr>
          <w:rFonts w:eastAsia="Calibri" w:cs="Tahoma"/>
          <w:color w:val="000000"/>
          <w:szCs w:val="18"/>
        </w:rPr>
        <w:t xml:space="preserve"> </w:t>
      </w:r>
    </w:p>
    <w:p w:rsidR="00A0550D" w:rsidRPr="00A75DF9" w:rsidRDefault="00A0550D" w:rsidP="00A0550D">
      <w:pPr>
        <w:numPr>
          <w:ilvl w:val="0"/>
          <w:numId w:val="67"/>
        </w:numPr>
        <w:spacing w:after="60"/>
        <w:rPr>
          <w:rFonts w:cs="Tahoma"/>
        </w:rPr>
      </w:pPr>
      <w:r w:rsidRPr="00A75DF9">
        <w:rPr>
          <w:rFonts w:eastAsia="Calibri" w:cs="Tahoma"/>
          <w:color w:val="000000"/>
          <w:szCs w:val="18"/>
        </w:rPr>
        <w:t xml:space="preserve">Archiviazione Exchange Online per Exchange Online </w:t>
      </w:r>
    </w:p>
    <w:p w:rsidR="00456002" w:rsidRPr="00A75DF9" w:rsidRDefault="00456002" w:rsidP="00A0550D">
      <w:pPr>
        <w:numPr>
          <w:ilvl w:val="0"/>
          <w:numId w:val="67"/>
        </w:numPr>
        <w:spacing w:after="60"/>
        <w:rPr>
          <w:rFonts w:cs="Tahoma"/>
        </w:rPr>
      </w:pPr>
      <w:r w:rsidRPr="00A75DF9">
        <w:rPr>
          <w:rFonts w:eastAsia="Calibri" w:cs="Tahoma"/>
          <w:color w:val="000000"/>
          <w:szCs w:val="18"/>
        </w:rPr>
        <w:t>Archiviazione Exchange Online per Exchange Server</w:t>
      </w:r>
    </w:p>
    <w:p w:rsidR="00456002" w:rsidRPr="00A75DF9" w:rsidRDefault="00456002" w:rsidP="00346F4B">
      <w:pPr>
        <w:numPr>
          <w:ilvl w:val="0"/>
          <w:numId w:val="67"/>
        </w:numPr>
        <w:spacing w:after="60"/>
        <w:rPr>
          <w:rFonts w:cs="Tahoma"/>
        </w:rPr>
      </w:pPr>
      <w:r w:rsidRPr="00A75DF9">
        <w:rPr>
          <w:rFonts w:eastAsia="Calibri" w:cs="Tahoma"/>
          <w:color w:val="000000"/>
          <w:szCs w:val="18"/>
        </w:rPr>
        <w:t xml:space="preserve">Chiosco Exchange Online, Piano 1 e Piano 2 </w:t>
      </w:r>
    </w:p>
    <w:p w:rsidR="00A0550D" w:rsidRPr="00A75DF9" w:rsidRDefault="00A0550D" w:rsidP="00A0550D">
      <w:pPr>
        <w:numPr>
          <w:ilvl w:val="0"/>
          <w:numId w:val="67"/>
        </w:numPr>
        <w:spacing w:after="60"/>
        <w:rPr>
          <w:rFonts w:cs="Tahoma"/>
        </w:rPr>
      </w:pPr>
      <w:r w:rsidRPr="00A75DF9">
        <w:rPr>
          <w:rFonts w:eastAsia="Calibri" w:cs="Tahoma"/>
          <w:color w:val="000000"/>
          <w:szCs w:val="18"/>
        </w:rPr>
        <w:t xml:space="preserve">Exchange Online Protection </w:t>
      </w:r>
    </w:p>
    <w:p w:rsidR="00A0550D" w:rsidRPr="00A75DF9" w:rsidRDefault="00A0550D" w:rsidP="00A0550D">
      <w:pPr>
        <w:numPr>
          <w:ilvl w:val="0"/>
          <w:numId w:val="67"/>
        </w:numPr>
        <w:spacing w:after="60"/>
        <w:rPr>
          <w:rFonts w:cs="Tahoma"/>
        </w:rPr>
      </w:pPr>
      <w:r w:rsidRPr="00A75DF9">
        <w:rPr>
          <w:rFonts w:eastAsia="Calibri" w:cs="Tahoma"/>
          <w:color w:val="000000"/>
          <w:szCs w:val="18"/>
        </w:rPr>
        <w:t xml:space="preserve">Forefront Online Protection for Exchange </w:t>
      </w:r>
    </w:p>
    <w:p w:rsidR="00A0550D" w:rsidRPr="00A75DF9" w:rsidRDefault="00A0550D" w:rsidP="00A0550D">
      <w:pPr>
        <w:numPr>
          <w:ilvl w:val="0"/>
          <w:numId w:val="67"/>
        </w:numPr>
        <w:spacing w:after="60"/>
        <w:rPr>
          <w:rFonts w:cs="Tahoma"/>
        </w:rPr>
      </w:pPr>
      <w:r w:rsidRPr="00A75DF9">
        <w:rPr>
          <w:rFonts w:eastAsia="Calibri" w:cs="Tahoma"/>
          <w:color w:val="000000"/>
          <w:szCs w:val="18"/>
        </w:rPr>
        <w:t xml:space="preserve">Groove Enterprise Services </w:t>
      </w:r>
    </w:p>
    <w:p w:rsidR="00456002" w:rsidRPr="00A75DF9" w:rsidRDefault="00456002" w:rsidP="00A0550D">
      <w:pPr>
        <w:numPr>
          <w:ilvl w:val="0"/>
          <w:numId w:val="67"/>
        </w:numPr>
        <w:spacing w:after="60"/>
        <w:rPr>
          <w:rFonts w:cs="Tahoma"/>
        </w:rPr>
      </w:pPr>
      <w:r w:rsidRPr="00A75DF9">
        <w:rPr>
          <w:rFonts w:eastAsia="Calibri" w:cs="Tahoma"/>
          <w:color w:val="000000"/>
          <w:szCs w:val="18"/>
        </w:rPr>
        <w:t>Lync Online Piano 1, 2 e 3</w:t>
      </w:r>
    </w:p>
    <w:p w:rsidR="00A0550D" w:rsidRPr="00A75DF9" w:rsidRDefault="00A0550D" w:rsidP="00A0550D">
      <w:pPr>
        <w:numPr>
          <w:ilvl w:val="0"/>
          <w:numId w:val="67"/>
        </w:numPr>
        <w:spacing w:after="60"/>
        <w:rPr>
          <w:rFonts w:cs="Tahoma"/>
        </w:rPr>
      </w:pPr>
      <w:r w:rsidRPr="00A75DF9">
        <w:rPr>
          <w:rFonts w:eastAsia="Calibri" w:cs="Tahoma"/>
          <w:color w:val="000000"/>
          <w:szCs w:val="18"/>
        </w:rPr>
        <w:t>Microsoft Dynamics CRM Online</w:t>
      </w:r>
    </w:p>
    <w:p w:rsidR="00A0550D" w:rsidRPr="00A75DF9" w:rsidRDefault="00A0550D" w:rsidP="00A0550D">
      <w:pPr>
        <w:numPr>
          <w:ilvl w:val="0"/>
          <w:numId w:val="67"/>
        </w:numPr>
        <w:spacing w:after="60"/>
        <w:rPr>
          <w:rFonts w:cs="Tahoma"/>
        </w:rPr>
      </w:pPr>
      <w:r w:rsidRPr="00A75DF9">
        <w:rPr>
          <w:rFonts w:eastAsia="Calibri" w:cs="Tahoma"/>
          <w:color w:val="000000"/>
          <w:szCs w:val="18"/>
        </w:rPr>
        <w:t>Microsoft Learning E-Reference Library e IT Academy</w:t>
      </w:r>
    </w:p>
    <w:p w:rsidR="00456002" w:rsidRPr="00A75DF9" w:rsidRDefault="00456002" w:rsidP="00A0550D">
      <w:pPr>
        <w:numPr>
          <w:ilvl w:val="0"/>
          <w:numId w:val="67"/>
        </w:numPr>
        <w:spacing w:after="60"/>
        <w:rPr>
          <w:rFonts w:cs="Tahoma"/>
        </w:rPr>
      </w:pPr>
      <w:r w:rsidRPr="00A75DF9">
        <w:rPr>
          <w:rFonts w:eastAsia="Calibri" w:cs="Tahoma"/>
          <w:color w:val="000000"/>
          <w:szCs w:val="18"/>
        </w:rPr>
        <w:t>Office 365 Enterprise K1, E1, E3 ed E4</w:t>
      </w:r>
    </w:p>
    <w:p w:rsidR="00061A45" w:rsidRPr="00A75DF9" w:rsidRDefault="008368B4" w:rsidP="00346F4B">
      <w:pPr>
        <w:numPr>
          <w:ilvl w:val="0"/>
          <w:numId w:val="67"/>
        </w:numPr>
        <w:spacing w:after="60"/>
        <w:rPr>
          <w:rFonts w:cs="Tahoma"/>
        </w:rPr>
      </w:pPr>
      <w:r w:rsidRPr="00A75DF9">
        <w:rPr>
          <w:rFonts w:eastAsia="Calibri" w:cs="Tahoma"/>
          <w:color w:val="000000"/>
          <w:szCs w:val="18"/>
        </w:rPr>
        <w:t>Office 365 ProPlus</w:t>
      </w:r>
    </w:p>
    <w:p w:rsidR="00A0550D" w:rsidRPr="00A75DF9" w:rsidRDefault="00A0550D" w:rsidP="00A0550D">
      <w:pPr>
        <w:numPr>
          <w:ilvl w:val="0"/>
          <w:numId w:val="67"/>
        </w:numPr>
        <w:spacing w:after="60"/>
        <w:rPr>
          <w:rFonts w:cs="Tahoma"/>
        </w:rPr>
      </w:pPr>
      <w:r w:rsidRPr="00A75DF9">
        <w:rPr>
          <w:rFonts w:eastAsia="Calibri" w:cs="Tahoma"/>
          <w:color w:val="000000"/>
          <w:szCs w:val="18"/>
        </w:rPr>
        <w:t xml:space="preserve">Office Web Applications </w:t>
      </w:r>
    </w:p>
    <w:p w:rsidR="008368B4" w:rsidRPr="00A75DF9" w:rsidRDefault="008368B4" w:rsidP="00A0550D">
      <w:pPr>
        <w:numPr>
          <w:ilvl w:val="0"/>
          <w:numId w:val="67"/>
        </w:numPr>
        <w:spacing w:after="60"/>
        <w:rPr>
          <w:rFonts w:cs="Tahoma"/>
        </w:rPr>
      </w:pPr>
      <w:r w:rsidRPr="00A75DF9">
        <w:rPr>
          <w:rFonts w:eastAsia="Calibri" w:cs="Tahoma"/>
          <w:color w:val="000000"/>
          <w:szCs w:val="18"/>
        </w:rPr>
        <w:t>Project Online</w:t>
      </w:r>
    </w:p>
    <w:p w:rsidR="008368B4" w:rsidRPr="00A75DF9" w:rsidRDefault="008368B4" w:rsidP="00346F4B">
      <w:pPr>
        <w:numPr>
          <w:ilvl w:val="0"/>
          <w:numId w:val="67"/>
        </w:numPr>
        <w:spacing w:after="60"/>
        <w:rPr>
          <w:rFonts w:cs="Tahoma"/>
        </w:rPr>
      </w:pPr>
      <w:r w:rsidRPr="00A75DF9">
        <w:rPr>
          <w:rFonts w:eastAsia="Calibri" w:cs="Tahoma"/>
          <w:color w:val="000000"/>
          <w:szCs w:val="18"/>
        </w:rPr>
        <w:t>Project Pro per Office 365</w:t>
      </w:r>
    </w:p>
    <w:p w:rsidR="00456002" w:rsidRPr="00A75DF9" w:rsidRDefault="00456002" w:rsidP="00346F4B">
      <w:pPr>
        <w:numPr>
          <w:ilvl w:val="0"/>
          <w:numId w:val="67"/>
        </w:numPr>
        <w:spacing w:after="60"/>
        <w:rPr>
          <w:rFonts w:cs="Tahoma"/>
        </w:rPr>
      </w:pPr>
      <w:r w:rsidRPr="00A75DF9">
        <w:rPr>
          <w:rFonts w:eastAsia="Calibri" w:cs="Tahoma"/>
          <w:color w:val="000000"/>
          <w:szCs w:val="18"/>
        </w:rPr>
        <w:t xml:space="preserve">Chiosco SharePoint Online, Piano 1 e Piano 2 </w:t>
      </w:r>
    </w:p>
    <w:p w:rsidR="00456002" w:rsidRPr="00A75DF9" w:rsidRDefault="00456002" w:rsidP="00A0550D">
      <w:pPr>
        <w:numPr>
          <w:ilvl w:val="0"/>
          <w:numId w:val="67"/>
        </w:numPr>
        <w:spacing w:after="60"/>
        <w:rPr>
          <w:rFonts w:cs="Tahoma"/>
        </w:rPr>
      </w:pPr>
      <w:r w:rsidRPr="00A75DF9">
        <w:rPr>
          <w:rFonts w:eastAsia="Calibri" w:cs="Tahoma"/>
          <w:color w:val="000000"/>
          <w:szCs w:val="18"/>
        </w:rPr>
        <w:t xml:space="preserve">System Center Endpoint Protection </w:t>
      </w:r>
    </w:p>
    <w:p w:rsidR="00B00423" w:rsidRPr="00A75DF9" w:rsidRDefault="00B00423" w:rsidP="00B00423">
      <w:pPr>
        <w:numPr>
          <w:ilvl w:val="0"/>
          <w:numId w:val="67"/>
        </w:numPr>
        <w:spacing w:after="60"/>
        <w:rPr>
          <w:rFonts w:cs="Tahoma"/>
        </w:rPr>
      </w:pPr>
      <w:r w:rsidRPr="00A75DF9">
        <w:rPr>
          <w:rFonts w:eastAsia="Calibri" w:cs="Tahoma"/>
          <w:color w:val="000000"/>
          <w:szCs w:val="18"/>
        </w:rPr>
        <w:t xml:space="preserve">Translator API </w:t>
      </w:r>
    </w:p>
    <w:p w:rsidR="008368B4" w:rsidRPr="00A75DF9" w:rsidRDefault="008368B4" w:rsidP="00B00423">
      <w:pPr>
        <w:numPr>
          <w:ilvl w:val="0"/>
          <w:numId w:val="67"/>
        </w:numPr>
        <w:spacing w:after="60"/>
        <w:rPr>
          <w:rFonts w:cs="Tahoma"/>
        </w:rPr>
      </w:pPr>
      <w:r w:rsidRPr="00A75DF9">
        <w:rPr>
          <w:rFonts w:eastAsia="Calibri" w:cs="Tahoma"/>
          <w:color w:val="000000"/>
          <w:szCs w:val="18"/>
        </w:rPr>
        <w:t>Visio Pro per Office 365</w:t>
      </w:r>
    </w:p>
    <w:p w:rsidR="00073E15" w:rsidRPr="00A75DF9" w:rsidRDefault="00456002" w:rsidP="00B00423">
      <w:pPr>
        <w:numPr>
          <w:ilvl w:val="0"/>
          <w:numId w:val="67"/>
        </w:numPr>
        <w:spacing w:after="60"/>
        <w:rPr>
          <w:rFonts w:cs="Tahoma"/>
        </w:rPr>
      </w:pPr>
      <w:r w:rsidRPr="00A75DF9">
        <w:rPr>
          <w:rFonts w:eastAsia="Calibri" w:cs="Tahoma"/>
          <w:color w:val="000000"/>
          <w:szCs w:val="18"/>
        </w:rPr>
        <w:t>Windows Azure Active Directory Rights Management</w:t>
      </w:r>
    </w:p>
    <w:p w:rsidR="00456002" w:rsidRPr="00A75DF9" w:rsidRDefault="00073E15" w:rsidP="00B00423">
      <w:pPr>
        <w:numPr>
          <w:ilvl w:val="0"/>
          <w:numId w:val="67"/>
        </w:numPr>
        <w:spacing w:after="60"/>
        <w:rPr>
          <w:rFonts w:cs="Tahoma"/>
        </w:rPr>
      </w:pPr>
      <w:r w:rsidRPr="00A75DF9">
        <w:rPr>
          <w:rFonts w:eastAsia="Calibri" w:cs="Tahoma"/>
          <w:color w:val="000000"/>
          <w:szCs w:val="18"/>
        </w:rPr>
        <w:t>Servizi di Windows Azure</w:t>
      </w:r>
    </w:p>
    <w:p w:rsidR="00073E15" w:rsidRPr="00A75DF9" w:rsidRDefault="00456002" w:rsidP="00346F4B">
      <w:pPr>
        <w:numPr>
          <w:ilvl w:val="0"/>
          <w:numId w:val="67"/>
        </w:numPr>
        <w:spacing w:after="60"/>
        <w:rPr>
          <w:rFonts w:cs="Tahoma"/>
        </w:rPr>
      </w:pPr>
      <w:r w:rsidRPr="00A75DF9">
        <w:rPr>
          <w:rFonts w:eastAsia="Calibri" w:cs="Tahoma"/>
          <w:color w:val="000000"/>
          <w:szCs w:val="18"/>
        </w:rPr>
        <w:t>Windows Intune</w:t>
      </w:r>
    </w:p>
    <w:p w:rsidR="00456002" w:rsidRPr="00A75DF9" w:rsidRDefault="003929D1" w:rsidP="00346F4B">
      <w:pPr>
        <w:numPr>
          <w:ilvl w:val="0"/>
          <w:numId w:val="67"/>
        </w:numPr>
        <w:spacing w:after="60"/>
        <w:rPr>
          <w:rFonts w:cs="Tahoma"/>
        </w:rPr>
      </w:pPr>
      <w:r w:rsidRPr="00A75DF9">
        <w:rPr>
          <w:rFonts w:eastAsia="Calibri" w:cs="Tahoma"/>
          <w:color w:val="000000"/>
          <w:szCs w:val="18"/>
        </w:rPr>
        <w:t>Componente Aggiuntivo per Windows Intune per System Center Configuration Manager e System Center EndPoint Protection</w:t>
      </w:r>
    </w:p>
    <w:p w:rsidR="00B00423" w:rsidRPr="00A75DF9" w:rsidRDefault="00B00423" w:rsidP="00346F4B">
      <w:pPr>
        <w:numPr>
          <w:ilvl w:val="0"/>
          <w:numId w:val="67"/>
        </w:numPr>
        <w:spacing w:after="60"/>
        <w:rPr>
          <w:rFonts w:cs="Tahoma"/>
        </w:rPr>
      </w:pPr>
      <w:r w:rsidRPr="00A75DF9">
        <w:rPr>
          <w:rFonts w:eastAsia="Calibri" w:cs="Tahoma"/>
          <w:color w:val="000000"/>
          <w:szCs w:val="18"/>
        </w:rPr>
        <w:t>Yammer Enterprise</w:t>
      </w:r>
    </w:p>
    <w:p w:rsidR="002D25C8" w:rsidRPr="00A75DF9" w:rsidRDefault="002D25C8" w:rsidP="00212CC6">
      <w:pPr>
        <w:rPr>
          <w:rFonts w:cs="Tahoma"/>
        </w:rPr>
      </w:pPr>
    </w:p>
    <w:p w:rsidR="00456002" w:rsidRPr="00A75DF9" w:rsidRDefault="00456002" w:rsidP="00116EDC">
      <w:pPr>
        <w:outlineLvl w:val="2"/>
        <w:rPr>
          <w:rFonts w:cs="Tahoma"/>
        </w:rPr>
      </w:pPr>
      <w:r w:rsidRPr="00A75DF9">
        <w:rPr>
          <w:rFonts w:cs="Tahoma"/>
          <w:szCs w:val="18"/>
        </w:rPr>
        <w:t>Sono disponibili altre offerte oltre a queste che sono identificate nell</w:t>
      </w:r>
      <w:r w:rsidR="00F2643E">
        <w:rPr>
          <w:rFonts w:cs="Tahoma"/>
          <w:szCs w:val="18"/>
        </w:rPr>
        <w:t>’</w:t>
      </w:r>
      <w:r w:rsidRPr="00A75DF9">
        <w:rPr>
          <w:rFonts w:cs="Tahoma"/>
          <w:szCs w:val="18"/>
        </w:rPr>
        <w:t>articolo Servizi Online dei Diritti di Utilizzo del Prodotto.</w:t>
      </w:r>
      <w:r w:rsidR="009D3B41" w:rsidRPr="00A75DF9">
        <w:rPr>
          <w:rFonts w:cs="Tahoma"/>
          <w:szCs w:val="18"/>
        </w:rPr>
        <w:t xml:space="preserve"> </w:t>
      </w:r>
      <w:r w:rsidRPr="00A75DF9">
        <w:rPr>
          <w:rFonts w:cs="Tahoma"/>
          <w:szCs w:val="18"/>
        </w:rPr>
        <w:t>Gli articoli restanti di “Prezzi dei Servizi Online e Condizioni di Pagamento” si applicano sia ai Servizi Online identificati sopra per nome che a tali altre offerte.</w:t>
      </w:r>
    </w:p>
    <w:p w:rsidR="00116EDC" w:rsidRDefault="00116EDC" w:rsidP="00116EDC">
      <w:pPr>
        <w:outlineLvl w:val="2"/>
        <w:rPr>
          <w:rFonts w:cs="Tahoma"/>
        </w:rPr>
      </w:pPr>
    </w:p>
    <w:p w:rsidR="00105321" w:rsidRDefault="00105321" w:rsidP="00116EDC">
      <w:pPr>
        <w:outlineLvl w:val="2"/>
        <w:rPr>
          <w:rFonts w:cs="Tahoma"/>
        </w:rPr>
      </w:pPr>
    </w:p>
    <w:p w:rsidR="00105321" w:rsidRPr="00A75DF9" w:rsidRDefault="00105321" w:rsidP="00116EDC">
      <w:pPr>
        <w:outlineLvl w:val="2"/>
        <w:rPr>
          <w:rFonts w:cs="Tahoma"/>
        </w:rPr>
      </w:pPr>
    </w:p>
    <w:p w:rsidR="00456002" w:rsidRPr="00A75DF9" w:rsidRDefault="00456002" w:rsidP="00456002">
      <w:pPr>
        <w:pStyle w:val="Heading2"/>
        <w:ind w:left="0"/>
        <w:rPr>
          <w:rFonts w:ascii="Tahoma" w:hAnsi="Tahoma" w:cs="Tahoma"/>
        </w:rPr>
      </w:pPr>
      <w:bookmarkStart w:id="670" w:name="_Toc336338208"/>
      <w:bookmarkStart w:id="671" w:name="_Toc368310199"/>
      <w:r w:rsidRPr="00A75DF9">
        <w:rPr>
          <w:rFonts w:ascii="Tahoma" w:hAnsi="Tahoma" w:cs="Tahoma"/>
        </w:rPr>
        <w:lastRenderedPageBreak/>
        <w:t>Periodo di Validità dell</w:t>
      </w:r>
      <w:r w:rsidR="00F2643E">
        <w:rPr>
          <w:rFonts w:ascii="Tahoma" w:hAnsi="Tahoma" w:cs="Tahoma"/>
        </w:rPr>
        <w:t>’</w:t>
      </w:r>
      <w:r w:rsidRPr="00A75DF9">
        <w:rPr>
          <w:rFonts w:ascii="Tahoma" w:hAnsi="Tahoma" w:cs="Tahoma"/>
        </w:rPr>
        <w:t>Abbonamento ai Servizi Online</w:t>
      </w:r>
      <w:bookmarkEnd w:id="670"/>
      <w:bookmarkEnd w:id="671"/>
    </w:p>
    <w:p w:rsidR="00456002" w:rsidRPr="00A75DF9" w:rsidRDefault="00456002" w:rsidP="00116EDC">
      <w:pPr>
        <w:outlineLvl w:val="2"/>
        <w:rPr>
          <w:rFonts w:cs="Tahoma"/>
        </w:rPr>
      </w:pPr>
    </w:p>
    <w:p w:rsidR="006A5DAE" w:rsidRPr="00A75DF9" w:rsidRDefault="00456002" w:rsidP="00105321">
      <w:pPr>
        <w:outlineLvl w:val="2"/>
        <w:rPr>
          <w:rFonts w:cs="Tahoma"/>
        </w:rPr>
      </w:pPr>
      <w:r w:rsidRPr="00A75DF9">
        <w:rPr>
          <w:rFonts w:cs="Tahoma"/>
          <w:szCs w:val="18"/>
        </w:rPr>
        <w:t>L</w:t>
      </w:r>
      <w:r w:rsidR="00F2643E">
        <w:rPr>
          <w:rFonts w:cs="Tahoma"/>
          <w:szCs w:val="18"/>
        </w:rPr>
        <w:t>’</w:t>
      </w:r>
      <w:r w:rsidRPr="00A75DF9">
        <w:rPr>
          <w:rFonts w:cs="Tahoma"/>
          <w:szCs w:val="18"/>
        </w:rPr>
        <w:t>acquisto iniziale di un nuovo abbonamento per i servizi online determinerà il periodo di validità dell</w:t>
      </w:r>
      <w:r w:rsidR="00F2643E">
        <w:rPr>
          <w:rFonts w:cs="Tahoma"/>
          <w:szCs w:val="18"/>
        </w:rPr>
        <w:t>’</w:t>
      </w:r>
      <w:r w:rsidRPr="00A75DF9">
        <w:rPr>
          <w:rFonts w:cs="Tahoma"/>
          <w:szCs w:val="18"/>
        </w:rPr>
        <w:t>abbonamento.</w:t>
      </w:r>
      <w:r w:rsidR="009D3B41" w:rsidRPr="00A75DF9">
        <w:rPr>
          <w:rFonts w:cs="Tahoma"/>
          <w:szCs w:val="18"/>
        </w:rPr>
        <w:t xml:space="preserve"> </w:t>
      </w:r>
      <w:r w:rsidRPr="00A75DF9">
        <w:rPr>
          <w:rFonts w:cs="Tahoma"/>
          <w:szCs w:val="18"/>
        </w:rPr>
        <w:t>Alcuni servizi consentono a una società di scegliere un periodo di abbonamento annuale o un abbonamento che termini il giorno stesso della scadenza del periodo di validità del contratto o dell</w:t>
      </w:r>
      <w:r w:rsidR="00F2643E">
        <w:rPr>
          <w:rFonts w:cs="Tahoma"/>
          <w:szCs w:val="18"/>
        </w:rPr>
        <w:t>’</w:t>
      </w:r>
      <w:r w:rsidRPr="00A75DF9">
        <w:rPr>
          <w:rFonts w:cs="Tahoma"/>
          <w:szCs w:val="18"/>
        </w:rPr>
        <w:t>iscrizione delle società (“scadenza identica”) come indicato nella seguente tabella.</w:t>
      </w:r>
      <w:r w:rsidR="009D3B41" w:rsidRPr="00A75DF9">
        <w:rPr>
          <w:rFonts w:cs="Tahoma"/>
          <w:szCs w:val="18"/>
        </w:rPr>
        <w:t xml:space="preserve"> </w:t>
      </w:r>
      <w:r w:rsidRPr="00A75DF9">
        <w:rPr>
          <w:rFonts w:cs="Tahoma"/>
          <w:szCs w:val="18"/>
        </w:rPr>
        <w:t>Select Plus non offre la possibilità di periodi di validità con scadenza identica, ma consente alla società di scegliere tra periodi di validità dell</w:t>
      </w:r>
      <w:r w:rsidR="00F2643E">
        <w:rPr>
          <w:rFonts w:cs="Tahoma"/>
          <w:szCs w:val="18"/>
        </w:rPr>
        <w:t>’</w:t>
      </w:r>
      <w:r w:rsidRPr="00A75DF9">
        <w:rPr>
          <w:rFonts w:cs="Tahoma"/>
          <w:szCs w:val="18"/>
        </w:rPr>
        <w:t>abbonamento della durata di 1 anno, 3 anni o di allineare il periodo di validità alla seconda ricorrenza a partire dalla data di inizio.</w:t>
      </w:r>
      <w:r w:rsidR="009D3B41" w:rsidRPr="00A75DF9">
        <w:rPr>
          <w:rFonts w:cs="Tahoma"/>
          <w:szCs w:val="18"/>
        </w:rPr>
        <w:t xml:space="preserve"> </w:t>
      </w:r>
      <w:r w:rsidRPr="00A75DF9">
        <w:rPr>
          <w:rFonts w:cs="Tahoma"/>
          <w:szCs w:val="18"/>
        </w:rPr>
        <w:t>Il periodo di validità annuale dell</w:t>
      </w:r>
      <w:r w:rsidR="00F2643E">
        <w:rPr>
          <w:rFonts w:cs="Tahoma"/>
          <w:szCs w:val="18"/>
        </w:rPr>
        <w:t>’</w:t>
      </w:r>
      <w:r w:rsidRPr="00A75DF9">
        <w:rPr>
          <w:rFonts w:cs="Tahoma"/>
          <w:szCs w:val="18"/>
        </w:rPr>
        <w:t>abbonamento potrebbe non allinearsi alla data di scadenza del contratto della società né terminare in tale data.</w:t>
      </w:r>
      <w:r w:rsidR="009D3B41" w:rsidRPr="00A75DF9">
        <w:rPr>
          <w:rFonts w:cs="Tahoma"/>
          <w:szCs w:val="18"/>
        </w:rPr>
        <w:t xml:space="preserve"> </w:t>
      </w:r>
      <w:r w:rsidRPr="00A75DF9">
        <w:rPr>
          <w:rFonts w:cs="Tahoma"/>
          <w:szCs w:val="18"/>
        </w:rPr>
        <w:t>Qualora il periodo di validità dell</w:t>
      </w:r>
      <w:r w:rsidR="00F2643E">
        <w:rPr>
          <w:rFonts w:cs="Tahoma"/>
          <w:szCs w:val="18"/>
        </w:rPr>
        <w:t>’</w:t>
      </w:r>
      <w:r w:rsidRPr="00A75DF9">
        <w:rPr>
          <w:rFonts w:cs="Tahoma"/>
          <w:szCs w:val="18"/>
        </w:rPr>
        <w:t>abbonamento annuale termini dopo il contratto, la società dovrà disporre di un contratto multilicenza (Volume Licensing) attivo per ordinare licenze aggiuntive o rinnovare il servizio.</w:t>
      </w:r>
      <w:r w:rsidR="009D3B41" w:rsidRPr="00A75DF9">
        <w:rPr>
          <w:rFonts w:cs="Tahoma"/>
          <w:szCs w:val="18"/>
        </w:rPr>
        <w:t xml:space="preserve"> </w:t>
      </w:r>
      <w:r w:rsidRPr="00A75DF9">
        <w:rPr>
          <w:rFonts w:cs="Tahoma"/>
          <w:szCs w:val="18"/>
        </w:rPr>
        <w:t>Qualora la società effettui acquisti aggiuntivi di un servizio, il periodo di validità dell</w:t>
      </w:r>
      <w:r w:rsidR="00F2643E">
        <w:rPr>
          <w:rFonts w:cs="Tahoma"/>
          <w:szCs w:val="18"/>
        </w:rPr>
        <w:t>’</w:t>
      </w:r>
      <w:r w:rsidRPr="00A75DF9">
        <w:rPr>
          <w:rFonts w:cs="Tahoma"/>
          <w:szCs w:val="18"/>
        </w:rPr>
        <w:t>abbonamento per l</w:t>
      </w:r>
      <w:r w:rsidR="00F2643E">
        <w:rPr>
          <w:rFonts w:cs="Tahoma"/>
          <w:szCs w:val="18"/>
        </w:rPr>
        <w:t>’</w:t>
      </w:r>
      <w:r w:rsidRPr="00A75DF9">
        <w:rPr>
          <w:rFonts w:cs="Tahoma"/>
          <w:szCs w:val="18"/>
        </w:rPr>
        <w:t>acquisto aggiuntivo dovrà allinearsi al periodo di validità dell</w:t>
      </w:r>
      <w:r w:rsidR="00F2643E">
        <w:rPr>
          <w:rFonts w:cs="Tahoma"/>
          <w:szCs w:val="18"/>
        </w:rPr>
        <w:t>’</w:t>
      </w:r>
      <w:r w:rsidRPr="00A75DF9">
        <w:rPr>
          <w:rFonts w:cs="Tahoma"/>
          <w:szCs w:val="18"/>
        </w:rPr>
        <w:t>abbonamento esistente della società per lo stesso servizio.</w:t>
      </w:r>
      <w:r w:rsidR="009D3B41" w:rsidRPr="00A75DF9">
        <w:rPr>
          <w:rFonts w:cs="Tahoma"/>
          <w:szCs w:val="18"/>
        </w:rPr>
        <w:t xml:space="preserve"> </w:t>
      </w:r>
      <w:r w:rsidRPr="00A75DF9">
        <w:rPr>
          <w:rFonts w:cs="Tahoma"/>
          <w:szCs w:val="18"/>
        </w:rPr>
        <w:t>Nel caso in cui i</w:t>
      </w:r>
      <w:r w:rsidR="00105321">
        <w:rPr>
          <w:rFonts w:cs="Tahoma"/>
          <w:szCs w:val="18"/>
        </w:rPr>
        <w:t> </w:t>
      </w:r>
      <w:r w:rsidRPr="00A75DF9">
        <w:rPr>
          <w:rFonts w:cs="Tahoma"/>
          <w:szCs w:val="18"/>
        </w:rPr>
        <w:t>prezzi degli ordini aggiuntivi di prodotti o servizi non siano indicati nel contratto esistente della società, il prezzo addebitato alla parte che riceverà la fattura per le quantità di servizi aggiuntivi sarà identico al prezzo dell</w:t>
      </w:r>
      <w:r w:rsidR="00F2643E">
        <w:rPr>
          <w:rFonts w:cs="Tahoma"/>
          <w:szCs w:val="18"/>
        </w:rPr>
        <w:t>’</w:t>
      </w:r>
      <w:r w:rsidRPr="00A75DF9">
        <w:rPr>
          <w:rFonts w:cs="Tahoma"/>
          <w:szCs w:val="18"/>
        </w:rPr>
        <w:t>acquisto iniziale.</w:t>
      </w:r>
      <w:r w:rsidR="009D3B41" w:rsidRPr="00A75DF9">
        <w:rPr>
          <w:rFonts w:cs="Tahoma"/>
          <w:szCs w:val="18"/>
        </w:rPr>
        <w:t xml:space="preserve"> </w:t>
      </w:r>
      <w:r w:rsidRPr="00A75DF9">
        <w:rPr>
          <w:rFonts w:cs="Tahoma"/>
          <w:szCs w:val="18"/>
        </w:rPr>
        <w:t>Informazioni specifiche sui Servizi di Windows Azure sono disponibili nell</w:t>
      </w:r>
      <w:r w:rsidR="00F2643E">
        <w:rPr>
          <w:rFonts w:cs="Tahoma"/>
          <w:szCs w:val="18"/>
        </w:rPr>
        <w:t>’</w:t>
      </w:r>
      <w:r w:rsidRPr="00A75DF9">
        <w:rPr>
          <w:rFonts w:cs="Tahoma"/>
          <w:szCs w:val="18"/>
        </w:rPr>
        <w:t xml:space="preserve">Articolo corrispondente che segue. </w:t>
      </w:r>
    </w:p>
    <w:p w:rsidR="00456002" w:rsidRPr="00A75DF9" w:rsidRDefault="00456002" w:rsidP="00212CC6">
      <w:pPr>
        <w:rPr>
          <w:rFonts w:cs="Tahoma"/>
        </w:rPr>
      </w:pPr>
    </w:p>
    <w:p w:rsidR="001C1727" w:rsidRPr="00A75DF9" w:rsidRDefault="001C1727">
      <w:pPr>
        <w:rPr>
          <w:rFonts w:cs="Tahoma"/>
        </w:rPr>
      </w:pPr>
    </w:p>
    <w:tbl>
      <w:tblPr>
        <w:tblW w:w="0" w:type="auto"/>
        <w:tblInd w:w="108" w:type="dxa"/>
        <w:tblCellMar>
          <w:left w:w="0" w:type="dxa"/>
          <w:right w:w="0" w:type="dxa"/>
        </w:tblCellMar>
        <w:tblLook w:val="04A0" w:firstRow="1" w:lastRow="0" w:firstColumn="1" w:lastColumn="0" w:noHBand="0" w:noVBand="1"/>
      </w:tblPr>
      <w:tblGrid>
        <w:gridCol w:w="4469"/>
        <w:gridCol w:w="4387"/>
      </w:tblGrid>
      <w:tr w:rsidR="00456002" w:rsidRPr="00A75DF9" w:rsidTr="0044720D">
        <w:trPr>
          <w:trHeight w:val="515"/>
          <w:tblHeader/>
        </w:trPr>
        <w:tc>
          <w:tcPr>
            <w:tcW w:w="446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456002" w:rsidRPr="00A75DF9" w:rsidRDefault="00456002" w:rsidP="00105321">
            <w:pPr>
              <w:jc w:val="center"/>
              <w:rPr>
                <w:rFonts w:eastAsia="Calibri" w:cs="Tahoma"/>
                <w:b/>
                <w:bCs/>
                <w:sz w:val="20"/>
                <w:szCs w:val="18"/>
              </w:rPr>
            </w:pPr>
            <w:r w:rsidRPr="00A75DF9">
              <w:rPr>
                <w:rFonts w:eastAsia="Calibri" w:cs="Tahoma"/>
                <w:b/>
                <w:bCs/>
                <w:sz w:val="20"/>
                <w:szCs w:val="18"/>
              </w:rPr>
              <w:t>Servizi Online disponibili sia per Periodi di</w:t>
            </w:r>
            <w:r w:rsidR="00105321">
              <w:rPr>
                <w:rFonts w:eastAsia="Calibri" w:cs="Tahoma"/>
                <w:b/>
                <w:bCs/>
                <w:sz w:val="20"/>
                <w:szCs w:val="18"/>
              </w:rPr>
              <w:t> </w:t>
            </w:r>
            <w:r w:rsidRPr="00A75DF9">
              <w:rPr>
                <w:rFonts w:eastAsia="Calibri" w:cs="Tahoma"/>
                <w:b/>
                <w:bCs/>
                <w:sz w:val="20"/>
                <w:szCs w:val="18"/>
              </w:rPr>
              <w:t>Validità Abbonamento di 1 anno che</w:t>
            </w:r>
            <w:r w:rsidR="00105321">
              <w:rPr>
                <w:rFonts w:eastAsia="Calibri" w:cs="Tahoma"/>
                <w:b/>
                <w:bCs/>
                <w:sz w:val="20"/>
                <w:szCs w:val="18"/>
              </w:rPr>
              <w:t> </w:t>
            </w:r>
            <w:r w:rsidRPr="00A75DF9">
              <w:rPr>
                <w:rFonts w:eastAsia="Calibri" w:cs="Tahoma"/>
                <w:b/>
                <w:bCs/>
                <w:sz w:val="20"/>
                <w:szCs w:val="18"/>
              </w:rPr>
              <w:t>quelli con Scadenze Identiche</w:t>
            </w:r>
          </w:p>
        </w:tc>
        <w:tc>
          <w:tcPr>
            <w:tcW w:w="4387"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hideMark/>
          </w:tcPr>
          <w:p w:rsidR="00456002" w:rsidRPr="00A75DF9" w:rsidRDefault="00456002" w:rsidP="00105321">
            <w:pPr>
              <w:jc w:val="center"/>
              <w:rPr>
                <w:rFonts w:eastAsia="Calibri" w:cs="Tahoma"/>
                <w:b/>
                <w:bCs/>
                <w:sz w:val="20"/>
                <w:szCs w:val="18"/>
              </w:rPr>
            </w:pPr>
            <w:r w:rsidRPr="00A75DF9">
              <w:rPr>
                <w:rFonts w:eastAsia="Calibri" w:cs="Tahoma"/>
                <w:b/>
                <w:bCs/>
                <w:sz w:val="20"/>
                <w:szCs w:val="18"/>
              </w:rPr>
              <w:t>Servizi Online disponibili solo per Periodi</w:t>
            </w:r>
            <w:r w:rsidR="00105321">
              <w:rPr>
                <w:rFonts w:eastAsia="Calibri" w:cs="Tahoma"/>
                <w:b/>
                <w:bCs/>
                <w:sz w:val="20"/>
                <w:szCs w:val="18"/>
              </w:rPr>
              <w:t> </w:t>
            </w:r>
            <w:r w:rsidRPr="00A75DF9">
              <w:rPr>
                <w:rFonts w:eastAsia="Calibri" w:cs="Tahoma"/>
                <w:b/>
                <w:bCs/>
                <w:sz w:val="20"/>
                <w:szCs w:val="18"/>
              </w:rPr>
              <w:t>di Validità Abbonamento con</w:t>
            </w:r>
            <w:r w:rsidR="00105321">
              <w:rPr>
                <w:rFonts w:eastAsia="Calibri" w:cs="Tahoma"/>
                <w:b/>
                <w:bCs/>
                <w:sz w:val="20"/>
                <w:szCs w:val="18"/>
              </w:rPr>
              <w:t> </w:t>
            </w:r>
            <w:r w:rsidRPr="00A75DF9">
              <w:rPr>
                <w:rFonts w:eastAsia="Calibri" w:cs="Tahoma"/>
                <w:b/>
                <w:bCs/>
                <w:sz w:val="20"/>
                <w:szCs w:val="18"/>
              </w:rPr>
              <w:t>Scadenze Identiche</w:t>
            </w:r>
          </w:p>
        </w:tc>
      </w:tr>
      <w:tr w:rsidR="00456002" w:rsidRPr="00A75DF9" w:rsidTr="0044720D">
        <w:trPr>
          <w:trHeight w:val="258"/>
        </w:trPr>
        <w:tc>
          <w:tcPr>
            <w:tcW w:w="4469"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456002" w:rsidRPr="00A75DF9" w:rsidRDefault="00456002" w:rsidP="00346F4B">
            <w:pPr>
              <w:numPr>
                <w:ilvl w:val="0"/>
                <w:numId w:val="68"/>
              </w:numPr>
              <w:spacing w:after="60"/>
              <w:ind w:left="720" w:right="259"/>
              <w:rPr>
                <w:rFonts w:cs="Tahoma"/>
              </w:rPr>
            </w:pPr>
            <w:r w:rsidRPr="00A75DF9">
              <w:rPr>
                <w:rFonts w:eastAsia="Calibri" w:cs="Tahoma"/>
                <w:color w:val="000000"/>
                <w:szCs w:val="18"/>
              </w:rPr>
              <w:t>Bing Maps Enterprise</w:t>
            </w:r>
          </w:p>
          <w:p w:rsidR="00AD481C" w:rsidRPr="00A75DF9" w:rsidRDefault="00AD481C" w:rsidP="00346F4B">
            <w:pPr>
              <w:numPr>
                <w:ilvl w:val="0"/>
                <w:numId w:val="68"/>
              </w:numPr>
              <w:spacing w:after="60"/>
              <w:ind w:left="720" w:right="259"/>
              <w:rPr>
                <w:rFonts w:cs="Tahoma"/>
              </w:rPr>
            </w:pPr>
            <w:r w:rsidRPr="00A75DF9">
              <w:rPr>
                <w:rFonts w:eastAsia="Calibri" w:cs="Tahoma"/>
                <w:color w:val="000000"/>
                <w:szCs w:val="18"/>
              </w:rPr>
              <w:t>Bing Maps Mobile Asset Management</w:t>
            </w:r>
          </w:p>
          <w:p w:rsidR="00456002" w:rsidRPr="00A75DF9" w:rsidRDefault="00456002" w:rsidP="00346F4B">
            <w:pPr>
              <w:numPr>
                <w:ilvl w:val="0"/>
                <w:numId w:val="68"/>
              </w:numPr>
              <w:spacing w:after="60"/>
              <w:ind w:left="720" w:right="259"/>
              <w:rPr>
                <w:rFonts w:cs="Tahoma"/>
              </w:rPr>
            </w:pPr>
            <w:r w:rsidRPr="00A75DF9">
              <w:rPr>
                <w:rFonts w:eastAsia="Calibri" w:cs="Tahoma"/>
                <w:color w:val="000000"/>
                <w:szCs w:val="18"/>
              </w:rPr>
              <w:t>Forefront Protection 2010 for Exchange Server</w:t>
            </w:r>
          </w:p>
          <w:p w:rsidR="00456002" w:rsidRPr="00A75DF9" w:rsidRDefault="00456002" w:rsidP="00346F4B">
            <w:pPr>
              <w:numPr>
                <w:ilvl w:val="0"/>
                <w:numId w:val="68"/>
              </w:numPr>
              <w:spacing w:after="60"/>
              <w:ind w:left="720" w:right="259"/>
              <w:rPr>
                <w:rFonts w:cs="Tahoma"/>
              </w:rPr>
            </w:pPr>
            <w:r w:rsidRPr="00A75DF9">
              <w:rPr>
                <w:rFonts w:eastAsia="Calibri" w:cs="Tahoma"/>
                <w:color w:val="000000"/>
                <w:szCs w:val="18"/>
              </w:rPr>
              <w:t xml:space="preserve">Forefront Protection 2010 for SharePoint </w:t>
            </w:r>
          </w:p>
          <w:p w:rsidR="00456002" w:rsidRPr="00A75DF9" w:rsidRDefault="00456002" w:rsidP="00346F4B">
            <w:pPr>
              <w:numPr>
                <w:ilvl w:val="0"/>
                <w:numId w:val="68"/>
              </w:numPr>
              <w:spacing w:after="60"/>
              <w:ind w:left="720" w:right="259"/>
              <w:rPr>
                <w:rFonts w:cs="Tahoma"/>
              </w:rPr>
            </w:pPr>
            <w:r w:rsidRPr="00A75DF9">
              <w:rPr>
                <w:rFonts w:eastAsia="Calibri" w:cs="Tahoma"/>
                <w:color w:val="000000"/>
                <w:szCs w:val="18"/>
              </w:rPr>
              <w:t>Forefront Protection Suite</w:t>
            </w:r>
          </w:p>
          <w:p w:rsidR="00456002" w:rsidRPr="00A75DF9" w:rsidRDefault="00456002" w:rsidP="00346F4B">
            <w:pPr>
              <w:numPr>
                <w:ilvl w:val="0"/>
                <w:numId w:val="68"/>
              </w:numPr>
              <w:spacing w:after="60"/>
              <w:ind w:left="720" w:right="259"/>
              <w:rPr>
                <w:rFonts w:cs="Tahoma"/>
              </w:rPr>
            </w:pPr>
            <w:r w:rsidRPr="00A75DF9">
              <w:rPr>
                <w:rFonts w:eastAsia="Calibri" w:cs="Tahoma"/>
                <w:color w:val="000000"/>
                <w:szCs w:val="18"/>
              </w:rPr>
              <w:t>Forefront Security for Office Communications Server</w:t>
            </w:r>
          </w:p>
          <w:p w:rsidR="00456002" w:rsidRPr="00A75DF9" w:rsidRDefault="00456002" w:rsidP="00346F4B">
            <w:pPr>
              <w:numPr>
                <w:ilvl w:val="0"/>
                <w:numId w:val="68"/>
              </w:numPr>
              <w:spacing w:after="60"/>
              <w:ind w:left="720" w:right="259"/>
              <w:rPr>
                <w:rFonts w:cs="Tahoma"/>
              </w:rPr>
            </w:pPr>
            <w:r w:rsidRPr="00A75DF9">
              <w:rPr>
                <w:rFonts w:eastAsia="Calibri" w:cs="Tahoma"/>
                <w:color w:val="000000"/>
                <w:szCs w:val="18"/>
              </w:rPr>
              <w:t>Forefront Threat Management Gateway Web Protection Service</w:t>
            </w:r>
          </w:p>
          <w:p w:rsidR="00456002" w:rsidRPr="00A75DF9" w:rsidRDefault="00456002" w:rsidP="00346F4B">
            <w:pPr>
              <w:numPr>
                <w:ilvl w:val="0"/>
                <w:numId w:val="68"/>
              </w:numPr>
              <w:spacing w:after="60"/>
              <w:ind w:left="720" w:right="259"/>
              <w:rPr>
                <w:rFonts w:cs="Tahoma"/>
              </w:rPr>
            </w:pPr>
            <w:r w:rsidRPr="00A75DF9">
              <w:rPr>
                <w:rFonts w:eastAsia="Calibri" w:cs="Tahoma"/>
                <w:color w:val="000000"/>
                <w:szCs w:val="18"/>
              </w:rPr>
              <w:t>Lync Server Public Instant Messaging Connectivity con America Online (AOL) Instant Messaging Service e Windows Live Messenger Service</w:t>
            </w:r>
          </w:p>
          <w:p w:rsidR="00456002" w:rsidRPr="00A75DF9" w:rsidRDefault="00456002" w:rsidP="00346F4B">
            <w:pPr>
              <w:numPr>
                <w:ilvl w:val="0"/>
                <w:numId w:val="68"/>
              </w:numPr>
              <w:spacing w:after="60"/>
              <w:ind w:left="720" w:right="259"/>
              <w:rPr>
                <w:rFonts w:cs="Tahoma"/>
              </w:rPr>
            </w:pPr>
            <w:r w:rsidRPr="00A75DF9">
              <w:rPr>
                <w:rFonts w:eastAsia="Calibri" w:cs="Tahoma"/>
                <w:color w:val="000000"/>
                <w:szCs w:val="18"/>
              </w:rPr>
              <w:t xml:space="preserve">Lync Server Public Instant Messaging Connectivity con il Servizio Yahoo Instant Messaging </w:t>
            </w:r>
          </w:p>
          <w:p w:rsidR="00456002" w:rsidRPr="00A75DF9" w:rsidRDefault="00456002" w:rsidP="00346F4B">
            <w:pPr>
              <w:numPr>
                <w:ilvl w:val="0"/>
                <w:numId w:val="68"/>
              </w:numPr>
              <w:spacing w:after="60"/>
              <w:ind w:left="720" w:right="259"/>
              <w:rPr>
                <w:rFonts w:cs="Tahoma"/>
              </w:rPr>
            </w:pPr>
            <w:r w:rsidRPr="00A75DF9">
              <w:rPr>
                <w:rFonts w:eastAsia="Calibri" w:cs="Tahoma"/>
                <w:color w:val="000000"/>
                <w:szCs w:val="18"/>
              </w:rPr>
              <w:t>Microsoft Exchange Hosted Encryption</w:t>
            </w:r>
            <w:r w:rsidR="009D3B41" w:rsidRPr="00A75DF9">
              <w:rPr>
                <w:rFonts w:eastAsia="Calibri" w:cs="Tahoma"/>
                <w:color w:val="000000"/>
                <w:szCs w:val="18"/>
              </w:rPr>
              <w:t xml:space="preserve"> </w:t>
            </w:r>
          </w:p>
          <w:p w:rsidR="00456002" w:rsidRPr="00A75DF9" w:rsidRDefault="00456002" w:rsidP="00346F4B">
            <w:pPr>
              <w:numPr>
                <w:ilvl w:val="0"/>
                <w:numId w:val="68"/>
              </w:numPr>
              <w:spacing w:after="60"/>
              <w:ind w:left="720" w:right="259"/>
              <w:rPr>
                <w:rFonts w:cs="Tahoma"/>
              </w:rPr>
            </w:pPr>
            <w:r w:rsidRPr="00A75DF9">
              <w:rPr>
                <w:rFonts w:eastAsia="Calibri" w:cs="Tahoma"/>
                <w:color w:val="000000"/>
                <w:szCs w:val="18"/>
              </w:rPr>
              <w:t>Microsoft Learning</w:t>
            </w:r>
          </w:p>
          <w:p w:rsidR="00456002" w:rsidRPr="00A75DF9" w:rsidRDefault="00456002" w:rsidP="00346F4B">
            <w:pPr>
              <w:numPr>
                <w:ilvl w:val="0"/>
                <w:numId w:val="68"/>
              </w:numPr>
              <w:spacing w:after="60"/>
              <w:ind w:left="720" w:right="259"/>
              <w:rPr>
                <w:rFonts w:cs="Tahoma"/>
              </w:rPr>
            </w:pPr>
            <w:r w:rsidRPr="00A75DF9">
              <w:rPr>
                <w:rFonts w:eastAsia="Calibri" w:cs="Tahoma"/>
                <w:color w:val="000000"/>
                <w:szCs w:val="18"/>
              </w:rPr>
              <w:t>Office Groove Enterprise Services</w:t>
            </w:r>
          </w:p>
          <w:p w:rsidR="00456002" w:rsidRPr="00A75DF9" w:rsidRDefault="00456002" w:rsidP="00346F4B">
            <w:pPr>
              <w:numPr>
                <w:ilvl w:val="0"/>
                <w:numId w:val="68"/>
              </w:numPr>
              <w:spacing w:after="60"/>
              <w:ind w:left="720" w:right="259"/>
              <w:rPr>
                <w:rFonts w:cs="Tahoma"/>
              </w:rPr>
            </w:pPr>
            <w:r w:rsidRPr="00A75DF9">
              <w:rPr>
                <w:rFonts w:eastAsia="Calibri" w:cs="Tahoma"/>
                <w:color w:val="000000"/>
                <w:szCs w:val="18"/>
              </w:rPr>
              <w:t>System Center 2012 Endpoint Protection</w:t>
            </w:r>
          </w:p>
          <w:p w:rsidR="00456002" w:rsidRPr="00A75DF9" w:rsidRDefault="00456002" w:rsidP="00346F4B">
            <w:pPr>
              <w:numPr>
                <w:ilvl w:val="0"/>
                <w:numId w:val="68"/>
              </w:numPr>
              <w:spacing w:after="60"/>
              <w:ind w:left="720" w:right="259"/>
              <w:rPr>
                <w:rFonts w:eastAsia="Calibri" w:cs="Tahoma"/>
                <w:color w:val="000000"/>
                <w:szCs w:val="18"/>
              </w:rPr>
            </w:pPr>
            <w:r w:rsidRPr="00A75DF9">
              <w:rPr>
                <w:rFonts w:eastAsia="Calibri" w:cs="Tahoma"/>
                <w:color w:val="000000"/>
                <w:szCs w:val="18"/>
              </w:rPr>
              <w:t>Servizi di Windows Azure</w:t>
            </w:r>
          </w:p>
        </w:tc>
        <w:tc>
          <w:tcPr>
            <w:tcW w:w="4387" w:type="dxa"/>
            <w:tcBorders>
              <w:top w:val="nil"/>
              <w:left w:val="nil"/>
              <w:bottom w:val="single" w:sz="8" w:space="0" w:color="auto"/>
              <w:right w:val="single" w:sz="8" w:space="0" w:color="auto"/>
            </w:tcBorders>
            <w:tcMar>
              <w:top w:w="0" w:type="dxa"/>
              <w:left w:w="108" w:type="dxa"/>
              <w:bottom w:w="0" w:type="dxa"/>
              <w:right w:w="108" w:type="dxa"/>
            </w:tcMar>
          </w:tcPr>
          <w:p w:rsidR="00456002" w:rsidRPr="00A75DF9" w:rsidRDefault="001B413E" w:rsidP="00346F4B">
            <w:pPr>
              <w:numPr>
                <w:ilvl w:val="0"/>
                <w:numId w:val="69"/>
              </w:numPr>
              <w:spacing w:after="60"/>
              <w:ind w:left="576" w:right="187"/>
              <w:rPr>
                <w:rFonts w:cs="Tahoma"/>
              </w:rPr>
            </w:pPr>
            <w:r w:rsidRPr="00A75DF9">
              <w:rPr>
                <w:rFonts w:eastAsia="Calibri" w:cs="Tahoma"/>
                <w:color w:val="000000"/>
                <w:szCs w:val="18"/>
              </w:rPr>
              <w:t xml:space="preserve">Microsoft Dynamics CRM Online </w:t>
            </w:r>
          </w:p>
          <w:p w:rsidR="00456002" w:rsidRPr="00A75DF9" w:rsidRDefault="00456002" w:rsidP="00346F4B">
            <w:pPr>
              <w:numPr>
                <w:ilvl w:val="0"/>
                <w:numId w:val="69"/>
              </w:numPr>
              <w:spacing w:after="60"/>
              <w:ind w:left="576" w:right="187"/>
              <w:rPr>
                <w:rFonts w:cs="Tahoma"/>
              </w:rPr>
            </w:pPr>
            <w:r w:rsidRPr="00A75DF9">
              <w:rPr>
                <w:rFonts w:eastAsia="Calibri" w:cs="Tahoma"/>
                <w:color w:val="000000"/>
                <w:szCs w:val="18"/>
              </w:rPr>
              <w:t>Dynamics Mobile</w:t>
            </w:r>
          </w:p>
          <w:p w:rsidR="00456002" w:rsidRPr="00A75DF9" w:rsidRDefault="00456002" w:rsidP="00346F4B">
            <w:pPr>
              <w:numPr>
                <w:ilvl w:val="0"/>
                <w:numId w:val="69"/>
              </w:numPr>
              <w:spacing w:after="60"/>
              <w:ind w:left="576" w:right="187"/>
              <w:rPr>
                <w:rFonts w:cs="Tahoma"/>
              </w:rPr>
            </w:pPr>
            <w:r w:rsidRPr="00A75DF9">
              <w:rPr>
                <w:rFonts w:eastAsia="Calibri" w:cs="Tahoma"/>
                <w:color w:val="000000"/>
                <w:szCs w:val="18"/>
              </w:rPr>
              <w:t>Dynamics Onprem Mobile</w:t>
            </w:r>
          </w:p>
          <w:p w:rsidR="009B3FA2" w:rsidRPr="00A75DF9" w:rsidRDefault="009B3FA2" w:rsidP="00346F4B">
            <w:pPr>
              <w:numPr>
                <w:ilvl w:val="0"/>
                <w:numId w:val="69"/>
              </w:numPr>
              <w:spacing w:after="60"/>
              <w:ind w:left="576" w:right="187"/>
              <w:rPr>
                <w:rFonts w:cs="Tahoma"/>
              </w:rPr>
            </w:pPr>
            <w:r w:rsidRPr="00A75DF9">
              <w:rPr>
                <w:rFonts w:eastAsia="Calibri" w:cs="Tahoma"/>
                <w:color w:val="000000"/>
                <w:szCs w:val="18"/>
              </w:rPr>
              <w:t>Archiviazione Exchange Online per Exchange Online</w:t>
            </w:r>
          </w:p>
          <w:p w:rsidR="00456002" w:rsidRPr="00A75DF9" w:rsidRDefault="00456002" w:rsidP="00346F4B">
            <w:pPr>
              <w:numPr>
                <w:ilvl w:val="0"/>
                <w:numId w:val="69"/>
              </w:numPr>
              <w:spacing w:after="60"/>
              <w:ind w:left="576" w:right="187"/>
              <w:rPr>
                <w:rFonts w:cs="Tahoma"/>
              </w:rPr>
            </w:pPr>
            <w:r w:rsidRPr="00A75DF9">
              <w:rPr>
                <w:rFonts w:eastAsia="Calibri" w:cs="Tahoma"/>
                <w:color w:val="000000"/>
                <w:szCs w:val="18"/>
              </w:rPr>
              <w:t>Archiviazione Exchange Online per Exchange Server</w:t>
            </w:r>
          </w:p>
          <w:p w:rsidR="00456002" w:rsidRPr="00A75DF9" w:rsidRDefault="00456002" w:rsidP="00105321">
            <w:pPr>
              <w:numPr>
                <w:ilvl w:val="0"/>
                <w:numId w:val="69"/>
              </w:numPr>
              <w:spacing w:after="60"/>
              <w:ind w:left="576" w:right="187"/>
              <w:rPr>
                <w:rFonts w:cs="Tahoma"/>
              </w:rPr>
            </w:pPr>
            <w:r w:rsidRPr="00A75DF9">
              <w:rPr>
                <w:rFonts w:eastAsia="Calibri" w:cs="Tahoma"/>
                <w:color w:val="000000"/>
                <w:szCs w:val="18"/>
              </w:rPr>
              <w:t>Chiosco Exchange Online, Piano 1 e</w:t>
            </w:r>
            <w:r w:rsidR="00105321">
              <w:rPr>
                <w:rFonts w:eastAsia="Calibri" w:cs="Tahoma"/>
                <w:color w:val="000000"/>
                <w:szCs w:val="18"/>
              </w:rPr>
              <w:t> </w:t>
            </w:r>
            <w:r w:rsidRPr="00A75DF9">
              <w:rPr>
                <w:rFonts w:eastAsia="Calibri" w:cs="Tahoma"/>
                <w:color w:val="000000"/>
                <w:szCs w:val="18"/>
              </w:rPr>
              <w:t>Piano</w:t>
            </w:r>
            <w:r w:rsidR="00105321">
              <w:rPr>
                <w:rFonts w:eastAsia="Calibri" w:cs="Tahoma"/>
                <w:color w:val="000000"/>
                <w:szCs w:val="18"/>
              </w:rPr>
              <w:t> </w:t>
            </w:r>
            <w:r w:rsidRPr="00A75DF9">
              <w:rPr>
                <w:rFonts w:eastAsia="Calibri" w:cs="Tahoma"/>
                <w:color w:val="000000"/>
                <w:szCs w:val="18"/>
              </w:rPr>
              <w:t xml:space="preserve">2 </w:t>
            </w:r>
          </w:p>
          <w:p w:rsidR="00343766" w:rsidRPr="00A75DF9" w:rsidRDefault="00343766" w:rsidP="00346F4B">
            <w:pPr>
              <w:numPr>
                <w:ilvl w:val="0"/>
                <w:numId w:val="69"/>
              </w:numPr>
              <w:spacing w:after="60"/>
              <w:ind w:left="576" w:right="187"/>
              <w:rPr>
                <w:rFonts w:cs="Tahoma"/>
              </w:rPr>
            </w:pPr>
            <w:r w:rsidRPr="00A75DF9">
              <w:rPr>
                <w:rFonts w:eastAsia="Calibri" w:cs="Tahoma"/>
                <w:color w:val="000000"/>
                <w:szCs w:val="18"/>
              </w:rPr>
              <w:t>Exchange Online Protection</w:t>
            </w:r>
          </w:p>
          <w:p w:rsidR="00456002" w:rsidRPr="00A75DF9" w:rsidRDefault="00456002" w:rsidP="00346F4B">
            <w:pPr>
              <w:numPr>
                <w:ilvl w:val="0"/>
                <w:numId w:val="69"/>
              </w:numPr>
              <w:spacing w:after="60"/>
              <w:ind w:left="576" w:right="187"/>
              <w:rPr>
                <w:rFonts w:cs="Tahoma"/>
              </w:rPr>
            </w:pPr>
            <w:r w:rsidRPr="00A75DF9">
              <w:rPr>
                <w:rFonts w:eastAsia="Calibri" w:cs="Tahoma"/>
                <w:color w:val="000000"/>
                <w:szCs w:val="18"/>
              </w:rPr>
              <w:t>Lync Online Piano 1, 2 e 3</w:t>
            </w:r>
          </w:p>
          <w:p w:rsidR="009B3FA2" w:rsidRPr="00A75DF9" w:rsidRDefault="00456002" w:rsidP="00346F4B">
            <w:pPr>
              <w:numPr>
                <w:ilvl w:val="0"/>
                <w:numId w:val="69"/>
              </w:numPr>
              <w:spacing w:after="60"/>
              <w:ind w:left="576" w:right="187"/>
              <w:rPr>
                <w:rFonts w:cs="Tahoma"/>
              </w:rPr>
            </w:pPr>
            <w:r w:rsidRPr="00A75DF9">
              <w:rPr>
                <w:rFonts w:eastAsia="Calibri" w:cs="Tahoma"/>
                <w:color w:val="000000"/>
                <w:szCs w:val="18"/>
              </w:rPr>
              <w:t>Office 365 Education A2, A3 e A4</w:t>
            </w:r>
          </w:p>
          <w:p w:rsidR="00456002" w:rsidRPr="00A75DF9" w:rsidRDefault="009B3FA2" w:rsidP="00346F4B">
            <w:pPr>
              <w:numPr>
                <w:ilvl w:val="0"/>
                <w:numId w:val="69"/>
              </w:numPr>
              <w:spacing w:after="60"/>
              <w:ind w:left="576" w:right="187"/>
              <w:rPr>
                <w:rFonts w:cs="Tahoma"/>
              </w:rPr>
            </w:pPr>
            <w:r w:rsidRPr="00A75DF9">
              <w:rPr>
                <w:rFonts w:eastAsia="Calibri" w:cs="Tahoma"/>
                <w:color w:val="000000"/>
                <w:szCs w:val="18"/>
              </w:rPr>
              <w:t>Office 365 Enterprise K1, E1, E3 ed E4</w:t>
            </w:r>
          </w:p>
          <w:p w:rsidR="00061A45" w:rsidRPr="00A75DF9" w:rsidRDefault="008368B4" w:rsidP="00346F4B">
            <w:pPr>
              <w:numPr>
                <w:ilvl w:val="0"/>
                <w:numId w:val="69"/>
              </w:numPr>
              <w:spacing w:after="60"/>
              <w:ind w:left="576" w:right="187"/>
              <w:rPr>
                <w:rFonts w:cs="Tahoma"/>
              </w:rPr>
            </w:pPr>
            <w:r w:rsidRPr="00A75DF9">
              <w:rPr>
                <w:rFonts w:eastAsia="Calibri" w:cs="Tahoma"/>
                <w:color w:val="000000"/>
                <w:szCs w:val="18"/>
              </w:rPr>
              <w:t>Office 365 ProPlus</w:t>
            </w:r>
          </w:p>
          <w:p w:rsidR="00456002" w:rsidRPr="00A75DF9" w:rsidRDefault="00456002" w:rsidP="00346F4B">
            <w:pPr>
              <w:numPr>
                <w:ilvl w:val="0"/>
                <w:numId w:val="69"/>
              </w:numPr>
              <w:spacing w:after="60"/>
              <w:ind w:left="576" w:right="187"/>
              <w:rPr>
                <w:rFonts w:cs="Tahoma"/>
              </w:rPr>
            </w:pPr>
            <w:r w:rsidRPr="00A75DF9">
              <w:rPr>
                <w:rFonts w:eastAsia="Calibri" w:cs="Tahoma"/>
                <w:color w:val="000000"/>
                <w:szCs w:val="18"/>
              </w:rPr>
              <w:t>Office Web Applications</w:t>
            </w:r>
          </w:p>
          <w:p w:rsidR="008368B4" w:rsidRPr="00A75DF9" w:rsidRDefault="008368B4" w:rsidP="00346F4B">
            <w:pPr>
              <w:numPr>
                <w:ilvl w:val="0"/>
                <w:numId w:val="69"/>
              </w:numPr>
              <w:spacing w:after="60"/>
              <w:ind w:left="576" w:right="187"/>
              <w:rPr>
                <w:rFonts w:cs="Tahoma"/>
              </w:rPr>
            </w:pPr>
            <w:r w:rsidRPr="00A75DF9">
              <w:rPr>
                <w:rFonts w:eastAsia="Calibri" w:cs="Tahoma"/>
                <w:color w:val="000000"/>
                <w:szCs w:val="18"/>
              </w:rPr>
              <w:t>Project Online</w:t>
            </w:r>
          </w:p>
          <w:p w:rsidR="008368B4" w:rsidRPr="00A75DF9" w:rsidRDefault="008368B4" w:rsidP="00346F4B">
            <w:pPr>
              <w:numPr>
                <w:ilvl w:val="0"/>
                <w:numId w:val="69"/>
              </w:numPr>
              <w:spacing w:after="60"/>
              <w:ind w:left="576" w:right="187"/>
              <w:rPr>
                <w:rFonts w:cs="Tahoma"/>
              </w:rPr>
            </w:pPr>
            <w:r w:rsidRPr="00A75DF9">
              <w:rPr>
                <w:rFonts w:eastAsia="Calibri" w:cs="Tahoma"/>
                <w:color w:val="000000"/>
                <w:szCs w:val="18"/>
              </w:rPr>
              <w:t>Project Pro per Office 365</w:t>
            </w:r>
          </w:p>
          <w:p w:rsidR="00523BAF" w:rsidRPr="00A75DF9" w:rsidRDefault="00456002" w:rsidP="00523BAF">
            <w:pPr>
              <w:numPr>
                <w:ilvl w:val="0"/>
                <w:numId w:val="69"/>
              </w:numPr>
              <w:spacing w:after="60"/>
              <w:ind w:left="576" w:right="187"/>
              <w:rPr>
                <w:rFonts w:cs="Tahoma"/>
              </w:rPr>
            </w:pPr>
            <w:r w:rsidRPr="00A75DF9">
              <w:rPr>
                <w:rFonts w:eastAsia="Calibri" w:cs="Tahoma"/>
                <w:color w:val="000000"/>
                <w:szCs w:val="18"/>
              </w:rPr>
              <w:t>SharePoint Online Piano 1 e Piano 2</w:t>
            </w:r>
          </w:p>
          <w:p w:rsidR="00456002" w:rsidRPr="00A75DF9" w:rsidRDefault="00523BAF" w:rsidP="00523BAF">
            <w:pPr>
              <w:numPr>
                <w:ilvl w:val="0"/>
                <w:numId w:val="69"/>
              </w:numPr>
              <w:spacing w:after="60"/>
              <w:ind w:left="576" w:right="187"/>
              <w:rPr>
                <w:rFonts w:cs="Tahoma"/>
              </w:rPr>
            </w:pPr>
            <w:r w:rsidRPr="00A75DF9">
              <w:rPr>
                <w:rFonts w:eastAsia="Calibri" w:cs="Tahoma"/>
                <w:color w:val="000000"/>
                <w:szCs w:val="18"/>
              </w:rPr>
              <w:t xml:space="preserve">Visio Pro per Office 365 </w:t>
            </w:r>
          </w:p>
          <w:p w:rsidR="00D8521B" w:rsidRPr="00A75DF9" w:rsidRDefault="00D8521B" w:rsidP="00105321">
            <w:pPr>
              <w:numPr>
                <w:ilvl w:val="0"/>
                <w:numId w:val="69"/>
              </w:numPr>
              <w:spacing w:after="60"/>
              <w:ind w:left="576" w:right="187"/>
              <w:rPr>
                <w:rFonts w:cs="Tahoma"/>
              </w:rPr>
            </w:pPr>
            <w:r w:rsidRPr="00A75DF9">
              <w:rPr>
                <w:rFonts w:eastAsia="Calibri" w:cs="Tahoma"/>
                <w:color w:val="000000"/>
                <w:szCs w:val="18"/>
              </w:rPr>
              <w:t>Windows Azure Active Directory Rights</w:t>
            </w:r>
            <w:r w:rsidR="00105321">
              <w:rPr>
                <w:rFonts w:eastAsia="Calibri" w:cs="Tahoma"/>
                <w:color w:val="000000"/>
                <w:szCs w:val="18"/>
              </w:rPr>
              <w:t> </w:t>
            </w:r>
            <w:r w:rsidRPr="00A75DF9">
              <w:rPr>
                <w:rFonts w:eastAsia="Calibri" w:cs="Tahoma"/>
                <w:color w:val="000000"/>
                <w:szCs w:val="18"/>
              </w:rPr>
              <w:t>Management</w:t>
            </w:r>
          </w:p>
          <w:p w:rsidR="00456002" w:rsidRPr="00A75DF9" w:rsidRDefault="00456002" w:rsidP="00346F4B">
            <w:pPr>
              <w:numPr>
                <w:ilvl w:val="0"/>
                <w:numId w:val="69"/>
              </w:numPr>
              <w:spacing w:after="60"/>
              <w:ind w:left="576" w:right="187"/>
              <w:rPr>
                <w:rFonts w:cs="Tahoma"/>
              </w:rPr>
            </w:pPr>
            <w:r w:rsidRPr="00A75DF9">
              <w:rPr>
                <w:rFonts w:eastAsia="Calibri" w:cs="Tahoma"/>
                <w:color w:val="000000"/>
                <w:szCs w:val="18"/>
              </w:rPr>
              <w:t>Windows Intune</w:t>
            </w:r>
          </w:p>
          <w:p w:rsidR="00456002" w:rsidRPr="00A75DF9" w:rsidRDefault="003929D1" w:rsidP="00105321">
            <w:pPr>
              <w:numPr>
                <w:ilvl w:val="0"/>
                <w:numId w:val="69"/>
              </w:numPr>
              <w:spacing w:after="60"/>
              <w:ind w:left="576" w:right="187"/>
              <w:rPr>
                <w:rFonts w:cs="Tahoma"/>
              </w:rPr>
            </w:pPr>
            <w:r w:rsidRPr="00A75DF9">
              <w:rPr>
                <w:rFonts w:eastAsia="Calibri" w:cs="Tahoma"/>
                <w:color w:val="000000"/>
                <w:szCs w:val="18"/>
              </w:rPr>
              <w:t>Componente Aggiuntivo di</w:t>
            </w:r>
            <w:r w:rsidR="00105321">
              <w:rPr>
                <w:rFonts w:eastAsia="Calibri" w:cs="Tahoma"/>
                <w:color w:val="000000"/>
                <w:szCs w:val="18"/>
              </w:rPr>
              <w:t> </w:t>
            </w:r>
            <w:r w:rsidRPr="00A75DF9">
              <w:rPr>
                <w:rFonts w:eastAsia="Calibri" w:cs="Tahoma"/>
                <w:color w:val="000000"/>
                <w:szCs w:val="18"/>
              </w:rPr>
              <w:t>Windows</w:t>
            </w:r>
            <w:r w:rsidR="00105321">
              <w:rPr>
                <w:rFonts w:eastAsia="Calibri" w:cs="Tahoma"/>
                <w:color w:val="000000"/>
                <w:szCs w:val="18"/>
              </w:rPr>
              <w:t> </w:t>
            </w:r>
            <w:r w:rsidRPr="00A75DF9">
              <w:rPr>
                <w:rFonts w:eastAsia="Calibri" w:cs="Tahoma"/>
                <w:color w:val="000000"/>
                <w:szCs w:val="18"/>
              </w:rPr>
              <w:t>Intune</w:t>
            </w:r>
          </w:p>
          <w:p w:rsidR="009B3FA2" w:rsidRPr="00A75DF9" w:rsidRDefault="009B3FA2" w:rsidP="00346F4B">
            <w:pPr>
              <w:numPr>
                <w:ilvl w:val="0"/>
                <w:numId w:val="69"/>
              </w:numPr>
              <w:spacing w:after="60"/>
              <w:ind w:left="576" w:right="187"/>
              <w:rPr>
                <w:rFonts w:eastAsia="Calibri" w:cs="Tahoma"/>
                <w:szCs w:val="18"/>
              </w:rPr>
            </w:pPr>
            <w:r w:rsidRPr="00A75DF9">
              <w:rPr>
                <w:rFonts w:eastAsia="Calibri" w:cs="Tahoma"/>
                <w:color w:val="000000"/>
                <w:szCs w:val="18"/>
              </w:rPr>
              <w:t>Yammer Enterprise</w:t>
            </w:r>
          </w:p>
        </w:tc>
      </w:tr>
    </w:tbl>
    <w:p w:rsidR="00171817" w:rsidRDefault="00171817" w:rsidP="00212CC6">
      <w:pPr>
        <w:pStyle w:val="Heading2"/>
        <w:ind w:left="0"/>
        <w:rPr>
          <w:rFonts w:ascii="Tahoma" w:hAnsi="Tahoma" w:cs="Tahoma"/>
        </w:rPr>
      </w:pPr>
    </w:p>
    <w:p w:rsidR="00105321" w:rsidRDefault="00105321" w:rsidP="00105321"/>
    <w:p w:rsidR="00105321" w:rsidRDefault="00105321" w:rsidP="00105321"/>
    <w:p w:rsidR="00105321" w:rsidRDefault="00105321" w:rsidP="00105321"/>
    <w:p w:rsidR="00105321" w:rsidRPr="00105321" w:rsidRDefault="00105321" w:rsidP="00105321"/>
    <w:p w:rsidR="00456002" w:rsidRPr="00A75DF9" w:rsidRDefault="00456002" w:rsidP="00171817">
      <w:pPr>
        <w:pStyle w:val="Heading2"/>
        <w:ind w:left="0"/>
        <w:rPr>
          <w:rFonts w:ascii="Tahoma" w:hAnsi="Tahoma" w:cs="Tahoma"/>
        </w:rPr>
      </w:pPr>
      <w:bookmarkStart w:id="672" w:name="_Toc336338209"/>
      <w:bookmarkStart w:id="673" w:name="_Toc368310200"/>
      <w:r w:rsidRPr="00A75DF9">
        <w:rPr>
          <w:rFonts w:ascii="Tahoma" w:hAnsi="Tahoma" w:cs="Tahoma"/>
        </w:rPr>
        <w:lastRenderedPageBreak/>
        <w:t>Acquisti e Rinnovo Automatico di Servizi Online</w:t>
      </w:r>
      <w:bookmarkEnd w:id="672"/>
      <w:bookmarkEnd w:id="673"/>
      <w:r w:rsidRPr="00A75DF9">
        <w:rPr>
          <w:rFonts w:ascii="Tahoma" w:hAnsi="Tahoma" w:cs="Tahoma"/>
        </w:rPr>
        <w:t xml:space="preserve"> </w:t>
      </w:r>
    </w:p>
    <w:p w:rsidR="00456002" w:rsidRPr="00A75DF9" w:rsidRDefault="00456002" w:rsidP="00171817">
      <w:pPr>
        <w:outlineLvl w:val="2"/>
        <w:rPr>
          <w:rFonts w:cs="Tahoma"/>
        </w:rPr>
      </w:pPr>
    </w:p>
    <w:p w:rsidR="00456002" w:rsidRPr="00A75DF9" w:rsidRDefault="00456002" w:rsidP="00212CC6">
      <w:pPr>
        <w:outlineLvl w:val="2"/>
        <w:rPr>
          <w:rFonts w:cs="Tahoma"/>
        </w:rPr>
      </w:pPr>
      <w:r w:rsidRPr="00A75DF9">
        <w:rPr>
          <w:rFonts w:cs="Tahoma"/>
          <w:szCs w:val="18"/>
        </w:rPr>
        <w:t>Le società dovranno disporre di un Contratto Multilicenza (Volume Licensing) attivo per ordinare o rinnovare gli abbonamenti ai servizi online di Volume License.</w:t>
      </w:r>
      <w:r w:rsidR="009D3B41" w:rsidRPr="00A75DF9">
        <w:rPr>
          <w:rFonts w:cs="Tahoma"/>
          <w:szCs w:val="18"/>
        </w:rPr>
        <w:t xml:space="preserve"> </w:t>
      </w:r>
      <w:r w:rsidRPr="00A75DF9">
        <w:rPr>
          <w:rFonts w:cs="Tahoma"/>
          <w:szCs w:val="18"/>
        </w:rPr>
        <w:t>Un abbonamento ai servizi online si rinnova automaticamente il giorno successivo alla scadenza del periodo di validità, a meno che la società non scelga di non rinnovare annullando l</w:t>
      </w:r>
      <w:r w:rsidR="00F2643E">
        <w:rPr>
          <w:rFonts w:cs="Tahoma"/>
          <w:szCs w:val="18"/>
        </w:rPr>
        <w:t>’</w:t>
      </w:r>
      <w:r w:rsidRPr="00A75DF9">
        <w:rPr>
          <w:rFonts w:cs="Tahoma"/>
          <w:szCs w:val="18"/>
        </w:rPr>
        <w:t xml:space="preserve">opzione di </w:t>
      </w:r>
      <w:r w:rsidRPr="00A75DF9">
        <w:rPr>
          <w:rFonts w:cs="Tahoma"/>
          <w:color w:val="000000"/>
          <w:szCs w:val="18"/>
        </w:rPr>
        <w:t xml:space="preserve">rinnovo </w:t>
      </w:r>
      <w:r w:rsidRPr="00A75DF9">
        <w:rPr>
          <w:rFonts w:cs="Tahoma"/>
          <w:bCs/>
          <w:color w:val="000000"/>
        </w:rPr>
        <w:t>automatico almeno 5</w:t>
      </w:r>
      <w:r w:rsidRPr="00A75DF9">
        <w:rPr>
          <w:rFonts w:cs="Tahoma"/>
          <w:b/>
          <w:bCs/>
          <w:color w:val="1F497D"/>
        </w:rPr>
        <w:t xml:space="preserve"> </w:t>
      </w:r>
      <w:r w:rsidRPr="00A75DF9">
        <w:rPr>
          <w:rFonts w:cs="Tahoma"/>
          <w:szCs w:val="18"/>
        </w:rPr>
        <w:t>giorni prima della scadenza dell</w:t>
      </w:r>
      <w:r w:rsidR="00F2643E">
        <w:rPr>
          <w:rFonts w:cs="Tahoma"/>
          <w:szCs w:val="18"/>
        </w:rPr>
        <w:t>’</w:t>
      </w:r>
      <w:r w:rsidRPr="00A75DF9">
        <w:rPr>
          <w:rFonts w:cs="Tahoma"/>
          <w:szCs w:val="18"/>
        </w:rPr>
        <w:t>abbonamento.</w:t>
      </w:r>
      <w:r w:rsidR="009D3B41" w:rsidRPr="00A75DF9">
        <w:rPr>
          <w:rFonts w:cs="Tahoma"/>
          <w:szCs w:val="18"/>
        </w:rPr>
        <w:t xml:space="preserve"> </w:t>
      </w:r>
      <w:r w:rsidRPr="00A75DF9">
        <w:rPr>
          <w:rFonts w:cs="Tahoma"/>
          <w:szCs w:val="18"/>
        </w:rPr>
        <w:t>In occasione del rinnovo automatico Microsoft fatturerà alla parte interessata il numero di licenze in scadenza con periodo di validità dell</w:t>
      </w:r>
      <w:r w:rsidR="00F2643E">
        <w:rPr>
          <w:rFonts w:cs="Tahoma"/>
          <w:szCs w:val="18"/>
        </w:rPr>
        <w:t>’</w:t>
      </w:r>
      <w:r w:rsidRPr="00A75DF9">
        <w:rPr>
          <w:rFonts w:cs="Tahoma"/>
          <w:szCs w:val="18"/>
        </w:rPr>
        <w:t>abbonamento identico, qualora il contratto iniziale della società rimanga attivo.</w:t>
      </w:r>
      <w:r w:rsidR="009D3B41" w:rsidRPr="00A75DF9">
        <w:rPr>
          <w:rFonts w:cs="Tahoma"/>
          <w:szCs w:val="18"/>
        </w:rPr>
        <w:t xml:space="preserve"> </w:t>
      </w:r>
      <w:r w:rsidRPr="00A75DF9">
        <w:rPr>
          <w:rFonts w:cs="Tahoma"/>
          <w:szCs w:val="18"/>
        </w:rPr>
        <w:t>Gli abbonamenti ai servizi online per gli enti pubblici e gli istituti didattici non si rinnoveranno automaticamente a meno che la società non scelga l</w:t>
      </w:r>
      <w:r w:rsidR="00F2643E">
        <w:rPr>
          <w:rFonts w:cs="Tahoma"/>
          <w:szCs w:val="18"/>
        </w:rPr>
        <w:t>’</w:t>
      </w:r>
      <w:r w:rsidRPr="00A75DF9">
        <w:rPr>
          <w:rFonts w:cs="Tahoma"/>
          <w:szCs w:val="18"/>
        </w:rPr>
        <w:t>opzione di rinnovo automatico.</w:t>
      </w:r>
      <w:r w:rsidR="009D3B41" w:rsidRPr="00A75DF9">
        <w:rPr>
          <w:rFonts w:cs="Tahoma"/>
          <w:szCs w:val="18"/>
        </w:rPr>
        <w:t xml:space="preserve"> </w:t>
      </w:r>
      <w:r w:rsidRPr="00A75DF9">
        <w:rPr>
          <w:rFonts w:cs="Tahoma"/>
          <w:szCs w:val="18"/>
        </w:rPr>
        <w:t>Al momento del rinnovo i prezzi vengono ridefiniti.</w:t>
      </w:r>
      <w:r w:rsidR="009D3B41" w:rsidRPr="00A75DF9">
        <w:rPr>
          <w:rFonts w:cs="Tahoma"/>
          <w:szCs w:val="18"/>
        </w:rPr>
        <w:t xml:space="preserve"> </w:t>
      </w:r>
      <w:r w:rsidRPr="00A75DF9">
        <w:rPr>
          <w:rFonts w:cs="Tahoma"/>
          <w:szCs w:val="18"/>
        </w:rPr>
        <w:t>L</w:t>
      </w:r>
      <w:r w:rsidR="00F2643E">
        <w:rPr>
          <w:rFonts w:cs="Tahoma"/>
          <w:szCs w:val="18"/>
        </w:rPr>
        <w:t>’</w:t>
      </w:r>
      <w:r w:rsidRPr="00A75DF9">
        <w:rPr>
          <w:rFonts w:cs="Tahoma"/>
          <w:szCs w:val="18"/>
        </w:rPr>
        <w:t>opzione di rinnovo automatico non è disponibile per i Servizi di Windows Azure.</w:t>
      </w:r>
    </w:p>
    <w:p w:rsidR="00116EDC" w:rsidRPr="00A75DF9" w:rsidRDefault="00116EDC" w:rsidP="00116EDC">
      <w:pPr>
        <w:rPr>
          <w:rFonts w:cs="Tahoma"/>
        </w:rPr>
      </w:pPr>
    </w:p>
    <w:p w:rsidR="00456002" w:rsidRPr="00A75DF9" w:rsidRDefault="00456002" w:rsidP="00171817">
      <w:pPr>
        <w:pStyle w:val="Heading2"/>
        <w:ind w:left="0"/>
        <w:rPr>
          <w:rFonts w:ascii="Tahoma" w:hAnsi="Tahoma" w:cs="Tahoma"/>
        </w:rPr>
      </w:pPr>
      <w:bookmarkStart w:id="674" w:name="_Toc336338210"/>
      <w:bookmarkStart w:id="675" w:name="_Toc368310201"/>
      <w:r w:rsidRPr="00A75DF9">
        <w:rPr>
          <w:rFonts w:ascii="Tahoma" w:hAnsi="Tahoma" w:cs="Tahoma"/>
        </w:rPr>
        <w:t>Gestione degli Stati di Rinnovo e di Rinnovo Automatico</w:t>
      </w:r>
      <w:bookmarkEnd w:id="674"/>
      <w:bookmarkEnd w:id="675"/>
    </w:p>
    <w:p w:rsidR="00456002" w:rsidRPr="00A75DF9" w:rsidRDefault="00456002" w:rsidP="00171817">
      <w:pPr>
        <w:outlineLvl w:val="2"/>
        <w:rPr>
          <w:rFonts w:cs="Tahoma"/>
        </w:rPr>
      </w:pPr>
    </w:p>
    <w:p w:rsidR="00456002" w:rsidRPr="00A75DF9" w:rsidRDefault="00456002" w:rsidP="00105321">
      <w:pPr>
        <w:outlineLvl w:val="2"/>
        <w:rPr>
          <w:rFonts w:cs="Tahoma"/>
        </w:rPr>
      </w:pPr>
      <w:r w:rsidRPr="00A75DF9">
        <w:rPr>
          <w:rFonts w:cs="Tahoma"/>
          <w:szCs w:val="18"/>
        </w:rPr>
        <w:t>Le società riceveranno comunicazioni relative ai rinnovi prima della scadenza dei periodi di validità degli abbonamenti ai servizi online.</w:t>
      </w:r>
      <w:r w:rsidR="009D3B41" w:rsidRPr="00A75DF9">
        <w:rPr>
          <w:rFonts w:cs="Tahoma"/>
          <w:szCs w:val="18"/>
        </w:rPr>
        <w:t xml:space="preserve"> </w:t>
      </w:r>
      <w:r w:rsidRPr="00A75DF9">
        <w:rPr>
          <w:rFonts w:cs="Tahoma"/>
          <w:szCs w:val="18"/>
        </w:rPr>
        <w:t>Le società possono annullare il rinnovo o cambiare un ordine di rinnovo automatico intervenendo almeno 30 giorni prima della scadenza del periodo di validità dell</w:t>
      </w:r>
      <w:r w:rsidR="00F2643E">
        <w:rPr>
          <w:rFonts w:cs="Tahoma"/>
          <w:szCs w:val="18"/>
        </w:rPr>
        <w:t>’</w:t>
      </w:r>
      <w:r w:rsidRPr="00A75DF9">
        <w:rPr>
          <w:rFonts w:cs="Tahoma"/>
          <w:szCs w:val="18"/>
        </w:rPr>
        <w:t>abbonamento.</w:t>
      </w:r>
      <w:r w:rsidR="009D3B41" w:rsidRPr="00A75DF9">
        <w:rPr>
          <w:rFonts w:cs="Tahoma"/>
          <w:szCs w:val="18"/>
        </w:rPr>
        <w:t xml:space="preserve"> </w:t>
      </w:r>
      <w:r w:rsidRPr="00A75DF9">
        <w:rPr>
          <w:rFonts w:cs="Tahoma"/>
          <w:szCs w:val="18"/>
        </w:rPr>
        <w:t>Le società possono inoltre cambiare l</w:t>
      </w:r>
      <w:r w:rsidR="00F2643E">
        <w:rPr>
          <w:rFonts w:cs="Tahoma"/>
          <w:szCs w:val="18"/>
        </w:rPr>
        <w:t>’</w:t>
      </w:r>
      <w:r w:rsidRPr="00A75DF9">
        <w:rPr>
          <w:rFonts w:cs="Tahoma"/>
          <w:szCs w:val="18"/>
        </w:rPr>
        <w:t>ordine di rinnovo effettuando un ordine al rivenditore 30 giorni prima della scadenza dell</w:t>
      </w:r>
      <w:r w:rsidR="00F2643E">
        <w:rPr>
          <w:rFonts w:cs="Tahoma"/>
          <w:szCs w:val="18"/>
        </w:rPr>
        <w:t>’</w:t>
      </w:r>
      <w:r w:rsidRPr="00A75DF9">
        <w:rPr>
          <w:rFonts w:cs="Tahoma"/>
          <w:szCs w:val="18"/>
        </w:rPr>
        <w:t>abbonamento.</w:t>
      </w:r>
      <w:r w:rsidR="009D3B41" w:rsidRPr="00A75DF9">
        <w:rPr>
          <w:rFonts w:cs="Tahoma"/>
          <w:szCs w:val="18"/>
        </w:rPr>
        <w:t xml:space="preserve"> </w:t>
      </w:r>
      <w:r w:rsidRPr="00A75DF9">
        <w:rPr>
          <w:rFonts w:cs="Tahoma"/>
          <w:szCs w:val="18"/>
        </w:rPr>
        <w:t>Le società potranno annullare il rinnovo di un abbonamento dandone comunicazione scritta a Microsoft con un preavviso di</w:t>
      </w:r>
      <w:r w:rsidR="00105321">
        <w:rPr>
          <w:rFonts w:cs="Tahoma"/>
          <w:szCs w:val="18"/>
        </w:rPr>
        <w:t> </w:t>
      </w:r>
      <w:r w:rsidRPr="00A75DF9">
        <w:rPr>
          <w:rFonts w:cs="Tahoma"/>
          <w:szCs w:val="18"/>
        </w:rPr>
        <w:t>30</w:t>
      </w:r>
      <w:r w:rsidR="00105321">
        <w:rPr>
          <w:rFonts w:cs="Tahoma"/>
          <w:szCs w:val="18"/>
        </w:rPr>
        <w:t> </w:t>
      </w:r>
      <w:r w:rsidRPr="00A75DF9">
        <w:rPr>
          <w:rFonts w:cs="Tahoma"/>
          <w:szCs w:val="18"/>
        </w:rPr>
        <w:t>giorni tramite un modulo disponibile presso il rivenditore Microsoft o all</w:t>
      </w:r>
      <w:r w:rsidR="00F2643E">
        <w:rPr>
          <w:rFonts w:cs="Tahoma"/>
          <w:szCs w:val="18"/>
        </w:rPr>
        <w:t>’</w:t>
      </w:r>
      <w:r w:rsidRPr="00A75DF9">
        <w:rPr>
          <w:rFonts w:cs="Tahoma"/>
          <w:szCs w:val="18"/>
        </w:rPr>
        <w:t xml:space="preserve">indirizzo </w:t>
      </w:r>
      <w:r w:rsidR="00105321" w:rsidRPr="00052DA2">
        <w:rPr>
          <w:rFonts w:cs="Tahoma"/>
          <w:szCs w:val="18"/>
          <w:lang w:val="x-none" w:eastAsia="x-none"/>
        </w:rPr>
        <w:t>http://microsoft.com/licensing/contracts</w:t>
      </w:r>
      <w:r w:rsidRPr="00A75DF9">
        <w:rPr>
          <w:rFonts w:cs="Tahoma"/>
          <w:szCs w:val="18"/>
        </w:rPr>
        <w:t>.</w:t>
      </w:r>
      <w:r w:rsidR="009D3B41" w:rsidRPr="00A75DF9">
        <w:rPr>
          <w:rFonts w:cs="Tahoma"/>
          <w:szCs w:val="18"/>
        </w:rPr>
        <w:t xml:space="preserve"> </w:t>
      </w:r>
      <w:r w:rsidRPr="00A75DF9">
        <w:rPr>
          <w:rFonts w:cs="Tahoma"/>
          <w:szCs w:val="18"/>
        </w:rPr>
        <w:t>Tutti i rinnovi dei servizi danno inizio a un nuovo periodo di validità dell</w:t>
      </w:r>
      <w:r w:rsidR="00F2643E">
        <w:rPr>
          <w:rFonts w:cs="Tahoma"/>
          <w:szCs w:val="18"/>
        </w:rPr>
        <w:t>’</w:t>
      </w:r>
      <w:r w:rsidRPr="00A75DF9">
        <w:rPr>
          <w:rFonts w:cs="Tahoma"/>
          <w:szCs w:val="18"/>
        </w:rPr>
        <w:t>abbonamento che parte il primo giorno del mese solare successivo alla scadenza del precedente periodo di</w:t>
      </w:r>
      <w:r w:rsidR="00105321">
        <w:rPr>
          <w:rFonts w:cs="Tahoma"/>
          <w:szCs w:val="18"/>
        </w:rPr>
        <w:t> </w:t>
      </w:r>
      <w:r w:rsidRPr="00A75DF9">
        <w:rPr>
          <w:rFonts w:cs="Tahoma"/>
          <w:szCs w:val="18"/>
        </w:rPr>
        <w:t>validità dell</w:t>
      </w:r>
      <w:r w:rsidR="00F2643E">
        <w:rPr>
          <w:rFonts w:cs="Tahoma"/>
          <w:szCs w:val="18"/>
        </w:rPr>
        <w:t>’</w:t>
      </w:r>
      <w:r w:rsidRPr="00A75DF9">
        <w:rPr>
          <w:rFonts w:cs="Tahoma"/>
          <w:szCs w:val="18"/>
        </w:rPr>
        <w:t>abbonamento.</w:t>
      </w:r>
    </w:p>
    <w:p w:rsidR="00456002" w:rsidRPr="00A75DF9" w:rsidRDefault="00456002" w:rsidP="00171817">
      <w:pPr>
        <w:outlineLvl w:val="2"/>
        <w:rPr>
          <w:rFonts w:cs="Tahoma"/>
        </w:rPr>
      </w:pPr>
    </w:p>
    <w:p w:rsidR="00456002" w:rsidRPr="00A75DF9" w:rsidRDefault="00456002" w:rsidP="00171817">
      <w:pPr>
        <w:outlineLvl w:val="2"/>
        <w:rPr>
          <w:rFonts w:cs="Tahoma"/>
        </w:rPr>
      </w:pPr>
      <w:r w:rsidRPr="00A75DF9">
        <w:rPr>
          <w:rFonts w:cs="Tahoma"/>
          <w:szCs w:val="18"/>
        </w:rPr>
        <w:t>Le società potranno aumentare l</w:t>
      </w:r>
      <w:r w:rsidR="00F2643E">
        <w:rPr>
          <w:rFonts w:cs="Tahoma"/>
          <w:szCs w:val="18"/>
        </w:rPr>
        <w:t>’</w:t>
      </w:r>
      <w:r w:rsidRPr="00A75DF9">
        <w:rPr>
          <w:rFonts w:cs="Tahoma"/>
          <w:szCs w:val="18"/>
        </w:rPr>
        <w:t>impegno relativo all</w:t>
      </w:r>
      <w:r w:rsidR="00F2643E">
        <w:rPr>
          <w:rFonts w:cs="Tahoma"/>
          <w:szCs w:val="18"/>
        </w:rPr>
        <w:t>’</w:t>
      </w:r>
      <w:r w:rsidRPr="00A75DF9">
        <w:rPr>
          <w:rFonts w:cs="Tahoma"/>
          <w:szCs w:val="18"/>
        </w:rPr>
        <w:t>abbonamento ai servizi online, ma non potranno ridurlo durante il periodo di validità dello stesso, a meno che i loro contratti non consentano tale riduzione. Per garantire l</w:t>
      </w:r>
      <w:r w:rsidR="00F2643E">
        <w:rPr>
          <w:rFonts w:cs="Tahoma"/>
          <w:szCs w:val="18"/>
        </w:rPr>
        <w:t>’</w:t>
      </w:r>
      <w:r w:rsidRPr="00A75DF9">
        <w:rPr>
          <w:rFonts w:cs="Tahoma"/>
          <w:szCs w:val="18"/>
        </w:rPr>
        <w:t>erogazione del servizio agli utenti aggiuntivi, la società dovrà effettuare un ordine per ogni incremento nel servizio in abbonamento.</w:t>
      </w:r>
      <w:r w:rsidR="009D3B41" w:rsidRPr="00A75DF9">
        <w:rPr>
          <w:rFonts w:cs="Tahoma"/>
          <w:szCs w:val="18"/>
        </w:rPr>
        <w:t xml:space="preserve"> </w:t>
      </w:r>
    </w:p>
    <w:p w:rsidR="00BD1A6A" w:rsidRPr="00105321" w:rsidRDefault="00BD1A6A" w:rsidP="00456002">
      <w:pPr>
        <w:pStyle w:val="Heading2"/>
        <w:ind w:left="0"/>
        <w:rPr>
          <w:rFonts w:ascii="Tahoma" w:hAnsi="Tahoma" w:cs="Tahoma"/>
          <w:sz w:val="18"/>
          <w:szCs w:val="18"/>
        </w:rPr>
      </w:pPr>
      <w:bookmarkStart w:id="676" w:name="_Toc336338211"/>
    </w:p>
    <w:p w:rsidR="00BD1A6A" w:rsidRPr="00105321" w:rsidRDefault="00BD1A6A">
      <w:pPr>
        <w:rPr>
          <w:rFonts w:cs="Tahoma"/>
          <w:szCs w:val="18"/>
        </w:rPr>
      </w:pPr>
    </w:p>
    <w:p w:rsidR="00456002" w:rsidRPr="00A75DF9" w:rsidRDefault="00456002" w:rsidP="00456002">
      <w:pPr>
        <w:pStyle w:val="Heading2"/>
        <w:ind w:left="0"/>
        <w:rPr>
          <w:rFonts w:ascii="Tahoma" w:hAnsi="Tahoma" w:cs="Tahoma"/>
        </w:rPr>
      </w:pPr>
      <w:bookmarkStart w:id="677" w:name="_Toc368310202"/>
      <w:r w:rsidRPr="00A75DF9">
        <w:rPr>
          <w:rFonts w:ascii="Tahoma" w:hAnsi="Tahoma" w:cs="Tahoma"/>
        </w:rPr>
        <w:t>Annullamento dei Servizi Online</w:t>
      </w:r>
      <w:bookmarkEnd w:id="676"/>
      <w:bookmarkEnd w:id="677"/>
    </w:p>
    <w:p w:rsidR="00456002" w:rsidRPr="00A75DF9" w:rsidRDefault="00456002" w:rsidP="00456002">
      <w:pPr>
        <w:outlineLvl w:val="2"/>
        <w:rPr>
          <w:rFonts w:cs="Tahoma"/>
        </w:rPr>
      </w:pPr>
    </w:p>
    <w:p w:rsidR="00456002" w:rsidRPr="00A75DF9" w:rsidRDefault="00456002" w:rsidP="00116EDC">
      <w:pPr>
        <w:outlineLvl w:val="2"/>
        <w:rPr>
          <w:rFonts w:cs="Tahoma"/>
        </w:rPr>
      </w:pPr>
      <w:r w:rsidRPr="00A75DF9">
        <w:rPr>
          <w:rFonts w:cs="Tahoma"/>
          <w:szCs w:val="18"/>
        </w:rPr>
        <w:t>Le sottoscrizioni relative a un servizio online potranno essere annullati entro trenta (30) giorni dal primo ordine iniziale o dalla prima prenotazione della licenza di un servizio senza alcuna penale.</w:t>
      </w:r>
      <w:r w:rsidR="009D3B41" w:rsidRPr="00A75DF9">
        <w:rPr>
          <w:rFonts w:cs="Tahoma"/>
          <w:szCs w:val="18"/>
        </w:rPr>
        <w:t xml:space="preserve"> </w:t>
      </w:r>
      <w:r w:rsidRPr="00A75DF9">
        <w:rPr>
          <w:rFonts w:cs="Tahoma"/>
          <w:szCs w:val="18"/>
        </w:rPr>
        <w:t>Fare riferimento agli articoli specifici riguardanti i prodotti della presente Lista dei Prodotti per prendere visione delle eventuali condizioni aggiuntive relative all</w:t>
      </w:r>
      <w:r w:rsidR="00F2643E">
        <w:rPr>
          <w:rFonts w:cs="Tahoma"/>
          <w:szCs w:val="18"/>
        </w:rPr>
        <w:t>’</w:t>
      </w:r>
      <w:r w:rsidRPr="00A75DF9">
        <w:rPr>
          <w:rFonts w:cs="Tahoma"/>
          <w:szCs w:val="18"/>
        </w:rPr>
        <w:t>annullamento.</w:t>
      </w:r>
    </w:p>
    <w:p w:rsidR="00116EDC" w:rsidRPr="00A75DF9" w:rsidRDefault="00116EDC" w:rsidP="00116EDC">
      <w:pPr>
        <w:outlineLvl w:val="2"/>
        <w:rPr>
          <w:rFonts w:cs="Tahoma"/>
        </w:rPr>
      </w:pPr>
    </w:p>
    <w:p w:rsidR="00456002" w:rsidRPr="00A75DF9" w:rsidRDefault="00456002" w:rsidP="00456002">
      <w:pPr>
        <w:pStyle w:val="Heading2"/>
        <w:ind w:left="0"/>
        <w:rPr>
          <w:rFonts w:ascii="Tahoma" w:hAnsi="Tahoma" w:cs="Tahoma"/>
        </w:rPr>
      </w:pPr>
      <w:bookmarkStart w:id="678" w:name="_Toc328145982"/>
      <w:bookmarkStart w:id="679" w:name="_Toc336338212"/>
      <w:bookmarkStart w:id="680" w:name="_Toc368310203"/>
      <w:r w:rsidRPr="00A75DF9">
        <w:rPr>
          <w:rFonts w:ascii="Tahoma" w:hAnsi="Tahoma" w:cs="Tahoma"/>
        </w:rPr>
        <w:t>Opzioni relative alle Condizioni di Pagamento dei Servizi Online</w:t>
      </w:r>
      <w:bookmarkEnd w:id="678"/>
      <w:bookmarkEnd w:id="679"/>
      <w:bookmarkEnd w:id="680"/>
    </w:p>
    <w:p w:rsidR="00456002" w:rsidRPr="00A75DF9" w:rsidRDefault="00456002" w:rsidP="00105321">
      <w:pPr>
        <w:outlineLvl w:val="2"/>
        <w:rPr>
          <w:rFonts w:cs="Tahoma"/>
        </w:rPr>
      </w:pPr>
    </w:p>
    <w:p w:rsidR="00456002" w:rsidRPr="00A75DF9" w:rsidRDefault="00456002" w:rsidP="00105321">
      <w:pPr>
        <w:outlineLvl w:val="2"/>
        <w:rPr>
          <w:rFonts w:cs="Tahoma"/>
        </w:rPr>
      </w:pPr>
      <w:r w:rsidRPr="00A75DF9">
        <w:rPr>
          <w:rFonts w:cs="Tahoma"/>
          <w:szCs w:val="18"/>
        </w:rPr>
        <w:t>Le società dovranno pagare gli abbonamenti annuali ai servizi online per intero all</w:t>
      </w:r>
      <w:r w:rsidR="00F2643E">
        <w:rPr>
          <w:rFonts w:cs="Tahoma"/>
          <w:szCs w:val="18"/>
        </w:rPr>
        <w:t>’</w:t>
      </w:r>
      <w:r w:rsidRPr="00A75DF9">
        <w:rPr>
          <w:rFonts w:cs="Tahoma"/>
          <w:szCs w:val="18"/>
        </w:rPr>
        <w:t>inizio del periodo di validità dell</w:t>
      </w:r>
      <w:r w:rsidR="00F2643E">
        <w:rPr>
          <w:rFonts w:cs="Tahoma"/>
          <w:szCs w:val="18"/>
        </w:rPr>
        <w:t>’</w:t>
      </w:r>
      <w:r w:rsidRPr="00A75DF9">
        <w:rPr>
          <w:rFonts w:cs="Tahoma"/>
          <w:szCs w:val="18"/>
        </w:rPr>
        <w:t>abbonamento.</w:t>
      </w:r>
      <w:r w:rsidR="009D3B41" w:rsidRPr="00A75DF9">
        <w:rPr>
          <w:rFonts w:cs="Tahoma"/>
          <w:szCs w:val="18"/>
        </w:rPr>
        <w:t xml:space="preserve"> </w:t>
      </w:r>
      <w:r w:rsidRPr="00A75DF9">
        <w:rPr>
          <w:rFonts w:cs="Tahoma"/>
          <w:szCs w:val="18"/>
        </w:rPr>
        <w:t>Le società che scelgono periodi di validità degli abbonamenti con scadenze identiche o di “allinearsi alla seconda Ricorrenza” in Select Plus, hanno le seguenti due possibilità di pagamento: (1) Pagamento totale al momento dell</w:t>
      </w:r>
      <w:r w:rsidR="00F2643E">
        <w:rPr>
          <w:rFonts w:cs="Tahoma"/>
          <w:szCs w:val="18"/>
        </w:rPr>
        <w:t>’</w:t>
      </w:r>
      <w:r w:rsidRPr="00A75DF9">
        <w:rPr>
          <w:rFonts w:cs="Tahoma"/>
          <w:szCs w:val="18"/>
        </w:rPr>
        <w:t>ordine che copre tutto il periodo di validità dell</w:t>
      </w:r>
      <w:r w:rsidR="00F2643E">
        <w:rPr>
          <w:rFonts w:cs="Tahoma"/>
          <w:szCs w:val="18"/>
        </w:rPr>
        <w:t>’</w:t>
      </w:r>
      <w:r w:rsidRPr="00A75DF9">
        <w:rPr>
          <w:rFonts w:cs="Tahoma"/>
          <w:szCs w:val="18"/>
        </w:rPr>
        <w:t>abbonamento o (2) pagamenti dilazionati, di</w:t>
      </w:r>
      <w:r w:rsidR="00105321">
        <w:rPr>
          <w:rFonts w:cs="Tahoma"/>
          <w:szCs w:val="18"/>
        </w:rPr>
        <w:t> </w:t>
      </w:r>
      <w:r w:rsidRPr="00A75DF9">
        <w:rPr>
          <w:rFonts w:cs="Tahoma"/>
          <w:szCs w:val="18"/>
        </w:rPr>
        <w:t>cui il primo pagamento al momento dell</w:t>
      </w:r>
      <w:r w:rsidR="00F2643E">
        <w:rPr>
          <w:rFonts w:cs="Tahoma"/>
          <w:szCs w:val="18"/>
        </w:rPr>
        <w:t>’</w:t>
      </w:r>
      <w:r w:rsidRPr="00A75DF9">
        <w:rPr>
          <w:rFonts w:cs="Tahoma"/>
          <w:szCs w:val="18"/>
        </w:rPr>
        <w:t>ordine che copre la parte restante dell</w:t>
      </w:r>
      <w:r w:rsidR="00F2643E">
        <w:rPr>
          <w:rFonts w:cs="Tahoma"/>
          <w:szCs w:val="18"/>
        </w:rPr>
        <w:t>’</w:t>
      </w:r>
      <w:r w:rsidRPr="00A75DF9">
        <w:rPr>
          <w:rFonts w:cs="Tahoma"/>
          <w:szCs w:val="18"/>
        </w:rPr>
        <w:t>anno contrattuale corrente e il pagamento o i pagamenti residui in scadenza a ogni ricorrenza della data di entrata in vigore del contratto (per Select Plus, al posto della ricorrenza del contratto viene utilizzata la ricorrenza della consociata).</w:t>
      </w:r>
      <w:r w:rsidR="009D3B41" w:rsidRPr="00A75DF9">
        <w:rPr>
          <w:rFonts w:cs="Tahoma"/>
          <w:szCs w:val="18"/>
        </w:rPr>
        <w:t xml:space="preserve"> </w:t>
      </w:r>
      <w:r w:rsidRPr="00A75DF9">
        <w:rPr>
          <w:rFonts w:cs="Tahoma"/>
          <w:szCs w:val="18"/>
        </w:rPr>
        <w:t>Una terza opzione aggiuntiva è disponibile per le società con contratti Select Plus: il primo pagamento della ricorrenza dell</w:t>
      </w:r>
      <w:r w:rsidR="00F2643E">
        <w:rPr>
          <w:rFonts w:cs="Tahoma"/>
          <w:szCs w:val="18"/>
        </w:rPr>
        <w:t>’</w:t>
      </w:r>
      <w:r w:rsidRPr="00A75DF9">
        <w:rPr>
          <w:rFonts w:cs="Tahoma"/>
          <w:szCs w:val="18"/>
        </w:rPr>
        <w:t>ordine al momento dell</w:t>
      </w:r>
      <w:r w:rsidR="00F2643E">
        <w:rPr>
          <w:rFonts w:cs="Tahoma"/>
          <w:szCs w:val="18"/>
        </w:rPr>
        <w:t>’</w:t>
      </w:r>
      <w:r w:rsidRPr="00A75DF9">
        <w:rPr>
          <w:rFonts w:cs="Tahoma"/>
          <w:szCs w:val="18"/>
        </w:rPr>
        <w:t>ordine che copre 12 mesi e uno o più pagamenti residui in scadenza in occasione di ogni ricorrenza dell</w:t>
      </w:r>
      <w:r w:rsidR="00F2643E">
        <w:rPr>
          <w:rFonts w:cs="Tahoma"/>
          <w:szCs w:val="18"/>
        </w:rPr>
        <w:t>’</w:t>
      </w:r>
      <w:r w:rsidRPr="00A75DF9">
        <w:rPr>
          <w:rFonts w:cs="Tahoma"/>
          <w:szCs w:val="18"/>
        </w:rPr>
        <w:t>ordine (l</w:t>
      </w:r>
      <w:r w:rsidR="00F2643E">
        <w:rPr>
          <w:rFonts w:cs="Tahoma"/>
          <w:szCs w:val="18"/>
        </w:rPr>
        <w:t>’</w:t>
      </w:r>
      <w:r w:rsidRPr="00A75DF9">
        <w:rPr>
          <w:rFonts w:cs="Tahoma"/>
          <w:szCs w:val="18"/>
        </w:rPr>
        <w:t>ultimo pagamento coprirà il periodo residuo che va dalla ricorrenza dell</w:t>
      </w:r>
      <w:r w:rsidR="00F2643E">
        <w:rPr>
          <w:rFonts w:cs="Tahoma"/>
          <w:szCs w:val="18"/>
        </w:rPr>
        <w:t>’</w:t>
      </w:r>
      <w:r w:rsidRPr="00A75DF9">
        <w:rPr>
          <w:rFonts w:cs="Tahoma"/>
          <w:szCs w:val="18"/>
        </w:rPr>
        <w:t>ordine alla data di scadenza della copertura dell</w:t>
      </w:r>
      <w:r w:rsidR="00F2643E">
        <w:rPr>
          <w:rFonts w:cs="Tahoma"/>
          <w:szCs w:val="18"/>
        </w:rPr>
        <w:t>’</w:t>
      </w:r>
      <w:r w:rsidRPr="00A75DF9">
        <w:rPr>
          <w:rFonts w:cs="Tahoma"/>
          <w:szCs w:val="18"/>
        </w:rPr>
        <w:t>abbonamento).</w:t>
      </w:r>
    </w:p>
    <w:p w:rsidR="00456002" w:rsidRPr="00A75DF9" w:rsidRDefault="00456002" w:rsidP="00456002">
      <w:pPr>
        <w:outlineLvl w:val="2"/>
        <w:rPr>
          <w:rFonts w:cs="Tahoma"/>
        </w:rPr>
      </w:pPr>
    </w:p>
    <w:p w:rsidR="00456002" w:rsidRPr="00A75DF9" w:rsidRDefault="00456002" w:rsidP="00456002">
      <w:pPr>
        <w:outlineLvl w:val="2"/>
        <w:rPr>
          <w:rFonts w:cs="Tahoma"/>
        </w:rPr>
      </w:pPr>
      <w:r w:rsidRPr="00A75DF9">
        <w:rPr>
          <w:rFonts w:cs="Tahoma"/>
          <w:szCs w:val="18"/>
        </w:rPr>
        <w:t>Inoltre, le società Open Value potranno scegliere anche di pagare mensilmente.</w:t>
      </w:r>
      <w:r w:rsidR="009D3B41" w:rsidRPr="00A75DF9">
        <w:rPr>
          <w:rFonts w:cs="Tahoma"/>
          <w:szCs w:val="18"/>
        </w:rPr>
        <w:t xml:space="preserve"> </w:t>
      </w:r>
      <w:r w:rsidRPr="00A75DF9">
        <w:rPr>
          <w:rFonts w:cs="Tahoma"/>
          <w:szCs w:val="18"/>
        </w:rPr>
        <w:t>Per quanto riguarda l</w:t>
      </w:r>
      <w:r w:rsidR="00F2643E">
        <w:rPr>
          <w:rFonts w:cs="Tahoma"/>
          <w:szCs w:val="18"/>
        </w:rPr>
        <w:t>’</w:t>
      </w:r>
      <w:r w:rsidRPr="00A75DF9">
        <w:rPr>
          <w:rFonts w:cs="Tahoma"/>
          <w:szCs w:val="18"/>
        </w:rPr>
        <w:t>opzione relativa al pagamento mensile, durante il periodo di validità dell</w:t>
      </w:r>
      <w:r w:rsidR="00F2643E">
        <w:rPr>
          <w:rFonts w:cs="Tahoma"/>
          <w:szCs w:val="18"/>
        </w:rPr>
        <w:t>’</w:t>
      </w:r>
      <w:r w:rsidRPr="00A75DF9">
        <w:rPr>
          <w:rFonts w:cs="Tahoma"/>
          <w:szCs w:val="18"/>
        </w:rPr>
        <w:t>abbonamento alla parte interessata che partecipa verrà fatturata mensilmente la quantità di abbonamenti che la società avrà ordinato.</w:t>
      </w:r>
    </w:p>
    <w:p w:rsidR="00456002" w:rsidRDefault="00456002" w:rsidP="00456002">
      <w:pPr>
        <w:outlineLvl w:val="2"/>
        <w:rPr>
          <w:rFonts w:cs="Tahoma"/>
        </w:rPr>
      </w:pPr>
    </w:p>
    <w:p w:rsidR="00105321" w:rsidRDefault="00105321" w:rsidP="00456002">
      <w:pPr>
        <w:outlineLvl w:val="2"/>
        <w:rPr>
          <w:rFonts w:cs="Tahoma"/>
        </w:rPr>
      </w:pPr>
    </w:p>
    <w:p w:rsidR="00105321" w:rsidRPr="00A75DF9" w:rsidRDefault="00105321" w:rsidP="00456002">
      <w:pPr>
        <w:outlineLvl w:val="2"/>
        <w:rPr>
          <w:rFonts w:cs="Tahoma"/>
        </w:rPr>
      </w:pPr>
    </w:p>
    <w:p w:rsidR="00456002" w:rsidRPr="00A75DF9" w:rsidRDefault="00456002" w:rsidP="00105321">
      <w:pPr>
        <w:outlineLvl w:val="2"/>
        <w:rPr>
          <w:rFonts w:cs="Tahoma"/>
        </w:rPr>
      </w:pPr>
      <w:r w:rsidRPr="00A75DF9">
        <w:rPr>
          <w:rFonts w:cs="Tahoma"/>
          <w:szCs w:val="18"/>
        </w:rPr>
        <w:lastRenderedPageBreak/>
        <w:t>I prezzi e le condizioni di pagamento per gli abbonamenti acquistati presso i rivenditori sono stabiliti tramite un contratto tra la società e il suo rivenditore.</w:t>
      </w:r>
      <w:r w:rsidR="009D3B41" w:rsidRPr="00A75DF9">
        <w:rPr>
          <w:rFonts w:cs="Tahoma"/>
          <w:szCs w:val="18"/>
        </w:rPr>
        <w:t xml:space="preserve"> </w:t>
      </w:r>
      <w:r w:rsidRPr="00A75DF9">
        <w:rPr>
          <w:rFonts w:cs="Tahoma"/>
          <w:szCs w:val="18"/>
        </w:rPr>
        <w:t>A meno che la società non abbia stipulato una Modifica all</w:t>
      </w:r>
      <w:r w:rsidR="00F2643E">
        <w:rPr>
          <w:rFonts w:cs="Tahoma"/>
          <w:szCs w:val="18"/>
        </w:rPr>
        <w:t>’</w:t>
      </w:r>
      <w:r w:rsidRPr="00A75DF9">
        <w:rPr>
          <w:rFonts w:cs="Tahoma"/>
          <w:szCs w:val="18"/>
        </w:rPr>
        <w:t>Iscrizione Enterprise, Aggiunta di Servizi Online Enterprise, nonostante quanto diversamente stabilito nel contratto, una società</w:t>
      </w:r>
      <w:r w:rsidR="00105321">
        <w:rPr>
          <w:rFonts w:cs="Tahoma"/>
          <w:szCs w:val="18"/>
        </w:rPr>
        <w:t> </w:t>
      </w:r>
      <w:r w:rsidRPr="00A75DF9">
        <w:rPr>
          <w:rFonts w:cs="Tahoma"/>
          <w:szCs w:val="18"/>
        </w:rPr>
        <w:t>potrà utilizzare per la prima volta l</w:t>
      </w:r>
      <w:r w:rsidR="00F2643E">
        <w:rPr>
          <w:rFonts w:cs="Tahoma"/>
          <w:szCs w:val="18"/>
        </w:rPr>
        <w:t>’</w:t>
      </w:r>
      <w:r w:rsidRPr="00A75DF9">
        <w:rPr>
          <w:rFonts w:cs="Tahoma"/>
          <w:szCs w:val="18"/>
        </w:rPr>
        <w:t>abbonamento solo dopo aver ordinato un abbonamento ai servizi online.</w:t>
      </w:r>
      <w:r w:rsidR="009D3B41" w:rsidRPr="00A75DF9">
        <w:rPr>
          <w:rFonts w:cs="Tahoma"/>
          <w:szCs w:val="18"/>
        </w:rPr>
        <w:t xml:space="preserve"> </w:t>
      </w:r>
      <w:r w:rsidRPr="00A75DF9">
        <w:rPr>
          <w:rFonts w:cs="Tahoma"/>
          <w:szCs w:val="18"/>
        </w:rPr>
        <w:t>La</w:t>
      </w:r>
      <w:r w:rsidR="00105321">
        <w:rPr>
          <w:rFonts w:cs="Tahoma"/>
          <w:szCs w:val="18"/>
        </w:rPr>
        <w:t> </w:t>
      </w:r>
      <w:r w:rsidRPr="00A75DF9">
        <w:rPr>
          <w:rFonts w:cs="Tahoma"/>
          <w:szCs w:val="18"/>
        </w:rPr>
        <w:t>società che ha sottoscritto un Contratto Enterprise non potrà inviare un ordine true-up di licenze “Subscription” aggiuntive.</w:t>
      </w:r>
      <w:r w:rsidR="009D3B41" w:rsidRPr="00A75DF9">
        <w:rPr>
          <w:rFonts w:cs="Tahoma"/>
          <w:szCs w:val="18"/>
        </w:rPr>
        <w:t xml:space="preserve"> </w:t>
      </w:r>
    </w:p>
    <w:p w:rsidR="00456002" w:rsidRPr="00A75DF9" w:rsidRDefault="00456002" w:rsidP="00DF28F2">
      <w:pPr>
        <w:outlineLvl w:val="2"/>
        <w:rPr>
          <w:rFonts w:cs="Tahoma"/>
        </w:rPr>
      </w:pPr>
    </w:p>
    <w:p w:rsidR="00456002" w:rsidRPr="00A75DF9" w:rsidRDefault="006A5DAE" w:rsidP="00116EDC">
      <w:pPr>
        <w:outlineLvl w:val="2"/>
        <w:rPr>
          <w:rFonts w:cs="Tahoma"/>
        </w:rPr>
      </w:pPr>
      <w:r w:rsidRPr="00A75DF9">
        <w:rPr>
          <w:rFonts w:cs="Tahoma"/>
          <w:szCs w:val="18"/>
        </w:rPr>
        <w:t>Informazioni specifiche sui Servizi di Windows Azure sono disponibili nell</w:t>
      </w:r>
      <w:r w:rsidR="00F2643E">
        <w:rPr>
          <w:rFonts w:cs="Tahoma"/>
          <w:szCs w:val="18"/>
        </w:rPr>
        <w:t>’</w:t>
      </w:r>
      <w:r w:rsidRPr="00A75DF9">
        <w:rPr>
          <w:rFonts w:cs="Tahoma"/>
          <w:szCs w:val="18"/>
        </w:rPr>
        <w:t>Articolo corrispondente che segue.</w:t>
      </w:r>
    </w:p>
    <w:p w:rsidR="00116EDC" w:rsidRPr="00A75DF9" w:rsidRDefault="00116EDC" w:rsidP="00116EDC">
      <w:pPr>
        <w:outlineLvl w:val="2"/>
        <w:rPr>
          <w:rFonts w:cs="Tahoma"/>
        </w:rPr>
      </w:pPr>
    </w:p>
    <w:p w:rsidR="00456002" w:rsidRPr="00A75DF9" w:rsidRDefault="00456002" w:rsidP="00456002">
      <w:pPr>
        <w:pStyle w:val="Heading2"/>
        <w:ind w:left="0"/>
        <w:rPr>
          <w:rFonts w:ascii="Tahoma" w:hAnsi="Tahoma" w:cs="Tahoma"/>
        </w:rPr>
      </w:pPr>
      <w:bookmarkStart w:id="681" w:name="_Toc328145983"/>
      <w:bookmarkStart w:id="682" w:name="_Toc336338213"/>
      <w:bookmarkStart w:id="683" w:name="_Toc368310204"/>
      <w:r w:rsidRPr="00A75DF9">
        <w:rPr>
          <w:rFonts w:ascii="Tahoma" w:hAnsi="Tahoma" w:cs="Tahoma"/>
        </w:rPr>
        <w:t>Requisiti di Acquisto Minimo per i Servizi Online in Volume Licensing</w:t>
      </w:r>
      <w:bookmarkEnd w:id="681"/>
      <w:bookmarkEnd w:id="682"/>
      <w:bookmarkEnd w:id="683"/>
    </w:p>
    <w:p w:rsidR="00456002" w:rsidRPr="00A75DF9" w:rsidRDefault="00456002" w:rsidP="00DF28F2">
      <w:pPr>
        <w:outlineLvl w:val="2"/>
        <w:rPr>
          <w:rFonts w:cs="Tahoma"/>
        </w:rPr>
      </w:pPr>
    </w:p>
    <w:p w:rsidR="00116EDC" w:rsidRPr="00A75DF9" w:rsidRDefault="00456002" w:rsidP="00116EDC">
      <w:pPr>
        <w:outlineLvl w:val="2"/>
        <w:rPr>
          <w:rFonts w:cs="Tahoma"/>
        </w:rPr>
      </w:pPr>
      <w:r w:rsidRPr="00A75DF9">
        <w:rPr>
          <w:rFonts w:cs="Tahoma"/>
          <w:szCs w:val="18"/>
        </w:rPr>
        <w:t>Una società si qualifica per il programma Open Value con un acquisto minimo di 5 licenze.</w:t>
      </w:r>
      <w:r w:rsidR="009D3B41" w:rsidRPr="00A75DF9">
        <w:rPr>
          <w:rFonts w:cs="Tahoma"/>
          <w:szCs w:val="18"/>
        </w:rPr>
        <w:t xml:space="preserve"> </w:t>
      </w:r>
      <w:r w:rsidRPr="00A75DF9">
        <w:rPr>
          <w:rFonts w:cs="Tahoma"/>
          <w:szCs w:val="18"/>
        </w:rPr>
        <w:t>Tale regola si applica anche quando si conta il numero di Licenze di Sottoscrizione Utente per i Servizi Online (USL).</w:t>
      </w:r>
      <w:r w:rsidR="009D3B41" w:rsidRPr="00A75DF9">
        <w:rPr>
          <w:rFonts w:cs="Tahoma"/>
          <w:szCs w:val="18"/>
        </w:rPr>
        <w:t xml:space="preserve"> </w:t>
      </w:r>
      <w:r w:rsidRPr="00A75DF9">
        <w:rPr>
          <w:rFonts w:cs="Tahoma"/>
          <w:szCs w:val="18"/>
        </w:rPr>
        <w:t>Una USL contribuisce al raggiungimento della quantità minima di 5 licenze.</w:t>
      </w:r>
      <w:r w:rsidR="009D3B41" w:rsidRPr="00A75DF9">
        <w:rPr>
          <w:rFonts w:cs="Tahoma"/>
          <w:szCs w:val="18"/>
        </w:rPr>
        <w:t xml:space="preserve"> </w:t>
      </w:r>
      <w:r w:rsidRPr="00A75DF9">
        <w:rPr>
          <w:rFonts w:cs="Tahoma"/>
          <w:szCs w:val="18"/>
        </w:rPr>
        <w:t>Un ordine di 5 USL soddisfa il requisito minimo del programma Open Value.</w:t>
      </w:r>
      <w:r w:rsidR="009D3B41" w:rsidRPr="00A75DF9">
        <w:rPr>
          <w:rFonts w:cs="Tahoma"/>
          <w:szCs w:val="18"/>
        </w:rPr>
        <w:t xml:space="preserve"> </w:t>
      </w:r>
      <w:r w:rsidRPr="00A75DF9">
        <w:rPr>
          <w:rFonts w:cs="Tahoma"/>
          <w:szCs w:val="18"/>
        </w:rPr>
        <w:t>Tuttavia, 5 USL da sole non soddisfano il requisito minimo per il programma Open Value a livello aziendale e Open Value Subscription.</w:t>
      </w:r>
      <w:r w:rsidR="009D3B41" w:rsidRPr="00A75DF9">
        <w:rPr>
          <w:rFonts w:cs="Tahoma"/>
          <w:szCs w:val="18"/>
        </w:rPr>
        <w:t xml:space="preserve"> </w:t>
      </w:r>
      <w:r w:rsidRPr="00A75DF9">
        <w:rPr>
          <w:rFonts w:cs="Tahoma"/>
          <w:szCs w:val="18"/>
        </w:rPr>
        <w:t>Per OV (a livello aziendale) e OV Subscription l</w:t>
      </w:r>
      <w:r w:rsidR="00F2643E">
        <w:rPr>
          <w:rFonts w:cs="Tahoma"/>
          <w:szCs w:val="18"/>
        </w:rPr>
        <w:t>’</w:t>
      </w:r>
      <w:r w:rsidRPr="00A75DF9">
        <w:rPr>
          <w:rFonts w:cs="Tahoma"/>
          <w:szCs w:val="18"/>
        </w:rPr>
        <w:t>ordine iniziale dovrà includere almeno 5 Licenze Piattaforma Desktop o Componente Desktop, oltre ad eventuali USL.</w:t>
      </w:r>
      <w:r w:rsidR="009D3B41" w:rsidRPr="00A75DF9">
        <w:rPr>
          <w:rFonts w:cs="Tahoma"/>
          <w:szCs w:val="18"/>
        </w:rPr>
        <w:t xml:space="preserve"> </w:t>
      </w:r>
    </w:p>
    <w:p w:rsidR="00116EDC" w:rsidRPr="00A75DF9" w:rsidRDefault="00116EDC" w:rsidP="00116EDC">
      <w:pPr>
        <w:outlineLvl w:val="2"/>
        <w:rPr>
          <w:rFonts w:cs="Tahoma"/>
        </w:rPr>
      </w:pPr>
    </w:p>
    <w:p w:rsidR="00776E3B" w:rsidRPr="00A75DF9" w:rsidRDefault="00776E3B" w:rsidP="00776E3B">
      <w:pPr>
        <w:pStyle w:val="Heading3"/>
        <w:rPr>
          <w:rFonts w:ascii="Tahoma" w:hAnsi="Tahoma" w:cs="Tahoma"/>
        </w:rPr>
      </w:pPr>
      <w:bookmarkStart w:id="684" w:name="_Toc336338214"/>
      <w:bookmarkStart w:id="685" w:name="_Toc368310205"/>
      <w:r w:rsidRPr="00A75DF9">
        <w:rPr>
          <w:rFonts w:ascii="Tahoma" w:hAnsi="Tahoma" w:cs="Tahoma"/>
          <w:sz w:val="24"/>
        </w:rPr>
        <w:t>Servizi Windows Azure</w:t>
      </w:r>
      <w:bookmarkEnd w:id="684"/>
      <w:bookmarkEnd w:id="685"/>
    </w:p>
    <w:p w:rsidR="00776E3B" w:rsidRPr="00A75DF9" w:rsidRDefault="00776E3B" w:rsidP="00DF28F2">
      <w:pPr>
        <w:outlineLvl w:val="1"/>
        <w:rPr>
          <w:rFonts w:cs="Tahoma"/>
        </w:rPr>
      </w:pPr>
    </w:p>
    <w:p w:rsidR="006A5DAE" w:rsidRPr="00A75DF9" w:rsidRDefault="005242EC" w:rsidP="005242EC">
      <w:pPr>
        <w:spacing w:after="60"/>
        <w:outlineLvl w:val="1"/>
        <w:rPr>
          <w:rFonts w:cs="Tahoma"/>
        </w:rPr>
      </w:pPr>
      <w:r w:rsidRPr="00A75DF9">
        <w:rPr>
          <w:rFonts w:cs="Tahoma"/>
          <w:b/>
          <w:szCs w:val="18"/>
        </w:rPr>
        <w:t>Definizioni</w:t>
      </w:r>
    </w:p>
    <w:p w:rsidR="006A5DAE" w:rsidRPr="00A75DF9" w:rsidRDefault="006A5DAE" w:rsidP="00105321">
      <w:pPr>
        <w:outlineLvl w:val="1"/>
        <w:rPr>
          <w:rFonts w:cs="Tahoma"/>
        </w:rPr>
      </w:pPr>
      <w:r w:rsidRPr="00A75DF9">
        <w:rPr>
          <w:rFonts w:cs="Tahoma"/>
          <w:szCs w:val="18"/>
          <w:u w:val="single"/>
        </w:rPr>
        <w:t>Tariffe di Impegno</w:t>
      </w:r>
      <w:r w:rsidRPr="00A75DF9">
        <w:rPr>
          <w:rFonts w:cs="Tahoma"/>
          <w:b/>
          <w:szCs w:val="18"/>
        </w:rPr>
        <w:t xml:space="preserve"> </w:t>
      </w:r>
      <w:r w:rsidRPr="00A75DF9">
        <w:rPr>
          <w:rFonts w:cs="Tahoma"/>
          <w:szCs w:val="18"/>
        </w:rPr>
        <w:t>indica i prezzi per l</w:t>
      </w:r>
      <w:r w:rsidR="00F2643E">
        <w:rPr>
          <w:rFonts w:cs="Tahoma"/>
          <w:szCs w:val="18"/>
        </w:rPr>
        <w:t>’</w:t>
      </w:r>
      <w:r w:rsidRPr="00A75DF9">
        <w:rPr>
          <w:rFonts w:cs="Tahoma"/>
          <w:szCs w:val="18"/>
        </w:rPr>
        <w:t>utilizzo dei Servizi Windows Azure fino al raggiungimento dell</w:t>
      </w:r>
      <w:r w:rsidR="00F2643E">
        <w:rPr>
          <w:rFonts w:cs="Tahoma"/>
          <w:szCs w:val="18"/>
        </w:rPr>
        <w:t>’</w:t>
      </w:r>
      <w:r w:rsidRPr="00A75DF9">
        <w:rPr>
          <w:rFonts w:cs="Tahoma"/>
          <w:szCs w:val="18"/>
        </w:rPr>
        <w:t>Impegno Annuale</w:t>
      </w:r>
      <w:r w:rsidR="00105321">
        <w:rPr>
          <w:rFonts w:cs="Tahoma"/>
          <w:szCs w:val="18"/>
        </w:rPr>
        <w:t> </w:t>
      </w:r>
      <w:r w:rsidRPr="00A75DF9">
        <w:rPr>
          <w:rFonts w:cs="Tahoma"/>
          <w:szCs w:val="18"/>
        </w:rPr>
        <w:t>Allocato.</w:t>
      </w:r>
    </w:p>
    <w:p w:rsidR="006A5DAE" w:rsidRPr="00A75DF9" w:rsidRDefault="006A5DAE" w:rsidP="006A5DAE">
      <w:pPr>
        <w:outlineLvl w:val="1"/>
        <w:rPr>
          <w:rFonts w:cs="Tahoma"/>
        </w:rPr>
      </w:pPr>
    </w:p>
    <w:p w:rsidR="006A5DAE" w:rsidRPr="00A75DF9" w:rsidRDefault="006A5DAE" w:rsidP="00105321">
      <w:pPr>
        <w:outlineLvl w:val="1"/>
        <w:rPr>
          <w:rFonts w:cs="Tahoma"/>
        </w:rPr>
      </w:pPr>
      <w:r w:rsidRPr="00A75DF9">
        <w:rPr>
          <w:rFonts w:cs="Tahoma"/>
          <w:szCs w:val="18"/>
          <w:u w:val="single"/>
        </w:rPr>
        <w:t>Tariffe di Consumo</w:t>
      </w:r>
      <w:r w:rsidRPr="00A75DF9">
        <w:rPr>
          <w:rFonts w:cs="Tahoma"/>
          <w:szCs w:val="18"/>
        </w:rPr>
        <w:t xml:space="preserve"> indica i prezzi per l</w:t>
      </w:r>
      <w:r w:rsidR="00F2643E">
        <w:rPr>
          <w:rFonts w:cs="Tahoma"/>
          <w:szCs w:val="18"/>
        </w:rPr>
        <w:t>’</w:t>
      </w:r>
      <w:r w:rsidRPr="00A75DF9">
        <w:rPr>
          <w:rFonts w:cs="Tahoma"/>
          <w:szCs w:val="18"/>
        </w:rPr>
        <w:t>utilizzo dei Servizi Windows Azure che eccede l</w:t>
      </w:r>
      <w:r w:rsidR="00F2643E">
        <w:rPr>
          <w:rFonts w:cs="Tahoma"/>
          <w:szCs w:val="18"/>
        </w:rPr>
        <w:t>’</w:t>
      </w:r>
      <w:r w:rsidRPr="00A75DF9">
        <w:rPr>
          <w:rFonts w:cs="Tahoma"/>
          <w:szCs w:val="18"/>
        </w:rPr>
        <w:t>Impegno Annuale Allocato. Le</w:t>
      </w:r>
      <w:r w:rsidR="00105321">
        <w:rPr>
          <w:rFonts w:cs="Tahoma"/>
          <w:szCs w:val="18"/>
        </w:rPr>
        <w:t> </w:t>
      </w:r>
      <w:r w:rsidRPr="00A75DF9">
        <w:rPr>
          <w:rFonts w:cs="Tahoma"/>
          <w:szCs w:val="18"/>
        </w:rPr>
        <w:t>Tariffe di Consumo possono inoltre essere indicate come “Tariffe di Eccedenza” o “Eccedenza” in altri documenti Microsoft o Windows Azure.</w:t>
      </w:r>
    </w:p>
    <w:p w:rsidR="006A5DAE" w:rsidRPr="00A75DF9" w:rsidRDefault="006A5DAE" w:rsidP="006A5DAE">
      <w:pPr>
        <w:outlineLvl w:val="1"/>
        <w:rPr>
          <w:rFonts w:cs="Tahoma"/>
        </w:rPr>
      </w:pPr>
    </w:p>
    <w:p w:rsidR="006A5DAE" w:rsidRPr="00A75DF9" w:rsidRDefault="006A5DAE" w:rsidP="006A5DAE">
      <w:pPr>
        <w:outlineLvl w:val="1"/>
        <w:rPr>
          <w:rFonts w:cs="Tahoma"/>
        </w:rPr>
      </w:pPr>
      <w:r w:rsidRPr="00A75DF9">
        <w:rPr>
          <w:rFonts w:cs="Tahoma"/>
          <w:szCs w:val="18"/>
          <w:u w:val="single"/>
        </w:rPr>
        <w:t>Impegno Monetario</w:t>
      </w:r>
      <w:r w:rsidRPr="00A75DF9">
        <w:rPr>
          <w:rFonts w:cs="Tahoma"/>
          <w:szCs w:val="18"/>
        </w:rPr>
        <w:t xml:space="preserve"> indica l</w:t>
      </w:r>
      <w:r w:rsidR="00F2643E">
        <w:rPr>
          <w:rFonts w:cs="Tahoma"/>
          <w:szCs w:val="18"/>
        </w:rPr>
        <w:t>’</w:t>
      </w:r>
      <w:r w:rsidRPr="00A75DF9">
        <w:rPr>
          <w:rFonts w:cs="Tahoma"/>
          <w:szCs w:val="18"/>
        </w:rPr>
        <w:t>importo monetario totale che una società s</w:t>
      </w:r>
      <w:r w:rsidR="00F2643E">
        <w:rPr>
          <w:rFonts w:cs="Tahoma"/>
          <w:szCs w:val="18"/>
        </w:rPr>
        <w:t>’</w:t>
      </w:r>
      <w:r w:rsidRPr="00A75DF9">
        <w:rPr>
          <w:rFonts w:cs="Tahoma"/>
          <w:szCs w:val="18"/>
        </w:rPr>
        <w:t>impegna a pagare nel periodo di validità dell</w:t>
      </w:r>
      <w:r w:rsidR="00F2643E">
        <w:rPr>
          <w:rFonts w:cs="Tahoma"/>
          <w:szCs w:val="18"/>
        </w:rPr>
        <w:t>’</w:t>
      </w:r>
      <w:r w:rsidRPr="00A75DF9">
        <w:rPr>
          <w:rFonts w:cs="Tahoma"/>
          <w:szCs w:val="18"/>
        </w:rPr>
        <w:t>abbonamento per l</w:t>
      </w:r>
      <w:r w:rsidR="00F2643E">
        <w:rPr>
          <w:rFonts w:cs="Tahoma"/>
          <w:szCs w:val="18"/>
        </w:rPr>
        <w:t>’</w:t>
      </w:r>
      <w:r w:rsidRPr="00A75DF9">
        <w:rPr>
          <w:rFonts w:cs="Tahoma"/>
          <w:szCs w:val="18"/>
        </w:rPr>
        <w:t>utilizzo dei Servizi Windows Azure.</w:t>
      </w:r>
    </w:p>
    <w:p w:rsidR="00BD1A6A" w:rsidRPr="00A75DF9" w:rsidRDefault="00BD1A6A" w:rsidP="006A5DAE">
      <w:pPr>
        <w:outlineLvl w:val="1"/>
        <w:rPr>
          <w:rFonts w:cs="Tahoma"/>
        </w:rPr>
      </w:pPr>
    </w:p>
    <w:p w:rsidR="006A5DAE" w:rsidRPr="00A75DF9" w:rsidRDefault="006A5DAE" w:rsidP="006A5DAE">
      <w:pPr>
        <w:outlineLvl w:val="1"/>
        <w:rPr>
          <w:rFonts w:cs="Tahoma"/>
        </w:rPr>
      </w:pPr>
      <w:r w:rsidRPr="00A75DF9">
        <w:rPr>
          <w:rFonts w:cs="Tahoma"/>
          <w:szCs w:val="18"/>
          <w:u w:val="single"/>
        </w:rPr>
        <w:t>Impegno Annuale Allocato</w:t>
      </w:r>
      <w:r w:rsidRPr="00A75DF9">
        <w:rPr>
          <w:rFonts w:cs="Tahoma"/>
          <w:szCs w:val="18"/>
        </w:rPr>
        <w:t xml:space="preserve"> indica la parte di Impegno Monetario allocato annualmente durante il periodo di validità dell</w:t>
      </w:r>
      <w:r w:rsidR="00F2643E">
        <w:rPr>
          <w:rFonts w:cs="Tahoma"/>
          <w:szCs w:val="18"/>
        </w:rPr>
        <w:t>’</w:t>
      </w:r>
      <w:r w:rsidRPr="00A75DF9">
        <w:rPr>
          <w:rFonts w:cs="Tahoma"/>
          <w:szCs w:val="18"/>
        </w:rPr>
        <w:t>Iscrizione. Per l</w:t>
      </w:r>
      <w:r w:rsidR="00F2643E">
        <w:rPr>
          <w:rFonts w:cs="Tahoma"/>
          <w:szCs w:val="18"/>
        </w:rPr>
        <w:t>’</w:t>
      </w:r>
      <w:r w:rsidRPr="00A75DF9">
        <w:rPr>
          <w:rFonts w:cs="Tahoma"/>
          <w:szCs w:val="18"/>
        </w:rPr>
        <w:t>opzione “Subscription” annuale l</w:t>
      </w:r>
      <w:r w:rsidR="00F2643E">
        <w:rPr>
          <w:rFonts w:cs="Tahoma"/>
          <w:szCs w:val="18"/>
        </w:rPr>
        <w:t>’</w:t>
      </w:r>
      <w:r w:rsidRPr="00A75DF9">
        <w:rPr>
          <w:rFonts w:cs="Tahoma"/>
          <w:szCs w:val="18"/>
        </w:rPr>
        <w:t>Impegno Annuale Allocato è pari all</w:t>
      </w:r>
      <w:r w:rsidR="00F2643E">
        <w:rPr>
          <w:rFonts w:cs="Tahoma"/>
          <w:szCs w:val="18"/>
        </w:rPr>
        <w:t>’</w:t>
      </w:r>
      <w:r w:rsidRPr="00A75DF9">
        <w:rPr>
          <w:rFonts w:cs="Tahoma"/>
          <w:szCs w:val="18"/>
        </w:rPr>
        <w:t>Impegno Monetario.</w:t>
      </w:r>
    </w:p>
    <w:p w:rsidR="001C1727" w:rsidRPr="00A75DF9" w:rsidRDefault="001C1727">
      <w:pPr>
        <w:rPr>
          <w:rFonts w:cs="Tahoma"/>
        </w:rPr>
      </w:pPr>
    </w:p>
    <w:p w:rsidR="006A5DAE" w:rsidRPr="00A75DF9" w:rsidRDefault="006A5DAE" w:rsidP="005242EC">
      <w:pPr>
        <w:spacing w:after="60"/>
        <w:outlineLvl w:val="1"/>
        <w:rPr>
          <w:rFonts w:cs="Tahoma"/>
        </w:rPr>
      </w:pPr>
      <w:r w:rsidRPr="00A75DF9">
        <w:rPr>
          <w:rFonts w:cs="Tahoma"/>
          <w:b/>
          <w:szCs w:val="18"/>
        </w:rPr>
        <w:t>Periodo di Validità dell</w:t>
      </w:r>
      <w:r w:rsidR="00F2643E">
        <w:rPr>
          <w:rFonts w:cs="Tahoma"/>
          <w:b/>
          <w:szCs w:val="18"/>
        </w:rPr>
        <w:t>’</w:t>
      </w:r>
      <w:r w:rsidRPr="00A75DF9">
        <w:rPr>
          <w:rFonts w:cs="Tahoma"/>
          <w:b/>
          <w:szCs w:val="18"/>
        </w:rPr>
        <w:t>Abbonamento</w:t>
      </w:r>
    </w:p>
    <w:p w:rsidR="006A5DAE" w:rsidRPr="00A75DF9" w:rsidRDefault="006A5DAE" w:rsidP="00105321">
      <w:pPr>
        <w:outlineLvl w:val="1"/>
        <w:rPr>
          <w:rFonts w:cs="Tahoma"/>
        </w:rPr>
      </w:pPr>
      <w:r w:rsidRPr="00A75DF9">
        <w:rPr>
          <w:rFonts w:cs="Tahoma"/>
          <w:szCs w:val="18"/>
        </w:rPr>
        <w:t>Per i Servizi di Windows Azure le società possono scegliere un periodo di abbonamento annuale o un abbonamento che termini il giorno stesso della scadenza del periodo di validità dell</w:t>
      </w:r>
      <w:r w:rsidR="00F2643E">
        <w:rPr>
          <w:rFonts w:cs="Tahoma"/>
          <w:szCs w:val="18"/>
        </w:rPr>
        <w:t>’</w:t>
      </w:r>
      <w:r w:rsidRPr="00A75DF9">
        <w:rPr>
          <w:rFonts w:cs="Tahoma"/>
          <w:szCs w:val="18"/>
        </w:rPr>
        <w:t xml:space="preserve">iscrizione delle società (“scadenza identica”). </w:t>
      </w:r>
      <w:r w:rsidRPr="00A75DF9">
        <w:rPr>
          <w:rFonts w:cs="Tahoma"/>
        </w:rPr>
        <w:t>Le</w:t>
      </w:r>
      <w:r w:rsidR="00105321">
        <w:rPr>
          <w:rFonts w:cs="Tahoma"/>
        </w:rPr>
        <w:t> </w:t>
      </w:r>
      <w:r w:rsidRPr="00A75DF9">
        <w:rPr>
          <w:rFonts w:cs="Tahoma"/>
        </w:rPr>
        <w:t>società che scelgono l</w:t>
      </w:r>
      <w:r w:rsidR="00F2643E">
        <w:rPr>
          <w:rFonts w:cs="Tahoma"/>
        </w:rPr>
        <w:t>’</w:t>
      </w:r>
      <w:r w:rsidRPr="00A75DF9">
        <w:rPr>
          <w:rFonts w:cs="Tahoma"/>
        </w:rPr>
        <w:t>opzione annuale non possono annullare l</w:t>
      </w:r>
      <w:r w:rsidR="00F2643E">
        <w:rPr>
          <w:rFonts w:cs="Tahoma"/>
        </w:rPr>
        <w:t>’</w:t>
      </w:r>
      <w:r w:rsidRPr="00A75DF9">
        <w:rPr>
          <w:rFonts w:cs="Tahoma"/>
        </w:rPr>
        <w:t>iscrizione prima di 12 mesi e le società che scelgono l</w:t>
      </w:r>
      <w:r w:rsidR="00F2643E">
        <w:rPr>
          <w:rFonts w:cs="Tahoma"/>
        </w:rPr>
        <w:t>’</w:t>
      </w:r>
      <w:r w:rsidRPr="00A75DF9">
        <w:rPr>
          <w:rFonts w:cs="Tahoma"/>
        </w:rPr>
        <w:t>opzione con scadenza identica non possono annullare l</w:t>
      </w:r>
      <w:r w:rsidR="00F2643E">
        <w:rPr>
          <w:rFonts w:cs="Tahoma"/>
        </w:rPr>
        <w:t>’</w:t>
      </w:r>
      <w:r w:rsidRPr="00A75DF9">
        <w:rPr>
          <w:rFonts w:cs="Tahoma"/>
        </w:rPr>
        <w:t>iscrizione prima di due mesi</w:t>
      </w:r>
      <w:r w:rsidRPr="00A75DF9">
        <w:rPr>
          <w:rFonts w:cs="Tahoma"/>
          <w:szCs w:val="18"/>
        </w:rPr>
        <w:t>.</w:t>
      </w:r>
    </w:p>
    <w:p w:rsidR="006A5DAE" w:rsidRPr="00A75DF9" w:rsidRDefault="006A5DAE" w:rsidP="006A5DAE">
      <w:pPr>
        <w:rPr>
          <w:rFonts w:cs="Tahoma"/>
        </w:rPr>
      </w:pPr>
    </w:p>
    <w:p w:rsidR="006A5DAE" w:rsidRPr="00A75DF9" w:rsidRDefault="005242EC" w:rsidP="005242EC">
      <w:pPr>
        <w:spacing w:after="60"/>
        <w:outlineLvl w:val="1"/>
        <w:rPr>
          <w:rFonts w:cs="Tahoma"/>
        </w:rPr>
      </w:pPr>
      <w:r w:rsidRPr="00A75DF9">
        <w:rPr>
          <w:rFonts w:cs="Tahoma"/>
          <w:b/>
          <w:szCs w:val="18"/>
        </w:rPr>
        <w:t>Impegno Monetario</w:t>
      </w:r>
    </w:p>
    <w:p w:rsidR="006A5DAE" w:rsidRPr="00A75DF9" w:rsidRDefault="006A5DAE" w:rsidP="006A5DAE">
      <w:pPr>
        <w:outlineLvl w:val="1"/>
        <w:rPr>
          <w:rFonts w:cs="Tahoma"/>
        </w:rPr>
      </w:pPr>
      <w:r w:rsidRPr="00A75DF9">
        <w:rPr>
          <w:rFonts w:cs="Tahoma"/>
          <w:szCs w:val="18"/>
        </w:rPr>
        <w:t>L</w:t>
      </w:r>
      <w:r w:rsidR="00F2643E">
        <w:rPr>
          <w:rFonts w:cs="Tahoma"/>
          <w:szCs w:val="18"/>
        </w:rPr>
        <w:t>’</w:t>
      </w:r>
      <w:r w:rsidRPr="00A75DF9">
        <w:rPr>
          <w:rFonts w:cs="Tahoma"/>
          <w:szCs w:val="18"/>
        </w:rPr>
        <w:t>ordine iniziale delle società dovrà includere un Impegno Monetario e potrà essere presentato in qualsiasi momento prima dell</w:t>
      </w:r>
      <w:r w:rsidR="00F2643E">
        <w:rPr>
          <w:rFonts w:cs="Tahoma"/>
          <w:szCs w:val="18"/>
        </w:rPr>
        <w:t>’</w:t>
      </w:r>
      <w:r w:rsidRPr="00A75DF9">
        <w:rPr>
          <w:rFonts w:cs="Tahoma"/>
          <w:szCs w:val="18"/>
        </w:rPr>
        <w:t>ultimo mese del periodo di validità dell</w:t>
      </w:r>
      <w:r w:rsidR="00F2643E">
        <w:rPr>
          <w:rFonts w:cs="Tahoma"/>
          <w:szCs w:val="18"/>
        </w:rPr>
        <w:t>’</w:t>
      </w:r>
      <w:r w:rsidRPr="00A75DF9">
        <w:rPr>
          <w:rFonts w:cs="Tahoma"/>
          <w:szCs w:val="18"/>
        </w:rPr>
        <w:t>iscrizione. L</w:t>
      </w:r>
      <w:r w:rsidR="00F2643E">
        <w:rPr>
          <w:rFonts w:cs="Tahoma"/>
          <w:szCs w:val="18"/>
        </w:rPr>
        <w:t>’</w:t>
      </w:r>
      <w:r w:rsidRPr="00A75DF9">
        <w:rPr>
          <w:rFonts w:cs="Tahoma"/>
          <w:szCs w:val="18"/>
        </w:rPr>
        <w:t>Impegno Monetario previsto dall</w:t>
      </w:r>
      <w:r w:rsidR="00F2643E">
        <w:rPr>
          <w:rFonts w:cs="Tahoma"/>
          <w:szCs w:val="18"/>
        </w:rPr>
        <w:t>’</w:t>
      </w:r>
      <w:r w:rsidRPr="00A75DF9">
        <w:rPr>
          <w:rFonts w:cs="Tahoma"/>
          <w:szCs w:val="18"/>
        </w:rPr>
        <w:t>opzione “Subscription” annuale verrà ripartito in uguale misura tra i 12 mesi successivi. L</w:t>
      </w:r>
      <w:r w:rsidR="00F2643E">
        <w:rPr>
          <w:rFonts w:cs="Tahoma"/>
          <w:szCs w:val="18"/>
        </w:rPr>
        <w:t>’</w:t>
      </w:r>
      <w:r w:rsidRPr="00A75DF9">
        <w:rPr>
          <w:rFonts w:cs="Tahoma"/>
          <w:szCs w:val="18"/>
        </w:rPr>
        <w:t>Impegno Monetario previsto dall</w:t>
      </w:r>
      <w:r w:rsidR="00F2643E">
        <w:rPr>
          <w:rFonts w:cs="Tahoma"/>
          <w:szCs w:val="18"/>
        </w:rPr>
        <w:t>’</w:t>
      </w:r>
      <w:r w:rsidRPr="00A75DF9">
        <w:rPr>
          <w:rFonts w:cs="Tahoma"/>
          <w:szCs w:val="18"/>
        </w:rPr>
        <w:t>opzione con scadenza identica verrà allocato in misura proporzionale durante il periodo di validità dell</w:t>
      </w:r>
      <w:r w:rsidR="00F2643E">
        <w:rPr>
          <w:rFonts w:cs="Tahoma"/>
          <w:szCs w:val="18"/>
        </w:rPr>
        <w:t>’</w:t>
      </w:r>
      <w:r w:rsidRPr="00A75DF9">
        <w:rPr>
          <w:rFonts w:cs="Tahoma"/>
          <w:szCs w:val="18"/>
        </w:rPr>
        <w:t>iscrizione.</w:t>
      </w:r>
    </w:p>
    <w:p w:rsidR="006A5DAE" w:rsidRPr="00A75DF9" w:rsidRDefault="006A5DAE" w:rsidP="006A5DAE">
      <w:pPr>
        <w:outlineLvl w:val="1"/>
        <w:rPr>
          <w:rFonts w:cs="Tahoma"/>
        </w:rPr>
      </w:pPr>
    </w:p>
    <w:p w:rsidR="006A5DAE" w:rsidRPr="00A75DF9" w:rsidRDefault="006A5DAE" w:rsidP="006A5DAE">
      <w:pPr>
        <w:rPr>
          <w:rFonts w:cs="Tahoma"/>
        </w:rPr>
      </w:pPr>
      <w:r w:rsidRPr="00A75DF9">
        <w:rPr>
          <w:rFonts w:cs="Tahoma"/>
        </w:rPr>
        <w:t>Le società potranno incrementare il proprio Impegno Monetario in qualsiasi momento effettuando ordini aggiuntivi.</w:t>
      </w:r>
      <w:r w:rsidR="009D3B41" w:rsidRPr="00A75DF9">
        <w:rPr>
          <w:rFonts w:cs="Tahoma"/>
        </w:rPr>
        <w:t xml:space="preserve"> </w:t>
      </w:r>
      <w:r w:rsidRPr="00A75DF9">
        <w:rPr>
          <w:rFonts w:cs="Tahoma"/>
        </w:rPr>
        <w:t>Tali ordini verranno aggiunti all</w:t>
      </w:r>
      <w:r w:rsidR="00F2643E">
        <w:rPr>
          <w:rFonts w:cs="Tahoma"/>
        </w:rPr>
        <w:t>’</w:t>
      </w:r>
      <w:r w:rsidRPr="00A75DF9">
        <w:rPr>
          <w:rFonts w:cs="Tahoma"/>
        </w:rPr>
        <w:t>Impegno Annuale Allocato corrente e potranno essere utilizzati il primo giorno del mese successivo all</w:t>
      </w:r>
      <w:r w:rsidR="00F2643E">
        <w:rPr>
          <w:rFonts w:cs="Tahoma"/>
        </w:rPr>
        <w:t>’</w:t>
      </w:r>
      <w:r w:rsidRPr="00A75DF9">
        <w:rPr>
          <w:rFonts w:cs="Tahoma"/>
        </w:rPr>
        <w:t>elaborazione dell</w:t>
      </w:r>
      <w:r w:rsidR="00F2643E">
        <w:rPr>
          <w:rFonts w:cs="Tahoma"/>
        </w:rPr>
        <w:t>’</w:t>
      </w:r>
      <w:r w:rsidRPr="00A75DF9">
        <w:rPr>
          <w:rFonts w:cs="Tahoma"/>
        </w:rPr>
        <w:t>ordine da parte di Microsoft. Per l</w:t>
      </w:r>
      <w:r w:rsidR="00F2643E">
        <w:rPr>
          <w:rFonts w:cs="Tahoma"/>
        </w:rPr>
        <w:t>’</w:t>
      </w:r>
      <w:r w:rsidRPr="00A75DF9">
        <w:rPr>
          <w:rFonts w:cs="Tahoma"/>
          <w:szCs w:val="18"/>
        </w:rPr>
        <w:t>opzione con scadenza identica</w:t>
      </w:r>
      <w:r w:rsidRPr="00A75DF9">
        <w:rPr>
          <w:rFonts w:cs="Tahoma"/>
        </w:rPr>
        <w:t xml:space="preserve"> i futuri Impegni Annuali Allocati verranno incrementati dall</w:t>
      </w:r>
      <w:r w:rsidR="00F2643E">
        <w:rPr>
          <w:rFonts w:cs="Tahoma"/>
        </w:rPr>
        <w:t>’</w:t>
      </w:r>
      <w:r w:rsidRPr="00A75DF9">
        <w:rPr>
          <w:rFonts w:cs="Tahoma"/>
        </w:rPr>
        <w:t>importo dell</w:t>
      </w:r>
      <w:r w:rsidR="00F2643E">
        <w:rPr>
          <w:rFonts w:cs="Tahoma"/>
        </w:rPr>
        <w:t>’</w:t>
      </w:r>
      <w:r w:rsidRPr="00A75DF9">
        <w:rPr>
          <w:rFonts w:cs="Tahoma"/>
        </w:rPr>
        <w:t>ordine aggiuntivo moltiplicato per dodici diviso il numero di mesi interi residui nell</w:t>
      </w:r>
      <w:r w:rsidR="00F2643E">
        <w:rPr>
          <w:rFonts w:cs="Tahoma"/>
        </w:rPr>
        <w:t>’</w:t>
      </w:r>
      <w:r w:rsidRPr="00A75DF9">
        <w:rPr>
          <w:rFonts w:cs="Tahoma"/>
        </w:rPr>
        <w:t>anno in cui è stato effettuato l</w:t>
      </w:r>
      <w:r w:rsidR="00F2643E">
        <w:rPr>
          <w:rFonts w:cs="Tahoma"/>
        </w:rPr>
        <w:t>’</w:t>
      </w:r>
      <w:r w:rsidRPr="00A75DF9">
        <w:rPr>
          <w:rFonts w:cs="Tahoma"/>
        </w:rPr>
        <w:t>ordine aggiuntivo.</w:t>
      </w:r>
    </w:p>
    <w:p w:rsidR="006A5DAE" w:rsidRPr="00A75DF9" w:rsidRDefault="006A5DAE" w:rsidP="006A5DAE">
      <w:pPr>
        <w:rPr>
          <w:rFonts w:cs="Tahoma"/>
        </w:rPr>
      </w:pPr>
    </w:p>
    <w:p w:rsidR="006A5DAE" w:rsidRPr="00A75DF9" w:rsidRDefault="006A5DAE" w:rsidP="00105321">
      <w:pPr>
        <w:outlineLvl w:val="1"/>
        <w:rPr>
          <w:rFonts w:cs="Tahoma"/>
        </w:rPr>
      </w:pPr>
      <w:r w:rsidRPr="00A75DF9">
        <w:rPr>
          <w:rFonts w:cs="Tahoma"/>
          <w:szCs w:val="18"/>
        </w:rPr>
        <w:t>Le società dovranno consumare l</w:t>
      </w:r>
      <w:r w:rsidR="00F2643E">
        <w:rPr>
          <w:rFonts w:cs="Tahoma"/>
          <w:szCs w:val="18"/>
        </w:rPr>
        <w:t>’</w:t>
      </w:r>
      <w:r w:rsidRPr="00A75DF9">
        <w:rPr>
          <w:rFonts w:cs="Tahoma"/>
        </w:rPr>
        <w:t>Impegno Annuale Allocato</w:t>
      </w:r>
      <w:r w:rsidRPr="00A75DF9">
        <w:rPr>
          <w:rFonts w:cs="Tahoma"/>
          <w:szCs w:val="18"/>
        </w:rPr>
        <w:t xml:space="preserve"> entro l</w:t>
      </w:r>
      <w:r w:rsidR="00F2643E">
        <w:rPr>
          <w:rFonts w:cs="Tahoma"/>
          <w:szCs w:val="18"/>
        </w:rPr>
        <w:t>’</w:t>
      </w:r>
      <w:r w:rsidRPr="00A75DF9">
        <w:rPr>
          <w:rFonts w:cs="Tahoma"/>
          <w:szCs w:val="18"/>
        </w:rPr>
        <w:t>ultimo giorno del 12° mese successivo all</w:t>
      </w:r>
      <w:r w:rsidR="00F2643E">
        <w:rPr>
          <w:rFonts w:cs="Tahoma"/>
          <w:szCs w:val="18"/>
        </w:rPr>
        <w:t>’</w:t>
      </w:r>
      <w:r w:rsidRPr="00A75DF9">
        <w:rPr>
          <w:rFonts w:cs="Tahoma"/>
          <w:szCs w:val="18"/>
        </w:rPr>
        <w:t>ordine per l</w:t>
      </w:r>
      <w:r w:rsidR="00F2643E">
        <w:rPr>
          <w:rFonts w:cs="Tahoma"/>
          <w:szCs w:val="18"/>
        </w:rPr>
        <w:t>’</w:t>
      </w:r>
      <w:r w:rsidRPr="00A75DF9">
        <w:rPr>
          <w:rFonts w:cs="Tahoma"/>
          <w:szCs w:val="18"/>
        </w:rPr>
        <w:t>opzione “Subscription” annuale ed entro l</w:t>
      </w:r>
      <w:r w:rsidR="00F2643E">
        <w:rPr>
          <w:rFonts w:cs="Tahoma"/>
          <w:szCs w:val="18"/>
        </w:rPr>
        <w:t>’</w:t>
      </w:r>
      <w:r w:rsidRPr="00A75DF9">
        <w:rPr>
          <w:rFonts w:cs="Tahoma"/>
          <w:szCs w:val="18"/>
        </w:rPr>
        <w:t>ultimo giorno del mese precedente la ricorrenza annuale dell</w:t>
      </w:r>
      <w:r w:rsidR="00F2643E">
        <w:rPr>
          <w:rFonts w:cs="Tahoma"/>
          <w:szCs w:val="18"/>
        </w:rPr>
        <w:t>’</w:t>
      </w:r>
      <w:r w:rsidRPr="00A75DF9">
        <w:rPr>
          <w:rFonts w:cs="Tahoma"/>
          <w:szCs w:val="18"/>
        </w:rPr>
        <w:t>iscrizione moltiplicato per dodici diviso il numero di mesi interi residui nell</w:t>
      </w:r>
      <w:r w:rsidR="00F2643E">
        <w:rPr>
          <w:rFonts w:cs="Tahoma"/>
          <w:szCs w:val="18"/>
        </w:rPr>
        <w:t>’</w:t>
      </w:r>
      <w:r w:rsidRPr="00A75DF9">
        <w:rPr>
          <w:rFonts w:cs="Tahoma"/>
          <w:szCs w:val="18"/>
        </w:rPr>
        <w:t>anno in cui è stato effettuato l</w:t>
      </w:r>
      <w:r w:rsidR="00F2643E">
        <w:rPr>
          <w:rFonts w:cs="Tahoma"/>
          <w:szCs w:val="18"/>
        </w:rPr>
        <w:t>’</w:t>
      </w:r>
      <w:r w:rsidRPr="00A75DF9">
        <w:rPr>
          <w:rFonts w:cs="Tahoma"/>
          <w:szCs w:val="18"/>
        </w:rPr>
        <w:t>ordine aggiuntivo per il</w:t>
      </w:r>
      <w:r w:rsidR="00105321">
        <w:rPr>
          <w:rFonts w:cs="Tahoma"/>
          <w:szCs w:val="18"/>
        </w:rPr>
        <w:t> </w:t>
      </w:r>
      <w:r w:rsidRPr="00A75DF9">
        <w:rPr>
          <w:rFonts w:cs="Tahoma"/>
          <w:szCs w:val="18"/>
        </w:rPr>
        <w:t>periodo di abbonamento con scadenza identica. L</w:t>
      </w:r>
      <w:r w:rsidR="00F2643E">
        <w:rPr>
          <w:rFonts w:cs="Tahoma"/>
          <w:szCs w:val="18"/>
        </w:rPr>
        <w:t>’</w:t>
      </w:r>
      <w:r w:rsidRPr="00A75DF9">
        <w:rPr>
          <w:rFonts w:cs="Tahoma"/>
          <w:szCs w:val="18"/>
        </w:rPr>
        <w:t>eventuale parte non utilizzata dell</w:t>
      </w:r>
      <w:r w:rsidR="00F2643E">
        <w:rPr>
          <w:rFonts w:cs="Tahoma"/>
          <w:szCs w:val="18"/>
        </w:rPr>
        <w:t>’</w:t>
      </w:r>
      <w:r w:rsidRPr="00A75DF9">
        <w:rPr>
          <w:rFonts w:cs="Tahoma"/>
        </w:rPr>
        <w:t xml:space="preserve">Impegno Annuale Anticipato </w:t>
      </w:r>
      <w:r w:rsidRPr="00A75DF9">
        <w:rPr>
          <w:rFonts w:cs="Tahoma"/>
          <w:szCs w:val="18"/>
        </w:rPr>
        <w:t>andrà</w:t>
      </w:r>
      <w:r w:rsidRPr="00A75DF9">
        <w:rPr>
          <w:rFonts w:cs="Tahoma"/>
        </w:rPr>
        <w:t xml:space="preserve"> persa</w:t>
      </w:r>
      <w:r w:rsidRPr="00A75DF9">
        <w:rPr>
          <w:rFonts w:cs="Tahoma"/>
          <w:szCs w:val="18"/>
        </w:rPr>
        <w:t xml:space="preserve">. </w:t>
      </w:r>
    </w:p>
    <w:p w:rsidR="006A5DAE" w:rsidRPr="00A75DF9" w:rsidRDefault="006A5DAE" w:rsidP="006A5DAE">
      <w:pPr>
        <w:rPr>
          <w:rFonts w:cs="Tahoma"/>
        </w:rPr>
      </w:pPr>
    </w:p>
    <w:p w:rsidR="006A5DAE" w:rsidRPr="00A75DF9" w:rsidRDefault="005242EC" w:rsidP="005242EC">
      <w:pPr>
        <w:spacing w:after="60"/>
        <w:outlineLvl w:val="1"/>
        <w:rPr>
          <w:rFonts w:cs="Tahoma"/>
        </w:rPr>
      </w:pPr>
      <w:r w:rsidRPr="00A75DF9">
        <w:rPr>
          <w:rFonts w:cs="Tahoma"/>
          <w:b/>
          <w:szCs w:val="18"/>
        </w:rPr>
        <w:lastRenderedPageBreak/>
        <w:t xml:space="preserve">Pagamento e Corrispettivi </w:t>
      </w:r>
    </w:p>
    <w:p w:rsidR="006A5DAE" w:rsidRPr="00A75DF9" w:rsidRDefault="006A5DAE" w:rsidP="006A5DAE">
      <w:pPr>
        <w:rPr>
          <w:rFonts w:cs="Tahoma"/>
        </w:rPr>
      </w:pPr>
      <w:r w:rsidRPr="00A75DF9">
        <w:rPr>
          <w:rFonts w:cs="Tahoma"/>
        </w:rPr>
        <w:t>Per l</w:t>
      </w:r>
      <w:r w:rsidR="00F2643E">
        <w:rPr>
          <w:rFonts w:cs="Tahoma"/>
        </w:rPr>
        <w:t>’</w:t>
      </w:r>
      <w:r w:rsidRPr="00A75DF9">
        <w:rPr>
          <w:rFonts w:cs="Tahoma"/>
        </w:rPr>
        <w:t>opzione “Subscription” annuale, gli ordini verranno fatturati immediatamente ai clienti o ai loro rivenditori. Per l</w:t>
      </w:r>
      <w:r w:rsidR="00F2643E">
        <w:rPr>
          <w:rFonts w:cs="Tahoma"/>
        </w:rPr>
        <w:t>’</w:t>
      </w:r>
      <w:r w:rsidRPr="00A75DF9">
        <w:rPr>
          <w:rFonts w:cs="Tahoma"/>
          <w:szCs w:val="18"/>
        </w:rPr>
        <w:t xml:space="preserve">opzione di abbonamento con scadenza identica, il </w:t>
      </w:r>
      <w:r w:rsidRPr="00A75DF9">
        <w:rPr>
          <w:rFonts w:cs="Tahoma"/>
        </w:rPr>
        <w:t>primo Impegno Annuale Allocato verrà fatturato immediatamente e i futuri Impegni Annuali Allocati verranno fatturati in occasione della ricorrenza annuale della data di entrata in vigore dell</w:t>
      </w:r>
      <w:r w:rsidR="00F2643E">
        <w:rPr>
          <w:rFonts w:cs="Tahoma"/>
        </w:rPr>
        <w:t>’</w:t>
      </w:r>
      <w:r w:rsidRPr="00A75DF9">
        <w:rPr>
          <w:rFonts w:cs="Tahoma"/>
        </w:rPr>
        <w:t>iscrizione. In alternativa, le società potranno scegliere di pagare l</w:t>
      </w:r>
      <w:r w:rsidR="00F2643E">
        <w:rPr>
          <w:rFonts w:cs="Tahoma"/>
        </w:rPr>
        <w:t>’</w:t>
      </w:r>
      <w:r w:rsidRPr="00A75DF9">
        <w:rPr>
          <w:rFonts w:cs="Tahoma"/>
        </w:rPr>
        <w:t>intero Impegno Monetario all</w:t>
      </w:r>
      <w:r w:rsidR="00F2643E">
        <w:rPr>
          <w:rFonts w:cs="Tahoma"/>
        </w:rPr>
        <w:t>’</w:t>
      </w:r>
      <w:r w:rsidRPr="00A75DF9">
        <w:rPr>
          <w:rFonts w:cs="Tahoma"/>
        </w:rPr>
        <w:t>atto dell</w:t>
      </w:r>
      <w:r w:rsidR="00F2643E">
        <w:rPr>
          <w:rFonts w:cs="Tahoma"/>
        </w:rPr>
        <w:t>’</w:t>
      </w:r>
      <w:r w:rsidRPr="00A75DF9">
        <w:rPr>
          <w:rFonts w:cs="Tahoma"/>
        </w:rPr>
        <w:t>effettuazione dell</w:t>
      </w:r>
      <w:r w:rsidR="00F2643E">
        <w:rPr>
          <w:rFonts w:cs="Tahoma"/>
        </w:rPr>
        <w:t>’</w:t>
      </w:r>
      <w:r w:rsidRPr="00A75DF9">
        <w:rPr>
          <w:rFonts w:cs="Tahoma"/>
        </w:rPr>
        <w:t>ordine iniziale.</w:t>
      </w:r>
    </w:p>
    <w:p w:rsidR="006A5DAE" w:rsidRPr="00A75DF9" w:rsidRDefault="006A5DAE" w:rsidP="006A5DAE">
      <w:pPr>
        <w:rPr>
          <w:rFonts w:cs="Tahoma"/>
        </w:rPr>
      </w:pPr>
    </w:p>
    <w:p w:rsidR="006A5DAE" w:rsidRPr="00A75DF9" w:rsidRDefault="006A5DAE" w:rsidP="00105321">
      <w:pPr>
        <w:rPr>
          <w:rFonts w:cs="Tahoma"/>
        </w:rPr>
      </w:pPr>
      <w:r w:rsidRPr="00A75DF9">
        <w:rPr>
          <w:rFonts w:cs="Tahoma"/>
        </w:rPr>
        <w:t>Ogni mese Microsoft dedurrà dall</w:t>
      </w:r>
      <w:r w:rsidR="00F2643E">
        <w:rPr>
          <w:rFonts w:cs="Tahoma"/>
        </w:rPr>
        <w:t>’</w:t>
      </w:r>
      <w:r w:rsidRPr="00A75DF9">
        <w:rPr>
          <w:rFonts w:cs="Tahoma"/>
        </w:rPr>
        <w:t>Impegno Annuale Allocato il valore monetario corrispondente all</w:t>
      </w:r>
      <w:r w:rsidR="00F2643E">
        <w:rPr>
          <w:rFonts w:cs="Tahoma"/>
        </w:rPr>
        <w:t>’</w:t>
      </w:r>
      <w:r w:rsidRPr="00A75DF9">
        <w:rPr>
          <w:rFonts w:cs="Tahoma"/>
        </w:rPr>
        <w:t>utilizzo dei Servizi di Windows Azure da parte di una società. Dopo che il saldo relativo all</w:t>
      </w:r>
      <w:r w:rsidR="00F2643E">
        <w:rPr>
          <w:rFonts w:cs="Tahoma"/>
        </w:rPr>
        <w:t>’</w:t>
      </w:r>
      <w:r w:rsidRPr="00A75DF9">
        <w:rPr>
          <w:rFonts w:cs="Tahoma"/>
        </w:rPr>
        <w:t>Impegno Annuale Allocato della società è stato esaurito, qualsiasi utilizzo aggiuntivo per quel mese e per i mesi residui per l</w:t>
      </w:r>
      <w:r w:rsidR="00F2643E">
        <w:rPr>
          <w:rFonts w:cs="Tahoma"/>
        </w:rPr>
        <w:t>’</w:t>
      </w:r>
      <w:r w:rsidRPr="00A75DF9">
        <w:rPr>
          <w:rFonts w:cs="Tahoma"/>
        </w:rPr>
        <w:t>opzione “Subscription” annuale o</w:t>
      </w:r>
      <w:r w:rsidR="00105321">
        <w:rPr>
          <w:rFonts w:cs="Tahoma"/>
        </w:rPr>
        <w:t> </w:t>
      </w:r>
      <w:r w:rsidRPr="00A75DF9">
        <w:rPr>
          <w:rFonts w:cs="Tahoma"/>
        </w:rPr>
        <w:t>dei mesi residui dell</w:t>
      </w:r>
      <w:r w:rsidR="00F2643E">
        <w:rPr>
          <w:rFonts w:cs="Tahoma"/>
        </w:rPr>
        <w:t>’</w:t>
      </w:r>
      <w:r w:rsidRPr="00A75DF9">
        <w:rPr>
          <w:rFonts w:cs="Tahoma"/>
        </w:rPr>
        <w:t>anno corrente dell</w:t>
      </w:r>
      <w:r w:rsidR="00F2643E">
        <w:rPr>
          <w:rFonts w:cs="Tahoma"/>
        </w:rPr>
        <w:t>’</w:t>
      </w:r>
      <w:r w:rsidRPr="00A75DF9">
        <w:rPr>
          <w:rFonts w:cs="Tahoma"/>
        </w:rPr>
        <w:t>iscrizione per l</w:t>
      </w:r>
      <w:r w:rsidR="00F2643E">
        <w:rPr>
          <w:rFonts w:cs="Tahoma"/>
        </w:rPr>
        <w:t>’</w:t>
      </w:r>
      <w:r w:rsidRPr="00A75DF9">
        <w:rPr>
          <w:rFonts w:cs="Tahoma"/>
        </w:rPr>
        <w:t>opzione con scadenza identica verrà fatturato in base alle Tariffe di Consumo. Qualora una società scelga l</w:t>
      </w:r>
      <w:r w:rsidR="00F2643E">
        <w:rPr>
          <w:rFonts w:cs="Tahoma"/>
        </w:rPr>
        <w:t>’</w:t>
      </w:r>
      <w:r w:rsidRPr="00A75DF9">
        <w:rPr>
          <w:rFonts w:cs="Tahoma"/>
        </w:rPr>
        <w:t>opzione “Subscription” annuale, l</w:t>
      </w:r>
      <w:r w:rsidR="00F2643E">
        <w:rPr>
          <w:rFonts w:cs="Tahoma"/>
        </w:rPr>
        <w:t>’</w:t>
      </w:r>
      <w:r w:rsidRPr="00A75DF9">
        <w:rPr>
          <w:rFonts w:cs="Tahoma"/>
        </w:rPr>
        <w:t>eventuale utilizzo in base alle Tariffe di Consumo verrà fatturato alla società o al rivenditore al termine di ciascun trimestre dell</w:t>
      </w:r>
      <w:r w:rsidR="00F2643E">
        <w:rPr>
          <w:rFonts w:cs="Tahoma"/>
        </w:rPr>
        <w:t>’</w:t>
      </w:r>
      <w:r w:rsidRPr="00A75DF9">
        <w:rPr>
          <w:rFonts w:cs="Tahoma"/>
        </w:rPr>
        <w:t>iscrizione e alla scadenza del periodo di validità dell</w:t>
      </w:r>
      <w:r w:rsidR="00F2643E">
        <w:rPr>
          <w:rFonts w:cs="Tahoma"/>
        </w:rPr>
        <w:t>’</w:t>
      </w:r>
      <w:r w:rsidRPr="00A75DF9">
        <w:rPr>
          <w:rFonts w:cs="Tahoma"/>
        </w:rPr>
        <w:t>abbonamento. Qualora una società scelga l</w:t>
      </w:r>
      <w:r w:rsidR="00F2643E">
        <w:rPr>
          <w:rFonts w:cs="Tahoma"/>
        </w:rPr>
        <w:t>’</w:t>
      </w:r>
      <w:r w:rsidRPr="00A75DF9">
        <w:rPr>
          <w:rFonts w:cs="Tahoma"/>
        </w:rPr>
        <w:t>opzione di abbonamento con scadenza identica, l</w:t>
      </w:r>
      <w:r w:rsidR="00F2643E">
        <w:rPr>
          <w:rFonts w:cs="Tahoma"/>
        </w:rPr>
        <w:t>’</w:t>
      </w:r>
      <w:r w:rsidRPr="00A75DF9">
        <w:rPr>
          <w:rFonts w:cs="Tahoma"/>
        </w:rPr>
        <w:t>eventuale utilizzo in base alle Tariffe di Consumo verrà fatturato alla società o al rivenditore al</w:t>
      </w:r>
      <w:r w:rsidR="00105321">
        <w:rPr>
          <w:rFonts w:cs="Tahoma"/>
        </w:rPr>
        <w:t> </w:t>
      </w:r>
      <w:r w:rsidRPr="00A75DF9">
        <w:rPr>
          <w:rFonts w:cs="Tahoma"/>
        </w:rPr>
        <w:t>termine di ciascun trimestre dell</w:t>
      </w:r>
      <w:r w:rsidR="00F2643E">
        <w:rPr>
          <w:rFonts w:cs="Tahoma"/>
        </w:rPr>
        <w:t>’</w:t>
      </w:r>
      <w:r w:rsidRPr="00A75DF9">
        <w:rPr>
          <w:rFonts w:cs="Tahoma"/>
        </w:rPr>
        <w:t>iscrizione.</w:t>
      </w:r>
      <w:r w:rsidR="009D3B41" w:rsidRPr="00A75DF9">
        <w:rPr>
          <w:rFonts w:cs="Tahoma"/>
        </w:rPr>
        <w:t xml:space="preserve"> </w:t>
      </w:r>
    </w:p>
    <w:p w:rsidR="006A5DAE" w:rsidRPr="00A75DF9" w:rsidRDefault="006A5DAE" w:rsidP="006A5DAE">
      <w:pPr>
        <w:rPr>
          <w:rFonts w:cs="Tahoma"/>
        </w:rPr>
      </w:pPr>
    </w:p>
    <w:p w:rsidR="006A5DAE" w:rsidRPr="00A75DF9" w:rsidRDefault="006A5DAE" w:rsidP="006A5DAE">
      <w:pPr>
        <w:rPr>
          <w:rFonts w:cs="Tahoma"/>
        </w:rPr>
      </w:pPr>
      <w:r w:rsidRPr="00A75DF9">
        <w:rPr>
          <w:rFonts w:cs="Tahoma"/>
        </w:rPr>
        <w:t>L</w:t>
      </w:r>
      <w:r w:rsidR="00F2643E">
        <w:rPr>
          <w:rFonts w:cs="Tahoma"/>
        </w:rPr>
        <w:t>’</w:t>
      </w:r>
      <w:r w:rsidRPr="00A75DF9">
        <w:rPr>
          <w:rFonts w:cs="Tahoma"/>
        </w:rPr>
        <w:t>utilizzo dei Servizi di Windows Azure dopo la scadenza o il termine del periodo di validità dell</w:t>
      </w:r>
      <w:r w:rsidR="00F2643E">
        <w:rPr>
          <w:rFonts w:cs="Tahoma"/>
        </w:rPr>
        <w:t>’</w:t>
      </w:r>
      <w:r w:rsidRPr="00A75DF9">
        <w:rPr>
          <w:rFonts w:cs="Tahoma"/>
        </w:rPr>
        <w:t>abbonamento di una società verrà fatturato alla società o al rivenditore in base alle Tariffe di Consumo con cadenza trimestrale.</w:t>
      </w:r>
    </w:p>
    <w:p w:rsidR="006A5DAE" w:rsidRPr="00A75DF9" w:rsidRDefault="006A5DAE" w:rsidP="006A5DAE">
      <w:pPr>
        <w:rPr>
          <w:rFonts w:cs="Tahoma"/>
        </w:rPr>
      </w:pPr>
    </w:p>
    <w:p w:rsidR="006A5DAE" w:rsidRPr="00A75DF9" w:rsidRDefault="006A5DAE" w:rsidP="00105321">
      <w:pPr>
        <w:rPr>
          <w:rFonts w:cs="Tahoma"/>
        </w:rPr>
      </w:pPr>
      <w:r w:rsidRPr="00A75DF9">
        <w:rPr>
          <w:rFonts w:cs="Tahoma"/>
        </w:rPr>
        <w:t>Microsoft potrà abbassare i prezzi per i singoli Servizi di Windows Azure durante il periodo di validità dell</w:t>
      </w:r>
      <w:r w:rsidR="00F2643E">
        <w:rPr>
          <w:rFonts w:cs="Tahoma"/>
        </w:rPr>
        <w:t>’</w:t>
      </w:r>
      <w:r w:rsidRPr="00A75DF9">
        <w:rPr>
          <w:rFonts w:cs="Tahoma"/>
        </w:rPr>
        <w:t>iscrizione di</w:t>
      </w:r>
      <w:r w:rsidR="00105321">
        <w:rPr>
          <w:rFonts w:cs="Tahoma"/>
        </w:rPr>
        <w:t> </w:t>
      </w:r>
      <w:r w:rsidRPr="00A75DF9">
        <w:rPr>
          <w:rFonts w:cs="Tahoma"/>
        </w:rPr>
        <w:t>una società.</w:t>
      </w:r>
      <w:r w:rsidR="009D3B41" w:rsidRPr="00A75DF9">
        <w:rPr>
          <w:rFonts w:cs="Tahoma"/>
        </w:rPr>
        <w:t xml:space="preserve"> </w:t>
      </w:r>
      <w:r w:rsidRPr="00A75DF9">
        <w:rPr>
          <w:rFonts w:cs="Tahoma"/>
        </w:rPr>
        <w:t>Per le società che acquistano i Servizi di Windows Azure direttamente da Microsoft, l</w:t>
      </w:r>
      <w:r w:rsidR="00F2643E">
        <w:rPr>
          <w:rFonts w:cs="Tahoma"/>
        </w:rPr>
        <w:t>’</w:t>
      </w:r>
      <w:r w:rsidRPr="00A75DF9">
        <w:rPr>
          <w:rFonts w:cs="Tahoma"/>
        </w:rPr>
        <w:t>Elenco Prezzi Cliente (Customer Price Sheet) potrà indicare un prezzo maggiore al prezzo corrente in quel momento. Microsoft concederà i prezzi inferiori a quelle società durante il periodo in cui sono in vigore. Microsoft comunicherà alle società eventuali variazioni di questo tipo.</w:t>
      </w:r>
    </w:p>
    <w:p w:rsidR="006A5DAE" w:rsidRPr="00A75DF9" w:rsidRDefault="006A5DAE" w:rsidP="006A5DAE">
      <w:pPr>
        <w:rPr>
          <w:rFonts w:cs="Tahoma"/>
        </w:rPr>
      </w:pPr>
    </w:p>
    <w:p w:rsidR="006A5DAE" w:rsidRPr="00A75DF9" w:rsidRDefault="006A5DAE" w:rsidP="00105321">
      <w:pPr>
        <w:rPr>
          <w:rFonts w:cs="Tahoma"/>
        </w:rPr>
      </w:pPr>
      <w:r w:rsidRPr="00A75DF9">
        <w:rPr>
          <w:rFonts w:cs="Tahoma"/>
          <w:szCs w:val="18"/>
        </w:rPr>
        <w:t>I prezzi e le condizioni di pagamento per gli abbonamenti acquistati presso i rivenditori sono stabiliti tramite un contratto tra la società e il suo rivenditore.</w:t>
      </w:r>
      <w:r w:rsidR="009D3B41" w:rsidRPr="00A75DF9">
        <w:rPr>
          <w:rFonts w:cs="Tahoma"/>
          <w:szCs w:val="18"/>
        </w:rPr>
        <w:t xml:space="preserve"> </w:t>
      </w:r>
      <w:r w:rsidRPr="00A75DF9">
        <w:rPr>
          <w:rFonts w:cs="Tahoma"/>
          <w:szCs w:val="18"/>
        </w:rPr>
        <w:t xml:space="preserve">Il </w:t>
      </w:r>
      <w:r w:rsidRPr="00A75DF9">
        <w:rPr>
          <w:rFonts w:cs="Tahoma"/>
          <w:iCs/>
        </w:rPr>
        <w:t>rivenditore di una società fornirà informazioni aggiuntive relativamente alle procedure di effettuazione degli ordini per i Servizi Windows Azure.</w:t>
      </w:r>
      <w:r w:rsidR="009D3B41" w:rsidRPr="00A75DF9">
        <w:rPr>
          <w:rFonts w:cs="Tahoma"/>
          <w:iCs/>
        </w:rPr>
        <w:t xml:space="preserve"> </w:t>
      </w:r>
      <w:r w:rsidRPr="00A75DF9">
        <w:rPr>
          <w:rFonts w:cs="Tahoma"/>
          <w:iCs/>
        </w:rPr>
        <w:t xml:space="preserve">I prezzi e le condizioni di fatturazione per tutti i Servizi di Windows Azure saranno disciplinati da un contratto specifico tra la società e il relativo rivenditore. </w:t>
      </w:r>
      <w:r w:rsidRPr="00A75DF9">
        <w:rPr>
          <w:rFonts w:cs="Tahoma"/>
        </w:rPr>
        <w:t>Microsoft potrà ribassare i prezzi per i singoli Servizi di Windows Azure durante il periodo di validità dell</w:t>
      </w:r>
      <w:r w:rsidR="00F2643E">
        <w:rPr>
          <w:rFonts w:cs="Tahoma"/>
        </w:rPr>
        <w:t>’</w:t>
      </w:r>
      <w:r w:rsidRPr="00A75DF9">
        <w:rPr>
          <w:rFonts w:cs="Tahoma"/>
        </w:rPr>
        <w:t>iscrizione di</w:t>
      </w:r>
      <w:r w:rsidR="00105321">
        <w:rPr>
          <w:rFonts w:cs="Tahoma"/>
        </w:rPr>
        <w:t> </w:t>
      </w:r>
      <w:r w:rsidRPr="00A75DF9">
        <w:rPr>
          <w:rFonts w:cs="Tahoma"/>
        </w:rPr>
        <w:t>una società e potrà concedere i prezzi inferiori al rivenditore della società durante il periodo in cui sono in vigore. Microsoft comunicherà al rivenditore della società eventuali variazioni di questo tipo. La società e il rivenditore stabiliranno il prezzo effettivo e l</w:t>
      </w:r>
      <w:r w:rsidR="00F2643E">
        <w:rPr>
          <w:rFonts w:cs="Tahoma"/>
        </w:rPr>
        <w:t>’</w:t>
      </w:r>
      <w:r w:rsidRPr="00A75DF9">
        <w:rPr>
          <w:rFonts w:cs="Tahoma"/>
        </w:rPr>
        <w:t>applicabilità di qualsiasi variazione di prezzo.</w:t>
      </w:r>
    </w:p>
    <w:p w:rsidR="00BD1A6A" w:rsidRPr="00A75DF9" w:rsidRDefault="00BD1A6A">
      <w:pPr>
        <w:rPr>
          <w:rFonts w:cs="Tahoma"/>
        </w:rPr>
      </w:pPr>
    </w:p>
    <w:p w:rsidR="00776E3B" w:rsidRPr="00A75DF9" w:rsidRDefault="005242EC" w:rsidP="005242EC">
      <w:pPr>
        <w:spacing w:after="60"/>
        <w:outlineLvl w:val="1"/>
        <w:rPr>
          <w:rFonts w:cs="Tahoma"/>
        </w:rPr>
      </w:pPr>
      <w:r w:rsidRPr="00A75DF9">
        <w:rPr>
          <w:rFonts w:cs="Tahoma"/>
          <w:b/>
          <w:sz w:val="20"/>
          <w:szCs w:val="18"/>
        </w:rPr>
        <w:t>Tariffe di Impegno per Windows Azure.</w:t>
      </w:r>
    </w:p>
    <w:p w:rsidR="00776E3B" w:rsidRPr="00A75DF9" w:rsidRDefault="006A5DAE" w:rsidP="00105321">
      <w:pPr>
        <w:outlineLvl w:val="1"/>
        <w:rPr>
          <w:rFonts w:cs="Tahoma"/>
        </w:rPr>
      </w:pPr>
      <w:r w:rsidRPr="00A75DF9">
        <w:rPr>
          <w:rFonts w:cs="Tahoma"/>
          <w:szCs w:val="18"/>
        </w:rPr>
        <w:t>Le Tariffe di Impegno delle società per i Servizi di Windows Azure si basano sul Livello di Impegno Monetario di Windows Azure e sul livello di prezzo dell</w:t>
      </w:r>
      <w:r w:rsidR="00F2643E">
        <w:rPr>
          <w:rFonts w:cs="Tahoma"/>
          <w:szCs w:val="18"/>
        </w:rPr>
        <w:t>’</w:t>
      </w:r>
      <w:r w:rsidRPr="00A75DF9">
        <w:rPr>
          <w:rFonts w:cs="Tahoma"/>
          <w:szCs w:val="18"/>
        </w:rPr>
        <w:t>iscrizione. Il Livello di Impegno Monetario per Windows Azure è determinato dalla quantità annuale di Impegni Monetari per Windows Azure della società (vale a dire, l</w:t>
      </w:r>
      <w:r w:rsidR="00F2643E">
        <w:rPr>
          <w:rFonts w:cs="Tahoma"/>
          <w:szCs w:val="18"/>
        </w:rPr>
        <w:t>’</w:t>
      </w:r>
      <w:r w:rsidRPr="00A75DF9">
        <w:rPr>
          <w:rFonts w:cs="Tahoma"/>
          <w:szCs w:val="18"/>
        </w:rPr>
        <w:t>importo monetario totale</w:t>
      </w:r>
      <w:r w:rsidR="00105321">
        <w:rPr>
          <w:rFonts w:cs="Tahoma"/>
          <w:szCs w:val="18"/>
        </w:rPr>
        <w:t> </w:t>
      </w:r>
      <w:r w:rsidRPr="00A75DF9">
        <w:rPr>
          <w:rFonts w:cs="Tahoma"/>
          <w:szCs w:val="18"/>
        </w:rPr>
        <w:t>che la società si impegna a soddisfare durante il periodo di validità dell</w:t>
      </w:r>
      <w:r w:rsidR="00F2643E">
        <w:rPr>
          <w:rFonts w:cs="Tahoma"/>
          <w:szCs w:val="18"/>
        </w:rPr>
        <w:t>’</w:t>
      </w:r>
      <w:r w:rsidRPr="00A75DF9">
        <w:rPr>
          <w:rFonts w:cs="Tahoma"/>
          <w:szCs w:val="18"/>
        </w:rPr>
        <w:t>abbonamento a Windows Azure) e</w:t>
      </w:r>
      <w:r w:rsidR="00105321">
        <w:rPr>
          <w:rFonts w:cs="Tahoma"/>
          <w:szCs w:val="18"/>
        </w:rPr>
        <w:t> </w:t>
      </w:r>
      <w:r w:rsidRPr="00A75DF9">
        <w:rPr>
          <w:rFonts w:cs="Tahoma"/>
          <w:szCs w:val="18"/>
        </w:rPr>
        <w:t>corrisponde allo sconto specificato nella tabella che segue (espresso come percentuale da detrarre dalle Tariffe di</w:t>
      </w:r>
      <w:r w:rsidR="00105321">
        <w:rPr>
          <w:rFonts w:cs="Tahoma"/>
          <w:szCs w:val="18"/>
        </w:rPr>
        <w:t> </w:t>
      </w:r>
      <w:r w:rsidRPr="00A75DF9">
        <w:rPr>
          <w:rFonts w:cs="Tahoma"/>
          <w:szCs w:val="18"/>
        </w:rPr>
        <w:t xml:space="preserve">Eccedenza/Consumo di Windows Azure). </w:t>
      </w:r>
    </w:p>
    <w:p w:rsidR="00776E3B" w:rsidRPr="00A75DF9" w:rsidRDefault="00776E3B" w:rsidP="00776E3B">
      <w:pPr>
        <w:ind w:left="720"/>
        <w:outlineLvl w:val="1"/>
        <w:rPr>
          <w:rFonts w:cs="Tahoma"/>
        </w:rPr>
      </w:pPr>
    </w:p>
    <w:tbl>
      <w:tblPr>
        <w:tblW w:w="0" w:type="auto"/>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2583"/>
        <w:gridCol w:w="2592"/>
        <w:gridCol w:w="2082"/>
      </w:tblGrid>
      <w:tr w:rsidR="00776E3B" w:rsidRPr="00A75DF9" w:rsidTr="0044720D">
        <w:trPr>
          <w:trHeight w:val="515"/>
          <w:tblHeader/>
          <w:jc w:val="center"/>
        </w:trPr>
        <w:tc>
          <w:tcPr>
            <w:tcW w:w="2583"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776E3B" w:rsidRPr="00A75DF9" w:rsidRDefault="00776E3B" w:rsidP="00105321">
            <w:pPr>
              <w:jc w:val="center"/>
              <w:rPr>
                <w:rFonts w:eastAsia="Times New Roman" w:cs="Tahoma"/>
                <w:b/>
                <w:bCs/>
                <w:szCs w:val="18"/>
              </w:rPr>
            </w:pPr>
            <w:r w:rsidRPr="00A75DF9">
              <w:rPr>
                <w:rFonts w:cs="Tahoma"/>
                <w:b/>
                <w:bCs/>
                <w:szCs w:val="18"/>
              </w:rPr>
              <w:t>Livello di Impegno Monetario per Windows</w:t>
            </w:r>
            <w:r w:rsidR="00105321">
              <w:rPr>
                <w:rFonts w:cs="Tahoma"/>
                <w:b/>
                <w:bCs/>
                <w:szCs w:val="18"/>
              </w:rPr>
              <w:t> </w:t>
            </w:r>
            <w:r w:rsidRPr="00A75DF9">
              <w:rPr>
                <w:rFonts w:cs="Tahoma"/>
                <w:b/>
                <w:bCs/>
                <w:szCs w:val="18"/>
              </w:rPr>
              <w:t>Azure</w:t>
            </w:r>
          </w:p>
        </w:tc>
        <w:tc>
          <w:tcPr>
            <w:tcW w:w="259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hideMark/>
          </w:tcPr>
          <w:p w:rsidR="00776E3B" w:rsidRPr="00A75DF9" w:rsidRDefault="00776E3B" w:rsidP="0044720D">
            <w:pPr>
              <w:jc w:val="center"/>
              <w:rPr>
                <w:rFonts w:eastAsia="Times New Roman" w:cs="Tahoma"/>
                <w:b/>
                <w:bCs/>
                <w:szCs w:val="18"/>
              </w:rPr>
            </w:pPr>
            <w:r w:rsidRPr="00A75DF9">
              <w:rPr>
                <w:rFonts w:eastAsia="Times New Roman" w:cs="Tahoma"/>
                <w:b/>
                <w:bCs/>
                <w:szCs w:val="18"/>
              </w:rPr>
              <w:t>Quantità Unitaria Annuale dell</w:t>
            </w:r>
            <w:r w:rsidR="00F2643E">
              <w:rPr>
                <w:rFonts w:eastAsia="Times New Roman" w:cs="Tahoma"/>
                <w:b/>
                <w:bCs/>
                <w:szCs w:val="18"/>
              </w:rPr>
              <w:t>’</w:t>
            </w:r>
            <w:r w:rsidRPr="00A75DF9">
              <w:rPr>
                <w:rFonts w:eastAsia="Times New Roman" w:cs="Tahoma"/>
                <w:b/>
                <w:bCs/>
                <w:szCs w:val="18"/>
              </w:rPr>
              <w:t>Impegno Monetario per Windows Azure*</w:t>
            </w:r>
          </w:p>
        </w:tc>
        <w:tc>
          <w:tcPr>
            <w:tcW w:w="2082" w:type="dxa"/>
            <w:tcBorders>
              <w:top w:val="single" w:sz="8" w:space="0" w:color="auto"/>
              <w:left w:val="single" w:sz="8" w:space="0" w:color="auto"/>
              <w:bottom w:val="single" w:sz="8" w:space="0" w:color="auto"/>
              <w:right w:val="single" w:sz="8" w:space="0" w:color="auto"/>
            </w:tcBorders>
            <w:shd w:val="clear" w:color="auto" w:fill="FABF8F"/>
            <w:hideMark/>
          </w:tcPr>
          <w:p w:rsidR="00776E3B" w:rsidRPr="00A75DF9" w:rsidRDefault="00776E3B" w:rsidP="00105321">
            <w:pPr>
              <w:jc w:val="center"/>
              <w:rPr>
                <w:rFonts w:eastAsia="Times New Roman" w:cs="Tahoma"/>
                <w:b/>
                <w:bCs/>
                <w:szCs w:val="18"/>
              </w:rPr>
            </w:pPr>
            <w:r w:rsidRPr="00A75DF9">
              <w:rPr>
                <w:rFonts w:cs="Tahoma"/>
                <w:b/>
                <w:bCs/>
                <w:szCs w:val="18"/>
              </w:rPr>
              <w:t>Sconto da Detrarre dalle Tariffe di</w:t>
            </w:r>
            <w:r w:rsidR="00105321">
              <w:rPr>
                <w:rFonts w:cs="Tahoma"/>
                <w:b/>
                <w:bCs/>
                <w:szCs w:val="18"/>
              </w:rPr>
              <w:t> </w:t>
            </w:r>
            <w:r w:rsidRPr="00A75DF9">
              <w:rPr>
                <w:rFonts w:cs="Tahoma"/>
                <w:b/>
                <w:bCs/>
                <w:szCs w:val="18"/>
              </w:rPr>
              <w:t>Consumo</w:t>
            </w:r>
          </w:p>
        </w:tc>
      </w:tr>
      <w:tr w:rsidR="00776E3B" w:rsidRPr="00A75DF9"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A75DF9" w:rsidRDefault="00776E3B" w:rsidP="0044720D">
            <w:pPr>
              <w:spacing w:before="100" w:beforeAutospacing="1" w:after="100" w:afterAutospacing="1"/>
              <w:ind w:right="259"/>
              <w:jc w:val="center"/>
              <w:rPr>
                <w:rFonts w:eastAsia="Times New Roman" w:cs="Tahoma"/>
                <w:szCs w:val="18"/>
              </w:rPr>
            </w:pPr>
            <w:r w:rsidRPr="00A75DF9">
              <w:rPr>
                <w:rFonts w:eastAsia="Times New Roman" w:cs="Tahoma"/>
                <w:szCs w:val="18"/>
              </w:rPr>
              <w:t>Livello 1</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A75DF9" w:rsidRDefault="00776E3B" w:rsidP="0044720D">
            <w:pPr>
              <w:spacing w:before="100" w:beforeAutospacing="1" w:after="100" w:afterAutospacing="1"/>
              <w:ind w:right="180"/>
              <w:jc w:val="center"/>
              <w:rPr>
                <w:rFonts w:eastAsia="Times New Roman" w:cs="Tahoma"/>
                <w:szCs w:val="18"/>
              </w:rPr>
            </w:pPr>
            <w:r w:rsidRPr="00A75DF9">
              <w:rPr>
                <w:rFonts w:eastAsia="Times New Roman" w:cs="Tahoma"/>
                <w:szCs w:val="18"/>
              </w:rPr>
              <w:t>Fino a 1</w:t>
            </w:r>
            <w:r w:rsidR="007570BE">
              <w:rPr>
                <w:rFonts w:eastAsia="Times New Roman" w:cs="Tahoma"/>
                <w:szCs w:val="18"/>
              </w:rPr>
              <w:t>.</w:t>
            </w:r>
            <w:r w:rsidRPr="00A75DF9">
              <w:rPr>
                <w:rFonts w:eastAsia="Times New Roman" w:cs="Tahoma"/>
                <w:szCs w:val="18"/>
              </w:rPr>
              <w:t>799 Unità</w:t>
            </w:r>
          </w:p>
        </w:tc>
        <w:tc>
          <w:tcPr>
            <w:tcW w:w="2082" w:type="dxa"/>
            <w:tcBorders>
              <w:top w:val="single" w:sz="8" w:space="0" w:color="auto"/>
              <w:left w:val="single" w:sz="8" w:space="0" w:color="auto"/>
              <w:bottom w:val="single" w:sz="8" w:space="0" w:color="auto"/>
              <w:right w:val="single" w:sz="8" w:space="0" w:color="auto"/>
            </w:tcBorders>
            <w:hideMark/>
          </w:tcPr>
          <w:p w:rsidR="00776E3B" w:rsidRPr="00A75DF9" w:rsidRDefault="00776E3B" w:rsidP="0044720D">
            <w:pPr>
              <w:spacing w:before="100" w:beforeAutospacing="1" w:after="100" w:afterAutospacing="1"/>
              <w:ind w:right="180"/>
              <w:jc w:val="center"/>
              <w:rPr>
                <w:rFonts w:eastAsia="Times New Roman" w:cs="Tahoma"/>
                <w:szCs w:val="18"/>
              </w:rPr>
            </w:pPr>
            <w:r w:rsidRPr="00A75DF9">
              <w:rPr>
                <w:rFonts w:eastAsia="Times New Roman" w:cs="Tahoma"/>
                <w:szCs w:val="18"/>
              </w:rPr>
              <w:t>23%</w:t>
            </w:r>
          </w:p>
        </w:tc>
      </w:tr>
      <w:tr w:rsidR="00776E3B" w:rsidRPr="00A75DF9"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A75DF9" w:rsidRDefault="00776E3B" w:rsidP="0044720D">
            <w:pPr>
              <w:spacing w:before="100" w:beforeAutospacing="1" w:after="100" w:afterAutospacing="1"/>
              <w:ind w:right="259"/>
              <w:jc w:val="center"/>
              <w:rPr>
                <w:rFonts w:eastAsia="Times New Roman" w:cs="Tahoma"/>
                <w:szCs w:val="18"/>
              </w:rPr>
            </w:pPr>
            <w:r w:rsidRPr="00A75DF9">
              <w:rPr>
                <w:rFonts w:eastAsia="Times New Roman" w:cs="Tahoma"/>
                <w:szCs w:val="18"/>
              </w:rPr>
              <w:t>Livello 2</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A75DF9" w:rsidRDefault="00776E3B" w:rsidP="0044720D">
            <w:pPr>
              <w:spacing w:before="100" w:beforeAutospacing="1" w:after="100" w:afterAutospacing="1"/>
              <w:ind w:right="180"/>
              <w:jc w:val="center"/>
              <w:rPr>
                <w:rFonts w:eastAsia="Times New Roman" w:cs="Tahoma"/>
                <w:szCs w:val="18"/>
              </w:rPr>
            </w:pPr>
            <w:r w:rsidRPr="00A75DF9">
              <w:rPr>
                <w:rFonts w:eastAsia="Times New Roman" w:cs="Tahoma"/>
                <w:szCs w:val="18"/>
              </w:rPr>
              <w:t>1</w:t>
            </w:r>
            <w:r w:rsidR="007570BE">
              <w:rPr>
                <w:rFonts w:eastAsia="Times New Roman" w:cs="Tahoma"/>
                <w:szCs w:val="18"/>
              </w:rPr>
              <w:t>.</w:t>
            </w:r>
            <w:r w:rsidRPr="00A75DF9">
              <w:rPr>
                <w:rFonts w:eastAsia="Times New Roman" w:cs="Tahoma"/>
                <w:szCs w:val="18"/>
              </w:rPr>
              <w:t xml:space="preserve">800 </w:t>
            </w:r>
            <w:r w:rsidR="007570BE">
              <w:rPr>
                <w:rFonts w:eastAsia="Times New Roman" w:cs="Tahoma"/>
                <w:szCs w:val="18"/>
              </w:rPr>
              <w:t>–</w:t>
            </w:r>
            <w:r w:rsidRPr="00A75DF9">
              <w:rPr>
                <w:rFonts w:eastAsia="Times New Roman" w:cs="Tahoma"/>
                <w:szCs w:val="18"/>
              </w:rPr>
              <w:t xml:space="preserve"> 4</w:t>
            </w:r>
            <w:r w:rsidR="007570BE">
              <w:rPr>
                <w:rFonts w:eastAsia="Times New Roman" w:cs="Tahoma"/>
                <w:szCs w:val="18"/>
              </w:rPr>
              <w:t>.</w:t>
            </w:r>
            <w:r w:rsidRPr="00A75DF9">
              <w:rPr>
                <w:rFonts w:eastAsia="Times New Roman" w:cs="Tahoma"/>
                <w:szCs w:val="18"/>
              </w:rPr>
              <w:t>799 Unità</w:t>
            </w:r>
          </w:p>
        </w:tc>
        <w:tc>
          <w:tcPr>
            <w:tcW w:w="2082" w:type="dxa"/>
            <w:tcBorders>
              <w:top w:val="single" w:sz="8" w:space="0" w:color="auto"/>
              <w:left w:val="single" w:sz="8" w:space="0" w:color="auto"/>
              <w:bottom w:val="single" w:sz="8" w:space="0" w:color="auto"/>
              <w:right w:val="single" w:sz="8" w:space="0" w:color="auto"/>
            </w:tcBorders>
            <w:hideMark/>
          </w:tcPr>
          <w:p w:rsidR="00776E3B" w:rsidRPr="00A75DF9" w:rsidRDefault="00776E3B" w:rsidP="0044720D">
            <w:pPr>
              <w:spacing w:before="100" w:beforeAutospacing="1" w:after="100" w:afterAutospacing="1"/>
              <w:ind w:right="180"/>
              <w:jc w:val="center"/>
              <w:rPr>
                <w:rFonts w:eastAsia="Times New Roman" w:cs="Tahoma"/>
                <w:szCs w:val="18"/>
              </w:rPr>
            </w:pPr>
            <w:r w:rsidRPr="00A75DF9">
              <w:rPr>
                <w:rFonts w:eastAsia="Times New Roman" w:cs="Tahoma"/>
                <w:szCs w:val="18"/>
              </w:rPr>
              <w:t>26%</w:t>
            </w:r>
          </w:p>
        </w:tc>
      </w:tr>
      <w:tr w:rsidR="00776E3B" w:rsidRPr="00A75DF9"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A75DF9" w:rsidRDefault="00776E3B" w:rsidP="0044720D">
            <w:pPr>
              <w:spacing w:before="100" w:beforeAutospacing="1" w:after="100" w:afterAutospacing="1"/>
              <w:ind w:right="259"/>
              <w:jc w:val="center"/>
              <w:rPr>
                <w:rFonts w:eastAsia="Times New Roman" w:cs="Tahoma"/>
                <w:szCs w:val="18"/>
              </w:rPr>
            </w:pPr>
            <w:r w:rsidRPr="00A75DF9">
              <w:rPr>
                <w:rFonts w:eastAsia="Times New Roman" w:cs="Tahoma"/>
                <w:szCs w:val="18"/>
              </w:rPr>
              <w:t>Livello 3</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A75DF9" w:rsidRDefault="00776E3B" w:rsidP="0044720D">
            <w:pPr>
              <w:spacing w:before="100" w:beforeAutospacing="1" w:after="100" w:afterAutospacing="1"/>
              <w:ind w:right="180"/>
              <w:jc w:val="center"/>
              <w:rPr>
                <w:rFonts w:eastAsia="Times New Roman" w:cs="Tahoma"/>
                <w:szCs w:val="18"/>
              </w:rPr>
            </w:pPr>
            <w:r w:rsidRPr="00A75DF9">
              <w:rPr>
                <w:rFonts w:eastAsia="Times New Roman" w:cs="Tahoma"/>
                <w:szCs w:val="18"/>
              </w:rPr>
              <w:t>4</w:t>
            </w:r>
            <w:r w:rsidR="007570BE">
              <w:rPr>
                <w:rFonts w:eastAsia="Times New Roman" w:cs="Tahoma"/>
                <w:szCs w:val="18"/>
              </w:rPr>
              <w:t>.</w:t>
            </w:r>
            <w:r w:rsidRPr="00A75DF9">
              <w:rPr>
                <w:rFonts w:eastAsia="Times New Roman" w:cs="Tahoma"/>
                <w:szCs w:val="18"/>
              </w:rPr>
              <w:t xml:space="preserve">800 </w:t>
            </w:r>
            <w:r w:rsidR="007570BE">
              <w:rPr>
                <w:rFonts w:eastAsia="Times New Roman" w:cs="Tahoma"/>
                <w:szCs w:val="18"/>
              </w:rPr>
              <w:t>–</w:t>
            </w:r>
            <w:r w:rsidRPr="00A75DF9">
              <w:rPr>
                <w:rFonts w:eastAsia="Times New Roman" w:cs="Tahoma"/>
                <w:szCs w:val="18"/>
              </w:rPr>
              <w:t xml:space="preserve"> 11</w:t>
            </w:r>
            <w:r w:rsidR="007570BE">
              <w:rPr>
                <w:rFonts w:eastAsia="Times New Roman" w:cs="Tahoma"/>
                <w:szCs w:val="18"/>
              </w:rPr>
              <w:t>.</w:t>
            </w:r>
            <w:r w:rsidRPr="00A75DF9">
              <w:rPr>
                <w:rFonts w:eastAsia="Times New Roman" w:cs="Tahoma"/>
                <w:szCs w:val="18"/>
              </w:rPr>
              <w:t>999 Unità</w:t>
            </w:r>
          </w:p>
        </w:tc>
        <w:tc>
          <w:tcPr>
            <w:tcW w:w="2082" w:type="dxa"/>
            <w:tcBorders>
              <w:top w:val="single" w:sz="8" w:space="0" w:color="auto"/>
              <w:left w:val="single" w:sz="8" w:space="0" w:color="auto"/>
              <w:bottom w:val="single" w:sz="8" w:space="0" w:color="auto"/>
              <w:right w:val="single" w:sz="8" w:space="0" w:color="auto"/>
            </w:tcBorders>
            <w:hideMark/>
          </w:tcPr>
          <w:p w:rsidR="00776E3B" w:rsidRPr="00A75DF9" w:rsidRDefault="00776E3B" w:rsidP="0044720D">
            <w:pPr>
              <w:spacing w:before="100" w:beforeAutospacing="1" w:after="100" w:afterAutospacing="1"/>
              <w:ind w:right="180"/>
              <w:jc w:val="center"/>
              <w:rPr>
                <w:rFonts w:eastAsia="Times New Roman" w:cs="Tahoma"/>
                <w:szCs w:val="18"/>
              </w:rPr>
            </w:pPr>
            <w:r w:rsidRPr="00A75DF9">
              <w:rPr>
                <w:rFonts w:eastAsia="Times New Roman" w:cs="Tahoma"/>
                <w:szCs w:val="18"/>
              </w:rPr>
              <w:t>30%</w:t>
            </w:r>
          </w:p>
        </w:tc>
      </w:tr>
      <w:tr w:rsidR="00776E3B" w:rsidRPr="00A75DF9" w:rsidTr="0044720D">
        <w:trPr>
          <w:trHeight w:val="258"/>
          <w:jc w:val="center"/>
        </w:trPr>
        <w:tc>
          <w:tcPr>
            <w:tcW w:w="258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A75DF9" w:rsidRDefault="00776E3B" w:rsidP="0044720D">
            <w:pPr>
              <w:spacing w:before="100" w:beforeAutospacing="1" w:after="100" w:afterAutospacing="1"/>
              <w:ind w:right="259"/>
              <w:jc w:val="center"/>
              <w:rPr>
                <w:rFonts w:eastAsia="Times New Roman" w:cs="Tahoma"/>
                <w:szCs w:val="18"/>
              </w:rPr>
            </w:pPr>
            <w:r w:rsidRPr="00A75DF9">
              <w:rPr>
                <w:rFonts w:eastAsia="Times New Roman" w:cs="Tahoma"/>
                <w:szCs w:val="18"/>
              </w:rPr>
              <w:t>Livello 4</w:t>
            </w:r>
          </w:p>
        </w:tc>
        <w:tc>
          <w:tcPr>
            <w:tcW w:w="259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776E3B" w:rsidRPr="00A75DF9" w:rsidRDefault="00776E3B" w:rsidP="0044720D">
            <w:pPr>
              <w:spacing w:before="100" w:beforeAutospacing="1" w:after="100" w:afterAutospacing="1"/>
              <w:ind w:right="180"/>
              <w:jc w:val="center"/>
              <w:rPr>
                <w:rFonts w:eastAsia="Times New Roman" w:cs="Tahoma"/>
                <w:szCs w:val="18"/>
              </w:rPr>
            </w:pPr>
            <w:r w:rsidRPr="00A75DF9">
              <w:rPr>
                <w:rFonts w:eastAsia="Times New Roman" w:cs="Tahoma"/>
                <w:szCs w:val="18"/>
              </w:rPr>
              <w:t>Oltre 12</w:t>
            </w:r>
            <w:r w:rsidR="007570BE">
              <w:rPr>
                <w:rFonts w:eastAsia="Times New Roman" w:cs="Tahoma"/>
                <w:szCs w:val="18"/>
              </w:rPr>
              <w:t>.</w:t>
            </w:r>
            <w:r w:rsidRPr="00A75DF9">
              <w:rPr>
                <w:rFonts w:eastAsia="Times New Roman" w:cs="Tahoma"/>
                <w:szCs w:val="18"/>
              </w:rPr>
              <w:t>000 Unità</w:t>
            </w:r>
          </w:p>
        </w:tc>
        <w:tc>
          <w:tcPr>
            <w:tcW w:w="2082" w:type="dxa"/>
            <w:tcBorders>
              <w:top w:val="single" w:sz="8" w:space="0" w:color="auto"/>
              <w:left w:val="single" w:sz="8" w:space="0" w:color="auto"/>
              <w:bottom w:val="single" w:sz="8" w:space="0" w:color="auto"/>
              <w:right w:val="single" w:sz="8" w:space="0" w:color="auto"/>
            </w:tcBorders>
            <w:hideMark/>
          </w:tcPr>
          <w:p w:rsidR="00776E3B" w:rsidRPr="00A75DF9" w:rsidRDefault="00776E3B" w:rsidP="0044720D">
            <w:pPr>
              <w:spacing w:before="100" w:beforeAutospacing="1" w:after="100" w:afterAutospacing="1"/>
              <w:ind w:right="180"/>
              <w:jc w:val="center"/>
              <w:rPr>
                <w:rFonts w:eastAsia="Times New Roman" w:cs="Tahoma"/>
                <w:szCs w:val="18"/>
              </w:rPr>
            </w:pPr>
            <w:r w:rsidRPr="00A75DF9">
              <w:rPr>
                <w:rFonts w:eastAsia="Times New Roman" w:cs="Tahoma"/>
                <w:szCs w:val="18"/>
              </w:rPr>
              <w:t>35%</w:t>
            </w:r>
          </w:p>
        </w:tc>
      </w:tr>
    </w:tbl>
    <w:p w:rsidR="006A5DAE" w:rsidRPr="00A75DF9" w:rsidRDefault="00AA0329" w:rsidP="002E57CF">
      <w:pPr>
        <w:ind w:left="1080"/>
        <w:outlineLvl w:val="1"/>
        <w:rPr>
          <w:rFonts w:cs="Tahoma"/>
        </w:rPr>
      </w:pPr>
      <w:r w:rsidRPr="00A75DF9">
        <w:rPr>
          <w:rFonts w:cs="Tahoma"/>
          <w:i/>
          <w:sz w:val="16"/>
          <w:szCs w:val="18"/>
        </w:rPr>
        <w:t>* Unità è un importo monetario nella valuta applicabile</w:t>
      </w:r>
    </w:p>
    <w:p w:rsidR="00776E3B" w:rsidRPr="00A75DF9" w:rsidRDefault="00776E3B" w:rsidP="00776E3B">
      <w:pPr>
        <w:outlineLvl w:val="1"/>
        <w:rPr>
          <w:rFonts w:cs="Tahoma"/>
        </w:rPr>
      </w:pPr>
    </w:p>
    <w:p w:rsidR="00776E3B" w:rsidRPr="00A75DF9" w:rsidRDefault="00776E3B" w:rsidP="00776E3B">
      <w:pPr>
        <w:outlineLvl w:val="1"/>
        <w:rPr>
          <w:rFonts w:cs="Tahoma"/>
        </w:rPr>
      </w:pPr>
      <w:r w:rsidRPr="00A75DF9">
        <w:rPr>
          <w:rFonts w:cs="Tahoma"/>
          <w:szCs w:val="18"/>
        </w:rPr>
        <w:t>Una società potrà incrementare la propria quantità annuale di Impegni Monetari per Windows Azure e qualificarsi per un Livello superiore in qualsiasi momento del periodo di validità dell</w:t>
      </w:r>
      <w:r w:rsidR="00F2643E">
        <w:rPr>
          <w:rFonts w:cs="Tahoma"/>
          <w:szCs w:val="18"/>
        </w:rPr>
        <w:t>’</w:t>
      </w:r>
      <w:r w:rsidRPr="00A75DF9">
        <w:rPr>
          <w:rFonts w:cs="Tahoma"/>
          <w:szCs w:val="18"/>
        </w:rPr>
        <w:t>abbonamento a Windows Azure.</w:t>
      </w:r>
      <w:r w:rsidR="009D3B41" w:rsidRPr="00A75DF9">
        <w:rPr>
          <w:rFonts w:cs="Tahoma"/>
          <w:szCs w:val="18"/>
        </w:rPr>
        <w:t xml:space="preserve"> </w:t>
      </w:r>
      <w:r w:rsidRPr="00A75DF9">
        <w:rPr>
          <w:rFonts w:cs="Tahoma"/>
          <w:szCs w:val="18"/>
        </w:rPr>
        <w:t>Le nuove Tariffe di Impegno si applicheranno all</w:t>
      </w:r>
      <w:r w:rsidR="00F2643E">
        <w:rPr>
          <w:rFonts w:cs="Tahoma"/>
          <w:szCs w:val="18"/>
        </w:rPr>
        <w:t>’</w:t>
      </w:r>
      <w:r w:rsidRPr="00A75DF9">
        <w:rPr>
          <w:rFonts w:cs="Tahoma"/>
          <w:szCs w:val="18"/>
        </w:rPr>
        <w:t>utilizzo dei Servizi di Windows Azure da parte della società a decorrere dal primo giorno del mese solare successivo alla variazione della quantità di licenze annuale dell</w:t>
      </w:r>
      <w:r w:rsidR="00F2643E">
        <w:rPr>
          <w:rFonts w:cs="Tahoma"/>
          <w:szCs w:val="18"/>
        </w:rPr>
        <w:t>’</w:t>
      </w:r>
      <w:r w:rsidRPr="00A75DF9">
        <w:rPr>
          <w:rFonts w:cs="Tahoma"/>
          <w:szCs w:val="18"/>
        </w:rPr>
        <w:t xml:space="preserve">Impegno Monetario per Windows Azure da parte della società. </w:t>
      </w:r>
    </w:p>
    <w:p w:rsidR="00776E3B" w:rsidRPr="00A75DF9" w:rsidRDefault="00776E3B" w:rsidP="005242EC">
      <w:pPr>
        <w:outlineLvl w:val="1"/>
        <w:rPr>
          <w:rFonts w:cs="Tahoma"/>
        </w:rPr>
      </w:pPr>
      <w:r w:rsidRPr="00A75DF9">
        <w:rPr>
          <w:rFonts w:eastAsia="Times New Roman" w:cs="Tahoma"/>
          <w:szCs w:val="18"/>
        </w:rPr>
        <w:lastRenderedPageBreak/>
        <w:t>I prezzi delle Tariffe di Impegno del Livello 1 verranno riportati sull</w:t>
      </w:r>
      <w:r w:rsidR="00F2643E">
        <w:rPr>
          <w:rFonts w:eastAsia="Times New Roman" w:cs="Tahoma"/>
          <w:szCs w:val="18"/>
        </w:rPr>
        <w:t>’</w:t>
      </w:r>
      <w:r w:rsidRPr="00A75DF9">
        <w:rPr>
          <w:rFonts w:eastAsia="Times New Roman" w:cs="Tahoma"/>
          <w:szCs w:val="18"/>
        </w:rPr>
        <w:t xml:space="preserve">Elenco Prezzi Cliente. I prezzi effettivi </w:t>
      </w:r>
      <w:r w:rsidRPr="00A75DF9">
        <w:rPr>
          <w:rFonts w:cs="Tahoma"/>
          <w:szCs w:val="18"/>
        </w:rPr>
        <w:t>delle Tariffe di Impegno saranno visibili sulla pagina della Vista dell</w:t>
      </w:r>
      <w:r w:rsidR="00F2643E">
        <w:rPr>
          <w:rFonts w:cs="Tahoma"/>
          <w:szCs w:val="18"/>
        </w:rPr>
        <w:t>’</w:t>
      </w:r>
      <w:r w:rsidRPr="00A75DF9">
        <w:rPr>
          <w:rFonts w:cs="Tahoma"/>
          <w:szCs w:val="18"/>
        </w:rPr>
        <w:t>Account sul Portale Aziendale di Windows Azure. I prezzi e le condizioni di pagamento per i Servizi di Windows Azure acquistati presso i rivenditori sono stabiliti tramite un contratto tra una società e il suo rivenditore.</w:t>
      </w:r>
    </w:p>
    <w:p w:rsidR="0067627F" w:rsidRPr="00A75DF9" w:rsidRDefault="0067627F" w:rsidP="00776E3B">
      <w:pPr>
        <w:rPr>
          <w:rFonts w:cs="Tahoma"/>
        </w:rPr>
      </w:pPr>
    </w:p>
    <w:p w:rsidR="00456002" w:rsidRPr="00A75DF9" w:rsidRDefault="00456002" w:rsidP="00456002">
      <w:pPr>
        <w:pStyle w:val="Heading2"/>
        <w:ind w:left="0"/>
        <w:rPr>
          <w:rFonts w:ascii="Tahoma" w:hAnsi="Tahoma" w:cs="Tahoma"/>
        </w:rPr>
      </w:pPr>
      <w:bookmarkStart w:id="686" w:name="_Toc328145984"/>
      <w:bookmarkStart w:id="687" w:name="_Toc336338215"/>
      <w:bookmarkStart w:id="688" w:name="_Toc368310206"/>
      <w:r w:rsidRPr="00A75DF9">
        <w:rPr>
          <w:rFonts w:ascii="Tahoma" w:hAnsi="Tahoma" w:cs="Tahoma"/>
        </w:rPr>
        <w:t>Disponibilità internazionale del Servizio Online</w:t>
      </w:r>
      <w:bookmarkEnd w:id="686"/>
      <w:bookmarkEnd w:id="687"/>
      <w:bookmarkEnd w:id="688"/>
      <w:r w:rsidRPr="00A75DF9">
        <w:rPr>
          <w:rFonts w:ascii="Tahoma" w:hAnsi="Tahoma" w:cs="Tahoma"/>
        </w:rPr>
        <w:t xml:space="preserve"> </w:t>
      </w:r>
    </w:p>
    <w:p w:rsidR="00456002" w:rsidRPr="00A75DF9" w:rsidRDefault="00456002" w:rsidP="00DF28F2">
      <w:pPr>
        <w:outlineLvl w:val="2"/>
        <w:rPr>
          <w:rFonts w:cs="Tahoma"/>
        </w:rPr>
      </w:pPr>
    </w:p>
    <w:p w:rsidR="0067627F" w:rsidRPr="00A75DF9" w:rsidRDefault="00456002" w:rsidP="00105321">
      <w:pPr>
        <w:outlineLvl w:val="2"/>
        <w:rPr>
          <w:rFonts w:cs="Tahoma"/>
        </w:rPr>
      </w:pPr>
      <w:r w:rsidRPr="00A75DF9">
        <w:rPr>
          <w:rFonts w:cs="Tahoma"/>
          <w:szCs w:val="18"/>
        </w:rPr>
        <w:t xml:space="preserve">Per un elenco dei Paesi in cui sono disponibili i Servizi Online, visitare la pagina </w:t>
      </w:r>
      <w:hyperlink r:id="rId21" w:anchor="international" w:history="1">
        <w:r w:rsidR="00105321">
          <w:rPr>
            <w:rStyle w:val="Hyperlink"/>
          </w:rPr>
          <w:t>http://www.microsoft.com/online/faq.aspx#international</w:t>
        </w:r>
      </w:hyperlink>
      <w:r w:rsidRPr="00A75DF9">
        <w:rPr>
          <w:rFonts w:cs="Tahoma"/>
          <w:color w:val="000000"/>
        </w:rPr>
        <w:t>.</w:t>
      </w:r>
    </w:p>
    <w:p w:rsidR="0067627F" w:rsidRPr="00A75DF9" w:rsidRDefault="0067627F" w:rsidP="0067627F">
      <w:pPr>
        <w:outlineLvl w:val="2"/>
        <w:rPr>
          <w:rFonts w:cs="Tahoma"/>
        </w:rPr>
      </w:pPr>
    </w:p>
    <w:p w:rsidR="00456002" w:rsidRPr="00A75DF9" w:rsidRDefault="00456002" w:rsidP="00456002">
      <w:pPr>
        <w:pStyle w:val="Heading2"/>
        <w:ind w:left="0"/>
        <w:rPr>
          <w:rFonts w:ascii="Tahoma" w:hAnsi="Tahoma" w:cs="Tahoma"/>
        </w:rPr>
      </w:pPr>
      <w:bookmarkStart w:id="689" w:name="_Toc328145985"/>
      <w:bookmarkStart w:id="690" w:name="_Toc336338216"/>
      <w:bookmarkStart w:id="691" w:name="_Toc368310207"/>
      <w:r w:rsidRPr="00A75DF9">
        <w:rPr>
          <w:rFonts w:ascii="Tahoma" w:hAnsi="Tahoma" w:cs="Tahoma"/>
        </w:rPr>
        <w:t>Condizioni Aggiuntive per i Servizi Online</w:t>
      </w:r>
      <w:bookmarkEnd w:id="689"/>
      <w:bookmarkEnd w:id="690"/>
      <w:bookmarkEnd w:id="691"/>
    </w:p>
    <w:p w:rsidR="00456002" w:rsidRPr="00A75DF9" w:rsidRDefault="00456002" w:rsidP="00DF28F2">
      <w:pPr>
        <w:outlineLvl w:val="2"/>
        <w:rPr>
          <w:rFonts w:cs="Tahoma"/>
        </w:rPr>
      </w:pPr>
    </w:p>
    <w:p w:rsidR="00456002" w:rsidRPr="00A75DF9" w:rsidRDefault="00456002" w:rsidP="00CF3FEE">
      <w:pPr>
        <w:rPr>
          <w:rFonts w:cs="Tahoma"/>
        </w:rPr>
      </w:pPr>
      <w:r w:rsidRPr="00A75DF9">
        <w:rPr>
          <w:rFonts w:cs="Tahoma"/>
        </w:rPr>
        <w:t>La presente Lista dei Prodotti potrà contenere informazioni aggiuntive su prodotti specifici.</w:t>
      </w:r>
      <w:r w:rsidR="009D3B41" w:rsidRPr="00A75DF9">
        <w:rPr>
          <w:rFonts w:cs="Tahoma"/>
        </w:rPr>
        <w:t xml:space="preserve"> </w:t>
      </w:r>
      <w:r w:rsidRPr="00A75DF9">
        <w:rPr>
          <w:rFonts w:cs="Tahoma"/>
        </w:rPr>
        <w:t>Per ulteriori dettagli, fare riferimento alle sezioni relative ai prodotti del presente documento.</w:t>
      </w:r>
    </w:p>
    <w:p w:rsidR="00456002" w:rsidRPr="00A75DF9" w:rsidRDefault="00456002" w:rsidP="00CF3FEE">
      <w:pPr>
        <w:rPr>
          <w:rFonts w:cs="Tahoma"/>
        </w:rPr>
      </w:pPr>
    </w:p>
    <w:p w:rsidR="00456002" w:rsidRPr="00A75DF9" w:rsidRDefault="00456002" w:rsidP="00105321">
      <w:pPr>
        <w:rPr>
          <w:rFonts w:cs="Tahoma"/>
        </w:rPr>
      </w:pPr>
      <w:r w:rsidRPr="00A75DF9">
        <w:rPr>
          <w:rFonts w:cs="Tahoma"/>
        </w:rPr>
        <w:t xml:space="preserve">Il documento Diritti di Utilizzo del Prodotto disponibile alla pagina </w:t>
      </w:r>
      <w:r w:rsidR="00105321" w:rsidRPr="001409EF">
        <w:t>http://www.microsoftvolumelicensing.com/userights/PUR.aspx</w:t>
      </w:r>
      <w:r w:rsidRPr="00A75DF9">
        <w:rPr>
          <w:rFonts w:cs="Tahoma"/>
        </w:rPr>
        <w:t xml:space="preserve"> contiene altre condizioni generali e specifiche dei prodotti che disciplinano l</w:t>
      </w:r>
      <w:r w:rsidR="00F2643E">
        <w:rPr>
          <w:rFonts w:cs="Tahoma"/>
        </w:rPr>
        <w:t>’</w:t>
      </w:r>
      <w:r w:rsidRPr="00A75DF9">
        <w:rPr>
          <w:rFonts w:cs="Tahoma"/>
        </w:rPr>
        <w:t>uso dei servizi online.</w:t>
      </w:r>
      <w:r w:rsidR="009D3B41" w:rsidRPr="00A75DF9">
        <w:rPr>
          <w:rFonts w:cs="Tahoma"/>
        </w:rPr>
        <w:t xml:space="preserve"> </w:t>
      </w:r>
      <w:r w:rsidRPr="00A75DF9">
        <w:rPr>
          <w:rFonts w:cs="Tahoma"/>
        </w:rPr>
        <w:t>I diritti di utilizzo del prodotto relativi ai servizi online sono soggetti a</w:t>
      </w:r>
      <w:r w:rsidR="00105321">
        <w:rPr>
          <w:rFonts w:cs="Tahoma"/>
        </w:rPr>
        <w:t> </w:t>
      </w:r>
      <w:r w:rsidRPr="00A75DF9">
        <w:rPr>
          <w:rFonts w:cs="Tahoma"/>
        </w:rPr>
        <w:t>modifica come illustrato nell</w:t>
      </w:r>
      <w:r w:rsidR="00F2643E">
        <w:rPr>
          <w:rFonts w:cs="Tahoma"/>
        </w:rPr>
        <w:t>’</w:t>
      </w:r>
      <w:r w:rsidRPr="00A75DF9">
        <w:rPr>
          <w:rFonts w:cs="Tahoma"/>
        </w:rPr>
        <w:t>articolo Servizi Online di tale documento.</w:t>
      </w:r>
    </w:p>
    <w:p w:rsidR="00456002" w:rsidRPr="00A75DF9" w:rsidRDefault="00456002" w:rsidP="00CF3FEE">
      <w:pPr>
        <w:rPr>
          <w:rFonts w:cs="Tahoma"/>
        </w:rPr>
      </w:pPr>
    </w:p>
    <w:p w:rsidR="00026546" w:rsidRPr="00A75DF9" w:rsidRDefault="00456002" w:rsidP="005B372B">
      <w:pPr>
        <w:rPr>
          <w:rFonts w:cs="Tahoma"/>
        </w:rPr>
      </w:pPr>
      <w:bookmarkStart w:id="692" w:name="_Toc325313160"/>
      <w:r w:rsidRPr="00A75DF9">
        <w:rPr>
          <w:rFonts w:cs="Tahoma"/>
        </w:rPr>
        <w:t>I Prezzi e le Condizioni di Pagamento di cui sopra per i Servizi Online non si applicano ai Servizi Online ottenuti ai sensi del Contratto Microsoft Online Subscription.</w:t>
      </w:r>
      <w:r w:rsidR="009D3B41" w:rsidRPr="00A75DF9">
        <w:rPr>
          <w:rFonts w:cs="Tahoma"/>
        </w:rPr>
        <w:t xml:space="preserve"> </w:t>
      </w:r>
      <w:r w:rsidRPr="00A75DF9">
        <w:rPr>
          <w:rFonts w:cs="Tahoma"/>
        </w:rPr>
        <w:t>Tutte le condizioni applicabili ai Servizi Online ottenuti ai sensi del Contratto Microsoft Online Subscription sono contenute nel contratto stesso e sul Portale per i Clienti dei Microsoft Online Services.</w:t>
      </w:r>
      <w:bookmarkEnd w:id="692"/>
    </w:p>
    <w:p w:rsidR="00676723" w:rsidRPr="00A75DF9" w:rsidRDefault="00676723">
      <w:pPr>
        <w:rPr>
          <w:rFonts w:cs="Tahoma"/>
        </w:rPr>
      </w:pPr>
      <w:bookmarkStart w:id="693" w:name="_Supplemental_Terms_For"/>
      <w:bookmarkStart w:id="694" w:name="_Toc336338217"/>
      <w:bookmarkEnd w:id="693"/>
      <w:r w:rsidRPr="00A75DF9">
        <w:rPr>
          <w:rFonts w:cs="Tahoma"/>
        </w:rPr>
        <w:br w:type="page"/>
      </w:r>
    </w:p>
    <w:p w:rsidR="00023FE7" w:rsidRPr="00A75DF9" w:rsidRDefault="00A33112" w:rsidP="00105321">
      <w:pPr>
        <w:pStyle w:val="Heading1"/>
        <w:spacing w:before="0"/>
        <w:rPr>
          <w:rFonts w:cs="Tahoma"/>
        </w:rPr>
      </w:pPr>
      <w:bookmarkStart w:id="695" w:name="_Toc368310208"/>
      <w:r w:rsidRPr="00A75DF9">
        <w:rPr>
          <w:rFonts w:cs="Tahoma"/>
        </w:rPr>
        <w:lastRenderedPageBreak/>
        <w:t>ARTICOLO 6 - Regole per il Rinnovo di Software Assurance</w:t>
      </w:r>
      <w:bookmarkEnd w:id="694"/>
      <w:bookmarkEnd w:id="695"/>
    </w:p>
    <w:p w:rsidR="00865A60" w:rsidRPr="00A75DF9" w:rsidRDefault="00865A60" w:rsidP="00865A60">
      <w:pPr>
        <w:rPr>
          <w:rFonts w:cs="Tahoma"/>
        </w:rPr>
      </w:pPr>
    </w:p>
    <w:p w:rsidR="00171817" w:rsidRPr="00A75DF9" w:rsidRDefault="00171817" w:rsidP="00171817">
      <w:pPr>
        <w:pStyle w:val="Heading4"/>
        <w:tabs>
          <w:tab w:val="clear" w:pos="720"/>
          <w:tab w:val="num" w:pos="0"/>
        </w:tabs>
        <w:ind w:left="0" w:firstLine="0"/>
        <w:rPr>
          <w:rFonts w:ascii="Tahoma" w:hAnsi="Tahoma" w:cs="Tahoma"/>
        </w:rPr>
      </w:pPr>
      <w:bookmarkStart w:id="696" w:name="_Toc323159745"/>
      <w:bookmarkStart w:id="697" w:name="_Toc336338218"/>
      <w:bookmarkStart w:id="698" w:name="_Toc368310209"/>
      <w:r w:rsidRPr="00A75DF9">
        <w:rPr>
          <w:rFonts w:ascii="Tahoma" w:hAnsi="Tahoma" w:cs="Tahoma"/>
          <w:sz w:val="24"/>
        </w:rPr>
        <w:t>Licenza Open</w:t>
      </w:r>
      <w:bookmarkEnd w:id="696"/>
      <w:bookmarkEnd w:id="697"/>
      <w:bookmarkEnd w:id="698"/>
    </w:p>
    <w:p w:rsidR="00171817" w:rsidRPr="00105321" w:rsidRDefault="00171817" w:rsidP="00865A60">
      <w:pPr>
        <w:pStyle w:val="Heading4"/>
        <w:tabs>
          <w:tab w:val="clear" w:pos="720"/>
          <w:tab w:val="num" w:pos="0"/>
        </w:tabs>
        <w:spacing w:before="0"/>
        <w:ind w:left="0" w:firstLine="0"/>
        <w:rPr>
          <w:rFonts w:ascii="Tahoma" w:hAnsi="Tahoma" w:cs="Tahoma"/>
          <w:b w:val="0"/>
          <w:bCs/>
          <w:sz w:val="18"/>
          <w:szCs w:val="18"/>
        </w:rPr>
      </w:pPr>
    </w:p>
    <w:p w:rsidR="00171817" w:rsidRPr="00A75DF9" w:rsidRDefault="00171817" w:rsidP="00105321">
      <w:pPr>
        <w:pStyle w:val="StyleHeading22Left138Firstline0"/>
        <w:tabs>
          <w:tab w:val="num" w:pos="0"/>
        </w:tabs>
        <w:ind w:left="0"/>
        <w:jc w:val="left"/>
        <w:rPr>
          <w:rFonts w:ascii="Tahoma" w:hAnsi="Tahoma" w:cs="Tahoma"/>
        </w:rPr>
      </w:pPr>
      <w:r w:rsidRPr="00A75DF9">
        <w:rPr>
          <w:rFonts w:ascii="Tahoma" w:hAnsi="Tahoma" w:cs="Tahoma"/>
          <w:sz w:val="18"/>
        </w:rPr>
        <w:t>La copertura Software Assurance ordinata in base a un numero di autorizzazione Open License termina alla scadenza di tale numero. Per effettuare il rinnovo della copertura, le società dovranno presentare al rivenditore un ordine di</w:t>
      </w:r>
      <w:r w:rsidR="00105321">
        <w:rPr>
          <w:rFonts w:ascii="Tahoma" w:hAnsi="Tahoma" w:cs="Tahoma"/>
          <w:sz w:val="18"/>
        </w:rPr>
        <w:t> </w:t>
      </w:r>
      <w:r w:rsidRPr="00A75DF9">
        <w:rPr>
          <w:rFonts w:ascii="Tahoma" w:hAnsi="Tahoma" w:cs="Tahoma"/>
          <w:sz w:val="18"/>
        </w:rPr>
        <w:t>rinnovo di Software Assurance per tutte le copie di tutti i prodotti per i quali desiderano rinnovare la copertura entro i 90 giorni successivi alla data di scadenza del numero di autorizzazione. Le società potranno ordinare Software</w:t>
      </w:r>
      <w:r w:rsidR="00105321">
        <w:rPr>
          <w:rFonts w:ascii="Tahoma" w:hAnsi="Tahoma" w:cs="Tahoma"/>
          <w:sz w:val="18"/>
        </w:rPr>
        <w:t> </w:t>
      </w:r>
      <w:r w:rsidRPr="00A75DF9">
        <w:rPr>
          <w:rFonts w:ascii="Tahoma" w:hAnsi="Tahoma" w:cs="Tahoma"/>
          <w:sz w:val="18"/>
        </w:rPr>
        <w:t>Assurance senza dovere contemporaneamente ordinare una Licenza a condizione che la copertura Software</w:t>
      </w:r>
      <w:r w:rsidR="00105321">
        <w:rPr>
          <w:rFonts w:ascii="Tahoma" w:hAnsi="Tahoma" w:cs="Tahoma"/>
          <w:sz w:val="18"/>
        </w:rPr>
        <w:t> </w:t>
      </w:r>
      <w:r w:rsidRPr="00A75DF9">
        <w:rPr>
          <w:rFonts w:ascii="Tahoma" w:hAnsi="Tahoma" w:cs="Tahoma"/>
          <w:sz w:val="18"/>
        </w:rPr>
        <w:t>Assurance venga rinnovata nella modalità indicata sopra. La nuova copertura Software Assurance inizierà alla data di entrata in vigore del nuovo numero di autorizzazione.</w:t>
      </w:r>
    </w:p>
    <w:p w:rsidR="00865A60" w:rsidRPr="00A75DF9" w:rsidRDefault="00865A60" w:rsidP="005242EC">
      <w:pPr>
        <w:pStyle w:val="AppendIndentSub"/>
        <w:ind w:left="0"/>
        <w:rPr>
          <w:rFonts w:ascii="Tahoma" w:hAnsi="Tahoma" w:cs="Tahoma"/>
        </w:rPr>
      </w:pPr>
    </w:p>
    <w:p w:rsidR="00171817" w:rsidRPr="00A75DF9" w:rsidRDefault="00171817" w:rsidP="002171C3">
      <w:pPr>
        <w:pStyle w:val="Heading4"/>
        <w:ind w:left="360"/>
        <w:rPr>
          <w:rFonts w:ascii="Tahoma" w:hAnsi="Tahoma" w:cs="Tahoma"/>
        </w:rPr>
      </w:pPr>
      <w:bookmarkStart w:id="699" w:name="_Toc336338219"/>
      <w:bookmarkStart w:id="700" w:name="_Toc368310210"/>
      <w:r w:rsidRPr="00A75DF9">
        <w:rPr>
          <w:rFonts w:ascii="Tahoma" w:hAnsi="Tahoma" w:cs="Tahoma"/>
          <w:sz w:val="24"/>
        </w:rPr>
        <w:t>Open Value 20xx</w:t>
      </w:r>
      <w:bookmarkEnd w:id="699"/>
      <w:bookmarkEnd w:id="700"/>
    </w:p>
    <w:p w:rsidR="00171817" w:rsidRPr="00A75DF9" w:rsidRDefault="00171817" w:rsidP="00171817">
      <w:pPr>
        <w:tabs>
          <w:tab w:val="num" w:pos="0"/>
        </w:tabs>
        <w:rPr>
          <w:rFonts w:cs="Tahoma"/>
        </w:rPr>
      </w:pPr>
    </w:p>
    <w:p w:rsidR="00171817" w:rsidRPr="00A75DF9" w:rsidRDefault="00171817" w:rsidP="005242EC">
      <w:pPr>
        <w:keepNext/>
        <w:tabs>
          <w:tab w:val="num" w:pos="720"/>
        </w:tabs>
        <w:spacing w:after="60"/>
        <w:ind w:left="360" w:hanging="360"/>
        <w:outlineLvl w:val="3"/>
        <w:rPr>
          <w:rFonts w:cs="Tahoma"/>
        </w:rPr>
      </w:pPr>
      <w:r w:rsidRPr="00A75DF9">
        <w:rPr>
          <w:rFonts w:cs="Tahoma"/>
          <w:b/>
          <w:szCs w:val="20"/>
        </w:rPr>
        <w:t xml:space="preserve">Rinnovo della Copertura ai sensi del Medesimo Contratto </w:t>
      </w:r>
    </w:p>
    <w:p w:rsidR="00171817" w:rsidRPr="00A75DF9" w:rsidRDefault="00171817" w:rsidP="00171817">
      <w:pPr>
        <w:tabs>
          <w:tab w:val="num" w:pos="0"/>
        </w:tabs>
        <w:rPr>
          <w:rFonts w:cs="Tahoma"/>
        </w:rPr>
      </w:pPr>
      <w:r w:rsidRPr="00A75DF9">
        <w:rPr>
          <w:rFonts w:cs="Tahoma"/>
          <w:szCs w:val="20"/>
        </w:rPr>
        <w:t>La copertura Software Assurance ordinata ai sensi di un contratto Open Value terminerà alla scadenza o alla risoluzione di tale contratto. Le società riceveranno una comunicazione scritta delle opzioni di rinnovo 60 giorni prima della scadenza del contratto. Le società potranno scegliere di rinnovare il loro contratto per i successivi 36 mesi solari completi. Per rinnovare la copertura Software Assurance, le società dovranno presentare un ordine di rinnovo prima della scadenza del periodo di validità precedente.</w:t>
      </w:r>
      <w:r w:rsidR="009D3B41" w:rsidRPr="00A75DF9">
        <w:rPr>
          <w:rFonts w:cs="Tahoma"/>
          <w:szCs w:val="20"/>
        </w:rPr>
        <w:t xml:space="preserve"> </w:t>
      </w:r>
      <w:r w:rsidRPr="00A75DF9">
        <w:rPr>
          <w:rFonts w:cs="Tahoma"/>
          <w:szCs w:val="20"/>
        </w:rPr>
        <w:t>Qualora una società abbia scelto l</w:t>
      </w:r>
      <w:r w:rsidR="00F2643E">
        <w:rPr>
          <w:rFonts w:cs="Tahoma"/>
          <w:szCs w:val="20"/>
        </w:rPr>
        <w:t>’</w:t>
      </w:r>
      <w:r w:rsidRPr="00A75DF9">
        <w:rPr>
          <w:rFonts w:cs="Tahoma"/>
          <w:szCs w:val="20"/>
        </w:rPr>
        <w:t>opzione a livello aziendale, tale società dovrà ordinare Software Assurance per tutte le copie dei prodotti per le quali desidera questo tipo di opzione. Qualora una società non abbia scelto l</w:t>
      </w:r>
      <w:r w:rsidR="00F2643E">
        <w:rPr>
          <w:rFonts w:cs="Tahoma"/>
          <w:szCs w:val="20"/>
        </w:rPr>
        <w:t>’</w:t>
      </w:r>
      <w:r w:rsidRPr="00A75DF9">
        <w:rPr>
          <w:rFonts w:cs="Tahoma"/>
          <w:szCs w:val="20"/>
        </w:rPr>
        <w:t>opzione a livello aziendale, tale società potrà rinnovare la copertura per qualsiasi numero di licenze a cui ha effettuato in precedenza l</w:t>
      </w:r>
      <w:r w:rsidR="00F2643E">
        <w:rPr>
          <w:rFonts w:cs="Tahoma"/>
          <w:szCs w:val="20"/>
        </w:rPr>
        <w:t>’</w:t>
      </w:r>
      <w:r w:rsidRPr="00A75DF9">
        <w:rPr>
          <w:rFonts w:cs="Tahoma"/>
          <w:szCs w:val="20"/>
        </w:rPr>
        <w:t xml:space="preserve">iscrizione. Ciascun periodo di rinnovo avrà inizio il giorno successivo alla scadenza del precedente periodo di validità. Le società potranno ordinare Software Assurance senza dovere contemporaneamente ordinare una Licenza a condizione che la copertura Software Assurance venga rinnovata nella modalità indicata sopra. </w:t>
      </w:r>
    </w:p>
    <w:p w:rsidR="00171817" w:rsidRPr="00A75DF9" w:rsidRDefault="00171817" w:rsidP="00171817">
      <w:pPr>
        <w:tabs>
          <w:tab w:val="num" w:pos="0"/>
        </w:tabs>
        <w:rPr>
          <w:rFonts w:cs="Tahoma"/>
        </w:rPr>
      </w:pPr>
    </w:p>
    <w:p w:rsidR="00171817" w:rsidRPr="00A75DF9" w:rsidRDefault="00171817" w:rsidP="005242EC">
      <w:pPr>
        <w:keepNext/>
        <w:tabs>
          <w:tab w:val="num" w:pos="720"/>
        </w:tabs>
        <w:spacing w:after="60"/>
        <w:ind w:left="360" w:hanging="360"/>
        <w:outlineLvl w:val="3"/>
        <w:rPr>
          <w:rFonts w:cs="Tahoma"/>
        </w:rPr>
      </w:pPr>
      <w:r w:rsidRPr="00A75DF9">
        <w:rPr>
          <w:rFonts w:cs="Tahoma"/>
          <w:b/>
          <w:szCs w:val="20"/>
        </w:rPr>
        <w:t>Rinnovo della Copertura con un Contratto Separato</w:t>
      </w:r>
    </w:p>
    <w:p w:rsidR="00171817" w:rsidRPr="00A75DF9" w:rsidRDefault="00171817" w:rsidP="00865A60">
      <w:pPr>
        <w:tabs>
          <w:tab w:val="num" w:pos="0"/>
        </w:tabs>
        <w:rPr>
          <w:rFonts w:cs="Tahoma"/>
        </w:rPr>
      </w:pPr>
      <w:r w:rsidRPr="00A75DF9">
        <w:rPr>
          <w:rFonts w:cs="Tahoma"/>
          <w:szCs w:val="20"/>
        </w:rPr>
        <w:t>La società potrà rinnovare Software Assurance per qualsiasi prodotto senza dovere ordinare contemporaneamente una Licenza nel caso in cui abbia ottenuto una licenza perpetua e Software Assurance per quel prodotto ai sensi di un contratto precedente e il nuovo contratto della società entri in vigore non oltre il giorno successivo alla data di scadenza del contratto precedente.</w:t>
      </w:r>
      <w:r w:rsidR="009D3B41" w:rsidRPr="00A75DF9">
        <w:rPr>
          <w:rFonts w:cs="Tahoma"/>
          <w:szCs w:val="20"/>
        </w:rPr>
        <w:t xml:space="preserve"> </w:t>
      </w:r>
      <w:r w:rsidRPr="00A75DF9">
        <w:rPr>
          <w:rFonts w:cs="Tahoma"/>
          <w:szCs w:val="20"/>
        </w:rPr>
        <w:t>L</w:t>
      </w:r>
      <w:r w:rsidR="00F2643E">
        <w:rPr>
          <w:rFonts w:cs="Tahoma"/>
          <w:szCs w:val="20"/>
        </w:rPr>
        <w:t>’</w:t>
      </w:r>
      <w:r w:rsidRPr="00A75DF9">
        <w:rPr>
          <w:rFonts w:cs="Tahoma"/>
          <w:szCs w:val="20"/>
        </w:rPr>
        <w:t>ordine di rinnovo di Software Assurance dovrà essere effettuato prima della scadenza della copertura Software Assurance ai sensi di un contratto precedente, ad eccezione del Contratto Open License. In tal caso le società potranno inviare l</w:t>
      </w:r>
      <w:r w:rsidR="00F2643E">
        <w:rPr>
          <w:rFonts w:cs="Tahoma"/>
          <w:szCs w:val="20"/>
        </w:rPr>
        <w:t>’</w:t>
      </w:r>
      <w:r w:rsidRPr="00A75DF9">
        <w:rPr>
          <w:rFonts w:cs="Tahoma"/>
          <w:szCs w:val="20"/>
        </w:rPr>
        <w:t xml:space="preserve">ordine fino a 90 giorni dopo la data di scadenza. </w:t>
      </w:r>
    </w:p>
    <w:p w:rsidR="00865A60" w:rsidRPr="00A75DF9" w:rsidRDefault="00865A60" w:rsidP="005242EC">
      <w:pPr>
        <w:tabs>
          <w:tab w:val="num" w:pos="0"/>
        </w:tabs>
        <w:rPr>
          <w:rFonts w:cs="Tahoma"/>
        </w:rPr>
      </w:pPr>
    </w:p>
    <w:p w:rsidR="00171817" w:rsidRPr="00A75DF9" w:rsidRDefault="00171817" w:rsidP="002171C3">
      <w:pPr>
        <w:pStyle w:val="Heading4"/>
        <w:ind w:left="360"/>
        <w:rPr>
          <w:rFonts w:ascii="Tahoma" w:hAnsi="Tahoma" w:cs="Tahoma"/>
        </w:rPr>
      </w:pPr>
      <w:bookmarkStart w:id="701" w:name="_Toc323159746"/>
      <w:bookmarkStart w:id="702" w:name="_Toc336338220"/>
      <w:bookmarkStart w:id="703" w:name="_Toc368310211"/>
      <w:r w:rsidRPr="00A75DF9">
        <w:rPr>
          <w:rFonts w:ascii="Tahoma" w:hAnsi="Tahoma" w:cs="Tahoma"/>
          <w:sz w:val="24"/>
        </w:rPr>
        <w:t>Select 20xx</w:t>
      </w:r>
      <w:bookmarkEnd w:id="701"/>
      <w:bookmarkEnd w:id="702"/>
      <w:bookmarkEnd w:id="703"/>
    </w:p>
    <w:p w:rsidR="00171817" w:rsidRPr="00A75DF9" w:rsidRDefault="00171817" w:rsidP="00171817">
      <w:pPr>
        <w:tabs>
          <w:tab w:val="num" w:pos="0"/>
        </w:tabs>
        <w:rPr>
          <w:rFonts w:cs="Tahoma"/>
        </w:rPr>
      </w:pPr>
    </w:p>
    <w:p w:rsidR="00171817" w:rsidRPr="00A75DF9" w:rsidRDefault="00171817" w:rsidP="005242EC">
      <w:pPr>
        <w:pStyle w:val="Heading4"/>
        <w:spacing w:before="0" w:after="60"/>
        <w:ind w:left="360"/>
        <w:rPr>
          <w:rFonts w:ascii="Tahoma" w:hAnsi="Tahoma" w:cs="Tahoma"/>
        </w:rPr>
      </w:pPr>
      <w:bookmarkStart w:id="704" w:name="_Toc323159747"/>
      <w:bookmarkStart w:id="705" w:name="_Toc328145990"/>
      <w:bookmarkStart w:id="706" w:name="_Toc336338221"/>
      <w:bookmarkStart w:id="707" w:name="_Toc368310212"/>
      <w:r w:rsidRPr="00A75DF9">
        <w:rPr>
          <w:rFonts w:ascii="Tahoma" w:hAnsi="Tahoma" w:cs="Tahoma"/>
          <w:sz w:val="18"/>
        </w:rPr>
        <w:t>Rinnovo della Copertura ai sensi del Medesimo Contratto</w:t>
      </w:r>
      <w:bookmarkEnd w:id="704"/>
      <w:bookmarkEnd w:id="705"/>
      <w:bookmarkEnd w:id="706"/>
      <w:bookmarkEnd w:id="707"/>
      <w:r w:rsidRPr="00A75DF9">
        <w:rPr>
          <w:rFonts w:ascii="Tahoma" w:hAnsi="Tahoma" w:cs="Tahoma"/>
          <w:sz w:val="18"/>
        </w:rPr>
        <w:t xml:space="preserve"> </w:t>
      </w:r>
    </w:p>
    <w:p w:rsidR="00171817" w:rsidRPr="00A75DF9" w:rsidRDefault="00171817" w:rsidP="00171817">
      <w:pPr>
        <w:pStyle w:val="styleheading22left138firstline00"/>
        <w:tabs>
          <w:tab w:val="num" w:pos="0"/>
        </w:tabs>
        <w:snapToGrid w:val="0"/>
        <w:ind w:left="0"/>
        <w:jc w:val="left"/>
        <w:rPr>
          <w:rFonts w:ascii="Tahoma" w:hAnsi="Tahoma" w:cs="Tahoma"/>
        </w:rPr>
      </w:pPr>
      <w:r w:rsidRPr="00A75DF9">
        <w:rPr>
          <w:rFonts w:ascii="Tahoma" w:hAnsi="Tahoma" w:cs="Tahoma"/>
          <w:sz w:val="18"/>
        </w:rPr>
        <w:t>La copertura Software Assurance ordinata in base alle iscrizioni ai sensi di un contratto Select terminerà alla scadenza o alla risoluzione del contratto stesso oppure alla scadenza dell</w:t>
      </w:r>
      <w:r w:rsidR="00F2643E">
        <w:rPr>
          <w:rFonts w:ascii="Tahoma" w:hAnsi="Tahoma" w:cs="Tahoma"/>
          <w:sz w:val="18"/>
        </w:rPr>
        <w:t>’</w:t>
      </w:r>
      <w:r w:rsidRPr="00A75DF9">
        <w:rPr>
          <w:rFonts w:ascii="Tahoma" w:hAnsi="Tahoma" w:cs="Tahoma"/>
          <w:sz w:val="18"/>
        </w:rPr>
        <w:t>iscrizione applicabile, se precedente. Le società riceveranno una comunicazione scritta delle opzioni di rinnovo 60 giorni prima della scadenza del loro contratto. Le società potranno scegliere di rinnovare il loro contratto per i successivi 12 o 36 mesi solari completi. Per rinnovare la copertura Software Assurance per tutte le copie a cui è stata effettuata in precedenza l</w:t>
      </w:r>
      <w:r w:rsidR="00F2643E">
        <w:rPr>
          <w:rFonts w:ascii="Tahoma" w:hAnsi="Tahoma" w:cs="Tahoma"/>
          <w:sz w:val="18"/>
        </w:rPr>
        <w:t>’</w:t>
      </w:r>
      <w:r w:rsidRPr="00A75DF9">
        <w:rPr>
          <w:rFonts w:ascii="Tahoma" w:hAnsi="Tahoma" w:cs="Tahoma"/>
          <w:sz w:val="18"/>
        </w:rPr>
        <w:t>iscrizione, una società dovrà presentare un ordine di rinnovo a Microsoft tramite il proprio rivenditore prima della scadenza del precedente periodo di validità. Gli ordini di rinnovo dovranno coprire l</w:t>
      </w:r>
      <w:r w:rsidR="00F2643E">
        <w:rPr>
          <w:rFonts w:ascii="Tahoma" w:hAnsi="Tahoma" w:cs="Tahoma"/>
          <w:sz w:val="18"/>
        </w:rPr>
        <w:t>’</w:t>
      </w:r>
      <w:r w:rsidRPr="00A75DF9">
        <w:rPr>
          <w:rFonts w:ascii="Tahoma" w:hAnsi="Tahoma" w:cs="Tahoma"/>
          <w:sz w:val="18"/>
        </w:rPr>
        <w:t xml:space="preserve">intero periodo di validità. Ciascun periodo di rinnovo avrà inizio il giorno successivo alla scadenza del precedente periodo di validità. </w:t>
      </w:r>
    </w:p>
    <w:p w:rsidR="00973A93" w:rsidRDefault="00973A93">
      <w:pPr>
        <w:rPr>
          <w:rFonts w:cs="Tahoma"/>
        </w:rPr>
      </w:pPr>
      <w:bookmarkStart w:id="708" w:name="_Toc323159748"/>
      <w:bookmarkStart w:id="709" w:name="_Toc336338222"/>
    </w:p>
    <w:p w:rsidR="00105321" w:rsidRDefault="00105321">
      <w:pPr>
        <w:rPr>
          <w:rFonts w:cs="Tahoma"/>
        </w:rPr>
      </w:pPr>
    </w:p>
    <w:p w:rsidR="00105321" w:rsidRDefault="00105321">
      <w:pPr>
        <w:rPr>
          <w:rFonts w:cs="Tahoma"/>
        </w:rPr>
      </w:pPr>
    </w:p>
    <w:p w:rsidR="00105321" w:rsidRDefault="00105321">
      <w:pPr>
        <w:rPr>
          <w:rFonts w:cs="Tahoma"/>
        </w:rPr>
      </w:pPr>
    </w:p>
    <w:p w:rsidR="00105321" w:rsidRPr="00A75DF9" w:rsidRDefault="00105321">
      <w:pPr>
        <w:rPr>
          <w:rFonts w:cs="Tahoma"/>
        </w:rPr>
      </w:pPr>
    </w:p>
    <w:p w:rsidR="00171817" w:rsidRPr="00A75DF9" w:rsidRDefault="00171817" w:rsidP="005242EC">
      <w:pPr>
        <w:pStyle w:val="Heading4"/>
        <w:spacing w:before="0" w:after="60"/>
        <w:ind w:left="360"/>
        <w:rPr>
          <w:rFonts w:ascii="Tahoma" w:hAnsi="Tahoma" w:cs="Tahoma"/>
        </w:rPr>
      </w:pPr>
      <w:bookmarkStart w:id="710" w:name="_Toc368310213"/>
      <w:r w:rsidRPr="00A75DF9">
        <w:rPr>
          <w:rFonts w:ascii="Tahoma" w:hAnsi="Tahoma" w:cs="Tahoma"/>
          <w:sz w:val="18"/>
        </w:rPr>
        <w:lastRenderedPageBreak/>
        <w:t>Rinnovo della Copertura con un Contratto Separato</w:t>
      </w:r>
      <w:bookmarkEnd w:id="708"/>
      <w:bookmarkEnd w:id="709"/>
      <w:bookmarkEnd w:id="710"/>
    </w:p>
    <w:p w:rsidR="00171817" w:rsidRPr="00A75DF9" w:rsidRDefault="00171817" w:rsidP="0063466C">
      <w:pPr>
        <w:pStyle w:val="styleheading22left138firstline00"/>
        <w:tabs>
          <w:tab w:val="num" w:pos="0"/>
        </w:tabs>
        <w:snapToGrid w:val="0"/>
        <w:ind w:left="0"/>
        <w:jc w:val="left"/>
        <w:rPr>
          <w:rFonts w:ascii="Tahoma" w:hAnsi="Tahoma" w:cs="Tahoma"/>
        </w:rPr>
      </w:pPr>
      <w:r w:rsidRPr="00A75DF9">
        <w:rPr>
          <w:rFonts w:ascii="Tahoma" w:hAnsi="Tahoma" w:cs="Tahoma"/>
          <w:sz w:val="18"/>
        </w:rPr>
        <w:t>Le società potranno ordinare Software Assurance senza dovere contemporaneamente ordinare una Licenza per le copie di prodotti per le quali hanno in precedenza ottenuto licenze perpetue tramite Software Assurance in altri programmi per Contratti Multilicenza, a condizione che (i) la nuova iscrizione entri in vigore entro il giorno successivo alla data di scadenza di Software Assurance e (ii) la consociata iscritta effettui il suo ordine di Software Assurance nel momento stesso in cui presenta la sua nuova iscrizione a Microsoft tramite il proprio Rivenditore. L</w:t>
      </w:r>
      <w:r w:rsidR="00F2643E">
        <w:rPr>
          <w:rFonts w:ascii="Tahoma" w:hAnsi="Tahoma" w:cs="Tahoma"/>
          <w:sz w:val="18"/>
        </w:rPr>
        <w:t>’</w:t>
      </w:r>
      <w:r w:rsidRPr="00A75DF9">
        <w:rPr>
          <w:rFonts w:ascii="Tahoma" w:hAnsi="Tahoma" w:cs="Tahoma"/>
          <w:sz w:val="18"/>
        </w:rPr>
        <w:t>ordine di rinnovo di Software Assurance dovrà essere effettuato prima della scadenza della copertura ai sensi del contratto precedente, ad eccezione del Contratto Open License. In tal caso le società potranno inviare l</w:t>
      </w:r>
      <w:r w:rsidR="00F2643E">
        <w:rPr>
          <w:rFonts w:ascii="Tahoma" w:hAnsi="Tahoma" w:cs="Tahoma"/>
          <w:sz w:val="18"/>
        </w:rPr>
        <w:t>’</w:t>
      </w:r>
      <w:r w:rsidRPr="00A75DF9">
        <w:rPr>
          <w:rFonts w:ascii="Tahoma" w:hAnsi="Tahoma" w:cs="Tahoma"/>
          <w:sz w:val="18"/>
        </w:rPr>
        <w:t>ordine fino a 90 giorni dopo la data di scadenza.</w:t>
      </w:r>
    </w:p>
    <w:p w:rsidR="00865A60" w:rsidRPr="00A75DF9" w:rsidRDefault="00865A60" w:rsidP="0063466C">
      <w:pPr>
        <w:outlineLvl w:val="2"/>
        <w:rPr>
          <w:rFonts w:cs="Tahoma"/>
        </w:rPr>
      </w:pPr>
    </w:p>
    <w:p w:rsidR="00171817" w:rsidRPr="00A75DF9" w:rsidRDefault="00171817" w:rsidP="002171C3">
      <w:pPr>
        <w:pStyle w:val="Heading4"/>
        <w:ind w:left="360"/>
        <w:rPr>
          <w:rFonts w:ascii="Tahoma" w:hAnsi="Tahoma" w:cs="Tahoma"/>
        </w:rPr>
      </w:pPr>
      <w:bookmarkStart w:id="711" w:name="_Toc336338223"/>
      <w:bookmarkStart w:id="712" w:name="_Toc368310214"/>
      <w:r w:rsidRPr="00A75DF9">
        <w:rPr>
          <w:rFonts w:ascii="Tahoma" w:hAnsi="Tahoma" w:cs="Tahoma"/>
          <w:sz w:val="24"/>
        </w:rPr>
        <w:t>Select Plus 20xx</w:t>
      </w:r>
      <w:bookmarkEnd w:id="711"/>
      <w:bookmarkEnd w:id="712"/>
    </w:p>
    <w:p w:rsidR="00171817" w:rsidRPr="00A75DF9" w:rsidRDefault="00171817" w:rsidP="00171817">
      <w:pPr>
        <w:rPr>
          <w:rFonts w:cs="Tahoma"/>
        </w:rPr>
      </w:pPr>
    </w:p>
    <w:p w:rsidR="00171817" w:rsidRPr="00A75DF9" w:rsidRDefault="00171817" w:rsidP="0063466C">
      <w:pPr>
        <w:spacing w:after="60"/>
        <w:rPr>
          <w:rFonts w:cs="Tahoma"/>
        </w:rPr>
      </w:pPr>
      <w:r w:rsidRPr="00A75DF9">
        <w:rPr>
          <w:rFonts w:cs="Tahoma"/>
          <w:b/>
          <w:bCs/>
        </w:rPr>
        <w:t xml:space="preserve">Rinnovo della Copertura ai sensi del Medesimo Contratto </w:t>
      </w:r>
    </w:p>
    <w:p w:rsidR="00171817" w:rsidRPr="00A75DF9" w:rsidRDefault="00171817" w:rsidP="00171817">
      <w:pPr>
        <w:rPr>
          <w:rFonts w:cs="Tahoma"/>
        </w:rPr>
      </w:pPr>
      <w:r w:rsidRPr="00A75DF9">
        <w:rPr>
          <w:rFonts w:cs="Tahoma"/>
          <w:iCs/>
        </w:rPr>
        <w:t>A partire dal 1 marzo 2011, la copertura iniziale</w:t>
      </w:r>
      <w:r w:rsidRPr="00A75DF9">
        <w:rPr>
          <w:rFonts w:cs="Tahoma"/>
          <w:i/>
          <w:iCs/>
        </w:rPr>
        <w:t xml:space="preserve"> </w:t>
      </w:r>
      <w:r w:rsidRPr="00A75DF9">
        <w:rPr>
          <w:rFonts w:cs="Tahoma"/>
        </w:rPr>
        <w:t>Software Assurance (nuova o rinnovata) ai sensi di una registrazione Select Plus terminerà dopo 24 mesi più il numero di mesi che va dalla data di inizio della copertura Software Assurance alla successiva “ricorrenza della consociata” (si tratta di un mese definito dalla società in cui verranno prese le decisioni annuali in merito ai rinnovi). Le società e i Partner riceveranno una comunicazione scritta delle opzioni di rinnovo prima della scadenza della copertura Software Assurance. Per rinnovare la copertura Software Assurance per tutte le copie ordinate in precedenza, una società dovrà presentare un ordine di rinnovo a Microsoft tramite il proprio rivenditore prima della scadenza del precedente periodo di validità della copertura Software Assurance. Gli ordini di rinnovo dovranno coprire l</w:t>
      </w:r>
      <w:r w:rsidR="00F2643E">
        <w:rPr>
          <w:rFonts w:cs="Tahoma"/>
        </w:rPr>
        <w:t>’</w:t>
      </w:r>
      <w:r w:rsidRPr="00A75DF9">
        <w:rPr>
          <w:rFonts w:cs="Tahoma"/>
        </w:rPr>
        <w:t xml:space="preserve">intero periodo di validità di 36 mesi. Ciascun periodo di rinnovo avrà inizio il giorno successivo alla scadenza del precedente periodo di validità. </w:t>
      </w:r>
    </w:p>
    <w:p w:rsidR="00171817" w:rsidRPr="00A75DF9" w:rsidRDefault="00171817" w:rsidP="00171817">
      <w:pPr>
        <w:rPr>
          <w:rFonts w:cs="Tahoma"/>
        </w:rPr>
      </w:pPr>
    </w:p>
    <w:p w:rsidR="00171817" w:rsidRPr="00A75DF9" w:rsidRDefault="00171817" w:rsidP="0063466C">
      <w:pPr>
        <w:spacing w:after="60"/>
        <w:rPr>
          <w:rFonts w:cs="Tahoma"/>
        </w:rPr>
      </w:pPr>
      <w:r w:rsidRPr="00A75DF9">
        <w:rPr>
          <w:rFonts w:cs="Tahoma"/>
          <w:b/>
          <w:bCs/>
        </w:rPr>
        <w:t>Rinnovo della Copertura con un Contratto Separato</w:t>
      </w:r>
    </w:p>
    <w:p w:rsidR="00171817" w:rsidRPr="00A75DF9" w:rsidRDefault="00171817" w:rsidP="00105321">
      <w:pPr>
        <w:rPr>
          <w:rFonts w:cs="Tahoma"/>
        </w:rPr>
      </w:pPr>
      <w:r w:rsidRPr="00A75DF9">
        <w:rPr>
          <w:rFonts w:cs="Tahoma"/>
        </w:rPr>
        <w:t>Le società potranno ordinare Software Assurance senza dovere contemporaneamente ordinare una Licenza per le copie di prodotti per le quali abbiano in precedenza ottenuto licenze perpetue tramite Software Assurance in altri Programmi per i Contratti Multilicenza, a condizione che il nuovo ordine diventi effettivo entro il giorno successivo alla</w:t>
      </w:r>
      <w:r w:rsidR="00105321">
        <w:rPr>
          <w:rFonts w:cs="Tahoma"/>
        </w:rPr>
        <w:t> </w:t>
      </w:r>
      <w:r w:rsidRPr="00A75DF9">
        <w:rPr>
          <w:rFonts w:cs="Tahoma"/>
        </w:rPr>
        <w:t>data di scadenza di Software Assurance. L</w:t>
      </w:r>
      <w:r w:rsidR="00F2643E">
        <w:rPr>
          <w:rFonts w:cs="Tahoma"/>
        </w:rPr>
        <w:t>’</w:t>
      </w:r>
      <w:r w:rsidRPr="00A75DF9">
        <w:rPr>
          <w:rFonts w:cs="Tahoma"/>
        </w:rPr>
        <w:t>ordine di rinnovo di Software Assurance dovrà essere effettuato prima della scadenza della copertura ai sensi del contratto precedente, ad eccezione del Contratto Open License. In tal caso le società potranno inviare l</w:t>
      </w:r>
      <w:r w:rsidR="00F2643E">
        <w:rPr>
          <w:rFonts w:cs="Tahoma"/>
        </w:rPr>
        <w:t>’</w:t>
      </w:r>
      <w:r w:rsidRPr="00A75DF9">
        <w:rPr>
          <w:rFonts w:cs="Tahoma"/>
        </w:rPr>
        <w:t>ordine fino a 90 giorni dopo la data di scadenza.</w:t>
      </w:r>
    </w:p>
    <w:p w:rsidR="00865A60" w:rsidRPr="00A75DF9" w:rsidRDefault="00865A60" w:rsidP="00865A60">
      <w:pPr>
        <w:tabs>
          <w:tab w:val="num" w:pos="0"/>
        </w:tabs>
        <w:rPr>
          <w:rFonts w:cs="Tahoma"/>
        </w:rPr>
      </w:pPr>
    </w:p>
    <w:p w:rsidR="00171817" w:rsidRPr="00A75DF9" w:rsidRDefault="00171817" w:rsidP="002171C3">
      <w:pPr>
        <w:pStyle w:val="Heading4"/>
        <w:ind w:hanging="720"/>
        <w:rPr>
          <w:rFonts w:ascii="Tahoma" w:hAnsi="Tahoma" w:cs="Tahoma"/>
        </w:rPr>
      </w:pPr>
      <w:bookmarkStart w:id="713" w:name="_Toc336338224"/>
      <w:bookmarkStart w:id="714" w:name="_Toc368310215"/>
      <w:r w:rsidRPr="00A75DF9">
        <w:rPr>
          <w:rFonts w:ascii="Tahoma" w:hAnsi="Tahoma" w:cs="Tahoma"/>
          <w:sz w:val="24"/>
          <w:szCs w:val="22"/>
        </w:rPr>
        <w:t>Contratto Enterprise 2011 e versioni successive</w:t>
      </w:r>
      <w:bookmarkEnd w:id="713"/>
      <w:bookmarkEnd w:id="714"/>
    </w:p>
    <w:p w:rsidR="00171817" w:rsidRPr="00A75DF9" w:rsidRDefault="00171817" w:rsidP="00865A60">
      <w:pPr>
        <w:outlineLvl w:val="2"/>
        <w:rPr>
          <w:rFonts w:cs="Tahoma"/>
        </w:rPr>
      </w:pPr>
    </w:p>
    <w:p w:rsidR="00171817" w:rsidRPr="00A75DF9" w:rsidRDefault="00171817" w:rsidP="0063466C">
      <w:pPr>
        <w:keepNext/>
        <w:tabs>
          <w:tab w:val="num" w:pos="720"/>
        </w:tabs>
        <w:spacing w:after="60"/>
        <w:ind w:left="360" w:hanging="360"/>
        <w:outlineLvl w:val="3"/>
        <w:rPr>
          <w:rFonts w:cs="Tahoma"/>
        </w:rPr>
      </w:pPr>
      <w:r w:rsidRPr="00A75DF9">
        <w:rPr>
          <w:rFonts w:cs="Tahoma"/>
          <w:b/>
          <w:szCs w:val="20"/>
        </w:rPr>
        <w:t>Rinnovo della Copertura ai sensi del Medesimo Contratto</w:t>
      </w:r>
    </w:p>
    <w:p w:rsidR="00171817" w:rsidRPr="00A75DF9" w:rsidRDefault="00171817" w:rsidP="00171817">
      <w:pPr>
        <w:tabs>
          <w:tab w:val="num" w:pos="0"/>
        </w:tabs>
        <w:rPr>
          <w:rFonts w:cs="Tahoma"/>
        </w:rPr>
      </w:pPr>
      <w:r w:rsidRPr="00A75DF9">
        <w:rPr>
          <w:rFonts w:cs="Tahoma"/>
          <w:szCs w:val="20"/>
        </w:rPr>
        <w:t>Alla scadenza dell</w:t>
      </w:r>
      <w:r w:rsidR="00F2643E">
        <w:rPr>
          <w:rFonts w:cs="Tahoma"/>
          <w:szCs w:val="20"/>
        </w:rPr>
        <w:t>’</w:t>
      </w:r>
      <w:r w:rsidRPr="00A75DF9">
        <w:rPr>
          <w:rFonts w:cs="Tahoma"/>
          <w:szCs w:val="20"/>
        </w:rPr>
        <w:t>iscrizione la società è idonea al rinnovo dei prezzi del Contratto Enterprise, che si basano solo su Software Assurance. Le società riceveranno una comunicazione scritta delle opzioni di rinnovo prima della scadenza della loro iscrizione. Le società potranno scegliere di rinnovare la loro iscrizione per un periodo di validità successivo di 36 mesi solari completi. Dopo il periodo di rinnovo, per rinnovare la copertura Software Assurance, la società dovrà sottoscrivere una nuova Iscrizione. Per rinnovare la copertura Software Assurance ai sensi della medesima iscrizione, le società dovranno presentare un ordine di rinnovo per Software Assurance (a seconda dei casi) per 1) tutti i prodotti Enterprise, i Prodotti della Piattaforma Applicativa, i Prodotti Core Infrastructure e Prodotti Aggiuntivi per i quali desiderano eseguire il rinnovo ed 2) eventuali Servizi Online, che consentono di tenere traccia delle transazioni (se applicabile).</w:t>
      </w:r>
      <w:r w:rsidR="009D3B41" w:rsidRPr="00A75DF9">
        <w:rPr>
          <w:rFonts w:cs="Tahoma"/>
          <w:szCs w:val="20"/>
        </w:rPr>
        <w:t xml:space="preserve"> </w:t>
      </w:r>
      <w:r w:rsidRPr="00A75DF9">
        <w:rPr>
          <w:rFonts w:cs="Tahoma"/>
          <w:szCs w:val="20"/>
        </w:rPr>
        <w:t>Tale ordine dovrà essere presentato prima della scadenza del precedente periodo di validità. Il periodo di rinnovo avrà inizio il giorno successivo alla scadenza del precedente periodo di validità. Per informazioni su come rinnovare la copertura Software Assurance ai sensi di una successiva iscrizione, vedere di seguito.</w:t>
      </w:r>
    </w:p>
    <w:p w:rsidR="00171817" w:rsidRPr="00A75DF9" w:rsidRDefault="00171817" w:rsidP="00171817">
      <w:pPr>
        <w:tabs>
          <w:tab w:val="num" w:pos="0"/>
        </w:tabs>
        <w:rPr>
          <w:rFonts w:cs="Tahoma"/>
        </w:rPr>
      </w:pPr>
    </w:p>
    <w:p w:rsidR="00171817" w:rsidRPr="00A75DF9" w:rsidRDefault="00171817" w:rsidP="0063466C">
      <w:pPr>
        <w:keepNext/>
        <w:tabs>
          <w:tab w:val="num" w:pos="720"/>
        </w:tabs>
        <w:spacing w:after="60"/>
        <w:ind w:left="360" w:hanging="360"/>
        <w:outlineLvl w:val="3"/>
        <w:rPr>
          <w:rFonts w:cs="Tahoma"/>
        </w:rPr>
      </w:pPr>
      <w:r w:rsidRPr="00A75DF9">
        <w:rPr>
          <w:rFonts w:cs="Tahoma"/>
          <w:b/>
          <w:szCs w:val="20"/>
        </w:rPr>
        <w:t>Rinnovo della Copertura con un Contratto Separato</w:t>
      </w:r>
    </w:p>
    <w:p w:rsidR="00171817" w:rsidRPr="00A75DF9" w:rsidRDefault="00171817" w:rsidP="00105321">
      <w:pPr>
        <w:tabs>
          <w:tab w:val="num" w:pos="0"/>
        </w:tabs>
        <w:rPr>
          <w:rFonts w:cs="Tahoma"/>
        </w:rPr>
      </w:pPr>
      <w:r w:rsidRPr="00A75DF9">
        <w:rPr>
          <w:rFonts w:cs="Tahoma"/>
          <w:color w:val="000000"/>
          <w:szCs w:val="20"/>
        </w:rPr>
        <w:t>La società potrà ordinare Software Assurance per qualsiasi prodotto senza dover contemporaneamente ordinare una</w:t>
      </w:r>
      <w:r w:rsidR="00105321">
        <w:rPr>
          <w:rFonts w:cs="Tahoma"/>
          <w:color w:val="000000"/>
          <w:szCs w:val="20"/>
        </w:rPr>
        <w:t> </w:t>
      </w:r>
      <w:r w:rsidRPr="00A75DF9">
        <w:rPr>
          <w:rFonts w:cs="Tahoma"/>
          <w:color w:val="000000"/>
          <w:szCs w:val="20"/>
        </w:rPr>
        <w:t>Licenza a condizione che abbia ottenuto licenze perpetue per tale prodotto e la copertura Software Assurance sia attiva al momento del rinnovo.</w:t>
      </w:r>
      <w:r w:rsidR="009D3B41" w:rsidRPr="00A75DF9">
        <w:rPr>
          <w:rFonts w:cs="Tahoma"/>
          <w:color w:val="000000"/>
          <w:szCs w:val="20"/>
        </w:rPr>
        <w:t xml:space="preserve"> </w:t>
      </w:r>
      <w:r w:rsidRPr="00A75DF9">
        <w:rPr>
          <w:rFonts w:cs="Tahoma"/>
          <w:color w:val="000000"/>
          <w:szCs w:val="20"/>
        </w:rPr>
        <w:t>Per i Prodotti Aggiuntivi, poiché</w:t>
      </w:r>
      <w:r w:rsidRPr="00A75DF9">
        <w:rPr>
          <w:rFonts w:cs="Tahoma"/>
          <w:color w:val="000000"/>
          <w:szCs w:val="24"/>
        </w:rPr>
        <w:t xml:space="preserve"> la copertura viene rinnovata da un Contratto Open License, la società potrà inviare l</w:t>
      </w:r>
      <w:r w:rsidR="00F2643E">
        <w:rPr>
          <w:rFonts w:cs="Tahoma"/>
          <w:color w:val="000000"/>
          <w:szCs w:val="24"/>
        </w:rPr>
        <w:t>’</w:t>
      </w:r>
      <w:r w:rsidRPr="00A75DF9">
        <w:rPr>
          <w:rFonts w:cs="Tahoma"/>
          <w:color w:val="000000"/>
          <w:szCs w:val="24"/>
        </w:rPr>
        <w:t>ordine fino a 90 giorni dopo la data di scadenza.</w:t>
      </w:r>
      <w:r w:rsidR="009D3B41" w:rsidRPr="00A75DF9">
        <w:rPr>
          <w:rFonts w:cs="Tahoma"/>
          <w:color w:val="000000"/>
          <w:szCs w:val="24"/>
        </w:rPr>
        <w:t xml:space="preserve"> </w:t>
      </w:r>
    </w:p>
    <w:p w:rsidR="00171817" w:rsidRPr="00A75DF9" w:rsidRDefault="00171817" w:rsidP="00171817">
      <w:pPr>
        <w:tabs>
          <w:tab w:val="num" w:pos="0"/>
        </w:tabs>
        <w:rPr>
          <w:rFonts w:cs="Tahoma"/>
        </w:rPr>
      </w:pPr>
    </w:p>
    <w:p w:rsidR="00171817" w:rsidRPr="00A75DF9" w:rsidRDefault="00171817" w:rsidP="0063466C">
      <w:pPr>
        <w:keepNext/>
        <w:tabs>
          <w:tab w:val="num" w:pos="720"/>
        </w:tabs>
        <w:spacing w:after="60"/>
        <w:ind w:left="360" w:hanging="360"/>
        <w:outlineLvl w:val="3"/>
        <w:rPr>
          <w:rFonts w:cs="Tahoma"/>
        </w:rPr>
      </w:pPr>
      <w:r w:rsidRPr="00A75DF9">
        <w:rPr>
          <w:rFonts w:cs="Tahoma"/>
          <w:b/>
          <w:szCs w:val="20"/>
        </w:rPr>
        <w:t xml:space="preserve">Enrollment for Application Platform </w:t>
      </w:r>
    </w:p>
    <w:p w:rsidR="00171817" w:rsidRPr="00A75DF9" w:rsidRDefault="00171817" w:rsidP="00171817">
      <w:pPr>
        <w:tabs>
          <w:tab w:val="num" w:pos="0"/>
        </w:tabs>
        <w:rPr>
          <w:rFonts w:cs="Tahoma"/>
        </w:rPr>
      </w:pPr>
      <w:r w:rsidRPr="00A75DF9">
        <w:rPr>
          <w:rFonts w:cs="Tahoma"/>
          <w:szCs w:val="20"/>
        </w:rPr>
        <w:t>Le società potranno ordinare solo Software Assurance per i prodotti disponibili, senza dover contemporaneamente ordinare una nuova Licenza, come previsto nelle condizioni di iscrizione.</w:t>
      </w:r>
    </w:p>
    <w:p w:rsidR="00BD1A6A" w:rsidRPr="00A75DF9" w:rsidRDefault="00BD1A6A" w:rsidP="00865A60">
      <w:pPr>
        <w:rPr>
          <w:rFonts w:cs="Tahoma"/>
        </w:rPr>
      </w:pPr>
      <w:bookmarkStart w:id="715" w:name="_Toc336338225"/>
    </w:p>
    <w:p w:rsidR="00171817" w:rsidRPr="00A75DF9" w:rsidRDefault="00171817" w:rsidP="00951852">
      <w:pPr>
        <w:pStyle w:val="Heading4"/>
        <w:ind w:left="360"/>
        <w:rPr>
          <w:rFonts w:ascii="Tahoma" w:hAnsi="Tahoma" w:cs="Tahoma"/>
        </w:rPr>
      </w:pPr>
      <w:bookmarkStart w:id="716" w:name="_Toc368310216"/>
      <w:r w:rsidRPr="00A75DF9">
        <w:rPr>
          <w:rFonts w:ascii="Tahoma" w:hAnsi="Tahoma" w:cs="Tahoma"/>
          <w:sz w:val="24"/>
        </w:rPr>
        <w:lastRenderedPageBreak/>
        <w:t>Contratto Enterprise Prima del 2011</w:t>
      </w:r>
      <w:bookmarkEnd w:id="715"/>
      <w:bookmarkEnd w:id="716"/>
    </w:p>
    <w:p w:rsidR="00171817" w:rsidRPr="00A75DF9" w:rsidRDefault="00171817" w:rsidP="00171817">
      <w:pPr>
        <w:tabs>
          <w:tab w:val="num" w:pos="0"/>
        </w:tabs>
        <w:rPr>
          <w:rFonts w:cs="Tahoma"/>
        </w:rPr>
      </w:pPr>
    </w:p>
    <w:p w:rsidR="00171817" w:rsidRPr="00A75DF9" w:rsidRDefault="00171817" w:rsidP="00171817">
      <w:pPr>
        <w:tabs>
          <w:tab w:val="num" w:pos="0"/>
        </w:tabs>
        <w:rPr>
          <w:rFonts w:cs="Tahoma"/>
        </w:rPr>
      </w:pPr>
      <w:r w:rsidRPr="00A75DF9">
        <w:rPr>
          <w:rFonts w:cs="Tahoma"/>
          <w:szCs w:val="20"/>
        </w:rPr>
        <w:t>Alla scadenza dell</w:t>
      </w:r>
      <w:r w:rsidR="00F2643E">
        <w:rPr>
          <w:rFonts w:cs="Tahoma"/>
          <w:szCs w:val="20"/>
        </w:rPr>
        <w:t>’</w:t>
      </w:r>
      <w:r w:rsidRPr="00A75DF9">
        <w:rPr>
          <w:rFonts w:cs="Tahoma"/>
          <w:szCs w:val="20"/>
        </w:rPr>
        <w:t>iscrizione la società è idonea al rinnovo dei prezzi del Contratto Enterprise, che si basano solo su Software Assurance. Le società riceveranno una comunicazione scritta delle opzioni di rinnovo 60 giorni prima della scadenza della loro iscrizione.</w:t>
      </w:r>
      <w:r w:rsidR="009D3B41" w:rsidRPr="00A75DF9">
        <w:rPr>
          <w:rFonts w:cs="Tahoma"/>
          <w:szCs w:val="20"/>
        </w:rPr>
        <w:t xml:space="preserve"> </w:t>
      </w:r>
      <w:r w:rsidRPr="00A75DF9">
        <w:rPr>
          <w:rFonts w:cs="Tahoma"/>
          <w:szCs w:val="20"/>
        </w:rPr>
        <w:t>Per eseguire il rinnovo, le società dovranno sottoscrivere un</w:t>
      </w:r>
      <w:r w:rsidR="00F2643E">
        <w:rPr>
          <w:rFonts w:cs="Tahoma"/>
          <w:szCs w:val="20"/>
        </w:rPr>
        <w:t>’</w:t>
      </w:r>
      <w:r w:rsidRPr="00A75DF9">
        <w:rPr>
          <w:rFonts w:cs="Tahoma"/>
          <w:szCs w:val="20"/>
        </w:rPr>
        <w:t xml:space="preserve">Iscrizione e un Contratto Enterprise 2011 o versione successiva nuovi. Il periodo di rinnovo avrà inizio il giorno successivo alla scadenza del precedente periodo di validità. </w:t>
      </w:r>
    </w:p>
    <w:p w:rsidR="00171817" w:rsidRPr="00A75DF9" w:rsidRDefault="00171817" w:rsidP="00171817">
      <w:pPr>
        <w:tabs>
          <w:tab w:val="num" w:pos="0"/>
        </w:tabs>
        <w:rPr>
          <w:rFonts w:cs="Tahoma"/>
        </w:rPr>
      </w:pPr>
    </w:p>
    <w:p w:rsidR="003E606C" w:rsidRPr="00A75DF9" w:rsidRDefault="00171817" w:rsidP="0063466C">
      <w:pPr>
        <w:tabs>
          <w:tab w:val="num" w:pos="0"/>
        </w:tabs>
        <w:spacing w:after="60"/>
        <w:rPr>
          <w:rFonts w:cs="Tahoma"/>
        </w:rPr>
      </w:pPr>
      <w:r w:rsidRPr="00A75DF9">
        <w:rPr>
          <w:rFonts w:cs="Tahoma"/>
          <w:b/>
          <w:szCs w:val="20"/>
        </w:rPr>
        <w:t>Enrollment for Application Platform</w:t>
      </w:r>
    </w:p>
    <w:p w:rsidR="00171817" w:rsidRPr="00A75DF9" w:rsidRDefault="00171817" w:rsidP="0063466C">
      <w:pPr>
        <w:tabs>
          <w:tab w:val="num" w:pos="0"/>
        </w:tabs>
        <w:rPr>
          <w:rFonts w:cs="Tahoma"/>
        </w:rPr>
      </w:pPr>
      <w:r w:rsidRPr="00A75DF9">
        <w:rPr>
          <w:rFonts w:cs="Tahoma"/>
          <w:szCs w:val="20"/>
        </w:rPr>
        <w:t>Le società potranno ordinare solo Software Assurance per i prodotti disponibili, senza dover contemporaneamente ordinare una nuova Licenza, come previsto nelle condizioni di iscrizione.</w:t>
      </w:r>
    </w:p>
    <w:p w:rsidR="00865A60" w:rsidRPr="00A75DF9" w:rsidRDefault="00865A60" w:rsidP="00865A60">
      <w:pPr>
        <w:rPr>
          <w:rFonts w:cs="Tahoma"/>
        </w:rPr>
      </w:pPr>
    </w:p>
    <w:p w:rsidR="00171817" w:rsidRPr="00A75DF9" w:rsidRDefault="00171817" w:rsidP="00951852">
      <w:pPr>
        <w:pStyle w:val="Heading4"/>
        <w:ind w:left="360"/>
        <w:rPr>
          <w:rFonts w:ascii="Tahoma" w:hAnsi="Tahoma" w:cs="Tahoma"/>
        </w:rPr>
      </w:pPr>
      <w:bookmarkStart w:id="717" w:name="_Toc323159750"/>
      <w:bookmarkStart w:id="718" w:name="_Toc336338226"/>
      <w:bookmarkStart w:id="719" w:name="_Toc368310217"/>
      <w:r w:rsidRPr="00A75DF9">
        <w:rPr>
          <w:rFonts w:ascii="Tahoma" w:hAnsi="Tahoma" w:cs="Tahoma"/>
          <w:sz w:val="24"/>
        </w:rPr>
        <w:t>Rinnovo Incrociato dei Programmi</w:t>
      </w:r>
      <w:bookmarkEnd w:id="717"/>
      <w:bookmarkEnd w:id="718"/>
      <w:bookmarkEnd w:id="719"/>
    </w:p>
    <w:p w:rsidR="00171817" w:rsidRPr="00A75DF9" w:rsidRDefault="00171817" w:rsidP="00171817">
      <w:pPr>
        <w:tabs>
          <w:tab w:val="num" w:pos="0"/>
        </w:tabs>
        <w:rPr>
          <w:rFonts w:cs="Tahoma"/>
        </w:rPr>
      </w:pPr>
    </w:p>
    <w:p w:rsidR="00171817" w:rsidRPr="00A75DF9" w:rsidRDefault="00171817" w:rsidP="00105321">
      <w:pPr>
        <w:pStyle w:val="AppendIndentSub"/>
        <w:tabs>
          <w:tab w:val="num" w:pos="0"/>
        </w:tabs>
        <w:ind w:left="0"/>
        <w:rPr>
          <w:rFonts w:ascii="Tahoma" w:hAnsi="Tahoma" w:cs="Tahoma"/>
        </w:rPr>
      </w:pPr>
      <w:r w:rsidRPr="00A75DF9">
        <w:rPr>
          <w:rFonts w:ascii="Tahoma" w:hAnsi="Tahoma" w:cs="Tahoma"/>
          <w:sz w:val="18"/>
        </w:rPr>
        <w:t>Come eccezione alle regole precedenti le società potranno rinnovare la copertura Software Assurance tramite l</w:t>
      </w:r>
      <w:r w:rsidR="00F2643E">
        <w:rPr>
          <w:rFonts w:ascii="Tahoma" w:hAnsi="Tahoma" w:cs="Tahoma"/>
          <w:sz w:val="18"/>
        </w:rPr>
        <w:t>’</w:t>
      </w:r>
      <w:r w:rsidRPr="00A75DF9">
        <w:rPr>
          <w:rFonts w:ascii="Tahoma" w:hAnsi="Tahoma" w:cs="Tahoma"/>
          <w:sz w:val="18"/>
        </w:rPr>
        <w:t>acquisto della stessa ai sensi di un contratto Open Value, Select, Select Plus o iscrizione Enterprise. Per le società che rinnovano Software Assurance ai sensi di un</w:t>
      </w:r>
      <w:r w:rsidR="00F2643E">
        <w:rPr>
          <w:rFonts w:ascii="Tahoma" w:hAnsi="Tahoma" w:cs="Tahoma"/>
          <w:sz w:val="18"/>
        </w:rPr>
        <w:t>’</w:t>
      </w:r>
      <w:r w:rsidRPr="00A75DF9">
        <w:rPr>
          <w:rFonts w:ascii="Tahoma" w:hAnsi="Tahoma" w:cs="Tahoma"/>
          <w:sz w:val="18"/>
        </w:rPr>
        <w:t>iscrizione Enterprise esistente, l</w:t>
      </w:r>
      <w:r w:rsidR="00F2643E">
        <w:rPr>
          <w:rFonts w:ascii="Tahoma" w:hAnsi="Tahoma" w:cs="Tahoma"/>
          <w:sz w:val="18"/>
        </w:rPr>
        <w:t>’</w:t>
      </w:r>
      <w:r w:rsidRPr="00A75DF9">
        <w:rPr>
          <w:rFonts w:ascii="Tahoma" w:hAnsi="Tahoma" w:cs="Tahoma"/>
          <w:sz w:val="18"/>
        </w:rPr>
        <w:t>eccezione si applica solo ai prodotti aggiuntivi e ai prodotti che non rientrano nell</w:t>
      </w:r>
      <w:r w:rsidR="00F2643E">
        <w:rPr>
          <w:rFonts w:ascii="Tahoma" w:hAnsi="Tahoma" w:cs="Tahoma"/>
          <w:sz w:val="18"/>
        </w:rPr>
        <w:t>’</w:t>
      </w:r>
      <w:r w:rsidRPr="00A75DF9">
        <w:rPr>
          <w:rFonts w:ascii="Tahoma" w:hAnsi="Tahoma" w:cs="Tahoma"/>
          <w:sz w:val="18"/>
        </w:rPr>
        <w:t>impegno a livello aziendale. Le società dovranno effettuare un ordine di</w:t>
      </w:r>
      <w:r w:rsidR="00105321">
        <w:rPr>
          <w:rFonts w:ascii="Tahoma" w:hAnsi="Tahoma" w:cs="Tahoma"/>
          <w:sz w:val="18"/>
        </w:rPr>
        <w:t> </w:t>
      </w:r>
      <w:r w:rsidRPr="00A75DF9">
        <w:rPr>
          <w:rFonts w:ascii="Tahoma" w:hAnsi="Tahoma" w:cs="Tahoma"/>
          <w:sz w:val="18"/>
        </w:rPr>
        <w:t>Software Assurance prima della data di scadenza della copertura precedente ai sensi di un contratto o un</w:t>
      </w:r>
      <w:r w:rsidR="00F2643E">
        <w:rPr>
          <w:rFonts w:ascii="Tahoma" w:hAnsi="Tahoma" w:cs="Tahoma"/>
          <w:sz w:val="18"/>
        </w:rPr>
        <w:t>’</w:t>
      </w:r>
      <w:r w:rsidRPr="00A75DF9">
        <w:rPr>
          <w:rFonts w:ascii="Tahoma" w:hAnsi="Tahoma" w:cs="Tahoma"/>
          <w:sz w:val="18"/>
        </w:rPr>
        <w:t xml:space="preserve">iscrizione in essere. </w:t>
      </w:r>
    </w:p>
    <w:p w:rsidR="00171817" w:rsidRPr="00A75DF9" w:rsidRDefault="00171817" w:rsidP="00171817">
      <w:pPr>
        <w:pStyle w:val="AppendIndentSub"/>
        <w:tabs>
          <w:tab w:val="num" w:pos="0"/>
        </w:tabs>
        <w:ind w:left="0"/>
        <w:rPr>
          <w:rFonts w:ascii="Tahoma" w:hAnsi="Tahoma" w:cs="Tahoma"/>
        </w:rPr>
      </w:pPr>
    </w:p>
    <w:p w:rsidR="00171817" w:rsidRPr="00A75DF9" w:rsidRDefault="00171817" w:rsidP="00105321">
      <w:pPr>
        <w:pStyle w:val="AppendIndentSub"/>
        <w:tabs>
          <w:tab w:val="num" w:pos="0"/>
        </w:tabs>
        <w:ind w:left="0"/>
        <w:rPr>
          <w:rFonts w:ascii="Tahoma" w:hAnsi="Tahoma" w:cs="Tahoma"/>
        </w:rPr>
      </w:pPr>
      <w:r w:rsidRPr="00A75DF9">
        <w:rPr>
          <w:rFonts w:ascii="Tahoma" w:hAnsi="Tahoma" w:cs="Tahoma"/>
          <w:sz w:val="18"/>
          <w:szCs w:val="18"/>
        </w:rPr>
        <w:t>Per tutti i programmi, ad eccezione di Select Plus, l</w:t>
      </w:r>
      <w:r w:rsidR="00F2643E">
        <w:rPr>
          <w:rFonts w:ascii="Tahoma" w:hAnsi="Tahoma" w:cs="Tahoma"/>
          <w:sz w:val="18"/>
          <w:szCs w:val="18"/>
        </w:rPr>
        <w:t>’</w:t>
      </w:r>
      <w:r w:rsidRPr="00A75DF9">
        <w:rPr>
          <w:rFonts w:ascii="Tahoma" w:hAnsi="Tahoma" w:cs="Tahoma"/>
          <w:sz w:val="18"/>
          <w:szCs w:val="18"/>
        </w:rPr>
        <w:t>ordine dovrà riguardare il periodo di validità residuo del contratto o dell</w:t>
      </w:r>
      <w:r w:rsidR="00F2643E">
        <w:rPr>
          <w:rFonts w:ascii="Tahoma" w:hAnsi="Tahoma" w:cs="Tahoma"/>
          <w:sz w:val="18"/>
          <w:szCs w:val="18"/>
        </w:rPr>
        <w:t>’</w:t>
      </w:r>
      <w:r w:rsidRPr="00A75DF9">
        <w:rPr>
          <w:rFonts w:ascii="Tahoma" w:hAnsi="Tahoma" w:cs="Tahoma"/>
          <w:sz w:val="18"/>
          <w:szCs w:val="18"/>
        </w:rPr>
        <w:t>iscrizione in essere (ad esempio, SA x il numero di anni residui del periodo di validità dell</w:t>
      </w:r>
      <w:r w:rsidR="00F2643E">
        <w:rPr>
          <w:rFonts w:ascii="Tahoma" w:hAnsi="Tahoma" w:cs="Tahoma"/>
          <w:sz w:val="18"/>
          <w:szCs w:val="18"/>
        </w:rPr>
        <w:t>’</w:t>
      </w:r>
      <w:r w:rsidRPr="00A75DF9">
        <w:rPr>
          <w:rFonts w:ascii="Tahoma" w:hAnsi="Tahoma" w:cs="Tahoma"/>
          <w:sz w:val="18"/>
          <w:szCs w:val="18"/>
        </w:rPr>
        <w:t>iscrizione a partire dalla data dell</w:t>
      </w:r>
      <w:r w:rsidR="00F2643E">
        <w:rPr>
          <w:rFonts w:ascii="Tahoma" w:hAnsi="Tahoma" w:cs="Tahoma"/>
          <w:sz w:val="18"/>
          <w:szCs w:val="18"/>
        </w:rPr>
        <w:t>’</w:t>
      </w:r>
      <w:r w:rsidRPr="00A75DF9">
        <w:rPr>
          <w:rFonts w:ascii="Tahoma" w:hAnsi="Tahoma" w:cs="Tahoma"/>
          <w:sz w:val="18"/>
          <w:szCs w:val="18"/>
        </w:rPr>
        <w:t>ordine, incluso l</w:t>
      </w:r>
      <w:r w:rsidR="00F2643E">
        <w:rPr>
          <w:rFonts w:ascii="Tahoma" w:hAnsi="Tahoma" w:cs="Tahoma"/>
          <w:sz w:val="18"/>
          <w:szCs w:val="18"/>
        </w:rPr>
        <w:t>’</w:t>
      </w:r>
      <w:r w:rsidRPr="00A75DF9">
        <w:rPr>
          <w:rFonts w:ascii="Tahoma" w:hAnsi="Tahoma" w:cs="Tahoma"/>
          <w:sz w:val="18"/>
          <w:szCs w:val="18"/>
        </w:rPr>
        <w:t>eventuale anno parziale). In Select Plus il periodo di validità dell</w:t>
      </w:r>
      <w:r w:rsidR="00F2643E">
        <w:rPr>
          <w:rFonts w:ascii="Tahoma" w:hAnsi="Tahoma" w:cs="Tahoma"/>
          <w:sz w:val="18"/>
          <w:szCs w:val="18"/>
        </w:rPr>
        <w:t>’</w:t>
      </w:r>
      <w:r w:rsidRPr="00A75DF9">
        <w:rPr>
          <w:rFonts w:ascii="Tahoma" w:hAnsi="Tahoma" w:cs="Tahoma"/>
          <w:sz w:val="18"/>
          <w:szCs w:val="18"/>
        </w:rPr>
        <w:t>ordine sarà di 36</w:t>
      </w:r>
      <w:r w:rsidR="00105321">
        <w:rPr>
          <w:rFonts w:ascii="Tahoma" w:hAnsi="Tahoma" w:cs="Tahoma"/>
          <w:sz w:val="18"/>
          <w:szCs w:val="18"/>
        </w:rPr>
        <w:t> </w:t>
      </w:r>
      <w:r w:rsidRPr="00A75DF9">
        <w:rPr>
          <w:rFonts w:ascii="Tahoma" w:hAnsi="Tahoma" w:cs="Tahoma"/>
          <w:sz w:val="18"/>
          <w:szCs w:val="18"/>
        </w:rPr>
        <w:t>mesi.</w:t>
      </w:r>
      <w:r w:rsidR="009D3B41" w:rsidRPr="00A75DF9">
        <w:rPr>
          <w:rFonts w:ascii="Tahoma" w:hAnsi="Tahoma" w:cs="Tahoma"/>
          <w:sz w:val="18"/>
          <w:szCs w:val="18"/>
        </w:rPr>
        <w:t xml:space="preserve"> </w:t>
      </w:r>
      <w:r w:rsidRPr="00A75DF9">
        <w:rPr>
          <w:rFonts w:ascii="Tahoma" w:hAnsi="Tahoma" w:cs="Tahoma"/>
          <w:sz w:val="18"/>
          <w:szCs w:val="18"/>
        </w:rPr>
        <w:t>Poiché i prezzi di Software Assurance non saranno suddivisi in misura proporzionale per l</w:t>
      </w:r>
      <w:r w:rsidR="00F2643E">
        <w:rPr>
          <w:rFonts w:ascii="Tahoma" w:hAnsi="Tahoma" w:cs="Tahoma"/>
          <w:sz w:val="18"/>
          <w:szCs w:val="18"/>
        </w:rPr>
        <w:t>’</w:t>
      </w:r>
      <w:r w:rsidRPr="00A75DF9">
        <w:rPr>
          <w:rFonts w:ascii="Tahoma" w:hAnsi="Tahoma" w:cs="Tahoma"/>
          <w:sz w:val="18"/>
          <w:szCs w:val="18"/>
        </w:rPr>
        <w:t>eventuale anno</w:t>
      </w:r>
      <w:r w:rsidR="00105321">
        <w:rPr>
          <w:rFonts w:ascii="Tahoma" w:hAnsi="Tahoma" w:cs="Tahoma"/>
          <w:sz w:val="18"/>
          <w:szCs w:val="18"/>
        </w:rPr>
        <w:t> </w:t>
      </w:r>
      <w:r w:rsidRPr="00A75DF9">
        <w:rPr>
          <w:rFonts w:ascii="Tahoma" w:hAnsi="Tahoma" w:cs="Tahoma"/>
          <w:sz w:val="18"/>
          <w:szCs w:val="18"/>
        </w:rPr>
        <w:t>parziale di copertura, le società dovranno programmare gli ordini tenendo conto delle ricorrenze della data di entrata</w:t>
      </w:r>
      <w:r w:rsidR="00105321">
        <w:rPr>
          <w:rFonts w:ascii="Tahoma" w:hAnsi="Tahoma" w:cs="Tahoma"/>
          <w:sz w:val="18"/>
          <w:szCs w:val="18"/>
        </w:rPr>
        <w:t> </w:t>
      </w:r>
      <w:r w:rsidRPr="00A75DF9">
        <w:rPr>
          <w:rFonts w:ascii="Tahoma" w:hAnsi="Tahoma" w:cs="Tahoma"/>
          <w:sz w:val="18"/>
          <w:szCs w:val="18"/>
        </w:rPr>
        <w:t>in vigore del contratto in essere. Per le versioni del Contratto 2008 e precedenti, qualora la copertura venga rinnovata nei 30 giorni precedenti (90 giorni se il rinnovo viene effettuato sulla base del Programma Open License), essa sarà attiva durante il periodo di tempo che intercorre tra la data di scadenza della precedente e la data di inizio di quella nuova. Le società saranno idonee a ricevere gli aggiornamenti resi disponibili durante tale periodo a condizione che la copertura venga rinnovata. </w:t>
      </w:r>
    </w:p>
    <w:p w:rsidR="00023FE7" w:rsidRPr="00A75DF9" w:rsidRDefault="00023FE7">
      <w:pPr>
        <w:pStyle w:val="AppendixIndent"/>
        <w:tabs>
          <w:tab w:val="num" w:pos="0"/>
        </w:tabs>
        <w:ind w:left="0"/>
        <w:rPr>
          <w:rFonts w:ascii="Tahoma" w:hAnsi="Tahoma" w:cs="Tahoma"/>
        </w:rPr>
      </w:pPr>
    </w:p>
    <w:p w:rsidR="00023FE7" w:rsidRPr="00A75DF9" w:rsidRDefault="00023FE7">
      <w:pPr>
        <w:rPr>
          <w:rFonts w:cs="Tahoma"/>
        </w:rPr>
      </w:pPr>
      <w:r w:rsidRPr="00A75DF9">
        <w:rPr>
          <w:rFonts w:cs="Tahoma"/>
        </w:rPr>
        <w:br w:type="page"/>
      </w:r>
    </w:p>
    <w:p w:rsidR="00EA1A1E" w:rsidRPr="00A75DF9" w:rsidRDefault="00EA1A1E" w:rsidP="00105321">
      <w:pPr>
        <w:pStyle w:val="Heading1"/>
        <w:spacing w:before="0"/>
        <w:rPr>
          <w:rFonts w:cs="Tahoma"/>
        </w:rPr>
      </w:pPr>
      <w:bookmarkStart w:id="720" w:name="_Toc336338227"/>
      <w:bookmarkStart w:id="721" w:name="_Toc368310218"/>
      <w:r w:rsidRPr="00A75DF9">
        <w:rPr>
          <w:rFonts w:cs="Tahoma"/>
        </w:rPr>
        <w:lastRenderedPageBreak/>
        <w:t>ARTICOLO 7 - Vantaggi di Software Assurance (SA) e dei Servizi Online (OLS)</w:t>
      </w:r>
      <w:bookmarkEnd w:id="720"/>
      <w:bookmarkEnd w:id="721"/>
    </w:p>
    <w:p w:rsidR="00EA1A1E" w:rsidRPr="00A75DF9" w:rsidRDefault="00EA1A1E" w:rsidP="00EA1A1E">
      <w:pPr>
        <w:rPr>
          <w:rFonts w:cs="Tahoma"/>
        </w:rPr>
      </w:pPr>
    </w:p>
    <w:p w:rsidR="00E7419A" w:rsidRPr="00A75DF9" w:rsidRDefault="00E7419A" w:rsidP="00E7419A">
      <w:pPr>
        <w:spacing w:after="60"/>
        <w:rPr>
          <w:rFonts w:cs="Tahoma"/>
        </w:rPr>
      </w:pPr>
      <w:r w:rsidRPr="00A75DF9">
        <w:rPr>
          <w:rFonts w:cs="Tahoma"/>
          <w:szCs w:val="20"/>
        </w:rPr>
        <w:t>Nel presente articolo sono illustrati i vantaggi di Software Assurance e dei Servizi Online.</w:t>
      </w:r>
      <w:r w:rsidR="009D3B41" w:rsidRPr="00A75DF9">
        <w:rPr>
          <w:rFonts w:cs="Tahoma"/>
          <w:szCs w:val="20"/>
        </w:rPr>
        <w:t xml:space="preserve"> </w:t>
      </w:r>
    </w:p>
    <w:p w:rsidR="00EA1A1E" w:rsidRPr="00A75DF9" w:rsidRDefault="00EA1A1E" w:rsidP="00BA0707">
      <w:pPr>
        <w:rPr>
          <w:rFonts w:cs="Tahoma"/>
        </w:rPr>
      </w:pPr>
    </w:p>
    <w:p w:rsidR="003E606C" w:rsidRPr="00A75DF9" w:rsidRDefault="003E606C" w:rsidP="0063466C">
      <w:pPr>
        <w:spacing w:after="60"/>
        <w:rPr>
          <w:rFonts w:cs="Tahoma"/>
        </w:rPr>
      </w:pPr>
      <w:r w:rsidRPr="00A75DF9">
        <w:rPr>
          <w:rFonts w:cs="Tahoma"/>
          <w:b/>
          <w:szCs w:val="20"/>
        </w:rPr>
        <w:t>Vantaggi di Software Assurance</w:t>
      </w:r>
    </w:p>
    <w:p w:rsidR="00E7419A" w:rsidRPr="00A75DF9" w:rsidRDefault="00E7419A" w:rsidP="00105321">
      <w:pPr>
        <w:rPr>
          <w:rFonts w:cs="Tahoma"/>
        </w:rPr>
      </w:pPr>
      <w:r w:rsidRPr="00A75DF9">
        <w:rPr>
          <w:rFonts w:cs="Tahoma"/>
          <w:szCs w:val="20"/>
        </w:rPr>
        <w:t>Questi vantaggi variano in base al prodotto e al pool di prodotti. L</w:t>
      </w:r>
      <w:r w:rsidR="00F2643E">
        <w:rPr>
          <w:rFonts w:cs="Tahoma"/>
          <w:szCs w:val="20"/>
        </w:rPr>
        <w:t>’</w:t>
      </w:r>
      <w:r w:rsidRPr="00A75DF9">
        <w:rPr>
          <w:rFonts w:cs="Tahoma"/>
          <w:szCs w:val="20"/>
        </w:rPr>
        <w:t>accesso da parte delle società e i relativi diritti di</w:t>
      </w:r>
      <w:r w:rsidR="00105321">
        <w:rPr>
          <w:rFonts w:cs="Tahoma"/>
          <w:szCs w:val="20"/>
        </w:rPr>
        <w:t> </w:t>
      </w:r>
      <w:r w:rsidRPr="00A75DF9">
        <w:rPr>
          <w:rFonts w:cs="Tahoma"/>
          <w:szCs w:val="20"/>
        </w:rPr>
        <w:t>utilizzo dei loro vantaggi di Software Assurance terminano, in genere, alla scadenza della copertura Software Assurance. La maggior parte dei vantaggi Software Assurance viene assegnata all</w:t>
      </w:r>
      <w:r w:rsidR="00F2643E">
        <w:rPr>
          <w:rFonts w:cs="Tahoma"/>
          <w:szCs w:val="20"/>
        </w:rPr>
        <w:t>’</w:t>
      </w:r>
      <w:r w:rsidRPr="00A75DF9">
        <w:rPr>
          <w:rFonts w:cs="Tahoma"/>
          <w:szCs w:val="20"/>
        </w:rPr>
        <w:t>inizio del periodo di copertura.</w:t>
      </w:r>
      <w:r w:rsidR="009D3B41" w:rsidRPr="00A75DF9">
        <w:rPr>
          <w:rFonts w:cs="Tahoma"/>
          <w:szCs w:val="20"/>
        </w:rPr>
        <w:t xml:space="preserve"> </w:t>
      </w:r>
      <w:r w:rsidRPr="00A75DF9">
        <w:rPr>
          <w:rFonts w:cs="Tahoma"/>
          <w:szCs w:val="20"/>
        </w:rPr>
        <w:t>Le</w:t>
      </w:r>
      <w:r w:rsidR="00105321">
        <w:rPr>
          <w:rFonts w:cs="Tahoma"/>
          <w:szCs w:val="20"/>
        </w:rPr>
        <w:t> </w:t>
      </w:r>
      <w:r w:rsidRPr="00A75DF9">
        <w:rPr>
          <w:rFonts w:cs="Tahoma"/>
          <w:szCs w:val="20"/>
        </w:rPr>
        <w:t>eventuali modifiche verificatesi durante il periodo di copertura (ad esempio acquisti aggiuntivi, resi o transizioni dei servizi online) potranno comportare variazioni nell</w:t>
      </w:r>
      <w:r w:rsidR="00F2643E">
        <w:rPr>
          <w:rFonts w:cs="Tahoma"/>
          <w:szCs w:val="20"/>
        </w:rPr>
        <w:t>’</w:t>
      </w:r>
      <w:r w:rsidRPr="00A75DF9">
        <w:rPr>
          <w:rFonts w:cs="Tahoma"/>
          <w:szCs w:val="20"/>
        </w:rPr>
        <w:t>idoneità a ricevere i vantaggi.</w:t>
      </w:r>
    </w:p>
    <w:p w:rsidR="00BA0707" w:rsidRPr="00A75DF9" w:rsidRDefault="00BA0707" w:rsidP="00BA0707">
      <w:pPr>
        <w:rPr>
          <w:rFonts w:cs="Tahoma"/>
        </w:rPr>
      </w:pPr>
    </w:p>
    <w:p w:rsidR="0063466C" w:rsidRPr="00A75DF9" w:rsidRDefault="0063466C" w:rsidP="0063466C">
      <w:pPr>
        <w:spacing w:after="60"/>
        <w:rPr>
          <w:rFonts w:cs="Tahoma"/>
        </w:rPr>
      </w:pPr>
      <w:r w:rsidRPr="00A75DF9">
        <w:rPr>
          <w:rFonts w:cs="Tahoma"/>
          <w:b/>
          <w:szCs w:val="20"/>
        </w:rPr>
        <w:t>Vantaggi dei Servizi Online</w:t>
      </w:r>
    </w:p>
    <w:p w:rsidR="00E7419A" w:rsidRPr="00A75DF9" w:rsidRDefault="009F1A2B" w:rsidP="0063466C">
      <w:pPr>
        <w:rPr>
          <w:rFonts w:cs="Tahoma"/>
        </w:rPr>
      </w:pPr>
      <w:r w:rsidRPr="00A75DF9">
        <w:rPr>
          <w:rFonts w:cs="Tahoma"/>
          <w:szCs w:val="20"/>
        </w:rPr>
        <w:t>Tali vantaggi variano in base al prodotto.</w:t>
      </w:r>
      <w:r w:rsidR="009D3B41" w:rsidRPr="00A75DF9">
        <w:rPr>
          <w:rFonts w:cs="Tahoma"/>
          <w:szCs w:val="20"/>
        </w:rPr>
        <w:t xml:space="preserve"> </w:t>
      </w:r>
      <w:r w:rsidRPr="00A75DF9">
        <w:rPr>
          <w:rFonts w:cs="Tahoma"/>
          <w:szCs w:val="20"/>
        </w:rPr>
        <w:t>L</w:t>
      </w:r>
      <w:r w:rsidR="00F2643E">
        <w:rPr>
          <w:rFonts w:cs="Tahoma"/>
          <w:szCs w:val="20"/>
        </w:rPr>
        <w:t>’</w:t>
      </w:r>
      <w:r w:rsidRPr="00A75DF9">
        <w:rPr>
          <w:rFonts w:cs="Tahoma"/>
          <w:szCs w:val="20"/>
        </w:rPr>
        <w:t xml:space="preserve">accesso da parte delle società e i relativi diritti di utilizzo dei loro vantaggi dei Servizi Online terminano alla scadenza della rispettiva licenza di abbonamento ai servizi online. </w:t>
      </w:r>
    </w:p>
    <w:p w:rsidR="009F1A2B" w:rsidRPr="00A75DF9" w:rsidRDefault="009F1A2B" w:rsidP="0063466C">
      <w:pPr>
        <w:rPr>
          <w:rFonts w:cs="Tahoma"/>
        </w:rPr>
      </w:pPr>
    </w:p>
    <w:p w:rsidR="00E7419A" w:rsidRPr="00A75DF9" w:rsidRDefault="00E7419A" w:rsidP="0063466C">
      <w:pPr>
        <w:rPr>
          <w:rFonts w:cs="Tahoma"/>
        </w:rPr>
      </w:pPr>
      <w:r w:rsidRPr="00A75DF9">
        <w:rPr>
          <w:rFonts w:cs="Tahoma"/>
          <w:szCs w:val="20"/>
        </w:rPr>
        <w:t xml:space="preserve"> Eventuali eccezioni alle regole precedenti sono riportate negli articoli che seguono riguardanti i singoli vantaggi.</w:t>
      </w:r>
      <w:r w:rsidR="009D3B41" w:rsidRPr="00A75DF9">
        <w:rPr>
          <w:rFonts w:cs="Tahoma"/>
          <w:szCs w:val="20"/>
        </w:rPr>
        <w:t xml:space="preserve"> </w:t>
      </w:r>
      <w:r w:rsidRPr="00A75DF9">
        <w:rPr>
          <w:rFonts w:cs="Tahoma"/>
          <w:szCs w:val="20"/>
        </w:rPr>
        <w:t xml:space="preserve">I vantaggi sono soggetti a modifiche e possono essere interrotti senza preavviso e in qualsiasi momento. La disponibilità dei vantaggi varia in base al programma, alla regione, alle opzioni di adempimento e alla lingua. </w:t>
      </w:r>
    </w:p>
    <w:p w:rsidR="00023FE7" w:rsidRPr="00A75DF9" w:rsidRDefault="00023FE7" w:rsidP="0063466C">
      <w:pPr>
        <w:pStyle w:val="AppendixBodyText"/>
        <w:spacing w:after="0"/>
        <w:rPr>
          <w:rFonts w:ascii="Tahoma" w:hAnsi="Tahoma" w:cs="Tahoma"/>
        </w:rPr>
      </w:pPr>
    </w:p>
    <w:p w:rsidR="00023FE7" w:rsidRPr="00A75DF9" w:rsidRDefault="00023FE7" w:rsidP="0063466C">
      <w:pPr>
        <w:pStyle w:val="AppendixBodyText"/>
        <w:spacing w:after="0"/>
        <w:rPr>
          <w:rFonts w:ascii="Tahoma" w:hAnsi="Tahoma" w:cs="Tahoma"/>
        </w:rPr>
      </w:pPr>
      <w:r w:rsidRPr="00A75DF9">
        <w:rPr>
          <w:rFonts w:ascii="Tahoma" w:hAnsi="Tahoma" w:cs="Tahoma"/>
          <w:sz w:val="18"/>
        </w:rPr>
        <w:t>I vantaggi di Software Assurance e dei Servizi Online sono allocati nei diversi programmi secondo la modalità visualizzata nella seguente tabella:</w:t>
      </w:r>
    </w:p>
    <w:p w:rsidR="00023FE7" w:rsidRPr="00A75DF9" w:rsidRDefault="00023FE7" w:rsidP="00BA0707">
      <w:pPr>
        <w:pStyle w:val="AppendixBodyText"/>
        <w:spacing w:after="0"/>
        <w:rPr>
          <w:rFonts w:ascii="Tahoma" w:hAnsi="Tahoma" w:cs="Tahoma"/>
        </w:rPr>
      </w:pPr>
    </w:p>
    <w:tbl>
      <w:tblPr>
        <w:tblW w:w="9637" w:type="dxa"/>
        <w:tblInd w:w="9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447"/>
        <w:gridCol w:w="1350"/>
        <w:gridCol w:w="1530"/>
        <w:gridCol w:w="1530"/>
        <w:gridCol w:w="2520"/>
        <w:gridCol w:w="1260"/>
      </w:tblGrid>
      <w:tr w:rsidR="009233CA" w:rsidRPr="00A75DF9" w:rsidTr="007E466C">
        <w:trPr>
          <w:trHeight w:val="178"/>
        </w:trPr>
        <w:tc>
          <w:tcPr>
            <w:tcW w:w="1447" w:type="dxa"/>
            <w:shd w:val="clear" w:color="auto" w:fill="FFCC99"/>
            <w:vAlign w:val="center"/>
          </w:tcPr>
          <w:p w:rsidR="00394D2B" w:rsidRPr="00A75DF9" w:rsidRDefault="00394D2B" w:rsidP="00FF3343">
            <w:pPr>
              <w:pStyle w:val="AppendixTableHeadings"/>
              <w:jc w:val="left"/>
              <w:rPr>
                <w:rFonts w:ascii="Tahoma" w:hAnsi="Tahoma" w:cs="Tahoma"/>
                <w:sz w:val="20"/>
                <w:szCs w:val="20"/>
              </w:rPr>
            </w:pPr>
            <w:r w:rsidRPr="00A75DF9">
              <w:rPr>
                <w:rFonts w:ascii="Tahoma" w:hAnsi="Tahoma" w:cs="Tahoma"/>
                <w:sz w:val="20"/>
                <w:szCs w:val="20"/>
              </w:rPr>
              <w:t>Programmi</w:t>
            </w:r>
          </w:p>
        </w:tc>
        <w:tc>
          <w:tcPr>
            <w:tcW w:w="1350" w:type="dxa"/>
            <w:shd w:val="clear" w:color="auto" w:fill="FFCC99"/>
            <w:vAlign w:val="center"/>
          </w:tcPr>
          <w:p w:rsidR="00394D2B" w:rsidRPr="00A75DF9" w:rsidRDefault="00394D2B" w:rsidP="00FF3343">
            <w:pPr>
              <w:pStyle w:val="AppendixTableHeadings"/>
              <w:jc w:val="left"/>
              <w:rPr>
                <w:rFonts w:ascii="Tahoma" w:hAnsi="Tahoma" w:cs="Tahoma"/>
                <w:sz w:val="20"/>
                <w:szCs w:val="20"/>
              </w:rPr>
            </w:pPr>
            <w:r w:rsidRPr="00A75DF9">
              <w:rPr>
                <w:rFonts w:ascii="Tahoma" w:hAnsi="Tahoma" w:cs="Tahoma"/>
                <w:sz w:val="20"/>
                <w:szCs w:val="20"/>
              </w:rPr>
              <w:t>Licenza Open</w:t>
            </w:r>
          </w:p>
        </w:tc>
        <w:tc>
          <w:tcPr>
            <w:tcW w:w="1530" w:type="dxa"/>
            <w:shd w:val="clear" w:color="auto" w:fill="FFCC99"/>
            <w:vAlign w:val="center"/>
          </w:tcPr>
          <w:p w:rsidR="00394D2B" w:rsidRPr="00A75DF9" w:rsidRDefault="00394D2B" w:rsidP="00FF3343">
            <w:pPr>
              <w:pStyle w:val="AppendixTableHeadings"/>
              <w:jc w:val="left"/>
              <w:rPr>
                <w:rFonts w:ascii="Tahoma" w:hAnsi="Tahoma" w:cs="Tahoma"/>
                <w:sz w:val="20"/>
                <w:szCs w:val="20"/>
              </w:rPr>
            </w:pPr>
            <w:r w:rsidRPr="00A75DF9">
              <w:rPr>
                <w:rFonts w:ascii="Tahoma" w:hAnsi="Tahoma" w:cs="Tahoma"/>
                <w:sz w:val="20"/>
                <w:szCs w:val="20"/>
              </w:rPr>
              <w:t>Open Value</w:t>
            </w:r>
          </w:p>
        </w:tc>
        <w:tc>
          <w:tcPr>
            <w:tcW w:w="1530" w:type="dxa"/>
            <w:shd w:val="clear" w:color="auto" w:fill="FFCC99"/>
            <w:vAlign w:val="center"/>
          </w:tcPr>
          <w:p w:rsidR="00394D2B" w:rsidRPr="00A75DF9" w:rsidRDefault="00394D2B" w:rsidP="00FF3343">
            <w:pPr>
              <w:pStyle w:val="AppendixTableHeadings"/>
              <w:jc w:val="left"/>
              <w:rPr>
                <w:rFonts w:ascii="Tahoma" w:hAnsi="Tahoma" w:cs="Tahoma"/>
                <w:sz w:val="20"/>
                <w:szCs w:val="20"/>
              </w:rPr>
            </w:pPr>
            <w:r w:rsidRPr="00A75DF9">
              <w:rPr>
                <w:rFonts w:ascii="Tahoma" w:hAnsi="Tahoma" w:cs="Tahoma"/>
                <w:sz w:val="20"/>
                <w:szCs w:val="20"/>
              </w:rPr>
              <w:t>Open Value Subscription - Education Solutions</w:t>
            </w:r>
          </w:p>
        </w:tc>
        <w:tc>
          <w:tcPr>
            <w:tcW w:w="2520" w:type="dxa"/>
            <w:shd w:val="clear" w:color="auto" w:fill="FFCC99"/>
            <w:vAlign w:val="center"/>
          </w:tcPr>
          <w:p w:rsidR="00394D2B" w:rsidRPr="00A75DF9" w:rsidRDefault="00394D2B" w:rsidP="00FF3343">
            <w:pPr>
              <w:pStyle w:val="AppendixTableHeadings"/>
              <w:jc w:val="left"/>
              <w:rPr>
                <w:rFonts w:ascii="Tahoma" w:hAnsi="Tahoma" w:cs="Tahoma"/>
              </w:rPr>
            </w:pPr>
            <w:r w:rsidRPr="00A75DF9">
              <w:rPr>
                <w:rFonts w:ascii="Tahoma" w:hAnsi="Tahoma" w:cs="Tahoma"/>
                <w:sz w:val="20"/>
                <w:szCs w:val="20"/>
              </w:rPr>
              <w:t>Select*</w:t>
            </w:r>
          </w:p>
          <w:p w:rsidR="00394D2B" w:rsidRPr="00A75DF9" w:rsidRDefault="00394D2B" w:rsidP="00FF3343">
            <w:pPr>
              <w:pStyle w:val="AppendixTableHeadings"/>
              <w:jc w:val="left"/>
              <w:rPr>
                <w:rFonts w:ascii="Tahoma" w:hAnsi="Tahoma" w:cs="Tahoma"/>
              </w:rPr>
            </w:pPr>
            <w:r w:rsidRPr="00A75DF9">
              <w:rPr>
                <w:rFonts w:ascii="Tahoma" w:hAnsi="Tahoma" w:cs="Tahoma"/>
                <w:sz w:val="20"/>
                <w:szCs w:val="20"/>
              </w:rPr>
              <w:t>Contratto Enterprise</w:t>
            </w:r>
          </w:p>
          <w:p w:rsidR="00394D2B" w:rsidRPr="00A75DF9" w:rsidRDefault="00394D2B" w:rsidP="00105321">
            <w:pPr>
              <w:pStyle w:val="AppendixTableHeadings"/>
              <w:jc w:val="left"/>
              <w:rPr>
                <w:rFonts w:ascii="Tahoma" w:hAnsi="Tahoma" w:cs="Tahoma"/>
              </w:rPr>
            </w:pPr>
            <w:r w:rsidRPr="00A75DF9">
              <w:rPr>
                <w:rFonts w:ascii="Tahoma" w:hAnsi="Tahoma" w:cs="Tahoma"/>
                <w:sz w:val="20"/>
                <w:szCs w:val="20"/>
              </w:rPr>
              <w:t>Enrollment for Education Solutions ai</w:t>
            </w:r>
            <w:r w:rsidR="00105321">
              <w:rPr>
                <w:rFonts w:ascii="Tahoma" w:hAnsi="Tahoma" w:cs="Tahoma"/>
                <w:sz w:val="20"/>
                <w:szCs w:val="20"/>
              </w:rPr>
              <w:t> </w:t>
            </w:r>
            <w:r w:rsidRPr="00A75DF9">
              <w:rPr>
                <w:rFonts w:ascii="Tahoma" w:hAnsi="Tahoma" w:cs="Tahoma"/>
                <w:sz w:val="20"/>
                <w:szCs w:val="20"/>
              </w:rPr>
              <w:t>sensi del Contratto Campus e</w:t>
            </w:r>
          </w:p>
          <w:p w:rsidR="00394D2B" w:rsidRPr="00A75DF9" w:rsidRDefault="00394D2B" w:rsidP="00FF3343">
            <w:pPr>
              <w:pStyle w:val="AppendixTableHeadings"/>
              <w:jc w:val="left"/>
              <w:rPr>
                <w:rFonts w:ascii="Tahoma" w:hAnsi="Tahoma" w:cs="Tahoma"/>
                <w:sz w:val="20"/>
                <w:szCs w:val="20"/>
              </w:rPr>
            </w:pPr>
            <w:r w:rsidRPr="00A75DF9">
              <w:rPr>
                <w:rFonts w:ascii="Tahoma" w:hAnsi="Tahoma" w:cs="Tahoma"/>
                <w:sz w:val="20"/>
                <w:szCs w:val="20"/>
              </w:rPr>
              <w:t>School</w:t>
            </w:r>
          </w:p>
        </w:tc>
        <w:tc>
          <w:tcPr>
            <w:tcW w:w="1260" w:type="dxa"/>
            <w:shd w:val="clear" w:color="auto" w:fill="FFCC99"/>
            <w:vAlign w:val="center"/>
          </w:tcPr>
          <w:p w:rsidR="00394D2B" w:rsidRPr="00A75DF9" w:rsidRDefault="00394D2B" w:rsidP="007E466C">
            <w:pPr>
              <w:pStyle w:val="AppendixTableHeadings"/>
              <w:rPr>
                <w:rFonts w:ascii="Tahoma" w:hAnsi="Tahoma" w:cs="Tahoma"/>
                <w:sz w:val="20"/>
                <w:szCs w:val="20"/>
              </w:rPr>
            </w:pPr>
            <w:r w:rsidRPr="00A75DF9">
              <w:rPr>
                <w:rFonts w:ascii="Tahoma" w:hAnsi="Tahoma" w:cs="Tahoma"/>
                <w:sz w:val="20"/>
                <w:szCs w:val="20"/>
              </w:rPr>
              <w:t>Select Plus</w:t>
            </w:r>
          </w:p>
        </w:tc>
      </w:tr>
      <w:tr w:rsidR="009233CA" w:rsidRPr="00A75DF9" w:rsidTr="009233CA">
        <w:trPr>
          <w:trHeight w:val="369"/>
        </w:trPr>
        <w:tc>
          <w:tcPr>
            <w:tcW w:w="1447" w:type="dxa"/>
            <w:vAlign w:val="center"/>
          </w:tcPr>
          <w:p w:rsidR="00394D2B" w:rsidRPr="00A75DF9" w:rsidRDefault="00394D2B">
            <w:pPr>
              <w:pStyle w:val="AppendixTableText"/>
              <w:rPr>
                <w:rFonts w:ascii="Tahoma" w:hAnsi="Tahoma" w:cs="Tahoma"/>
                <w:szCs w:val="20"/>
              </w:rPr>
            </w:pPr>
            <w:r w:rsidRPr="00A75DF9">
              <w:rPr>
                <w:rFonts w:ascii="Tahoma" w:hAnsi="Tahoma" w:cs="Tahoma"/>
                <w:szCs w:val="20"/>
              </w:rPr>
              <w:t>I vantaggi sono disponibili in base a:</w:t>
            </w:r>
          </w:p>
        </w:tc>
        <w:tc>
          <w:tcPr>
            <w:tcW w:w="1350" w:type="dxa"/>
            <w:vAlign w:val="center"/>
          </w:tcPr>
          <w:p w:rsidR="00394D2B" w:rsidRPr="00A75DF9" w:rsidRDefault="00394D2B">
            <w:pPr>
              <w:pStyle w:val="AppendixTableText"/>
              <w:rPr>
                <w:rFonts w:ascii="Tahoma" w:hAnsi="Tahoma" w:cs="Tahoma"/>
                <w:szCs w:val="20"/>
              </w:rPr>
            </w:pPr>
            <w:r w:rsidRPr="00A75DF9">
              <w:rPr>
                <w:rFonts w:ascii="Tahoma" w:hAnsi="Tahoma" w:cs="Tahoma"/>
                <w:szCs w:val="20"/>
              </w:rPr>
              <w:t>Numero di licenza</w:t>
            </w:r>
          </w:p>
        </w:tc>
        <w:tc>
          <w:tcPr>
            <w:tcW w:w="1530" w:type="dxa"/>
            <w:vAlign w:val="center"/>
          </w:tcPr>
          <w:p w:rsidR="00394D2B" w:rsidRPr="00A75DF9" w:rsidRDefault="00394D2B">
            <w:pPr>
              <w:pStyle w:val="AppendixTableText"/>
              <w:rPr>
                <w:rFonts w:ascii="Tahoma" w:hAnsi="Tahoma" w:cs="Tahoma"/>
                <w:szCs w:val="20"/>
              </w:rPr>
            </w:pPr>
            <w:r w:rsidRPr="00A75DF9">
              <w:rPr>
                <w:rFonts w:ascii="Tahoma" w:hAnsi="Tahoma" w:cs="Tahoma"/>
                <w:szCs w:val="20"/>
              </w:rPr>
              <w:t>Contratto</w:t>
            </w:r>
          </w:p>
        </w:tc>
        <w:tc>
          <w:tcPr>
            <w:tcW w:w="1530" w:type="dxa"/>
            <w:vAlign w:val="center"/>
          </w:tcPr>
          <w:p w:rsidR="00394D2B" w:rsidRPr="00A75DF9" w:rsidRDefault="00394D2B" w:rsidP="00394D2B">
            <w:pPr>
              <w:pStyle w:val="AppendixTableText"/>
              <w:rPr>
                <w:rFonts w:ascii="Tahoma" w:hAnsi="Tahoma" w:cs="Tahoma"/>
                <w:szCs w:val="20"/>
              </w:rPr>
            </w:pPr>
            <w:r w:rsidRPr="00A75DF9">
              <w:rPr>
                <w:rFonts w:ascii="Tahoma" w:hAnsi="Tahoma" w:cs="Tahoma"/>
                <w:szCs w:val="20"/>
              </w:rPr>
              <w:t>Contratto</w:t>
            </w:r>
          </w:p>
        </w:tc>
        <w:tc>
          <w:tcPr>
            <w:tcW w:w="2520" w:type="dxa"/>
            <w:vAlign w:val="center"/>
          </w:tcPr>
          <w:p w:rsidR="00394D2B" w:rsidRPr="00A75DF9" w:rsidRDefault="00394D2B">
            <w:pPr>
              <w:pStyle w:val="AppendixTableText"/>
              <w:rPr>
                <w:rFonts w:ascii="Tahoma" w:hAnsi="Tahoma" w:cs="Tahoma"/>
                <w:szCs w:val="20"/>
              </w:rPr>
            </w:pPr>
            <w:r w:rsidRPr="00A75DF9">
              <w:rPr>
                <w:rFonts w:ascii="Tahoma" w:hAnsi="Tahoma" w:cs="Tahoma"/>
                <w:szCs w:val="20"/>
              </w:rPr>
              <w:t>Qualificante</w:t>
            </w:r>
          </w:p>
        </w:tc>
        <w:tc>
          <w:tcPr>
            <w:tcW w:w="1260" w:type="dxa"/>
          </w:tcPr>
          <w:p w:rsidR="00394D2B" w:rsidRPr="00A75DF9" w:rsidRDefault="00394D2B">
            <w:pPr>
              <w:pStyle w:val="AppendixTableText"/>
              <w:rPr>
                <w:rFonts w:ascii="Tahoma" w:hAnsi="Tahoma" w:cs="Tahoma"/>
                <w:szCs w:val="20"/>
              </w:rPr>
            </w:pPr>
            <w:r w:rsidRPr="00A75DF9">
              <w:rPr>
                <w:rFonts w:ascii="Tahoma" w:hAnsi="Tahoma" w:cs="Tahoma"/>
                <w:szCs w:val="20"/>
              </w:rPr>
              <w:t>Consociata Registrata</w:t>
            </w:r>
          </w:p>
        </w:tc>
      </w:tr>
    </w:tbl>
    <w:p w:rsidR="00023FE7" w:rsidRPr="00A75DF9" w:rsidRDefault="00023FE7" w:rsidP="0063466C">
      <w:pPr>
        <w:pStyle w:val="AppendixBodyText"/>
        <w:spacing w:after="0"/>
        <w:ind w:right="403"/>
        <w:rPr>
          <w:rFonts w:ascii="Tahoma" w:hAnsi="Tahoma" w:cs="Tahoma"/>
        </w:rPr>
      </w:pPr>
      <w:r w:rsidRPr="00A75DF9">
        <w:rPr>
          <w:rFonts w:ascii="Tahoma" w:hAnsi="Tahoma" w:cs="Tahoma"/>
          <w:b/>
          <w:i/>
          <w:sz w:val="16"/>
          <w:szCs w:val="16"/>
        </w:rPr>
        <w:t>Nota:</w:t>
      </w:r>
      <w:r w:rsidRPr="00A75DF9">
        <w:rPr>
          <w:rFonts w:ascii="Tahoma" w:hAnsi="Tahoma" w:cs="Tahoma"/>
          <w:i/>
          <w:sz w:val="16"/>
          <w:szCs w:val="16"/>
        </w:rPr>
        <w:t xml:space="preserve"> *le società che stipulano Contratti Enterprise Volume Licensing per la sanità canadese riceveranno vantaggi di SA conformi ai vantaggi SA disponibili per le società che acquistano prodotti attraverso Microsoft Open Value.</w:t>
      </w:r>
    </w:p>
    <w:p w:rsidR="00023FE7" w:rsidRPr="00A75DF9" w:rsidRDefault="00023FE7" w:rsidP="0063466C">
      <w:pPr>
        <w:pStyle w:val="AppendixBodyText"/>
        <w:spacing w:after="0"/>
        <w:rPr>
          <w:rFonts w:ascii="Tahoma" w:hAnsi="Tahoma" w:cs="Tahoma"/>
        </w:rPr>
      </w:pPr>
    </w:p>
    <w:p w:rsidR="00023FE7" w:rsidRPr="00A75DF9" w:rsidRDefault="00023FE7" w:rsidP="00036631">
      <w:pPr>
        <w:pStyle w:val="AppendixBodyText"/>
        <w:spacing w:after="0"/>
        <w:rPr>
          <w:rFonts w:ascii="Tahoma" w:hAnsi="Tahoma" w:cs="Tahoma"/>
        </w:rPr>
      </w:pPr>
      <w:r w:rsidRPr="00A75DF9">
        <w:rPr>
          <w:rFonts w:ascii="Tahoma" w:hAnsi="Tahoma" w:cs="Tahoma"/>
          <w:sz w:val="18"/>
        </w:rPr>
        <w:t>Nella tabella che segue sono illustrati i vantaggi di Software Assurance e dei Servizi Online.</w:t>
      </w:r>
      <w:r w:rsidR="009D3B41" w:rsidRPr="00A75DF9">
        <w:rPr>
          <w:rFonts w:ascii="Tahoma" w:hAnsi="Tahoma" w:cs="Tahoma"/>
          <w:sz w:val="18"/>
        </w:rPr>
        <w:t xml:space="preserve"> </w:t>
      </w:r>
      <w:r w:rsidRPr="00A75DF9">
        <w:rPr>
          <w:rFonts w:ascii="Tahoma" w:hAnsi="Tahoma" w:cs="Tahoma"/>
          <w:sz w:val="18"/>
        </w:rPr>
        <w:t>Alcuni vantaggi corrispondono a licenze individuali per le quali è stata acquistata la copertura Software Assurance.</w:t>
      </w:r>
      <w:r w:rsidR="009D3B41" w:rsidRPr="00A75DF9">
        <w:rPr>
          <w:rFonts w:ascii="Tahoma" w:hAnsi="Tahoma" w:cs="Tahoma"/>
          <w:sz w:val="18"/>
        </w:rPr>
        <w:t xml:space="preserve"> </w:t>
      </w:r>
      <w:r w:rsidRPr="00A75DF9">
        <w:rPr>
          <w:rFonts w:ascii="Tahoma" w:hAnsi="Tahoma" w:cs="Tahoma"/>
          <w:sz w:val="18"/>
        </w:rPr>
        <w:t>La copertura</w:t>
      </w:r>
      <w:r w:rsidR="00036631">
        <w:rPr>
          <w:rFonts w:ascii="Tahoma" w:hAnsi="Tahoma" w:cs="Tahoma"/>
          <w:sz w:val="18"/>
        </w:rPr>
        <w:t> </w:t>
      </w:r>
      <w:r w:rsidRPr="00A75DF9">
        <w:rPr>
          <w:rFonts w:ascii="Tahoma" w:hAnsi="Tahoma" w:cs="Tahoma"/>
          <w:sz w:val="18"/>
        </w:rPr>
        <w:t>Software Assurance attiva o altra protezione dell</w:t>
      </w:r>
      <w:r w:rsidR="00F2643E">
        <w:rPr>
          <w:rFonts w:ascii="Tahoma" w:hAnsi="Tahoma" w:cs="Tahoma"/>
          <w:sz w:val="18"/>
        </w:rPr>
        <w:t>’</w:t>
      </w:r>
      <w:r w:rsidRPr="00A75DF9">
        <w:rPr>
          <w:rFonts w:ascii="Tahoma" w:hAnsi="Tahoma" w:cs="Tahoma"/>
          <w:sz w:val="18"/>
        </w:rPr>
        <w:t>aggiornamento per qualsiasi prodotto qualificante, indipendentemente dalla versione del prodotto in uso presso la società, rende idonea la società a ottenere tali vantaggi.</w:t>
      </w:r>
      <w:r w:rsidR="009D3B41" w:rsidRPr="00A75DF9">
        <w:rPr>
          <w:rFonts w:ascii="Tahoma" w:hAnsi="Tahoma" w:cs="Tahoma"/>
          <w:sz w:val="18"/>
        </w:rPr>
        <w:t xml:space="preserve"> </w:t>
      </w:r>
      <w:r w:rsidRPr="00A75DF9">
        <w:rPr>
          <w:rFonts w:ascii="Tahoma" w:hAnsi="Tahoma" w:cs="Tahoma"/>
          <w:sz w:val="18"/>
        </w:rPr>
        <w:t>I prodotti qualificanti sono indicati nella sezione relativa a ogni prodotto.</w:t>
      </w:r>
      <w:r w:rsidR="009D3B41" w:rsidRPr="00A75DF9">
        <w:rPr>
          <w:rFonts w:ascii="Tahoma" w:hAnsi="Tahoma" w:cs="Tahoma"/>
          <w:sz w:val="18"/>
        </w:rPr>
        <w:t xml:space="preserve"> </w:t>
      </w:r>
      <w:r w:rsidRPr="00A75DF9">
        <w:rPr>
          <w:rFonts w:ascii="Tahoma" w:hAnsi="Tahoma" w:cs="Tahoma"/>
          <w:sz w:val="18"/>
        </w:rPr>
        <w:t>Alcuni vantaggi sono concessi sulla base della spesa SA effettuata dalla società per un determinato gruppo di prodotti qualificanti all</w:t>
      </w:r>
      <w:r w:rsidR="00F2643E">
        <w:rPr>
          <w:rFonts w:ascii="Tahoma" w:hAnsi="Tahoma" w:cs="Tahoma"/>
          <w:sz w:val="18"/>
        </w:rPr>
        <w:t>’</w:t>
      </w:r>
      <w:r w:rsidRPr="00A75DF9">
        <w:rPr>
          <w:rFonts w:ascii="Tahoma" w:hAnsi="Tahoma" w:cs="Tahoma"/>
          <w:sz w:val="18"/>
        </w:rPr>
        <w:t>interno di un pool.</w:t>
      </w:r>
      <w:r w:rsidR="009D3B41" w:rsidRPr="00A75DF9">
        <w:rPr>
          <w:rFonts w:ascii="Tahoma" w:hAnsi="Tahoma" w:cs="Tahoma"/>
          <w:sz w:val="18"/>
        </w:rPr>
        <w:t xml:space="preserve"> </w:t>
      </w:r>
      <w:r w:rsidRPr="00A75DF9">
        <w:rPr>
          <w:rFonts w:ascii="Tahoma" w:hAnsi="Tahoma" w:cs="Tahoma"/>
          <w:sz w:val="18"/>
        </w:rPr>
        <w:t>A questo proposito, “spesa SA” non significa letteralmente i soldi effettivi spesi dalla società.</w:t>
      </w:r>
      <w:r w:rsidR="009D3B41" w:rsidRPr="00A75DF9">
        <w:rPr>
          <w:rFonts w:ascii="Tahoma" w:hAnsi="Tahoma" w:cs="Tahoma"/>
          <w:sz w:val="18"/>
        </w:rPr>
        <w:t xml:space="preserve"> </w:t>
      </w:r>
      <w:r w:rsidRPr="00A75DF9">
        <w:rPr>
          <w:rFonts w:ascii="Tahoma" w:hAnsi="Tahoma" w:cs="Tahoma"/>
          <w:sz w:val="18"/>
        </w:rPr>
        <w:t>Al contrario, indica l</w:t>
      </w:r>
      <w:r w:rsidR="00F2643E">
        <w:rPr>
          <w:rFonts w:ascii="Tahoma" w:hAnsi="Tahoma" w:cs="Tahoma"/>
          <w:sz w:val="18"/>
        </w:rPr>
        <w:t>’</w:t>
      </w:r>
      <w:r w:rsidRPr="00A75DF9">
        <w:rPr>
          <w:rFonts w:ascii="Tahoma" w:hAnsi="Tahoma" w:cs="Tahoma"/>
          <w:sz w:val="18"/>
        </w:rPr>
        <w:t>importo approssimativo della spesa che una società ha sostenuto per fornire la copertura Software Assurance a tali prodotti ai sensi dell</w:t>
      </w:r>
      <w:r w:rsidR="00F2643E">
        <w:rPr>
          <w:rFonts w:ascii="Tahoma" w:hAnsi="Tahoma" w:cs="Tahoma"/>
          <w:sz w:val="18"/>
        </w:rPr>
        <w:t>’</w:t>
      </w:r>
      <w:r w:rsidRPr="00A75DF9">
        <w:rPr>
          <w:rFonts w:ascii="Tahoma" w:hAnsi="Tahoma" w:cs="Tahoma"/>
          <w:sz w:val="18"/>
        </w:rPr>
        <w:t xml:space="preserve">iscrizione </w:t>
      </w:r>
      <w:r w:rsidRPr="00A75DF9">
        <w:rPr>
          <w:rFonts w:ascii="Tahoma" w:hAnsi="Tahoma" w:cs="Tahoma"/>
          <w:sz w:val="18"/>
          <w:szCs w:val="18"/>
        </w:rPr>
        <w:t>Select o Enterprise, della registrazione Select Plus o del contratto Open (ad esempio, per gli acquisti solo di SA e gli acquisti del componente SA di L&amp;SA).</w:t>
      </w:r>
      <w:r w:rsidR="009D3B41" w:rsidRPr="00A75DF9">
        <w:rPr>
          <w:rFonts w:ascii="Tahoma" w:hAnsi="Tahoma" w:cs="Tahoma"/>
          <w:sz w:val="18"/>
          <w:szCs w:val="18"/>
        </w:rPr>
        <w:t xml:space="preserve"> </w:t>
      </w:r>
      <w:r w:rsidRPr="00A75DF9">
        <w:rPr>
          <w:rFonts w:ascii="Tahoma" w:hAnsi="Tahoma" w:cs="Tahoma"/>
          <w:sz w:val="18"/>
          <w:szCs w:val="18"/>
        </w:rPr>
        <w:t>Per le società che partecipano ai programmi “subscription”, rappresenta l</w:t>
      </w:r>
      <w:r w:rsidR="00F2643E">
        <w:rPr>
          <w:rFonts w:ascii="Tahoma" w:hAnsi="Tahoma" w:cs="Tahoma"/>
          <w:sz w:val="18"/>
          <w:szCs w:val="18"/>
        </w:rPr>
        <w:t>’</w:t>
      </w:r>
      <w:r w:rsidRPr="00A75DF9">
        <w:rPr>
          <w:rFonts w:ascii="Tahoma" w:hAnsi="Tahoma" w:cs="Tahoma"/>
          <w:sz w:val="18"/>
          <w:szCs w:val="18"/>
        </w:rPr>
        <w:t>importo approssimativo della spesa totale che la società ha dovuto affrontare per ottenere in licenza tali prodotti ai sensi della sua iscrizione o del suo contratto.</w:t>
      </w:r>
      <w:r w:rsidR="009D3B41" w:rsidRPr="00A75DF9">
        <w:rPr>
          <w:rFonts w:ascii="Tahoma" w:hAnsi="Tahoma" w:cs="Tahoma"/>
          <w:sz w:val="18"/>
          <w:szCs w:val="18"/>
        </w:rPr>
        <w:t xml:space="preserve"> </w:t>
      </w:r>
      <w:r w:rsidRPr="00A75DF9">
        <w:rPr>
          <w:rFonts w:ascii="Tahoma" w:hAnsi="Tahoma" w:cs="Tahoma"/>
          <w:sz w:val="18"/>
          <w:szCs w:val="18"/>
        </w:rPr>
        <w:t>Altri vantaggi corrispondono alla Partecipazione a Software Assurance; tale Partecipazione per il pool di prodotti applicabili rende idonea la società a</w:t>
      </w:r>
      <w:r w:rsidR="00036631">
        <w:rPr>
          <w:rFonts w:ascii="Tahoma" w:hAnsi="Tahoma" w:cs="Tahoma"/>
          <w:sz w:val="18"/>
          <w:szCs w:val="18"/>
        </w:rPr>
        <w:t> </w:t>
      </w:r>
      <w:r w:rsidRPr="00A75DF9">
        <w:rPr>
          <w:rFonts w:ascii="Tahoma" w:hAnsi="Tahoma" w:cs="Tahoma"/>
          <w:sz w:val="18"/>
          <w:szCs w:val="18"/>
        </w:rPr>
        <w:t>ricevere questi vantaggi.</w:t>
      </w:r>
    </w:p>
    <w:p w:rsidR="00F76ED4" w:rsidRPr="00A75DF9" w:rsidRDefault="00F76ED4">
      <w:pPr>
        <w:rPr>
          <w:rFonts w:cs="Tahoma"/>
        </w:rPr>
      </w:pPr>
      <w:r w:rsidRPr="00A75DF9">
        <w:rPr>
          <w:rFonts w:cs="Tahoma"/>
        </w:rPr>
        <w:br w:type="page"/>
      </w:r>
    </w:p>
    <w:tbl>
      <w:tblPr>
        <w:tblW w:w="9727" w:type="dxa"/>
        <w:tblInd w:w="101" w:type="dxa"/>
        <w:tblLayout w:type="fixed"/>
        <w:tblLook w:val="0000" w:firstRow="0" w:lastRow="0" w:firstColumn="0" w:lastColumn="0" w:noHBand="0" w:noVBand="0"/>
      </w:tblPr>
      <w:tblGrid>
        <w:gridCol w:w="2167"/>
        <w:gridCol w:w="1530"/>
        <w:gridCol w:w="1530"/>
        <w:gridCol w:w="1350"/>
        <w:gridCol w:w="1980"/>
        <w:gridCol w:w="1170"/>
      </w:tblGrid>
      <w:tr w:rsidR="004B4C79" w:rsidRPr="00A75DF9" w:rsidTr="00036631">
        <w:trPr>
          <w:trHeight w:val="255"/>
          <w:tblHeader/>
        </w:trPr>
        <w:tc>
          <w:tcPr>
            <w:tcW w:w="2167"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A75DF9" w:rsidRDefault="004B4C79" w:rsidP="00E06FE8">
            <w:pPr>
              <w:pStyle w:val="AppendixTableHeadings"/>
              <w:rPr>
                <w:rFonts w:ascii="Tahoma" w:hAnsi="Tahoma" w:cs="Tahoma"/>
                <w:sz w:val="20"/>
                <w:szCs w:val="20"/>
              </w:rPr>
            </w:pPr>
            <w:r w:rsidRPr="00A75DF9">
              <w:rPr>
                <w:rFonts w:ascii="Tahoma" w:hAnsi="Tahoma" w:cs="Tahoma"/>
                <w:sz w:val="20"/>
                <w:szCs w:val="20"/>
              </w:rPr>
              <w:lastRenderedPageBreak/>
              <w:t>Benefici</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A75DF9" w:rsidRDefault="004B4C79" w:rsidP="00E06FE8">
            <w:pPr>
              <w:pStyle w:val="AppendixTableHeadings"/>
              <w:rPr>
                <w:rFonts w:ascii="Tahoma" w:hAnsi="Tahoma" w:cs="Tahoma"/>
                <w:sz w:val="20"/>
                <w:szCs w:val="20"/>
              </w:rPr>
            </w:pPr>
            <w:r w:rsidRPr="00A75DF9">
              <w:rPr>
                <w:rFonts w:ascii="Tahoma" w:hAnsi="Tahoma" w:cs="Tahoma"/>
                <w:sz w:val="20"/>
                <w:szCs w:val="20"/>
              </w:rPr>
              <w:t>Pool di Applicazioni</w:t>
            </w:r>
          </w:p>
        </w:tc>
        <w:tc>
          <w:tcPr>
            <w:tcW w:w="153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A75DF9" w:rsidRDefault="004B4C79" w:rsidP="00E06FE8">
            <w:pPr>
              <w:pStyle w:val="AppendixTableHeadings"/>
              <w:rPr>
                <w:rFonts w:ascii="Tahoma" w:hAnsi="Tahoma" w:cs="Tahoma"/>
                <w:sz w:val="20"/>
                <w:szCs w:val="20"/>
              </w:rPr>
            </w:pPr>
            <w:r w:rsidRPr="00A75DF9">
              <w:rPr>
                <w:rFonts w:ascii="Tahoma" w:hAnsi="Tahoma" w:cs="Tahoma"/>
                <w:sz w:val="20"/>
                <w:szCs w:val="20"/>
              </w:rPr>
              <w:t>Pool di Sistemi</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A75DF9" w:rsidRDefault="004B4C79" w:rsidP="00E06FE8">
            <w:pPr>
              <w:pStyle w:val="AppendixTableHeadings"/>
              <w:rPr>
                <w:rFonts w:ascii="Tahoma" w:hAnsi="Tahoma" w:cs="Tahoma"/>
                <w:sz w:val="20"/>
                <w:szCs w:val="20"/>
              </w:rPr>
            </w:pPr>
            <w:r w:rsidRPr="00A75DF9">
              <w:rPr>
                <w:rFonts w:ascii="Tahoma" w:hAnsi="Tahoma" w:cs="Tahoma"/>
                <w:sz w:val="20"/>
                <w:szCs w:val="20"/>
              </w:rPr>
              <w:t>Pool di Server</w:t>
            </w:r>
          </w:p>
        </w:tc>
        <w:tc>
          <w:tcPr>
            <w:tcW w:w="198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A75DF9" w:rsidRDefault="006705D4" w:rsidP="00036631">
            <w:pPr>
              <w:pStyle w:val="AppendixTableHeadings"/>
              <w:rPr>
                <w:rFonts w:ascii="Tahoma" w:hAnsi="Tahoma" w:cs="Tahoma"/>
                <w:sz w:val="20"/>
                <w:szCs w:val="20"/>
              </w:rPr>
            </w:pPr>
            <w:r w:rsidRPr="00A75DF9">
              <w:rPr>
                <w:rFonts w:ascii="Tahoma" w:hAnsi="Tahoma" w:cs="Tahoma"/>
                <w:sz w:val="20"/>
                <w:szCs w:val="20"/>
              </w:rPr>
              <w:t>Windows Intune (Per</w:t>
            </w:r>
            <w:r w:rsidR="00036631">
              <w:rPr>
                <w:rFonts w:ascii="Tahoma" w:hAnsi="Tahoma" w:cs="Tahoma"/>
                <w:sz w:val="20"/>
                <w:szCs w:val="20"/>
              </w:rPr>
              <w:t> </w:t>
            </w:r>
            <w:r w:rsidRPr="00A75DF9">
              <w:rPr>
                <w:rFonts w:ascii="Tahoma" w:hAnsi="Tahoma" w:cs="Tahoma"/>
                <w:sz w:val="20"/>
                <w:szCs w:val="20"/>
              </w:rPr>
              <w:t>Dispositivo)</w:t>
            </w:r>
          </w:p>
        </w:tc>
        <w:tc>
          <w:tcPr>
            <w:tcW w:w="1170" w:type="dxa"/>
            <w:tcBorders>
              <w:top w:val="single" w:sz="8" w:space="0" w:color="auto"/>
              <w:left w:val="single" w:sz="8" w:space="0" w:color="auto"/>
              <w:bottom w:val="single" w:sz="8" w:space="0" w:color="auto"/>
              <w:right w:val="single" w:sz="8" w:space="0" w:color="auto"/>
            </w:tcBorders>
            <w:shd w:val="clear" w:color="auto" w:fill="FFCC99"/>
            <w:vAlign w:val="center"/>
          </w:tcPr>
          <w:p w:rsidR="004B4C79" w:rsidRPr="00A75DF9" w:rsidRDefault="004B4C79" w:rsidP="00E06FE8">
            <w:pPr>
              <w:pStyle w:val="AppendixTableHeadings"/>
              <w:rPr>
                <w:rFonts w:ascii="Tahoma" w:hAnsi="Tahoma" w:cs="Tahoma"/>
                <w:sz w:val="20"/>
                <w:szCs w:val="20"/>
              </w:rPr>
            </w:pPr>
            <w:r w:rsidRPr="00A75DF9">
              <w:rPr>
                <w:rFonts w:ascii="Tahoma" w:hAnsi="Tahoma" w:cs="Tahoma"/>
                <w:sz w:val="20"/>
                <w:szCs w:val="20"/>
              </w:rPr>
              <w:t>Office 365</w:t>
            </w:r>
          </w:p>
        </w:tc>
      </w:tr>
      <w:tr w:rsidR="004B4C79" w:rsidRPr="00A75DF9" w:rsidTr="00036631">
        <w:trPr>
          <w:trHeight w:val="255"/>
        </w:trPr>
        <w:tc>
          <w:tcPr>
            <w:tcW w:w="2167" w:type="dxa"/>
            <w:tcBorders>
              <w:top w:val="single" w:sz="8" w:space="0" w:color="auto"/>
              <w:left w:val="single" w:sz="4" w:space="0" w:color="auto"/>
              <w:bottom w:val="single" w:sz="4" w:space="0" w:color="auto"/>
              <w:right w:val="single" w:sz="4" w:space="0" w:color="auto"/>
            </w:tcBorders>
            <w:vAlign w:val="bottom"/>
          </w:tcPr>
          <w:p w:rsidR="004B4C79" w:rsidRPr="00A75DF9" w:rsidRDefault="004B4C79">
            <w:pPr>
              <w:pStyle w:val="AppendixTableText"/>
              <w:jc w:val="left"/>
              <w:rPr>
                <w:rFonts w:ascii="Tahoma" w:hAnsi="Tahoma" w:cs="Tahoma"/>
              </w:rPr>
            </w:pPr>
            <w:r w:rsidRPr="00A75DF9">
              <w:rPr>
                <w:rFonts w:ascii="Tahoma" w:hAnsi="Tahoma" w:cs="Tahoma"/>
              </w:rPr>
              <w:t>Diritti su Versioni Nuove</w:t>
            </w:r>
          </w:p>
        </w:tc>
        <w:tc>
          <w:tcPr>
            <w:tcW w:w="1530" w:type="dxa"/>
            <w:tcBorders>
              <w:top w:val="single" w:sz="8" w:space="0" w:color="auto"/>
              <w:left w:val="nil"/>
              <w:bottom w:val="single" w:sz="4" w:space="0" w:color="auto"/>
              <w:right w:val="single" w:sz="4" w:space="0" w:color="auto"/>
            </w:tcBorders>
            <w:vAlign w:val="center"/>
          </w:tcPr>
          <w:p w:rsidR="004B4C79" w:rsidRPr="00A75DF9" w:rsidRDefault="004B4C79" w:rsidP="00E06FE8">
            <w:pPr>
              <w:pStyle w:val="AppendixTableText"/>
              <w:rPr>
                <w:rFonts w:ascii="Tahoma" w:hAnsi="Tahoma" w:cs="Tahoma"/>
              </w:rPr>
            </w:pPr>
            <w:r w:rsidRPr="00A75DF9">
              <w:rPr>
                <w:rFonts w:ascii="Tahoma" w:hAnsi="Tahoma" w:cs="Tahoma"/>
              </w:rPr>
              <w:t>Sì</w:t>
            </w:r>
          </w:p>
        </w:tc>
        <w:tc>
          <w:tcPr>
            <w:tcW w:w="1530" w:type="dxa"/>
            <w:tcBorders>
              <w:top w:val="single" w:sz="8" w:space="0" w:color="auto"/>
              <w:left w:val="nil"/>
              <w:bottom w:val="single" w:sz="4" w:space="0" w:color="auto"/>
              <w:right w:val="single" w:sz="4" w:space="0" w:color="auto"/>
            </w:tcBorders>
            <w:vAlign w:val="center"/>
          </w:tcPr>
          <w:p w:rsidR="004B4C79" w:rsidRPr="00A75DF9" w:rsidRDefault="004B4C79" w:rsidP="00E06FE8">
            <w:pPr>
              <w:pStyle w:val="AppendixTableText"/>
              <w:rPr>
                <w:rFonts w:ascii="Tahoma" w:hAnsi="Tahoma" w:cs="Tahoma"/>
              </w:rPr>
            </w:pPr>
            <w:r w:rsidRPr="00A75DF9">
              <w:rPr>
                <w:rFonts w:ascii="Tahoma" w:hAnsi="Tahoma" w:cs="Tahoma"/>
              </w:rPr>
              <w:t>Sì</w:t>
            </w:r>
          </w:p>
        </w:tc>
        <w:tc>
          <w:tcPr>
            <w:tcW w:w="1350" w:type="dxa"/>
            <w:tcBorders>
              <w:top w:val="single" w:sz="8" w:space="0" w:color="auto"/>
              <w:left w:val="nil"/>
              <w:bottom w:val="single" w:sz="4" w:space="0" w:color="auto"/>
              <w:right w:val="single" w:sz="4" w:space="0" w:color="auto"/>
            </w:tcBorders>
            <w:vAlign w:val="center"/>
          </w:tcPr>
          <w:p w:rsidR="004B4C79" w:rsidRPr="00A75DF9" w:rsidRDefault="004B4C79" w:rsidP="00E06FE8">
            <w:pPr>
              <w:pStyle w:val="AppendixTableText"/>
              <w:rPr>
                <w:rFonts w:ascii="Tahoma" w:hAnsi="Tahoma" w:cs="Tahoma"/>
              </w:rPr>
            </w:pPr>
            <w:r w:rsidRPr="00A75DF9">
              <w:rPr>
                <w:rFonts w:ascii="Tahoma" w:hAnsi="Tahoma" w:cs="Tahoma"/>
              </w:rPr>
              <w:t>Sì</w:t>
            </w:r>
          </w:p>
        </w:tc>
        <w:tc>
          <w:tcPr>
            <w:tcW w:w="1980" w:type="dxa"/>
            <w:tcBorders>
              <w:top w:val="single" w:sz="8" w:space="0" w:color="auto"/>
              <w:left w:val="nil"/>
              <w:bottom w:val="single" w:sz="4" w:space="0" w:color="auto"/>
              <w:right w:val="single" w:sz="4" w:space="0" w:color="auto"/>
            </w:tcBorders>
            <w:vAlign w:val="center"/>
          </w:tcPr>
          <w:p w:rsidR="004B4C79" w:rsidRPr="00A75DF9" w:rsidRDefault="00302B84" w:rsidP="00E06FE8">
            <w:pPr>
              <w:pStyle w:val="AppendixTableText"/>
              <w:rPr>
                <w:rFonts w:ascii="Tahoma" w:hAnsi="Tahoma" w:cs="Tahoma"/>
              </w:rPr>
            </w:pPr>
            <w:r w:rsidRPr="00A75DF9">
              <w:rPr>
                <w:rFonts w:ascii="Tahoma" w:hAnsi="Tahoma" w:cs="Tahoma"/>
              </w:rPr>
              <w:t>Sì</w:t>
            </w:r>
          </w:p>
        </w:tc>
        <w:tc>
          <w:tcPr>
            <w:tcW w:w="1170" w:type="dxa"/>
            <w:tcBorders>
              <w:top w:val="single" w:sz="8" w:space="0" w:color="auto"/>
              <w:left w:val="nil"/>
              <w:bottom w:val="single" w:sz="4" w:space="0" w:color="auto"/>
              <w:right w:val="single" w:sz="4" w:space="0" w:color="auto"/>
            </w:tcBorders>
            <w:vAlign w:val="center"/>
          </w:tcPr>
          <w:p w:rsidR="004B4C79" w:rsidRPr="00A75DF9" w:rsidRDefault="00302B84" w:rsidP="00E06FE8">
            <w:pPr>
              <w:pStyle w:val="AppendixTableText"/>
              <w:rPr>
                <w:rFonts w:ascii="Tahoma" w:hAnsi="Tahoma" w:cs="Tahoma"/>
              </w:rPr>
            </w:pPr>
            <w:r w:rsidRPr="00A75DF9">
              <w:rPr>
                <w:rFonts w:ascii="Tahoma" w:hAnsi="Tahoma" w:cs="Tahoma"/>
              </w:rPr>
              <w:t>Sì</w:t>
            </w:r>
          </w:p>
        </w:tc>
      </w:tr>
      <w:tr w:rsidR="004B4C79" w:rsidRPr="00A75DF9" w:rsidTr="00036631">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A75DF9" w:rsidRDefault="004B4C79" w:rsidP="00036631">
            <w:pPr>
              <w:pStyle w:val="AppendixTableText"/>
              <w:jc w:val="left"/>
              <w:rPr>
                <w:rFonts w:ascii="Tahoma" w:hAnsi="Tahoma" w:cs="Tahoma"/>
              </w:rPr>
            </w:pPr>
            <w:r w:rsidRPr="00A75DF9">
              <w:rPr>
                <w:rFonts w:ascii="Tahoma" w:hAnsi="Tahoma" w:cs="Tahoma"/>
              </w:rPr>
              <w:t>Office Multi Language</w:t>
            </w:r>
            <w:r w:rsidR="00036631">
              <w:rPr>
                <w:rFonts w:ascii="Tahoma" w:hAnsi="Tahoma" w:cs="Tahoma"/>
              </w:rPr>
              <w:t> </w:t>
            </w:r>
            <w:r w:rsidRPr="00A75DF9">
              <w:rPr>
                <w:rFonts w:ascii="Tahoma" w:hAnsi="Tahoma" w:cs="Tahoma"/>
              </w:rPr>
              <w:t>Pack</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A75DF9" w:rsidRDefault="004B4C79" w:rsidP="00E06FE8">
            <w:pPr>
              <w:pStyle w:val="AppendixTableText"/>
              <w:rPr>
                <w:rFonts w:ascii="Tahoma" w:hAnsi="Tahoma" w:cs="Tahoma"/>
              </w:rPr>
            </w:pPr>
            <w:r w:rsidRPr="00A75DF9">
              <w:rPr>
                <w:rFonts w:ascii="Tahoma" w:hAnsi="Tahoma" w:cs="Tahoma"/>
              </w:rPr>
              <w:t>Sì</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A75DF9" w:rsidRDefault="004B4C79" w:rsidP="00E06FE8">
            <w:pPr>
              <w:pStyle w:val="AppendixTableText"/>
              <w:rPr>
                <w:rFonts w:ascii="Tahoma" w:hAnsi="Tahoma" w:cs="Tahoma"/>
              </w:rPr>
            </w:pPr>
          </w:p>
        </w:tc>
        <w:tc>
          <w:tcPr>
            <w:tcW w:w="1350" w:type="dxa"/>
            <w:tcBorders>
              <w:top w:val="single" w:sz="6" w:space="0" w:color="auto"/>
              <w:left w:val="single" w:sz="6" w:space="0" w:color="auto"/>
              <w:bottom w:val="single" w:sz="6" w:space="0" w:color="auto"/>
              <w:right w:val="single" w:sz="4" w:space="0" w:color="auto"/>
            </w:tcBorders>
            <w:vAlign w:val="center"/>
          </w:tcPr>
          <w:p w:rsidR="004B4C79" w:rsidRPr="00A75DF9" w:rsidRDefault="004B4C79" w:rsidP="00E06FE8">
            <w:pPr>
              <w:pStyle w:val="AppendixTableText"/>
              <w:rPr>
                <w:rStyle w:val="CommentReference"/>
                <w:rFonts w:ascii="Tahoma" w:hAnsi="Tahoma" w:cs="Tahoma"/>
                <w:sz w:val="18"/>
                <w:szCs w:val="18"/>
              </w:rPr>
            </w:pPr>
          </w:p>
        </w:tc>
        <w:tc>
          <w:tcPr>
            <w:tcW w:w="1980" w:type="dxa"/>
            <w:tcBorders>
              <w:top w:val="single" w:sz="6" w:space="0" w:color="auto"/>
              <w:left w:val="single" w:sz="6" w:space="0" w:color="auto"/>
              <w:bottom w:val="single" w:sz="6" w:space="0" w:color="auto"/>
              <w:right w:val="single" w:sz="4" w:space="0" w:color="auto"/>
            </w:tcBorders>
            <w:vAlign w:val="center"/>
          </w:tcPr>
          <w:p w:rsidR="004B4C79" w:rsidRPr="00A75DF9" w:rsidRDefault="004B4C79" w:rsidP="00E06FE8">
            <w:pPr>
              <w:pStyle w:val="AppendixTableText"/>
              <w:rPr>
                <w:rStyle w:val="CommentReference"/>
                <w:rFonts w:ascii="Tahoma" w:hAnsi="Tahoma" w:cs="Tahoma"/>
                <w:sz w:val="18"/>
                <w:szCs w:val="18"/>
              </w:rPr>
            </w:pPr>
          </w:p>
        </w:tc>
        <w:tc>
          <w:tcPr>
            <w:tcW w:w="1170" w:type="dxa"/>
            <w:tcBorders>
              <w:top w:val="single" w:sz="6" w:space="0" w:color="auto"/>
              <w:left w:val="single" w:sz="6" w:space="0" w:color="auto"/>
              <w:bottom w:val="single" w:sz="6" w:space="0" w:color="auto"/>
              <w:right w:val="single" w:sz="4" w:space="0" w:color="auto"/>
            </w:tcBorders>
            <w:vAlign w:val="center"/>
          </w:tcPr>
          <w:p w:rsidR="004B4C79" w:rsidRPr="00A75DF9" w:rsidRDefault="004B4C79" w:rsidP="00E06FE8">
            <w:pPr>
              <w:pStyle w:val="AppendixTableText"/>
              <w:rPr>
                <w:rStyle w:val="CommentReference"/>
                <w:rFonts w:ascii="Tahoma" w:hAnsi="Tahoma" w:cs="Tahoma"/>
                <w:sz w:val="18"/>
                <w:szCs w:val="18"/>
              </w:rPr>
            </w:pPr>
            <w:r w:rsidRPr="00A75DF9">
              <w:rPr>
                <w:rFonts w:ascii="Tahoma" w:hAnsi="Tahoma" w:cs="Tahoma"/>
              </w:rPr>
              <w:t>Sì</w:t>
            </w:r>
          </w:p>
        </w:tc>
      </w:tr>
      <w:tr w:rsidR="004B4C79" w:rsidRPr="00A75DF9" w:rsidTr="00036631">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A75DF9" w:rsidRDefault="00E7419A">
            <w:pPr>
              <w:pStyle w:val="AppendixTableText"/>
              <w:jc w:val="left"/>
              <w:rPr>
                <w:rFonts w:ascii="Tahoma" w:hAnsi="Tahoma" w:cs="Tahoma"/>
              </w:rPr>
            </w:pPr>
            <w:r w:rsidRPr="00A75DF9">
              <w:rPr>
                <w:rFonts w:ascii="Tahoma" w:hAnsi="Tahoma" w:cs="Tahoma"/>
              </w:rPr>
              <w:t>Planning Services</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A75DF9" w:rsidRDefault="004B4C79" w:rsidP="00E06FE8">
            <w:pPr>
              <w:pStyle w:val="AppendixTableText"/>
              <w:rPr>
                <w:rFonts w:ascii="Tahoma" w:hAnsi="Tahoma" w:cs="Tahoma"/>
              </w:rPr>
            </w:pPr>
            <w:r w:rsidRPr="00A75DF9">
              <w:rPr>
                <w:rFonts w:ascii="Tahoma" w:hAnsi="Tahoma" w:cs="Tahoma"/>
              </w:rPr>
              <w:t>Sì</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A75DF9" w:rsidRDefault="004B4C79" w:rsidP="00E06FE8">
            <w:pPr>
              <w:pStyle w:val="AppendixTableText"/>
              <w:rPr>
                <w:rFonts w:ascii="Tahoma" w:hAnsi="Tahoma" w:cs="Tahoma"/>
              </w:rPr>
            </w:pPr>
          </w:p>
        </w:tc>
        <w:tc>
          <w:tcPr>
            <w:tcW w:w="1350" w:type="dxa"/>
            <w:tcBorders>
              <w:top w:val="single" w:sz="6" w:space="0" w:color="auto"/>
              <w:left w:val="single" w:sz="6" w:space="0" w:color="auto"/>
              <w:bottom w:val="single" w:sz="6" w:space="0" w:color="auto"/>
              <w:right w:val="single" w:sz="4" w:space="0" w:color="auto"/>
            </w:tcBorders>
            <w:vAlign w:val="center"/>
          </w:tcPr>
          <w:p w:rsidR="004B4C79" w:rsidRPr="00A75DF9" w:rsidRDefault="004B4C79" w:rsidP="00E06FE8">
            <w:pPr>
              <w:pStyle w:val="AppendixTableText"/>
              <w:rPr>
                <w:rStyle w:val="CommentReference"/>
                <w:rFonts w:ascii="Tahoma" w:hAnsi="Tahoma" w:cs="Tahoma"/>
                <w:sz w:val="18"/>
                <w:szCs w:val="18"/>
              </w:rPr>
            </w:pPr>
            <w:r w:rsidRPr="00A75DF9">
              <w:rPr>
                <w:rStyle w:val="CommentReference"/>
                <w:rFonts w:ascii="Tahoma" w:hAnsi="Tahoma" w:cs="Tahoma"/>
                <w:sz w:val="18"/>
                <w:szCs w:val="18"/>
              </w:rPr>
              <w:t>Sì</w:t>
            </w:r>
          </w:p>
        </w:tc>
        <w:tc>
          <w:tcPr>
            <w:tcW w:w="1980" w:type="dxa"/>
            <w:tcBorders>
              <w:top w:val="single" w:sz="6" w:space="0" w:color="auto"/>
              <w:left w:val="single" w:sz="6" w:space="0" w:color="auto"/>
              <w:bottom w:val="single" w:sz="6" w:space="0" w:color="auto"/>
              <w:right w:val="single" w:sz="4" w:space="0" w:color="auto"/>
            </w:tcBorders>
            <w:vAlign w:val="center"/>
          </w:tcPr>
          <w:p w:rsidR="004B4C79" w:rsidRPr="00A75DF9" w:rsidRDefault="004B4C79" w:rsidP="00E06FE8">
            <w:pPr>
              <w:pStyle w:val="AppendixTableText"/>
              <w:rPr>
                <w:rStyle w:val="CommentReference"/>
                <w:rFonts w:ascii="Tahoma" w:hAnsi="Tahoma" w:cs="Tahoma"/>
                <w:sz w:val="18"/>
                <w:szCs w:val="18"/>
              </w:rPr>
            </w:pPr>
          </w:p>
        </w:tc>
        <w:tc>
          <w:tcPr>
            <w:tcW w:w="1170" w:type="dxa"/>
            <w:tcBorders>
              <w:top w:val="single" w:sz="6" w:space="0" w:color="auto"/>
              <w:left w:val="single" w:sz="6" w:space="0" w:color="auto"/>
              <w:bottom w:val="single" w:sz="6" w:space="0" w:color="auto"/>
              <w:right w:val="single" w:sz="4" w:space="0" w:color="auto"/>
            </w:tcBorders>
            <w:vAlign w:val="center"/>
          </w:tcPr>
          <w:p w:rsidR="004B4C79" w:rsidRPr="00A75DF9" w:rsidRDefault="004B4C79" w:rsidP="00E06FE8">
            <w:pPr>
              <w:pStyle w:val="AppendixTableText"/>
              <w:rPr>
                <w:rStyle w:val="CommentReference"/>
                <w:rFonts w:ascii="Tahoma" w:hAnsi="Tahoma" w:cs="Tahoma"/>
                <w:sz w:val="18"/>
                <w:szCs w:val="18"/>
              </w:rPr>
            </w:pPr>
          </w:p>
        </w:tc>
      </w:tr>
      <w:tr w:rsidR="004B4C79" w:rsidRPr="00A75DF9" w:rsidTr="00036631">
        <w:trPr>
          <w:trHeight w:val="255"/>
        </w:trPr>
        <w:tc>
          <w:tcPr>
            <w:tcW w:w="2167" w:type="dxa"/>
            <w:tcBorders>
              <w:top w:val="nil"/>
              <w:left w:val="single" w:sz="4" w:space="0" w:color="auto"/>
              <w:bottom w:val="single" w:sz="4" w:space="0" w:color="auto"/>
              <w:right w:val="single" w:sz="4" w:space="0" w:color="auto"/>
            </w:tcBorders>
            <w:vAlign w:val="bottom"/>
          </w:tcPr>
          <w:p w:rsidR="004B4C79" w:rsidRPr="00A75DF9" w:rsidRDefault="004B4C79" w:rsidP="008D0051">
            <w:pPr>
              <w:pStyle w:val="AppendixTableText"/>
              <w:jc w:val="left"/>
              <w:rPr>
                <w:rFonts w:ascii="Tahoma" w:hAnsi="Tahoma" w:cs="Tahoma"/>
              </w:rPr>
            </w:pPr>
            <w:r w:rsidRPr="00A75DF9">
              <w:rPr>
                <w:rFonts w:ascii="Tahoma" w:hAnsi="Tahoma" w:cs="Tahoma"/>
              </w:rPr>
              <w:t>Enterprise Edition Rights</w:t>
            </w:r>
          </w:p>
        </w:tc>
        <w:tc>
          <w:tcPr>
            <w:tcW w:w="1530" w:type="dxa"/>
            <w:tcBorders>
              <w:top w:val="nil"/>
              <w:left w:val="nil"/>
              <w:bottom w:val="single" w:sz="4" w:space="0" w:color="auto"/>
              <w:right w:val="single" w:sz="4" w:space="0" w:color="auto"/>
            </w:tcBorders>
            <w:vAlign w:val="center"/>
          </w:tcPr>
          <w:p w:rsidR="004B4C79" w:rsidRPr="00A75DF9"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A75DF9" w:rsidRDefault="004B4C79" w:rsidP="00E06FE8">
            <w:pPr>
              <w:pStyle w:val="AppendixTableText"/>
              <w:rPr>
                <w:rFonts w:ascii="Tahoma" w:hAnsi="Tahoma" w:cs="Tahoma"/>
              </w:rPr>
            </w:pPr>
            <w:r w:rsidRPr="00A75DF9">
              <w:rPr>
                <w:rFonts w:ascii="Tahoma" w:hAnsi="Tahoma" w:cs="Tahoma"/>
              </w:rPr>
              <w:t>Sì</w:t>
            </w:r>
          </w:p>
        </w:tc>
        <w:tc>
          <w:tcPr>
            <w:tcW w:w="1350" w:type="dxa"/>
            <w:tcBorders>
              <w:top w:val="nil"/>
              <w:left w:val="nil"/>
              <w:bottom w:val="single" w:sz="4" w:space="0" w:color="auto"/>
              <w:right w:val="single" w:sz="4" w:space="0" w:color="auto"/>
            </w:tcBorders>
            <w:vAlign w:val="center"/>
          </w:tcPr>
          <w:p w:rsidR="004B4C79" w:rsidRPr="00A75DF9" w:rsidRDefault="004B4C79" w:rsidP="00E06FE8">
            <w:pPr>
              <w:pStyle w:val="AppendixTableText"/>
              <w:rPr>
                <w:rFonts w:ascii="Tahoma" w:hAnsi="Tahoma" w:cs="Tahoma"/>
              </w:rPr>
            </w:pPr>
          </w:p>
        </w:tc>
        <w:tc>
          <w:tcPr>
            <w:tcW w:w="1980" w:type="dxa"/>
            <w:tcBorders>
              <w:top w:val="nil"/>
              <w:left w:val="nil"/>
              <w:bottom w:val="single" w:sz="4" w:space="0" w:color="auto"/>
              <w:right w:val="single" w:sz="4" w:space="0" w:color="auto"/>
            </w:tcBorders>
            <w:vAlign w:val="center"/>
          </w:tcPr>
          <w:p w:rsidR="004B4C79" w:rsidRPr="00A75DF9" w:rsidRDefault="004B4C79" w:rsidP="00E06FE8">
            <w:pPr>
              <w:pStyle w:val="AppendixTableText"/>
              <w:rPr>
                <w:rFonts w:ascii="Tahoma" w:hAnsi="Tahoma" w:cs="Tahoma"/>
              </w:rPr>
            </w:pPr>
            <w:r w:rsidRPr="00A75DF9">
              <w:rPr>
                <w:rFonts w:ascii="Tahoma" w:hAnsi="Tahoma" w:cs="Tahoma"/>
              </w:rPr>
              <w:t>Sì</w:t>
            </w:r>
          </w:p>
        </w:tc>
        <w:tc>
          <w:tcPr>
            <w:tcW w:w="1170" w:type="dxa"/>
            <w:tcBorders>
              <w:top w:val="nil"/>
              <w:left w:val="nil"/>
              <w:bottom w:val="single" w:sz="4" w:space="0" w:color="auto"/>
              <w:right w:val="single" w:sz="4" w:space="0" w:color="auto"/>
            </w:tcBorders>
            <w:vAlign w:val="center"/>
          </w:tcPr>
          <w:p w:rsidR="004B4C79" w:rsidRPr="00A75DF9" w:rsidRDefault="004B4C79" w:rsidP="00E06FE8">
            <w:pPr>
              <w:pStyle w:val="AppendixTableText"/>
              <w:rPr>
                <w:rFonts w:ascii="Tahoma" w:hAnsi="Tahoma" w:cs="Tahoma"/>
              </w:rPr>
            </w:pPr>
          </w:p>
        </w:tc>
      </w:tr>
      <w:tr w:rsidR="004B4C79" w:rsidRPr="00A75DF9" w:rsidTr="00036631">
        <w:trPr>
          <w:trHeight w:val="255"/>
        </w:trPr>
        <w:tc>
          <w:tcPr>
            <w:tcW w:w="2167" w:type="dxa"/>
            <w:tcBorders>
              <w:top w:val="nil"/>
              <w:left w:val="single" w:sz="4" w:space="0" w:color="auto"/>
              <w:bottom w:val="single" w:sz="4" w:space="0" w:color="auto"/>
              <w:right w:val="single" w:sz="4" w:space="0" w:color="auto"/>
            </w:tcBorders>
            <w:vAlign w:val="bottom"/>
          </w:tcPr>
          <w:p w:rsidR="004B4C79" w:rsidRPr="00A75DF9" w:rsidRDefault="004B4C79">
            <w:pPr>
              <w:pStyle w:val="AppendixTableText"/>
              <w:jc w:val="left"/>
              <w:rPr>
                <w:rFonts w:ascii="Tahoma" w:hAnsi="Tahoma" w:cs="Tahoma"/>
              </w:rPr>
            </w:pPr>
            <w:r w:rsidRPr="00A75DF9">
              <w:rPr>
                <w:rFonts w:ascii="Tahoma" w:hAnsi="Tahoma" w:cs="Tahoma"/>
              </w:rPr>
              <w:t>Voucher Corsi</w:t>
            </w:r>
          </w:p>
        </w:tc>
        <w:tc>
          <w:tcPr>
            <w:tcW w:w="1530" w:type="dxa"/>
            <w:tcBorders>
              <w:top w:val="nil"/>
              <w:left w:val="nil"/>
              <w:bottom w:val="single" w:sz="4" w:space="0" w:color="auto"/>
              <w:right w:val="single" w:sz="4" w:space="0" w:color="auto"/>
            </w:tcBorders>
            <w:vAlign w:val="center"/>
          </w:tcPr>
          <w:p w:rsidR="004B4C79" w:rsidRPr="00A75DF9" w:rsidRDefault="004B4C79" w:rsidP="00E06FE8">
            <w:pPr>
              <w:pStyle w:val="AppendixTableText"/>
              <w:rPr>
                <w:rFonts w:ascii="Tahoma" w:hAnsi="Tahoma" w:cs="Tahoma"/>
              </w:rPr>
            </w:pPr>
            <w:r w:rsidRPr="00A75DF9">
              <w:rPr>
                <w:rFonts w:ascii="Tahoma" w:hAnsi="Tahoma" w:cs="Tahoma"/>
              </w:rPr>
              <w:t>Sì</w:t>
            </w:r>
          </w:p>
        </w:tc>
        <w:tc>
          <w:tcPr>
            <w:tcW w:w="1530" w:type="dxa"/>
            <w:tcBorders>
              <w:top w:val="nil"/>
              <w:left w:val="nil"/>
              <w:bottom w:val="single" w:sz="4" w:space="0" w:color="auto"/>
              <w:right w:val="single" w:sz="4" w:space="0" w:color="auto"/>
            </w:tcBorders>
            <w:vAlign w:val="center"/>
          </w:tcPr>
          <w:p w:rsidR="004B4C79" w:rsidRPr="00A75DF9" w:rsidRDefault="004B4C79" w:rsidP="00E06FE8">
            <w:pPr>
              <w:pStyle w:val="AppendixTableText"/>
              <w:rPr>
                <w:rFonts w:ascii="Tahoma" w:hAnsi="Tahoma" w:cs="Tahoma"/>
              </w:rPr>
            </w:pPr>
            <w:r w:rsidRPr="00A75DF9">
              <w:rPr>
                <w:rFonts w:ascii="Tahoma" w:hAnsi="Tahoma" w:cs="Tahoma"/>
              </w:rPr>
              <w:t>Sì</w:t>
            </w:r>
          </w:p>
        </w:tc>
        <w:tc>
          <w:tcPr>
            <w:tcW w:w="1350" w:type="dxa"/>
            <w:tcBorders>
              <w:top w:val="nil"/>
              <w:left w:val="nil"/>
              <w:bottom w:val="single" w:sz="4" w:space="0" w:color="auto"/>
              <w:right w:val="single" w:sz="4" w:space="0" w:color="auto"/>
            </w:tcBorders>
            <w:vAlign w:val="center"/>
          </w:tcPr>
          <w:p w:rsidR="004B4C79" w:rsidRPr="00A75DF9" w:rsidRDefault="004B4C79" w:rsidP="00E06FE8">
            <w:pPr>
              <w:pStyle w:val="AppendixTableText"/>
              <w:rPr>
                <w:rFonts w:ascii="Tahoma" w:hAnsi="Tahoma" w:cs="Tahoma"/>
              </w:rPr>
            </w:pPr>
          </w:p>
        </w:tc>
        <w:tc>
          <w:tcPr>
            <w:tcW w:w="1980" w:type="dxa"/>
            <w:tcBorders>
              <w:top w:val="nil"/>
              <w:left w:val="nil"/>
              <w:bottom w:val="single" w:sz="4" w:space="0" w:color="auto"/>
              <w:right w:val="single" w:sz="4" w:space="0" w:color="auto"/>
            </w:tcBorders>
            <w:vAlign w:val="center"/>
          </w:tcPr>
          <w:p w:rsidR="004B4C79" w:rsidRPr="00A75DF9" w:rsidRDefault="004B4C79" w:rsidP="00E06FE8">
            <w:pPr>
              <w:pStyle w:val="AppendixTableText"/>
              <w:rPr>
                <w:rFonts w:ascii="Tahoma" w:hAnsi="Tahoma" w:cs="Tahoma"/>
              </w:rPr>
            </w:pPr>
          </w:p>
        </w:tc>
        <w:tc>
          <w:tcPr>
            <w:tcW w:w="1170" w:type="dxa"/>
            <w:tcBorders>
              <w:top w:val="nil"/>
              <w:left w:val="nil"/>
              <w:bottom w:val="single" w:sz="4" w:space="0" w:color="auto"/>
              <w:right w:val="single" w:sz="4" w:space="0" w:color="auto"/>
            </w:tcBorders>
            <w:vAlign w:val="center"/>
          </w:tcPr>
          <w:p w:rsidR="004B4C79" w:rsidRPr="00A75DF9" w:rsidRDefault="004B4C79" w:rsidP="00E06FE8">
            <w:pPr>
              <w:pStyle w:val="AppendixTableText"/>
              <w:rPr>
                <w:rFonts w:ascii="Tahoma" w:hAnsi="Tahoma" w:cs="Tahoma"/>
              </w:rPr>
            </w:pPr>
          </w:p>
        </w:tc>
      </w:tr>
      <w:tr w:rsidR="004B4C79" w:rsidRPr="00A75DF9" w:rsidTr="00036631">
        <w:trPr>
          <w:trHeight w:val="255"/>
        </w:trPr>
        <w:tc>
          <w:tcPr>
            <w:tcW w:w="2167" w:type="dxa"/>
            <w:tcBorders>
              <w:top w:val="nil"/>
              <w:left w:val="single" w:sz="4" w:space="0" w:color="auto"/>
              <w:bottom w:val="single" w:sz="4" w:space="0" w:color="auto"/>
              <w:right w:val="single" w:sz="4" w:space="0" w:color="auto"/>
            </w:tcBorders>
            <w:vAlign w:val="bottom"/>
          </w:tcPr>
          <w:p w:rsidR="004B4C79" w:rsidRPr="00A75DF9" w:rsidRDefault="004B4C79">
            <w:pPr>
              <w:pStyle w:val="AppendixTableText"/>
              <w:jc w:val="left"/>
              <w:rPr>
                <w:rFonts w:ascii="Tahoma" w:hAnsi="Tahoma" w:cs="Tahoma"/>
              </w:rPr>
            </w:pPr>
            <w:r w:rsidRPr="00A75DF9">
              <w:rPr>
                <w:rFonts w:ascii="Tahoma" w:hAnsi="Tahoma" w:cs="Tahoma"/>
              </w:rPr>
              <w:t>E-Learning</w:t>
            </w:r>
          </w:p>
        </w:tc>
        <w:tc>
          <w:tcPr>
            <w:tcW w:w="1530" w:type="dxa"/>
            <w:tcBorders>
              <w:top w:val="nil"/>
              <w:left w:val="nil"/>
              <w:bottom w:val="single" w:sz="4" w:space="0" w:color="auto"/>
              <w:right w:val="single" w:sz="4" w:space="0" w:color="auto"/>
            </w:tcBorders>
            <w:vAlign w:val="center"/>
          </w:tcPr>
          <w:p w:rsidR="004B4C79" w:rsidRPr="00A75DF9" w:rsidRDefault="004B4C79" w:rsidP="00E06FE8">
            <w:pPr>
              <w:pStyle w:val="AppendixTableText"/>
              <w:rPr>
                <w:rFonts w:ascii="Tahoma" w:hAnsi="Tahoma" w:cs="Tahoma"/>
              </w:rPr>
            </w:pPr>
            <w:r w:rsidRPr="00A75DF9">
              <w:rPr>
                <w:rFonts w:ascii="Tahoma" w:hAnsi="Tahoma" w:cs="Tahoma"/>
              </w:rPr>
              <w:t>Sì</w:t>
            </w:r>
          </w:p>
        </w:tc>
        <w:tc>
          <w:tcPr>
            <w:tcW w:w="1530" w:type="dxa"/>
            <w:tcBorders>
              <w:top w:val="nil"/>
              <w:left w:val="nil"/>
              <w:bottom w:val="single" w:sz="4" w:space="0" w:color="auto"/>
              <w:right w:val="single" w:sz="4" w:space="0" w:color="auto"/>
            </w:tcBorders>
            <w:vAlign w:val="center"/>
          </w:tcPr>
          <w:p w:rsidR="004B4C79" w:rsidRPr="00A75DF9" w:rsidRDefault="004B4C79" w:rsidP="00E06FE8">
            <w:pPr>
              <w:pStyle w:val="AppendixTableText"/>
              <w:rPr>
                <w:rFonts w:ascii="Tahoma" w:hAnsi="Tahoma" w:cs="Tahoma"/>
              </w:rPr>
            </w:pPr>
            <w:r w:rsidRPr="00A75DF9">
              <w:rPr>
                <w:rFonts w:ascii="Tahoma" w:hAnsi="Tahoma" w:cs="Tahoma"/>
              </w:rPr>
              <w:t>Sì</w:t>
            </w:r>
          </w:p>
        </w:tc>
        <w:tc>
          <w:tcPr>
            <w:tcW w:w="1350" w:type="dxa"/>
            <w:tcBorders>
              <w:top w:val="nil"/>
              <w:left w:val="nil"/>
              <w:bottom w:val="single" w:sz="4" w:space="0" w:color="auto"/>
              <w:right w:val="single" w:sz="4" w:space="0" w:color="auto"/>
            </w:tcBorders>
            <w:vAlign w:val="center"/>
          </w:tcPr>
          <w:p w:rsidR="004B4C79" w:rsidRPr="00A75DF9" w:rsidRDefault="004B4C79" w:rsidP="00E06FE8">
            <w:pPr>
              <w:pStyle w:val="AppendixTableText"/>
              <w:rPr>
                <w:rFonts w:ascii="Tahoma" w:hAnsi="Tahoma" w:cs="Tahoma"/>
              </w:rPr>
            </w:pPr>
            <w:r w:rsidRPr="00A75DF9">
              <w:rPr>
                <w:rFonts w:ascii="Tahoma" w:hAnsi="Tahoma" w:cs="Tahoma"/>
              </w:rPr>
              <w:t>Sì</w:t>
            </w:r>
          </w:p>
        </w:tc>
        <w:tc>
          <w:tcPr>
            <w:tcW w:w="1980" w:type="dxa"/>
            <w:tcBorders>
              <w:top w:val="nil"/>
              <w:left w:val="nil"/>
              <w:bottom w:val="single" w:sz="4" w:space="0" w:color="auto"/>
              <w:right w:val="single" w:sz="4" w:space="0" w:color="auto"/>
            </w:tcBorders>
            <w:vAlign w:val="center"/>
          </w:tcPr>
          <w:p w:rsidR="004B4C79" w:rsidRPr="00A75DF9" w:rsidRDefault="004B4C79" w:rsidP="00E06FE8">
            <w:pPr>
              <w:pStyle w:val="AppendixTableText"/>
              <w:rPr>
                <w:rFonts w:ascii="Tahoma" w:hAnsi="Tahoma" w:cs="Tahoma"/>
              </w:rPr>
            </w:pPr>
            <w:r w:rsidRPr="00A75DF9">
              <w:rPr>
                <w:rFonts w:ascii="Tahoma" w:hAnsi="Tahoma" w:cs="Tahoma"/>
              </w:rPr>
              <w:t>Sì</w:t>
            </w:r>
          </w:p>
        </w:tc>
        <w:tc>
          <w:tcPr>
            <w:tcW w:w="1170" w:type="dxa"/>
            <w:tcBorders>
              <w:top w:val="nil"/>
              <w:left w:val="nil"/>
              <w:bottom w:val="single" w:sz="4" w:space="0" w:color="auto"/>
              <w:right w:val="single" w:sz="4" w:space="0" w:color="auto"/>
            </w:tcBorders>
            <w:vAlign w:val="center"/>
          </w:tcPr>
          <w:p w:rsidR="004B4C79" w:rsidRPr="00A75DF9" w:rsidRDefault="004B4C79" w:rsidP="00E06FE8">
            <w:pPr>
              <w:pStyle w:val="AppendixTableText"/>
              <w:rPr>
                <w:rFonts w:ascii="Tahoma" w:hAnsi="Tahoma" w:cs="Tahoma"/>
              </w:rPr>
            </w:pPr>
            <w:r w:rsidRPr="00A75DF9">
              <w:rPr>
                <w:rFonts w:ascii="Tahoma" w:hAnsi="Tahoma" w:cs="Tahoma"/>
              </w:rPr>
              <w:t>Sì</w:t>
            </w:r>
          </w:p>
        </w:tc>
      </w:tr>
      <w:tr w:rsidR="004B4C79" w:rsidRPr="00A75DF9" w:rsidTr="00036631">
        <w:trPr>
          <w:trHeight w:val="255"/>
        </w:trPr>
        <w:tc>
          <w:tcPr>
            <w:tcW w:w="2167" w:type="dxa"/>
            <w:tcBorders>
              <w:top w:val="nil"/>
              <w:left w:val="single" w:sz="4" w:space="0" w:color="auto"/>
              <w:bottom w:val="single" w:sz="4" w:space="0" w:color="auto"/>
              <w:right w:val="single" w:sz="4" w:space="0" w:color="auto"/>
            </w:tcBorders>
            <w:vAlign w:val="bottom"/>
          </w:tcPr>
          <w:p w:rsidR="004B4C79" w:rsidRPr="00A75DF9" w:rsidRDefault="004B4C79">
            <w:pPr>
              <w:pStyle w:val="AppendixTableText"/>
              <w:jc w:val="left"/>
              <w:rPr>
                <w:rFonts w:ascii="Tahoma" w:hAnsi="Tahoma" w:cs="Tahoma"/>
              </w:rPr>
            </w:pPr>
            <w:r w:rsidRPr="00A75DF9">
              <w:rPr>
                <w:rFonts w:ascii="Tahoma" w:hAnsi="Tahoma" w:cs="Tahoma"/>
              </w:rPr>
              <w:t>Home Use Program</w:t>
            </w:r>
          </w:p>
        </w:tc>
        <w:tc>
          <w:tcPr>
            <w:tcW w:w="1530" w:type="dxa"/>
            <w:tcBorders>
              <w:top w:val="nil"/>
              <w:left w:val="nil"/>
              <w:bottom w:val="single" w:sz="4" w:space="0" w:color="auto"/>
              <w:right w:val="single" w:sz="4" w:space="0" w:color="auto"/>
            </w:tcBorders>
            <w:vAlign w:val="center"/>
          </w:tcPr>
          <w:p w:rsidR="004B4C79" w:rsidRPr="00A75DF9" w:rsidRDefault="004B4C79" w:rsidP="00E06FE8">
            <w:pPr>
              <w:pStyle w:val="AppendixTableText"/>
              <w:rPr>
                <w:rFonts w:ascii="Tahoma" w:hAnsi="Tahoma" w:cs="Tahoma"/>
              </w:rPr>
            </w:pPr>
            <w:r w:rsidRPr="00A75DF9">
              <w:rPr>
                <w:rFonts w:ascii="Tahoma" w:hAnsi="Tahoma" w:cs="Tahoma"/>
              </w:rPr>
              <w:t>Sì</w:t>
            </w:r>
          </w:p>
        </w:tc>
        <w:tc>
          <w:tcPr>
            <w:tcW w:w="1530" w:type="dxa"/>
            <w:tcBorders>
              <w:top w:val="nil"/>
              <w:left w:val="nil"/>
              <w:bottom w:val="single" w:sz="4" w:space="0" w:color="auto"/>
              <w:right w:val="single" w:sz="4" w:space="0" w:color="auto"/>
            </w:tcBorders>
            <w:vAlign w:val="center"/>
          </w:tcPr>
          <w:p w:rsidR="004B4C79" w:rsidRPr="00A75DF9" w:rsidRDefault="004B4C79" w:rsidP="00E06FE8">
            <w:pPr>
              <w:pStyle w:val="AppendixTableText"/>
              <w:rPr>
                <w:rFonts w:ascii="Tahoma" w:hAnsi="Tahoma" w:cs="Tahoma"/>
              </w:rPr>
            </w:pPr>
          </w:p>
        </w:tc>
        <w:tc>
          <w:tcPr>
            <w:tcW w:w="1350" w:type="dxa"/>
            <w:tcBorders>
              <w:top w:val="nil"/>
              <w:left w:val="nil"/>
              <w:bottom w:val="single" w:sz="4" w:space="0" w:color="auto"/>
              <w:right w:val="single" w:sz="4" w:space="0" w:color="auto"/>
            </w:tcBorders>
            <w:vAlign w:val="center"/>
          </w:tcPr>
          <w:p w:rsidR="004B4C79" w:rsidRPr="00A75DF9" w:rsidRDefault="004B4C79" w:rsidP="00E06FE8">
            <w:pPr>
              <w:pStyle w:val="AppendixTableText"/>
              <w:rPr>
                <w:rFonts w:ascii="Tahoma" w:hAnsi="Tahoma" w:cs="Tahoma"/>
              </w:rPr>
            </w:pPr>
          </w:p>
        </w:tc>
        <w:tc>
          <w:tcPr>
            <w:tcW w:w="1980" w:type="dxa"/>
            <w:tcBorders>
              <w:top w:val="nil"/>
              <w:left w:val="nil"/>
              <w:bottom w:val="single" w:sz="4" w:space="0" w:color="auto"/>
              <w:right w:val="single" w:sz="4" w:space="0" w:color="auto"/>
            </w:tcBorders>
            <w:vAlign w:val="center"/>
          </w:tcPr>
          <w:p w:rsidR="004B4C79" w:rsidRPr="00A75DF9" w:rsidRDefault="004B4C79" w:rsidP="00E06FE8">
            <w:pPr>
              <w:pStyle w:val="AppendixTableText"/>
              <w:rPr>
                <w:rFonts w:ascii="Tahoma" w:hAnsi="Tahoma" w:cs="Tahoma"/>
              </w:rPr>
            </w:pPr>
          </w:p>
        </w:tc>
        <w:tc>
          <w:tcPr>
            <w:tcW w:w="1170" w:type="dxa"/>
            <w:tcBorders>
              <w:top w:val="nil"/>
              <w:left w:val="nil"/>
              <w:bottom w:val="single" w:sz="4" w:space="0" w:color="auto"/>
              <w:right w:val="single" w:sz="4" w:space="0" w:color="auto"/>
            </w:tcBorders>
            <w:vAlign w:val="center"/>
          </w:tcPr>
          <w:p w:rsidR="004B4C79" w:rsidRPr="00A75DF9" w:rsidRDefault="004B4C79" w:rsidP="00E06FE8">
            <w:pPr>
              <w:pStyle w:val="AppendixTableText"/>
              <w:rPr>
                <w:rFonts w:ascii="Tahoma" w:hAnsi="Tahoma" w:cs="Tahoma"/>
              </w:rPr>
            </w:pPr>
          </w:p>
        </w:tc>
      </w:tr>
      <w:tr w:rsidR="004B4C79" w:rsidRPr="00A75DF9" w:rsidTr="00036631">
        <w:trPr>
          <w:trHeight w:val="255"/>
        </w:trPr>
        <w:tc>
          <w:tcPr>
            <w:tcW w:w="2167" w:type="dxa"/>
            <w:tcBorders>
              <w:top w:val="nil"/>
              <w:left w:val="single" w:sz="4" w:space="0" w:color="auto"/>
              <w:bottom w:val="single" w:sz="4" w:space="0" w:color="auto"/>
              <w:right w:val="single" w:sz="4" w:space="0" w:color="auto"/>
            </w:tcBorders>
            <w:vAlign w:val="bottom"/>
          </w:tcPr>
          <w:p w:rsidR="004B4C79" w:rsidRPr="00A75DF9" w:rsidRDefault="004B4C79">
            <w:pPr>
              <w:pStyle w:val="AppendixTableText"/>
              <w:jc w:val="left"/>
              <w:rPr>
                <w:rFonts w:ascii="Tahoma" w:hAnsi="Tahoma" w:cs="Tahoma"/>
              </w:rPr>
            </w:pPr>
            <w:r w:rsidRPr="00A75DF9">
              <w:rPr>
                <w:rFonts w:ascii="Tahoma" w:hAnsi="Tahoma" w:cs="Tahoma"/>
              </w:rPr>
              <w:t>Enterprise Source Licensing Program</w:t>
            </w:r>
          </w:p>
        </w:tc>
        <w:tc>
          <w:tcPr>
            <w:tcW w:w="1530" w:type="dxa"/>
            <w:tcBorders>
              <w:top w:val="nil"/>
              <w:left w:val="nil"/>
              <w:bottom w:val="single" w:sz="4" w:space="0" w:color="auto"/>
              <w:right w:val="single" w:sz="4" w:space="0" w:color="auto"/>
            </w:tcBorders>
            <w:vAlign w:val="center"/>
          </w:tcPr>
          <w:p w:rsidR="004B4C79" w:rsidRPr="00A75DF9"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A75DF9" w:rsidRDefault="004B4C79" w:rsidP="00E06FE8">
            <w:pPr>
              <w:pStyle w:val="AppendixTableText"/>
              <w:rPr>
                <w:rFonts w:ascii="Tahoma" w:hAnsi="Tahoma" w:cs="Tahoma"/>
              </w:rPr>
            </w:pPr>
            <w:r w:rsidRPr="00A75DF9">
              <w:rPr>
                <w:rFonts w:ascii="Tahoma" w:hAnsi="Tahoma" w:cs="Tahoma"/>
              </w:rPr>
              <w:t>Sì</w:t>
            </w:r>
          </w:p>
        </w:tc>
        <w:tc>
          <w:tcPr>
            <w:tcW w:w="1350" w:type="dxa"/>
            <w:tcBorders>
              <w:top w:val="nil"/>
              <w:left w:val="nil"/>
              <w:bottom w:val="single" w:sz="4" w:space="0" w:color="auto"/>
              <w:right w:val="single" w:sz="4" w:space="0" w:color="auto"/>
            </w:tcBorders>
            <w:vAlign w:val="center"/>
          </w:tcPr>
          <w:p w:rsidR="004B4C79" w:rsidRPr="00A75DF9" w:rsidRDefault="004B4C79" w:rsidP="00E06FE8">
            <w:pPr>
              <w:pStyle w:val="AppendixTableText"/>
              <w:rPr>
                <w:rFonts w:ascii="Tahoma" w:hAnsi="Tahoma" w:cs="Tahoma"/>
              </w:rPr>
            </w:pPr>
          </w:p>
        </w:tc>
        <w:tc>
          <w:tcPr>
            <w:tcW w:w="1980" w:type="dxa"/>
            <w:tcBorders>
              <w:top w:val="nil"/>
              <w:left w:val="nil"/>
              <w:bottom w:val="single" w:sz="4" w:space="0" w:color="auto"/>
              <w:right w:val="single" w:sz="4" w:space="0" w:color="auto"/>
            </w:tcBorders>
            <w:vAlign w:val="center"/>
          </w:tcPr>
          <w:p w:rsidR="004B4C79" w:rsidRPr="00A75DF9" w:rsidRDefault="004B4C79" w:rsidP="00E06FE8">
            <w:pPr>
              <w:pStyle w:val="AppendixTableText"/>
              <w:rPr>
                <w:rFonts w:ascii="Tahoma" w:hAnsi="Tahoma" w:cs="Tahoma"/>
              </w:rPr>
            </w:pPr>
          </w:p>
        </w:tc>
        <w:tc>
          <w:tcPr>
            <w:tcW w:w="1170" w:type="dxa"/>
            <w:tcBorders>
              <w:top w:val="nil"/>
              <w:left w:val="nil"/>
              <w:bottom w:val="single" w:sz="4" w:space="0" w:color="auto"/>
              <w:right w:val="single" w:sz="4" w:space="0" w:color="auto"/>
            </w:tcBorders>
            <w:vAlign w:val="center"/>
          </w:tcPr>
          <w:p w:rsidR="004B4C79" w:rsidRPr="00A75DF9" w:rsidRDefault="004B4C79" w:rsidP="00E06FE8">
            <w:pPr>
              <w:pStyle w:val="AppendixTableText"/>
              <w:rPr>
                <w:rFonts w:ascii="Tahoma" w:hAnsi="Tahoma" w:cs="Tahoma"/>
              </w:rPr>
            </w:pPr>
          </w:p>
        </w:tc>
      </w:tr>
      <w:tr w:rsidR="004B4C79" w:rsidRPr="00A75DF9" w:rsidTr="00036631">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A75DF9" w:rsidRDefault="004B4C79">
            <w:pPr>
              <w:pStyle w:val="AppendixTableText"/>
              <w:jc w:val="left"/>
              <w:rPr>
                <w:rFonts w:ascii="Tahoma" w:hAnsi="Tahoma" w:cs="Tahoma"/>
              </w:rPr>
            </w:pPr>
            <w:r w:rsidRPr="00A75DF9">
              <w:rPr>
                <w:rFonts w:ascii="Tahoma" w:hAnsi="Tahoma" w:cs="Tahoma"/>
              </w:rPr>
              <w:t>Supporto per la Risoluzione dei Problemi 24x7</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A75DF9" w:rsidRDefault="004B4C79" w:rsidP="00E06FE8">
            <w:pPr>
              <w:pStyle w:val="AppendixTableText"/>
              <w:rPr>
                <w:rFonts w:ascii="Tahoma" w:hAnsi="Tahoma" w:cs="Tahoma"/>
              </w:rPr>
            </w:pPr>
            <w:r w:rsidRPr="00A75DF9">
              <w:rPr>
                <w:rFonts w:ascii="Tahoma" w:hAnsi="Tahoma" w:cs="Tahoma"/>
              </w:rPr>
              <w:t>Sì</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A75DF9" w:rsidRDefault="004B4C79" w:rsidP="00E06FE8">
            <w:pPr>
              <w:pStyle w:val="AppendixTableText"/>
              <w:rPr>
                <w:rFonts w:ascii="Tahoma" w:hAnsi="Tahoma" w:cs="Tahoma"/>
              </w:rPr>
            </w:pPr>
            <w:r w:rsidRPr="00A75DF9">
              <w:rPr>
                <w:rFonts w:ascii="Tahoma" w:hAnsi="Tahoma" w:cs="Tahoma"/>
              </w:rPr>
              <w:t>Sì</w:t>
            </w:r>
          </w:p>
        </w:tc>
        <w:tc>
          <w:tcPr>
            <w:tcW w:w="1350" w:type="dxa"/>
            <w:tcBorders>
              <w:top w:val="single" w:sz="6" w:space="0" w:color="auto"/>
              <w:left w:val="single" w:sz="6" w:space="0" w:color="auto"/>
              <w:bottom w:val="single" w:sz="6" w:space="0" w:color="auto"/>
              <w:right w:val="single" w:sz="4" w:space="0" w:color="auto"/>
            </w:tcBorders>
            <w:vAlign w:val="center"/>
          </w:tcPr>
          <w:p w:rsidR="004B4C79" w:rsidRPr="00A75DF9" w:rsidRDefault="004B4C79" w:rsidP="00E06FE8">
            <w:pPr>
              <w:pStyle w:val="AppendixTableText"/>
              <w:rPr>
                <w:rStyle w:val="CommentReference"/>
                <w:rFonts w:ascii="Tahoma" w:hAnsi="Tahoma" w:cs="Tahoma"/>
                <w:sz w:val="18"/>
                <w:szCs w:val="18"/>
              </w:rPr>
            </w:pPr>
            <w:r w:rsidRPr="00A75DF9">
              <w:rPr>
                <w:rFonts w:ascii="Tahoma" w:hAnsi="Tahoma" w:cs="Tahoma"/>
              </w:rPr>
              <w:t>Sì</w:t>
            </w:r>
          </w:p>
        </w:tc>
        <w:tc>
          <w:tcPr>
            <w:tcW w:w="1980" w:type="dxa"/>
            <w:tcBorders>
              <w:top w:val="single" w:sz="6" w:space="0" w:color="auto"/>
              <w:left w:val="single" w:sz="6" w:space="0" w:color="auto"/>
              <w:bottom w:val="single" w:sz="6" w:space="0" w:color="auto"/>
              <w:right w:val="single" w:sz="4" w:space="0" w:color="auto"/>
            </w:tcBorders>
            <w:vAlign w:val="center"/>
          </w:tcPr>
          <w:p w:rsidR="004B4C79" w:rsidRPr="00A75DF9" w:rsidRDefault="004B4C79" w:rsidP="00E06FE8">
            <w:pPr>
              <w:pStyle w:val="AppendixTableText"/>
              <w:rPr>
                <w:rFonts w:ascii="Tahoma" w:hAnsi="Tahoma" w:cs="Tahoma"/>
              </w:rPr>
            </w:pPr>
          </w:p>
        </w:tc>
        <w:tc>
          <w:tcPr>
            <w:tcW w:w="1170" w:type="dxa"/>
            <w:tcBorders>
              <w:top w:val="single" w:sz="6" w:space="0" w:color="auto"/>
              <w:left w:val="single" w:sz="6" w:space="0" w:color="auto"/>
              <w:bottom w:val="single" w:sz="6" w:space="0" w:color="auto"/>
              <w:right w:val="single" w:sz="4" w:space="0" w:color="auto"/>
            </w:tcBorders>
            <w:vAlign w:val="center"/>
          </w:tcPr>
          <w:p w:rsidR="004B4C79" w:rsidRPr="00A75DF9" w:rsidRDefault="004B4C79" w:rsidP="00E06FE8">
            <w:pPr>
              <w:pStyle w:val="AppendixTableText"/>
              <w:rPr>
                <w:rFonts w:ascii="Tahoma" w:hAnsi="Tahoma" w:cs="Tahoma"/>
              </w:rPr>
            </w:pPr>
          </w:p>
        </w:tc>
      </w:tr>
      <w:tr w:rsidR="00620185" w:rsidRPr="00A75DF9" w:rsidTr="00036631">
        <w:trPr>
          <w:trHeight w:val="255"/>
        </w:trPr>
        <w:tc>
          <w:tcPr>
            <w:tcW w:w="2167" w:type="dxa"/>
            <w:tcBorders>
              <w:top w:val="nil"/>
              <w:left w:val="single" w:sz="4" w:space="0" w:color="auto"/>
              <w:bottom w:val="single" w:sz="4" w:space="0" w:color="auto"/>
              <w:right w:val="single" w:sz="4" w:space="0" w:color="auto"/>
            </w:tcBorders>
            <w:vAlign w:val="bottom"/>
          </w:tcPr>
          <w:p w:rsidR="00620185" w:rsidRPr="00A75DF9" w:rsidRDefault="00620185">
            <w:pPr>
              <w:pStyle w:val="AppendixTableText"/>
              <w:jc w:val="left"/>
              <w:rPr>
                <w:rFonts w:ascii="Tahoma" w:hAnsi="Tahoma" w:cs="Tahoma"/>
              </w:rPr>
            </w:pPr>
            <w:r w:rsidRPr="00A75DF9">
              <w:rPr>
                <w:rFonts w:ascii="Tahoma" w:hAnsi="Tahoma" w:cs="Tahoma"/>
              </w:rPr>
              <w:t>System Center Advisor</w:t>
            </w:r>
          </w:p>
        </w:tc>
        <w:tc>
          <w:tcPr>
            <w:tcW w:w="1530" w:type="dxa"/>
            <w:tcBorders>
              <w:top w:val="nil"/>
              <w:left w:val="nil"/>
              <w:bottom w:val="single" w:sz="4" w:space="0" w:color="auto"/>
              <w:right w:val="single" w:sz="4" w:space="0" w:color="auto"/>
            </w:tcBorders>
            <w:vAlign w:val="center"/>
          </w:tcPr>
          <w:p w:rsidR="00620185" w:rsidRPr="00A75DF9" w:rsidRDefault="00620185"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620185" w:rsidRPr="00A75DF9" w:rsidRDefault="00620185" w:rsidP="00E06FE8">
            <w:pPr>
              <w:pStyle w:val="AppendixTableText"/>
              <w:rPr>
                <w:rFonts w:ascii="Tahoma" w:hAnsi="Tahoma" w:cs="Tahoma"/>
              </w:rPr>
            </w:pPr>
          </w:p>
        </w:tc>
        <w:tc>
          <w:tcPr>
            <w:tcW w:w="1350" w:type="dxa"/>
            <w:tcBorders>
              <w:top w:val="nil"/>
              <w:left w:val="nil"/>
              <w:bottom w:val="single" w:sz="4" w:space="0" w:color="auto"/>
              <w:right w:val="single" w:sz="4" w:space="0" w:color="auto"/>
            </w:tcBorders>
            <w:vAlign w:val="center"/>
          </w:tcPr>
          <w:p w:rsidR="00620185" w:rsidRPr="00A75DF9" w:rsidRDefault="00620185" w:rsidP="00E06FE8">
            <w:pPr>
              <w:pStyle w:val="AppendixTableText"/>
              <w:rPr>
                <w:rFonts w:ascii="Tahoma" w:hAnsi="Tahoma" w:cs="Tahoma"/>
              </w:rPr>
            </w:pPr>
            <w:r w:rsidRPr="00A75DF9">
              <w:rPr>
                <w:rFonts w:ascii="Tahoma" w:hAnsi="Tahoma" w:cs="Tahoma"/>
              </w:rPr>
              <w:t>Sì</w:t>
            </w:r>
          </w:p>
        </w:tc>
        <w:tc>
          <w:tcPr>
            <w:tcW w:w="1980" w:type="dxa"/>
            <w:tcBorders>
              <w:top w:val="nil"/>
              <w:left w:val="nil"/>
              <w:bottom w:val="single" w:sz="4" w:space="0" w:color="auto"/>
              <w:right w:val="single" w:sz="4" w:space="0" w:color="auto"/>
            </w:tcBorders>
            <w:vAlign w:val="center"/>
          </w:tcPr>
          <w:p w:rsidR="00620185" w:rsidRPr="00A75DF9" w:rsidRDefault="00620185" w:rsidP="00E06FE8">
            <w:pPr>
              <w:pStyle w:val="AppendixTableText"/>
              <w:rPr>
                <w:rFonts w:ascii="Tahoma" w:hAnsi="Tahoma" w:cs="Tahoma"/>
              </w:rPr>
            </w:pPr>
          </w:p>
        </w:tc>
        <w:tc>
          <w:tcPr>
            <w:tcW w:w="1170" w:type="dxa"/>
            <w:tcBorders>
              <w:top w:val="nil"/>
              <w:left w:val="nil"/>
              <w:bottom w:val="single" w:sz="4" w:space="0" w:color="auto"/>
              <w:right w:val="single" w:sz="4" w:space="0" w:color="auto"/>
            </w:tcBorders>
            <w:vAlign w:val="center"/>
          </w:tcPr>
          <w:p w:rsidR="00620185" w:rsidRPr="00A75DF9" w:rsidRDefault="00620185" w:rsidP="00E06FE8">
            <w:pPr>
              <w:pStyle w:val="AppendixTableText"/>
              <w:rPr>
                <w:rFonts w:ascii="Tahoma" w:hAnsi="Tahoma" w:cs="Tahoma"/>
              </w:rPr>
            </w:pPr>
          </w:p>
        </w:tc>
      </w:tr>
      <w:tr w:rsidR="00E06FE8" w:rsidRPr="00A75DF9" w:rsidTr="00036631">
        <w:trPr>
          <w:trHeight w:val="255"/>
        </w:trPr>
        <w:tc>
          <w:tcPr>
            <w:tcW w:w="2167" w:type="dxa"/>
            <w:tcBorders>
              <w:top w:val="nil"/>
              <w:left w:val="single" w:sz="4" w:space="0" w:color="auto"/>
              <w:bottom w:val="single" w:sz="4" w:space="0" w:color="auto"/>
              <w:right w:val="single" w:sz="4" w:space="0" w:color="auto"/>
            </w:tcBorders>
            <w:vAlign w:val="bottom"/>
          </w:tcPr>
          <w:p w:rsidR="00E06FE8" w:rsidRPr="00A75DF9" w:rsidRDefault="00E06FE8">
            <w:pPr>
              <w:pStyle w:val="AppendixTableText"/>
              <w:jc w:val="left"/>
              <w:rPr>
                <w:rFonts w:ascii="Tahoma" w:hAnsi="Tahoma" w:cs="Tahoma"/>
              </w:rPr>
            </w:pPr>
            <w:r w:rsidRPr="00A75DF9">
              <w:rPr>
                <w:rFonts w:ascii="Tahoma" w:hAnsi="Tahoma" w:cs="Tahoma"/>
              </w:rPr>
              <w:t>System Center Global Service Monitor</w:t>
            </w:r>
          </w:p>
        </w:tc>
        <w:tc>
          <w:tcPr>
            <w:tcW w:w="1530" w:type="dxa"/>
            <w:tcBorders>
              <w:top w:val="nil"/>
              <w:left w:val="nil"/>
              <w:bottom w:val="single" w:sz="4" w:space="0" w:color="auto"/>
              <w:right w:val="single" w:sz="4" w:space="0" w:color="auto"/>
            </w:tcBorders>
            <w:vAlign w:val="center"/>
          </w:tcPr>
          <w:p w:rsidR="00E06FE8" w:rsidRPr="00A75DF9" w:rsidRDefault="00E06FE8"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E06FE8" w:rsidRPr="00A75DF9" w:rsidRDefault="00E06FE8" w:rsidP="00E06FE8">
            <w:pPr>
              <w:pStyle w:val="AppendixTableText"/>
              <w:rPr>
                <w:rFonts w:ascii="Tahoma" w:hAnsi="Tahoma" w:cs="Tahoma"/>
              </w:rPr>
            </w:pPr>
          </w:p>
        </w:tc>
        <w:tc>
          <w:tcPr>
            <w:tcW w:w="1350" w:type="dxa"/>
            <w:tcBorders>
              <w:top w:val="nil"/>
              <w:left w:val="nil"/>
              <w:bottom w:val="single" w:sz="4" w:space="0" w:color="auto"/>
              <w:right w:val="single" w:sz="4" w:space="0" w:color="auto"/>
            </w:tcBorders>
            <w:vAlign w:val="center"/>
          </w:tcPr>
          <w:p w:rsidR="00E06FE8" w:rsidRPr="00A75DF9" w:rsidRDefault="00E06FE8" w:rsidP="00E06FE8">
            <w:pPr>
              <w:pStyle w:val="AppendixTableText"/>
              <w:rPr>
                <w:rFonts w:ascii="Tahoma" w:hAnsi="Tahoma" w:cs="Tahoma"/>
              </w:rPr>
            </w:pPr>
            <w:r w:rsidRPr="00A75DF9">
              <w:rPr>
                <w:rFonts w:ascii="Tahoma" w:hAnsi="Tahoma" w:cs="Tahoma"/>
              </w:rPr>
              <w:t>Sì</w:t>
            </w:r>
          </w:p>
        </w:tc>
        <w:tc>
          <w:tcPr>
            <w:tcW w:w="1980" w:type="dxa"/>
            <w:tcBorders>
              <w:top w:val="nil"/>
              <w:left w:val="nil"/>
              <w:bottom w:val="single" w:sz="4" w:space="0" w:color="auto"/>
              <w:right w:val="single" w:sz="4" w:space="0" w:color="auto"/>
            </w:tcBorders>
            <w:vAlign w:val="center"/>
          </w:tcPr>
          <w:p w:rsidR="00E06FE8" w:rsidRPr="00A75DF9" w:rsidRDefault="00E06FE8" w:rsidP="00E06FE8">
            <w:pPr>
              <w:pStyle w:val="AppendixTableText"/>
              <w:rPr>
                <w:rFonts w:ascii="Tahoma" w:hAnsi="Tahoma" w:cs="Tahoma"/>
              </w:rPr>
            </w:pPr>
          </w:p>
        </w:tc>
        <w:tc>
          <w:tcPr>
            <w:tcW w:w="1170" w:type="dxa"/>
            <w:tcBorders>
              <w:top w:val="nil"/>
              <w:left w:val="nil"/>
              <w:bottom w:val="single" w:sz="4" w:space="0" w:color="auto"/>
              <w:right w:val="single" w:sz="4" w:space="0" w:color="auto"/>
            </w:tcBorders>
            <w:vAlign w:val="center"/>
          </w:tcPr>
          <w:p w:rsidR="00E06FE8" w:rsidRPr="00A75DF9" w:rsidRDefault="00E06FE8" w:rsidP="00E06FE8">
            <w:pPr>
              <w:pStyle w:val="AppendixTableText"/>
              <w:rPr>
                <w:rFonts w:ascii="Tahoma" w:hAnsi="Tahoma" w:cs="Tahoma"/>
              </w:rPr>
            </w:pPr>
          </w:p>
        </w:tc>
      </w:tr>
      <w:tr w:rsidR="004B4C79" w:rsidRPr="00A75DF9" w:rsidTr="00036631">
        <w:trPr>
          <w:trHeight w:val="255"/>
        </w:trPr>
        <w:tc>
          <w:tcPr>
            <w:tcW w:w="2167" w:type="dxa"/>
            <w:tcBorders>
              <w:top w:val="nil"/>
              <w:left w:val="single" w:sz="4" w:space="0" w:color="auto"/>
              <w:bottom w:val="single" w:sz="4" w:space="0" w:color="auto"/>
              <w:right w:val="single" w:sz="4" w:space="0" w:color="auto"/>
            </w:tcBorders>
            <w:vAlign w:val="bottom"/>
          </w:tcPr>
          <w:p w:rsidR="004B4C79" w:rsidRPr="00A75DF9" w:rsidRDefault="004B4C79">
            <w:pPr>
              <w:pStyle w:val="AppendixTableText"/>
              <w:jc w:val="left"/>
              <w:rPr>
                <w:rFonts w:ascii="Tahoma" w:hAnsi="Tahoma" w:cs="Tahoma"/>
              </w:rPr>
            </w:pPr>
            <w:r w:rsidRPr="00A75DF9">
              <w:rPr>
                <w:rFonts w:ascii="Tahoma" w:hAnsi="Tahoma" w:cs="Tahoma"/>
              </w:rPr>
              <w:t>Back-up per Ripristino di Emergenza “a Freddo”</w:t>
            </w:r>
          </w:p>
        </w:tc>
        <w:tc>
          <w:tcPr>
            <w:tcW w:w="1530" w:type="dxa"/>
            <w:tcBorders>
              <w:top w:val="nil"/>
              <w:left w:val="nil"/>
              <w:bottom w:val="single" w:sz="4" w:space="0" w:color="auto"/>
              <w:right w:val="single" w:sz="4" w:space="0" w:color="auto"/>
            </w:tcBorders>
            <w:vAlign w:val="center"/>
          </w:tcPr>
          <w:p w:rsidR="004B4C79" w:rsidRPr="00A75DF9"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A75DF9" w:rsidRDefault="004B4C79" w:rsidP="00E06FE8">
            <w:pPr>
              <w:pStyle w:val="AppendixTableText"/>
              <w:rPr>
                <w:rFonts w:ascii="Tahoma" w:hAnsi="Tahoma" w:cs="Tahoma"/>
              </w:rPr>
            </w:pPr>
          </w:p>
        </w:tc>
        <w:tc>
          <w:tcPr>
            <w:tcW w:w="1350" w:type="dxa"/>
            <w:tcBorders>
              <w:top w:val="nil"/>
              <w:left w:val="nil"/>
              <w:bottom w:val="single" w:sz="4" w:space="0" w:color="auto"/>
              <w:right w:val="single" w:sz="4" w:space="0" w:color="auto"/>
            </w:tcBorders>
            <w:vAlign w:val="center"/>
          </w:tcPr>
          <w:p w:rsidR="004B4C79" w:rsidRPr="00A75DF9" w:rsidRDefault="004B4C79" w:rsidP="00E06FE8">
            <w:pPr>
              <w:pStyle w:val="AppendixTableText"/>
              <w:rPr>
                <w:rFonts w:ascii="Tahoma" w:hAnsi="Tahoma" w:cs="Tahoma"/>
              </w:rPr>
            </w:pPr>
            <w:r w:rsidRPr="00A75DF9">
              <w:rPr>
                <w:rFonts w:ascii="Tahoma" w:hAnsi="Tahoma" w:cs="Tahoma"/>
              </w:rPr>
              <w:t>Sì</w:t>
            </w:r>
          </w:p>
        </w:tc>
        <w:tc>
          <w:tcPr>
            <w:tcW w:w="1980" w:type="dxa"/>
            <w:tcBorders>
              <w:top w:val="nil"/>
              <w:left w:val="nil"/>
              <w:bottom w:val="single" w:sz="4" w:space="0" w:color="auto"/>
              <w:right w:val="single" w:sz="4" w:space="0" w:color="auto"/>
            </w:tcBorders>
            <w:vAlign w:val="center"/>
          </w:tcPr>
          <w:p w:rsidR="004B4C79" w:rsidRPr="00A75DF9" w:rsidRDefault="004B4C79" w:rsidP="00E06FE8">
            <w:pPr>
              <w:pStyle w:val="AppendixTableText"/>
              <w:rPr>
                <w:rFonts w:ascii="Tahoma" w:hAnsi="Tahoma" w:cs="Tahoma"/>
              </w:rPr>
            </w:pPr>
          </w:p>
        </w:tc>
        <w:tc>
          <w:tcPr>
            <w:tcW w:w="1170" w:type="dxa"/>
            <w:tcBorders>
              <w:top w:val="nil"/>
              <w:left w:val="nil"/>
              <w:bottom w:val="single" w:sz="4" w:space="0" w:color="auto"/>
              <w:right w:val="single" w:sz="4" w:space="0" w:color="auto"/>
            </w:tcBorders>
            <w:vAlign w:val="center"/>
          </w:tcPr>
          <w:p w:rsidR="004B4C79" w:rsidRPr="00A75DF9" w:rsidRDefault="004B4C79" w:rsidP="00E06FE8">
            <w:pPr>
              <w:pStyle w:val="AppendixTableText"/>
              <w:rPr>
                <w:rFonts w:ascii="Tahoma" w:hAnsi="Tahoma" w:cs="Tahoma"/>
              </w:rPr>
            </w:pPr>
          </w:p>
        </w:tc>
      </w:tr>
      <w:tr w:rsidR="004B4C79" w:rsidRPr="00A75DF9" w:rsidTr="00036631">
        <w:trPr>
          <w:trHeight w:val="255"/>
        </w:trPr>
        <w:tc>
          <w:tcPr>
            <w:tcW w:w="2167" w:type="dxa"/>
            <w:tcBorders>
              <w:top w:val="single" w:sz="4" w:space="0" w:color="auto"/>
              <w:left w:val="single" w:sz="4" w:space="0" w:color="auto"/>
              <w:bottom w:val="single" w:sz="4" w:space="0" w:color="auto"/>
              <w:right w:val="single" w:sz="4" w:space="0" w:color="auto"/>
            </w:tcBorders>
            <w:vAlign w:val="bottom"/>
          </w:tcPr>
          <w:p w:rsidR="004B4C79" w:rsidRPr="00A75DF9" w:rsidRDefault="004B4C79">
            <w:pPr>
              <w:pStyle w:val="AppendixTableText"/>
              <w:jc w:val="left"/>
              <w:rPr>
                <w:rFonts w:ascii="Tahoma" w:hAnsi="Tahoma" w:cs="Tahoma"/>
              </w:rPr>
            </w:pPr>
            <w:r w:rsidRPr="00A75DF9">
              <w:rPr>
                <w:rFonts w:ascii="Tahoma" w:hAnsi="Tahoma" w:cs="Tahoma"/>
              </w:rPr>
              <w:t>Servizi in Abbonamento TechNet SA</w:t>
            </w:r>
          </w:p>
        </w:tc>
        <w:tc>
          <w:tcPr>
            <w:tcW w:w="1530" w:type="dxa"/>
            <w:tcBorders>
              <w:top w:val="single" w:sz="4" w:space="0" w:color="auto"/>
              <w:left w:val="nil"/>
              <w:bottom w:val="single" w:sz="4" w:space="0" w:color="auto"/>
              <w:right w:val="single" w:sz="4" w:space="0" w:color="auto"/>
            </w:tcBorders>
            <w:vAlign w:val="center"/>
          </w:tcPr>
          <w:p w:rsidR="004B4C79" w:rsidRPr="00A75DF9" w:rsidRDefault="004B4C79" w:rsidP="00E06FE8">
            <w:pPr>
              <w:pStyle w:val="AppendixTableText"/>
              <w:rPr>
                <w:rFonts w:ascii="Tahoma" w:hAnsi="Tahoma" w:cs="Tahoma"/>
              </w:rPr>
            </w:pPr>
            <w:r w:rsidRPr="00A75DF9">
              <w:rPr>
                <w:rFonts w:ascii="Tahoma" w:hAnsi="Tahoma" w:cs="Tahoma"/>
              </w:rPr>
              <w:t>Sì</w:t>
            </w:r>
          </w:p>
        </w:tc>
        <w:tc>
          <w:tcPr>
            <w:tcW w:w="1530" w:type="dxa"/>
            <w:tcBorders>
              <w:top w:val="single" w:sz="4" w:space="0" w:color="auto"/>
              <w:left w:val="nil"/>
              <w:bottom w:val="single" w:sz="4" w:space="0" w:color="auto"/>
              <w:right w:val="single" w:sz="4" w:space="0" w:color="auto"/>
            </w:tcBorders>
            <w:vAlign w:val="center"/>
          </w:tcPr>
          <w:p w:rsidR="004B4C79" w:rsidRPr="00A75DF9" w:rsidRDefault="004B4C79" w:rsidP="00E06FE8">
            <w:pPr>
              <w:pStyle w:val="AppendixTableText"/>
              <w:rPr>
                <w:rFonts w:ascii="Tahoma" w:hAnsi="Tahoma" w:cs="Tahoma"/>
              </w:rPr>
            </w:pPr>
            <w:r w:rsidRPr="00A75DF9">
              <w:rPr>
                <w:rFonts w:ascii="Tahoma" w:hAnsi="Tahoma" w:cs="Tahoma"/>
              </w:rPr>
              <w:t>Sì</w:t>
            </w:r>
          </w:p>
        </w:tc>
        <w:tc>
          <w:tcPr>
            <w:tcW w:w="1350" w:type="dxa"/>
            <w:tcBorders>
              <w:top w:val="single" w:sz="4" w:space="0" w:color="auto"/>
              <w:left w:val="nil"/>
              <w:bottom w:val="single" w:sz="4" w:space="0" w:color="auto"/>
              <w:right w:val="single" w:sz="4" w:space="0" w:color="auto"/>
            </w:tcBorders>
            <w:vAlign w:val="center"/>
          </w:tcPr>
          <w:p w:rsidR="004B4C79" w:rsidRPr="00A75DF9" w:rsidRDefault="004B4C79" w:rsidP="00E06FE8">
            <w:pPr>
              <w:pStyle w:val="AppendixTableText"/>
              <w:rPr>
                <w:rFonts w:ascii="Tahoma" w:hAnsi="Tahoma" w:cs="Tahoma"/>
              </w:rPr>
            </w:pPr>
            <w:r w:rsidRPr="00A75DF9">
              <w:rPr>
                <w:rFonts w:ascii="Tahoma" w:hAnsi="Tahoma" w:cs="Tahoma"/>
              </w:rPr>
              <w:t>Sì</w:t>
            </w:r>
          </w:p>
        </w:tc>
        <w:tc>
          <w:tcPr>
            <w:tcW w:w="1980" w:type="dxa"/>
            <w:tcBorders>
              <w:top w:val="single" w:sz="4" w:space="0" w:color="auto"/>
              <w:left w:val="nil"/>
              <w:bottom w:val="single" w:sz="4" w:space="0" w:color="auto"/>
              <w:right w:val="single" w:sz="4" w:space="0" w:color="auto"/>
            </w:tcBorders>
            <w:vAlign w:val="center"/>
          </w:tcPr>
          <w:p w:rsidR="004B4C79" w:rsidRPr="00A75DF9" w:rsidRDefault="004B4C79" w:rsidP="00E06FE8">
            <w:pPr>
              <w:pStyle w:val="AppendixTableText"/>
              <w:rPr>
                <w:rFonts w:ascii="Tahoma" w:hAnsi="Tahoma" w:cs="Tahoma"/>
              </w:rPr>
            </w:pPr>
          </w:p>
        </w:tc>
        <w:tc>
          <w:tcPr>
            <w:tcW w:w="1170" w:type="dxa"/>
            <w:tcBorders>
              <w:top w:val="single" w:sz="4" w:space="0" w:color="auto"/>
              <w:left w:val="nil"/>
              <w:bottom w:val="single" w:sz="4" w:space="0" w:color="auto"/>
              <w:right w:val="single" w:sz="4" w:space="0" w:color="auto"/>
            </w:tcBorders>
            <w:vAlign w:val="center"/>
          </w:tcPr>
          <w:p w:rsidR="004B4C79" w:rsidRPr="00A75DF9" w:rsidRDefault="004B4C79" w:rsidP="00E06FE8">
            <w:pPr>
              <w:pStyle w:val="AppendixTableText"/>
              <w:rPr>
                <w:rFonts w:ascii="Tahoma" w:hAnsi="Tahoma" w:cs="Tahoma"/>
              </w:rPr>
            </w:pPr>
          </w:p>
        </w:tc>
      </w:tr>
      <w:tr w:rsidR="004B4C79" w:rsidRPr="00A75DF9" w:rsidTr="00036631">
        <w:trPr>
          <w:trHeight w:val="255"/>
        </w:trPr>
        <w:tc>
          <w:tcPr>
            <w:tcW w:w="2167" w:type="dxa"/>
            <w:tcBorders>
              <w:top w:val="nil"/>
              <w:left w:val="single" w:sz="4" w:space="0" w:color="auto"/>
              <w:bottom w:val="single" w:sz="4" w:space="0" w:color="auto"/>
              <w:right w:val="single" w:sz="4" w:space="0" w:color="auto"/>
            </w:tcBorders>
            <w:vAlign w:val="bottom"/>
          </w:tcPr>
          <w:p w:rsidR="004B4C79" w:rsidRPr="00A75DF9" w:rsidRDefault="004B4C79">
            <w:pPr>
              <w:pStyle w:val="AppendixTableText"/>
              <w:jc w:val="left"/>
              <w:rPr>
                <w:rFonts w:ascii="Tahoma" w:hAnsi="Tahoma" w:cs="Tahoma"/>
              </w:rPr>
            </w:pPr>
            <w:r w:rsidRPr="00A75DF9">
              <w:rPr>
                <w:rFonts w:ascii="Tahoma" w:hAnsi="Tahoma" w:cs="Tahoma"/>
              </w:rPr>
              <w:t>TechNet Plus Direct</w:t>
            </w:r>
          </w:p>
        </w:tc>
        <w:tc>
          <w:tcPr>
            <w:tcW w:w="1530" w:type="dxa"/>
            <w:tcBorders>
              <w:top w:val="nil"/>
              <w:left w:val="nil"/>
              <w:bottom w:val="single" w:sz="4" w:space="0" w:color="auto"/>
              <w:right w:val="single" w:sz="4" w:space="0" w:color="auto"/>
            </w:tcBorders>
            <w:vAlign w:val="center"/>
          </w:tcPr>
          <w:p w:rsidR="004B4C79" w:rsidRPr="00A75DF9" w:rsidRDefault="004B4C79" w:rsidP="00E06FE8">
            <w:pPr>
              <w:pStyle w:val="AppendixTableText"/>
              <w:rPr>
                <w:rFonts w:ascii="Tahoma" w:hAnsi="Tahoma" w:cs="Tahoma"/>
              </w:rPr>
            </w:pPr>
          </w:p>
        </w:tc>
        <w:tc>
          <w:tcPr>
            <w:tcW w:w="1530" w:type="dxa"/>
            <w:tcBorders>
              <w:top w:val="nil"/>
              <w:left w:val="nil"/>
              <w:bottom w:val="single" w:sz="4" w:space="0" w:color="auto"/>
              <w:right w:val="single" w:sz="4" w:space="0" w:color="auto"/>
            </w:tcBorders>
            <w:vAlign w:val="center"/>
          </w:tcPr>
          <w:p w:rsidR="004B4C79" w:rsidRPr="00A75DF9" w:rsidRDefault="004B4C79" w:rsidP="00E06FE8">
            <w:pPr>
              <w:pStyle w:val="AppendixTableText"/>
              <w:rPr>
                <w:rFonts w:ascii="Tahoma" w:hAnsi="Tahoma" w:cs="Tahoma"/>
              </w:rPr>
            </w:pPr>
          </w:p>
        </w:tc>
        <w:tc>
          <w:tcPr>
            <w:tcW w:w="1350" w:type="dxa"/>
            <w:tcBorders>
              <w:top w:val="nil"/>
              <w:left w:val="nil"/>
              <w:bottom w:val="single" w:sz="4" w:space="0" w:color="auto"/>
              <w:right w:val="single" w:sz="4" w:space="0" w:color="auto"/>
            </w:tcBorders>
            <w:vAlign w:val="center"/>
          </w:tcPr>
          <w:p w:rsidR="004B4C79" w:rsidRPr="00A75DF9" w:rsidRDefault="004B4C79" w:rsidP="00E06FE8">
            <w:pPr>
              <w:pStyle w:val="AppendixTableText"/>
              <w:rPr>
                <w:rFonts w:ascii="Tahoma" w:hAnsi="Tahoma" w:cs="Tahoma"/>
              </w:rPr>
            </w:pPr>
            <w:r w:rsidRPr="00A75DF9">
              <w:rPr>
                <w:rFonts w:ascii="Tahoma" w:hAnsi="Tahoma" w:cs="Tahoma"/>
              </w:rPr>
              <w:t>Sì</w:t>
            </w:r>
          </w:p>
        </w:tc>
        <w:tc>
          <w:tcPr>
            <w:tcW w:w="1980" w:type="dxa"/>
            <w:tcBorders>
              <w:top w:val="nil"/>
              <w:left w:val="nil"/>
              <w:bottom w:val="single" w:sz="4" w:space="0" w:color="auto"/>
              <w:right w:val="single" w:sz="4" w:space="0" w:color="auto"/>
            </w:tcBorders>
            <w:vAlign w:val="center"/>
          </w:tcPr>
          <w:p w:rsidR="004B4C79" w:rsidRPr="00A75DF9" w:rsidRDefault="004B4C79" w:rsidP="00E06FE8">
            <w:pPr>
              <w:pStyle w:val="AppendixTableText"/>
              <w:rPr>
                <w:rFonts w:ascii="Tahoma" w:hAnsi="Tahoma" w:cs="Tahoma"/>
              </w:rPr>
            </w:pPr>
          </w:p>
        </w:tc>
        <w:tc>
          <w:tcPr>
            <w:tcW w:w="1170" w:type="dxa"/>
            <w:tcBorders>
              <w:top w:val="nil"/>
              <w:left w:val="nil"/>
              <w:bottom w:val="single" w:sz="4" w:space="0" w:color="auto"/>
              <w:right w:val="single" w:sz="4" w:space="0" w:color="auto"/>
            </w:tcBorders>
            <w:vAlign w:val="center"/>
          </w:tcPr>
          <w:p w:rsidR="004B4C79" w:rsidRPr="00A75DF9" w:rsidRDefault="004B4C79" w:rsidP="00E06FE8">
            <w:pPr>
              <w:pStyle w:val="AppendixTableText"/>
              <w:rPr>
                <w:rFonts w:ascii="Tahoma" w:hAnsi="Tahoma" w:cs="Tahoma"/>
              </w:rPr>
            </w:pPr>
          </w:p>
        </w:tc>
      </w:tr>
      <w:tr w:rsidR="004B4C79" w:rsidRPr="00A75DF9" w:rsidTr="00036631">
        <w:trPr>
          <w:trHeight w:val="246"/>
        </w:trPr>
        <w:tc>
          <w:tcPr>
            <w:tcW w:w="2167" w:type="dxa"/>
            <w:tcBorders>
              <w:top w:val="single" w:sz="6" w:space="0" w:color="auto"/>
              <w:left w:val="single" w:sz="4" w:space="0" w:color="auto"/>
              <w:bottom w:val="single" w:sz="6" w:space="0" w:color="auto"/>
              <w:right w:val="single" w:sz="6" w:space="0" w:color="auto"/>
            </w:tcBorders>
            <w:vAlign w:val="bottom"/>
          </w:tcPr>
          <w:p w:rsidR="004B4C79" w:rsidRPr="00A75DF9" w:rsidRDefault="004B4C79" w:rsidP="005F52C6">
            <w:pPr>
              <w:pStyle w:val="AppendixTableText"/>
              <w:jc w:val="left"/>
              <w:rPr>
                <w:rFonts w:ascii="Tahoma" w:hAnsi="Tahoma" w:cs="Tahoma"/>
              </w:rPr>
            </w:pPr>
            <w:r w:rsidRPr="00A75DF9">
              <w:rPr>
                <w:rFonts w:ascii="Tahoma" w:hAnsi="Tahoma" w:cs="Tahoma"/>
              </w:rPr>
              <w:t>Windows Thin PC</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A75DF9" w:rsidRDefault="004B4C79"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A75DF9" w:rsidRDefault="004B4C79" w:rsidP="00E06FE8">
            <w:pPr>
              <w:pStyle w:val="AppendixTableText"/>
              <w:rPr>
                <w:rFonts w:ascii="Tahoma" w:hAnsi="Tahoma" w:cs="Tahoma"/>
              </w:rPr>
            </w:pPr>
            <w:r w:rsidRPr="00A75DF9">
              <w:rPr>
                <w:rFonts w:ascii="Tahoma" w:hAnsi="Tahoma" w:cs="Tahoma"/>
              </w:rPr>
              <w:t>Sì</w:t>
            </w:r>
            <w:r w:rsidRPr="00A75DF9">
              <w:rPr>
                <w:rFonts w:ascii="Tahoma" w:hAnsi="Tahoma" w:cs="Tahoma"/>
                <w:vertAlign w:val="superscript"/>
              </w:rPr>
              <w:t>1</w:t>
            </w:r>
          </w:p>
        </w:tc>
        <w:tc>
          <w:tcPr>
            <w:tcW w:w="1350" w:type="dxa"/>
            <w:tcBorders>
              <w:top w:val="single" w:sz="6" w:space="0" w:color="auto"/>
              <w:left w:val="single" w:sz="6" w:space="0" w:color="auto"/>
              <w:bottom w:val="single" w:sz="6" w:space="0" w:color="auto"/>
              <w:right w:val="single" w:sz="4" w:space="0" w:color="auto"/>
            </w:tcBorders>
            <w:vAlign w:val="center"/>
          </w:tcPr>
          <w:p w:rsidR="004B4C79" w:rsidRPr="00A75DF9" w:rsidRDefault="004B4C79" w:rsidP="00E06FE8">
            <w:pPr>
              <w:pStyle w:val="AppendixTableText"/>
              <w:rPr>
                <w:rFonts w:ascii="Tahoma" w:hAnsi="Tahoma" w:cs="Tahoma"/>
              </w:rPr>
            </w:pPr>
          </w:p>
        </w:tc>
        <w:tc>
          <w:tcPr>
            <w:tcW w:w="1980" w:type="dxa"/>
            <w:tcBorders>
              <w:top w:val="single" w:sz="6" w:space="0" w:color="auto"/>
              <w:left w:val="single" w:sz="6" w:space="0" w:color="auto"/>
              <w:bottom w:val="single" w:sz="6" w:space="0" w:color="auto"/>
              <w:right w:val="single" w:sz="4" w:space="0" w:color="auto"/>
            </w:tcBorders>
            <w:vAlign w:val="center"/>
          </w:tcPr>
          <w:p w:rsidR="004B4C79" w:rsidRPr="00A75DF9" w:rsidRDefault="004B4C79" w:rsidP="00E06FE8">
            <w:pPr>
              <w:pStyle w:val="AppendixTableText"/>
              <w:rPr>
                <w:rFonts w:ascii="Tahoma" w:hAnsi="Tahoma" w:cs="Tahoma"/>
              </w:rPr>
            </w:pPr>
            <w:r w:rsidRPr="00A75DF9">
              <w:rPr>
                <w:rFonts w:ascii="Tahoma" w:hAnsi="Tahoma" w:cs="Tahoma"/>
              </w:rPr>
              <w:t>Sì</w:t>
            </w:r>
          </w:p>
        </w:tc>
        <w:tc>
          <w:tcPr>
            <w:tcW w:w="1170" w:type="dxa"/>
            <w:tcBorders>
              <w:top w:val="single" w:sz="6" w:space="0" w:color="auto"/>
              <w:left w:val="single" w:sz="6" w:space="0" w:color="auto"/>
              <w:bottom w:val="single" w:sz="6" w:space="0" w:color="auto"/>
              <w:right w:val="single" w:sz="4" w:space="0" w:color="auto"/>
            </w:tcBorders>
            <w:vAlign w:val="center"/>
          </w:tcPr>
          <w:p w:rsidR="004B4C79" w:rsidRPr="00A75DF9" w:rsidRDefault="004B4C79" w:rsidP="00E06FE8">
            <w:pPr>
              <w:pStyle w:val="AppendixTableText"/>
              <w:rPr>
                <w:rFonts w:ascii="Tahoma" w:hAnsi="Tahoma" w:cs="Tahoma"/>
              </w:rPr>
            </w:pPr>
          </w:p>
        </w:tc>
      </w:tr>
      <w:tr w:rsidR="004B4C79" w:rsidRPr="00A75DF9" w:rsidTr="00036631">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A75DF9" w:rsidRDefault="004B4C79">
            <w:pPr>
              <w:pStyle w:val="AppendixTableText"/>
              <w:jc w:val="left"/>
              <w:rPr>
                <w:rFonts w:ascii="Tahoma" w:hAnsi="Tahoma" w:cs="Tahoma"/>
              </w:rPr>
            </w:pPr>
            <w:r w:rsidRPr="00A75DF9">
              <w:rPr>
                <w:rFonts w:ascii="Tahoma" w:hAnsi="Tahoma" w:cs="Tahoma"/>
              </w:rPr>
              <w:t>Supporto HotFix Esteso</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A75DF9" w:rsidRDefault="004B4C79" w:rsidP="00E06FE8">
            <w:pPr>
              <w:pStyle w:val="AppendixTableText"/>
              <w:rPr>
                <w:rFonts w:ascii="Tahoma" w:hAnsi="Tahoma" w:cs="Tahoma"/>
              </w:rPr>
            </w:pPr>
            <w:r w:rsidRPr="00A75DF9">
              <w:rPr>
                <w:rFonts w:ascii="Tahoma" w:hAnsi="Tahoma" w:cs="Tahoma"/>
              </w:rPr>
              <w:t>Sì</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A75DF9" w:rsidRDefault="004B4C79" w:rsidP="00E06FE8">
            <w:pPr>
              <w:pStyle w:val="AppendixTableText"/>
              <w:rPr>
                <w:rFonts w:ascii="Tahoma" w:hAnsi="Tahoma" w:cs="Tahoma"/>
              </w:rPr>
            </w:pPr>
            <w:r w:rsidRPr="00A75DF9">
              <w:rPr>
                <w:rFonts w:ascii="Tahoma" w:hAnsi="Tahoma" w:cs="Tahoma"/>
              </w:rPr>
              <w:t>Sì</w:t>
            </w:r>
          </w:p>
        </w:tc>
        <w:tc>
          <w:tcPr>
            <w:tcW w:w="1350" w:type="dxa"/>
            <w:tcBorders>
              <w:top w:val="single" w:sz="6" w:space="0" w:color="auto"/>
              <w:left w:val="single" w:sz="6" w:space="0" w:color="auto"/>
              <w:bottom w:val="single" w:sz="6" w:space="0" w:color="auto"/>
              <w:right w:val="single" w:sz="4" w:space="0" w:color="auto"/>
            </w:tcBorders>
            <w:vAlign w:val="center"/>
          </w:tcPr>
          <w:p w:rsidR="004B4C79" w:rsidRPr="00A75DF9" w:rsidRDefault="004B4C79" w:rsidP="00E06FE8">
            <w:pPr>
              <w:pStyle w:val="AppendixTableText"/>
              <w:rPr>
                <w:rStyle w:val="CommentReference"/>
                <w:rFonts w:ascii="Tahoma" w:hAnsi="Tahoma" w:cs="Tahoma"/>
                <w:sz w:val="18"/>
                <w:szCs w:val="18"/>
              </w:rPr>
            </w:pPr>
            <w:r w:rsidRPr="00A75DF9">
              <w:rPr>
                <w:rFonts w:ascii="Tahoma" w:hAnsi="Tahoma" w:cs="Tahoma"/>
              </w:rPr>
              <w:t>Sì</w:t>
            </w:r>
          </w:p>
        </w:tc>
        <w:tc>
          <w:tcPr>
            <w:tcW w:w="1980" w:type="dxa"/>
            <w:tcBorders>
              <w:top w:val="single" w:sz="6" w:space="0" w:color="auto"/>
              <w:left w:val="single" w:sz="6" w:space="0" w:color="auto"/>
              <w:bottom w:val="single" w:sz="6" w:space="0" w:color="auto"/>
              <w:right w:val="single" w:sz="4" w:space="0" w:color="auto"/>
            </w:tcBorders>
            <w:vAlign w:val="center"/>
          </w:tcPr>
          <w:p w:rsidR="004B4C79" w:rsidRPr="00A75DF9" w:rsidRDefault="004B4C79" w:rsidP="00E06FE8">
            <w:pPr>
              <w:pStyle w:val="AppendixTableText"/>
              <w:rPr>
                <w:rFonts w:ascii="Tahoma" w:hAnsi="Tahoma" w:cs="Tahoma"/>
              </w:rPr>
            </w:pPr>
            <w:r w:rsidRPr="00A75DF9">
              <w:rPr>
                <w:rFonts w:ascii="Tahoma" w:hAnsi="Tahoma" w:cs="Tahoma"/>
              </w:rPr>
              <w:t>Sì</w:t>
            </w:r>
          </w:p>
        </w:tc>
        <w:tc>
          <w:tcPr>
            <w:tcW w:w="1170" w:type="dxa"/>
            <w:tcBorders>
              <w:top w:val="single" w:sz="6" w:space="0" w:color="auto"/>
              <w:left w:val="single" w:sz="6" w:space="0" w:color="auto"/>
              <w:bottom w:val="single" w:sz="6" w:space="0" w:color="auto"/>
              <w:right w:val="single" w:sz="4" w:space="0" w:color="auto"/>
            </w:tcBorders>
            <w:vAlign w:val="center"/>
          </w:tcPr>
          <w:p w:rsidR="004B4C79" w:rsidRPr="00A75DF9" w:rsidRDefault="004B4C79" w:rsidP="00E06FE8">
            <w:pPr>
              <w:pStyle w:val="AppendixTableText"/>
              <w:rPr>
                <w:rFonts w:ascii="Tahoma" w:hAnsi="Tahoma" w:cs="Tahoma"/>
              </w:rPr>
            </w:pPr>
          </w:p>
        </w:tc>
      </w:tr>
      <w:tr w:rsidR="004B4C79" w:rsidRPr="00A75DF9" w:rsidTr="00036631">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A75DF9" w:rsidRDefault="004B4C79">
            <w:pPr>
              <w:pStyle w:val="AppendixTableText"/>
              <w:jc w:val="left"/>
              <w:rPr>
                <w:rFonts w:ascii="Tahoma" w:hAnsi="Tahoma" w:cs="Tahoma"/>
                <w:color w:val="000000"/>
              </w:rPr>
            </w:pPr>
            <w:r w:rsidRPr="00A75DF9">
              <w:rPr>
                <w:rFonts w:ascii="Tahoma" w:hAnsi="Tahoma" w:cs="Tahoma"/>
                <w:color w:val="000000"/>
              </w:rPr>
              <w:t>Microsoft Desktop Optimization Pack (MDOP)</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A75DF9"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A75DF9" w:rsidRDefault="004B4C79" w:rsidP="00E06FE8">
            <w:pPr>
              <w:pStyle w:val="AppendixTableText"/>
              <w:spacing w:after="120"/>
              <w:rPr>
                <w:rFonts w:ascii="Tahoma" w:hAnsi="Tahoma" w:cs="Tahoma"/>
                <w:color w:val="000000"/>
              </w:rPr>
            </w:pPr>
            <w:r w:rsidRPr="00A75DF9">
              <w:rPr>
                <w:rFonts w:ascii="Tahoma" w:hAnsi="Tahoma" w:cs="Tahoma"/>
                <w:color w:val="000000"/>
              </w:rPr>
              <w:t>Sì</w:t>
            </w:r>
            <w:r w:rsidRPr="00A75DF9">
              <w:rPr>
                <w:rFonts w:ascii="Tahoma" w:hAnsi="Tahoma" w:cs="Tahoma"/>
                <w:vertAlign w:val="superscript"/>
              </w:rPr>
              <w:t>1</w:t>
            </w:r>
          </w:p>
        </w:tc>
        <w:tc>
          <w:tcPr>
            <w:tcW w:w="1350" w:type="dxa"/>
            <w:tcBorders>
              <w:top w:val="single" w:sz="6" w:space="0" w:color="auto"/>
              <w:left w:val="single" w:sz="6" w:space="0" w:color="auto"/>
              <w:bottom w:val="single" w:sz="6" w:space="0" w:color="auto"/>
              <w:right w:val="single" w:sz="4" w:space="0" w:color="auto"/>
            </w:tcBorders>
            <w:vAlign w:val="center"/>
          </w:tcPr>
          <w:p w:rsidR="004B4C79" w:rsidRPr="00A75DF9" w:rsidRDefault="004B4C79" w:rsidP="00E06FE8">
            <w:pPr>
              <w:pStyle w:val="AppendixTableText"/>
              <w:rPr>
                <w:rFonts w:ascii="Tahoma" w:hAnsi="Tahoma" w:cs="Tahoma"/>
                <w:color w:val="000000"/>
              </w:rPr>
            </w:pPr>
          </w:p>
        </w:tc>
        <w:tc>
          <w:tcPr>
            <w:tcW w:w="1980" w:type="dxa"/>
            <w:tcBorders>
              <w:top w:val="single" w:sz="6" w:space="0" w:color="auto"/>
              <w:left w:val="single" w:sz="6" w:space="0" w:color="auto"/>
              <w:bottom w:val="single" w:sz="6" w:space="0" w:color="auto"/>
              <w:right w:val="single" w:sz="4" w:space="0" w:color="auto"/>
            </w:tcBorders>
            <w:vAlign w:val="center"/>
          </w:tcPr>
          <w:p w:rsidR="004B4C79" w:rsidRPr="00A75DF9" w:rsidRDefault="004B4C79" w:rsidP="00E06FE8">
            <w:pPr>
              <w:pStyle w:val="AppendixTableText"/>
              <w:spacing w:before="120"/>
              <w:rPr>
                <w:rFonts w:ascii="Tahoma" w:hAnsi="Tahoma" w:cs="Tahoma"/>
                <w:color w:val="000000"/>
              </w:rPr>
            </w:pPr>
            <w:r w:rsidRPr="00A75DF9">
              <w:rPr>
                <w:rFonts w:ascii="Tahoma" w:hAnsi="Tahoma" w:cs="Tahoma"/>
                <w:color w:val="000000"/>
              </w:rPr>
              <w:t>Sì</w:t>
            </w:r>
          </w:p>
        </w:tc>
        <w:tc>
          <w:tcPr>
            <w:tcW w:w="1170" w:type="dxa"/>
            <w:tcBorders>
              <w:top w:val="single" w:sz="6" w:space="0" w:color="auto"/>
              <w:left w:val="single" w:sz="6" w:space="0" w:color="auto"/>
              <w:bottom w:val="single" w:sz="6" w:space="0" w:color="auto"/>
              <w:right w:val="single" w:sz="4" w:space="0" w:color="auto"/>
            </w:tcBorders>
            <w:vAlign w:val="center"/>
          </w:tcPr>
          <w:p w:rsidR="004B4C79" w:rsidRPr="00A75DF9" w:rsidRDefault="004B4C79" w:rsidP="00E06FE8">
            <w:pPr>
              <w:pStyle w:val="AppendixTableText"/>
              <w:spacing w:before="120"/>
              <w:rPr>
                <w:rFonts w:ascii="Tahoma" w:hAnsi="Tahoma" w:cs="Tahoma"/>
                <w:color w:val="000000"/>
              </w:rPr>
            </w:pPr>
          </w:p>
        </w:tc>
      </w:tr>
      <w:tr w:rsidR="004B4C79" w:rsidRPr="00A75DF9" w:rsidTr="00036631">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A75DF9" w:rsidRDefault="00E7419A" w:rsidP="00E7419A">
            <w:pPr>
              <w:pStyle w:val="AppendixTableText"/>
              <w:jc w:val="left"/>
              <w:rPr>
                <w:rFonts w:ascii="Tahoma" w:hAnsi="Tahoma" w:cs="Tahoma"/>
                <w:color w:val="000000"/>
              </w:rPr>
            </w:pPr>
            <w:r w:rsidRPr="00A75DF9">
              <w:rPr>
                <w:rFonts w:ascii="Tahoma" w:hAnsi="Tahoma" w:cs="Tahoma"/>
                <w:color w:val="000000"/>
              </w:rPr>
              <w:t>Diritti di Virtualizzazione per Windows Desktops</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A75DF9"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A75DF9" w:rsidRDefault="004B4C79" w:rsidP="00E06FE8">
            <w:pPr>
              <w:pStyle w:val="AppendixTableText"/>
              <w:spacing w:after="120"/>
              <w:rPr>
                <w:rFonts w:ascii="Tahoma" w:hAnsi="Tahoma" w:cs="Tahoma"/>
                <w:color w:val="000000"/>
              </w:rPr>
            </w:pPr>
            <w:r w:rsidRPr="00A75DF9">
              <w:rPr>
                <w:rFonts w:ascii="Tahoma" w:hAnsi="Tahoma" w:cs="Tahoma"/>
                <w:color w:val="000000"/>
              </w:rPr>
              <w:t>Sì</w:t>
            </w:r>
            <w:r w:rsidRPr="00A75DF9">
              <w:rPr>
                <w:rFonts w:ascii="Tahoma" w:hAnsi="Tahoma" w:cs="Tahoma"/>
                <w:vertAlign w:val="superscript"/>
              </w:rPr>
              <w:t>2</w:t>
            </w:r>
          </w:p>
        </w:tc>
        <w:tc>
          <w:tcPr>
            <w:tcW w:w="1350" w:type="dxa"/>
            <w:tcBorders>
              <w:top w:val="single" w:sz="6" w:space="0" w:color="auto"/>
              <w:left w:val="single" w:sz="6" w:space="0" w:color="auto"/>
              <w:bottom w:val="single" w:sz="6" w:space="0" w:color="auto"/>
              <w:right w:val="single" w:sz="4" w:space="0" w:color="auto"/>
            </w:tcBorders>
            <w:vAlign w:val="center"/>
          </w:tcPr>
          <w:p w:rsidR="004B4C79" w:rsidRPr="00A75DF9" w:rsidRDefault="004B4C79" w:rsidP="00E06FE8">
            <w:pPr>
              <w:pStyle w:val="AppendixTableText"/>
              <w:rPr>
                <w:rFonts w:ascii="Tahoma" w:hAnsi="Tahoma" w:cs="Tahoma"/>
                <w:color w:val="000000"/>
              </w:rPr>
            </w:pPr>
          </w:p>
        </w:tc>
        <w:tc>
          <w:tcPr>
            <w:tcW w:w="1980" w:type="dxa"/>
            <w:tcBorders>
              <w:top w:val="single" w:sz="6" w:space="0" w:color="auto"/>
              <w:left w:val="single" w:sz="6" w:space="0" w:color="auto"/>
              <w:bottom w:val="single" w:sz="6" w:space="0" w:color="auto"/>
              <w:right w:val="single" w:sz="4" w:space="0" w:color="auto"/>
            </w:tcBorders>
            <w:vAlign w:val="center"/>
          </w:tcPr>
          <w:p w:rsidR="004B4C79" w:rsidRPr="00A75DF9" w:rsidRDefault="004B4C79" w:rsidP="00E06FE8">
            <w:pPr>
              <w:pStyle w:val="AppendixTableText"/>
              <w:spacing w:before="120"/>
              <w:rPr>
                <w:rFonts w:ascii="Tahoma" w:hAnsi="Tahoma" w:cs="Tahoma"/>
                <w:color w:val="000000"/>
              </w:rPr>
            </w:pPr>
            <w:r w:rsidRPr="00A75DF9">
              <w:rPr>
                <w:rFonts w:ascii="Tahoma" w:hAnsi="Tahoma" w:cs="Tahoma"/>
                <w:color w:val="000000"/>
              </w:rPr>
              <w:t>Sì</w:t>
            </w:r>
          </w:p>
        </w:tc>
        <w:tc>
          <w:tcPr>
            <w:tcW w:w="1170" w:type="dxa"/>
            <w:tcBorders>
              <w:top w:val="single" w:sz="6" w:space="0" w:color="auto"/>
              <w:left w:val="single" w:sz="6" w:space="0" w:color="auto"/>
              <w:bottom w:val="single" w:sz="6" w:space="0" w:color="auto"/>
              <w:right w:val="single" w:sz="4" w:space="0" w:color="auto"/>
            </w:tcBorders>
            <w:vAlign w:val="center"/>
          </w:tcPr>
          <w:p w:rsidR="004B4C79" w:rsidRPr="00A75DF9" w:rsidRDefault="004B4C79" w:rsidP="00E06FE8">
            <w:pPr>
              <w:pStyle w:val="AppendixTableText"/>
              <w:spacing w:before="120"/>
              <w:rPr>
                <w:rFonts w:ascii="Tahoma" w:hAnsi="Tahoma" w:cs="Tahoma"/>
                <w:color w:val="000000"/>
              </w:rPr>
            </w:pPr>
          </w:p>
        </w:tc>
      </w:tr>
      <w:tr w:rsidR="004B4C79" w:rsidRPr="00A75DF9" w:rsidTr="00036631">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A75DF9" w:rsidRDefault="004B4C79">
            <w:pPr>
              <w:pStyle w:val="AppendixTableText"/>
              <w:jc w:val="left"/>
              <w:rPr>
                <w:rFonts w:ascii="Tahoma" w:hAnsi="Tahoma" w:cs="Tahoma"/>
                <w:color w:val="000000"/>
              </w:rPr>
            </w:pPr>
            <w:r w:rsidRPr="00A75DF9">
              <w:rPr>
                <w:rFonts w:ascii="Tahoma" w:hAnsi="Tahoma" w:cs="Tahoma"/>
                <w:color w:val="000000"/>
              </w:rPr>
              <w:t>Windows Virtual Desktop Access (VDA)</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A75DF9" w:rsidRDefault="004B4C79" w:rsidP="00E06FE8">
            <w:pPr>
              <w:pStyle w:val="AppendixTableText"/>
              <w:rPr>
                <w:rFonts w:ascii="Tahoma" w:hAnsi="Tahoma" w:cs="Tahoma"/>
                <w:color w:val="000000"/>
              </w:rPr>
            </w:pP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A75DF9" w:rsidRDefault="004B4C79" w:rsidP="00E06FE8">
            <w:pPr>
              <w:pStyle w:val="AppendixTableText"/>
              <w:spacing w:after="120"/>
              <w:rPr>
                <w:rFonts w:ascii="Tahoma" w:hAnsi="Tahoma" w:cs="Tahoma"/>
                <w:color w:val="000000"/>
              </w:rPr>
            </w:pPr>
            <w:r w:rsidRPr="00A75DF9">
              <w:rPr>
                <w:rFonts w:ascii="Tahoma" w:hAnsi="Tahoma" w:cs="Tahoma"/>
                <w:color w:val="000000"/>
              </w:rPr>
              <w:t>Sì</w:t>
            </w:r>
            <w:r w:rsidRPr="00A75DF9">
              <w:rPr>
                <w:rFonts w:ascii="Tahoma" w:hAnsi="Tahoma" w:cs="Tahoma"/>
                <w:vertAlign w:val="superscript"/>
              </w:rPr>
              <w:t>2</w:t>
            </w:r>
          </w:p>
        </w:tc>
        <w:tc>
          <w:tcPr>
            <w:tcW w:w="1350" w:type="dxa"/>
            <w:tcBorders>
              <w:top w:val="single" w:sz="6" w:space="0" w:color="auto"/>
              <w:left w:val="single" w:sz="6" w:space="0" w:color="auto"/>
              <w:bottom w:val="single" w:sz="6" w:space="0" w:color="auto"/>
              <w:right w:val="single" w:sz="4" w:space="0" w:color="auto"/>
            </w:tcBorders>
            <w:vAlign w:val="center"/>
          </w:tcPr>
          <w:p w:rsidR="004B4C79" w:rsidRPr="00A75DF9" w:rsidRDefault="004B4C79" w:rsidP="00E06FE8">
            <w:pPr>
              <w:pStyle w:val="AppendixTableText"/>
              <w:rPr>
                <w:rFonts w:ascii="Tahoma" w:hAnsi="Tahoma" w:cs="Tahoma"/>
                <w:color w:val="000000"/>
              </w:rPr>
            </w:pPr>
          </w:p>
        </w:tc>
        <w:tc>
          <w:tcPr>
            <w:tcW w:w="1980" w:type="dxa"/>
            <w:tcBorders>
              <w:top w:val="single" w:sz="6" w:space="0" w:color="auto"/>
              <w:left w:val="single" w:sz="6" w:space="0" w:color="auto"/>
              <w:bottom w:val="single" w:sz="6" w:space="0" w:color="auto"/>
              <w:right w:val="single" w:sz="4" w:space="0" w:color="auto"/>
            </w:tcBorders>
            <w:vAlign w:val="center"/>
          </w:tcPr>
          <w:p w:rsidR="004B4C79" w:rsidRPr="00A75DF9" w:rsidRDefault="004B4C79" w:rsidP="00E06FE8">
            <w:pPr>
              <w:pStyle w:val="AppendixTableText"/>
              <w:spacing w:before="120"/>
              <w:rPr>
                <w:rFonts w:ascii="Tahoma" w:hAnsi="Tahoma" w:cs="Tahoma"/>
                <w:color w:val="000000"/>
              </w:rPr>
            </w:pPr>
            <w:r w:rsidRPr="00A75DF9">
              <w:rPr>
                <w:rFonts w:ascii="Tahoma" w:hAnsi="Tahoma" w:cs="Tahoma"/>
                <w:color w:val="000000"/>
              </w:rPr>
              <w:t>Sì</w:t>
            </w:r>
          </w:p>
        </w:tc>
        <w:tc>
          <w:tcPr>
            <w:tcW w:w="1170" w:type="dxa"/>
            <w:tcBorders>
              <w:top w:val="single" w:sz="6" w:space="0" w:color="auto"/>
              <w:left w:val="single" w:sz="6" w:space="0" w:color="auto"/>
              <w:bottom w:val="single" w:sz="6" w:space="0" w:color="auto"/>
              <w:right w:val="single" w:sz="4" w:space="0" w:color="auto"/>
            </w:tcBorders>
            <w:vAlign w:val="center"/>
          </w:tcPr>
          <w:p w:rsidR="004B4C79" w:rsidRPr="00A75DF9" w:rsidRDefault="004B4C79" w:rsidP="00E06FE8">
            <w:pPr>
              <w:pStyle w:val="AppendixTableText"/>
              <w:spacing w:before="120"/>
              <w:rPr>
                <w:rFonts w:ascii="Tahoma" w:hAnsi="Tahoma" w:cs="Tahoma"/>
                <w:color w:val="000000"/>
              </w:rPr>
            </w:pPr>
          </w:p>
        </w:tc>
      </w:tr>
      <w:tr w:rsidR="004B4C79" w:rsidRPr="00A75DF9" w:rsidTr="00036631">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4B4C79" w:rsidRPr="00A75DF9" w:rsidRDefault="004B4C79">
            <w:pPr>
              <w:pStyle w:val="AppendixTableText"/>
              <w:jc w:val="left"/>
              <w:rPr>
                <w:rFonts w:ascii="Tahoma" w:hAnsi="Tahoma" w:cs="Tahoma"/>
              </w:rPr>
            </w:pPr>
            <w:r w:rsidRPr="00A75DF9">
              <w:rPr>
                <w:rFonts w:ascii="Tahoma" w:hAnsi="Tahoma" w:cs="Tahoma"/>
              </w:rPr>
              <w:t>Licenza Step-Up</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A75DF9" w:rsidRDefault="004B4C79" w:rsidP="00E06FE8">
            <w:pPr>
              <w:pStyle w:val="AppendixTableText"/>
              <w:rPr>
                <w:rFonts w:ascii="Tahoma" w:hAnsi="Tahoma" w:cs="Tahoma"/>
              </w:rPr>
            </w:pPr>
            <w:r w:rsidRPr="00A75DF9">
              <w:rPr>
                <w:rFonts w:ascii="Tahoma" w:hAnsi="Tahoma" w:cs="Tahoma"/>
              </w:rPr>
              <w:t>Sì</w:t>
            </w:r>
          </w:p>
        </w:tc>
        <w:tc>
          <w:tcPr>
            <w:tcW w:w="1530" w:type="dxa"/>
            <w:tcBorders>
              <w:top w:val="single" w:sz="6" w:space="0" w:color="auto"/>
              <w:left w:val="single" w:sz="6" w:space="0" w:color="auto"/>
              <w:bottom w:val="single" w:sz="6" w:space="0" w:color="auto"/>
              <w:right w:val="single" w:sz="6" w:space="0" w:color="auto"/>
            </w:tcBorders>
            <w:vAlign w:val="center"/>
          </w:tcPr>
          <w:p w:rsidR="004B4C79" w:rsidRPr="00A75DF9" w:rsidRDefault="004B4C79" w:rsidP="00E06FE8">
            <w:pPr>
              <w:pStyle w:val="AppendixTableText"/>
              <w:rPr>
                <w:rFonts w:ascii="Tahoma" w:hAnsi="Tahoma" w:cs="Tahoma"/>
              </w:rPr>
            </w:pPr>
            <w:r w:rsidRPr="00A75DF9">
              <w:rPr>
                <w:rFonts w:ascii="Tahoma" w:hAnsi="Tahoma" w:cs="Tahoma"/>
              </w:rPr>
              <w:t>No</w:t>
            </w:r>
          </w:p>
        </w:tc>
        <w:tc>
          <w:tcPr>
            <w:tcW w:w="1350" w:type="dxa"/>
            <w:tcBorders>
              <w:top w:val="single" w:sz="6" w:space="0" w:color="auto"/>
              <w:left w:val="single" w:sz="6" w:space="0" w:color="auto"/>
              <w:bottom w:val="single" w:sz="6" w:space="0" w:color="auto"/>
              <w:right w:val="single" w:sz="4" w:space="0" w:color="auto"/>
            </w:tcBorders>
            <w:vAlign w:val="center"/>
          </w:tcPr>
          <w:p w:rsidR="004B4C79" w:rsidRPr="00A75DF9" w:rsidRDefault="004B4C79" w:rsidP="00E06FE8">
            <w:pPr>
              <w:pStyle w:val="AppendixTableText"/>
              <w:rPr>
                <w:rFonts w:ascii="Tahoma" w:hAnsi="Tahoma" w:cs="Tahoma"/>
              </w:rPr>
            </w:pPr>
            <w:r w:rsidRPr="00A75DF9">
              <w:rPr>
                <w:rFonts w:ascii="Tahoma" w:hAnsi="Tahoma" w:cs="Tahoma"/>
              </w:rPr>
              <w:t>Sì</w:t>
            </w:r>
          </w:p>
        </w:tc>
        <w:tc>
          <w:tcPr>
            <w:tcW w:w="1980" w:type="dxa"/>
            <w:tcBorders>
              <w:top w:val="single" w:sz="6" w:space="0" w:color="auto"/>
              <w:left w:val="single" w:sz="6" w:space="0" w:color="auto"/>
              <w:bottom w:val="single" w:sz="6" w:space="0" w:color="auto"/>
              <w:right w:val="single" w:sz="4" w:space="0" w:color="auto"/>
            </w:tcBorders>
            <w:vAlign w:val="center"/>
          </w:tcPr>
          <w:p w:rsidR="004B4C79" w:rsidRPr="00A75DF9" w:rsidRDefault="004B4C79" w:rsidP="00E06FE8">
            <w:pPr>
              <w:pStyle w:val="AppendixTableText"/>
              <w:rPr>
                <w:rFonts w:ascii="Tahoma" w:hAnsi="Tahoma" w:cs="Tahoma"/>
              </w:rPr>
            </w:pPr>
          </w:p>
        </w:tc>
        <w:tc>
          <w:tcPr>
            <w:tcW w:w="1170" w:type="dxa"/>
            <w:tcBorders>
              <w:top w:val="single" w:sz="6" w:space="0" w:color="auto"/>
              <w:left w:val="single" w:sz="6" w:space="0" w:color="auto"/>
              <w:bottom w:val="single" w:sz="6" w:space="0" w:color="auto"/>
              <w:right w:val="single" w:sz="4" w:space="0" w:color="auto"/>
            </w:tcBorders>
            <w:vAlign w:val="center"/>
          </w:tcPr>
          <w:p w:rsidR="004B4C79" w:rsidRPr="00A75DF9" w:rsidRDefault="004B4C79" w:rsidP="00E06FE8">
            <w:pPr>
              <w:pStyle w:val="AppendixTableText"/>
              <w:rPr>
                <w:rFonts w:ascii="Tahoma" w:hAnsi="Tahoma" w:cs="Tahoma"/>
              </w:rPr>
            </w:pPr>
          </w:p>
        </w:tc>
      </w:tr>
      <w:tr w:rsidR="00870095" w:rsidRPr="00A75DF9" w:rsidTr="00036631">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870095" w:rsidRPr="00A75DF9" w:rsidRDefault="00870095">
            <w:pPr>
              <w:pStyle w:val="AppendixTableText"/>
              <w:jc w:val="left"/>
              <w:rPr>
                <w:rFonts w:ascii="Tahoma" w:hAnsi="Tahoma" w:cs="Tahoma"/>
              </w:rPr>
            </w:pPr>
            <w:r w:rsidRPr="00A75DF9">
              <w:rPr>
                <w:rFonts w:ascii="Tahoma" w:hAnsi="Tahoma" w:cs="Tahoma"/>
              </w:rPr>
              <w:t>Windows 8 Enterprise Sideloading</w:t>
            </w:r>
          </w:p>
        </w:tc>
        <w:tc>
          <w:tcPr>
            <w:tcW w:w="1530" w:type="dxa"/>
            <w:tcBorders>
              <w:top w:val="single" w:sz="6" w:space="0" w:color="auto"/>
              <w:left w:val="single" w:sz="6" w:space="0" w:color="auto"/>
              <w:bottom w:val="single" w:sz="6" w:space="0" w:color="auto"/>
              <w:right w:val="single" w:sz="6" w:space="0" w:color="auto"/>
            </w:tcBorders>
            <w:vAlign w:val="center"/>
          </w:tcPr>
          <w:p w:rsidR="00870095" w:rsidRPr="00A75DF9" w:rsidRDefault="0087009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rsidR="00870095" w:rsidRPr="00A75DF9" w:rsidRDefault="00870095" w:rsidP="00E06FE8">
            <w:pPr>
              <w:pStyle w:val="AppendixTableText"/>
              <w:rPr>
                <w:rFonts w:ascii="Tahoma" w:hAnsi="Tahoma" w:cs="Tahoma"/>
              </w:rPr>
            </w:pPr>
            <w:r w:rsidRPr="00A75DF9">
              <w:rPr>
                <w:rFonts w:ascii="Tahoma" w:hAnsi="Tahoma" w:cs="Tahoma"/>
              </w:rPr>
              <w:t>Sì</w:t>
            </w:r>
            <w:r w:rsidRPr="00A75DF9">
              <w:rPr>
                <w:rFonts w:ascii="Tahoma" w:hAnsi="Tahoma" w:cs="Tahoma"/>
                <w:vertAlign w:val="superscript"/>
              </w:rPr>
              <w:t>1</w:t>
            </w:r>
          </w:p>
        </w:tc>
        <w:tc>
          <w:tcPr>
            <w:tcW w:w="1350" w:type="dxa"/>
            <w:tcBorders>
              <w:top w:val="single" w:sz="6" w:space="0" w:color="auto"/>
              <w:left w:val="single" w:sz="6" w:space="0" w:color="auto"/>
              <w:bottom w:val="single" w:sz="6" w:space="0" w:color="auto"/>
              <w:right w:val="single" w:sz="4" w:space="0" w:color="auto"/>
            </w:tcBorders>
            <w:vAlign w:val="center"/>
          </w:tcPr>
          <w:p w:rsidR="00870095" w:rsidRPr="00A75DF9" w:rsidRDefault="00870095" w:rsidP="00E06FE8">
            <w:pPr>
              <w:pStyle w:val="AppendixTableText"/>
              <w:rPr>
                <w:rFonts w:ascii="Tahoma" w:hAnsi="Tahoma" w:cs="Tahoma"/>
              </w:rPr>
            </w:pPr>
          </w:p>
        </w:tc>
        <w:tc>
          <w:tcPr>
            <w:tcW w:w="1980" w:type="dxa"/>
            <w:tcBorders>
              <w:top w:val="single" w:sz="6" w:space="0" w:color="auto"/>
              <w:left w:val="single" w:sz="6" w:space="0" w:color="auto"/>
              <w:bottom w:val="single" w:sz="6" w:space="0" w:color="auto"/>
              <w:right w:val="single" w:sz="4" w:space="0" w:color="auto"/>
            </w:tcBorders>
            <w:vAlign w:val="center"/>
          </w:tcPr>
          <w:p w:rsidR="00870095" w:rsidRPr="00A75DF9" w:rsidRDefault="00175615" w:rsidP="00E06FE8">
            <w:pPr>
              <w:pStyle w:val="AppendixTableText"/>
              <w:rPr>
                <w:rFonts w:ascii="Tahoma" w:hAnsi="Tahoma" w:cs="Tahoma"/>
              </w:rPr>
            </w:pPr>
            <w:r w:rsidRPr="00A75DF9">
              <w:rPr>
                <w:rFonts w:ascii="Tahoma" w:hAnsi="Tahoma" w:cs="Tahoma"/>
              </w:rPr>
              <w:t>Sì</w:t>
            </w:r>
          </w:p>
        </w:tc>
        <w:tc>
          <w:tcPr>
            <w:tcW w:w="1170" w:type="dxa"/>
            <w:tcBorders>
              <w:top w:val="single" w:sz="6" w:space="0" w:color="auto"/>
              <w:left w:val="single" w:sz="6" w:space="0" w:color="auto"/>
              <w:bottom w:val="single" w:sz="6" w:space="0" w:color="auto"/>
              <w:right w:val="single" w:sz="4" w:space="0" w:color="auto"/>
            </w:tcBorders>
            <w:vAlign w:val="center"/>
          </w:tcPr>
          <w:p w:rsidR="00870095" w:rsidRPr="00A75DF9" w:rsidRDefault="00870095" w:rsidP="00E06FE8">
            <w:pPr>
              <w:pStyle w:val="AppendixTableText"/>
              <w:rPr>
                <w:rFonts w:ascii="Tahoma" w:hAnsi="Tahoma" w:cs="Tahoma"/>
              </w:rPr>
            </w:pPr>
          </w:p>
        </w:tc>
      </w:tr>
      <w:tr w:rsidR="00175615" w:rsidRPr="00A75DF9" w:rsidTr="00036631">
        <w:trPr>
          <w:trHeight w:val="255"/>
        </w:trPr>
        <w:tc>
          <w:tcPr>
            <w:tcW w:w="2167" w:type="dxa"/>
            <w:tcBorders>
              <w:top w:val="single" w:sz="6" w:space="0" w:color="auto"/>
              <w:left w:val="single" w:sz="4" w:space="0" w:color="auto"/>
              <w:bottom w:val="single" w:sz="6" w:space="0" w:color="auto"/>
              <w:right w:val="single" w:sz="6" w:space="0" w:color="auto"/>
            </w:tcBorders>
            <w:vAlign w:val="bottom"/>
          </w:tcPr>
          <w:p w:rsidR="00175615" w:rsidRPr="00A75DF9" w:rsidRDefault="00175615">
            <w:pPr>
              <w:pStyle w:val="AppendixTableText"/>
              <w:jc w:val="left"/>
              <w:rPr>
                <w:rFonts w:ascii="Tahoma" w:hAnsi="Tahoma" w:cs="Tahoma"/>
              </w:rPr>
            </w:pPr>
            <w:r w:rsidRPr="00A75DF9">
              <w:rPr>
                <w:rFonts w:ascii="Tahoma" w:hAnsi="Tahoma" w:cs="Tahoma"/>
              </w:rPr>
              <w:t>Licenza “Subscription” per Windows Companion</w:t>
            </w:r>
          </w:p>
        </w:tc>
        <w:tc>
          <w:tcPr>
            <w:tcW w:w="1530" w:type="dxa"/>
            <w:tcBorders>
              <w:top w:val="single" w:sz="6" w:space="0" w:color="auto"/>
              <w:left w:val="single" w:sz="6" w:space="0" w:color="auto"/>
              <w:bottom w:val="single" w:sz="6" w:space="0" w:color="auto"/>
              <w:right w:val="single" w:sz="6" w:space="0" w:color="auto"/>
            </w:tcBorders>
            <w:vAlign w:val="center"/>
          </w:tcPr>
          <w:p w:rsidR="00175615" w:rsidRPr="00A75DF9" w:rsidRDefault="00175615" w:rsidP="00E06FE8">
            <w:pPr>
              <w:pStyle w:val="AppendixTableText"/>
              <w:rPr>
                <w:rFonts w:ascii="Tahoma" w:hAnsi="Tahoma" w:cs="Tahoma"/>
              </w:rPr>
            </w:pPr>
          </w:p>
        </w:tc>
        <w:tc>
          <w:tcPr>
            <w:tcW w:w="1530" w:type="dxa"/>
            <w:tcBorders>
              <w:top w:val="single" w:sz="6" w:space="0" w:color="auto"/>
              <w:left w:val="single" w:sz="6" w:space="0" w:color="auto"/>
              <w:bottom w:val="single" w:sz="6" w:space="0" w:color="auto"/>
              <w:right w:val="single" w:sz="6" w:space="0" w:color="auto"/>
            </w:tcBorders>
            <w:vAlign w:val="center"/>
          </w:tcPr>
          <w:p w:rsidR="00175615" w:rsidRPr="00A75DF9" w:rsidRDefault="00175615" w:rsidP="00E06FE8">
            <w:pPr>
              <w:pStyle w:val="AppendixTableText"/>
              <w:rPr>
                <w:rFonts w:ascii="Tahoma" w:hAnsi="Tahoma" w:cs="Tahoma"/>
              </w:rPr>
            </w:pPr>
            <w:r w:rsidRPr="00A75DF9">
              <w:rPr>
                <w:rFonts w:ascii="Tahoma" w:hAnsi="Tahoma" w:cs="Tahoma"/>
              </w:rPr>
              <w:t>Sì</w:t>
            </w:r>
            <w:r w:rsidRPr="00A75DF9">
              <w:rPr>
                <w:rFonts w:ascii="Tahoma" w:hAnsi="Tahoma" w:cs="Tahoma"/>
                <w:vertAlign w:val="superscript"/>
              </w:rPr>
              <w:t>1</w:t>
            </w:r>
          </w:p>
        </w:tc>
        <w:tc>
          <w:tcPr>
            <w:tcW w:w="1350" w:type="dxa"/>
            <w:tcBorders>
              <w:top w:val="single" w:sz="6" w:space="0" w:color="auto"/>
              <w:left w:val="single" w:sz="6" w:space="0" w:color="auto"/>
              <w:bottom w:val="single" w:sz="6" w:space="0" w:color="auto"/>
              <w:right w:val="single" w:sz="4" w:space="0" w:color="auto"/>
            </w:tcBorders>
            <w:vAlign w:val="center"/>
          </w:tcPr>
          <w:p w:rsidR="00175615" w:rsidRPr="00A75DF9" w:rsidRDefault="00175615" w:rsidP="00E06FE8">
            <w:pPr>
              <w:pStyle w:val="AppendixTableText"/>
              <w:rPr>
                <w:rFonts w:ascii="Tahoma" w:hAnsi="Tahoma" w:cs="Tahoma"/>
              </w:rPr>
            </w:pPr>
          </w:p>
        </w:tc>
        <w:tc>
          <w:tcPr>
            <w:tcW w:w="1980" w:type="dxa"/>
            <w:tcBorders>
              <w:top w:val="single" w:sz="6" w:space="0" w:color="auto"/>
              <w:left w:val="single" w:sz="6" w:space="0" w:color="auto"/>
              <w:bottom w:val="single" w:sz="6" w:space="0" w:color="auto"/>
              <w:right w:val="single" w:sz="4" w:space="0" w:color="auto"/>
            </w:tcBorders>
            <w:vAlign w:val="center"/>
          </w:tcPr>
          <w:p w:rsidR="00175615" w:rsidRPr="00A75DF9" w:rsidRDefault="00175615" w:rsidP="00E06FE8">
            <w:pPr>
              <w:pStyle w:val="AppendixTableText"/>
              <w:rPr>
                <w:rFonts w:ascii="Tahoma" w:hAnsi="Tahoma" w:cs="Tahoma"/>
              </w:rPr>
            </w:pPr>
            <w:r w:rsidRPr="00A75DF9">
              <w:rPr>
                <w:rFonts w:ascii="Tahoma" w:hAnsi="Tahoma" w:cs="Tahoma"/>
              </w:rPr>
              <w:t>Sì</w:t>
            </w:r>
          </w:p>
        </w:tc>
        <w:tc>
          <w:tcPr>
            <w:tcW w:w="1170" w:type="dxa"/>
            <w:tcBorders>
              <w:top w:val="single" w:sz="6" w:space="0" w:color="auto"/>
              <w:left w:val="single" w:sz="6" w:space="0" w:color="auto"/>
              <w:bottom w:val="single" w:sz="6" w:space="0" w:color="auto"/>
              <w:right w:val="single" w:sz="4" w:space="0" w:color="auto"/>
            </w:tcBorders>
            <w:vAlign w:val="center"/>
          </w:tcPr>
          <w:p w:rsidR="00175615" w:rsidRPr="00A75DF9" w:rsidRDefault="00175615" w:rsidP="00E06FE8">
            <w:pPr>
              <w:pStyle w:val="AppendixTableText"/>
              <w:rPr>
                <w:rFonts w:ascii="Tahoma" w:hAnsi="Tahoma" w:cs="Tahoma"/>
              </w:rPr>
            </w:pPr>
          </w:p>
        </w:tc>
      </w:tr>
    </w:tbl>
    <w:p w:rsidR="00023FE7" w:rsidRPr="00036631" w:rsidRDefault="00023FE7">
      <w:pPr>
        <w:pStyle w:val="AppendixBodyText"/>
        <w:ind w:right="180"/>
        <w:rPr>
          <w:rFonts w:ascii="Tahoma" w:hAnsi="Tahoma" w:cs="Tahoma"/>
          <w:sz w:val="16"/>
          <w:szCs w:val="16"/>
        </w:rPr>
      </w:pPr>
      <w:r w:rsidRPr="00036631">
        <w:rPr>
          <w:rFonts w:ascii="Tahoma" w:hAnsi="Tahoma" w:cs="Tahoma"/>
          <w:i/>
          <w:sz w:val="16"/>
          <w:szCs w:val="16"/>
        </w:rPr>
        <w:t>*Sì nella tabella significa Partecipazione a Software Assurance. L</w:t>
      </w:r>
      <w:r w:rsidR="00F2643E">
        <w:rPr>
          <w:rFonts w:ascii="Tahoma" w:hAnsi="Tahoma" w:cs="Tahoma"/>
          <w:i/>
          <w:sz w:val="16"/>
          <w:szCs w:val="16"/>
        </w:rPr>
        <w:t>’</w:t>
      </w:r>
      <w:r w:rsidRPr="00036631">
        <w:rPr>
          <w:rFonts w:ascii="Tahoma" w:hAnsi="Tahoma" w:cs="Tahoma"/>
          <w:i/>
          <w:sz w:val="16"/>
          <w:szCs w:val="16"/>
        </w:rPr>
        <w:t>acquisto di Software Assurance, la spesa SA per i prodotti qualificanti all</w:t>
      </w:r>
      <w:r w:rsidR="00F2643E">
        <w:rPr>
          <w:rFonts w:ascii="Tahoma" w:hAnsi="Tahoma" w:cs="Tahoma"/>
          <w:i/>
          <w:sz w:val="16"/>
          <w:szCs w:val="16"/>
        </w:rPr>
        <w:t>’</w:t>
      </w:r>
      <w:r w:rsidRPr="00036631">
        <w:rPr>
          <w:rFonts w:ascii="Tahoma" w:hAnsi="Tahoma" w:cs="Tahoma"/>
          <w:i/>
          <w:sz w:val="16"/>
          <w:szCs w:val="16"/>
        </w:rPr>
        <w:t>interno del pool indicato o l</w:t>
      </w:r>
      <w:r w:rsidR="00F2643E">
        <w:rPr>
          <w:rFonts w:ascii="Tahoma" w:hAnsi="Tahoma" w:cs="Tahoma"/>
          <w:i/>
          <w:sz w:val="16"/>
          <w:szCs w:val="16"/>
        </w:rPr>
        <w:t>’</w:t>
      </w:r>
      <w:r w:rsidRPr="00036631">
        <w:rPr>
          <w:rFonts w:ascii="Tahoma" w:hAnsi="Tahoma" w:cs="Tahoma"/>
          <w:i/>
          <w:sz w:val="16"/>
          <w:szCs w:val="16"/>
        </w:rPr>
        <w:t>acquisto di famiglie di prodotti Windows Intune (Per Dispositivo)/Office 365 qualificanti rendono idonea la società a ottenere il vantaggio.</w:t>
      </w:r>
    </w:p>
    <w:p w:rsidR="00023FE7" w:rsidRPr="00A75DF9" w:rsidRDefault="00023FE7">
      <w:pPr>
        <w:pStyle w:val="AppendixBodyText"/>
        <w:ind w:right="180"/>
        <w:rPr>
          <w:rFonts w:ascii="Tahoma" w:hAnsi="Tahoma" w:cs="Tahoma"/>
        </w:rPr>
      </w:pPr>
      <w:r w:rsidRPr="00A75DF9">
        <w:rPr>
          <w:rFonts w:ascii="Tahoma" w:hAnsi="Tahoma" w:cs="Tahoma"/>
          <w:i/>
          <w:sz w:val="16"/>
          <w:szCs w:val="16"/>
        </w:rPr>
        <w:t>*Microsoft potrà trattenere o interrompere, in qualsiasi momento, i vantaggi relativi alla Partecipazione a Software Assurance disponibili ai sensi della quarta iscrizione e di ogni iscrizione successiva in base al medesimo contratto Select, qualora tale azione sia ragionevole dal punto di vista commerciale.</w:t>
      </w:r>
    </w:p>
    <w:p w:rsidR="00023FE7" w:rsidRPr="00A75DF9" w:rsidRDefault="00302B84" w:rsidP="0063466C">
      <w:pPr>
        <w:pStyle w:val="AppendixBodyText"/>
        <w:spacing w:after="0"/>
        <w:rPr>
          <w:rFonts w:ascii="Tahoma" w:hAnsi="Tahoma" w:cs="Tahoma"/>
        </w:rPr>
      </w:pPr>
      <w:r w:rsidRPr="00A75DF9">
        <w:rPr>
          <w:rFonts w:ascii="Tahoma" w:hAnsi="Tahoma" w:cs="Tahoma"/>
          <w:i/>
          <w:sz w:val="16"/>
        </w:rPr>
        <w:t>***Generalmente, le offerte di sottoscrizione che includono componenti software che contengono software con versione includeranno i diritti delle nuove versioni per tali componenti.</w:t>
      </w:r>
    </w:p>
    <w:p w:rsidR="00E0729E" w:rsidRPr="00A75DF9" w:rsidRDefault="00E0729E" w:rsidP="00E0729E">
      <w:pPr>
        <w:pStyle w:val="AppendixBodyText"/>
        <w:spacing w:after="0"/>
        <w:rPr>
          <w:rFonts w:ascii="Tahoma" w:hAnsi="Tahoma" w:cs="Tahoma"/>
        </w:rPr>
      </w:pPr>
      <w:r w:rsidRPr="00A75DF9">
        <w:rPr>
          <w:rFonts w:ascii="Tahoma" w:hAnsi="Tahoma" w:cs="Tahoma"/>
          <w:vertAlign w:val="superscript"/>
        </w:rPr>
        <w:t>1</w:t>
      </w:r>
      <w:r w:rsidRPr="00A75DF9">
        <w:rPr>
          <w:rFonts w:ascii="Tahoma" w:hAnsi="Tahoma" w:cs="Tahoma"/>
          <w:i/>
          <w:sz w:val="16"/>
        </w:rPr>
        <w:t>Non è un vantaggio SA per i prodotti Windows Embedded 8.</w:t>
      </w:r>
    </w:p>
    <w:p w:rsidR="00E0729E" w:rsidRPr="00A75DF9" w:rsidRDefault="00E0729E" w:rsidP="00E0729E">
      <w:pPr>
        <w:pStyle w:val="AppendixBodyText"/>
        <w:spacing w:after="0"/>
        <w:rPr>
          <w:rFonts w:ascii="Tahoma" w:hAnsi="Tahoma" w:cs="Tahoma"/>
        </w:rPr>
      </w:pPr>
      <w:r w:rsidRPr="00A75DF9">
        <w:rPr>
          <w:rFonts w:ascii="Tahoma" w:hAnsi="Tahoma" w:cs="Tahoma"/>
          <w:vertAlign w:val="superscript"/>
        </w:rPr>
        <w:t>2</w:t>
      </w:r>
      <w:r w:rsidRPr="00A75DF9">
        <w:rPr>
          <w:rFonts w:ascii="Tahoma" w:hAnsi="Tahoma" w:cs="Tahoma"/>
          <w:i/>
          <w:sz w:val="16"/>
        </w:rPr>
        <w:t>SA per i prodotti Windows Embedded 8 concede diritti di virtualizzazione locali, ma non l</w:t>
      </w:r>
      <w:r w:rsidR="00F2643E">
        <w:rPr>
          <w:rFonts w:ascii="Tahoma" w:hAnsi="Tahoma" w:cs="Tahoma"/>
          <w:i/>
          <w:sz w:val="16"/>
        </w:rPr>
        <w:t>’</w:t>
      </w:r>
      <w:r w:rsidRPr="00A75DF9">
        <w:rPr>
          <w:rFonts w:ascii="Tahoma" w:hAnsi="Tahoma" w:cs="Tahoma"/>
          <w:i/>
          <w:sz w:val="16"/>
        </w:rPr>
        <w:t>accesso a istanze virtualizzate remote del software.</w:t>
      </w:r>
    </w:p>
    <w:p w:rsidR="00F76ED4" w:rsidRPr="00A75DF9" w:rsidRDefault="00F76ED4">
      <w:pPr>
        <w:rPr>
          <w:rFonts w:cs="Tahoma"/>
        </w:rPr>
      </w:pPr>
      <w:r w:rsidRPr="00A75DF9">
        <w:rPr>
          <w:rFonts w:cs="Tahoma"/>
        </w:rPr>
        <w:br w:type="page"/>
      </w:r>
    </w:p>
    <w:tbl>
      <w:tblPr>
        <w:tblW w:w="0" w:type="auto"/>
        <w:tblInd w:w="65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1E0" w:firstRow="1" w:lastRow="1" w:firstColumn="1" w:lastColumn="1" w:noHBand="0" w:noVBand="0"/>
      </w:tblPr>
      <w:tblGrid>
        <w:gridCol w:w="8280"/>
      </w:tblGrid>
      <w:tr w:rsidR="00AD6AD6" w:rsidRPr="00A75DF9" w:rsidTr="0044720D">
        <w:trPr>
          <w:trHeight w:val="60"/>
        </w:trPr>
        <w:tc>
          <w:tcPr>
            <w:tcW w:w="8280" w:type="dxa"/>
            <w:shd w:val="clear" w:color="auto" w:fill="FFCC99"/>
            <w:vAlign w:val="center"/>
          </w:tcPr>
          <w:p w:rsidR="00AD6AD6" w:rsidRPr="00A75DF9" w:rsidRDefault="00AD6AD6" w:rsidP="004B54F7">
            <w:pPr>
              <w:pStyle w:val="AppendixTableHeadings"/>
              <w:rPr>
                <w:rFonts w:ascii="Tahoma" w:hAnsi="Tahoma" w:cs="Tahoma"/>
                <w:sz w:val="20"/>
                <w:szCs w:val="20"/>
              </w:rPr>
            </w:pPr>
            <w:r w:rsidRPr="00A75DF9">
              <w:rPr>
                <w:rFonts w:ascii="Tahoma" w:hAnsi="Tahoma" w:cs="Tahoma"/>
                <w:sz w:val="20"/>
                <w:szCs w:val="20"/>
              </w:rPr>
              <w:lastRenderedPageBreak/>
              <w:t>Prodotti del Pool di Applicazioni Office System</w:t>
            </w:r>
          </w:p>
        </w:tc>
      </w:tr>
      <w:tr w:rsidR="00AD6AD6" w:rsidRPr="00A75DF9" w:rsidTr="0044720D">
        <w:trPr>
          <w:trHeight w:val="438"/>
        </w:trPr>
        <w:tc>
          <w:tcPr>
            <w:tcW w:w="8280" w:type="dxa"/>
            <w:vAlign w:val="center"/>
          </w:tcPr>
          <w:p w:rsidR="00AD6AD6" w:rsidRPr="00A75DF9" w:rsidRDefault="00AD6AD6" w:rsidP="004B54F7">
            <w:pPr>
              <w:spacing w:line="240" w:lineRule="atLeast"/>
              <w:rPr>
                <w:rFonts w:cs="Tahoma"/>
              </w:rPr>
            </w:pPr>
            <w:r w:rsidRPr="00A75DF9">
              <w:rPr>
                <w:rFonts w:cs="Tahoma"/>
                <w:color w:val="000000"/>
                <w:szCs w:val="18"/>
              </w:rPr>
              <w:t>Office Standard 2013</w:t>
            </w:r>
          </w:p>
          <w:p w:rsidR="00AD6AD6" w:rsidRPr="00A75DF9" w:rsidRDefault="00AD6AD6" w:rsidP="004B54F7">
            <w:pPr>
              <w:spacing w:line="240" w:lineRule="atLeast"/>
              <w:rPr>
                <w:rFonts w:cs="Tahoma"/>
              </w:rPr>
            </w:pPr>
            <w:r w:rsidRPr="00A75DF9">
              <w:rPr>
                <w:rFonts w:cs="Tahoma"/>
                <w:color w:val="000000"/>
                <w:szCs w:val="18"/>
              </w:rPr>
              <w:t xml:space="preserve">Office Professional Plus 2013 </w:t>
            </w:r>
          </w:p>
          <w:p w:rsidR="00AD6AD6" w:rsidRPr="00A75DF9" w:rsidRDefault="00AD6AD6" w:rsidP="004B54F7">
            <w:pPr>
              <w:spacing w:line="240" w:lineRule="atLeast"/>
              <w:rPr>
                <w:rFonts w:cs="Tahoma"/>
              </w:rPr>
            </w:pPr>
            <w:r w:rsidRPr="00A75DF9">
              <w:rPr>
                <w:rFonts w:cs="Tahoma"/>
                <w:color w:val="000000"/>
                <w:szCs w:val="18"/>
              </w:rPr>
              <w:t>Project Standard 2013</w:t>
            </w:r>
          </w:p>
          <w:p w:rsidR="00AD6AD6" w:rsidRPr="00A75DF9" w:rsidRDefault="00AD6AD6" w:rsidP="004B54F7">
            <w:pPr>
              <w:spacing w:line="240" w:lineRule="atLeast"/>
              <w:rPr>
                <w:rFonts w:cs="Tahoma"/>
              </w:rPr>
            </w:pPr>
            <w:r w:rsidRPr="00A75DF9">
              <w:rPr>
                <w:rFonts w:cs="Tahoma"/>
                <w:color w:val="000000"/>
                <w:szCs w:val="18"/>
              </w:rPr>
              <w:t>Project Professional 2013</w:t>
            </w:r>
          </w:p>
          <w:p w:rsidR="00AD6AD6" w:rsidRPr="00A75DF9" w:rsidRDefault="00AD6AD6" w:rsidP="004B54F7">
            <w:pPr>
              <w:spacing w:line="240" w:lineRule="atLeast"/>
              <w:rPr>
                <w:rFonts w:cs="Tahoma"/>
              </w:rPr>
            </w:pPr>
            <w:r w:rsidRPr="00A75DF9">
              <w:rPr>
                <w:rFonts w:cs="Tahoma"/>
                <w:color w:val="000000"/>
                <w:szCs w:val="18"/>
              </w:rPr>
              <w:t>Visio</w:t>
            </w:r>
            <w:r w:rsidR="009D5D7B" w:rsidRPr="00A75DF9">
              <w:rPr>
                <w:rFonts w:cs="Tahoma"/>
                <w:color w:val="000000"/>
                <w:szCs w:val="18"/>
                <w:vertAlign w:val="superscript"/>
              </w:rPr>
              <w:t>®</w:t>
            </w:r>
            <w:r w:rsidRPr="00A75DF9">
              <w:rPr>
                <w:rFonts w:cs="Tahoma"/>
                <w:color w:val="000000"/>
                <w:szCs w:val="18"/>
              </w:rPr>
              <w:t xml:space="preserve"> Standard 2013</w:t>
            </w:r>
          </w:p>
          <w:p w:rsidR="00AD6AD6" w:rsidRPr="00A75DF9" w:rsidRDefault="00AD6AD6" w:rsidP="004B54F7">
            <w:pPr>
              <w:spacing w:line="240" w:lineRule="atLeast"/>
              <w:rPr>
                <w:rFonts w:cs="Tahoma"/>
              </w:rPr>
            </w:pPr>
            <w:r w:rsidRPr="00A75DF9">
              <w:rPr>
                <w:rFonts w:cs="Tahoma"/>
                <w:color w:val="000000"/>
                <w:szCs w:val="18"/>
              </w:rPr>
              <w:t>Visio</w:t>
            </w:r>
            <w:r w:rsidR="009D5D7B" w:rsidRPr="00A75DF9">
              <w:rPr>
                <w:rFonts w:cs="Tahoma"/>
                <w:color w:val="000000"/>
                <w:szCs w:val="18"/>
                <w:vertAlign w:val="superscript"/>
              </w:rPr>
              <w:t>®</w:t>
            </w:r>
            <w:r w:rsidRPr="00A75DF9">
              <w:rPr>
                <w:rFonts w:cs="Tahoma"/>
                <w:color w:val="000000"/>
                <w:szCs w:val="18"/>
              </w:rPr>
              <w:t xml:space="preserve"> Professional 2013</w:t>
            </w:r>
          </w:p>
          <w:p w:rsidR="00AD6AD6" w:rsidRPr="00A75DF9" w:rsidRDefault="00AD6AD6" w:rsidP="004B54F7">
            <w:pPr>
              <w:spacing w:line="240" w:lineRule="atLeast"/>
              <w:rPr>
                <w:rFonts w:cs="Tahoma"/>
              </w:rPr>
            </w:pPr>
            <w:r w:rsidRPr="00A75DF9">
              <w:rPr>
                <w:rFonts w:cs="Tahoma"/>
                <w:color w:val="000000"/>
                <w:szCs w:val="18"/>
              </w:rPr>
              <w:t>Access 2013</w:t>
            </w:r>
          </w:p>
          <w:p w:rsidR="00AD6AD6" w:rsidRPr="00A75DF9" w:rsidRDefault="00AD6AD6" w:rsidP="004B54F7">
            <w:pPr>
              <w:spacing w:line="240" w:lineRule="atLeast"/>
              <w:rPr>
                <w:rFonts w:cs="Tahoma"/>
              </w:rPr>
            </w:pPr>
            <w:r w:rsidRPr="00A75DF9">
              <w:rPr>
                <w:rFonts w:cs="Tahoma"/>
                <w:color w:val="000000"/>
                <w:szCs w:val="18"/>
              </w:rPr>
              <w:t xml:space="preserve">Excel 2013 </w:t>
            </w:r>
          </w:p>
          <w:p w:rsidR="00AD6AD6" w:rsidRPr="00A75DF9" w:rsidRDefault="00AD6AD6" w:rsidP="004B54F7">
            <w:pPr>
              <w:spacing w:line="240" w:lineRule="atLeast"/>
              <w:rPr>
                <w:rFonts w:cs="Tahoma"/>
              </w:rPr>
            </w:pPr>
            <w:r w:rsidRPr="00A75DF9">
              <w:rPr>
                <w:rFonts w:cs="Tahoma"/>
                <w:color w:val="000000"/>
                <w:szCs w:val="18"/>
              </w:rPr>
              <w:t>InfoPath</w:t>
            </w:r>
            <w:r w:rsidR="009D5D7B" w:rsidRPr="00A75DF9">
              <w:rPr>
                <w:rFonts w:cs="Tahoma"/>
                <w:color w:val="000000"/>
                <w:szCs w:val="18"/>
                <w:vertAlign w:val="superscript"/>
              </w:rPr>
              <w:t>®</w:t>
            </w:r>
            <w:r w:rsidRPr="00A75DF9">
              <w:rPr>
                <w:rFonts w:cs="Tahoma"/>
                <w:color w:val="000000"/>
                <w:szCs w:val="18"/>
              </w:rPr>
              <w:t xml:space="preserve"> 2013</w:t>
            </w:r>
          </w:p>
          <w:p w:rsidR="00AD6AD6" w:rsidRPr="00A75DF9" w:rsidRDefault="00AD6AD6" w:rsidP="004B54F7">
            <w:pPr>
              <w:spacing w:line="240" w:lineRule="atLeast"/>
              <w:rPr>
                <w:rFonts w:cs="Tahoma"/>
              </w:rPr>
            </w:pPr>
            <w:r w:rsidRPr="00A75DF9">
              <w:rPr>
                <w:rFonts w:cs="Tahoma"/>
                <w:color w:val="000000"/>
                <w:szCs w:val="18"/>
              </w:rPr>
              <w:t>Lync 2013</w:t>
            </w:r>
          </w:p>
          <w:p w:rsidR="00AD6AD6" w:rsidRPr="00A75DF9" w:rsidRDefault="00AD6AD6" w:rsidP="004B54F7">
            <w:pPr>
              <w:spacing w:line="240" w:lineRule="atLeast"/>
              <w:rPr>
                <w:rFonts w:cs="Tahoma"/>
              </w:rPr>
            </w:pPr>
            <w:r w:rsidRPr="00A75DF9">
              <w:rPr>
                <w:rFonts w:cs="Tahoma"/>
                <w:color w:val="000000"/>
                <w:szCs w:val="18"/>
              </w:rPr>
              <w:t>OneNote™ 2013</w:t>
            </w:r>
          </w:p>
          <w:p w:rsidR="00AD6AD6" w:rsidRPr="00A75DF9" w:rsidRDefault="00AD6AD6" w:rsidP="004B54F7">
            <w:pPr>
              <w:spacing w:line="240" w:lineRule="atLeast"/>
              <w:rPr>
                <w:rFonts w:cs="Tahoma"/>
              </w:rPr>
            </w:pPr>
            <w:r w:rsidRPr="00A75DF9">
              <w:rPr>
                <w:rFonts w:cs="Tahoma"/>
                <w:color w:val="000000"/>
                <w:szCs w:val="18"/>
              </w:rPr>
              <w:t>Outlook</w:t>
            </w:r>
            <w:r w:rsidR="009D5D7B" w:rsidRPr="00A75DF9">
              <w:rPr>
                <w:rFonts w:cs="Tahoma"/>
                <w:color w:val="000000"/>
                <w:szCs w:val="18"/>
                <w:vertAlign w:val="superscript"/>
              </w:rPr>
              <w:t>®</w:t>
            </w:r>
            <w:r w:rsidRPr="00A75DF9">
              <w:rPr>
                <w:rFonts w:cs="Tahoma"/>
                <w:color w:val="000000"/>
                <w:szCs w:val="18"/>
              </w:rPr>
              <w:t xml:space="preserve"> 2013</w:t>
            </w:r>
          </w:p>
          <w:p w:rsidR="00AD6AD6" w:rsidRPr="00A75DF9" w:rsidRDefault="00AD6AD6" w:rsidP="004B54F7">
            <w:pPr>
              <w:spacing w:line="240" w:lineRule="atLeast"/>
              <w:rPr>
                <w:rFonts w:cs="Tahoma"/>
              </w:rPr>
            </w:pPr>
            <w:r w:rsidRPr="00A75DF9">
              <w:rPr>
                <w:rFonts w:cs="Tahoma"/>
                <w:color w:val="000000"/>
                <w:szCs w:val="18"/>
              </w:rPr>
              <w:t>PowerPoint</w:t>
            </w:r>
            <w:r w:rsidR="009D5D7B" w:rsidRPr="00A75DF9">
              <w:rPr>
                <w:rFonts w:cs="Tahoma"/>
                <w:color w:val="000000"/>
                <w:szCs w:val="18"/>
                <w:vertAlign w:val="superscript"/>
              </w:rPr>
              <w:t>®</w:t>
            </w:r>
            <w:r w:rsidRPr="00A75DF9">
              <w:rPr>
                <w:rFonts w:cs="Tahoma"/>
                <w:color w:val="000000"/>
                <w:szCs w:val="18"/>
              </w:rPr>
              <w:t xml:space="preserve"> 2013</w:t>
            </w:r>
          </w:p>
          <w:p w:rsidR="00AD6AD6" w:rsidRPr="00A75DF9" w:rsidRDefault="00AD6AD6" w:rsidP="004B54F7">
            <w:pPr>
              <w:spacing w:line="240" w:lineRule="atLeast"/>
              <w:rPr>
                <w:rFonts w:cs="Tahoma"/>
              </w:rPr>
            </w:pPr>
            <w:r w:rsidRPr="00A75DF9">
              <w:rPr>
                <w:rFonts w:cs="Tahoma"/>
                <w:color w:val="000000"/>
                <w:szCs w:val="18"/>
              </w:rPr>
              <w:t>Publisher 2013</w:t>
            </w:r>
          </w:p>
          <w:p w:rsidR="00AD6AD6" w:rsidRPr="00A75DF9" w:rsidRDefault="00AD6AD6" w:rsidP="004B54F7">
            <w:pPr>
              <w:spacing w:line="240" w:lineRule="atLeast"/>
              <w:rPr>
                <w:rFonts w:cs="Tahoma"/>
              </w:rPr>
            </w:pPr>
            <w:r w:rsidRPr="00A75DF9">
              <w:rPr>
                <w:rFonts w:cs="Tahoma"/>
                <w:color w:val="000000"/>
                <w:szCs w:val="18"/>
              </w:rPr>
              <w:t>Word 2013</w:t>
            </w:r>
          </w:p>
          <w:p w:rsidR="00AD6AD6" w:rsidRPr="00A75DF9" w:rsidRDefault="00AD6AD6" w:rsidP="004B54F7">
            <w:pPr>
              <w:spacing w:line="240" w:lineRule="atLeast"/>
              <w:rPr>
                <w:rFonts w:cs="Tahoma"/>
              </w:rPr>
            </w:pPr>
            <w:r w:rsidRPr="00A75DF9">
              <w:rPr>
                <w:rFonts w:cs="Tahoma"/>
                <w:color w:val="000000"/>
                <w:szCs w:val="18"/>
              </w:rPr>
              <w:t xml:space="preserve">Office per Mac Standard 2011 </w:t>
            </w:r>
          </w:p>
          <w:p w:rsidR="00AD6AD6" w:rsidRPr="00A75DF9" w:rsidRDefault="00AD6AD6" w:rsidP="004B54F7">
            <w:pPr>
              <w:spacing w:line="240" w:lineRule="atLeast"/>
              <w:rPr>
                <w:rFonts w:cs="Tahoma"/>
              </w:rPr>
            </w:pPr>
            <w:r w:rsidRPr="00A75DF9">
              <w:rPr>
                <w:rFonts w:cs="Tahoma"/>
                <w:color w:val="000000"/>
                <w:szCs w:val="18"/>
              </w:rPr>
              <w:t>Lync per Mac 2011</w:t>
            </w:r>
          </w:p>
          <w:p w:rsidR="00061A45" w:rsidRPr="00A75DF9" w:rsidRDefault="007C4ADB" w:rsidP="004B54F7">
            <w:pPr>
              <w:spacing w:line="240" w:lineRule="atLeast"/>
              <w:rPr>
                <w:rFonts w:cs="Tahoma"/>
              </w:rPr>
            </w:pPr>
            <w:r w:rsidRPr="00A75DF9">
              <w:rPr>
                <w:rFonts w:cs="Tahoma"/>
                <w:color w:val="000000"/>
                <w:szCs w:val="18"/>
              </w:rPr>
              <w:t>Outlook per Mac 2011</w:t>
            </w:r>
          </w:p>
          <w:p w:rsidR="00AD6AD6" w:rsidRPr="00A75DF9" w:rsidRDefault="00AD6AD6" w:rsidP="004B54F7">
            <w:pPr>
              <w:spacing w:line="240" w:lineRule="atLeast"/>
              <w:rPr>
                <w:rFonts w:cs="Tahoma"/>
              </w:rPr>
            </w:pPr>
            <w:r w:rsidRPr="00A75DF9">
              <w:rPr>
                <w:rFonts w:cs="Tahoma"/>
                <w:color w:val="000000"/>
                <w:szCs w:val="18"/>
              </w:rPr>
              <w:t>Powerpoint per Mac 2011</w:t>
            </w:r>
          </w:p>
          <w:p w:rsidR="00AD6AD6" w:rsidRPr="00A75DF9" w:rsidRDefault="00AD6AD6" w:rsidP="004B54F7">
            <w:pPr>
              <w:spacing w:line="240" w:lineRule="atLeast"/>
              <w:rPr>
                <w:rFonts w:cs="Tahoma"/>
              </w:rPr>
            </w:pPr>
            <w:r w:rsidRPr="00A75DF9">
              <w:rPr>
                <w:rFonts w:cs="Tahoma"/>
                <w:color w:val="000000"/>
                <w:szCs w:val="18"/>
              </w:rPr>
              <w:t>Excel per Mac 2011</w:t>
            </w:r>
          </w:p>
          <w:p w:rsidR="00AD6AD6" w:rsidRPr="00A75DF9" w:rsidRDefault="00AD6AD6" w:rsidP="004B54F7">
            <w:pPr>
              <w:spacing w:line="240" w:lineRule="atLeast"/>
              <w:rPr>
                <w:rFonts w:cs="Tahoma"/>
                <w:color w:val="000000"/>
                <w:szCs w:val="18"/>
              </w:rPr>
            </w:pPr>
            <w:r w:rsidRPr="00A75DF9">
              <w:rPr>
                <w:rFonts w:cs="Tahoma"/>
                <w:color w:val="000000"/>
                <w:szCs w:val="18"/>
              </w:rPr>
              <w:t>Word per Mac 2011</w:t>
            </w:r>
          </w:p>
        </w:tc>
      </w:tr>
    </w:tbl>
    <w:p w:rsidR="00D8064F" w:rsidRPr="00A75DF9" w:rsidRDefault="00AD6AD6" w:rsidP="0044720D">
      <w:pPr>
        <w:pStyle w:val="AppendixBodyText"/>
        <w:spacing w:after="0"/>
        <w:ind w:firstLine="550"/>
        <w:rPr>
          <w:rFonts w:ascii="Tahoma" w:hAnsi="Tahoma" w:cs="Tahoma"/>
        </w:rPr>
      </w:pPr>
      <w:r w:rsidRPr="00A75DF9">
        <w:rPr>
          <w:rFonts w:ascii="Tahoma" w:hAnsi="Tahoma" w:cs="Tahoma"/>
          <w:b/>
          <w:i/>
          <w:sz w:val="16"/>
          <w:szCs w:val="16"/>
        </w:rPr>
        <w:t>Nota:</w:t>
      </w:r>
      <w:r w:rsidRPr="00A75DF9">
        <w:rPr>
          <w:rFonts w:ascii="Tahoma" w:hAnsi="Tahoma" w:cs="Tahoma"/>
          <w:i/>
          <w:sz w:val="16"/>
          <w:szCs w:val="16"/>
        </w:rPr>
        <w:t xml:space="preserve"> la lista dei prodotti del Pool di Applicazioni Office System è soggetta a modifica.</w:t>
      </w:r>
    </w:p>
    <w:p w:rsidR="00BA0707" w:rsidRPr="00036631" w:rsidRDefault="00BA0707" w:rsidP="0063466C">
      <w:pPr>
        <w:pStyle w:val="AppendixBodyText"/>
        <w:spacing w:after="0"/>
        <w:rPr>
          <w:rFonts w:ascii="Tahoma" w:hAnsi="Tahoma" w:cs="Tahoma"/>
          <w:sz w:val="18"/>
          <w:szCs w:val="18"/>
        </w:rPr>
      </w:pPr>
    </w:p>
    <w:p w:rsidR="00023FE7" w:rsidRPr="00A75DF9" w:rsidRDefault="00023FE7">
      <w:pPr>
        <w:pStyle w:val="Heading2"/>
        <w:ind w:left="0"/>
        <w:rPr>
          <w:rFonts w:ascii="Tahoma" w:hAnsi="Tahoma" w:cs="Tahoma"/>
        </w:rPr>
      </w:pPr>
      <w:bookmarkStart w:id="722" w:name="_Toc336338228"/>
      <w:bookmarkStart w:id="723" w:name="_Toc368310219"/>
      <w:r w:rsidRPr="00A75DF9">
        <w:rPr>
          <w:rFonts w:ascii="Tahoma" w:hAnsi="Tahoma" w:cs="Tahoma"/>
        </w:rPr>
        <w:t>Diritti su Versioni Nuove</w:t>
      </w:r>
      <w:bookmarkEnd w:id="722"/>
      <w:bookmarkEnd w:id="723"/>
    </w:p>
    <w:p w:rsidR="00023FE7" w:rsidRPr="00A75DF9" w:rsidRDefault="00023FE7" w:rsidP="00BA0707">
      <w:pPr>
        <w:rPr>
          <w:rFonts w:cs="Tahoma"/>
        </w:rPr>
      </w:pPr>
    </w:p>
    <w:p w:rsidR="00023FE7" w:rsidRPr="00A75DF9" w:rsidRDefault="00023FE7" w:rsidP="0063466C">
      <w:pPr>
        <w:pStyle w:val="AppendixBodyText"/>
        <w:spacing w:after="0"/>
        <w:rPr>
          <w:rFonts w:ascii="Tahoma" w:hAnsi="Tahoma" w:cs="Tahoma"/>
        </w:rPr>
      </w:pPr>
      <w:r w:rsidRPr="00A75DF9">
        <w:rPr>
          <w:rFonts w:ascii="Tahoma" w:hAnsi="Tahoma" w:cs="Tahoma"/>
          <w:color w:val="000000"/>
          <w:sz w:val="18"/>
        </w:rPr>
        <w:t>Le società con copertura Software Assurance sono idonee ad effettuare l</w:t>
      </w:r>
      <w:r w:rsidR="00F2643E">
        <w:rPr>
          <w:rFonts w:ascii="Tahoma" w:hAnsi="Tahoma" w:cs="Tahoma"/>
          <w:color w:val="000000"/>
          <w:sz w:val="18"/>
        </w:rPr>
        <w:t>’</w:t>
      </w:r>
      <w:r w:rsidRPr="00A75DF9">
        <w:rPr>
          <w:rFonts w:ascii="Tahoma" w:hAnsi="Tahoma" w:cs="Tahoma"/>
          <w:color w:val="000000"/>
          <w:sz w:val="18"/>
        </w:rPr>
        <w:t>aggiornamento a nuove versioni del software con licenza reso disponibile durante il periodo di validità della copertura Software Assurance.</w:t>
      </w:r>
      <w:r w:rsidR="009D3B41" w:rsidRPr="00A75DF9">
        <w:rPr>
          <w:rFonts w:ascii="Tahoma" w:hAnsi="Tahoma" w:cs="Tahoma"/>
          <w:color w:val="000000"/>
          <w:sz w:val="18"/>
        </w:rPr>
        <w:t xml:space="preserve"> </w:t>
      </w:r>
      <w:r w:rsidRPr="00A75DF9">
        <w:rPr>
          <w:rFonts w:ascii="Tahoma" w:hAnsi="Tahoma" w:cs="Tahoma"/>
          <w:color w:val="000000"/>
          <w:sz w:val="18"/>
        </w:rPr>
        <w:t>Diritti su Versioni Nuove, in relazione al prodotto con licenza sottostante per il quale viene ordinata la copertura Software Assurance, significa il diritto di effettuare l</w:t>
      </w:r>
      <w:r w:rsidR="00F2643E">
        <w:rPr>
          <w:rFonts w:ascii="Tahoma" w:hAnsi="Tahoma" w:cs="Tahoma"/>
          <w:color w:val="000000"/>
          <w:sz w:val="18"/>
        </w:rPr>
        <w:t>’</w:t>
      </w:r>
      <w:r w:rsidRPr="00A75DF9">
        <w:rPr>
          <w:rFonts w:ascii="Tahoma" w:hAnsi="Tahoma" w:cs="Tahoma"/>
          <w:color w:val="000000"/>
          <w:sz w:val="18"/>
        </w:rPr>
        <w:t>aggiornamento e di eseguire al posto del prodotto con licenza sottostante l</w:t>
      </w:r>
      <w:r w:rsidR="00F2643E">
        <w:rPr>
          <w:rFonts w:ascii="Tahoma" w:hAnsi="Tahoma" w:cs="Tahoma"/>
          <w:color w:val="000000"/>
          <w:sz w:val="18"/>
        </w:rPr>
        <w:t>’</w:t>
      </w:r>
      <w:r w:rsidRPr="00A75DF9">
        <w:rPr>
          <w:rFonts w:ascii="Tahoma" w:hAnsi="Tahoma" w:cs="Tahoma"/>
          <w:color w:val="000000"/>
          <w:sz w:val="18"/>
        </w:rPr>
        <w:t>ultima versione di tale prodotto che Microsoft rende disponibile durante il periodo di copertura.</w:t>
      </w:r>
      <w:r w:rsidR="009D3B41" w:rsidRPr="00A75DF9">
        <w:rPr>
          <w:rFonts w:ascii="Tahoma" w:hAnsi="Tahoma" w:cs="Tahoma"/>
          <w:color w:val="000000"/>
          <w:sz w:val="18"/>
        </w:rPr>
        <w:t xml:space="preserve"> </w:t>
      </w:r>
      <w:r w:rsidRPr="00A75DF9">
        <w:rPr>
          <w:rFonts w:ascii="Tahoma" w:hAnsi="Tahoma" w:cs="Tahoma"/>
          <w:color w:val="000000"/>
          <w:sz w:val="18"/>
        </w:rPr>
        <w:t>Ad esempio, qualora una nuova versione di Microsoft Office venga resa disponibile durante il periodo di validità della copertura, le licenze verranno automaticamente aggiornate alla nuova versione. Le società che acquistano licenze perpetue tramite Software Assurance possono distribuire gli aggiornamenti dopo la scadenza della copertura.</w:t>
      </w:r>
    </w:p>
    <w:p w:rsidR="00BA0707" w:rsidRPr="00036631" w:rsidRDefault="00BA0707" w:rsidP="0063466C">
      <w:pPr>
        <w:pStyle w:val="AppendixBodyText"/>
        <w:spacing w:after="0"/>
        <w:rPr>
          <w:rFonts w:ascii="Tahoma" w:hAnsi="Tahoma" w:cs="Tahoma"/>
          <w:sz w:val="18"/>
          <w:szCs w:val="18"/>
        </w:rPr>
      </w:pPr>
    </w:p>
    <w:p w:rsidR="00023FE7" w:rsidRPr="00A75DF9" w:rsidRDefault="00023FE7">
      <w:pPr>
        <w:pStyle w:val="Heading2"/>
        <w:ind w:left="0"/>
        <w:rPr>
          <w:rFonts w:ascii="Tahoma" w:hAnsi="Tahoma" w:cs="Tahoma"/>
        </w:rPr>
      </w:pPr>
      <w:bookmarkStart w:id="724" w:name="_Toc336338229"/>
      <w:bookmarkStart w:id="725" w:name="_Toc368310220"/>
      <w:r w:rsidRPr="00A75DF9">
        <w:rPr>
          <w:rFonts w:ascii="Tahoma" w:hAnsi="Tahoma" w:cs="Tahoma"/>
        </w:rPr>
        <w:t>Office Multi Language Pack</w:t>
      </w:r>
      <w:bookmarkEnd w:id="724"/>
      <w:bookmarkEnd w:id="725"/>
    </w:p>
    <w:p w:rsidR="00023FE7" w:rsidRPr="00A75DF9" w:rsidRDefault="00023FE7" w:rsidP="00BA0707">
      <w:pPr>
        <w:rPr>
          <w:rFonts w:cs="Tahoma"/>
        </w:rPr>
      </w:pPr>
    </w:p>
    <w:p w:rsidR="0063466C" w:rsidRPr="00A75DF9" w:rsidRDefault="00E7419A" w:rsidP="0063466C">
      <w:pPr>
        <w:spacing w:after="60"/>
        <w:jc w:val="both"/>
        <w:rPr>
          <w:rFonts w:cs="Tahoma"/>
        </w:rPr>
      </w:pPr>
      <w:r w:rsidRPr="00A75DF9">
        <w:rPr>
          <w:rFonts w:cs="Tahoma"/>
          <w:b/>
          <w:szCs w:val="18"/>
        </w:rPr>
        <w:t>Società con Software Assurance</w:t>
      </w:r>
    </w:p>
    <w:p w:rsidR="00E7419A" w:rsidRPr="00A75DF9" w:rsidRDefault="00E7419A" w:rsidP="00E7419A">
      <w:pPr>
        <w:jc w:val="both"/>
        <w:rPr>
          <w:rFonts w:cs="Tahoma"/>
        </w:rPr>
      </w:pPr>
      <w:r w:rsidRPr="00A75DF9">
        <w:rPr>
          <w:rFonts w:cs="Tahoma"/>
          <w:szCs w:val="18"/>
        </w:rPr>
        <w:t>Le società con copertura Software Assurance attiva per i prodotti e le suite di Office System sono idonee a ricevere questo vantaggio durante il periodo di validità della copertura Software Assurance. Le società possono utilizzare l</w:t>
      </w:r>
      <w:r w:rsidR="00F2643E">
        <w:rPr>
          <w:rFonts w:cs="Tahoma"/>
          <w:szCs w:val="18"/>
        </w:rPr>
        <w:t>’</w:t>
      </w:r>
      <w:r w:rsidRPr="00A75DF9">
        <w:rPr>
          <w:rFonts w:cs="Tahoma"/>
          <w:szCs w:val="18"/>
        </w:rPr>
        <w:t>ultima versione di Office Multi Language Pack con le copie del software Office System che sono autorizzate a usare ai sensi di licenze qualificanti.</w:t>
      </w:r>
    </w:p>
    <w:p w:rsidR="0063466C" w:rsidRPr="00A75DF9" w:rsidRDefault="0063466C" w:rsidP="00E7419A">
      <w:pPr>
        <w:jc w:val="both"/>
        <w:rPr>
          <w:rFonts w:cs="Tahoma"/>
        </w:rPr>
      </w:pPr>
    </w:p>
    <w:p w:rsidR="0063466C" w:rsidRPr="00A75DF9" w:rsidRDefault="00E7419A" w:rsidP="0063466C">
      <w:pPr>
        <w:spacing w:after="60"/>
        <w:jc w:val="both"/>
        <w:rPr>
          <w:rFonts w:cs="Tahoma"/>
        </w:rPr>
      </w:pPr>
      <w:r w:rsidRPr="00A75DF9">
        <w:rPr>
          <w:rFonts w:cs="Tahoma"/>
          <w:b/>
          <w:szCs w:val="18"/>
        </w:rPr>
        <w:t>Società con i Vantaggi dei Servizi Online idonee</w:t>
      </w:r>
    </w:p>
    <w:p w:rsidR="00E7419A" w:rsidRPr="00A75DF9" w:rsidRDefault="00E7419A" w:rsidP="00E7419A">
      <w:pPr>
        <w:jc w:val="both"/>
        <w:rPr>
          <w:rFonts w:cs="Tahoma"/>
        </w:rPr>
      </w:pPr>
      <w:r w:rsidRPr="00A75DF9">
        <w:rPr>
          <w:rFonts w:cs="Tahoma"/>
          <w:szCs w:val="18"/>
        </w:rPr>
        <w:t>Le società con Office 365 ProPlus e Office 365 Enterprise E3 ed E4 sono idonee a ricevere questo vantaggio durante il periodo di validità dell</w:t>
      </w:r>
      <w:r w:rsidR="00F2643E">
        <w:rPr>
          <w:rFonts w:cs="Tahoma"/>
          <w:szCs w:val="18"/>
        </w:rPr>
        <w:t>’</w:t>
      </w:r>
      <w:r w:rsidRPr="00A75DF9">
        <w:rPr>
          <w:rFonts w:cs="Tahoma"/>
          <w:szCs w:val="18"/>
        </w:rPr>
        <w:t xml:space="preserve">iscrizione. </w:t>
      </w:r>
    </w:p>
    <w:p w:rsidR="00023FE7" w:rsidRPr="00A75DF9" w:rsidRDefault="00023FE7" w:rsidP="00BA0707">
      <w:pPr>
        <w:jc w:val="both"/>
        <w:rPr>
          <w:rFonts w:cs="Tahoma"/>
        </w:rPr>
      </w:pPr>
    </w:p>
    <w:p w:rsidR="00023FE7" w:rsidRPr="00A75DF9" w:rsidRDefault="00023FE7">
      <w:pPr>
        <w:jc w:val="both"/>
        <w:rPr>
          <w:rFonts w:cs="Tahoma"/>
        </w:rPr>
      </w:pPr>
      <w:r w:rsidRPr="00A75DF9">
        <w:rPr>
          <w:rFonts w:cs="Tahoma"/>
        </w:rPr>
        <w:t>Qualora il contratto di una società fornisca diritti perpetui di utilizzo del software ai sensi di licenze qualificanti, la società disporrà di un diritto perpetuo di utilizzo dell</w:t>
      </w:r>
      <w:r w:rsidR="00F2643E">
        <w:rPr>
          <w:rFonts w:cs="Tahoma"/>
        </w:rPr>
        <w:t>’</w:t>
      </w:r>
      <w:r w:rsidRPr="00A75DF9">
        <w:rPr>
          <w:rFonts w:cs="Tahoma"/>
        </w:rPr>
        <w:t>Office Multi Language Pack con tale software (una società può continuare a utilizzare il software Office Multi Language Pack con Office System ai sensi delle licenze qualificanti anche dopo la scadenza della copertura SA per tali licenze). Diversamente il diritto di utilizzare l</w:t>
      </w:r>
      <w:r w:rsidR="00F2643E">
        <w:rPr>
          <w:rFonts w:cs="Tahoma"/>
        </w:rPr>
        <w:t>’</w:t>
      </w:r>
      <w:r w:rsidRPr="00A75DF9">
        <w:rPr>
          <w:rFonts w:cs="Tahoma"/>
        </w:rPr>
        <w:t xml:space="preserve">Office Multi Language Pack cesserà alla scadenza dei diritti concessi dalla licenza qualificante per Office System. </w:t>
      </w:r>
    </w:p>
    <w:p w:rsidR="00BA0707" w:rsidRPr="00A75DF9" w:rsidRDefault="00BA0707" w:rsidP="00BA0707">
      <w:pPr>
        <w:jc w:val="both"/>
        <w:rPr>
          <w:rFonts w:cs="Tahoma"/>
        </w:rPr>
      </w:pPr>
    </w:p>
    <w:p w:rsidR="000D4ECA" w:rsidRPr="00A75DF9" w:rsidRDefault="000D4ECA" w:rsidP="0047054A">
      <w:pPr>
        <w:keepNext/>
        <w:outlineLvl w:val="1"/>
        <w:rPr>
          <w:rFonts w:cs="Tahoma"/>
        </w:rPr>
      </w:pPr>
      <w:bookmarkStart w:id="726" w:name="_Toc291204555"/>
      <w:r w:rsidRPr="00A75DF9">
        <w:rPr>
          <w:rFonts w:cs="Tahoma"/>
          <w:b/>
          <w:sz w:val="24"/>
          <w:szCs w:val="24"/>
        </w:rPr>
        <w:lastRenderedPageBreak/>
        <w:t>Planning Services</w:t>
      </w:r>
      <w:bookmarkEnd w:id="726"/>
    </w:p>
    <w:p w:rsidR="000D4ECA" w:rsidRPr="00A75DF9" w:rsidRDefault="000D4ECA" w:rsidP="0047054A">
      <w:pPr>
        <w:keepNext/>
        <w:rPr>
          <w:rFonts w:cs="Tahoma"/>
        </w:rPr>
      </w:pPr>
    </w:p>
    <w:p w:rsidR="000D4ECA" w:rsidRPr="00A75DF9" w:rsidRDefault="000D4ECA" w:rsidP="00036631">
      <w:pPr>
        <w:spacing w:after="60"/>
        <w:rPr>
          <w:rFonts w:cs="Tahoma"/>
        </w:rPr>
      </w:pPr>
      <w:r w:rsidRPr="00A75DF9">
        <w:rPr>
          <w:rFonts w:cs="Tahoma"/>
          <w:color w:val="000000"/>
          <w:szCs w:val="18"/>
        </w:rPr>
        <w:t>Le società che non siano società con Contratti Academic Select License, Select Plus for Academic, Campus e School e</w:t>
      </w:r>
      <w:r w:rsidR="00036631">
        <w:rPr>
          <w:rFonts w:cs="Tahoma"/>
          <w:color w:val="000000"/>
          <w:szCs w:val="18"/>
        </w:rPr>
        <w:t> </w:t>
      </w:r>
      <w:r w:rsidRPr="00A75DF9">
        <w:rPr>
          <w:rFonts w:cs="Tahoma"/>
          <w:color w:val="000000"/>
          <w:szCs w:val="18"/>
        </w:rPr>
        <w:t>Open Value Subscription - Education Solutions, ma con Partecipazione a Software Assurance nel Pool di Applicazioni e Server sono idonee a ricevere questo vantaggio.</w:t>
      </w:r>
      <w:r w:rsidR="009D3B41" w:rsidRPr="00A75DF9">
        <w:rPr>
          <w:rFonts w:cs="Tahoma"/>
          <w:color w:val="000000"/>
          <w:szCs w:val="18"/>
        </w:rPr>
        <w:t xml:space="preserve"> </w:t>
      </w:r>
      <w:r w:rsidRPr="00A75DF9">
        <w:rPr>
          <w:rFonts w:cs="Tahoma"/>
          <w:color w:val="000000"/>
          <w:szCs w:val="18"/>
        </w:rPr>
        <w:t>Il vantaggio Planning Services mette a disposizione delle società idonee offerte di servizi personalizzati predeterminati.</w:t>
      </w:r>
      <w:r w:rsidR="009D3B41" w:rsidRPr="00A75DF9">
        <w:rPr>
          <w:rFonts w:cs="Tahoma"/>
          <w:color w:val="000000"/>
          <w:szCs w:val="18"/>
        </w:rPr>
        <w:t xml:space="preserve"> </w:t>
      </w:r>
      <w:r w:rsidRPr="00A75DF9">
        <w:rPr>
          <w:rFonts w:cs="Tahoma"/>
          <w:color w:val="000000"/>
          <w:szCs w:val="18"/>
        </w:rPr>
        <w:t>Le offerte disponibili includono:</w:t>
      </w:r>
    </w:p>
    <w:p w:rsidR="000D4ECA" w:rsidRPr="00A75DF9" w:rsidRDefault="000D4ECA" w:rsidP="0063466C">
      <w:pPr>
        <w:rPr>
          <w:rFonts w:cs="Tahoma"/>
        </w:rPr>
      </w:pPr>
    </w:p>
    <w:p w:rsidR="000D4ECA" w:rsidRPr="00A75DF9" w:rsidRDefault="000D4ECA" w:rsidP="00024C3C">
      <w:pPr>
        <w:numPr>
          <w:ilvl w:val="0"/>
          <w:numId w:val="10"/>
        </w:numPr>
        <w:spacing w:after="60" w:line="276" w:lineRule="auto"/>
        <w:rPr>
          <w:rFonts w:cs="Tahoma"/>
        </w:rPr>
      </w:pPr>
      <w:r w:rsidRPr="00A75DF9">
        <w:rPr>
          <w:rFonts w:cs="Tahoma"/>
          <w:color w:val="000000"/>
          <w:szCs w:val="18"/>
        </w:rPr>
        <w:t>Desktop Deployment Planning Services (DDPS)</w:t>
      </w:r>
    </w:p>
    <w:p w:rsidR="000D4ECA" w:rsidRPr="00A75DF9" w:rsidRDefault="000D4ECA" w:rsidP="00036631">
      <w:pPr>
        <w:numPr>
          <w:ilvl w:val="1"/>
          <w:numId w:val="104"/>
        </w:numPr>
        <w:spacing w:after="60" w:line="276" w:lineRule="auto"/>
        <w:ind w:left="1980"/>
        <w:rPr>
          <w:rFonts w:cs="Tahoma"/>
        </w:rPr>
      </w:pPr>
      <w:r w:rsidRPr="00A75DF9">
        <w:rPr>
          <w:rFonts w:cs="Tahoma"/>
          <w:color w:val="000000"/>
          <w:szCs w:val="18"/>
        </w:rPr>
        <w:t>Descrizione: DDPS offre alle società le procedure tecniche, di analisi e di pianificazione di</w:t>
      </w:r>
      <w:r w:rsidR="00036631">
        <w:rPr>
          <w:rFonts w:cs="Tahoma"/>
          <w:color w:val="000000"/>
          <w:szCs w:val="18"/>
        </w:rPr>
        <w:t> </w:t>
      </w:r>
      <w:r w:rsidRPr="00A75DF9">
        <w:rPr>
          <w:rFonts w:cs="Tahoma"/>
          <w:color w:val="000000"/>
          <w:szCs w:val="18"/>
        </w:rPr>
        <w:t>base necessarie per iniziare la distribuzione dei desktop con Office 2010 e Windows 8. Questa offerta si basa sulle procedure consigliate da Microsoft per la distribuzione di desktop e consente alle società di ridurre costi e complessità tramite livelli elevati di processi e automazione. DDPS può inoltre offrire assistenza alle organizzazioni che valutano Office 365 attraverso l</w:t>
      </w:r>
      <w:r w:rsidR="00F2643E">
        <w:rPr>
          <w:rFonts w:cs="Tahoma"/>
          <w:color w:val="000000"/>
          <w:szCs w:val="18"/>
        </w:rPr>
        <w:t>’</w:t>
      </w:r>
      <w:r w:rsidRPr="00A75DF9">
        <w:rPr>
          <w:rFonts w:cs="Tahoma"/>
          <w:color w:val="000000"/>
          <w:szCs w:val="18"/>
        </w:rPr>
        <w:t>analisi di controprestazioni e requisiti per l</w:t>
      </w:r>
      <w:r w:rsidR="00F2643E">
        <w:rPr>
          <w:rFonts w:cs="Tahoma"/>
          <w:color w:val="000000"/>
          <w:szCs w:val="18"/>
        </w:rPr>
        <w:t>’</w:t>
      </w:r>
      <w:r w:rsidRPr="00A75DF9">
        <w:rPr>
          <w:rFonts w:cs="Tahoma"/>
          <w:color w:val="000000"/>
          <w:szCs w:val="18"/>
        </w:rPr>
        <w:t>adozione di un ambiente desktop pronto per il cloud.</w:t>
      </w:r>
    </w:p>
    <w:p w:rsidR="000D4ECA" w:rsidRPr="00A75DF9" w:rsidRDefault="000D4ECA" w:rsidP="00346F4B">
      <w:pPr>
        <w:numPr>
          <w:ilvl w:val="1"/>
          <w:numId w:val="104"/>
        </w:numPr>
        <w:spacing w:after="60" w:line="276" w:lineRule="auto"/>
        <w:ind w:left="1980"/>
        <w:rPr>
          <w:rFonts w:cs="Tahoma"/>
        </w:rPr>
      </w:pPr>
      <w:r w:rsidRPr="00A75DF9">
        <w:rPr>
          <w:rFonts w:cs="Tahoma"/>
          <w:color w:val="000000"/>
          <w:szCs w:val="18"/>
        </w:rPr>
        <w:t>Livelli di Servizio: 1, 3, 5, 10 o 15 giorni</w:t>
      </w:r>
    </w:p>
    <w:p w:rsidR="000D4ECA" w:rsidRPr="00A75DF9" w:rsidRDefault="000D4ECA" w:rsidP="00024C3C">
      <w:pPr>
        <w:numPr>
          <w:ilvl w:val="0"/>
          <w:numId w:val="11"/>
        </w:numPr>
        <w:spacing w:after="60" w:line="276" w:lineRule="auto"/>
        <w:ind w:left="1440"/>
        <w:rPr>
          <w:rFonts w:cs="Tahoma"/>
        </w:rPr>
      </w:pPr>
      <w:r w:rsidRPr="00A75DF9">
        <w:rPr>
          <w:rFonts w:cs="Tahoma"/>
          <w:color w:val="000000"/>
          <w:szCs w:val="18"/>
        </w:rPr>
        <w:t>SharePoint Deployment Planning Services (SDPS)</w:t>
      </w:r>
    </w:p>
    <w:p w:rsidR="000D4ECA" w:rsidRPr="00A75DF9" w:rsidRDefault="000D4ECA" w:rsidP="00036631">
      <w:pPr>
        <w:numPr>
          <w:ilvl w:val="1"/>
          <w:numId w:val="105"/>
        </w:numPr>
        <w:spacing w:after="60" w:line="276" w:lineRule="auto"/>
        <w:ind w:left="1980"/>
        <w:rPr>
          <w:rFonts w:cs="Tahoma"/>
        </w:rPr>
      </w:pPr>
      <w:r w:rsidRPr="00A75DF9">
        <w:rPr>
          <w:rFonts w:cs="Tahoma"/>
          <w:color w:val="000000"/>
          <w:szCs w:val="18"/>
        </w:rPr>
        <w:t>Descrizione: SDPS consente a partner qualificati e a consulenti Microsoft di aiutare le società a sviluppare un piano di distribuzione personalizzato di SharePoint Portal Server per il loro ambiente specifico e di valutare il costo complessivo della distribuzione della tecnologia.</w:t>
      </w:r>
      <w:r w:rsidR="009D3B41" w:rsidRPr="00A75DF9">
        <w:rPr>
          <w:rFonts w:cs="Tahoma"/>
          <w:color w:val="000000"/>
          <w:szCs w:val="18"/>
        </w:rPr>
        <w:t xml:space="preserve"> </w:t>
      </w:r>
      <w:r w:rsidRPr="00A75DF9">
        <w:rPr>
          <w:rFonts w:cs="Tahoma"/>
          <w:color w:val="000000"/>
          <w:szCs w:val="18"/>
        </w:rPr>
        <w:t>SDPS può inoltre aiutare le società con la pianificazione della distribuzione per agevolare il</w:t>
      </w:r>
      <w:r w:rsidR="00036631">
        <w:rPr>
          <w:rFonts w:cs="Tahoma"/>
          <w:color w:val="000000"/>
          <w:szCs w:val="18"/>
        </w:rPr>
        <w:t> </w:t>
      </w:r>
      <w:r w:rsidRPr="00A75DF9">
        <w:rPr>
          <w:rFonts w:cs="Tahoma"/>
          <w:color w:val="000000"/>
          <w:szCs w:val="18"/>
        </w:rPr>
        <w:t>passaggio a Office 365, sulla base di SharePoint Online.</w:t>
      </w:r>
      <w:r w:rsidR="009D3B41" w:rsidRPr="00A75DF9">
        <w:rPr>
          <w:rFonts w:cs="Tahoma"/>
          <w:color w:val="000000"/>
          <w:szCs w:val="18"/>
        </w:rPr>
        <w:t xml:space="preserve"> </w:t>
      </w:r>
    </w:p>
    <w:p w:rsidR="000D4ECA" w:rsidRPr="00A75DF9" w:rsidRDefault="000D4ECA" w:rsidP="00346F4B">
      <w:pPr>
        <w:numPr>
          <w:ilvl w:val="1"/>
          <w:numId w:val="105"/>
        </w:numPr>
        <w:spacing w:after="60" w:line="276" w:lineRule="auto"/>
        <w:ind w:left="1980"/>
        <w:rPr>
          <w:rFonts w:cs="Tahoma"/>
        </w:rPr>
      </w:pPr>
      <w:r w:rsidRPr="00A75DF9">
        <w:rPr>
          <w:rFonts w:cs="Tahoma"/>
          <w:color w:val="000000"/>
          <w:szCs w:val="18"/>
        </w:rPr>
        <w:t>Livelli di Servizio: 1, 3, 5, 10 o 15 giorni</w:t>
      </w:r>
    </w:p>
    <w:p w:rsidR="000D4ECA" w:rsidRPr="00A75DF9" w:rsidRDefault="000D4ECA" w:rsidP="00024C3C">
      <w:pPr>
        <w:numPr>
          <w:ilvl w:val="0"/>
          <w:numId w:val="10"/>
        </w:numPr>
        <w:spacing w:after="60" w:line="276" w:lineRule="auto"/>
        <w:rPr>
          <w:rFonts w:cs="Tahoma"/>
        </w:rPr>
      </w:pPr>
      <w:r w:rsidRPr="00A75DF9">
        <w:rPr>
          <w:rFonts w:cs="Tahoma"/>
          <w:color w:val="000000"/>
          <w:szCs w:val="18"/>
        </w:rPr>
        <w:t>Lync and Exchange Deployment Planning Services (L&amp;EDPS)</w:t>
      </w:r>
    </w:p>
    <w:p w:rsidR="000D4ECA" w:rsidRPr="00A75DF9" w:rsidRDefault="000D4ECA" w:rsidP="00346F4B">
      <w:pPr>
        <w:numPr>
          <w:ilvl w:val="1"/>
          <w:numId w:val="106"/>
        </w:numPr>
        <w:spacing w:after="60" w:line="276" w:lineRule="auto"/>
        <w:ind w:left="1980"/>
        <w:rPr>
          <w:rFonts w:cs="Tahoma"/>
        </w:rPr>
      </w:pPr>
      <w:r w:rsidRPr="00A75DF9">
        <w:rPr>
          <w:rFonts w:cs="Tahoma"/>
          <w:color w:val="000000"/>
          <w:szCs w:val="18"/>
        </w:rPr>
        <w:t>Descrizione: L&amp;EDPS consente a partner qualificati e a consulenti Microsoft di assistere le società nelle fasi di pianificazione della distribuzione e del valore delle implementazioni di Lync ed Exchange 2010, inclusa l</w:t>
      </w:r>
      <w:r w:rsidR="00F2643E">
        <w:rPr>
          <w:rFonts w:cs="Tahoma"/>
          <w:color w:val="000000"/>
          <w:szCs w:val="18"/>
        </w:rPr>
        <w:t>’</w:t>
      </w:r>
      <w:r w:rsidRPr="00A75DF9">
        <w:rPr>
          <w:rFonts w:cs="Tahoma"/>
          <w:color w:val="000000"/>
          <w:szCs w:val="18"/>
        </w:rPr>
        <w:t>analisi dell</w:t>
      </w:r>
      <w:r w:rsidR="00F2643E">
        <w:rPr>
          <w:rFonts w:cs="Tahoma"/>
          <w:color w:val="000000"/>
          <w:szCs w:val="18"/>
        </w:rPr>
        <w:t>’</w:t>
      </w:r>
      <w:r w:rsidRPr="00A75DF9">
        <w:rPr>
          <w:rFonts w:cs="Tahoma"/>
          <w:color w:val="000000"/>
          <w:szCs w:val="18"/>
        </w:rPr>
        <w:t>ambiente dell</w:t>
      </w:r>
      <w:r w:rsidR="00F2643E">
        <w:rPr>
          <w:rFonts w:cs="Tahoma"/>
          <w:color w:val="000000"/>
          <w:szCs w:val="18"/>
        </w:rPr>
        <w:t>’</w:t>
      </w:r>
      <w:r w:rsidRPr="00A75DF9">
        <w:rPr>
          <w:rFonts w:cs="Tahoma"/>
          <w:color w:val="000000"/>
          <w:szCs w:val="18"/>
        </w:rPr>
        <w:t>organizzazione della società e la condivisione delle procedure consigliate, sia per soluzioni On-Premise che cloud.</w:t>
      </w:r>
      <w:r w:rsidR="009D3B41" w:rsidRPr="00A75DF9">
        <w:rPr>
          <w:rFonts w:cs="Tahoma"/>
          <w:color w:val="000000"/>
          <w:szCs w:val="18"/>
        </w:rPr>
        <w:t xml:space="preserve"> </w:t>
      </w:r>
      <w:r w:rsidRPr="00A75DF9">
        <w:rPr>
          <w:rFonts w:cs="Tahoma"/>
          <w:color w:val="000000"/>
          <w:szCs w:val="18"/>
        </w:rPr>
        <w:t>L&amp;EDPS può inoltre aiutare le società con la pianificazione della distribuzione per agevolare il passaggio a Office 365, sulla base di Lync ed Exchange Online.</w:t>
      </w:r>
    </w:p>
    <w:p w:rsidR="000D4ECA" w:rsidRPr="00A75DF9" w:rsidRDefault="000D4ECA" w:rsidP="00346F4B">
      <w:pPr>
        <w:numPr>
          <w:ilvl w:val="1"/>
          <w:numId w:val="106"/>
        </w:numPr>
        <w:spacing w:after="60" w:line="276" w:lineRule="auto"/>
        <w:ind w:left="1980"/>
        <w:rPr>
          <w:rFonts w:cs="Tahoma"/>
        </w:rPr>
      </w:pPr>
      <w:r w:rsidRPr="00A75DF9">
        <w:rPr>
          <w:rFonts w:cs="Tahoma"/>
          <w:color w:val="000000"/>
          <w:szCs w:val="18"/>
        </w:rPr>
        <w:t>Livelli di Servizio: 1, 3, 5, 10 o 15 giorni</w:t>
      </w:r>
    </w:p>
    <w:p w:rsidR="000D4ECA" w:rsidRPr="00A75DF9" w:rsidRDefault="000D4ECA" w:rsidP="00024C3C">
      <w:pPr>
        <w:numPr>
          <w:ilvl w:val="0"/>
          <w:numId w:val="10"/>
        </w:numPr>
        <w:spacing w:after="60" w:line="276" w:lineRule="auto"/>
        <w:rPr>
          <w:rFonts w:cs="Tahoma"/>
        </w:rPr>
      </w:pPr>
      <w:r w:rsidRPr="00A75DF9">
        <w:rPr>
          <w:rFonts w:cs="Tahoma"/>
          <w:color w:val="000000"/>
          <w:szCs w:val="18"/>
        </w:rPr>
        <w:t>Private Cloud, Management and Virtualization Deployment Planning Services (PVDPS)</w:t>
      </w:r>
    </w:p>
    <w:p w:rsidR="000D4ECA" w:rsidRPr="00A75DF9" w:rsidRDefault="000D4ECA" w:rsidP="00346F4B">
      <w:pPr>
        <w:numPr>
          <w:ilvl w:val="1"/>
          <w:numId w:val="107"/>
        </w:numPr>
        <w:spacing w:after="60" w:line="276" w:lineRule="auto"/>
        <w:ind w:left="1980"/>
        <w:rPr>
          <w:rFonts w:cs="Tahoma"/>
        </w:rPr>
      </w:pPr>
      <w:r w:rsidRPr="00A75DF9">
        <w:rPr>
          <w:rFonts w:cs="Tahoma"/>
          <w:color w:val="000000"/>
          <w:szCs w:val="18"/>
        </w:rPr>
        <w:t xml:space="preserve">Descrizione: </w:t>
      </w:r>
      <w:r w:rsidRPr="00A75DF9">
        <w:rPr>
          <w:rFonts w:cs="Tahoma"/>
          <w:szCs w:val="18"/>
        </w:rPr>
        <w:t>PVDPS offre engagement di consulenza strutturati che aiutano le società a trarre vantaggio dalle soluzioni infrastrutturali basate su Windows Server, Systems Center e Hyper-V. Questo servizio consentirà di ridurre i costi dei datacenter, aumentare la flessibilità aziendale e fornire un maggiore controllo dell</w:t>
      </w:r>
      <w:r w:rsidR="00F2643E">
        <w:rPr>
          <w:rFonts w:cs="Tahoma"/>
          <w:szCs w:val="18"/>
        </w:rPr>
        <w:t>’</w:t>
      </w:r>
      <w:r w:rsidRPr="00A75DF9">
        <w:rPr>
          <w:rFonts w:cs="Tahoma"/>
          <w:szCs w:val="18"/>
        </w:rPr>
        <w:t>infrastruttura fisica, virtuale e ibrida della società</w:t>
      </w:r>
      <w:r w:rsidRPr="00A75DF9">
        <w:rPr>
          <w:rFonts w:cs="Tahoma"/>
          <w:color w:val="000000"/>
          <w:szCs w:val="18"/>
        </w:rPr>
        <w:t xml:space="preserve">. </w:t>
      </w:r>
    </w:p>
    <w:p w:rsidR="000D4ECA" w:rsidRPr="00A75DF9" w:rsidRDefault="000D4ECA" w:rsidP="00346F4B">
      <w:pPr>
        <w:numPr>
          <w:ilvl w:val="1"/>
          <w:numId w:val="107"/>
        </w:numPr>
        <w:spacing w:after="60" w:line="276" w:lineRule="auto"/>
        <w:ind w:left="1980"/>
        <w:rPr>
          <w:rFonts w:cs="Tahoma"/>
        </w:rPr>
      </w:pPr>
      <w:r w:rsidRPr="00A75DF9">
        <w:rPr>
          <w:rFonts w:cs="Tahoma"/>
          <w:color w:val="000000"/>
          <w:szCs w:val="18"/>
        </w:rPr>
        <w:t>Livelli di Servizio: 3, 5, 10 o 15 giorni</w:t>
      </w:r>
    </w:p>
    <w:p w:rsidR="000D4ECA" w:rsidRPr="00A75DF9" w:rsidRDefault="000D4ECA" w:rsidP="00024C3C">
      <w:pPr>
        <w:numPr>
          <w:ilvl w:val="0"/>
          <w:numId w:val="10"/>
        </w:numPr>
        <w:spacing w:after="60" w:line="276" w:lineRule="auto"/>
        <w:rPr>
          <w:rFonts w:cs="Tahoma"/>
        </w:rPr>
      </w:pPr>
      <w:r w:rsidRPr="00A75DF9">
        <w:rPr>
          <w:rFonts w:cs="Tahoma"/>
          <w:color w:val="000000"/>
          <w:szCs w:val="18"/>
        </w:rPr>
        <w:t>SQL Server Deployment Planning Services (SSDPS)</w:t>
      </w:r>
    </w:p>
    <w:p w:rsidR="000D4ECA" w:rsidRPr="00A75DF9" w:rsidRDefault="000D4ECA" w:rsidP="00346F4B">
      <w:pPr>
        <w:numPr>
          <w:ilvl w:val="1"/>
          <w:numId w:val="108"/>
        </w:numPr>
        <w:spacing w:after="60" w:line="276" w:lineRule="auto"/>
        <w:ind w:left="1980"/>
        <w:rPr>
          <w:rFonts w:cs="Tahoma"/>
        </w:rPr>
      </w:pPr>
      <w:r w:rsidRPr="00A75DF9">
        <w:rPr>
          <w:rFonts w:cs="Tahoma"/>
          <w:color w:val="000000"/>
          <w:szCs w:val="18"/>
        </w:rPr>
        <w:t xml:space="preserve">Descrizione: </w:t>
      </w:r>
      <w:r w:rsidRPr="00A75DF9">
        <w:rPr>
          <w:rFonts w:cs="Tahoma"/>
          <w:szCs w:val="18"/>
        </w:rPr>
        <w:t>SSDPS offre una valutazione approfondita e la pianificazione della distribuzione per la migrazione a SQL Server, l</w:t>
      </w:r>
      <w:r w:rsidR="00F2643E">
        <w:rPr>
          <w:rFonts w:cs="Tahoma"/>
          <w:szCs w:val="18"/>
        </w:rPr>
        <w:t>’</w:t>
      </w:r>
      <w:r w:rsidRPr="00A75DF9">
        <w:rPr>
          <w:rFonts w:cs="Tahoma"/>
          <w:szCs w:val="18"/>
        </w:rPr>
        <w:t>aggiornamento a una nuova versione di SQL Server, della soluzione SQL Server Business Intelligence e della pianificazione della distribuzione per Microsoft Dynamics CRM.</w:t>
      </w:r>
    </w:p>
    <w:p w:rsidR="000D4ECA" w:rsidRPr="00036631" w:rsidRDefault="000D4ECA" w:rsidP="00346F4B">
      <w:pPr>
        <w:numPr>
          <w:ilvl w:val="1"/>
          <w:numId w:val="108"/>
        </w:numPr>
        <w:spacing w:after="60" w:line="276" w:lineRule="auto"/>
        <w:ind w:left="1980"/>
        <w:rPr>
          <w:rFonts w:cs="Tahoma"/>
        </w:rPr>
      </w:pPr>
      <w:r w:rsidRPr="00A75DF9">
        <w:rPr>
          <w:rFonts w:cs="Tahoma"/>
          <w:color w:val="000000"/>
          <w:szCs w:val="18"/>
        </w:rPr>
        <w:t>Livelli di Servizio: 3, 5, 10 o 15 giorni</w:t>
      </w:r>
    </w:p>
    <w:p w:rsidR="00036631" w:rsidRDefault="00036631" w:rsidP="00036631">
      <w:pPr>
        <w:spacing w:after="60" w:line="276" w:lineRule="auto"/>
        <w:ind w:left="1980"/>
        <w:rPr>
          <w:rFonts w:cs="Tahoma"/>
          <w:color w:val="000000"/>
          <w:szCs w:val="18"/>
        </w:rPr>
      </w:pPr>
    </w:p>
    <w:p w:rsidR="00036631" w:rsidRDefault="00036631" w:rsidP="00036631">
      <w:pPr>
        <w:spacing w:after="60" w:line="276" w:lineRule="auto"/>
        <w:ind w:left="1980"/>
        <w:rPr>
          <w:rFonts w:cs="Tahoma"/>
          <w:color w:val="000000"/>
          <w:szCs w:val="18"/>
        </w:rPr>
      </w:pPr>
    </w:p>
    <w:p w:rsidR="00036631" w:rsidRPr="00A75DF9" w:rsidRDefault="00036631" w:rsidP="00036631">
      <w:pPr>
        <w:spacing w:after="60" w:line="276" w:lineRule="auto"/>
        <w:ind w:left="1980"/>
        <w:rPr>
          <w:rFonts w:cs="Tahoma"/>
        </w:rPr>
      </w:pPr>
    </w:p>
    <w:p w:rsidR="000D4ECA" w:rsidRPr="00A75DF9" w:rsidRDefault="000D4ECA" w:rsidP="00024C3C">
      <w:pPr>
        <w:numPr>
          <w:ilvl w:val="0"/>
          <w:numId w:val="10"/>
        </w:numPr>
        <w:spacing w:after="60" w:line="276" w:lineRule="auto"/>
        <w:rPr>
          <w:rFonts w:cs="Tahoma"/>
        </w:rPr>
      </w:pPr>
      <w:r w:rsidRPr="00A75DF9">
        <w:rPr>
          <w:rFonts w:cs="Tahoma"/>
          <w:color w:val="000000"/>
          <w:szCs w:val="18"/>
        </w:rPr>
        <w:lastRenderedPageBreak/>
        <w:t>Developer Tools Deployment Planning Services (DTDPS)</w:t>
      </w:r>
    </w:p>
    <w:p w:rsidR="000D4ECA" w:rsidRPr="00A75DF9" w:rsidRDefault="000D4ECA" w:rsidP="00346F4B">
      <w:pPr>
        <w:numPr>
          <w:ilvl w:val="1"/>
          <w:numId w:val="109"/>
        </w:numPr>
        <w:spacing w:after="60" w:line="276" w:lineRule="auto"/>
        <w:ind w:left="1980"/>
        <w:rPr>
          <w:rFonts w:cs="Tahoma"/>
        </w:rPr>
      </w:pPr>
      <w:r w:rsidRPr="00A75DF9">
        <w:rPr>
          <w:rFonts w:cs="Tahoma"/>
          <w:color w:val="000000"/>
          <w:szCs w:val="18"/>
        </w:rPr>
        <w:t xml:space="preserve">Descrizione: </w:t>
      </w:r>
      <w:r w:rsidRPr="00A75DF9">
        <w:rPr>
          <w:rFonts w:cs="Tahoma"/>
          <w:szCs w:val="18"/>
        </w:rPr>
        <w:t>DTDPS offre analisi rigorose e un approccio incentrato sui processi per lo sviluppo di un piano di distribuzione di Visual Studio Team Foundation Server o Visual Studio Test Tools. Utilizzando procedure consigliate da Microsoft, un partner certificato realizzerà un piano di distribuzione univoco, personalizzato in base alle esigenze della società</w:t>
      </w:r>
      <w:r w:rsidRPr="00A75DF9">
        <w:rPr>
          <w:rFonts w:cs="Tahoma"/>
          <w:color w:val="000000"/>
          <w:szCs w:val="18"/>
        </w:rPr>
        <w:t xml:space="preserve">. </w:t>
      </w:r>
    </w:p>
    <w:p w:rsidR="000D4ECA" w:rsidRPr="00A75DF9" w:rsidRDefault="000D4ECA" w:rsidP="00346F4B">
      <w:pPr>
        <w:numPr>
          <w:ilvl w:val="1"/>
          <w:numId w:val="109"/>
        </w:numPr>
        <w:spacing w:after="60" w:line="276" w:lineRule="auto"/>
        <w:ind w:left="1980"/>
        <w:rPr>
          <w:rFonts w:cs="Tahoma"/>
        </w:rPr>
      </w:pPr>
      <w:r w:rsidRPr="00A75DF9">
        <w:rPr>
          <w:rFonts w:cs="Tahoma"/>
          <w:color w:val="000000"/>
          <w:szCs w:val="18"/>
        </w:rPr>
        <w:t>Livelli di Servizio: 3 o 5 giorni</w:t>
      </w:r>
    </w:p>
    <w:p w:rsidR="000D4ECA" w:rsidRPr="00A75DF9" w:rsidRDefault="000D4ECA" w:rsidP="00024C3C">
      <w:pPr>
        <w:numPr>
          <w:ilvl w:val="0"/>
          <w:numId w:val="10"/>
        </w:numPr>
        <w:spacing w:after="60" w:line="276" w:lineRule="auto"/>
        <w:rPr>
          <w:rFonts w:cs="Tahoma"/>
        </w:rPr>
      </w:pPr>
      <w:r w:rsidRPr="00A75DF9">
        <w:rPr>
          <w:rFonts w:cs="Tahoma"/>
          <w:color w:val="000000"/>
          <w:szCs w:val="18"/>
        </w:rPr>
        <w:t>Cloud Pubblico, Azure Deployment Planning Services (AZDPS)</w:t>
      </w:r>
    </w:p>
    <w:p w:rsidR="000D4ECA" w:rsidRPr="00A75DF9" w:rsidRDefault="000D4ECA" w:rsidP="00346F4B">
      <w:pPr>
        <w:numPr>
          <w:ilvl w:val="1"/>
          <w:numId w:val="110"/>
        </w:numPr>
        <w:spacing w:after="60" w:line="276" w:lineRule="auto"/>
        <w:ind w:left="1980"/>
        <w:rPr>
          <w:rFonts w:cs="Tahoma"/>
        </w:rPr>
      </w:pPr>
      <w:r w:rsidRPr="00A75DF9">
        <w:rPr>
          <w:rFonts w:cs="Tahoma"/>
          <w:color w:val="000000"/>
          <w:szCs w:val="18"/>
        </w:rPr>
        <w:t xml:space="preserve">Descrizione: </w:t>
      </w:r>
      <w:r w:rsidRPr="00A75DF9">
        <w:rPr>
          <w:rFonts w:cs="Tahoma"/>
          <w:szCs w:val="18"/>
        </w:rPr>
        <w:t xml:space="preserve">Il Cloud </w:t>
      </w:r>
      <w:r w:rsidRPr="00A75DF9">
        <w:rPr>
          <w:rFonts w:cs="Tahoma"/>
          <w:color w:val="1D1B11"/>
          <w:szCs w:val="18"/>
        </w:rPr>
        <w:t>Pubblico</w:t>
      </w:r>
      <w:r w:rsidRPr="00A75DF9">
        <w:rPr>
          <w:rFonts w:cs="Tahoma"/>
          <w:szCs w:val="18"/>
        </w:rPr>
        <w:t xml:space="preserve"> AZDPS offre la formazione e il servizio di migrazione della Piattaforma Windows Azure. Questo servizio consente di usufruire di esercitazioni relative alla Piattaforma Windows Azure con formazione pratica, di ottenere assistenza in merito all</w:t>
      </w:r>
      <w:r w:rsidR="00F2643E">
        <w:rPr>
          <w:rFonts w:cs="Tahoma"/>
          <w:szCs w:val="18"/>
        </w:rPr>
        <w:t>’</w:t>
      </w:r>
      <w:r w:rsidRPr="00A75DF9">
        <w:rPr>
          <w:rFonts w:cs="Tahoma"/>
          <w:szCs w:val="18"/>
        </w:rPr>
        <w:t>esecuzione della migrazione di applicazioni e dati e alla progettazione di applicazioni per il cloud; inoltre fornisce alle società il supporto necessario per la migrazione e la scrittura delle loro prime applicazioni sulla piattaforma Windows Azure.</w:t>
      </w:r>
    </w:p>
    <w:p w:rsidR="000D4ECA" w:rsidRPr="00A75DF9" w:rsidRDefault="000D4ECA" w:rsidP="00346F4B">
      <w:pPr>
        <w:numPr>
          <w:ilvl w:val="1"/>
          <w:numId w:val="110"/>
        </w:numPr>
        <w:spacing w:line="276" w:lineRule="auto"/>
        <w:ind w:left="1987"/>
        <w:rPr>
          <w:rFonts w:cs="Tahoma"/>
        </w:rPr>
      </w:pPr>
      <w:r w:rsidRPr="00A75DF9">
        <w:rPr>
          <w:rFonts w:cs="Tahoma"/>
          <w:color w:val="000000"/>
          <w:szCs w:val="18"/>
        </w:rPr>
        <w:t>Livelli di Servizio: 3, 5 o 10 giorni</w:t>
      </w:r>
    </w:p>
    <w:p w:rsidR="000D4ECA" w:rsidRPr="00A75DF9" w:rsidRDefault="000D4ECA" w:rsidP="0063466C">
      <w:pPr>
        <w:tabs>
          <w:tab w:val="left" w:pos="8040"/>
        </w:tabs>
        <w:rPr>
          <w:rFonts w:cs="Tahoma"/>
        </w:rPr>
      </w:pPr>
    </w:p>
    <w:p w:rsidR="000D4ECA" w:rsidRPr="00A75DF9" w:rsidRDefault="000D4ECA" w:rsidP="00036631">
      <w:pPr>
        <w:spacing w:after="60"/>
        <w:rPr>
          <w:rFonts w:cs="Tahoma"/>
        </w:rPr>
      </w:pPr>
      <w:r w:rsidRPr="00A75DF9">
        <w:rPr>
          <w:rFonts w:cs="Tahoma"/>
          <w:color w:val="000000"/>
          <w:szCs w:val="18"/>
        </w:rPr>
        <w:t>L</w:t>
      </w:r>
      <w:r w:rsidR="00F2643E">
        <w:rPr>
          <w:rFonts w:cs="Tahoma"/>
          <w:color w:val="000000"/>
          <w:szCs w:val="18"/>
        </w:rPr>
        <w:t>’</w:t>
      </w:r>
      <w:r w:rsidRPr="00A75DF9">
        <w:rPr>
          <w:rFonts w:cs="Tahoma"/>
          <w:color w:val="000000"/>
          <w:szCs w:val="18"/>
        </w:rPr>
        <w:t>elenco di servizi disponibili e di livelli di servizi associati potrà cambiare in qualsiasi momento.</w:t>
      </w:r>
      <w:r w:rsidR="009D3B41" w:rsidRPr="00A75DF9">
        <w:rPr>
          <w:rFonts w:cs="Tahoma"/>
          <w:color w:val="000000"/>
          <w:szCs w:val="18"/>
        </w:rPr>
        <w:t xml:space="preserve"> </w:t>
      </w:r>
      <w:r w:rsidRPr="00A75DF9">
        <w:rPr>
          <w:rFonts w:cs="Tahoma"/>
          <w:color w:val="000000"/>
          <w:szCs w:val="18"/>
        </w:rPr>
        <w:t>I Provider Qualificati forniranno alle società su loro richiesta uno schema dell</w:t>
      </w:r>
      <w:r w:rsidR="00F2643E">
        <w:rPr>
          <w:rFonts w:cs="Tahoma"/>
          <w:color w:val="000000"/>
          <w:szCs w:val="18"/>
        </w:rPr>
        <w:t>’</w:t>
      </w:r>
      <w:r w:rsidRPr="00A75DF9">
        <w:rPr>
          <w:rFonts w:cs="Tahoma"/>
          <w:color w:val="000000"/>
          <w:szCs w:val="18"/>
        </w:rPr>
        <w:t>Ambito di Lavoro disponibile per ciascuna delle offerte di</w:t>
      </w:r>
      <w:r w:rsidR="00036631">
        <w:rPr>
          <w:rFonts w:cs="Tahoma"/>
          <w:color w:val="000000"/>
          <w:szCs w:val="18"/>
        </w:rPr>
        <w:t> </w:t>
      </w:r>
      <w:r w:rsidRPr="00A75DF9">
        <w:rPr>
          <w:rFonts w:cs="Tahoma"/>
          <w:color w:val="000000"/>
          <w:szCs w:val="18"/>
        </w:rPr>
        <w:t>servizi di cui sopra.</w:t>
      </w:r>
    </w:p>
    <w:p w:rsidR="000D4ECA" w:rsidRPr="00A75DF9" w:rsidRDefault="000D4ECA" w:rsidP="0063466C">
      <w:pPr>
        <w:rPr>
          <w:rFonts w:cs="Tahoma"/>
        </w:rPr>
      </w:pPr>
    </w:p>
    <w:p w:rsidR="000D4ECA" w:rsidRPr="00A75DF9" w:rsidRDefault="000D4ECA" w:rsidP="000D4ECA">
      <w:pPr>
        <w:spacing w:after="60"/>
        <w:rPr>
          <w:rFonts w:cs="Tahoma"/>
        </w:rPr>
      </w:pPr>
      <w:r w:rsidRPr="00A75DF9">
        <w:rPr>
          <w:rFonts w:cs="Tahoma"/>
          <w:color w:val="000000"/>
          <w:szCs w:val="18"/>
        </w:rPr>
        <w:t>Le società qualificate ricevono un numero di giorni Planning Services basato sul numero di licenze qualificanti per le Applicazioni Office, sulle licenze qualificanti Server e sul numero di Core CAL Suite, CAL per SQL ed Enterprise CAL Suite per le quali è stata acquistata la copertura Software Assurance (vedere la tabella che segue per i dettagli).</w:t>
      </w:r>
      <w:r w:rsidR="009D3B41" w:rsidRPr="00A75DF9">
        <w:rPr>
          <w:rFonts w:cs="Tahoma"/>
          <w:color w:val="000000"/>
          <w:szCs w:val="18"/>
        </w:rPr>
        <w:t xml:space="preserve"> </w:t>
      </w:r>
      <w:r w:rsidRPr="00A75DF9">
        <w:rPr>
          <w:rFonts w:cs="Tahoma"/>
          <w:bCs/>
          <w:color w:val="000000"/>
          <w:szCs w:val="18"/>
        </w:rPr>
        <w:t>Il numero di giorni che una società riceve viene inserito in un pool di Giorni Planning Services al quale la società attinge per creare voucher per le offerte di servizi citate in precedenza.</w:t>
      </w:r>
      <w:r w:rsidR="009D3B41" w:rsidRPr="00A75DF9">
        <w:rPr>
          <w:rFonts w:cs="Tahoma"/>
          <w:bCs/>
          <w:color w:val="000000"/>
          <w:szCs w:val="18"/>
        </w:rPr>
        <w:t xml:space="preserve"> </w:t>
      </w:r>
      <w:r w:rsidRPr="00A75DF9">
        <w:rPr>
          <w:rFonts w:cs="Tahoma"/>
          <w:bCs/>
          <w:color w:val="000000"/>
          <w:szCs w:val="18"/>
        </w:rPr>
        <w:t>Le società potranno selezionare uno o più di questi servizi nonché scegliere dai livelli di servizi disponibili fino al numero di Giorni Planning Services.</w:t>
      </w:r>
    </w:p>
    <w:p w:rsidR="001C1727" w:rsidRPr="00A75DF9" w:rsidRDefault="001C1727">
      <w:pPr>
        <w:rPr>
          <w:rFonts w:cs="Tahoma"/>
        </w:rPr>
      </w:pPr>
    </w:p>
    <w:p w:rsidR="000D4ECA" w:rsidRPr="00A75DF9" w:rsidRDefault="000D4ECA" w:rsidP="000D4ECA">
      <w:pPr>
        <w:spacing w:after="60"/>
        <w:rPr>
          <w:rFonts w:cs="Tahoma"/>
        </w:rPr>
      </w:pPr>
      <w:r w:rsidRPr="00A75DF9">
        <w:rPr>
          <w:rFonts w:cs="Tahoma"/>
          <w:bCs/>
          <w:color w:val="000000"/>
          <w:szCs w:val="18"/>
        </w:rPr>
        <w:t>Nella tabella seguente sono elencate le licenze qualificanti Applicazione e Server e i punti associati a ciascuna di esse:</w:t>
      </w:r>
    </w:p>
    <w:p w:rsidR="0063466C" w:rsidRPr="00A75DF9" w:rsidRDefault="0063466C" w:rsidP="000D4ECA">
      <w:pPr>
        <w:spacing w:after="60"/>
        <w:rPr>
          <w:rFonts w:cs="Tahoma"/>
        </w:rPr>
      </w:pPr>
    </w:p>
    <w:tbl>
      <w:tblPr>
        <w:tblW w:w="8730" w:type="dxa"/>
        <w:tblInd w:w="468" w:type="dxa"/>
        <w:tblCellMar>
          <w:left w:w="0" w:type="dxa"/>
          <w:right w:w="0" w:type="dxa"/>
        </w:tblCellMar>
        <w:tblLook w:val="04A0" w:firstRow="1" w:lastRow="0" w:firstColumn="1" w:lastColumn="0" w:noHBand="0" w:noVBand="1"/>
      </w:tblPr>
      <w:tblGrid>
        <w:gridCol w:w="7290"/>
        <w:gridCol w:w="1440"/>
      </w:tblGrid>
      <w:tr w:rsidR="000D4ECA" w:rsidRPr="00A75DF9" w:rsidTr="00B87B49">
        <w:trPr>
          <w:trHeight w:val="393"/>
        </w:trPr>
        <w:tc>
          <w:tcPr>
            <w:tcW w:w="72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A75DF9" w:rsidRDefault="000D4ECA" w:rsidP="000D4ECA">
            <w:pPr>
              <w:spacing w:after="60"/>
              <w:jc w:val="center"/>
              <w:rPr>
                <w:rFonts w:cs="Tahoma"/>
                <w:szCs w:val="18"/>
              </w:rPr>
            </w:pPr>
            <w:r w:rsidRPr="00A75DF9">
              <w:rPr>
                <w:rFonts w:cs="Tahoma"/>
                <w:b/>
                <w:bCs/>
                <w:szCs w:val="18"/>
              </w:rPr>
              <w:t xml:space="preserve">Licenze per Applicazioni Office e Server* </w:t>
            </w:r>
          </w:p>
        </w:tc>
        <w:tc>
          <w:tcPr>
            <w:tcW w:w="144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A75DF9" w:rsidRDefault="000D4ECA" w:rsidP="000D4ECA">
            <w:pPr>
              <w:spacing w:after="60"/>
              <w:jc w:val="center"/>
              <w:rPr>
                <w:rFonts w:cs="Tahoma"/>
                <w:szCs w:val="18"/>
              </w:rPr>
            </w:pPr>
            <w:r w:rsidRPr="00A75DF9">
              <w:rPr>
                <w:rFonts w:cs="Tahoma"/>
                <w:b/>
                <w:bCs/>
                <w:szCs w:val="18"/>
              </w:rPr>
              <w:t>Punti</w:t>
            </w:r>
          </w:p>
        </w:tc>
      </w:tr>
      <w:tr w:rsidR="000D4ECA" w:rsidRPr="00A75DF9" w:rsidTr="00B87B49">
        <w:trPr>
          <w:trHeight w:val="127"/>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75DF9" w:rsidRDefault="000D4ECA" w:rsidP="00036631">
            <w:pPr>
              <w:spacing w:after="60"/>
              <w:jc w:val="center"/>
              <w:rPr>
                <w:rFonts w:cs="Tahoma"/>
                <w:szCs w:val="18"/>
              </w:rPr>
            </w:pPr>
            <w:r w:rsidRPr="00A75DF9">
              <w:rPr>
                <w:rFonts w:cs="Tahoma"/>
                <w:szCs w:val="18"/>
              </w:rPr>
              <w:t>Prodotti del Pool di Applicazioni Office (incluse la famiglia di prodotti Office, Project</w:t>
            </w:r>
            <w:r w:rsidR="00036631">
              <w:rPr>
                <w:rFonts w:cs="Tahoma"/>
                <w:szCs w:val="18"/>
              </w:rPr>
              <w:t> </w:t>
            </w:r>
            <w:r w:rsidRPr="00A75DF9">
              <w:rPr>
                <w:rFonts w:cs="Tahoma"/>
                <w:szCs w:val="18"/>
              </w:rPr>
              <w:t>Standard e Professional, Visio Standard e Professional), CAL per Microsoft</w:t>
            </w:r>
            <w:r w:rsidR="00036631">
              <w:rPr>
                <w:rFonts w:cs="Tahoma"/>
                <w:szCs w:val="18"/>
              </w:rPr>
              <w:t> </w:t>
            </w:r>
            <w:r w:rsidRPr="00A75DF9">
              <w:rPr>
                <w:rFonts w:cs="Tahoma"/>
                <w:szCs w:val="18"/>
              </w:rPr>
              <w:t>Dynamics CRM</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75DF9" w:rsidRDefault="000D4ECA" w:rsidP="000D4ECA">
            <w:pPr>
              <w:spacing w:after="60"/>
              <w:jc w:val="center"/>
              <w:rPr>
                <w:rFonts w:cs="Tahoma"/>
                <w:szCs w:val="18"/>
              </w:rPr>
            </w:pPr>
            <w:r w:rsidRPr="00A75DF9">
              <w:rPr>
                <w:rFonts w:cs="Tahoma"/>
                <w:szCs w:val="18"/>
              </w:rPr>
              <w:t>1</w:t>
            </w:r>
          </w:p>
        </w:tc>
      </w:tr>
      <w:tr w:rsidR="000D4ECA" w:rsidRPr="00A75DF9"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75DF9" w:rsidRDefault="00F56FC9" w:rsidP="00036631">
            <w:pPr>
              <w:spacing w:after="60"/>
              <w:jc w:val="center"/>
              <w:rPr>
                <w:rFonts w:cs="Tahoma"/>
                <w:szCs w:val="18"/>
              </w:rPr>
            </w:pPr>
            <w:r w:rsidRPr="00A75DF9">
              <w:rPr>
                <w:rFonts w:eastAsia="Calibri" w:cs="Tahoma"/>
                <w:szCs w:val="18"/>
              </w:rPr>
              <w:t>SQL Server Standard Edition, Windows Server Standard Edition, Microsoft Dynamics CRM Server 2011, Microsoft Dynamics CRM Server 2013, Licenza di Gestione Server per System Center 2012 Standard (2 processori), Visual Studio Professional con MSDN e</w:t>
            </w:r>
            <w:r w:rsidR="00036631">
              <w:rPr>
                <w:rFonts w:eastAsia="Calibri" w:cs="Tahoma"/>
                <w:szCs w:val="18"/>
              </w:rPr>
              <w:t> </w:t>
            </w:r>
            <w:r w:rsidRPr="00A75DF9">
              <w:rPr>
                <w:rFonts w:eastAsia="Calibri" w:cs="Tahoma"/>
                <w:szCs w:val="18"/>
              </w:rPr>
              <w:t>Visual Studio Test Professional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75DF9" w:rsidRDefault="000D4ECA" w:rsidP="000D4ECA">
            <w:pPr>
              <w:spacing w:after="60"/>
              <w:jc w:val="center"/>
              <w:rPr>
                <w:rFonts w:cs="Tahoma"/>
                <w:szCs w:val="18"/>
              </w:rPr>
            </w:pPr>
            <w:r w:rsidRPr="00A75DF9">
              <w:rPr>
                <w:rFonts w:cs="Tahoma"/>
                <w:szCs w:val="18"/>
              </w:rPr>
              <w:t>25</w:t>
            </w:r>
          </w:p>
        </w:tc>
      </w:tr>
      <w:tr w:rsidR="000D4ECA" w:rsidRPr="00A75DF9"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75DF9" w:rsidRDefault="00F56FC9" w:rsidP="000D4ECA">
            <w:pPr>
              <w:spacing w:after="60"/>
              <w:jc w:val="center"/>
              <w:rPr>
                <w:rFonts w:cs="Tahoma"/>
                <w:szCs w:val="18"/>
              </w:rPr>
            </w:pPr>
            <w:r w:rsidRPr="00A75DF9">
              <w:rPr>
                <w:rFonts w:eastAsia="Calibri" w:cs="Tahoma"/>
                <w:szCs w:val="18"/>
              </w:rPr>
              <w:t xml:space="preserve">SQL Server Enterprise Edition, </w:t>
            </w:r>
            <w:r w:rsidRPr="00A75DF9">
              <w:rPr>
                <w:rFonts w:cs="Tahoma"/>
                <w:szCs w:val="18"/>
              </w:rPr>
              <w:t xml:space="preserve">SQL Server Business Intelligence, </w:t>
            </w:r>
            <w:r w:rsidRPr="00A75DF9">
              <w:rPr>
                <w:rFonts w:eastAsia="Calibri" w:cs="Tahoma"/>
                <w:szCs w:val="18"/>
              </w:rPr>
              <w:t>Windows Server Enterprise Edition e Visual Studio Premium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75DF9" w:rsidRDefault="000D4ECA" w:rsidP="000D4ECA">
            <w:pPr>
              <w:spacing w:after="60"/>
              <w:jc w:val="center"/>
              <w:rPr>
                <w:rFonts w:cs="Tahoma"/>
                <w:szCs w:val="18"/>
              </w:rPr>
            </w:pPr>
            <w:r w:rsidRPr="00A75DF9">
              <w:rPr>
                <w:rFonts w:cs="Tahoma"/>
                <w:szCs w:val="18"/>
              </w:rPr>
              <w:t>50</w:t>
            </w:r>
          </w:p>
        </w:tc>
      </w:tr>
      <w:tr w:rsidR="000D4ECA" w:rsidRPr="00A75DF9" w:rsidTr="00B87B49">
        <w:trPr>
          <w:trHeight w:val="45"/>
        </w:trPr>
        <w:tc>
          <w:tcPr>
            <w:tcW w:w="72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75DF9" w:rsidRDefault="00F56FC9" w:rsidP="00036631">
            <w:pPr>
              <w:spacing w:after="60"/>
              <w:jc w:val="center"/>
              <w:rPr>
                <w:rFonts w:cs="Tahoma"/>
                <w:szCs w:val="18"/>
              </w:rPr>
            </w:pPr>
            <w:r w:rsidRPr="00A75DF9">
              <w:rPr>
                <w:rFonts w:eastAsia="Calibri" w:cs="Tahoma"/>
                <w:szCs w:val="18"/>
              </w:rPr>
              <w:t>SQL Server Data Center Edition, Windows Server Data Center Edition, Licenza di</w:t>
            </w:r>
            <w:r w:rsidR="00036631">
              <w:rPr>
                <w:rFonts w:eastAsia="Calibri" w:cs="Tahoma"/>
                <w:szCs w:val="18"/>
              </w:rPr>
              <w:t> </w:t>
            </w:r>
            <w:r w:rsidRPr="00A75DF9">
              <w:rPr>
                <w:rFonts w:eastAsia="Calibri" w:cs="Tahoma"/>
                <w:szCs w:val="18"/>
              </w:rPr>
              <w:t>Gestione Server per System Center 2012 Datacenter (2 processori) e Visual Studio Ultimate con MSDN</w:t>
            </w:r>
          </w:p>
        </w:tc>
        <w:tc>
          <w:tcPr>
            <w:tcW w:w="144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75DF9" w:rsidRDefault="000D4ECA" w:rsidP="000D4ECA">
            <w:pPr>
              <w:spacing w:after="60"/>
              <w:jc w:val="center"/>
              <w:rPr>
                <w:rFonts w:cs="Tahoma"/>
                <w:szCs w:val="18"/>
              </w:rPr>
            </w:pPr>
            <w:r w:rsidRPr="00A75DF9">
              <w:rPr>
                <w:rFonts w:cs="Tahoma"/>
                <w:szCs w:val="18"/>
              </w:rPr>
              <w:t>75</w:t>
            </w:r>
          </w:p>
        </w:tc>
      </w:tr>
    </w:tbl>
    <w:p w:rsidR="000D4ECA" w:rsidRPr="00A75DF9" w:rsidRDefault="000D4ECA" w:rsidP="0063466C">
      <w:pPr>
        <w:ind w:firstLine="720"/>
        <w:rPr>
          <w:rFonts w:cs="Tahoma"/>
        </w:rPr>
      </w:pPr>
      <w:r w:rsidRPr="00A75DF9">
        <w:rPr>
          <w:rFonts w:cs="Tahoma"/>
          <w:b/>
          <w:i/>
          <w:sz w:val="16"/>
          <w:szCs w:val="18"/>
        </w:rPr>
        <w:t>Nota:</w:t>
      </w:r>
      <w:r w:rsidRPr="00A75DF9">
        <w:rPr>
          <w:rFonts w:cs="Tahoma"/>
          <w:i/>
          <w:sz w:val="16"/>
          <w:szCs w:val="18"/>
        </w:rPr>
        <w:t xml:space="preserve"> per le CAL, vedere la tabella CAL Suite nel presente articolo</w:t>
      </w:r>
    </w:p>
    <w:p w:rsidR="00F56FC9" w:rsidRPr="00A75DF9" w:rsidRDefault="00F56FC9" w:rsidP="0063466C">
      <w:pPr>
        <w:rPr>
          <w:rFonts w:cs="Tahoma"/>
        </w:rPr>
      </w:pPr>
    </w:p>
    <w:p w:rsidR="000D4ECA" w:rsidRPr="00A75DF9" w:rsidRDefault="000D4ECA" w:rsidP="0063466C">
      <w:pPr>
        <w:rPr>
          <w:rFonts w:cs="Tahoma"/>
        </w:rPr>
      </w:pPr>
      <w:r w:rsidRPr="00A75DF9">
        <w:rPr>
          <w:rFonts w:cs="Tahoma"/>
          <w:szCs w:val="18"/>
        </w:rPr>
        <w:t xml:space="preserve">Quando questi prodotti idonei vengono acquistati tramite Enrollment for Application Platform (EAP) o Enrollment for Core Infrastructure (ECI), tutti i punti guadagnati ai sensi di EAP e ECI vengono raddoppiati (2). </w:t>
      </w:r>
    </w:p>
    <w:p w:rsidR="000D4ECA" w:rsidRDefault="000D4ECA" w:rsidP="0063466C">
      <w:pPr>
        <w:rPr>
          <w:rFonts w:cs="Tahoma"/>
        </w:rPr>
      </w:pPr>
    </w:p>
    <w:p w:rsidR="00036631" w:rsidRDefault="00036631" w:rsidP="0063466C">
      <w:pPr>
        <w:rPr>
          <w:rFonts w:cs="Tahoma"/>
        </w:rPr>
      </w:pPr>
    </w:p>
    <w:p w:rsidR="00036631" w:rsidRDefault="00036631" w:rsidP="0063466C">
      <w:pPr>
        <w:rPr>
          <w:rFonts w:cs="Tahoma"/>
        </w:rPr>
      </w:pPr>
    </w:p>
    <w:p w:rsidR="00036631" w:rsidRDefault="00036631" w:rsidP="0063466C">
      <w:pPr>
        <w:rPr>
          <w:rFonts w:cs="Tahoma"/>
        </w:rPr>
      </w:pPr>
    </w:p>
    <w:p w:rsidR="00036631" w:rsidRDefault="00036631" w:rsidP="0063466C">
      <w:pPr>
        <w:rPr>
          <w:rFonts w:cs="Tahoma"/>
        </w:rPr>
      </w:pPr>
    </w:p>
    <w:p w:rsidR="00036631" w:rsidRDefault="00036631" w:rsidP="0063466C">
      <w:pPr>
        <w:rPr>
          <w:rFonts w:cs="Tahoma"/>
        </w:rPr>
      </w:pPr>
    </w:p>
    <w:p w:rsidR="00036631" w:rsidRPr="00A75DF9" w:rsidRDefault="00036631" w:rsidP="0063466C">
      <w:pPr>
        <w:rPr>
          <w:rFonts w:cs="Tahoma"/>
        </w:rPr>
      </w:pPr>
    </w:p>
    <w:p w:rsidR="000D4ECA" w:rsidRPr="00A75DF9" w:rsidRDefault="000D4ECA" w:rsidP="0063466C">
      <w:pPr>
        <w:rPr>
          <w:rFonts w:cs="Tahoma"/>
        </w:rPr>
      </w:pPr>
      <w:r w:rsidRPr="00A75DF9">
        <w:rPr>
          <w:rFonts w:cs="Tahoma"/>
          <w:szCs w:val="18"/>
        </w:rPr>
        <w:lastRenderedPageBreak/>
        <w:t>Il punti totali destinati alla società definiscono i diritti relativi ai Giorni Planning Services come mostrato qui sotto:</w:t>
      </w:r>
    </w:p>
    <w:p w:rsidR="000D4ECA" w:rsidRPr="00A75DF9" w:rsidRDefault="000D4ECA" w:rsidP="0063466C">
      <w:pPr>
        <w:rPr>
          <w:rFonts w:cs="Tahoma"/>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A75DF9" w:rsidTr="0044720D">
        <w:trPr>
          <w:trHeight w:val="393"/>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A75DF9" w:rsidRDefault="000D4ECA" w:rsidP="000D4ECA">
            <w:pPr>
              <w:spacing w:after="60"/>
              <w:jc w:val="center"/>
              <w:rPr>
                <w:rFonts w:cs="Tahoma"/>
                <w:szCs w:val="18"/>
              </w:rPr>
            </w:pPr>
            <w:r w:rsidRPr="00A75DF9">
              <w:rPr>
                <w:rFonts w:cs="Tahoma"/>
                <w:b/>
                <w:bCs/>
                <w:szCs w:val="18"/>
              </w:rPr>
              <w:t>Punti di Licenze per Applicazioni Office e/o Server</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A75DF9" w:rsidRDefault="000D4ECA" w:rsidP="000D4ECA">
            <w:pPr>
              <w:spacing w:after="60"/>
              <w:jc w:val="center"/>
              <w:rPr>
                <w:rFonts w:cs="Tahoma"/>
                <w:szCs w:val="18"/>
              </w:rPr>
            </w:pPr>
            <w:r w:rsidRPr="00A75DF9">
              <w:rPr>
                <w:rFonts w:cs="Tahoma"/>
                <w:b/>
                <w:bCs/>
                <w:szCs w:val="18"/>
              </w:rPr>
              <w:t>Giorni Planning Services</w:t>
            </w:r>
          </w:p>
        </w:tc>
      </w:tr>
      <w:tr w:rsidR="000D4ECA" w:rsidRPr="00A75DF9" w:rsidTr="0044720D">
        <w:trPr>
          <w:trHeight w:val="127"/>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75DF9" w:rsidRDefault="000D4ECA" w:rsidP="000D4ECA">
            <w:pPr>
              <w:spacing w:after="60"/>
              <w:jc w:val="center"/>
              <w:rPr>
                <w:rFonts w:cs="Tahoma"/>
                <w:szCs w:val="18"/>
              </w:rPr>
            </w:pPr>
            <w:r w:rsidRPr="00A75DF9">
              <w:rPr>
                <w:rFonts w:cs="Tahoma"/>
                <w:szCs w:val="18"/>
              </w:rPr>
              <w:t>200</w:t>
            </w:r>
            <w:r w:rsidR="00036631">
              <w:rPr>
                <w:rFonts w:cs="Tahoma"/>
                <w:szCs w:val="18"/>
              </w:rPr>
              <w:t xml:space="preserve"> </w:t>
            </w:r>
            <w:r w:rsidR="00036631" w:rsidRPr="00A75DF9">
              <w:rPr>
                <w:rFonts w:cs="Tahoma"/>
                <w:szCs w:val="18"/>
              </w:rPr>
              <w:t>–</w:t>
            </w:r>
            <w:r w:rsidR="00036631">
              <w:rPr>
                <w:rFonts w:cs="Tahoma"/>
                <w:szCs w:val="18"/>
              </w:rPr>
              <w:t xml:space="preserve"> </w:t>
            </w:r>
            <w:r w:rsidRPr="00A75DF9">
              <w:rPr>
                <w:rFonts w:cs="Tahoma"/>
                <w:szCs w:val="18"/>
              </w:rPr>
              <w:t>499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75DF9" w:rsidRDefault="000D4ECA" w:rsidP="000D4ECA">
            <w:pPr>
              <w:spacing w:after="60"/>
              <w:jc w:val="center"/>
              <w:rPr>
                <w:rFonts w:cs="Tahoma"/>
                <w:szCs w:val="18"/>
              </w:rPr>
            </w:pPr>
            <w:r w:rsidRPr="00A75DF9">
              <w:rPr>
                <w:rFonts w:cs="Tahoma"/>
                <w:szCs w:val="18"/>
              </w:rPr>
              <w:t>1</w:t>
            </w:r>
          </w:p>
        </w:tc>
      </w:tr>
      <w:tr w:rsidR="000D4ECA" w:rsidRPr="00A75DF9"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75DF9" w:rsidRDefault="000D4ECA" w:rsidP="00036631">
            <w:pPr>
              <w:spacing w:after="60"/>
              <w:jc w:val="center"/>
              <w:rPr>
                <w:rFonts w:cs="Tahoma"/>
                <w:szCs w:val="18"/>
              </w:rPr>
            </w:pPr>
            <w:r w:rsidRPr="00A75DF9">
              <w:rPr>
                <w:rFonts w:cs="Tahoma"/>
                <w:szCs w:val="18"/>
              </w:rPr>
              <w:t>500</w:t>
            </w:r>
            <w:r w:rsidR="00036631">
              <w:rPr>
                <w:rFonts w:cs="Tahoma"/>
                <w:szCs w:val="18"/>
              </w:rPr>
              <w:t xml:space="preserve"> </w:t>
            </w:r>
            <w:r w:rsidR="00036631" w:rsidRPr="00A75DF9">
              <w:rPr>
                <w:rFonts w:cs="Tahoma"/>
                <w:szCs w:val="18"/>
              </w:rPr>
              <w:t>–</w:t>
            </w:r>
            <w:r w:rsidR="00036631">
              <w:rPr>
                <w:rFonts w:cs="Tahoma"/>
                <w:szCs w:val="18"/>
              </w:rPr>
              <w:t xml:space="preserve"> </w:t>
            </w:r>
            <w:r w:rsidRPr="00A75DF9">
              <w:rPr>
                <w:rFonts w:cs="Tahoma"/>
                <w:szCs w:val="18"/>
              </w:rPr>
              <w:t>1</w:t>
            </w:r>
            <w:r w:rsidR="00036631">
              <w:rPr>
                <w:rFonts w:cs="Tahoma"/>
                <w:szCs w:val="18"/>
              </w:rPr>
              <w:t>.</w:t>
            </w:r>
            <w:r w:rsidRPr="00A75DF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75DF9" w:rsidRDefault="000D4ECA" w:rsidP="000D4ECA">
            <w:pPr>
              <w:spacing w:after="60"/>
              <w:jc w:val="center"/>
              <w:rPr>
                <w:rFonts w:cs="Tahoma"/>
                <w:szCs w:val="18"/>
              </w:rPr>
            </w:pPr>
            <w:r w:rsidRPr="00A75DF9">
              <w:rPr>
                <w:rFonts w:cs="Tahoma"/>
                <w:szCs w:val="18"/>
              </w:rPr>
              <w:t>3</w:t>
            </w:r>
          </w:p>
        </w:tc>
      </w:tr>
      <w:tr w:rsidR="000D4ECA" w:rsidRPr="00A75DF9"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75DF9" w:rsidRDefault="000D4ECA" w:rsidP="00036631">
            <w:pPr>
              <w:spacing w:after="60"/>
              <w:jc w:val="center"/>
              <w:rPr>
                <w:rFonts w:cs="Tahoma"/>
                <w:szCs w:val="18"/>
              </w:rPr>
            </w:pPr>
            <w:r w:rsidRPr="00A75DF9">
              <w:rPr>
                <w:rFonts w:cs="Tahoma"/>
                <w:szCs w:val="18"/>
              </w:rPr>
              <w:t>2</w:t>
            </w:r>
            <w:r w:rsidR="00036631">
              <w:rPr>
                <w:rFonts w:cs="Tahoma"/>
                <w:szCs w:val="18"/>
              </w:rPr>
              <w:t>.</w:t>
            </w:r>
            <w:r w:rsidRPr="00A75DF9">
              <w:rPr>
                <w:rFonts w:cs="Tahoma"/>
                <w:szCs w:val="18"/>
              </w:rPr>
              <w:t>000</w:t>
            </w:r>
            <w:r w:rsidR="00036631">
              <w:rPr>
                <w:rFonts w:cs="Tahoma"/>
                <w:szCs w:val="18"/>
              </w:rPr>
              <w:t xml:space="preserve"> </w:t>
            </w:r>
            <w:r w:rsidR="00036631" w:rsidRPr="00A75DF9">
              <w:rPr>
                <w:rFonts w:cs="Tahoma"/>
                <w:szCs w:val="18"/>
              </w:rPr>
              <w:t>–</w:t>
            </w:r>
            <w:r w:rsidR="00036631">
              <w:rPr>
                <w:rFonts w:cs="Tahoma"/>
                <w:szCs w:val="18"/>
              </w:rPr>
              <w:t xml:space="preserve"> </w:t>
            </w:r>
            <w:r w:rsidRPr="00A75DF9">
              <w:rPr>
                <w:rFonts w:cs="Tahoma"/>
                <w:szCs w:val="18"/>
              </w:rPr>
              <w:t>3</w:t>
            </w:r>
            <w:r w:rsidR="00036631">
              <w:rPr>
                <w:rFonts w:cs="Tahoma"/>
                <w:szCs w:val="18"/>
              </w:rPr>
              <w:t>.</w:t>
            </w:r>
            <w:r w:rsidRPr="00A75DF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75DF9" w:rsidRDefault="000D4ECA" w:rsidP="000D4ECA">
            <w:pPr>
              <w:spacing w:after="60"/>
              <w:jc w:val="center"/>
              <w:rPr>
                <w:rFonts w:cs="Tahoma"/>
                <w:szCs w:val="18"/>
              </w:rPr>
            </w:pPr>
            <w:r w:rsidRPr="00A75DF9">
              <w:rPr>
                <w:rFonts w:cs="Tahoma"/>
                <w:szCs w:val="18"/>
              </w:rPr>
              <w:t>5</w:t>
            </w:r>
          </w:p>
        </w:tc>
      </w:tr>
      <w:tr w:rsidR="000D4ECA" w:rsidRPr="00A75DF9"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75DF9" w:rsidRDefault="000D4ECA" w:rsidP="00036631">
            <w:pPr>
              <w:spacing w:after="60"/>
              <w:jc w:val="center"/>
              <w:rPr>
                <w:rFonts w:cs="Tahoma"/>
                <w:szCs w:val="18"/>
              </w:rPr>
            </w:pPr>
            <w:r w:rsidRPr="00A75DF9">
              <w:rPr>
                <w:rFonts w:cs="Tahoma"/>
                <w:szCs w:val="18"/>
              </w:rPr>
              <w:t>4</w:t>
            </w:r>
            <w:r w:rsidR="00036631">
              <w:rPr>
                <w:rFonts w:cs="Tahoma"/>
                <w:szCs w:val="18"/>
              </w:rPr>
              <w:t>.</w:t>
            </w:r>
            <w:r w:rsidRPr="00A75DF9">
              <w:rPr>
                <w:rFonts w:cs="Tahoma"/>
                <w:szCs w:val="18"/>
              </w:rPr>
              <w:t>000 – 29</w:t>
            </w:r>
            <w:r w:rsidR="00036631">
              <w:rPr>
                <w:rFonts w:cs="Tahoma"/>
                <w:szCs w:val="18"/>
              </w:rPr>
              <w:t>.</w:t>
            </w:r>
            <w:r w:rsidRPr="00A75DF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75DF9" w:rsidRDefault="000D4ECA" w:rsidP="000D4ECA">
            <w:pPr>
              <w:spacing w:after="60"/>
              <w:jc w:val="center"/>
              <w:rPr>
                <w:rFonts w:cs="Tahoma"/>
                <w:szCs w:val="18"/>
              </w:rPr>
            </w:pPr>
            <w:r w:rsidRPr="00A75DF9">
              <w:rPr>
                <w:rFonts w:cs="Tahoma"/>
                <w:szCs w:val="18"/>
              </w:rPr>
              <w:t>10</w:t>
            </w:r>
          </w:p>
        </w:tc>
      </w:tr>
      <w:tr w:rsidR="000D4ECA" w:rsidRPr="00A75DF9"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75DF9" w:rsidRDefault="000D4ECA" w:rsidP="00036631">
            <w:pPr>
              <w:spacing w:after="60"/>
              <w:jc w:val="center"/>
              <w:rPr>
                <w:rFonts w:cs="Tahoma"/>
                <w:szCs w:val="18"/>
              </w:rPr>
            </w:pPr>
            <w:r w:rsidRPr="00A75DF9">
              <w:rPr>
                <w:rFonts w:cs="Tahoma"/>
                <w:szCs w:val="18"/>
              </w:rPr>
              <w:t>30</w:t>
            </w:r>
            <w:r w:rsidR="00036631">
              <w:rPr>
                <w:rFonts w:cs="Tahoma"/>
                <w:szCs w:val="18"/>
              </w:rPr>
              <w:t>.</w:t>
            </w:r>
            <w:r w:rsidRPr="00A75DF9">
              <w:rPr>
                <w:rFonts w:cs="Tahoma"/>
                <w:szCs w:val="18"/>
              </w:rPr>
              <w:t>000 – 49</w:t>
            </w:r>
            <w:r w:rsidR="00036631">
              <w:rPr>
                <w:rFonts w:cs="Tahoma"/>
                <w:szCs w:val="18"/>
              </w:rPr>
              <w:t>.</w:t>
            </w:r>
            <w:r w:rsidRPr="00A75DF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75DF9" w:rsidRDefault="000D4ECA" w:rsidP="000D4ECA">
            <w:pPr>
              <w:spacing w:after="60"/>
              <w:jc w:val="center"/>
              <w:rPr>
                <w:rFonts w:cs="Tahoma"/>
                <w:szCs w:val="18"/>
              </w:rPr>
            </w:pPr>
            <w:r w:rsidRPr="00A75DF9">
              <w:rPr>
                <w:rFonts w:cs="Tahoma"/>
                <w:szCs w:val="18"/>
              </w:rPr>
              <w:t>15</w:t>
            </w:r>
          </w:p>
        </w:tc>
      </w:tr>
      <w:tr w:rsidR="000D4ECA" w:rsidRPr="00A75DF9"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75DF9" w:rsidRDefault="000D4ECA" w:rsidP="00036631">
            <w:pPr>
              <w:spacing w:after="60"/>
              <w:jc w:val="center"/>
              <w:rPr>
                <w:rFonts w:cs="Tahoma"/>
                <w:szCs w:val="18"/>
              </w:rPr>
            </w:pPr>
            <w:r w:rsidRPr="00A75DF9">
              <w:rPr>
                <w:rFonts w:cs="Tahoma"/>
                <w:szCs w:val="18"/>
              </w:rPr>
              <w:t>50</w:t>
            </w:r>
            <w:r w:rsidR="00036631">
              <w:rPr>
                <w:rFonts w:cs="Tahoma"/>
                <w:szCs w:val="18"/>
              </w:rPr>
              <w:t>.</w:t>
            </w:r>
            <w:r w:rsidRPr="00A75DF9">
              <w:rPr>
                <w:rFonts w:cs="Tahoma"/>
                <w:szCs w:val="18"/>
              </w:rPr>
              <w:t>000 – 99</w:t>
            </w:r>
            <w:r w:rsidR="00036631">
              <w:rPr>
                <w:rFonts w:cs="Tahoma"/>
                <w:szCs w:val="18"/>
              </w:rPr>
              <w:t>.</w:t>
            </w:r>
            <w:r w:rsidRPr="00A75DF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75DF9" w:rsidRDefault="000D4ECA" w:rsidP="000D4ECA">
            <w:pPr>
              <w:spacing w:after="60"/>
              <w:jc w:val="center"/>
              <w:rPr>
                <w:rFonts w:cs="Tahoma"/>
                <w:szCs w:val="18"/>
              </w:rPr>
            </w:pPr>
            <w:r w:rsidRPr="00A75DF9">
              <w:rPr>
                <w:rFonts w:cs="Tahoma"/>
                <w:szCs w:val="18"/>
              </w:rPr>
              <w:t>20</w:t>
            </w:r>
          </w:p>
        </w:tc>
      </w:tr>
      <w:tr w:rsidR="000D4ECA" w:rsidRPr="00A75DF9"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75DF9" w:rsidRDefault="000D4ECA" w:rsidP="00036631">
            <w:pPr>
              <w:spacing w:after="60"/>
              <w:jc w:val="center"/>
              <w:rPr>
                <w:rFonts w:cs="Tahoma"/>
                <w:szCs w:val="18"/>
              </w:rPr>
            </w:pPr>
            <w:r w:rsidRPr="00A75DF9">
              <w:rPr>
                <w:rFonts w:cs="Tahoma"/>
                <w:szCs w:val="18"/>
              </w:rPr>
              <w:t>100</w:t>
            </w:r>
            <w:r w:rsidR="00036631">
              <w:rPr>
                <w:rFonts w:cs="Tahoma"/>
                <w:szCs w:val="18"/>
              </w:rPr>
              <w:t>.</w:t>
            </w:r>
            <w:r w:rsidRPr="00A75DF9">
              <w:rPr>
                <w:rFonts w:cs="Tahoma"/>
                <w:szCs w:val="18"/>
              </w:rPr>
              <w:t>000 – 199</w:t>
            </w:r>
            <w:r w:rsidR="00036631">
              <w:rPr>
                <w:rFonts w:cs="Tahoma"/>
                <w:szCs w:val="18"/>
              </w:rPr>
              <w:t>.</w:t>
            </w:r>
            <w:r w:rsidRPr="00A75DF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75DF9" w:rsidRDefault="000D4ECA" w:rsidP="000D4ECA">
            <w:pPr>
              <w:spacing w:after="60"/>
              <w:jc w:val="center"/>
              <w:rPr>
                <w:rFonts w:cs="Tahoma"/>
                <w:szCs w:val="18"/>
              </w:rPr>
            </w:pPr>
            <w:r w:rsidRPr="00A75DF9">
              <w:rPr>
                <w:rFonts w:cs="Tahoma"/>
                <w:szCs w:val="18"/>
              </w:rPr>
              <w:t>30</w:t>
            </w:r>
          </w:p>
        </w:tc>
      </w:tr>
      <w:tr w:rsidR="000D4ECA" w:rsidRPr="00A75DF9"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75DF9" w:rsidRDefault="000D4ECA" w:rsidP="00036631">
            <w:pPr>
              <w:spacing w:after="60"/>
              <w:jc w:val="center"/>
              <w:rPr>
                <w:rFonts w:cs="Tahoma"/>
                <w:szCs w:val="18"/>
              </w:rPr>
            </w:pPr>
            <w:r w:rsidRPr="00A75DF9">
              <w:rPr>
                <w:rFonts w:cs="Tahoma"/>
                <w:szCs w:val="18"/>
              </w:rPr>
              <w:t>200</w:t>
            </w:r>
            <w:r w:rsidR="00036631">
              <w:rPr>
                <w:rFonts w:cs="Tahoma"/>
                <w:szCs w:val="18"/>
              </w:rPr>
              <w:t>.</w:t>
            </w:r>
            <w:r w:rsidRPr="00A75DF9">
              <w:rPr>
                <w:rFonts w:cs="Tahoma"/>
                <w:szCs w:val="18"/>
              </w:rPr>
              <w:t>000 – 399</w:t>
            </w:r>
            <w:r w:rsidR="00036631">
              <w:rPr>
                <w:rFonts w:cs="Tahoma"/>
                <w:szCs w:val="18"/>
              </w:rPr>
              <w:t>.</w:t>
            </w:r>
            <w:r w:rsidRPr="00A75DF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75DF9" w:rsidRDefault="000D4ECA" w:rsidP="000D4ECA">
            <w:pPr>
              <w:spacing w:after="60"/>
              <w:jc w:val="center"/>
              <w:rPr>
                <w:rFonts w:cs="Tahoma"/>
                <w:szCs w:val="18"/>
              </w:rPr>
            </w:pPr>
            <w:r w:rsidRPr="00A75DF9">
              <w:rPr>
                <w:rFonts w:cs="Tahoma"/>
                <w:szCs w:val="18"/>
              </w:rPr>
              <w:t>40</w:t>
            </w:r>
          </w:p>
        </w:tc>
      </w:tr>
      <w:tr w:rsidR="000D4ECA" w:rsidRPr="00A75DF9"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75DF9" w:rsidRDefault="000D4ECA" w:rsidP="00036631">
            <w:pPr>
              <w:spacing w:after="60"/>
              <w:jc w:val="center"/>
              <w:rPr>
                <w:rFonts w:cs="Tahoma"/>
                <w:szCs w:val="18"/>
              </w:rPr>
            </w:pPr>
            <w:r w:rsidRPr="00A75DF9">
              <w:rPr>
                <w:rFonts w:cs="Tahoma"/>
                <w:szCs w:val="18"/>
              </w:rPr>
              <w:t>400</w:t>
            </w:r>
            <w:r w:rsidR="00036631">
              <w:rPr>
                <w:rFonts w:cs="Tahoma"/>
                <w:szCs w:val="18"/>
              </w:rPr>
              <w:t>.</w:t>
            </w:r>
            <w:r w:rsidRPr="00A75DF9">
              <w:rPr>
                <w:rFonts w:cs="Tahoma"/>
                <w:szCs w:val="18"/>
              </w:rPr>
              <w:t>000 – 599</w:t>
            </w:r>
            <w:r w:rsidR="00036631">
              <w:rPr>
                <w:rFonts w:cs="Tahoma"/>
                <w:szCs w:val="18"/>
              </w:rPr>
              <w:t>.</w:t>
            </w:r>
            <w:r w:rsidRPr="00A75DF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75DF9" w:rsidRDefault="000D4ECA" w:rsidP="000D4ECA">
            <w:pPr>
              <w:spacing w:after="60"/>
              <w:jc w:val="center"/>
              <w:rPr>
                <w:rFonts w:cs="Tahoma"/>
                <w:szCs w:val="18"/>
              </w:rPr>
            </w:pPr>
            <w:r w:rsidRPr="00A75DF9">
              <w:rPr>
                <w:rFonts w:cs="Tahoma"/>
                <w:szCs w:val="18"/>
              </w:rPr>
              <w:t>50</w:t>
            </w:r>
          </w:p>
        </w:tc>
      </w:tr>
      <w:tr w:rsidR="000D4ECA" w:rsidRPr="00A75DF9"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75DF9" w:rsidRDefault="000D4ECA" w:rsidP="00036631">
            <w:pPr>
              <w:spacing w:after="60"/>
              <w:jc w:val="center"/>
              <w:rPr>
                <w:rFonts w:cs="Tahoma"/>
                <w:szCs w:val="18"/>
              </w:rPr>
            </w:pPr>
            <w:r w:rsidRPr="00A75DF9">
              <w:rPr>
                <w:rFonts w:cs="Tahoma"/>
                <w:szCs w:val="18"/>
              </w:rPr>
              <w:t>600</w:t>
            </w:r>
            <w:r w:rsidR="00036631">
              <w:rPr>
                <w:rFonts w:cs="Tahoma"/>
                <w:szCs w:val="18"/>
              </w:rPr>
              <w:t>.</w:t>
            </w:r>
            <w:r w:rsidRPr="00A75DF9">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75DF9" w:rsidRDefault="000D4ECA" w:rsidP="000D4ECA">
            <w:pPr>
              <w:spacing w:after="60"/>
              <w:jc w:val="center"/>
              <w:rPr>
                <w:rFonts w:cs="Tahoma"/>
                <w:szCs w:val="18"/>
              </w:rPr>
            </w:pPr>
            <w:r w:rsidRPr="00A75DF9">
              <w:rPr>
                <w:rFonts w:cs="Tahoma"/>
                <w:szCs w:val="18"/>
              </w:rPr>
              <w:t>75</w:t>
            </w:r>
          </w:p>
        </w:tc>
      </w:tr>
    </w:tbl>
    <w:p w:rsidR="000D4ECA" w:rsidRPr="00A75DF9" w:rsidRDefault="000D4ECA" w:rsidP="0063466C">
      <w:pPr>
        <w:rPr>
          <w:rFonts w:cs="Tahoma"/>
        </w:rPr>
      </w:pPr>
    </w:p>
    <w:p w:rsidR="000D4ECA" w:rsidRPr="00A75DF9" w:rsidRDefault="000D4ECA" w:rsidP="0063466C">
      <w:pPr>
        <w:rPr>
          <w:rFonts w:cs="Tahoma"/>
        </w:rPr>
      </w:pPr>
      <w:r w:rsidRPr="00A75DF9">
        <w:rPr>
          <w:rFonts w:cs="Tahoma"/>
          <w:szCs w:val="18"/>
        </w:rPr>
        <w:t xml:space="preserve">La copertura SA per Core CAL Suite e CAL per SQL conta come </w:t>
      </w:r>
      <w:r w:rsidRPr="00A75DF9">
        <w:rPr>
          <w:rFonts w:cs="Tahoma"/>
          <w:szCs w:val="18"/>
          <w:u w:val="single"/>
        </w:rPr>
        <w:t xml:space="preserve">un (1) punto </w:t>
      </w:r>
      <w:r w:rsidRPr="00A75DF9">
        <w:rPr>
          <w:rFonts w:cs="Tahoma"/>
          <w:szCs w:val="18"/>
        </w:rPr>
        <w:t xml:space="preserve">per il raggiungimento della soglia indicata nella prima colonna che segue; la copertura SA per Enterprise CAL Suite conta </w:t>
      </w:r>
      <w:r w:rsidRPr="00A75DF9">
        <w:rPr>
          <w:rFonts w:cs="Tahoma"/>
          <w:szCs w:val="18"/>
          <w:u w:val="single"/>
        </w:rPr>
        <w:t>come due (2) punti</w:t>
      </w:r>
      <w:r w:rsidRPr="00A75DF9">
        <w:rPr>
          <w:rFonts w:cs="Tahoma"/>
          <w:szCs w:val="18"/>
        </w:rPr>
        <w:t xml:space="preserve"> per il raggiungimento della soglia indicata nella prima colonna che segue:</w:t>
      </w:r>
    </w:p>
    <w:p w:rsidR="000D4ECA" w:rsidRPr="00A75DF9" w:rsidRDefault="000D4ECA" w:rsidP="0063466C">
      <w:pPr>
        <w:rPr>
          <w:rFonts w:cs="Tahoma"/>
        </w:rPr>
      </w:pPr>
    </w:p>
    <w:tbl>
      <w:tblPr>
        <w:tblW w:w="6120" w:type="dxa"/>
        <w:tblInd w:w="1648" w:type="dxa"/>
        <w:tblCellMar>
          <w:left w:w="0" w:type="dxa"/>
          <w:right w:w="0" w:type="dxa"/>
        </w:tblCellMar>
        <w:tblLook w:val="04A0" w:firstRow="1" w:lastRow="0" w:firstColumn="1" w:lastColumn="0" w:noHBand="0" w:noVBand="1"/>
      </w:tblPr>
      <w:tblGrid>
        <w:gridCol w:w="3330"/>
        <w:gridCol w:w="2790"/>
      </w:tblGrid>
      <w:tr w:rsidR="000D4ECA" w:rsidRPr="00A75DF9" w:rsidTr="0044720D">
        <w:trPr>
          <w:trHeight w:val="298"/>
          <w:tblHeader/>
        </w:trPr>
        <w:tc>
          <w:tcPr>
            <w:tcW w:w="333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A75DF9" w:rsidRDefault="000D4ECA" w:rsidP="000D4ECA">
            <w:pPr>
              <w:spacing w:after="60"/>
              <w:jc w:val="center"/>
              <w:rPr>
                <w:rFonts w:cs="Tahoma"/>
                <w:szCs w:val="18"/>
              </w:rPr>
            </w:pPr>
            <w:r w:rsidRPr="00A75DF9">
              <w:rPr>
                <w:rFonts w:cs="Tahoma"/>
                <w:b/>
                <w:bCs/>
                <w:szCs w:val="18"/>
              </w:rPr>
              <w:t>CAL Suite</w:t>
            </w:r>
          </w:p>
        </w:tc>
        <w:tc>
          <w:tcPr>
            <w:tcW w:w="2790" w:type="dxa"/>
            <w:tcBorders>
              <w:top w:val="single" w:sz="8" w:space="0" w:color="000000"/>
              <w:left w:val="single" w:sz="8" w:space="0" w:color="000000"/>
              <w:bottom w:val="single" w:sz="8" w:space="0" w:color="000000"/>
              <w:right w:val="single" w:sz="8" w:space="0" w:color="000000"/>
            </w:tcBorders>
            <w:shd w:val="clear" w:color="auto" w:fill="FABF8F"/>
            <w:tcMar>
              <w:top w:w="15" w:type="dxa"/>
              <w:left w:w="108" w:type="dxa"/>
              <w:bottom w:w="0" w:type="dxa"/>
              <w:right w:w="108" w:type="dxa"/>
            </w:tcMar>
          </w:tcPr>
          <w:p w:rsidR="000D4ECA" w:rsidRPr="00A75DF9" w:rsidRDefault="000D4ECA" w:rsidP="000D4ECA">
            <w:pPr>
              <w:spacing w:after="60"/>
              <w:rPr>
                <w:rFonts w:cs="Tahoma"/>
                <w:szCs w:val="18"/>
              </w:rPr>
            </w:pPr>
            <w:r w:rsidRPr="00A75DF9">
              <w:rPr>
                <w:rFonts w:cs="Tahoma"/>
                <w:b/>
                <w:bCs/>
                <w:szCs w:val="18"/>
              </w:rPr>
              <w:t xml:space="preserve">Giorni Planning Services </w:t>
            </w:r>
          </w:p>
        </w:tc>
      </w:tr>
      <w:tr w:rsidR="000D4ECA" w:rsidRPr="00A75DF9" w:rsidTr="0044720D">
        <w:trPr>
          <w:trHeight w:val="23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75DF9" w:rsidRDefault="000D4ECA" w:rsidP="003A4BBE">
            <w:pPr>
              <w:spacing w:after="60"/>
              <w:jc w:val="center"/>
              <w:rPr>
                <w:rFonts w:cs="Tahoma"/>
                <w:szCs w:val="18"/>
              </w:rPr>
            </w:pPr>
            <w:r w:rsidRPr="00A75DF9">
              <w:rPr>
                <w:rFonts w:cs="Tahoma"/>
                <w:szCs w:val="18"/>
              </w:rPr>
              <w:t>200</w:t>
            </w:r>
            <w:r w:rsidR="00036631">
              <w:rPr>
                <w:rFonts w:cs="Tahoma"/>
                <w:szCs w:val="18"/>
              </w:rPr>
              <w:t xml:space="preserve"> </w:t>
            </w:r>
            <w:r w:rsidR="00036631" w:rsidRPr="00A75DF9">
              <w:rPr>
                <w:rFonts w:cs="Tahoma"/>
                <w:szCs w:val="18"/>
              </w:rPr>
              <w:t>–</w:t>
            </w:r>
            <w:r w:rsidR="00036631">
              <w:rPr>
                <w:rFonts w:cs="Tahoma"/>
                <w:szCs w:val="18"/>
              </w:rPr>
              <w:t xml:space="preserve"> </w:t>
            </w:r>
            <w:r w:rsidRPr="00A75DF9">
              <w:rPr>
                <w:rFonts w:cs="Tahoma"/>
                <w:szCs w:val="18"/>
              </w:rPr>
              <w:t>3</w:t>
            </w:r>
            <w:r w:rsidR="003A4BBE">
              <w:rPr>
                <w:rFonts w:cs="Tahoma"/>
                <w:szCs w:val="18"/>
              </w:rPr>
              <w:t>.</w:t>
            </w:r>
            <w:r w:rsidRPr="00A75DF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75DF9" w:rsidRDefault="000D4ECA" w:rsidP="000D4ECA">
            <w:pPr>
              <w:spacing w:after="60"/>
              <w:jc w:val="center"/>
              <w:rPr>
                <w:rFonts w:cs="Tahoma"/>
                <w:szCs w:val="18"/>
              </w:rPr>
            </w:pPr>
            <w:r w:rsidRPr="00A75DF9">
              <w:rPr>
                <w:rFonts w:cs="Tahoma"/>
                <w:szCs w:val="18"/>
              </w:rPr>
              <w:t>1</w:t>
            </w:r>
          </w:p>
        </w:tc>
      </w:tr>
      <w:tr w:rsidR="000D4ECA" w:rsidRPr="00A75DF9" w:rsidTr="0044720D">
        <w:trPr>
          <w:trHeight w:val="5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75DF9" w:rsidRDefault="000D4ECA" w:rsidP="00036631">
            <w:pPr>
              <w:spacing w:after="60"/>
              <w:jc w:val="center"/>
              <w:rPr>
                <w:rFonts w:cs="Tahoma"/>
                <w:szCs w:val="18"/>
              </w:rPr>
            </w:pPr>
            <w:r w:rsidRPr="00A75DF9">
              <w:rPr>
                <w:rFonts w:cs="Tahoma"/>
                <w:szCs w:val="18"/>
              </w:rPr>
              <w:t>4</w:t>
            </w:r>
            <w:r w:rsidR="00036631">
              <w:rPr>
                <w:rFonts w:cs="Tahoma"/>
                <w:szCs w:val="18"/>
              </w:rPr>
              <w:t>.</w:t>
            </w:r>
            <w:r w:rsidRPr="00A75DF9">
              <w:rPr>
                <w:rFonts w:cs="Tahoma"/>
                <w:szCs w:val="18"/>
              </w:rPr>
              <w:t>000 – 9</w:t>
            </w:r>
            <w:r w:rsidR="00036631">
              <w:rPr>
                <w:rFonts w:cs="Tahoma"/>
                <w:szCs w:val="18"/>
              </w:rPr>
              <w:t>.</w:t>
            </w:r>
            <w:r w:rsidRPr="00A75DF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75DF9" w:rsidRDefault="000D4ECA" w:rsidP="000D4ECA">
            <w:pPr>
              <w:spacing w:after="60"/>
              <w:jc w:val="center"/>
              <w:rPr>
                <w:rFonts w:cs="Tahoma"/>
                <w:szCs w:val="18"/>
              </w:rPr>
            </w:pPr>
            <w:r w:rsidRPr="00A75DF9">
              <w:rPr>
                <w:rFonts w:cs="Tahoma"/>
                <w:szCs w:val="18"/>
              </w:rPr>
              <w:t>3</w:t>
            </w:r>
          </w:p>
        </w:tc>
      </w:tr>
      <w:tr w:rsidR="000D4ECA" w:rsidRPr="00A75DF9"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75DF9" w:rsidRDefault="000D4ECA" w:rsidP="00036631">
            <w:pPr>
              <w:spacing w:after="60"/>
              <w:jc w:val="center"/>
              <w:rPr>
                <w:rFonts w:cs="Tahoma"/>
                <w:szCs w:val="18"/>
              </w:rPr>
            </w:pPr>
            <w:r w:rsidRPr="00A75DF9">
              <w:rPr>
                <w:rFonts w:cs="Tahoma"/>
                <w:szCs w:val="18"/>
              </w:rPr>
              <w:t>10</w:t>
            </w:r>
            <w:r w:rsidR="00036631">
              <w:rPr>
                <w:rFonts w:cs="Tahoma"/>
                <w:szCs w:val="18"/>
              </w:rPr>
              <w:t>.</w:t>
            </w:r>
            <w:r w:rsidRPr="00A75DF9">
              <w:rPr>
                <w:rFonts w:cs="Tahoma"/>
                <w:szCs w:val="18"/>
              </w:rPr>
              <w:t>000 – 99</w:t>
            </w:r>
            <w:r w:rsidR="00036631">
              <w:rPr>
                <w:rFonts w:cs="Tahoma"/>
                <w:szCs w:val="18"/>
              </w:rPr>
              <w:t>.</w:t>
            </w:r>
            <w:r w:rsidRPr="00A75DF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75DF9" w:rsidRDefault="000D4ECA" w:rsidP="000D4ECA">
            <w:pPr>
              <w:spacing w:after="60"/>
              <w:jc w:val="center"/>
              <w:rPr>
                <w:rFonts w:cs="Tahoma"/>
                <w:szCs w:val="18"/>
              </w:rPr>
            </w:pPr>
            <w:r w:rsidRPr="00A75DF9">
              <w:rPr>
                <w:rFonts w:cs="Tahoma"/>
                <w:szCs w:val="18"/>
              </w:rPr>
              <w:t>5</w:t>
            </w:r>
          </w:p>
        </w:tc>
      </w:tr>
      <w:tr w:rsidR="000D4ECA" w:rsidRPr="00A75DF9"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75DF9" w:rsidRDefault="000D4ECA" w:rsidP="00036631">
            <w:pPr>
              <w:spacing w:after="60"/>
              <w:jc w:val="center"/>
              <w:rPr>
                <w:rFonts w:cs="Tahoma"/>
                <w:szCs w:val="18"/>
              </w:rPr>
            </w:pPr>
            <w:r w:rsidRPr="00A75DF9">
              <w:rPr>
                <w:rFonts w:cs="Tahoma"/>
                <w:szCs w:val="18"/>
              </w:rPr>
              <w:t>100</w:t>
            </w:r>
            <w:r w:rsidR="00036631">
              <w:rPr>
                <w:rFonts w:cs="Tahoma"/>
                <w:szCs w:val="18"/>
              </w:rPr>
              <w:t>.</w:t>
            </w:r>
            <w:r w:rsidRPr="00A75DF9">
              <w:rPr>
                <w:rFonts w:cs="Tahoma"/>
                <w:szCs w:val="18"/>
              </w:rPr>
              <w:t>000 – 299</w:t>
            </w:r>
            <w:r w:rsidR="00036631">
              <w:rPr>
                <w:rFonts w:cs="Tahoma"/>
                <w:szCs w:val="18"/>
              </w:rPr>
              <w:t>.</w:t>
            </w:r>
            <w:r w:rsidRPr="00A75DF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75DF9" w:rsidRDefault="000D4ECA" w:rsidP="000D4ECA">
            <w:pPr>
              <w:spacing w:after="60"/>
              <w:jc w:val="center"/>
              <w:rPr>
                <w:rFonts w:cs="Tahoma"/>
                <w:szCs w:val="18"/>
              </w:rPr>
            </w:pPr>
            <w:r w:rsidRPr="00A75DF9">
              <w:rPr>
                <w:rFonts w:cs="Tahoma"/>
                <w:szCs w:val="18"/>
              </w:rPr>
              <w:t>7</w:t>
            </w:r>
          </w:p>
        </w:tc>
      </w:tr>
      <w:tr w:rsidR="000D4ECA" w:rsidRPr="00A75DF9" w:rsidTr="0044720D">
        <w:trPr>
          <w:trHeight w:val="73"/>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75DF9" w:rsidRDefault="000D4ECA" w:rsidP="00036631">
            <w:pPr>
              <w:spacing w:after="60"/>
              <w:jc w:val="center"/>
              <w:rPr>
                <w:rFonts w:cs="Tahoma"/>
                <w:szCs w:val="18"/>
              </w:rPr>
            </w:pPr>
            <w:r w:rsidRPr="00A75DF9">
              <w:rPr>
                <w:rFonts w:cs="Tahoma"/>
                <w:szCs w:val="18"/>
              </w:rPr>
              <w:t>300</w:t>
            </w:r>
            <w:r w:rsidR="00036631">
              <w:rPr>
                <w:rFonts w:cs="Tahoma"/>
                <w:szCs w:val="18"/>
              </w:rPr>
              <w:t>.</w:t>
            </w:r>
            <w:r w:rsidRPr="00A75DF9">
              <w:rPr>
                <w:rFonts w:cs="Tahoma"/>
                <w:szCs w:val="18"/>
              </w:rPr>
              <w:t>000 – 599</w:t>
            </w:r>
            <w:r w:rsidR="00036631">
              <w:rPr>
                <w:rFonts w:cs="Tahoma"/>
                <w:szCs w:val="18"/>
              </w:rPr>
              <w:t>.</w:t>
            </w:r>
            <w:r w:rsidRPr="00A75DF9">
              <w:rPr>
                <w:rFonts w:cs="Tahoma"/>
                <w:szCs w:val="18"/>
              </w:rPr>
              <w:t>999</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75DF9" w:rsidRDefault="000D4ECA" w:rsidP="000D4ECA">
            <w:pPr>
              <w:spacing w:after="60"/>
              <w:jc w:val="center"/>
              <w:rPr>
                <w:rFonts w:cs="Tahoma"/>
                <w:szCs w:val="18"/>
              </w:rPr>
            </w:pPr>
            <w:r w:rsidRPr="00A75DF9">
              <w:rPr>
                <w:rFonts w:cs="Tahoma"/>
                <w:szCs w:val="18"/>
              </w:rPr>
              <w:t>10</w:t>
            </w:r>
          </w:p>
        </w:tc>
      </w:tr>
      <w:tr w:rsidR="000D4ECA" w:rsidRPr="00A75DF9" w:rsidTr="0044720D">
        <w:trPr>
          <w:trHeight w:val="45"/>
        </w:trPr>
        <w:tc>
          <w:tcPr>
            <w:tcW w:w="333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75DF9" w:rsidRDefault="000D4ECA" w:rsidP="00036631">
            <w:pPr>
              <w:spacing w:after="60"/>
              <w:jc w:val="center"/>
              <w:rPr>
                <w:rFonts w:cs="Tahoma"/>
                <w:szCs w:val="18"/>
              </w:rPr>
            </w:pPr>
            <w:r w:rsidRPr="00A75DF9">
              <w:rPr>
                <w:rFonts w:cs="Tahoma"/>
                <w:szCs w:val="18"/>
              </w:rPr>
              <w:t>600</w:t>
            </w:r>
            <w:r w:rsidR="00036631">
              <w:rPr>
                <w:rFonts w:cs="Tahoma"/>
                <w:szCs w:val="18"/>
              </w:rPr>
              <w:t>.</w:t>
            </w:r>
            <w:r w:rsidRPr="00A75DF9">
              <w:rPr>
                <w:rFonts w:cs="Tahoma"/>
                <w:szCs w:val="18"/>
              </w:rPr>
              <w:t>000 +</w:t>
            </w:r>
          </w:p>
        </w:tc>
        <w:tc>
          <w:tcPr>
            <w:tcW w:w="2790" w:type="dxa"/>
            <w:tcBorders>
              <w:top w:val="single" w:sz="8" w:space="0" w:color="000000"/>
              <w:left w:val="single" w:sz="8" w:space="0" w:color="000000"/>
              <w:bottom w:val="single" w:sz="8" w:space="0" w:color="000000"/>
              <w:right w:val="single" w:sz="8" w:space="0" w:color="000000"/>
            </w:tcBorders>
            <w:shd w:val="clear" w:color="auto" w:fill="FFFFFF"/>
            <w:tcMar>
              <w:top w:w="15" w:type="dxa"/>
              <w:left w:w="108" w:type="dxa"/>
              <w:bottom w:w="0" w:type="dxa"/>
              <w:right w:w="108" w:type="dxa"/>
            </w:tcMar>
          </w:tcPr>
          <w:p w:rsidR="000D4ECA" w:rsidRPr="00A75DF9" w:rsidRDefault="000D4ECA" w:rsidP="000D4ECA">
            <w:pPr>
              <w:spacing w:after="60"/>
              <w:jc w:val="center"/>
              <w:rPr>
                <w:rFonts w:cs="Tahoma"/>
                <w:szCs w:val="18"/>
              </w:rPr>
            </w:pPr>
            <w:r w:rsidRPr="00A75DF9">
              <w:rPr>
                <w:rFonts w:cs="Tahoma"/>
                <w:szCs w:val="18"/>
              </w:rPr>
              <w:t>12</w:t>
            </w:r>
          </w:p>
        </w:tc>
      </w:tr>
    </w:tbl>
    <w:p w:rsidR="001C1727" w:rsidRPr="00A75DF9" w:rsidRDefault="001C1727">
      <w:pPr>
        <w:rPr>
          <w:rFonts w:cs="Tahoma"/>
        </w:rPr>
      </w:pPr>
    </w:p>
    <w:p w:rsidR="000D4ECA" w:rsidRPr="00A75DF9" w:rsidRDefault="000D4ECA" w:rsidP="000D4ECA">
      <w:pPr>
        <w:spacing w:after="60"/>
        <w:rPr>
          <w:rFonts w:cs="Tahoma"/>
        </w:rPr>
      </w:pPr>
      <w:r w:rsidRPr="00A75DF9">
        <w:rPr>
          <w:rFonts w:cs="Tahoma"/>
          <w:szCs w:val="20"/>
        </w:rPr>
        <w:t>Esempi</w:t>
      </w:r>
    </w:p>
    <w:p w:rsidR="000D4ECA" w:rsidRPr="00A75DF9" w:rsidRDefault="000D4ECA" w:rsidP="000D4ECA">
      <w:pPr>
        <w:spacing w:after="60"/>
        <w:rPr>
          <w:rFonts w:cs="Tahoma"/>
        </w:rPr>
      </w:pPr>
      <w:r w:rsidRPr="00A75DF9">
        <w:rPr>
          <w:rFonts w:cs="Tahoma"/>
          <w:szCs w:val="20"/>
        </w:rPr>
        <w:t>Contratto Open Value con:</w:t>
      </w:r>
    </w:p>
    <w:p w:rsidR="000D4ECA" w:rsidRPr="00A75DF9" w:rsidRDefault="000D4ECA" w:rsidP="000D4ECA">
      <w:pPr>
        <w:spacing w:after="60"/>
        <w:rPr>
          <w:rFonts w:cs="Tahoma"/>
        </w:rPr>
      </w:pPr>
      <w:r w:rsidRPr="00A75DF9">
        <w:rPr>
          <w:rFonts w:cs="Tahoma"/>
          <w:szCs w:val="20"/>
        </w:rPr>
        <w:t>150 Office Professional Plus L&amp;SA</w:t>
      </w:r>
    </w:p>
    <w:p w:rsidR="000D4ECA" w:rsidRPr="00A75DF9" w:rsidRDefault="000D4ECA" w:rsidP="000D4ECA">
      <w:pPr>
        <w:spacing w:after="60"/>
        <w:rPr>
          <w:rFonts w:cs="Tahoma"/>
        </w:rPr>
      </w:pPr>
      <w:r w:rsidRPr="00A75DF9">
        <w:rPr>
          <w:rFonts w:cs="Tahoma"/>
          <w:szCs w:val="20"/>
          <w:u w:val="single"/>
        </w:rPr>
        <w:t>+50 SA per Visio Standard</w:t>
      </w:r>
      <w:r w:rsidRPr="00A75DF9">
        <w:rPr>
          <w:rFonts w:cs="Tahoma"/>
          <w:szCs w:val="20"/>
          <w:u w:val="single"/>
        </w:rPr>
        <w:tab/>
      </w:r>
    </w:p>
    <w:p w:rsidR="000D4ECA" w:rsidRPr="00A75DF9" w:rsidRDefault="000D4ECA" w:rsidP="000D4ECA">
      <w:pPr>
        <w:spacing w:after="60"/>
        <w:rPr>
          <w:rFonts w:cs="Tahoma"/>
        </w:rPr>
      </w:pPr>
      <w:r w:rsidRPr="00A75DF9">
        <w:rPr>
          <w:rFonts w:cs="Tahoma"/>
          <w:szCs w:val="20"/>
        </w:rPr>
        <w:t>200 Punti di Licenze per Applicazioni Office e/o Server = 1 giorno</w:t>
      </w:r>
    </w:p>
    <w:p w:rsidR="000D4ECA" w:rsidRPr="00A75DF9" w:rsidRDefault="000D4ECA" w:rsidP="00077CE5">
      <w:pPr>
        <w:rPr>
          <w:rFonts w:cs="Tahoma"/>
        </w:rPr>
      </w:pPr>
    </w:p>
    <w:p w:rsidR="000D4ECA" w:rsidRPr="00A75DF9" w:rsidRDefault="000D4ECA" w:rsidP="000D4ECA">
      <w:pPr>
        <w:spacing w:after="60"/>
        <w:rPr>
          <w:rFonts w:cs="Tahoma"/>
        </w:rPr>
      </w:pPr>
      <w:r w:rsidRPr="00A75DF9">
        <w:rPr>
          <w:rFonts w:cs="Tahoma"/>
          <w:szCs w:val="20"/>
        </w:rPr>
        <w:t>Iscrizione Select o Select Plus SAM con:</w:t>
      </w:r>
    </w:p>
    <w:p w:rsidR="000D4ECA" w:rsidRPr="00A75DF9" w:rsidRDefault="000D4ECA" w:rsidP="000D4ECA">
      <w:pPr>
        <w:spacing w:after="60"/>
        <w:rPr>
          <w:rFonts w:cs="Tahoma"/>
        </w:rPr>
      </w:pPr>
      <w:r w:rsidRPr="00A75DF9">
        <w:rPr>
          <w:rFonts w:cs="Tahoma"/>
          <w:szCs w:val="20"/>
        </w:rPr>
        <w:t>SA per 3.500 Enterprise CAL Suite</w:t>
      </w:r>
    </w:p>
    <w:p w:rsidR="000D4ECA" w:rsidRPr="00A75DF9" w:rsidRDefault="000D4ECA" w:rsidP="000D4ECA">
      <w:pPr>
        <w:spacing w:after="60"/>
        <w:rPr>
          <w:rFonts w:cs="Tahoma"/>
        </w:rPr>
      </w:pPr>
      <w:r w:rsidRPr="00A75DF9">
        <w:rPr>
          <w:rFonts w:cs="Tahoma"/>
          <w:szCs w:val="20"/>
          <w:u w:val="single"/>
        </w:rPr>
        <w:t>x 2 punti ciascuna</w:t>
      </w:r>
      <w:r w:rsidRPr="00A75DF9">
        <w:rPr>
          <w:rFonts w:cs="Tahoma"/>
          <w:szCs w:val="20"/>
          <w:u w:val="single"/>
        </w:rPr>
        <w:tab/>
      </w:r>
      <w:r w:rsidRPr="00A75DF9">
        <w:rPr>
          <w:rFonts w:cs="Tahoma"/>
          <w:szCs w:val="20"/>
          <w:u w:val="single"/>
        </w:rPr>
        <w:tab/>
      </w:r>
      <w:r w:rsidRPr="00A75DF9">
        <w:rPr>
          <w:rFonts w:cs="Tahoma"/>
          <w:szCs w:val="20"/>
        </w:rPr>
        <w:t xml:space="preserve"> </w:t>
      </w:r>
    </w:p>
    <w:p w:rsidR="000D4ECA" w:rsidRPr="00A75DF9" w:rsidRDefault="000D4ECA" w:rsidP="000D4ECA">
      <w:pPr>
        <w:spacing w:after="60"/>
        <w:rPr>
          <w:rFonts w:cs="Tahoma"/>
        </w:rPr>
      </w:pPr>
      <w:r w:rsidRPr="00A75DF9">
        <w:rPr>
          <w:rFonts w:cs="Tahoma"/>
          <w:szCs w:val="20"/>
        </w:rPr>
        <w:t xml:space="preserve">7.000 punti per CAL = 3 giorni </w:t>
      </w:r>
    </w:p>
    <w:p w:rsidR="000D4ECA" w:rsidRPr="00A75DF9" w:rsidRDefault="000D4ECA" w:rsidP="00077CE5">
      <w:pPr>
        <w:rPr>
          <w:rFonts w:cs="Tahoma"/>
        </w:rPr>
      </w:pPr>
    </w:p>
    <w:p w:rsidR="000D4ECA" w:rsidRPr="00A75DF9" w:rsidRDefault="000D4ECA" w:rsidP="000D4ECA">
      <w:pPr>
        <w:spacing w:after="60"/>
        <w:rPr>
          <w:rFonts w:cs="Tahoma"/>
        </w:rPr>
      </w:pPr>
      <w:r w:rsidRPr="00A75DF9">
        <w:rPr>
          <w:rFonts w:cs="Tahoma"/>
          <w:szCs w:val="20"/>
        </w:rPr>
        <w:t>Iscrizione EA con:</w:t>
      </w:r>
    </w:p>
    <w:p w:rsidR="000D4ECA" w:rsidRPr="00A75DF9" w:rsidRDefault="000D4ECA" w:rsidP="000D4ECA">
      <w:pPr>
        <w:spacing w:after="60"/>
        <w:rPr>
          <w:rFonts w:cs="Tahoma"/>
        </w:rPr>
      </w:pPr>
      <w:r w:rsidRPr="00A75DF9">
        <w:rPr>
          <w:rFonts w:cs="Tahoma"/>
          <w:szCs w:val="20"/>
        </w:rPr>
        <w:t>3.500 Enterprise Desktop</w:t>
      </w:r>
    </w:p>
    <w:p w:rsidR="000D4ECA" w:rsidRPr="00A75DF9" w:rsidRDefault="000D4ECA" w:rsidP="00346F4B">
      <w:pPr>
        <w:numPr>
          <w:ilvl w:val="0"/>
          <w:numId w:val="70"/>
        </w:numPr>
        <w:tabs>
          <w:tab w:val="left" w:pos="720"/>
        </w:tabs>
        <w:spacing w:after="60" w:line="276" w:lineRule="auto"/>
        <w:rPr>
          <w:rFonts w:cs="Tahoma"/>
        </w:rPr>
      </w:pPr>
      <w:r w:rsidRPr="00A75DF9">
        <w:rPr>
          <w:rFonts w:cs="Tahoma"/>
          <w:szCs w:val="20"/>
        </w:rPr>
        <w:t xml:space="preserve">3.500 Office Professional </w:t>
      </w:r>
      <w:r w:rsidRPr="00A75DF9">
        <w:rPr>
          <w:rFonts w:cs="Tahoma"/>
          <w:color w:val="000000"/>
          <w:szCs w:val="20"/>
        </w:rPr>
        <w:t>Plus</w:t>
      </w:r>
    </w:p>
    <w:p w:rsidR="000D4ECA" w:rsidRPr="00A75DF9" w:rsidRDefault="000D4ECA" w:rsidP="00346F4B">
      <w:pPr>
        <w:numPr>
          <w:ilvl w:val="0"/>
          <w:numId w:val="70"/>
        </w:numPr>
        <w:spacing w:after="60" w:line="276" w:lineRule="auto"/>
        <w:rPr>
          <w:rFonts w:cs="Tahoma"/>
        </w:rPr>
      </w:pPr>
      <w:r w:rsidRPr="00A75DF9">
        <w:rPr>
          <w:rFonts w:cs="Tahoma"/>
          <w:color w:val="000000"/>
          <w:szCs w:val="20"/>
        </w:rPr>
        <w:t>3.500 Enterprise CAL Suite</w:t>
      </w:r>
    </w:p>
    <w:p w:rsidR="000D4ECA" w:rsidRPr="00A75DF9" w:rsidRDefault="000D4ECA" w:rsidP="000D4ECA">
      <w:pPr>
        <w:spacing w:after="60"/>
        <w:rPr>
          <w:rFonts w:cs="Tahoma"/>
        </w:rPr>
      </w:pPr>
      <w:r w:rsidRPr="00A75DF9">
        <w:rPr>
          <w:rFonts w:cs="Tahoma"/>
          <w:szCs w:val="20"/>
        </w:rPr>
        <w:t>+50 Windows Server Enterprise Edition (x 50 punti ciascuna = 2.500 punti)</w:t>
      </w:r>
    </w:p>
    <w:p w:rsidR="000D4ECA" w:rsidRPr="00A75DF9" w:rsidRDefault="000D4ECA" w:rsidP="000D4ECA">
      <w:pPr>
        <w:spacing w:after="60"/>
        <w:rPr>
          <w:rFonts w:cs="Tahoma"/>
        </w:rPr>
      </w:pPr>
      <w:r w:rsidRPr="00A75DF9">
        <w:rPr>
          <w:rFonts w:cs="Tahoma"/>
          <w:szCs w:val="20"/>
          <w:u w:val="single"/>
        </w:rPr>
        <w:t>+600 SA per Visio Standard</w:t>
      </w:r>
      <w:r w:rsidRPr="00A75DF9">
        <w:rPr>
          <w:rFonts w:cs="Tahoma"/>
          <w:szCs w:val="20"/>
          <w:u w:val="single"/>
        </w:rPr>
        <w:tab/>
      </w:r>
    </w:p>
    <w:p w:rsidR="000D4ECA" w:rsidRPr="00A75DF9" w:rsidRDefault="000D4ECA" w:rsidP="000D4ECA">
      <w:pPr>
        <w:spacing w:after="60"/>
        <w:rPr>
          <w:rFonts w:cs="Tahoma"/>
        </w:rPr>
      </w:pPr>
      <w:r w:rsidRPr="00A75DF9">
        <w:rPr>
          <w:rFonts w:cs="Tahoma"/>
          <w:szCs w:val="20"/>
        </w:rPr>
        <w:t xml:space="preserve">6.600 Punti per Licenze per Applicazioni Office e/o Server Coperte = 10 giorni </w:t>
      </w:r>
    </w:p>
    <w:p w:rsidR="00036631" w:rsidRDefault="00036631" w:rsidP="000D4ECA">
      <w:pPr>
        <w:spacing w:after="60"/>
        <w:rPr>
          <w:rFonts w:cs="Tahoma"/>
          <w:szCs w:val="20"/>
        </w:rPr>
      </w:pPr>
    </w:p>
    <w:p w:rsidR="000D4ECA" w:rsidRPr="00A75DF9" w:rsidRDefault="000D4ECA" w:rsidP="000D4ECA">
      <w:pPr>
        <w:spacing w:after="60"/>
        <w:rPr>
          <w:rFonts w:cs="Tahoma"/>
        </w:rPr>
      </w:pPr>
      <w:r w:rsidRPr="00A75DF9">
        <w:rPr>
          <w:rFonts w:cs="Tahoma"/>
          <w:szCs w:val="20"/>
        </w:rPr>
        <w:lastRenderedPageBreak/>
        <w:t>7.000 punti per CAL Suite Coperte= 3 giorni</w:t>
      </w:r>
    </w:p>
    <w:p w:rsidR="000D4ECA" w:rsidRPr="00A75DF9" w:rsidRDefault="000D4ECA" w:rsidP="00346F4B">
      <w:pPr>
        <w:numPr>
          <w:ilvl w:val="0"/>
          <w:numId w:val="71"/>
        </w:numPr>
        <w:spacing w:after="60"/>
        <w:ind w:left="720"/>
        <w:rPr>
          <w:rFonts w:cs="Tahoma"/>
        </w:rPr>
      </w:pPr>
      <w:r w:rsidRPr="00A75DF9">
        <w:rPr>
          <w:rFonts w:cs="Tahoma"/>
          <w:szCs w:val="20"/>
        </w:rPr>
        <w:t>Totale 13 Giorni Planning Services</w:t>
      </w:r>
    </w:p>
    <w:p w:rsidR="000D4ECA" w:rsidRPr="00A75DF9" w:rsidRDefault="000D4ECA" w:rsidP="000D4ECA">
      <w:pPr>
        <w:spacing w:after="60"/>
        <w:rPr>
          <w:rFonts w:cs="Tahoma"/>
        </w:rPr>
      </w:pPr>
      <w:r w:rsidRPr="00A75DF9">
        <w:rPr>
          <w:rFonts w:cs="Tahoma"/>
          <w:szCs w:val="20"/>
        </w:rPr>
        <w:t>Iscrizione ECI con:</w:t>
      </w:r>
    </w:p>
    <w:p w:rsidR="00316AE2" w:rsidRPr="00A75DF9" w:rsidRDefault="00316AE2" w:rsidP="00316AE2">
      <w:pPr>
        <w:spacing w:after="60"/>
        <w:rPr>
          <w:rFonts w:cs="Tahoma"/>
        </w:rPr>
      </w:pPr>
      <w:r w:rsidRPr="00A75DF9">
        <w:rPr>
          <w:rFonts w:cs="Tahoma"/>
          <w:szCs w:val="20"/>
        </w:rPr>
        <w:t xml:space="preserve">100 ECI Datacenter </w:t>
      </w:r>
    </w:p>
    <w:p w:rsidR="00316AE2" w:rsidRPr="00A75DF9" w:rsidRDefault="00316AE2" w:rsidP="00346F4B">
      <w:pPr>
        <w:numPr>
          <w:ilvl w:val="0"/>
          <w:numId w:val="71"/>
        </w:numPr>
        <w:spacing w:after="60"/>
        <w:ind w:left="720"/>
        <w:rPr>
          <w:rFonts w:cs="Tahoma"/>
        </w:rPr>
      </w:pPr>
      <w:r w:rsidRPr="00A75DF9">
        <w:rPr>
          <w:rFonts w:cs="Tahoma"/>
          <w:szCs w:val="20"/>
        </w:rPr>
        <w:t>100 Windows Server Datacenter Edition (x 75 punti ciascuna x 2 punti moltiplicatori = 15.000 punti)</w:t>
      </w:r>
    </w:p>
    <w:p w:rsidR="00316AE2" w:rsidRPr="00A75DF9" w:rsidRDefault="00316AE2" w:rsidP="00346F4B">
      <w:pPr>
        <w:numPr>
          <w:ilvl w:val="0"/>
          <w:numId w:val="71"/>
        </w:numPr>
        <w:spacing w:after="60"/>
        <w:ind w:left="720"/>
        <w:rPr>
          <w:rFonts w:cs="Tahoma"/>
        </w:rPr>
      </w:pPr>
      <w:r w:rsidRPr="00A75DF9">
        <w:rPr>
          <w:rFonts w:cs="Tahoma"/>
          <w:szCs w:val="20"/>
          <w:u w:val="single"/>
        </w:rPr>
        <w:t>100 System Center 2012 Datacenter Edition (x 75 punti ciascuna x 2 punti moltiplicatori = 15.000 punti)</w:t>
      </w:r>
    </w:p>
    <w:p w:rsidR="000D4ECA" w:rsidRPr="00A75DF9" w:rsidRDefault="00316AE2" w:rsidP="00697E59">
      <w:pPr>
        <w:spacing w:after="60"/>
        <w:ind w:firstLine="360"/>
        <w:rPr>
          <w:rFonts w:cs="Tahoma"/>
        </w:rPr>
      </w:pPr>
      <w:r w:rsidRPr="00A75DF9">
        <w:rPr>
          <w:rFonts w:cs="Tahoma"/>
          <w:szCs w:val="20"/>
        </w:rPr>
        <w:t>30.000 Punti per Licenze per Applicazioni Office e/o Server Coperte = 15 giorni</w:t>
      </w:r>
    </w:p>
    <w:p w:rsidR="00697E59" w:rsidRPr="00A75DF9" w:rsidRDefault="00697E59" w:rsidP="00077CE5">
      <w:pPr>
        <w:ind w:firstLine="360"/>
        <w:rPr>
          <w:rFonts w:cs="Tahoma"/>
        </w:rPr>
      </w:pPr>
    </w:p>
    <w:p w:rsidR="00023FE7" w:rsidRPr="00036631" w:rsidRDefault="00023FE7" w:rsidP="00036631">
      <w:pPr>
        <w:pStyle w:val="AppendixBodyText"/>
        <w:spacing w:after="0"/>
        <w:rPr>
          <w:rFonts w:ascii="Tahoma" w:hAnsi="Tahoma" w:cs="Tahoma"/>
          <w:sz w:val="18"/>
          <w:szCs w:val="18"/>
        </w:rPr>
      </w:pPr>
      <w:r w:rsidRPr="00036631">
        <w:rPr>
          <w:rFonts w:ascii="Tahoma" w:hAnsi="Tahoma" w:cs="Tahoma"/>
          <w:sz w:val="18"/>
          <w:szCs w:val="18"/>
        </w:rPr>
        <w:t>Le società possono inoltre incrementare il numero di Giorni Planning Services qualora soddisfino i seguenti criteri: (a)</w:t>
      </w:r>
      <w:r w:rsidR="00036631" w:rsidRPr="00036631">
        <w:rPr>
          <w:rFonts w:ascii="Tahoma" w:hAnsi="Tahoma" w:cs="Tahoma"/>
          <w:sz w:val="18"/>
          <w:szCs w:val="18"/>
        </w:rPr>
        <w:t> </w:t>
      </w:r>
      <w:r w:rsidRPr="00036631">
        <w:rPr>
          <w:rFonts w:ascii="Tahoma" w:hAnsi="Tahoma" w:cs="Tahoma"/>
          <w:sz w:val="18"/>
          <w:szCs w:val="18"/>
        </w:rPr>
        <w:t>sono al momento idonee per il vantaggio Voucher Corsi, (b) hanno attivato il vantaggio Voucher Corsi e (c) hanno almeno 3 giorni di corsi non rivendicati del vantaggio Voucher Corsi disponibili per la conversione.</w:t>
      </w:r>
      <w:r w:rsidR="009D3B41" w:rsidRPr="00036631">
        <w:rPr>
          <w:rFonts w:ascii="Tahoma" w:hAnsi="Tahoma" w:cs="Tahoma"/>
          <w:sz w:val="18"/>
          <w:szCs w:val="18"/>
        </w:rPr>
        <w:t xml:space="preserve"> </w:t>
      </w:r>
      <w:r w:rsidRPr="00036631">
        <w:rPr>
          <w:rFonts w:ascii="Tahoma" w:hAnsi="Tahoma" w:cs="Tahoma"/>
          <w:sz w:val="18"/>
          <w:szCs w:val="18"/>
        </w:rPr>
        <w:t xml:space="preserve">Le società idonee possono convertire i giorni non utilizzati di Voucher Corsi in Giorni Planning Services sulla base di 3 a 1 (tre Giorni Voucher Corsi = un Giorno Planning Services). </w:t>
      </w:r>
      <w:r w:rsidRPr="00036631">
        <w:rPr>
          <w:rFonts w:ascii="Tahoma" w:hAnsi="Tahoma" w:cs="Tahoma"/>
          <w:bCs/>
          <w:sz w:val="18"/>
          <w:szCs w:val="18"/>
        </w:rPr>
        <w:t xml:space="preserve">(NOTA: le società che desiderano utilizzare i loro giorni Voucher Corsi a favore dei Planning Services non dovranno creare Voucher Corsi con quei giorni). [I giorni </w:t>
      </w:r>
      <w:r w:rsidRPr="00036631">
        <w:rPr>
          <w:rFonts w:ascii="Tahoma" w:hAnsi="Tahoma" w:cs="Tahoma"/>
          <w:sz w:val="18"/>
          <w:szCs w:val="18"/>
        </w:rPr>
        <w:t>Planning</w:t>
      </w:r>
      <w:r w:rsidRPr="00036631">
        <w:rPr>
          <w:rFonts w:ascii="Tahoma" w:hAnsi="Tahoma" w:cs="Tahoma"/>
          <w:bCs/>
          <w:sz w:val="18"/>
          <w:szCs w:val="18"/>
        </w:rPr>
        <w:t xml:space="preserve"> Services non possono essere convertiti in giorni Voucher Corsi]. Tuttavia, qualora una società desideri annullare la conversione di</w:t>
      </w:r>
      <w:r w:rsidR="00036631" w:rsidRPr="00036631">
        <w:rPr>
          <w:rFonts w:ascii="Tahoma" w:hAnsi="Tahoma" w:cs="Tahoma"/>
          <w:bCs/>
          <w:sz w:val="18"/>
          <w:szCs w:val="18"/>
        </w:rPr>
        <w:t> </w:t>
      </w:r>
      <w:r w:rsidRPr="00036631">
        <w:rPr>
          <w:rFonts w:ascii="Tahoma" w:hAnsi="Tahoma" w:cs="Tahoma"/>
          <w:bCs/>
          <w:sz w:val="18"/>
          <w:szCs w:val="18"/>
        </w:rPr>
        <w:t>giorni Voucher Corsi, i Giorni Planning Services potranno essere riconvertiti in giorni Voucher Corsi. In seguito alla conversione di giorni Voucher Corsi in Giorni Planning Services, i Giorni Planning Services appariranno nel pool di giorni Planning Services della società.</w:t>
      </w:r>
      <w:r w:rsidR="009D3B41" w:rsidRPr="00036631">
        <w:rPr>
          <w:rFonts w:ascii="Tahoma" w:hAnsi="Tahoma" w:cs="Tahoma"/>
          <w:bCs/>
          <w:sz w:val="18"/>
          <w:szCs w:val="18"/>
        </w:rPr>
        <w:t xml:space="preserve"> </w:t>
      </w:r>
      <w:r w:rsidRPr="00036631">
        <w:rPr>
          <w:rFonts w:ascii="Tahoma" w:hAnsi="Tahoma" w:cs="Tahoma"/>
          <w:bCs/>
          <w:sz w:val="18"/>
          <w:szCs w:val="18"/>
        </w:rPr>
        <w:t>Tali giorni possono essere utilizzati per creare voucher per i servizi disponibili, ad esempio DDPS o SDPS.</w:t>
      </w:r>
      <w:r w:rsidR="009D3B41" w:rsidRPr="00036631">
        <w:rPr>
          <w:rFonts w:ascii="Tahoma" w:hAnsi="Tahoma" w:cs="Tahoma"/>
          <w:bCs/>
          <w:sz w:val="18"/>
          <w:szCs w:val="18"/>
        </w:rPr>
        <w:t xml:space="preserve"> </w:t>
      </w:r>
      <w:r w:rsidRPr="00036631">
        <w:rPr>
          <w:rFonts w:ascii="Tahoma" w:hAnsi="Tahoma" w:cs="Tahoma"/>
          <w:bCs/>
          <w:sz w:val="18"/>
          <w:szCs w:val="18"/>
        </w:rPr>
        <w:t>*L</w:t>
      </w:r>
      <w:r w:rsidR="00F2643E">
        <w:rPr>
          <w:rFonts w:ascii="Tahoma" w:hAnsi="Tahoma" w:cs="Tahoma"/>
          <w:bCs/>
          <w:sz w:val="18"/>
          <w:szCs w:val="18"/>
        </w:rPr>
        <w:t>’</w:t>
      </w:r>
      <w:r w:rsidRPr="00036631">
        <w:rPr>
          <w:rFonts w:ascii="Tahoma" w:hAnsi="Tahoma" w:cs="Tahoma"/>
          <w:bCs/>
          <w:sz w:val="18"/>
          <w:szCs w:val="18"/>
        </w:rPr>
        <w:t>idoneità delle società a riconvertire i giorni in giorni Voucher Corsi è limitata sulla base del numero di giorni disponibili a livello di Giorni Planning Services.</w:t>
      </w:r>
      <w:r w:rsidR="009D3B41" w:rsidRPr="00036631">
        <w:rPr>
          <w:rFonts w:ascii="Tahoma" w:hAnsi="Tahoma" w:cs="Tahoma"/>
          <w:bCs/>
          <w:sz w:val="18"/>
          <w:szCs w:val="18"/>
        </w:rPr>
        <w:t xml:space="preserve"> </w:t>
      </w:r>
      <w:r w:rsidRPr="00036631">
        <w:rPr>
          <w:rFonts w:ascii="Tahoma" w:hAnsi="Tahoma" w:cs="Tahoma"/>
          <w:bCs/>
          <w:sz w:val="18"/>
          <w:szCs w:val="18"/>
        </w:rPr>
        <w:t>Qualora una società desideri riconvertire 10 giorni, ma nel pool sono disponibili solo 8 Giorni Planning Services, potranno essere riconvertiti solo 8 giorni.</w:t>
      </w:r>
      <w:r w:rsidR="009D3B41" w:rsidRPr="00036631">
        <w:rPr>
          <w:rFonts w:ascii="Tahoma" w:hAnsi="Tahoma" w:cs="Tahoma"/>
          <w:bCs/>
          <w:sz w:val="18"/>
          <w:szCs w:val="18"/>
        </w:rPr>
        <w:t xml:space="preserve"> </w:t>
      </w:r>
    </w:p>
    <w:p w:rsidR="00F528E5" w:rsidRPr="00036631" w:rsidRDefault="00F528E5" w:rsidP="00F528E5">
      <w:pPr>
        <w:pStyle w:val="AppendixBodyText"/>
        <w:spacing w:after="0"/>
        <w:rPr>
          <w:rFonts w:ascii="Tahoma" w:hAnsi="Tahoma" w:cs="Tahoma"/>
          <w:sz w:val="18"/>
          <w:szCs w:val="18"/>
        </w:rPr>
      </w:pPr>
    </w:p>
    <w:p w:rsidR="00023FE7" w:rsidRPr="00036631" w:rsidRDefault="00023FE7" w:rsidP="00036631">
      <w:pPr>
        <w:pStyle w:val="AppendixBodyText"/>
        <w:spacing w:after="0"/>
        <w:rPr>
          <w:rFonts w:ascii="Tahoma" w:hAnsi="Tahoma" w:cs="Tahoma"/>
          <w:sz w:val="18"/>
          <w:szCs w:val="18"/>
        </w:rPr>
      </w:pPr>
      <w:r w:rsidRPr="00036631">
        <w:rPr>
          <w:rFonts w:ascii="Tahoma" w:hAnsi="Tahoma" w:cs="Tahoma"/>
          <w:bCs/>
          <w:sz w:val="18"/>
          <w:szCs w:val="18"/>
        </w:rPr>
        <w:t>Le società con Contratti Multilicenza idonei che non hanno soddisfatto la soglia minima per ricevere i Planning Services, ma che soddisfano o superano i criteri per la conversione dei giorni Voucher Corsi potranno convertire tali</w:t>
      </w:r>
      <w:r w:rsidR="00036631">
        <w:rPr>
          <w:rFonts w:ascii="Tahoma" w:hAnsi="Tahoma" w:cs="Tahoma"/>
          <w:bCs/>
          <w:sz w:val="18"/>
          <w:szCs w:val="18"/>
        </w:rPr>
        <w:t> </w:t>
      </w:r>
      <w:r w:rsidRPr="00036631">
        <w:rPr>
          <w:rFonts w:ascii="Tahoma" w:hAnsi="Tahoma" w:cs="Tahoma"/>
          <w:bCs/>
          <w:sz w:val="18"/>
          <w:szCs w:val="18"/>
        </w:rPr>
        <w:t>giorni come illustrato sopra.</w:t>
      </w:r>
    </w:p>
    <w:p w:rsidR="00023FE7" w:rsidRPr="00036631" w:rsidRDefault="00023FE7" w:rsidP="00077CE5">
      <w:pPr>
        <w:pStyle w:val="AppendixBodyText"/>
        <w:spacing w:after="0"/>
        <w:rPr>
          <w:rFonts w:ascii="Tahoma" w:hAnsi="Tahoma" w:cs="Tahoma"/>
          <w:sz w:val="18"/>
          <w:szCs w:val="18"/>
        </w:rPr>
      </w:pPr>
    </w:p>
    <w:p w:rsidR="00023FE7" w:rsidRPr="00036631" w:rsidRDefault="000D4ECA" w:rsidP="00036631">
      <w:pPr>
        <w:pStyle w:val="AppendixBodyText"/>
        <w:rPr>
          <w:rFonts w:ascii="Tahoma" w:hAnsi="Tahoma" w:cs="Tahoma"/>
          <w:sz w:val="18"/>
          <w:szCs w:val="18"/>
        </w:rPr>
      </w:pPr>
      <w:r w:rsidRPr="00036631">
        <w:rPr>
          <w:rFonts w:ascii="Tahoma" w:hAnsi="Tahoma" w:cs="Tahoma"/>
          <w:sz w:val="18"/>
          <w:szCs w:val="18"/>
        </w:rPr>
        <w:t>I Planning Services potranno essere forniti alla società da Partner Microsoft qualificati o da Microsoft Consulting Services.</w:t>
      </w:r>
      <w:r w:rsidR="009D3B41" w:rsidRPr="00036631">
        <w:rPr>
          <w:rFonts w:ascii="Tahoma" w:hAnsi="Tahoma" w:cs="Tahoma"/>
          <w:sz w:val="18"/>
          <w:szCs w:val="18"/>
        </w:rPr>
        <w:t xml:space="preserve"> </w:t>
      </w:r>
      <w:r w:rsidRPr="00036631">
        <w:rPr>
          <w:rFonts w:ascii="Tahoma" w:hAnsi="Tahoma" w:cs="Tahoma"/>
          <w:sz w:val="18"/>
          <w:szCs w:val="18"/>
        </w:rPr>
        <w:t>L</w:t>
      </w:r>
      <w:r w:rsidR="00F2643E">
        <w:rPr>
          <w:rFonts w:ascii="Tahoma" w:hAnsi="Tahoma" w:cs="Tahoma"/>
          <w:sz w:val="18"/>
          <w:szCs w:val="18"/>
        </w:rPr>
        <w:t>’</w:t>
      </w:r>
      <w:r w:rsidRPr="00036631">
        <w:rPr>
          <w:rFonts w:ascii="Tahoma" w:hAnsi="Tahoma" w:cs="Tahoma"/>
          <w:sz w:val="18"/>
          <w:szCs w:val="18"/>
        </w:rPr>
        <w:t xml:space="preserve">elenco dei Provider Qualificati è visibile al seguente indirizzo: </w:t>
      </w:r>
      <w:r w:rsidR="00036631">
        <w:rPr>
          <w:rFonts w:ascii="Tahoma" w:hAnsi="Tahoma" w:cs="Tahoma"/>
          <w:sz w:val="18"/>
        </w:rPr>
        <w:t>http://directory.partners.extranet.microsoft.com/psbproviders</w:t>
      </w:r>
      <w:r w:rsidR="009D3B41" w:rsidRPr="00036631">
        <w:rPr>
          <w:rFonts w:ascii="Tahoma" w:hAnsi="Tahoma" w:cs="Tahoma"/>
          <w:sz w:val="18"/>
          <w:szCs w:val="18"/>
        </w:rPr>
        <w:t xml:space="preserve"> </w:t>
      </w:r>
    </w:p>
    <w:p w:rsidR="00EC05F0" w:rsidRPr="00036631" w:rsidRDefault="00EC05F0">
      <w:pPr>
        <w:rPr>
          <w:rFonts w:cs="Tahoma"/>
          <w:szCs w:val="18"/>
        </w:rPr>
      </w:pPr>
    </w:p>
    <w:p w:rsidR="00023FE7" w:rsidRPr="00036631" w:rsidRDefault="000D4ECA" w:rsidP="00036631">
      <w:pPr>
        <w:pStyle w:val="AppendixBodyText"/>
        <w:spacing w:after="0"/>
        <w:rPr>
          <w:rFonts w:ascii="Tahoma" w:hAnsi="Tahoma" w:cs="Tahoma"/>
          <w:sz w:val="18"/>
          <w:szCs w:val="18"/>
        </w:rPr>
      </w:pPr>
      <w:r w:rsidRPr="00036631">
        <w:rPr>
          <w:rFonts w:ascii="Tahoma" w:hAnsi="Tahoma" w:cs="Tahoma"/>
          <w:sz w:val="18"/>
          <w:szCs w:val="18"/>
        </w:rPr>
        <w:t>Gli engagement Planning Services forniscono servizi di consulenza che coprono un ambito di lavoro predeterminato, il</w:t>
      </w:r>
      <w:r w:rsidR="00036631">
        <w:rPr>
          <w:rFonts w:ascii="Tahoma" w:hAnsi="Tahoma" w:cs="Tahoma"/>
          <w:sz w:val="18"/>
          <w:szCs w:val="18"/>
        </w:rPr>
        <w:t> </w:t>
      </w:r>
      <w:r w:rsidRPr="00036631">
        <w:rPr>
          <w:rFonts w:ascii="Tahoma" w:hAnsi="Tahoma" w:cs="Tahoma"/>
          <w:sz w:val="18"/>
          <w:szCs w:val="18"/>
        </w:rPr>
        <w:t>cui esito è un piano di distribuzione di alto livello; la distribuzione effettiva del software non può essere inclusa.</w:t>
      </w:r>
    </w:p>
    <w:p w:rsidR="00023FE7" w:rsidRPr="00036631" w:rsidRDefault="00023FE7" w:rsidP="005A141F">
      <w:pPr>
        <w:pStyle w:val="AppendixBodyText"/>
        <w:spacing w:after="0"/>
        <w:rPr>
          <w:rFonts w:ascii="Tahoma" w:hAnsi="Tahoma" w:cs="Tahoma"/>
          <w:sz w:val="18"/>
          <w:szCs w:val="18"/>
        </w:rPr>
      </w:pPr>
    </w:p>
    <w:p w:rsidR="00AC1997" w:rsidRPr="00036631" w:rsidRDefault="000D4ECA" w:rsidP="002F529F">
      <w:pPr>
        <w:pStyle w:val="AppendixBodyText"/>
        <w:numPr>
          <w:ilvl w:val="0"/>
          <w:numId w:val="1"/>
        </w:numPr>
        <w:tabs>
          <w:tab w:val="clear" w:pos="720"/>
          <w:tab w:val="num" w:pos="1440"/>
        </w:tabs>
        <w:ind w:left="1440"/>
        <w:rPr>
          <w:rFonts w:ascii="Tahoma" w:hAnsi="Tahoma" w:cs="Tahoma"/>
          <w:sz w:val="18"/>
          <w:szCs w:val="18"/>
        </w:rPr>
      </w:pPr>
      <w:r w:rsidRPr="00036631">
        <w:rPr>
          <w:rFonts w:ascii="Tahoma" w:hAnsi="Tahoma" w:cs="Tahoma"/>
          <w:bCs/>
          <w:sz w:val="18"/>
          <w:szCs w:val="18"/>
        </w:rPr>
        <w:t>I Planning Services non sono disponibili in tutte le lingue.</w:t>
      </w:r>
    </w:p>
    <w:p w:rsidR="00AC1997" w:rsidRPr="00036631" w:rsidRDefault="000D4ECA" w:rsidP="002F529F">
      <w:pPr>
        <w:pStyle w:val="AppendixBodyText"/>
        <w:numPr>
          <w:ilvl w:val="0"/>
          <w:numId w:val="1"/>
        </w:numPr>
        <w:tabs>
          <w:tab w:val="clear" w:pos="720"/>
          <w:tab w:val="num" w:pos="1440"/>
        </w:tabs>
        <w:ind w:left="1440"/>
        <w:rPr>
          <w:rFonts w:ascii="Tahoma" w:hAnsi="Tahoma" w:cs="Tahoma"/>
          <w:sz w:val="18"/>
          <w:szCs w:val="18"/>
        </w:rPr>
      </w:pPr>
      <w:r w:rsidRPr="00036631">
        <w:rPr>
          <w:rFonts w:ascii="Tahoma" w:hAnsi="Tahoma" w:cs="Tahoma"/>
          <w:bCs/>
          <w:color w:val="000000"/>
          <w:sz w:val="18"/>
          <w:szCs w:val="18"/>
        </w:rPr>
        <w:t>I voucher Planning Services possono essere riscattati solo dalla società idonea a ricevere il vantaggio.</w:t>
      </w:r>
    </w:p>
    <w:p w:rsidR="00AC1997" w:rsidRPr="00036631" w:rsidRDefault="000D4ECA" w:rsidP="002F529F">
      <w:pPr>
        <w:pStyle w:val="AppendixBodyText"/>
        <w:numPr>
          <w:ilvl w:val="0"/>
          <w:numId w:val="1"/>
        </w:numPr>
        <w:tabs>
          <w:tab w:val="clear" w:pos="720"/>
          <w:tab w:val="num" w:pos="1440"/>
        </w:tabs>
        <w:ind w:left="1440"/>
        <w:rPr>
          <w:rFonts w:ascii="Tahoma" w:hAnsi="Tahoma" w:cs="Tahoma"/>
          <w:sz w:val="18"/>
          <w:szCs w:val="18"/>
        </w:rPr>
      </w:pPr>
      <w:r w:rsidRPr="00036631">
        <w:rPr>
          <w:rFonts w:ascii="Tahoma" w:hAnsi="Tahoma" w:cs="Tahoma"/>
          <w:bCs/>
          <w:color w:val="000000"/>
          <w:sz w:val="18"/>
          <w:szCs w:val="18"/>
        </w:rPr>
        <w:t>I voucher Planning Services non potranno essere scambiati con contante, somme di denaro o altri corrispettivi.</w:t>
      </w:r>
    </w:p>
    <w:p w:rsidR="00AC1997" w:rsidRPr="00036631" w:rsidRDefault="00AC1997" w:rsidP="002F529F">
      <w:pPr>
        <w:pStyle w:val="AppendixBodyText"/>
        <w:numPr>
          <w:ilvl w:val="0"/>
          <w:numId w:val="1"/>
        </w:numPr>
        <w:tabs>
          <w:tab w:val="clear" w:pos="720"/>
          <w:tab w:val="num" w:pos="1440"/>
        </w:tabs>
        <w:ind w:left="1440"/>
        <w:rPr>
          <w:rFonts w:ascii="Tahoma" w:hAnsi="Tahoma" w:cs="Tahoma"/>
          <w:sz w:val="18"/>
          <w:szCs w:val="18"/>
        </w:rPr>
      </w:pPr>
      <w:r w:rsidRPr="00036631">
        <w:rPr>
          <w:rFonts w:ascii="Tahoma" w:hAnsi="Tahoma" w:cs="Tahoma"/>
          <w:bCs/>
          <w:color w:val="000000"/>
          <w:sz w:val="18"/>
          <w:szCs w:val="18"/>
        </w:rPr>
        <w:t>Le società interessate ad acquisire servizi aggiuntivi oltre a quelli coperti dall</w:t>
      </w:r>
      <w:r w:rsidR="00F2643E">
        <w:rPr>
          <w:rFonts w:ascii="Tahoma" w:hAnsi="Tahoma" w:cs="Tahoma"/>
          <w:bCs/>
          <w:color w:val="000000"/>
          <w:sz w:val="18"/>
          <w:szCs w:val="18"/>
        </w:rPr>
        <w:t>’</w:t>
      </w:r>
      <w:r w:rsidRPr="00036631">
        <w:rPr>
          <w:rFonts w:ascii="Tahoma" w:hAnsi="Tahoma" w:cs="Tahoma"/>
          <w:color w:val="000000"/>
          <w:sz w:val="18"/>
          <w:szCs w:val="18"/>
        </w:rPr>
        <w:t>ambito di lavoro per l</w:t>
      </w:r>
      <w:r w:rsidR="00F2643E">
        <w:rPr>
          <w:rFonts w:ascii="Tahoma" w:hAnsi="Tahoma" w:cs="Tahoma"/>
          <w:color w:val="000000"/>
          <w:sz w:val="18"/>
          <w:szCs w:val="18"/>
        </w:rPr>
        <w:t>’</w:t>
      </w:r>
      <w:r w:rsidRPr="00036631">
        <w:rPr>
          <w:rFonts w:ascii="Tahoma" w:hAnsi="Tahoma" w:cs="Tahoma"/>
          <w:color w:val="000000"/>
          <w:sz w:val="18"/>
          <w:szCs w:val="18"/>
        </w:rPr>
        <w:t>engagement relativo al voucher assegnato (secondo quanto definito dal tipo di voucher e dal livello di servizio)</w:t>
      </w:r>
      <w:r w:rsidRPr="00036631">
        <w:rPr>
          <w:rFonts w:ascii="Tahoma" w:hAnsi="Tahoma" w:cs="Tahoma"/>
          <w:bCs/>
          <w:color w:val="000000"/>
          <w:sz w:val="18"/>
          <w:szCs w:val="18"/>
        </w:rPr>
        <w:t xml:space="preserve"> potranno pagare il provider al di fuori di questo programma.</w:t>
      </w:r>
    </w:p>
    <w:p w:rsidR="00AC1997" w:rsidRPr="00036631" w:rsidRDefault="00AC1997" w:rsidP="002F529F">
      <w:pPr>
        <w:pStyle w:val="AppendixBodyText"/>
        <w:numPr>
          <w:ilvl w:val="0"/>
          <w:numId w:val="1"/>
        </w:numPr>
        <w:tabs>
          <w:tab w:val="clear" w:pos="720"/>
          <w:tab w:val="num" w:pos="1440"/>
        </w:tabs>
        <w:ind w:left="1440"/>
        <w:rPr>
          <w:rFonts w:ascii="Tahoma" w:hAnsi="Tahoma" w:cs="Tahoma"/>
          <w:sz w:val="18"/>
          <w:szCs w:val="18"/>
        </w:rPr>
      </w:pPr>
      <w:r w:rsidRPr="00036631">
        <w:rPr>
          <w:rFonts w:ascii="Tahoma" w:hAnsi="Tahoma" w:cs="Tahoma"/>
          <w:color w:val="000000"/>
          <w:sz w:val="18"/>
          <w:szCs w:val="18"/>
        </w:rPr>
        <w:t>La riduzione della copertura SA qualificante in seguito a resi o altre modifiche apportate alla fatturazione</w:t>
      </w:r>
      <w:r w:rsidRPr="00036631">
        <w:rPr>
          <w:rFonts w:ascii="Tahoma" w:hAnsi="Tahoma" w:cs="Tahoma"/>
          <w:bCs/>
          <w:color w:val="000000"/>
          <w:sz w:val="18"/>
          <w:szCs w:val="18"/>
        </w:rPr>
        <w:t>,</w:t>
      </w:r>
      <w:r w:rsidRPr="00036631">
        <w:rPr>
          <w:rFonts w:ascii="Tahoma" w:hAnsi="Tahoma" w:cs="Tahoma"/>
          <w:color w:val="000000"/>
          <w:sz w:val="18"/>
          <w:szCs w:val="18"/>
        </w:rPr>
        <w:t xml:space="preserve"> ove ammessa, </w:t>
      </w:r>
      <w:r w:rsidRPr="00036631">
        <w:rPr>
          <w:rFonts w:ascii="Tahoma" w:hAnsi="Tahoma" w:cs="Tahoma"/>
          <w:bCs/>
          <w:color w:val="000000"/>
          <w:sz w:val="18"/>
          <w:szCs w:val="18"/>
        </w:rPr>
        <w:t>potrà</w:t>
      </w:r>
      <w:r w:rsidRPr="00036631">
        <w:rPr>
          <w:rFonts w:ascii="Tahoma" w:hAnsi="Tahoma" w:cs="Tahoma"/>
          <w:color w:val="000000"/>
          <w:sz w:val="18"/>
          <w:szCs w:val="18"/>
        </w:rPr>
        <w:t xml:space="preserve"> diminuire i giorni di idoneità ai Planning Services della </w:t>
      </w:r>
      <w:r w:rsidRPr="00036631">
        <w:rPr>
          <w:rFonts w:ascii="Tahoma" w:hAnsi="Tahoma" w:cs="Tahoma"/>
          <w:bCs/>
          <w:color w:val="000000"/>
          <w:sz w:val="18"/>
          <w:szCs w:val="18"/>
        </w:rPr>
        <w:t>società.</w:t>
      </w:r>
    </w:p>
    <w:p w:rsidR="00762183" w:rsidRPr="00036631" w:rsidRDefault="00AC1997" w:rsidP="00346F4B">
      <w:pPr>
        <w:pStyle w:val="AppendixBodyText"/>
        <w:numPr>
          <w:ilvl w:val="0"/>
          <w:numId w:val="22"/>
        </w:numPr>
        <w:tabs>
          <w:tab w:val="num" w:pos="1440"/>
        </w:tabs>
        <w:ind w:left="1440"/>
        <w:rPr>
          <w:rFonts w:ascii="Tahoma" w:hAnsi="Tahoma" w:cs="Tahoma"/>
          <w:sz w:val="18"/>
          <w:szCs w:val="18"/>
        </w:rPr>
      </w:pPr>
      <w:r w:rsidRPr="00036631">
        <w:rPr>
          <w:rFonts w:ascii="Tahoma" w:hAnsi="Tahoma" w:cs="Tahoma"/>
          <w:bCs/>
          <w:color w:val="000000"/>
          <w:sz w:val="18"/>
          <w:szCs w:val="18"/>
        </w:rPr>
        <w:t xml:space="preserve">I voucher sono validi solo con </w:t>
      </w:r>
      <w:r w:rsidRPr="00036631">
        <w:rPr>
          <w:rFonts w:ascii="Tahoma" w:hAnsi="Tahoma" w:cs="Tahoma"/>
          <w:color w:val="000000"/>
          <w:sz w:val="18"/>
          <w:szCs w:val="18"/>
        </w:rPr>
        <w:t xml:space="preserve">Provider qualificati </w:t>
      </w:r>
      <w:r w:rsidRPr="00036631">
        <w:rPr>
          <w:rFonts w:ascii="Tahoma" w:hAnsi="Tahoma" w:cs="Tahoma"/>
          <w:bCs/>
          <w:color w:val="000000"/>
          <w:sz w:val="18"/>
          <w:szCs w:val="18"/>
        </w:rPr>
        <w:t xml:space="preserve">per il tipo di servizio specifico per il quale il voucher viene riscattato. </w:t>
      </w:r>
      <w:r w:rsidRPr="00036631">
        <w:rPr>
          <w:rFonts w:ascii="Tahoma" w:hAnsi="Tahoma" w:cs="Tahoma"/>
          <w:color w:val="000000"/>
          <w:sz w:val="18"/>
          <w:szCs w:val="18"/>
        </w:rPr>
        <w:t>Il voucher può essere utilizzato con qualsiasi Provider Qualificato a livello mondiale. La partecipazione potrebbe variare.</w:t>
      </w:r>
    </w:p>
    <w:p w:rsidR="0083748D" w:rsidRPr="00036631" w:rsidRDefault="0083748D" w:rsidP="002F529F">
      <w:pPr>
        <w:pStyle w:val="AppendixBodyText"/>
        <w:numPr>
          <w:ilvl w:val="0"/>
          <w:numId w:val="1"/>
        </w:numPr>
        <w:tabs>
          <w:tab w:val="clear" w:pos="720"/>
          <w:tab w:val="num" w:pos="1440"/>
        </w:tabs>
        <w:ind w:left="1440"/>
        <w:rPr>
          <w:rFonts w:ascii="Tahoma" w:hAnsi="Tahoma" w:cs="Tahoma"/>
          <w:sz w:val="18"/>
          <w:szCs w:val="18"/>
        </w:rPr>
      </w:pPr>
      <w:r w:rsidRPr="00036631">
        <w:rPr>
          <w:rFonts w:ascii="Tahoma" w:hAnsi="Tahoma" w:cs="Tahoma"/>
          <w:color w:val="000000"/>
          <w:sz w:val="18"/>
          <w:szCs w:val="18"/>
        </w:rPr>
        <w:t>I voucher dovranno essere assegnati durante il periodo della copertura Software Assurance.</w:t>
      </w:r>
    </w:p>
    <w:p w:rsidR="0083748D" w:rsidRPr="00036631" w:rsidRDefault="0083748D" w:rsidP="00036631">
      <w:pPr>
        <w:pStyle w:val="AppendixBodyText"/>
        <w:numPr>
          <w:ilvl w:val="0"/>
          <w:numId w:val="1"/>
        </w:numPr>
        <w:tabs>
          <w:tab w:val="clear" w:pos="720"/>
          <w:tab w:val="num" w:pos="1440"/>
        </w:tabs>
        <w:ind w:left="1440"/>
        <w:rPr>
          <w:rFonts w:ascii="Tahoma" w:hAnsi="Tahoma" w:cs="Tahoma"/>
          <w:sz w:val="18"/>
          <w:szCs w:val="18"/>
        </w:rPr>
      </w:pPr>
      <w:r w:rsidRPr="00036631">
        <w:rPr>
          <w:rFonts w:ascii="Tahoma" w:hAnsi="Tahoma" w:cs="Tahoma"/>
          <w:color w:val="000000"/>
          <w:sz w:val="18"/>
          <w:szCs w:val="18"/>
        </w:rPr>
        <w:t>I voucher scadranno dopo 180 giorni dalla data di assegnazione, indipendentemente dalla data di</w:t>
      </w:r>
      <w:r w:rsidR="00036631">
        <w:rPr>
          <w:rFonts w:ascii="Tahoma" w:hAnsi="Tahoma" w:cs="Tahoma"/>
          <w:color w:val="000000"/>
          <w:sz w:val="18"/>
          <w:szCs w:val="18"/>
        </w:rPr>
        <w:t> </w:t>
      </w:r>
      <w:r w:rsidRPr="00036631">
        <w:rPr>
          <w:rFonts w:ascii="Tahoma" w:hAnsi="Tahoma" w:cs="Tahoma"/>
          <w:color w:val="000000"/>
          <w:sz w:val="18"/>
          <w:szCs w:val="18"/>
        </w:rPr>
        <w:t>scadenza della copertura Software Assurance. Tutti i servizi dovranno essere forniti (voucher riscattato) prima della scadenza dei voucher. Per i voucher, la cui data di scadenza è precedente a</w:t>
      </w:r>
      <w:r w:rsidR="00036631">
        <w:rPr>
          <w:rFonts w:ascii="Tahoma" w:hAnsi="Tahoma" w:cs="Tahoma"/>
          <w:color w:val="000000"/>
          <w:sz w:val="18"/>
          <w:szCs w:val="18"/>
        </w:rPr>
        <w:t> </w:t>
      </w:r>
      <w:r w:rsidRPr="00036631">
        <w:rPr>
          <w:rFonts w:ascii="Tahoma" w:hAnsi="Tahoma" w:cs="Tahoma"/>
          <w:color w:val="000000"/>
          <w:sz w:val="18"/>
          <w:szCs w:val="18"/>
        </w:rPr>
        <w:t>quella della copertura Software Assurance, verrà ripristinato il pool disponibile di giorni Planning Services.</w:t>
      </w:r>
    </w:p>
    <w:p w:rsidR="00AC1997" w:rsidRPr="00036631" w:rsidRDefault="00AC1997" w:rsidP="002F529F">
      <w:pPr>
        <w:pStyle w:val="AppendixBodyText"/>
        <w:numPr>
          <w:ilvl w:val="0"/>
          <w:numId w:val="21"/>
        </w:numPr>
        <w:tabs>
          <w:tab w:val="num" w:pos="1440"/>
        </w:tabs>
        <w:rPr>
          <w:rFonts w:ascii="Tahoma" w:hAnsi="Tahoma" w:cs="Tahoma"/>
          <w:sz w:val="18"/>
          <w:szCs w:val="18"/>
        </w:rPr>
      </w:pPr>
      <w:r w:rsidRPr="00036631">
        <w:rPr>
          <w:rFonts w:ascii="Tahoma" w:hAnsi="Tahoma" w:cs="Tahoma"/>
          <w:bCs/>
          <w:color w:val="000000"/>
          <w:sz w:val="18"/>
          <w:szCs w:val="18"/>
        </w:rPr>
        <w:t>Microsoft non è responsabile dei voucher persi, rubati, collocati fuori posto o maltrattati.</w:t>
      </w:r>
    </w:p>
    <w:p w:rsidR="00AC1997" w:rsidRPr="00036631" w:rsidRDefault="00AC1997" w:rsidP="002F529F">
      <w:pPr>
        <w:pStyle w:val="AppendixBodyText"/>
        <w:numPr>
          <w:ilvl w:val="0"/>
          <w:numId w:val="21"/>
        </w:numPr>
        <w:tabs>
          <w:tab w:val="num" w:pos="1440"/>
        </w:tabs>
        <w:rPr>
          <w:rFonts w:ascii="Tahoma" w:hAnsi="Tahoma" w:cs="Tahoma"/>
          <w:sz w:val="18"/>
          <w:szCs w:val="18"/>
        </w:rPr>
      </w:pPr>
      <w:r w:rsidRPr="00036631">
        <w:rPr>
          <w:rFonts w:ascii="Tahoma" w:hAnsi="Tahoma" w:cs="Tahoma"/>
          <w:bCs/>
          <w:color w:val="000000"/>
          <w:sz w:val="18"/>
          <w:szCs w:val="18"/>
        </w:rPr>
        <w:lastRenderedPageBreak/>
        <w:t xml:space="preserve">I servizi erogati con i voucher vengono </w:t>
      </w:r>
      <w:r w:rsidRPr="00036631">
        <w:rPr>
          <w:rFonts w:ascii="Tahoma" w:hAnsi="Tahoma" w:cs="Tahoma"/>
          <w:color w:val="000000"/>
          <w:sz w:val="18"/>
          <w:szCs w:val="18"/>
        </w:rPr>
        <w:t>forniti ai sensi di un contratto tra la Società e il Provider Qualificato; Microsoft non è responsabile dell</w:t>
      </w:r>
      <w:r w:rsidR="00F2643E">
        <w:rPr>
          <w:rFonts w:ascii="Tahoma" w:hAnsi="Tahoma" w:cs="Tahoma"/>
          <w:color w:val="000000"/>
          <w:sz w:val="18"/>
          <w:szCs w:val="18"/>
        </w:rPr>
        <w:t>’</w:t>
      </w:r>
      <w:r w:rsidRPr="00036631">
        <w:rPr>
          <w:rFonts w:ascii="Tahoma" w:hAnsi="Tahoma" w:cs="Tahoma"/>
          <w:color w:val="000000"/>
          <w:sz w:val="18"/>
          <w:szCs w:val="18"/>
        </w:rPr>
        <w:t>eventuale funzionamento o mancato funzionamento dei servizi da parte del Provider Qualificato.</w:t>
      </w:r>
    </w:p>
    <w:p w:rsidR="00F643B6" w:rsidRPr="00036631" w:rsidRDefault="00AC1997" w:rsidP="00346F4B">
      <w:pPr>
        <w:pStyle w:val="AppendixBodyText"/>
        <w:numPr>
          <w:ilvl w:val="0"/>
          <w:numId w:val="72"/>
        </w:numPr>
        <w:rPr>
          <w:rFonts w:ascii="Tahoma" w:hAnsi="Tahoma" w:cs="Tahoma"/>
          <w:sz w:val="18"/>
          <w:szCs w:val="18"/>
        </w:rPr>
      </w:pPr>
      <w:r w:rsidRPr="00036631">
        <w:rPr>
          <w:rFonts w:ascii="Tahoma" w:hAnsi="Tahoma" w:cs="Tahoma"/>
          <w:bCs/>
          <w:color w:val="000000"/>
          <w:sz w:val="18"/>
          <w:szCs w:val="18"/>
        </w:rPr>
        <w:t>Accettando un engagement Planning Services, le società</w:t>
      </w:r>
      <w:r w:rsidRPr="00036631">
        <w:rPr>
          <w:rFonts w:ascii="Tahoma" w:hAnsi="Tahoma" w:cs="Tahoma"/>
          <w:bCs/>
          <w:sz w:val="18"/>
          <w:szCs w:val="18"/>
        </w:rPr>
        <w:t xml:space="preserve"> danno atto che non appena lo completeranno, riceveranno un sondaggio per il controllo della qualità.</w:t>
      </w:r>
    </w:p>
    <w:p w:rsidR="0008036A" w:rsidRPr="00036631" w:rsidRDefault="00F643B6" w:rsidP="00036631">
      <w:pPr>
        <w:pStyle w:val="AppendixBodyText"/>
        <w:numPr>
          <w:ilvl w:val="0"/>
          <w:numId w:val="72"/>
        </w:numPr>
        <w:rPr>
          <w:rFonts w:ascii="Tahoma" w:hAnsi="Tahoma" w:cs="Tahoma"/>
          <w:sz w:val="18"/>
          <w:szCs w:val="18"/>
        </w:rPr>
      </w:pPr>
      <w:r w:rsidRPr="00036631">
        <w:rPr>
          <w:rFonts w:ascii="Tahoma" w:hAnsi="Tahoma" w:cs="Tahoma"/>
          <w:bCs/>
          <w:color w:val="000000"/>
          <w:sz w:val="18"/>
          <w:szCs w:val="18"/>
        </w:rPr>
        <w:t>Le tabelle riportate sopra mostrano i giorni di servizio disponibili sulla base di un</w:t>
      </w:r>
      <w:r w:rsidR="00F2643E">
        <w:rPr>
          <w:rFonts w:ascii="Tahoma" w:hAnsi="Tahoma" w:cs="Tahoma"/>
          <w:bCs/>
          <w:color w:val="000000"/>
          <w:sz w:val="18"/>
          <w:szCs w:val="18"/>
        </w:rPr>
        <w:t>’</w:t>
      </w:r>
      <w:r w:rsidRPr="00036631">
        <w:rPr>
          <w:rFonts w:ascii="Tahoma" w:hAnsi="Tahoma" w:cs="Tahoma"/>
          <w:bCs/>
          <w:color w:val="000000"/>
          <w:sz w:val="18"/>
          <w:szCs w:val="18"/>
        </w:rPr>
        <w:t>iscrizione o di un</w:t>
      </w:r>
      <w:r w:rsidR="00036631">
        <w:rPr>
          <w:rFonts w:ascii="Tahoma" w:hAnsi="Tahoma" w:cs="Tahoma"/>
          <w:bCs/>
          <w:color w:val="000000"/>
          <w:sz w:val="18"/>
          <w:szCs w:val="18"/>
        </w:rPr>
        <w:t> </w:t>
      </w:r>
      <w:r w:rsidRPr="00036631">
        <w:rPr>
          <w:rFonts w:ascii="Tahoma" w:hAnsi="Tahoma" w:cs="Tahoma"/>
          <w:bCs/>
          <w:color w:val="000000"/>
          <w:sz w:val="18"/>
          <w:szCs w:val="18"/>
        </w:rPr>
        <w:t>contratto triennale completo. Le società che acquistano una copertura Software Assurance di</w:t>
      </w:r>
      <w:r w:rsidR="00036631">
        <w:rPr>
          <w:rFonts w:ascii="Tahoma" w:hAnsi="Tahoma" w:cs="Tahoma"/>
          <w:bCs/>
          <w:color w:val="000000"/>
          <w:sz w:val="18"/>
          <w:szCs w:val="18"/>
        </w:rPr>
        <w:t> </w:t>
      </w:r>
      <w:r w:rsidRPr="00036631">
        <w:rPr>
          <w:rFonts w:ascii="Tahoma" w:hAnsi="Tahoma" w:cs="Tahoma"/>
          <w:bCs/>
          <w:color w:val="000000"/>
          <w:sz w:val="18"/>
          <w:szCs w:val="18"/>
        </w:rPr>
        <w:t xml:space="preserve">durata annuale </w:t>
      </w:r>
      <w:r w:rsidRPr="00036631">
        <w:rPr>
          <w:rFonts w:ascii="Tahoma" w:hAnsi="Tahoma" w:cs="Tahoma"/>
          <w:color w:val="000000"/>
          <w:sz w:val="18"/>
          <w:szCs w:val="18"/>
        </w:rPr>
        <w:t>riceveranno un terzo del numero dichiarato di giorni di servizio. Le società che acquistano una copertura Software Assurance di durata biennale riceveranno due terzi del numero dichiarato di giorni di servizio.</w:t>
      </w:r>
      <w:r w:rsidR="009D3B41" w:rsidRPr="00036631">
        <w:rPr>
          <w:rFonts w:ascii="Tahoma" w:hAnsi="Tahoma" w:cs="Tahoma"/>
          <w:color w:val="000000"/>
          <w:sz w:val="18"/>
          <w:szCs w:val="18"/>
        </w:rPr>
        <w:t xml:space="preserve"> </w:t>
      </w:r>
    </w:p>
    <w:p w:rsidR="0008036A" w:rsidRPr="00036631" w:rsidRDefault="0008036A" w:rsidP="005A141F">
      <w:pPr>
        <w:pStyle w:val="AppendixBodyText"/>
        <w:spacing w:after="0"/>
        <w:rPr>
          <w:rFonts w:ascii="Tahoma" w:hAnsi="Tahoma" w:cs="Tahoma"/>
          <w:sz w:val="18"/>
          <w:szCs w:val="18"/>
        </w:rPr>
      </w:pPr>
    </w:p>
    <w:p w:rsidR="00023FE7" w:rsidRPr="00A75DF9" w:rsidRDefault="00023FE7">
      <w:pPr>
        <w:pStyle w:val="AppendixBodyText"/>
        <w:rPr>
          <w:rFonts w:ascii="Tahoma" w:hAnsi="Tahoma" w:cs="Tahoma"/>
        </w:rPr>
      </w:pPr>
      <w:r w:rsidRPr="00A75DF9">
        <w:rPr>
          <w:rFonts w:ascii="Tahoma" w:hAnsi="Tahoma" w:cs="Tahoma"/>
          <w:bCs/>
          <w:color w:val="000000"/>
          <w:sz w:val="18"/>
        </w:rPr>
        <w:t>I deliverable completati inviati a Microsoft dal Provider Qualificato al termine dell</w:t>
      </w:r>
      <w:r w:rsidR="00F2643E">
        <w:rPr>
          <w:rFonts w:ascii="Tahoma" w:hAnsi="Tahoma" w:cs="Tahoma"/>
          <w:bCs/>
          <w:color w:val="000000"/>
          <w:sz w:val="18"/>
        </w:rPr>
        <w:t>’</w:t>
      </w:r>
      <w:r w:rsidRPr="00A75DF9">
        <w:rPr>
          <w:rFonts w:ascii="Tahoma" w:hAnsi="Tahoma" w:cs="Tahoma"/>
          <w:bCs/>
          <w:color w:val="000000"/>
          <w:sz w:val="18"/>
        </w:rPr>
        <w:t>engagement potranno essere utilizzati da Microsoft per il controllo della qualità e a tale scopo potranno essere condivisi con il team dell</w:t>
      </w:r>
      <w:r w:rsidR="00F2643E">
        <w:rPr>
          <w:rFonts w:ascii="Tahoma" w:hAnsi="Tahoma" w:cs="Tahoma"/>
          <w:bCs/>
          <w:color w:val="000000"/>
          <w:sz w:val="18"/>
        </w:rPr>
        <w:t>’</w:t>
      </w:r>
      <w:r w:rsidRPr="00A75DF9">
        <w:rPr>
          <w:rFonts w:ascii="Tahoma" w:hAnsi="Tahoma" w:cs="Tahoma"/>
          <w:bCs/>
          <w:color w:val="000000"/>
          <w:sz w:val="18"/>
        </w:rPr>
        <w:t>account Microsoft della società.</w:t>
      </w:r>
    </w:p>
    <w:p w:rsidR="00023FE7" w:rsidRPr="00036631" w:rsidRDefault="00023FE7" w:rsidP="005A141F">
      <w:pPr>
        <w:pStyle w:val="AppendixBodyText"/>
        <w:spacing w:after="0"/>
        <w:rPr>
          <w:rFonts w:ascii="Tahoma" w:hAnsi="Tahoma" w:cs="Tahoma"/>
          <w:sz w:val="18"/>
          <w:szCs w:val="18"/>
        </w:rPr>
      </w:pPr>
    </w:p>
    <w:p w:rsidR="00023FE7" w:rsidRPr="00A75DF9" w:rsidRDefault="00023FE7">
      <w:pPr>
        <w:pStyle w:val="Heading3"/>
        <w:rPr>
          <w:rFonts w:ascii="Tahoma" w:hAnsi="Tahoma" w:cs="Tahoma"/>
        </w:rPr>
      </w:pPr>
      <w:bookmarkStart w:id="727" w:name="_Toc328145999"/>
      <w:bookmarkStart w:id="728" w:name="_Toc336338230"/>
      <w:bookmarkStart w:id="729" w:name="_Toc368310221"/>
      <w:r w:rsidRPr="00A75DF9">
        <w:rPr>
          <w:rFonts w:ascii="Tahoma" w:hAnsi="Tahoma" w:cs="Tahoma"/>
          <w:sz w:val="24"/>
        </w:rPr>
        <w:t>Windows 8 Enterprise</w:t>
      </w:r>
      <w:bookmarkEnd w:id="727"/>
      <w:bookmarkEnd w:id="728"/>
      <w:bookmarkEnd w:id="729"/>
      <w:r w:rsidRPr="00A75DF9">
        <w:rPr>
          <w:rFonts w:ascii="Tahoma" w:hAnsi="Tahoma" w:cs="Tahoma"/>
          <w:sz w:val="24"/>
        </w:rPr>
        <w:t xml:space="preserve"> </w:t>
      </w:r>
    </w:p>
    <w:p w:rsidR="00023FE7" w:rsidRPr="00036631" w:rsidRDefault="00023FE7" w:rsidP="00077CE5">
      <w:pPr>
        <w:pStyle w:val="AppendixBodyText"/>
        <w:spacing w:after="0"/>
        <w:rPr>
          <w:rFonts w:ascii="Tahoma" w:hAnsi="Tahoma" w:cs="Tahoma"/>
          <w:sz w:val="18"/>
          <w:szCs w:val="18"/>
        </w:rPr>
      </w:pPr>
    </w:p>
    <w:p w:rsidR="005A141F" w:rsidRPr="00A75DF9" w:rsidRDefault="00324479" w:rsidP="005A141F">
      <w:pPr>
        <w:spacing w:after="60"/>
        <w:jc w:val="both"/>
        <w:rPr>
          <w:rFonts w:cs="Tahoma"/>
        </w:rPr>
      </w:pPr>
      <w:r w:rsidRPr="00A75DF9">
        <w:rPr>
          <w:rFonts w:cs="Tahoma"/>
          <w:b/>
          <w:szCs w:val="18"/>
        </w:rPr>
        <w:t>Società con Software Assurance idonee</w:t>
      </w:r>
    </w:p>
    <w:p w:rsidR="00324479" w:rsidRPr="00A75DF9" w:rsidRDefault="00324479" w:rsidP="00324479">
      <w:pPr>
        <w:jc w:val="both"/>
        <w:rPr>
          <w:rFonts w:cs="Tahoma"/>
        </w:rPr>
      </w:pPr>
      <w:r w:rsidRPr="00A75DF9">
        <w:rPr>
          <w:rFonts w:cs="Tahoma"/>
          <w:szCs w:val="18"/>
        </w:rPr>
        <w:t>Le società con copertura Software Assurance attiva per il sistema operativo desktop Windows sono idonee a ricevere questo vantaggio. La copertura Software Assurance per il sistema operativo desktop Windows su un dispositivo con licenza offre alle società la possibilità di utilizzare Windows 8 Enterprise anziché Windows 8 Pro su tale dispositivo.</w:t>
      </w:r>
    </w:p>
    <w:p w:rsidR="00324479" w:rsidRPr="00A75DF9" w:rsidRDefault="00324479" w:rsidP="00324479">
      <w:pPr>
        <w:jc w:val="both"/>
        <w:rPr>
          <w:rFonts w:cs="Tahoma"/>
        </w:rPr>
      </w:pPr>
    </w:p>
    <w:p w:rsidR="00324479" w:rsidRPr="00A75DF9" w:rsidRDefault="00324479" w:rsidP="00036631">
      <w:pPr>
        <w:jc w:val="both"/>
        <w:rPr>
          <w:rFonts w:cs="Tahoma"/>
        </w:rPr>
      </w:pPr>
      <w:r w:rsidRPr="00A75DF9">
        <w:rPr>
          <w:rFonts w:cs="Tahoma"/>
          <w:szCs w:val="18"/>
        </w:rPr>
        <w:t>Le società Software Assurance idonee dispongono dei diritti di utilizzare Windows 8 Enterprise come descritto nei Diritti di Utilizzo del Prodotto. Le società non possono trasferire Windows 8 Enterprise dal dispositivo concesso in</w:t>
      </w:r>
      <w:r w:rsidR="00036631">
        <w:rPr>
          <w:rFonts w:cs="Tahoma"/>
          <w:szCs w:val="18"/>
        </w:rPr>
        <w:t> </w:t>
      </w:r>
      <w:r w:rsidRPr="00A75DF9">
        <w:rPr>
          <w:rFonts w:cs="Tahoma"/>
          <w:szCs w:val="18"/>
        </w:rPr>
        <w:t xml:space="preserve">licenza a un altro dispositivo, se non in combinazione con la riassegnazione consentita della copertura Software Assurance. </w:t>
      </w:r>
    </w:p>
    <w:p w:rsidR="00324479" w:rsidRPr="00A75DF9" w:rsidRDefault="00324479" w:rsidP="00324479">
      <w:pPr>
        <w:jc w:val="both"/>
        <w:rPr>
          <w:rFonts w:cs="Tahoma"/>
        </w:rPr>
      </w:pPr>
    </w:p>
    <w:p w:rsidR="005A141F" w:rsidRPr="00A75DF9" w:rsidRDefault="00324479" w:rsidP="00862623">
      <w:pPr>
        <w:keepNext/>
        <w:spacing w:after="60"/>
        <w:jc w:val="both"/>
        <w:rPr>
          <w:rFonts w:cs="Tahoma"/>
        </w:rPr>
      </w:pPr>
      <w:r w:rsidRPr="00A75DF9">
        <w:rPr>
          <w:rFonts w:cs="Tahoma"/>
          <w:b/>
          <w:szCs w:val="18"/>
        </w:rPr>
        <w:t>Società con i Vantaggi dei Servizi Online idonee</w:t>
      </w:r>
    </w:p>
    <w:p w:rsidR="00324479" w:rsidRPr="00A75DF9" w:rsidRDefault="0071258F" w:rsidP="00324479">
      <w:pPr>
        <w:jc w:val="both"/>
        <w:rPr>
          <w:rFonts w:cs="Tahoma"/>
        </w:rPr>
      </w:pPr>
      <w:r w:rsidRPr="00A75DF9">
        <w:rPr>
          <w:rFonts w:cs="Tahoma"/>
          <w:szCs w:val="18"/>
        </w:rPr>
        <w:t>Le società con Windows Intune (Per Dispositivo) dispongono dei diritti di utilizzare Windows 8 Enterprise come descritto nei Diritti di Utilizzo del Prodotto. Vedere l</w:t>
      </w:r>
      <w:r w:rsidR="00F2643E">
        <w:rPr>
          <w:rFonts w:cs="Tahoma"/>
          <w:szCs w:val="18"/>
        </w:rPr>
        <w:t>’</w:t>
      </w:r>
      <w:r w:rsidRPr="00A75DF9">
        <w:rPr>
          <w:rFonts w:cs="Tahoma"/>
          <w:szCs w:val="18"/>
        </w:rPr>
        <w:t>Articolo Note del Prodotto della presente Lista dei Prodotti per le condizioni applicabili all</w:t>
      </w:r>
      <w:r w:rsidR="00F2643E">
        <w:rPr>
          <w:rFonts w:cs="Tahoma"/>
          <w:szCs w:val="18"/>
        </w:rPr>
        <w:t>’</w:t>
      </w:r>
      <w:r w:rsidRPr="00A75DF9">
        <w:rPr>
          <w:rFonts w:cs="Tahoma"/>
          <w:szCs w:val="18"/>
        </w:rPr>
        <w:t>acquisto e alla riassegnazione di licenze per Windows Intune (Per Dispositivo).</w:t>
      </w:r>
    </w:p>
    <w:p w:rsidR="005A141F" w:rsidRPr="00A75DF9" w:rsidDel="008900EB" w:rsidRDefault="005A141F" w:rsidP="00324479">
      <w:pPr>
        <w:jc w:val="both"/>
        <w:rPr>
          <w:rFonts w:cs="Tahoma"/>
        </w:rPr>
      </w:pPr>
    </w:p>
    <w:p w:rsidR="00324479" w:rsidRPr="00A75DF9" w:rsidRDefault="00324479" w:rsidP="00324479">
      <w:pPr>
        <w:spacing w:after="60"/>
        <w:rPr>
          <w:rFonts w:cs="Tahoma"/>
        </w:rPr>
      </w:pPr>
      <w:r w:rsidRPr="00A75DF9">
        <w:rPr>
          <w:rFonts w:cs="Tahoma"/>
          <w:szCs w:val="18"/>
        </w:rPr>
        <w:t>Le società che dispongono di Software Assurance e di Windows Intune (Per Dispositivo) sono autorizzate a utilizzare l</w:t>
      </w:r>
      <w:r w:rsidR="00F2643E">
        <w:rPr>
          <w:rFonts w:cs="Tahoma"/>
          <w:szCs w:val="18"/>
        </w:rPr>
        <w:t>’</w:t>
      </w:r>
      <w:r w:rsidRPr="00A75DF9">
        <w:rPr>
          <w:rFonts w:cs="Tahoma"/>
          <w:szCs w:val="18"/>
        </w:rPr>
        <w:t>edizione MUI (Multilingual User Interface) delle versioni precedenti del sistema operativo desktop Windows al posto di Windows 8 Enterprise.</w:t>
      </w:r>
    </w:p>
    <w:p w:rsidR="00870095" w:rsidRPr="00036631" w:rsidRDefault="00870095" w:rsidP="005A141F">
      <w:pPr>
        <w:pStyle w:val="Heading3"/>
        <w:spacing w:after="60"/>
        <w:rPr>
          <w:rFonts w:ascii="Tahoma" w:hAnsi="Tahoma" w:cs="Tahoma"/>
          <w:b w:val="0"/>
          <w:bCs/>
          <w:sz w:val="18"/>
          <w:szCs w:val="18"/>
        </w:rPr>
      </w:pPr>
    </w:p>
    <w:p w:rsidR="00870095" w:rsidRPr="00A75DF9" w:rsidRDefault="00870095" w:rsidP="005A141F">
      <w:pPr>
        <w:pStyle w:val="Heading3"/>
        <w:spacing w:after="60"/>
        <w:rPr>
          <w:rFonts w:ascii="Tahoma" w:hAnsi="Tahoma" w:cs="Tahoma"/>
        </w:rPr>
      </w:pPr>
      <w:bookmarkStart w:id="730" w:name="_Toc336338231"/>
      <w:bookmarkStart w:id="731" w:name="_Toc368310222"/>
      <w:r w:rsidRPr="00A75DF9">
        <w:rPr>
          <w:rFonts w:ascii="Tahoma" w:hAnsi="Tahoma" w:cs="Tahoma"/>
          <w:sz w:val="18"/>
        </w:rPr>
        <w:t>Windows 8 Enterprise Sideloading</w:t>
      </w:r>
      <w:bookmarkEnd w:id="730"/>
      <w:bookmarkEnd w:id="731"/>
    </w:p>
    <w:p w:rsidR="00810479" w:rsidRPr="00A75DF9" w:rsidRDefault="00870095" w:rsidP="00036631">
      <w:pPr>
        <w:jc w:val="both"/>
        <w:rPr>
          <w:rFonts w:cs="Tahoma"/>
        </w:rPr>
      </w:pPr>
      <w:r w:rsidRPr="00A75DF9">
        <w:rPr>
          <w:rFonts w:cs="Tahoma"/>
          <w:szCs w:val="18"/>
        </w:rPr>
        <w:t>Informazioni sul prodotto Windows 8 Enterprise Sideloading sono disponibili nell</w:t>
      </w:r>
      <w:r w:rsidR="00F2643E">
        <w:rPr>
          <w:rFonts w:cs="Tahoma"/>
          <w:szCs w:val="18"/>
        </w:rPr>
        <w:t>’</w:t>
      </w:r>
      <w:r w:rsidRPr="00A75DF9">
        <w:rPr>
          <w:rFonts w:cs="Tahoma"/>
          <w:szCs w:val="18"/>
        </w:rPr>
        <w:t>Articolo “Note del Prodotto” del</w:t>
      </w:r>
      <w:r w:rsidR="00036631">
        <w:rPr>
          <w:rFonts w:cs="Tahoma"/>
          <w:szCs w:val="18"/>
        </w:rPr>
        <w:t> </w:t>
      </w:r>
      <w:r w:rsidRPr="00A75DF9">
        <w:rPr>
          <w:rFonts w:cs="Tahoma"/>
          <w:szCs w:val="18"/>
        </w:rPr>
        <w:t>presente documento.</w:t>
      </w:r>
    </w:p>
    <w:p w:rsidR="00BD1A6A" w:rsidRPr="00A75DF9" w:rsidRDefault="00BD1A6A">
      <w:pPr>
        <w:rPr>
          <w:rFonts w:cs="Tahoma"/>
        </w:rPr>
      </w:pPr>
      <w:bookmarkStart w:id="732" w:name="_Toc336338232"/>
    </w:p>
    <w:p w:rsidR="00EA1BE9" w:rsidRPr="00A75DF9" w:rsidRDefault="00EA1BE9" w:rsidP="005A141F">
      <w:pPr>
        <w:pStyle w:val="Heading3"/>
        <w:spacing w:after="60"/>
        <w:rPr>
          <w:rFonts w:ascii="Tahoma" w:hAnsi="Tahoma" w:cs="Tahoma"/>
        </w:rPr>
      </w:pPr>
      <w:bookmarkStart w:id="733" w:name="_Toc368310223"/>
      <w:r w:rsidRPr="00A75DF9">
        <w:rPr>
          <w:rFonts w:ascii="Tahoma" w:hAnsi="Tahoma" w:cs="Tahoma"/>
          <w:sz w:val="18"/>
        </w:rPr>
        <w:t>Licenza “Subscription” per Windows Companion</w:t>
      </w:r>
      <w:bookmarkEnd w:id="732"/>
      <w:bookmarkEnd w:id="733"/>
    </w:p>
    <w:p w:rsidR="00EA1BE9" w:rsidRPr="00A75DF9" w:rsidRDefault="00EA1BE9" w:rsidP="00036631">
      <w:pPr>
        <w:jc w:val="both"/>
        <w:rPr>
          <w:rFonts w:cs="Tahoma"/>
        </w:rPr>
      </w:pPr>
      <w:r w:rsidRPr="00A75DF9">
        <w:rPr>
          <w:rFonts w:cs="Tahoma"/>
          <w:szCs w:val="18"/>
        </w:rPr>
        <w:t>La nota relativa alla Licenza “Subscription” per Windows Companion è disponibile nell</w:t>
      </w:r>
      <w:r w:rsidR="00F2643E">
        <w:rPr>
          <w:rFonts w:cs="Tahoma"/>
          <w:szCs w:val="18"/>
        </w:rPr>
        <w:t>’</w:t>
      </w:r>
      <w:r w:rsidRPr="00A75DF9">
        <w:rPr>
          <w:rFonts w:cs="Tahoma"/>
          <w:szCs w:val="18"/>
        </w:rPr>
        <w:t>Articolo “Note del Prodotto” del</w:t>
      </w:r>
      <w:r w:rsidR="00036631">
        <w:rPr>
          <w:rFonts w:cs="Tahoma"/>
          <w:szCs w:val="18"/>
        </w:rPr>
        <w:t> </w:t>
      </w:r>
      <w:r w:rsidRPr="00A75DF9">
        <w:rPr>
          <w:rFonts w:cs="Tahoma"/>
          <w:szCs w:val="18"/>
        </w:rPr>
        <w:t>presente documento.</w:t>
      </w:r>
    </w:p>
    <w:p w:rsidR="00870095" w:rsidRPr="00A75DF9" w:rsidRDefault="00870095" w:rsidP="003C56F1">
      <w:pPr>
        <w:jc w:val="both"/>
        <w:rPr>
          <w:rFonts w:cs="Tahoma"/>
        </w:rPr>
      </w:pPr>
    </w:p>
    <w:p w:rsidR="00023FE7" w:rsidRPr="00A75DF9" w:rsidRDefault="00023FE7">
      <w:pPr>
        <w:pStyle w:val="Heading3"/>
        <w:rPr>
          <w:rFonts w:ascii="Tahoma" w:hAnsi="Tahoma" w:cs="Tahoma"/>
        </w:rPr>
      </w:pPr>
      <w:bookmarkStart w:id="734" w:name="_Toc328146000"/>
      <w:bookmarkStart w:id="735" w:name="_Toc336338233"/>
      <w:bookmarkStart w:id="736" w:name="_Toc368310224"/>
      <w:r w:rsidRPr="00A75DF9">
        <w:rPr>
          <w:rFonts w:ascii="Tahoma" w:hAnsi="Tahoma" w:cs="Tahoma"/>
          <w:sz w:val="24"/>
        </w:rPr>
        <w:t>Voucher Corsi</w:t>
      </w:r>
      <w:bookmarkEnd w:id="734"/>
      <w:bookmarkEnd w:id="735"/>
      <w:bookmarkEnd w:id="736"/>
    </w:p>
    <w:p w:rsidR="00023FE7" w:rsidRPr="00A75DF9" w:rsidRDefault="00023FE7" w:rsidP="003C56F1">
      <w:pPr>
        <w:pStyle w:val="AppendixBodyText"/>
        <w:spacing w:after="0"/>
        <w:rPr>
          <w:rFonts w:ascii="Tahoma" w:hAnsi="Tahoma" w:cs="Tahoma"/>
        </w:rPr>
      </w:pPr>
    </w:p>
    <w:p w:rsidR="00023FE7" w:rsidRPr="00A75DF9" w:rsidRDefault="008A15A8" w:rsidP="00036631">
      <w:pPr>
        <w:pStyle w:val="AppendixBodyText"/>
        <w:spacing w:after="0"/>
        <w:rPr>
          <w:rFonts w:ascii="Tahoma" w:hAnsi="Tahoma" w:cs="Tahoma"/>
        </w:rPr>
      </w:pPr>
      <w:r w:rsidRPr="00A75DF9">
        <w:rPr>
          <w:rFonts w:ascii="Tahoma" w:hAnsi="Tahoma" w:cs="Tahoma"/>
          <w:sz w:val="18"/>
          <w:szCs w:val="18"/>
        </w:rPr>
        <w:t>Le società che non siano società con Contratti Academic Select License, Select Plus for Academic, Open Value Subscription - Education Solutions, Campus e School, ma con Partecipazione a Software Assurance per i prodotti del pool di applicazioni o sistemi, sono idonee a ricevere i voucher corsi di Microsoft.</w:t>
      </w:r>
      <w:r w:rsidR="009D3B41" w:rsidRPr="00A75DF9">
        <w:rPr>
          <w:rFonts w:ascii="Tahoma" w:hAnsi="Tahoma" w:cs="Tahoma"/>
          <w:sz w:val="18"/>
          <w:szCs w:val="18"/>
        </w:rPr>
        <w:t xml:space="preserve"> </w:t>
      </w:r>
      <w:r w:rsidRPr="00A75DF9">
        <w:rPr>
          <w:rFonts w:ascii="Tahoma" w:hAnsi="Tahoma" w:cs="Tahoma"/>
          <w:sz w:val="18"/>
          <w:szCs w:val="18"/>
        </w:rPr>
        <w:t>I voucher autorizzano le società a</w:t>
      </w:r>
      <w:r w:rsidR="00036631">
        <w:rPr>
          <w:rFonts w:ascii="Tahoma" w:hAnsi="Tahoma" w:cs="Tahoma"/>
          <w:sz w:val="18"/>
          <w:szCs w:val="18"/>
        </w:rPr>
        <w:t> </w:t>
      </w:r>
      <w:r w:rsidRPr="00A75DF9">
        <w:rPr>
          <w:rFonts w:ascii="Tahoma" w:hAnsi="Tahoma" w:cs="Tahoma"/>
          <w:sz w:val="18"/>
          <w:szCs w:val="18"/>
        </w:rPr>
        <w:t>ricevere corsi tenuti da un Partner Microsoft in possesso di una Competenza Learning (Microsoft Learning Partner) per un numero specifico di giorni.</w:t>
      </w:r>
      <w:r w:rsidR="009D3B41" w:rsidRPr="00A75DF9">
        <w:rPr>
          <w:rFonts w:ascii="Tahoma" w:hAnsi="Tahoma" w:cs="Tahoma"/>
          <w:sz w:val="18"/>
          <w:szCs w:val="18"/>
        </w:rPr>
        <w:t xml:space="preserve"> </w:t>
      </w:r>
      <w:r w:rsidRPr="00A75DF9">
        <w:rPr>
          <w:rFonts w:ascii="Tahoma" w:hAnsi="Tahoma" w:cs="Tahoma"/>
          <w:sz w:val="18"/>
          <w:szCs w:val="18"/>
        </w:rPr>
        <w:t>Il numero di giorni consentiti varia in base al programma e al numero di licenze qualificanti per le quali è stata acquistata la copertura Software Assurance.</w:t>
      </w:r>
      <w:r w:rsidR="009D3B41" w:rsidRPr="00A75DF9">
        <w:rPr>
          <w:rFonts w:ascii="Tahoma" w:hAnsi="Tahoma" w:cs="Tahoma"/>
          <w:sz w:val="18"/>
          <w:szCs w:val="18"/>
        </w:rPr>
        <w:t xml:space="preserve"> </w:t>
      </w:r>
      <w:r w:rsidRPr="00A75DF9">
        <w:rPr>
          <w:rFonts w:ascii="Tahoma" w:hAnsi="Tahoma" w:cs="Tahoma"/>
          <w:sz w:val="18"/>
          <w:szCs w:val="18"/>
        </w:rPr>
        <w:t xml:space="preserve">Dopo che il Gestore del Vantaggio dei Voucher Corsi ha attivato il vantaggio Voucher Corsi tramite lo strumento Volume Licensing Service Center (VLSC), </w:t>
      </w:r>
      <w:r w:rsidR="00036631">
        <w:rPr>
          <w:rFonts w:ascii="Tahoma" w:hAnsi="Tahoma" w:cs="Tahoma"/>
          <w:sz w:val="18"/>
          <w:szCs w:val="18"/>
        </w:rPr>
        <w:t>I </w:t>
      </w:r>
      <w:r w:rsidRPr="00A75DF9">
        <w:rPr>
          <w:rFonts w:ascii="Tahoma" w:hAnsi="Tahoma" w:cs="Tahoma"/>
          <w:sz w:val="18"/>
          <w:szCs w:val="18"/>
        </w:rPr>
        <w:t>Voucher Corsi possono essere assegnati a singoli utenti designati dal Gestore del Vantaggio dei Voucher Corsi della</w:t>
      </w:r>
      <w:r w:rsidR="00036631">
        <w:rPr>
          <w:rFonts w:ascii="Tahoma" w:hAnsi="Tahoma" w:cs="Tahoma"/>
          <w:sz w:val="18"/>
          <w:szCs w:val="18"/>
        </w:rPr>
        <w:t> </w:t>
      </w:r>
      <w:r w:rsidRPr="00A75DF9">
        <w:rPr>
          <w:rFonts w:ascii="Tahoma" w:hAnsi="Tahoma" w:cs="Tahoma"/>
          <w:sz w:val="18"/>
          <w:szCs w:val="18"/>
        </w:rPr>
        <w:t>società.</w:t>
      </w:r>
    </w:p>
    <w:tbl>
      <w:tblPr>
        <w:tblW w:w="944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3002"/>
        <w:gridCol w:w="3150"/>
        <w:gridCol w:w="3289"/>
      </w:tblGrid>
      <w:tr w:rsidR="00F76ED4" w:rsidRPr="00A75DF9" w:rsidTr="00036631">
        <w:trPr>
          <w:cantSplit/>
          <w:trHeight w:val="531"/>
        </w:trPr>
        <w:tc>
          <w:tcPr>
            <w:tcW w:w="3002" w:type="dxa"/>
            <w:shd w:val="clear" w:color="auto" w:fill="FFCC99"/>
            <w:vAlign w:val="center"/>
          </w:tcPr>
          <w:p w:rsidR="00F76ED4" w:rsidRPr="00A75DF9" w:rsidRDefault="00F76ED4" w:rsidP="00036631">
            <w:pPr>
              <w:pStyle w:val="AppendixTableHeadings"/>
              <w:keepNext/>
              <w:rPr>
                <w:rFonts w:ascii="Tahoma" w:hAnsi="Tahoma" w:cs="Tahoma"/>
                <w:sz w:val="20"/>
                <w:szCs w:val="20"/>
              </w:rPr>
            </w:pPr>
            <w:r w:rsidRPr="00A75DF9">
              <w:rPr>
                <w:rFonts w:ascii="Tahoma" w:hAnsi="Tahoma" w:cs="Tahoma"/>
                <w:sz w:val="20"/>
                <w:szCs w:val="20"/>
              </w:rPr>
              <w:lastRenderedPageBreak/>
              <w:t>Programma</w:t>
            </w:r>
          </w:p>
        </w:tc>
        <w:tc>
          <w:tcPr>
            <w:tcW w:w="3150" w:type="dxa"/>
            <w:shd w:val="clear" w:color="auto" w:fill="FFCC99"/>
            <w:vAlign w:val="center"/>
          </w:tcPr>
          <w:p w:rsidR="00F76ED4" w:rsidRPr="00A75DF9" w:rsidRDefault="00F76ED4" w:rsidP="00036631">
            <w:pPr>
              <w:pStyle w:val="AppendixTableHeadings"/>
              <w:keepNext/>
              <w:rPr>
                <w:rFonts w:ascii="Tahoma" w:hAnsi="Tahoma" w:cs="Tahoma"/>
                <w:sz w:val="20"/>
                <w:szCs w:val="20"/>
              </w:rPr>
            </w:pPr>
            <w:r w:rsidRPr="00A75DF9">
              <w:rPr>
                <w:rFonts w:ascii="Tahoma" w:hAnsi="Tahoma" w:cs="Tahoma"/>
                <w:sz w:val="20"/>
                <w:szCs w:val="20"/>
              </w:rPr>
              <w:t>Prodotti del Pool di Applicazioni Office System</w:t>
            </w:r>
            <w:r w:rsidRPr="00A75DF9">
              <w:rPr>
                <w:rFonts w:ascii="Tahoma" w:hAnsi="Tahoma" w:cs="Tahoma"/>
                <w:b w:val="0"/>
                <w:i/>
                <w:sz w:val="20"/>
                <w:szCs w:val="20"/>
              </w:rPr>
              <w:t xml:space="preserve"> </w:t>
            </w:r>
          </w:p>
        </w:tc>
        <w:tc>
          <w:tcPr>
            <w:tcW w:w="3289" w:type="dxa"/>
            <w:shd w:val="clear" w:color="auto" w:fill="FFCC99"/>
            <w:vAlign w:val="center"/>
          </w:tcPr>
          <w:p w:rsidR="00F76ED4" w:rsidRPr="00A75DF9" w:rsidRDefault="00F76ED4" w:rsidP="00036631">
            <w:pPr>
              <w:pStyle w:val="AppendixTableHeadings"/>
              <w:keepNext/>
              <w:rPr>
                <w:rFonts w:ascii="Tahoma" w:hAnsi="Tahoma" w:cs="Tahoma"/>
                <w:sz w:val="20"/>
                <w:szCs w:val="20"/>
              </w:rPr>
            </w:pPr>
            <w:r w:rsidRPr="00A75DF9">
              <w:rPr>
                <w:rFonts w:ascii="Tahoma" w:hAnsi="Tahoma" w:cs="Tahoma"/>
                <w:sz w:val="20"/>
                <w:szCs w:val="20"/>
              </w:rPr>
              <w:t>Pool di Sistemi</w:t>
            </w:r>
          </w:p>
        </w:tc>
      </w:tr>
      <w:tr w:rsidR="00F76ED4" w:rsidRPr="00A75DF9" w:rsidTr="00036631">
        <w:trPr>
          <w:cantSplit/>
          <w:trHeight w:val="236"/>
        </w:trPr>
        <w:tc>
          <w:tcPr>
            <w:tcW w:w="3002" w:type="dxa"/>
            <w:vAlign w:val="center"/>
          </w:tcPr>
          <w:p w:rsidR="00F76ED4" w:rsidRPr="00A75DF9" w:rsidRDefault="00F76ED4" w:rsidP="00036631">
            <w:pPr>
              <w:pStyle w:val="AppendixTableText"/>
              <w:keepNext/>
              <w:rPr>
                <w:rFonts w:ascii="Tahoma" w:hAnsi="Tahoma" w:cs="Tahoma"/>
              </w:rPr>
            </w:pPr>
            <w:r w:rsidRPr="00A75DF9">
              <w:rPr>
                <w:rFonts w:ascii="Tahoma" w:hAnsi="Tahoma" w:cs="Tahoma"/>
              </w:rPr>
              <w:t>Open Value</w:t>
            </w:r>
          </w:p>
        </w:tc>
        <w:tc>
          <w:tcPr>
            <w:tcW w:w="3150" w:type="dxa"/>
            <w:vAlign w:val="center"/>
          </w:tcPr>
          <w:p w:rsidR="00F76ED4" w:rsidRPr="00A75DF9" w:rsidRDefault="00F76ED4" w:rsidP="00036631">
            <w:pPr>
              <w:pStyle w:val="AppendixTableText"/>
              <w:keepNext/>
              <w:rPr>
                <w:rFonts w:ascii="Tahoma" w:hAnsi="Tahoma" w:cs="Tahoma"/>
              </w:rPr>
            </w:pPr>
            <w:r w:rsidRPr="00A75DF9">
              <w:rPr>
                <w:rFonts w:ascii="Tahoma" w:hAnsi="Tahoma" w:cs="Tahoma"/>
              </w:rPr>
              <w:t xml:space="preserve">2 giorni per 50 licenze </w:t>
            </w:r>
            <w:r w:rsidR="00036631">
              <w:rPr>
                <w:rFonts w:ascii="Tahoma" w:hAnsi="Tahoma" w:cs="Tahoma"/>
              </w:rPr>
              <w:br/>
            </w:r>
            <w:r w:rsidRPr="00A75DF9">
              <w:rPr>
                <w:rFonts w:ascii="Tahoma" w:hAnsi="Tahoma" w:cs="Tahoma"/>
              </w:rPr>
              <w:t>(massimo 20 giorni)</w:t>
            </w:r>
          </w:p>
        </w:tc>
        <w:tc>
          <w:tcPr>
            <w:tcW w:w="3289" w:type="dxa"/>
            <w:vAlign w:val="center"/>
          </w:tcPr>
          <w:p w:rsidR="00F76ED4" w:rsidRPr="00A75DF9" w:rsidRDefault="00F76ED4" w:rsidP="00036631">
            <w:pPr>
              <w:pStyle w:val="AppendixTableText"/>
              <w:keepNext/>
              <w:rPr>
                <w:rFonts w:ascii="Tahoma" w:hAnsi="Tahoma" w:cs="Tahoma"/>
              </w:rPr>
            </w:pPr>
            <w:r w:rsidRPr="00A75DF9">
              <w:rPr>
                <w:rFonts w:ascii="Tahoma" w:hAnsi="Tahoma" w:cs="Tahoma"/>
              </w:rPr>
              <w:t>1 giorno per 50 licenze</w:t>
            </w:r>
          </w:p>
          <w:p w:rsidR="00F76ED4" w:rsidRPr="00A75DF9" w:rsidRDefault="00F76ED4" w:rsidP="00036631">
            <w:pPr>
              <w:pStyle w:val="AppendixTableText"/>
              <w:keepNext/>
              <w:rPr>
                <w:rFonts w:ascii="Tahoma" w:hAnsi="Tahoma" w:cs="Tahoma"/>
              </w:rPr>
            </w:pPr>
            <w:r w:rsidRPr="00A75DF9">
              <w:rPr>
                <w:rFonts w:ascii="Tahoma" w:hAnsi="Tahoma" w:cs="Tahoma"/>
              </w:rPr>
              <w:t>(massimo 10 giorni)</w:t>
            </w:r>
          </w:p>
        </w:tc>
      </w:tr>
      <w:tr w:rsidR="00F76ED4" w:rsidRPr="00A75DF9" w:rsidTr="00036631">
        <w:trPr>
          <w:cantSplit/>
          <w:trHeight w:val="236"/>
        </w:trPr>
        <w:tc>
          <w:tcPr>
            <w:tcW w:w="3002" w:type="dxa"/>
            <w:vAlign w:val="center"/>
          </w:tcPr>
          <w:p w:rsidR="00F76ED4" w:rsidRPr="00A75DF9" w:rsidRDefault="00F76ED4" w:rsidP="00036631">
            <w:pPr>
              <w:pStyle w:val="AppendixTableHeadings"/>
              <w:keepNext/>
              <w:rPr>
                <w:rFonts w:ascii="Tahoma" w:hAnsi="Tahoma" w:cs="Tahoma"/>
              </w:rPr>
            </w:pPr>
            <w:r w:rsidRPr="00A75DF9">
              <w:rPr>
                <w:rFonts w:ascii="Tahoma" w:hAnsi="Tahoma" w:cs="Tahoma"/>
                <w:b w:val="0"/>
              </w:rPr>
              <w:t>SAM</w:t>
            </w:r>
          </w:p>
          <w:p w:rsidR="00F76ED4" w:rsidRPr="00A75DF9" w:rsidRDefault="00F76ED4" w:rsidP="00036631">
            <w:pPr>
              <w:pStyle w:val="AppendixTableHeadings"/>
              <w:keepNext/>
              <w:rPr>
                <w:rFonts w:ascii="Tahoma" w:hAnsi="Tahoma" w:cs="Tahoma"/>
                <w:b w:val="0"/>
              </w:rPr>
            </w:pPr>
            <w:r w:rsidRPr="00A75DF9">
              <w:rPr>
                <w:rFonts w:ascii="Tahoma" w:hAnsi="Tahoma" w:cs="Tahoma"/>
                <w:b w:val="0"/>
              </w:rPr>
              <w:t>1</w:t>
            </w:r>
            <w:r w:rsidR="00036631">
              <w:rPr>
                <w:rFonts w:ascii="Tahoma" w:hAnsi="Tahoma" w:cs="Tahoma"/>
                <w:b w:val="0"/>
              </w:rPr>
              <w:t xml:space="preserve"> </w:t>
            </w:r>
            <w:r w:rsidR="00036631" w:rsidRPr="00A75DF9">
              <w:rPr>
                <w:rFonts w:ascii="Tahoma" w:hAnsi="Tahoma" w:cs="Tahoma"/>
              </w:rPr>
              <w:t xml:space="preserve">– </w:t>
            </w:r>
            <w:r w:rsidRPr="00A75DF9">
              <w:rPr>
                <w:rFonts w:ascii="Tahoma" w:hAnsi="Tahoma" w:cs="Tahoma"/>
                <w:b w:val="0"/>
              </w:rPr>
              <w:t>249</w:t>
            </w:r>
          </w:p>
        </w:tc>
        <w:tc>
          <w:tcPr>
            <w:tcW w:w="3150" w:type="dxa"/>
            <w:vAlign w:val="center"/>
          </w:tcPr>
          <w:p w:rsidR="00F76ED4" w:rsidRPr="00A75DF9" w:rsidRDefault="00F76ED4" w:rsidP="00036631">
            <w:pPr>
              <w:pStyle w:val="AppendixTableText"/>
              <w:keepNext/>
              <w:rPr>
                <w:rFonts w:ascii="Tahoma" w:hAnsi="Tahoma" w:cs="Tahoma"/>
              </w:rPr>
            </w:pPr>
            <w:r w:rsidRPr="00A75DF9">
              <w:rPr>
                <w:rFonts w:ascii="Tahoma" w:hAnsi="Tahoma" w:cs="Tahoma"/>
              </w:rPr>
              <w:t>2 giorni per 50 licenze</w:t>
            </w:r>
          </w:p>
        </w:tc>
        <w:tc>
          <w:tcPr>
            <w:tcW w:w="3289" w:type="dxa"/>
            <w:vAlign w:val="center"/>
          </w:tcPr>
          <w:p w:rsidR="00F76ED4" w:rsidRPr="00A75DF9" w:rsidRDefault="00F76ED4" w:rsidP="00036631">
            <w:pPr>
              <w:pStyle w:val="AppendixTableText"/>
              <w:keepNext/>
              <w:rPr>
                <w:rFonts w:ascii="Tahoma" w:hAnsi="Tahoma" w:cs="Tahoma"/>
              </w:rPr>
            </w:pPr>
            <w:r w:rsidRPr="00A75DF9">
              <w:rPr>
                <w:rFonts w:ascii="Tahoma" w:hAnsi="Tahoma" w:cs="Tahoma"/>
              </w:rPr>
              <w:t>1 giorno per 50 licenze</w:t>
            </w:r>
          </w:p>
          <w:p w:rsidR="00F76ED4" w:rsidRPr="00A75DF9" w:rsidRDefault="00F76ED4" w:rsidP="00036631">
            <w:pPr>
              <w:pStyle w:val="AppendixTableText"/>
              <w:keepNext/>
              <w:rPr>
                <w:rFonts w:ascii="Tahoma" w:hAnsi="Tahoma" w:cs="Tahoma"/>
              </w:rPr>
            </w:pPr>
          </w:p>
        </w:tc>
      </w:tr>
      <w:tr w:rsidR="00F76ED4" w:rsidRPr="00A75DF9" w:rsidTr="00036631">
        <w:trPr>
          <w:cantSplit/>
          <w:trHeight w:val="236"/>
        </w:trPr>
        <w:tc>
          <w:tcPr>
            <w:tcW w:w="3002" w:type="dxa"/>
            <w:vAlign w:val="center"/>
          </w:tcPr>
          <w:p w:rsidR="00F76ED4" w:rsidRPr="00A75DF9" w:rsidRDefault="00F76ED4" w:rsidP="00036631">
            <w:pPr>
              <w:pStyle w:val="AppendixTableHeadings"/>
              <w:keepNext/>
              <w:rPr>
                <w:rFonts w:ascii="Tahoma" w:hAnsi="Tahoma" w:cs="Tahoma"/>
              </w:rPr>
            </w:pPr>
            <w:r w:rsidRPr="00A75DF9">
              <w:rPr>
                <w:rFonts w:ascii="Tahoma" w:hAnsi="Tahoma" w:cs="Tahoma"/>
                <w:b w:val="0"/>
              </w:rPr>
              <w:t>SAM</w:t>
            </w:r>
          </w:p>
          <w:p w:rsidR="00F76ED4" w:rsidRPr="00A75DF9" w:rsidRDefault="00F76ED4" w:rsidP="00036631">
            <w:pPr>
              <w:pStyle w:val="AppendixTableText"/>
              <w:keepNext/>
              <w:rPr>
                <w:rFonts w:ascii="Tahoma" w:hAnsi="Tahoma" w:cs="Tahoma"/>
              </w:rPr>
            </w:pPr>
            <w:r w:rsidRPr="00A75DF9">
              <w:rPr>
                <w:rFonts w:ascii="Tahoma" w:hAnsi="Tahoma" w:cs="Tahoma"/>
              </w:rPr>
              <w:t>250</w:t>
            </w:r>
            <w:r w:rsidR="00036631">
              <w:rPr>
                <w:rFonts w:ascii="Tahoma" w:hAnsi="Tahoma" w:cs="Tahoma"/>
              </w:rPr>
              <w:t xml:space="preserve"> </w:t>
            </w:r>
            <w:r w:rsidR="00036631" w:rsidRPr="00A75DF9">
              <w:rPr>
                <w:rFonts w:ascii="Tahoma" w:hAnsi="Tahoma" w:cs="Tahoma"/>
              </w:rPr>
              <w:t xml:space="preserve">– </w:t>
            </w:r>
            <w:r w:rsidRPr="00A75DF9">
              <w:rPr>
                <w:rFonts w:ascii="Tahoma" w:hAnsi="Tahoma" w:cs="Tahoma"/>
              </w:rPr>
              <w:t>2</w:t>
            </w:r>
            <w:r w:rsidR="00036631">
              <w:rPr>
                <w:rFonts w:ascii="Tahoma" w:hAnsi="Tahoma" w:cs="Tahoma"/>
              </w:rPr>
              <w:t>.</w:t>
            </w:r>
            <w:r w:rsidRPr="00A75DF9">
              <w:rPr>
                <w:rFonts w:ascii="Tahoma" w:hAnsi="Tahoma" w:cs="Tahoma"/>
              </w:rPr>
              <w:t xml:space="preserve">399 </w:t>
            </w:r>
          </w:p>
        </w:tc>
        <w:tc>
          <w:tcPr>
            <w:tcW w:w="3150" w:type="dxa"/>
            <w:vAlign w:val="center"/>
          </w:tcPr>
          <w:p w:rsidR="00F76ED4" w:rsidRPr="00A75DF9" w:rsidRDefault="00F76ED4" w:rsidP="00036631">
            <w:pPr>
              <w:pStyle w:val="AppendixTableText"/>
              <w:keepNext/>
              <w:rPr>
                <w:rFonts w:ascii="Tahoma" w:hAnsi="Tahoma" w:cs="Tahoma"/>
              </w:rPr>
            </w:pPr>
            <w:r w:rsidRPr="00A75DF9">
              <w:rPr>
                <w:rFonts w:ascii="Tahoma" w:hAnsi="Tahoma" w:cs="Tahoma"/>
              </w:rPr>
              <w:t>20 giorni per</w:t>
            </w:r>
          </w:p>
          <w:p w:rsidR="00F76ED4" w:rsidRPr="00A75DF9" w:rsidRDefault="00F76ED4" w:rsidP="00036631">
            <w:pPr>
              <w:pStyle w:val="AppendixTableText"/>
              <w:keepNext/>
              <w:rPr>
                <w:rFonts w:ascii="Tahoma" w:hAnsi="Tahoma" w:cs="Tahoma"/>
              </w:rPr>
            </w:pPr>
            <w:r w:rsidRPr="00A75DF9">
              <w:rPr>
                <w:rFonts w:ascii="Tahoma" w:hAnsi="Tahoma" w:cs="Tahoma"/>
              </w:rPr>
              <w:t>iscrizione idonea</w:t>
            </w:r>
          </w:p>
        </w:tc>
        <w:tc>
          <w:tcPr>
            <w:tcW w:w="3289" w:type="dxa"/>
            <w:vAlign w:val="center"/>
          </w:tcPr>
          <w:p w:rsidR="00F76ED4" w:rsidRPr="00A75DF9" w:rsidRDefault="00F76ED4" w:rsidP="00036631">
            <w:pPr>
              <w:pStyle w:val="AppendixTableText"/>
              <w:keepNext/>
              <w:rPr>
                <w:rFonts w:ascii="Tahoma" w:hAnsi="Tahoma" w:cs="Tahoma"/>
              </w:rPr>
            </w:pPr>
            <w:r w:rsidRPr="00A75DF9">
              <w:rPr>
                <w:rFonts w:ascii="Tahoma" w:hAnsi="Tahoma" w:cs="Tahoma"/>
              </w:rPr>
              <w:t>10 giorni per</w:t>
            </w:r>
          </w:p>
          <w:p w:rsidR="00F76ED4" w:rsidRPr="00A75DF9" w:rsidRDefault="00F76ED4" w:rsidP="00036631">
            <w:pPr>
              <w:pStyle w:val="AppendixTableText"/>
              <w:keepNext/>
              <w:rPr>
                <w:rFonts w:ascii="Tahoma" w:hAnsi="Tahoma" w:cs="Tahoma"/>
              </w:rPr>
            </w:pPr>
            <w:r w:rsidRPr="00A75DF9">
              <w:rPr>
                <w:rFonts w:ascii="Tahoma" w:hAnsi="Tahoma" w:cs="Tahoma"/>
              </w:rPr>
              <w:t>iscrizione idonea</w:t>
            </w:r>
          </w:p>
        </w:tc>
      </w:tr>
      <w:tr w:rsidR="00F76ED4" w:rsidRPr="00A75DF9" w:rsidTr="00036631">
        <w:trPr>
          <w:cantSplit/>
          <w:trHeight w:val="236"/>
        </w:trPr>
        <w:tc>
          <w:tcPr>
            <w:tcW w:w="3002" w:type="dxa"/>
            <w:vAlign w:val="center"/>
          </w:tcPr>
          <w:p w:rsidR="00F76ED4" w:rsidRPr="00A75DF9" w:rsidRDefault="00F76ED4" w:rsidP="00036631">
            <w:pPr>
              <w:pStyle w:val="AppendixTableHeadings"/>
              <w:keepNext/>
              <w:rPr>
                <w:rFonts w:ascii="Tahoma" w:hAnsi="Tahoma" w:cs="Tahoma"/>
              </w:rPr>
            </w:pPr>
            <w:r w:rsidRPr="00A75DF9">
              <w:rPr>
                <w:rFonts w:ascii="Tahoma" w:hAnsi="Tahoma" w:cs="Tahoma"/>
                <w:b w:val="0"/>
              </w:rPr>
              <w:t>SAM</w:t>
            </w:r>
          </w:p>
          <w:p w:rsidR="00F76ED4" w:rsidRPr="00A75DF9" w:rsidRDefault="00F76ED4" w:rsidP="00036631">
            <w:pPr>
              <w:pStyle w:val="AppendixTableText"/>
              <w:keepNext/>
              <w:rPr>
                <w:rFonts w:ascii="Tahoma" w:hAnsi="Tahoma" w:cs="Tahoma"/>
                <w:i/>
              </w:rPr>
            </w:pPr>
            <w:r w:rsidRPr="00A75DF9">
              <w:rPr>
                <w:rFonts w:ascii="Tahoma" w:hAnsi="Tahoma" w:cs="Tahoma"/>
              </w:rPr>
              <w:t>2</w:t>
            </w:r>
            <w:r w:rsidR="00036631">
              <w:rPr>
                <w:rFonts w:ascii="Tahoma" w:hAnsi="Tahoma" w:cs="Tahoma"/>
              </w:rPr>
              <w:t>.</w:t>
            </w:r>
            <w:r w:rsidRPr="00A75DF9">
              <w:rPr>
                <w:rFonts w:ascii="Tahoma" w:hAnsi="Tahoma" w:cs="Tahoma"/>
              </w:rPr>
              <w:t>400</w:t>
            </w:r>
            <w:r w:rsidR="00036631">
              <w:rPr>
                <w:rFonts w:ascii="Tahoma" w:hAnsi="Tahoma" w:cs="Tahoma"/>
              </w:rPr>
              <w:t xml:space="preserve"> </w:t>
            </w:r>
            <w:r w:rsidR="00036631" w:rsidRPr="00A75DF9">
              <w:rPr>
                <w:rFonts w:ascii="Tahoma" w:hAnsi="Tahoma" w:cs="Tahoma"/>
              </w:rPr>
              <w:t xml:space="preserve">– </w:t>
            </w:r>
            <w:r w:rsidRPr="00A75DF9">
              <w:rPr>
                <w:rFonts w:ascii="Tahoma" w:hAnsi="Tahoma" w:cs="Tahoma"/>
              </w:rPr>
              <w:t>5</w:t>
            </w:r>
            <w:r w:rsidR="00036631">
              <w:rPr>
                <w:rFonts w:ascii="Tahoma" w:hAnsi="Tahoma" w:cs="Tahoma"/>
              </w:rPr>
              <w:t>.</w:t>
            </w:r>
            <w:r w:rsidRPr="00A75DF9">
              <w:rPr>
                <w:rFonts w:ascii="Tahoma" w:hAnsi="Tahoma" w:cs="Tahoma"/>
              </w:rPr>
              <w:t>999</w:t>
            </w:r>
          </w:p>
        </w:tc>
        <w:tc>
          <w:tcPr>
            <w:tcW w:w="3150" w:type="dxa"/>
            <w:vAlign w:val="center"/>
          </w:tcPr>
          <w:p w:rsidR="00F76ED4" w:rsidRPr="00A75DF9" w:rsidRDefault="00F76ED4" w:rsidP="00036631">
            <w:pPr>
              <w:pStyle w:val="AppendixTableText"/>
              <w:keepNext/>
              <w:rPr>
                <w:rFonts w:ascii="Tahoma" w:hAnsi="Tahoma" w:cs="Tahoma"/>
              </w:rPr>
            </w:pPr>
            <w:r w:rsidRPr="00A75DF9">
              <w:rPr>
                <w:rFonts w:ascii="Tahoma" w:hAnsi="Tahoma" w:cs="Tahoma"/>
              </w:rPr>
              <w:t xml:space="preserve">30 giorni* </w:t>
            </w:r>
          </w:p>
          <w:p w:rsidR="00F76ED4" w:rsidRPr="00A75DF9" w:rsidRDefault="00F76ED4" w:rsidP="00036631">
            <w:pPr>
              <w:pStyle w:val="AppendixTableText"/>
              <w:keepNext/>
              <w:rPr>
                <w:rFonts w:ascii="Tahoma" w:hAnsi="Tahoma" w:cs="Tahoma"/>
              </w:rPr>
            </w:pPr>
          </w:p>
        </w:tc>
        <w:tc>
          <w:tcPr>
            <w:tcW w:w="3289" w:type="dxa"/>
            <w:vAlign w:val="center"/>
          </w:tcPr>
          <w:p w:rsidR="00F76ED4" w:rsidRPr="00A75DF9" w:rsidRDefault="00F76ED4" w:rsidP="00036631">
            <w:pPr>
              <w:pStyle w:val="AppendixTableText"/>
              <w:keepNext/>
              <w:rPr>
                <w:rFonts w:ascii="Tahoma" w:hAnsi="Tahoma" w:cs="Tahoma"/>
              </w:rPr>
            </w:pPr>
            <w:r w:rsidRPr="00A75DF9">
              <w:rPr>
                <w:rFonts w:ascii="Tahoma" w:hAnsi="Tahoma" w:cs="Tahoma"/>
              </w:rPr>
              <w:t xml:space="preserve">15 giorni* </w:t>
            </w:r>
          </w:p>
          <w:p w:rsidR="00F76ED4" w:rsidRPr="00A75DF9" w:rsidRDefault="00F76ED4" w:rsidP="00036631">
            <w:pPr>
              <w:pStyle w:val="AppendixTableText"/>
              <w:keepNext/>
              <w:rPr>
                <w:rFonts w:ascii="Tahoma" w:hAnsi="Tahoma" w:cs="Tahoma"/>
              </w:rPr>
            </w:pPr>
          </w:p>
        </w:tc>
      </w:tr>
      <w:tr w:rsidR="00F76ED4" w:rsidRPr="00A75DF9" w:rsidTr="00036631">
        <w:trPr>
          <w:cantSplit/>
          <w:trHeight w:val="236"/>
        </w:trPr>
        <w:tc>
          <w:tcPr>
            <w:tcW w:w="3002" w:type="dxa"/>
            <w:vAlign w:val="center"/>
          </w:tcPr>
          <w:p w:rsidR="00F76ED4" w:rsidRPr="00A75DF9" w:rsidRDefault="00F76ED4" w:rsidP="00036631">
            <w:pPr>
              <w:pStyle w:val="AppendixTableHeadings"/>
              <w:keepNext/>
              <w:rPr>
                <w:rFonts w:ascii="Tahoma" w:hAnsi="Tahoma" w:cs="Tahoma"/>
              </w:rPr>
            </w:pPr>
            <w:r w:rsidRPr="00A75DF9">
              <w:rPr>
                <w:rFonts w:ascii="Tahoma" w:hAnsi="Tahoma" w:cs="Tahoma"/>
                <w:b w:val="0"/>
              </w:rPr>
              <w:t>SAM</w:t>
            </w:r>
          </w:p>
          <w:p w:rsidR="00F76ED4" w:rsidRPr="00A75DF9" w:rsidRDefault="00F76ED4" w:rsidP="00036631">
            <w:pPr>
              <w:pStyle w:val="AppendixTableText"/>
              <w:keepNext/>
              <w:rPr>
                <w:rFonts w:ascii="Tahoma" w:hAnsi="Tahoma" w:cs="Tahoma"/>
                <w:i/>
              </w:rPr>
            </w:pPr>
            <w:r w:rsidRPr="00A75DF9">
              <w:rPr>
                <w:rFonts w:ascii="Tahoma" w:hAnsi="Tahoma" w:cs="Tahoma"/>
              </w:rPr>
              <w:t>6</w:t>
            </w:r>
            <w:r w:rsidR="00036631">
              <w:rPr>
                <w:rFonts w:ascii="Tahoma" w:hAnsi="Tahoma" w:cs="Tahoma"/>
              </w:rPr>
              <w:t>.</w:t>
            </w:r>
            <w:r w:rsidRPr="00A75DF9">
              <w:rPr>
                <w:rFonts w:ascii="Tahoma" w:hAnsi="Tahoma" w:cs="Tahoma"/>
              </w:rPr>
              <w:t>000</w:t>
            </w:r>
            <w:r w:rsidR="00036631">
              <w:rPr>
                <w:rFonts w:ascii="Tahoma" w:hAnsi="Tahoma" w:cs="Tahoma"/>
              </w:rPr>
              <w:t xml:space="preserve"> </w:t>
            </w:r>
            <w:r w:rsidR="00036631" w:rsidRPr="00A75DF9">
              <w:rPr>
                <w:rFonts w:ascii="Tahoma" w:hAnsi="Tahoma" w:cs="Tahoma"/>
              </w:rPr>
              <w:t xml:space="preserve">– </w:t>
            </w:r>
            <w:r w:rsidRPr="00A75DF9">
              <w:rPr>
                <w:rFonts w:ascii="Tahoma" w:hAnsi="Tahoma" w:cs="Tahoma"/>
              </w:rPr>
              <w:t>14</w:t>
            </w:r>
            <w:r w:rsidR="00036631">
              <w:rPr>
                <w:rFonts w:ascii="Tahoma" w:hAnsi="Tahoma" w:cs="Tahoma"/>
              </w:rPr>
              <w:t>.</w:t>
            </w:r>
            <w:r w:rsidRPr="00A75DF9">
              <w:rPr>
                <w:rFonts w:ascii="Tahoma" w:hAnsi="Tahoma" w:cs="Tahoma"/>
              </w:rPr>
              <w:t>999</w:t>
            </w:r>
          </w:p>
        </w:tc>
        <w:tc>
          <w:tcPr>
            <w:tcW w:w="3150" w:type="dxa"/>
            <w:vAlign w:val="center"/>
          </w:tcPr>
          <w:p w:rsidR="00F76ED4" w:rsidRPr="00A75DF9" w:rsidRDefault="00F76ED4" w:rsidP="00036631">
            <w:pPr>
              <w:pStyle w:val="AppendixTableText"/>
              <w:keepNext/>
              <w:rPr>
                <w:rFonts w:ascii="Tahoma" w:hAnsi="Tahoma" w:cs="Tahoma"/>
              </w:rPr>
            </w:pPr>
            <w:r w:rsidRPr="00A75DF9">
              <w:rPr>
                <w:rFonts w:ascii="Tahoma" w:hAnsi="Tahoma" w:cs="Tahoma"/>
              </w:rPr>
              <w:t xml:space="preserve">50 giorni* </w:t>
            </w:r>
          </w:p>
          <w:p w:rsidR="00F76ED4" w:rsidRPr="00A75DF9" w:rsidRDefault="00F76ED4" w:rsidP="00036631">
            <w:pPr>
              <w:pStyle w:val="AppendixTableText"/>
              <w:keepNext/>
              <w:rPr>
                <w:rFonts w:ascii="Tahoma" w:hAnsi="Tahoma" w:cs="Tahoma"/>
              </w:rPr>
            </w:pPr>
          </w:p>
        </w:tc>
        <w:tc>
          <w:tcPr>
            <w:tcW w:w="3289" w:type="dxa"/>
            <w:vAlign w:val="center"/>
          </w:tcPr>
          <w:p w:rsidR="00F76ED4" w:rsidRPr="00A75DF9" w:rsidRDefault="00F76ED4" w:rsidP="00036631">
            <w:pPr>
              <w:pStyle w:val="AppendixTableText"/>
              <w:keepNext/>
              <w:rPr>
                <w:rFonts w:ascii="Tahoma" w:hAnsi="Tahoma" w:cs="Tahoma"/>
              </w:rPr>
            </w:pPr>
            <w:r w:rsidRPr="00A75DF9">
              <w:rPr>
                <w:rFonts w:ascii="Tahoma" w:hAnsi="Tahoma" w:cs="Tahoma"/>
              </w:rPr>
              <w:t xml:space="preserve">25 giorni* </w:t>
            </w:r>
          </w:p>
          <w:p w:rsidR="00F76ED4" w:rsidRPr="00A75DF9" w:rsidRDefault="00F76ED4" w:rsidP="00036631">
            <w:pPr>
              <w:pStyle w:val="AppendixTableText"/>
              <w:keepNext/>
              <w:rPr>
                <w:rFonts w:ascii="Tahoma" w:hAnsi="Tahoma" w:cs="Tahoma"/>
              </w:rPr>
            </w:pPr>
          </w:p>
        </w:tc>
      </w:tr>
      <w:tr w:rsidR="00F76ED4" w:rsidRPr="00A75DF9" w:rsidTr="00036631">
        <w:trPr>
          <w:cantSplit/>
          <w:trHeight w:val="236"/>
        </w:trPr>
        <w:tc>
          <w:tcPr>
            <w:tcW w:w="3002" w:type="dxa"/>
            <w:vAlign w:val="center"/>
          </w:tcPr>
          <w:p w:rsidR="00F76ED4" w:rsidRPr="00A75DF9" w:rsidRDefault="00F76ED4" w:rsidP="00036631">
            <w:pPr>
              <w:pStyle w:val="AppendixTableHeadings"/>
              <w:keepNext/>
              <w:rPr>
                <w:rFonts w:ascii="Tahoma" w:hAnsi="Tahoma" w:cs="Tahoma"/>
              </w:rPr>
            </w:pPr>
            <w:r w:rsidRPr="00A75DF9">
              <w:rPr>
                <w:rFonts w:ascii="Tahoma" w:hAnsi="Tahoma" w:cs="Tahoma"/>
                <w:b w:val="0"/>
              </w:rPr>
              <w:t>SAM</w:t>
            </w:r>
          </w:p>
          <w:p w:rsidR="00F76ED4" w:rsidRPr="00A75DF9" w:rsidRDefault="00F76ED4" w:rsidP="00036631">
            <w:pPr>
              <w:pStyle w:val="AppendixTableText"/>
              <w:keepNext/>
              <w:rPr>
                <w:rFonts w:ascii="Tahoma" w:hAnsi="Tahoma" w:cs="Tahoma"/>
                <w:i/>
              </w:rPr>
            </w:pPr>
            <w:r w:rsidRPr="00A75DF9">
              <w:rPr>
                <w:rFonts w:ascii="Tahoma" w:hAnsi="Tahoma" w:cs="Tahoma"/>
              </w:rPr>
              <w:t>15</w:t>
            </w:r>
            <w:r w:rsidR="00036631">
              <w:rPr>
                <w:rFonts w:ascii="Tahoma" w:hAnsi="Tahoma" w:cs="Tahoma"/>
              </w:rPr>
              <w:t>.</w:t>
            </w:r>
            <w:r w:rsidRPr="00A75DF9">
              <w:rPr>
                <w:rFonts w:ascii="Tahoma" w:hAnsi="Tahoma" w:cs="Tahoma"/>
              </w:rPr>
              <w:t>000 – 29</w:t>
            </w:r>
            <w:r w:rsidR="00036631">
              <w:rPr>
                <w:rFonts w:ascii="Tahoma" w:hAnsi="Tahoma" w:cs="Tahoma"/>
              </w:rPr>
              <w:t>.</w:t>
            </w:r>
            <w:r w:rsidRPr="00A75DF9">
              <w:rPr>
                <w:rFonts w:ascii="Tahoma" w:hAnsi="Tahoma" w:cs="Tahoma"/>
              </w:rPr>
              <w:t>999</w:t>
            </w:r>
          </w:p>
        </w:tc>
        <w:tc>
          <w:tcPr>
            <w:tcW w:w="3150" w:type="dxa"/>
            <w:vAlign w:val="center"/>
          </w:tcPr>
          <w:p w:rsidR="00F76ED4" w:rsidRPr="00A75DF9" w:rsidRDefault="00F76ED4" w:rsidP="00036631">
            <w:pPr>
              <w:pStyle w:val="AppendixTableText"/>
              <w:keepNext/>
              <w:rPr>
                <w:rFonts w:ascii="Tahoma" w:hAnsi="Tahoma" w:cs="Tahoma"/>
              </w:rPr>
            </w:pPr>
            <w:r w:rsidRPr="00A75DF9">
              <w:rPr>
                <w:rFonts w:ascii="Tahoma" w:hAnsi="Tahoma" w:cs="Tahoma"/>
              </w:rPr>
              <w:t xml:space="preserve">110 giorni* </w:t>
            </w:r>
          </w:p>
          <w:p w:rsidR="00F76ED4" w:rsidRPr="00A75DF9" w:rsidRDefault="00F76ED4" w:rsidP="00036631">
            <w:pPr>
              <w:pStyle w:val="AppendixTableText"/>
              <w:keepNext/>
              <w:rPr>
                <w:rFonts w:ascii="Tahoma" w:hAnsi="Tahoma" w:cs="Tahoma"/>
              </w:rPr>
            </w:pPr>
          </w:p>
        </w:tc>
        <w:tc>
          <w:tcPr>
            <w:tcW w:w="3289" w:type="dxa"/>
            <w:vAlign w:val="center"/>
          </w:tcPr>
          <w:p w:rsidR="00F76ED4" w:rsidRPr="00A75DF9" w:rsidRDefault="00F76ED4" w:rsidP="00036631">
            <w:pPr>
              <w:pStyle w:val="AppendixTableText"/>
              <w:keepNext/>
              <w:rPr>
                <w:rFonts w:ascii="Tahoma" w:hAnsi="Tahoma" w:cs="Tahoma"/>
              </w:rPr>
            </w:pPr>
            <w:r w:rsidRPr="00A75DF9">
              <w:rPr>
                <w:rFonts w:ascii="Tahoma" w:hAnsi="Tahoma" w:cs="Tahoma"/>
              </w:rPr>
              <w:t xml:space="preserve">55 giorni* </w:t>
            </w:r>
          </w:p>
          <w:p w:rsidR="00F76ED4" w:rsidRPr="00A75DF9" w:rsidRDefault="00F76ED4" w:rsidP="00036631">
            <w:pPr>
              <w:pStyle w:val="AppendixTableText"/>
              <w:keepNext/>
              <w:rPr>
                <w:rFonts w:ascii="Tahoma" w:hAnsi="Tahoma" w:cs="Tahoma"/>
              </w:rPr>
            </w:pPr>
          </w:p>
        </w:tc>
      </w:tr>
      <w:tr w:rsidR="00F76ED4" w:rsidRPr="00A75DF9" w:rsidTr="00036631">
        <w:trPr>
          <w:cantSplit/>
          <w:trHeight w:val="236"/>
        </w:trPr>
        <w:tc>
          <w:tcPr>
            <w:tcW w:w="3002" w:type="dxa"/>
            <w:vAlign w:val="center"/>
          </w:tcPr>
          <w:p w:rsidR="00F76ED4" w:rsidRPr="00A75DF9" w:rsidRDefault="00F76ED4" w:rsidP="00036631">
            <w:pPr>
              <w:pStyle w:val="AppendixTableHeadings"/>
              <w:keepNext/>
              <w:rPr>
                <w:rFonts w:ascii="Tahoma" w:hAnsi="Tahoma" w:cs="Tahoma"/>
              </w:rPr>
            </w:pPr>
            <w:r w:rsidRPr="00A75DF9">
              <w:rPr>
                <w:rFonts w:ascii="Tahoma" w:hAnsi="Tahoma" w:cs="Tahoma"/>
                <w:b w:val="0"/>
              </w:rPr>
              <w:t>SAM</w:t>
            </w:r>
          </w:p>
          <w:p w:rsidR="00F76ED4" w:rsidRPr="00A75DF9" w:rsidRDefault="00F76ED4" w:rsidP="00036631">
            <w:pPr>
              <w:pStyle w:val="AppendixTableText"/>
              <w:keepNext/>
              <w:rPr>
                <w:rFonts w:ascii="Tahoma" w:hAnsi="Tahoma" w:cs="Tahoma"/>
                <w:i/>
              </w:rPr>
            </w:pPr>
            <w:r w:rsidRPr="00A75DF9">
              <w:rPr>
                <w:rFonts w:ascii="Tahoma" w:hAnsi="Tahoma" w:cs="Tahoma"/>
              </w:rPr>
              <w:t>30</w:t>
            </w:r>
            <w:r w:rsidR="00036631">
              <w:rPr>
                <w:rFonts w:ascii="Tahoma" w:hAnsi="Tahoma" w:cs="Tahoma"/>
              </w:rPr>
              <w:t>.</w:t>
            </w:r>
            <w:r w:rsidRPr="00A75DF9">
              <w:rPr>
                <w:rFonts w:ascii="Tahoma" w:hAnsi="Tahoma" w:cs="Tahoma"/>
              </w:rPr>
              <w:t>000 – 49</w:t>
            </w:r>
            <w:r w:rsidR="00036631">
              <w:rPr>
                <w:rFonts w:ascii="Tahoma" w:hAnsi="Tahoma" w:cs="Tahoma"/>
              </w:rPr>
              <w:t>.</w:t>
            </w:r>
            <w:r w:rsidRPr="00A75DF9">
              <w:rPr>
                <w:rFonts w:ascii="Tahoma" w:hAnsi="Tahoma" w:cs="Tahoma"/>
              </w:rPr>
              <w:t>999</w:t>
            </w:r>
          </w:p>
        </w:tc>
        <w:tc>
          <w:tcPr>
            <w:tcW w:w="3150" w:type="dxa"/>
            <w:vAlign w:val="center"/>
          </w:tcPr>
          <w:p w:rsidR="00F76ED4" w:rsidRPr="00A75DF9" w:rsidRDefault="00F76ED4" w:rsidP="00036631">
            <w:pPr>
              <w:pStyle w:val="AppendixTableText"/>
              <w:keepNext/>
              <w:rPr>
                <w:rFonts w:ascii="Tahoma" w:hAnsi="Tahoma" w:cs="Tahoma"/>
              </w:rPr>
            </w:pPr>
            <w:r w:rsidRPr="00A75DF9">
              <w:rPr>
                <w:rFonts w:ascii="Tahoma" w:hAnsi="Tahoma" w:cs="Tahoma"/>
              </w:rPr>
              <w:t xml:space="preserve">160 giorni* </w:t>
            </w:r>
          </w:p>
          <w:p w:rsidR="00F76ED4" w:rsidRPr="00A75DF9" w:rsidRDefault="00F76ED4" w:rsidP="00036631">
            <w:pPr>
              <w:pStyle w:val="AppendixTableText"/>
              <w:keepNext/>
              <w:rPr>
                <w:rFonts w:ascii="Tahoma" w:hAnsi="Tahoma" w:cs="Tahoma"/>
              </w:rPr>
            </w:pPr>
          </w:p>
        </w:tc>
        <w:tc>
          <w:tcPr>
            <w:tcW w:w="3289" w:type="dxa"/>
            <w:vAlign w:val="center"/>
          </w:tcPr>
          <w:p w:rsidR="00F76ED4" w:rsidRPr="00A75DF9" w:rsidRDefault="00F76ED4" w:rsidP="00036631">
            <w:pPr>
              <w:pStyle w:val="AppendixTableText"/>
              <w:keepNext/>
              <w:rPr>
                <w:rFonts w:ascii="Tahoma" w:hAnsi="Tahoma" w:cs="Tahoma"/>
              </w:rPr>
            </w:pPr>
            <w:r w:rsidRPr="00A75DF9">
              <w:rPr>
                <w:rFonts w:ascii="Tahoma" w:hAnsi="Tahoma" w:cs="Tahoma"/>
              </w:rPr>
              <w:t>80 giorni*</w:t>
            </w:r>
          </w:p>
          <w:p w:rsidR="00F76ED4" w:rsidRPr="00A75DF9" w:rsidRDefault="00F76ED4" w:rsidP="00036631">
            <w:pPr>
              <w:pStyle w:val="AppendixTableText"/>
              <w:keepNext/>
              <w:rPr>
                <w:rFonts w:ascii="Tahoma" w:hAnsi="Tahoma" w:cs="Tahoma"/>
              </w:rPr>
            </w:pPr>
          </w:p>
        </w:tc>
      </w:tr>
      <w:tr w:rsidR="00F76ED4" w:rsidRPr="00A75DF9" w:rsidTr="00036631">
        <w:trPr>
          <w:cantSplit/>
          <w:trHeight w:val="236"/>
        </w:trPr>
        <w:tc>
          <w:tcPr>
            <w:tcW w:w="3002" w:type="dxa"/>
            <w:vAlign w:val="center"/>
          </w:tcPr>
          <w:p w:rsidR="00F76ED4" w:rsidRPr="00A75DF9" w:rsidRDefault="00F76ED4" w:rsidP="00036631">
            <w:pPr>
              <w:pStyle w:val="AppendixTableHeadings"/>
              <w:keepNext/>
              <w:rPr>
                <w:rFonts w:ascii="Tahoma" w:hAnsi="Tahoma" w:cs="Tahoma"/>
              </w:rPr>
            </w:pPr>
            <w:r w:rsidRPr="00A75DF9">
              <w:rPr>
                <w:rFonts w:ascii="Tahoma" w:hAnsi="Tahoma" w:cs="Tahoma"/>
                <w:b w:val="0"/>
              </w:rPr>
              <w:t>SAM</w:t>
            </w:r>
          </w:p>
          <w:p w:rsidR="00F76ED4" w:rsidRPr="00A75DF9" w:rsidRDefault="00F76ED4" w:rsidP="00036631">
            <w:pPr>
              <w:pStyle w:val="AppendixTableText"/>
              <w:keepNext/>
              <w:rPr>
                <w:rFonts w:ascii="Tahoma" w:hAnsi="Tahoma" w:cs="Tahoma"/>
                <w:i/>
              </w:rPr>
            </w:pPr>
            <w:r w:rsidRPr="00A75DF9">
              <w:rPr>
                <w:rFonts w:ascii="Tahoma" w:hAnsi="Tahoma" w:cs="Tahoma"/>
              </w:rPr>
              <w:t>50</w:t>
            </w:r>
            <w:r w:rsidR="00036631">
              <w:rPr>
                <w:rFonts w:ascii="Tahoma" w:hAnsi="Tahoma" w:cs="Tahoma"/>
              </w:rPr>
              <w:t>.</w:t>
            </w:r>
            <w:r w:rsidRPr="00A75DF9">
              <w:rPr>
                <w:rFonts w:ascii="Tahoma" w:hAnsi="Tahoma" w:cs="Tahoma"/>
              </w:rPr>
              <w:t>000 – 99</w:t>
            </w:r>
            <w:r w:rsidR="00036631">
              <w:rPr>
                <w:rFonts w:ascii="Tahoma" w:hAnsi="Tahoma" w:cs="Tahoma"/>
              </w:rPr>
              <w:t>.</w:t>
            </w:r>
            <w:r w:rsidRPr="00A75DF9">
              <w:rPr>
                <w:rFonts w:ascii="Tahoma" w:hAnsi="Tahoma" w:cs="Tahoma"/>
              </w:rPr>
              <w:t>999</w:t>
            </w:r>
          </w:p>
        </w:tc>
        <w:tc>
          <w:tcPr>
            <w:tcW w:w="3150" w:type="dxa"/>
            <w:vAlign w:val="center"/>
          </w:tcPr>
          <w:p w:rsidR="00F76ED4" w:rsidRPr="00A75DF9" w:rsidRDefault="00F76ED4" w:rsidP="00036631">
            <w:pPr>
              <w:pStyle w:val="AppendixTableText"/>
              <w:keepNext/>
              <w:rPr>
                <w:rFonts w:ascii="Tahoma" w:hAnsi="Tahoma" w:cs="Tahoma"/>
              </w:rPr>
            </w:pPr>
            <w:r w:rsidRPr="00A75DF9">
              <w:rPr>
                <w:rFonts w:ascii="Tahoma" w:hAnsi="Tahoma" w:cs="Tahoma"/>
              </w:rPr>
              <w:t>250 giorni*</w:t>
            </w:r>
          </w:p>
          <w:p w:rsidR="00F76ED4" w:rsidRPr="00A75DF9" w:rsidRDefault="00F76ED4" w:rsidP="00036631">
            <w:pPr>
              <w:pStyle w:val="AppendixTableText"/>
              <w:keepNext/>
              <w:rPr>
                <w:rFonts w:ascii="Tahoma" w:hAnsi="Tahoma" w:cs="Tahoma"/>
              </w:rPr>
            </w:pPr>
          </w:p>
        </w:tc>
        <w:tc>
          <w:tcPr>
            <w:tcW w:w="3289" w:type="dxa"/>
            <w:vAlign w:val="center"/>
          </w:tcPr>
          <w:p w:rsidR="00F76ED4" w:rsidRPr="00A75DF9" w:rsidRDefault="00F76ED4" w:rsidP="00036631">
            <w:pPr>
              <w:pStyle w:val="AppendixTableText"/>
              <w:keepNext/>
              <w:rPr>
                <w:rFonts w:ascii="Tahoma" w:hAnsi="Tahoma" w:cs="Tahoma"/>
              </w:rPr>
            </w:pPr>
            <w:r w:rsidRPr="00A75DF9">
              <w:rPr>
                <w:rFonts w:ascii="Tahoma" w:hAnsi="Tahoma" w:cs="Tahoma"/>
              </w:rPr>
              <w:t xml:space="preserve">125 giorni* </w:t>
            </w:r>
          </w:p>
          <w:p w:rsidR="00F76ED4" w:rsidRPr="00A75DF9" w:rsidRDefault="00F76ED4" w:rsidP="00036631">
            <w:pPr>
              <w:pStyle w:val="AppendixTableText"/>
              <w:keepNext/>
              <w:rPr>
                <w:rFonts w:ascii="Tahoma" w:hAnsi="Tahoma" w:cs="Tahoma"/>
              </w:rPr>
            </w:pPr>
          </w:p>
        </w:tc>
      </w:tr>
      <w:tr w:rsidR="00F76ED4" w:rsidRPr="00A75DF9" w:rsidTr="00036631">
        <w:trPr>
          <w:cantSplit/>
          <w:trHeight w:val="236"/>
        </w:trPr>
        <w:tc>
          <w:tcPr>
            <w:tcW w:w="3002" w:type="dxa"/>
            <w:vAlign w:val="center"/>
          </w:tcPr>
          <w:p w:rsidR="00F76ED4" w:rsidRPr="00A75DF9" w:rsidRDefault="00F76ED4" w:rsidP="00036631">
            <w:pPr>
              <w:pStyle w:val="AppendixTableHeadings"/>
              <w:keepNext/>
              <w:rPr>
                <w:rFonts w:ascii="Tahoma" w:hAnsi="Tahoma" w:cs="Tahoma"/>
              </w:rPr>
            </w:pPr>
            <w:r w:rsidRPr="00A75DF9">
              <w:rPr>
                <w:rFonts w:ascii="Tahoma" w:hAnsi="Tahoma" w:cs="Tahoma"/>
                <w:b w:val="0"/>
              </w:rPr>
              <w:t>SAM</w:t>
            </w:r>
          </w:p>
          <w:p w:rsidR="00F76ED4" w:rsidRPr="00A75DF9" w:rsidRDefault="00F76ED4" w:rsidP="00036631">
            <w:pPr>
              <w:pStyle w:val="AppendixTableHeadings"/>
              <w:keepNext/>
              <w:rPr>
                <w:rFonts w:ascii="Tahoma" w:hAnsi="Tahoma" w:cs="Tahoma"/>
                <w:b w:val="0"/>
              </w:rPr>
            </w:pPr>
            <w:r w:rsidRPr="00A75DF9">
              <w:rPr>
                <w:rFonts w:ascii="Tahoma" w:hAnsi="Tahoma" w:cs="Tahoma"/>
                <w:b w:val="0"/>
              </w:rPr>
              <w:t>100</w:t>
            </w:r>
            <w:r w:rsidR="00036631">
              <w:rPr>
                <w:rFonts w:ascii="Tahoma" w:hAnsi="Tahoma" w:cs="Tahoma"/>
                <w:b w:val="0"/>
              </w:rPr>
              <w:t>.</w:t>
            </w:r>
            <w:r w:rsidRPr="00A75DF9">
              <w:rPr>
                <w:rFonts w:ascii="Tahoma" w:hAnsi="Tahoma" w:cs="Tahoma"/>
                <w:b w:val="0"/>
              </w:rPr>
              <w:t>000 – 199</w:t>
            </w:r>
            <w:r w:rsidR="00036631">
              <w:rPr>
                <w:rFonts w:ascii="Tahoma" w:hAnsi="Tahoma" w:cs="Tahoma"/>
                <w:b w:val="0"/>
              </w:rPr>
              <w:t>.</w:t>
            </w:r>
            <w:r w:rsidRPr="00A75DF9">
              <w:rPr>
                <w:rFonts w:ascii="Tahoma" w:hAnsi="Tahoma" w:cs="Tahoma"/>
                <w:b w:val="0"/>
              </w:rPr>
              <w:t>999</w:t>
            </w:r>
          </w:p>
        </w:tc>
        <w:tc>
          <w:tcPr>
            <w:tcW w:w="3150" w:type="dxa"/>
            <w:vAlign w:val="center"/>
          </w:tcPr>
          <w:p w:rsidR="00F76ED4" w:rsidRPr="00A75DF9" w:rsidRDefault="00F76ED4" w:rsidP="00036631">
            <w:pPr>
              <w:pStyle w:val="AppendixTableText"/>
              <w:keepNext/>
              <w:rPr>
                <w:rFonts w:ascii="Tahoma" w:hAnsi="Tahoma" w:cs="Tahoma"/>
              </w:rPr>
            </w:pPr>
            <w:r w:rsidRPr="00A75DF9">
              <w:rPr>
                <w:rFonts w:ascii="Tahoma" w:hAnsi="Tahoma" w:cs="Tahoma"/>
              </w:rPr>
              <w:t>400 giorni*</w:t>
            </w:r>
          </w:p>
          <w:p w:rsidR="00F76ED4" w:rsidRPr="00A75DF9" w:rsidRDefault="00F76ED4" w:rsidP="00036631">
            <w:pPr>
              <w:pStyle w:val="AppendixTableText"/>
              <w:keepNext/>
              <w:rPr>
                <w:rFonts w:ascii="Tahoma" w:hAnsi="Tahoma" w:cs="Tahoma"/>
              </w:rPr>
            </w:pPr>
          </w:p>
        </w:tc>
        <w:tc>
          <w:tcPr>
            <w:tcW w:w="3289" w:type="dxa"/>
            <w:vAlign w:val="center"/>
          </w:tcPr>
          <w:p w:rsidR="00F76ED4" w:rsidRPr="00A75DF9" w:rsidRDefault="00F76ED4" w:rsidP="00036631">
            <w:pPr>
              <w:pStyle w:val="AppendixTableText"/>
              <w:keepNext/>
              <w:rPr>
                <w:rFonts w:ascii="Tahoma" w:hAnsi="Tahoma" w:cs="Tahoma"/>
              </w:rPr>
            </w:pPr>
            <w:r w:rsidRPr="00A75DF9">
              <w:rPr>
                <w:rFonts w:ascii="Tahoma" w:hAnsi="Tahoma" w:cs="Tahoma"/>
              </w:rPr>
              <w:t>200 giorni*</w:t>
            </w:r>
          </w:p>
          <w:p w:rsidR="00F76ED4" w:rsidRPr="00A75DF9" w:rsidRDefault="00F76ED4" w:rsidP="00036631">
            <w:pPr>
              <w:pStyle w:val="AppendixTableText"/>
              <w:keepNext/>
              <w:rPr>
                <w:rFonts w:ascii="Tahoma" w:hAnsi="Tahoma" w:cs="Tahoma"/>
              </w:rPr>
            </w:pPr>
          </w:p>
        </w:tc>
      </w:tr>
      <w:tr w:rsidR="00F76ED4" w:rsidRPr="00A75DF9" w:rsidTr="00036631">
        <w:trPr>
          <w:cantSplit/>
          <w:trHeight w:val="236"/>
        </w:trPr>
        <w:tc>
          <w:tcPr>
            <w:tcW w:w="3002" w:type="dxa"/>
            <w:vAlign w:val="center"/>
          </w:tcPr>
          <w:p w:rsidR="00F76ED4" w:rsidRPr="00A75DF9" w:rsidRDefault="00F76ED4" w:rsidP="00036631">
            <w:pPr>
              <w:pStyle w:val="AppendixTableHeadings"/>
              <w:keepNext/>
              <w:rPr>
                <w:rFonts w:ascii="Tahoma" w:hAnsi="Tahoma" w:cs="Tahoma"/>
              </w:rPr>
            </w:pPr>
            <w:r w:rsidRPr="00A75DF9">
              <w:rPr>
                <w:rFonts w:ascii="Tahoma" w:hAnsi="Tahoma" w:cs="Tahoma"/>
                <w:b w:val="0"/>
              </w:rPr>
              <w:t>SAM</w:t>
            </w:r>
          </w:p>
          <w:p w:rsidR="00F76ED4" w:rsidRPr="00A75DF9" w:rsidRDefault="00F76ED4" w:rsidP="00036631">
            <w:pPr>
              <w:pStyle w:val="AppendixTableHeadings"/>
              <w:keepNext/>
              <w:rPr>
                <w:rFonts w:ascii="Tahoma" w:hAnsi="Tahoma" w:cs="Tahoma"/>
                <w:b w:val="0"/>
              </w:rPr>
            </w:pPr>
            <w:r w:rsidRPr="00A75DF9">
              <w:rPr>
                <w:rFonts w:ascii="Tahoma" w:hAnsi="Tahoma" w:cs="Tahoma"/>
                <w:b w:val="0"/>
              </w:rPr>
              <w:t>200</w:t>
            </w:r>
            <w:r w:rsidR="00036631">
              <w:rPr>
                <w:rFonts w:ascii="Tahoma" w:hAnsi="Tahoma" w:cs="Tahoma"/>
                <w:b w:val="0"/>
              </w:rPr>
              <w:t>.</w:t>
            </w:r>
            <w:r w:rsidRPr="00A75DF9">
              <w:rPr>
                <w:rFonts w:ascii="Tahoma" w:hAnsi="Tahoma" w:cs="Tahoma"/>
                <w:b w:val="0"/>
              </w:rPr>
              <w:t>000 – 399</w:t>
            </w:r>
            <w:r w:rsidR="00036631">
              <w:rPr>
                <w:rFonts w:ascii="Tahoma" w:hAnsi="Tahoma" w:cs="Tahoma"/>
                <w:b w:val="0"/>
              </w:rPr>
              <w:t>.</w:t>
            </w:r>
            <w:r w:rsidRPr="00A75DF9">
              <w:rPr>
                <w:rFonts w:ascii="Tahoma" w:hAnsi="Tahoma" w:cs="Tahoma"/>
                <w:b w:val="0"/>
              </w:rPr>
              <w:t>999</w:t>
            </w:r>
          </w:p>
        </w:tc>
        <w:tc>
          <w:tcPr>
            <w:tcW w:w="3150" w:type="dxa"/>
            <w:vAlign w:val="center"/>
          </w:tcPr>
          <w:p w:rsidR="00F76ED4" w:rsidRPr="00A75DF9" w:rsidRDefault="00F76ED4" w:rsidP="00036631">
            <w:pPr>
              <w:pStyle w:val="AppendixTableText"/>
              <w:keepNext/>
              <w:rPr>
                <w:rFonts w:ascii="Tahoma" w:hAnsi="Tahoma" w:cs="Tahoma"/>
              </w:rPr>
            </w:pPr>
            <w:r w:rsidRPr="00A75DF9">
              <w:rPr>
                <w:rFonts w:ascii="Tahoma" w:hAnsi="Tahoma" w:cs="Tahoma"/>
              </w:rPr>
              <w:t>600 giorni*</w:t>
            </w:r>
          </w:p>
          <w:p w:rsidR="00F76ED4" w:rsidRPr="00A75DF9" w:rsidRDefault="00F76ED4" w:rsidP="00036631">
            <w:pPr>
              <w:pStyle w:val="AppendixTableText"/>
              <w:keepNext/>
              <w:rPr>
                <w:rFonts w:ascii="Tahoma" w:hAnsi="Tahoma" w:cs="Tahoma"/>
              </w:rPr>
            </w:pPr>
          </w:p>
        </w:tc>
        <w:tc>
          <w:tcPr>
            <w:tcW w:w="3289" w:type="dxa"/>
            <w:vAlign w:val="center"/>
          </w:tcPr>
          <w:p w:rsidR="00F76ED4" w:rsidRPr="00A75DF9" w:rsidRDefault="00F76ED4" w:rsidP="00036631">
            <w:pPr>
              <w:pStyle w:val="AppendixTableText"/>
              <w:keepNext/>
              <w:rPr>
                <w:rFonts w:ascii="Tahoma" w:hAnsi="Tahoma" w:cs="Tahoma"/>
              </w:rPr>
            </w:pPr>
            <w:r w:rsidRPr="00A75DF9">
              <w:rPr>
                <w:rFonts w:ascii="Tahoma" w:hAnsi="Tahoma" w:cs="Tahoma"/>
              </w:rPr>
              <w:t>300 giorni*</w:t>
            </w:r>
          </w:p>
          <w:p w:rsidR="00F76ED4" w:rsidRPr="00A75DF9" w:rsidRDefault="00F76ED4" w:rsidP="00036631">
            <w:pPr>
              <w:pStyle w:val="AppendixTableText"/>
              <w:keepNext/>
              <w:rPr>
                <w:rFonts w:ascii="Tahoma" w:hAnsi="Tahoma" w:cs="Tahoma"/>
              </w:rPr>
            </w:pPr>
          </w:p>
        </w:tc>
      </w:tr>
      <w:tr w:rsidR="00F76ED4" w:rsidRPr="00A75DF9" w:rsidTr="00036631">
        <w:trPr>
          <w:cantSplit/>
          <w:trHeight w:val="236"/>
        </w:trPr>
        <w:tc>
          <w:tcPr>
            <w:tcW w:w="3002" w:type="dxa"/>
            <w:vAlign w:val="center"/>
          </w:tcPr>
          <w:p w:rsidR="00F76ED4" w:rsidRPr="00A75DF9" w:rsidRDefault="00F76ED4" w:rsidP="00036631">
            <w:pPr>
              <w:pStyle w:val="AppendixTableHeadings"/>
              <w:keepNext/>
              <w:rPr>
                <w:rFonts w:ascii="Tahoma" w:hAnsi="Tahoma" w:cs="Tahoma"/>
              </w:rPr>
            </w:pPr>
            <w:r w:rsidRPr="00A75DF9">
              <w:rPr>
                <w:rFonts w:ascii="Tahoma" w:hAnsi="Tahoma" w:cs="Tahoma"/>
                <w:b w:val="0"/>
              </w:rPr>
              <w:t>SAM</w:t>
            </w:r>
          </w:p>
          <w:p w:rsidR="00F76ED4" w:rsidRPr="00A75DF9" w:rsidRDefault="00F76ED4" w:rsidP="00036631">
            <w:pPr>
              <w:pStyle w:val="AppendixTableHeadings"/>
              <w:keepNext/>
              <w:rPr>
                <w:rFonts w:ascii="Tahoma" w:hAnsi="Tahoma" w:cs="Tahoma"/>
                <w:b w:val="0"/>
              </w:rPr>
            </w:pPr>
            <w:r w:rsidRPr="00A75DF9">
              <w:rPr>
                <w:rFonts w:ascii="Tahoma" w:hAnsi="Tahoma" w:cs="Tahoma"/>
                <w:b w:val="0"/>
              </w:rPr>
              <w:t>400</w:t>
            </w:r>
            <w:r w:rsidR="00036631">
              <w:rPr>
                <w:rFonts w:ascii="Tahoma" w:hAnsi="Tahoma" w:cs="Tahoma"/>
                <w:b w:val="0"/>
              </w:rPr>
              <w:t>.</w:t>
            </w:r>
            <w:r w:rsidRPr="00A75DF9">
              <w:rPr>
                <w:rFonts w:ascii="Tahoma" w:hAnsi="Tahoma" w:cs="Tahoma"/>
                <w:b w:val="0"/>
              </w:rPr>
              <w:t>000 – 599</w:t>
            </w:r>
            <w:r w:rsidR="00036631">
              <w:rPr>
                <w:rFonts w:ascii="Tahoma" w:hAnsi="Tahoma" w:cs="Tahoma"/>
                <w:b w:val="0"/>
              </w:rPr>
              <w:t>.</w:t>
            </w:r>
            <w:r w:rsidRPr="00A75DF9">
              <w:rPr>
                <w:rFonts w:ascii="Tahoma" w:hAnsi="Tahoma" w:cs="Tahoma"/>
                <w:b w:val="0"/>
              </w:rPr>
              <w:t>999</w:t>
            </w:r>
          </w:p>
        </w:tc>
        <w:tc>
          <w:tcPr>
            <w:tcW w:w="3150" w:type="dxa"/>
            <w:vAlign w:val="center"/>
          </w:tcPr>
          <w:p w:rsidR="00F76ED4" w:rsidRPr="00A75DF9" w:rsidRDefault="00F76ED4" w:rsidP="00036631">
            <w:pPr>
              <w:pStyle w:val="AppendixTableText"/>
              <w:keepNext/>
              <w:rPr>
                <w:rFonts w:ascii="Tahoma" w:hAnsi="Tahoma" w:cs="Tahoma"/>
              </w:rPr>
            </w:pPr>
            <w:r w:rsidRPr="00A75DF9">
              <w:rPr>
                <w:rFonts w:ascii="Tahoma" w:hAnsi="Tahoma" w:cs="Tahoma"/>
              </w:rPr>
              <w:t>800 giorni*</w:t>
            </w:r>
          </w:p>
          <w:p w:rsidR="00F76ED4" w:rsidRPr="00A75DF9" w:rsidRDefault="00F76ED4" w:rsidP="00036631">
            <w:pPr>
              <w:pStyle w:val="AppendixTableText"/>
              <w:keepNext/>
              <w:rPr>
                <w:rFonts w:ascii="Tahoma" w:hAnsi="Tahoma" w:cs="Tahoma"/>
              </w:rPr>
            </w:pPr>
          </w:p>
        </w:tc>
        <w:tc>
          <w:tcPr>
            <w:tcW w:w="3289" w:type="dxa"/>
            <w:vAlign w:val="center"/>
          </w:tcPr>
          <w:p w:rsidR="00F76ED4" w:rsidRPr="00A75DF9" w:rsidRDefault="00F76ED4" w:rsidP="00036631">
            <w:pPr>
              <w:pStyle w:val="AppendixTableText"/>
              <w:keepNext/>
              <w:rPr>
                <w:rFonts w:ascii="Tahoma" w:hAnsi="Tahoma" w:cs="Tahoma"/>
              </w:rPr>
            </w:pPr>
            <w:r w:rsidRPr="00A75DF9">
              <w:rPr>
                <w:rFonts w:ascii="Tahoma" w:hAnsi="Tahoma" w:cs="Tahoma"/>
              </w:rPr>
              <w:t>400 giorni*</w:t>
            </w:r>
          </w:p>
          <w:p w:rsidR="00F76ED4" w:rsidRPr="00A75DF9" w:rsidRDefault="00F76ED4" w:rsidP="00036631">
            <w:pPr>
              <w:pStyle w:val="AppendixTableText"/>
              <w:keepNext/>
              <w:rPr>
                <w:rFonts w:ascii="Tahoma" w:hAnsi="Tahoma" w:cs="Tahoma"/>
              </w:rPr>
            </w:pPr>
          </w:p>
        </w:tc>
      </w:tr>
      <w:tr w:rsidR="00F76ED4" w:rsidRPr="00A75DF9" w:rsidTr="00036631">
        <w:trPr>
          <w:cantSplit/>
          <w:trHeight w:val="236"/>
        </w:trPr>
        <w:tc>
          <w:tcPr>
            <w:tcW w:w="3002" w:type="dxa"/>
            <w:vAlign w:val="center"/>
          </w:tcPr>
          <w:p w:rsidR="00F76ED4" w:rsidRPr="00A75DF9" w:rsidRDefault="00F76ED4" w:rsidP="00036631">
            <w:pPr>
              <w:pStyle w:val="AppendixTableHeadings"/>
              <w:keepNext/>
              <w:rPr>
                <w:rFonts w:ascii="Tahoma" w:hAnsi="Tahoma" w:cs="Tahoma"/>
              </w:rPr>
            </w:pPr>
            <w:r w:rsidRPr="00A75DF9">
              <w:rPr>
                <w:rFonts w:ascii="Tahoma" w:hAnsi="Tahoma" w:cs="Tahoma"/>
                <w:b w:val="0"/>
              </w:rPr>
              <w:t>SAM</w:t>
            </w:r>
          </w:p>
          <w:p w:rsidR="00F76ED4" w:rsidRPr="00A75DF9" w:rsidRDefault="00F76ED4" w:rsidP="00036631">
            <w:pPr>
              <w:pStyle w:val="AppendixTableHeadings"/>
              <w:keepNext/>
              <w:rPr>
                <w:rFonts w:ascii="Tahoma" w:hAnsi="Tahoma" w:cs="Tahoma"/>
                <w:b w:val="0"/>
              </w:rPr>
            </w:pPr>
            <w:r w:rsidRPr="00A75DF9">
              <w:rPr>
                <w:rFonts w:ascii="Tahoma" w:hAnsi="Tahoma" w:cs="Tahoma"/>
                <w:b w:val="0"/>
              </w:rPr>
              <w:t>600</w:t>
            </w:r>
            <w:r w:rsidR="00036631">
              <w:rPr>
                <w:rFonts w:ascii="Tahoma" w:hAnsi="Tahoma" w:cs="Tahoma"/>
                <w:b w:val="0"/>
              </w:rPr>
              <w:t>.</w:t>
            </w:r>
            <w:r w:rsidRPr="00A75DF9">
              <w:rPr>
                <w:rFonts w:ascii="Tahoma" w:hAnsi="Tahoma" w:cs="Tahoma"/>
                <w:b w:val="0"/>
              </w:rPr>
              <w:t>000 +</w:t>
            </w:r>
          </w:p>
        </w:tc>
        <w:tc>
          <w:tcPr>
            <w:tcW w:w="3150" w:type="dxa"/>
            <w:vAlign w:val="center"/>
          </w:tcPr>
          <w:p w:rsidR="00F76ED4" w:rsidRPr="00A75DF9" w:rsidRDefault="00F76ED4" w:rsidP="00036631">
            <w:pPr>
              <w:pStyle w:val="AppendixTableText"/>
              <w:keepNext/>
              <w:rPr>
                <w:rFonts w:ascii="Tahoma" w:hAnsi="Tahoma" w:cs="Tahoma"/>
              </w:rPr>
            </w:pPr>
            <w:r w:rsidRPr="00A75DF9">
              <w:rPr>
                <w:rFonts w:ascii="Tahoma" w:hAnsi="Tahoma" w:cs="Tahoma"/>
              </w:rPr>
              <w:t xml:space="preserve">1400 giorni* </w:t>
            </w:r>
          </w:p>
          <w:p w:rsidR="00F76ED4" w:rsidRPr="00A75DF9" w:rsidRDefault="00F76ED4" w:rsidP="00036631">
            <w:pPr>
              <w:pStyle w:val="AppendixTableText"/>
              <w:keepNext/>
              <w:rPr>
                <w:rFonts w:ascii="Tahoma" w:hAnsi="Tahoma" w:cs="Tahoma"/>
              </w:rPr>
            </w:pPr>
          </w:p>
        </w:tc>
        <w:tc>
          <w:tcPr>
            <w:tcW w:w="3289" w:type="dxa"/>
            <w:vAlign w:val="center"/>
          </w:tcPr>
          <w:p w:rsidR="00F76ED4" w:rsidRPr="00A75DF9" w:rsidRDefault="00F76ED4" w:rsidP="00036631">
            <w:pPr>
              <w:pStyle w:val="AppendixTableText"/>
              <w:keepNext/>
              <w:rPr>
                <w:rFonts w:ascii="Tahoma" w:hAnsi="Tahoma" w:cs="Tahoma"/>
              </w:rPr>
            </w:pPr>
            <w:r w:rsidRPr="00A75DF9">
              <w:rPr>
                <w:rFonts w:ascii="Tahoma" w:hAnsi="Tahoma" w:cs="Tahoma"/>
              </w:rPr>
              <w:t>700 giorni*</w:t>
            </w:r>
          </w:p>
          <w:p w:rsidR="00F76ED4" w:rsidRPr="00A75DF9" w:rsidRDefault="00F76ED4" w:rsidP="00036631">
            <w:pPr>
              <w:pStyle w:val="AppendixTableText"/>
              <w:keepNext/>
              <w:rPr>
                <w:rFonts w:ascii="Tahoma" w:hAnsi="Tahoma" w:cs="Tahoma"/>
              </w:rPr>
            </w:pPr>
          </w:p>
        </w:tc>
      </w:tr>
    </w:tbl>
    <w:p w:rsidR="00F528E5" w:rsidRPr="00036631" w:rsidRDefault="00F528E5" w:rsidP="003C56F1">
      <w:pPr>
        <w:pStyle w:val="AppendixBodyText"/>
        <w:spacing w:after="0"/>
        <w:rPr>
          <w:rFonts w:ascii="Tahoma" w:hAnsi="Tahoma" w:cs="Tahoma"/>
          <w:sz w:val="18"/>
          <w:szCs w:val="18"/>
        </w:rPr>
      </w:pPr>
    </w:p>
    <w:p w:rsidR="00E762F8" w:rsidRPr="00036631" w:rsidRDefault="00023FE7">
      <w:pPr>
        <w:pStyle w:val="AppendixFlushBulletedList"/>
        <w:tabs>
          <w:tab w:val="clear" w:pos="360"/>
          <w:tab w:val="num" w:pos="0"/>
        </w:tabs>
        <w:ind w:left="0" w:firstLine="0"/>
        <w:rPr>
          <w:rFonts w:ascii="Tahoma" w:hAnsi="Tahoma" w:cs="Tahoma"/>
          <w:sz w:val="18"/>
          <w:szCs w:val="18"/>
        </w:rPr>
      </w:pPr>
      <w:r w:rsidRPr="00036631">
        <w:rPr>
          <w:rFonts w:ascii="Tahoma" w:hAnsi="Tahoma" w:cs="Tahoma"/>
          <w:sz w:val="18"/>
          <w:szCs w:val="18"/>
        </w:rPr>
        <w:t>Il numero minimo di licenze per l</w:t>
      </w:r>
      <w:r w:rsidR="00F2643E">
        <w:rPr>
          <w:rFonts w:ascii="Tahoma" w:hAnsi="Tahoma" w:cs="Tahoma"/>
          <w:sz w:val="18"/>
          <w:szCs w:val="18"/>
        </w:rPr>
        <w:t>’</w:t>
      </w:r>
      <w:r w:rsidRPr="00036631">
        <w:rPr>
          <w:rFonts w:ascii="Tahoma" w:hAnsi="Tahoma" w:cs="Tahoma"/>
          <w:sz w:val="18"/>
          <w:szCs w:val="18"/>
        </w:rPr>
        <w:t>acquisto di Software Assurance, necessario per l</w:t>
      </w:r>
      <w:r w:rsidR="00F2643E">
        <w:rPr>
          <w:rFonts w:ascii="Tahoma" w:hAnsi="Tahoma" w:cs="Tahoma"/>
          <w:sz w:val="18"/>
          <w:szCs w:val="18"/>
        </w:rPr>
        <w:t>’</w:t>
      </w:r>
      <w:r w:rsidRPr="00036631">
        <w:rPr>
          <w:rFonts w:ascii="Tahoma" w:hAnsi="Tahoma" w:cs="Tahoma"/>
          <w:sz w:val="18"/>
          <w:szCs w:val="18"/>
        </w:rPr>
        <w:t>idoneità a Voucher Corsi, varia in base al programma.</w:t>
      </w:r>
    </w:p>
    <w:p w:rsidR="00C65D66" w:rsidRPr="00A75DF9" w:rsidRDefault="00C65D66" w:rsidP="00C65D66">
      <w:pPr>
        <w:tabs>
          <w:tab w:val="left" w:pos="10440"/>
        </w:tabs>
        <w:spacing w:before="120"/>
        <w:ind w:right="306"/>
        <w:rPr>
          <w:rFonts w:cs="Tahoma"/>
        </w:rPr>
      </w:pPr>
      <w:r w:rsidRPr="00A75DF9">
        <w:rPr>
          <w:rFonts w:eastAsia="Calibri" w:cs="Tahoma"/>
          <w:b/>
          <w:i/>
          <w:color w:val="000000"/>
          <w:sz w:val="16"/>
          <w:szCs w:val="16"/>
        </w:rPr>
        <w:t>Nota:</w:t>
      </w:r>
      <w:r w:rsidRPr="00A75DF9">
        <w:rPr>
          <w:rFonts w:eastAsia="Calibri" w:cs="Tahoma"/>
          <w:i/>
          <w:color w:val="000000"/>
          <w:sz w:val="16"/>
          <w:szCs w:val="16"/>
        </w:rPr>
        <w:t xml:space="preserve"> i crediti per i corsi disponibili sulla base di un</w:t>
      </w:r>
      <w:r w:rsidR="00F2643E">
        <w:rPr>
          <w:rFonts w:eastAsia="Calibri" w:cs="Tahoma"/>
          <w:i/>
          <w:color w:val="000000"/>
          <w:sz w:val="16"/>
          <w:szCs w:val="16"/>
        </w:rPr>
        <w:t>’</w:t>
      </w:r>
      <w:r w:rsidRPr="00A75DF9">
        <w:rPr>
          <w:rFonts w:eastAsia="Calibri" w:cs="Tahoma"/>
          <w:i/>
          <w:color w:val="000000"/>
          <w:sz w:val="16"/>
          <w:szCs w:val="16"/>
        </w:rPr>
        <w:t>iscrizione o di un contratto triennale completo (vedere di seguito per i dettagli).</w:t>
      </w:r>
      <w:r w:rsidR="009D3B41" w:rsidRPr="00A75DF9">
        <w:rPr>
          <w:rFonts w:eastAsia="Calibri" w:cs="Tahoma"/>
          <w:i/>
          <w:color w:val="000000"/>
          <w:sz w:val="16"/>
          <w:szCs w:val="16"/>
        </w:rPr>
        <w:t xml:space="preserve"> </w:t>
      </w:r>
    </w:p>
    <w:p w:rsidR="00C65D66" w:rsidRPr="00A75DF9" w:rsidRDefault="00C65D66" w:rsidP="00C65D66">
      <w:pPr>
        <w:spacing w:after="60"/>
        <w:rPr>
          <w:rFonts w:cs="Tahoma"/>
        </w:rPr>
      </w:pPr>
      <w:r w:rsidRPr="00A75DF9">
        <w:rPr>
          <w:rFonts w:eastAsia="Calibri" w:cs="Tahoma"/>
          <w:i/>
          <w:color w:val="000000"/>
          <w:sz w:val="16"/>
          <w:szCs w:val="16"/>
        </w:rPr>
        <w:t>Consultare la tabella con le Applicazioni Office System</w:t>
      </w:r>
    </w:p>
    <w:p w:rsidR="00EC05F0" w:rsidRPr="00A75DF9" w:rsidRDefault="00C65D66" w:rsidP="00F76ED4">
      <w:pPr>
        <w:tabs>
          <w:tab w:val="left" w:pos="10440"/>
        </w:tabs>
        <w:ind w:right="302"/>
        <w:rPr>
          <w:rFonts w:cs="Tahoma"/>
        </w:rPr>
      </w:pPr>
      <w:r w:rsidRPr="00A75DF9">
        <w:rPr>
          <w:rFonts w:eastAsia="Calibri" w:cs="Tahoma"/>
          <w:i/>
          <w:color w:val="000000"/>
          <w:sz w:val="16"/>
          <w:szCs w:val="16"/>
        </w:rPr>
        <w:t>*Numero di giorni in base all</w:t>
      </w:r>
      <w:r w:rsidR="00F2643E">
        <w:rPr>
          <w:rFonts w:eastAsia="Calibri" w:cs="Tahoma"/>
          <w:i/>
          <w:color w:val="000000"/>
          <w:sz w:val="16"/>
          <w:szCs w:val="16"/>
        </w:rPr>
        <w:t>’</w:t>
      </w:r>
      <w:r w:rsidRPr="00A75DF9">
        <w:rPr>
          <w:rFonts w:eastAsia="Calibri" w:cs="Tahoma"/>
          <w:i/>
          <w:color w:val="000000"/>
          <w:sz w:val="16"/>
          <w:szCs w:val="16"/>
        </w:rPr>
        <w:t>iscrizione o al contratto idoneo.</w:t>
      </w:r>
    </w:p>
    <w:p w:rsidR="009D26EE" w:rsidRPr="00A75DF9" w:rsidRDefault="009D26EE" w:rsidP="003C56F1">
      <w:pPr>
        <w:pStyle w:val="AppendixBodyText"/>
        <w:spacing w:after="0"/>
        <w:rPr>
          <w:rFonts w:ascii="Tahoma" w:hAnsi="Tahoma" w:cs="Tahoma"/>
        </w:rPr>
      </w:pPr>
    </w:p>
    <w:p w:rsidR="009D26EE" w:rsidRPr="00036631" w:rsidRDefault="009D26EE" w:rsidP="008B1245">
      <w:pPr>
        <w:pStyle w:val="AppendixBodyText"/>
        <w:numPr>
          <w:ilvl w:val="0"/>
          <w:numId w:val="29"/>
        </w:numPr>
        <w:spacing w:afterLines="60" w:after="144"/>
        <w:rPr>
          <w:rFonts w:ascii="Tahoma" w:hAnsi="Tahoma" w:cs="Tahoma"/>
          <w:sz w:val="18"/>
          <w:szCs w:val="18"/>
        </w:rPr>
      </w:pPr>
      <w:r w:rsidRPr="00036631">
        <w:rPr>
          <w:rFonts w:ascii="Tahoma" w:hAnsi="Tahoma" w:cs="Tahoma"/>
          <w:bCs/>
          <w:sz w:val="18"/>
          <w:szCs w:val="18"/>
        </w:rPr>
        <w:t>Non tutti i corsi sono disponibili in tutte le lingue.</w:t>
      </w:r>
    </w:p>
    <w:p w:rsidR="009D26EE" w:rsidRPr="00036631" w:rsidRDefault="009D26EE" w:rsidP="008B1245">
      <w:pPr>
        <w:pStyle w:val="AppendixBodyText"/>
        <w:numPr>
          <w:ilvl w:val="0"/>
          <w:numId w:val="29"/>
        </w:numPr>
        <w:spacing w:afterLines="60" w:after="144"/>
        <w:rPr>
          <w:rFonts w:ascii="Tahoma" w:hAnsi="Tahoma" w:cs="Tahoma"/>
          <w:sz w:val="18"/>
          <w:szCs w:val="18"/>
        </w:rPr>
      </w:pPr>
      <w:r w:rsidRPr="00036631">
        <w:rPr>
          <w:rFonts w:ascii="Tahoma" w:hAnsi="Tahoma" w:cs="Tahoma"/>
          <w:bCs/>
          <w:sz w:val="18"/>
          <w:szCs w:val="18"/>
        </w:rPr>
        <w:t>Si applicano i criteri locali stabiliti dal Microsoft Learning Partner.</w:t>
      </w:r>
    </w:p>
    <w:p w:rsidR="009D26EE" w:rsidRPr="00036631" w:rsidRDefault="009D26EE" w:rsidP="008B1245">
      <w:pPr>
        <w:pStyle w:val="AppendixBodyText"/>
        <w:numPr>
          <w:ilvl w:val="0"/>
          <w:numId w:val="29"/>
        </w:numPr>
        <w:spacing w:afterLines="60" w:after="144"/>
        <w:rPr>
          <w:rFonts w:ascii="Tahoma" w:hAnsi="Tahoma" w:cs="Tahoma"/>
          <w:sz w:val="18"/>
          <w:szCs w:val="18"/>
        </w:rPr>
      </w:pPr>
      <w:r w:rsidRPr="00036631">
        <w:rPr>
          <w:rFonts w:ascii="Tahoma" w:hAnsi="Tahoma" w:cs="Tahoma"/>
          <w:bCs/>
          <w:sz w:val="18"/>
          <w:szCs w:val="18"/>
        </w:rPr>
        <w:t>I Gestori dei vantaggi hanno la possibilità di revocare un voucher assegnato fino alla data di annullamento della lezione stabilita dal Microsoft Learning Partner.</w:t>
      </w:r>
    </w:p>
    <w:p w:rsidR="009D26EE" w:rsidRPr="00036631" w:rsidRDefault="009D26EE" w:rsidP="008B1245">
      <w:pPr>
        <w:pStyle w:val="AppendixBodyText"/>
        <w:numPr>
          <w:ilvl w:val="0"/>
          <w:numId w:val="29"/>
        </w:numPr>
        <w:spacing w:afterLines="60" w:after="144"/>
        <w:rPr>
          <w:rFonts w:ascii="Tahoma" w:hAnsi="Tahoma" w:cs="Tahoma"/>
          <w:sz w:val="18"/>
          <w:szCs w:val="18"/>
        </w:rPr>
      </w:pPr>
      <w:r w:rsidRPr="00036631">
        <w:rPr>
          <w:rFonts w:ascii="Tahoma" w:hAnsi="Tahoma" w:cs="Tahoma"/>
          <w:bCs/>
          <w:sz w:val="18"/>
          <w:szCs w:val="18"/>
        </w:rPr>
        <w:t>I giorni dei corsi non coperti dal voucher dovranno essere pagati dalla persona che riceve il corso.</w:t>
      </w:r>
    </w:p>
    <w:p w:rsidR="009D26EE" w:rsidRPr="00036631" w:rsidRDefault="009D26EE" w:rsidP="008B1245">
      <w:pPr>
        <w:pStyle w:val="AppendixBodyText"/>
        <w:numPr>
          <w:ilvl w:val="0"/>
          <w:numId w:val="29"/>
        </w:numPr>
        <w:spacing w:afterLines="60" w:after="144"/>
        <w:rPr>
          <w:rFonts w:ascii="Tahoma" w:hAnsi="Tahoma" w:cs="Tahoma"/>
          <w:sz w:val="18"/>
          <w:szCs w:val="18"/>
        </w:rPr>
      </w:pPr>
      <w:r w:rsidRPr="00036631">
        <w:rPr>
          <w:rFonts w:ascii="Tahoma" w:hAnsi="Tahoma" w:cs="Tahoma"/>
          <w:bCs/>
          <w:sz w:val="18"/>
          <w:szCs w:val="18"/>
        </w:rPr>
        <w:t>I giorni coperti dai voucher che superano la quantità di giorni assegnata a una particolare lezione saranno restituiti al pool di giorni disponibili per essere riallocati dai Gestori dei vantaggi.</w:t>
      </w:r>
    </w:p>
    <w:p w:rsidR="009D26EE" w:rsidRPr="00036631" w:rsidRDefault="009D26EE" w:rsidP="008B1245">
      <w:pPr>
        <w:pStyle w:val="AppendixBodyText"/>
        <w:numPr>
          <w:ilvl w:val="0"/>
          <w:numId w:val="29"/>
        </w:numPr>
        <w:spacing w:afterLines="60" w:after="144"/>
        <w:rPr>
          <w:rFonts w:ascii="Tahoma" w:hAnsi="Tahoma" w:cs="Tahoma"/>
          <w:sz w:val="18"/>
          <w:szCs w:val="18"/>
        </w:rPr>
      </w:pPr>
      <w:r w:rsidRPr="00036631">
        <w:rPr>
          <w:rFonts w:ascii="Tahoma" w:hAnsi="Tahoma" w:cs="Tahoma"/>
          <w:bCs/>
          <w:sz w:val="18"/>
          <w:szCs w:val="18"/>
        </w:rPr>
        <w:t>La quantità di giorni coperti dai voucher per i corsi rapidi è equivalente al numero di giorni necessari per la fornitura normale del corso.</w:t>
      </w:r>
    </w:p>
    <w:p w:rsidR="009D26EE" w:rsidRPr="00036631" w:rsidRDefault="009D26EE" w:rsidP="00122830">
      <w:pPr>
        <w:pStyle w:val="AppendixBodyText"/>
        <w:numPr>
          <w:ilvl w:val="0"/>
          <w:numId w:val="29"/>
        </w:numPr>
        <w:spacing w:afterLines="60" w:after="144"/>
        <w:rPr>
          <w:rFonts w:ascii="Tahoma" w:hAnsi="Tahoma" w:cs="Tahoma"/>
          <w:sz w:val="18"/>
          <w:szCs w:val="18"/>
        </w:rPr>
      </w:pPr>
      <w:r w:rsidRPr="00036631">
        <w:rPr>
          <w:rFonts w:ascii="Tahoma" w:hAnsi="Tahoma" w:cs="Tahoma"/>
          <w:bCs/>
          <w:sz w:val="18"/>
          <w:szCs w:val="18"/>
        </w:rPr>
        <w:t>Il voucher è riscattabile solo per i giorni di corsi approvati tenuti da un istruttore presso i Microsoft Learning Partner qualificati.</w:t>
      </w:r>
      <w:r w:rsidR="009D3B41" w:rsidRPr="00036631">
        <w:rPr>
          <w:rFonts w:ascii="Tahoma" w:hAnsi="Tahoma" w:cs="Tahoma"/>
          <w:bCs/>
          <w:sz w:val="18"/>
          <w:szCs w:val="18"/>
        </w:rPr>
        <w:t xml:space="preserve"> </w:t>
      </w:r>
      <w:r w:rsidRPr="00036631">
        <w:rPr>
          <w:rFonts w:ascii="Tahoma" w:hAnsi="Tahoma" w:cs="Tahoma"/>
          <w:bCs/>
          <w:sz w:val="18"/>
          <w:szCs w:val="18"/>
        </w:rPr>
        <w:t>I corsi personalizzati a differenza dei corsi rapidi approvati non sono idonei ad essere coperti da questi voucher.</w:t>
      </w:r>
      <w:r w:rsidR="009D3B41" w:rsidRPr="00036631">
        <w:rPr>
          <w:rFonts w:ascii="Tahoma" w:hAnsi="Tahoma" w:cs="Tahoma"/>
          <w:bCs/>
          <w:sz w:val="18"/>
          <w:szCs w:val="18"/>
        </w:rPr>
        <w:t xml:space="preserve"> </w:t>
      </w:r>
      <w:r w:rsidRPr="00036631">
        <w:rPr>
          <w:rFonts w:ascii="Tahoma" w:hAnsi="Tahoma" w:cs="Tahoma"/>
          <w:bCs/>
          <w:sz w:val="18"/>
          <w:szCs w:val="18"/>
        </w:rPr>
        <w:t xml:space="preserve">Per informazioni sui corsi approvati, visitare la pagina </w:t>
      </w:r>
      <w:r w:rsidR="00122830" w:rsidRPr="009D26EE">
        <w:rPr>
          <w:rFonts w:ascii="Tahoma" w:hAnsi="Tahoma" w:cs="Tahoma"/>
          <w:bCs/>
          <w:sz w:val="18"/>
          <w:szCs w:val="18"/>
        </w:rPr>
        <w:t>http://www.microsoft.com/learning/sa/training.mspx</w:t>
      </w:r>
      <w:r w:rsidRPr="00036631">
        <w:rPr>
          <w:rFonts w:ascii="Tahoma" w:hAnsi="Tahoma" w:cs="Tahoma"/>
          <w:bCs/>
          <w:sz w:val="18"/>
          <w:szCs w:val="18"/>
        </w:rPr>
        <w:t>.</w:t>
      </w:r>
    </w:p>
    <w:p w:rsidR="009D26EE" w:rsidRPr="00122830" w:rsidRDefault="009D26EE" w:rsidP="00122830">
      <w:pPr>
        <w:pStyle w:val="AppendixBodyText"/>
        <w:numPr>
          <w:ilvl w:val="0"/>
          <w:numId w:val="29"/>
        </w:numPr>
        <w:spacing w:afterLines="60" w:after="144"/>
        <w:rPr>
          <w:rFonts w:ascii="Tahoma" w:hAnsi="Tahoma" w:cs="Tahoma"/>
          <w:sz w:val="18"/>
          <w:szCs w:val="18"/>
        </w:rPr>
      </w:pPr>
      <w:r w:rsidRPr="00122830">
        <w:rPr>
          <w:rFonts w:ascii="Tahoma" w:hAnsi="Tahoma" w:cs="Tahoma"/>
          <w:bCs/>
          <w:sz w:val="18"/>
          <w:szCs w:val="18"/>
        </w:rPr>
        <w:lastRenderedPageBreak/>
        <w:t>I voucher non possono essere utilizzati per coprire corrispettivi correlati alla mancata presenza di</w:t>
      </w:r>
      <w:r w:rsidR="00122830">
        <w:rPr>
          <w:rFonts w:ascii="Tahoma" w:hAnsi="Tahoma" w:cs="Tahoma"/>
          <w:bCs/>
          <w:sz w:val="18"/>
          <w:szCs w:val="18"/>
        </w:rPr>
        <w:t> </w:t>
      </w:r>
      <w:r w:rsidRPr="00122830">
        <w:rPr>
          <w:rFonts w:ascii="Tahoma" w:hAnsi="Tahoma" w:cs="Tahoma"/>
          <w:bCs/>
          <w:sz w:val="18"/>
          <w:szCs w:val="18"/>
        </w:rPr>
        <w:t>una società a un corso riservato.</w:t>
      </w:r>
      <w:r w:rsidR="009D3B41" w:rsidRPr="00122830">
        <w:rPr>
          <w:rFonts w:ascii="Tahoma" w:hAnsi="Tahoma" w:cs="Tahoma"/>
          <w:bCs/>
          <w:sz w:val="18"/>
          <w:szCs w:val="18"/>
        </w:rPr>
        <w:t xml:space="preserve"> </w:t>
      </w:r>
      <w:r w:rsidRPr="00122830">
        <w:rPr>
          <w:rFonts w:ascii="Tahoma" w:hAnsi="Tahoma" w:cs="Tahoma"/>
          <w:bCs/>
          <w:sz w:val="18"/>
          <w:szCs w:val="18"/>
        </w:rPr>
        <w:t xml:space="preserve">Tutti i corrispettivi relativi alle mancate presenze sono responsabilità della società. </w:t>
      </w:r>
    </w:p>
    <w:p w:rsidR="009D26EE" w:rsidRPr="00122830" w:rsidRDefault="009D26EE" w:rsidP="00122830">
      <w:pPr>
        <w:pStyle w:val="AppendixBodyText"/>
        <w:numPr>
          <w:ilvl w:val="0"/>
          <w:numId w:val="29"/>
        </w:numPr>
        <w:spacing w:afterLines="60" w:after="144"/>
        <w:rPr>
          <w:rFonts w:ascii="Tahoma" w:hAnsi="Tahoma" w:cs="Tahoma"/>
          <w:sz w:val="18"/>
          <w:szCs w:val="18"/>
        </w:rPr>
      </w:pPr>
      <w:r w:rsidRPr="00122830">
        <w:rPr>
          <w:rFonts w:ascii="Tahoma" w:hAnsi="Tahoma" w:cs="Tahoma"/>
          <w:bCs/>
          <w:sz w:val="18"/>
          <w:szCs w:val="18"/>
        </w:rPr>
        <w:t>I voucher potranno essere riscattati solo da singole persone approvate dalla società a utilizzare il</w:t>
      </w:r>
      <w:r w:rsidR="00122830">
        <w:rPr>
          <w:rFonts w:ascii="Tahoma" w:hAnsi="Tahoma" w:cs="Tahoma"/>
          <w:bCs/>
          <w:sz w:val="18"/>
          <w:szCs w:val="18"/>
        </w:rPr>
        <w:t> </w:t>
      </w:r>
      <w:r w:rsidRPr="00122830">
        <w:rPr>
          <w:rFonts w:ascii="Tahoma" w:hAnsi="Tahoma" w:cs="Tahoma"/>
          <w:bCs/>
          <w:sz w:val="18"/>
          <w:szCs w:val="18"/>
        </w:rPr>
        <w:t xml:space="preserve">voucher. </w:t>
      </w:r>
    </w:p>
    <w:p w:rsidR="009D26EE" w:rsidRPr="00122830" w:rsidRDefault="009D26EE" w:rsidP="008B1245">
      <w:pPr>
        <w:pStyle w:val="AppendixBodyText"/>
        <w:numPr>
          <w:ilvl w:val="0"/>
          <w:numId w:val="29"/>
        </w:numPr>
        <w:spacing w:afterLines="60" w:after="144"/>
        <w:rPr>
          <w:rFonts w:ascii="Tahoma" w:hAnsi="Tahoma" w:cs="Tahoma"/>
          <w:sz w:val="18"/>
          <w:szCs w:val="18"/>
        </w:rPr>
      </w:pPr>
      <w:r w:rsidRPr="00122830">
        <w:rPr>
          <w:rFonts w:ascii="Tahoma" w:hAnsi="Tahoma" w:cs="Tahoma"/>
          <w:bCs/>
          <w:sz w:val="18"/>
          <w:szCs w:val="18"/>
        </w:rPr>
        <w:t>I voucher non potranno essere scambiati con contante, somme di denaro o altri corrispettivi.</w:t>
      </w:r>
    </w:p>
    <w:p w:rsidR="009D26EE" w:rsidRPr="00122830" w:rsidRDefault="009D26EE" w:rsidP="008B1245">
      <w:pPr>
        <w:pStyle w:val="AppendixBodyText"/>
        <w:numPr>
          <w:ilvl w:val="0"/>
          <w:numId w:val="29"/>
        </w:numPr>
        <w:spacing w:afterLines="60" w:after="144"/>
        <w:rPr>
          <w:rFonts w:ascii="Tahoma" w:hAnsi="Tahoma" w:cs="Tahoma"/>
          <w:sz w:val="18"/>
          <w:szCs w:val="18"/>
        </w:rPr>
      </w:pPr>
      <w:r w:rsidRPr="00122830">
        <w:rPr>
          <w:rFonts w:ascii="Tahoma" w:hAnsi="Tahoma" w:cs="Tahoma"/>
          <w:bCs/>
          <w:sz w:val="18"/>
          <w:szCs w:val="18"/>
        </w:rPr>
        <w:t>I voucher dovranno essere assegnati durante il periodo della copertura Software Assurance.</w:t>
      </w:r>
    </w:p>
    <w:p w:rsidR="009D26EE" w:rsidRPr="00122830" w:rsidRDefault="009D26EE" w:rsidP="00122830">
      <w:pPr>
        <w:pStyle w:val="AppendixBodyText"/>
        <w:numPr>
          <w:ilvl w:val="0"/>
          <w:numId w:val="29"/>
        </w:numPr>
        <w:spacing w:afterLines="60" w:after="144"/>
        <w:rPr>
          <w:rFonts w:ascii="Tahoma" w:hAnsi="Tahoma" w:cs="Tahoma"/>
          <w:sz w:val="18"/>
          <w:szCs w:val="18"/>
        </w:rPr>
      </w:pPr>
      <w:r w:rsidRPr="00122830">
        <w:rPr>
          <w:rFonts w:ascii="Tahoma" w:hAnsi="Tahoma" w:cs="Tahoma"/>
          <w:bCs/>
          <w:sz w:val="18"/>
          <w:szCs w:val="18"/>
        </w:rPr>
        <w:t>I voucher scadranno dopo 180 giorni dalla data di assegnazione, indipendentemente dalla data di</w:t>
      </w:r>
      <w:r w:rsidR="00122830">
        <w:rPr>
          <w:rFonts w:ascii="Tahoma" w:hAnsi="Tahoma" w:cs="Tahoma"/>
          <w:bCs/>
          <w:sz w:val="18"/>
          <w:szCs w:val="18"/>
        </w:rPr>
        <w:t> </w:t>
      </w:r>
      <w:r w:rsidRPr="00122830">
        <w:rPr>
          <w:rFonts w:ascii="Tahoma" w:hAnsi="Tahoma" w:cs="Tahoma"/>
          <w:bCs/>
          <w:sz w:val="18"/>
          <w:szCs w:val="18"/>
        </w:rPr>
        <w:t>scadenza della copertura Software Assurance. Tutti i servizi dovranno essere erogati (formazione fornita e voucher riscattato) prima della scadenza dei voucher. Per i voucher, la cui data di scadenza è precedente a quella della copertura Software Assurance, verrà ripristinato il pool disponibile di giorni Voucher Corsi.</w:t>
      </w:r>
    </w:p>
    <w:p w:rsidR="00982A40" w:rsidRPr="00122830" w:rsidRDefault="00982A40" w:rsidP="008B1245">
      <w:pPr>
        <w:numPr>
          <w:ilvl w:val="0"/>
          <w:numId w:val="29"/>
        </w:numPr>
        <w:spacing w:afterLines="60" w:after="144"/>
        <w:rPr>
          <w:rFonts w:cs="Tahoma"/>
          <w:szCs w:val="18"/>
        </w:rPr>
      </w:pPr>
      <w:r w:rsidRPr="00122830">
        <w:rPr>
          <w:rFonts w:cs="Tahoma"/>
          <w:bCs/>
          <w:szCs w:val="18"/>
        </w:rPr>
        <w:t>Ad eccezione delle Sessioni Dimostrative, un giorno Voucher Corsi corrisponde all</w:t>
      </w:r>
      <w:r w:rsidR="00F2643E">
        <w:rPr>
          <w:rFonts w:cs="Tahoma"/>
          <w:bCs/>
          <w:szCs w:val="18"/>
        </w:rPr>
        <w:t>’</w:t>
      </w:r>
      <w:r w:rsidRPr="00122830">
        <w:rPr>
          <w:rFonts w:cs="Tahoma"/>
          <w:bCs/>
          <w:szCs w:val="18"/>
        </w:rPr>
        <w:t>equivalente di un giorno della sessione di formazione.</w:t>
      </w:r>
      <w:r w:rsidR="009D3B41" w:rsidRPr="00122830">
        <w:rPr>
          <w:rFonts w:cs="Tahoma"/>
          <w:bCs/>
          <w:szCs w:val="18"/>
        </w:rPr>
        <w:t xml:space="preserve"> </w:t>
      </w:r>
      <w:r w:rsidRPr="00122830">
        <w:rPr>
          <w:rFonts w:cs="Tahoma"/>
          <w:bCs/>
          <w:szCs w:val="18"/>
        </w:rPr>
        <w:t>Per le Sessioni Dimostrative un giorno Voucher Corsi corrisponde a una Sessione Dimostrativa.</w:t>
      </w:r>
    </w:p>
    <w:p w:rsidR="00982A40" w:rsidRPr="00122830" w:rsidRDefault="00982A40" w:rsidP="008B1245">
      <w:pPr>
        <w:numPr>
          <w:ilvl w:val="0"/>
          <w:numId w:val="29"/>
        </w:numPr>
        <w:spacing w:afterLines="60" w:after="144"/>
        <w:rPr>
          <w:rFonts w:cs="Tahoma"/>
          <w:szCs w:val="18"/>
        </w:rPr>
      </w:pPr>
      <w:r w:rsidRPr="00122830">
        <w:rPr>
          <w:rFonts w:cs="Tahoma"/>
          <w:bCs/>
          <w:szCs w:val="18"/>
        </w:rPr>
        <w:t>Le società dovranno riscattare i Voucher Corsi di quattro o più gruppi di Sessioni Dimostrative.</w:t>
      </w:r>
    </w:p>
    <w:p w:rsidR="00982A40" w:rsidRPr="00122830" w:rsidRDefault="00982A40" w:rsidP="008B1245">
      <w:pPr>
        <w:numPr>
          <w:ilvl w:val="0"/>
          <w:numId w:val="29"/>
        </w:numPr>
        <w:spacing w:afterLines="60" w:after="144"/>
        <w:rPr>
          <w:rFonts w:cs="Tahoma"/>
          <w:szCs w:val="18"/>
        </w:rPr>
      </w:pPr>
      <w:r w:rsidRPr="00122830">
        <w:rPr>
          <w:rFonts w:cs="Tahoma"/>
          <w:bCs/>
          <w:szCs w:val="18"/>
        </w:rPr>
        <w:t>I Voucher Corsi riscattati per le Sessioni Dimostrative, diversamente dai Voucher Corsi riscattati per altre sessioni di formazione, non sono limitati a una sola persona.</w:t>
      </w:r>
    </w:p>
    <w:p w:rsidR="009D26EE" w:rsidRPr="00122830" w:rsidRDefault="009D26EE" w:rsidP="008B1245">
      <w:pPr>
        <w:pStyle w:val="AppendixBodyText"/>
        <w:numPr>
          <w:ilvl w:val="0"/>
          <w:numId w:val="29"/>
        </w:numPr>
        <w:spacing w:afterLines="60" w:after="144"/>
        <w:rPr>
          <w:rFonts w:ascii="Tahoma" w:hAnsi="Tahoma" w:cs="Tahoma"/>
          <w:sz w:val="18"/>
          <w:szCs w:val="18"/>
        </w:rPr>
      </w:pPr>
      <w:r w:rsidRPr="00122830">
        <w:rPr>
          <w:rFonts w:ascii="Tahoma" w:hAnsi="Tahoma" w:cs="Tahoma"/>
          <w:bCs/>
          <w:sz w:val="18"/>
          <w:szCs w:val="18"/>
        </w:rPr>
        <w:t xml:space="preserve">I voucher potranno essere utilizzati per riservare il corso con un solo Microsoft Learning Partner qualificato alla volta. </w:t>
      </w:r>
    </w:p>
    <w:p w:rsidR="009D26EE" w:rsidRPr="00122830" w:rsidRDefault="009D26EE" w:rsidP="00122830">
      <w:pPr>
        <w:pStyle w:val="AppendixBodyText"/>
        <w:numPr>
          <w:ilvl w:val="0"/>
          <w:numId w:val="29"/>
        </w:numPr>
        <w:spacing w:afterLines="60" w:after="144"/>
        <w:rPr>
          <w:rFonts w:ascii="Tahoma" w:hAnsi="Tahoma" w:cs="Tahoma"/>
          <w:sz w:val="18"/>
          <w:szCs w:val="18"/>
        </w:rPr>
      </w:pPr>
      <w:r w:rsidRPr="00122830">
        <w:rPr>
          <w:rFonts w:ascii="Tahoma" w:hAnsi="Tahoma" w:cs="Tahoma"/>
          <w:bCs/>
          <w:sz w:val="18"/>
          <w:szCs w:val="18"/>
        </w:rPr>
        <w:t>Il Microsoft Learning Partner si riserva il diritto di annullare una lezione in conformità ai criteri di</w:t>
      </w:r>
      <w:r w:rsidR="00122830">
        <w:rPr>
          <w:rFonts w:ascii="Tahoma" w:hAnsi="Tahoma" w:cs="Tahoma"/>
          <w:bCs/>
          <w:sz w:val="18"/>
          <w:szCs w:val="18"/>
        </w:rPr>
        <w:t> </w:t>
      </w:r>
      <w:r w:rsidRPr="00122830">
        <w:rPr>
          <w:rFonts w:ascii="Tahoma" w:hAnsi="Tahoma" w:cs="Tahoma"/>
          <w:bCs/>
          <w:sz w:val="18"/>
          <w:szCs w:val="18"/>
        </w:rPr>
        <w:t>annullamento locali.</w:t>
      </w:r>
    </w:p>
    <w:p w:rsidR="009D26EE" w:rsidRPr="00122830" w:rsidRDefault="009D26EE" w:rsidP="008B1245">
      <w:pPr>
        <w:pStyle w:val="AppendixBodyText"/>
        <w:numPr>
          <w:ilvl w:val="0"/>
          <w:numId w:val="29"/>
        </w:numPr>
        <w:spacing w:afterLines="60" w:after="144"/>
        <w:rPr>
          <w:rFonts w:ascii="Tahoma" w:hAnsi="Tahoma" w:cs="Tahoma"/>
          <w:sz w:val="18"/>
          <w:szCs w:val="18"/>
        </w:rPr>
      </w:pPr>
      <w:r w:rsidRPr="00122830">
        <w:rPr>
          <w:rFonts w:ascii="Tahoma" w:hAnsi="Tahoma" w:cs="Tahoma"/>
          <w:bCs/>
          <w:sz w:val="18"/>
          <w:szCs w:val="18"/>
        </w:rPr>
        <w:t>I voucher sono validi per i Microsoft Learning Partner che partecipano. Potranno essere utilizzati con qualsiasi Microsoft Learning Partner qualificato a livello mondiale. La partecipazione può variare.</w:t>
      </w:r>
    </w:p>
    <w:p w:rsidR="009D26EE" w:rsidRPr="00122830" w:rsidRDefault="009D26EE" w:rsidP="00122830">
      <w:pPr>
        <w:pStyle w:val="AppendixBodyText"/>
        <w:numPr>
          <w:ilvl w:val="0"/>
          <w:numId w:val="29"/>
        </w:numPr>
        <w:spacing w:afterLines="60" w:after="144"/>
        <w:rPr>
          <w:rFonts w:ascii="Tahoma" w:hAnsi="Tahoma" w:cs="Tahoma"/>
          <w:sz w:val="18"/>
          <w:szCs w:val="18"/>
        </w:rPr>
      </w:pPr>
      <w:r w:rsidRPr="00122830">
        <w:rPr>
          <w:rFonts w:ascii="Tahoma" w:hAnsi="Tahoma" w:cs="Tahoma"/>
          <w:bCs/>
          <w:sz w:val="18"/>
          <w:szCs w:val="18"/>
        </w:rPr>
        <w:t>Le società dovranno fornire al Microsoft Learning Partner le informazioni relative ai voucher da</w:t>
      </w:r>
      <w:r w:rsidR="00122830">
        <w:rPr>
          <w:rFonts w:ascii="Tahoma" w:hAnsi="Tahoma" w:cs="Tahoma"/>
          <w:bCs/>
          <w:sz w:val="18"/>
          <w:szCs w:val="18"/>
        </w:rPr>
        <w:t> </w:t>
      </w:r>
      <w:r w:rsidRPr="00122830">
        <w:rPr>
          <w:rFonts w:ascii="Tahoma" w:hAnsi="Tahoma" w:cs="Tahoma"/>
          <w:bCs/>
          <w:sz w:val="18"/>
          <w:szCs w:val="18"/>
        </w:rPr>
        <w:t>applicare nei confronti del corso prima del termine del corso stesso allo scopo di utilizzare i</w:t>
      </w:r>
      <w:r w:rsidR="00122830">
        <w:rPr>
          <w:rFonts w:ascii="Tahoma" w:hAnsi="Tahoma" w:cs="Tahoma"/>
          <w:bCs/>
          <w:sz w:val="18"/>
          <w:szCs w:val="18"/>
        </w:rPr>
        <w:t> </w:t>
      </w:r>
      <w:r w:rsidRPr="00122830">
        <w:rPr>
          <w:rFonts w:ascii="Tahoma" w:hAnsi="Tahoma" w:cs="Tahoma"/>
          <w:bCs/>
          <w:sz w:val="18"/>
          <w:szCs w:val="18"/>
        </w:rPr>
        <w:t>voucher</w:t>
      </w:r>
      <w:r w:rsidR="00122830">
        <w:rPr>
          <w:rFonts w:ascii="Tahoma" w:hAnsi="Tahoma" w:cs="Tahoma"/>
          <w:bCs/>
          <w:sz w:val="18"/>
          <w:szCs w:val="18"/>
        </w:rPr>
        <w:t> </w:t>
      </w:r>
      <w:r w:rsidRPr="00122830">
        <w:rPr>
          <w:rFonts w:ascii="Tahoma" w:hAnsi="Tahoma" w:cs="Tahoma"/>
          <w:bCs/>
          <w:sz w:val="18"/>
          <w:szCs w:val="18"/>
        </w:rPr>
        <w:t>come forma di pagamento.</w:t>
      </w:r>
      <w:r w:rsidR="009D3B41" w:rsidRPr="00122830">
        <w:rPr>
          <w:rFonts w:ascii="Tahoma" w:hAnsi="Tahoma" w:cs="Tahoma"/>
          <w:bCs/>
          <w:sz w:val="18"/>
          <w:szCs w:val="18"/>
        </w:rPr>
        <w:t xml:space="preserve"> </w:t>
      </w:r>
    </w:p>
    <w:p w:rsidR="009D26EE" w:rsidRPr="00122830" w:rsidRDefault="009D26EE" w:rsidP="008B1245">
      <w:pPr>
        <w:pStyle w:val="AppendixBodyText"/>
        <w:numPr>
          <w:ilvl w:val="0"/>
          <w:numId w:val="29"/>
        </w:numPr>
        <w:spacing w:afterLines="60" w:after="144"/>
        <w:rPr>
          <w:rFonts w:ascii="Tahoma" w:hAnsi="Tahoma" w:cs="Tahoma"/>
          <w:sz w:val="18"/>
          <w:szCs w:val="18"/>
        </w:rPr>
      </w:pPr>
      <w:r w:rsidRPr="00122830">
        <w:rPr>
          <w:rFonts w:ascii="Tahoma" w:hAnsi="Tahoma" w:cs="Tahoma"/>
          <w:bCs/>
          <w:sz w:val="18"/>
          <w:szCs w:val="18"/>
        </w:rPr>
        <w:t>Microsoft non è responsabile dei voucher persi, rubati, collocati fuori posto o maltrattati.</w:t>
      </w:r>
    </w:p>
    <w:p w:rsidR="009D26EE" w:rsidRPr="00122830" w:rsidRDefault="009D26EE" w:rsidP="008B1245">
      <w:pPr>
        <w:pStyle w:val="AppendixBodyText"/>
        <w:numPr>
          <w:ilvl w:val="0"/>
          <w:numId w:val="29"/>
        </w:numPr>
        <w:spacing w:afterLines="60" w:after="144"/>
        <w:rPr>
          <w:rFonts w:ascii="Tahoma" w:hAnsi="Tahoma" w:cs="Tahoma"/>
          <w:sz w:val="18"/>
          <w:szCs w:val="18"/>
        </w:rPr>
      </w:pPr>
      <w:r w:rsidRPr="00122830">
        <w:rPr>
          <w:rFonts w:ascii="Tahoma" w:hAnsi="Tahoma" w:cs="Tahoma"/>
          <w:bCs/>
          <w:sz w:val="18"/>
          <w:szCs w:val="18"/>
        </w:rPr>
        <w:t>La riduzione del numero di licenze qualificanti per cui è stata acquistata la copertura Software Assurance in seguito a resi e altre modifiche apportate alla fatturazione, ove ammessa, potrà diminuire l</w:t>
      </w:r>
      <w:r w:rsidR="00F2643E">
        <w:rPr>
          <w:rFonts w:ascii="Tahoma" w:hAnsi="Tahoma" w:cs="Tahoma"/>
          <w:bCs/>
          <w:sz w:val="18"/>
          <w:szCs w:val="18"/>
        </w:rPr>
        <w:t>’</w:t>
      </w:r>
      <w:r w:rsidRPr="00122830">
        <w:rPr>
          <w:rFonts w:ascii="Tahoma" w:hAnsi="Tahoma" w:cs="Tahoma"/>
          <w:bCs/>
          <w:sz w:val="18"/>
          <w:szCs w:val="18"/>
        </w:rPr>
        <w:t>idoneità dei livelli di servizio dei Voucher Corsi della società.</w:t>
      </w:r>
    </w:p>
    <w:p w:rsidR="009D26EE" w:rsidRPr="00122830" w:rsidRDefault="009D26EE" w:rsidP="008B1245">
      <w:pPr>
        <w:pStyle w:val="AppendixBodyText"/>
        <w:numPr>
          <w:ilvl w:val="0"/>
          <w:numId w:val="29"/>
        </w:numPr>
        <w:spacing w:afterLines="60" w:after="144"/>
        <w:rPr>
          <w:rFonts w:ascii="Tahoma" w:hAnsi="Tahoma" w:cs="Tahoma"/>
          <w:sz w:val="18"/>
          <w:szCs w:val="18"/>
        </w:rPr>
      </w:pPr>
      <w:r w:rsidRPr="00122830">
        <w:rPr>
          <w:rFonts w:ascii="Tahoma" w:hAnsi="Tahoma" w:cs="Tahoma"/>
          <w:bCs/>
          <w:sz w:val="18"/>
          <w:szCs w:val="18"/>
        </w:rPr>
        <w:t>I voucher possono essere riscattati solo dalla società idonea a ricevere il vantaggio.</w:t>
      </w:r>
    </w:p>
    <w:p w:rsidR="009D26EE" w:rsidRPr="00122830" w:rsidRDefault="009D26EE" w:rsidP="008B1245">
      <w:pPr>
        <w:pStyle w:val="AppendixBodyText"/>
        <w:numPr>
          <w:ilvl w:val="0"/>
          <w:numId w:val="29"/>
        </w:numPr>
        <w:spacing w:afterLines="60" w:after="144"/>
        <w:rPr>
          <w:rFonts w:ascii="Tahoma" w:hAnsi="Tahoma" w:cs="Tahoma"/>
          <w:sz w:val="18"/>
          <w:szCs w:val="18"/>
        </w:rPr>
      </w:pPr>
      <w:r w:rsidRPr="00122830">
        <w:rPr>
          <w:rFonts w:ascii="Tahoma" w:hAnsi="Tahoma" w:cs="Tahoma"/>
          <w:bCs/>
          <w:sz w:val="18"/>
          <w:szCs w:val="18"/>
        </w:rPr>
        <w:t>I servizi erogati con i voucher vengono forniti ai sensi di un contratto tra la Società e il Provider Qualificato; Microsoft non è responsabile dell</w:t>
      </w:r>
      <w:r w:rsidR="00F2643E">
        <w:rPr>
          <w:rFonts w:ascii="Tahoma" w:hAnsi="Tahoma" w:cs="Tahoma"/>
          <w:bCs/>
          <w:sz w:val="18"/>
          <w:szCs w:val="18"/>
        </w:rPr>
        <w:t>’</w:t>
      </w:r>
      <w:r w:rsidRPr="00122830">
        <w:rPr>
          <w:rFonts w:ascii="Tahoma" w:hAnsi="Tahoma" w:cs="Tahoma"/>
          <w:bCs/>
          <w:sz w:val="18"/>
          <w:szCs w:val="18"/>
        </w:rPr>
        <w:t>eventuale funzionamento o mancato funzionamento dei servizi da parte del Provider Qualificato.</w:t>
      </w:r>
    </w:p>
    <w:p w:rsidR="00973A93" w:rsidRPr="00122830" w:rsidRDefault="009D26EE" w:rsidP="00122830">
      <w:pPr>
        <w:pStyle w:val="AppendixBodyText"/>
        <w:numPr>
          <w:ilvl w:val="0"/>
          <w:numId w:val="29"/>
        </w:numPr>
        <w:spacing w:after="0"/>
        <w:rPr>
          <w:rFonts w:ascii="Tahoma" w:hAnsi="Tahoma" w:cs="Tahoma"/>
          <w:sz w:val="18"/>
          <w:szCs w:val="18"/>
        </w:rPr>
      </w:pPr>
      <w:r w:rsidRPr="00122830">
        <w:rPr>
          <w:rFonts w:ascii="Tahoma" w:hAnsi="Tahoma" w:cs="Tahoma"/>
          <w:bCs/>
          <w:sz w:val="18"/>
          <w:szCs w:val="18"/>
        </w:rPr>
        <w:t>La tabella riportata sopra mostra i crediti per i corsi disponibili sulla base di un</w:t>
      </w:r>
      <w:r w:rsidR="00F2643E">
        <w:rPr>
          <w:rFonts w:ascii="Tahoma" w:hAnsi="Tahoma" w:cs="Tahoma"/>
          <w:bCs/>
          <w:sz w:val="18"/>
          <w:szCs w:val="18"/>
        </w:rPr>
        <w:t>’</w:t>
      </w:r>
      <w:r w:rsidRPr="00122830">
        <w:rPr>
          <w:rFonts w:ascii="Tahoma" w:hAnsi="Tahoma" w:cs="Tahoma"/>
          <w:bCs/>
          <w:sz w:val="18"/>
          <w:szCs w:val="18"/>
        </w:rPr>
        <w:t>iscrizione o di un contratto triennale completo.</w:t>
      </w:r>
      <w:r w:rsidR="009D3B41" w:rsidRPr="00122830">
        <w:rPr>
          <w:rFonts w:ascii="Tahoma" w:hAnsi="Tahoma" w:cs="Tahoma"/>
          <w:bCs/>
          <w:sz w:val="18"/>
          <w:szCs w:val="18"/>
        </w:rPr>
        <w:t xml:space="preserve"> </w:t>
      </w:r>
      <w:r w:rsidRPr="00122830">
        <w:rPr>
          <w:rFonts w:ascii="Tahoma" w:hAnsi="Tahoma" w:cs="Tahoma"/>
          <w:bCs/>
          <w:sz w:val="18"/>
          <w:szCs w:val="18"/>
        </w:rPr>
        <w:t>Le società che acquistano una copertura Software Assurance annuale riceveranno un terzo del numero dichiarato di crediti per i corsi.</w:t>
      </w:r>
      <w:r w:rsidR="009D3B41" w:rsidRPr="00122830">
        <w:rPr>
          <w:rFonts w:ascii="Tahoma" w:hAnsi="Tahoma" w:cs="Tahoma"/>
          <w:bCs/>
          <w:sz w:val="18"/>
          <w:szCs w:val="18"/>
        </w:rPr>
        <w:t xml:space="preserve"> </w:t>
      </w:r>
      <w:r w:rsidRPr="00122830">
        <w:rPr>
          <w:rFonts w:ascii="Tahoma" w:hAnsi="Tahoma" w:cs="Tahoma"/>
          <w:bCs/>
          <w:sz w:val="18"/>
          <w:szCs w:val="18"/>
        </w:rPr>
        <w:t>Le società che acquistano una copertura Software Assurance biennale riceveranno due terzi del numero dichiarato di crediti per</w:t>
      </w:r>
      <w:r w:rsidR="00122830">
        <w:rPr>
          <w:rFonts w:ascii="Tahoma" w:hAnsi="Tahoma" w:cs="Tahoma"/>
          <w:bCs/>
          <w:sz w:val="18"/>
          <w:szCs w:val="18"/>
        </w:rPr>
        <w:t> </w:t>
      </w:r>
      <w:r w:rsidRPr="00122830">
        <w:rPr>
          <w:rFonts w:ascii="Tahoma" w:hAnsi="Tahoma" w:cs="Tahoma"/>
          <w:bCs/>
          <w:sz w:val="18"/>
          <w:szCs w:val="18"/>
        </w:rPr>
        <w:t>i</w:t>
      </w:r>
      <w:r w:rsidR="00122830">
        <w:rPr>
          <w:rFonts w:ascii="Tahoma" w:hAnsi="Tahoma" w:cs="Tahoma"/>
          <w:bCs/>
          <w:sz w:val="18"/>
          <w:szCs w:val="18"/>
        </w:rPr>
        <w:t> </w:t>
      </w:r>
      <w:r w:rsidRPr="00122830">
        <w:rPr>
          <w:rFonts w:ascii="Tahoma" w:hAnsi="Tahoma" w:cs="Tahoma"/>
          <w:bCs/>
          <w:sz w:val="18"/>
          <w:szCs w:val="18"/>
        </w:rPr>
        <w:t>corsi.</w:t>
      </w:r>
      <w:bookmarkStart w:id="737" w:name="_Toc336338234"/>
    </w:p>
    <w:p w:rsidR="005A141F" w:rsidRDefault="005A141F" w:rsidP="005A141F">
      <w:pPr>
        <w:pStyle w:val="AppendixBodyText"/>
        <w:spacing w:after="0"/>
        <w:rPr>
          <w:rFonts w:ascii="Tahoma" w:hAnsi="Tahoma" w:cs="Tahoma"/>
        </w:rPr>
      </w:pPr>
    </w:p>
    <w:p w:rsidR="00122830" w:rsidRDefault="00122830" w:rsidP="005A141F">
      <w:pPr>
        <w:pStyle w:val="AppendixBodyText"/>
        <w:spacing w:after="0"/>
        <w:rPr>
          <w:rFonts w:ascii="Tahoma" w:hAnsi="Tahoma" w:cs="Tahoma"/>
        </w:rPr>
      </w:pPr>
    </w:p>
    <w:p w:rsidR="00122830" w:rsidRDefault="00122830" w:rsidP="005A141F">
      <w:pPr>
        <w:pStyle w:val="AppendixBodyText"/>
        <w:spacing w:after="0"/>
        <w:rPr>
          <w:rFonts w:ascii="Tahoma" w:hAnsi="Tahoma" w:cs="Tahoma"/>
        </w:rPr>
      </w:pPr>
    </w:p>
    <w:p w:rsidR="00122830" w:rsidRDefault="00122830" w:rsidP="005A141F">
      <w:pPr>
        <w:pStyle w:val="AppendixBodyText"/>
        <w:spacing w:after="0"/>
        <w:rPr>
          <w:rFonts w:ascii="Tahoma" w:hAnsi="Tahoma" w:cs="Tahoma"/>
        </w:rPr>
      </w:pPr>
    </w:p>
    <w:p w:rsidR="00122830" w:rsidRDefault="00122830" w:rsidP="005A141F">
      <w:pPr>
        <w:pStyle w:val="AppendixBodyText"/>
        <w:spacing w:after="0"/>
        <w:rPr>
          <w:rFonts w:ascii="Tahoma" w:hAnsi="Tahoma" w:cs="Tahoma"/>
        </w:rPr>
      </w:pPr>
    </w:p>
    <w:p w:rsidR="00122830" w:rsidRPr="00A75DF9" w:rsidRDefault="00122830" w:rsidP="005A141F">
      <w:pPr>
        <w:pStyle w:val="AppendixBodyText"/>
        <w:spacing w:after="0"/>
        <w:rPr>
          <w:rFonts w:ascii="Tahoma" w:hAnsi="Tahoma" w:cs="Tahoma"/>
        </w:rPr>
      </w:pPr>
    </w:p>
    <w:p w:rsidR="00023FE7" w:rsidRPr="00A75DF9" w:rsidRDefault="00023FE7">
      <w:pPr>
        <w:pStyle w:val="Heading3"/>
        <w:rPr>
          <w:rFonts w:ascii="Tahoma" w:hAnsi="Tahoma" w:cs="Tahoma"/>
        </w:rPr>
      </w:pPr>
      <w:bookmarkStart w:id="738" w:name="_Toc368310225"/>
      <w:r w:rsidRPr="00A75DF9">
        <w:rPr>
          <w:rFonts w:ascii="Tahoma" w:hAnsi="Tahoma" w:cs="Tahoma"/>
          <w:sz w:val="24"/>
        </w:rPr>
        <w:lastRenderedPageBreak/>
        <w:t>E-Learning</w:t>
      </w:r>
      <w:bookmarkEnd w:id="737"/>
      <w:bookmarkEnd w:id="738"/>
    </w:p>
    <w:p w:rsidR="00023FE7" w:rsidRPr="00A75DF9" w:rsidRDefault="00023FE7" w:rsidP="002D25C8">
      <w:pPr>
        <w:rPr>
          <w:rFonts w:cs="Tahoma"/>
        </w:rPr>
      </w:pPr>
    </w:p>
    <w:p w:rsidR="003C56F1" w:rsidRPr="00A75DF9" w:rsidRDefault="00324479" w:rsidP="008A7860">
      <w:pPr>
        <w:tabs>
          <w:tab w:val="num" w:pos="360"/>
        </w:tabs>
        <w:spacing w:after="60"/>
        <w:rPr>
          <w:rFonts w:cs="Tahoma"/>
        </w:rPr>
      </w:pPr>
      <w:r w:rsidRPr="00A75DF9">
        <w:rPr>
          <w:rFonts w:cs="Tahoma"/>
          <w:b/>
          <w:szCs w:val="18"/>
        </w:rPr>
        <w:t>Società con Software Assurance idonee</w:t>
      </w:r>
    </w:p>
    <w:p w:rsidR="00324479" w:rsidRPr="00A75DF9" w:rsidRDefault="00324479" w:rsidP="002D25C8">
      <w:pPr>
        <w:tabs>
          <w:tab w:val="num" w:pos="360"/>
        </w:tabs>
        <w:rPr>
          <w:rFonts w:cs="Tahoma"/>
        </w:rPr>
      </w:pPr>
      <w:r w:rsidRPr="00A75DF9">
        <w:rPr>
          <w:rFonts w:cs="Tahoma"/>
          <w:szCs w:val="18"/>
        </w:rPr>
        <w:t xml:space="preserve">Le società con copertura Software Assurance per i prodotti qualificanti del pool di server, sistemi o applicazioni sono idonee a utilizzare il relativo vantaggio E-Learning per Applicazioni, Sistemi e Server durante il periodo di validità della copertura Software Assurance. </w:t>
      </w:r>
    </w:p>
    <w:p w:rsidR="00324479" w:rsidRPr="00A75DF9" w:rsidRDefault="00324479" w:rsidP="002D25C8">
      <w:pPr>
        <w:tabs>
          <w:tab w:val="num" w:pos="360"/>
        </w:tabs>
        <w:rPr>
          <w:rFonts w:cs="Tahoma"/>
        </w:rPr>
      </w:pPr>
    </w:p>
    <w:p w:rsidR="008A7860" w:rsidRPr="00A75DF9" w:rsidRDefault="00324479" w:rsidP="008A7860">
      <w:pPr>
        <w:tabs>
          <w:tab w:val="num" w:pos="360"/>
        </w:tabs>
        <w:spacing w:after="60"/>
        <w:rPr>
          <w:rFonts w:cs="Tahoma"/>
        </w:rPr>
      </w:pPr>
      <w:r w:rsidRPr="00A75DF9">
        <w:rPr>
          <w:rFonts w:cs="Tahoma"/>
          <w:b/>
          <w:szCs w:val="18"/>
        </w:rPr>
        <w:t>Società con i Vantaggi dei Servizi Online idonee</w:t>
      </w:r>
    </w:p>
    <w:p w:rsidR="00324479" w:rsidRPr="00A75DF9" w:rsidRDefault="00324479" w:rsidP="00122830">
      <w:pPr>
        <w:tabs>
          <w:tab w:val="num" w:pos="360"/>
        </w:tabs>
        <w:rPr>
          <w:rFonts w:cs="Tahoma"/>
        </w:rPr>
      </w:pPr>
      <w:r w:rsidRPr="00A75DF9">
        <w:rPr>
          <w:rFonts w:cs="Tahoma"/>
          <w:szCs w:val="18"/>
        </w:rPr>
        <w:t>Le società con Windows Intune (Per Dispositivo) sono idonee a utilizzare il vantaggio Systems E-Learning durante il</w:t>
      </w:r>
      <w:r w:rsidR="00122830">
        <w:rPr>
          <w:rFonts w:cs="Tahoma"/>
          <w:szCs w:val="18"/>
        </w:rPr>
        <w:t> </w:t>
      </w:r>
      <w:r w:rsidRPr="00A75DF9">
        <w:rPr>
          <w:rFonts w:cs="Tahoma"/>
          <w:szCs w:val="18"/>
        </w:rPr>
        <w:t>periodo di validità della loro iscrizione.</w:t>
      </w:r>
      <w:r w:rsidR="009D3B41" w:rsidRPr="00A75DF9">
        <w:rPr>
          <w:rFonts w:cs="Tahoma"/>
          <w:szCs w:val="18"/>
        </w:rPr>
        <w:t xml:space="preserve"> </w:t>
      </w:r>
      <w:r w:rsidRPr="00A75DF9">
        <w:rPr>
          <w:rFonts w:cs="Tahoma"/>
          <w:szCs w:val="18"/>
        </w:rPr>
        <w:t>Analogamente, le società in possesso di Office 365 sono idonee a utilizzare il</w:t>
      </w:r>
      <w:r w:rsidR="00122830">
        <w:rPr>
          <w:rFonts w:cs="Tahoma"/>
          <w:szCs w:val="18"/>
        </w:rPr>
        <w:t> </w:t>
      </w:r>
      <w:r w:rsidRPr="00A75DF9">
        <w:rPr>
          <w:rFonts w:cs="Tahoma"/>
          <w:szCs w:val="18"/>
        </w:rPr>
        <w:t xml:space="preserve">vantaggio E-Learning per Applicazioni durante il periodo di validità della rispettiva iscrizione. </w:t>
      </w:r>
    </w:p>
    <w:p w:rsidR="00324479" w:rsidRPr="00A75DF9" w:rsidRDefault="00324479" w:rsidP="002D25C8">
      <w:pPr>
        <w:tabs>
          <w:tab w:val="num" w:pos="360"/>
        </w:tabs>
        <w:rPr>
          <w:rFonts w:cs="Tahoma"/>
        </w:rPr>
      </w:pPr>
    </w:p>
    <w:p w:rsidR="00324479" w:rsidRPr="00A75DF9" w:rsidRDefault="00324479" w:rsidP="00122830">
      <w:pPr>
        <w:rPr>
          <w:rFonts w:cs="Tahoma"/>
        </w:rPr>
      </w:pPr>
      <w:r w:rsidRPr="00A75DF9">
        <w:rPr>
          <w:rFonts w:cs="Tahoma"/>
          <w:szCs w:val="18"/>
        </w:rPr>
        <w:t>Le società idonee riceveranno un codice di accesso (per Applicazioni, Sistemi, Server, Windows Intune (Per</w:t>
      </w:r>
      <w:r w:rsidR="00122830">
        <w:rPr>
          <w:rFonts w:cs="Tahoma"/>
          <w:szCs w:val="18"/>
        </w:rPr>
        <w:t> </w:t>
      </w:r>
      <w:r w:rsidRPr="00A75DF9">
        <w:rPr>
          <w:rFonts w:cs="Tahoma"/>
          <w:szCs w:val="18"/>
        </w:rPr>
        <w:t>Dispositivo) e Office 365) per ogni iscrizione/contratto qualificante.</w:t>
      </w:r>
      <w:r w:rsidR="009D3B41" w:rsidRPr="00A75DF9">
        <w:rPr>
          <w:rFonts w:cs="Tahoma"/>
          <w:szCs w:val="18"/>
        </w:rPr>
        <w:t xml:space="preserve"> </w:t>
      </w:r>
      <w:r w:rsidRPr="00A75DF9">
        <w:rPr>
          <w:rFonts w:cs="Tahoma"/>
          <w:szCs w:val="18"/>
        </w:rPr>
        <w:t xml:space="preserve">Le società potranno inoltre scaricare file </w:t>
      </w:r>
      <w:r w:rsidR="00122830">
        <w:rPr>
          <w:rFonts w:cs="Tahoma"/>
          <w:szCs w:val="18"/>
        </w:rPr>
        <w:br/>
      </w:r>
      <w:r w:rsidRPr="00A75DF9">
        <w:rPr>
          <w:rFonts w:cs="Tahoma"/>
          <w:szCs w:val="18"/>
        </w:rPr>
        <w:t>E-learning di solo contenuto, conformi a SCORM (per Applicazioni e Sistemi) da VLSC per importarli in Learning Management System (LMS).</w:t>
      </w:r>
      <w:r w:rsidR="009D3B41" w:rsidRPr="00A75DF9">
        <w:rPr>
          <w:rFonts w:cs="Tahoma"/>
          <w:szCs w:val="18"/>
        </w:rPr>
        <w:t xml:space="preserve"> </w:t>
      </w:r>
      <w:r w:rsidRPr="00A75DF9">
        <w:rPr>
          <w:rFonts w:cs="Tahoma"/>
          <w:szCs w:val="18"/>
        </w:rPr>
        <w:t>Per scaricare i file da VLSC non è necessario alcun codice di accesso. Le società con Contratto Enterprise e Select potranno ottenere contenuto conforme a SCORM (per Applicazioni e Sistemi) tramite download o DVD, mentre le società Open e Open Value lo potranno ottenere (per Applicazioni e Sistemi) solo tramite</w:t>
      </w:r>
      <w:r w:rsidR="00122830">
        <w:rPr>
          <w:rFonts w:cs="Tahoma"/>
          <w:szCs w:val="18"/>
        </w:rPr>
        <w:t> </w:t>
      </w:r>
      <w:r w:rsidRPr="00A75DF9">
        <w:rPr>
          <w:rFonts w:cs="Tahoma"/>
          <w:szCs w:val="18"/>
        </w:rPr>
        <w:t>DVD.</w:t>
      </w:r>
    </w:p>
    <w:p w:rsidR="00324479" w:rsidRPr="00A75DF9" w:rsidRDefault="00324479" w:rsidP="002D25C8">
      <w:pPr>
        <w:rPr>
          <w:rFonts w:cs="Tahoma"/>
        </w:rPr>
      </w:pPr>
    </w:p>
    <w:p w:rsidR="00324479" w:rsidRPr="00A75DF9" w:rsidRDefault="00324479" w:rsidP="00122830">
      <w:pPr>
        <w:rPr>
          <w:rFonts w:cs="Tahoma"/>
        </w:rPr>
      </w:pPr>
      <w:r w:rsidRPr="00A75DF9">
        <w:rPr>
          <w:rFonts w:cs="Tahoma"/>
          <w:szCs w:val="18"/>
        </w:rPr>
        <w:t>Il numero massimo di utenti per i quali una società potrà utilizzare il corso di E-Learning è uguale al numero di copie</w:t>
      </w:r>
      <w:r w:rsidR="00122830">
        <w:rPr>
          <w:rFonts w:cs="Tahoma"/>
          <w:szCs w:val="18"/>
        </w:rPr>
        <w:t> </w:t>
      </w:r>
      <w:r w:rsidRPr="00A75DF9">
        <w:rPr>
          <w:rFonts w:cs="Tahoma"/>
          <w:szCs w:val="18"/>
        </w:rPr>
        <w:t>con licenza dei prodotti qualificanti che la società ha inserito nell</w:t>
      </w:r>
      <w:r w:rsidR="00F2643E">
        <w:rPr>
          <w:rFonts w:cs="Tahoma"/>
          <w:szCs w:val="18"/>
        </w:rPr>
        <w:t>’</w:t>
      </w:r>
      <w:r w:rsidRPr="00A75DF9">
        <w:rPr>
          <w:rFonts w:cs="Tahoma"/>
          <w:szCs w:val="18"/>
        </w:rPr>
        <w:t>iscrizione per Software Assurance o degli abbonamenti per le famiglie di prodotti Windows</w:t>
      </w:r>
      <w:r w:rsidR="009D5D7B" w:rsidRPr="00A75DF9">
        <w:rPr>
          <w:rFonts w:cs="Tahoma"/>
          <w:szCs w:val="18"/>
          <w:vertAlign w:val="superscript"/>
        </w:rPr>
        <w:t>®</w:t>
      </w:r>
      <w:r w:rsidRPr="00A75DF9">
        <w:rPr>
          <w:rFonts w:cs="Tahoma"/>
          <w:szCs w:val="18"/>
        </w:rPr>
        <w:t xml:space="preserve"> Intune o Office 365 acquistate. Le società dovranno designare un utente per ciascuna licenza qualificante.</w:t>
      </w:r>
      <w:r w:rsidR="009D3B41" w:rsidRPr="00A75DF9">
        <w:rPr>
          <w:rFonts w:cs="Tahoma"/>
          <w:szCs w:val="18"/>
        </w:rPr>
        <w:t xml:space="preserve"> </w:t>
      </w:r>
      <w:r w:rsidRPr="00A75DF9">
        <w:rPr>
          <w:rFonts w:cs="Tahoma"/>
          <w:szCs w:val="18"/>
        </w:rPr>
        <w:t>L</w:t>
      </w:r>
      <w:r w:rsidR="00F2643E">
        <w:rPr>
          <w:rFonts w:cs="Tahoma"/>
          <w:szCs w:val="18"/>
        </w:rPr>
        <w:t>’</w:t>
      </w:r>
      <w:r w:rsidRPr="00A75DF9">
        <w:rPr>
          <w:rFonts w:cs="Tahoma"/>
          <w:szCs w:val="18"/>
        </w:rPr>
        <w:t>accesso non può essere trasferito da un utente a un altro.</w:t>
      </w:r>
      <w:r w:rsidR="009D3B41" w:rsidRPr="00A75DF9">
        <w:rPr>
          <w:rFonts w:cs="Tahoma"/>
          <w:szCs w:val="18"/>
        </w:rPr>
        <w:t xml:space="preserve"> </w:t>
      </w:r>
      <w:r w:rsidRPr="00A75DF9">
        <w:rPr>
          <w:rFonts w:cs="Tahoma"/>
          <w:szCs w:val="18"/>
        </w:rPr>
        <w:t>Al momento del lancio di un corso individuale ciascun utente qualificato avrà a disposizione fino a 12 mesi per completarlo prima che l</w:t>
      </w:r>
      <w:r w:rsidR="00F2643E">
        <w:rPr>
          <w:rFonts w:cs="Tahoma"/>
          <w:szCs w:val="18"/>
        </w:rPr>
        <w:t>’</w:t>
      </w:r>
      <w:r w:rsidRPr="00A75DF9">
        <w:rPr>
          <w:rFonts w:cs="Tahoma"/>
          <w:szCs w:val="18"/>
        </w:rPr>
        <w:t>accesso scada, a condizione che il corso sia avviato prima della data di scadenza della copertura Software Assurance o della licenza “subscription”.</w:t>
      </w:r>
    </w:p>
    <w:p w:rsidR="00324479" w:rsidRPr="00A75DF9" w:rsidRDefault="00324479" w:rsidP="002D25C8">
      <w:pPr>
        <w:tabs>
          <w:tab w:val="num" w:pos="360"/>
        </w:tabs>
        <w:rPr>
          <w:rFonts w:cs="Tahoma"/>
        </w:rPr>
      </w:pPr>
    </w:p>
    <w:p w:rsidR="00324479" w:rsidRPr="00A75DF9" w:rsidRDefault="00324479" w:rsidP="002D25C8">
      <w:pPr>
        <w:tabs>
          <w:tab w:val="num" w:pos="0"/>
        </w:tabs>
        <w:rPr>
          <w:rFonts w:cs="Tahoma"/>
        </w:rPr>
      </w:pPr>
      <w:r w:rsidRPr="00A75DF9">
        <w:rPr>
          <w:rFonts w:cs="Tahoma"/>
          <w:szCs w:val="18"/>
        </w:rPr>
        <w:t>Le società idonee potranno acquistare i kit di E-learning presso un centro di rifornimento regionale qualora l</w:t>
      </w:r>
      <w:r w:rsidR="00F2643E">
        <w:rPr>
          <w:rFonts w:cs="Tahoma"/>
          <w:szCs w:val="18"/>
        </w:rPr>
        <w:t>’</w:t>
      </w:r>
      <w:r w:rsidRPr="00A75DF9">
        <w:rPr>
          <w:rFonts w:cs="Tahoma"/>
          <w:szCs w:val="18"/>
        </w:rPr>
        <w:t xml:space="preserve">opzione online non sia sufficiente. </w:t>
      </w:r>
    </w:p>
    <w:p w:rsidR="00324479" w:rsidRPr="00A75DF9" w:rsidRDefault="00324479" w:rsidP="002D25C8">
      <w:pPr>
        <w:tabs>
          <w:tab w:val="num" w:pos="0"/>
        </w:tabs>
        <w:rPr>
          <w:rFonts w:cs="Tahoma"/>
        </w:rPr>
      </w:pPr>
      <w:r w:rsidRPr="00A75DF9">
        <w:rPr>
          <w:rFonts w:cs="Tahoma"/>
          <w:szCs w:val="18"/>
        </w:rPr>
        <w:t>La distribuzione e l</w:t>
      </w:r>
      <w:r w:rsidR="00F2643E">
        <w:rPr>
          <w:rFonts w:cs="Tahoma"/>
          <w:szCs w:val="18"/>
        </w:rPr>
        <w:t>’</w:t>
      </w:r>
      <w:r w:rsidRPr="00A75DF9">
        <w:rPr>
          <w:rFonts w:cs="Tahoma"/>
          <w:szCs w:val="18"/>
        </w:rPr>
        <w:t>utilizzo dei corsi di E-Learning da parte della società sono soggetti alle condizioni del relativo contratto di licenza.</w:t>
      </w:r>
      <w:r w:rsidR="009D3B41" w:rsidRPr="00A75DF9">
        <w:rPr>
          <w:rFonts w:cs="Tahoma"/>
          <w:szCs w:val="18"/>
        </w:rPr>
        <w:t xml:space="preserve"> </w:t>
      </w:r>
    </w:p>
    <w:p w:rsidR="00324479" w:rsidRPr="00A75DF9" w:rsidRDefault="00324479" w:rsidP="002D25C8">
      <w:pPr>
        <w:tabs>
          <w:tab w:val="num" w:pos="0"/>
        </w:tabs>
        <w:rPr>
          <w:rFonts w:cs="Tahoma"/>
        </w:rPr>
      </w:pPr>
    </w:p>
    <w:p w:rsidR="008A7860" w:rsidRPr="00A75DF9" w:rsidRDefault="008A7860" w:rsidP="008A7860">
      <w:pPr>
        <w:spacing w:after="60"/>
        <w:rPr>
          <w:rFonts w:cs="Tahoma"/>
        </w:rPr>
      </w:pPr>
      <w:r w:rsidRPr="00A75DF9">
        <w:rPr>
          <w:rFonts w:cs="Tahoma"/>
          <w:b/>
          <w:szCs w:val="18"/>
        </w:rPr>
        <w:t>Applicazioni di E-Learning</w:t>
      </w:r>
    </w:p>
    <w:p w:rsidR="00324479" w:rsidRPr="00A75DF9" w:rsidRDefault="00324479" w:rsidP="002D25C8">
      <w:pPr>
        <w:rPr>
          <w:rFonts w:cs="Tahoma"/>
        </w:rPr>
      </w:pPr>
      <w:r w:rsidRPr="00A75DF9">
        <w:rPr>
          <w:rFonts w:cs="Tahoma"/>
          <w:szCs w:val="18"/>
        </w:rPr>
        <w:t xml:space="preserve">Le società </w:t>
      </w:r>
      <w:r w:rsidRPr="00A75DF9">
        <w:rPr>
          <w:rFonts w:cs="Tahoma"/>
          <w:color w:val="000000"/>
          <w:szCs w:val="18"/>
        </w:rPr>
        <w:t>con famiglie di prodotti Office 365 ProPlus,</w:t>
      </w:r>
      <w:r w:rsidRPr="00A75DF9">
        <w:rPr>
          <w:rFonts w:cs="Tahoma"/>
          <w:szCs w:val="18"/>
        </w:rPr>
        <w:t xml:space="preserve"> Office 365 e copertura Software Assurance per i prodotti Applicativi qualificanti sono idonee a utilizzare corsi di E-Learning in hosting e contenuto conforme a SCORM.</w:t>
      </w:r>
      <w:r w:rsidR="009D3B41" w:rsidRPr="00A75DF9">
        <w:rPr>
          <w:rFonts w:cs="Tahoma"/>
          <w:szCs w:val="18"/>
        </w:rPr>
        <w:t xml:space="preserve"> </w:t>
      </w:r>
    </w:p>
    <w:p w:rsidR="00324479" w:rsidRPr="00A75DF9" w:rsidRDefault="00324479" w:rsidP="002D25C8">
      <w:pPr>
        <w:rPr>
          <w:rFonts w:cs="Tahoma"/>
        </w:rPr>
      </w:pPr>
    </w:p>
    <w:p w:rsidR="008A7860" w:rsidRPr="00A75DF9" w:rsidRDefault="008A7860" w:rsidP="008A7860">
      <w:pPr>
        <w:spacing w:after="60"/>
        <w:rPr>
          <w:rFonts w:cs="Tahoma"/>
        </w:rPr>
      </w:pPr>
      <w:r w:rsidRPr="00A75DF9">
        <w:rPr>
          <w:rFonts w:cs="Tahoma"/>
          <w:b/>
          <w:szCs w:val="18"/>
        </w:rPr>
        <w:t>Sistemi di E-Learning</w:t>
      </w:r>
    </w:p>
    <w:p w:rsidR="00324479" w:rsidRPr="00A75DF9" w:rsidRDefault="00324479" w:rsidP="002D25C8">
      <w:pPr>
        <w:rPr>
          <w:rFonts w:cs="Tahoma"/>
        </w:rPr>
      </w:pPr>
      <w:r w:rsidRPr="00A75DF9">
        <w:rPr>
          <w:rFonts w:cs="Tahoma"/>
          <w:szCs w:val="18"/>
        </w:rPr>
        <w:t>Le società con Windows Intune (Per Dispositivo) e copertura Software Assurance per i prodotti Sistemi qualificanti sono idonee a utilizzare i corsi di E-Learning Client ospitati e contenuto conforme a SCORM.</w:t>
      </w:r>
      <w:r w:rsidR="009D3B41" w:rsidRPr="00A75DF9">
        <w:rPr>
          <w:rFonts w:cs="Tahoma"/>
          <w:szCs w:val="18"/>
        </w:rPr>
        <w:t xml:space="preserve"> </w:t>
      </w:r>
    </w:p>
    <w:p w:rsidR="00F76ED4" w:rsidRPr="00A75DF9" w:rsidRDefault="00F76ED4">
      <w:pPr>
        <w:rPr>
          <w:rFonts w:cs="Tahoma"/>
        </w:rPr>
      </w:pPr>
    </w:p>
    <w:p w:rsidR="008A7860" w:rsidRPr="00A75DF9" w:rsidRDefault="008A7860" w:rsidP="008A7860">
      <w:pPr>
        <w:spacing w:after="60"/>
        <w:rPr>
          <w:rFonts w:cs="Tahoma"/>
        </w:rPr>
      </w:pPr>
      <w:r w:rsidRPr="00A75DF9">
        <w:rPr>
          <w:rFonts w:cs="Tahoma"/>
          <w:b/>
          <w:szCs w:val="18"/>
        </w:rPr>
        <w:t>Server di E-Learning</w:t>
      </w:r>
    </w:p>
    <w:p w:rsidR="00324479" w:rsidRPr="00A75DF9" w:rsidRDefault="00324479" w:rsidP="002D25C8">
      <w:pPr>
        <w:rPr>
          <w:rFonts w:cs="Tahoma"/>
        </w:rPr>
      </w:pPr>
      <w:r w:rsidRPr="00A75DF9">
        <w:rPr>
          <w:rFonts w:cs="Tahoma"/>
          <w:szCs w:val="18"/>
        </w:rPr>
        <w:t xml:space="preserve">Le società con copertura Software Assurance per i prodotti Server qualificanti sono idonee a utilizzare i corsi di </w:t>
      </w:r>
      <w:r w:rsidR="00122830">
        <w:rPr>
          <w:rFonts w:cs="Tahoma"/>
          <w:szCs w:val="18"/>
        </w:rPr>
        <w:br/>
      </w:r>
      <w:r w:rsidRPr="00A75DF9">
        <w:rPr>
          <w:rFonts w:cs="Tahoma"/>
          <w:szCs w:val="18"/>
        </w:rPr>
        <w:t>E-Learning Server ospitati.</w:t>
      </w:r>
      <w:r w:rsidR="009D3B41" w:rsidRPr="00A75DF9">
        <w:rPr>
          <w:rFonts w:cs="Tahoma"/>
          <w:szCs w:val="18"/>
        </w:rPr>
        <w:t xml:space="preserve"> </w:t>
      </w:r>
    </w:p>
    <w:p w:rsidR="00023FE7" w:rsidRDefault="00023FE7" w:rsidP="002D25C8">
      <w:pPr>
        <w:rPr>
          <w:rFonts w:cs="Tahoma"/>
        </w:rPr>
      </w:pPr>
    </w:p>
    <w:p w:rsidR="00122830" w:rsidRDefault="00122830" w:rsidP="002D25C8">
      <w:pPr>
        <w:rPr>
          <w:rFonts w:cs="Tahoma"/>
        </w:rPr>
      </w:pPr>
    </w:p>
    <w:p w:rsidR="00122830" w:rsidRDefault="00122830" w:rsidP="002D25C8">
      <w:pPr>
        <w:rPr>
          <w:rFonts w:cs="Tahoma"/>
        </w:rPr>
      </w:pPr>
    </w:p>
    <w:p w:rsidR="00122830" w:rsidRDefault="00122830" w:rsidP="002D25C8">
      <w:pPr>
        <w:rPr>
          <w:rFonts w:cs="Tahoma"/>
        </w:rPr>
      </w:pPr>
    </w:p>
    <w:p w:rsidR="00122830" w:rsidRDefault="00122830" w:rsidP="002D25C8">
      <w:pPr>
        <w:rPr>
          <w:rFonts w:cs="Tahoma"/>
        </w:rPr>
      </w:pPr>
    </w:p>
    <w:p w:rsidR="00122830" w:rsidRDefault="00122830" w:rsidP="002D25C8">
      <w:pPr>
        <w:rPr>
          <w:rFonts w:cs="Tahoma"/>
        </w:rPr>
      </w:pPr>
    </w:p>
    <w:p w:rsidR="00122830" w:rsidRDefault="00122830" w:rsidP="002D25C8">
      <w:pPr>
        <w:rPr>
          <w:rFonts w:cs="Tahoma"/>
        </w:rPr>
      </w:pPr>
    </w:p>
    <w:p w:rsidR="00122830" w:rsidRDefault="00122830" w:rsidP="002D25C8">
      <w:pPr>
        <w:rPr>
          <w:rFonts w:cs="Tahoma"/>
        </w:rPr>
      </w:pPr>
    </w:p>
    <w:p w:rsidR="00122830" w:rsidRDefault="00122830" w:rsidP="002D25C8">
      <w:pPr>
        <w:rPr>
          <w:rFonts w:cs="Tahoma"/>
        </w:rPr>
      </w:pPr>
    </w:p>
    <w:p w:rsidR="00122830" w:rsidRDefault="00122830" w:rsidP="002D25C8">
      <w:pPr>
        <w:rPr>
          <w:rFonts w:cs="Tahoma"/>
        </w:rPr>
      </w:pPr>
    </w:p>
    <w:p w:rsidR="00122830" w:rsidRDefault="00122830" w:rsidP="002D25C8">
      <w:pPr>
        <w:rPr>
          <w:rFonts w:cs="Tahoma"/>
        </w:rPr>
      </w:pPr>
    </w:p>
    <w:p w:rsidR="00122830" w:rsidRDefault="00122830" w:rsidP="002D25C8">
      <w:pPr>
        <w:rPr>
          <w:rFonts w:cs="Tahoma"/>
        </w:rPr>
      </w:pPr>
    </w:p>
    <w:p w:rsidR="00122830" w:rsidRPr="00A75DF9" w:rsidRDefault="00122830" w:rsidP="002D25C8">
      <w:pPr>
        <w:rPr>
          <w:rFonts w:cs="Tahoma"/>
        </w:rPr>
      </w:pPr>
    </w:p>
    <w:p w:rsidR="00023FE7" w:rsidRPr="00A75DF9" w:rsidRDefault="00023FE7" w:rsidP="002D25C8">
      <w:pPr>
        <w:pStyle w:val="Heading3"/>
        <w:rPr>
          <w:rFonts w:ascii="Tahoma" w:hAnsi="Tahoma" w:cs="Tahoma"/>
        </w:rPr>
      </w:pPr>
      <w:bookmarkStart w:id="739" w:name="_Toc336338235"/>
      <w:bookmarkStart w:id="740" w:name="_Toc368310226"/>
      <w:r w:rsidRPr="00A75DF9">
        <w:rPr>
          <w:rFonts w:ascii="Tahoma" w:hAnsi="Tahoma" w:cs="Tahoma"/>
          <w:sz w:val="24"/>
        </w:rPr>
        <w:lastRenderedPageBreak/>
        <w:t>Home Use Program</w:t>
      </w:r>
      <w:bookmarkEnd w:id="739"/>
      <w:bookmarkEnd w:id="740"/>
    </w:p>
    <w:p w:rsidR="00023FE7" w:rsidRPr="00A75DF9" w:rsidRDefault="00023FE7" w:rsidP="002D25C8">
      <w:pPr>
        <w:rPr>
          <w:rFonts w:cs="Tahoma"/>
        </w:rPr>
      </w:pPr>
    </w:p>
    <w:p w:rsidR="00023FE7" w:rsidRPr="00122830" w:rsidRDefault="00023FE7" w:rsidP="00122830">
      <w:pPr>
        <w:pStyle w:val="AppendixBodyText"/>
        <w:spacing w:after="0"/>
        <w:rPr>
          <w:rFonts w:ascii="Tahoma" w:hAnsi="Tahoma" w:cs="Tahoma"/>
          <w:sz w:val="18"/>
          <w:szCs w:val="18"/>
        </w:rPr>
      </w:pPr>
      <w:r w:rsidRPr="00122830">
        <w:rPr>
          <w:rFonts w:ascii="Tahoma" w:hAnsi="Tahoma" w:cs="Tahoma"/>
          <w:sz w:val="18"/>
          <w:szCs w:val="18"/>
        </w:rPr>
        <w:t>Le società con copertura Software Assurance attiva per i prodotti applicativi desktop qualificanti sono idonee a</w:t>
      </w:r>
      <w:r w:rsidR="00122830" w:rsidRPr="00122830">
        <w:rPr>
          <w:rFonts w:ascii="Tahoma" w:hAnsi="Tahoma" w:cs="Tahoma"/>
          <w:sz w:val="18"/>
          <w:szCs w:val="18"/>
        </w:rPr>
        <w:t> </w:t>
      </w:r>
      <w:r w:rsidRPr="00122830">
        <w:rPr>
          <w:rFonts w:ascii="Tahoma" w:hAnsi="Tahoma" w:cs="Tahoma"/>
          <w:color w:val="000000"/>
          <w:sz w:val="18"/>
          <w:szCs w:val="18"/>
        </w:rPr>
        <w:t>partecipare al programma Home Use Program**.</w:t>
      </w:r>
      <w:r w:rsidR="009D3B41" w:rsidRPr="00122830">
        <w:rPr>
          <w:rFonts w:ascii="Tahoma" w:hAnsi="Tahoma" w:cs="Tahoma"/>
          <w:color w:val="000000"/>
          <w:sz w:val="18"/>
          <w:szCs w:val="18"/>
        </w:rPr>
        <w:t xml:space="preserve"> </w:t>
      </w:r>
      <w:r w:rsidRPr="00122830">
        <w:rPr>
          <w:rFonts w:ascii="Tahoma" w:hAnsi="Tahoma" w:cs="Tahoma"/>
          <w:color w:val="000000"/>
          <w:sz w:val="18"/>
          <w:szCs w:val="18"/>
        </w:rPr>
        <w:t>Ai sensi del programma Home Use Program i dipendenti delle</w:t>
      </w:r>
      <w:r w:rsidR="00122830" w:rsidRPr="00122830">
        <w:rPr>
          <w:rFonts w:ascii="Tahoma" w:hAnsi="Tahoma" w:cs="Tahoma"/>
          <w:color w:val="000000"/>
          <w:sz w:val="18"/>
          <w:szCs w:val="18"/>
        </w:rPr>
        <w:t> </w:t>
      </w:r>
      <w:r w:rsidRPr="00122830">
        <w:rPr>
          <w:rFonts w:ascii="Tahoma" w:hAnsi="Tahoma" w:cs="Tahoma"/>
          <w:color w:val="000000"/>
          <w:sz w:val="18"/>
          <w:szCs w:val="18"/>
        </w:rPr>
        <w:t>società, che utilizzano le applicazioni con licenza qualificanti, potranno acquistare una licenza singola per il</w:t>
      </w:r>
      <w:r w:rsidR="00122830" w:rsidRPr="00122830">
        <w:rPr>
          <w:rFonts w:ascii="Tahoma" w:hAnsi="Tahoma" w:cs="Tahoma"/>
          <w:color w:val="000000"/>
          <w:sz w:val="18"/>
          <w:szCs w:val="18"/>
        </w:rPr>
        <w:t> </w:t>
      </w:r>
      <w:r w:rsidRPr="00122830">
        <w:rPr>
          <w:rFonts w:ascii="Tahoma" w:hAnsi="Tahoma" w:cs="Tahoma"/>
          <w:color w:val="000000"/>
          <w:sz w:val="18"/>
          <w:szCs w:val="18"/>
        </w:rPr>
        <w:t>corrispondente software Home Use Program da installare su un computer domestico. Le condizioni di licenza per tale</w:t>
      </w:r>
      <w:r w:rsidR="00122830" w:rsidRPr="00122830">
        <w:rPr>
          <w:rFonts w:ascii="Tahoma" w:hAnsi="Tahoma" w:cs="Tahoma"/>
          <w:color w:val="000000"/>
          <w:sz w:val="18"/>
          <w:szCs w:val="18"/>
        </w:rPr>
        <w:t> </w:t>
      </w:r>
      <w:r w:rsidRPr="00122830">
        <w:rPr>
          <w:rFonts w:ascii="Tahoma" w:hAnsi="Tahoma" w:cs="Tahoma"/>
          <w:color w:val="000000"/>
          <w:sz w:val="18"/>
          <w:szCs w:val="18"/>
        </w:rPr>
        <w:t>software consentono all</w:t>
      </w:r>
      <w:r w:rsidR="00F2643E">
        <w:rPr>
          <w:rFonts w:ascii="Tahoma" w:hAnsi="Tahoma" w:cs="Tahoma"/>
          <w:color w:val="000000"/>
          <w:sz w:val="18"/>
          <w:szCs w:val="18"/>
        </w:rPr>
        <w:t>’</w:t>
      </w:r>
      <w:r w:rsidRPr="00122830">
        <w:rPr>
          <w:rFonts w:ascii="Tahoma" w:hAnsi="Tahoma" w:cs="Tahoma"/>
          <w:color w:val="000000"/>
          <w:sz w:val="18"/>
          <w:szCs w:val="18"/>
        </w:rPr>
        <w:t>utente principale del computer domestico di installare e utilizzare un</w:t>
      </w:r>
      <w:r w:rsidR="00F2643E">
        <w:rPr>
          <w:rFonts w:ascii="Tahoma" w:hAnsi="Tahoma" w:cs="Tahoma"/>
          <w:color w:val="000000"/>
          <w:sz w:val="18"/>
          <w:szCs w:val="18"/>
        </w:rPr>
        <w:t>’</w:t>
      </w:r>
      <w:r w:rsidRPr="00122830">
        <w:rPr>
          <w:rFonts w:ascii="Tahoma" w:hAnsi="Tahoma" w:cs="Tahoma"/>
          <w:color w:val="000000"/>
          <w:sz w:val="18"/>
          <w:szCs w:val="18"/>
        </w:rPr>
        <w:t>altra copia su un</w:t>
      </w:r>
      <w:r w:rsidR="00122830" w:rsidRPr="00122830">
        <w:rPr>
          <w:rFonts w:ascii="Tahoma" w:hAnsi="Tahoma" w:cs="Tahoma"/>
          <w:color w:val="000000"/>
          <w:sz w:val="18"/>
          <w:szCs w:val="18"/>
        </w:rPr>
        <w:t> </w:t>
      </w:r>
      <w:r w:rsidRPr="00122830">
        <w:rPr>
          <w:rFonts w:ascii="Tahoma" w:hAnsi="Tahoma" w:cs="Tahoma"/>
          <w:color w:val="000000"/>
          <w:sz w:val="18"/>
          <w:szCs w:val="18"/>
        </w:rPr>
        <w:t>dispositivo portatile.</w:t>
      </w:r>
      <w:r w:rsidR="009D3B41" w:rsidRPr="00122830">
        <w:rPr>
          <w:rFonts w:ascii="Tahoma" w:hAnsi="Tahoma" w:cs="Tahoma"/>
          <w:color w:val="000000"/>
          <w:sz w:val="18"/>
          <w:szCs w:val="18"/>
        </w:rPr>
        <w:t xml:space="preserve"> </w:t>
      </w:r>
      <w:r w:rsidRPr="00122830">
        <w:rPr>
          <w:rFonts w:ascii="Tahoma" w:hAnsi="Tahoma" w:cs="Tahoma"/>
          <w:color w:val="000000"/>
          <w:sz w:val="18"/>
          <w:szCs w:val="18"/>
        </w:rPr>
        <w:t>A condizione che i dipendenti ricevano da Microsoft in primo luogo i codici Product Key appropriati per Home Use Program, le società potranno consentire ai loro dipendenti di installare il software Home Use Program corrispondente, acquistato dalle società ai sensi dei rispettivi Contratti Multilicenza, sui computer e</w:t>
      </w:r>
      <w:r w:rsidR="00122830" w:rsidRPr="00122830">
        <w:rPr>
          <w:rFonts w:ascii="Tahoma" w:hAnsi="Tahoma" w:cs="Tahoma"/>
          <w:color w:val="000000"/>
          <w:sz w:val="18"/>
          <w:szCs w:val="18"/>
        </w:rPr>
        <w:t> I </w:t>
      </w:r>
      <w:r w:rsidRPr="00122830">
        <w:rPr>
          <w:rFonts w:ascii="Tahoma" w:hAnsi="Tahoma" w:cs="Tahoma"/>
          <w:color w:val="000000"/>
          <w:sz w:val="18"/>
          <w:szCs w:val="18"/>
        </w:rPr>
        <w:t>dispositivi portatili dei dipendenti che si trovano presso le sedi delle società. Qualora una nuova versione sia rilasciata durante il periodo di utilizzo qualificato, gli utenti principali possono acquistare la versione più recente in</w:t>
      </w:r>
      <w:r w:rsidR="00122830" w:rsidRPr="00122830">
        <w:rPr>
          <w:rFonts w:ascii="Tahoma" w:hAnsi="Tahoma" w:cs="Tahoma"/>
          <w:color w:val="000000"/>
          <w:sz w:val="18"/>
          <w:szCs w:val="18"/>
        </w:rPr>
        <w:t> </w:t>
      </w:r>
      <w:r w:rsidRPr="00122830">
        <w:rPr>
          <w:rFonts w:ascii="Tahoma" w:hAnsi="Tahoma" w:cs="Tahoma"/>
          <w:color w:val="000000"/>
          <w:sz w:val="18"/>
          <w:szCs w:val="18"/>
        </w:rPr>
        <w:t>sostituzione della versione attualmente installata.</w:t>
      </w:r>
      <w:r w:rsidR="009D3B41" w:rsidRPr="00122830">
        <w:rPr>
          <w:rFonts w:ascii="Tahoma" w:hAnsi="Tahoma" w:cs="Tahoma"/>
          <w:color w:val="000000"/>
          <w:sz w:val="18"/>
          <w:szCs w:val="18"/>
        </w:rPr>
        <w:t xml:space="preserve"> </w:t>
      </w:r>
      <w:r w:rsidRPr="00122830">
        <w:rPr>
          <w:rFonts w:ascii="Tahoma" w:hAnsi="Tahoma" w:cs="Tahoma"/>
          <w:color w:val="000000"/>
          <w:sz w:val="18"/>
          <w:szCs w:val="18"/>
        </w:rPr>
        <w:t>Fare riferimento alla tabella o alle singole sezioni sui prodotti riportate di seguito per conoscere le applicazioni desktop che qualificano le società per la partecipazione al programma Home Use Program.</w:t>
      </w:r>
      <w:r w:rsidR="009D3B41" w:rsidRPr="00122830">
        <w:rPr>
          <w:rFonts w:ascii="Tahoma" w:hAnsi="Tahoma" w:cs="Tahoma"/>
          <w:color w:val="000000"/>
          <w:sz w:val="18"/>
          <w:szCs w:val="18"/>
        </w:rPr>
        <w:t xml:space="preserve"> </w:t>
      </w:r>
      <w:r w:rsidRPr="00122830">
        <w:rPr>
          <w:rFonts w:ascii="Tahoma" w:hAnsi="Tahoma" w:cs="Tahoma"/>
          <w:color w:val="000000"/>
          <w:sz w:val="18"/>
          <w:szCs w:val="18"/>
        </w:rPr>
        <w:t>Le applicazioni desktop disponibili nel programma Home Use Program sono indicate anche nella tabella che segue*.</w:t>
      </w:r>
    </w:p>
    <w:p w:rsidR="00023FE7" w:rsidRPr="00122830" w:rsidRDefault="00023FE7" w:rsidP="002D25C8">
      <w:pPr>
        <w:pStyle w:val="AppendixBodyText"/>
        <w:spacing w:after="0"/>
        <w:rPr>
          <w:rFonts w:ascii="Tahoma" w:hAnsi="Tahoma" w:cs="Tahoma"/>
          <w:sz w:val="18"/>
          <w:szCs w:val="18"/>
        </w:rPr>
      </w:pPr>
    </w:p>
    <w:p w:rsidR="00023FE7" w:rsidRPr="00122830" w:rsidRDefault="00023FE7" w:rsidP="00122830">
      <w:pPr>
        <w:pStyle w:val="AppendixFlushBulletedList"/>
        <w:tabs>
          <w:tab w:val="clear" w:pos="360"/>
        </w:tabs>
        <w:ind w:left="0" w:firstLine="0"/>
        <w:rPr>
          <w:rFonts w:ascii="Tahoma" w:hAnsi="Tahoma" w:cs="Tahoma"/>
          <w:sz w:val="18"/>
          <w:szCs w:val="18"/>
        </w:rPr>
      </w:pPr>
      <w:r w:rsidRPr="00122830">
        <w:rPr>
          <w:rFonts w:ascii="Tahoma" w:hAnsi="Tahoma" w:cs="Tahoma"/>
          <w:sz w:val="18"/>
          <w:szCs w:val="18"/>
        </w:rPr>
        <w:t>L</w:t>
      </w:r>
      <w:r w:rsidR="00F2643E">
        <w:rPr>
          <w:rFonts w:ascii="Tahoma" w:hAnsi="Tahoma" w:cs="Tahoma"/>
          <w:sz w:val="18"/>
          <w:szCs w:val="18"/>
        </w:rPr>
        <w:t>’</w:t>
      </w:r>
      <w:r w:rsidRPr="00122830">
        <w:rPr>
          <w:rFonts w:ascii="Tahoma" w:hAnsi="Tahoma" w:cs="Tahoma"/>
          <w:sz w:val="18"/>
          <w:szCs w:val="18"/>
        </w:rPr>
        <w:t>idoneità delle società a partecipare al programma Home Use Program termina alla scadenza o alla risoluzione della</w:t>
      </w:r>
      <w:r w:rsidR="00122830">
        <w:rPr>
          <w:rFonts w:ascii="Tahoma" w:hAnsi="Tahoma" w:cs="Tahoma"/>
          <w:sz w:val="18"/>
          <w:szCs w:val="18"/>
        </w:rPr>
        <w:t> </w:t>
      </w:r>
      <w:r w:rsidRPr="00122830">
        <w:rPr>
          <w:rFonts w:ascii="Tahoma" w:hAnsi="Tahoma" w:cs="Tahoma"/>
          <w:sz w:val="18"/>
          <w:szCs w:val="18"/>
        </w:rPr>
        <w:t>copertura Software Assurance relativa alle applicazioni desktop qualificanti.</w:t>
      </w:r>
      <w:r w:rsidR="009D3B41" w:rsidRPr="00122830">
        <w:rPr>
          <w:rFonts w:ascii="Tahoma" w:hAnsi="Tahoma" w:cs="Tahoma"/>
          <w:sz w:val="18"/>
          <w:szCs w:val="18"/>
        </w:rPr>
        <w:t xml:space="preserve"> </w:t>
      </w:r>
      <w:r w:rsidRPr="00122830">
        <w:rPr>
          <w:rFonts w:ascii="Tahoma" w:hAnsi="Tahoma" w:cs="Tahoma"/>
          <w:sz w:val="18"/>
          <w:szCs w:val="18"/>
        </w:rPr>
        <w:t xml:space="preserve">Microsoft potrà interrompere la partecipazione di una società al programma Home Use Program, immediatamente e senza alcuna comunicazione, in caso di utilizzo abusivo del codice del programma della società per accedere in modo non autorizzato al sito Web del programma Home Use Program o per entrare in possesso di licenze non concesse tramite il sito del programma. </w:t>
      </w:r>
    </w:p>
    <w:p w:rsidR="00023FE7" w:rsidRPr="00122830" w:rsidRDefault="00023FE7" w:rsidP="002D25C8">
      <w:pPr>
        <w:pStyle w:val="AppendixFlushBulletedList"/>
        <w:tabs>
          <w:tab w:val="clear" w:pos="360"/>
        </w:tabs>
        <w:ind w:left="0" w:firstLine="0"/>
        <w:rPr>
          <w:rFonts w:ascii="Tahoma" w:hAnsi="Tahoma" w:cs="Tahoma"/>
          <w:sz w:val="18"/>
          <w:szCs w:val="18"/>
        </w:rPr>
      </w:pPr>
    </w:p>
    <w:p w:rsidR="00023FE7" w:rsidRPr="00122830" w:rsidRDefault="00023FE7" w:rsidP="00122830">
      <w:pPr>
        <w:pStyle w:val="AppendixFlushBulletedList"/>
        <w:tabs>
          <w:tab w:val="clear" w:pos="360"/>
        </w:tabs>
        <w:ind w:left="0" w:firstLine="0"/>
        <w:rPr>
          <w:rFonts w:ascii="Tahoma" w:hAnsi="Tahoma" w:cs="Tahoma"/>
          <w:sz w:val="18"/>
          <w:szCs w:val="18"/>
        </w:rPr>
      </w:pPr>
      <w:r w:rsidRPr="00122830">
        <w:rPr>
          <w:rFonts w:ascii="Tahoma" w:hAnsi="Tahoma" w:cs="Tahoma"/>
          <w:sz w:val="18"/>
          <w:szCs w:val="18"/>
        </w:rPr>
        <w:t>Il numero di licenze Home Use Program acquistabili per qualsiasi applicazione desktop è limitato al numero di licenze per le corrispondenti applicazioni desktop qualificanti per le quali la società acquista Software Assurance.</w:t>
      </w:r>
      <w:r w:rsidR="009D3B41" w:rsidRPr="00122830">
        <w:rPr>
          <w:rFonts w:ascii="Tahoma" w:hAnsi="Tahoma" w:cs="Tahoma"/>
          <w:sz w:val="18"/>
          <w:szCs w:val="18"/>
        </w:rPr>
        <w:t xml:space="preserve"> </w:t>
      </w:r>
      <w:r w:rsidRPr="00122830">
        <w:rPr>
          <w:rFonts w:ascii="Tahoma" w:hAnsi="Tahoma" w:cs="Tahoma"/>
          <w:sz w:val="18"/>
          <w:szCs w:val="18"/>
        </w:rPr>
        <w:t>Ai sensi del</w:t>
      </w:r>
      <w:r w:rsidR="00122830">
        <w:rPr>
          <w:rFonts w:ascii="Tahoma" w:hAnsi="Tahoma" w:cs="Tahoma"/>
          <w:sz w:val="18"/>
          <w:szCs w:val="18"/>
        </w:rPr>
        <w:t> </w:t>
      </w:r>
      <w:r w:rsidRPr="00122830">
        <w:rPr>
          <w:rFonts w:ascii="Tahoma" w:hAnsi="Tahoma" w:cs="Tahoma"/>
          <w:sz w:val="18"/>
          <w:szCs w:val="18"/>
        </w:rPr>
        <w:t>programma Home Use Program i diritti sull</w:t>
      </w:r>
      <w:r w:rsidR="00F2643E">
        <w:rPr>
          <w:rFonts w:ascii="Tahoma" w:hAnsi="Tahoma" w:cs="Tahoma"/>
          <w:sz w:val="18"/>
          <w:szCs w:val="18"/>
        </w:rPr>
        <w:t>’</w:t>
      </w:r>
      <w:r w:rsidRPr="00122830">
        <w:rPr>
          <w:rFonts w:ascii="Tahoma" w:hAnsi="Tahoma" w:cs="Tahoma"/>
          <w:sz w:val="18"/>
          <w:szCs w:val="18"/>
        </w:rPr>
        <w:t>utilizzo concessi a una società sono collegati alla continuazione del</w:t>
      </w:r>
      <w:r w:rsidR="00122830">
        <w:rPr>
          <w:rFonts w:ascii="Tahoma" w:hAnsi="Tahoma" w:cs="Tahoma"/>
          <w:sz w:val="18"/>
          <w:szCs w:val="18"/>
        </w:rPr>
        <w:t> </w:t>
      </w:r>
      <w:r w:rsidRPr="00122830">
        <w:rPr>
          <w:rFonts w:ascii="Tahoma" w:hAnsi="Tahoma" w:cs="Tahoma"/>
          <w:sz w:val="18"/>
          <w:szCs w:val="18"/>
        </w:rPr>
        <w:t>rapporto di lavoro con la Società e terminano con la risoluzione del rapporto di lavoro, con la risoluzione o la scadenza della copertura Software Assurance per la copia dell</w:t>
      </w:r>
      <w:r w:rsidR="00F2643E">
        <w:rPr>
          <w:rFonts w:ascii="Tahoma" w:hAnsi="Tahoma" w:cs="Tahoma"/>
          <w:sz w:val="18"/>
          <w:szCs w:val="18"/>
        </w:rPr>
        <w:t>’</w:t>
      </w:r>
      <w:r w:rsidRPr="00122830">
        <w:rPr>
          <w:rFonts w:ascii="Tahoma" w:hAnsi="Tahoma" w:cs="Tahoma"/>
          <w:sz w:val="18"/>
          <w:szCs w:val="18"/>
        </w:rPr>
        <w:t>applicazione desktop corrispondente che il dipendente utilizza in ufficio, quando il dipendente non usa più la copia con licenza del software o in occasione dell</w:t>
      </w:r>
      <w:r w:rsidR="00F2643E">
        <w:rPr>
          <w:rFonts w:ascii="Tahoma" w:hAnsi="Tahoma" w:cs="Tahoma"/>
          <w:sz w:val="18"/>
          <w:szCs w:val="18"/>
        </w:rPr>
        <w:t>’</w:t>
      </w:r>
      <w:r w:rsidRPr="00122830">
        <w:rPr>
          <w:rFonts w:ascii="Tahoma" w:hAnsi="Tahoma" w:cs="Tahoma"/>
          <w:sz w:val="18"/>
          <w:szCs w:val="18"/>
        </w:rPr>
        <w:t>installazione e dell</w:t>
      </w:r>
      <w:r w:rsidR="00F2643E">
        <w:rPr>
          <w:rFonts w:ascii="Tahoma" w:hAnsi="Tahoma" w:cs="Tahoma"/>
          <w:sz w:val="18"/>
          <w:szCs w:val="18"/>
        </w:rPr>
        <w:t>’</w:t>
      </w:r>
      <w:r w:rsidRPr="00122830">
        <w:rPr>
          <w:rFonts w:ascii="Tahoma" w:hAnsi="Tahoma" w:cs="Tahoma"/>
          <w:sz w:val="18"/>
          <w:szCs w:val="18"/>
        </w:rPr>
        <w:t>impiego da parte del dipendente di una versione precedente o successiva dell</w:t>
      </w:r>
      <w:r w:rsidR="00F2643E">
        <w:rPr>
          <w:rFonts w:ascii="Tahoma" w:hAnsi="Tahoma" w:cs="Tahoma"/>
          <w:sz w:val="18"/>
          <w:szCs w:val="18"/>
        </w:rPr>
        <w:t>’</w:t>
      </w:r>
      <w:r w:rsidRPr="00122830">
        <w:rPr>
          <w:rFonts w:ascii="Tahoma" w:hAnsi="Tahoma" w:cs="Tahoma"/>
          <w:sz w:val="18"/>
          <w:szCs w:val="18"/>
        </w:rPr>
        <w:t>applicazione desktop in conformità alla licenza Home Use Program.</w:t>
      </w:r>
    </w:p>
    <w:p w:rsidR="00023FE7" w:rsidRPr="00122830" w:rsidRDefault="00023FE7" w:rsidP="002D25C8">
      <w:pPr>
        <w:pStyle w:val="AppendixFlushBulletedList"/>
        <w:tabs>
          <w:tab w:val="clear" w:pos="360"/>
        </w:tabs>
        <w:ind w:left="0" w:firstLine="0"/>
        <w:rPr>
          <w:rFonts w:ascii="Tahoma" w:hAnsi="Tahoma" w:cs="Tahoma"/>
          <w:sz w:val="18"/>
          <w:szCs w:val="18"/>
        </w:rPr>
      </w:pPr>
    </w:p>
    <w:p w:rsidR="00023FE7" w:rsidRPr="00122830" w:rsidRDefault="00023FE7" w:rsidP="002D25C8">
      <w:pPr>
        <w:pStyle w:val="AppendixFlushBulletedList"/>
        <w:tabs>
          <w:tab w:val="clear" w:pos="360"/>
        </w:tabs>
        <w:ind w:left="0" w:firstLine="0"/>
        <w:rPr>
          <w:rFonts w:ascii="Tahoma" w:hAnsi="Tahoma" w:cs="Tahoma"/>
          <w:sz w:val="18"/>
          <w:szCs w:val="18"/>
        </w:rPr>
      </w:pPr>
      <w:r w:rsidRPr="00122830">
        <w:rPr>
          <w:rFonts w:ascii="Tahoma" w:hAnsi="Tahoma" w:cs="Tahoma"/>
          <w:sz w:val="18"/>
          <w:szCs w:val="18"/>
        </w:rPr>
        <w:t>Le società non sono responsabili della conformità dei singoli dipendenti alle condizioni di licenza con l</w:t>
      </w:r>
      <w:r w:rsidR="00F2643E">
        <w:rPr>
          <w:rFonts w:ascii="Tahoma" w:hAnsi="Tahoma" w:cs="Tahoma"/>
          <w:sz w:val="18"/>
          <w:szCs w:val="18"/>
        </w:rPr>
        <w:t>’</w:t>
      </w:r>
      <w:r w:rsidRPr="00122830">
        <w:rPr>
          <w:rFonts w:ascii="Tahoma" w:hAnsi="Tahoma" w:cs="Tahoma"/>
          <w:sz w:val="18"/>
          <w:szCs w:val="18"/>
        </w:rPr>
        <w:t>utente finale per il programma Home Use Program.</w:t>
      </w:r>
      <w:r w:rsidR="009D3B41" w:rsidRPr="00122830">
        <w:rPr>
          <w:rFonts w:ascii="Tahoma" w:hAnsi="Tahoma" w:cs="Tahoma"/>
          <w:sz w:val="18"/>
          <w:szCs w:val="18"/>
        </w:rPr>
        <w:t xml:space="preserve"> </w:t>
      </w:r>
      <w:r w:rsidRPr="00122830">
        <w:rPr>
          <w:rFonts w:ascii="Tahoma" w:hAnsi="Tahoma" w:cs="Tahoma"/>
          <w:sz w:val="18"/>
          <w:szCs w:val="18"/>
        </w:rPr>
        <w:t>Tali condizioni vengono stipulate tra Microsoft e il dipendente della società e sono diverse dai diritti offerti ai sensi dei contratti Volume Licensing delle società, ad esempio il dipendente potrà installare solo una copia del software HUP. Microsoft invita le società a limitare l</w:t>
      </w:r>
      <w:r w:rsidR="00F2643E">
        <w:rPr>
          <w:rFonts w:ascii="Tahoma" w:hAnsi="Tahoma" w:cs="Tahoma"/>
          <w:sz w:val="18"/>
          <w:szCs w:val="18"/>
        </w:rPr>
        <w:t>’</w:t>
      </w:r>
      <w:r w:rsidRPr="00122830">
        <w:rPr>
          <w:rFonts w:ascii="Tahoma" w:hAnsi="Tahoma" w:cs="Tahoma"/>
          <w:sz w:val="18"/>
          <w:szCs w:val="18"/>
        </w:rPr>
        <w:t>accesso al programma Home Use Program ai dipendenti e a informare tali dipendenti che dovranno interrompere l</w:t>
      </w:r>
      <w:r w:rsidR="00F2643E">
        <w:rPr>
          <w:rFonts w:ascii="Tahoma" w:hAnsi="Tahoma" w:cs="Tahoma"/>
          <w:sz w:val="18"/>
          <w:szCs w:val="18"/>
        </w:rPr>
        <w:t>’</w:t>
      </w:r>
      <w:r w:rsidRPr="00122830">
        <w:rPr>
          <w:rFonts w:ascii="Tahoma" w:hAnsi="Tahoma" w:cs="Tahoma"/>
          <w:sz w:val="18"/>
          <w:szCs w:val="18"/>
        </w:rPr>
        <w:t>utilizzo del software Home Use Program alla scadenza della copertura Software Assurance o alla risoluzione del rapporto di lavoro.</w:t>
      </w:r>
    </w:p>
    <w:p w:rsidR="00023FE7" w:rsidRPr="00122830" w:rsidRDefault="00023FE7" w:rsidP="002D25C8">
      <w:pPr>
        <w:pStyle w:val="AppendixFlushBulletedList"/>
        <w:tabs>
          <w:tab w:val="clear" w:pos="360"/>
        </w:tabs>
        <w:ind w:left="0" w:firstLine="0"/>
        <w:rPr>
          <w:rFonts w:ascii="Tahoma" w:hAnsi="Tahoma" w:cs="Tahoma"/>
          <w:sz w:val="18"/>
          <w:szCs w:val="18"/>
        </w:rPr>
      </w:pPr>
    </w:p>
    <w:p w:rsidR="00023FE7" w:rsidRPr="00A75DF9" w:rsidRDefault="00023FE7" w:rsidP="002D25C8">
      <w:pPr>
        <w:rPr>
          <w:rFonts w:cs="Tahoma"/>
        </w:rPr>
      </w:pPr>
      <w:r w:rsidRPr="00122830">
        <w:rPr>
          <w:rFonts w:cs="Tahoma"/>
          <w:color w:val="000000"/>
          <w:szCs w:val="18"/>
        </w:rPr>
        <w:t>La partecipazione al programma potrà implicare il pagamento di alcune imposte da parte della società e dei suoi dipendenti.</w:t>
      </w:r>
      <w:r w:rsidR="009D3B41" w:rsidRPr="00122830">
        <w:rPr>
          <w:rFonts w:cs="Tahoma"/>
          <w:color w:val="000000"/>
          <w:szCs w:val="18"/>
        </w:rPr>
        <w:t xml:space="preserve"> </w:t>
      </w:r>
      <w:r w:rsidRPr="00122830">
        <w:rPr>
          <w:rFonts w:cs="Tahoma"/>
          <w:color w:val="000000"/>
          <w:szCs w:val="18"/>
        </w:rPr>
        <w:t xml:space="preserve">La società potrà desiderare di rivolgersi a un consulente fiscale prima di utilizzare tale vantaggio. Microsoft non si assume alcuna responsabilità riguardo alla conformità alle obbligazioni che la società o i suoi dipendenti potranno avere circa la relazione rapporto di lavoro-vantaggio, le imposte o le segnalazioni. </w:t>
      </w:r>
      <w:r w:rsidRPr="00122830">
        <w:rPr>
          <w:rFonts w:cs="Tahoma"/>
          <w:szCs w:val="18"/>
        </w:rPr>
        <w:t>Ulteriori</w:t>
      </w:r>
      <w:r w:rsidRPr="00A75DF9">
        <w:rPr>
          <w:rFonts w:cs="Tahoma"/>
        </w:rPr>
        <w:t xml:space="preserve"> condizioni che si applicano ai dipendenti che risiedono in Nuova Zelanda sono stabilite di seguito:</w:t>
      </w:r>
    </w:p>
    <w:p w:rsidR="00023FE7" w:rsidRPr="00A75DF9" w:rsidRDefault="00023FE7" w:rsidP="00F93617">
      <w:pPr>
        <w:rPr>
          <w:rFonts w:cs="Tahoma"/>
        </w:rPr>
      </w:pPr>
    </w:p>
    <w:p w:rsidR="00023FE7" w:rsidRPr="00A75DF9" w:rsidRDefault="00023FE7" w:rsidP="008B1245">
      <w:pPr>
        <w:numPr>
          <w:ilvl w:val="0"/>
          <w:numId w:val="12"/>
        </w:numPr>
        <w:tabs>
          <w:tab w:val="left" w:pos="1440"/>
        </w:tabs>
        <w:spacing w:afterLines="60" w:after="144"/>
        <w:ind w:left="1440"/>
        <w:rPr>
          <w:rFonts w:cs="Tahoma"/>
        </w:rPr>
      </w:pPr>
      <w:r w:rsidRPr="00A75DF9">
        <w:rPr>
          <w:rFonts w:cs="Tahoma"/>
        </w:rPr>
        <w:t>Le società non dovranno richiedere alcun pagamento o compenso ai dipendenti in relazione all</w:t>
      </w:r>
      <w:r w:rsidR="00F2643E">
        <w:rPr>
          <w:rFonts w:cs="Tahoma"/>
        </w:rPr>
        <w:t>’</w:t>
      </w:r>
      <w:r w:rsidRPr="00A75DF9">
        <w:rPr>
          <w:rFonts w:cs="Tahoma"/>
        </w:rPr>
        <w:t>HUP né dovranno svolgere o omettere di svolgere azioni che avrebbero come conseguenza l</w:t>
      </w:r>
      <w:r w:rsidR="00F2643E">
        <w:rPr>
          <w:rFonts w:cs="Tahoma"/>
        </w:rPr>
        <w:t>’</w:t>
      </w:r>
      <w:r w:rsidRPr="00A75DF9">
        <w:rPr>
          <w:rFonts w:cs="Tahoma"/>
        </w:rPr>
        <w:t xml:space="preserve">aumento del costo totale dei vantaggi HUP per qualsiasi dipendente residente in Nuova Zelanda al di là di qualsiasi importo addebitato da Microsoft. </w:t>
      </w:r>
    </w:p>
    <w:p w:rsidR="00023FE7" w:rsidRPr="00A75DF9" w:rsidRDefault="00023FE7" w:rsidP="00F93617">
      <w:pPr>
        <w:numPr>
          <w:ilvl w:val="0"/>
          <w:numId w:val="12"/>
        </w:numPr>
        <w:tabs>
          <w:tab w:val="left" w:pos="1440"/>
        </w:tabs>
        <w:ind w:left="1440"/>
        <w:rPr>
          <w:rFonts w:cs="Tahoma"/>
        </w:rPr>
      </w:pPr>
      <w:r w:rsidRPr="00A75DF9">
        <w:rPr>
          <w:rFonts w:cs="Tahoma"/>
        </w:rPr>
        <w:t xml:space="preserve">Le società dovranno indennizzare e garantire che Microsoft e le relative consociate siano indennizzate e sollevate da qualsiasi costo, spesa, perdita o danno riportato da Microsoft o dalle sue consociate derivante dalla mancata conformità alle obbligazioni previste nella presente sezione. </w:t>
      </w:r>
    </w:p>
    <w:p w:rsidR="00023FE7" w:rsidRPr="00A75DF9" w:rsidRDefault="00023FE7" w:rsidP="00F93617">
      <w:pPr>
        <w:rPr>
          <w:rFonts w:cs="Tahoma"/>
        </w:rPr>
      </w:pPr>
    </w:p>
    <w:p w:rsidR="00023FE7" w:rsidRPr="00A75DF9" w:rsidRDefault="00023FE7" w:rsidP="002D25C8">
      <w:pPr>
        <w:rPr>
          <w:rFonts w:cs="Tahoma"/>
        </w:rPr>
      </w:pPr>
      <w:r w:rsidRPr="00A75DF9">
        <w:rPr>
          <w:rFonts w:cs="Tahoma"/>
          <w:szCs w:val="18"/>
        </w:rPr>
        <w:t>L</w:t>
      </w:r>
      <w:r w:rsidR="00F2643E">
        <w:rPr>
          <w:rFonts w:cs="Tahoma"/>
          <w:szCs w:val="18"/>
        </w:rPr>
        <w:t>’</w:t>
      </w:r>
      <w:r w:rsidRPr="00A75DF9">
        <w:rPr>
          <w:rFonts w:cs="Tahoma"/>
          <w:szCs w:val="18"/>
        </w:rPr>
        <w:t>elenco di applicazioni desktop qualificanti è soggetto a modifica in qualsiasi momento e senza alcuna comunicazione e varia in base alla regione o all</w:t>
      </w:r>
      <w:r w:rsidR="00F2643E">
        <w:rPr>
          <w:rFonts w:cs="Tahoma"/>
          <w:szCs w:val="18"/>
        </w:rPr>
        <w:t>’</w:t>
      </w:r>
      <w:r w:rsidRPr="00A75DF9">
        <w:rPr>
          <w:rFonts w:cs="Tahoma"/>
          <w:szCs w:val="18"/>
        </w:rPr>
        <w:t>offerta. La disponibilità del software Home Use Program è soggetta a modifica in qualsiasi momento e senza alcuna comunicazione e varia in base alla regione, all</w:t>
      </w:r>
      <w:r w:rsidR="00F2643E">
        <w:rPr>
          <w:rFonts w:cs="Tahoma"/>
          <w:szCs w:val="18"/>
        </w:rPr>
        <w:t>’</w:t>
      </w:r>
      <w:r w:rsidRPr="00A75DF9">
        <w:rPr>
          <w:rFonts w:cs="Tahoma"/>
          <w:szCs w:val="18"/>
        </w:rPr>
        <w:t>offerta, all</w:t>
      </w:r>
      <w:r w:rsidR="00F2643E">
        <w:rPr>
          <w:rFonts w:cs="Tahoma"/>
          <w:szCs w:val="18"/>
        </w:rPr>
        <w:t>’</w:t>
      </w:r>
      <w:r w:rsidRPr="00A75DF9">
        <w:rPr>
          <w:rFonts w:cs="Tahoma"/>
          <w:szCs w:val="18"/>
        </w:rPr>
        <w:t>applicazione, alla versione e alla lingua.</w:t>
      </w:r>
    </w:p>
    <w:p w:rsidR="00023FE7" w:rsidRPr="00A75DF9" w:rsidRDefault="00023FE7" w:rsidP="002D25C8">
      <w:pPr>
        <w:rPr>
          <w:rFonts w:cs="Tahoma"/>
        </w:rPr>
      </w:pPr>
    </w:p>
    <w:p w:rsidR="00023FE7" w:rsidRPr="00A75DF9" w:rsidRDefault="00502827" w:rsidP="00EC05F0">
      <w:pPr>
        <w:keepNext/>
        <w:keepLines/>
        <w:rPr>
          <w:rFonts w:cs="Tahoma"/>
        </w:rPr>
      </w:pPr>
      <w:r w:rsidRPr="00A75DF9">
        <w:rPr>
          <w:rFonts w:cs="Tahoma"/>
          <w:szCs w:val="18"/>
        </w:rPr>
        <w:lastRenderedPageBreak/>
        <w:t>In Microsoft Office Professional Plus HUP sono inclusi i seguenti programmi Microsoft Office:</w:t>
      </w:r>
    </w:p>
    <w:p w:rsidR="00023FE7" w:rsidRPr="00A75DF9" w:rsidRDefault="00023FE7" w:rsidP="00EC05F0">
      <w:pPr>
        <w:keepNext/>
        <w:keepLines/>
        <w:rPr>
          <w:rFonts w:cs="Tahoma"/>
        </w:rPr>
      </w:pPr>
    </w:p>
    <w:tbl>
      <w:tblPr>
        <w:tblW w:w="0" w:type="auto"/>
        <w:tblInd w:w="711"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4A0" w:firstRow="1" w:lastRow="0" w:firstColumn="1" w:lastColumn="0" w:noHBand="0" w:noVBand="1"/>
      </w:tblPr>
      <w:tblGrid>
        <w:gridCol w:w="4437"/>
      </w:tblGrid>
      <w:tr w:rsidR="00023FE7" w:rsidRPr="00A75DF9" w:rsidTr="00BF1889">
        <w:trPr>
          <w:trHeight w:val="60"/>
        </w:trPr>
        <w:tc>
          <w:tcPr>
            <w:tcW w:w="4437" w:type="dxa"/>
            <w:shd w:val="clear" w:color="auto" w:fill="FABF8F"/>
            <w:tcMar>
              <w:top w:w="0" w:type="dxa"/>
              <w:left w:w="108" w:type="dxa"/>
              <w:bottom w:w="0" w:type="dxa"/>
              <w:right w:w="108" w:type="dxa"/>
            </w:tcMar>
            <w:vAlign w:val="center"/>
          </w:tcPr>
          <w:p w:rsidR="00CA6072" w:rsidRPr="00A75DF9" w:rsidRDefault="00CA6072" w:rsidP="00122830">
            <w:pPr>
              <w:pStyle w:val="appendixtableheadings0"/>
              <w:keepNext/>
              <w:keepLines/>
              <w:rPr>
                <w:rFonts w:ascii="Tahoma" w:hAnsi="Tahoma" w:cs="Tahoma"/>
              </w:rPr>
            </w:pPr>
            <w:r w:rsidRPr="00A75DF9">
              <w:rPr>
                <w:rFonts w:ascii="Tahoma" w:hAnsi="Tahoma" w:cs="Tahoma"/>
                <w:color w:val="000000"/>
                <w:sz w:val="20"/>
                <w:szCs w:val="20"/>
              </w:rPr>
              <w:t>Componenti Office Professional Plus per</w:t>
            </w:r>
            <w:r w:rsidR="00122830">
              <w:rPr>
                <w:rFonts w:ascii="Tahoma" w:hAnsi="Tahoma" w:cs="Tahoma"/>
                <w:color w:val="000000"/>
                <w:sz w:val="20"/>
                <w:szCs w:val="20"/>
              </w:rPr>
              <w:t> </w:t>
            </w:r>
            <w:r w:rsidRPr="00A75DF9">
              <w:rPr>
                <w:rFonts w:ascii="Tahoma" w:hAnsi="Tahoma" w:cs="Tahoma"/>
                <w:color w:val="000000"/>
                <w:sz w:val="20"/>
                <w:szCs w:val="20"/>
              </w:rPr>
              <w:t xml:space="preserve">HUP </w:t>
            </w:r>
          </w:p>
          <w:p w:rsidR="00023FE7" w:rsidRPr="00A75DF9" w:rsidRDefault="00023FE7" w:rsidP="00EC05F0">
            <w:pPr>
              <w:pStyle w:val="appendixtableheadings0"/>
              <w:keepNext/>
              <w:keepLines/>
              <w:rPr>
                <w:rFonts w:ascii="Tahoma" w:hAnsi="Tahoma" w:cs="Tahoma"/>
                <w:color w:val="000000"/>
                <w:sz w:val="20"/>
                <w:szCs w:val="20"/>
              </w:rPr>
            </w:pPr>
          </w:p>
        </w:tc>
      </w:tr>
      <w:tr w:rsidR="00023FE7" w:rsidRPr="00A75DF9" w:rsidTr="00BF1889">
        <w:trPr>
          <w:trHeight w:val="438"/>
        </w:trPr>
        <w:tc>
          <w:tcPr>
            <w:tcW w:w="4437" w:type="dxa"/>
            <w:tcMar>
              <w:top w:w="0" w:type="dxa"/>
              <w:left w:w="108" w:type="dxa"/>
              <w:bottom w:w="0" w:type="dxa"/>
              <w:right w:w="108" w:type="dxa"/>
            </w:tcMar>
            <w:vAlign w:val="center"/>
          </w:tcPr>
          <w:p w:rsidR="00CA6072" w:rsidRPr="00A75DF9" w:rsidRDefault="00CA6072" w:rsidP="00EC05F0">
            <w:pPr>
              <w:pStyle w:val="appendixtabletext0"/>
              <w:keepNext/>
              <w:keepLines/>
              <w:rPr>
                <w:rFonts w:ascii="Tahoma" w:hAnsi="Tahoma" w:cs="Tahoma"/>
              </w:rPr>
            </w:pPr>
            <w:r w:rsidRPr="00A75DF9">
              <w:rPr>
                <w:rFonts w:ascii="Tahoma" w:hAnsi="Tahoma" w:cs="Tahoma"/>
                <w:color w:val="000000"/>
              </w:rPr>
              <w:t>Word 2013</w:t>
            </w:r>
          </w:p>
          <w:p w:rsidR="00CA6072" w:rsidRPr="00A75DF9" w:rsidRDefault="00CA6072" w:rsidP="00EC05F0">
            <w:pPr>
              <w:pStyle w:val="appendixtabletext0"/>
              <w:keepNext/>
              <w:keepLines/>
              <w:rPr>
                <w:rFonts w:ascii="Tahoma" w:hAnsi="Tahoma" w:cs="Tahoma"/>
              </w:rPr>
            </w:pPr>
            <w:r w:rsidRPr="00A75DF9">
              <w:rPr>
                <w:rFonts w:ascii="Tahoma" w:hAnsi="Tahoma" w:cs="Tahoma"/>
                <w:color w:val="000000"/>
              </w:rPr>
              <w:t>Excel</w:t>
            </w:r>
            <w:r w:rsidR="009D5D7B" w:rsidRPr="00A75DF9">
              <w:rPr>
                <w:rFonts w:ascii="Tahoma" w:hAnsi="Tahoma" w:cs="Tahoma"/>
                <w:color w:val="000000"/>
                <w:vertAlign w:val="superscript"/>
              </w:rPr>
              <w:t>®</w:t>
            </w:r>
            <w:r w:rsidRPr="00A75DF9">
              <w:rPr>
                <w:rFonts w:ascii="Tahoma" w:hAnsi="Tahoma" w:cs="Tahoma"/>
                <w:color w:val="000000"/>
              </w:rPr>
              <w:t xml:space="preserve"> 2013</w:t>
            </w:r>
          </w:p>
          <w:p w:rsidR="00CA6072" w:rsidRPr="00A75DF9" w:rsidRDefault="00CA6072" w:rsidP="00EC05F0">
            <w:pPr>
              <w:pStyle w:val="appendixtabletext0"/>
              <w:keepNext/>
              <w:keepLines/>
              <w:rPr>
                <w:rFonts w:ascii="Tahoma" w:hAnsi="Tahoma" w:cs="Tahoma"/>
              </w:rPr>
            </w:pPr>
            <w:r w:rsidRPr="00A75DF9">
              <w:rPr>
                <w:rFonts w:ascii="Tahoma" w:hAnsi="Tahoma" w:cs="Tahoma"/>
                <w:color w:val="000000"/>
              </w:rPr>
              <w:t>PowerPoint</w:t>
            </w:r>
            <w:r w:rsidR="009D5D7B" w:rsidRPr="00A75DF9">
              <w:rPr>
                <w:rFonts w:ascii="Tahoma" w:hAnsi="Tahoma" w:cs="Tahoma"/>
                <w:color w:val="000000"/>
                <w:vertAlign w:val="superscript"/>
              </w:rPr>
              <w:t>®</w:t>
            </w:r>
            <w:r w:rsidRPr="00A75DF9">
              <w:rPr>
                <w:rFonts w:ascii="Tahoma" w:hAnsi="Tahoma" w:cs="Tahoma"/>
                <w:color w:val="000000"/>
              </w:rPr>
              <w:t xml:space="preserve"> 2013</w:t>
            </w:r>
          </w:p>
          <w:p w:rsidR="00CA6072" w:rsidRPr="00A75DF9" w:rsidRDefault="00CA6072" w:rsidP="00EC05F0">
            <w:pPr>
              <w:pStyle w:val="appendixtabletext0"/>
              <w:keepNext/>
              <w:keepLines/>
              <w:rPr>
                <w:rFonts w:ascii="Tahoma" w:hAnsi="Tahoma" w:cs="Tahoma"/>
              </w:rPr>
            </w:pPr>
            <w:r w:rsidRPr="00A75DF9">
              <w:rPr>
                <w:rFonts w:ascii="Tahoma" w:hAnsi="Tahoma" w:cs="Tahoma"/>
                <w:color w:val="000000"/>
              </w:rPr>
              <w:t>Outlook</w:t>
            </w:r>
            <w:r w:rsidR="009D5D7B" w:rsidRPr="00A75DF9">
              <w:rPr>
                <w:rFonts w:ascii="Tahoma" w:hAnsi="Tahoma" w:cs="Tahoma"/>
                <w:color w:val="000000"/>
                <w:vertAlign w:val="superscript"/>
              </w:rPr>
              <w:t>®</w:t>
            </w:r>
            <w:r w:rsidRPr="00A75DF9">
              <w:rPr>
                <w:rFonts w:ascii="Tahoma" w:hAnsi="Tahoma" w:cs="Tahoma"/>
                <w:color w:val="000000"/>
              </w:rPr>
              <w:t xml:space="preserve"> 2013</w:t>
            </w:r>
          </w:p>
          <w:p w:rsidR="00CA6072" w:rsidRPr="00A75DF9" w:rsidRDefault="00CA6072" w:rsidP="00EC05F0">
            <w:pPr>
              <w:pStyle w:val="appendixtabletext0"/>
              <w:keepNext/>
              <w:keepLines/>
              <w:rPr>
                <w:rFonts w:ascii="Tahoma" w:hAnsi="Tahoma" w:cs="Tahoma"/>
              </w:rPr>
            </w:pPr>
            <w:r w:rsidRPr="00A75DF9">
              <w:rPr>
                <w:rFonts w:ascii="Tahoma" w:hAnsi="Tahoma" w:cs="Tahoma"/>
                <w:color w:val="000000"/>
              </w:rPr>
              <w:t>Publisher 2013</w:t>
            </w:r>
          </w:p>
          <w:p w:rsidR="00CA6072" w:rsidRPr="00A75DF9" w:rsidRDefault="00CA6072" w:rsidP="00EC05F0">
            <w:pPr>
              <w:pStyle w:val="appendixtabletext0"/>
              <w:keepNext/>
              <w:keepLines/>
              <w:rPr>
                <w:rFonts w:ascii="Tahoma" w:hAnsi="Tahoma" w:cs="Tahoma"/>
              </w:rPr>
            </w:pPr>
            <w:r w:rsidRPr="00A75DF9">
              <w:rPr>
                <w:rFonts w:ascii="Tahoma" w:hAnsi="Tahoma" w:cs="Tahoma"/>
                <w:color w:val="000000"/>
              </w:rPr>
              <w:t>Access</w:t>
            </w:r>
            <w:r w:rsidR="009D5D7B" w:rsidRPr="00A75DF9">
              <w:rPr>
                <w:rFonts w:ascii="Tahoma" w:hAnsi="Tahoma" w:cs="Tahoma"/>
                <w:color w:val="000000"/>
                <w:vertAlign w:val="superscript"/>
              </w:rPr>
              <w:t>®</w:t>
            </w:r>
            <w:r w:rsidRPr="00A75DF9">
              <w:rPr>
                <w:rFonts w:ascii="Tahoma" w:hAnsi="Tahoma" w:cs="Tahoma"/>
                <w:color w:val="000000"/>
              </w:rPr>
              <w:t xml:space="preserve"> 2013</w:t>
            </w:r>
          </w:p>
          <w:p w:rsidR="00CA6072" w:rsidRPr="00A75DF9" w:rsidRDefault="00CA6072" w:rsidP="00EC05F0">
            <w:pPr>
              <w:pStyle w:val="appendixtabletext0"/>
              <w:keepNext/>
              <w:keepLines/>
              <w:rPr>
                <w:rFonts w:ascii="Tahoma" w:hAnsi="Tahoma" w:cs="Tahoma"/>
              </w:rPr>
            </w:pPr>
            <w:r w:rsidRPr="00A75DF9">
              <w:rPr>
                <w:rFonts w:ascii="Tahoma" w:hAnsi="Tahoma" w:cs="Tahoma"/>
                <w:color w:val="000000"/>
              </w:rPr>
              <w:t>OneNote</w:t>
            </w:r>
            <w:r w:rsidR="009D5D7B" w:rsidRPr="00A75DF9">
              <w:rPr>
                <w:rFonts w:ascii="Tahoma" w:hAnsi="Tahoma" w:cs="Tahoma"/>
                <w:color w:val="000000"/>
                <w:vertAlign w:val="superscript"/>
              </w:rPr>
              <w:t>®</w:t>
            </w:r>
            <w:r w:rsidRPr="00A75DF9">
              <w:rPr>
                <w:rFonts w:ascii="Tahoma" w:hAnsi="Tahoma" w:cs="Tahoma"/>
                <w:color w:val="000000"/>
              </w:rPr>
              <w:t xml:space="preserve"> 2013</w:t>
            </w:r>
          </w:p>
          <w:p w:rsidR="00CA6072" w:rsidRPr="00A75DF9" w:rsidRDefault="00CA6072" w:rsidP="00EC05F0">
            <w:pPr>
              <w:pStyle w:val="appendixtabletext0"/>
              <w:keepNext/>
              <w:keepLines/>
              <w:rPr>
                <w:rFonts w:ascii="Tahoma" w:hAnsi="Tahoma" w:cs="Tahoma"/>
              </w:rPr>
            </w:pPr>
            <w:r w:rsidRPr="00A75DF9">
              <w:rPr>
                <w:rFonts w:ascii="Tahoma" w:hAnsi="Tahoma" w:cs="Tahoma"/>
                <w:color w:val="000000"/>
              </w:rPr>
              <w:t>InfoPath</w:t>
            </w:r>
            <w:r w:rsidR="009D5D7B" w:rsidRPr="00A75DF9">
              <w:rPr>
                <w:rFonts w:ascii="Tahoma" w:hAnsi="Tahoma" w:cs="Tahoma"/>
                <w:color w:val="000000"/>
                <w:vertAlign w:val="superscript"/>
              </w:rPr>
              <w:t>®</w:t>
            </w:r>
            <w:r w:rsidRPr="00A75DF9">
              <w:rPr>
                <w:rFonts w:ascii="Tahoma" w:hAnsi="Tahoma" w:cs="Tahoma"/>
                <w:color w:val="000000"/>
              </w:rPr>
              <w:t xml:space="preserve"> 2013</w:t>
            </w:r>
          </w:p>
          <w:p w:rsidR="00502827" w:rsidRPr="00A75DF9" w:rsidRDefault="00B9674D" w:rsidP="00EC05F0">
            <w:pPr>
              <w:pStyle w:val="appendixtabletext0"/>
              <w:keepNext/>
              <w:keepLines/>
              <w:rPr>
                <w:rFonts w:ascii="Tahoma" w:hAnsi="Tahoma" w:cs="Tahoma"/>
              </w:rPr>
            </w:pPr>
            <w:r w:rsidRPr="00A75DF9">
              <w:rPr>
                <w:rFonts w:ascii="Tahoma" w:hAnsi="Tahoma" w:cs="Tahoma"/>
                <w:color w:val="000000"/>
              </w:rPr>
              <w:t>Lync 2013</w:t>
            </w:r>
          </w:p>
          <w:p w:rsidR="002D25C8" w:rsidRPr="00A75DF9" w:rsidRDefault="002D25C8" w:rsidP="00EC05F0">
            <w:pPr>
              <w:pStyle w:val="appendixtabletext0"/>
              <w:keepNext/>
              <w:keepLines/>
              <w:rPr>
                <w:rFonts w:ascii="Tahoma" w:hAnsi="Tahoma" w:cs="Tahoma"/>
                <w:color w:val="000000"/>
              </w:rPr>
            </w:pPr>
          </w:p>
        </w:tc>
      </w:tr>
    </w:tbl>
    <w:p w:rsidR="001C1727" w:rsidRPr="00A75DF9" w:rsidRDefault="001C1727" w:rsidP="001C1727">
      <w:pPr>
        <w:rPr>
          <w:rFonts w:cs="Tahoma"/>
        </w:rPr>
      </w:pPr>
    </w:p>
    <w:p w:rsidR="00023FE7" w:rsidRPr="00A75DF9" w:rsidRDefault="00023FE7">
      <w:pPr>
        <w:rPr>
          <w:rFonts w:cs="Tahoma"/>
        </w:rPr>
      </w:pPr>
    </w:p>
    <w:tbl>
      <w:tblPr>
        <w:tblW w:w="0" w:type="auto"/>
        <w:tblInd w:w="711" w:type="dxa"/>
        <w:tblCellMar>
          <w:left w:w="0" w:type="dxa"/>
          <w:right w:w="0" w:type="dxa"/>
        </w:tblCellMar>
        <w:tblLook w:val="04A0" w:firstRow="1" w:lastRow="0" w:firstColumn="1" w:lastColumn="0" w:noHBand="0" w:noVBand="1"/>
      </w:tblPr>
      <w:tblGrid>
        <w:gridCol w:w="4399"/>
        <w:gridCol w:w="3492"/>
      </w:tblGrid>
      <w:tr w:rsidR="00CA6072" w:rsidRPr="00A75DF9" w:rsidTr="00902ECB">
        <w:trPr>
          <w:trHeight w:val="60"/>
          <w:tblHeader/>
        </w:trPr>
        <w:tc>
          <w:tcPr>
            <w:tcW w:w="4399"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A75DF9" w:rsidRDefault="00CA6072" w:rsidP="001B035A">
            <w:pPr>
              <w:pStyle w:val="appendixtableheadings0"/>
              <w:rPr>
                <w:rFonts w:ascii="Tahoma" w:hAnsi="Tahoma" w:cs="Tahoma"/>
                <w:color w:val="000000"/>
                <w:sz w:val="20"/>
                <w:szCs w:val="20"/>
              </w:rPr>
            </w:pPr>
            <w:r w:rsidRPr="00A75DF9">
              <w:rPr>
                <w:rFonts w:ascii="Tahoma" w:hAnsi="Tahoma" w:cs="Tahoma"/>
                <w:color w:val="000000"/>
                <w:sz w:val="20"/>
                <w:szCs w:val="20"/>
              </w:rPr>
              <w:t>Applicazioni Desktop Qualificanti</w:t>
            </w:r>
          </w:p>
        </w:tc>
        <w:tc>
          <w:tcPr>
            <w:tcW w:w="3492"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tcPr>
          <w:p w:rsidR="00CA6072" w:rsidRPr="00A75DF9" w:rsidRDefault="00CA6072" w:rsidP="001B035A">
            <w:pPr>
              <w:pStyle w:val="appendixtableheadings0"/>
              <w:rPr>
                <w:rFonts w:ascii="Tahoma" w:hAnsi="Tahoma" w:cs="Tahoma"/>
                <w:color w:val="000000"/>
                <w:sz w:val="20"/>
                <w:szCs w:val="20"/>
              </w:rPr>
            </w:pPr>
            <w:r w:rsidRPr="00A75DF9">
              <w:rPr>
                <w:rFonts w:ascii="Tahoma" w:hAnsi="Tahoma" w:cs="Tahoma"/>
                <w:color w:val="000000"/>
                <w:sz w:val="20"/>
                <w:szCs w:val="20"/>
              </w:rPr>
              <w:t xml:space="preserve">Licenza per Home Use </w:t>
            </w:r>
            <w:r w:rsidRPr="00A75DF9">
              <w:rPr>
                <w:rFonts w:ascii="Tahoma" w:hAnsi="Tahoma" w:cs="Tahoma"/>
                <w:color w:val="000000"/>
                <w:sz w:val="20"/>
                <w:szCs w:val="20"/>
              </w:rPr>
              <w:br/>
              <w:t>Program Corrispondente</w:t>
            </w:r>
          </w:p>
        </w:tc>
      </w:tr>
      <w:tr w:rsidR="004D700D" w:rsidRPr="00A75DF9"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A75DF9" w:rsidRDefault="004D700D" w:rsidP="001B035A">
            <w:pPr>
              <w:pStyle w:val="appendixtabletext0"/>
              <w:rPr>
                <w:rFonts w:ascii="Tahoma" w:hAnsi="Tahoma" w:cs="Tahoma"/>
              </w:rPr>
            </w:pPr>
            <w:r w:rsidRPr="00A75DF9">
              <w:rPr>
                <w:rFonts w:ascii="Tahoma" w:hAnsi="Tahoma" w:cs="Tahoma"/>
                <w:color w:val="000000"/>
              </w:rPr>
              <w:t>Office Standard 2010/2013</w:t>
            </w:r>
          </w:p>
          <w:p w:rsidR="004D700D" w:rsidRPr="00A75DF9" w:rsidRDefault="004D700D" w:rsidP="001B035A">
            <w:pPr>
              <w:pStyle w:val="appendixtabletext0"/>
              <w:rPr>
                <w:rFonts w:ascii="Tahoma" w:hAnsi="Tahoma" w:cs="Tahoma"/>
              </w:rPr>
            </w:pPr>
            <w:r w:rsidRPr="00A75DF9">
              <w:rPr>
                <w:rFonts w:ascii="Tahoma" w:hAnsi="Tahoma" w:cs="Tahoma"/>
                <w:color w:val="000000"/>
              </w:rPr>
              <w:t>Office Professional Plus 2010/2013</w:t>
            </w:r>
          </w:p>
          <w:p w:rsidR="004D700D" w:rsidRPr="00A75DF9" w:rsidRDefault="004D700D" w:rsidP="00C37E9D">
            <w:pPr>
              <w:pStyle w:val="appendixtabletext0"/>
              <w:rPr>
                <w:rFonts w:ascii="Tahoma" w:hAnsi="Tahoma" w:cs="Tahoma"/>
                <w:color w:val="000000"/>
              </w:rPr>
            </w:pPr>
            <w:r w:rsidRPr="00A75DF9">
              <w:rPr>
                <w:rFonts w:ascii="Tahoma" w:hAnsi="Tahoma" w:cs="Tahoma"/>
                <w:color w:val="000000"/>
              </w:rPr>
              <w:t xml:space="preserve">Office per Mac 2008 / Office per Mac Standard 2011 </w:t>
            </w: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A75DF9" w:rsidRDefault="004D700D" w:rsidP="00735622">
            <w:pPr>
              <w:pStyle w:val="appendixtabletext0"/>
              <w:rPr>
                <w:rFonts w:ascii="Tahoma" w:hAnsi="Tahoma" w:cs="Tahoma"/>
              </w:rPr>
            </w:pPr>
            <w:r w:rsidRPr="00A75DF9">
              <w:rPr>
                <w:rFonts w:ascii="Tahoma" w:hAnsi="Tahoma" w:cs="Tahoma"/>
                <w:color w:val="000000"/>
              </w:rPr>
              <w:t>Office Professional Plus 2013 HUP</w:t>
            </w:r>
          </w:p>
          <w:p w:rsidR="004D700D" w:rsidRPr="00A75DF9" w:rsidRDefault="004D700D" w:rsidP="00735622">
            <w:pPr>
              <w:pStyle w:val="appendixtabletext0"/>
              <w:rPr>
                <w:rFonts w:ascii="Tahoma" w:hAnsi="Tahoma" w:cs="Tahoma"/>
              </w:rPr>
            </w:pPr>
            <w:r w:rsidRPr="00A75DF9">
              <w:rPr>
                <w:rFonts w:ascii="Tahoma" w:hAnsi="Tahoma" w:cs="Tahoma"/>
                <w:color w:val="000000"/>
              </w:rPr>
              <w:t>o</w:t>
            </w:r>
          </w:p>
          <w:p w:rsidR="004D700D" w:rsidRPr="00A75DF9" w:rsidRDefault="00E316C2" w:rsidP="00C37E9D">
            <w:pPr>
              <w:pStyle w:val="appendixtabletext0"/>
              <w:rPr>
                <w:rFonts w:ascii="Tahoma" w:hAnsi="Tahoma" w:cs="Tahoma"/>
                <w:color w:val="000000"/>
              </w:rPr>
            </w:pPr>
            <w:r w:rsidRPr="00A75DF9">
              <w:rPr>
                <w:rFonts w:ascii="Tahoma" w:hAnsi="Tahoma" w:cs="Tahoma"/>
                <w:color w:val="000000"/>
              </w:rPr>
              <w:t>Office per Mac Home &amp; Business 2011 HUP</w:t>
            </w:r>
          </w:p>
        </w:tc>
      </w:tr>
      <w:tr w:rsidR="004D700D" w:rsidRPr="00A75DF9"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4D700D" w:rsidRPr="00A75DF9" w:rsidRDefault="004D700D" w:rsidP="001B035A">
            <w:pPr>
              <w:pStyle w:val="appendixtabletext0"/>
              <w:rPr>
                <w:rFonts w:ascii="Tahoma" w:hAnsi="Tahoma" w:cs="Tahoma"/>
              </w:rPr>
            </w:pPr>
            <w:r w:rsidRPr="00A75DF9">
              <w:rPr>
                <w:rFonts w:ascii="Tahoma" w:hAnsi="Tahoma" w:cs="Tahoma"/>
                <w:color w:val="000000"/>
              </w:rPr>
              <w:t>Access 2010/2013</w:t>
            </w:r>
          </w:p>
          <w:p w:rsidR="004D700D" w:rsidRPr="00A75DF9" w:rsidRDefault="004D700D" w:rsidP="001B035A">
            <w:pPr>
              <w:pStyle w:val="appendixtabletext0"/>
              <w:rPr>
                <w:rFonts w:ascii="Tahoma" w:hAnsi="Tahoma" w:cs="Tahoma"/>
              </w:rPr>
            </w:pPr>
            <w:r w:rsidRPr="00A75DF9">
              <w:rPr>
                <w:rFonts w:ascii="Tahoma" w:hAnsi="Tahoma" w:cs="Tahoma"/>
                <w:color w:val="000000"/>
              </w:rPr>
              <w:t>Excel 2010/2013</w:t>
            </w:r>
          </w:p>
          <w:p w:rsidR="004D700D" w:rsidRPr="00A75DF9" w:rsidRDefault="004D700D" w:rsidP="001B035A">
            <w:pPr>
              <w:pStyle w:val="appendixtabletext0"/>
              <w:rPr>
                <w:rFonts w:ascii="Tahoma" w:hAnsi="Tahoma" w:cs="Tahoma"/>
              </w:rPr>
            </w:pPr>
            <w:r w:rsidRPr="00A75DF9">
              <w:rPr>
                <w:rFonts w:ascii="Tahoma" w:hAnsi="Tahoma" w:cs="Tahoma"/>
                <w:color w:val="000000"/>
              </w:rPr>
              <w:t>PowerPoint 2010/2013</w:t>
            </w:r>
          </w:p>
          <w:p w:rsidR="004D700D" w:rsidRPr="00A75DF9" w:rsidRDefault="004D700D" w:rsidP="001B035A">
            <w:pPr>
              <w:pStyle w:val="appendixtabletext0"/>
              <w:rPr>
                <w:rFonts w:ascii="Tahoma" w:hAnsi="Tahoma" w:cs="Tahoma"/>
              </w:rPr>
            </w:pPr>
            <w:r w:rsidRPr="00A75DF9">
              <w:rPr>
                <w:rFonts w:ascii="Tahoma" w:hAnsi="Tahoma" w:cs="Tahoma"/>
                <w:color w:val="000000"/>
              </w:rPr>
              <w:t>InfoPath 2010/2013</w:t>
            </w:r>
          </w:p>
          <w:p w:rsidR="004D700D" w:rsidRPr="00A75DF9" w:rsidRDefault="004D700D" w:rsidP="001B035A">
            <w:pPr>
              <w:pStyle w:val="appendixtabletext0"/>
              <w:rPr>
                <w:rFonts w:ascii="Tahoma" w:hAnsi="Tahoma" w:cs="Tahoma"/>
              </w:rPr>
            </w:pPr>
            <w:r w:rsidRPr="00A75DF9">
              <w:rPr>
                <w:rFonts w:ascii="Tahoma" w:hAnsi="Tahoma" w:cs="Tahoma"/>
                <w:color w:val="000000"/>
              </w:rPr>
              <w:t>OneNote 2010/2013</w:t>
            </w:r>
          </w:p>
          <w:p w:rsidR="004D700D" w:rsidRPr="00A75DF9" w:rsidRDefault="004D700D" w:rsidP="001B035A">
            <w:pPr>
              <w:pStyle w:val="appendixtabletext0"/>
              <w:rPr>
                <w:rFonts w:ascii="Tahoma" w:hAnsi="Tahoma" w:cs="Tahoma"/>
              </w:rPr>
            </w:pPr>
            <w:r w:rsidRPr="00A75DF9">
              <w:rPr>
                <w:rFonts w:ascii="Tahoma" w:hAnsi="Tahoma" w:cs="Tahoma"/>
                <w:color w:val="000000"/>
              </w:rPr>
              <w:t>Outlook 2010/2013</w:t>
            </w:r>
          </w:p>
          <w:p w:rsidR="004D700D" w:rsidRPr="00A75DF9" w:rsidRDefault="004D700D" w:rsidP="001B035A">
            <w:pPr>
              <w:pStyle w:val="appendixtabletext0"/>
              <w:rPr>
                <w:rFonts w:ascii="Tahoma" w:hAnsi="Tahoma" w:cs="Tahoma"/>
              </w:rPr>
            </w:pPr>
            <w:r w:rsidRPr="00A75DF9">
              <w:rPr>
                <w:rFonts w:ascii="Tahoma" w:hAnsi="Tahoma" w:cs="Tahoma"/>
                <w:color w:val="000000"/>
              </w:rPr>
              <w:t>Publisher 2010/2013</w:t>
            </w:r>
          </w:p>
          <w:p w:rsidR="004D700D" w:rsidRPr="00A75DF9" w:rsidRDefault="004D700D" w:rsidP="00737AED">
            <w:pPr>
              <w:pStyle w:val="appendixtabletext0"/>
              <w:rPr>
                <w:rFonts w:ascii="Tahoma" w:hAnsi="Tahoma" w:cs="Tahoma"/>
              </w:rPr>
            </w:pPr>
            <w:r w:rsidRPr="00A75DF9">
              <w:rPr>
                <w:rFonts w:ascii="Tahoma" w:hAnsi="Tahoma" w:cs="Tahoma"/>
                <w:color w:val="000000"/>
              </w:rPr>
              <w:t>Word 2010/2013</w:t>
            </w:r>
          </w:p>
          <w:p w:rsidR="00737AED" w:rsidRPr="00A75DF9" w:rsidRDefault="00737AED" w:rsidP="00737AED">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4D700D" w:rsidRPr="00A75DF9" w:rsidRDefault="004D700D" w:rsidP="00735622">
            <w:pPr>
              <w:pStyle w:val="appendixtabletext0"/>
              <w:rPr>
                <w:rFonts w:ascii="Tahoma" w:hAnsi="Tahoma" w:cs="Tahoma"/>
              </w:rPr>
            </w:pPr>
            <w:r w:rsidRPr="00A75DF9">
              <w:rPr>
                <w:rFonts w:ascii="Tahoma" w:hAnsi="Tahoma" w:cs="Tahoma"/>
                <w:color w:val="000000"/>
              </w:rPr>
              <w:t>Office Professional Plus 2013 HUP</w:t>
            </w:r>
          </w:p>
          <w:p w:rsidR="004D700D" w:rsidRPr="00A75DF9" w:rsidRDefault="004D700D" w:rsidP="00735622">
            <w:pPr>
              <w:pStyle w:val="appendixtabletext0"/>
              <w:rPr>
                <w:rFonts w:ascii="Tahoma" w:hAnsi="Tahoma" w:cs="Tahoma"/>
              </w:rPr>
            </w:pPr>
            <w:r w:rsidRPr="00A75DF9">
              <w:rPr>
                <w:rFonts w:ascii="Tahoma" w:hAnsi="Tahoma" w:cs="Tahoma"/>
                <w:color w:val="000000"/>
              </w:rPr>
              <w:t>o</w:t>
            </w:r>
          </w:p>
          <w:p w:rsidR="004D700D" w:rsidRPr="00A75DF9" w:rsidRDefault="00E316C2" w:rsidP="00C37E9D">
            <w:pPr>
              <w:pStyle w:val="appendixtabletext0"/>
              <w:rPr>
                <w:rFonts w:ascii="Tahoma" w:hAnsi="Tahoma" w:cs="Tahoma"/>
                <w:color w:val="000000"/>
              </w:rPr>
            </w:pPr>
            <w:r w:rsidRPr="00A75DF9">
              <w:rPr>
                <w:rFonts w:ascii="Tahoma" w:hAnsi="Tahoma" w:cs="Tahoma"/>
                <w:color w:val="000000"/>
              </w:rPr>
              <w:t>Office per Mac Home &amp; Business 2011 HUP</w:t>
            </w:r>
          </w:p>
        </w:tc>
      </w:tr>
      <w:tr w:rsidR="00CA6072" w:rsidRPr="00A75DF9"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A75DF9" w:rsidRDefault="00CA6072" w:rsidP="001B035A">
            <w:pPr>
              <w:pStyle w:val="appendixtabletext0"/>
              <w:rPr>
                <w:rFonts w:ascii="Tahoma" w:hAnsi="Tahoma" w:cs="Tahoma"/>
              </w:rPr>
            </w:pPr>
            <w:r w:rsidRPr="00A75DF9">
              <w:rPr>
                <w:rFonts w:ascii="Tahoma" w:hAnsi="Tahoma" w:cs="Tahoma"/>
                <w:color w:val="000000"/>
              </w:rPr>
              <w:t xml:space="preserve">Visio Standard 2010/2013 </w:t>
            </w:r>
          </w:p>
          <w:p w:rsidR="00502827" w:rsidRPr="00A75DF9" w:rsidRDefault="00CA6072" w:rsidP="00502827">
            <w:pPr>
              <w:pStyle w:val="appendixtabletext0"/>
              <w:rPr>
                <w:rFonts w:ascii="Tahoma" w:hAnsi="Tahoma" w:cs="Tahoma"/>
              </w:rPr>
            </w:pPr>
            <w:r w:rsidRPr="00A75DF9">
              <w:rPr>
                <w:rFonts w:ascii="Tahoma" w:hAnsi="Tahoma" w:cs="Tahoma"/>
                <w:color w:val="000000"/>
              </w:rPr>
              <w:t>Visio Professional 2010/2013</w:t>
            </w:r>
            <w:r w:rsidRPr="00A75DF9">
              <w:rPr>
                <w:rFonts w:ascii="Tahoma" w:hAnsi="Tahoma" w:cs="Tahoma"/>
                <w:strike/>
                <w:color w:val="000000"/>
              </w:rPr>
              <w:t xml:space="preserve"> </w:t>
            </w:r>
          </w:p>
          <w:p w:rsidR="00502827" w:rsidRPr="00A75DF9" w:rsidRDefault="00502827" w:rsidP="0050282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A75DF9" w:rsidRDefault="00CA6072" w:rsidP="001B035A">
            <w:pPr>
              <w:pStyle w:val="appendixtabletext0"/>
              <w:rPr>
                <w:rFonts w:ascii="Tahoma" w:hAnsi="Tahoma" w:cs="Tahoma"/>
              </w:rPr>
            </w:pPr>
            <w:r w:rsidRPr="00A75DF9">
              <w:rPr>
                <w:rFonts w:ascii="Tahoma" w:hAnsi="Tahoma" w:cs="Tahoma"/>
                <w:color w:val="000000"/>
              </w:rPr>
              <w:t>Visio Professional 2013 HUP</w:t>
            </w:r>
          </w:p>
          <w:p w:rsidR="00CA6072" w:rsidRPr="00A75DF9" w:rsidRDefault="00CA6072" w:rsidP="001B035A">
            <w:pPr>
              <w:pStyle w:val="appendixtabletext0"/>
              <w:rPr>
                <w:rFonts w:ascii="Tahoma" w:hAnsi="Tahoma" w:cs="Tahoma"/>
                <w:color w:val="000000"/>
              </w:rPr>
            </w:pPr>
          </w:p>
        </w:tc>
      </w:tr>
      <w:tr w:rsidR="00CA6072" w:rsidRPr="00A75DF9" w:rsidTr="00902ECB">
        <w:trPr>
          <w:trHeight w:val="438"/>
        </w:trPr>
        <w:tc>
          <w:tcPr>
            <w:tcW w:w="43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A6072" w:rsidRPr="00A75DF9" w:rsidRDefault="00CA6072" w:rsidP="001B035A">
            <w:pPr>
              <w:pStyle w:val="appendixtabletext0"/>
              <w:rPr>
                <w:rFonts w:ascii="Tahoma" w:hAnsi="Tahoma" w:cs="Tahoma"/>
              </w:rPr>
            </w:pPr>
            <w:r w:rsidRPr="00A75DF9">
              <w:rPr>
                <w:rFonts w:ascii="Tahoma" w:hAnsi="Tahoma" w:cs="Tahoma"/>
                <w:color w:val="000000"/>
              </w:rPr>
              <w:t>Project Standard 2010/2013</w:t>
            </w:r>
          </w:p>
          <w:p w:rsidR="00CA6072" w:rsidRPr="00A75DF9" w:rsidRDefault="00CA6072" w:rsidP="001E3357">
            <w:pPr>
              <w:pStyle w:val="appendixtabletext0"/>
              <w:rPr>
                <w:rFonts w:ascii="Tahoma" w:hAnsi="Tahoma" w:cs="Tahoma"/>
              </w:rPr>
            </w:pPr>
            <w:r w:rsidRPr="00A75DF9">
              <w:rPr>
                <w:rFonts w:ascii="Tahoma" w:hAnsi="Tahoma" w:cs="Tahoma"/>
                <w:color w:val="000000"/>
              </w:rPr>
              <w:t>Project Professional 2010/2013</w:t>
            </w:r>
          </w:p>
          <w:p w:rsidR="00737AED" w:rsidRPr="00A75DF9" w:rsidRDefault="00737AED" w:rsidP="001E3357">
            <w:pPr>
              <w:pStyle w:val="appendixtabletext0"/>
              <w:rPr>
                <w:rFonts w:ascii="Tahoma" w:hAnsi="Tahoma" w:cs="Tahoma"/>
                <w:color w:val="000000"/>
              </w:rPr>
            </w:pPr>
          </w:p>
        </w:tc>
        <w:tc>
          <w:tcPr>
            <w:tcW w:w="3492" w:type="dxa"/>
            <w:tcBorders>
              <w:top w:val="nil"/>
              <w:left w:val="nil"/>
              <w:bottom w:val="single" w:sz="8" w:space="0" w:color="auto"/>
              <w:right w:val="single" w:sz="8" w:space="0" w:color="auto"/>
            </w:tcBorders>
            <w:tcMar>
              <w:top w:w="0" w:type="dxa"/>
              <w:left w:w="108" w:type="dxa"/>
              <w:bottom w:w="0" w:type="dxa"/>
              <w:right w:w="108" w:type="dxa"/>
            </w:tcMar>
            <w:vAlign w:val="center"/>
          </w:tcPr>
          <w:p w:rsidR="00CA6072" w:rsidRPr="00A75DF9" w:rsidRDefault="00CA6072" w:rsidP="001B035A">
            <w:pPr>
              <w:pStyle w:val="appendixtabletext0"/>
              <w:rPr>
                <w:rFonts w:ascii="Tahoma" w:hAnsi="Tahoma" w:cs="Tahoma"/>
              </w:rPr>
            </w:pPr>
            <w:r w:rsidRPr="00A75DF9">
              <w:rPr>
                <w:rFonts w:ascii="Tahoma" w:hAnsi="Tahoma" w:cs="Tahoma"/>
                <w:color w:val="000000"/>
              </w:rPr>
              <w:t>Project Standard 2013 HUP</w:t>
            </w:r>
          </w:p>
          <w:p w:rsidR="00CA6072" w:rsidRPr="00A75DF9" w:rsidRDefault="00CA6072" w:rsidP="001B035A">
            <w:pPr>
              <w:pStyle w:val="appendixtabletext0"/>
              <w:rPr>
                <w:rFonts w:ascii="Tahoma" w:hAnsi="Tahoma" w:cs="Tahoma"/>
                <w:color w:val="000000"/>
              </w:rPr>
            </w:pPr>
            <w:r w:rsidRPr="00A75DF9">
              <w:rPr>
                <w:rFonts w:ascii="Tahoma" w:hAnsi="Tahoma" w:cs="Tahoma"/>
                <w:color w:val="000000"/>
              </w:rPr>
              <w:t xml:space="preserve"> </w:t>
            </w:r>
          </w:p>
        </w:tc>
      </w:tr>
    </w:tbl>
    <w:p w:rsidR="00023FE7" w:rsidRPr="00A75DF9" w:rsidRDefault="00023FE7">
      <w:pPr>
        <w:pStyle w:val="AppendixBodyText"/>
        <w:ind w:left="630"/>
        <w:rPr>
          <w:rFonts w:ascii="Tahoma" w:hAnsi="Tahoma" w:cs="Tahoma"/>
        </w:rPr>
      </w:pPr>
      <w:r w:rsidRPr="00A75DF9">
        <w:rPr>
          <w:rFonts w:ascii="Tahoma" w:hAnsi="Tahoma" w:cs="Tahoma"/>
          <w:b/>
          <w:i/>
          <w:sz w:val="16"/>
          <w:szCs w:val="16"/>
        </w:rPr>
        <w:t>*</w:t>
      </w:r>
      <w:r w:rsidR="00122830">
        <w:rPr>
          <w:rFonts w:ascii="Tahoma" w:hAnsi="Tahoma" w:cs="Tahoma"/>
          <w:b/>
          <w:i/>
          <w:sz w:val="16"/>
          <w:szCs w:val="16"/>
        </w:rPr>
        <w:t xml:space="preserve"> </w:t>
      </w:r>
      <w:r w:rsidRPr="00A75DF9">
        <w:rPr>
          <w:rFonts w:ascii="Tahoma" w:hAnsi="Tahoma" w:cs="Tahoma"/>
          <w:i/>
          <w:sz w:val="16"/>
          <w:szCs w:val="16"/>
        </w:rPr>
        <w:t>La disponibilità del software Home Use Program varia in base alla regione, all</w:t>
      </w:r>
      <w:r w:rsidR="00F2643E">
        <w:rPr>
          <w:rFonts w:ascii="Tahoma" w:hAnsi="Tahoma" w:cs="Tahoma"/>
          <w:i/>
          <w:sz w:val="16"/>
          <w:szCs w:val="16"/>
        </w:rPr>
        <w:t>’</w:t>
      </w:r>
      <w:r w:rsidRPr="00A75DF9">
        <w:rPr>
          <w:rFonts w:ascii="Tahoma" w:hAnsi="Tahoma" w:cs="Tahoma"/>
          <w:i/>
          <w:sz w:val="16"/>
          <w:szCs w:val="16"/>
        </w:rPr>
        <w:t xml:space="preserve">offerta e alla lingua. </w:t>
      </w:r>
    </w:p>
    <w:p w:rsidR="00023FE7" w:rsidRPr="00A75DF9" w:rsidRDefault="00023FE7" w:rsidP="00122830">
      <w:pPr>
        <w:pStyle w:val="AppendixBodyText"/>
        <w:ind w:left="630"/>
        <w:rPr>
          <w:rFonts w:ascii="Tahoma" w:hAnsi="Tahoma" w:cs="Tahoma"/>
        </w:rPr>
      </w:pPr>
      <w:r w:rsidRPr="00A75DF9">
        <w:rPr>
          <w:rFonts w:ascii="Tahoma" w:hAnsi="Tahoma" w:cs="Tahoma"/>
          <w:i/>
          <w:sz w:val="16"/>
          <w:szCs w:val="16"/>
        </w:rPr>
        <w:t>Ulteriori informazioni, tra cui i dettagli relativi alla disponibilità futura del software aggiuntivo Home Use Program, sono reperibili all</w:t>
      </w:r>
      <w:r w:rsidR="00F2643E">
        <w:rPr>
          <w:rFonts w:ascii="Tahoma" w:hAnsi="Tahoma" w:cs="Tahoma"/>
          <w:i/>
          <w:sz w:val="16"/>
          <w:szCs w:val="16"/>
        </w:rPr>
        <w:t>’</w:t>
      </w:r>
      <w:r w:rsidRPr="00A75DF9">
        <w:rPr>
          <w:rFonts w:ascii="Tahoma" w:hAnsi="Tahoma" w:cs="Tahoma"/>
          <w:i/>
          <w:sz w:val="16"/>
          <w:szCs w:val="16"/>
        </w:rPr>
        <w:t xml:space="preserve">indirizzo </w:t>
      </w:r>
      <w:hyperlink r:id="rId22" w:history="1">
        <w:r w:rsidR="00122830">
          <w:rPr>
            <w:rStyle w:val="Hyperlink"/>
            <w:rFonts w:ascii="Tahoma" w:hAnsi="Tahoma" w:cs="Tahoma"/>
            <w:i/>
            <w:sz w:val="16"/>
            <w:szCs w:val="16"/>
          </w:rPr>
          <w:t>http://www.microsoft.com/licensing</w:t>
        </w:r>
      </w:hyperlink>
      <w:r w:rsidRPr="00A75DF9">
        <w:rPr>
          <w:rFonts w:ascii="Tahoma" w:hAnsi="Tahoma" w:cs="Tahoma"/>
          <w:i/>
          <w:sz w:val="16"/>
          <w:szCs w:val="16"/>
        </w:rPr>
        <w:t>.</w:t>
      </w:r>
    </w:p>
    <w:p w:rsidR="00023FE7" w:rsidRPr="00A75DF9" w:rsidRDefault="00023FE7">
      <w:pPr>
        <w:pStyle w:val="AppendixBodyText"/>
        <w:ind w:left="630"/>
        <w:rPr>
          <w:rFonts w:ascii="Tahoma" w:hAnsi="Tahoma" w:cs="Tahoma"/>
        </w:rPr>
      </w:pPr>
      <w:r w:rsidRPr="00A75DF9">
        <w:rPr>
          <w:rFonts w:ascii="Tahoma" w:hAnsi="Tahoma" w:cs="Tahoma"/>
          <w:i/>
          <w:sz w:val="16"/>
          <w:szCs w:val="16"/>
        </w:rPr>
        <w:t>** Nota per le società con Contratti Campus e School e Open Value Subscription-Education Solutions: fare riferimento ai contratti CASA (3.5 o versione superiore) o OVS-ES per conoscere ulteriori regole specifiche del programma.</w:t>
      </w:r>
    </w:p>
    <w:p w:rsidR="00023FE7" w:rsidRPr="00A75DF9" w:rsidRDefault="00023FE7" w:rsidP="00122830">
      <w:pPr>
        <w:ind w:left="630"/>
        <w:rPr>
          <w:rFonts w:cs="Tahoma"/>
        </w:rPr>
      </w:pPr>
      <w:r w:rsidRPr="00A75DF9">
        <w:rPr>
          <w:rFonts w:cs="Tahoma"/>
          <w:i/>
          <w:sz w:val="16"/>
          <w:szCs w:val="16"/>
        </w:rPr>
        <w:t xml:space="preserve">*** SharePoint Designer è ora un prodotto gratuito disponibile per il download facendo clic sul seguente collegamento </w:t>
      </w:r>
      <w:hyperlink r:id="rId23" w:history="1">
        <w:r w:rsidR="00122830">
          <w:rPr>
            <w:rStyle w:val="Hyperlink"/>
            <w:rFonts w:cs="Tahoma"/>
            <w:i/>
            <w:sz w:val="16"/>
            <w:szCs w:val="16"/>
          </w:rPr>
          <w:t>http://www.microsoft.com/spd</w:t>
        </w:r>
      </w:hyperlink>
    </w:p>
    <w:p w:rsidR="00CA395A" w:rsidRPr="00A75DF9" w:rsidRDefault="00CA395A" w:rsidP="008A15A8">
      <w:pPr>
        <w:outlineLvl w:val="2"/>
        <w:rPr>
          <w:rFonts w:cs="Tahoma"/>
        </w:rPr>
      </w:pPr>
      <w:bookmarkStart w:id="741" w:name="_Toc281378922"/>
    </w:p>
    <w:p w:rsidR="008A15A8" w:rsidRPr="00A75DF9" w:rsidRDefault="008A15A8" w:rsidP="002D25C8">
      <w:pPr>
        <w:outlineLvl w:val="2"/>
        <w:rPr>
          <w:rFonts w:cs="Tahoma"/>
        </w:rPr>
      </w:pPr>
      <w:r w:rsidRPr="00A75DF9">
        <w:rPr>
          <w:rFonts w:eastAsia="Calibri" w:cs="Tahoma"/>
          <w:b/>
          <w:bCs/>
          <w:sz w:val="24"/>
          <w:szCs w:val="20"/>
        </w:rPr>
        <w:t>Enterprise Source Licensing Program</w:t>
      </w:r>
      <w:bookmarkEnd w:id="741"/>
      <w:r w:rsidRPr="00A75DF9">
        <w:rPr>
          <w:rFonts w:eastAsia="Calibri" w:cs="Tahoma"/>
          <w:b/>
          <w:bCs/>
          <w:sz w:val="24"/>
          <w:szCs w:val="20"/>
        </w:rPr>
        <w:t xml:space="preserve"> </w:t>
      </w:r>
    </w:p>
    <w:p w:rsidR="001C20C9" w:rsidRPr="00A75DF9" w:rsidRDefault="001C20C9" w:rsidP="002D25C8">
      <w:pPr>
        <w:outlineLvl w:val="2"/>
        <w:rPr>
          <w:rFonts w:cs="Tahoma"/>
        </w:rPr>
      </w:pPr>
    </w:p>
    <w:p w:rsidR="008A15A8" w:rsidRPr="00A75DF9" w:rsidRDefault="008A15A8" w:rsidP="00122830">
      <w:pPr>
        <w:rPr>
          <w:rFonts w:cs="Tahoma"/>
        </w:rPr>
      </w:pPr>
      <w:r w:rsidRPr="00A75DF9">
        <w:rPr>
          <w:rFonts w:eastAsia="Calibri" w:cs="Tahoma"/>
          <w:szCs w:val="18"/>
        </w:rPr>
        <w:t>Le società con Partecipazione a Software Assurance e con 1.500 o una quantità superiore di desktop con licenza nel</w:t>
      </w:r>
      <w:r w:rsidR="00122830">
        <w:rPr>
          <w:rFonts w:eastAsia="Calibri" w:cs="Tahoma"/>
          <w:szCs w:val="18"/>
        </w:rPr>
        <w:t> </w:t>
      </w:r>
      <w:r w:rsidRPr="00A75DF9">
        <w:rPr>
          <w:rFonts w:eastAsia="Calibri" w:cs="Tahoma"/>
          <w:szCs w:val="18"/>
        </w:rPr>
        <w:t>pool di sistemi potranno essere idonee a partecipare al programma Enterprise Source Licensing Program (ESLP) durante il periodo di validità della copertura Software Assurance.</w:t>
      </w:r>
      <w:r w:rsidR="009D3B41" w:rsidRPr="00A75DF9">
        <w:rPr>
          <w:rFonts w:eastAsia="Calibri" w:cs="Tahoma"/>
          <w:szCs w:val="18"/>
        </w:rPr>
        <w:t xml:space="preserve"> </w:t>
      </w:r>
      <w:r w:rsidRPr="00A75DF9">
        <w:rPr>
          <w:rFonts w:eastAsia="Calibri" w:cs="Tahoma"/>
          <w:szCs w:val="18"/>
        </w:rPr>
        <w:t>Il programma ESLP consente l</w:t>
      </w:r>
      <w:r w:rsidR="00F2643E">
        <w:rPr>
          <w:rFonts w:eastAsia="Calibri" w:cs="Tahoma"/>
          <w:szCs w:val="18"/>
        </w:rPr>
        <w:t>’</w:t>
      </w:r>
      <w:r w:rsidRPr="00A75DF9">
        <w:rPr>
          <w:rFonts w:eastAsia="Calibri" w:cs="Tahoma"/>
          <w:szCs w:val="18"/>
        </w:rPr>
        <w:t>accesso al codice sorgente di Microsoft Windows per sviluppo e supporto interno.</w:t>
      </w:r>
      <w:r w:rsidR="009D3B41" w:rsidRPr="00A75DF9">
        <w:rPr>
          <w:rFonts w:eastAsia="Calibri" w:cs="Tahoma"/>
          <w:szCs w:val="18"/>
        </w:rPr>
        <w:t xml:space="preserve"> </w:t>
      </w:r>
      <w:r w:rsidRPr="00A75DF9">
        <w:rPr>
          <w:rFonts w:eastAsia="Calibri" w:cs="Tahoma"/>
          <w:szCs w:val="18"/>
        </w:rPr>
        <w:t>Il programma ESLP non è disponibile in tutti i paesi e</w:t>
      </w:r>
      <w:r w:rsidR="00122830">
        <w:rPr>
          <w:rFonts w:eastAsia="Calibri" w:cs="Tahoma"/>
          <w:szCs w:val="18"/>
        </w:rPr>
        <w:t> </w:t>
      </w:r>
      <w:r w:rsidRPr="00A75DF9">
        <w:rPr>
          <w:rFonts w:eastAsia="Calibri" w:cs="Tahoma"/>
          <w:szCs w:val="18"/>
        </w:rPr>
        <w:t>il vantaggio è concesso per contratto/iscrizione.</w:t>
      </w:r>
    </w:p>
    <w:p w:rsidR="00DF400D" w:rsidRPr="00A75DF9" w:rsidRDefault="00DF400D" w:rsidP="002D25C8">
      <w:pPr>
        <w:rPr>
          <w:rFonts w:cs="Tahoma"/>
        </w:rPr>
      </w:pPr>
    </w:p>
    <w:p w:rsidR="008A15A8" w:rsidRPr="00A75DF9" w:rsidRDefault="008A15A8" w:rsidP="00122830">
      <w:pPr>
        <w:rPr>
          <w:rFonts w:cs="Tahoma"/>
        </w:rPr>
      </w:pPr>
      <w:r w:rsidRPr="00A75DF9">
        <w:rPr>
          <w:rFonts w:eastAsia="Calibri" w:cs="Tahoma"/>
          <w:szCs w:val="18"/>
        </w:rPr>
        <w:lastRenderedPageBreak/>
        <w:t>Il modulo di applicazione può essere scaricato dal sito Web Volume Licensing Service Center (VLSC). L</w:t>
      </w:r>
      <w:r w:rsidR="00F2643E">
        <w:rPr>
          <w:rFonts w:eastAsia="Calibri" w:cs="Tahoma"/>
          <w:szCs w:val="18"/>
        </w:rPr>
        <w:t>’</w:t>
      </w:r>
      <w:r w:rsidRPr="00A75DF9">
        <w:rPr>
          <w:rFonts w:eastAsia="Calibri" w:cs="Tahoma"/>
          <w:szCs w:val="18"/>
        </w:rPr>
        <w:t>idoneità e</w:t>
      </w:r>
      <w:r w:rsidR="00122830">
        <w:rPr>
          <w:rFonts w:eastAsia="Calibri" w:cs="Tahoma"/>
          <w:szCs w:val="18"/>
        </w:rPr>
        <w:t> </w:t>
      </w:r>
      <w:r w:rsidRPr="00A75DF9">
        <w:rPr>
          <w:rFonts w:eastAsia="Calibri" w:cs="Tahoma"/>
          <w:szCs w:val="18"/>
        </w:rPr>
        <w:t>le</w:t>
      </w:r>
      <w:r w:rsidR="00122830">
        <w:rPr>
          <w:rFonts w:eastAsia="Calibri" w:cs="Tahoma"/>
          <w:szCs w:val="18"/>
        </w:rPr>
        <w:t> </w:t>
      </w:r>
      <w:r w:rsidRPr="00A75DF9">
        <w:rPr>
          <w:rFonts w:eastAsia="Calibri" w:cs="Tahoma"/>
          <w:szCs w:val="18"/>
        </w:rPr>
        <w:t xml:space="preserve">aree di disponibilità sono soggette alle condizioni di Microsoft (per dettagli, visitare la pagina </w:t>
      </w:r>
      <w:hyperlink r:id="rId24" w:history="1">
        <w:r w:rsidR="00122830" w:rsidRPr="002D25C8">
          <w:rPr>
            <w:rFonts w:eastAsia="Calibri" w:cs="Tahoma"/>
            <w:color w:val="0000FF"/>
            <w:szCs w:val="18"/>
            <w:u w:val="single"/>
          </w:rPr>
          <w:t>www.microsoft.com/resources/sharedsource/Licensing/Enterprise.mspx</w:t>
        </w:r>
      </w:hyperlink>
      <w:r w:rsidRPr="00A75DF9">
        <w:rPr>
          <w:rFonts w:eastAsia="Calibri" w:cs="Tahoma"/>
          <w:szCs w:val="18"/>
        </w:rPr>
        <w:t>). I programmi Academic sono idonei per</w:t>
      </w:r>
      <w:r w:rsidR="00122830">
        <w:rPr>
          <w:rFonts w:eastAsia="Calibri" w:cs="Tahoma"/>
          <w:szCs w:val="18"/>
        </w:rPr>
        <w:t> </w:t>
      </w:r>
      <w:r w:rsidRPr="00A75DF9">
        <w:rPr>
          <w:rFonts w:eastAsia="Calibri" w:cs="Tahoma"/>
          <w:szCs w:val="18"/>
        </w:rPr>
        <w:t>l</w:t>
      </w:r>
      <w:r w:rsidR="00F2643E">
        <w:rPr>
          <w:rFonts w:eastAsia="Calibri" w:cs="Tahoma"/>
          <w:szCs w:val="18"/>
        </w:rPr>
        <w:t>’</w:t>
      </w:r>
      <w:r w:rsidRPr="00A75DF9">
        <w:rPr>
          <w:rFonts w:eastAsia="Calibri" w:cs="Tahoma"/>
          <w:szCs w:val="18"/>
        </w:rPr>
        <w:t>accesso al programma Microsoft Research Source Licensing Program.</w:t>
      </w:r>
    </w:p>
    <w:p w:rsidR="008A15A8" w:rsidRPr="00122830" w:rsidRDefault="008A15A8" w:rsidP="002D25C8">
      <w:pPr>
        <w:pStyle w:val="Heading3"/>
        <w:rPr>
          <w:rFonts w:ascii="Tahoma" w:hAnsi="Tahoma" w:cs="Tahoma"/>
          <w:b w:val="0"/>
          <w:bCs/>
          <w:sz w:val="18"/>
          <w:szCs w:val="18"/>
        </w:rPr>
      </w:pPr>
    </w:p>
    <w:p w:rsidR="00023FE7" w:rsidRPr="00A75DF9" w:rsidRDefault="00023FE7" w:rsidP="002D25C8">
      <w:pPr>
        <w:pStyle w:val="Heading3"/>
        <w:rPr>
          <w:rFonts w:ascii="Tahoma" w:hAnsi="Tahoma" w:cs="Tahoma"/>
        </w:rPr>
      </w:pPr>
      <w:bookmarkStart w:id="742" w:name="_Toc336338236"/>
      <w:bookmarkStart w:id="743" w:name="_Toc368310227"/>
      <w:r w:rsidRPr="00A75DF9">
        <w:rPr>
          <w:rFonts w:ascii="Tahoma" w:hAnsi="Tahoma" w:cs="Tahoma"/>
          <w:sz w:val="24"/>
        </w:rPr>
        <w:t>Supporto per la Risoluzione dei Problemi 24x7</w:t>
      </w:r>
      <w:bookmarkEnd w:id="742"/>
      <w:bookmarkEnd w:id="743"/>
    </w:p>
    <w:p w:rsidR="00023FE7" w:rsidRPr="00A75DF9" w:rsidRDefault="00023FE7" w:rsidP="002D25C8">
      <w:pPr>
        <w:rPr>
          <w:rFonts w:cs="Tahoma"/>
        </w:rPr>
      </w:pPr>
    </w:p>
    <w:p w:rsidR="00324479" w:rsidRPr="00A75DF9" w:rsidRDefault="00324479" w:rsidP="002D25C8">
      <w:pPr>
        <w:rPr>
          <w:rFonts w:cs="Tahoma"/>
        </w:rPr>
      </w:pPr>
      <w:r w:rsidRPr="00A75DF9">
        <w:rPr>
          <w:rFonts w:cs="Tahoma"/>
          <w:szCs w:val="18"/>
        </w:rPr>
        <w:t>Le società che non siano società con contratti di Licenza Academic Select, Select Plus for Academic, Academic Open, Contratti Campus e School e Open Value Subscription - Education Solutions, ma con copertura Software Assurance, sono idonee a beneficiare del Supporto per la Risoluzione dei Problemi 24x7 durante il periodo di validità della copertura.</w:t>
      </w:r>
      <w:r w:rsidR="009D3B41" w:rsidRPr="00A75DF9">
        <w:rPr>
          <w:rFonts w:cs="Tahoma"/>
          <w:szCs w:val="18"/>
        </w:rPr>
        <w:t xml:space="preserve"> </w:t>
      </w:r>
    </w:p>
    <w:p w:rsidR="00023FE7" w:rsidRPr="00122830" w:rsidRDefault="00023FE7" w:rsidP="002D25C8">
      <w:pPr>
        <w:pStyle w:val="AppendixBodyText"/>
        <w:spacing w:after="0"/>
        <w:rPr>
          <w:rFonts w:ascii="Tahoma" w:hAnsi="Tahoma" w:cs="Tahoma"/>
          <w:sz w:val="18"/>
          <w:szCs w:val="18"/>
        </w:rPr>
      </w:pPr>
    </w:p>
    <w:p w:rsidR="00023FE7" w:rsidRPr="00122830" w:rsidRDefault="00023FE7" w:rsidP="002D25C8">
      <w:pPr>
        <w:pStyle w:val="AppendixBodyText"/>
        <w:spacing w:after="0"/>
        <w:rPr>
          <w:rFonts w:ascii="Tahoma" w:hAnsi="Tahoma" w:cs="Tahoma"/>
          <w:sz w:val="18"/>
          <w:szCs w:val="18"/>
        </w:rPr>
      </w:pPr>
      <w:r w:rsidRPr="00122830">
        <w:rPr>
          <w:rFonts w:ascii="Tahoma" w:hAnsi="Tahoma" w:cs="Tahoma"/>
          <w:sz w:val="18"/>
          <w:szCs w:val="18"/>
        </w:rPr>
        <w:t>Il servizio Supporto per la Risoluzione dei Problemi 24x7 fornisce assistenza quando, durante l</w:t>
      </w:r>
      <w:r w:rsidR="00F2643E">
        <w:rPr>
          <w:rFonts w:ascii="Tahoma" w:hAnsi="Tahoma" w:cs="Tahoma"/>
          <w:sz w:val="18"/>
          <w:szCs w:val="18"/>
        </w:rPr>
        <w:t>’</w:t>
      </w:r>
      <w:r w:rsidRPr="00122830">
        <w:rPr>
          <w:rFonts w:ascii="Tahoma" w:hAnsi="Tahoma" w:cs="Tahoma"/>
          <w:sz w:val="18"/>
          <w:szCs w:val="18"/>
        </w:rPr>
        <w:t>utilizzo dei prodotti Microsoft, si verificano problemi con sintomi specifici, la cui causa sia ragionevolmente attribuibile ai prodotti Microsoft.</w:t>
      </w:r>
      <w:r w:rsidR="009D3B41" w:rsidRPr="00122830">
        <w:rPr>
          <w:rFonts w:ascii="Tahoma" w:hAnsi="Tahoma" w:cs="Tahoma"/>
          <w:sz w:val="18"/>
          <w:szCs w:val="18"/>
        </w:rPr>
        <w:t xml:space="preserve"> </w:t>
      </w:r>
      <w:r w:rsidRPr="00122830">
        <w:rPr>
          <w:rFonts w:ascii="Tahoma" w:hAnsi="Tahoma" w:cs="Tahoma"/>
          <w:sz w:val="18"/>
          <w:szCs w:val="18"/>
        </w:rPr>
        <w:t>Microsoft porrà in essere sforzi ragionevoli per fornire assistenza alle società in caso di richieste di supporto, conformemente ai criteri di Supporto dei Prodotti Microsoft.</w:t>
      </w:r>
      <w:r w:rsidR="009D3B41" w:rsidRPr="00122830">
        <w:rPr>
          <w:rFonts w:ascii="Tahoma" w:hAnsi="Tahoma" w:cs="Tahoma"/>
          <w:sz w:val="18"/>
          <w:szCs w:val="18"/>
        </w:rPr>
        <w:t xml:space="preserve"> </w:t>
      </w:r>
      <w:r w:rsidRPr="00122830">
        <w:rPr>
          <w:rFonts w:ascii="Tahoma" w:hAnsi="Tahoma" w:cs="Tahoma"/>
          <w:sz w:val="18"/>
          <w:szCs w:val="18"/>
        </w:rPr>
        <w:t xml:space="preserve">Microsoft si riserva il diritto di rifiutare richieste irragionevoli di servizi di supporto e potrà talvolta richiedere alle società di stipulare un ulteriore contratto di servizio a un costo aggiuntivo. </w:t>
      </w:r>
    </w:p>
    <w:p w:rsidR="00023FE7" w:rsidRPr="00122830" w:rsidRDefault="00023FE7" w:rsidP="002D25C8">
      <w:pPr>
        <w:pStyle w:val="AppendixBodyText"/>
        <w:spacing w:after="0"/>
        <w:rPr>
          <w:rFonts w:ascii="Tahoma" w:hAnsi="Tahoma" w:cs="Tahoma"/>
          <w:sz w:val="18"/>
          <w:szCs w:val="18"/>
        </w:rPr>
      </w:pPr>
    </w:p>
    <w:p w:rsidR="00023FE7" w:rsidRPr="00122830" w:rsidRDefault="00023FE7" w:rsidP="00122830">
      <w:pPr>
        <w:pStyle w:val="AppendixBodyText"/>
        <w:spacing w:after="0"/>
        <w:rPr>
          <w:rFonts w:ascii="Tahoma" w:hAnsi="Tahoma" w:cs="Tahoma"/>
          <w:sz w:val="18"/>
          <w:szCs w:val="18"/>
        </w:rPr>
      </w:pPr>
      <w:r w:rsidRPr="00122830">
        <w:rPr>
          <w:rFonts w:ascii="Tahoma" w:hAnsi="Tahoma" w:cs="Tahoma"/>
          <w:sz w:val="18"/>
          <w:szCs w:val="18"/>
        </w:rPr>
        <w:t>Microsoft può aggiungere il supporto per i nuovi prodotti o interrompere il supporto per i prodotti già esistenti. Potrebbero esservi casi nei quali l</w:t>
      </w:r>
      <w:r w:rsidR="00F2643E">
        <w:rPr>
          <w:rFonts w:ascii="Tahoma" w:hAnsi="Tahoma" w:cs="Tahoma"/>
          <w:sz w:val="18"/>
          <w:szCs w:val="18"/>
        </w:rPr>
        <w:t>’</w:t>
      </w:r>
      <w:r w:rsidRPr="00122830">
        <w:rPr>
          <w:rFonts w:ascii="Tahoma" w:hAnsi="Tahoma" w:cs="Tahoma"/>
          <w:sz w:val="18"/>
          <w:szCs w:val="18"/>
        </w:rPr>
        <w:t>implementazione, da parte della società, dei prodotti Microsoft non possa di fatto</w:t>
      </w:r>
      <w:r w:rsidR="00122830">
        <w:rPr>
          <w:rFonts w:ascii="Tahoma" w:hAnsi="Tahoma" w:cs="Tahoma"/>
          <w:sz w:val="18"/>
          <w:szCs w:val="18"/>
        </w:rPr>
        <w:t> </w:t>
      </w:r>
      <w:r w:rsidRPr="00122830">
        <w:rPr>
          <w:rFonts w:ascii="Tahoma" w:hAnsi="Tahoma" w:cs="Tahoma"/>
          <w:sz w:val="18"/>
          <w:szCs w:val="18"/>
        </w:rPr>
        <w:t>essere oggetto di supporto. Qualora giunga a tale conclusione, Microsoft informerà la società, essendo tale comunicazione parte della fornitura dei servizi di supporto. Qualora la società non modifichi l</w:t>
      </w:r>
      <w:r w:rsidR="00F2643E">
        <w:rPr>
          <w:rFonts w:ascii="Tahoma" w:hAnsi="Tahoma" w:cs="Tahoma"/>
          <w:sz w:val="18"/>
          <w:szCs w:val="18"/>
        </w:rPr>
        <w:t>’</w:t>
      </w:r>
      <w:r w:rsidRPr="00122830">
        <w:rPr>
          <w:rFonts w:ascii="Tahoma" w:hAnsi="Tahoma" w:cs="Tahoma"/>
          <w:sz w:val="18"/>
          <w:szCs w:val="18"/>
        </w:rPr>
        <w:t xml:space="preserve">implementazione al fine di poterla rendere effettivamente oggetto di supporto entro i 30 giorni successivi a tale comunicazione, Microsoft non avrà alcuna obbligazione di fornire ulteriori servizi di supporto per tale implementazione. Tuttavia, Microsoft continuerà a fornire supporto per le altre implementazioni delle società coperte dalle condizioni. </w:t>
      </w:r>
    </w:p>
    <w:p w:rsidR="00DF400D" w:rsidRPr="00122830" w:rsidRDefault="00DF400D" w:rsidP="002D25C8">
      <w:pPr>
        <w:pStyle w:val="AppendixBodyText"/>
        <w:spacing w:after="0"/>
        <w:rPr>
          <w:rFonts w:ascii="Tahoma" w:hAnsi="Tahoma" w:cs="Tahoma"/>
          <w:sz w:val="18"/>
          <w:szCs w:val="18"/>
        </w:rPr>
      </w:pPr>
    </w:p>
    <w:p w:rsidR="00023FE7" w:rsidRPr="00122830" w:rsidRDefault="00023FE7" w:rsidP="002D25C8">
      <w:pPr>
        <w:pStyle w:val="AppendixBodyText"/>
        <w:spacing w:after="0"/>
        <w:rPr>
          <w:rFonts w:ascii="Tahoma" w:hAnsi="Tahoma" w:cs="Tahoma"/>
          <w:sz w:val="18"/>
          <w:szCs w:val="18"/>
        </w:rPr>
      </w:pPr>
      <w:r w:rsidRPr="00122830">
        <w:rPr>
          <w:rFonts w:ascii="Tahoma" w:hAnsi="Tahoma" w:cs="Tahoma"/>
          <w:sz w:val="18"/>
          <w:szCs w:val="18"/>
        </w:rPr>
        <w:t>Una richiesta di assistenza break-fix, definita anche intervento, è costituita da un</w:t>
      </w:r>
      <w:r w:rsidR="00F2643E">
        <w:rPr>
          <w:rFonts w:ascii="Tahoma" w:hAnsi="Tahoma" w:cs="Tahoma"/>
          <w:sz w:val="18"/>
          <w:szCs w:val="18"/>
        </w:rPr>
        <w:t>’</w:t>
      </w:r>
      <w:r w:rsidRPr="00122830">
        <w:rPr>
          <w:rFonts w:ascii="Tahoma" w:hAnsi="Tahoma" w:cs="Tahoma"/>
          <w:sz w:val="18"/>
          <w:szCs w:val="18"/>
        </w:rPr>
        <w:t>unica problematica di assistenza e dal corrispondente impegno necessario per risolverla.</w:t>
      </w:r>
      <w:r w:rsidR="009D3B41" w:rsidRPr="00122830">
        <w:rPr>
          <w:rFonts w:ascii="Tahoma" w:hAnsi="Tahoma" w:cs="Tahoma"/>
          <w:sz w:val="18"/>
          <w:szCs w:val="18"/>
        </w:rPr>
        <w:t xml:space="preserve"> </w:t>
      </w:r>
      <w:r w:rsidRPr="00122830">
        <w:rPr>
          <w:rFonts w:ascii="Tahoma" w:hAnsi="Tahoma" w:cs="Tahoma"/>
          <w:sz w:val="18"/>
          <w:szCs w:val="18"/>
        </w:rPr>
        <w:t>Un</w:t>
      </w:r>
      <w:r w:rsidR="00F2643E">
        <w:rPr>
          <w:rFonts w:ascii="Tahoma" w:hAnsi="Tahoma" w:cs="Tahoma"/>
          <w:sz w:val="18"/>
          <w:szCs w:val="18"/>
        </w:rPr>
        <w:t>’</w:t>
      </w:r>
      <w:r w:rsidRPr="00122830">
        <w:rPr>
          <w:rFonts w:ascii="Tahoma" w:hAnsi="Tahoma" w:cs="Tahoma"/>
          <w:sz w:val="18"/>
          <w:szCs w:val="18"/>
        </w:rPr>
        <w:t>unica problematica di assistenza è altresì un problema che non può essere suddiviso in problematiche subordinate.</w:t>
      </w:r>
      <w:r w:rsidR="009D3B41" w:rsidRPr="00122830">
        <w:rPr>
          <w:rFonts w:ascii="Tahoma" w:hAnsi="Tahoma" w:cs="Tahoma"/>
          <w:sz w:val="18"/>
          <w:szCs w:val="18"/>
        </w:rPr>
        <w:t xml:space="preserve"> </w:t>
      </w:r>
      <w:r w:rsidRPr="00122830">
        <w:rPr>
          <w:rFonts w:ascii="Tahoma" w:hAnsi="Tahoma" w:cs="Tahoma"/>
          <w:sz w:val="18"/>
          <w:szCs w:val="18"/>
        </w:rPr>
        <w:t>Se un problema è composto da problematiche subordinate, ogni problematica dovrà essere considerata un intervento distinto.</w:t>
      </w:r>
      <w:r w:rsidR="009D3B41" w:rsidRPr="00122830">
        <w:rPr>
          <w:rFonts w:ascii="Tahoma" w:hAnsi="Tahoma" w:cs="Tahoma"/>
          <w:sz w:val="18"/>
          <w:szCs w:val="18"/>
        </w:rPr>
        <w:t xml:space="preserve"> </w:t>
      </w:r>
      <w:r w:rsidRPr="00122830">
        <w:rPr>
          <w:rFonts w:ascii="Tahoma" w:hAnsi="Tahoma" w:cs="Tahoma"/>
          <w:sz w:val="18"/>
          <w:szCs w:val="18"/>
        </w:rPr>
        <w:t>In determinate situazioni Microsoft potrà fornire alle società una modifica al codice del prodotto software Microsoft disponibile sul mercato per risolvere problemi critici (“Hotfix”) in risposta alla richiesta di assistenza. Le Hotfix vengono sviluppate per risolvere problemi specifici delle società e non vengono sottoposte a un ciclo completo di test.</w:t>
      </w:r>
      <w:r w:rsidR="009D3B41" w:rsidRPr="00122830">
        <w:rPr>
          <w:rFonts w:ascii="Tahoma" w:hAnsi="Tahoma" w:cs="Tahoma"/>
          <w:sz w:val="18"/>
          <w:szCs w:val="18"/>
        </w:rPr>
        <w:t xml:space="preserve"> </w:t>
      </w:r>
      <w:r w:rsidRPr="00122830">
        <w:rPr>
          <w:rFonts w:ascii="Tahoma" w:hAnsi="Tahoma" w:cs="Tahoma"/>
          <w:sz w:val="18"/>
          <w:szCs w:val="18"/>
        </w:rPr>
        <w:t>Salvo diversamente specificato nel presente documento, le Hotfix non potranno essere distribuite a terzi non consociati senza il preventivo consenso scritto di Microsoft.</w:t>
      </w:r>
    </w:p>
    <w:p w:rsidR="00023FE7" w:rsidRPr="00122830" w:rsidRDefault="00023FE7" w:rsidP="002D25C8">
      <w:pPr>
        <w:pStyle w:val="AppendixBodyText"/>
        <w:spacing w:after="0"/>
        <w:rPr>
          <w:rFonts w:ascii="Tahoma" w:hAnsi="Tahoma" w:cs="Tahoma"/>
          <w:sz w:val="18"/>
          <w:szCs w:val="18"/>
        </w:rPr>
      </w:pPr>
    </w:p>
    <w:p w:rsidR="00023FE7" w:rsidRPr="00122830" w:rsidRDefault="00023FE7" w:rsidP="00122830">
      <w:pPr>
        <w:pStyle w:val="AppendixBodyText"/>
        <w:spacing w:after="0"/>
        <w:rPr>
          <w:rFonts w:ascii="Tahoma" w:hAnsi="Tahoma" w:cs="Tahoma"/>
          <w:sz w:val="18"/>
          <w:szCs w:val="18"/>
        </w:rPr>
      </w:pPr>
      <w:r w:rsidRPr="00122830">
        <w:rPr>
          <w:rFonts w:ascii="Tahoma" w:hAnsi="Tahoma" w:cs="Tahoma"/>
          <w:sz w:val="18"/>
          <w:szCs w:val="18"/>
        </w:rPr>
        <w:t xml:space="preserve">I prodotti disponibili tramite Contratti Multilicenza e che usufruiscono del Supporto Mainstream come stabilito nei </w:t>
      </w:r>
      <w:hyperlink r:id="rId25" w:history="1">
        <w:r w:rsidRPr="00122830">
          <w:rPr>
            <w:rStyle w:val="Hyperlink"/>
            <w:rFonts w:ascii="Tahoma" w:hAnsi="Tahoma" w:cs="Tahoma"/>
            <w:sz w:val="18"/>
            <w:szCs w:val="18"/>
          </w:rPr>
          <w:t>Criteri per il Ciclo di Vita del Supporto di Microsoft</w:t>
        </w:r>
      </w:hyperlink>
      <w:r w:rsidRPr="00122830">
        <w:rPr>
          <w:rFonts w:ascii="Tahoma" w:hAnsi="Tahoma" w:cs="Tahoma"/>
          <w:sz w:val="18"/>
          <w:szCs w:val="18"/>
        </w:rPr>
        <w:t xml:space="preserve"> </w:t>
      </w:r>
      <w:r w:rsidRPr="00122830">
        <w:rPr>
          <w:rFonts w:ascii="Tahoma" w:hAnsi="Tahoma" w:cs="Tahoma"/>
          <w:color w:val="000000"/>
          <w:sz w:val="18"/>
          <w:szCs w:val="18"/>
        </w:rPr>
        <w:t>sono idonei a ricevere il Supporto per la Risoluzione dei Problemi 24x7.</w:t>
      </w:r>
      <w:r w:rsidR="009D3B41" w:rsidRPr="00122830">
        <w:rPr>
          <w:rFonts w:ascii="Tahoma" w:hAnsi="Tahoma" w:cs="Tahoma"/>
          <w:color w:val="000000"/>
          <w:sz w:val="18"/>
          <w:szCs w:val="18"/>
        </w:rPr>
        <w:t xml:space="preserve"> </w:t>
      </w:r>
      <w:r w:rsidRPr="00122830">
        <w:rPr>
          <w:rFonts w:ascii="Tahoma" w:hAnsi="Tahoma" w:cs="Tahoma"/>
          <w:color w:val="000000"/>
          <w:sz w:val="18"/>
          <w:szCs w:val="18"/>
        </w:rPr>
        <w:t>L</w:t>
      </w:r>
      <w:r w:rsidR="00F2643E">
        <w:rPr>
          <w:rFonts w:ascii="Tahoma" w:hAnsi="Tahoma" w:cs="Tahoma"/>
          <w:color w:val="000000"/>
          <w:sz w:val="18"/>
          <w:szCs w:val="18"/>
        </w:rPr>
        <w:t>’</w:t>
      </w:r>
      <w:r w:rsidRPr="00122830">
        <w:rPr>
          <w:rFonts w:ascii="Tahoma" w:hAnsi="Tahoma" w:cs="Tahoma"/>
          <w:color w:val="000000"/>
          <w:sz w:val="18"/>
          <w:szCs w:val="18"/>
        </w:rPr>
        <w:t>idoneità del prodotto a ricevere supporto telefonico è collegata alla disponibilità dell</w:t>
      </w:r>
      <w:r w:rsidR="00F2643E">
        <w:rPr>
          <w:rFonts w:ascii="Tahoma" w:hAnsi="Tahoma" w:cs="Tahoma"/>
          <w:color w:val="000000"/>
          <w:sz w:val="18"/>
          <w:szCs w:val="18"/>
        </w:rPr>
        <w:t>’</w:t>
      </w:r>
      <w:r w:rsidRPr="00122830">
        <w:rPr>
          <w:rFonts w:ascii="Tahoma" w:hAnsi="Tahoma" w:cs="Tahoma"/>
          <w:color w:val="000000"/>
          <w:sz w:val="18"/>
          <w:szCs w:val="18"/>
        </w:rPr>
        <w:t>offerta Software Assurance per il prodotto stesso. Per i prodotti per i quali non è disponibile alcuna opzione Software Assurance per</w:t>
      </w:r>
      <w:r w:rsidR="00122830" w:rsidRPr="00122830">
        <w:rPr>
          <w:rFonts w:ascii="Tahoma" w:hAnsi="Tahoma" w:cs="Tahoma"/>
          <w:color w:val="000000"/>
          <w:sz w:val="18"/>
          <w:szCs w:val="18"/>
        </w:rPr>
        <w:t> </w:t>
      </w:r>
      <w:r w:rsidRPr="00122830">
        <w:rPr>
          <w:rFonts w:ascii="Tahoma" w:hAnsi="Tahoma" w:cs="Tahoma"/>
          <w:color w:val="000000"/>
          <w:sz w:val="18"/>
          <w:szCs w:val="18"/>
        </w:rPr>
        <w:t>il</w:t>
      </w:r>
      <w:r w:rsidR="00122830" w:rsidRPr="00122830">
        <w:rPr>
          <w:rFonts w:ascii="Tahoma" w:hAnsi="Tahoma" w:cs="Tahoma"/>
          <w:color w:val="000000"/>
          <w:sz w:val="18"/>
          <w:szCs w:val="18"/>
        </w:rPr>
        <w:t> </w:t>
      </w:r>
      <w:r w:rsidRPr="00122830">
        <w:rPr>
          <w:rFonts w:ascii="Tahoma" w:hAnsi="Tahoma" w:cs="Tahoma"/>
          <w:color w:val="000000"/>
          <w:sz w:val="18"/>
          <w:szCs w:val="18"/>
        </w:rPr>
        <w:t>server, ma per le CAL, la spesa SA relativa alle CAL prende in considerazione gli interventi da utilizzare per i</w:t>
      </w:r>
      <w:r w:rsidR="00122830">
        <w:rPr>
          <w:rFonts w:ascii="Tahoma" w:hAnsi="Tahoma" w:cs="Tahoma"/>
          <w:color w:val="000000"/>
          <w:sz w:val="18"/>
          <w:szCs w:val="18"/>
        </w:rPr>
        <w:t> </w:t>
      </w:r>
      <w:r w:rsidRPr="00122830">
        <w:rPr>
          <w:rFonts w:ascii="Tahoma" w:hAnsi="Tahoma" w:cs="Tahoma"/>
          <w:color w:val="000000"/>
          <w:sz w:val="18"/>
          <w:szCs w:val="18"/>
        </w:rPr>
        <w:t>prodotti idonei nella modalità indicata di seguito nella sezione Premi per Interventi Tramite Supporto Telefonico.</w:t>
      </w:r>
      <w:r w:rsidR="009D3B41" w:rsidRPr="00122830">
        <w:rPr>
          <w:rFonts w:ascii="Tahoma" w:hAnsi="Tahoma" w:cs="Tahoma"/>
          <w:color w:val="000000"/>
          <w:sz w:val="18"/>
          <w:szCs w:val="18"/>
        </w:rPr>
        <w:t xml:space="preserve"> </w:t>
      </w:r>
      <w:r w:rsidRPr="00122830">
        <w:rPr>
          <w:rFonts w:ascii="Tahoma" w:hAnsi="Tahoma" w:cs="Tahoma"/>
          <w:color w:val="000000"/>
          <w:sz w:val="18"/>
          <w:szCs w:val="18"/>
        </w:rPr>
        <w:t>Per consultare i criteri di assistenza e supporto, fare riferimento alla sezione specifica del prodotto.</w:t>
      </w:r>
      <w:r w:rsidR="009D3B41" w:rsidRPr="00122830">
        <w:rPr>
          <w:rFonts w:ascii="Tahoma" w:hAnsi="Tahoma" w:cs="Tahoma"/>
          <w:color w:val="000000"/>
          <w:sz w:val="18"/>
          <w:szCs w:val="18"/>
        </w:rPr>
        <w:t xml:space="preserve"> </w:t>
      </w:r>
      <w:r w:rsidRPr="00122830">
        <w:rPr>
          <w:rFonts w:ascii="Tahoma" w:hAnsi="Tahoma" w:cs="Tahoma"/>
          <w:color w:val="000000"/>
          <w:sz w:val="18"/>
          <w:szCs w:val="18"/>
        </w:rPr>
        <w:t>Sono idonee anche le versioni precedenti dei prodotti per cui è previsto il Supporto Mainstream e che le società scelgono di utilizzare al posto della versione con licenza in uso.</w:t>
      </w:r>
      <w:r w:rsidR="009D3B41" w:rsidRPr="00122830">
        <w:rPr>
          <w:rFonts w:ascii="Tahoma" w:hAnsi="Tahoma" w:cs="Tahoma"/>
          <w:color w:val="000000"/>
          <w:sz w:val="18"/>
          <w:szCs w:val="18"/>
        </w:rPr>
        <w:t xml:space="preserve"> </w:t>
      </w:r>
      <w:r w:rsidRPr="00122830">
        <w:rPr>
          <w:rFonts w:ascii="Tahoma" w:hAnsi="Tahoma" w:cs="Tahoma"/>
          <w:color w:val="000000"/>
          <w:sz w:val="18"/>
          <w:szCs w:val="18"/>
        </w:rPr>
        <w:t>Sono esclusi la Developer Edition di tutti i server, i prodotti HED e gli Abbonamenti MSDN.</w:t>
      </w:r>
    </w:p>
    <w:p w:rsidR="00023FE7" w:rsidRPr="00122830" w:rsidRDefault="00023FE7" w:rsidP="002D25C8">
      <w:pPr>
        <w:pStyle w:val="AppendixBodyText"/>
        <w:spacing w:after="0"/>
        <w:rPr>
          <w:rFonts w:ascii="Tahoma" w:hAnsi="Tahoma" w:cs="Tahoma"/>
          <w:sz w:val="18"/>
          <w:szCs w:val="18"/>
        </w:rPr>
      </w:pPr>
    </w:p>
    <w:p w:rsidR="00023FE7" w:rsidRPr="00122830" w:rsidRDefault="00023FE7" w:rsidP="00122830">
      <w:pPr>
        <w:pStyle w:val="AppendixBodyText"/>
        <w:spacing w:after="0"/>
        <w:rPr>
          <w:rFonts w:ascii="Tahoma" w:hAnsi="Tahoma" w:cs="Tahoma"/>
          <w:sz w:val="18"/>
          <w:szCs w:val="18"/>
        </w:rPr>
      </w:pPr>
      <w:r w:rsidRPr="00122830">
        <w:rPr>
          <w:rFonts w:ascii="Tahoma" w:hAnsi="Tahoma" w:cs="Tahoma"/>
          <w:sz w:val="18"/>
          <w:szCs w:val="18"/>
        </w:rPr>
        <w:t>Microsoft potrà utilizzare qualsiasi informazione tecnica ottenuta tramite la fornitura di servizi correlati ai suoi prodotti per la risoluzione dei problemi, il miglioramento delle funzionalità dei prodotti e i fix, nonché per la knowledge base di Microsoft. Microsoft accetta di non citare la società o divulgare informazioni riservate di quest</w:t>
      </w:r>
      <w:r w:rsidR="00F2643E">
        <w:rPr>
          <w:rFonts w:ascii="Tahoma" w:hAnsi="Tahoma" w:cs="Tahoma"/>
          <w:sz w:val="18"/>
          <w:szCs w:val="18"/>
        </w:rPr>
        <w:t>’</w:t>
      </w:r>
      <w:r w:rsidRPr="00122830">
        <w:rPr>
          <w:rFonts w:ascii="Tahoma" w:hAnsi="Tahoma" w:cs="Tahoma"/>
          <w:sz w:val="18"/>
          <w:szCs w:val="18"/>
        </w:rPr>
        <w:t>ultima in alcun articolo della knowledge base. Microsoft non è obbligata a limitare gli incarichi di lavoro futuri delle persone che hanno avuto accesso alle informazioni riservate della società. Inoltre, la società, Microsoft e tali persone sono libere di utilizzare le informazioni che tali persone ricordano relativamente all</w:t>
      </w:r>
      <w:r w:rsidR="00F2643E">
        <w:rPr>
          <w:rFonts w:ascii="Tahoma" w:hAnsi="Tahoma" w:cs="Tahoma"/>
          <w:sz w:val="18"/>
          <w:szCs w:val="18"/>
        </w:rPr>
        <w:t>’</w:t>
      </w:r>
      <w:r w:rsidRPr="00122830">
        <w:rPr>
          <w:rFonts w:ascii="Tahoma" w:hAnsi="Tahoma" w:cs="Tahoma"/>
          <w:sz w:val="18"/>
          <w:szCs w:val="18"/>
        </w:rPr>
        <w:t>information technology, inclusi idee, concetti, know-how o</w:t>
      </w:r>
      <w:r w:rsidR="00122830">
        <w:rPr>
          <w:rFonts w:ascii="Tahoma" w:hAnsi="Tahoma" w:cs="Tahoma"/>
          <w:sz w:val="18"/>
          <w:szCs w:val="18"/>
        </w:rPr>
        <w:t> </w:t>
      </w:r>
      <w:r w:rsidRPr="00122830">
        <w:rPr>
          <w:rFonts w:ascii="Tahoma" w:hAnsi="Tahoma" w:cs="Tahoma"/>
          <w:sz w:val="18"/>
          <w:szCs w:val="18"/>
        </w:rPr>
        <w:t>tecniche, a condizione che le informazioni riservate dell</w:t>
      </w:r>
      <w:r w:rsidR="00F2643E">
        <w:rPr>
          <w:rFonts w:ascii="Tahoma" w:hAnsi="Tahoma" w:cs="Tahoma"/>
          <w:sz w:val="18"/>
          <w:szCs w:val="18"/>
        </w:rPr>
        <w:t>’</w:t>
      </w:r>
      <w:r w:rsidRPr="00122830">
        <w:rPr>
          <w:rFonts w:ascii="Tahoma" w:hAnsi="Tahoma" w:cs="Tahoma"/>
          <w:sz w:val="18"/>
          <w:szCs w:val="18"/>
        </w:rPr>
        <w:t>altra parte non siano divulgate durante tale utilizzo.</w:t>
      </w:r>
    </w:p>
    <w:p w:rsidR="00023FE7" w:rsidRDefault="00023FE7" w:rsidP="002D25C8">
      <w:pPr>
        <w:pStyle w:val="AppendixBodyText"/>
        <w:spacing w:after="0"/>
        <w:rPr>
          <w:rFonts w:ascii="Tahoma" w:hAnsi="Tahoma" w:cs="Tahoma"/>
          <w:sz w:val="18"/>
          <w:szCs w:val="18"/>
        </w:rPr>
      </w:pPr>
    </w:p>
    <w:p w:rsidR="00122830" w:rsidRDefault="00122830" w:rsidP="002D25C8">
      <w:pPr>
        <w:pStyle w:val="AppendixBodyText"/>
        <w:spacing w:after="0"/>
        <w:rPr>
          <w:rFonts w:ascii="Tahoma" w:hAnsi="Tahoma" w:cs="Tahoma"/>
          <w:sz w:val="18"/>
          <w:szCs w:val="18"/>
        </w:rPr>
      </w:pPr>
    </w:p>
    <w:p w:rsidR="00122830" w:rsidRPr="00122830" w:rsidRDefault="00122830" w:rsidP="002D25C8">
      <w:pPr>
        <w:pStyle w:val="AppendixBodyText"/>
        <w:spacing w:after="0"/>
        <w:rPr>
          <w:rFonts w:ascii="Tahoma" w:hAnsi="Tahoma" w:cs="Tahoma"/>
          <w:sz w:val="18"/>
          <w:szCs w:val="18"/>
        </w:rPr>
      </w:pPr>
    </w:p>
    <w:p w:rsidR="00023FE7" w:rsidRPr="00122830" w:rsidRDefault="00023FE7" w:rsidP="002D25C8">
      <w:pPr>
        <w:pStyle w:val="AppendixBodyText"/>
        <w:spacing w:after="0"/>
        <w:rPr>
          <w:rFonts w:ascii="Tahoma" w:hAnsi="Tahoma" w:cs="Tahoma"/>
          <w:sz w:val="18"/>
          <w:szCs w:val="18"/>
        </w:rPr>
      </w:pPr>
      <w:r w:rsidRPr="00122830">
        <w:rPr>
          <w:rFonts w:ascii="Tahoma" w:hAnsi="Tahoma" w:cs="Tahoma"/>
          <w:sz w:val="18"/>
          <w:szCs w:val="18"/>
        </w:rPr>
        <w:lastRenderedPageBreak/>
        <w:t>Il diritto della società di utilizzare eventuali fix, che Microsoft potrà rendere disponibili nel corso dell</w:t>
      </w:r>
      <w:r w:rsidR="00F2643E">
        <w:rPr>
          <w:rFonts w:ascii="Tahoma" w:hAnsi="Tahoma" w:cs="Tahoma"/>
          <w:sz w:val="18"/>
          <w:szCs w:val="18"/>
        </w:rPr>
        <w:t>’</w:t>
      </w:r>
      <w:r w:rsidRPr="00122830">
        <w:rPr>
          <w:rFonts w:ascii="Tahoma" w:hAnsi="Tahoma" w:cs="Tahoma"/>
          <w:sz w:val="18"/>
          <w:szCs w:val="18"/>
        </w:rPr>
        <w:t>erogazione dei servizi, è disciplinato dal contratto di licenza per il prodotto al quale il fix fa riferimento, oppure, nel caso in cui il fix non sia fornito per un prodotto specifico, da altre condizioni definite da Microsoft. Tutti i fix forniti sono concessi in licenza alla società.</w:t>
      </w:r>
    </w:p>
    <w:p w:rsidR="00023FE7" w:rsidRPr="00122830" w:rsidRDefault="00023FE7" w:rsidP="002D25C8">
      <w:pPr>
        <w:pStyle w:val="AppendixBodyText"/>
        <w:spacing w:after="0"/>
        <w:rPr>
          <w:rFonts w:ascii="Tahoma" w:hAnsi="Tahoma" w:cs="Tahoma"/>
          <w:sz w:val="18"/>
          <w:szCs w:val="18"/>
        </w:rPr>
      </w:pPr>
    </w:p>
    <w:p w:rsidR="00023FE7" w:rsidRPr="00122830" w:rsidRDefault="00023FE7" w:rsidP="002D25C8">
      <w:pPr>
        <w:pStyle w:val="AppendixBodyText"/>
        <w:spacing w:after="0"/>
        <w:rPr>
          <w:rFonts w:ascii="Tahoma" w:hAnsi="Tahoma" w:cs="Tahoma"/>
          <w:sz w:val="18"/>
          <w:szCs w:val="18"/>
        </w:rPr>
      </w:pPr>
      <w:r w:rsidRPr="00122830">
        <w:rPr>
          <w:rFonts w:ascii="Tahoma" w:hAnsi="Tahoma" w:cs="Tahoma"/>
          <w:sz w:val="18"/>
          <w:szCs w:val="18"/>
        </w:rPr>
        <w:t>Il supporto tecnico può essere avviato formulando le richieste di intervento in formato elettronico, tramite Web o per telefono. Disposizioni diverse si applicano a ciascun tipo di strumento.</w:t>
      </w:r>
      <w:r w:rsidR="009D3B41" w:rsidRPr="00122830">
        <w:rPr>
          <w:rFonts w:ascii="Tahoma" w:hAnsi="Tahoma" w:cs="Tahoma"/>
          <w:sz w:val="18"/>
          <w:szCs w:val="18"/>
        </w:rPr>
        <w:t xml:space="preserve"> </w:t>
      </w:r>
      <w:r w:rsidRPr="00122830">
        <w:rPr>
          <w:rFonts w:ascii="Tahoma" w:hAnsi="Tahoma" w:cs="Tahoma"/>
          <w:sz w:val="18"/>
          <w:szCs w:val="18"/>
        </w:rPr>
        <w:t>Il Supporto per la Risoluzione dei Problemi 24x7 assegna alle società un determinato numero di interventi e fornisce loro i contatti a cui rivolgersi per richiedere tali interventi.</w:t>
      </w:r>
    </w:p>
    <w:p w:rsidR="00023FE7" w:rsidRPr="00122830" w:rsidRDefault="00023FE7" w:rsidP="002D25C8">
      <w:pPr>
        <w:pStyle w:val="AppendixBodyText"/>
        <w:spacing w:after="0"/>
        <w:rPr>
          <w:rFonts w:ascii="Tahoma" w:hAnsi="Tahoma" w:cs="Tahoma"/>
          <w:sz w:val="18"/>
          <w:szCs w:val="18"/>
        </w:rPr>
      </w:pPr>
    </w:p>
    <w:p w:rsidR="00023FE7" w:rsidRPr="00A75DF9" w:rsidRDefault="00023FE7" w:rsidP="0047054A">
      <w:pPr>
        <w:keepNext/>
        <w:spacing w:after="60"/>
        <w:rPr>
          <w:rFonts w:cs="Tahoma"/>
        </w:rPr>
      </w:pPr>
      <w:bookmarkStart w:id="744" w:name="_Toc240899163"/>
      <w:r w:rsidRPr="00A75DF9">
        <w:rPr>
          <w:rFonts w:cs="Tahoma"/>
          <w:b/>
          <w:szCs w:val="20"/>
        </w:rPr>
        <w:t>Premi per Interventi Tramite Supporto Telefonico</w:t>
      </w:r>
      <w:bookmarkEnd w:id="744"/>
    </w:p>
    <w:p w:rsidR="00023FE7" w:rsidRPr="004D62D9" w:rsidRDefault="00023FE7" w:rsidP="004D62D9">
      <w:pPr>
        <w:pStyle w:val="AppendixBodyText"/>
        <w:spacing w:after="0"/>
        <w:rPr>
          <w:rFonts w:ascii="Tahoma" w:hAnsi="Tahoma" w:cs="Tahoma"/>
          <w:sz w:val="18"/>
          <w:szCs w:val="18"/>
        </w:rPr>
      </w:pPr>
      <w:r w:rsidRPr="004D62D9">
        <w:rPr>
          <w:rFonts w:ascii="Tahoma" w:hAnsi="Tahoma" w:cs="Tahoma"/>
          <w:sz w:val="18"/>
          <w:szCs w:val="18"/>
        </w:rPr>
        <w:t>Il numero di interventi per cui è consentito richiedere il supporto telefonico varia da società a società, in base alla</w:t>
      </w:r>
      <w:r w:rsidR="004D62D9" w:rsidRPr="004D62D9">
        <w:rPr>
          <w:rFonts w:ascii="Tahoma" w:hAnsi="Tahoma" w:cs="Tahoma"/>
          <w:sz w:val="18"/>
          <w:szCs w:val="18"/>
        </w:rPr>
        <w:t> </w:t>
      </w:r>
      <w:r w:rsidRPr="004D62D9">
        <w:rPr>
          <w:rFonts w:ascii="Tahoma" w:hAnsi="Tahoma" w:cs="Tahoma"/>
          <w:sz w:val="18"/>
          <w:szCs w:val="18"/>
        </w:rPr>
        <w:t>spesa sostenuta per Software Assurance (SA) e all</w:t>
      </w:r>
      <w:r w:rsidR="00F2643E">
        <w:rPr>
          <w:rFonts w:ascii="Tahoma" w:hAnsi="Tahoma" w:cs="Tahoma"/>
          <w:sz w:val="18"/>
          <w:szCs w:val="18"/>
        </w:rPr>
        <w:t>’</w:t>
      </w:r>
      <w:r w:rsidRPr="004D62D9">
        <w:rPr>
          <w:rFonts w:ascii="Tahoma" w:hAnsi="Tahoma" w:cs="Tahoma"/>
          <w:sz w:val="18"/>
          <w:szCs w:val="18"/>
        </w:rPr>
        <w:t>opzione di pagamento.</w:t>
      </w:r>
      <w:r w:rsidR="009D3B41" w:rsidRPr="004D62D9">
        <w:rPr>
          <w:rFonts w:ascii="Tahoma" w:hAnsi="Tahoma" w:cs="Tahoma"/>
          <w:sz w:val="18"/>
          <w:szCs w:val="18"/>
        </w:rPr>
        <w:t xml:space="preserve"> </w:t>
      </w:r>
      <w:r w:rsidRPr="004D62D9">
        <w:rPr>
          <w:rFonts w:ascii="Tahoma" w:hAnsi="Tahoma" w:cs="Tahoma"/>
          <w:sz w:val="18"/>
          <w:szCs w:val="18"/>
        </w:rPr>
        <w:t>A questo proposito, “spesa SA” non</w:t>
      </w:r>
      <w:r w:rsidR="004D62D9" w:rsidRPr="004D62D9">
        <w:rPr>
          <w:rFonts w:ascii="Tahoma" w:hAnsi="Tahoma" w:cs="Tahoma"/>
          <w:sz w:val="18"/>
          <w:szCs w:val="18"/>
        </w:rPr>
        <w:t> </w:t>
      </w:r>
      <w:r w:rsidRPr="004D62D9">
        <w:rPr>
          <w:rFonts w:ascii="Tahoma" w:hAnsi="Tahoma" w:cs="Tahoma"/>
          <w:sz w:val="18"/>
          <w:szCs w:val="18"/>
        </w:rPr>
        <w:t>significa letteralmente i soldi effettivi spesi dalla società.</w:t>
      </w:r>
      <w:r w:rsidR="009D3B41" w:rsidRPr="004D62D9">
        <w:rPr>
          <w:rFonts w:ascii="Tahoma" w:hAnsi="Tahoma" w:cs="Tahoma"/>
          <w:sz w:val="18"/>
          <w:szCs w:val="18"/>
        </w:rPr>
        <w:t xml:space="preserve"> </w:t>
      </w:r>
      <w:r w:rsidRPr="004D62D9">
        <w:rPr>
          <w:rFonts w:ascii="Tahoma" w:hAnsi="Tahoma" w:cs="Tahoma"/>
          <w:sz w:val="18"/>
          <w:szCs w:val="18"/>
        </w:rPr>
        <w:t>Si tratta, invece, dell</w:t>
      </w:r>
      <w:r w:rsidR="00F2643E">
        <w:rPr>
          <w:rFonts w:ascii="Tahoma" w:hAnsi="Tahoma" w:cs="Tahoma"/>
          <w:sz w:val="18"/>
          <w:szCs w:val="18"/>
        </w:rPr>
        <w:t>’</w:t>
      </w:r>
      <w:r w:rsidRPr="004D62D9">
        <w:rPr>
          <w:rFonts w:ascii="Tahoma" w:hAnsi="Tahoma" w:cs="Tahoma"/>
          <w:sz w:val="18"/>
          <w:szCs w:val="18"/>
        </w:rPr>
        <w:t>importo approssimativo speso dal</w:t>
      </w:r>
      <w:r w:rsidR="004D62D9" w:rsidRPr="004D62D9">
        <w:rPr>
          <w:rFonts w:ascii="Tahoma" w:hAnsi="Tahoma" w:cs="Tahoma"/>
          <w:sz w:val="18"/>
          <w:szCs w:val="18"/>
        </w:rPr>
        <w:t> </w:t>
      </w:r>
      <w:r w:rsidRPr="004D62D9">
        <w:rPr>
          <w:rFonts w:ascii="Tahoma" w:hAnsi="Tahoma" w:cs="Tahoma"/>
          <w:sz w:val="18"/>
          <w:szCs w:val="18"/>
        </w:rPr>
        <w:t>cliente nella copertura Software Assurance per questi prodotti. Per le società che partecipano ai programmi “subscription”, rappresenta l</w:t>
      </w:r>
      <w:r w:rsidR="00F2643E">
        <w:rPr>
          <w:rFonts w:ascii="Tahoma" w:hAnsi="Tahoma" w:cs="Tahoma"/>
          <w:sz w:val="18"/>
          <w:szCs w:val="18"/>
        </w:rPr>
        <w:t>’</w:t>
      </w:r>
      <w:r w:rsidRPr="004D62D9">
        <w:rPr>
          <w:rFonts w:ascii="Tahoma" w:hAnsi="Tahoma" w:cs="Tahoma"/>
          <w:sz w:val="18"/>
          <w:szCs w:val="18"/>
        </w:rPr>
        <w:t>importo approssimativo della spesa totale che la società ha dovuto affrontare per ottenere in licenza tali prodotti ai sensi della sua iscrizione o del suo contratto.</w:t>
      </w:r>
      <w:r w:rsidR="009D3B41" w:rsidRPr="004D62D9">
        <w:rPr>
          <w:rFonts w:ascii="Tahoma" w:hAnsi="Tahoma" w:cs="Tahoma"/>
          <w:sz w:val="18"/>
          <w:szCs w:val="18"/>
        </w:rPr>
        <w:t xml:space="preserve"> </w:t>
      </w:r>
      <w:r w:rsidRPr="004D62D9">
        <w:rPr>
          <w:rFonts w:ascii="Tahoma" w:hAnsi="Tahoma" w:cs="Tahoma"/>
          <w:sz w:val="18"/>
          <w:szCs w:val="18"/>
        </w:rPr>
        <w:t>L</w:t>
      </w:r>
      <w:r w:rsidR="00F2643E">
        <w:rPr>
          <w:rFonts w:ascii="Tahoma" w:hAnsi="Tahoma" w:cs="Tahoma"/>
          <w:sz w:val="18"/>
          <w:szCs w:val="18"/>
        </w:rPr>
        <w:t>’</w:t>
      </w:r>
      <w:r w:rsidRPr="004D62D9">
        <w:rPr>
          <w:rFonts w:ascii="Tahoma" w:hAnsi="Tahoma" w:cs="Tahoma"/>
          <w:sz w:val="18"/>
          <w:szCs w:val="18"/>
        </w:rPr>
        <w:t>intervento gratuito è assegnato ai sensi dell</w:t>
      </w:r>
      <w:r w:rsidR="00F2643E">
        <w:rPr>
          <w:rFonts w:ascii="Tahoma" w:hAnsi="Tahoma" w:cs="Tahoma"/>
          <w:sz w:val="18"/>
          <w:szCs w:val="18"/>
        </w:rPr>
        <w:t>’</w:t>
      </w:r>
      <w:r w:rsidRPr="004D62D9">
        <w:rPr>
          <w:rFonts w:ascii="Tahoma" w:hAnsi="Tahoma" w:cs="Tahoma"/>
          <w:sz w:val="18"/>
          <w:szCs w:val="18"/>
        </w:rPr>
        <w:t>iscrizione Enterprise e Select, della registrazione Select Plus e del contratto Open Value con copertura SA, su almeno un prodotto software Server qualificante.</w:t>
      </w:r>
    </w:p>
    <w:p w:rsidR="00F42FB8" w:rsidRPr="004D62D9" w:rsidRDefault="00F42FB8" w:rsidP="002D25C8">
      <w:pPr>
        <w:pStyle w:val="AppendixBodyText"/>
        <w:spacing w:after="0"/>
        <w:rPr>
          <w:rFonts w:ascii="Tahoma" w:hAnsi="Tahoma" w:cs="Tahoma"/>
          <w:sz w:val="18"/>
          <w:szCs w:val="18"/>
        </w:rPr>
      </w:pPr>
    </w:p>
    <w:tbl>
      <w:tblPr>
        <w:tblW w:w="8721"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809"/>
        <w:gridCol w:w="1350"/>
        <w:gridCol w:w="2673"/>
        <w:gridCol w:w="2889"/>
      </w:tblGrid>
      <w:tr w:rsidR="00613BBB" w:rsidRPr="00A75DF9" w:rsidTr="002A6416">
        <w:trPr>
          <w:trHeight w:val="178"/>
          <w:tblHeader/>
        </w:trPr>
        <w:tc>
          <w:tcPr>
            <w:tcW w:w="1809"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A75DF9" w:rsidRDefault="00613BBB" w:rsidP="00F42FB8">
            <w:pPr>
              <w:pStyle w:val="AppendixBodyText"/>
              <w:rPr>
                <w:rFonts w:ascii="Tahoma" w:hAnsi="Tahoma" w:cs="Tahoma"/>
                <w:b/>
                <w:bCs/>
              </w:rPr>
            </w:pPr>
            <w:r w:rsidRPr="00A75DF9">
              <w:rPr>
                <w:rFonts w:ascii="Tahoma" w:hAnsi="Tahoma" w:cs="Tahoma"/>
                <w:b/>
                <w:bCs/>
              </w:rPr>
              <w:t>Denominazione Valuta</w:t>
            </w:r>
          </w:p>
        </w:tc>
        <w:tc>
          <w:tcPr>
            <w:tcW w:w="1350"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A75DF9" w:rsidRDefault="00613BBB" w:rsidP="00F42FB8">
            <w:pPr>
              <w:pStyle w:val="AppendixBodyText"/>
              <w:rPr>
                <w:rFonts w:ascii="Tahoma" w:hAnsi="Tahoma" w:cs="Tahoma"/>
                <w:b/>
                <w:bCs/>
              </w:rPr>
            </w:pPr>
            <w:r w:rsidRPr="00A75DF9">
              <w:rPr>
                <w:rFonts w:ascii="Tahoma" w:hAnsi="Tahoma" w:cs="Tahoma"/>
                <w:b/>
                <w:bCs/>
              </w:rPr>
              <w:t>Codice Valuta</w:t>
            </w:r>
          </w:p>
        </w:tc>
        <w:tc>
          <w:tcPr>
            <w:tcW w:w="2673"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A75DF9" w:rsidRDefault="00613BBB" w:rsidP="00F42FB8">
            <w:pPr>
              <w:pStyle w:val="AppendixBodyText"/>
              <w:rPr>
                <w:rFonts w:ascii="Tahoma" w:hAnsi="Tahoma" w:cs="Tahoma"/>
              </w:rPr>
            </w:pPr>
            <w:r w:rsidRPr="00A75DF9">
              <w:rPr>
                <w:rFonts w:ascii="Tahoma" w:hAnsi="Tahoma" w:cs="Tahoma"/>
                <w:b/>
                <w:bCs/>
              </w:rPr>
              <w:t>Server / CAL</w:t>
            </w:r>
          </w:p>
          <w:p w:rsidR="00613BBB" w:rsidRPr="00A75DF9" w:rsidRDefault="00613BBB" w:rsidP="00F42FB8">
            <w:pPr>
              <w:pStyle w:val="AppendixBodyText"/>
              <w:rPr>
                <w:rFonts w:ascii="Tahoma" w:hAnsi="Tahoma" w:cs="Tahoma"/>
                <w:b/>
                <w:bCs/>
              </w:rPr>
            </w:pPr>
            <w:r w:rsidRPr="00A75DF9">
              <w:rPr>
                <w:rFonts w:ascii="Tahoma" w:hAnsi="Tahoma" w:cs="Tahoma"/>
                <w:b/>
                <w:bCs/>
              </w:rPr>
              <w:t>Server/CAL</w:t>
            </w:r>
          </w:p>
        </w:tc>
        <w:tc>
          <w:tcPr>
            <w:tcW w:w="2889" w:type="dxa"/>
            <w:tcBorders>
              <w:top w:val="single" w:sz="8" w:space="0" w:color="auto"/>
              <w:left w:val="single" w:sz="8" w:space="0" w:color="auto"/>
              <w:bottom w:val="single" w:sz="8" w:space="0" w:color="auto"/>
              <w:right w:val="single" w:sz="8" w:space="0" w:color="auto"/>
            </w:tcBorders>
            <w:shd w:val="clear" w:color="auto" w:fill="FFCC99"/>
            <w:vAlign w:val="bottom"/>
          </w:tcPr>
          <w:p w:rsidR="00613BBB" w:rsidRPr="00A75DF9" w:rsidRDefault="00613BBB" w:rsidP="00F42FB8">
            <w:pPr>
              <w:pStyle w:val="AppendixBodyText"/>
              <w:rPr>
                <w:rFonts w:ascii="Tahoma" w:hAnsi="Tahoma" w:cs="Tahoma"/>
              </w:rPr>
            </w:pPr>
            <w:r w:rsidRPr="00A75DF9">
              <w:rPr>
                <w:rFonts w:ascii="Tahoma" w:hAnsi="Tahoma" w:cs="Tahoma"/>
                <w:b/>
                <w:bCs/>
              </w:rPr>
              <w:t>Incrementi Premi Interventi</w:t>
            </w:r>
          </w:p>
          <w:p w:rsidR="00613BBB" w:rsidRPr="00A75DF9" w:rsidRDefault="00613BBB" w:rsidP="00F42FB8">
            <w:pPr>
              <w:pStyle w:val="AppendixBodyText"/>
              <w:rPr>
                <w:rFonts w:ascii="Tahoma" w:hAnsi="Tahoma" w:cs="Tahoma"/>
                <w:b/>
                <w:bCs/>
              </w:rPr>
            </w:pPr>
            <w:r w:rsidRPr="00A75DF9">
              <w:rPr>
                <w:rFonts w:ascii="Tahoma" w:hAnsi="Tahoma" w:cs="Tahoma"/>
                <w:b/>
                <w:bCs/>
              </w:rPr>
              <w:t>Server/CAL</w:t>
            </w:r>
          </w:p>
        </w:tc>
      </w:tr>
      <w:tr w:rsidR="00613BBB" w:rsidRPr="00A75DF9" w:rsidTr="002A6416">
        <w:trPr>
          <w:trHeight w:val="236"/>
        </w:trPr>
        <w:tc>
          <w:tcPr>
            <w:tcW w:w="1809" w:type="dxa"/>
            <w:vAlign w:val="bottom"/>
          </w:tcPr>
          <w:p w:rsidR="00613BBB" w:rsidRPr="00A75DF9" w:rsidRDefault="00613BBB" w:rsidP="00F42FB8">
            <w:pPr>
              <w:pStyle w:val="AppendixBodyText"/>
              <w:rPr>
                <w:rFonts w:ascii="Tahoma" w:hAnsi="Tahoma" w:cs="Tahoma"/>
                <w:sz w:val="18"/>
                <w:szCs w:val="18"/>
              </w:rPr>
            </w:pPr>
            <w:r w:rsidRPr="00A75DF9">
              <w:rPr>
                <w:rFonts w:ascii="Tahoma" w:hAnsi="Tahoma" w:cs="Tahoma"/>
                <w:sz w:val="18"/>
                <w:szCs w:val="18"/>
              </w:rPr>
              <w:t>Dollaro statunitense</w:t>
            </w:r>
          </w:p>
        </w:tc>
        <w:tc>
          <w:tcPr>
            <w:tcW w:w="1350" w:type="dxa"/>
            <w:vAlign w:val="bottom"/>
          </w:tcPr>
          <w:p w:rsidR="00613BBB" w:rsidRPr="00A75DF9" w:rsidRDefault="00613BBB" w:rsidP="00F42FB8">
            <w:pPr>
              <w:pStyle w:val="AppendixBodyText"/>
              <w:rPr>
                <w:rFonts w:ascii="Tahoma" w:hAnsi="Tahoma" w:cs="Tahoma"/>
                <w:sz w:val="18"/>
                <w:szCs w:val="18"/>
              </w:rPr>
            </w:pPr>
            <w:r w:rsidRPr="00A75DF9">
              <w:rPr>
                <w:rFonts w:ascii="Tahoma" w:hAnsi="Tahoma" w:cs="Tahoma"/>
                <w:sz w:val="18"/>
                <w:szCs w:val="18"/>
              </w:rPr>
              <w:t>USD</w:t>
            </w:r>
          </w:p>
        </w:tc>
        <w:tc>
          <w:tcPr>
            <w:tcW w:w="2673" w:type="dxa"/>
            <w:vAlign w:val="bottom"/>
          </w:tcPr>
          <w:p w:rsidR="00613BBB" w:rsidRPr="00A75DF9" w:rsidRDefault="00613BBB" w:rsidP="004D62D9">
            <w:pPr>
              <w:pStyle w:val="AppendixBodyText"/>
              <w:rPr>
                <w:rFonts w:ascii="Tahoma" w:hAnsi="Tahoma" w:cs="Tahoma"/>
                <w:sz w:val="18"/>
                <w:szCs w:val="18"/>
              </w:rPr>
            </w:pPr>
            <w:r w:rsidRPr="00A75DF9">
              <w:rPr>
                <w:rFonts w:ascii="Tahoma" w:hAnsi="Tahoma" w:cs="Tahoma"/>
                <w:sz w:val="18"/>
                <w:szCs w:val="18"/>
              </w:rPr>
              <w:t>$20</w:t>
            </w:r>
            <w:r w:rsidR="004D62D9">
              <w:rPr>
                <w:rFonts w:ascii="Tahoma" w:hAnsi="Tahoma" w:cs="Tahoma"/>
                <w:sz w:val="18"/>
                <w:szCs w:val="18"/>
              </w:rPr>
              <w:t>.</w:t>
            </w:r>
            <w:r w:rsidRPr="00A75DF9">
              <w:rPr>
                <w:rFonts w:ascii="Tahoma" w:hAnsi="Tahoma" w:cs="Tahoma"/>
                <w:sz w:val="18"/>
                <w:szCs w:val="18"/>
              </w:rPr>
              <w:t>000</w:t>
            </w:r>
          </w:p>
        </w:tc>
        <w:tc>
          <w:tcPr>
            <w:tcW w:w="2889" w:type="dxa"/>
            <w:vAlign w:val="bottom"/>
          </w:tcPr>
          <w:p w:rsidR="00613BBB" w:rsidRPr="00A75DF9" w:rsidRDefault="00613BBB" w:rsidP="004D62D9">
            <w:pPr>
              <w:pStyle w:val="AppendixBodyText"/>
              <w:rPr>
                <w:rFonts w:ascii="Tahoma" w:hAnsi="Tahoma" w:cs="Tahoma"/>
                <w:sz w:val="18"/>
                <w:szCs w:val="18"/>
              </w:rPr>
            </w:pPr>
            <w:r w:rsidRPr="00A75DF9">
              <w:rPr>
                <w:rFonts w:ascii="Tahoma" w:hAnsi="Tahoma" w:cs="Tahoma"/>
                <w:sz w:val="18"/>
                <w:szCs w:val="18"/>
              </w:rPr>
              <w:t>$200</w:t>
            </w:r>
            <w:r w:rsidR="004D62D9">
              <w:rPr>
                <w:rFonts w:ascii="Tahoma" w:hAnsi="Tahoma" w:cs="Tahoma"/>
                <w:sz w:val="18"/>
                <w:szCs w:val="18"/>
              </w:rPr>
              <w:t>.</w:t>
            </w:r>
            <w:r w:rsidRPr="00A75DF9">
              <w:rPr>
                <w:rFonts w:ascii="Tahoma" w:hAnsi="Tahoma" w:cs="Tahoma"/>
                <w:sz w:val="18"/>
                <w:szCs w:val="18"/>
              </w:rPr>
              <w:t>000</w:t>
            </w:r>
          </w:p>
        </w:tc>
      </w:tr>
      <w:tr w:rsidR="00613BBB" w:rsidRPr="00A75DF9" w:rsidTr="002A6416">
        <w:trPr>
          <w:trHeight w:val="236"/>
        </w:trPr>
        <w:tc>
          <w:tcPr>
            <w:tcW w:w="1809" w:type="dxa"/>
            <w:vAlign w:val="bottom"/>
          </w:tcPr>
          <w:p w:rsidR="00613BBB" w:rsidRPr="00A75DF9" w:rsidRDefault="00613BBB" w:rsidP="00F42FB8">
            <w:pPr>
              <w:pStyle w:val="AppendixBodyText"/>
              <w:rPr>
                <w:rFonts w:ascii="Tahoma" w:hAnsi="Tahoma" w:cs="Tahoma"/>
                <w:sz w:val="18"/>
                <w:szCs w:val="18"/>
              </w:rPr>
            </w:pPr>
            <w:r w:rsidRPr="00A75DF9">
              <w:rPr>
                <w:rFonts w:ascii="Tahoma" w:hAnsi="Tahoma" w:cs="Tahoma"/>
                <w:sz w:val="18"/>
                <w:szCs w:val="18"/>
              </w:rPr>
              <w:t>Dollaro australiano</w:t>
            </w:r>
          </w:p>
        </w:tc>
        <w:tc>
          <w:tcPr>
            <w:tcW w:w="1350" w:type="dxa"/>
            <w:vAlign w:val="bottom"/>
          </w:tcPr>
          <w:p w:rsidR="00613BBB" w:rsidRPr="00A75DF9" w:rsidRDefault="00613BBB" w:rsidP="00F42FB8">
            <w:pPr>
              <w:pStyle w:val="AppendixBodyText"/>
              <w:rPr>
                <w:rFonts w:ascii="Tahoma" w:hAnsi="Tahoma" w:cs="Tahoma"/>
                <w:sz w:val="18"/>
                <w:szCs w:val="18"/>
              </w:rPr>
            </w:pPr>
            <w:r w:rsidRPr="00A75DF9">
              <w:rPr>
                <w:rFonts w:ascii="Tahoma" w:hAnsi="Tahoma" w:cs="Tahoma"/>
                <w:sz w:val="18"/>
                <w:szCs w:val="18"/>
              </w:rPr>
              <w:t>AUD</w:t>
            </w:r>
          </w:p>
        </w:tc>
        <w:tc>
          <w:tcPr>
            <w:tcW w:w="2673" w:type="dxa"/>
            <w:vAlign w:val="bottom"/>
          </w:tcPr>
          <w:p w:rsidR="00613BBB" w:rsidRPr="00A75DF9" w:rsidRDefault="00613BBB" w:rsidP="004D62D9">
            <w:pPr>
              <w:pStyle w:val="AppendixBodyText"/>
              <w:rPr>
                <w:rFonts w:ascii="Tahoma" w:hAnsi="Tahoma" w:cs="Tahoma"/>
                <w:sz w:val="18"/>
                <w:szCs w:val="18"/>
              </w:rPr>
            </w:pPr>
            <w:r w:rsidRPr="00A75DF9">
              <w:rPr>
                <w:rFonts w:ascii="Tahoma" w:hAnsi="Tahoma" w:cs="Tahoma"/>
                <w:sz w:val="18"/>
                <w:szCs w:val="18"/>
              </w:rPr>
              <w:t>30</w:t>
            </w:r>
            <w:r w:rsidR="004D62D9">
              <w:rPr>
                <w:rFonts w:ascii="Tahoma" w:hAnsi="Tahoma" w:cs="Tahoma"/>
                <w:sz w:val="18"/>
                <w:szCs w:val="18"/>
              </w:rPr>
              <w:t>.</w:t>
            </w:r>
            <w:r w:rsidRPr="00A75DF9">
              <w:rPr>
                <w:rFonts w:ascii="Tahoma" w:hAnsi="Tahoma" w:cs="Tahoma"/>
                <w:sz w:val="18"/>
                <w:szCs w:val="18"/>
              </w:rPr>
              <w:t>000</w:t>
            </w:r>
          </w:p>
        </w:tc>
        <w:tc>
          <w:tcPr>
            <w:tcW w:w="2889" w:type="dxa"/>
            <w:vAlign w:val="bottom"/>
          </w:tcPr>
          <w:p w:rsidR="00613BBB" w:rsidRPr="00A75DF9" w:rsidRDefault="00613BBB" w:rsidP="004D62D9">
            <w:pPr>
              <w:pStyle w:val="AppendixBodyText"/>
              <w:rPr>
                <w:rFonts w:ascii="Tahoma" w:hAnsi="Tahoma" w:cs="Tahoma"/>
                <w:sz w:val="18"/>
                <w:szCs w:val="18"/>
              </w:rPr>
            </w:pPr>
            <w:r w:rsidRPr="00A75DF9">
              <w:rPr>
                <w:rFonts w:ascii="Tahoma" w:hAnsi="Tahoma" w:cs="Tahoma"/>
                <w:sz w:val="18"/>
                <w:szCs w:val="18"/>
              </w:rPr>
              <w:t>300</w:t>
            </w:r>
            <w:r w:rsidR="004D62D9">
              <w:rPr>
                <w:rFonts w:ascii="Tahoma" w:hAnsi="Tahoma" w:cs="Tahoma"/>
                <w:sz w:val="18"/>
                <w:szCs w:val="18"/>
              </w:rPr>
              <w:t>.</w:t>
            </w:r>
            <w:r w:rsidRPr="00A75DF9">
              <w:rPr>
                <w:rFonts w:ascii="Tahoma" w:hAnsi="Tahoma" w:cs="Tahoma"/>
                <w:sz w:val="18"/>
                <w:szCs w:val="18"/>
              </w:rPr>
              <w:t>000</w:t>
            </w:r>
          </w:p>
        </w:tc>
      </w:tr>
      <w:tr w:rsidR="00613BBB" w:rsidRPr="00A75DF9" w:rsidTr="002A6416">
        <w:trPr>
          <w:trHeight w:val="236"/>
        </w:trPr>
        <w:tc>
          <w:tcPr>
            <w:tcW w:w="1809" w:type="dxa"/>
            <w:vAlign w:val="bottom"/>
          </w:tcPr>
          <w:p w:rsidR="00613BBB" w:rsidRPr="00A75DF9" w:rsidRDefault="00613BBB" w:rsidP="00F42FB8">
            <w:pPr>
              <w:pStyle w:val="AppendixBodyText"/>
              <w:rPr>
                <w:rFonts w:ascii="Tahoma" w:hAnsi="Tahoma" w:cs="Tahoma"/>
                <w:sz w:val="18"/>
                <w:szCs w:val="18"/>
              </w:rPr>
            </w:pPr>
            <w:r w:rsidRPr="00A75DF9">
              <w:rPr>
                <w:rFonts w:ascii="Tahoma" w:hAnsi="Tahoma" w:cs="Tahoma"/>
                <w:sz w:val="18"/>
                <w:szCs w:val="18"/>
              </w:rPr>
              <w:t>Dollaro canadese</w:t>
            </w:r>
          </w:p>
        </w:tc>
        <w:tc>
          <w:tcPr>
            <w:tcW w:w="1350" w:type="dxa"/>
            <w:vAlign w:val="bottom"/>
          </w:tcPr>
          <w:p w:rsidR="00613BBB" w:rsidRPr="00A75DF9" w:rsidRDefault="00613BBB" w:rsidP="00F42FB8">
            <w:pPr>
              <w:pStyle w:val="AppendixBodyText"/>
              <w:rPr>
                <w:rFonts w:ascii="Tahoma" w:hAnsi="Tahoma" w:cs="Tahoma"/>
                <w:sz w:val="18"/>
                <w:szCs w:val="18"/>
              </w:rPr>
            </w:pPr>
            <w:r w:rsidRPr="00A75DF9">
              <w:rPr>
                <w:rFonts w:ascii="Tahoma" w:hAnsi="Tahoma" w:cs="Tahoma"/>
                <w:sz w:val="18"/>
                <w:szCs w:val="18"/>
              </w:rPr>
              <w:t>CAD</w:t>
            </w:r>
          </w:p>
        </w:tc>
        <w:tc>
          <w:tcPr>
            <w:tcW w:w="2673" w:type="dxa"/>
            <w:vAlign w:val="bottom"/>
          </w:tcPr>
          <w:p w:rsidR="00613BBB" w:rsidRPr="00A75DF9" w:rsidRDefault="00613BBB" w:rsidP="004D62D9">
            <w:pPr>
              <w:pStyle w:val="AppendixBodyText"/>
              <w:rPr>
                <w:rFonts w:ascii="Tahoma" w:hAnsi="Tahoma" w:cs="Tahoma"/>
                <w:sz w:val="18"/>
                <w:szCs w:val="18"/>
              </w:rPr>
            </w:pPr>
            <w:r w:rsidRPr="00A75DF9">
              <w:rPr>
                <w:rFonts w:ascii="Tahoma" w:hAnsi="Tahoma" w:cs="Tahoma"/>
                <w:sz w:val="18"/>
                <w:szCs w:val="18"/>
              </w:rPr>
              <w:t>27</w:t>
            </w:r>
            <w:r w:rsidR="004D62D9">
              <w:rPr>
                <w:rFonts w:ascii="Tahoma" w:hAnsi="Tahoma" w:cs="Tahoma"/>
                <w:sz w:val="18"/>
                <w:szCs w:val="18"/>
              </w:rPr>
              <w:t>.</w:t>
            </w:r>
            <w:r w:rsidRPr="00A75DF9">
              <w:rPr>
                <w:rFonts w:ascii="Tahoma" w:hAnsi="Tahoma" w:cs="Tahoma"/>
                <w:sz w:val="18"/>
                <w:szCs w:val="18"/>
              </w:rPr>
              <w:t>000</w:t>
            </w:r>
          </w:p>
        </w:tc>
        <w:tc>
          <w:tcPr>
            <w:tcW w:w="2889" w:type="dxa"/>
            <w:vAlign w:val="bottom"/>
          </w:tcPr>
          <w:p w:rsidR="00613BBB" w:rsidRPr="00A75DF9" w:rsidRDefault="00613BBB" w:rsidP="004D62D9">
            <w:pPr>
              <w:pStyle w:val="AppendixBodyText"/>
              <w:rPr>
                <w:rFonts w:ascii="Tahoma" w:hAnsi="Tahoma" w:cs="Tahoma"/>
                <w:sz w:val="18"/>
                <w:szCs w:val="18"/>
              </w:rPr>
            </w:pPr>
            <w:r w:rsidRPr="00A75DF9">
              <w:rPr>
                <w:rFonts w:ascii="Tahoma" w:hAnsi="Tahoma" w:cs="Tahoma"/>
                <w:sz w:val="18"/>
                <w:szCs w:val="18"/>
              </w:rPr>
              <w:t>270</w:t>
            </w:r>
            <w:r w:rsidR="004D62D9">
              <w:rPr>
                <w:rFonts w:ascii="Tahoma" w:hAnsi="Tahoma" w:cs="Tahoma"/>
                <w:sz w:val="18"/>
                <w:szCs w:val="18"/>
              </w:rPr>
              <w:t>.</w:t>
            </w:r>
            <w:r w:rsidRPr="00A75DF9">
              <w:rPr>
                <w:rFonts w:ascii="Tahoma" w:hAnsi="Tahoma" w:cs="Tahoma"/>
                <w:sz w:val="18"/>
                <w:szCs w:val="18"/>
              </w:rPr>
              <w:t>000</w:t>
            </w:r>
          </w:p>
        </w:tc>
      </w:tr>
      <w:tr w:rsidR="00613BBB" w:rsidRPr="00A75DF9" w:rsidTr="002A6416">
        <w:trPr>
          <w:trHeight w:val="236"/>
        </w:trPr>
        <w:tc>
          <w:tcPr>
            <w:tcW w:w="1809" w:type="dxa"/>
            <w:vAlign w:val="bottom"/>
          </w:tcPr>
          <w:p w:rsidR="00613BBB" w:rsidRPr="00A75DF9" w:rsidRDefault="00613BBB" w:rsidP="00F42FB8">
            <w:pPr>
              <w:pStyle w:val="AppendixBodyText"/>
              <w:rPr>
                <w:rFonts w:ascii="Tahoma" w:hAnsi="Tahoma" w:cs="Tahoma"/>
                <w:sz w:val="18"/>
                <w:szCs w:val="18"/>
              </w:rPr>
            </w:pPr>
            <w:r w:rsidRPr="00A75DF9">
              <w:rPr>
                <w:rFonts w:ascii="Tahoma" w:hAnsi="Tahoma" w:cs="Tahoma"/>
                <w:sz w:val="18"/>
                <w:szCs w:val="18"/>
              </w:rPr>
              <w:t>Franco svizzero</w:t>
            </w:r>
          </w:p>
        </w:tc>
        <w:tc>
          <w:tcPr>
            <w:tcW w:w="1350" w:type="dxa"/>
            <w:vAlign w:val="bottom"/>
          </w:tcPr>
          <w:p w:rsidR="00613BBB" w:rsidRPr="00A75DF9" w:rsidRDefault="00613BBB" w:rsidP="00F42FB8">
            <w:pPr>
              <w:pStyle w:val="AppendixBodyText"/>
              <w:rPr>
                <w:rFonts w:ascii="Tahoma" w:hAnsi="Tahoma" w:cs="Tahoma"/>
                <w:sz w:val="18"/>
                <w:szCs w:val="18"/>
              </w:rPr>
            </w:pPr>
            <w:r w:rsidRPr="00A75DF9">
              <w:rPr>
                <w:rFonts w:ascii="Tahoma" w:hAnsi="Tahoma" w:cs="Tahoma"/>
                <w:sz w:val="18"/>
                <w:szCs w:val="18"/>
              </w:rPr>
              <w:t>CHF</w:t>
            </w:r>
          </w:p>
        </w:tc>
        <w:tc>
          <w:tcPr>
            <w:tcW w:w="2673" w:type="dxa"/>
            <w:vAlign w:val="bottom"/>
          </w:tcPr>
          <w:p w:rsidR="00613BBB" w:rsidRPr="00A75DF9" w:rsidRDefault="00613BBB" w:rsidP="004D62D9">
            <w:pPr>
              <w:pStyle w:val="AppendixBodyText"/>
              <w:rPr>
                <w:rFonts w:ascii="Tahoma" w:hAnsi="Tahoma" w:cs="Tahoma"/>
                <w:sz w:val="18"/>
                <w:szCs w:val="18"/>
              </w:rPr>
            </w:pPr>
            <w:r w:rsidRPr="00A75DF9">
              <w:rPr>
                <w:rFonts w:ascii="Tahoma" w:hAnsi="Tahoma" w:cs="Tahoma"/>
                <w:sz w:val="18"/>
                <w:szCs w:val="18"/>
              </w:rPr>
              <w:t>S Fr. 33</w:t>
            </w:r>
            <w:r w:rsidR="004D62D9">
              <w:rPr>
                <w:rFonts w:ascii="Tahoma" w:hAnsi="Tahoma" w:cs="Tahoma"/>
                <w:sz w:val="18"/>
                <w:szCs w:val="18"/>
              </w:rPr>
              <w:t>.</w:t>
            </w:r>
            <w:r w:rsidRPr="00A75DF9">
              <w:rPr>
                <w:rFonts w:ascii="Tahoma" w:hAnsi="Tahoma" w:cs="Tahoma"/>
                <w:sz w:val="18"/>
                <w:szCs w:val="18"/>
              </w:rPr>
              <w:t>000</w:t>
            </w:r>
          </w:p>
        </w:tc>
        <w:tc>
          <w:tcPr>
            <w:tcW w:w="2889" w:type="dxa"/>
            <w:vAlign w:val="bottom"/>
          </w:tcPr>
          <w:p w:rsidR="00613BBB" w:rsidRPr="00A75DF9" w:rsidRDefault="00613BBB" w:rsidP="004D62D9">
            <w:pPr>
              <w:pStyle w:val="AppendixBodyText"/>
              <w:rPr>
                <w:rFonts w:ascii="Tahoma" w:hAnsi="Tahoma" w:cs="Tahoma"/>
                <w:sz w:val="18"/>
                <w:szCs w:val="18"/>
              </w:rPr>
            </w:pPr>
            <w:r w:rsidRPr="00A75DF9">
              <w:rPr>
                <w:rFonts w:ascii="Tahoma" w:hAnsi="Tahoma" w:cs="Tahoma"/>
                <w:sz w:val="18"/>
                <w:szCs w:val="18"/>
              </w:rPr>
              <w:t>S Fr. 330</w:t>
            </w:r>
            <w:r w:rsidR="004D62D9">
              <w:rPr>
                <w:rFonts w:ascii="Tahoma" w:hAnsi="Tahoma" w:cs="Tahoma"/>
                <w:sz w:val="18"/>
                <w:szCs w:val="18"/>
              </w:rPr>
              <w:t>.</w:t>
            </w:r>
            <w:r w:rsidRPr="00A75DF9">
              <w:rPr>
                <w:rFonts w:ascii="Tahoma" w:hAnsi="Tahoma" w:cs="Tahoma"/>
                <w:sz w:val="18"/>
                <w:szCs w:val="18"/>
              </w:rPr>
              <w:t>000</w:t>
            </w:r>
          </w:p>
        </w:tc>
      </w:tr>
      <w:tr w:rsidR="00613BBB" w:rsidRPr="00A75DF9" w:rsidTr="002A6416">
        <w:trPr>
          <w:trHeight w:val="236"/>
        </w:trPr>
        <w:tc>
          <w:tcPr>
            <w:tcW w:w="1809" w:type="dxa"/>
            <w:vAlign w:val="bottom"/>
          </w:tcPr>
          <w:p w:rsidR="00613BBB" w:rsidRPr="00A75DF9" w:rsidRDefault="00613BBB" w:rsidP="00F42FB8">
            <w:pPr>
              <w:pStyle w:val="AppendixBodyText"/>
              <w:rPr>
                <w:rFonts w:ascii="Tahoma" w:hAnsi="Tahoma" w:cs="Tahoma"/>
                <w:sz w:val="18"/>
                <w:szCs w:val="18"/>
              </w:rPr>
            </w:pPr>
            <w:r w:rsidRPr="00A75DF9">
              <w:rPr>
                <w:rFonts w:ascii="Tahoma" w:hAnsi="Tahoma" w:cs="Tahoma"/>
                <w:sz w:val="18"/>
                <w:szCs w:val="18"/>
              </w:rPr>
              <w:t>Renminbi cinese</w:t>
            </w:r>
          </w:p>
        </w:tc>
        <w:tc>
          <w:tcPr>
            <w:tcW w:w="1350" w:type="dxa"/>
            <w:vAlign w:val="bottom"/>
          </w:tcPr>
          <w:p w:rsidR="00613BBB" w:rsidRPr="00A75DF9" w:rsidRDefault="00613BBB" w:rsidP="00F42FB8">
            <w:pPr>
              <w:pStyle w:val="AppendixBodyText"/>
              <w:rPr>
                <w:rFonts w:ascii="Tahoma" w:hAnsi="Tahoma" w:cs="Tahoma"/>
                <w:sz w:val="18"/>
                <w:szCs w:val="18"/>
              </w:rPr>
            </w:pPr>
            <w:r w:rsidRPr="00A75DF9">
              <w:rPr>
                <w:rFonts w:ascii="Tahoma" w:hAnsi="Tahoma" w:cs="Tahoma"/>
                <w:sz w:val="18"/>
                <w:szCs w:val="18"/>
              </w:rPr>
              <w:t>CNY</w:t>
            </w:r>
          </w:p>
        </w:tc>
        <w:tc>
          <w:tcPr>
            <w:tcW w:w="2673" w:type="dxa"/>
            <w:vAlign w:val="bottom"/>
          </w:tcPr>
          <w:p w:rsidR="00613BBB" w:rsidRPr="00A75DF9" w:rsidRDefault="00613BBB" w:rsidP="00F42FB8">
            <w:pPr>
              <w:pStyle w:val="AppendixBodyText"/>
              <w:rPr>
                <w:rFonts w:ascii="Tahoma" w:hAnsi="Tahoma" w:cs="Tahoma"/>
                <w:sz w:val="18"/>
                <w:szCs w:val="18"/>
              </w:rPr>
            </w:pPr>
            <w:r w:rsidRPr="00A75DF9">
              <w:rPr>
                <w:rFonts w:ascii="Tahoma" w:hAnsi="Tahoma" w:cs="Tahoma"/>
                <w:sz w:val="18"/>
                <w:szCs w:val="18"/>
              </w:rPr>
              <w:t>CRC 165.000</w:t>
            </w:r>
          </w:p>
        </w:tc>
        <w:tc>
          <w:tcPr>
            <w:tcW w:w="2889" w:type="dxa"/>
            <w:vAlign w:val="bottom"/>
          </w:tcPr>
          <w:p w:rsidR="00613BBB" w:rsidRPr="00A75DF9" w:rsidRDefault="00613BBB" w:rsidP="00F42FB8">
            <w:pPr>
              <w:pStyle w:val="AppendixBodyText"/>
              <w:rPr>
                <w:rFonts w:ascii="Tahoma" w:hAnsi="Tahoma" w:cs="Tahoma"/>
                <w:sz w:val="18"/>
                <w:szCs w:val="18"/>
              </w:rPr>
            </w:pPr>
            <w:r w:rsidRPr="00A75DF9">
              <w:rPr>
                <w:rFonts w:ascii="Tahoma" w:hAnsi="Tahoma" w:cs="Tahoma"/>
                <w:sz w:val="18"/>
                <w:szCs w:val="18"/>
              </w:rPr>
              <w:t>CRC 1.650.000</w:t>
            </w:r>
          </w:p>
        </w:tc>
      </w:tr>
      <w:tr w:rsidR="00613BBB" w:rsidRPr="00A75DF9" w:rsidTr="002A6416">
        <w:trPr>
          <w:trHeight w:val="236"/>
        </w:trPr>
        <w:tc>
          <w:tcPr>
            <w:tcW w:w="1809" w:type="dxa"/>
            <w:vAlign w:val="bottom"/>
          </w:tcPr>
          <w:p w:rsidR="00613BBB" w:rsidRPr="00A75DF9" w:rsidRDefault="00613BBB" w:rsidP="00F42FB8">
            <w:pPr>
              <w:pStyle w:val="AppendixBodyText"/>
              <w:rPr>
                <w:rFonts w:ascii="Tahoma" w:hAnsi="Tahoma" w:cs="Tahoma"/>
                <w:sz w:val="18"/>
                <w:szCs w:val="18"/>
              </w:rPr>
            </w:pPr>
            <w:r w:rsidRPr="00A75DF9">
              <w:rPr>
                <w:rFonts w:ascii="Tahoma" w:hAnsi="Tahoma" w:cs="Tahoma"/>
                <w:sz w:val="18"/>
                <w:szCs w:val="18"/>
              </w:rPr>
              <w:t>Corone Danesi</w:t>
            </w:r>
          </w:p>
        </w:tc>
        <w:tc>
          <w:tcPr>
            <w:tcW w:w="1350" w:type="dxa"/>
            <w:vAlign w:val="bottom"/>
          </w:tcPr>
          <w:p w:rsidR="00613BBB" w:rsidRPr="00A75DF9" w:rsidRDefault="00613BBB" w:rsidP="00F42FB8">
            <w:pPr>
              <w:pStyle w:val="AppendixBodyText"/>
              <w:rPr>
                <w:rFonts w:ascii="Tahoma" w:hAnsi="Tahoma" w:cs="Tahoma"/>
                <w:sz w:val="18"/>
                <w:szCs w:val="18"/>
              </w:rPr>
            </w:pPr>
            <w:r w:rsidRPr="00A75DF9">
              <w:rPr>
                <w:rFonts w:ascii="Tahoma" w:hAnsi="Tahoma" w:cs="Tahoma"/>
                <w:sz w:val="18"/>
                <w:szCs w:val="18"/>
              </w:rPr>
              <w:t>DKK</w:t>
            </w:r>
          </w:p>
        </w:tc>
        <w:tc>
          <w:tcPr>
            <w:tcW w:w="2673" w:type="dxa"/>
            <w:vAlign w:val="bottom"/>
          </w:tcPr>
          <w:p w:rsidR="00613BBB" w:rsidRPr="00A75DF9" w:rsidRDefault="00613BBB" w:rsidP="00F42FB8">
            <w:pPr>
              <w:pStyle w:val="AppendixBodyText"/>
              <w:rPr>
                <w:rFonts w:ascii="Tahoma" w:hAnsi="Tahoma" w:cs="Tahoma"/>
                <w:sz w:val="18"/>
                <w:szCs w:val="18"/>
              </w:rPr>
            </w:pPr>
            <w:r w:rsidRPr="00A75DF9">
              <w:rPr>
                <w:rFonts w:ascii="Tahoma" w:hAnsi="Tahoma" w:cs="Tahoma"/>
                <w:sz w:val="18"/>
                <w:szCs w:val="18"/>
              </w:rPr>
              <w:t>kr 160.000</w:t>
            </w:r>
          </w:p>
        </w:tc>
        <w:tc>
          <w:tcPr>
            <w:tcW w:w="2889" w:type="dxa"/>
            <w:vAlign w:val="bottom"/>
          </w:tcPr>
          <w:p w:rsidR="00613BBB" w:rsidRPr="00A75DF9" w:rsidRDefault="00613BBB" w:rsidP="00F42FB8">
            <w:pPr>
              <w:pStyle w:val="AppendixBodyText"/>
              <w:rPr>
                <w:rFonts w:ascii="Tahoma" w:hAnsi="Tahoma" w:cs="Tahoma"/>
                <w:sz w:val="18"/>
                <w:szCs w:val="18"/>
              </w:rPr>
            </w:pPr>
            <w:r w:rsidRPr="00A75DF9">
              <w:rPr>
                <w:rFonts w:ascii="Tahoma" w:hAnsi="Tahoma" w:cs="Tahoma"/>
                <w:sz w:val="18"/>
                <w:szCs w:val="18"/>
              </w:rPr>
              <w:t>kr 1.600.000</w:t>
            </w:r>
          </w:p>
        </w:tc>
      </w:tr>
      <w:tr w:rsidR="00613BBB" w:rsidRPr="00A75DF9" w:rsidTr="002A6416">
        <w:trPr>
          <w:trHeight w:val="236"/>
        </w:trPr>
        <w:tc>
          <w:tcPr>
            <w:tcW w:w="1809" w:type="dxa"/>
            <w:vAlign w:val="bottom"/>
          </w:tcPr>
          <w:p w:rsidR="00613BBB" w:rsidRPr="00A75DF9" w:rsidRDefault="00613BBB" w:rsidP="00F42FB8">
            <w:pPr>
              <w:pStyle w:val="AppendixBodyText"/>
              <w:rPr>
                <w:rFonts w:ascii="Tahoma" w:hAnsi="Tahoma" w:cs="Tahoma"/>
                <w:sz w:val="18"/>
                <w:szCs w:val="18"/>
              </w:rPr>
            </w:pPr>
            <w:r w:rsidRPr="00A75DF9">
              <w:rPr>
                <w:rFonts w:ascii="Tahoma" w:hAnsi="Tahoma" w:cs="Tahoma"/>
                <w:sz w:val="18"/>
                <w:szCs w:val="18"/>
              </w:rPr>
              <w:t>EURO</w:t>
            </w:r>
          </w:p>
        </w:tc>
        <w:tc>
          <w:tcPr>
            <w:tcW w:w="1350" w:type="dxa"/>
            <w:vAlign w:val="bottom"/>
          </w:tcPr>
          <w:p w:rsidR="00613BBB" w:rsidRPr="00A75DF9" w:rsidRDefault="00613BBB" w:rsidP="00F42FB8">
            <w:pPr>
              <w:pStyle w:val="AppendixBodyText"/>
              <w:rPr>
                <w:rFonts w:ascii="Tahoma" w:hAnsi="Tahoma" w:cs="Tahoma"/>
                <w:sz w:val="18"/>
                <w:szCs w:val="18"/>
              </w:rPr>
            </w:pPr>
            <w:r w:rsidRPr="00A75DF9">
              <w:rPr>
                <w:rFonts w:ascii="Tahoma" w:hAnsi="Tahoma" w:cs="Tahoma"/>
                <w:sz w:val="18"/>
                <w:szCs w:val="18"/>
              </w:rPr>
              <w:t>EUR</w:t>
            </w:r>
          </w:p>
        </w:tc>
        <w:tc>
          <w:tcPr>
            <w:tcW w:w="2673" w:type="dxa"/>
            <w:vAlign w:val="bottom"/>
          </w:tcPr>
          <w:p w:rsidR="00613BBB" w:rsidRPr="00A75DF9" w:rsidRDefault="00613BBB" w:rsidP="004D62D9">
            <w:pPr>
              <w:pStyle w:val="AppendixBodyText"/>
              <w:rPr>
                <w:rFonts w:ascii="Tahoma" w:hAnsi="Tahoma" w:cs="Tahoma"/>
                <w:sz w:val="18"/>
                <w:szCs w:val="18"/>
              </w:rPr>
            </w:pPr>
            <w:r w:rsidRPr="00A75DF9">
              <w:rPr>
                <w:rFonts w:ascii="Tahoma" w:hAnsi="Tahoma" w:cs="Tahoma"/>
                <w:sz w:val="18"/>
                <w:szCs w:val="18"/>
              </w:rPr>
              <w:t>21</w:t>
            </w:r>
            <w:r w:rsidR="004D62D9">
              <w:rPr>
                <w:rFonts w:ascii="Tahoma" w:hAnsi="Tahoma" w:cs="Tahoma"/>
                <w:sz w:val="18"/>
                <w:szCs w:val="18"/>
              </w:rPr>
              <w:t>.</w:t>
            </w:r>
            <w:r w:rsidRPr="00A75DF9">
              <w:rPr>
                <w:rFonts w:ascii="Tahoma" w:hAnsi="Tahoma" w:cs="Tahoma"/>
                <w:sz w:val="18"/>
                <w:szCs w:val="18"/>
              </w:rPr>
              <w:t>500</w:t>
            </w:r>
          </w:p>
        </w:tc>
        <w:tc>
          <w:tcPr>
            <w:tcW w:w="2889" w:type="dxa"/>
            <w:vAlign w:val="bottom"/>
          </w:tcPr>
          <w:p w:rsidR="00613BBB" w:rsidRPr="00A75DF9" w:rsidRDefault="00613BBB" w:rsidP="004D62D9">
            <w:pPr>
              <w:pStyle w:val="AppendixBodyText"/>
              <w:rPr>
                <w:rFonts w:ascii="Tahoma" w:hAnsi="Tahoma" w:cs="Tahoma"/>
                <w:sz w:val="18"/>
                <w:szCs w:val="18"/>
              </w:rPr>
            </w:pPr>
            <w:r w:rsidRPr="00A75DF9">
              <w:rPr>
                <w:rFonts w:ascii="Tahoma" w:hAnsi="Tahoma" w:cs="Tahoma"/>
                <w:sz w:val="18"/>
                <w:szCs w:val="18"/>
              </w:rPr>
              <w:t>215</w:t>
            </w:r>
            <w:r w:rsidR="004D62D9">
              <w:rPr>
                <w:rFonts w:ascii="Tahoma" w:hAnsi="Tahoma" w:cs="Tahoma"/>
                <w:sz w:val="18"/>
                <w:szCs w:val="18"/>
              </w:rPr>
              <w:t>.</w:t>
            </w:r>
            <w:r w:rsidRPr="00A75DF9">
              <w:rPr>
                <w:rFonts w:ascii="Tahoma" w:hAnsi="Tahoma" w:cs="Tahoma"/>
                <w:sz w:val="18"/>
                <w:szCs w:val="18"/>
              </w:rPr>
              <w:t>000</w:t>
            </w:r>
          </w:p>
        </w:tc>
      </w:tr>
      <w:tr w:rsidR="00613BBB" w:rsidRPr="00A75DF9" w:rsidTr="002A6416">
        <w:trPr>
          <w:trHeight w:val="236"/>
        </w:trPr>
        <w:tc>
          <w:tcPr>
            <w:tcW w:w="1809" w:type="dxa"/>
            <w:vAlign w:val="bottom"/>
          </w:tcPr>
          <w:p w:rsidR="00613BBB" w:rsidRPr="00A75DF9" w:rsidRDefault="00613BBB" w:rsidP="00F42FB8">
            <w:pPr>
              <w:pStyle w:val="AppendixBodyText"/>
              <w:rPr>
                <w:rFonts w:ascii="Tahoma" w:hAnsi="Tahoma" w:cs="Tahoma"/>
                <w:sz w:val="18"/>
                <w:szCs w:val="18"/>
              </w:rPr>
            </w:pPr>
            <w:r w:rsidRPr="00A75DF9">
              <w:rPr>
                <w:rFonts w:ascii="Tahoma" w:hAnsi="Tahoma" w:cs="Tahoma"/>
                <w:sz w:val="18"/>
                <w:szCs w:val="18"/>
              </w:rPr>
              <w:t>Sterlina britannica</w:t>
            </w:r>
          </w:p>
        </w:tc>
        <w:tc>
          <w:tcPr>
            <w:tcW w:w="1350" w:type="dxa"/>
            <w:vAlign w:val="bottom"/>
          </w:tcPr>
          <w:p w:rsidR="00613BBB" w:rsidRPr="00A75DF9" w:rsidRDefault="00613BBB" w:rsidP="00F42FB8">
            <w:pPr>
              <w:pStyle w:val="AppendixBodyText"/>
              <w:rPr>
                <w:rFonts w:ascii="Tahoma" w:hAnsi="Tahoma" w:cs="Tahoma"/>
                <w:sz w:val="18"/>
                <w:szCs w:val="18"/>
              </w:rPr>
            </w:pPr>
            <w:r w:rsidRPr="00A75DF9">
              <w:rPr>
                <w:rFonts w:ascii="Tahoma" w:hAnsi="Tahoma" w:cs="Tahoma"/>
                <w:sz w:val="18"/>
                <w:szCs w:val="18"/>
              </w:rPr>
              <w:t>GBP</w:t>
            </w:r>
          </w:p>
        </w:tc>
        <w:tc>
          <w:tcPr>
            <w:tcW w:w="2673" w:type="dxa"/>
            <w:vAlign w:val="bottom"/>
          </w:tcPr>
          <w:p w:rsidR="00613BBB" w:rsidRPr="00A75DF9" w:rsidRDefault="00613BBB" w:rsidP="004D62D9">
            <w:pPr>
              <w:pStyle w:val="AppendixBodyText"/>
              <w:rPr>
                <w:rFonts w:ascii="Tahoma" w:hAnsi="Tahoma" w:cs="Tahoma"/>
                <w:sz w:val="18"/>
                <w:szCs w:val="18"/>
              </w:rPr>
            </w:pPr>
            <w:r w:rsidRPr="00A75DF9">
              <w:rPr>
                <w:rFonts w:ascii="Tahoma" w:hAnsi="Tahoma" w:cs="Tahoma"/>
                <w:sz w:val="18"/>
                <w:szCs w:val="18"/>
              </w:rPr>
              <w:t>£13</w:t>
            </w:r>
            <w:r w:rsidR="004D62D9">
              <w:rPr>
                <w:rFonts w:ascii="Tahoma" w:hAnsi="Tahoma" w:cs="Tahoma"/>
                <w:sz w:val="18"/>
                <w:szCs w:val="18"/>
              </w:rPr>
              <w:t>.</w:t>
            </w:r>
            <w:r w:rsidRPr="00A75DF9">
              <w:rPr>
                <w:rFonts w:ascii="Tahoma" w:hAnsi="Tahoma" w:cs="Tahoma"/>
                <w:sz w:val="18"/>
                <w:szCs w:val="18"/>
              </w:rPr>
              <w:t>500</w:t>
            </w:r>
          </w:p>
        </w:tc>
        <w:tc>
          <w:tcPr>
            <w:tcW w:w="2889" w:type="dxa"/>
            <w:vAlign w:val="bottom"/>
          </w:tcPr>
          <w:p w:rsidR="00613BBB" w:rsidRPr="00A75DF9" w:rsidRDefault="00613BBB" w:rsidP="004D62D9">
            <w:pPr>
              <w:pStyle w:val="AppendixBodyText"/>
              <w:rPr>
                <w:rFonts w:ascii="Tahoma" w:hAnsi="Tahoma" w:cs="Tahoma"/>
                <w:sz w:val="18"/>
                <w:szCs w:val="18"/>
              </w:rPr>
            </w:pPr>
            <w:r w:rsidRPr="00A75DF9">
              <w:rPr>
                <w:rFonts w:ascii="Tahoma" w:hAnsi="Tahoma" w:cs="Tahoma"/>
                <w:sz w:val="18"/>
                <w:szCs w:val="18"/>
              </w:rPr>
              <w:t>£135</w:t>
            </w:r>
            <w:r w:rsidR="004D62D9">
              <w:rPr>
                <w:rFonts w:ascii="Tahoma" w:hAnsi="Tahoma" w:cs="Tahoma"/>
                <w:sz w:val="18"/>
                <w:szCs w:val="18"/>
              </w:rPr>
              <w:t>.</w:t>
            </w:r>
            <w:r w:rsidRPr="00A75DF9">
              <w:rPr>
                <w:rFonts w:ascii="Tahoma" w:hAnsi="Tahoma" w:cs="Tahoma"/>
                <w:sz w:val="18"/>
                <w:szCs w:val="18"/>
              </w:rPr>
              <w:t>000</w:t>
            </w:r>
          </w:p>
        </w:tc>
      </w:tr>
      <w:tr w:rsidR="00613BBB" w:rsidRPr="00A75DF9" w:rsidTr="002A6416">
        <w:trPr>
          <w:trHeight w:val="236"/>
        </w:trPr>
        <w:tc>
          <w:tcPr>
            <w:tcW w:w="1809" w:type="dxa"/>
            <w:vAlign w:val="bottom"/>
          </w:tcPr>
          <w:p w:rsidR="00613BBB" w:rsidRPr="00A75DF9" w:rsidRDefault="00613BBB" w:rsidP="00F42FB8">
            <w:pPr>
              <w:pStyle w:val="AppendixBodyText"/>
              <w:rPr>
                <w:rFonts w:ascii="Tahoma" w:hAnsi="Tahoma" w:cs="Tahoma"/>
                <w:sz w:val="18"/>
                <w:szCs w:val="18"/>
              </w:rPr>
            </w:pPr>
            <w:r w:rsidRPr="00A75DF9">
              <w:rPr>
                <w:rFonts w:ascii="Tahoma" w:hAnsi="Tahoma" w:cs="Tahoma"/>
                <w:sz w:val="18"/>
                <w:szCs w:val="18"/>
              </w:rPr>
              <w:t>Yen Giapponesi</w:t>
            </w:r>
          </w:p>
        </w:tc>
        <w:tc>
          <w:tcPr>
            <w:tcW w:w="1350" w:type="dxa"/>
            <w:vAlign w:val="bottom"/>
          </w:tcPr>
          <w:p w:rsidR="00613BBB" w:rsidRPr="00A75DF9" w:rsidRDefault="00613BBB" w:rsidP="00F42FB8">
            <w:pPr>
              <w:pStyle w:val="AppendixBodyText"/>
              <w:rPr>
                <w:rFonts w:ascii="Tahoma" w:hAnsi="Tahoma" w:cs="Tahoma"/>
                <w:sz w:val="18"/>
                <w:szCs w:val="18"/>
              </w:rPr>
            </w:pPr>
            <w:r w:rsidRPr="00A75DF9">
              <w:rPr>
                <w:rFonts w:ascii="Tahoma" w:hAnsi="Tahoma" w:cs="Tahoma"/>
                <w:sz w:val="18"/>
                <w:szCs w:val="18"/>
              </w:rPr>
              <w:t>JPY</w:t>
            </w:r>
          </w:p>
        </w:tc>
        <w:tc>
          <w:tcPr>
            <w:tcW w:w="2673" w:type="dxa"/>
            <w:vAlign w:val="bottom"/>
          </w:tcPr>
          <w:p w:rsidR="00613BBB" w:rsidRPr="00A75DF9" w:rsidRDefault="00613BBB" w:rsidP="00F42FB8">
            <w:pPr>
              <w:pStyle w:val="AppendixBodyText"/>
              <w:rPr>
                <w:rFonts w:ascii="Tahoma" w:hAnsi="Tahoma" w:cs="Tahoma"/>
                <w:sz w:val="18"/>
                <w:szCs w:val="18"/>
              </w:rPr>
            </w:pPr>
            <w:r w:rsidRPr="00A75DF9">
              <w:rPr>
                <w:rFonts w:ascii="Tahoma" w:hAnsi="Tahoma" w:cs="Tahoma"/>
                <w:sz w:val="18"/>
                <w:szCs w:val="18"/>
              </w:rPr>
              <w:t>JPY 2.400.000</w:t>
            </w:r>
          </w:p>
        </w:tc>
        <w:tc>
          <w:tcPr>
            <w:tcW w:w="2889" w:type="dxa"/>
            <w:vAlign w:val="bottom"/>
          </w:tcPr>
          <w:p w:rsidR="00613BBB" w:rsidRPr="00A75DF9" w:rsidRDefault="00613BBB" w:rsidP="00F42FB8">
            <w:pPr>
              <w:pStyle w:val="AppendixBodyText"/>
              <w:rPr>
                <w:rFonts w:ascii="Tahoma" w:hAnsi="Tahoma" w:cs="Tahoma"/>
                <w:sz w:val="18"/>
                <w:szCs w:val="18"/>
              </w:rPr>
            </w:pPr>
            <w:r w:rsidRPr="00A75DF9">
              <w:rPr>
                <w:rFonts w:ascii="Tahoma" w:hAnsi="Tahoma" w:cs="Tahoma"/>
                <w:sz w:val="18"/>
                <w:szCs w:val="18"/>
              </w:rPr>
              <w:t>JPY 24.000.000</w:t>
            </w:r>
          </w:p>
        </w:tc>
      </w:tr>
      <w:tr w:rsidR="00613BBB" w:rsidRPr="00A75DF9" w:rsidTr="002A6416">
        <w:trPr>
          <w:trHeight w:val="236"/>
        </w:trPr>
        <w:tc>
          <w:tcPr>
            <w:tcW w:w="1809" w:type="dxa"/>
            <w:vAlign w:val="bottom"/>
          </w:tcPr>
          <w:p w:rsidR="00613BBB" w:rsidRPr="00A75DF9" w:rsidRDefault="00613BBB" w:rsidP="00F42FB8">
            <w:pPr>
              <w:pStyle w:val="AppendixBodyText"/>
              <w:rPr>
                <w:rFonts w:ascii="Tahoma" w:hAnsi="Tahoma" w:cs="Tahoma"/>
                <w:sz w:val="18"/>
                <w:szCs w:val="18"/>
              </w:rPr>
            </w:pPr>
            <w:r w:rsidRPr="00A75DF9">
              <w:rPr>
                <w:rFonts w:ascii="Tahoma" w:hAnsi="Tahoma" w:cs="Tahoma"/>
                <w:sz w:val="18"/>
                <w:szCs w:val="18"/>
              </w:rPr>
              <w:t>Won Coreani</w:t>
            </w:r>
          </w:p>
        </w:tc>
        <w:tc>
          <w:tcPr>
            <w:tcW w:w="1350" w:type="dxa"/>
            <w:vAlign w:val="bottom"/>
          </w:tcPr>
          <w:p w:rsidR="00613BBB" w:rsidRPr="00A75DF9" w:rsidRDefault="00613BBB" w:rsidP="00F42FB8">
            <w:pPr>
              <w:pStyle w:val="AppendixBodyText"/>
              <w:rPr>
                <w:rFonts w:ascii="Tahoma" w:hAnsi="Tahoma" w:cs="Tahoma"/>
                <w:sz w:val="18"/>
                <w:szCs w:val="18"/>
              </w:rPr>
            </w:pPr>
            <w:r w:rsidRPr="00A75DF9">
              <w:rPr>
                <w:rFonts w:ascii="Tahoma" w:hAnsi="Tahoma" w:cs="Tahoma"/>
                <w:sz w:val="18"/>
                <w:szCs w:val="18"/>
              </w:rPr>
              <w:t>KRW</w:t>
            </w:r>
          </w:p>
        </w:tc>
        <w:tc>
          <w:tcPr>
            <w:tcW w:w="2673" w:type="dxa"/>
            <w:vAlign w:val="bottom"/>
          </w:tcPr>
          <w:p w:rsidR="00613BBB" w:rsidRPr="00A75DF9" w:rsidRDefault="00613BBB" w:rsidP="00F42FB8">
            <w:pPr>
              <w:pStyle w:val="AppendixBodyText"/>
              <w:rPr>
                <w:rFonts w:ascii="Tahoma" w:hAnsi="Tahoma" w:cs="Tahoma"/>
                <w:sz w:val="18"/>
                <w:szCs w:val="18"/>
              </w:rPr>
            </w:pPr>
            <w:r w:rsidRPr="00A75DF9">
              <w:rPr>
                <w:rFonts w:ascii="Tahoma" w:hAnsi="Tahoma" w:cs="Tahoma"/>
                <w:sz w:val="18"/>
                <w:szCs w:val="18"/>
              </w:rPr>
              <w:t>KWD 24.000.000</w:t>
            </w:r>
          </w:p>
        </w:tc>
        <w:tc>
          <w:tcPr>
            <w:tcW w:w="2889" w:type="dxa"/>
            <w:vAlign w:val="bottom"/>
          </w:tcPr>
          <w:p w:rsidR="00613BBB" w:rsidRPr="00A75DF9" w:rsidRDefault="00613BBB" w:rsidP="00F42FB8">
            <w:pPr>
              <w:pStyle w:val="AppendixBodyText"/>
              <w:rPr>
                <w:rFonts w:ascii="Tahoma" w:hAnsi="Tahoma" w:cs="Tahoma"/>
                <w:sz w:val="18"/>
                <w:szCs w:val="18"/>
              </w:rPr>
            </w:pPr>
            <w:r w:rsidRPr="00A75DF9">
              <w:rPr>
                <w:rFonts w:ascii="Tahoma" w:hAnsi="Tahoma" w:cs="Tahoma"/>
                <w:sz w:val="18"/>
                <w:szCs w:val="18"/>
              </w:rPr>
              <w:t>KWD 240.000.000</w:t>
            </w:r>
          </w:p>
        </w:tc>
      </w:tr>
      <w:tr w:rsidR="00613BBB" w:rsidRPr="00A75DF9" w:rsidTr="002A6416">
        <w:trPr>
          <w:trHeight w:val="236"/>
        </w:trPr>
        <w:tc>
          <w:tcPr>
            <w:tcW w:w="1809" w:type="dxa"/>
            <w:vAlign w:val="bottom"/>
          </w:tcPr>
          <w:p w:rsidR="00613BBB" w:rsidRPr="00A75DF9" w:rsidRDefault="00613BBB" w:rsidP="00F42FB8">
            <w:pPr>
              <w:pStyle w:val="AppendixBodyText"/>
              <w:rPr>
                <w:rFonts w:ascii="Tahoma" w:hAnsi="Tahoma" w:cs="Tahoma"/>
                <w:sz w:val="18"/>
                <w:szCs w:val="18"/>
              </w:rPr>
            </w:pPr>
            <w:r w:rsidRPr="00A75DF9">
              <w:rPr>
                <w:rFonts w:ascii="Tahoma" w:hAnsi="Tahoma" w:cs="Tahoma"/>
                <w:sz w:val="18"/>
                <w:szCs w:val="18"/>
              </w:rPr>
              <w:t>Corone Norvegesi</w:t>
            </w:r>
          </w:p>
        </w:tc>
        <w:tc>
          <w:tcPr>
            <w:tcW w:w="1350" w:type="dxa"/>
            <w:vAlign w:val="bottom"/>
          </w:tcPr>
          <w:p w:rsidR="00613BBB" w:rsidRPr="00A75DF9" w:rsidRDefault="00613BBB" w:rsidP="00F42FB8">
            <w:pPr>
              <w:pStyle w:val="AppendixBodyText"/>
              <w:rPr>
                <w:rFonts w:ascii="Tahoma" w:hAnsi="Tahoma" w:cs="Tahoma"/>
                <w:sz w:val="18"/>
                <w:szCs w:val="18"/>
              </w:rPr>
            </w:pPr>
            <w:r w:rsidRPr="00A75DF9">
              <w:rPr>
                <w:rFonts w:ascii="Tahoma" w:hAnsi="Tahoma" w:cs="Tahoma"/>
                <w:sz w:val="18"/>
                <w:szCs w:val="18"/>
              </w:rPr>
              <w:t>NOK</w:t>
            </w:r>
          </w:p>
        </w:tc>
        <w:tc>
          <w:tcPr>
            <w:tcW w:w="2673" w:type="dxa"/>
            <w:vAlign w:val="bottom"/>
          </w:tcPr>
          <w:p w:rsidR="00613BBB" w:rsidRPr="00A75DF9" w:rsidRDefault="00613BBB" w:rsidP="00F42FB8">
            <w:pPr>
              <w:pStyle w:val="AppendixBodyText"/>
              <w:rPr>
                <w:rFonts w:ascii="Tahoma" w:hAnsi="Tahoma" w:cs="Tahoma"/>
                <w:sz w:val="18"/>
                <w:szCs w:val="18"/>
              </w:rPr>
            </w:pPr>
            <w:r w:rsidRPr="00A75DF9">
              <w:rPr>
                <w:rFonts w:ascii="Tahoma" w:hAnsi="Tahoma" w:cs="Tahoma"/>
                <w:sz w:val="18"/>
                <w:szCs w:val="18"/>
              </w:rPr>
              <w:t>kr 165.000</w:t>
            </w:r>
          </w:p>
        </w:tc>
        <w:tc>
          <w:tcPr>
            <w:tcW w:w="2889" w:type="dxa"/>
            <w:vAlign w:val="bottom"/>
          </w:tcPr>
          <w:p w:rsidR="00613BBB" w:rsidRPr="00A75DF9" w:rsidRDefault="00613BBB" w:rsidP="00F42FB8">
            <w:pPr>
              <w:pStyle w:val="AppendixBodyText"/>
              <w:rPr>
                <w:rFonts w:ascii="Tahoma" w:hAnsi="Tahoma" w:cs="Tahoma"/>
                <w:sz w:val="18"/>
                <w:szCs w:val="18"/>
              </w:rPr>
            </w:pPr>
            <w:r w:rsidRPr="00A75DF9">
              <w:rPr>
                <w:rFonts w:ascii="Tahoma" w:hAnsi="Tahoma" w:cs="Tahoma"/>
                <w:sz w:val="18"/>
                <w:szCs w:val="18"/>
              </w:rPr>
              <w:t>kr 1.650.000</w:t>
            </w:r>
          </w:p>
        </w:tc>
      </w:tr>
      <w:tr w:rsidR="00613BBB" w:rsidRPr="00A75DF9" w:rsidTr="002A6416">
        <w:trPr>
          <w:trHeight w:val="236"/>
        </w:trPr>
        <w:tc>
          <w:tcPr>
            <w:tcW w:w="1809" w:type="dxa"/>
            <w:vAlign w:val="bottom"/>
          </w:tcPr>
          <w:p w:rsidR="00613BBB" w:rsidRPr="00A75DF9" w:rsidRDefault="00613BBB" w:rsidP="00F42FB8">
            <w:pPr>
              <w:pStyle w:val="AppendixBodyText"/>
              <w:rPr>
                <w:rFonts w:ascii="Tahoma" w:hAnsi="Tahoma" w:cs="Tahoma"/>
                <w:sz w:val="18"/>
                <w:szCs w:val="18"/>
              </w:rPr>
            </w:pPr>
            <w:r w:rsidRPr="00A75DF9">
              <w:rPr>
                <w:rFonts w:ascii="Tahoma" w:hAnsi="Tahoma" w:cs="Tahoma"/>
                <w:sz w:val="18"/>
                <w:szCs w:val="18"/>
              </w:rPr>
              <w:t>Dollaro neozelandese</w:t>
            </w:r>
          </w:p>
        </w:tc>
        <w:tc>
          <w:tcPr>
            <w:tcW w:w="1350" w:type="dxa"/>
            <w:vAlign w:val="bottom"/>
          </w:tcPr>
          <w:p w:rsidR="00613BBB" w:rsidRPr="00A75DF9" w:rsidRDefault="00613BBB" w:rsidP="00F42FB8">
            <w:pPr>
              <w:pStyle w:val="AppendixBodyText"/>
              <w:rPr>
                <w:rFonts w:ascii="Tahoma" w:hAnsi="Tahoma" w:cs="Tahoma"/>
                <w:sz w:val="18"/>
                <w:szCs w:val="18"/>
              </w:rPr>
            </w:pPr>
            <w:r w:rsidRPr="00A75DF9">
              <w:rPr>
                <w:rFonts w:ascii="Tahoma" w:hAnsi="Tahoma" w:cs="Tahoma"/>
                <w:sz w:val="18"/>
                <w:szCs w:val="18"/>
              </w:rPr>
              <w:t>NZD</w:t>
            </w:r>
          </w:p>
        </w:tc>
        <w:tc>
          <w:tcPr>
            <w:tcW w:w="2673" w:type="dxa"/>
            <w:vAlign w:val="bottom"/>
          </w:tcPr>
          <w:p w:rsidR="00613BBB" w:rsidRPr="00A75DF9" w:rsidRDefault="00613BBB" w:rsidP="004D62D9">
            <w:pPr>
              <w:pStyle w:val="AppendixBodyText"/>
              <w:rPr>
                <w:rFonts w:ascii="Tahoma" w:hAnsi="Tahoma" w:cs="Tahoma"/>
                <w:sz w:val="18"/>
                <w:szCs w:val="18"/>
              </w:rPr>
            </w:pPr>
            <w:r w:rsidRPr="00A75DF9">
              <w:rPr>
                <w:rFonts w:ascii="Tahoma" w:hAnsi="Tahoma" w:cs="Tahoma"/>
                <w:sz w:val="18"/>
                <w:szCs w:val="18"/>
              </w:rPr>
              <w:t>35</w:t>
            </w:r>
            <w:r w:rsidR="004D62D9">
              <w:rPr>
                <w:rFonts w:ascii="Tahoma" w:hAnsi="Tahoma" w:cs="Tahoma"/>
                <w:sz w:val="18"/>
                <w:szCs w:val="18"/>
              </w:rPr>
              <w:t>.</w:t>
            </w:r>
            <w:r w:rsidRPr="00A75DF9">
              <w:rPr>
                <w:rFonts w:ascii="Tahoma" w:hAnsi="Tahoma" w:cs="Tahoma"/>
                <w:sz w:val="18"/>
                <w:szCs w:val="18"/>
              </w:rPr>
              <w:t>000</w:t>
            </w:r>
          </w:p>
        </w:tc>
        <w:tc>
          <w:tcPr>
            <w:tcW w:w="2889" w:type="dxa"/>
            <w:vAlign w:val="bottom"/>
          </w:tcPr>
          <w:p w:rsidR="00613BBB" w:rsidRPr="00A75DF9" w:rsidRDefault="00613BBB" w:rsidP="00F42FB8">
            <w:pPr>
              <w:pStyle w:val="AppendixBodyText"/>
              <w:rPr>
                <w:rFonts w:ascii="Tahoma" w:hAnsi="Tahoma" w:cs="Tahoma"/>
                <w:sz w:val="18"/>
                <w:szCs w:val="18"/>
              </w:rPr>
            </w:pPr>
            <w:r w:rsidRPr="00A75DF9">
              <w:rPr>
                <w:rFonts w:ascii="Tahoma" w:hAnsi="Tahoma" w:cs="Tahoma"/>
                <w:sz w:val="18"/>
                <w:szCs w:val="18"/>
              </w:rPr>
              <w:t>350,000</w:t>
            </w:r>
          </w:p>
        </w:tc>
      </w:tr>
      <w:tr w:rsidR="00613BBB" w:rsidRPr="00A75DF9" w:rsidTr="002A6416">
        <w:trPr>
          <w:trHeight w:val="236"/>
        </w:trPr>
        <w:tc>
          <w:tcPr>
            <w:tcW w:w="1809" w:type="dxa"/>
            <w:vAlign w:val="bottom"/>
          </w:tcPr>
          <w:p w:rsidR="00613BBB" w:rsidRPr="00A75DF9" w:rsidRDefault="00613BBB" w:rsidP="00F42FB8">
            <w:pPr>
              <w:pStyle w:val="AppendixBodyText"/>
              <w:rPr>
                <w:rFonts w:ascii="Tahoma" w:hAnsi="Tahoma" w:cs="Tahoma"/>
                <w:sz w:val="18"/>
                <w:szCs w:val="18"/>
              </w:rPr>
            </w:pPr>
            <w:r w:rsidRPr="00A75DF9">
              <w:rPr>
                <w:rFonts w:ascii="Tahoma" w:hAnsi="Tahoma" w:cs="Tahoma"/>
                <w:sz w:val="18"/>
                <w:szCs w:val="18"/>
              </w:rPr>
              <w:t>Corone Svedesi</w:t>
            </w:r>
          </w:p>
        </w:tc>
        <w:tc>
          <w:tcPr>
            <w:tcW w:w="1350" w:type="dxa"/>
            <w:vAlign w:val="bottom"/>
          </w:tcPr>
          <w:p w:rsidR="00613BBB" w:rsidRPr="00A75DF9" w:rsidRDefault="00613BBB" w:rsidP="00F42FB8">
            <w:pPr>
              <w:pStyle w:val="AppendixBodyText"/>
              <w:rPr>
                <w:rFonts w:ascii="Tahoma" w:hAnsi="Tahoma" w:cs="Tahoma"/>
                <w:sz w:val="18"/>
                <w:szCs w:val="18"/>
              </w:rPr>
            </w:pPr>
            <w:r w:rsidRPr="00A75DF9">
              <w:rPr>
                <w:rFonts w:ascii="Tahoma" w:hAnsi="Tahoma" w:cs="Tahoma"/>
                <w:sz w:val="18"/>
                <w:szCs w:val="18"/>
              </w:rPr>
              <w:t>SEK</w:t>
            </w:r>
          </w:p>
        </w:tc>
        <w:tc>
          <w:tcPr>
            <w:tcW w:w="2673" w:type="dxa"/>
            <w:vAlign w:val="bottom"/>
          </w:tcPr>
          <w:p w:rsidR="00613BBB" w:rsidRPr="00A75DF9" w:rsidRDefault="00613BBB" w:rsidP="00F42FB8">
            <w:pPr>
              <w:pStyle w:val="AppendixBodyText"/>
              <w:rPr>
                <w:rFonts w:ascii="Tahoma" w:hAnsi="Tahoma" w:cs="Tahoma"/>
                <w:sz w:val="18"/>
                <w:szCs w:val="18"/>
              </w:rPr>
            </w:pPr>
            <w:r w:rsidRPr="00A75DF9">
              <w:rPr>
                <w:rFonts w:ascii="Tahoma" w:hAnsi="Tahoma" w:cs="Tahoma"/>
                <w:sz w:val="18"/>
                <w:szCs w:val="18"/>
              </w:rPr>
              <w:t>kr 200.000</w:t>
            </w:r>
          </w:p>
        </w:tc>
        <w:tc>
          <w:tcPr>
            <w:tcW w:w="2889" w:type="dxa"/>
            <w:vAlign w:val="bottom"/>
          </w:tcPr>
          <w:p w:rsidR="00613BBB" w:rsidRPr="00A75DF9" w:rsidRDefault="00613BBB" w:rsidP="00F42FB8">
            <w:pPr>
              <w:pStyle w:val="AppendixBodyText"/>
              <w:rPr>
                <w:rFonts w:ascii="Tahoma" w:hAnsi="Tahoma" w:cs="Tahoma"/>
                <w:sz w:val="18"/>
                <w:szCs w:val="18"/>
              </w:rPr>
            </w:pPr>
            <w:r w:rsidRPr="00A75DF9">
              <w:rPr>
                <w:rFonts w:ascii="Tahoma" w:hAnsi="Tahoma" w:cs="Tahoma"/>
                <w:sz w:val="18"/>
                <w:szCs w:val="18"/>
              </w:rPr>
              <w:t>kr 2.000.000</w:t>
            </w:r>
          </w:p>
        </w:tc>
      </w:tr>
      <w:tr w:rsidR="00613BBB" w:rsidRPr="00A75DF9" w:rsidTr="002A6416">
        <w:trPr>
          <w:trHeight w:val="236"/>
        </w:trPr>
        <w:tc>
          <w:tcPr>
            <w:tcW w:w="1809" w:type="dxa"/>
            <w:vAlign w:val="bottom"/>
          </w:tcPr>
          <w:p w:rsidR="00613BBB" w:rsidRPr="00A75DF9" w:rsidRDefault="00613BBB" w:rsidP="00F42FB8">
            <w:pPr>
              <w:pStyle w:val="AppendixBodyText"/>
              <w:rPr>
                <w:rFonts w:ascii="Tahoma" w:hAnsi="Tahoma" w:cs="Tahoma"/>
                <w:sz w:val="18"/>
                <w:szCs w:val="18"/>
              </w:rPr>
            </w:pPr>
            <w:r w:rsidRPr="00A75DF9">
              <w:rPr>
                <w:rFonts w:ascii="Tahoma" w:hAnsi="Tahoma" w:cs="Tahoma"/>
                <w:sz w:val="18"/>
                <w:szCs w:val="18"/>
              </w:rPr>
              <w:t>Nuovo dollaro taiwanese</w:t>
            </w:r>
          </w:p>
        </w:tc>
        <w:tc>
          <w:tcPr>
            <w:tcW w:w="1350" w:type="dxa"/>
            <w:vAlign w:val="bottom"/>
          </w:tcPr>
          <w:p w:rsidR="00613BBB" w:rsidRPr="00A75DF9" w:rsidRDefault="00613BBB" w:rsidP="00F42FB8">
            <w:pPr>
              <w:pStyle w:val="AppendixBodyText"/>
              <w:rPr>
                <w:rFonts w:ascii="Tahoma" w:hAnsi="Tahoma" w:cs="Tahoma"/>
                <w:sz w:val="18"/>
                <w:szCs w:val="18"/>
              </w:rPr>
            </w:pPr>
            <w:r w:rsidRPr="00A75DF9">
              <w:rPr>
                <w:rFonts w:ascii="Tahoma" w:hAnsi="Tahoma" w:cs="Tahoma"/>
                <w:sz w:val="18"/>
                <w:szCs w:val="18"/>
              </w:rPr>
              <w:t>TWD</w:t>
            </w:r>
          </w:p>
        </w:tc>
        <w:tc>
          <w:tcPr>
            <w:tcW w:w="2673" w:type="dxa"/>
            <w:vAlign w:val="bottom"/>
          </w:tcPr>
          <w:p w:rsidR="00613BBB" w:rsidRPr="00A75DF9" w:rsidRDefault="00613BBB" w:rsidP="00F42FB8">
            <w:pPr>
              <w:pStyle w:val="AppendixBodyText"/>
              <w:rPr>
                <w:rFonts w:ascii="Tahoma" w:hAnsi="Tahoma" w:cs="Tahoma"/>
                <w:sz w:val="18"/>
                <w:szCs w:val="18"/>
              </w:rPr>
            </w:pPr>
            <w:r w:rsidRPr="00A75DF9">
              <w:rPr>
                <w:rFonts w:ascii="Tahoma" w:hAnsi="Tahoma" w:cs="Tahoma"/>
                <w:sz w:val="18"/>
                <w:szCs w:val="18"/>
              </w:rPr>
              <w:t>NTD 700.000</w:t>
            </w:r>
          </w:p>
        </w:tc>
        <w:tc>
          <w:tcPr>
            <w:tcW w:w="2889" w:type="dxa"/>
            <w:vAlign w:val="bottom"/>
          </w:tcPr>
          <w:p w:rsidR="00613BBB" w:rsidRPr="00A75DF9" w:rsidRDefault="00613BBB" w:rsidP="00F42FB8">
            <w:pPr>
              <w:pStyle w:val="AppendixBodyText"/>
              <w:rPr>
                <w:rFonts w:ascii="Tahoma" w:hAnsi="Tahoma" w:cs="Tahoma"/>
                <w:sz w:val="18"/>
                <w:szCs w:val="18"/>
              </w:rPr>
            </w:pPr>
            <w:r w:rsidRPr="00A75DF9">
              <w:rPr>
                <w:rFonts w:ascii="Tahoma" w:hAnsi="Tahoma" w:cs="Tahoma"/>
                <w:sz w:val="18"/>
                <w:szCs w:val="18"/>
              </w:rPr>
              <w:t>NTD 7.000.000</w:t>
            </w:r>
          </w:p>
        </w:tc>
      </w:tr>
      <w:tr w:rsidR="004B4C79" w:rsidRPr="00A75DF9" w:rsidTr="002A6416">
        <w:trPr>
          <w:trHeight w:val="236"/>
        </w:trPr>
        <w:tc>
          <w:tcPr>
            <w:tcW w:w="1809" w:type="dxa"/>
          </w:tcPr>
          <w:p w:rsidR="004B4C79" w:rsidRPr="00A75DF9" w:rsidRDefault="004B4C79" w:rsidP="00F42FB8">
            <w:pPr>
              <w:pStyle w:val="AppendixBodyText"/>
              <w:rPr>
                <w:rFonts w:ascii="Tahoma" w:hAnsi="Tahoma" w:cs="Tahoma"/>
                <w:sz w:val="18"/>
                <w:szCs w:val="18"/>
              </w:rPr>
            </w:pPr>
            <w:r w:rsidRPr="00A75DF9">
              <w:rPr>
                <w:rFonts w:ascii="Tahoma" w:hAnsi="Tahoma" w:cs="Tahoma"/>
                <w:sz w:val="18"/>
                <w:szCs w:val="18"/>
              </w:rPr>
              <w:t>Rupia indiana</w:t>
            </w:r>
          </w:p>
        </w:tc>
        <w:tc>
          <w:tcPr>
            <w:tcW w:w="1350" w:type="dxa"/>
          </w:tcPr>
          <w:p w:rsidR="004B4C79" w:rsidRPr="00A75DF9" w:rsidRDefault="004B4C79" w:rsidP="00F42FB8">
            <w:pPr>
              <w:pStyle w:val="AppendixBodyText"/>
              <w:rPr>
                <w:rFonts w:ascii="Tahoma" w:hAnsi="Tahoma" w:cs="Tahoma"/>
                <w:sz w:val="18"/>
                <w:szCs w:val="18"/>
              </w:rPr>
            </w:pPr>
            <w:r w:rsidRPr="00A75DF9">
              <w:rPr>
                <w:rFonts w:ascii="Tahoma" w:hAnsi="Tahoma" w:cs="Tahoma"/>
                <w:sz w:val="18"/>
                <w:szCs w:val="18"/>
              </w:rPr>
              <w:t>INR</w:t>
            </w:r>
          </w:p>
        </w:tc>
        <w:tc>
          <w:tcPr>
            <w:tcW w:w="2673" w:type="dxa"/>
          </w:tcPr>
          <w:p w:rsidR="004B4C79" w:rsidRPr="00A75DF9" w:rsidRDefault="004B4C79" w:rsidP="00F42FB8">
            <w:pPr>
              <w:pStyle w:val="AppendixBodyText"/>
              <w:rPr>
                <w:rFonts w:ascii="Tahoma" w:hAnsi="Tahoma" w:cs="Tahoma"/>
                <w:sz w:val="18"/>
                <w:szCs w:val="18"/>
              </w:rPr>
            </w:pPr>
            <w:r w:rsidRPr="00A75DF9">
              <w:rPr>
                <w:rFonts w:ascii="Tahoma" w:hAnsi="Tahoma" w:cs="Tahoma"/>
                <w:sz w:val="18"/>
                <w:szCs w:val="18"/>
              </w:rPr>
              <w:t>INR 1.000.000</w:t>
            </w:r>
          </w:p>
        </w:tc>
        <w:tc>
          <w:tcPr>
            <w:tcW w:w="2889" w:type="dxa"/>
          </w:tcPr>
          <w:p w:rsidR="004B4C79" w:rsidRPr="00A75DF9" w:rsidRDefault="004B4C79" w:rsidP="00F42FB8">
            <w:pPr>
              <w:pStyle w:val="AppendixBodyText"/>
              <w:rPr>
                <w:rFonts w:ascii="Tahoma" w:hAnsi="Tahoma" w:cs="Tahoma"/>
                <w:sz w:val="18"/>
                <w:szCs w:val="18"/>
              </w:rPr>
            </w:pPr>
            <w:r w:rsidRPr="00A75DF9">
              <w:rPr>
                <w:rFonts w:ascii="Tahoma" w:hAnsi="Tahoma" w:cs="Tahoma"/>
                <w:sz w:val="18"/>
                <w:szCs w:val="18"/>
              </w:rPr>
              <w:t>INR 10.000.000</w:t>
            </w:r>
          </w:p>
        </w:tc>
      </w:tr>
      <w:tr w:rsidR="004B4C79" w:rsidRPr="00A75DF9" w:rsidTr="002A6416">
        <w:trPr>
          <w:trHeight w:val="236"/>
        </w:trPr>
        <w:tc>
          <w:tcPr>
            <w:tcW w:w="1809" w:type="dxa"/>
          </w:tcPr>
          <w:p w:rsidR="004B4C79" w:rsidRPr="00A75DF9" w:rsidRDefault="004B4C79" w:rsidP="00F42FB8">
            <w:pPr>
              <w:pStyle w:val="AppendixBodyText"/>
              <w:rPr>
                <w:rFonts w:ascii="Tahoma" w:hAnsi="Tahoma" w:cs="Tahoma"/>
                <w:sz w:val="18"/>
                <w:szCs w:val="18"/>
              </w:rPr>
            </w:pPr>
            <w:r w:rsidRPr="00A75DF9">
              <w:rPr>
                <w:rFonts w:ascii="Tahoma" w:hAnsi="Tahoma" w:cs="Tahoma"/>
                <w:sz w:val="18"/>
                <w:szCs w:val="18"/>
              </w:rPr>
              <w:t>Rublo russo</w:t>
            </w:r>
          </w:p>
        </w:tc>
        <w:tc>
          <w:tcPr>
            <w:tcW w:w="1350" w:type="dxa"/>
          </w:tcPr>
          <w:p w:rsidR="004B4C79" w:rsidRPr="00A75DF9" w:rsidRDefault="004B4C79" w:rsidP="00F42FB8">
            <w:pPr>
              <w:pStyle w:val="AppendixBodyText"/>
              <w:rPr>
                <w:rFonts w:ascii="Tahoma" w:hAnsi="Tahoma" w:cs="Tahoma"/>
                <w:sz w:val="18"/>
                <w:szCs w:val="18"/>
              </w:rPr>
            </w:pPr>
            <w:r w:rsidRPr="00A75DF9">
              <w:rPr>
                <w:rFonts w:ascii="Tahoma" w:hAnsi="Tahoma" w:cs="Tahoma"/>
                <w:sz w:val="18"/>
                <w:szCs w:val="18"/>
              </w:rPr>
              <w:t>RUB</w:t>
            </w:r>
          </w:p>
        </w:tc>
        <w:tc>
          <w:tcPr>
            <w:tcW w:w="2673" w:type="dxa"/>
          </w:tcPr>
          <w:p w:rsidR="004B4C79" w:rsidRPr="00A75DF9" w:rsidRDefault="004B4C79" w:rsidP="00F42FB8">
            <w:pPr>
              <w:pStyle w:val="AppendixBodyText"/>
              <w:rPr>
                <w:rFonts w:ascii="Tahoma" w:hAnsi="Tahoma" w:cs="Tahoma"/>
                <w:sz w:val="18"/>
                <w:szCs w:val="18"/>
              </w:rPr>
            </w:pPr>
            <w:r w:rsidRPr="00A75DF9">
              <w:rPr>
                <w:rFonts w:ascii="Tahoma" w:hAnsi="Tahoma" w:cs="Tahoma"/>
                <w:sz w:val="18"/>
                <w:szCs w:val="18"/>
              </w:rPr>
              <w:t>RUB 660.000</w:t>
            </w:r>
          </w:p>
        </w:tc>
        <w:tc>
          <w:tcPr>
            <w:tcW w:w="2889" w:type="dxa"/>
          </w:tcPr>
          <w:p w:rsidR="004B4C79" w:rsidRPr="00A75DF9" w:rsidRDefault="004B4C79" w:rsidP="00F42FB8">
            <w:pPr>
              <w:pStyle w:val="AppendixBodyText"/>
              <w:rPr>
                <w:rFonts w:ascii="Tahoma" w:hAnsi="Tahoma" w:cs="Tahoma"/>
                <w:sz w:val="18"/>
                <w:szCs w:val="18"/>
              </w:rPr>
            </w:pPr>
            <w:r w:rsidRPr="00A75DF9">
              <w:rPr>
                <w:rFonts w:ascii="Tahoma" w:hAnsi="Tahoma" w:cs="Tahoma"/>
                <w:sz w:val="18"/>
                <w:szCs w:val="18"/>
              </w:rPr>
              <w:t>RUB 6.600.000</w:t>
            </w:r>
          </w:p>
        </w:tc>
      </w:tr>
    </w:tbl>
    <w:p w:rsidR="00023FE7" w:rsidRPr="004D62D9" w:rsidRDefault="00023FE7" w:rsidP="00F93617">
      <w:pPr>
        <w:pStyle w:val="AppendixBodyText"/>
        <w:spacing w:after="0"/>
        <w:rPr>
          <w:rFonts w:ascii="Tahoma" w:hAnsi="Tahoma" w:cs="Tahoma"/>
          <w:sz w:val="18"/>
          <w:szCs w:val="18"/>
        </w:rPr>
      </w:pPr>
    </w:p>
    <w:p w:rsidR="00023FE7" w:rsidRPr="004D62D9" w:rsidRDefault="00023FE7" w:rsidP="004D62D9">
      <w:pPr>
        <w:pStyle w:val="AppendixBodyText"/>
        <w:spacing w:after="0"/>
        <w:rPr>
          <w:rFonts w:ascii="Tahoma" w:hAnsi="Tahoma" w:cs="Tahoma"/>
          <w:sz w:val="18"/>
          <w:szCs w:val="18"/>
        </w:rPr>
      </w:pPr>
      <w:r w:rsidRPr="004D62D9">
        <w:rPr>
          <w:rFonts w:ascii="Tahoma" w:hAnsi="Tahoma" w:cs="Tahoma"/>
          <w:sz w:val="18"/>
          <w:szCs w:val="18"/>
        </w:rPr>
        <w:t>Gli interventi basati sulla spesa SA sono concessi in base alla spesa SA per server e desktop, ai sensi di un</w:t>
      </w:r>
      <w:r w:rsidR="00F2643E">
        <w:rPr>
          <w:rFonts w:ascii="Tahoma" w:hAnsi="Tahoma" w:cs="Tahoma"/>
          <w:sz w:val="18"/>
          <w:szCs w:val="18"/>
        </w:rPr>
        <w:t>’</w:t>
      </w:r>
      <w:r w:rsidRPr="004D62D9">
        <w:rPr>
          <w:rFonts w:ascii="Tahoma" w:hAnsi="Tahoma" w:cs="Tahoma"/>
          <w:sz w:val="18"/>
          <w:szCs w:val="18"/>
        </w:rPr>
        <w:t>iscrizione Enterprise o Select qualificante, della registrazione Select Plus, del Contratto Open Value o del Numero di Autorizzazione Open License.</w:t>
      </w:r>
      <w:r w:rsidR="009D3B41" w:rsidRPr="004D62D9">
        <w:rPr>
          <w:rFonts w:ascii="Tahoma" w:hAnsi="Tahoma" w:cs="Tahoma"/>
          <w:sz w:val="18"/>
          <w:szCs w:val="18"/>
        </w:rPr>
        <w:t xml:space="preserve"> </w:t>
      </w:r>
      <w:r w:rsidRPr="004D62D9">
        <w:rPr>
          <w:rFonts w:ascii="Tahoma" w:hAnsi="Tahoma" w:cs="Tahoma"/>
          <w:sz w:val="18"/>
          <w:szCs w:val="18"/>
        </w:rPr>
        <w:t>Indicativamente, per ogni $ 20.000 di spesa SA per Server e CAL, Microsoft concede un</w:t>
      </w:r>
      <w:r w:rsidR="004D62D9" w:rsidRPr="004D62D9">
        <w:rPr>
          <w:rFonts w:ascii="Tahoma" w:hAnsi="Tahoma" w:cs="Tahoma"/>
          <w:sz w:val="18"/>
          <w:szCs w:val="18"/>
        </w:rPr>
        <w:t> </w:t>
      </w:r>
      <w:r w:rsidRPr="004D62D9">
        <w:rPr>
          <w:rFonts w:ascii="Tahoma" w:hAnsi="Tahoma" w:cs="Tahoma"/>
          <w:sz w:val="18"/>
          <w:szCs w:val="18"/>
        </w:rPr>
        <w:t>intervento.</w:t>
      </w:r>
      <w:r w:rsidR="009D3B41" w:rsidRPr="004D62D9">
        <w:rPr>
          <w:rFonts w:ascii="Tahoma" w:hAnsi="Tahoma" w:cs="Tahoma"/>
          <w:sz w:val="18"/>
          <w:szCs w:val="18"/>
        </w:rPr>
        <w:t xml:space="preserve"> </w:t>
      </w:r>
      <w:r w:rsidRPr="004D62D9">
        <w:rPr>
          <w:rFonts w:ascii="Tahoma" w:hAnsi="Tahoma" w:cs="Tahoma"/>
          <w:sz w:val="18"/>
          <w:szCs w:val="18"/>
        </w:rPr>
        <w:t>Per circa $ 200.000 di spesa SA per Sistemi e Pool di Applicazioni, Microsoft concede un intervento.</w:t>
      </w:r>
      <w:r w:rsidR="009D3B41" w:rsidRPr="004D62D9">
        <w:rPr>
          <w:rFonts w:ascii="Tahoma" w:hAnsi="Tahoma" w:cs="Tahoma"/>
          <w:sz w:val="18"/>
          <w:szCs w:val="18"/>
        </w:rPr>
        <w:t xml:space="preserve"> </w:t>
      </w:r>
      <w:r w:rsidRPr="004D62D9">
        <w:rPr>
          <w:rFonts w:ascii="Tahoma" w:hAnsi="Tahoma" w:cs="Tahoma"/>
          <w:sz w:val="18"/>
          <w:szCs w:val="18"/>
        </w:rPr>
        <w:t>La</w:t>
      </w:r>
      <w:r w:rsidR="004D62D9" w:rsidRPr="004D62D9">
        <w:rPr>
          <w:rFonts w:ascii="Tahoma" w:hAnsi="Tahoma" w:cs="Tahoma"/>
          <w:sz w:val="18"/>
          <w:szCs w:val="18"/>
        </w:rPr>
        <w:t> </w:t>
      </w:r>
      <w:r w:rsidRPr="004D62D9">
        <w:rPr>
          <w:rFonts w:ascii="Tahoma" w:hAnsi="Tahoma" w:cs="Tahoma"/>
          <w:sz w:val="18"/>
          <w:szCs w:val="18"/>
        </w:rPr>
        <w:t>seguente tabella mostra le somme equivalenti, approssimative, in valuta per i premi basate sulla spesa SA, in caso di contratti stipulati in valute diverse dall</w:t>
      </w:r>
      <w:r w:rsidR="00F2643E">
        <w:rPr>
          <w:rFonts w:ascii="Tahoma" w:hAnsi="Tahoma" w:cs="Tahoma"/>
          <w:sz w:val="18"/>
          <w:szCs w:val="18"/>
        </w:rPr>
        <w:t>’</w:t>
      </w:r>
      <w:r w:rsidRPr="004D62D9">
        <w:rPr>
          <w:rFonts w:ascii="Tahoma" w:hAnsi="Tahoma" w:cs="Tahoma"/>
          <w:sz w:val="18"/>
          <w:szCs w:val="18"/>
        </w:rPr>
        <w:t>USD.</w:t>
      </w:r>
      <w:r w:rsidR="009D3B41" w:rsidRPr="004D62D9">
        <w:rPr>
          <w:rFonts w:ascii="Tahoma" w:hAnsi="Tahoma" w:cs="Tahoma"/>
          <w:sz w:val="18"/>
          <w:szCs w:val="18"/>
        </w:rPr>
        <w:t xml:space="preserve"> </w:t>
      </w:r>
      <w:r w:rsidRPr="004D62D9">
        <w:rPr>
          <w:rFonts w:ascii="Tahoma" w:hAnsi="Tahoma" w:cs="Tahoma"/>
          <w:sz w:val="18"/>
          <w:szCs w:val="18"/>
        </w:rPr>
        <w:t>A causa delle fluttuazioni dei tassi di cambio, i valori riportati nella tabella sono soggetti a variazione.</w:t>
      </w:r>
    </w:p>
    <w:p w:rsidR="00023FE7" w:rsidRDefault="00023FE7" w:rsidP="00F42FB8">
      <w:pPr>
        <w:pStyle w:val="AppendixBodyText"/>
        <w:spacing w:after="0"/>
        <w:rPr>
          <w:rFonts w:ascii="Tahoma" w:hAnsi="Tahoma" w:cs="Tahoma"/>
        </w:rPr>
      </w:pPr>
    </w:p>
    <w:p w:rsidR="004D62D9" w:rsidRDefault="004D62D9" w:rsidP="00F42FB8">
      <w:pPr>
        <w:pStyle w:val="AppendixBodyText"/>
        <w:spacing w:after="0"/>
        <w:rPr>
          <w:rFonts w:ascii="Tahoma" w:hAnsi="Tahoma" w:cs="Tahoma"/>
        </w:rPr>
      </w:pPr>
    </w:p>
    <w:p w:rsidR="004D62D9" w:rsidRPr="00A75DF9" w:rsidRDefault="004D62D9" w:rsidP="00F42FB8">
      <w:pPr>
        <w:pStyle w:val="AppendixBodyText"/>
        <w:spacing w:after="0"/>
        <w:rPr>
          <w:rFonts w:ascii="Tahoma" w:hAnsi="Tahoma" w:cs="Tahoma"/>
        </w:rPr>
      </w:pPr>
    </w:p>
    <w:p w:rsidR="00023FE7" w:rsidRPr="004D62D9" w:rsidRDefault="00023FE7" w:rsidP="00F42FB8">
      <w:pPr>
        <w:pStyle w:val="AppendixBodyText"/>
        <w:spacing w:after="0"/>
        <w:rPr>
          <w:rFonts w:ascii="Tahoma" w:hAnsi="Tahoma" w:cs="Tahoma"/>
          <w:sz w:val="18"/>
          <w:szCs w:val="18"/>
        </w:rPr>
      </w:pPr>
      <w:r w:rsidRPr="004D62D9">
        <w:rPr>
          <w:rFonts w:ascii="Tahoma" w:hAnsi="Tahoma" w:cs="Tahoma"/>
          <w:sz w:val="18"/>
          <w:szCs w:val="18"/>
        </w:rPr>
        <w:lastRenderedPageBreak/>
        <w:t>Gli interventi sono concessi nel corso di validità della copertura Software Assurance, a seconda dell</w:t>
      </w:r>
      <w:r w:rsidR="00F2643E">
        <w:rPr>
          <w:rFonts w:ascii="Tahoma" w:hAnsi="Tahoma" w:cs="Tahoma"/>
          <w:sz w:val="18"/>
          <w:szCs w:val="18"/>
        </w:rPr>
        <w:t>’</w:t>
      </w:r>
      <w:r w:rsidRPr="004D62D9">
        <w:rPr>
          <w:rFonts w:ascii="Tahoma" w:hAnsi="Tahoma" w:cs="Tahoma"/>
          <w:sz w:val="18"/>
          <w:szCs w:val="18"/>
        </w:rPr>
        <w:t>opzione di pagamento.</w:t>
      </w:r>
      <w:r w:rsidR="009D3B41" w:rsidRPr="004D62D9">
        <w:rPr>
          <w:rFonts w:ascii="Tahoma" w:hAnsi="Tahoma" w:cs="Tahoma"/>
          <w:sz w:val="18"/>
          <w:szCs w:val="18"/>
        </w:rPr>
        <w:t xml:space="preserve"> </w:t>
      </w:r>
      <w:r w:rsidRPr="004D62D9">
        <w:rPr>
          <w:rFonts w:ascii="Tahoma" w:hAnsi="Tahoma" w:cs="Tahoma"/>
          <w:sz w:val="18"/>
          <w:szCs w:val="18"/>
        </w:rPr>
        <w:t>I contratti con pagamenti dilazionati prevedono anch</w:t>
      </w:r>
      <w:r w:rsidR="00F2643E">
        <w:rPr>
          <w:rFonts w:ascii="Tahoma" w:hAnsi="Tahoma" w:cs="Tahoma"/>
          <w:sz w:val="18"/>
          <w:szCs w:val="18"/>
        </w:rPr>
        <w:t>’</w:t>
      </w:r>
      <w:r w:rsidRPr="004D62D9">
        <w:rPr>
          <w:rFonts w:ascii="Tahoma" w:hAnsi="Tahoma" w:cs="Tahoma"/>
          <w:sz w:val="18"/>
          <w:szCs w:val="18"/>
        </w:rPr>
        <w:t>essi l</w:t>
      </w:r>
      <w:r w:rsidR="00F2643E">
        <w:rPr>
          <w:rFonts w:ascii="Tahoma" w:hAnsi="Tahoma" w:cs="Tahoma"/>
          <w:sz w:val="18"/>
          <w:szCs w:val="18"/>
        </w:rPr>
        <w:t>’</w:t>
      </w:r>
      <w:r w:rsidRPr="004D62D9">
        <w:rPr>
          <w:rFonts w:ascii="Tahoma" w:hAnsi="Tahoma" w:cs="Tahoma"/>
          <w:sz w:val="18"/>
          <w:szCs w:val="18"/>
        </w:rPr>
        <w:t>assegnazione di interventi durante il loro periodo di validità; i contratti che prevedono pagamenti in soluzione unica beneficiano dei premi in via anticipata.</w:t>
      </w:r>
      <w:r w:rsidR="009D3B41" w:rsidRPr="004D62D9">
        <w:rPr>
          <w:rFonts w:ascii="Tahoma" w:hAnsi="Tahoma" w:cs="Tahoma"/>
          <w:sz w:val="18"/>
          <w:szCs w:val="18"/>
        </w:rPr>
        <w:t xml:space="preserve"> </w:t>
      </w:r>
      <w:r w:rsidRPr="004D62D9">
        <w:rPr>
          <w:rFonts w:ascii="Tahoma" w:hAnsi="Tahoma" w:cs="Tahoma"/>
          <w:sz w:val="18"/>
          <w:szCs w:val="18"/>
        </w:rPr>
        <w:t>Gli acquisti effettuati dopo l</w:t>
      </w:r>
      <w:r w:rsidR="00F2643E">
        <w:rPr>
          <w:rFonts w:ascii="Tahoma" w:hAnsi="Tahoma" w:cs="Tahoma"/>
          <w:sz w:val="18"/>
          <w:szCs w:val="18"/>
        </w:rPr>
        <w:t>’</w:t>
      </w:r>
      <w:r w:rsidRPr="004D62D9">
        <w:rPr>
          <w:rFonts w:ascii="Tahoma" w:hAnsi="Tahoma" w:cs="Tahoma"/>
          <w:sz w:val="18"/>
          <w:szCs w:val="18"/>
        </w:rPr>
        <w:t>ordine iniziale comporteranno un nuovo calcolo degli interventi assegnati e della concessione annuale.</w:t>
      </w:r>
      <w:r w:rsidR="009D3B41" w:rsidRPr="004D62D9">
        <w:rPr>
          <w:rFonts w:ascii="Tahoma" w:hAnsi="Tahoma" w:cs="Tahoma"/>
          <w:sz w:val="18"/>
          <w:szCs w:val="18"/>
        </w:rPr>
        <w:t xml:space="preserve"> </w:t>
      </w:r>
      <w:r w:rsidRPr="004D62D9">
        <w:rPr>
          <w:rFonts w:ascii="Tahoma" w:hAnsi="Tahoma" w:cs="Tahoma"/>
          <w:sz w:val="18"/>
          <w:szCs w:val="18"/>
        </w:rPr>
        <w:t>Gli interventi con Supporto Telefonico non utilizzati scadranno al termine della copertura Software Assurance.</w:t>
      </w:r>
      <w:r w:rsidR="009D3B41" w:rsidRPr="004D62D9">
        <w:rPr>
          <w:rFonts w:ascii="Tahoma" w:hAnsi="Tahoma" w:cs="Tahoma"/>
          <w:sz w:val="18"/>
          <w:szCs w:val="18"/>
        </w:rPr>
        <w:t xml:space="preserve"> </w:t>
      </w:r>
      <w:r w:rsidRPr="004D62D9">
        <w:rPr>
          <w:rFonts w:ascii="Tahoma" w:hAnsi="Tahoma" w:cs="Tahoma"/>
          <w:sz w:val="18"/>
          <w:szCs w:val="18"/>
        </w:rPr>
        <w:t>Gli Interventi con Supporto Telefonico non potranno essere trasferiti tra iscrizioni o contratti diversi.</w:t>
      </w:r>
    </w:p>
    <w:p w:rsidR="00023FE7" w:rsidRPr="004D62D9" w:rsidRDefault="00023FE7" w:rsidP="00F42FB8">
      <w:pPr>
        <w:pStyle w:val="AppendixBodyText"/>
        <w:spacing w:after="0"/>
        <w:rPr>
          <w:rFonts w:ascii="Tahoma" w:hAnsi="Tahoma" w:cs="Tahoma"/>
          <w:sz w:val="18"/>
          <w:szCs w:val="18"/>
        </w:rPr>
      </w:pPr>
    </w:p>
    <w:p w:rsidR="00023FE7" w:rsidRPr="004D62D9" w:rsidRDefault="00023FE7" w:rsidP="004D62D9">
      <w:pPr>
        <w:pStyle w:val="AppendixBodyText"/>
        <w:spacing w:after="0"/>
        <w:rPr>
          <w:rFonts w:ascii="Tahoma" w:hAnsi="Tahoma" w:cs="Tahoma"/>
          <w:sz w:val="18"/>
          <w:szCs w:val="18"/>
        </w:rPr>
      </w:pPr>
      <w:r w:rsidRPr="004D62D9">
        <w:rPr>
          <w:rFonts w:ascii="Tahoma" w:hAnsi="Tahoma" w:cs="Tahoma"/>
          <w:sz w:val="18"/>
          <w:szCs w:val="18"/>
        </w:rPr>
        <w:t>L</w:t>
      </w:r>
      <w:r w:rsidR="00F2643E">
        <w:rPr>
          <w:rFonts w:ascii="Tahoma" w:hAnsi="Tahoma" w:cs="Tahoma"/>
          <w:sz w:val="18"/>
          <w:szCs w:val="18"/>
        </w:rPr>
        <w:t>’</w:t>
      </w:r>
      <w:r w:rsidRPr="004D62D9">
        <w:rPr>
          <w:rFonts w:ascii="Tahoma" w:hAnsi="Tahoma" w:cs="Tahoma"/>
          <w:sz w:val="18"/>
          <w:szCs w:val="18"/>
        </w:rPr>
        <w:t>accesso al supporto telefonico locale è disponibile durante le ore lavorative*</w:t>
      </w:r>
      <w:r w:rsidRPr="004D62D9">
        <w:rPr>
          <w:rFonts w:ascii="Tahoma" w:hAnsi="Tahoma" w:cs="Tahoma"/>
          <w:sz w:val="18"/>
          <w:szCs w:val="18"/>
          <w:vertAlign w:val="superscript"/>
        </w:rPr>
        <w:t>(1)</w:t>
      </w:r>
      <w:r w:rsidRPr="004D62D9">
        <w:rPr>
          <w:rFonts w:ascii="Tahoma" w:hAnsi="Tahoma" w:cs="Tahoma"/>
          <w:sz w:val="18"/>
          <w:szCs w:val="18"/>
        </w:rPr>
        <w:t>.</w:t>
      </w:r>
      <w:r w:rsidR="009D3B41" w:rsidRPr="004D62D9">
        <w:rPr>
          <w:rFonts w:ascii="Tahoma" w:hAnsi="Tahoma" w:cs="Tahoma"/>
          <w:sz w:val="18"/>
          <w:szCs w:val="18"/>
        </w:rPr>
        <w:t xml:space="preserve"> </w:t>
      </w:r>
      <w:r w:rsidRPr="004D62D9">
        <w:rPr>
          <w:rFonts w:ascii="Tahoma" w:hAnsi="Tahoma" w:cs="Tahoma"/>
          <w:sz w:val="18"/>
          <w:szCs w:val="18"/>
        </w:rPr>
        <w:t>Il supporto telefonico dopo le ore lavorative verrà fornito attraverso centri di supporto regionali e internazionali.</w:t>
      </w:r>
      <w:r w:rsidR="009D3B41" w:rsidRPr="004D62D9">
        <w:rPr>
          <w:rFonts w:ascii="Tahoma" w:hAnsi="Tahoma" w:cs="Tahoma"/>
          <w:sz w:val="18"/>
          <w:szCs w:val="18"/>
        </w:rPr>
        <w:t xml:space="preserve"> </w:t>
      </w:r>
      <w:r w:rsidRPr="004D62D9">
        <w:rPr>
          <w:rFonts w:ascii="Tahoma" w:hAnsi="Tahoma" w:cs="Tahoma"/>
          <w:sz w:val="18"/>
          <w:szCs w:val="18"/>
        </w:rPr>
        <w:t>Il supporto telefonico dopo le ore lavorative può essere utilizzato esclusivamente per richieste di supporto con impatto commerciale critico.</w:t>
      </w:r>
      <w:r w:rsidR="009D3B41" w:rsidRPr="004D62D9">
        <w:rPr>
          <w:rFonts w:ascii="Tahoma" w:hAnsi="Tahoma" w:cs="Tahoma"/>
          <w:sz w:val="18"/>
          <w:szCs w:val="18"/>
        </w:rPr>
        <w:t xml:space="preserve"> </w:t>
      </w:r>
      <w:r w:rsidRPr="004D62D9">
        <w:rPr>
          <w:rFonts w:ascii="Tahoma" w:hAnsi="Tahoma" w:cs="Tahoma"/>
          <w:sz w:val="18"/>
          <w:szCs w:val="18"/>
        </w:rPr>
        <w:t>Le ore lavorative sono definite su base regionale. I rappresentanti Microsoft delle società forniranno indicazioni sulle ore lavorative previste nella regione o nel paese della società.</w:t>
      </w:r>
      <w:r w:rsidR="009D3B41" w:rsidRPr="004D62D9">
        <w:rPr>
          <w:rFonts w:ascii="Tahoma" w:hAnsi="Tahoma" w:cs="Tahoma"/>
          <w:sz w:val="18"/>
          <w:szCs w:val="18"/>
        </w:rPr>
        <w:t xml:space="preserve"> </w:t>
      </w:r>
      <w:r w:rsidRPr="004D62D9">
        <w:rPr>
          <w:rFonts w:ascii="Tahoma" w:hAnsi="Tahoma" w:cs="Tahoma"/>
          <w:sz w:val="18"/>
          <w:szCs w:val="18"/>
        </w:rPr>
        <w:t>Non in tutte le regioni il supporto telefonico è disponibile in</w:t>
      </w:r>
      <w:r w:rsidR="004D62D9">
        <w:rPr>
          <w:rFonts w:ascii="Tahoma" w:hAnsi="Tahoma" w:cs="Tahoma"/>
          <w:sz w:val="18"/>
          <w:szCs w:val="18"/>
        </w:rPr>
        <w:t> </w:t>
      </w:r>
      <w:r w:rsidRPr="004D62D9">
        <w:rPr>
          <w:rFonts w:ascii="Tahoma" w:hAnsi="Tahoma" w:cs="Tahoma"/>
          <w:sz w:val="18"/>
          <w:szCs w:val="18"/>
        </w:rPr>
        <w:t xml:space="preserve">tutte le lingue. </w:t>
      </w:r>
    </w:p>
    <w:p w:rsidR="00023FE7" w:rsidRPr="004D62D9" w:rsidRDefault="00023FE7" w:rsidP="00077CE5">
      <w:pPr>
        <w:pStyle w:val="AppendixBodyText"/>
        <w:spacing w:after="0"/>
        <w:rPr>
          <w:rFonts w:ascii="Tahoma" w:hAnsi="Tahoma" w:cs="Tahoma"/>
          <w:sz w:val="18"/>
          <w:szCs w:val="18"/>
        </w:rPr>
      </w:pP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629"/>
        <w:gridCol w:w="2081"/>
      </w:tblGrid>
      <w:tr w:rsidR="00023FE7" w:rsidRPr="00A75DF9" w:rsidTr="002A6416">
        <w:trPr>
          <w:cantSplit/>
          <w:trHeight w:val="20"/>
        </w:trPr>
        <w:tc>
          <w:tcPr>
            <w:tcW w:w="4710" w:type="dxa"/>
            <w:gridSpan w:val="2"/>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A75DF9" w:rsidRDefault="00023FE7">
            <w:pPr>
              <w:pStyle w:val="AppendixBodyText"/>
              <w:rPr>
                <w:rFonts w:ascii="Tahoma" w:hAnsi="Tahoma" w:cs="Tahoma"/>
                <w:b/>
                <w:bCs/>
                <w:vertAlign w:val="superscript"/>
              </w:rPr>
            </w:pPr>
            <w:r w:rsidRPr="00A75DF9">
              <w:rPr>
                <w:rFonts w:ascii="Tahoma" w:hAnsi="Tahoma" w:cs="Tahoma"/>
                <w:b/>
                <w:bCs/>
              </w:rPr>
              <w:t xml:space="preserve">*(1) Variazioni delle Ore Lavorative </w:t>
            </w:r>
            <w:r w:rsidR="004D62D9">
              <w:rPr>
                <w:rFonts w:ascii="Tahoma" w:hAnsi="Tahoma" w:cs="Tahoma"/>
                <w:b/>
                <w:bCs/>
              </w:rPr>
              <w:br/>
            </w:r>
            <w:r w:rsidRPr="00A75DF9">
              <w:rPr>
                <w:rFonts w:ascii="Tahoma" w:hAnsi="Tahoma" w:cs="Tahoma"/>
                <w:b/>
                <w:bCs/>
              </w:rPr>
              <w:t>in Base alla Regione</w:t>
            </w:r>
          </w:p>
        </w:tc>
      </w:tr>
      <w:tr w:rsidR="00023FE7" w:rsidRPr="00A75DF9" w:rsidTr="002A6416">
        <w:trPr>
          <w:cantSplit/>
          <w:trHeight w:val="20"/>
        </w:trPr>
        <w:tc>
          <w:tcPr>
            <w:tcW w:w="2629" w:type="dxa"/>
            <w:tcBorders>
              <w:top w:val="single" w:sz="8" w:space="0" w:color="auto"/>
            </w:tcBorders>
          </w:tcPr>
          <w:p w:rsidR="00023FE7" w:rsidRPr="00A75DF9" w:rsidRDefault="00023FE7">
            <w:pPr>
              <w:pStyle w:val="AppendixBodyText"/>
              <w:rPr>
                <w:rFonts w:ascii="Tahoma" w:hAnsi="Tahoma" w:cs="Tahoma"/>
                <w:sz w:val="18"/>
                <w:szCs w:val="18"/>
              </w:rPr>
            </w:pPr>
            <w:r w:rsidRPr="00A75DF9">
              <w:rPr>
                <w:rFonts w:ascii="Tahoma" w:hAnsi="Tahoma" w:cs="Tahoma"/>
                <w:sz w:val="18"/>
                <w:szCs w:val="18"/>
              </w:rPr>
              <w:t>Americhe</w:t>
            </w:r>
          </w:p>
        </w:tc>
        <w:tc>
          <w:tcPr>
            <w:tcW w:w="2081" w:type="dxa"/>
            <w:tcBorders>
              <w:top w:val="single" w:sz="8" w:space="0" w:color="auto"/>
            </w:tcBorders>
          </w:tcPr>
          <w:p w:rsidR="00023FE7" w:rsidRPr="00A75DF9" w:rsidRDefault="00023FE7">
            <w:pPr>
              <w:pStyle w:val="AppendixBodyText"/>
              <w:rPr>
                <w:rFonts w:ascii="Tahoma" w:hAnsi="Tahoma" w:cs="Tahoma"/>
                <w:sz w:val="18"/>
                <w:szCs w:val="18"/>
              </w:rPr>
            </w:pPr>
            <w:r w:rsidRPr="00A75DF9">
              <w:rPr>
                <w:rFonts w:ascii="Tahoma" w:hAnsi="Tahoma" w:cs="Tahoma"/>
                <w:sz w:val="18"/>
                <w:szCs w:val="18"/>
              </w:rPr>
              <w:t>L-V 6-18 (PST)</w:t>
            </w:r>
          </w:p>
        </w:tc>
      </w:tr>
      <w:tr w:rsidR="00023FE7" w:rsidRPr="00A75DF9" w:rsidTr="002A6416">
        <w:trPr>
          <w:cantSplit/>
          <w:trHeight w:val="20"/>
        </w:trPr>
        <w:tc>
          <w:tcPr>
            <w:tcW w:w="2629" w:type="dxa"/>
          </w:tcPr>
          <w:p w:rsidR="00023FE7" w:rsidRPr="00A75DF9" w:rsidRDefault="00023FE7">
            <w:pPr>
              <w:pStyle w:val="AppendixBodyText"/>
              <w:rPr>
                <w:rFonts w:ascii="Tahoma" w:hAnsi="Tahoma" w:cs="Tahoma"/>
                <w:sz w:val="18"/>
                <w:szCs w:val="18"/>
              </w:rPr>
            </w:pPr>
            <w:r w:rsidRPr="00A75DF9">
              <w:rPr>
                <w:rFonts w:ascii="Tahoma" w:hAnsi="Tahoma" w:cs="Tahoma"/>
                <w:sz w:val="18"/>
                <w:szCs w:val="18"/>
              </w:rPr>
              <w:t>EMEA</w:t>
            </w:r>
          </w:p>
        </w:tc>
        <w:tc>
          <w:tcPr>
            <w:tcW w:w="2081" w:type="dxa"/>
          </w:tcPr>
          <w:p w:rsidR="00023FE7" w:rsidRPr="00A75DF9" w:rsidRDefault="00023FE7">
            <w:pPr>
              <w:pStyle w:val="AppendixBodyText"/>
              <w:rPr>
                <w:rFonts w:ascii="Tahoma" w:hAnsi="Tahoma" w:cs="Tahoma"/>
                <w:sz w:val="18"/>
                <w:szCs w:val="18"/>
              </w:rPr>
            </w:pPr>
            <w:r w:rsidRPr="00A75DF9">
              <w:rPr>
                <w:rFonts w:ascii="Tahoma" w:hAnsi="Tahoma" w:cs="Tahoma"/>
                <w:sz w:val="18"/>
                <w:szCs w:val="18"/>
              </w:rPr>
              <w:t>L-V 8-18 (GMT)</w:t>
            </w:r>
          </w:p>
        </w:tc>
      </w:tr>
      <w:tr w:rsidR="00023FE7" w:rsidRPr="00A75DF9" w:rsidTr="002A6416">
        <w:trPr>
          <w:cantSplit/>
          <w:trHeight w:val="20"/>
        </w:trPr>
        <w:tc>
          <w:tcPr>
            <w:tcW w:w="2629" w:type="dxa"/>
          </w:tcPr>
          <w:p w:rsidR="00023FE7" w:rsidRPr="00A75DF9" w:rsidRDefault="00023FE7">
            <w:pPr>
              <w:pStyle w:val="AppendixBodyText"/>
              <w:rPr>
                <w:rFonts w:ascii="Tahoma" w:hAnsi="Tahoma" w:cs="Tahoma"/>
                <w:sz w:val="18"/>
                <w:szCs w:val="18"/>
              </w:rPr>
            </w:pPr>
            <w:r w:rsidRPr="00A75DF9">
              <w:rPr>
                <w:rFonts w:ascii="Tahoma" w:hAnsi="Tahoma" w:cs="Tahoma"/>
                <w:sz w:val="18"/>
                <w:szCs w:val="18"/>
              </w:rPr>
              <w:t>Australia/Nuova Zelanda</w:t>
            </w:r>
          </w:p>
        </w:tc>
        <w:tc>
          <w:tcPr>
            <w:tcW w:w="2081" w:type="dxa"/>
          </w:tcPr>
          <w:p w:rsidR="00023FE7" w:rsidRPr="00A75DF9" w:rsidRDefault="00023FE7">
            <w:pPr>
              <w:pStyle w:val="AppendixBodyText"/>
              <w:rPr>
                <w:rFonts w:ascii="Tahoma" w:hAnsi="Tahoma" w:cs="Tahoma"/>
                <w:sz w:val="18"/>
                <w:szCs w:val="18"/>
              </w:rPr>
            </w:pPr>
            <w:r w:rsidRPr="00A75DF9">
              <w:rPr>
                <w:rFonts w:ascii="Tahoma" w:hAnsi="Tahoma" w:cs="Tahoma"/>
                <w:sz w:val="18"/>
                <w:szCs w:val="18"/>
              </w:rPr>
              <w:t>L-V 7-18</w:t>
            </w:r>
          </w:p>
        </w:tc>
      </w:tr>
      <w:tr w:rsidR="00023FE7" w:rsidRPr="00A75DF9" w:rsidTr="002A6416">
        <w:trPr>
          <w:cantSplit/>
          <w:trHeight w:val="20"/>
        </w:trPr>
        <w:tc>
          <w:tcPr>
            <w:tcW w:w="2629" w:type="dxa"/>
          </w:tcPr>
          <w:p w:rsidR="00023FE7" w:rsidRPr="00A75DF9" w:rsidRDefault="00023FE7">
            <w:pPr>
              <w:pStyle w:val="AppendixBodyText"/>
              <w:rPr>
                <w:rFonts w:ascii="Tahoma" w:hAnsi="Tahoma" w:cs="Tahoma"/>
                <w:sz w:val="18"/>
                <w:szCs w:val="18"/>
              </w:rPr>
            </w:pPr>
            <w:r w:rsidRPr="00A75DF9">
              <w:rPr>
                <w:rFonts w:ascii="Tahoma" w:hAnsi="Tahoma" w:cs="Tahoma"/>
                <w:sz w:val="18"/>
                <w:szCs w:val="18"/>
              </w:rPr>
              <w:t>Giappone</w:t>
            </w:r>
          </w:p>
        </w:tc>
        <w:tc>
          <w:tcPr>
            <w:tcW w:w="2081" w:type="dxa"/>
          </w:tcPr>
          <w:p w:rsidR="00023FE7" w:rsidRPr="00A75DF9" w:rsidRDefault="00023FE7">
            <w:pPr>
              <w:pStyle w:val="AppendixBodyText"/>
              <w:rPr>
                <w:rFonts w:ascii="Tahoma" w:hAnsi="Tahoma" w:cs="Tahoma"/>
                <w:sz w:val="18"/>
                <w:szCs w:val="18"/>
              </w:rPr>
            </w:pPr>
            <w:r w:rsidRPr="00A75DF9">
              <w:rPr>
                <w:rFonts w:ascii="Tahoma" w:hAnsi="Tahoma" w:cs="Tahoma"/>
                <w:sz w:val="18"/>
                <w:szCs w:val="18"/>
              </w:rPr>
              <w:t>L-V 9.30-19</w:t>
            </w:r>
          </w:p>
        </w:tc>
      </w:tr>
      <w:tr w:rsidR="00023FE7" w:rsidRPr="00A75DF9" w:rsidTr="002A6416">
        <w:trPr>
          <w:cantSplit/>
          <w:trHeight w:val="20"/>
        </w:trPr>
        <w:tc>
          <w:tcPr>
            <w:tcW w:w="2629" w:type="dxa"/>
          </w:tcPr>
          <w:p w:rsidR="00023FE7" w:rsidRPr="00A75DF9" w:rsidRDefault="00023FE7">
            <w:pPr>
              <w:pStyle w:val="AppendixBodyText"/>
              <w:rPr>
                <w:rFonts w:ascii="Tahoma" w:hAnsi="Tahoma" w:cs="Tahoma"/>
                <w:sz w:val="18"/>
                <w:szCs w:val="18"/>
              </w:rPr>
            </w:pPr>
            <w:r w:rsidRPr="00A75DF9">
              <w:rPr>
                <w:rFonts w:ascii="Tahoma" w:hAnsi="Tahoma" w:cs="Tahoma"/>
                <w:sz w:val="18"/>
                <w:szCs w:val="18"/>
              </w:rPr>
              <w:t>Asia</w:t>
            </w:r>
          </w:p>
        </w:tc>
        <w:tc>
          <w:tcPr>
            <w:tcW w:w="2081" w:type="dxa"/>
          </w:tcPr>
          <w:p w:rsidR="00023FE7" w:rsidRPr="00A75DF9" w:rsidRDefault="00023FE7">
            <w:pPr>
              <w:pStyle w:val="AppendixBodyText"/>
              <w:rPr>
                <w:rFonts w:ascii="Tahoma" w:hAnsi="Tahoma" w:cs="Tahoma"/>
                <w:sz w:val="18"/>
                <w:szCs w:val="18"/>
              </w:rPr>
            </w:pPr>
            <w:r w:rsidRPr="00A75DF9">
              <w:rPr>
                <w:rFonts w:ascii="Tahoma" w:hAnsi="Tahoma" w:cs="Tahoma"/>
                <w:sz w:val="18"/>
                <w:szCs w:val="18"/>
              </w:rPr>
              <w:t>L-V 9-18</w:t>
            </w:r>
          </w:p>
        </w:tc>
      </w:tr>
    </w:tbl>
    <w:p w:rsidR="0034219A" w:rsidRPr="00A75DF9" w:rsidRDefault="0034219A" w:rsidP="00F42FB8">
      <w:pPr>
        <w:rPr>
          <w:rFonts w:cs="Tahoma"/>
        </w:rPr>
      </w:pPr>
      <w:bookmarkStart w:id="745" w:name="_Toc240899164"/>
    </w:p>
    <w:p w:rsidR="00023FE7" w:rsidRPr="00A75DF9" w:rsidRDefault="00023FE7" w:rsidP="00DA2788">
      <w:pPr>
        <w:spacing w:after="60"/>
        <w:rPr>
          <w:rFonts w:cs="Tahoma"/>
        </w:rPr>
      </w:pPr>
      <w:r w:rsidRPr="00A75DF9">
        <w:rPr>
          <w:rFonts w:cs="Tahoma"/>
          <w:b/>
          <w:szCs w:val="20"/>
        </w:rPr>
        <w:t>Interventi basati sul Web</w:t>
      </w:r>
      <w:bookmarkEnd w:id="745"/>
      <w:r w:rsidRPr="00A75DF9">
        <w:rPr>
          <w:rFonts w:cs="Tahoma"/>
          <w:b/>
          <w:szCs w:val="20"/>
        </w:rPr>
        <w:t xml:space="preserve"> </w:t>
      </w:r>
    </w:p>
    <w:p w:rsidR="00023FE7" w:rsidRPr="004D62D9" w:rsidRDefault="00023FE7" w:rsidP="00F42FB8">
      <w:pPr>
        <w:pStyle w:val="AppendixBodyText"/>
        <w:spacing w:after="0"/>
        <w:rPr>
          <w:rFonts w:ascii="Tahoma" w:hAnsi="Tahoma" w:cs="Tahoma"/>
          <w:sz w:val="18"/>
          <w:szCs w:val="18"/>
        </w:rPr>
      </w:pPr>
      <w:r w:rsidRPr="004D62D9">
        <w:rPr>
          <w:rFonts w:ascii="Tahoma" w:hAnsi="Tahoma" w:cs="Tahoma"/>
          <w:sz w:val="18"/>
          <w:szCs w:val="18"/>
        </w:rPr>
        <w:t>Le società che non siano società con contratti Academic Select License, Select Plus for Academic, Academic Open License, Campus, School, Open Value Subscription - Education Solutions e Open License e con Edizioni Standard ed Enterprise dei prodotti software server che rientrano nella copertura Software Assurance hanno accesso ai servizi di Supporto per la Risoluzione dei Problemi basati sul Web, in base alle necessità.</w:t>
      </w:r>
      <w:r w:rsidR="009D3B41" w:rsidRPr="004D62D9">
        <w:rPr>
          <w:rFonts w:ascii="Tahoma" w:hAnsi="Tahoma" w:cs="Tahoma"/>
          <w:sz w:val="18"/>
          <w:szCs w:val="18"/>
        </w:rPr>
        <w:t xml:space="preserve"> </w:t>
      </w:r>
      <w:r w:rsidRPr="004D62D9">
        <w:rPr>
          <w:rFonts w:ascii="Tahoma" w:hAnsi="Tahoma" w:cs="Tahoma"/>
          <w:sz w:val="18"/>
          <w:szCs w:val="18"/>
        </w:rPr>
        <w:t>L</w:t>
      </w:r>
      <w:r w:rsidR="00F2643E">
        <w:rPr>
          <w:rFonts w:ascii="Tahoma" w:hAnsi="Tahoma" w:cs="Tahoma"/>
          <w:sz w:val="18"/>
          <w:szCs w:val="18"/>
        </w:rPr>
        <w:t>’</w:t>
      </w:r>
      <w:r w:rsidRPr="004D62D9">
        <w:rPr>
          <w:rFonts w:ascii="Tahoma" w:hAnsi="Tahoma" w:cs="Tahoma"/>
          <w:sz w:val="18"/>
          <w:szCs w:val="18"/>
        </w:rPr>
        <w:t>accesso ai siti di supporto elettronico è disponibile 24 ore al giorno, 7 giorni su 7, ma le risposte vengono fornite durante le Ore Lavorative.</w:t>
      </w:r>
      <w:r w:rsidR="009D3B41" w:rsidRPr="004D62D9">
        <w:rPr>
          <w:rFonts w:ascii="Tahoma" w:hAnsi="Tahoma" w:cs="Tahoma"/>
          <w:sz w:val="18"/>
          <w:szCs w:val="18"/>
        </w:rPr>
        <w:t xml:space="preserve"> </w:t>
      </w:r>
      <w:r w:rsidRPr="004D62D9">
        <w:rPr>
          <w:rFonts w:ascii="Tahoma" w:hAnsi="Tahoma" w:cs="Tahoma"/>
          <w:sz w:val="18"/>
          <w:szCs w:val="18"/>
        </w:rPr>
        <w:t>Pertanto, si consiglia di non ricorrere agli Interventi basati sul Web in caso di situazioni con impatto commerciale critico, che richiedono un</w:t>
      </w:r>
      <w:r w:rsidR="00F2643E">
        <w:rPr>
          <w:rFonts w:ascii="Tahoma" w:hAnsi="Tahoma" w:cs="Tahoma"/>
          <w:sz w:val="18"/>
          <w:szCs w:val="18"/>
        </w:rPr>
        <w:t>’</w:t>
      </w:r>
      <w:r w:rsidRPr="004D62D9">
        <w:rPr>
          <w:rFonts w:ascii="Tahoma" w:hAnsi="Tahoma" w:cs="Tahoma"/>
          <w:sz w:val="18"/>
          <w:szCs w:val="18"/>
        </w:rPr>
        <w:t>assistenza immediata. Consultare le Variazioni delle Ore Lavorative in Base alla Regione nel precedente articolo “Premi per Interventi Tramite Supporto Telefonico”.</w:t>
      </w:r>
    </w:p>
    <w:p w:rsidR="00023FE7" w:rsidRPr="004D62D9" w:rsidRDefault="00023FE7" w:rsidP="00F42FB8">
      <w:pPr>
        <w:pStyle w:val="AppendixBodyText"/>
        <w:spacing w:after="0"/>
        <w:rPr>
          <w:rFonts w:ascii="Tahoma" w:hAnsi="Tahoma" w:cs="Tahoma"/>
          <w:sz w:val="18"/>
          <w:szCs w:val="18"/>
        </w:rPr>
      </w:pPr>
    </w:p>
    <w:p w:rsidR="00023FE7" w:rsidRPr="004D62D9" w:rsidRDefault="00023FE7" w:rsidP="00F42FB8">
      <w:pPr>
        <w:pStyle w:val="AppendixBodyText"/>
        <w:spacing w:after="0"/>
        <w:rPr>
          <w:rFonts w:ascii="Tahoma" w:hAnsi="Tahoma" w:cs="Tahoma"/>
          <w:sz w:val="18"/>
          <w:szCs w:val="18"/>
        </w:rPr>
      </w:pPr>
      <w:r w:rsidRPr="004D62D9">
        <w:rPr>
          <w:rFonts w:ascii="Tahoma" w:hAnsi="Tahoma" w:cs="Tahoma"/>
          <w:sz w:val="18"/>
          <w:szCs w:val="18"/>
        </w:rPr>
        <w:t>Gli interventi avviati tramite Telefono verranno computati ai fini del saldo degli interventi telefonici disponibili al momento della risoluzione del problema.</w:t>
      </w:r>
      <w:r w:rsidR="009D3B41" w:rsidRPr="004D62D9">
        <w:rPr>
          <w:rFonts w:ascii="Tahoma" w:hAnsi="Tahoma" w:cs="Tahoma"/>
          <w:sz w:val="18"/>
          <w:szCs w:val="18"/>
        </w:rPr>
        <w:t xml:space="preserve"> </w:t>
      </w:r>
      <w:r w:rsidRPr="004D62D9">
        <w:rPr>
          <w:rFonts w:ascii="Tahoma" w:hAnsi="Tahoma" w:cs="Tahoma"/>
          <w:sz w:val="18"/>
          <w:szCs w:val="18"/>
        </w:rPr>
        <w:t>Gli interventi avviati via Web sono effettuati in base alle necessità e gestiti attraverso il Web, la posta elettronica e altri mezzi elettronici.</w:t>
      </w:r>
      <w:r w:rsidR="009D3B41" w:rsidRPr="004D62D9">
        <w:rPr>
          <w:rFonts w:ascii="Tahoma" w:hAnsi="Tahoma" w:cs="Tahoma"/>
          <w:sz w:val="18"/>
          <w:szCs w:val="18"/>
        </w:rPr>
        <w:t xml:space="preserve"> </w:t>
      </w:r>
      <w:r w:rsidRPr="004D62D9">
        <w:rPr>
          <w:rFonts w:ascii="Tahoma" w:hAnsi="Tahoma" w:cs="Tahoma"/>
          <w:sz w:val="18"/>
          <w:szCs w:val="18"/>
        </w:rPr>
        <w:t>Gli interventi avviati tramite il Web e successivamente convertiti in interventi telefonici dalla società verranno computati ai fini del saldo degli interventi telefonici disponibili al momento della risoluzione del problema.</w:t>
      </w:r>
      <w:r w:rsidR="009D3B41" w:rsidRPr="004D62D9">
        <w:rPr>
          <w:rFonts w:ascii="Tahoma" w:hAnsi="Tahoma" w:cs="Tahoma"/>
          <w:sz w:val="18"/>
          <w:szCs w:val="18"/>
        </w:rPr>
        <w:t xml:space="preserve"> </w:t>
      </w:r>
      <w:r w:rsidRPr="004D62D9">
        <w:rPr>
          <w:rFonts w:ascii="Tahoma" w:hAnsi="Tahoma" w:cs="Tahoma"/>
          <w:sz w:val="18"/>
          <w:szCs w:val="18"/>
        </w:rPr>
        <w:t>Gli interventi avviati sul Web e di cui Microsoft esegua successivamente il follow-up via telefono non conteranno ai fini del computo del saldo degli interventi telefonici disponibili se la risoluzione prosegue via Web, tramite posta elettronica o con altri mezzi elettronici.</w:t>
      </w:r>
      <w:r w:rsidR="009D3B41" w:rsidRPr="004D62D9">
        <w:rPr>
          <w:rFonts w:ascii="Tahoma" w:hAnsi="Tahoma" w:cs="Tahoma"/>
          <w:sz w:val="18"/>
          <w:szCs w:val="18"/>
        </w:rPr>
        <w:t xml:space="preserve"> </w:t>
      </w:r>
    </w:p>
    <w:p w:rsidR="00023FE7" w:rsidRPr="004D62D9" w:rsidRDefault="00023FE7" w:rsidP="00F42FB8">
      <w:pPr>
        <w:pStyle w:val="AppendixBodyText"/>
        <w:spacing w:after="0"/>
        <w:rPr>
          <w:rFonts w:ascii="Tahoma" w:hAnsi="Tahoma" w:cs="Tahoma"/>
          <w:sz w:val="18"/>
          <w:szCs w:val="18"/>
        </w:rPr>
      </w:pPr>
    </w:p>
    <w:p w:rsidR="00023FE7" w:rsidRPr="004D62D9" w:rsidRDefault="00023FE7" w:rsidP="00F42FB8">
      <w:pPr>
        <w:pStyle w:val="AppendixBodyText"/>
        <w:spacing w:after="0"/>
        <w:rPr>
          <w:rFonts w:ascii="Tahoma" w:hAnsi="Tahoma" w:cs="Tahoma"/>
          <w:sz w:val="18"/>
          <w:szCs w:val="18"/>
        </w:rPr>
      </w:pPr>
      <w:r w:rsidRPr="004D62D9">
        <w:rPr>
          <w:rFonts w:ascii="Tahoma" w:hAnsi="Tahoma" w:cs="Tahoma"/>
          <w:sz w:val="18"/>
          <w:szCs w:val="18"/>
        </w:rPr>
        <w:t>Per il Supporto Web relativo agli interventi riguardanti sia il software server che le relative CAL è necessario disporre di Software Assurance. Per le copie concesse in licenza del software server che rientra nella copertura Software Assurance, le società potranno sottoporre esclusivamente richieste di Supporto per la Risoluzione dei Problemi basate sul Web.</w:t>
      </w:r>
    </w:p>
    <w:p w:rsidR="00023FE7" w:rsidRPr="004D62D9" w:rsidRDefault="00023FE7" w:rsidP="00F42FB8">
      <w:pPr>
        <w:pStyle w:val="AppendixBodyText"/>
        <w:spacing w:after="0"/>
        <w:rPr>
          <w:rFonts w:ascii="Tahoma" w:hAnsi="Tahoma" w:cs="Tahoma"/>
          <w:sz w:val="18"/>
          <w:szCs w:val="18"/>
        </w:rPr>
      </w:pPr>
    </w:p>
    <w:p w:rsidR="00023FE7" w:rsidRPr="004D62D9" w:rsidRDefault="00023FE7" w:rsidP="00F42FB8">
      <w:pPr>
        <w:pStyle w:val="AppendixBodyText"/>
        <w:spacing w:after="0"/>
        <w:rPr>
          <w:rFonts w:ascii="Tahoma" w:hAnsi="Tahoma" w:cs="Tahoma"/>
          <w:sz w:val="18"/>
          <w:szCs w:val="18"/>
        </w:rPr>
      </w:pPr>
      <w:r w:rsidRPr="004D62D9">
        <w:rPr>
          <w:rFonts w:ascii="Tahoma" w:hAnsi="Tahoma" w:cs="Tahoma"/>
          <w:sz w:val="18"/>
          <w:szCs w:val="18"/>
        </w:rPr>
        <w:t>Gli interventi con Supporto Web non sono trasferibili tra licenze.</w:t>
      </w:r>
      <w:r w:rsidR="009D3B41" w:rsidRPr="004D62D9">
        <w:rPr>
          <w:rFonts w:ascii="Tahoma" w:hAnsi="Tahoma" w:cs="Tahoma"/>
          <w:sz w:val="18"/>
          <w:szCs w:val="18"/>
        </w:rPr>
        <w:t xml:space="preserve"> </w:t>
      </w:r>
      <w:r w:rsidRPr="004D62D9">
        <w:rPr>
          <w:rFonts w:ascii="Tahoma" w:hAnsi="Tahoma" w:cs="Tahoma"/>
          <w:sz w:val="18"/>
          <w:szCs w:val="18"/>
        </w:rPr>
        <w:t>Consultare i diritti di utilizzo del prodotto per ulteriori informazioni sull</w:t>
      </w:r>
      <w:r w:rsidR="00F2643E">
        <w:rPr>
          <w:rFonts w:ascii="Tahoma" w:hAnsi="Tahoma" w:cs="Tahoma"/>
          <w:sz w:val="18"/>
          <w:szCs w:val="18"/>
        </w:rPr>
        <w:t>’</w:t>
      </w:r>
      <w:r w:rsidRPr="004D62D9">
        <w:rPr>
          <w:rFonts w:ascii="Tahoma" w:hAnsi="Tahoma" w:cs="Tahoma"/>
          <w:sz w:val="18"/>
          <w:szCs w:val="18"/>
        </w:rPr>
        <w:t>assegnazione o riassegnazione delle licenze ai server fisici.</w:t>
      </w:r>
    </w:p>
    <w:p w:rsidR="00697E59" w:rsidRPr="004D62D9" w:rsidRDefault="00697E59" w:rsidP="00F42FB8">
      <w:pPr>
        <w:rPr>
          <w:rFonts w:cs="Tahoma"/>
          <w:szCs w:val="18"/>
        </w:rPr>
      </w:pPr>
      <w:bookmarkStart w:id="746" w:name="_Toc240899165"/>
    </w:p>
    <w:p w:rsidR="00023FE7" w:rsidRPr="004D62D9" w:rsidRDefault="00023FE7" w:rsidP="00F93617">
      <w:pPr>
        <w:spacing w:after="60"/>
        <w:rPr>
          <w:rFonts w:cs="Tahoma"/>
          <w:szCs w:val="18"/>
        </w:rPr>
      </w:pPr>
      <w:r w:rsidRPr="004D62D9">
        <w:rPr>
          <w:rFonts w:cs="Tahoma"/>
          <w:b/>
          <w:szCs w:val="18"/>
        </w:rPr>
        <w:t>Contatti di Supporto</w:t>
      </w:r>
      <w:bookmarkEnd w:id="746"/>
    </w:p>
    <w:p w:rsidR="00023FE7" w:rsidRPr="004D62D9" w:rsidRDefault="00023FE7" w:rsidP="004D62D9">
      <w:pPr>
        <w:pStyle w:val="AppendixBodyText"/>
        <w:spacing w:after="0"/>
        <w:rPr>
          <w:rFonts w:ascii="Tahoma" w:hAnsi="Tahoma" w:cs="Tahoma"/>
          <w:sz w:val="18"/>
          <w:szCs w:val="18"/>
        </w:rPr>
      </w:pPr>
      <w:r w:rsidRPr="004D62D9">
        <w:rPr>
          <w:rFonts w:ascii="Tahoma" w:hAnsi="Tahoma" w:cs="Tahoma"/>
          <w:sz w:val="18"/>
          <w:szCs w:val="18"/>
        </w:rPr>
        <w:t>Il numero di contatti di supporto consentiti varia in base al Programma per i Contratti Multilicenza e al numero di licenze indicato in Software Assurance, come mostrato di seguito.</w:t>
      </w:r>
      <w:r w:rsidR="009D3B41" w:rsidRPr="004D62D9">
        <w:rPr>
          <w:rFonts w:ascii="Tahoma" w:hAnsi="Tahoma" w:cs="Tahoma"/>
          <w:sz w:val="18"/>
          <w:szCs w:val="18"/>
        </w:rPr>
        <w:t xml:space="preserve"> </w:t>
      </w:r>
      <w:r w:rsidRPr="004D62D9">
        <w:rPr>
          <w:rFonts w:ascii="Tahoma" w:hAnsi="Tahoma" w:cs="Tahoma"/>
          <w:sz w:val="18"/>
          <w:szCs w:val="18"/>
        </w:rPr>
        <w:t>I contatti dovranno essere persone designate, tra cui anche soggetti esterni all</w:t>
      </w:r>
      <w:r w:rsidR="00F2643E">
        <w:rPr>
          <w:rFonts w:ascii="Tahoma" w:hAnsi="Tahoma" w:cs="Tahoma"/>
          <w:sz w:val="18"/>
          <w:szCs w:val="18"/>
        </w:rPr>
        <w:t>’</w:t>
      </w:r>
      <w:r w:rsidRPr="004D62D9">
        <w:rPr>
          <w:rFonts w:ascii="Tahoma" w:hAnsi="Tahoma" w:cs="Tahoma"/>
          <w:sz w:val="18"/>
          <w:szCs w:val="18"/>
        </w:rPr>
        <w:t>organizzazione della società.</w:t>
      </w:r>
      <w:r w:rsidR="009D3B41" w:rsidRPr="004D62D9">
        <w:rPr>
          <w:rFonts w:ascii="Tahoma" w:hAnsi="Tahoma" w:cs="Tahoma"/>
          <w:sz w:val="18"/>
          <w:szCs w:val="18"/>
        </w:rPr>
        <w:t xml:space="preserve"> </w:t>
      </w:r>
      <w:r w:rsidRPr="004D62D9">
        <w:rPr>
          <w:rFonts w:ascii="Tahoma" w:hAnsi="Tahoma" w:cs="Tahoma"/>
          <w:sz w:val="18"/>
          <w:szCs w:val="18"/>
        </w:rPr>
        <w:t>Tuttavia, non sarà possibile indicare tra i contatti il nome di</w:t>
      </w:r>
      <w:r w:rsidR="004D62D9">
        <w:rPr>
          <w:rFonts w:ascii="Tahoma" w:hAnsi="Tahoma" w:cs="Tahoma"/>
          <w:sz w:val="18"/>
          <w:szCs w:val="18"/>
        </w:rPr>
        <w:t> </w:t>
      </w:r>
      <w:r w:rsidRPr="004D62D9">
        <w:rPr>
          <w:rFonts w:ascii="Tahoma" w:hAnsi="Tahoma" w:cs="Tahoma"/>
          <w:sz w:val="18"/>
          <w:szCs w:val="18"/>
        </w:rPr>
        <w:t>un</w:t>
      </w:r>
      <w:r w:rsidR="00F2643E">
        <w:rPr>
          <w:rFonts w:ascii="Tahoma" w:hAnsi="Tahoma" w:cs="Tahoma"/>
          <w:sz w:val="18"/>
          <w:szCs w:val="18"/>
        </w:rPr>
        <w:t>’</w:t>
      </w:r>
      <w:r w:rsidRPr="004D62D9">
        <w:rPr>
          <w:rFonts w:ascii="Tahoma" w:hAnsi="Tahoma" w:cs="Tahoma"/>
          <w:sz w:val="18"/>
          <w:szCs w:val="18"/>
        </w:rPr>
        <w:t>organizzazione, di un dipartimento o di un gruppo.</w:t>
      </w:r>
    </w:p>
    <w:p w:rsidR="00077CE5" w:rsidRPr="004D62D9" w:rsidRDefault="00077CE5" w:rsidP="00F93617">
      <w:pPr>
        <w:pStyle w:val="AppendixBodyText"/>
        <w:spacing w:after="0"/>
        <w:rPr>
          <w:rFonts w:ascii="Tahoma" w:hAnsi="Tahoma" w:cs="Tahoma"/>
          <w:sz w:val="18"/>
          <w:szCs w:val="18"/>
        </w:rPr>
      </w:pPr>
    </w:p>
    <w:p w:rsidR="002A5CC2" w:rsidRPr="00A75DF9" w:rsidRDefault="002A5CC2">
      <w:pPr>
        <w:pStyle w:val="AppendixBodyText"/>
        <w:rPr>
          <w:rFonts w:ascii="Tahoma" w:hAnsi="Tahoma" w:cs="Tahoma"/>
        </w:rPr>
      </w:pPr>
    </w:p>
    <w:tbl>
      <w:tblPr>
        <w:tblW w:w="9547"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782"/>
        <w:gridCol w:w="1071"/>
        <w:gridCol w:w="1134"/>
        <w:gridCol w:w="1368"/>
        <w:gridCol w:w="1440"/>
        <w:gridCol w:w="1395"/>
        <w:gridCol w:w="1357"/>
      </w:tblGrid>
      <w:tr w:rsidR="004B42EB" w:rsidRPr="00A75DF9" w:rsidTr="004B42EB">
        <w:trPr>
          <w:trHeight w:val="178"/>
        </w:trPr>
        <w:tc>
          <w:tcPr>
            <w:tcW w:w="1782"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A75DF9" w:rsidRDefault="00023FE7">
            <w:pPr>
              <w:pStyle w:val="AppendixBodyText"/>
              <w:rPr>
                <w:rFonts w:ascii="Tahoma" w:hAnsi="Tahoma" w:cs="Tahoma"/>
                <w:b/>
                <w:bCs/>
              </w:rPr>
            </w:pPr>
            <w:r w:rsidRPr="00A75DF9">
              <w:rPr>
                <w:rFonts w:ascii="Tahoma" w:hAnsi="Tahoma" w:cs="Tahoma"/>
                <w:b/>
                <w:bCs/>
              </w:rPr>
              <w:lastRenderedPageBreak/>
              <w:t>Benefici</w:t>
            </w:r>
          </w:p>
        </w:tc>
        <w:tc>
          <w:tcPr>
            <w:tcW w:w="1071"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A75DF9" w:rsidRDefault="00023FE7">
            <w:pPr>
              <w:pStyle w:val="AppendixBodyText"/>
              <w:rPr>
                <w:rFonts w:ascii="Tahoma" w:hAnsi="Tahoma" w:cs="Tahoma"/>
                <w:b/>
                <w:bCs/>
              </w:rPr>
            </w:pPr>
            <w:r w:rsidRPr="00A75DF9">
              <w:rPr>
                <w:rFonts w:ascii="Tahoma" w:hAnsi="Tahoma" w:cs="Tahoma"/>
                <w:b/>
                <w:bCs/>
              </w:rPr>
              <w:t>Licenza Open</w:t>
            </w:r>
          </w:p>
        </w:tc>
        <w:tc>
          <w:tcPr>
            <w:tcW w:w="1134"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A75DF9" w:rsidRDefault="00023FE7" w:rsidP="007E466C">
            <w:pPr>
              <w:pStyle w:val="AppendixBodyText"/>
              <w:spacing w:before="120" w:after="120"/>
              <w:rPr>
                <w:rFonts w:ascii="Tahoma" w:hAnsi="Tahoma" w:cs="Tahoma"/>
                <w:b/>
              </w:rPr>
            </w:pPr>
            <w:r w:rsidRPr="00A75DF9">
              <w:rPr>
                <w:rFonts w:ascii="Tahoma" w:hAnsi="Tahoma" w:cs="Tahoma"/>
                <w:b/>
                <w:bCs/>
              </w:rPr>
              <w:t>Open Value(1)</w:t>
            </w:r>
          </w:p>
        </w:tc>
        <w:tc>
          <w:tcPr>
            <w:tcW w:w="1368"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A75DF9" w:rsidRDefault="00023FE7" w:rsidP="004B42EB">
            <w:pPr>
              <w:pStyle w:val="AppendixBodyText"/>
              <w:rPr>
                <w:rFonts w:ascii="Tahoma" w:hAnsi="Tahoma" w:cs="Tahoma"/>
              </w:rPr>
            </w:pPr>
            <w:r w:rsidRPr="00A75DF9">
              <w:rPr>
                <w:rFonts w:ascii="Tahoma" w:hAnsi="Tahoma" w:cs="Tahoma"/>
                <w:b/>
                <w:bCs/>
              </w:rPr>
              <w:t>Licenza Select / Select Plus</w:t>
            </w:r>
            <w:r w:rsidR="004B42EB">
              <w:rPr>
                <w:rFonts w:ascii="Tahoma" w:hAnsi="Tahoma" w:cs="Tahoma"/>
                <w:b/>
                <w:bCs/>
              </w:rPr>
              <w:t> </w:t>
            </w:r>
            <w:r w:rsidRPr="00A75DF9">
              <w:rPr>
                <w:rFonts w:ascii="Tahoma" w:hAnsi="Tahoma" w:cs="Tahoma"/>
                <w:b/>
                <w:bCs/>
              </w:rPr>
              <w:t>/ EA</w:t>
            </w:r>
          </w:p>
          <w:p w:rsidR="00023FE7" w:rsidRPr="00A75DF9" w:rsidRDefault="00023FE7">
            <w:pPr>
              <w:pStyle w:val="AppendixBodyText"/>
              <w:rPr>
                <w:rFonts w:ascii="Tahoma" w:hAnsi="Tahoma" w:cs="Tahoma"/>
                <w:b/>
                <w:bCs/>
              </w:rPr>
            </w:pPr>
            <w:r w:rsidRPr="00A75DF9">
              <w:rPr>
                <w:rFonts w:ascii="Tahoma" w:hAnsi="Tahoma" w:cs="Tahoma"/>
                <w:b/>
                <w:bCs/>
              </w:rPr>
              <w:t>Prezzo di riferimento</w:t>
            </w:r>
          </w:p>
        </w:tc>
        <w:tc>
          <w:tcPr>
            <w:tcW w:w="1440"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A75DF9" w:rsidRDefault="00023FE7" w:rsidP="004B42EB">
            <w:pPr>
              <w:pStyle w:val="AppendixBodyText"/>
              <w:rPr>
                <w:rFonts w:ascii="Tahoma" w:hAnsi="Tahoma" w:cs="Tahoma"/>
              </w:rPr>
            </w:pPr>
            <w:r w:rsidRPr="00A75DF9">
              <w:rPr>
                <w:rFonts w:ascii="Tahoma" w:hAnsi="Tahoma" w:cs="Tahoma"/>
                <w:b/>
                <w:bCs/>
              </w:rPr>
              <w:t>Licenza Select / Select Plus</w:t>
            </w:r>
            <w:r w:rsidR="004B42EB">
              <w:rPr>
                <w:rFonts w:ascii="Tahoma" w:hAnsi="Tahoma" w:cs="Tahoma"/>
                <w:b/>
                <w:bCs/>
              </w:rPr>
              <w:t> </w:t>
            </w:r>
            <w:r w:rsidRPr="00A75DF9">
              <w:rPr>
                <w:rFonts w:ascii="Tahoma" w:hAnsi="Tahoma" w:cs="Tahoma"/>
                <w:b/>
                <w:bCs/>
              </w:rPr>
              <w:t>/ EA</w:t>
            </w:r>
          </w:p>
          <w:p w:rsidR="00023FE7" w:rsidRPr="00A75DF9" w:rsidRDefault="00023FE7">
            <w:pPr>
              <w:pStyle w:val="AppendixBodyText"/>
              <w:rPr>
                <w:rFonts w:ascii="Tahoma" w:hAnsi="Tahoma" w:cs="Tahoma"/>
                <w:b/>
                <w:bCs/>
              </w:rPr>
            </w:pPr>
            <w:r w:rsidRPr="00A75DF9">
              <w:rPr>
                <w:rFonts w:ascii="Tahoma" w:hAnsi="Tahoma" w:cs="Tahoma"/>
                <w:b/>
                <w:bCs/>
              </w:rPr>
              <w:t>Prezzo di riferimento</w:t>
            </w:r>
          </w:p>
        </w:tc>
        <w:tc>
          <w:tcPr>
            <w:tcW w:w="1395"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A75DF9" w:rsidRDefault="00023FE7" w:rsidP="004B42EB">
            <w:pPr>
              <w:pStyle w:val="AppendixBodyText"/>
              <w:rPr>
                <w:rFonts w:ascii="Tahoma" w:hAnsi="Tahoma" w:cs="Tahoma"/>
              </w:rPr>
            </w:pPr>
            <w:r w:rsidRPr="00A75DF9">
              <w:rPr>
                <w:rFonts w:ascii="Tahoma" w:hAnsi="Tahoma" w:cs="Tahoma"/>
                <w:b/>
                <w:bCs/>
              </w:rPr>
              <w:t>Licenza Select / Select Plus</w:t>
            </w:r>
            <w:r w:rsidR="004B42EB">
              <w:rPr>
                <w:rFonts w:ascii="Tahoma" w:hAnsi="Tahoma" w:cs="Tahoma"/>
                <w:b/>
                <w:bCs/>
              </w:rPr>
              <w:t> </w:t>
            </w:r>
            <w:r w:rsidRPr="00A75DF9">
              <w:rPr>
                <w:rFonts w:ascii="Tahoma" w:hAnsi="Tahoma" w:cs="Tahoma"/>
                <w:b/>
                <w:bCs/>
              </w:rPr>
              <w:t>/ EA</w:t>
            </w:r>
          </w:p>
          <w:p w:rsidR="00023FE7" w:rsidRPr="00A75DF9" w:rsidRDefault="00023FE7">
            <w:pPr>
              <w:pStyle w:val="AppendixBodyText"/>
              <w:rPr>
                <w:rFonts w:ascii="Tahoma" w:hAnsi="Tahoma" w:cs="Tahoma"/>
                <w:b/>
                <w:bCs/>
              </w:rPr>
            </w:pPr>
            <w:r w:rsidRPr="00A75DF9">
              <w:rPr>
                <w:rFonts w:ascii="Tahoma" w:hAnsi="Tahoma" w:cs="Tahoma"/>
                <w:b/>
                <w:bCs/>
              </w:rPr>
              <w:t>Prezzo di riferimento</w:t>
            </w:r>
          </w:p>
        </w:tc>
        <w:tc>
          <w:tcPr>
            <w:tcW w:w="1357" w:type="dxa"/>
            <w:tcBorders>
              <w:top w:val="single" w:sz="8" w:space="0" w:color="auto"/>
              <w:left w:val="single" w:sz="8" w:space="0" w:color="auto"/>
              <w:bottom w:val="single" w:sz="8" w:space="0" w:color="auto"/>
              <w:right w:val="single" w:sz="8" w:space="0" w:color="auto"/>
            </w:tcBorders>
            <w:shd w:val="clear" w:color="auto" w:fill="FFCC99"/>
            <w:vAlign w:val="center"/>
          </w:tcPr>
          <w:p w:rsidR="00023FE7" w:rsidRPr="00A75DF9" w:rsidRDefault="00023FE7" w:rsidP="004B42EB">
            <w:pPr>
              <w:pStyle w:val="AppendixBodyText"/>
              <w:rPr>
                <w:rFonts w:ascii="Tahoma" w:hAnsi="Tahoma" w:cs="Tahoma"/>
              </w:rPr>
            </w:pPr>
            <w:r w:rsidRPr="00A75DF9">
              <w:rPr>
                <w:rFonts w:ascii="Tahoma" w:hAnsi="Tahoma" w:cs="Tahoma"/>
                <w:b/>
                <w:bCs/>
              </w:rPr>
              <w:t>Licenza Select / Select Plus</w:t>
            </w:r>
            <w:r w:rsidR="004B42EB">
              <w:rPr>
                <w:rFonts w:ascii="Tahoma" w:hAnsi="Tahoma" w:cs="Tahoma"/>
                <w:b/>
                <w:bCs/>
              </w:rPr>
              <w:t> </w:t>
            </w:r>
            <w:r w:rsidRPr="00A75DF9">
              <w:rPr>
                <w:rFonts w:ascii="Tahoma" w:hAnsi="Tahoma" w:cs="Tahoma"/>
                <w:b/>
                <w:bCs/>
              </w:rPr>
              <w:t>/ EA</w:t>
            </w:r>
          </w:p>
          <w:p w:rsidR="00023FE7" w:rsidRPr="00A75DF9" w:rsidRDefault="00023FE7">
            <w:pPr>
              <w:pStyle w:val="AppendixBodyText"/>
              <w:rPr>
                <w:rFonts w:ascii="Tahoma" w:hAnsi="Tahoma" w:cs="Tahoma"/>
                <w:b/>
                <w:bCs/>
              </w:rPr>
            </w:pPr>
            <w:r w:rsidRPr="00A75DF9">
              <w:rPr>
                <w:rFonts w:ascii="Tahoma" w:hAnsi="Tahoma" w:cs="Tahoma"/>
                <w:b/>
                <w:bCs/>
              </w:rPr>
              <w:t>Prezzo di riferimento</w:t>
            </w:r>
          </w:p>
        </w:tc>
      </w:tr>
      <w:tr w:rsidR="004B42EB" w:rsidRPr="00A75DF9" w:rsidTr="004B42EB">
        <w:trPr>
          <w:trHeight w:val="236"/>
        </w:trPr>
        <w:tc>
          <w:tcPr>
            <w:tcW w:w="1782" w:type="dxa"/>
            <w:vAlign w:val="center"/>
          </w:tcPr>
          <w:p w:rsidR="00023FE7" w:rsidRPr="00A75DF9" w:rsidRDefault="00023FE7">
            <w:pPr>
              <w:pStyle w:val="AppendixBodyText"/>
              <w:rPr>
                <w:rFonts w:ascii="Tahoma" w:hAnsi="Tahoma" w:cs="Tahoma"/>
                <w:sz w:val="18"/>
                <w:szCs w:val="18"/>
              </w:rPr>
            </w:pPr>
            <w:r w:rsidRPr="00A75DF9">
              <w:rPr>
                <w:rFonts w:ascii="Tahoma" w:hAnsi="Tahoma" w:cs="Tahoma"/>
                <w:sz w:val="18"/>
                <w:szCs w:val="18"/>
              </w:rPr>
              <w:t>N. di Contatti di Supporto Telefonico per la Risoluzione dei Problemi</w:t>
            </w:r>
          </w:p>
        </w:tc>
        <w:tc>
          <w:tcPr>
            <w:tcW w:w="1071" w:type="dxa"/>
            <w:vAlign w:val="center"/>
          </w:tcPr>
          <w:p w:rsidR="00023FE7" w:rsidRPr="00A75DF9" w:rsidRDefault="00620185">
            <w:pPr>
              <w:pStyle w:val="AppendixBodyText"/>
              <w:rPr>
                <w:rFonts w:ascii="Tahoma" w:hAnsi="Tahoma" w:cs="Tahoma"/>
                <w:sz w:val="18"/>
                <w:szCs w:val="18"/>
              </w:rPr>
            </w:pPr>
            <w:r w:rsidRPr="00A75DF9">
              <w:rPr>
                <w:rFonts w:ascii="Tahoma" w:hAnsi="Tahoma" w:cs="Tahoma"/>
                <w:sz w:val="18"/>
                <w:szCs w:val="18"/>
              </w:rPr>
              <w:t>In Base alle Necessità</w:t>
            </w:r>
          </w:p>
        </w:tc>
        <w:tc>
          <w:tcPr>
            <w:tcW w:w="1134" w:type="dxa"/>
            <w:vAlign w:val="center"/>
          </w:tcPr>
          <w:p w:rsidR="00023FE7" w:rsidRPr="00A75DF9" w:rsidRDefault="00023FE7">
            <w:pPr>
              <w:pStyle w:val="AppendixBodyText"/>
              <w:rPr>
                <w:rFonts w:ascii="Tahoma" w:hAnsi="Tahoma" w:cs="Tahoma"/>
                <w:sz w:val="18"/>
                <w:szCs w:val="18"/>
              </w:rPr>
            </w:pPr>
            <w:r w:rsidRPr="00A75DF9">
              <w:rPr>
                <w:rFonts w:ascii="Tahoma" w:hAnsi="Tahoma" w:cs="Tahoma"/>
                <w:sz w:val="18"/>
                <w:szCs w:val="18"/>
              </w:rPr>
              <w:t>In Base alle Necessità</w:t>
            </w:r>
          </w:p>
        </w:tc>
        <w:tc>
          <w:tcPr>
            <w:tcW w:w="1368" w:type="dxa"/>
            <w:vAlign w:val="center"/>
          </w:tcPr>
          <w:p w:rsidR="00023FE7" w:rsidRPr="00A75DF9" w:rsidRDefault="00023FE7">
            <w:pPr>
              <w:pStyle w:val="AppendixBodyText"/>
              <w:rPr>
                <w:rFonts w:ascii="Tahoma" w:hAnsi="Tahoma" w:cs="Tahoma"/>
                <w:sz w:val="18"/>
                <w:szCs w:val="18"/>
              </w:rPr>
            </w:pPr>
            <w:r w:rsidRPr="00A75DF9">
              <w:rPr>
                <w:rFonts w:ascii="Tahoma" w:hAnsi="Tahoma" w:cs="Tahoma"/>
                <w:sz w:val="18"/>
                <w:szCs w:val="18"/>
              </w:rPr>
              <w:t>In Base alle Necessità</w:t>
            </w:r>
          </w:p>
        </w:tc>
        <w:tc>
          <w:tcPr>
            <w:tcW w:w="1440" w:type="dxa"/>
            <w:vAlign w:val="center"/>
          </w:tcPr>
          <w:p w:rsidR="00023FE7" w:rsidRPr="00A75DF9" w:rsidRDefault="00023FE7">
            <w:pPr>
              <w:pStyle w:val="AppendixBodyText"/>
              <w:rPr>
                <w:rFonts w:ascii="Tahoma" w:hAnsi="Tahoma" w:cs="Tahoma"/>
                <w:sz w:val="18"/>
                <w:szCs w:val="18"/>
              </w:rPr>
            </w:pPr>
            <w:r w:rsidRPr="00A75DF9">
              <w:rPr>
                <w:rFonts w:ascii="Tahoma" w:hAnsi="Tahoma" w:cs="Tahoma"/>
                <w:sz w:val="18"/>
                <w:szCs w:val="18"/>
              </w:rPr>
              <w:t>In Base alle Necessità</w:t>
            </w:r>
          </w:p>
        </w:tc>
        <w:tc>
          <w:tcPr>
            <w:tcW w:w="1395" w:type="dxa"/>
            <w:vAlign w:val="center"/>
          </w:tcPr>
          <w:p w:rsidR="00023FE7" w:rsidRPr="00A75DF9" w:rsidRDefault="00023FE7">
            <w:pPr>
              <w:pStyle w:val="AppendixBodyText"/>
              <w:rPr>
                <w:rFonts w:ascii="Tahoma" w:hAnsi="Tahoma" w:cs="Tahoma"/>
                <w:sz w:val="18"/>
                <w:szCs w:val="18"/>
              </w:rPr>
            </w:pPr>
            <w:r w:rsidRPr="00A75DF9">
              <w:rPr>
                <w:rFonts w:ascii="Tahoma" w:hAnsi="Tahoma" w:cs="Tahoma"/>
                <w:sz w:val="18"/>
                <w:szCs w:val="18"/>
              </w:rPr>
              <w:t>In Base alle Necessità</w:t>
            </w:r>
          </w:p>
        </w:tc>
        <w:tc>
          <w:tcPr>
            <w:tcW w:w="1357" w:type="dxa"/>
            <w:vAlign w:val="center"/>
          </w:tcPr>
          <w:p w:rsidR="00023FE7" w:rsidRPr="00A75DF9" w:rsidRDefault="00023FE7">
            <w:pPr>
              <w:pStyle w:val="AppendixBodyText"/>
              <w:rPr>
                <w:rFonts w:ascii="Tahoma" w:hAnsi="Tahoma" w:cs="Tahoma"/>
                <w:sz w:val="18"/>
                <w:szCs w:val="18"/>
              </w:rPr>
            </w:pPr>
            <w:r w:rsidRPr="00A75DF9">
              <w:rPr>
                <w:rFonts w:ascii="Tahoma" w:hAnsi="Tahoma" w:cs="Tahoma"/>
                <w:sz w:val="18"/>
                <w:szCs w:val="18"/>
              </w:rPr>
              <w:t>In Base alle Necessità</w:t>
            </w:r>
          </w:p>
        </w:tc>
      </w:tr>
      <w:tr w:rsidR="004B42EB" w:rsidRPr="00A75DF9" w:rsidTr="004B42EB">
        <w:trPr>
          <w:trHeight w:val="236"/>
        </w:trPr>
        <w:tc>
          <w:tcPr>
            <w:tcW w:w="1782" w:type="dxa"/>
            <w:vAlign w:val="center"/>
          </w:tcPr>
          <w:p w:rsidR="00023FE7" w:rsidRPr="00A75DF9" w:rsidRDefault="00023FE7">
            <w:pPr>
              <w:pStyle w:val="AppendixBodyText"/>
              <w:rPr>
                <w:rFonts w:ascii="Tahoma" w:hAnsi="Tahoma" w:cs="Tahoma"/>
                <w:sz w:val="18"/>
                <w:szCs w:val="18"/>
              </w:rPr>
            </w:pPr>
            <w:r w:rsidRPr="00A75DF9">
              <w:rPr>
                <w:rFonts w:ascii="Tahoma" w:hAnsi="Tahoma" w:cs="Tahoma"/>
                <w:sz w:val="18"/>
                <w:szCs w:val="18"/>
              </w:rPr>
              <w:t>N. di Contatti Autorizzati per il Supporto Web</w:t>
            </w:r>
          </w:p>
        </w:tc>
        <w:tc>
          <w:tcPr>
            <w:tcW w:w="1071" w:type="dxa"/>
            <w:vAlign w:val="center"/>
          </w:tcPr>
          <w:p w:rsidR="00023FE7" w:rsidRPr="00A75DF9" w:rsidRDefault="00023FE7">
            <w:pPr>
              <w:pStyle w:val="AppendixBodyText"/>
              <w:rPr>
                <w:rFonts w:ascii="Tahoma" w:hAnsi="Tahoma" w:cs="Tahoma"/>
                <w:sz w:val="18"/>
                <w:szCs w:val="18"/>
              </w:rPr>
            </w:pPr>
            <w:r w:rsidRPr="00A75DF9">
              <w:rPr>
                <w:rFonts w:ascii="Tahoma" w:hAnsi="Tahoma" w:cs="Tahoma"/>
                <w:sz w:val="18"/>
                <w:szCs w:val="18"/>
              </w:rPr>
              <w:t>ND</w:t>
            </w:r>
          </w:p>
        </w:tc>
        <w:tc>
          <w:tcPr>
            <w:tcW w:w="1134" w:type="dxa"/>
            <w:vAlign w:val="center"/>
          </w:tcPr>
          <w:p w:rsidR="00023FE7" w:rsidRPr="00A75DF9" w:rsidRDefault="00023FE7">
            <w:pPr>
              <w:pStyle w:val="AppendixBodyText"/>
              <w:rPr>
                <w:rFonts w:ascii="Tahoma" w:hAnsi="Tahoma" w:cs="Tahoma"/>
                <w:sz w:val="18"/>
                <w:szCs w:val="18"/>
              </w:rPr>
            </w:pPr>
            <w:r w:rsidRPr="00A75DF9">
              <w:rPr>
                <w:rFonts w:ascii="Tahoma" w:hAnsi="Tahoma" w:cs="Tahoma"/>
                <w:sz w:val="18"/>
                <w:szCs w:val="18"/>
              </w:rPr>
              <w:t>1</w:t>
            </w:r>
          </w:p>
        </w:tc>
        <w:tc>
          <w:tcPr>
            <w:tcW w:w="1368" w:type="dxa"/>
            <w:vAlign w:val="center"/>
          </w:tcPr>
          <w:p w:rsidR="00023FE7" w:rsidRPr="00A75DF9" w:rsidRDefault="00023FE7">
            <w:pPr>
              <w:pStyle w:val="AppendixBodyText"/>
              <w:rPr>
                <w:rFonts w:ascii="Tahoma" w:hAnsi="Tahoma" w:cs="Tahoma"/>
                <w:sz w:val="18"/>
                <w:szCs w:val="18"/>
              </w:rPr>
            </w:pPr>
            <w:r w:rsidRPr="00A75DF9">
              <w:rPr>
                <w:rFonts w:ascii="Tahoma" w:hAnsi="Tahoma" w:cs="Tahoma"/>
                <w:sz w:val="18"/>
                <w:szCs w:val="18"/>
              </w:rPr>
              <w:t>2</w:t>
            </w:r>
          </w:p>
        </w:tc>
        <w:tc>
          <w:tcPr>
            <w:tcW w:w="1440" w:type="dxa"/>
            <w:vAlign w:val="center"/>
          </w:tcPr>
          <w:p w:rsidR="00023FE7" w:rsidRPr="00A75DF9" w:rsidRDefault="00023FE7">
            <w:pPr>
              <w:pStyle w:val="AppendixBodyText"/>
              <w:rPr>
                <w:rFonts w:ascii="Tahoma" w:hAnsi="Tahoma" w:cs="Tahoma"/>
                <w:sz w:val="18"/>
                <w:szCs w:val="18"/>
              </w:rPr>
            </w:pPr>
            <w:r w:rsidRPr="00A75DF9">
              <w:rPr>
                <w:rFonts w:ascii="Tahoma" w:hAnsi="Tahoma" w:cs="Tahoma"/>
                <w:sz w:val="18"/>
                <w:szCs w:val="18"/>
              </w:rPr>
              <w:t>4</w:t>
            </w:r>
          </w:p>
        </w:tc>
        <w:tc>
          <w:tcPr>
            <w:tcW w:w="1395" w:type="dxa"/>
            <w:vAlign w:val="center"/>
          </w:tcPr>
          <w:p w:rsidR="00023FE7" w:rsidRPr="00A75DF9" w:rsidRDefault="00023FE7">
            <w:pPr>
              <w:pStyle w:val="AppendixBodyText"/>
              <w:rPr>
                <w:rFonts w:ascii="Tahoma" w:hAnsi="Tahoma" w:cs="Tahoma"/>
                <w:sz w:val="18"/>
                <w:szCs w:val="18"/>
              </w:rPr>
            </w:pPr>
            <w:r w:rsidRPr="00A75DF9">
              <w:rPr>
                <w:rFonts w:ascii="Tahoma" w:hAnsi="Tahoma" w:cs="Tahoma"/>
                <w:sz w:val="18"/>
                <w:szCs w:val="18"/>
              </w:rPr>
              <w:t>8</w:t>
            </w:r>
          </w:p>
        </w:tc>
        <w:tc>
          <w:tcPr>
            <w:tcW w:w="1357" w:type="dxa"/>
            <w:vAlign w:val="center"/>
          </w:tcPr>
          <w:p w:rsidR="00023FE7" w:rsidRPr="00A75DF9" w:rsidRDefault="00023FE7">
            <w:pPr>
              <w:pStyle w:val="AppendixBodyText"/>
              <w:rPr>
                <w:rFonts w:ascii="Tahoma" w:hAnsi="Tahoma" w:cs="Tahoma"/>
                <w:sz w:val="18"/>
                <w:szCs w:val="18"/>
              </w:rPr>
            </w:pPr>
            <w:r w:rsidRPr="00A75DF9">
              <w:rPr>
                <w:rFonts w:ascii="Tahoma" w:hAnsi="Tahoma" w:cs="Tahoma"/>
                <w:sz w:val="18"/>
                <w:szCs w:val="18"/>
              </w:rPr>
              <w:t>16</w:t>
            </w:r>
          </w:p>
        </w:tc>
      </w:tr>
    </w:tbl>
    <w:p w:rsidR="00023FE7" w:rsidRPr="004B42EB" w:rsidRDefault="00023FE7" w:rsidP="00F42FB8">
      <w:pPr>
        <w:pStyle w:val="AppendixBodyText"/>
        <w:spacing w:after="0"/>
        <w:rPr>
          <w:rFonts w:ascii="Tahoma" w:hAnsi="Tahoma" w:cs="Tahoma"/>
          <w:sz w:val="18"/>
          <w:szCs w:val="18"/>
        </w:rPr>
      </w:pPr>
    </w:p>
    <w:p w:rsidR="001C20C9" w:rsidRPr="004B42EB" w:rsidRDefault="00023FE7" w:rsidP="00F93617">
      <w:pPr>
        <w:spacing w:after="60"/>
        <w:rPr>
          <w:rFonts w:cs="Tahoma"/>
          <w:szCs w:val="18"/>
        </w:rPr>
      </w:pPr>
      <w:bookmarkStart w:id="747" w:name="_Toc240899166"/>
      <w:r w:rsidRPr="004B42EB">
        <w:rPr>
          <w:rFonts w:cs="Tahoma"/>
          <w:b/>
          <w:szCs w:val="18"/>
        </w:rPr>
        <w:t>Livello di Servizio per le Società con Copertura Software Assurance</w:t>
      </w:r>
      <w:bookmarkEnd w:id="747"/>
    </w:p>
    <w:p w:rsidR="00023FE7" w:rsidRPr="004B42EB" w:rsidRDefault="00023FE7" w:rsidP="00F42FB8">
      <w:pPr>
        <w:pStyle w:val="AppendixBodyText"/>
        <w:spacing w:after="0"/>
        <w:rPr>
          <w:rFonts w:ascii="Tahoma" w:hAnsi="Tahoma" w:cs="Tahoma"/>
          <w:sz w:val="18"/>
          <w:szCs w:val="18"/>
        </w:rPr>
      </w:pPr>
    </w:p>
    <w:p w:rsidR="00023FE7" w:rsidRPr="004B42EB" w:rsidRDefault="00023FE7" w:rsidP="004B42EB">
      <w:pPr>
        <w:pStyle w:val="AppendixBodyText"/>
        <w:spacing w:after="0"/>
        <w:rPr>
          <w:rFonts w:ascii="Tahoma" w:hAnsi="Tahoma" w:cs="Tahoma"/>
          <w:sz w:val="18"/>
          <w:szCs w:val="18"/>
        </w:rPr>
      </w:pPr>
      <w:r w:rsidRPr="004B42EB">
        <w:rPr>
          <w:rFonts w:ascii="Tahoma" w:hAnsi="Tahoma" w:cs="Tahoma"/>
          <w:sz w:val="18"/>
          <w:szCs w:val="18"/>
        </w:rPr>
        <w:t>Le richieste di supporto potranno essere formulate telefonicamente o inviate in formato elettronico dalle persone di</w:t>
      </w:r>
      <w:r w:rsidR="004B42EB">
        <w:rPr>
          <w:rFonts w:ascii="Tahoma" w:hAnsi="Tahoma" w:cs="Tahoma"/>
          <w:sz w:val="18"/>
          <w:szCs w:val="18"/>
        </w:rPr>
        <w:t> </w:t>
      </w:r>
      <w:r w:rsidRPr="004B42EB">
        <w:rPr>
          <w:rFonts w:ascii="Tahoma" w:hAnsi="Tahoma" w:cs="Tahoma"/>
          <w:sz w:val="18"/>
          <w:szCs w:val="18"/>
        </w:rPr>
        <w:t xml:space="preserve">contatto designate dalla società, a eccezione delle richieste con Severity A e B, che dovranno essere formulate, invece, solo telefonicamente, come descritto di seguito. </w:t>
      </w:r>
    </w:p>
    <w:p w:rsidR="00023FE7" w:rsidRPr="004B42EB" w:rsidRDefault="00023FE7" w:rsidP="00F42FB8">
      <w:pPr>
        <w:pStyle w:val="AppendixBodyText"/>
        <w:spacing w:after="0"/>
        <w:rPr>
          <w:rFonts w:ascii="Tahoma" w:hAnsi="Tahoma" w:cs="Tahoma"/>
          <w:sz w:val="18"/>
          <w:szCs w:val="18"/>
        </w:rPr>
      </w:pPr>
    </w:p>
    <w:p w:rsidR="00023FE7" w:rsidRPr="004B42EB" w:rsidRDefault="00023FE7" w:rsidP="00F93617">
      <w:pPr>
        <w:pStyle w:val="AppendixBodyText"/>
        <w:spacing w:after="0"/>
        <w:rPr>
          <w:rFonts w:ascii="Tahoma" w:hAnsi="Tahoma" w:cs="Tahoma"/>
          <w:sz w:val="18"/>
          <w:szCs w:val="18"/>
        </w:rPr>
      </w:pPr>
      <w:r w:rsidRPr="004B42EB">
        <w:rPr>
          <w:rFonts w:ascii="Tahoma" w:hAnsi="Tahoma" w:cs="Tahoma"/>
          <w:sz w:val="18"/>
          <w:szCs w:val="18"/>
        </w:rPr>
        <w:t>Le società avranno la responsabilità di indicare il livello di gravità iniziale in collaborazione con Microsoft. Potranno tuttavia richiedere di modificare il livello di gravità in qualsiasi momento.</w:t>
      </w:r>
      <w:r w:rsidR="009D3B41" w:rsidRPr="004B42EB">
        <w:rPr>
          <w:rFonts w:ascii="Tahoma" w:hAnsi="Tahoma" w:cs="Tahoma"/>
          <w:sz w:val="18"/>
          <w:szCs w:val="18"/>
        </w:rPr>
        <w:t xml:space="preserve"> </w:t>
      </w:r>
      <w:r w:rsidRPr="004B42EB">
        <w:rPr>
          <w:rFonts w:ascii="Tahoma" w:hAnsi="Tahoma" w:cs="Tahoma"/>
          <w:sz w:val="18"/>
          <w:szCs w:val="18"/>
        </w:rPr>
        <w:t>La gravità dell</w:t>
      </w:r>
      <w:r w:rsidR="00F2643E">
        <w:rPr>
          <w:rFonts w:ascii="Tahoma" w:hAnsi="Tahoma" w:cs="Tahoma"/>
          <w:sz w:val="18"/>
          <w:szCs w:val="18"/>
        </w:rPr>
        <w:t>’</w:t>
      </w:r>
      <w:r w:rsidRPr="004B42EB">
        <w:rPr>
          <w:rFonts w:ascii="Tahoma" w:hAnsi="Tahoma" w:cs="Tahoma"/>
          <w:sz w:val="18"/>
          <w:szCs w:val="18"/>
        </w:rPr>
        <w:t>intervento determinerà i livelli di risposta da parte di Microsoft. I tempi di risposta previsti e le responsabilità delle società sono definiti nella seguente tabella:</w:t>
      </w:r>
    </w:p>
    <w:p w:rsidR="00F42FB8" w:rsidRPr="004B42EB" w:rsidRDefault="00F42FB8" w:rsidP="00F93617">
      <w:pPr>
        <w:pStyle w:val="AppendixBodyText"/>
        <w:spacing w:after="0"/>
        <w:rPr>
          <w:rFonts w:ascii="Tahoma" w:hAnsi="Tahoma" w:cs="Tahoma"/>
          <w:sz w:val="18"/>
          <w:szCs w:val="18"/>
        </w:rPr>
      </w:pPr>
    </w:p>
    <w:tbl>
      <w:tblPr>
        <w:tblW w:w="9540" w:type="dxa"/>
        <w:tblInd w:w="108" w:type="dxa"/>
        <w:tblLayout w:type="fixed"/>
        <w:tblCellMar>
          <w:left w:w="0" w:type="dxa"/>
          <w:right w:w="0" w:type="dxa"/>
        </w:tblCellMar>
        <w:tblLook w:val="0000" w:firstRow="0" w:lastRow="0" w:firstColumn="0" w:lastColumn="0" w:noHBand="0" w:noVBand="0"/>
      </w:tblPr>
      <w:tblGrid>
        <w:gridCol w:w="1323"/>
        <w:gridCol w:w="2529"/>
        <w:gridCol w:w="2808"/>
        <w:gridCol w:w="2880"/>
      </w:tblGrid>
      <w:tr w:rsidR="00023FE7" w:rsidRPr="00A75DF9" w:rsidTr="004B42EB">
        <w:trPr>
          <w:trHeight w:val="477"/>
          <w:tblHeader/>
        </w:trPr>
        <w:tc>
          <w:tcPr>
            <w:tcW w:w="1323" w:type="dxa"/>
            <w:tcBorders>
              <w:top w:val="single" w:sz="8" w:space="0" w:color="auto"/>
              <w:left w:val="single" w:sz="8" w:space="0" w:color="auto"/>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A75DF9" w:rsidRDefault="00023FE7">
            <w:pPr>
              <w:pStyle w:val="AppendixBodyText"/>
              <w:spacing w:after="0"/>
              <w:jc w:val="center"/>
              <w:rPr>
                <w:rFonts w:ascii="Tahoma" w:hAnsi="Tahoma" w:cs="Tahoma"/>
                <w:b/>
                <w:bCs/>
              </w:rPr>
            </w:pPr>
            <w:r w:rsidRPr="00A75DF9">
              <w:rPr>
                <w:rFonts w:ascii="Tahoma" w:hAnsi="Tahoma" w:cs="Tahoma"/>
                <w:b/>
                <w:bCs/>
              </w:rPr>
              <w:t>Severity</w:t>
            </w:r>
          </w:p>
        </w:tc>
        <w:tc>
          <w:tcPr>
            <w:tcW w:w="2529"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A75DF9" w:rsidRDefault="00023FE7">
            <w:pPr>
              <w:pStyle w:val="AppendixBodyText"/>
              <w:spacing w:after="0"/>
              <w:jc w:val="center"/>
              <w:rPr>
                <w:rFonts w:ascii="Tahoma" w:hAnsi="Tahoma" w:cs="Tahoma"/>
                <w:b/>
                <w:bCs/>
              </w:rPr>
            </w:pPr>
            <w:r w:rsidRPr="00A75DF9">
              <w:rPr>
                <w:rFonts w:ascii="Tahoma" w:hAnsi="Tahoma" w:cs="Tahoma"/>
                <w:b/>
                <w:bCs/>
              </w:rPr>
              <w:t>Situazione</w:t>
            </w:r>
          </w:p>
        </w:tc>
        <w:tc>
          <w:tcPr>
            <w:tcW w:w="2808"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A75DF9" w:rsidRDefault="00023FE7">
            <w:pPr>
              <w:pStyle w:val="AppendixBodyText"/>
              <w:spacing w:after="0"/>
              <w:jc w:val="center"/>
              <w:rPr>
                <w:rFonts w:ascii="Tahoma" w:hAnsi="Tahoma" w:cs="Tahoma"/>
                <w:b/>
                <w:bCs/>
              </w:rPr>
            </w:pPr>
            <w:r w:rsidRPr="00A75DF9">
              <w:rPr>
                <w:rFonts w:ascii="Tahoma" w:hAnsi="Tahoma" w:cs="Tahoma"/>
                <w:b/>
                <w:bCs/>
              </w:rPr>
              <w:t>Risposta Microsoft Prevista</w:t>
            </w:r>
          </w:p>
        </w:tc>
        <w:tc>
          <w:tcPr>
            <w:tcW w:w="2880" w:type="dxa"/>
            <w:tcBorders>
              <w:top w:val="single" w:sz="8" w:space="0" w:color="auto"/>
              <w:left w:val="nil"/>
              <w:bottom w:val="single" w:sz="8" w:space="0" w:color="auto"/>
              <w:right w:val="single" w:sz="8" w:space="0" w:color="auto"/>
            </w:tcBorders>
            <w:shd w:val="clear" w:color="auto" w:fill="FFCC99"/>
            <w:tcMar>
              <w:top w:w="0" w:type="dxa"/>
              <w:left w:w="108" w:type="dxa"/>
              <w:bottom w:w="0" w:type="dxa"/>
              <w:right w:w="108" w:type="dxa"/>
            </w:tcMar>
            <w:vAlign w:val="center"/>
          </w:tcPr>
          <w:p w:rsidR="00023FE7" w:rsidRPr="00A75DF9" w:rsidRDefault="00023FE7">
            <w:pPr>
              <w:pStyle w:val="AppendixBodyText"/>
              <w:spacing w:after="0"/>
              <w:jc w:val="center"/>
              <w:rPr>
                <w:rFonts w:ascii="Tahoma" w:hAnsi="Tahoma" w:cs="Tahoma"/>
                <w:b/>
                <w:bCs/>
              </w:rPr>
            </w:pPr>
            <w:r w:rsidRPr="00A75DF9">
              <w:rPr>
                <w:rFonts w:ascii="Tahoma" w:hAnsi="Tahoma" w:cs="Tahoma"/>
                <w:b/>
                <w:bCs/>
              </w:rPr>
              <w:t>Risposta della Società Prevista</w:t>
            </w:r>
          </w:p>
        </w:tc>
      </w:tr>
      <w:tr w:rsidR="00023FE7" w:rsidRPr="00A75DF9" w:rsidTr="004B42EB">
        <w:tc>
          <w:tcPr>
            <w:tcW w:w="132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A75DF9" w:rsidRDefault="00023FE7">
            <w:pPr>
              <w:pStyle w:val="AppendixBodyText"/>
              <w:rPr>
                <w:rFonts w:ascii="Tahoma" w:hAnsi="Tahoma" w:cs="Tahoma"/>
                <w:sz w:val="18"/>
                <w:szCs w:val="18"/>
              </w:rPr>
            </w:pPr>
            <w:r w:rsidRPr="00A75DF9">
              <w:rPr>
                <w:rFonts w:ascii="Tahoma" w:hAnsi="Tahoma" w:cs="Tahoma"/>
                <w:sz w:val="18"/>
                <w:szCs w:val="18"/>
              </w:rPr>
              <w:t xml:space="preserve">A Formulazione telefonica </w:t>
            </w:r>
          </w:p>
        </w:tc>
        <w:tc>
          <w:tcPr>
            <w:tcW w:w="2529" w:type="dxa"/>
            <w:tcBorders>
              <w:top w:val="nil"/>
              <w:left w:val="nil"/>
              <w:bottom w:val="single" w:sz="8" w:space="0" w:color="auto"/>
              <w:right w:val="single" w:sz="8" w:space="0" w:color="auto"/>
            </w:tcBorders>
            <w:tcMar>
              <w:top w:w="0" w:type="dxa"/>
              <w:left w:w="108" w:type="dxa"/>
              <w:bottom w:w="0" w:type="dxa"/>
              <w:right w:w="108" w:type="dxa"/>
            </w:tcMar>
          </w:tcPr>
          <w:p w:rsidR="00023FE7" w:rsidRPr="004B42EB" w:rsidRDefault="00023FE7" w:rsidP="0027028A">
            <w:pPr>
              <w:pStyle w:val="AppendixBodyText"/>
              <w:numPr>
                <w:ilvl w:val="0"/>
                <w:numId w:val="2"/>
              </w:numPr>
              <w:tabs>
                <w:tab w:val="clear" w:pos="1440"/>
                <w:tab w:val="num" w:pos="612"/>
              </w:tabs>
              <w:ind w:left="612"/>
              <w:rPr>
                <w:rFonts w:ascii="Tahoma" w:hAnsi="Tahoma" w:cs="Tahoma"/>
                <w:sz w:val="18"/>
                <w:szCs w:val="18"/>
              </w:rPr>
            </w:pPr>
            <w:r w:rsidRPr="004B42EB">
              <w:rPr>
                <w:rFonts w:ascii="Tahoma" w:hAnsi="Tahoma" w:cs="Tahoma"/>
                <w:sz w:val="18"/>
                <w:szCs w:val="18"/>
              </w:rPr>
              <w:t xml:space="preserve">Impatto commerciale critico </w:t>
            </w:r>
          </w:p>
          <w:p w:rsidR="00023FE7" w:rsidRPr="004B42EB" w:rsidRDefault="00023FE7" w:rsidP="0027028A">
            <w:pPr>
              <w:pStyle w:val="AppendixBodyText"/>
              <w:numPr>
                <w:ilvl w:val="0"/>
                <w:numId w:val="2"/>
              </w:numPr>
              <w:tabs>
                <w:tab w:val="clear" w:pos="1440"/>
                <w:tab w:val="num" w:pos="612"/>
              </w:tabs>
              <w:ind w:left="612"/>
              <w:rPr>
                <w:rFonts w:ascii="Tahoma" w:hAnsi="Tahoma" w:cs="Tahoma"/>
                <w:sz w:val="18"/>
                <w:szCs w:val="18"/>
              </w:rPr>
            </w:pPr>
            <w:r w:rsidRPr="004B42EB">
              <w:rPr>
                <w:rFonts w:ascii="Tahoma" w:hAnsi="Tahoma" w:cs="Tahoma"/>
                <w:sz w:val="18"/>
                <w:szCs w:val="18"/>
              </w:rPr>
              <w:t>Perdita o degradazione significativa dei servizi della società</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023FE7" w:rsidRPr="004B42EB" w:rsidRDefault="00023FE7" w:rsidP="0027028A">
            <w:pPr>
              <w:pStyle w:val="AppendixBodyText"/>
              <w:numPr>
                <w:ilvl w:val="0"/>
                <w:numId w:val="2"/>
              </w:numPr>
              <w:tabs>
                <w:tab w:val="clear" w:pos="1440"/>
                <w:tab w:val="num" w:pos="522"/>
              </w:tabs>
              <w:ind w:left="522"/>
              <w:rPr>
                <w:rFonts w:ascii="Tahoma" w:hAnsi="Tahoma" w:cs="Tahoma"/>
                <w:sz w:val="18"/>
                <w:szCs w:val="18"/>
              </w:rPr>
            </w:pPr>
            <w:r w:rsidRPr="004B42EB">
              <w:rPr>
                <w:rFonts w:ascii="Tahoma" w:hAnsi="Tahoma" w:cs="Tahoma"/>
                <w:sz w:val="18"/>
                <w:szCs w:val="18"/>
              </w:rPr>
              <w:t xml:space="preserve"> Risposta alla prima chiamata entro 2 ore lavorative, in base all</w:t>
            </w:r>
            <w:r w:rsidR="00F2643E">
              <w:rPr>
                <w:rFonts w:ascii="Tahoma" w:hAnsi="Tahoma" w:cs="Tahoma"/>
                <w:sz w:val="18"/>
                <w:szCs w:val="18"/>
              </w:rPr>
              <w:t>’</w:t>
            </w:r>
            <w:r w:rsidRPr="004B42EB">
              <w:rPr>
                <w:rFonts w:ascii="Tahoma" w:hAnsi="Tahoma" w:cs="Tahoma"/>
                <w:sz w:val="18"/>
                <w:szCs w:val="18"/>
              </w:rPr>
              <w:t>offerta di supporto</w:t>
            </w:r>
          </w:p>
          <w:p w:rsidR="00023FE7" w:rsidRPr="004B42EB" w:rsidRDefault="00023FE7" w:rsidP="0027028A">
            <w:pPr>
              <w:pStyle w:val="AppendixBodyText"/>
              <w:numPr>
                <w:ilvl w:val="0"/>
                <w:numId w:val="2"/>
              </w:numPr>
              <w:tabs>
                <w:tab w:val="clear" w:pos="1440"/>
                <w:tab w:val="num" w:pos="522"/>
              </w:tabs>
              <w:ind w:left="522"/>
              <w:rPr>
                <w:rFonts w:ascii="Tahoma" w:hAnsi="Tahoma" w:cs="Tahoma"/>
                <w:sz w:val="18"/>
                <w:szCs w:val="18"/>
              </w:rPr>
            </w:pPr>
            <w:r w:rsidRPr="004B42EB">
              <w:rPr>
                <w:rFonts w:ascii="Tahoma" w:hAnsi="Tahoma" w:cs="Tahoma"/>
                <w:sz w:val="18"/>
                <w:szCs w:val="18"/>
              </w:rPr>
              <w:t>Risorse Microsoft presso la sede della società, come richiesto.</w:t>
            </w:r>
          </w:p>
          <w:p w:rsidR="00023FE7" w:rsidRPr="004B42EB" w:rsidRDefault="00023FE7" w:rsidP="0027028A">
            <w:pPr>
              <w:pStyle w:val="AppendixBodyText"/>
              <w:numPr>
                <w:ilvl w:val="0"/>
                <w:numId w:val="2"/>
              </w:numPr>
              <w:tabs>
                <w:tab w:val="clear" w:pos="1440"/>
                <w:tab w:val="num" w:pos="522"/>
              </w:tabs>
              <w:ind w:left="522"/>
              <w:rPr>
                <w:rFonts w:ascii="Tahoma" w:hAnsi="Tahoma" w:cs="Tahoma"/>
                <w:sz w:val="18"/>
                <w:szCs w:val="18"/>
              </w:rPr>
            </w:pPr>
            <w:r w:rsidRPr="004B42EB">
              <w:rPr>
                <w:rFonts w:ascii="Tahoma" w:hAnsi="Tahoma" w:cs="Tahoma"/>
                <w:sz w:val="18"/>
                <w:szCs w:val="18"/>
              </w:rPr>
              <w:t>Impegno continuo 24x7</w:t>
            </w:r>
          </w:p>
          <w:p w:rsidR="00023FE7" w:rsidRPr="004B42EB" w:rsidRDefault="00023FE7" w:rsidP="0027028A">
            <w:pPr>
              <w:pStyle w:val="AppendixBodyText"/>
              <w:numPr>
                <w:ilvl w:val="0"/>
                <w:numId w:val="2"/>
              </w:numPr>
              <w:tabs>
                <w:tab w:val="clear" w:pos="1440"/>
                <w:tab w:val="num" w:pos="522"/>
              </w:tabs>
              <w:ind w:left="522"/>
              <w:rPr>
                <w:rFonts w:ascii="Tahoma" w:hAnsi="Tahoma" w:cs="Tahoma"/>
                <w:sz w:val="18"/>
                <w:szCs w:val="18"/>
              </w:rPr>
            </w:pPr>
            <w:r w:rsidRPr="004B42EB">
              <w:rPr>
                <w:rFonts w:ascii="Tahoma" w:hAnsi="Tahoma" w:cs="Tahoma"/>
                <w:sz w:val="18"/>
                <w:szCs w:val="18"/>
              </w:rPr>
              <w:t>Comunicazione del Senior Management di Microsoft, in base all</w:t>
            </w:r>
            <w:r w:rsidR="00F2643E">
              <w:rPr>
                <w:rFonts w:ascii="Tahoma" w:hAnsi="Tahoma" w:cs="Tahoma"/>
                <w:sz w:val="18"/>
                <w:szCs w:val="18"/>
              </w:rPr>
              <w:t>’</w:t>
            </w:r>
            <w:r w:rsidRPr="004B42EB">
              <w:rPr>
                <w:rFonts w:ascii="Tahoma" w:hAnsi="Tahoma" w:cs="Tahoma"/>
                <w:sz w:val="18"/>
                <w:szCs w:val="18"/>
              </w:rPr>
              <w:t>offerta di supporto</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4B42EB" w:rsidRDefault="00023FE7" w:rsidP="0027028A">
            <w:pPr>
              <w:pStyle w:val="AppendixBodyText"/>
              <w:numPr>
                <w:ilvl w:val="0"/>
                <w:numId w:val="2"/>
              </w:numPr>
              <w:tabs>
                <w:tab w:val="clear" w:pos="1440"/>
              </w:tabs>
              <w:ind w:left="432"/>
              <w:rPr>
                <w:rFonts w:ascii="Tahoma" w:hAnsi="Tahoma" w:cs="Tahoma"/>
                <w:sz w:val="18"/>
                <w:szCs w:val="18"/>
              </w:rPr>
            </w:pPr>
            <w:r w:rsidRPr="004B42EB">
              <w:rPr>
                <w:rFonts w:ascii="Tahoma" w:hAnsi="Tahoma" w:cs="Tahoma"/>
                <w:sz w:val="18"/>
                <w:szCs w:val="18"/>
              </w:rPr>
              <w:t>Allocazione delle risorse appropriate per sostenere l</w:t>
            </w:r>
            <w:r w:rsidR="00F2643E">
              <w:rPr>
                <w:rFonts w:ascii="Tahoma" w:hAnsi="Tahoma" w:cs="Tahoma"/>
                <w:sz w:val="18"/>
                <w:szCs w:val="18"/>
              </w:rPr>
              <w:t>’</w:t>
            </w:r>
            <w:r w:rsidRPr="004B42EB">
              <w:rPr>
                <w:rFonts w:ascii="Tahoma" w:hAnsi="Tahoma" w:cs="Tahoma"/>
                <w:sz w:val="18"/>
                <w:szCs w:val="18"/>
              </w:rPr>
              <w:t>impegno continuo 24x7</w:t>
            </w:r>
            <w:r w:rsidRPr="004B42EB">
              <w:rPr>
                <w:rFonts w:ascii="Tahoma" w:hAnsi="Tahoma" w:cs="Tahoma"/>
                <w:sz w:val="18"/>
                <w:szCs w:val="18"/>
                <w:vertAlign w:val="superscript"/>
              </w:rPr>
              <w:t>2</w:t>
            </w:r>
          </w:p>
          <w:p w:rsidR="00023FE7" w:rsidRPr="004B42EB" w:rsidRDefault="00023FE7" w:rsidP="0027028A">
            <w:pPr>
              <w:pStyle w:val="AppendixBodyText"/>
              <w:numPr>
                <w:ilvl w:val="0"/>
                <w:numId w:val="2"/>
              </w:numPr>
              <w:tabs>
                <w:tab w:val="clear" w:pos="1440"/>
              </w:tabs>
              <w:ind w:left="432"/>
              <w:rPr>
                <w:rFonts w:ascii="Tahoma" w:hAnsi="Tahoma" w:cs="Tahoma"/>
                <w:sz w:val="18"/>
                <w:szCs w:val="18"/>
              </w:rPr>
            </w:pPr>
            <w:r w:rsidRPr="004B42EB">
              <w:rPr>
                <w:rFonts w:ascii="Tahoma" w:hAnsi="Tahoma" w:cs="Tahoma"/>
                <w:sz w:val="18"/>
                <w:szCs w:val="18"/>
              </w:rPr>
              <w:t>Accesso e risposte rapide dall</w:t>
            </w:r>
            <w:r w:rsidR="00F2643E">
              <w:rPr>
                <w:rFonts w:ascii="Tahoma" w:hAnsi="Tahoma" w:cs="Tahoma"/>
                <w:sz w:val="18"/>
                <w:szCs w:val="18"/>
              </w:rPr>
              <w:t>’</w:t>
            </w:r>
            <w:r w:rsidRPr="004B42EB">
              <w:rPr>
                <w:rFonts w:ascii="Tahoma" w:hAnsi="Tahoma" w:cs="Tahoma"/>
                <w:sz w:val="18"/>
                <w:szCs w:val="18"/>
              </w:rPr>
              <w:t>autorità di controllo delle modifiche</w:t>
            </w:r>
          </w:p>
          <w:p w:rsidR="00023FE7" w:rsidRPr="004B42EB" w:rsidRDefault="00023FE7" w:rsidP="0027028A">
            <w:pPr>
              <w:pStyle w:val="AppendixBodyText"/>
              <w:numPr>
                <w:ilvl w:val="0"/>
                <w:numId w:val="2"/>
              </w:numPr>
              <w:tabs>
                <w:tab w:val="clear" w:pos="1440"/>
              </w:tabs>
              <w:ind w:left="432"/>
              <w:rPr>
                <w:rFonts w:ascii="Tahoma" w:hAnsi="Tahoma" w:cs="Tahoma"/>
                <w:sz w:val="18"/>
                <w:szCs w:val="18"/>
              </w:rPr>
            </w:pPr>
            <w:r w:rsidRPr="004B42EB">
              <w:rPr>
                <w:rFonts w:ascii="Tahoma" w:hAnsi="Tahoma" w:cs="Tahoma"/>
                <w:sz w:val="18"/>
                <w:szCs w:val="18"/>
              </w:rPr>
              <w:t>Comunicazione della direzione</w:t>
            </w:r>
          </w:p>
        </w:tc>
      </w:tr>
      <w:tr w:rsidR="00023FE7" w:rsidRPr="00A75DF9" w:rsidTr="004B42EB">
        <w:tc>
          <w:tcPr>
            <w:tcW w:w="132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A75DF9" w:rsidRDefault="00023FE7">
            <w:pPr>
              <w:pStyle w:val="AppendixBodyText"/>
              <w:rPr>
                <w:rFonts w:ascii="Tahoma" w:hAnsi="Tahoma" w:cs="Tahoma"/>
                <w:sz w:val="18"/>
                <w:szCs w:val="18"/>
              </w:rPr>
            </w:pPr>
            <w:r w:rsidRPr="00A75DF9">
              <w:rPr>
                <w:rFonts w:ascii="Tahoma" w:hAnsi="Tahoma" w:cs="Tahoma"/>
                <w:sz w:val="18"/>
                <w:szCs w:val="18"/>
              </w:rPr>
              <w:t xml:space="preserve">B Formulazione telefonica </w:t>
            </w:r>
          </w:p>
        </w:tc>
        <w:tc>
          <w:tcPr>
            <w:tcW w:w="2529" w:type="dxa"/>
            <w:tcBorders>
              <w:top w:val="nil"/>
              <w:left w:val="nil"/>
              <w:bottom w:val="single" w:sz="8" w:space="0" w:color="auto"/>
              <w:right w:val="single" w:sz="8" w:space="0" w:color="auto"/>
            </w:tcBorders>
            <w:tcMar>
              <w:top w:w="0" w:type="dxa"/>
              <w:left w:w="108" w:type="dxa"/>
              <w:bottom w:w="0" w:type="dxa"/>
              <w:right w:w="108" w:type="dxa"/>
            </w:tcMar>
          </w:tcPr>
          <w:p w:rsidR="00023FE7" w:rsidRPr="004B42EB" w:rsidRDefault="00023FE7" w:rsidP="0027028A">
            <w:pPr>
              <w:pStyle w:val="AppendixBodyText"/>
              <w:numPr>
                <w:ilvl w:val="0"/>
                <w:numId w:val="2"/>
              </w:numPr>
              <w:tabs>
                <w:tab w:val="clear" w:pos="1440"/>
                <w:tab w:val="num" w:pos="612"/>
              </w:tabs>
              <w:ind w:left="612"/>
              <w:rPr>
                <w:rFonts w:ascii="Tahoma" w:hAnsi="Tahoma" w:cs="Tahoma"/>
                <w:sz w:val="18"/>
                <w:szCs w:val="18"/>
              </w:rPr>
            </w:pPr>
            <w:r w:rsidRPr="004B42EB">
              <w:rPr>
                <w:rFonts w:ascii="Tahoma" w:hAnsi="Tahoma" w:cs="Tahoma"/>
                <w:sz w:val="18"/>
                <w:szCs w:val="18"/>
              </w:rPr>
              <w:t xml:space="preserve">Impatto commerciale moderato: </w:t>
            </w:r>
          </w:p>
          <w:p w:rsidR="00023FE7" w:rsidRPr="004B42EB" w:rsidRDefault="00023FE7" w:rsidP="004B42EB">
            <w:pPr>
              <w:pStyle w:val="AppendixBodyText"/>
              <w:numPr>
                <w:ilvl w:val="0"/>
                <w:numId w:val="2"/>
              </w:numPr>
              <w:tabs>
                <w:tab w:val="clear" w:pos="1440"/>
                <w:tab w:val="num" w:pos="612"/>
              </w:tabs>
              <w:ind w:left="612"/>
              <w:rPr>
                <w:rFonts w:ascii="Tahoma" w:hAnsi="Tahoma" w:cs="Tahoma"/>
                <w:sz w:val="18"/>
                <w:szCs w:val="18"/>
              </w:rPr>
            </w:pPr>
            <w:r w:rsidRPr="004B42EB">
              <w:rPr>
                <w:rFonts w:ascii="Tahoma" w:hAnsi="Tahoma" w:cs="Tahoma"/>
                <w:sz w:val="18"/>
                <w:szCs w:val="18"/>
              </w:rPr>
              <w:t>Perdita o degradazione moderata dei servizi</w:t>
            </w:r>
            <w:r w:rsidR="004B42EB">
              <w:rPr>
                <w:rFonts w:ascii="Tahoma" w:hAnsi="Tahoma" w:cs="Tahoma"/>
                <w:sz w:val="18"/>
                <w:szCs w:val="18"/>
              </w:rPr>
              <w:t> </w:t>
            </w:r>
            <w:r w:rsidRPr="004B42EB">
              <w:rPr>
                <w:rFonts w:ascii="Tahoma" w:hAnsi="Tahoma" w:cs="Tahoma"/>
                <w:sz w:val="18"/>
                <w:szCs w:val="18"/>
              </w:rPr>
              <w:t>della società e</w:t>
            </w:r>
            <w:r w:rsidR="004B42EB">
              <w:rPr>
                <w:rFonts w:ascii="Tahoma" w:hAnsi="Tahoma" w:cs="Tahoma"/>
                <w:sz w:val="18"/>
                <w:szCs w:val="18"/>
              </w:rPr>
              <w:t> </w:t>
            </w:r>
            <w:r w:rsidRPr="004B42EB">
              <w:rPr>
                <w:rFonts w:ascii="Tahoma" w:hAnsi="Tahoma" w:cs="Tahoma"/>
                <w:sz w:val="18"/>
                <w:szCs w:val="18"/>
              </w:rPr>
              <w:t>possibilità di continuare il lavoro in modo meno efficiente.</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023FE7" w:rsidRPr="004B42EB" w:rsidRDefault="00023FE7" w:rsidP="0027028A">
            <w:pPr>
              <w:pStyle w:val="AppendixBodyText"/>
              <w:numPr>
                <w:ilvl w:val="0"/>
                <w:numId w:val="2"/>
              </w:numPr>
              <w:tabs>
                <w:tab w:val="num" w:pos="522"/>
              </w:tabs>
              <w:ind w:left="522"/>
              <w:rPr>
                <w:rFonts w:ascii="Tahoma" w:hAnsi="Tahoma" w:cs="Tahoma"/>
                <w:sz w:val="18"/>
                <w:szCs w:val="18"/>
              </w:rPr>
            </w:pPr>
            <w:r w:rsidRPr="004B42EB">
              <w:rPr>
                <w:rFonts w:ascii="Tahoma" w:hAnsi="Tahoma" w:cs="Tahoma"/>
                <w:sz w:val="18"/>
                <w:szCs w:val="18"/>
              </w:rPr>
              <w:t>Risposta alla prima chiamata entro 4 ore lavorative, in base all</w:t>
            </w:r>
            <w:r w:rsidR="00F2643E">
              <w:rPr>
                <w:rFonts w:ascii="Tahoma" w:hAnsi="Tahoma" w:cs="Tahoma"/>
                <w:sz w:val="18"/>
                <w:szCs w:val="18"/>
              </w:rPr>
              <w:t>’</w:t>
            </w:r>
            <w:r w:rsidRPr="004B42EB">
              <w:rPr>
                <w:rFonts w:ascii="Tahoma" w:hAnsi="Tahoma" w:cs="Tahoma"/>
                <w:sz w:val="18"/>
                <w:szCs w:val="18"/>
              </w:rPr>
              <w:t>offerta di supporto</w:t>
            </w:r>
          </w:p>
          <w:p w:rsidR="00023FE7" w:rsidRPr="004B42EB" w:rsidRDefault="00023FE7" w:rsidP="0027028A">
            <w:pPr>
              <w:pStyle w:val="AppendixBodyText"/>
              <w:numPr>
                <w:ilvl w:val="0"/>
                <w:numId w:val="2"/>
              </w:numPr>
              <w:tabs>
                <w:tab w:val="num" w:pos="522"/>
              </w:tabs>
              <w:ind w:left="522"/>
              <w:rPr>
                <w:rFonts w:ascii="Tahoma" w:hAnsi="Tahoma" w:cs="Tahoma"/>
                <w:sz w:val="18"/>
                <w:szCs w:val="18"/>
              </w:rPr>
            </w:pPr>
            <w:r w:rsidRPr="004B42EB">
              <w:rPr>
                <w:rFonts w:ascii="Tahoma" w:hAnsi="Tahoma" w:cs="Tahoma"/>
                <w:sz w:val="18"/>
                <w:szCs w:val="18"/>
              </w:rPr>
              <w:t xml:space="preserve">Impegno solo durante le </w:t>
            </w:r>
            <w:r w:rsidRPr="004B42EB">
              <w:rPr>
                <w:rFonts w:ascii="Tahoma" w:hAnsi="Tahoma" w:cs="Tahoma"/>
                <w:bCs/>
                <w:sz w:val="18"/>
                <w:szCs w:val="18"/>
              </w:rPr>
              <w:t>Ore</w:t>
            </w:r>
            <w:r w:rsidRPr="004B42EB">
              <w:rPr>
                <w:rFonts w:ascii="Tahoma" w:hAnsi="Tahoma" w:cs="Tahoma"/>
                <w:sz w:val="18"/>
                <w:szCs w:val="18"/>
                <w:vertAlign w:val="superscript"/>
              </w:rPr>
              <w:t>1</w:t>
            </w:r>
            <w:r w:rsidRPr="004B42EB">
              <w:rPr>
                <w:rFonts w:ascii="Tahoma" w:hAnsi="Tahoma" w:cs="Tahoma"/>
                <w:bCs/>
                <w:sz w:val="18"/>
                <w:szCs w:val="18"/>
              </w:rPr>
              <w:t xml:space="preserve"> Lavorative</w:t>
            </w:r>
          </w:p>
          <w:p w:rsidR="00023FE7" w:rsidRPr="004B42EB" w:rsidRDefault="00023FE7">
            <w:pPr>
              <w:pStyle w:val="AppendixBodyText"/>
              <w:tabs>
                <w:tab w:val="num" w:pos="522"/>
              </w:tabs>
              <w:ind w:left="522" w:hanging="360"/>
              <w:rPr>
                <w:rFonts w:ascii="Tahoma"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4B42EB" w:rsidRDefault="00023FE7" w:rsidP="0027028A">
            <w:pPr>
              <w:pStyle w:val="AppendixBodyText"/>
              <w:numPr>
                <w:ilvl w:val="0"/>
                <w:numId w:val="2"/>
              </w:numPr>
              <w:tabs>
                <w:tab w:val="clear" w:pos="1440"/>
                <w:tab w:val="num" w:pos="432"/>
              </w:tabs>
              <w:ind w:left="432" w:hanging="270"/>
              <w:rPr>
                <w:rFonts w:ascii="Tahoma" w:hAnsi="Tahoma" w:cs="Tahoma"/>
                <w:sz w:val="18"/>
                <w:szCs w:val="18"/>
              </w:rPr>
            </w:pPr>
            <w:r w:rsidRPr="004B42EB">
              <w:rPr>
                <w:rFonts w:ascii="Tahoma" w:hAnsi="Tahoma" w:cs="Tahoma"/>
                <w:sz w:val="18"/>
                <w:szCs w:val="18"/>
              </w:rPr>
              <w:t>Allocazione di risorse appropriate per sostenere l</w:t>
            </w:r>
            <w:r w:rsidR="00F2643E">
              <w:rPr>
                <w:rFonts w:ascii="Tahoma" w:hAnsi="Tahoma" w:cs="Tahoma"/>
                <w:sz w:val="18"/>
                <w:szCs w:val="18"/>
              </w:rPr>
              <w:t>’</w:t>
            </w:r>
            <w:r w:rsidRPr="004B42EB">
              <w:rPr>
                <w:rFonts w:ascii="Tahoma" w:hAnsi="Tahoma" w:cs="Tahoma"/>
                <w:sz w:val="18"/>
                <w:szCs w:val="18"/>
              </w:rPr>
              <w:t>impegno continuo durante le</w:t>
            </w:r>
            <w:r w:rsidRPr="004B42EB">
              <w:rPr>
                <w:rFonts w:ascii="Tahoma" w:hAnsi="Tahoma" w:cs="Tahoma"/>
                <w:sz w:val="18"/>
                <w:szCs w:val="18"/>
                <w:vertAlign w:val="superscript"/>
              </w:rPr>
              <w:t xml:space="preserve"> </w:t>
            </w:r>
            <w:r w:rsidRPr="004B42EB">
              <w:rPr>
                <w:rFonts w:ascii="Tahoma" w:hAnsi="Tahoma" w:cs="Tahoma"/>
                <w:sz w:val="18"/>
                <w:szCs w:val="18"/>
              </w:rPr>
              <w:t>Ore Lavorative</w:t>
            </w:r>
          </w:p>
          <w:p w:rsidR="00023FE7" w:rsidRPr="004B42EB" w:rsidRDefault="00023FE7" w:rsidP="0027028A">
            <w:pPr>
              <w:pStyle w:val="AppendixBodyText"/>
              <w:numPr>
                <w:ilvl w:val="0"/>
                <w:numId w:val="2"/>
              </w:numPr>
              <w:tabs>
                <w:tab w:val="clear" w:pos="1440"/>
                <w:tab w:val="num" w:pos="432"/>
              </w:tabs>
              <w:ind w:left="432" w:hanging="270"/>
              <w:rPr>
                <w:rFonts w:ascii="Tahoma" w:hAnsi="Tahoma" w:cs="Tahoma"/>
                <w:sz w:val="18"/>
                <w:szCs w:val="18"/>
              </w:rPr>
            </w:pPr>
            <w:r w:rsidRPr="004B42EB">
              <w:rPr>
                <w:rFonts w:ascii="Tahoma" w:hAnsi="Tahoma" w:cs="Tahoma"/>
                <w:sz w:val="18"/>
                <w:szCs w:val="18"/>
              </w:rPr>
              <w:t>Accesso e risposta dall</w:t>
            </w:r>
            <w:r w:rsidR="00F2643E">
              <w:rPr>
                <w:rFonts w:ascii="Tahoma" w:hAnsi="Tahoma" w:cs="Tahoma"/>
                <w:sz w:val="18"/>
                <w:szCs w:val="18"/>
              </w:rPr>
              <w:t>’</w:t>
            </w:r>
            <w:r w:rsidRPr="004B42EB">
              <w:rPr>
                <w:rFonts w:ascii="Tahoma" w:hAnsi="Tahoma" w:cs="Tahoma"/>
                <w:sz w:val="18"/>
                <w:szCs w:val="18"/>
              </w:rPr>
              <w:t>autorità preposta al controllo delle modifiche entro 4 Ore Lavorative</w:t>
            </w:r>
          </w:p>
        </w:tc>
      </w:tr>
      <w:tr w:rsidR="00023FE7" w:rsidRPr="00A75DF9" w:rsidTr="004B42EB">
        <w:trPr>
          <w:cantSplit/>
        </w:trPr>
        <w:tc>
          <w:tcPr>
            <w:tcW w:w="1323"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023FE7" w:rsidRPr="00A75DF9" w:rsidRDefault="00023FE7">
            <w:pPr>
              <w:pStyle w:val="AppendixBodyText"/>
              <w:rPr>
                <w:rFonts w:ascii="Tahoma" w:hAnsi="Tahoma" w:cs="Tahoma"/>
                <w:sz w:val="18"/>
                <w:szCs w:val="18"/>
              </w:rPr>
            </w:pPr>
            <w:r w:rsidRPr="00A75DF9">
              <w:rPr>
                <w:rFonts w:ascii="Tahoma" w:hAnsi="Tahoma" w:cs="Tahoma"/>
                <w:sz w:val="18"/>
                <w:szCs w:val="18"/>
              </w:rPr>
              <w:lastRenderedPageBreak/>
              <w:t>C Formulazione telefonica o invio tramite Web</w:t>
            </w:r>
          </w:p>
        </w:tc>
        <w:tc>
          <w:tcPr>
            <w:tcW w:w="2529" w:type="dxa"/>
            <w:tcBorders>
              <w:top w:val="nil"/>
              <w:left w:val="nil"/>
              <w:bottom w:val="single" w:sz="8" w:space="0" w:color="auto"/>
              <w:right w:val="single" w:sz="8" w:space="0" w:color="auto"/>
            </w:tcBorders>
            <w:tcMar>
              <w:top w:w="0" w:type="dxa"/>
              <w:left w:w="108" w:type="dxa"/>
              <w:bottom w:w="0" w:type="dxa"/>
              <w:right w:w="108" w:type="dxa"/>
            </w:tcMar>
          </w:tcPr>
          <w:p w:rsidR="00023FE7" w:rsidRPr="004B42EB" w:rsidRDefault="00023FE7" w:rsidP="0027028A">
            <w:pPr>
              <w:pStyle w:val="AppendixBodyText"/>
              <w:numPr>
                <w:ilvl w:val="0"/>
                <w:numId w:val="2"/>
              </w:numPr>
              <w:tabs>
                <w:tab w:val="clear" w:pos="1440"/>
                <w:tab w:val="num" w:pos="612"/>
              </w:tabs>
              <w:ind w:left="612"/>
              <w:rPr>
                <w:rFonts w:ascii="Tahoma" w:hAnsi="Tahoma" w:cs="Tahoma"/>
                <w:sz w:val="18"/>
                <w:szCs w:val="18"/>
              </w:rPr>
            </w:pPr>
            <w:r w:rsidRPr="004B42EB">
              <w:rPr>
                <w:rFonts w:ascii="Tahoma" w:hAnsi="Tahoma" w:cs="Tahoma"/>
                <w:sz w:val="18"/>
                <w:szCs w:val="18"/>
              </w:rPr>
              <w:t xml:space="preserve">Impatto commerciale minimo </w:t>
            </w:r>
          </w:p>
          <w:p w:rsidR="00023FE7" w:rsidRPr="004B42EB" w:rsidRDefault="00023FE7" w:rsidP="004B42EB">
            <w:pPr>
              <w:pStyle w:val="AppendixBodyText"/>
              <w:numPr>
                <w:ilvl w:val="0"/>
                <w:numId w:val="2"/>
              </w:numPr>
              <w:tabs>
                <w:tab w:val="clear" w:pos="1440"/>
                <w:tab w:val="num" w:pos="612"/>
              </w:tabs>
              <w:ind w:left="612"/>
              <w:rPr>
                <w:rFonts w:ascii="Tahoma" w:hAnsi="Tahoma" w:cs="Tahoma"/>
                <w:sz w:val="18"/>
                <w:szCs w:val="18"/>
              </w:rPr>
            </w:pPr>
            <w:r w:rsidRPr="004B42EB">
              <w:rPr>
                <w:rFonts w:ascii="Tahoma" w:hAnsi="Tahoma" w:cs="Tahoma"/>
                <w:sz w:val="18"/>
                <w:szCs w:val="18"/>
              </w:rPr>
              <w:t>Funzionamento della</w:t>
            </w:r>
            <w:r w:rsidR="004B42EB">
              <w:rPr>
                <w:rFonts w:ascii="Tahoma" w:hAnsi="Tahoma" w:cs="Tahoma"/>
                <w:sz w:val="18"/>
                <w:szCs w:val="18"/>
              </w:rPr>
              <w:t> </w:t>
            </w:r>
            <w:r w:rsidRPr="004B42EB">
              <w:rPr>
                <w:rFonts w:ascii="Tahoma" w:hAnsi="Tahoma" w:cs="Tahoma"/>
                <w:sz w:val="18"/>
                <w:szCs w:val="18"/>
              </w:rPr>
              <w:t>società sostanzialmente nella norma, in alcuni casi con qualche minimo impedimento dei servizi.</w:t>
            </w:r>
          </w:p>
        </w:tc>
        <w:tc>
          <w:tcPr>
            <w:tcW w:w="2808" w:type="dxa"/>
            <w:tcBorders>
              <w:top w:val="nil"/>
              <w:left w:val="nil"/>
              <w:bottom w:val="single" w:sz="8" w:space="0" w:color="auto"/>
              <w:right w:val="single" w:sz="8" w:space="0" w:color="auto"/>
            </w:tcBorders>
            <w:tcMar>
              <w:top w:w="0" w:type="dxa"/>
              <w:left w:w="108" w:type="dxa"/>
              <w:bottom w:w="0" w:type="dxa"/>
              <w:right w:w="108" w:type="dxa"/>
            </w:tcMar>
          </w:tcPr>
          <w:p w:rsidR="00023FE7" w:rsidRPr="004B42EB" w:rsidRDefault="00023FE7" w:rsidP="0027028A">
            <w:pPr>
              <w:pStyle w:val="AppendixBodyText"/>
              <w:numPr>
                <w:ilvl w:val="0"/>
                <w:numId w:val="2"/>
              </w:numPr>
              <w:tabs>
                <w:tab w:val="num" w:pos="522"/>
              </w:tabs>
              <w:ind w:left="522"/>
              <w:rPr>
                <w:rFonts w:ascii="Tahoma" w:hAnsi="Tahoma" w:cs="Tahoma"/>
                <w:sz w:val="18"/>
                <w:szCs w:val="18"/>
              </w:rPr>
            </w:pPr>
            <w:r w:rsidRPr="004B42EB">
              <w:rPr>
                <w:rFonts w:ascii="Tahoma" w:hAnsi="Tahoma" w:cs="Tahoma"/>
                <w:sz w:val="18"/>
                <w:szCs w:val="18"/>
              </w:rPr>
              <w:t>Risposta alla prima chiamata entro 1 giorno lavorativo, in base all</w:t>
            </w:r>
            <w:r w:rsidR="00F2643E">
              <w:rPr>
                <w:rFonts w:ascii="Tahoma" w:hAnsi="Tahoma" w:cs="Tahoma"/>
                <w:sz w:val="18"/>
                <w:szCs w:val="18"/>
              </w:rPr>
              <w:t>’</w:t>
            </w:r>
            <w:r w:rsidRPr="004B42EB">
              <w:rPr>
                <w:rFonts w:ascii="Tahoma" w:hAnsi="Tahoma" w:cs="Tahoma"/>
                <w:sz w:val="18"/>
                <w:szCs w:val="18"/>
              </w:rPr>
              <w:t>offerta di supporto</w:t>
            </w:r>
          </w:p>
          <w:p w:rsidR="00023FE7" w:rsidRPr="004B42EB" w:rsidRDefault="00023FE7" w:rsidP="0027028A">
            <w:pPr>
              <w:pStyle w:val="AppendixBodyText"/>
              <w:numPr>
                <w:ilvl w:val="0"/>
                <w:numId w:val="2"/>
              </w:numPr>
              <w:tabs>
                <w:tab w:val="num" w:pos="522"/>
              </w:tabs>
              <w:ind w:left="522"/>
              <w:rPr>
                <w:rFonts w:ascii="Tahoma" w:hAnsi="Tahoma" w:cs="Tahoma"/>
                <w:sz w:val="18"/>
                <w:szCs w:val="18"/>
              </w:rPr>
            </w:pPr>
            <w:r w:rsidRPr="004B42EB">
              <w:rPr>
                <w:rFonts w:ascii="Tahoma" w:hAnsi="Tahoma" w:cs="Tahoma"/>
                <w:sz w:val="18"/>
                <w:szCs w:val="18"/>
              </w:rPr>
              <w:t xml:space="preserve">Impegno solo durante le </w:t>
            </w:r>
            <w:r w:rsidRPr="004B42EB">
              <w:rPr>
                <w:rFonts w:ascii="Tahoma" w:hAnsi="Tahoma" w:cs="Tahoma"/>
                <w:bCs/>
                <w:sz w:val="18"/>
                <w:szCs w:val="18"/>
              </w:rPr>
              <w:t>Ore Lavorative</w:t>
            </w:r>
          </w:p>
          <w:p w:rsidR="00023FE7" w:rsidRPr="004B42EB" w:rsidRDefault="00023FE7">
            <w:pPr>
              <w:pStyle w:val="AppendixBodyText"/>
              <w:tabs>
                <w:tab w:val="num" w:pos="522"/>
              </w:tabs>
              <w:ind w:left="522" w:hanging="360"/>
              <w:rPr>
                <w:rFonts w:ascii="Tahoma" w:hAnsi="Tahoma" w:cs="Tahoma"/>
                <w:sz w:val="18"/>
                <w:szCs w:val="18"/>
              </w:rPr>
            </w:pP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023FE7" w:rsidRPr="004B42EB" w:rsidRDefault="00023FE7" w:rsidP="0027028A">
            <w:pPr>
              <w:pStyle w:val="AppendixBodyText"/>
              <w:numPr>
                <w:ilvl w:val="0"/>
                <w:numId w:val="2"/>
              </w:numPr>
              <w:tabs>
                <w:tab w:val="clear" w:pos="1440"/>
                <w:tab w:val="num" w:pos="432"/>
              </w:tabs>
              <w:ind w:left="432"/>
              <w:rPr>
                <w:rFonts w:ascii="Tahoma" w:hAnsi="Tahoma" w:cs="Tahoma"/>
                <w:sz w:val="18"/>
                <w:szCs w:val="18"/>
              </w:rPr>
            </w:pPr>
            <w:r w:rsidRPr="004B42EB">
              <w:rPr>
                <w:rFonts w:ascii="Tahoma" w:hAnsi="Tahoma" w:cs="Tahoma"/>
                <w:sz w:val="18"/>
                <w:szCs w:val="18"/>
              </w:rPr>
              <w:t>Informazioni accurate da parte di chi segue il caso</w:t>
            </w:r>
          </w:p>
          <w:p w:rsidR="00023FE7" w:rsidRPr="004B42EB" w:rsidRDefault="00023FE7" w:rsidP="0027028A">
            <w:pPr>
              <w:pStyle w:val="AppendixBodyText"/>
              <w:numPr>
                <w:ilvl w:val="0"/>
                <w:numId w:val="2"/>
              </w:numPr>
              <w:tabs>
                <w:tab w:val="clear" w:pos="1440"/>
                <w:tab w:val="num" w:pos="432"/>
              </w:tabs>
              <w:ind w:left="432"/>
              <w:rPr>
                <w:rFonts w:ascii="Tahoma" w:hAnsi="Tahoma" w:cs="Tahoma"/>
                <w:sz w:val="18"/>
                <w:szCs w:val="18"/>
              </w:rPr>
            </w:pPr>
            <w:r w:rsidRPr="004B42EB">
              <w:rPr>
                <w:rFonts w:ascii="Tahoma" w:hAnsi="Tahoma" w:cs="Tahoma"/>
                <w:sz w:val="18"/>
                <w:szCs w:val="18"/>
              </w:rPr>
              <w:t>Risposta entro 1 giorno lavorativo.</w:t>
            </w:r>
          </w:p>
        </w:tc>
      </w:tr>
    </w:tbl>
    <w:p w:rsidR="00023FE7" w:rsidRPr="004B42EB" w:rsidRDefault="00023FE7">
      <w:pPr>
        <w:pStyle w:val="AppendixBodyText"/>
        <w:ind w:left="90" w:right="2160"/>
        <w:rPr>
          <w:rFonts w:ascii="Tahoma" w:hAnsi="Tahoma" w:cs="Tahoma"/>
          <w:sz w:val="16"/>
          <w:szCs w:val="16"/>
        </w:rPr>
      </w:pPr>
      <w:r w:rsidRPr="00C33D3D">
        <w:rPr>
          <w:rFonts w:ascii="Tahoma" w:hAnsi="Tahoma" w:cs="Tahoma"/>
          <w:i/>
          <w:sz w:val="16"/>
          <w:szCs w:val="16"/>
          <w:vertAlign w:val="superscript"/>
        </w:rPr>
        <w:t>1</w:t>
      </w:r>
      <w:r w:rsidRPr="004B42EB">
        <w:rPr>
          <w:rFonts w:ascii="Tahoma" w:hAnsi="Tahoma" w:cs="Tahoma"/>
          <w:i/>
          <w:sz w:val="16"/>
          <w:szCs w:val="16"/>
        </w:rPr>
        <w:t xml:space="preserve"> Contattare il rappresentante Microsoft per informazioni sulle ore lavorative locali.</w:t>
      </w:r>
    </w:p>
    <w:p w:rsidR="00023FE7" w:rsidRPr="004B42EB" w:rsidRDefault="00023FE7">
      <w:pPr>
        <w:pStyle w:val="AppendixBodyText"/>
        <w:ind w:left="90" w:right="2160"/>
        <w:rPr>
          <w:rFonts w:ascii="Tahoma" w:hAnsi="Tahoma" w:cs="Tahoma"/>
          <w:sz w:val="16"/>
          <w:szCs w:val="16"/>
        </w:rPr>
      </w:pPr>
      <w:r w:rsidRPr="00C33D3D">
        <w:rPr>
          <w:rFonts w:ascii="Tahoma" w:hAnsi="Tahoma" w:cs="Tahoma"/>
          <w:i/>
          <w:sz w:val="16"/>
          <w:szCs w:val="16"/>
          <w:vertAlign w:val="superscript"/>
        </w:rPr>
        <w:t xml:space="preserve">2 </w:t>
      </w:r>
      <w:r w:rsidRPr="004B42EB">
        <w:rPr>
          <w:rFonts w:ascii="Tahoma" w:hAnsi="Tahoma" w:cs="Tahoma"/>
          <w:i/>
          <w:sz w:val="16"/>
          <w:szCs w:val="16"/>
        </w:rPr>
        <w:t>È possibile che Microsoft riduca il livello di gravità se la società non è in grado di fornire risorse o risposte adeguate a supporto dell</w:t>
      </w:r>
      <w:r w:rsidR="00F2643E">
        <w:rPr>
          <w:rFonts w:ascii="Tahoma" w:hAnsi="Tahoma" w:cs="Tahoma"/>
          <w:i/>
          <w:sz w:val="16"/>
          <w:szCs w:val="16"/>
        </w:rPr>
        <w:t>’</w:t>
      </w:r>
      <w:r w:rsidRPr="004B42EB">
        <w:rPr>
          <w:rFonts w:ascii="Tahoma" w:hAnsi="Tahoma" w:cs="Tahoma"/>
          <w:i/>
          <w:sz w:val="16"/>
          <w:szCs w:val="16"/>
        </w:rPr>
        <w:t>impegno di Microsoft volto a risolvere il problema.</w:t>
      </w:r>
    </w:p>
    <w:p w:rsidR="00023FE7" w:rsidRPr="004B42EB" w:rsidRDefault="00023FE7" w:rsidP="00F42FB8">
      <w:pPr>
        <w:pStyle w:val="AppendixBodyText"/>
        <w:spacing w:after="0"/>
        <w:ind w:right="2160"/>
        <w:rPr>
          <w:rFonts w:ascii="Tahoma" w:hAnsi="Tahoma" w:cs="Tahoma"/>
          <w:sz w:val="18"/>
          <w:szCs w:val="18"/>
        </w:rPr>
      </w:pPr>
    </w:p>
    <w:p w:rsidR="00023FE7" w:rsidRPr="004B42EB" w:rsidRDefault="00023FE7" w:rsidP="004B42EB">
      <w:pPr>
        <w:pStyle w:val="AppendixBodyText"/>
        <w:spacing w:after="0"/>
        <w:rPr>
          <w:rFonts w:ascii="Tahoma" w:hAnsi="Tahoma" w:cs="Tahoma"/>
          <w:sz w:val="18"/>
          <w:szCs w:val="18"/>
        </w:rPr>
      </w:pPr>
      <w:r w:rsidRPr="004B42EB">
        <w:rPr>
          <w:rFonts w:ascii="Tahoma" w:hAnsi="Tahoma" w:cs="Tahoma"/>
          <w:bCs/>
          <w:sz w:val="18"/>
          <w:szCs w:val="18"/>
        </w:rPr>
        <w:t>È possibile che alle società sia chiesto di eseguire attività di individuazione e risoluzione dei problemi, in base a quanto richiesto da Microsoft. Le attività di individuazione e risoluzione dei problemi possono includere attività quali</w:t>
      </w:r>
      <w:r w:rsidR="004B42EB">
        <w:rPr>
          <w:rFonts w:ascii="Tahoma" w:hAnsi="Tahoma" w:cs="Tahoma"/>
          <w:bCs/>
          <w:sz w:val="18"/>
          <w:szCs w:val="18"/>
        </w:rPr>
        <w:t> </w:t>
      </w:r>
      <w:r w:rsidRPr="004B42EB">
        <w:rPr>
          <w:rFonts w:ascii="Tahoma" w:hAnsi="Tahoma" w:cs="Tahoma"/>
          <w:bCs/>
          <w:sz w:val="18"/>
          <w:szCs w:val="18"/>
        </w:rPr>
        <w:t>l</w:t>
      </w:r>
      <w:r w:rsidR="00F2643E">
        <w:rPr>
          <w:rFonts w:ascii="Tahoma" w:hAnsi="Tahoma" w:cs="Tahoma"/>
          <w:bCs/>
          <w:sz w:val="18"/>
          <w:szCs w:val="18"/>
        </w:rPr>
        <w:t>’</w:t>
      </w:r>
      <w:r w:rsidRPr="004B42EB">
        <w:rPr>
          <w:rFonts w:ascii="Tahoma" w:hAnsi="Tahoma" w:cs="Tahoma"/>
          <w:bCs/>
          <w:sz w:val="18"/>
          <w:szCs w:val="18"/>
        </w:rPr>
        <w:t>esecuzione di procedure di network trace, l</w:t>
      </w:r>
      <w:r w:rsidR="00F2643E">
        <w:rPr>
          <w:rFonts w:ascii="Tahoma" w:hAnsi="Tahoma" w:cs="Tahoma"/>
          <w:bCs/>
          <w:sz w:val="18"/>
          <w:szCs w:val="18"/>
        </w:rPr>
        <w:t>’</w:t>
      </w:r>
      <w:r w:rsidRPr="004B42EB">
        <w:rPr>
          <w:rFonts w:ascii="Tahoma" w:hAnsi="Tahoma" w:cs="Tahoma"/>
          <w:bCs/>
          <w:sz w:val="18"/>
          <w:szCs w:val="18"/>
        </w:rPr>
        <w:t>acquisizione di messaggi di errore, la raccolta di informazioni sulla configurazione, la modifica della configurazione dei prodotti, l</w:t>
      </w:r>
      <w:r w:rsidR="00F2643E">
        <w:rPr>
          <w:rFonts w:ascii="Tahoma" w:hAnsi="Tahoma" w:cs="Tahoma"/>
          <w:bCs/>
          <w:sz w:val="18"/>
          <w:szCs w:val="18"/>
        </w:rPr>
        <w:t>’</w:t>
      </w:r>
      <w:r w:rsidRPr="004B42EB">
        <w:rPr>
          <w:rFonts w:ascii="Tahoma" w:hAnsi="Tahoma" w:cs="Tahoma"/>
          <w:bCs/>
          <w:sz w:val="18"/>
          <w:szCs w:val="18"/>
        </w:rPr>
        <w:t xml:space="preserve">installazione di nuove versioni del software o nuovi componenti oppure la modifica dei processi. </w:t>
      </w:r>
    </w:p>
    <w:p w:rsidR="00077CE5" w:rsidRPr="004B42EB" w:rsidRDefault="00077CE5" w:rsidP="00F42FB8">
      <w:pPr>
        <w:pStyle w:val="AppendixBodyText"/>
        <w:spacing w:after="0"/>
        <w:rPr>
          <w:rFonts w:ascii="Tahoma" w:hAnsi="Tahoma" w:cs="Tahoma"/>
          <w:sz w:val="18"/>
          <w:szCs w:val="18"/>
        </w:rPr>
      </w:pPr>
    </w:p>
    <w:p w:rsidR="00023FE7" w:rsidRPr="004B42EB" w:rsidRDefault="00023FE7" w:rsidP="004B42EB">
      <w:pPr>
        <w:pStyle w:val="AppendixBodyText"/>
        <w:spacing w:after="0"/>
        <w:rPr>
          <w:rFonts w:ascii="Tahoma" w:hAnsi="Tahoma" w:cs="Tahoma"/>
          <w:sz w:val="18"/>
          <w:szCs w:val="18"/>
        </w:rPr>
      </w:pPr>
      <w:r w:rsidRPr="004B42EB">
        <w:rPr>
          <w:rFonts w:ascii="Tahoma" w:hAnsi="Tahoma" w:cs="Tahoma"/>
          <w:bCs/>
          <w:sz w:val="18"/>
          <w:szCs w:val="18"/>
        </w:rPr>
        <w:t>Le società sono responsabili dell</w:t>
      </w:r>
      <w:r w:rsidR="00F2643E">
        <w:rPr>
          <w:rFonts w:ascii="Tahoma" w:hAnsi="Tahoma" w:cs="Tahoma"/>
          <w:bCs/>
          <w:sz w:val="18"/>
          <w:szCs w:val="18"/>
        </w:rPr>
        <w:t>’</w:t>
      </w:r>
      <w:r w:rsidRPr="004B42EB">
        <w:rPr>
          <w:rFonts w:ascii="Tahoma" w:hAnsi="Tahoma" w:cs="Tahoma"/>
          <w:bCs/>
          <w:sz w:val="18"/>
          <w:szCs w:val="18"/>
        </w:rPr>
        <w:t>implementazione delle procedure necessarie per salvaguardare l</w:t>
      </w:r>
      <w:r w:rsidR="00F2643E">
        <w:rPr>
          <w:rFonts w:ascii="Tahoma" w:hAnsi="Tahoma" w:cs="Tahoma"/>
          <w:bCs/>
          <w:sz w:val="18"/>
          <w:szCs w:val="18"/>
        </w:rPr>
        <w:t>’</w:t>
      </w:r>
      <w:r w:rsidRPr="004B42EB">
        <w:rPr>
          <w:rFonts w:ascii="Tahoma" w:hAnsi="Tahoma" w:cs="Tahoma"/>
          <w:bCs/>
          <w:sz w:val="18"/>
          <w:szCs w:val="18"/>
        </w:rPr>
        <w:t>integrità e la protezione del software e dei dati di loro proprietà da accessi non autorizzati, nonché del ripristino di file perduti o</w:t>
      </w:r>
      <w:r w:rsidR="004B42EB">
        <w:rPr>
          <w:rFonts w:ascii="Tahoma" w:hAnsi="Tahoma" w:cs="Tahoma"/>
          <w:bCs/>
          <w:sz w:val="18"/>
          <w:szCs w:val="18"/>
        </w:rPr>
        <w:t> </w:t>
      </w:r>
      <w:r w:rsidRPr="004B42EB">
        <w:rPr>
          <w:rFonts w:ascii="Tahoma" w:hAnsi="Tahoma" w:cs="Tahoma"/>
          <w:bCs/>
          <w:sz w:val="18"/>
          <w:szCs w:val="18"/>
        </w:rPr>
        <w:t>alterati in seguito a errori irreversibili.</w:t>
      </w:r>
    </w:p>
    <w:p w:rsidR="00077CE5" w:rsidRPr="004B42EB" w:rsidRDefault="00077CE5" w:rsidP="00F42FB8">
      <w:pPr>
        <w:pStyle w:val="AppendixBodyText"/>
        <w:spacing w:after="0"/>
        <w:rPr>
          <w:rFonts w:ascii="Tahoma" w:hAnsi="Tahoma" w:cs="Tahoma"/>
          <w:sz w:val="18"/>
          <w:szCs w:val="18"/>
        </w:rPr>
      </w:pPr>
    </w:p>
    <w:p w:rsidR="00023FE7" w:rsidRPr="004B42EB" w:rsidRDefault="00023FE7" w:rsidP="004B42EB">
      <w:pPr>
        <w:pStyle w:val="AppendixBodyText"/>
        <w:spacing w:after="0"/>
        <w:rPr>
          <w:rFonts w:ascii="Tahoma" w:hAnsi="Tahoma" w:cs="Tahoma"/>
          <w:sz w:val="18"/>
          <w:szCs w:val="18"/>
        </w:rPr>
      </w:pPr>
      <w:r w:rsidRPr="00A75DF9">
        <w:rPr>
          <w:rFonts w:ascii="Tahoma" w:hAnsi="Tahoma" w:cs="Tahoma"/>
          <w:bCs/>
          <w:sz w:val="18"/>
          <w:szCs w:val="18"/>
        </w:rPr>
        <w:t>Questo beneficio di supporto è legato all</w:t>
      </w:r>
      <w:r w:rsidR="00F2643E">
        <w:rPr>
          <w:rFonts w:ascii="Tahoma" w:hAnsi="Tahoma" w:cs="Tahoma"/>
          <w:bCs/>
          <w:sz w:val="18"/>
          <w:szCs w:val="18"/>
        </w:rPr>
        <w:t>’</w:t>
      </w:r>
      <w:r w:rsidRPr="00A75DF9">
        <w:rPr>
          <w:rFonts w:ascii="Tahoma" w:hAnsi="Tahoma" w:cs="Tahoma"/>
          <w:bCs/>
          <w:sz w:val="18"/>
          <w:szCs w:val="18"/>
        </w:rPr>
        <w:t>investimento SA, non alla versione. Le società possono acquistare la versione più recente per utilizzare una versione precedente con diritti di downgrade, ma sono idonee a beneficiare del supporto per tale prodotto soltanto se quest</w:t>
      </w:r>
      <w:r w:rsidR="00F2643E">
        <w:rPr>
          <w:rFonts w:ascii="Tahoma" w:hAnsi="Tahoma" w:cs="Tahoma"/>
          <w:bCs/>
          <w:sz w:val="18"/>
          <w:szCs w:val="18"/>
        </w:rPr>
        <w:t>’</w:t>
      </w:r>
      <w:r w:rsidRPr="00A75DF9">
        <w:rPr>
          <w:rFonts w:ascii="Tahoma" w:hAnsi="Tahoma" w:cs="Tahoma"/>
          <w:bCs/>
          <w:sz w:val="18"/>
          <w:szCs w:val="18"/>
        </w:rPr>
        <w:t>ultimo rientra tra i prodotti supportati indicati nel sito Web per il ciclo di vita dei prodotti Microsoft. L</w:t>
      </w:r>
      <w:r w:rsidR="00F2643E">
        <w:rPr>
          <w:rFonts w:ascii="Tahoma" w:hAnsi="Tahoma" w:cs="Tahoma"/>
          <w:bCs/>
          <w:sz w:val="18"/>
          <w:szCs w:val="18"/>
        </w:rPr>
        <w:t>’</w:t>
      </w:r>
      <w:r w:rsidRPr="00A75DF9">
        <w:rPr>
          <w:rFonts w:ascii="Tahoma" w:hAnsi="Tahoma" w:cs="Tahoma"/>
          <w:bCs/>
          <w:sz w:val="18"/>
          <w:szCs w:val="18"/>
        </w:rPr>
        <w:t>attuale sito Web per il ciclo di vita dei prodotti Microsoft è consultabile all</w:t>
      </w:r>
      <w:r w:rsidR="00F2643E">
        <w:rPr>
          <w:rFonts w:ascii="Tahoma" w:hAnsi="Tahoma" w:cs="Tahoma"/>
          <w:bCs/>
          <w:sz w:val="18"/>
          <w:szCs w:val="18"/>
        </w:rPr>
        <w:t>’</w:t>
      </w:r>
      <w:r w:rsidRPr="00A75DF9">
        <w:rPr>
          <w:rFonts w:ascii="Tahoma" w:hAnsi="Tahoma" w:cs="Tahoma"/>
          <w:bCs/>
          <w:sz w:val="18"/>
          <w:szCs w:val="18"/>
        </w:rPr>
        <w:t xml:space="preserve">indirizzo </w:t>
      </w:r>
      <w:hyperlink r:id="rId26" w:history="1">
        <w:r w:rsidR="004B42EB">
          <w:rPr>
            <w:rStyle w:val="Hyperlink"/>
            <w:rFonts w:ascii="Tahoma" w:hAnsi="Tahoma" w:cs="Tahoma"/>
            <w:bCs/>
            <w:sz w:val="18"/>
            <w:szCs w:val="18"/>
          </w:rPr>
          <w:t>http://support.microsoft.com/common/international.aspx?rdpath=dm;en-us;lifecycle</w:t>
        </w:r>
      </w:hyperlink>
      <w:r w:rsidRPr="00A75DF9">
        <w:rPr>
          <w:rFonts w:ascii="Tahoma" w:hAnsi="Tahoma" w:cs="Tahoma"/>
          <w:bCs/>
          <w:sz w:val="18"/>
          <w:szCs w:val="18"/>
        </w:rPr>
        <w:t xml:space="preserve">. </w:t>
      </w:r>
    </w:p>
    <w:p w:rsidR="00023FE7" w:rsidRPr="004B42EB" w:rsidRDefault="00023FE7" w:rsidP="00F42FB8">
      <w:pPr>
        <w:pStyle w:val="AppendixBodyText"/>
        <w:spacing w:after="0"/>
        <w:rPr>
          <w:rFonts w:ascii="Tahoma" w:hAnsi="Tahoma" w:cs="Tahoma"/>
          <w:sz w:val="18"/>
          <w:szCs w:val="18"/>
        </w:rPr>
      </w:pPr>
    </w:p>
    <w:p w:rsidR="00077CE5" w:rsidRPr="00A75DF9" w:rsidRDefault="00AF539A" w:rsidP="00DA2788">
      <w:pPr>
        <w:pStyle w:val="AppendixBodyText"/>
        <w:rPr>
          <w:rFonts w:ascii="Tahoma" w:hAnsi="Tahoma" w:cs="Tahoma"/>
        </w:rPr>
      </w:pPr>
      <w:r w:rsidRPr="00A75DF9">
        <w:rPr>
          <w:rFonts w:ascii="Tahoma" w:hAnsi="Tahoma" w:cs="Tahoma"/>
          <w:b/>
          <w:bCs/>
          <w:color w:val="000000"/>
          <w:sz w:val="18"/>
          <w:szCs w:val="18"/>
        </w:rPr>
        <w:t>Conversione degli Interventi di Supporto per la Risoluzione dei Problemi 24x7 Software Assurance in Servizi di Supporto Tecnico Microsoft Premier</w:t>
      </w:r>
    </w:p>
    <w:p w:rsidR="00077CE5" w:rsidRPr="004B42EB" w:rsidRDefault="00AF539A" w:rsidP="00DA2788">
      <w:pPr>
        <w:pStyle w:val="AppendixBodyText"/>
        <w:spacing w:after="0"/>
        <w:rPr>
          <w:rFonts w:ascii="Tahoma" w:hAnsi="Tahoma" w:cs="Tahoma"/>
          <w:sz w:val="18"/>
          <w:szCs w:val="18"/>
        </w:rPr>
      </w:pPr>
      <w:r w:rsidRPr="004B42EB">
        <w:rPr>
          <w:rFonts w:ascii="Tahoma" w:hAnsi="Tahoma" w:cs="Tahoma"/>
          <w:color w:val="000000"/>
          <w:sz w:val="18"/>
          <w:szCs w:val="18"/>
        </w:rPr>
        <w:t>Le società possono scegliere di convertire gli Interventi di Supporto per la Risoluzione dei Problemi 24x7 Software Assurance (Interventi SA PRS o “SAB”) in:</w:t>
      </w:r>
    </w:p>
    <w:p w:rsidR="00077CE5" w:rsidRPr="004B42EB" w:rsidRDefault="00077CE5" w:rsidP="00DA2788">
      <w:pPr>
        <w:pStyle w:val="AppendixBodyText"/>
        <w:spacing w:after="0"/>
        <w:rPr>
          <w:rFonts w:ascii="Tahoma" w:hAnsi="Tahoma" w:cs="Tahoma"/>
          <w:sz w:val="18"/>
          <w:szCs w:val="18"/>
        </w:rPr>
      </w:pPr>
    </w:p>
    <w:p w:rsidR="00AF539A" w:rsidRPr="004B42EB" w:rsidRDefault="00AF539A" w:rsidP="00346F4B">
      <w:pPr>
        <w:pStyle w:val="AppendixBodyText"/>
        <w:numPr>
          <w:ilvl w:val="0"/>
          <w:numId w:val="28"/>
        </w:numPr>
        <w:tabs>
          <w:tab w:val="left" w:pos="1440"/>
        </w:tabs>
        <w:ind w:left="1440"/>
        <w:rPr>
          <w:rFonts w:ascii="Tahoma" w:hAnsi="Tahoma" w:cs="Tahoma"/>
          <w:sz w:val="18"/>
          <w:szCs w:val="18"/>
        </w:rPr>
      </w:pPr>
      <w:r w:rsidRPr="00A75DF9">
        <w:rPr>
          <w:rFonts w:ascii="Tahoma" w:hAnsi="Tahoma" w:cs="Tahoma"/>
          <w:color w:val="000000"/>
          <w:sz w:val="18"/>
          <w:szCs w:val="18"/>
        </w:rPr>
        <w:t>o</w:t>
      </w:r>
      <w:r w:rsidRPr="004B42EB">
        <w:rPr>
          <w:rFonts w:ascii="Tahoma" w:hAnsi="Tahoma" w:cs="Tahoma"/>
          <w:color w:val="000000"/>
          <w:sz w:val="18"/>
          <w:szCs w:val="18"/>
        </w:rPr>
        <w:t>re di Supporto per la Risoluzione dei Problemi Premier</w:t>
      </w:r>
    </w:p>
    <w:p w:rsidR="00AF539A" w:rsidRPr="004B42EB" w:rsidRDefault="00AF539A" w:rsidP="00346F4B">
      <w:pPr>
        <w:pStyle w:val="AppendixBodyText"/>
        <w:numPr>
          <w:ilvl w:val="0"/>
          <w:numId w:val="28"/>
        </w:numPr>
        <w:tabs>
          <w:tab w:val="left" w:pos="1440"/>
        </w:tabs>
        <w:ind w:left="1440"/>
        <w:rPr>
          <w:rFonts w:ascii="Tahoma" w:hAnsi="Tahoma" w:cs="Tahoma"/>
          <w:sz w:val="18"/>
          <w:szCs w:val="18"/>
        </w:rPr>
      </w:pPr>
      <w:r w:rsidRPr="004B42EB">
        <w:rPr>
          <w:rFonts w:ascii="Tahoma" w:hAnsi="Tahoma" w:cs="Tahoma"/>
          <w:color w:val="000000"/>
          <w:sz w:val="18"/>
          <w:szCs w:val="18"/>
        </w:rPr>
        <w:t>ore Dedicated Support Engineer (DSE): applicabile solo alle attività di supporto tempestivo</w:t>
      </w:r>
    </w:p>
    <w:p w:rsidR="00077CE5" w:rsidRPr="004B42EB" w:rsidRDefault="00077CE5" w:rsidP="00DA2788">
      <w:pPr>
        <w:pStyle w:val="AppendixBodyText"/>
        <w:tabs>
          <w:tab w:val="left" w:pos="1440"/>
        </w:tabs>
        <w:spacing w:after="0"/>
        <w:rPr>
          <w:rFonts w:ascii="Tahoma" w:hAnsi="Tahoma" w:cs="Tahoma"/>
          <w:sz w:val="18"/>
          <w:szCs w:val="18"/>
        </w:rPr>
      </w:pPr>
    </w:p>
    <w:p w:rsidR="00AF539A" w:rsidRPr="004B42EB" w:rsidRDefault="00AF539A" w:rsidP="00F42FB8">
      <w:pPr>
        <w:rPr>
          <w:rFonts w:cs="Tahoma"/>
          <w:szCs w:val="18"/>
        </w:rPr>
      </w:pPr>
      <w:r w:rsidRPr="004B42EB">
        <w:rPr>
          <w:rFonts w:cs="Tahoma"/>
          <w:color w:val="000000"/>
          <w:szCs w:val="18"/>
        </w:rPr>
        <w:t>Questi servizi sono da utilizzare conformemente al loro piano di servizi Premier all</w:t>
      </w:r>
      <w:r w:rsidR="00F2643E">
        <w:rPr>
          <w:rFonts w:cs="Tahoma"/>
          <w:color w:val="000000"/>
          <w:szCs w:val="18"/>
        </w:rPr>
        <w:t>’</w:t>
      </w:r>
      <w:r w:rsidRPr="004B42EB">
        <w:rPr>
          <w:rFonts w:cs="Tahoma"/>
          <w:color w:val="000000"/>
          <w:szCs w:val="18"/>
        </w:rPr>
        <w:t>atto del trasferimento. Tale conversione si basa su un calcolo in valuta locale, che sarà effettuato dal relativo Account Team Premier. Le società potrebbero dover acquistare ore aggiuntive di Support Account Management prima di convertire gli interventi SA PRS. Gli interventi SA PRS convertiti in Premier sono considerate ore di Supporto per la Risoluzione dei Problemi Premier e soggetti alla Descrizione dei Servizi Premier. Una volta convertiti, gli interventi non possono più essere reintegrati nell</w:t>
      </w:r>
      <w:r w:rsidR="00F2643E">
        <w:rPr>
          <w:rFonts w:cs="Tahoma"/>
          <w:color w:val="000000"/>
          <w:szCs w:val="18"/>
        </w:rPr>
        <w:t>’</w:t>
      </w:r>
      <w:r w:rsidRPr="004B42EB">
        <w:rPr>
          <w:rFonts w:cs="Tahoma"/>
          <w:color w:val="000000"/>
          <w:szCs w:val="18"/>
        </w:rPr>
        <w:t>assegnazione SA della società.</w:t>
      </w:r>
    </w:p>
    <w:p w:rsidR="00023FE7" w:rsidRPr="004B42EB" w:rsidRDefault="00023FE7" w:rsidP="00F42FB8">
      <w:pPr>
        <w:pStyle w:val="AppendixBodyText"/>
        <w:spacing w:after="0"/>
        <w:rPr>
          <w:rFonts w:ascii="Tahoma" w:hAnsi="Tahoma" w:cs="Tahoma"/>
          <w:sz w:val="18"/>
          <w:szCs w:val="18"/>
        </w:rPr>
      </w:pPr>
    </w:p>
    <w:p w:rsidR="00077CE5" w:rsidRPr="00A75DF9" w:rsidRDefault="00077CE5" w:rsidP="00862623">
      <w:pPr>
        <w:pStyle w:val="AppendixBodyText"/>
        <w:keepNext/>
        <w:rPr>
          <w:rFonts w:ascii="Tahoma" w:hAnsi="Tahoma" w:cs="Tahoma"/>
        </w:rPr>
      </w:pPr>
      <w:r w:rsidRPr="00A75DF9">
        <w:rPr>
          <w:rFonts w:ascii="Tahoma" w:hAnsi="Tahoma" w:cs="Tahoma"/>
          <w:b/>
          <w:color w:val="000000"/>
          <w:sz w:val="18"/>
        </w:rPr>
        <w:t>Ulteriori disposizioni di carattere commerciale</w:t>
      </w:r>
    </w:p>
    <w:p w:rsidR="00023FE7" w:rsidRPr="004B42EB" w:rsidRDefault="00023FE7" w:rsidP="00F42FB8">
      <w:pPr>
        <w:pStyle w:val="AppendixBodyText"/>
        <w:spacing w:after="0"/>
        <w:rPr>
          <w:rFonts w:ascii="Tahoma" w:hAnsi="Tahoma" w:cs="Tahoma"/>
          <w:sz w:val="18"/>
          <w:szCs w:val="18"/>
        </w:rPr>
      </w:pPr>
      <w:r w:rsidRPr="004B42EB">
        <w:rPr>
          <w:rFonts w:ascii="Tahoma" w:hAnsi="Tahoma" w:cs="Tahoma"/>
          <w:sz w:val="18"/>
          <w:szCs w:val="18"/>
        </w:rPr>
        <w:t>La spesa SA non potrà essere cumulata tra iscrizioni Enterprise o Select, registrazioni Select Plus o Contratti Open Value per qualificarsi per premi aggiuntivi.</w:t>
      </w:r>
      <w:r w:rsidR="009D3B41" w:rsidRPr="004B42EB">
        <w:rPr>
          <w:rFonts w:ascii="Tahoma" w:hAnsi="Tahoma" w:cs="Tahoma"/>
          <w:sz w:val="18"/>
          <w:szCs w:val="18"/>
        </w:rPr>
        <w:t xml:space="preserve"> </w:t>
      </w:r>
      <w:r w:rsidRPr="004B42EB">
        <w:rPr>
          <w:rFonts w:ascii="Tahoma" w:hAnsi="Tahoma" w:cs="Tahoma"/>
          <w:sz w:val="18"/>
          <w:szCs w:val="18"/>
        </w:rPr>
        <w:t>La spesa di ciascuna iscrizione o contratto è utilizzata per determinare il premio relativo a quell</w:t>
      </w:r>
      <w:r w:rsidR="00F2643E">
        <w:rPr>
          <w:rFonts w:ascii="Tahoma" w:hAnsi="Tahoma" w:cs="Tahoma"/>
          <w:sz w:val="18"/>
          <w:szCs w:val="18"/>
        </w:rPr>
        <w:t>’</w:t>
      </w:r>
      <w:r w:rsidRPr="004B42EB">
        <w:rPr>
          <w:rFonts w:ascii="Tahoma" w:hAnsi="Tahoma" w:cs="Tahoma"/>
          <w:sz w:val="18"/>
          <w:szCs w:val="18"/>
        </w:rPr>
        <w:t>iscrizione o contratto.</w:t>
      </w:r>
    </w:p>
    <w:p w:rsidR="00077CE5" w:rsidRPr="004B42EB" w:rsidRDefault="00077CE5" w:rsidP="00F42FB8">
      <w:pPr>
        <w:pStyle w:val="AppendixBodyText"/>
        <w:spacing w:after="0"/>
        <w:rPr>
          <w:rFonts w:ascii="Tahoma" w:hAnsi="Tahoma" w:cs="Tahoma"/>
          <w:sz w:val="18"/>
          <w:szCs w:val="18"/>
        </w:rPr>
      </w:pPr>
    </w:p>
    <w:p w:rsidR="00023FE7" w:rsidRPr="004B42EB" w:rsidRDefault="00023FE7" w:rsidP="00F42FB8">
      <w:pPr>
        <w:pStyle w:val="AppendixBodyText"/>
        <w:tabs>
          <w:tab w:val="left" w:pos="1440"/>
        </w:tabs>
        <w:spacing w:after="0"/>
        <w:rPr>
          <w:rFonts w:ascii="Tahoma" w:hAnsi="Tahoma" w:cs="Tahoma"/>
          <w:sz w:val="18"/>
          <w:szCs w:val="18"/>
        </w:rPr>
      </w:pPr>
      <w:r w:rsidRPr="004B42EB">
        <w:rPr>
          <w:rFonts w:ascii="Tahoma" w:hAnsi="Tahoma" w:cs="Tahoma"/>
          <w:sz w:val="18"/>
          <w:szCs w:val="18"/>
        </w:rPr>
        <w:t>La riduzione della spesa SA in seguito a resi o altre modifiche apportate alla fatturazione</w:t>
      </w:r>
      <w:r w:rsidRPr="004B42EB">
        <w:rPr>
          <w:rFonts w:ascii="Tahoma" w:hAnsi="Tahoma" w:cs="Tahoma"/>
          <w:bCs/>
          <w:sz w:val="18"/>
          <w:szCs w:val="18"/>
        </w:rPr>
        <w:t>,</w:t>
      </w:r>
      <w:r w:rsidRPr="004B42EB">
        <w:rPr>
          <w:rFonts w:ascii="Tahoma" w:hAnsi="Tahoma" w:cs="Tahoma"/>
          <w:sz w:val="18"/>
          <w:szCs w:val="18"/>
        </w:rPr>
        <w:t xml:space="preserve"> ove ciò sia ammesso, </w:t>
      </w:r>
      <w:r w:rsidRPr="004B42EB">
        <w:rPr>
          <w:rFonts w:ascii="Tahoma" w:hAnsi="Tahoma" w:cs="Tahoma"/>
          <w:bCs/>
          <w:sz w:val="18"/>
          <w:szCs w:val="18"/>
        </w:rPr>
        <w:t>potrebbe</w:t>
      </w:r>
      <w:r w:rsidRPr="004B42EB">
        <w:rPr>
          <w:rFonts w:ascii="Tahoma" w:hAnsi="Tahoma" w:cs="Tahoma"/>
          <w:sz w:val="18"/>
          <w:szCs w:val="18"/>
        </w:rPr>
        <w:t xml:space="preserve"> comportare la perdita dell</w:t>
      </w:r>
      <w:r w:rsidR="00F2643E">
        <w:rPr>
          <w:rFonts w:ascii="Tahoma" w:hAnsi="Tahoma" w:cs="Tahoma"/>
          <w:sz w:val="18"/>
          <w:szCs w:val="18"/>
        </w:rPr>
        <w:t>’</w:t>
      </w:r>
      <w:r w:rsidRPr="004B42EB">
        <w:rPr>
          <w:rFonts w:ascii="Tahoma" w:hAnsi="Tahoma" w:cs="Tahoma"/>
          <w:sz w:val="18"/>
          <w:szCs w:val="18"/>
        </w:rPr>
        <w:t xml:space="preserve">idoneità a ricevere i premi per il Supporto o gli Interventi telefonici nel periodo attuale di attribuzione dei premi o in periodi futuri. </w:t>
      </w:r>
    </w:p>
    <w:p w:rsidR="0036654E" w:rsidRDefault="0036654E" w:rsidP="00F42FB8">
      <w:pPr>
        <w:pStyle w:val="Heading3"/>
        <w:rPr>
          <w:rFonts w:ascii="Tahoma" w:hAnsi="Tahoma" w:cs="Tahoma"/>
          <w:sz w:val="18"/>
          <w:szCs w:val="18"/>
        </w:rPr>
      </w:pPr>
    </w:p>
    <w:p w:rsidR="004B42EB" w:rsidRPr="004B42EB" w:rsidRDefault="004B42EB" w:rsidP="004B42EB"/>
    <w:p w:rsidR="00613BBB" w:rsidRPr="00A75DF9" w:rsidRDefault="00613BBB" w:rsidP="00F0652C">
      <w:pPr>
        <w:pStyle w:val="Heading3"/>
        <w:spacing w:after="60"/>
        <w:rPr>
          <w:rFonts w:ascii="Tahoma" w:hAnsi="Tahoma" w:cs="Tahoma"/>
        </w:rPr>
      </w:pPr>
      <w:bookmarkStart w:id="748" w:name="_Toc336338237"/>
      <w:bookmarkStart w:id="749" w:name="_Toc368310228"/>
      <w:r w:rsidRPr="00A75DF9">
        <w:rPr>
          <w:rFonts w:ascii="Tahoma" w:hAnsi="Tahoma" w:cs="Tahoma"/>
          <w:sz w:val="18"/>
        </w:rPr>
        <w:lastRenderedPageBreak/>
        <w:t>Supporto Illimitato per la Risoluzione dei Problemi 24x7</w:t>
      </w:r>
      <w:bookmarkEnd w:id="748"/>
      <w:bookmarkEnd w:id="749"/>
    </w:p>
    <w:p w:rsidR="00A17E03" w:rsidRPr="00A75DF9" w:rsidRDefault="00A17E03" w:rsidP="00F42FB8">
      <w:pPr>
        <w:jc w:val="both"/>
        <w:rPr>
          <w:rFonts w:cs="Tahoma"/>
        </w:rPr>
      </w:pPr>
      <w:r w:rsidRPr="00A75DF9">
        <w:rPr>
          <w:rFonts w:cs="Tahoma"/>
          <w:szCs w:val="18"/>
        </w:rPr>
        <w:t>Questo vantaggio è disponibile esclusivamente tramite (1) Enrollment for Application Platform (EAP) ai sensi di un Contratto Enterprise e/o (2) l</w:t>
      </w:r>
      <w:r w:rsidR="00F2643E">
        <w:rPr>
          <w:rFonts w:cs="Tahoma"/>
          <w:szCs w:val="18"/>
        </w:rPr>
        <w:t>’</w:t>
      </w:r>
      <w:r w:rsidRPr="00A75DF9">
        <w:rPr>
          <w:rFonts w:cs="Tahoma"/>
          <w:szCs w:val="18"/>
        </w:rPr>
        <w:t>acquisto di licenze per Parallel Data Warehouse (PDW) ai sensi di un contratto EA, EAP, Select Plus o Select.</w:t>
      </w:r>
    </w:p>
    <w:p w:rsidR="00A17E03" w:rsidRPr="00A75DF9" w:rsidRDefault="00A17E03" w:rsidP="00F42FB8">
      <w:pPr>
        <w:jc w:val="both"/>
        <w:rPr>
          <w:rFonts w:cs="Tahoma"/>
        </w:rPr>
      </w:pPr>
    </w:p>
    <w:p w:rsidR="00894563" w:rsidRPr="00A75DF9" w:rsidRDefault="00A17E03" w:rsidP="004B42EB">
      <w:pPr>
        <w:spacing w:line="276" w:lineRule="auto"/>
        <w:jc w:val="both"/>
        <w:rPr>
          <w:rFonts w:cs="Tahoma"/>
        </w:rPr>
      </w:pPr>
      <w:r w:rsidRPr="00A75DF9">
        <w:rPr>
          <w:rFonts w:eastAsia="Calibri" w:cs="Tahoma"/>
          <w:szCs w:val="18"/>
        </w:rPr>
        <w:t>Le società, che dispongono di un contratto EAP con una spesa media annuale minima per SA di $250.000 sul totale di</w:t>
      </w:r>
      <w:r w:rsidR="004B42EB">
        <w:rPr>
          <w:rFonts w:eastAsia="Calibri" w:cs="Tahoma"/>
          <w:szCs w:val="18"/>
        </w:rPr>
        <w:t> </w:t>
      </w:r>
      <w:r w:rsidRPr="00A75DF9">
        <w:rPr>
          <w:rFonts w:eastAsia="Calibri" w:cs="Tahoma"/>
          <w:szCs w:val="18"/>
        </w:rPr>
        <w:t xml:space="preserve">prodotti qualificanti della Piattaforma Applicativa e che dispongono di un Contratto Premier Services attivo, sono idonee a beneficiare degli interventi previsti dal Supporto Illimitato per la Risoluzione dei Problemi 24x7 (PRS). </w:t>
      </w:r>
      <w:r w:rsidRPr="00A75DF9">
        <w:rPr>
          <w:rFonts w:cs="Tahoma"/>
          <w:szCs w:val="18"/>
        </w:rPr>
        <w:t>I</w:t>
      </w:r>
      <w:r w:rsidR="004B42EB">
        <w:rPr>
          <w:rFonts w:cs="Tahoma"/>
          <w:szCs w:val="18"/>
        </w:rPr>
        <w:t> </w:t>
      </w:r>
      <w:r w:rsidRPr="00A75DF9">
        <w:rPr>
          <w:rFonts w:cs="Tahoma"/>
          <w:szCs w:val="18"/>
        </w:rPr>
        <w:t xml:space="preserve">prodotti elencati di seguito e che usufruiscono del Supporto Mainstream o Esteso come stabilito nei </w:t>
      </w:r>
      <w:hyperlink r:id="rId27" w:history="1">
        <w:r w:rsidRPr="00A75DF9">
          <w:rPr>
            <w:rStyle w:val="Hyperlink"/>
            <w:rFonts w:cs="Tahoma"/>
            <w:szCs w:val="18"/>
          </w:rPr>
          <w:t>Criteri per il Ciclo di Vita del Supporto di Microsoft</w:t>
        </w:r>
      </w:hyperlink>
      <w:r w:rsidRPr="00A75DF9">
        <w:rPr>
          <w:rFonts w:cs="Tahoma"/>
          <w:szCs w:val="18"/>
        </w:rPr>
        <w:t xml:space="preserve"> </w:t>
      </w:r>
      <w:r w:rsidRPr="00A75DF9">
        <w:rPr>
          <w:rFonts w:cs="Tahoma"/>
          <w:color w:val="000000"/>
          <w:szCs w:val="18"/>
        </w:rPr>
        <w:t>in linea con il contratto Premier di una società sono inclusi nel vantaggio.</w:t>
      </w:r>
    </w:p>
    <w:p w:rsidR="00077CE5" w:rsidRPr="00A75DF9" w:rsidRDefault="00077CE5" w:rsidP="00DA2788">
      <w:pPr>
        <w:spacing w:line="276" w:lineRule="auto"/>
        <w:jc w:val="both"/>
        <w:rPr>
          <w:rFonts w:cs="Tahoma"/>
        </w:rPr>
      </w:pPr>
    </w:p>
    <w:p w:rsidR="00A17E03" w:rsidRPr="00A75DF9" w:rsidRDefault="00A17E03" w:rsidP="00F42FB8">
      <w:pPr>
        <w:spacing w:line="276" w:lineRule="auto"/>
        <w:jc w:val="both"/>
        <w:rPr>
          <w:rFonts w:cs="Tahoma"/>
        </w:rPr>
      </w:pPr>
      <w:r w:rsidRPr="00A75DF9">
        <w:rPr>
          <w:rFonts w:eastAsia="Calibri" w:cs="Tahoma"/>
          <w:szCs w:val="18"/>
        </w:rPr>
        <w:t>I prodotti della Piattaforma Applicativa che si qualificano sono:</w:t>
      </w:r>
    </w:p>
    <w:p w:rsidR="00613BBB" w:rsidRPr="00A75DF9" w:rsidRDefault="00613BBB" w:rsidP="00077CE5">
      <w:pPr>
        <w:rPr>
          <w:rFonts w:cs="Tahoma"/>
        </w:rPr>
      </w:pPr>
    </w:p>
    <w:p w:rsidR="00613BBB" w:rsidRPr="00A75DF9" w:rsidRDefault="00613BBB" w:rsidP="00346F4B">
      <w:pPr>
        <w:numPr>
          <w:ilvl w:val="0"/>
          <w:numId w:val="73"/>
        </w:numPr>
        <w:spacing w:after="60"/>
        <w:rPr>
          <w:rFonts w:cs="Tahoma"/>
        </w:rPr>
      </w:pPr>
      <w:r w:rsidRPr="00A75DF9">
        <w:rPr>
          <w:rFonts w:cs="Tahoma"/>
          <w:szCs w:val="18"/>
        </w:rPr>
        <w:t>CAL per SQL</w:t>
      </w:r>
    </w:p>
    <w:p w:rsidR="00613BBB" w:rsidRPr="00A75DF9" w:rsidRDefault="00613BBB" w:rsidP="00346F4B">
      <w:pPr>
        <w:numPr>
          <w:ilvl w:val="0"/>
          <w:numId w:val="73"/>
        </w:numPr>
        <w:spacing w:after="60"/>
        <w:rPr>
          <w:rFonts w:cs="Tahoma"/>
        </w:rPr>
      </w:pPr>
      <w:r w:rsidRPr="00A75DF9">
        <w:rPr>
          <w:rFonts w:cs="Tahoma"/>
          <w:szCs w:val="18"/>
        </w:rPr>
        <w:t>SQL Server Standard</w:t>
      </w:r>
    </w:p>
    <w:p w:rsidR="00613BBB" w:rsidRPr="00A75DF9" w:rsidRDefault="00613BBB" w:rsidP="00346F4B">
      <w:pPr>
        <w:numPr>
          <w:ilvl w:val="0"/>
          <w:numId w:val="73"/>
        </w:numPr>
        <w:spacing w:after="60"/>
        <w:rPr>
          <w:rFonts w:cs="Tahoma"/>
        </w:rPr>
      </w:pPr>
      <w:r w:rsidRPr="00A75DF9">
        <w:rPr>
          <w:rFonts w:cs="Tahoma"/>
          <w:szCs w:val="18"/>
        </w:rPr>
        <w:t>SQL Server Standard Per Core / Per Processore</w:t>
      </w:r>
    </w:p>
    <w:p w:rsidR="00613BBB" w:rsidRPr="00A75DF9" w:rsidRDefault="00613BBB" w:rsidP="00346F4B">
      <w:pPr>
        <w:numPr>
          <w:ilvl w:val="0"/>
          <w:numId w:val="73"/>
        </w:numPr>
        <w:spacing w:after="60"/>
        <w:rPr>
          <w:rFonts w:cs="Tahoma"/>
        </w:rPr>
      </w:pPr>
      <w:r w:rsidRPr="00A75DF9">
        <w:rPr>
          <w:rFonts w:cs="Tahoma"/>
          <w:szCs w:val="18"/>
        </w:rPr>
        <w:t>SQL Server Enterprise</w:t>
      </w:r>
    </w:p>
    <w:p w:rsidR="00613BBB" w:rsidRPr="00A75DF9" w:rsidRDefault="00613BBB" w:rsidP="00346F4B">
      <w:pPr>
        <w:numPr>
          <w:ilvl w:val="0"/>
          <w:numId w:val="73"/>
        </w:numPr>
        <w:spacing w:after="60"/>
        <w:rPr>
          <w:rFonts w:cs="Tahoma"/>
        </w:rPr>
      </w:pPr>
      <w:r w:rsidRPr="00A75DF9">
        <w:rPr>
          <w:rFonts w:cs="Tahoma"/>
          <w:szCs w:val="18"/>
        </w:rPr>
        <w:t>SQL Server Enterprise Per Core / Per Processore</w:t>
      </w:r>
    </w:p>
    <w:p w:rsidR="00894563" w:rsidRPr="00A75DF9" w:rsidRDefault="00894563" w:rsidP="00346F4B">
      <w:pPr>
        <w:numPr>
          <w:ilvl w:val="0"/>
          <w:numId w:val="73"/>
        </w:numPr>
        <w:spacing w:after="60"/>
        <w:rPr>
          <w:rFonts w:cs="Tahoma"/>
        </w:rPr>
      </w:pPr>
      <w:r w:rsidRPr="00A75DF9">
        <w:rPr>
          <w:rFonts w:cs="Tahoma"/>
          <w:szCs w:val="18"/>
        </w:rPr>
        <w:t>SQL Server Business Intelligence</w:t>
      </w:r>
    </w:p>
    <w:p w:rsidR="00EB42F3" w:rsidRPr="00A75DF9" w:rsidRDefault="00EB42F3" w:rsidP="00346F4B">
      <w:pPr>
        <w:numPr>
          <w:ilvl w:val="0"/>
          <w:numId w:val="73"/>
        </w:numPr>
        <w:spacing w:after="60"/>
        <w:rPr>
          <w:rFonts w:cs="Tahoma"/>
        </w:rPr>
      </w:pPr>
      <w:r w:rsidRPr="00A75DF9">
        <w:rPr>
          <w:rFonts w:cs="Tahoma"/>
          <w:szCs w:val="18"/>
        </w:rPr>
        <w:t>SQL Server Datacenter Per Processore</w:t>
      </w:r>
    </w:p>
    <w:p w:rsidR="00613BBB" w:rsidRPr="00A75DF9" w:rsidRDefault="00613BBB" w:rsidP="00346F4B">
      <w:pPr>
        <w:numPr>
          <w:ilvl w:val="0"/>
          <w:numId w:val="73"/>
        </w:numPr>
        <w:spacing w:after="60"/>
        <w:rPr>
          <w:rFonts w:cs="Tahoma"/>
        </w:rPr>
      </w:pPr>
      <w:r w:rsidRPr="00A75DF9">
        <w:rPr>
          <w:rFonts w:cs="Tahoma"/>
          <w:szCs w:val="18"/>
        </w:rPr>
        <w:t>BizTalk Server Standard Per Processore</w:t>
      </w:r>
    </w:p>
    <w:p w:rsidR="00613BBB" w:rsidRPr="00A75DF9" w:rsidRDefault="00613BBB" w:rsidP="00346F4B">
      <w:pPr>
        <w:numPr>
          <w:ilvl w:val="0"/>
          <w:numId w:val="73"/>
        </w:numPr>
        <w:spacing w:after="60"/>
        <w:rPr>
          <w:rFonts w:cs="Tahoma"/>
        </w:rPr>
      </w:pPr>
      <w:r w:rsidRPr="00A75DF9">
        <w:rPr>
          <w:rFonts w:cs="Tahoma"/>
          <w:szCs w:val="18"/>
        </w:rPr>
        <w:t>BizTalk Server Enterprise Per Processore</w:t>
      </w:r>
    </w:p>
    <w:p w:rsidR="00613BBB" w:rsidRPr="00A75DF9" w:rsidRDefault="00613BBB" w:rsidP="00346F4B">
      <w:pPr>
        <w:numPr>
          <w:ilvl w:val="0"/>
          <w:numId w:val="73"/>
        </w:numPr>
        <w:spacing w:after="60"/>
        <w:rPr>
          <w:rFonts w:cs="Tahoma"/>
        </w:rPr>
      </w:pPr>
      <w:r w:rsidRPr="00A75DF9">
        <w:rPr>
          <w:rFonts w:cs="Tahoma"/>
          <w:szCs w:val="18"/>
        </w:rPr>
        <w:t>BizTalk Server Branch Per Processore</w:t>
      </w:r>
    </w:p>
    <w:p w:rsidR="00613BBB" w:rsidRPr="00A75DF9" w:rsidRDefault="00613BBB" w:rsidP="00346F4B">
      <w:pPr>
        <w:numPr>
          <w:ilvl w:val="0"/>
          <w:numId w:val="73"/>
        </w:numPr>
        <w:spacing w:after="60"/>
        <w:rPr>
          <w:rFonts w:cs="Tahoma"/>
        </w:rPr>
      </w:pPr>
      <w:r w:rsidRPr="00A75DF9">
        <w:rPr>
          <w:rFonts w:cs="Tahoma"/>
          <w:szCs w:val="18"/>
        </w:rPr>
        <w:t>Office SharePoint Server</w:t>
      </w:r>
    </w:p>
    <w:p w:rsidR="00613BBB" w:rsidRPr="00A75DF9" w:rsidRDefault="00613BBB" w:rsidP="00346F4B">
      <w:pPr>
        <w:numPr>
          <w:ilvl w:val="0"/>
          <w:numId w:val="73"/>
        </w:numPr>
        <w:spacing w:after="60"/>
        <w:rPr>
          <w:rFonts w:cs="Tahoma"/>
        </w:rPr>
      </w:pPr>
      <w:r w:rsidRPr="00A75DF9">
        <w:rPr>
          <w:rFonts w:cs="Tahoma"/>
          <w:szCs w:val="18"/>
        </w:rPr>
        <w:t>SharePoint Internet</w:t>
      </w:r>
    </w:p>
    <w:p w:rsidR="00894563" w:rsidRPr="00A75DF9" w:rsidRDefault="00894563" w:rsidP="00346F4B">
      <w:pPr>
        <w:numPr>
          <w:ilvl w:val="0"/>
          <w:numId w:val="73"/>
        </w:numPr>
        <w:spacing w:after="60"/>
        <w:rPr>
          <w:rFonts w:cs="Tahoma"/>
        </w:rPr>
      </w:pPr>
      <w:r w:rsidRPr="00A75DF9">
        <w:rPr>
          <w:rFonts w:cs="Tahoma"/>
          <w:szCs w:val="18"/>
        </w:rPr>
        <w:t>FAST for SharePoint / SharePoint Internet</w:t>
      </w:r>
    </w:p>
    <w:p w:rsidR="00613BBB" w:rsidRPr="00A75DF9" w:rsidRDefault="00613BBB" w:rsidP="00077CE5">
      <w:pPr>
        <w:rPr>
          <w:rFonts w:cs="Tahoma"/>
        </w:rPr>
      </w:pPr>
    </w:p>
    <w:p w:rsidR="00613BBB" w:rsidRPr="004B42EB" w:rsidRDefault="00613BBB" w:rsidP="00FF1B2B">
      <w:pPr>
        <w:pStyle w:val="AppendixBodyText"/>
        <w:spacing w:after="0"/>
        <w:jc w:val="both"/>
        <w:rPr>
          <w:rFonts w:ascii="Tahoma" w:hAnsi="Tahoma" w:cs="Tahoma"/>
          <w:sz w:val="18"/>
          <w:szCs w:val="18"/>
        </w:rPr>
      </w:pPr>
      <w:r w:rsidRPr="004B42EB">
        <w:rPr>
          <w:rFonts w:ascii="Tahoma" w:hAnsi="Tahoma" w:cs="Tahoma"/>
          <w:sz w:val="18"/>
          <w:szCs w:val="18"/>
        </w:rPr>
        <w:t>La seguente tabella elenca le conversioni delle soglie di spesa SA, in caso di contratti stipulati in valute diverse dall</w:t>
      </w:r>
      <w:r w:rsidR="00F2643E">
        <w:rPr>
          <w:rFonts w:ascii="Tahoma" w:hAnsi="Tahoma" w:cs="Tahoma"/>
          <w:sz w:val="18"/>
          <w:szCs w:val="18"/>
        </w:rPr>
        <w:t>’</w:t>
      </w:r>
      <w:r w:rsidRPr="004B42EB">
        <w:rPr>
          <w:rFonts w:ascii="Tahoma" w:hAnsi="Tahoma" w:cs="Tahoma"/>
          <w:sz w:val="18"/>
          <w:szCs w:val="18"/>
        </w:rPr>
        <w:t>USD.</w:t>
      </w:r>
      <w:r w:rsidR="009D3B41" w:rsidRPr="004B42EB">
        <w:rPr>
          <w:rFonts w:ascii="Tahoma" w:hAnsi="Tahoma" w:cs="Tahoma"/>
          <w:sz w:val="18"/>
          <w:szCs w:val="18"/>
        </w:rPr>
        <w:t xml:space="preserve"> </w:t>
      </w:r>
      <w:r w:rsidRPr="004B42EB">
        <w:rPr>
          <w:rFonts w:ascii="Tahoma" w:hAnsi="Tahoma" w:cs="Tahoma"/>
          <w:sz w:val="18"/>
          <w:szCs w:val="18"/>
        </w:rPr>
        <w:t>A causa delle fluttuazioni dei tassi di cambio, i valori riportati nella tabella sono soggetti a variazione senza preavviso.</w:t>
      </w:r>
    </w:p>
    <w:p w:rsidR="00E74270" w:rsidRPr="004B42EB" w:rsidRDefault="00E74270" w:rsidP="00FF1B2B">
      <w:pPr>
        <w:pStyle w:val="AppendixBodyText"/>
        <w:spacing w:after="0"/>
        <w:jc w:val="both"/>
        <w:rPr>
          <w:rFonts w:ascii="Tahoma" w:hAnsi="Tahoma" w:cs="Tahoma"/>
          <w:sz w:val="18"/>
          <w:szCs w:val="18"/>
        </w:rPr>
      </w:pPr>
    </w:p>
    <w:tbl>
      <w:tblPr>
        <w:tblW w:w="6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1757"/>
        <w:gridCol w:w="1112"/>
        <w:gridCol w:w="3152"/>
      </w:tblGrid>
      <w:tr w:rsidR="00E74270" w:rsidRPr="00A75DF9" w:rsidTr="008233B3">
        <w:trPr>
          <w:trHeight w:val="178"/>
          <w:tblHeader/>
          <w:jc w:val="center"/>
        </w:trPr>
        <w:tc>
          <w:tcPr>
            <w:tcW w:w="1757"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A75DF9" w:rsidRDefault="00E74270" w:rsidP="00E74270">
            <w:pPr>
              <w:pStyle w:val="AppendixBodyText"/>
              <w:jc w:val="center"/>
              <w:rPr>
                <w:rFonts w:ascii="Tahoma" w:hAnsi="Tahoma" w:cs="Tahoma"/>
                <w:b/>
                <w:bCs/>
              </w:rPr>
            </w:pPr>
            <w:r w:rsidRPr="00A75DF9">
              <w:rPr>
                <w:rFonts w:ascii="Tahoma" w:hAnsi="Tahoma" w:cs="Tahoma"/>
                <w:b/>
                <w:bCs/>
              </w:rPr>
              <w:t>Valuta</w:t>
            </w:r>
          </w:p>
        </w:tc>
        <w:tc>
          <w:tcPr>
            <w:tcW w:w="1112"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A75DF9" w:rsidRDefault="00E74270" w:rsidP="00E74270">
            <w:pPr>
              <w:pStyle w:val="AppendixBodyText"/>
              <w:jc w:val="center"/>
              <w:rPr>
                <w:rFonts w:ascii="Tahoma" w:hAnsi="Tahoma" w:cs="Tahoma"/>
                <w:b/>
                <w:bCs/>
              </w:rPr>
            </w:pPr>
            <w:r w:rsidRPr="00A75DF9">
              <w:rPr>
                <w:rFonts w:ascii="Tahoma" w:hAnsi="Tahoma" w:cs="Tahoma"/>
                <w:b/>
                <w:bCs/>
              </w:rPr>
              <w:t>Codice Valuta</w:t>
            </w:r>
          </w:p>
        </w:tc>
        <w:tc>
          <w:tcPr>
            <w:tcW w:w="3152" w:type="dxa"/>
            <w:tcBorders>
              <w:top w:val="single" w:sz="8" w:space="0" w:color="auto"/>
              <w:left w:val="single" w:sz="8" w:space="0" w:color="auto"/>
              <w:bottom w:val="single" w:sz="8" w:space="0" w:color="auto"/>
              <w:right w:val="single" w:sz="8" w:space="0" w:color="auto"/>
            </w:tcBorders>
            <w:shd w:val="clear" w:color="auto" w:fill="FFCC99"/>
            <w:vAlign w:val="center"/>
          </w:tcPr>
          <w:p w:rsidR="00E74270" w:rsidRPr="00A75DF9" w:rsidRDefault="00E74270" w:rsidP="00E74270">
            <w:pPr>
              <w:pStyle w:val="AppendixBodyText"/>
              <w:jc w:val="center"/>
              <w:rPr>
                <w:rFonts w:ascii="Tahoma" w:hAnsi="Tahoma" w:cs="Tahoma"/>
                <w:b/>
                <w:bCs/>
              </w:rPr>
            </w:pPr>
            <w:r w:rsidRPr="00A75DF9">
              <w:rPr>
                <w:rFonts w:ascii="Tahoma" w:hAnsi="Tahoma" w:cs="Tahoma"/>
                <w:b/>
                <w:bCs/>
              </w:rPr>
              <w:t xml:space="preserve">Spesa Media Annuale Minima per SA per beneficiare del PRS Illimitato 24x7 </w:t>
            </w:r>
          </w:p>
        </w:tc>
      </w:tr>
      <w:tr w:rsidR="00E74270" w:rsidRPr="00A75DF9" w:rsidTr="008233B3">
        <w:trPr>
          <w:trHeight w:val="236"/>
          <w:jc w:val="center"/>
        </w:trPr>
        <w:tc>
          <w:tcPr>
            <w:tcW w:w="1757" w:type="dxa"/>
            <w:vAlign w:val="bottom"/>
          </w:tcPr>
          <w:p w:rsidR="00E74270" w:rsidRPr="00A75DF9" w:rsidRDefault="00E74270" w:rsidP="00E74270">
            <w:pPr>
              <w:pStyle w:val="AppendixBodyText"/>
              <w:rPr>
                <w:rFonts w:ascii="Tahoma" w:hAnsi="Tahoma" w:cs="Tahoma"/>
                <w:sz w:val="18"/>
                <w:szCs w:val="18"/>
              </w:rPr>
            </w:pPr>
            <w:r w:rsidRPr="00A75DF9">
              <w:rPr>
                <w:rFonts w:ascii="Tahoma" w:hAnsi="Tahoma" w:cs="Tahoma"/>
                <w:sz w:val="18"/>
                <w:szCs w:val="18"/>
              </w:rPr>
              <w:t>Dollaro statunitense</w:t>
            </w:r>
          </w:p>
        </w:tc>
        <w:tc>
          <w:tcPr>
            <w:tcW w:w="1112" w:type="dxa"/>
            <w:vAlign w:val="bottom"/>
          </w:tcPr>
          <w:p w:rsidR="00E74270" w:rsidRPr="00A75DF9" w:rsidRDefault="00E74270" w:rsidP="00E74270">
            <w:pPr>
              <w:pStyle w:val="AppendixBodyText"/>
              <w:jc w:val="center"/>
              <w:rPr>
                <w:rFonts w:ascii="Tahoma" w:hAnsi="Tahoma" w:cs="Tahoma"/>
                <w:sz w:val="18"/>
                <w:szCs w:val="18"/>
              </w:rPr>
            </w:pPr>
            <w:r w:rsidRPr="00A75DF9">
              <w:rPr>
                <w:rFonts w:ascii="Tahoma" w:hAnsi="Tahoma" w:cs="Tahoma"/>
                <w:sz w:val="18"/>
                <w:szCs w:val="18"/>
              </w:rPr>
              <w:t>USD</w:t>
            </w:r>
          </w:p>
        </w:tc>
        <w:tc>
          <w:tcPr>
            <w:tcW w:w="3152" w:type="dxa"/>
            <w:vAlign w:val="bottom"/>
          </w:tcPr>
          <w:p w:rsidR="00E74270" w:rsidRPr="00A75DF9" w:rsidRDefault="00E74270" w:rsidP="004B42EB">
            <w:pPr>
              <w:pStyle w:val="AppendixBodyText"/>
              <w:jc w:val="right"/>
              <w:rPr>
                <w:rFonts w:ascii="Tahoma" w:hAnsi="Tahoma" w:cs="Tahoma"/>
                <w:sz w:val="18"/>
                <w:szCs w:val="18"/>
              </w:rPr>
            </w:pPr>
            <w:r w:rsidRPr="00A75DF9">
              <w:rPr>
                <w:rFonts w:ascii="Tahoma" w:hAnsi="Tahoma" w:cs="Tahoma"/>
                <w:color w:val="000000"/>
                <w:sz w:val="18"/>
                <w:szCs w:val="18"/>
              </w:rPr>
              <w:t>250</w:t>
            </w:r>
            <w:r w:rsidR="004B42EB">
              <w:rPr>
                <w:rFonts w:ascii="Tahoma" w:hAnsi="Tahoma" w:cs="Tahoma"/>
                <w:color w:val="000000"/>
                <w:sz w:val="18"/>
                <w:szCs w:val="18"/>
              </w:rPr>
              <w:t>.</w:t>
            </w:r>
            <w:r w:rsidRPr="00A75DF9">
              <w:rPr>
                <w:rFonts w:ascii="Tahoma" w:hAnsi="Tahoma" w:cs="Tahoma"/>
                <w:color w:val="000000"/>
                <w:sz w:val="18"/>
                <w:szCs w:val="18"/>
              </w:rPr>
              <w:t>000</w:t>
            </w:r>
          </w:p>
        </w:tc>
      </w:tr>
      <w:tr w:rsidR="00E74270" w:rsidRPr="00A75DF9" w:rsidTr="008233B3">
        <w:trPr>
          <w:trHeight w:val="236"/>
          <w:jc w:val="center"/>
        </w:trPr>
        <w:tc>
          <w:tcPr>
            <w:tcW w:w="1757" w:type="dxa"/>
            <w:vAlign w:val="bottom"/>
          </w:tcPr>
          <w:p w:rsidR="00E74270" w:rsidRPr="00A75DF9" w:rsidRDefault="00E74270" w:rsidP="00E74270">
            <w:pPr>
              <w:pStyle w:val="AppendixBodyText"/>
              <w:rPr>
                <w:rFonts w:ascii="Tahoma" w:hAnsi="Tahoma" w:cs="Tahoma"/>
                <w:sz w:val="18"/>
                <w:szCs w:val="18"/>
              </w:rPr>
            </w:pPr>
            <w:r w:rsidRPr="00A75DF9">
              <w:rPr>
                <w:rFonts w:ascii="Tahoma" w:hAnsi="Tahoma" w:cs="Tahoma"/>
                <w:sz w:val="18"/>
                <w:szCs w:val="18"/>
              </w:rPr>
              <w:t>Dollaro australiano</w:t>
            </w:r>
          </w:p>
        </w:tc>
        <w:tc>
          <w:tcPr>
            <w:tcW w:w="1112" w:type="dxa"/>
            <w:vAlign w:val="bottom"/>
          </w:tcPr>
          <w:p w:rsidR="00E74270" w:rsidRPr="00A75DF9" w:rsidRDefault="00E74270" w:rsidP="00E74270">
            <w:pPr>
              <w:pStyle w:val="AppendixBodyText"/>
              <w:jc w:val="center"/>
              <w:rPr>
                <w:rFonts w:ascii="Tahoma" w:hAnsi="Tahoma" w:cs="Tahoma"/>
                <w:sz w:val="18"/>
                <w:szCs w:val="18"/>
              </w:rPr>
            </w:pPr>
            <w:r w:rsidRPr="00A75DF9">
              <w:rPr>
                <w:rFonts w:ascii="Tahoma" w:hAnsi="Tahoma" w:cs="Tahoma"/>
                <w:sz w:val="18"/>
                <w:szCs w:val="18"/>
              </w:rPr>
              <w:t>AUD</w:t>
            </w:r>
          </w:p>
        </w:tc>
        <w:tc>
          <w:tcPr>
            <w:tcW w:w="3152" w:type="dxa"/>
            <w:vAlign w:val="bottom"/>
          </w:tcPr>
          <w:p w:rsidR="00E74270" w:rsidRPr="00A75DF9" w:rsidRDefault="00E74270" w:rsidP="004B42EB">
            <w:pPr>
              <w:pStyle w:val="AppendixBodyText"/>
              <w:jc w:val="right"/>
              <w:rPr>
                <w:rFonts w:ascii="Tahoma" w:hAnsi="Tahoma" w:cs="Tahoma"/>
                <w:sz w:val="18"/>
                <w:szCs w:val="18"/>
              </w:rPr>
            </w:pPr>
            <w:r w:rsidRPr="00A75DF9">
              <w:rPr>
                <w:rFonts w:ascii="Tahoma" w:hAnsi="Tahoma" w:cs="Tahoma"/>
                <w:color w:val="000000"/>
                <w:sz w:val="18"/>
                <w:szCs w:val="18"/>
              </w:rPr>
              <w:t>375</w:t>
            </w:r>
            <w:r w:rsidR="004B42EB">
              <w:rPr>
                <w:rFonts w:ascii="Tahoma" w:hAnsi="Tahoma" w:cs="Tahoma"/>
                <w:color w:val="000000"/>
                <w:sz w:val="18"/>
                <w:szCs w:val="18"/>
              </w:rPr>
              <w:t>.</w:t>
            </w:r>
            <w:r w:rsidRPr="00A75DF9">
              <w:rPr>
                <w:rFonts w:ascii="Tahoma" w:hAnsi="Tahoma" w:cs="Tahoma"/>
                <w:color w:val="000000"/>
                <w:sz w:val="18"/>
                <w:szCs w:val="18"/>
              </w:rPr>
              <w:t>000</w:t>
            </w:r>
          </w:p>
        </w:tc>
      </w:tr>
      <w:tr w:rsidR="00E74270" w:rsidRPr="00A75DF9" w:rsidTr="008233B3">
        <w:trPr>
          <w:trHeight w:val="236"/>
          <w:jc w:val="center"/>
        </w:trPr>
        <w:tc>
          <w:tcPr>
            <w:tcW w:w="1757" w:type="dxa"/>
            <w:vAlign w:val="bottom"/>
          </w:tcPr>
          <w:p w:rsidR="00E74270" w:rsidRPr="00A75DF9" w:rsidRDefault="00E74270" w:rsidP="00E74270">
            <w:pPr>
              <w:pStyle w:val="AppendixBodyText"/>
              <w:rPr>
                <w:rFonts w:ascii="Tahoma" w:hAnsi="Tahoma" w:cs="Tahoma"/>
                <w:sz w:val="18"/>
                <w:szCs w:val="18"/>
              </w:rPr>
            </w:pPr>
            <w:r w:rsidRPr="00A75DF9">
              <w:rPr>
                <w:rFonts w:ascii="Tahoma" w:hAnsi="Tahoma" w:cs="Tahoma"/>
                <w:sz w:val="18"/>
                <w:szCs w:val="18"/>
              </w:rPr>
              <w:t>Dollaro canadese</w:t>
            </w:r>
          </w:p>
        </w:tc>
        <w:tc>
          <w:tcPr>
            <w:tcW w:w="1112" w:type="dxa"/>
            <w:vAlign w:val="bottom"/>
          </w:tcPr>
          <w:p w:rsidR="00E74270" w:rsidRPr="00A75DF9" w:rsidRDefault="00E74270" w:rsidP="00E74270">
            <w:pPr>
              <w:pStyle w:val="AppendixBodyText"/>
              <w:jc w:val="center"/>
              <w:rPr>
                <w:rFonts w:ascii="Tahoma" w:hAnsi="Tahoma" w:cs="Tahoma"/>
                <w:sz w:val="18"/>
                <w:szCs w:val="18"/>
              </w:rPr>
            </w:pPr>
            <w:r w:rsidRPr="00A75DF9">
              <w:rPr>
                <w:rFonts w:ascii="Tahoma" w:hAnsi="Tahoma" w:cs="Tahoma"/>
                <w:sz w:val="18"/>
                <w:szCs w:val="18"/>
              </w:rPr>
              <w:t>CAD</w:t>
            </w:r>
          </w:p>
        </w:tc>
        <w:tc>
          <w:tcPr>
            <w:tcW w:w="3152" w:type="dxa"/>
            <w:vAlign w:val="bottom"/>
          </w:tcPr>
          <w:p w:rsidR="00E74270" w:rsidRPr="00A75DF9" w:rsidRDefault="00E74270" w:rsidP="004B42EB">
            <w:pPr>
              <w:pStyle w:val="AppendixBodyText"/>
              <w:jc w:val="right"/>
              <w:rPr>
                <w:rFonts w:ascii="Tahoma" w:hAnsi="Tahoma" w:cs="Tahoma"/>
                <w:sz w:val="18"/>
                <w:szCs w:val="18"/>
              </w:rPr>
            </w:pPr>
            <w:r w:rsidRPr="00A75DF9">
              <w:rPr>
                <w:rFonts w:ascii="Tahoma" w:hAnsi="Tahoma" w:cs="Tahoma"/>
                <w:color w:val="000000"/>
                <w:sz w:val="18"/>
                <w:szCs w:val="18"/>
              </w:rPr>
              <w:t>337</w:t>
            </w:r>
            <w:r w:rsidR="004B42EB">
              <w:rPr>
                <w:rFonts w:ascii="Tahoma" w:hAnsi="Tahoma" w:cs="Tahoma"/>
                <w:color w:val="000000"/>
                <w:sz w:val="18"/>
                <w:szCs w:val="18"/>
              </w:rPr>
              <w:t>.</w:t>
            </w:r>
            <w:r w:rsidRPr="00A75DF9">
              <w:rPr>
                <w:rFonts w:ascii="Tahoma" w:hAnsi="Tahoma" w:cs="Tahoma"/>
                <w:color w:val="000000"/>
                <w:sz w:val="18"/>
                <w:szCs w:val="18"/>
              </w:rPr>
              <w:t>500</w:t>
            </w:r>
          </w:p>
        </w:tc>
      </w:tr>
      <w:tr w:rsidR="00E74270" w:rsidRPr="00A75DF9" w:rsidTr="008233B3">
        <w:trPr>
          <w:trHeight w:val="236"/>
          <w:jc w:val="center"/>
        </w:trPr>
        <w:tc>
          <w:tcPr>
            <w:tcW w:w="1757" w:type="dxa"/>
            <w:vAlign w:val="bottom"/>
          </w:tcPr>
          <w:p w:rsidR="00E74270" w:rsidRPr="00A75DF9" w:rsidRDefault="00E74270" w:rsidP="00E74270">
            <w:pPr>
              <w:pStyle w:val="AppendixBodyText"/>
              <w:rPr>
                <w:rFonts w:ascii="Tahoma" w:hAnsi="Tahoma" w:cs="Tahoma"/>
                <w:sz w:val="18"/>
                <w:szCs w:val="18"/>
              </w:rPr>
            </w:pPr>
            <w:r w:rsidRPr="00A75DF9">
              <w:rPr>
                <w:rFonts w:ascii="Tahoma" w:hAnsi="Tahoma" w:cs="Tahoma"/>
                <w:sz w:val="18"/>
                <w:szCs w:val="18"/>
              </w:rPr>
              <w:t>Franco svizzero</w:t>
            </w:r>
          </w:p>
        </w:tc>
        <w:tc>
          <w:tcPr>
            <w:tcW w:w="1112" w:type="dxa"/>
            <w:vAlign w:val="bottom"/>
          </w:tcPr>
          <w:p w:rsidR="00E74270" w:rsidRPr="00A75DF9" w:rsidRDefault="00E74270" w:rsidP="00E74270">
            <w:pPr>
              <w:pStyle w:val="AppendixBodyText"/>
              <w:jc w:val="center"/>
              <w:rPr>
                <w:rFonts w:ascii="Tahoma" w:hAnsi="Tahoma" w:cs="Tahoma"/>
                <w:sz w:val="18"/>
                <w:szCs w:val="18"/>
              </w:rPr>
            </w:pPr>
            <w:r w:rsidRPr="00A75DF9">
              <w:rPr>
                <w:rFonts w:ascii="Tahoma" w:hAnsi="Tahoma" w:cs="Tahoma"/>
                <w:sz w:val="18"/>
                <w:szCs w:val="18"/>
              </w:rPr>
              <w:t>CHF</w:t>
            </w:r>
          </w:p>
        </w:tc>
        <w:tc>
          <w:tcPr>
            <w:tcW w:w="3152" w:type="dxa"/>
            <w:vAlign w:val="bottom"/>
          </w:tcPr>
          <w:p w:rsidR="00E74270" w:rsidRPr="00A75DF9" w:rsidRDefault="00E74270" w:rsidP="004B42EB">
            <w:pPr>
              <w:pStyle w:val="AppendixBodyText"/>
              <w:jc w:val="right"/>
              <w:rPr>
                <w:rFonts w:ascii="Tahoma" w:hAnsi="Tahoma" w:cs="Tahoma"/>
                <w:sz w:val="18"/>
                <w:szCs w:val="18"/>
              </w:rPr>
            </w:pPr>
            <w:r w:rsidRPr="00A75DF9">
              <w:rPr>
                <w:rFonts w:ascii="Tahoma" w:hAnsi="Tahoma" w:cs="Tahoma"/>
                <w:color w:val="000000"/>
                <w:sz w:val="18"/>
                <w:szCs w:val="18"/>
              </w:rPr>
              <w:t>412</w:t>
            </w:r>
            <w:r w:rsidR="004B42EB">
              <w:rPr>
                <w:rFonts w:ascii="Tahoma" w:hAnsi="Tahoma" w:cs="Tahoma"/>
                <w:color w:val="000000"/>
                <w:sz w:val="18"/>
                <w:szCs w:val="18"/>
              </w:rPr>
              <w:t>.</w:t>
            </w:r>
            <w:r w:rsidRPr="00A75DF9">
              <w:rPr>
                <w:rFonts w:ascii="Tahoma" w:hAnsi="Tahoma" w:cs="Tahoma"/>
                <w:color w:val="000000"/>
                <w:sz w:val="18"/>
                <w:szCs w:val="18"/>
              </w:rPr>
              <w:t>500</w:t>
            </w:r>
          </w:p>
        </w:tc>
      </w:tr>
      <w:tr w:rsidR="00E74270" w:rsidRPr="00A75DF9" w:rsidTr="008233B3">
        <w:trPr>
          <w:trHeight w:val="236"/>
          <w:jc w:val="center"/>
        </w:trPr>
        <w:tc>
          <w:tcPr>
            <w:tcW w:w="1757" w:type="dxa"/>
            <w:vAlign w:val="bottom"/>
          </w:tcPr>
          <w:p w:rsidR="00E74270" w:rsidRPr="00A75DF9" w:rsidRDefault="00E74270" w:rsidP="00E74270">
            <w:pPr>
              <w:pStyle w:val="AppendixBodyText"/>
              <w:rPr>
                <w:rFonts w:ascii="Tahoma" w:hAnsi="Tahoma" w:cs="Tahoma"/>
                <w:sz w:val="18"/>
                <w:szCs w:val="18"/>
              </w:rPr>
            </w:pPr>
            <w:r w:rsidRPr="00A75DF9">
              <w:rPr>
                <w:rFonts w:ascii="Tahoma" w:hAnsi="Tahoma" w:cs="Tahoma"/>
                <w:sz w:val="18"/>
                <w:szCs w:val="18"/>
              </w:rPr>
              <w:t>Renminbi cinese</w:t>
            </w:r>
          </w:p>
        </w:tc>
        <w:tc>
          <w:tcPr>
            <w:tcW w:w="1112" w:type="dxa"/>
            <w:vAlign w:val="bottom"/>
          </w:tcPr>
          <w:p w:rsidR="00E74270" w:rsidRPr="00A75DF9" w:rsidRDefault="00E74270" w:rsidP="00E74270">
            <w:pPr>
              <w:pStyle w:val="AppendixBodyText"/>
              <w:jc w:val="center"/>
              <w:rPr>
                <w:rFonts w:ascii="Tahoma" w:hAnsi="Tahoma" w:cs="Tahoma"/>
                <w:sz w:val="18"/>
                <w:szCs w:val="18"/>
              </w:rPr>
            </w:pPr>
            <w:r w:rsidRPr="00A75DF9">
              <w:rPr>
                <w:rFonts w:ascii="Tahoma" w:hAnsi="Tahoma" w:cs="Tahoma"/>
                <w:sz w:val="18"/>
                <w:szCs w:val="18"/>
              </w:rPr>
              <w:t>CNY</w:t>
            </w:r>
          </w:p>
        </w:tc>
        <w:tc>
          <w:tcPr>
            <w:tcW w:w="3152" w:type="dxa"/>
            <w:vAlign w:val="bottom"/>
          </w:tcPr>
          <w:p w:rsidR="00E74270" w:rsidRPr="00A75DF9" w:rsidRDefault="00E74270" w:rsidP="004B42EB">
            <w:pPr>
              <w:pStyle w:val="AppendixBodyText"/>
              <w:jc w:val="right"/>
              <w:rPr>
                <w:rFonts w:ascii="Tahoma" w:hAnsi="Tahoma" w:cs="Tahoma"/>
                <w:sz w:val="18"/>
                <w:szCs w:val="18"/>
              </w:rPr>
            </w:pPr>
            <w:r w:rsidRPr="00A75DF9">
              <w:rPr>
                <w:rFonts w:ascii="Tahoma" w:hAnsi="Tahoma" w:cs="Tahoma"/>
                <w:color w:val="000000"/>
                <w:sz w:val="18"/>
                <w:szCs w:val="18"/>
              </w:rPr>
              <w:t>2</w:t>
            </w:r>
            <w:r w:rsidR="004B42EB">
              <w:rPr>
                <w:rFonts w:ascii="Tahoma" w:hAnsi="Tahoma" w:cs="Tahoma"/>
                <w:color w:val="000000"/>
                <w:sz w:val="18"/>
                <w:szCs w:val="18"/>
              </w:rPr>
              <w:t>.</w:t>
            </w:r>
            <w:r w:rsidRPr="00A75DF9">
              <w:rPr>
                <w:rFonts w:ascii="Tahoma" w:hAnsi="Tahoma" w:cs="Tahoma"/>
                <w:color w:val="000000"/>
                <w:sz w:val="18"/>
                <w:szCs w:val="18"/>
              </w:rPr>
              <w:t>062</w:t>
            </w:r>
            <w:r w:rsidR="004B42EB">
              <w:rPr>
                <w:rFonts w:ascii="Tahoma" w:hAnsi="Tahoma" w:cs="Tahoma"/>
                <w:color w:val="000000"/>
                <w:sz w:val="18"/>
                <w:szCs w:val="18"/>
              </w:rPr>
              <w:t>.</w:t>
            </w:r>
            <w:r w:rsidRPr="00A75DF9">
              <w:rPr>
                <w:rFonts w:ascii="Tahoma" w:hAnsi="Tahoma" w:cs="Tahoma"/>
                <w:color w:val="000000"/>
                <w:sz w:val="18"/>
                <w:szCs w:val="18"/>
              </w:rPr>
              <w:t>500</w:t>
            </w:r>
          </w:p>
        </w:tc>
      </w:tr>
      <w:tr w:rsidR="00E74270" w:rsidRPr="00A75DF9" w:rsidTr="008233B3">
        <w:trPr>
          <w:trHeight w:val="236"/>
          <w:jc w:val="center"/>
        </w:trPr>
        <w:tc>
          <w:tcPr>
            <w:tcW w:w="1757" w:type="dxa"/>
            <w:vAlign w:val="bottom"/>
          </w:tcPr>
          <w:p w:rsidR="00E74270" w:rsidRPr="00A75DF9" w:rsidRDefault="00E74270" w:rsidP="00E74270">
            <w:pPr>
              <w:pStyle w:val="AppendixBodyText"/>
              <w:rPr>
                <w:rFonts w:ascii="Tahoma" w:hAnsi="Tahoma" w:cs="Tahoma"/>
                <w:sz w:val="18"/>
                <w:szCs w:val="18"/>
              </w:rPr>
            </w:pPr>
            <w:r w:rsidRPr="00A75DF9">
              <w:rPr>
                <w:rFonts w:ascii="Tahoma" w:hAnsi="Tahoma" w:cs="Tahoma"/>
                <w:sz w:val="18"/>
                <w:szCs w:val="18"/>
              </w:rPr>
              <w:t>Corone Danesi</w:t>
            </w:r>
          </w:p>
        </w:tc>
        <w:tc>
          <w:tcPr>
            <w:tcW w:w="1112" w:type="dxa"/>
            <w:vAlign w:val="bottom"/>
          </w:tcPr>
          <w:p w:rsidR="00E74270" w:rsidRPr="00A75DF9" w:rsidRDefault="00E74270" w:rsidP="00E74270">
            <w:pPr>
              <w:pStyle w:val="AppendixBodyText"/>
              <w:jc w:val="center"/>
              <w:rPr>
                <w:rFonts w:ascii="Tahoma" w:hAnsi="Tahoma" w:cs="Tahoma"/>
                <w:sz w:val="18"/>
                <w:szCs w:val="18"/>
              </w:rPr>
            </w:pPr>
            <w:r w:rsidRPr="00A75DF9">
              <w:rPr>
                <w:rFonts w:ascii="Tahoma" w:hAnsi="Tahoma" w:cs="Tahoma"/>
                <w:sz w:val="18"/>
                <w:szCs w:val="18"/>
              </w:rPr>
              <w:t>DKK</w:t>
            </w:r>
          </w:p>
        </w:tc>
        <w:tc>
          <w:tcPr>
            <w:tcW w:w="3152" w:type="dxa"/>
            <w:vAlign w:val="bottom"/>
          </w:tcPr>
          <w:p w:rsidR="00E74270" w:rsidRPr="00A75DF9" w:rsidRDefault="00E74270" w:rsidP="004B42EB">
            <w:pPr>
              <w:pStyle w:val="AppendixBodyText"/>
              <w:jc w:val="right"/>
              <w:rPr>
                <w:rFonts w:ascii="Tahoma" w:hAnsi="Tahoma" w:cs="Tahoma"/>
                <w:sz w:val="18"/>
                <w:szCs w:val="18"/>
              </w:rPr>
            </w:pPr>
            <w:r w:rsidRPr="00A75DF9">
              <w:rPr>
                <w:rFonts w:ascii="Tahoma" w:hAnsi="Tahoma" w:cs="Tahoma"/>
                <w:color w:val="000000"/>
                <w:sz w:val="18"/>
                <w:szCs w:val="18"/>
              </w:rPr>
              <w:t>2</w:t>
            </w:r>
            <w:r w:rsidR="004B42EB">
              <w:rPr>
                <w:rFonts w:ascii="Tahoma" w:hAnsi="Tahoma" w:cs="Tahoma"/>
                <w:color w:val="000000"/>
                <w:sz w:val="18"/>
                <w:szCs w:val="18"/>
              </w:rPr>
              <w:t>.</w:t>
            </w:r>
            <w:r w:rsidRPr="00A75DF9">
              <w:rPr>
                <w:rFonts w:ascii="Tahoma" w:hAnsi="Tahoma" w:cs="Tahoma"/>
                <w:color w:val="000000"/>
                <w:sz w:val="18"/>
                <w:szCs w:val="18"/>
              </w:rPr>
              <w:t>000</w:t>
            </w:r>
            <w:r w:rsidR="004B42EB">
              <w:rPr>
                <w:rFonts w:ascii="Tahoma" w:hAnsi="Tahoma" w:cs="Tahoma"/>
                <w:color w:val="000000"/>
                <w:sz w:val="18"/>
                <w:szCs w:val="18"/>
              </w:rPr>
              <w:t>.</w:t>
            </w:r>
            <w:r w:rsidRPr="00A75DF9">
              <w:rPr>
                <w:rFonts w:ascii="Tahoma" w:hAnsi="Tahoma" w:cs="Tahoma"/>
                <w:color w:val="000000"/>
                <w:sz w:val="18"/>
                <w:szCs w:val="18"/>
              </w:rPr>
              <w:t>000</w:t>
            </w:r>
          </w:p>
        </w:tc>
      </w:tr>
      <w:tr w:rsidR="00E74270" w:rsidRPr="00A75DF9" w:rsidTr="008233B3">
        <w:trPr>
          <w:trHeight w:val="236"/>
          <w:jc w:val="center"/>
        </w:trPr>
        <w:tc>
          <w:tcPr>
            <w:tcW w:w="1757" w:type="dxa"/>
            <w:vAlign w:val="bottom"/>
          </w:tcPr>
          <w:p w:rsidR="00E74270" w:rsidRPr="00A75DF9" w:rsidRDefault="00E74270" w:rsidP="00E74270">
            <w:pPr>
              <w:pStyle w:val="AppendixBodyText"/>
              <w:rPr>
                <w:rFonts w:ascii="Tahoma" w:hAnsi="Tahoma" w:cs="Tahoma"/>
                <w:sz w:val="18"/>
                <w:szCs w:val="18"/>
              </w:rPr>
            </w:pPr>
            <w:r w:rsidRPr="00A75DF9">
              <w:rPr>
                <w:rFonts w:ascii="Tahoma" w:hAnsi="Tahoma" w:cs="Tahoma"/>
                <w:sz w:val="18"/>
                <w:szCs w:val="18"/>
              </w:rPr>
              <w:t>EURO</w:t>
            </w:r>
          </w:p>
        </w:tc>
        <w:tc>
          <w:tcPr>
            <w:tcW w:w="1112" w:type="dxa"/>
            <w:vAlign w:val="bottom"/>
          </w:tcPr>
          <w:p w:rsidR="00E74270" w:rsidRPr="00A75DF9" w:rsidRDefault="00E74270" w:rsidP="00E74270">
            <w:pPr>
              <w:pStyle w:val="AppendixBodyText"/>
              <w:jc w:val="center"/>
              <w:rPr>
                <w:rFonts w:ascii="Tahoma" w:hAnsi="Tahoma" w:cs="Tahoma"/>
                <w:sz w:val="18"/>
                <w:szCs w:val="18"/>
              </w:rPr>
            </w:pPr>
            <w:r w:rsidRPr="00A75DF9">
              <w:rPr>
                <w:rFonts w:ascii="Tahoma" w:hAnsi="Tahoma" w:cs="Tahoma"/>
                <w:sz w:val="18"/>
                <w:szCs w:val="18"/>
              </w:rPr>
              <w:t>EUR</w:t>
            </w:r>
          </w:p>
        </w:tc>
        <w:tc>
          <w:tcPr>
            <w:tcW w:w="3152" w:type="dxa"/>
            <w:vAlign w:val="bottom"/>
          </w:tcPr>
          <w:p w:rsidR="00E74270" w:rsidRPr="00A75DF9" w:rsidRDefault="00E74270" w:rsidP="004B42EB">
            <w:pPr>
              <w:pStyle w:val="AppendixBodyText"/>
              <w:jc w:val="right"/>
              <w:rPr>
                <w:rFonts w:ascii="Tahoma" w:hAnsi="Tahoma" w:cs="Tahoma"/>
                <w:sz w:val="18"/>
                <w:szCs w:val="18"/>
              </w:rPr>
            </w:pPr>
            <w:r w:rsidRPr="00A75DF9">
              <w:rPr>
                <w:rFonts w:ascii="Tahoma" w:hAnsi="Tahoma" w:cs="Tahoma"/>
                <w:color w:val="000000"/>
                <w:sz w:val="18"/>
                <w:szCs w:val="18"/>
              </w:rPr>
              <w:t>268</w:t>
            </w:r>
            <w:r w:rsidR="004B42EB">
              <w:rPr>
                <w:rFonts w:ascii="Tahoma" w:hAnsi="Tahoma" w:cs="Tahoma"/>
                <w:color w:val="000000"/>
                <w:sz w:val="18"/>
                <w:szCs w:val="18"/>
              </w:rPr>
              <w:t>.</w:t>
            </w:r>
            <w:r w:rsidRPr="00A75DF9">
              <w:rPr>
                <w:rFonts w:ascii="Tahoma" w:hAnsi="Tahoma" w:cs="Tahoma"/>
                <w:color w:val="000000"/>
                <w:sz w:val="18"/>
                <w:szCs w:val="18"/>
              </w:rPr>
              <w:t>750</w:t>
            </w:r>
          </w:p>
        </w:tc>
      </w:tr>
      <w:tr w:rsidR="00E74270" w:rsidRPr="00A75DF9" w:rsidTr="008233B3">
        <w:trPr>
          <w:trHeight w:val="236"/>
          <w:jc w:val="center"/>
        </w:trPr>
        <w:tc>
          <w:tcPr>
            <w:tcW w:w="1757" w:type="dxa"/>
            <w:vAlign w:val="bottom"/>
          </w:tcPr>
          <w:p w:rsidR="00E74270" w:rsidRPr="00A75DF9" w:rsidRDefault="00E74270" w:rsidP="00E74270">
            <w:pPr>
              <w:pStyle w:val="AppendixBodyText"/>
              <w:rPr>
                <w:rFonts w:ascii="Tahoma" w:hAnsi="Tahoma" w:cs="Tahoma"/>
                <w:sz w:val="18"/>
                <w:szCs w:val="18"/>
              </w:rPr>
            </w:pPr>
            <w:r w:rsidRPr="00A75DF9">
              <w:rPr>
                <w:rFonts w:ascii="Tahoma" w:hAnsi="Tahoma" w:cs="Tahoma"/>
                <w:sz w:val="18"/>
                <w:szCs w:val="18"/>
              </w:rPr>
              <w:t>Sterlina britannica</w:t>
            </w:r>
          </w:p>
        </w:tc>
        <w:tc>
          <w:tcPr>
            <w:tcW w:w="1112" w:type="dxa"/>
            <w:vAlign w:val="bottom"/>
          </w:tcPr>
          <w:p w:rsidR="00E74270" w:rsidRPr="00A75DF9" w:rsidRDefault="00E74270" w:rsidP="00E74270">
            <w:pPr>
              <w:pStyle w:val="AppendixBodyText"/>
              <w:jc w:val="center"/>
              <w:rPr>
                <w:rFonts w:ascii="Tahoma" w:hAnsi="Tahoma" w:cs="Tahoma"/>
                <w:sz w:val="18"/>
                <w:szCs w:val="18"/>
              </w:rPr>
            </w:pPr>
            <w:r w:rsidRPr="00A75DF9">
              <w:rPr>
                <w:rFonts w:ascii="Tahoma" w:hAnsi="Tahoma" w:cs="Tahoma"/>
                <w:sz w:val="18"/>
                <w:szCs w:val="18"/>
              </w:rPr>
              <w:t>GBP</w:t>
            </w:r>
          </w:p>
        </w:tc>
        <w:tc>
          <w:tcPr>
            <w:tcW w:w="3152" w:type="dxa"/>
            <w:vAlign w:val="bottom"/>
          </w:tcPr>
          <w:p w:rsidR="00E74270" w:rsidRPr="00A75DF9" w:rsidRDefault="00E74270" w:rsidP="004B42EB">
            <w:pPr>
              <w:pStyle w:val="AppendixBodyText"/>
              <w:jc w:val="right"/>
              <w:rPr>
                <w:rFonts w:ascii="Tahoma" w:hAnsi="Tahoma" w:cs="Tahoma"/>
                <w:sz w:val="18"/>
                <w:szCs w:val="18"/>
              </w:rPr>
            </w:pPr>
            <w:r w:rsidRPr="00A75DF9">
              <w:rPr>
                <w:rFonts w:ascii="Tahoma" w:hAnsi="Tahoma" w:cs="Tahoma"/>
                <w:color w:val="000000"/>
                <w:sz w:val="18"/>
                <w:szCs w:val="18"/>
              </w:rPr>
              <w:t>168</w:t>
            </w:r>
            <w:r w:rsidR="004B42EB">
              <w:rPr>
                <w:rFonts w:ascii="Tahoma" w:hAnsi="Tahoma" w:cs="Tahoma"/>
                <w:color w:val="000000"/>
                <w:sz w:val="18"/>
                <w:szCs w:val="18"/>
              </w:rPr>
              <w:t>.</w:t>
            </w:r>
            <w:r w:rsidRPr="00A75DF9">
              <w:rPr>
                <w:rFonts w:ascii="Tahoma" w:hAnsi="Tahoma" w:cs="Tahoma"/>
                <w:color w:val="000000"/>
                <w:sz w:val="18"/>
                <w:szCs w:val="18"/>
              </w:rPr>
              <w:t>750</w:t>
            </w:r>
          </w:p>
        </w:tc>
      </w:tr>
      <w:tr w:rsidR="00E74270" w:rsidRPr="00A75DF9" w:rsidTr="008233B3">
        <w:trPr>
          <w:trHeight w:val="236"/>
          <w:jc w:val="center"/>
        </w:trPr>
        <w:tc>
          <w:tcPr>
            <w:tcW w:w="1757" w:type="dxa"/>
            <w:vAlign w:val="bottom"/>
          </w:tcPr>
          <w:p w:rsidR="00E74270" w:rsidRPr="00A75DF9" w:rsidRDefault="00E74270" w:rsidP="00E74270">
            <w:pPr>
              <w:pStyle w:val="AppendixBodyText"/>
              <w:rPr>
                <w:rFonts w:ascii="Tahoma" w:hAnsi="Tahoma" w:cs="Tahoma"/>
                <w:sz w:val="18"/>
                <w:szCs w:val="18"/>
              </w:rPr>
            </w:pPr>
            <w:r w:rsidRPr="00A75DF9">
              <w:rPr>
                <w:rFonts w:ascii="Tahoma" w:hAnsi="Tahoma" w:cs="Tahoma"/>
                <w:sz w:val="18"/>
                <w:szCs w:val="18"/>
              </w:rPr>
              <w:t>Yen Giapponesi</w:t>
            </w:r>
          </w:p>
        </w:tc>
        <w:tc>
          <w:tcPr>
            <w:tcW w:w="1112" w:type="dxa"/>
            <w:vAlign w:val="bottom"/>
          </w:tcPr>
          <w:p w:rsidR="00E74270" w:rsidRPr="00A75DF9" w:rsidRDefault="00E74270" w:rsidP="00E74270">
            <w:pPr>
              <w:pStyle w:val="AppendixBodyText"/>
              <w:jc w:val="center"/>
              <w:rPr>
                <w:rFonts w:ascii="Tahoma" w:hAnsi="Tahoma" w:cs="Tahoma"/>
                <w:sz w:val="18"/>
                <w:szCs w:val="18"/>
              </w:rPr>
            </w:pPr>
            <w:r w:rsidRPr="00A75DF9">
              <w:rPr>
                <w:rFonts w:ascii="Tahoma" w:hAnsi="Tahoma" w:cs="Tahoma"/>
                <w:sz w:val="18"/>
                <w:szCs w:val="18"/>
              </w:rPr>
              <w:t>JPY</w:t>
            </w:r>
          </w:p>
        </w:tc>
        <w:tc>
          <w:tcPr>
            <w:tcW w:w="3152" w:type="dxa"/>
            <w:vAlign w:val="bottom"/>
          </w:tcPr>
          <w:p w:rsidR="00E74270" w:rsidRPr="00A75DF9" w:rsidRDefault="00E74270" w:rsidP="004B42EB">
            <w:pPr>
              <w:pStyle w:val="AppendixBodyText"/>
              <w:jc w:val="right"/>
              <w:rPr>
                <w:rFonts w:ascii="Tahoma" w:hAnsi="Tahoma" w:cs="Tahoma"/>
                <w:sz w:val="18"/>
                <w:szCs w:val="18"/>
              </w:rPr>
            </w:pPr>
            <w:r w:rsidRPr="00A75DF9">
              <w:rPr>
                <w:rFonts w:ascii="Tahoma" w:hAnsi="Tahoma" w:cs="Tahoma"/>
                <w:color w:val="000000"/>
                <w:sz w:val="18"/>
                <w:szCs w:val="18"/>
              </w:rPr>
              <w:t>30</w:t>
            </w:r>
            <w:r w:rsidR="004B42EB">
              <w:rPr>
                <w:rFonts w:ascii="Tahoma" w:hAnsi="Tahoma" w:cs="Tahoma"/>
                <w:color w:val="000000"/>
                <w:sz w:val="18"/>
                <w:szCs w:val="18"/>
              </w:rPr>
              <w:t>.</w:t>
            </w:r>
            <w:r w:rsidRPr="00A75DF9">
              <w:rPr>
                <w:rFonts w:ascii="Tahoma" w:hAnsi="Tahoma" w:cs="Tahoma"/>
                <w:color w:val="000000"/>
                <w:sz w:val="18"/>
                <w:szCs w:val="18"/>
              </w:rPr>
              <w:t>000</w:t>
            </w:r>
            <w:r w:rsidR="004B42EB">
              <w:rPr>
                <w:rFonts w:ascii="Tahoma" w:hAnsi="Tahoma" w:cs="Tahoma"/>
                <w:color w:val="000000"/>
                <w:sz w:val="18"/>
                <w:szCs w:val="18"/>
              </w:rPr>
              <w:t>.</w:t>
            </w:r>
            <w:r w:rsidRPr="00A75DF9">
              <w:rPr>
                <w:rFonts w:ascii="Tahoma" w:hAnsi="Tahoma" w:cs="Tahoma"/>
                <w:color w:val="000000"/>
                <w:sz w:val="18"/>
                <w:szCs w:val="18"/>
              </w:rPr>
              <w:t>000</w:t>
            </w:r>
          </w:p>
        </w:tc>
      </w:tr>
      <w:tr w:rsidR="00E74270" w:rsidRPr="00A75DF9" w:rsidTr="008233B3">
        <w:trPr>
          <w:trHeight w:val="236"/>
          <w:jc w:val="center"/>
        </w:trPr>
        <w:tc>
          <w:tcPr>
            <w:tcW w:w="1757" w:type="dxa"/>
            <w:vAlign w:val="bottom"/>
          </w:tcPr>
          <w:p w:rsidR="00E74270" w:rsidRPr="00A75DF9" w:rsidRDefault="00E74270" w:rsidP="00E74270">
            <w:pPr>
              <w:pStyle w:val="AppendixBodyText"/>
              <w:rPr>
                <w:rFonts w:ascii="Tahoma" w:hAnsi="Tahoma" w:cs="Tahoma"/>
                <w:sz w:val="18"/>
                <w:szCs w:val="18"/>
              </w:rPr>
            </w:pPr>
            <w:r w:rsidRPr="00A75DF9">
              <w:rPr>
                <w:rFonts w:ascii="Tahoma" w:hAnsi="Tahoma" w:cs="Tahoma"/>
                <w:sz w:val="18"/>
                <w:szCs w:val="18"/>
              </w:rPr>
              <w:t>Won Coreani</w:t>
            </w:r>
          </w:p>
        </w:tc>
        <w:tc>
          <w:tcPr>
            <w:tcW w:w="1112" w:type="dxa"/>
            <w:vAlign w:val="bottom"/>
          </w:tcPr>
          <w:p w:rsidR="00E74270" w:rsidRPr="00A75DF9" w:rsidRDefault="00E74270" w:rsidP="00E74270">
            <w:pPr>
              <w:pStyle w:val="AppendixBodyText"/>
              <w:jc w:val="center"/>
              <w:rPr>
                <w:rFonts w:ascii="Tahoma" w:hAnsi="Tahoma" w:cs="Tahoma"/>
                <w:sz w:val="18"/>
                <w:szCs w:val="18"/>
              </w:rPr>
            </w:pPr>
            <w:r w:rsidRPr="00A75DF9">
              <w:rPr>
                <w:rFonts w:ascii="Tahoma" w:hAnsi="Tahoma" w:cs="Tahoma"/>
                <w:sz w:val="18"/>
                <w:szCs w:val="18"/>
              </w:rPr>
              <w:t>KRW</w:t>
            </w:r>
          </w:p>
        </w:tc>
        <w:tc>
          <w:tcPr>
            <w:tcW w:w="3152" w:type="dxa"/>
            <w:vAlign w:val="bottom"/>
          </w:tcPr>
          <w:p w:rsidR="00E74270" w:rsidRPr="00A75DF9" w:rsidRDefault="00E74270" w:rsidP="004B42EB">
            <w:pPr>
              <w:pStyle w:val="AppendixBodyText"/>
              <w:jc w:val="right"/>
              <w:rPr>
                <w:rFonts w:ascii="Tahoma" w:hAnsi="Tahoma" w:cs="Tahoma"/>
                <w:sz w:val="18"/>
                <w:szCs w:val="18"/>
              </w:rPr>
            </w:pPr>
            <w:r w:rsidRPr="00A75DF9">
              <w:rPr>
                <w:rFonts w:ascii="Tahoma" w:hAnsi="Tahoma" w:cs="Tahoma"/>
                <w:color w:val="000000"/>
                <w:sz w:val="18"/>
                <w:szCs w:val="18"/>
              </w:rPr>
              <w:t>300</w:t>
            </w:r>
            <w:r w:rsidR="004B42EB">
              <w:rPr>
                <w:rFonts w:ascii="Tahoma" w:hAnsi="Tahoma" w:cs="Tahoma"/>
                <w:color w:val="000000"/>
                <w:sz w:val="18"/>
                <w:szCs w:val="18"/>
              </w:rPr>
              <w:t>.</w:t>
            </w:r>
            <w:r w:rsidRPr="00A75DF9">
              <w:rPr>
                <w:rFonts w:ascii="Tahoma" w:hAnsi="Tahoma" w:cs="Tahoma"/>
                <w:color w:val="000000"/>
                <w:sz w:val="18"/>
                <w:szCs w:val="18"/>
              </w:rPr>
              <w:t>000</w:t>
            </w:r>
            <w:r w:rsidR="004B42EB">
              <w:rPr>
                <w:rFonts w:ascii="Tahoma" w:hAnsi="Tahoma" w:cs="Tahoma"/>
                <w:color w:val="000000"/>
                <w:sz w:val="18"/>
                <w:szCs w:val="18"/>
              </w:rPr>
              <w:t>.</w:t>
            </w:r>
            <w:r w:rsidRPr="00A75DF9">
              <w:rPr>
                <w:rFonts w:ascii="Tahoma" w:hAnsi="Tahoma" w:cs="Tahoma"/>
                <w:color w:val="000000"/>
                <w:sz w:val="18"/>
                <w:szCs w:val="18"/>
              </w:rPr>
              <w:t>000</w:t>
            </w:r>
          </w:p>
        </w:tc>
      </w:tr>
      <w:tr w:rsidR="00E74270" w:rsidRPr="00A75DF9" w:rsidTr="008233B3">
        <w:trPr>
          <w:trHeight w:val="236"/>
          <w:jc w:val="center"/>
        </w:trPr>
        <w:tc>
          <w:tcPr>
            <w:tcW w:w="1757" w:type="dxa"/>
            <w:vAlign w:val="bottom"/>
          </w:tcPr>
          <w:p w:rsidR="00E74270" w:rsidRPr="00A75DF9" w:rsidRDefault="00E74270" w:rsidP="00E74270">
            <w:pPr>
              <w:pStyle w:val="AppendixBodyText"/>
              <w:rPr>
                <w:rFonts w:ascii="Tahoma" w:hAnsi="Tahoma" w:cs="Tahoma"/>
                <w:sz w:val="18"/>
                <w:szCs w:val="18"/>
              </w:rPr>
            </w:pPr>
            <w:r w:rsidRPr="00A75DF9">
              <w:rPr>
                <w:rFonts w:ascii="Tahoma" w:hAnsi="Tahoma" w:cs="Tahoma"/>
                <w:sz w:val="18"/>
                <w:szCs w:val="18"/>
              </w:rPr>
              <w:t>Corone Norvegesi</w:t>
            </w:r>
          </w:p>
        </w:tc>
        <w:tc>
          <w:tcPr>
            <w:tcW w:w="1112" w:type="dxa"/>
            <w:vAlign w:val="bottom"/>
          </w:tcPr>
          <w:p w:rsidR="00E74270" w:rsidRPr="00A75DF9" w:rsidRDefault="00E74270" w:rsidP="00E74270">
            <w:pPr>
              <w:pStyle w:val="AppendixBodyText"/>
              <w:jc w:val="center"/>
              <w:rPr>
                <w:rFonts w:ascii="Tahoma" w:hAnsi="Tahoma" w:cs="Tahoma"/>
                <w:sz w:val="18"/>
                <w:szCs w:val="18"/>
              </w:rPr>
            </w:pPr>
            <w:r w:rsidRPr="00A75DF9">
              <w:rPr>
                <w:rFonts w:ascii="Tahoma" w:hAnsi="Tahoma" w:cs="Tahoma"/>
                <w:sz w:val="18"/>
                <w:szCs w:val="18"/>
              </w:rPr>
              <w:t>NOK</w:t>
            </w:r>
          </w:p>
        </w:tc>
        <w:tc>
          <w:tcPr>
            <w:tcW w:w="3152" w:type="dxa"/>
            <w:vAlign w:val="bottom"/>
          </w:tcPr>
          <w:p w:rsidR="00E74270" w:rsidRPr="00A75DF9" w:rsidRDefault="00E74270" w:rsidP="004B42EB">
            <w:pPr>
              <w:pStyle w:val="AppendixBodyText"/>
              <w:jc w:val="right"/>
              <w:rPr>
                <w:rFonts w:ascii="Tahoma" w:hAnsi="Tahoma" w:cs="Tahoma"/>
                <w:sz w:val="18"/>
                <w:szCs w:val="18"/>
              </w:rPr>
            </w:pPr>
            <w:r w:rsidRPr="00A75DF9">
              <w:rPr>
                <w:rFonts w:ascii="Tahoma" w:hAnsi="Tahoma" w:cs="Tahoma"/>
                <w:color w:val="000000"/>
                <w:sz w:val="18"/>
                <w:szCs w:val="18"/>
              </w:rPr>
              <w:t>2</w:t>
            </w:r>
            <w:r w:rsidR="004B42EB">
              <w:rPr>
                <w:rFonts w:ascii="Tahoma" w:hAnsi="Tahoma" w:cs="Tahoma"/>
                <w:color w:val="000000"/>
                <w:sz w:val="18"/>
                <w:szCs w:val="18"/>
              </w:rPr>
              <w:t>.</w:t>
            </w:r>
            <w:r w:rsidRPr="00A75DF9">
              <w:rPr>
                <w:rFonts w:ascii="Tahoma" w:hAnsi="Tahoma" w:cs="Tahoma"/>
                <w:color w:val="000000"/>
                <w:sz w:val="18"/>
                <w:szCs w:val="18"/>
              </w:rPr>
              <w:t>062</w:t>
            </w:r>
            <w:r w:rsidR="004B42EB">
              <w:rPr>
                <w:rFonts w:ascii="Tahoma" w:hAnsi="Tahoma" w:cs="Tahoma"/>
                <w:color w:val="000000"/>
                <w:sz w:val="18"/>
                <w:szCs w:val="18"/>
              </w:rPr>
              <w:t>.</w:t>
            </w:r>
            <w:r w:rsidRPr="00A75DF9">
              <w:rPr>
                <w:rFonts w:ascii="Tahoma" w:hAnsi="Tahoma" w:cs="Tahoma"/>
                <w:color w:val="000000"/>
                <w:sz w:val="18"/>
                <w:szCs w:val="18"/>
              </w:rPr>
              <w:t>500</w:t>
            </w:r>
          </w:p>
        </w:tc>
      </w:tr>
      <w:tr w:rsidR="00E74270" w:rsidRPr="00A75DF9" w:rsidTr="008233B3">
        <w:trPr>
          <w:trHeight w:val="236"/>
          <w:jc w:val="center"/>
        </w:trPr>
        <w:tc>
          <w:tcPr>
            <w:tcW w:w="1757" w:type="dxa"/>
            <w:vAlign w:val="bottom"/>
          </w:tcPr>
          <w:p w:rsidR="00E74270" w:rsidRPr="00A75DF9" w:rsidRDefault="00E74270" w:rsidP="00E74270">
            <w:pPr>
              <w:pStyle w:val="AppendixBodyText"/>
              <w:rPr>
                <w:rFonts w:ascii="Tahoma" w:hAnsi="Tahoma" w:cs="Tahoma"/>
                <w:sz w:val="18"/>
                <w:szCs w:val="18"/>
              </w:rPr>
            </w:pPr>
            <w:r w:rsidRPr="00A75DF9">
              <w:rPr>
                <w:rFonts w:ascii="Tahoma" w:hAnsi="Tahoma" w:cs="Tahoma"/>
                <w:sz w:val="18"/>
                <w:szCs w:val="18"/>
              </w:rPr>
              <w:t>Dollaro neozelandese</w:t>
            </w:r>
          </w:p>
        </w:tc>
        <w:tc>
          <w:tcPr>
            <w:tcW w:w="1112" w:type="dxa"/>
            <w:vAlign w:val="bottom"/>
          </w:tcPr>
          <w:p w:rsidR="00E74270" w:rsidRPr="00A75DF9" w:rsidRDefault="00E74270" w:rsidP="00E74270">
            <w:pPr>
              <w:pStyle w:val="AppendixBodyText"/>
              <w:jc w:val="center"/>
              <w:rPr>
                <w:rFonts w:ascii="Tahoma" w:hAnsi="Tahoma" w:cs="Tahoma"/>
                <w:sz w:val="18"/>
                <w:szCs w:val="18"/>
              </w:rPr>
            </w:pPr>
            <w:r w:rsidRPr="00A75DF9">
              <w:rPr>
                <w:rFonts w:ascii="Tahoma" w:hAnsi="Tahoma" w:cs="Tahoma"/>
                <w:sz w:val="18"/>
                <w:szCs w:val="18"/>
              </w:rPr>
              <w:t>NZD</w:t>
            </w:r>
          </w:p>
        </w:tc>
        <w:tc>
          <w:tcPr>
            <w:tcW w:w="3152" w:type="dxa"/>
            <w:vAlign w:val="bottom"/>
          </w:tcPr>
          <w:p w:rsidR="00E74270" w:rsidRPr="00A75DF9" w:rsidRDefault="00E74270" w:rsidP="004B42EB">
            <w:pPr>
              <w:pStyle w:val="AppendixBodyText"/>
              <w:jc w:val="right"/>
              <w:rPr>
                <w:rFonts w:ascii="Tahoma" w:hAnsi="Tahoma" w:cs="Tahoma"/>
                <w:sz w:val="18"/>
                <w:szCs w:val="18"/>
              </w:rPr>
            </w:pPr>
            <w:r w:rsidRPr="00A75DF9">
              <w:rPr>
                <w:rFonts w:ascii="Tahoma" w:hAnsi="Tahoma" w:cs="Tahoma"/>
                <w:color w:val="000000"/>
                <w:sz w:val="18"/>
                <w:szCs w:val="18"/>
              </w:rPr>
              <w:t>437</w:t>
            </w:r>
            <w:r w:rsidR="004B42EB">
              <w:rPr>
                <w:rFonts w:ascii="Tahoma" w:hAnsi="Tahoma" w:cs="Tahoma"/>
                <w:color w:val="000000"/>
                <w:sz w:val="18"/>
                <w:szCs w:val="18"/>
              </w:rPr>
              <w:t>.</w:t>
            </w:r>
            <w:r w:rsidRPr="00A75DF9">
              <w:rPr>
                <w:rFonts w:ascii="Tahoma" w:hAnsi="Tahoma" w:cs="Tahoma"/>
                <w:color w:val="000000"/>
                <w:sz w:val="18"/>
                <w:szCs w:val="18"/>
              </w:rPr>
              <w:t>500</w:t>
            </w:r>
          </w:p>
        </w:tc>
      </w:tr>
      <w:tr w:rsidR="00E74270" w:rsidRPr="00A75DF9" w:rsidTr="008233B3">
        <w:trPr>
          <w:trHeight w:val="236"/>
          <w:jc w:val="center"/>
        </w:trPr>
        <w:tc>
          <w:tcPr>
            <w:tcW w:w="1757" w:type="dxa"/>
            <w:vAlign w:val="bottom"/>
          </w:tcPr>
          <w:p w:rsidR="00E74270" w:rsidRPr="00A75DF9" w:rsidRDefault="00E74270" w:rsidP="00E74270">
            <w:pPr>
              <w:pStyle w:val="AppendixBodyText"/>
              <w:rPr>
                <w:rFonts w:ascii="Tahoma" w:hAnsi="Tahoma" w:cs="Tahoma"/>
                <w:sz w:val="18"/>
                <w:szCs w:val="18"/>
              </w:rPr>
            </w:pPr>
            <w:r w:rsidRPr="00A75DF9">
              <w:rPr>
                <w:rFonts w:ascii="Tahoma" w:hAnsi="Tahoma" w:cs="Tahoma"/>
                <w:sz w:val="18"/>
                <w:szCs w:val="18"/>
              </w:rPr>
              <w:t>Corone Svedesi</w:t>
            </w:r>
          </w:p>
        </w:tc>
        <w:tc>
          <w:tcPr>
            <w:tcW w:w="1112" w:type="dxa"/>
            <w:vAlign w:val="bottom"/>
          </w:tcPr>
          <w:p w:rsidR="00E74270" w:rsidRPr="00A75DF9" w:rsidRDefault="00E74270" w:rsidP="00E74270">
            <w:pPr>
              <w:pStyle w:val="AppendixBodyText"/>
              <w:jc w:val="center"/>
              <w:rPr>
                <w:rFonts w:ascii="Tahoma" w:hAnsi="Tahoma" w:cs="Tahoma"/>
                <w:sz w:val="18"/>
                <w:szCs w:val="18"/>
              </w:rPr>
            </w:pPr>
            <w:r w:rsidRPr="00A75DF9">
              <w:rPr>
                <w:rFonts w:ascii="Tahoma" w:hAnsi="Tahoma" w:cs="Tahoma"/>
                <w:sz w:val="18"/>
                <w:szCs w:val="18"/>
              </w:rPr>
              <w:t>SEK</w:t>
            </w:r>
          </w:p>
        </w:tc>
        <w:tc>
          <w:tcPr>
            <w:tcW w:w="3152" w:type="dxa"/>
            <w:vAlign w:val="bottom"/>
          </w:tcPr>
          <w:p w:rsidR="00E74270" w:rsidRPr="00A75DF9" w:rsidRDefault="00E74270" w:rsidP="004B42EB">
            <w:pPr>
              <w:pStyle w:val="AppendixBodyText"/>
              <w:jc w:val="right"/>
              <w:rPr>
                <w:rFonts w:ascii="Tahoma" w:hAnsi="Tahoma" w:cs="Tahoma"/>
                <w:sz w:val="18"/>
                <w:szCs w:val="18"/>
              </w:rPr>
            </w:pPr>
            <w:r w:rsidRPr="00A75DF9">
              <w:rPr>
                <w:rFonts w:ascii="Tahoma" w:hAnsi="Tahoma" w:cs="Tahoma"/>
                <w:color w:val="000000"/>
                <w:sz w:val="18"/>
                <w:szCs w:val="18"/>
              </w:rPr>
              <w:t>2</w:t>
            </w:r>
            <w:r w:rsidR="004B42EB">
              <w:rPr>
                <w:rFonts w:ascii="Tahoma" w:hAnsi="Tahoma" w:cs="Tahoma"/>
                <w:color w:val="000000"/>
                <w:sz w:val="18"/>
                <w:szCs w:val="18"/>
              </w:rPr>
              <w:t>.</w:t>
            </w:r>
            <w:r w:rsidRPr="00A75DF9">
              <w:rPr>
                <w:rFonts w:ascii="Tahoma" w:hAnsi="Tahoma" w:cs="Tahoma"/>
                <w:color w:val="000000"/>
                <w:sz w:val="18"/>
                <w:szCs w:val="18"/>
              </w:rPr>
              <w:t>500</w:t>
            </w:r>
            <w:r w:rsidR="004B42EB">
              <w:rPr>
                <w:rFonts w:ascii="Tahoma" w:hAnsi="Tahoma" w:cs="Tahoma"/>
                <w:color w:val="000000"/>
                <w:sz w:val="18"/>
                <w:szCs w:val="18"/>
              </w:rPr>
              <w:t>.</w:t>
            </w:r>
            <w:r w:rsidRPr="00A75DF9">
              <w:rPr>
                <w:rFonts w:ascii="Tahoma" w:hAnsi="Tahoma" w:cs="Tahoma"/>
                <w:color w:val="000000"/>
                <w:sz w:val="18"/>
                <w:szCs w:val="18"/>
              </w:rPr>
              <w:t>000</w:t>
            </w:r>
          </w:p>
        </w:tc>
      </w:tr>
      <w:tr w:rsidR="00E74270" w:rsidRPr="00A75DF9" w:rsidTr="008233B3">
        <w:trPr>
          <w:trHeight w:val="236"/>
          <w:jc w:val="center"/>
        </w:trPr>
        <w:tc>
          <w:tcPr>
            <w:tcW w:w="1757" w:type="dxa"/>
            <w:vAlign w:val="bottom"/>
          </w:tcPr>
          <w:p w:rsidR="00E74270" w:rsidRPr="00A75DF9" w:rsidRDefault="00E74270" w:rsidP="00E74270">
            <w:pPr>
              <w:pStyle w:val="AppendixBodyText"/>
              <w:rPr>
                <w:rFonts w:ascii="Tahoma" w:hAnsi="Tahoma" w:cs="Tahoma"/>
                <w:sz w:val="18"/>
                <w:szCs w:val="18"/>
              </w:rPr>
            </w:pPr>
            <w:r w:rsidRPr="00A75DF9">
              <w:rPr>
                <w:rFonts w:ascii="Tahoma" w:hAnsi="Tahoma" w:cs="Tahoma"/>
                <w:sz w:val="18"/>
                <w:szCs w:val="18"/>
              </w:rPr>
              <w:lastRenderedPageBreak/>
              <w:t>Nuovo dollaro taiwanese</w:t>
            </w:r>
          </w:p>
        </w:tc>
        <w:tc>
          <w:tcPr>
            <w:tcW w:w="1112" w:type="dxa"/>
            <w:vAlign w:val="bottom"/>
          </w:tcPr>
          <w:p w:rsidR="00E74270" w:rsidRPr="00A75DF9" w:rsidRDefault="00E74270" w:rsidP="00E74270">
            <w:pPr>
              <w:pStyle w:val="AppendixBodyText"/>
              <w:jc w:val="center"/>
              <w:rPr>
                <w:rFonts w:ascii="Tahoma" w:hAnsi="Tahoma" w:cs="Tahoma"/>
                <w:sz w:val="18"/>
                <w:szCs w:val="18"/>
              </w:rPr>
            </w:pPr>
            <w:r w:rsidRPr="00A75DF9">
              <w:rPr>
                <w:rFonts w:ascii="Tahoma" w:hAnsi="Tahoma" w:cs="Tahoma"/>
                <w:sz w:val="18"/>
                <w:szCs w:val="18"/>
              </w:rPr>
              <w:t>TWD</w:t>
            </w:r>
          </w:p>
        </w:tc>
        <w:tc>
          <w:tcPr>
            <w:tcW w:w="3152" w:type="dxa"/>
            <w:vAlign w:val="bottom"/>
          </w:tcPr>
          <w:p w:rsidR="00E74270" w:rsidRPr="00A75DF9" w:rsidRDefault="00E74270" w:rsidP="004B42EB">
            <w:pPr>
              <w:pStyle w:val="AppendixBodyText"/>
              <w:jc w:val="right"/>
              <w:rPr>
                <w:rFonts w:ascii="Tahoma" w:hAnsi="Tahoma" w:cs="Tahoma"/>
                <w:sz w:val="18"/>
                <w:szCs w:val="18"/>
              </w:rPr>
            </w:pPr>
            <w:r w:rsidRPr="00A75DF9">
              <w:rPr>
                <w:rFonts w:ascii="Tahoma" w:hAnsi="Tahoma" w:cs="Tahoma"/>
                <w:color w:val="000000"/>
                <w:sz w:val="18"/>
                <w:szCs w:val="18"/>
              </w:rPr>
              <w:t>8</w:t>
            </w:r>
            <w:r w:rsidR="004B42EB">
              <w:rPr>
                <w:rFonts w:ascii="Tahoma" w:hAnsi="Tahoma" w:cs="Tahoma"/>
                <w:color w:val="000000"/>
                <w:sz w:val="18"/>
                <w:szCs w:val="18"/>
              </w:rPr>
              <w:t>.</w:t>
            </w:r>
            <w:r w:rsidRPr="00A75DF9">
              <w:rPr>
                <w:rFonts w:ascii="Tahoma" w:hAnsi="Tahoma" w:cs="Tahoma"/>
                <w:color w:val="000000"/>
                <w:sz w:val="18"/>
                <w:szCs w:val="18"/>
              </w:rPr>
              <w:t>750</w:t>
            </w:r>
            <w:r w:rsidR="004B42EB">
              <w:rPr>
                <w:rFonts w:ascii="Tahoma" w:hAnsi="Tahoma" w:cs="Tahoma"/>
                <w:color w:val="000000"/>
                <w:sz w:val="18"/>
                <w:szCs w:val="18"/>
              </w:rPr>
              <w:t>.</w:t>
            </w:r>
            <w:r w:rsidRPr="00A75DF9">
              <w:rPr>
                <w:rFonts w:ascii="Tahoma" w:hAnsi="Tahoma" w:cs="Tahoma"/>
                <w:color w:val="000000"/>
                <w:sz w:val="18"/>
                <w:szCs w:val="18"/>
              </w:rPr>
              <w:t>000</w:t>
            </w:r>
          </w:p>
        </w:tc>
      </w:tr>
      <w:tr w:rsidR="00E74270" w:rsidRPr="00A75DF9" w:rsidTr="008233B3">
        <w:trPr>
          <w:trHeight w:val="236"/>
          <w:jc w:val="center"/>
        </w:trPr>
        <w:tc>
          <w:tcPr>
            <w:tcW w:w="1757" w:type="dxa"/>
            <w:vAlign w:val="bottom"/>
          </w:tcPr>
          <w:p w:rsidR="00E74270" w:rsidRPr="00A75DF9" w:rsidRDefault="00E74270" w:rsidP="00E74270">
            <w:pPr>
              <w:pStyle w:val="AppendixBodyText"/>
              <w:rPr>
                <w:rFonts w:ascii="Tahoma" w:hAnsi="Tahoma" w:cs="Tahoma"/>
                <w:sz w:val="18"/>
                <w:szCs w:val="18"/>
              </w:rPr>
            </w:pPr>
            <w:r w:rsidRPr="00A75DF9">
              <w:rPr>
                <w:rFonts w:ascii="Tahoma" w:hAnsi="Tahoma" w:cs="Tahoma"/>
                <w:sz w:val="18"/>
                <w:szCs w:val="18"/>
              </w:rPr>
              <w:t>Rupia indiana</w:t>
            </w:r>
          </w:p>
        </w:tc>
        <w:tc>
          <w:tcPr>
            <w:tcW w:w="1112" w:type="dxa"/>
            <w:vAlign w:val="bottom"/>
          </w:tcPr>
          <w:p w:rsidR="00E74270" w:rsidRPr="00A75DF9" w:rsidRDefault="00E74270" w:rsidP="00E74270">
            <w:pPr>
              <w:pStyle w:val="AppendixBodyText"/>
              <w:jc w:val="center"/>
              <w:rPr>
                <w:rFonts w:ascii="Tahoma" w:hAnsi="Tahoma" w:cs="Tahoma"/>
                <w:sz w:val="18"/>
                <w:szCs w:val="18"/>
              </w:rPr>
            </w:pPr>
            <w:r w:rsidRPr="00A75DF9">
              <w:rPr>
                <w:rFonts w:ascii="Tahoma" w:hAnsi="Tahoma" w:cs="Tahoma"/>
                <w:sz w:val="18"/>
                <w:szCs w:val="18"/>
              </w:rPr>
              <w:t>INR</w:t>
            </w:r>
          </w:p>
        </w:tc>
        <w:tc>
          <w:tcPr>
            <w:tcW w:w="3152" w:type="dxa"/>
            <w:vAlign w:val="bottom"/>
          </w:tcPr>
          <w:p w:rsidR="00E74270" w:rsidRPr="00A75DF9" w:rsidRDefault="00E74270" w:rsidP="004B42EB">
            <w:pPr>
              <w:pStyle w:val="AppendixBodyText"/>
              <w:jc w:val="right"/>
              <w:rPr>
                <w:rFonts w:ascii="Tahoma" w:hAnsi="Tahoma" w:cs="Tahoma"/>
                <w:color w:val="000000"/>
                <w:sz w:val="18"/>
                <w:szCs w:val="18"/>
              </w:rPr>
            </w:pPr>
            <w:r w:rsidRPr="00A75DF9">
              <w:rPr>
                <w:rFonts w:ascii="Tahoma" w:hAnsi="Tahoma" w:cs="Tahoma"/>
                <w:sz w:val="18"/>
                <w:szCs w:val="18"/>
              </w:rPr>
              <w:t>12</w:t>
            </w:r>
            <w:r w:rsidR="004B42EB">
              <w:rPr>
                <w:rFonts w:ascii="Tahoma" w:hAnsi="Tahoma" w:cs="Tahoma"/>
                <w:sz w:val="18"/>
                <w:szCs w:val="18"/>
              </w:rPr>
              <w:t>.</w:t>
            </w:r>
            <w:r w:rsidRPr="00A75DF9">
              <w:rPr>
                <w:rFonts w:ascii="Tahoma" w:hAnsi="Tahoma" w:cs="Tahoma"/>
                <w:sz w:val="18"/>
                <w:szCs w:val="18"/>
              </w:rPr>
              <w:t>500</w:t>
            </w:r>
            <w:r w:rsidR="004B42EB">
              <w:rPr>
                <w:rFonts w:ascii="Tahoma" w:hAnsi="Tahoma" w:cs="Tahoma"/>
                <w:sz w:val="18"/>
                <w:szCs w:val="18"/>
              </w:rPr>
              <w:t>.</w:t>
            </w:r>
            <w:r w:rsidRPr="00A75DF9">
              <w:rPr>
                <w:rFonts w:ascii="Tahoma" w:hAnsi="Tahoma" w:cs="Tahoma"/>
                <w:sz w:val="18"/>
                <w:szCs w:val="18"/>
              </w:rPr>
              <w:t>000</w:t>
            </w:r>
          </w:p>
        </w:tc>
      </w:tr>
      <w:tr w:rsidR="00E74270" w:rsidRPr="00A75DF9" w:rsidTr="008233B3">
        <w:trPr>
          <w:trHeight w:val="236"/>
          <w:jc w:val="center"/>
        </w:trPr>
        <w:tc>
          <w:tcPr>
            <w:tcW w:w="1757" w:type="dxa"/>
            <w:vAlign w:val="bottom"/>
          </w:tcPr>
          <w:p w:rsidR="00E74270" w:rsidRPr="00A75DF9" w:rsidRDefault="00E74270" w:rsidP="00E74270">
            <w:pPr>
              <w:pStyle w:val="AppendixBodyText"/>
              <w:rPr>
                <w:rFonts w:ascii="Tahoma" w:hAnsi="Tahoma" w:cs="Tahoma"/>
                <w:sz w:val="18"/>
                <w:szCs w:val="18"/>
              </w:rPr>
            </w:pPr>
            <w:r w:rsidRPr="00A75DF9">
              <w:rPr>
                <w:rFonts w:ascii="Tahoma" w:hAnsi="Tahoma" w:cs="Tahoma"/>
                <w:sz w:val="18"/>
                <w:szCs w:val="18"/>
              </w:rPr>
              <w:t>Rublo russo</w:t>
            </w:r>
          </w:p>
        </w:tc>
        <w:tc>
          <w:tcPr>
            <w:tcW w:w="1112" w:type="dxa"/>
            <w:vAlign w:val="bottom"/>
          </w:tcPr>
          <w:p w:rsidR="00E74270" w:rsidRPr="00A75DF9" w:rsidRDefault="00E74270" w:rsidP="00E74270">
            <w:pPr>
              <w:pStyle w:val="AppendixBodyText"/>
              <w:jc w:val="center"/>
              <w:rPr>
                <w:rFonts w:ascii="Tahoma" w:hAnsi="Tahoma" w:cs="Tahoma"/>
                <w:sz w:val="18"/>
                <w:szCs w:val="18"/>
              </w:rPr>
            </w:pPr>
            <w:r w:rsidRPr="00A75DF9">
              <w:rPr>
                <w:rFonts w:ascii="Tahoma" w:hAnsi="Tahoma" w:cs="Tahoma"/>
                <w:sz w:val="18"/>
                <w:szCs w:val="18"/>
              </w:rPr>
              <w:t>RUB</w:t>
            </w:r>
          </w:p>
        </w:tc>
        <w:tc>
          <w:tcPr>
            <w:tcW w:w="3152" w:type="dxa"/>
            <w:vAlign w:val="bottom"/>
          </w:tcPr>
          <w:p w:rsidR="00E74270" w:rsidRPr="00A75DF9" w:rsidRDefault="00E74270" w:rsidP="004B42EB">
            <w:pPr>
              <w:pStyle w:val="AppendixBodyText"/>
              <w:jc w:val="right"/>
              <w:rPr>
                <w:rFonts w:ascii="Tahoma" w:hAnsi="Tahoma" w:cs="Tahoma"/>
                <w:color w:val="000000"/>
                <w:sz w:val="18"/>
                <w:szCs w:val="18"/>
              </w:rPr>
            </w:pPr>
            <w:r w:rsidRPr="00A75DF9">
              <w:rPr>
                <w:rFonts w:ascii="Tahoma" w:hAnsi="Tahoma" w:cs="Tahoma"/>
                <w:sz w:val="18"/>
                <w:szCs w:val="18"/>
              </w:rPr>
              <w:t>8</w:t>
            </w:r>
            <w:r w:rsidR="004B42EB">
              <w:rPr>
                <w:rFonts w:ascii="Tahoma" w:hAnsi="Tahoma" w:cs="Tahoma"/>
                <w:sz w:val="18"/>
                <w:szCs w:val="18"/>
              </w:rPr>
              <w:t>.</w:t>
            </w:r>
            <w:r w:rsidRPr="00A75DF9">
              <w:rPr>
                <w:rFonts w:ascii="Tahoma" w:hAnsi="Tahoma" w:cs="Tahoma"/>
                <w:sz w:val="18"/>
                <w:szCs w:val="18"/>
              </w:rPr>
              <w:t>250</w:t>
            </w:r>
            <w:r w:rsidR="004B42EB">
              <w:rPr>
                <w:rFonts w:ascii="Tahoma" w:hAnsi="Tahoma" w:cs="Tahoma"/>
                <w:sz w:val="18"/>
                <w:szCs w:val="18"/>
              </w:rPr>
              <w:t>.</w:t>
            </w:r>
            <w:r w:rsidRPr="00A75DF9">
              <w:rPr>
                <w:rFonts w:ascii="Tahoma" w:hAnsi="Tahoma" w:cs="Tahoma"/>
                <w:sz w:val="18"/>
                <w:szCs w:val="18"/>
              </w:rPr>
              <w:t>000</w:t>
            </w:r>
          </w:p>
        </w:tc>
      </w:tr>
    </w:tbl>
    <w:p w:rsidR="00AF1D88" w:rsidRPr="00A75DF9" w:rsidRDefault="00AF1D88" w:rsidP="00F42FB8">
      <w:pPr>
        <w:jc w:val="both"/>
        <w:rPr>
          <w:rFonts w:cs="Tahoma"/>
        </w:rPr>
      </w:pPr>
    </w:p>
    <w:p w:rsidR="00613BBB" w:rsidRPr="00A75DF9" w:rsidRDefault="00613BBB" w:rsidP="004B42EB">
      <w:pPr>
        <w:jc w:val="both"/>
        <w:rPr>
          <w:rFonts w:cs="Tahoma"/>
        </w:rPr>
      </w:pPr>
      <w:r w:rsidRPr="00A75DF9">
        <w:rPr>
          <w:rFonts w:cs="Tahoma"/>
          <w:szCs w:val="18"/>
        </w:rPr>
        <w:t>Quando l</w:t>
      </w:r>
      <w:r w:rsidR="00F2643E">
        <w:rPr>
          <w:rFonts w:cs="Tahoma"/>
          <w:szCs w:val="18"/>
        </w:rPr>
        <w:t>’</w:t>
      </w:r>
      <w:r w:rsidRPr="00A75DF9">
        <w:rPr>
          <w:rFonts w:cs="Tahoma"/>
          <w:szCs w:val="18"/>
        </w:rPr>
        <w:t>impegno di spesa media annuale per SA su prodotti qualificanti della Piattaforma Applicativa idonei a beneficiare del PRS Illimitato 24x7 è superiore a $250.000, Microsoft non concederà gli interventi sulla base della spesa SA effettiva relativa a tali prodotti. Qualora una società diventi idonea a beneficiare del PRS Illimitato 24x7 durante il periodo di validità dei contratti, qualunque intervento concesso precedentemente in base alla copertura SA e non utilizzato sarà sottratto dal saldo della società.</w:t>
      </w:r>
      <w:r w:rsidR="009D3B41" w:rsidRPr="00A75DF9">
        <w:rPr>
          <w:rFonts w:cs="Tahoma"/>
          <w:szCs w:val="18"/>
        </w:rPr>
        <w:t xml:space="preserve"> </w:t>
      </w:r>
      <w:r w:rsidRPr="00A75DF9">
        <w:rPr>
          <w:rFonts w:cs="Tahoma"/>
          <w:szCs w:val="18"/>
        </w:rPr>
        <w:t>Gli interventi PRS Illimitati 24x7 non possono essere convertiti in</w:t>
      </w:r>
      <w:r w:rsidR="004B42EB">
        <w:rPr>
          <w:rFonts w:cs="Tahoma"/>
          <w:szCs w:val="18"/>
        </w:rPr>
        <w:t> </w:t>
      </w:r>
      <w:r w:rsidRPr="00A75DF9">
        <w:rPr>
          <w:rFonts w:cs="Tahoma"/>
          <w:szCs w:val="18"/>
        </w:rPr>
        <w:t xml:space="preserve">ore o interventi di Supporto per la Risoluzione dei Problemi Premier. </w:t>
      </w:r>
    </w:p>
    <w:p w:rsidR="00613BBB" w:rsidRPr="00A75DF9" w:rsidRDefault="00613BBB" w:rsidP="00F42FB8">
      <w:pPr>
        <w:rPr>
          <w:rFonts w:cs="Tahoma"/>
        </w:rPr>
      </w:pPr>
    </w:p>
    <w:p w:rsidR="00613BBB" w:rsidRPr="00A75DF9" w:rsidRDefault="00613BBB" w:rsidP="004B42EB">
      <w:pPr>
        <w:jc w:val="both"/>
        <w:rPr>
          <w:rFonts w:cs="Tahoma"/>
        </w:rPr>
      </w:pPr>
      <w:r w:rsidRPr="00A75DF9">
        <w:rPr>
          <w:rFonts w:cs="Tahoma"/>
          <w:szCs w:val="18"/>
        </w:rPr>
        <w:t xml:space="preserve">Le società che hanno stipulato </w:t>
      </w:r>
      <w:r w:rsidRPr="00A75DF9">
        <w:rPr>
          <w:rFonts w:cs="Tahoma"/>
          <w:color w:val="000000"/>
          <w:szCs w:val="18"/>
        </w:rPr>
        <w:t>Contratti per la Piattaforma Applicativa (APA) entrati in vigore prima del 1 luglio 2009, con una spesa media annuale per SA su prodotti qualificanti della Piattaforma Applicativa superiore a $250.000 e che dispongono di un Contratto Premier Services attivo, acquisiranno il diritto di beneficiare del PRS Illimitato 24x7 in</w:t>
      </w:r>
      <w:r w:rsidR="004B42EB">
        <w:rPr>
          <w:rFonts w:cs="Tahoma"/>
          <w:color w:val="000000"/>
          <w:szCs w:val="18"/>
        </w:rPr>
        <w:t> </w:t>
      </w:r>
      <w:r w:rsidRPr="00A75DF9">
        <w:rPr>
          <w:rFonts w:cs="Tahoma"/>
          <w:color w:val="000000"/>
          <w:szCs w:val="18"/>
        </w:rPr>
        <w:t>occasione della prima ricorrenza annuale della data di entrata in vigore dell</w:t>
      </w:r>
      <w:r w:rsidR="00F2643E">
        <w:rPr>
          <w:rFonts w:cs="Tahoma"/>
          <w:color w:val="000000"/>
          <w:szCs w:val="18"/>
        </w:rPr>
        <w:t>’</w:t>
      </w:r>
      <w:r w:rsidRPr="00A75DF9">
        <w:rPr>
          <w:rFonts w:cs="Tahoma"/>
          <w:color w:val="000000"/>
          <w:szCs w:val="18"/>
        </w:rPr>
        <w:t xml:space="preserve">APA. </w:t>
      </w:r>
    </w:p>
    <w:p w:rsidR="00613BBB" w:rsidRPr="00A75DF9" w:rsidRDefault="00613BBB" w:rsidP="00F42FB8">
      <w:pPr>
        <w:rPr>
          <w:rFonts w:cs="Tahoma"/>
        </w:rPr>
      </w:pPr>
    </w:p>
    <w:p w:rsidR="00A17E03" w:rsidRPr="00A75DF9" w:rsidRDefault="00A17E03" w:rsidP="00F42FB8">
      <w:pPr>
        <w:spacing w:line="276" w:lineRule="auto"/>
        <w:rPr>
          <w:rFonts w:cs="Tahoma"/>
        </w:rPr>
      </w:pPr>
      <w:r w:rsidRPr="00A75DF9">
        <w:rPr>
          <w:rFonts w:eastAsia="Calibri" w:cs="Tahoma"/>
          <w:szCs w:val="18"/>
        </w:rPr>
        <w:t>(2) Le società che acquistano licenze per PDW e dispongono di un Contratto Premier Services attivo sono idonee per gli interventi PRS Illimitati 24x7.</w:t>
      </w:r>
    </w:p>
    <w:p w:rsidR="00FF1B2B" w:rsidRPr="00A75DF9" w:rsidRDefault="00FF1B2B" w:rsidP="00F42FB8">
      <w:pPr>
        <w:spacing w:line="276" w:lineRule="auto"/>
        <w:rPr>
          <w:rFonts w:cs="Tahoma"/>
        </w:rPr>
      </w:pPr>
    </w:p>
    <w:p w:rsidR="00A17E03" w:rsidRPr="00A75DF9" w:rsidRDefault="00A17E03" w:rsidP="004B42EB">
      <w:pPr>
        <w:spacing w:line="276" w:lineRule="auto"/>
        <w:jc w:val="both"/>
        <w:rPr>
          <w:rFonts w:cs="Tahoma"/>
        </w:rPr>
      </w:pPr>
      <w:r w:rsidRPr="00A75DF9">
        <w:rPr>
          <w:rFonts w:eastAsia="Calibri" w:cs="Tahoma"/>
          <w:szCs w:val="18"/>
        </w:rPr>
        <w:t>Quando le società acquistano licenze per PDW, Microsoft non concederà interventi sulla base della spesa effettiva per SA relativa a tale prodotto. Gli interventi PRS Illimitati 24x7 non possono essere convertiti in ore o interventi di</w:t>
      </w:r>
      <w:r w:rsidR="004B42EB">
        <w:rPr>
          <w:rFonts w:eastAsia="Calibri" w:cs="Tahoma"/>
          <w:szCs w:val="18"/>
        </w:rPr>
        <w:t> </w:t>
      </w:r>
      <w:r w:rsidRPr="00A75DF9">
        <w:rPr>
          <w:rFonts w:eastAsia="Calibri" w:cs="Tahoma"/>
          <w:szCs w:val="18"/>
        </w:rPr>
        <w:t xml:space="preserve">Supporto per la Risoluzione dei Problemi Premier. </w:t>
      </w:r>
    </w:p>
    <w:p w:rsidR="00FF1B2B" w:rsidRPr="00A75DF9" w:rsidRDefault="00FF1B2B" w:rsidP="00F42FB8">
      <w:pPr>
        <w:spacing w:line="276" w:lineRule="auto"/>
        <w:jc w:val="both"/>
        <w:rPr>
          <w:rFonts w:cs="Tahoma"/>
        </w:rPr>
      </w:pPr>
    </w:p>
    <w:p w:rsidR="00A17E03" w:rsidRPr="00A75DF9" w:rsidRDefault="00A17E03" w:rsidP="004B42EB">
      <w:pPr>
        <w:jc w:val="both"/>
        <w:rPr>
          <w:rFonts w:cs="Tahoma"/>
        </w:rPr>
      </w:pPr>
      <w:r w:rsidRPr="00A75DF9">
        <w:rPr>
          <w:rFonts w:cs="Tahoma"/>
          <w:color w:val="000000"/>
          <w:szCs w:val="18"/>
        </w:rPr>
        <w:t xml:space="preserve">Mentre il numero di </w:t>
      </w:r>
      <w:r w:rsidRPr="00A75DF9">
        <w:rPr>
          <w:rFonts w:cs="Tahoma"/>
          <w:i/>
          <w:color w:val="000000"/>
          <w:szCs w:val="18"/>
        </w:rPr>
        <w:t>i</w:t>
      </w:r>
      <w:r w:rsidRPr="00A75DF9">
        <w:rPr>
          <w:rFonts w:cs="Tahoma"/>
          <w:color w:val="000000"/>
          <w:szCs w:val="18"/>
        </w:rPr>
        <w:t>nterventi PRS 24x7 non viene determinato in base alla spesa SA, il numero di contatti di</w:t>
      </w:r>
      <w:r w:rsidR="004B42EB">
        <w:rPr>
          <w:rFonts w:cs="Tahoma"/>
          <w:color w:val="000000"/>
          <w:szCs w:val="18"/>
        </w:rPr>
        <w:t> </w:t>
      </w:r>
      <w:r w:rsidRPr="00A75DF9">
        <w:rPr>
          <w:rFonts w:cs="Tahoma"/>
          <w:color w:val="000000"/>
          <w:szCs w:val="18"/>
        </w:rPr>
        <w:t>supporto consentiti per gestire il PRS Illimitato 24x7 varia in base all</w:t>
      </w:r>
      <w:r w:rsidR="00F2643E">
        <w:rPr>
          <w:rFonts w:cs="Tahoma"/>
          <w:color w:val="000000"/>
          <w:szCs w:val="18"/>
        </w:rPr>
        <w:t>’</w:t>
      </w:r>
      <w:r w:rsidRPr="00A75DF9">
        <w:rPr>
          <w:rFonts w:cs="Tahoma"/>
          <w:color w:val="000000"/>
          <w:szCs w:val="18"/>
        </w:rPr>
        <w:t>ammontare della spesa SA. Tutte le società idonee hanno diritto ad almeno quattro contatti autorizzati più un contatto aggiuntivo per ogni $125.000 aggiuntivi di</w:t>
      </w:r>
      <w:r w:rsidR="004B42EB">
        <w:rPr>
          <w:rFonts w:cs="Tahoma"/>
          <w:color w:val="000000"/>
          <w:szCs w:val="18"/>
        </w:rPr>
        <w:t> </w:t>
      </w:r>
      <w:r w:rsidRPr="00A75DF9">
        <w:rPr>
          <w:rFonts w:cs="Tahoma"/>
          <w:color w:val="000000"/>
          <w:szCs w:val="18"/>
        </w:rPr>
        <w:t>spesa SA in base al programma o ai programmi EAP o VL ai sensi dei quali hanno acquistato le licenze per PDW. In caso di contratti in valuta estera, le società idonee hanno diritto ad almeno quattro contratti autorizzati più un contratto aggiuntivo per ogni spesa SA incrementale pari a $125.000 della spesa SA media annuale effettuata nella valuta estera applicabile.</w:t>
      </w:r>
      <w:r w:rsidR="009D3B41" w:rsidRPr="00A75DF9">
        <w:rPr>
          <w:rFonts w:cs="Tahoma"/>
          <w:color w:val="000000"/>
          <w:szCs w:val="18"/>
        </w:rPr>
        <w:t xml:space="preserve"> </w:t>
      </w:r>
      <w:r w:rsidRPr="00A75DF9">
        <w:rPr>
          <w:rFonts w:cs="Tahoma"/>
          <w:color w:val="000000"/>
          <w:szCs w:val="18"/>
        </w:rPr>
        <w:t>Fare riferimento alla tabella seguente:</w:t>
      </w:r>
    </w:p>
    <w:p w:rsidR="00FF1B2B" w:rsidRPr="00A75DF9" w:rsidRDefault="00FF1B2B" w:rsidP="00F42FB8">
      <w:pPr>
        <w:jc w:val="both"/>
        <w:rPr>
          <w:rFonts w:cs="Tahoma"/>
        </w:rPr>
      </w:pPr>
    </w:p>
    <w:p w:rsidR="00A17E03" w:rsidRPr="00A75DF9" w:rsidRDefault="00A17E03" w:rsidP="00F42FB8">
      <w:pPr>
        <w:jc w:val="both"/>
        <w:rPr>
          <w:rFonts w:cs="Tahoma"/>
        </w:rPr>
      </w:pPr>
      <w:r w:rsidRPr="00A75DF9">
        <w:rPr>
          <w:rFonts w:cs="Tahoma"/>
          <w:color w:val="000000"/>
          <w:szCs w:val="18"/>
        </w:rPr>
        <w:t>La seguente tabella si applica alle società in possesso di un</w:t>
      </w:r>
      <w:r w:rsidR="00F2643E">
        <w:rPr>
          <w:rFonts w:cs="Tahoma"/>
          <w:color w:val="000000"/>
          <w:szCs w:val="18"/>
        </w:rPr>
        <w:t>’</w:t>
      </w:r>
      <w:r w:rsidRPr="00A75DF9">
        <w:rPr>
          <w:rFonts w:cs="Tahoma"/>
          <w:color w:val="000000"/>
          <w:szCs w:val="18"/>
        </w:rPr>
        <w:t>EAP o APA:</w:t>
      </w:r>
    </w:p>
    <w:p w:rsidR="00613BBB" w:rsidRPr="00A75DF9" w:rsidRDefault="00613BBB" w:rsidP="00613BBB">
      <w:pPr>
        <w:rPr>
          <w:rFonts w:cs="Tahoma"/>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613BBB" w:rsidRPr="00A75DF9" w:rsidTr="002A6416">
        <w:tc>
          <w:tcPr>
            <w:tcW w:w="2160" w:type="dxa"/>
            <w:shd w:val="clear" w:color="auto" w:fill="FABF8F"/>
          </w:tcPr>
          <w:p w:rsidR="00613BBB" w:rsidRPr="00A75DF9" w:rsidRDefault="00613BBB" w:rsidP="00613BBB">
            <w:pPr>
              <w:jc w:val="center"/>
              <w:rPr>
                <w:rFonts w:cs="Tahoma"/>
                <w:color w:val="000000"/>
                <w:szCs w:val="18"/>
              </w:rPr>
            </w:pPr>
            <w:r w:rsidRPr="00A75DF9">
              <w:rPr>
                <w:rFonts w:cs="Tahoma"/>
                <w:b/>
                <w:bCs/>
                <w:color w:val="000000"/>
                <w:szCs w:val="18"/>
              </w:rPr>
              <w:t>Spesa Media Annuale per SA</w:t>
            </w:r>
          </w:p>
        </w:tc>
        <w:tc>
          <w:tcPr>
            <w:tcW w:w="2520" w:type="dxa"/>
            <w:shd w:val="clear" w:color="auto" w:fill="FABF8F"/>
          </w:tcPr>
          <w:p w:rsidR="00613BBB" w:rsidRPr="00A75DF9" w:rsidRDefault="00A17E03" w:rsidP="00613BBB">
            <w:pPr>
              <w:jc w:val="center"/>
              <w:rPr>
                <w:rFonts w:cs="Tahoma"/>
                <w:color w:val="000000"/>
                <w:szCs w:val="18"/>
              </w:rPr>
            </w:pPr>
            <w:r w:rsidRPr="00A75DF9">
              <w:rPr>
                <w:rFonts w:cs="Tahoma"/>
                <w:b/>
                <w:bCs/>
                <w:color w:val="000000"/>
                <w:szCs w:val="18"/>
              </w:rPr>
              <w:t>Contatti di supporto consentiti</w:t>
            </w:r>
          </w:p>
        </w:tc>
      </w:tr>
      <w:tr w:rsidR="00613BBB" w:rsidRPr="00A75DF9" w:rsidTr="002A6416">
        <w:tc>
          <w:tcPr>
            <w:tcW w:w="2160" w:type="dxa"/>
          </w:tcPr>
          <w:p w:rsidR="00613BBB" w:rsidRPr="00A75DF9" w:rsidRDefault="00613BBB" w:rsidP="004B42EB">
            <w:pPr>
              <w:jc w:val="center"/>
              <w:rPr>
                <w:rFonts w:cs="Tahoma"/>
                <w:color w:val="000000"/>
                <w:szCs w:val="18"/>
              </w:rPr>
            </w:pPr>
            <w:r w:rsidRPr="00A75DF9">
              <w:rPr>
                <w:rFonts w:cs="Tahoma"/>
                <w:color w:val="000000"/>
                <w:szCs w:val="18"/>
              </w:rPr>
              <w:t>$250</w:t>
            </w:r>
            <w:r w:rsidR="004B42EB">
              <w:rPr>
                <w:rFonts w:cs="Tahoma"/>
                <w:color w:val="000000"/>
                <w:szCs w:val="18"/>
              </w:rPr>
              <w:t>.</w:t>
            </w:r>
            <w:r w:rsidRPr="00A75DF9">
              <w:rPr>
                <w:rFonts w:cs="Tahoma"/>
                <w:color w:val="000000"/>
                <w:szCs w:val="18"/>
              </w:rPr>
              <w:t>000 - $374</w:t>
            </w:r>
            <w:r w:rsidR="004B42EB">
              <w:rPr>
                <w:rFonts w:cs="Tahoma"/>
                <w:color w:val="000000"/>
                <w:szCs w:val="18"/>
              </w:rPr>
              <w:t>.</w:t>
            </w:r>
            <w:r w:rsidRPr="00A75DF9">
              <w:rPr>
                <w:rFonts w:cs="Tahoma"/>
                <w:color w:val="000000"/>
                <w:szCs w:val="18"/>
              </w:rPr>
              <w:t>999</w:t>
            </w:r>
          </w:p>
        </w:tc>
        <w:tc>
          <w:tcPr>
            <w:tcW w:w="2520" w:type="dxa"/>
          </w:tcPr>
          <w:p w:rsidR="00613BBB" w:rsidRPr="00A75DF9" w:rsidRDefault="00613BBB" w:rsidP="00613BBB">
            <w:pPr>
              <w:jc w:val="center"/>
              <w:rPr>
                <w:rFonts w:cs="Tahoma"/>
                <w:color w:val="000000"/>
                <w:szCs w:val="18"/>
              </w:rPr>
            </w:pPr>
            <w:r w:rsidRPr="00A75DF9">
              <w:rPr>
                <w:rFonts w:cs="Tahoma"/>
                <w:color w:val="000000"/>
                <w:szCs w:val="18"/>
              </w:rPr>
              <w:t>4</w:t>
            </w:r>
          </w:p>
        </w:tc>
      </w:tr>
      <w:tr w:rsidR="00613BBB" w:rsidRPr="00A75DF9" w:rsidTr="002A6416">
        <w:tc>
          <w:tcPr>
            <w:tcW w:w="2160" w:type="dxa"/>
          </w:tcPr>
          <w:p w:rsidR="00613BBB" w:rsidRPr="00A75DF9" w:rsidRDefault="00613BBB" w:rsidP="004B42EB">
            <w:pPr>
              <w:jc w:val="center"/>
              <w:rPr>
                <w:rFonts w:cs="Tahoma"/>
                <w:szCs w:val="18"/>
              </w:rPr>
            </w:pPr>
            <w:r w:rsidRPr="00A75DF9">
              <w:rPr>
                <w:rFonts w:cs="Tahoma"/>
                <w:szCs w:val="18"/>
              </w:rPr>
              <w:t>$375</w:t>
            </w:r>
            <w:r w:rsidR="004B42EB">
              <w:rPr>
                <w:rFonts w:cs="Tahoma"/>
                <w:szCs w:val="18"/>
              </w:rPr>
              <w:t>.</w:t>
            </w:r>
            <w:r w:rsidRPr="00A75DF9">
              <w:rPr>
                <w:rFonts w:cs="Tahoma"/>
                <w:szCs w:val="18"/>
              </w:rPr>
              <w:t>000 - $499</w:t>
            </w:r>
            <w:r w:rsidR="004B42EB">
              <w:rPr>
                <w:rFonts w:cs="Tahoma"/>
                <w:szCs w:val="18"/>
              </w:rPr>
              <w:t>.</w:t>
            </w:r>
            <w:r w:rsidRPr="00A75DF9">
              <w:rPr>
                <w:rFonts w:cs="Tahoma"/>
                <w:szCs w:val="18"/>
              </w:rPr>
              <w:t>999</w:t>
            </w:r>
          </w:p>
        </w:tc>
        <w:tc>
          <w:tcPr>
            <w:tcW w:w="2520" w:type="dxa"/>
          </w:tcPr>
          <w:p w:rsidR="00613BBB" w:rsidRPr="00A75DF9" w:rsidRDefault="00613BBB" w:rsidP="00613BBB">
            <w:pPr>
              <w:jc w:val="center"/>
              <w:rPr>
                <w:rFonts w:cs="Tahoma"/>
                <w:szCs w:val="18"/>
              </w:rPr>
            </w:pPr>
            <w:r w:rsidRPr="00A75DF9">
              <w:rPr>
                <w:rFonts w:cs="Tahoma"/>
                <w:szCs w:val="18"/>
              </w:rPr>
              <w:t>5</w:t>
            </w:r>
          </w:p>
        </w:tc>
      </w:tr>
      <w:tr w:rsidR="00613BBB" w:rsidRPr="00A75DF9" w:rsidTr="002A6416">
        <w:tc>
          <w:tcPr>
            <w:tcW w:w="2160" w:type="dxa"/>
          </w:tcPr>
          <w:p w:rsidR="00613BBB" w:rsidRPr="00A75DF9" w:rsidRDefault="00613BBB" w:rsidP="004B42EB">
            <w:pPr>
              <w:jc w:val="center"/>
              <w:rPr>
                <w:rFonts w:cs="Tahoma"/>
                <w:szCs w:val="18"/>
              </w:rPr>
            </w:pPr>
            <w:r w:rsidRPr="00A75DF9">
              <w:rPr>
                <w:rFonts w:cs="Tahoma"/>
                <w:szCs w:val="18"/>
              </w:rPr>
              <w:t>$500</w:t>
            </w:r>
            <w:r w:rsidR="004B42EB">
              <w:rPr>
                <w:rFonts w:cs="Tahoma"/>
                <w:szCs w:val="18"/>
              </w:rPr>
              <w:t>.</w:t>
            </w:r>
            <w:r w:rsidRPr="00A75DF9">
              <w:rPr>
                <w:rFonts w:cs="Tahoma"/>
                <w:szCs w:val="18"/>
              </w:rPr>
              <w:t>000 - $624</w:t>
            </w:r>
            <w:r w:rsidR="004B42EB">
              <w:rPr>
                <w:rFonts w:cs="Tahoma"/>
                <w:szCs w:val="18"/>
              </w:rPr>
              <w:t>.</w:t>
            </w:r>
            <w:r w:rsidRPr="00A75DF9">
              <w:rPr>
                <w:rFonts w:cs="Tahoma"/>
                <w:szCs w:val="18"/>
              </w:rPr>
              <w:t>999</w:t>
            </w:r>
          </w:p>
        </w:tc>
        <w:tc>
          <w:tcPr>
            <w:tcW w:w="2520" w:type="dxa"/>
          </w:tcPr>
          <w:p w:rsidR="00613BBB" w:rsidRPr="00A75DF9" w:rsidRDefault="00613BBB" w:rsidP="00613BBB">
            <w:pPr>
              <w:jc w:val="center"/>
              <w:rPr>
                <w:rFonts w:cs="Tahoma"/>
                <w:szCs w:val="18"/>
              </w:rPr>
            </w:pPr>
            <w:r w:rsidRPr="00A75DF9">
              <w:rPr>
                <w:rFonts w:cs="Tahoma"/>
                <w:szCs w:val="18"/>
              </w:rPr>
              <w:t>6</w:t>
            </w:r>
          </w:p>
        </w:tc>
      </w:tr>
      <w:tr w:rsidR="00613BBB" w:rsidRPr="00A75DF9" w:rsidTr="002A6416">
        <w:tc>
          <w:tcPr>
            <w:tcW w:w="2160" w:type="dxa"/>
          </w:tcPr>
          <w:p w:rsidR="00613BBB" w:rsidRPr="00A75DF9" w:rsidRDefault="00613BBB" w:rsidP="004B42EB">
            <w:pPr>
              <w:jc w:val="center"/>
              <w:rPr>
                <w:rFonts w:cs="Tahoma"/>
                <w:szCs w:val="18"/>
              </w:rPr>
            </w:pPr>
            <w:r w:rsidRPr="00A75DF9">
              <w:rPr>
                <w:rFonts w:cs="Tahoma"/>
                <w:szCs w:val="18"/>
              </w:rPr>
              <w:t>$625</w:t>
            </w:r>
            <w:r w:rsidR="004B42EB">
              <w:rPr>
                <w:rFonts w:cs="Tahoma"/>
                <w:szCs w:val="18"/>
              </w:rPr>
              <w:t>.</w:t>
            </w:r>
            <w:r w:rsidRPr="00A75DF9">
              <w:rPr>
                <w:rFonts w:cs="Tahoma"/>
                <w:szCs w:val="18"/>
              </w:rPr>
              <w:t>000 - $749</w:t>
            </w:r>
            <w:r w:rsidR="004B42EB">
              <w:rPr>
                <w:rFonts w:cs="Tahoma"/>
                <w:szCs w:val="18"/>
              </w:rPr>
              <w:t>.</w:t>
            </w:r>
            <w:r w:rsidRPr="00A75DF9">
              <w:rPr>
                <w:rFonts w:cs="Tahoma"/>
                <w:szCs w:val="18"/>
              </w:rPr>
              <w:t>999</w:t>
            </w:r>
          </w:p>
        </w:tc>
        <w:tc>
          <w:tcPr>
            <w:tcW w:w="2520" w:type="dxa"/>
          </w:tcPr>
          <w:p w:rsidR="00613BBB" w:rsidRPr="00A75DF9" w:rsidRDefault="00613BBB" w:rsidP="00613BBB">
            <w:pPr>
              <w:jc w:val="center"/>
              <w:rPr>
                <w:rFonts w:cs="Tahoma"/>
                <w:szCs w:val="18"/>
              </w:rPr>
            </w:pPr>
            <w:r w:rsidRPr="00A75DF9">
              <w:rPr>
                <w:rFonts w:cs="Tahoma"/>
                <w:szCs w:val="18"/>
              </w:rPr>
              <w:t>7</w:t>
            </w:r>
          </w:p>
        </w:tc>
      </w:tr>
      <w:tr w:rsidR="00613BBB" w:rsidRPr="00A75DF9" w:rsidTr="002A6416">
        <w:tc>
          <w:tcPr>
            <w:tcW w:w="2160" w:type="dxa"/>
          </w:tcPr>
          <w:p w:rsidR="00613BBB" w:rsidRPr="00A75DF9" w:rsidRDefault="00613BBB" w:rsidP="004B42EB">
            <w:pPr>
              <w:jc w:val="center"/>
              <w:rPr>
                <w:rFonts w:cs="Tahoma"/>
                <w:szCs w:val="18"/>
              </w:rPr>
            </w:pPr>
            <w:r w:rsidRPr="00A75DF9">
              <w:rPr>
                <w:rFonts w:cs="Tahoma"/>
                <w:szCs w:val="18"/>
              </w:rPr>
              <w:t>$750</w:t>
            </w:r>
            <w:r w:rsidR="004B42EB">
              <w:rPr>
                <w:rFonts w:cs="Tahoma"/>
                <w:szCs w:val="18"/>
              </w:rPr>
              <w:t>.</w:t>
            </w:r>
            <w:r w:rsidRPr="00A75DF9">
              <w:rPr>
                <w:rFonts w:cs="Tahoma"/>
                <w:szCs w:val="18"/>
              </w:rPr>
              <w:t>000 - $874</w:t>
            </w:r>
            <w:r w:rsidR="004B42EB">
              <w:rPr>
                <w:rFonts w:cs="Tahoma"/>
                <w:szCs w:val="18"/>
              </w:rPr>
              <w:t>.</w:t>
            </w:r>
            <w:r w:rsidRPr="00A75DF9">
              <w:rPr>
                <w:rFonts w:cs="Tahoma"/>
                <w:szCs w:val="18"/>
              </w:rPr>
              <w:t>999</w:t>
            </w:r>
          </w:p>
        </w:tc>
        <w:tc>
          <w:tcPr>
            <w:tcW w:w="2520" w:type="dxa"/>
          </w:tcPr>
          <w:p w:rsidR="00613BBB" w:rsidRPr="00A75DF9" w:rsidRDefault="00613BBB" w:rsidP="00613BBB">
            <w:pPr>
              <w:jc w:val="center"/>
              <w:rPr>
                <w:rFonts w:cs="Tahoma"/>
                <w:szCs w:val="18"/>
              </w:rPr>
            </w:pPr>
            <w:r w:rsidRPr="00A75DF9">
              <w:rPr>
                <w:rFonts w:cs="Tahoma"/>
                <w:szCs w:val="18"/>
              </w:rPr>
              <w:t>8</w:t>
            </w:r>
          </w:p>
        </w:tc>
      </w:tr>
    </w:tbl>
    <w:p w:rsidR="00613BBB" w:rsidRPr="00A75DF9" w:rsidRDefault="00613BBB" w:rsidP="00613BBB">
      <w:pPr>
        <w:rPr>
          <w:rFonts w:cs="Tahoma"/>
        </w:rPr>
      </w:pPr>
    </w:p>
    <w:p w:rsidR="00A17E03" w:rsidRPr="00A75DF9" w:rsidRDefault="00A17E03" w:rsidP="00FF1B2B">
      <w:pPr>
        <w:rPr>
          <w:rFonts w:cs="Tahoma"/>
        </w:rPr>
      </w:pPr>
      <w:r w:rsidRPr="00A75DF9">
        <w:rPr>
          <w:rFonts w:cs="Tahoma"/>
          <w:szCs w:val="18"/>
        </w:rPr>
        <w:t>La seguente tabella si applica alle società in possesso di licenze per PDW:</w:t>
      </w:r>
    </w:p>
    <w:p w:rsidR="00A17E03" w:rsidRPr="00A75DF9" w:rsidRDefault="00A17E03" w:rsidP="00A17E03">
      <w:pPr>
        <w:rPr>
          <w:rFonts w:cs="Tahoma"/>
        </w:rPr>
      </w:pPr>
    </w:p>
    <w:tbl>
      <w:tblPr>
        <w:tblW w:w="0" w:type="auto"/>
        <w:tblInd w:w="23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60"/>
        <w:gridCol w:w="2520"/>
      </w:tblGrid>
      <w:tr w:rsidR="00A17E03" w:rsidRPr="00A75DF9" w:rsidTr="002A6416">
        <w:tc>
          <w:tcPr>
            <w:tcW w:w="2160" w:type="dxa"/>
            <w:shd w:val="clear" w:color="auto" w:fill="FABF8F"/>
          </w:tcPr>
          <w:p w:rsidR="00A17E03" w:rsidRPr="00A75DF9" w:rsidRDefault="00A17E03" w:rsidP="00A17E03">
            <w:pPr>
              <w:jc w:val="center"/>
              <w:rPr>
                <w:rFonts w:cs="Tahoma"/>
                <w:color w:val="000000"/>
                <w:szCs w:val="18"/>
              </w:rPr>
            </w:pPr>
            <w:r w:rsidRPr="00A75DF9">
              <w:rPr>
                <w:rFonts w:cs="Tahoma"/>
                <w:b/>
                <w:bCs/>
                <w:color w:val="000000"/>
                <w:szCs w:val="18"/>
              </w:rPr>
              <w:t>Spesa Media Annuale per SA</w:t>
            </w:r>
          </w:p>
        </w:tc>
        <w:tc>
          <w:tcPr>
            <w:tcW w:w="2520" w:type="dxa"/>
            <w:shd w:val="clear" w:color="auto" w:fill="FABF8F"/>
          </w:tcPr>
          <w:p w:rsidR="00A17E03" w:rsidRPr="00A75DF9" w:rsidRDefault="00A17E03" w:rsidP="00A17E03">
            <w:pPr>
              <w:jc w:val="center"/>
              <w:rPr>
                <w:rFonts w:cs="Tahoma"/>
                <w:color w:val="000000"/>
                <w:szCs w:val="18"/>
              </w:rPr>
            </w:pPr>
            <w:r w:rsidRPr="00A75DF9">
              <w:rPr>
                <w:rFonts w:cs="Tahoma"/>
                <w:b/>
                <w:bCs/>
                <w:color w:val="000000"/>
                <w:szCs w:val="18"/>
              </w:rPr>
              <w:t>Contatti di supporto consentiti</w:t>
            </w:r>
          </w:p>
        </w:tc>
      </w:tr>
      <w:tr w:rsidR="00A17E03" w:rsidRPr="00A75DF9" w:rsidTr="002A6416">
        <w:tc>
          <w:tcPr>
            <w:tcW w:w="2160" w:type="dxa"/>
          </w:tcPr>
          <w:p w:rsidR="00A17E03" w:rsidRPr="00A75DF9" w:rsidRDefault="00A17E03" w:rsidP="004B42EB">
            <w:pPr>
              <w:jc w:val="center"/>
              <w:rPr>
                <w:rFonts w:cs="Tahoma"/>
                <w:color w:val="000000"/>
                <w:szCs w:val="18"/>
              </w:rPr>
            </w:pPr>
            <w:r w:rsidRPr="00A75DF9">
              <w:rPr>
                <w:rFonts w:cs="Tahoma"/>
                <w:color w:val="000000"/>
                <w:szCs w:val="18"/>
              </w:rPr>
              <w:t>$0 - $374</w:t>
            </w:r>
            <w:r w:rsidR="004B42EB">
              <w:rPr>
                <w:rFonts w:cs="Tahoma"/>
                <w:color w:val="000000"/>
                <w:szCs w:val="18"/>
              </w:rPr>
              <w:t>.</w:t>
            </w:r>
            <w:r w:rsidRPr="00A75DF9">
              <w:rPr>
                <w:rFonts w:cs="Tahoma"/>
                <w:color w:val="000000"/>
                <w:szCs w:val="18"/>
              </w:rPr>
              <w:t>999</w:t>
            </w:r>
          </w:p>
        </w:tc>
        <w:tc>
          <w:tcPr>
            <w:tcW w:w="2520" w:type="dxa"/>
          </w:tcPr>
          <w:p w:rsidR="00A17E03" w:rsidRPr="00A75DF9" w:rsidRDefault="00A17E03" w:rsidP="00A17E03">
            <w:pPr>
              <w:jc w:val="center"/>
              <w:rPr>
                <w:rFonts w:cs="Tahoma"/>
                <w:color w:val="000000"/>
                <w:szCs w:val="18"/>
              </w:rPr>
            </w:pPr>
            <w:r w:rsidRPr="00A75DF9">
              <w:rPr>
                <w:rFonts w:cs="Tahoma"/>
                <w:color w:val="000000"/>
                <w:szCs w:val="18"/>
              </w:rPr>
              <w:t>4</w:t>
            </w:r>
          </w:p>
        </w:tc>
      </w:tr>
      <w:tr w:rsidR="00A17E03" w:rsidRPr="00A75DF9" w:rsidTr="002A6416">
        <w:tc>
          <w:tcPr>
            <w:tcW w:w="2160" w:type="dxa"/>
          </w:tcPr>
          <w:p w:rsidR="00A17E03" w:rsidRPr="00A75DF9" w:rsidRDefault="00A17E03" w:rsidP="004B42EB">
            <w:pPr>
              <w:jc w:val="center"/>
              <w:rPr>
                <w:rFonts w:cs="Tahoma"/>
                <w:szCs w:val="18"/>
              </w:rPr>
            </w:pPr>
            <w:r w:rsidRPr="00A75DF9">
              <w:rPr>
                <w:rFonts w:cs="Tahoma"/>
                <w:szCs w:val="18"/>
              </w:rPr>
              <w:t>$375</w:t>
            </w:r>
            <w:r w:rsidR="004B42EB">
              <w:rPr>
                <w:rFonts w:cs="Tahoma"/>
                <w:szCs w:val="18"/>
              </w:rPr>
              <w:t>.</w:t>
            </w:r>
            <w:r w:rsidRPr="00A75DF9">
              <w:rPr>
                <w:rFonts w:cs="Tahoma"/>
                <w:szCs w:val="18"/>
              </w:rPr>
              <w:t>000 - $499</w:t>
            </w:r>
            <w:r w:rsidR="004B42EB">
              <w:rPr>
                <w:rFonts w:cs="Tahoma"/>
                <w:szCs w:val="18"/>
              </w:rPr>
              <w:t>.</w:t>
            </w:r>
            <w:r w:rsidRPr="00A75DF9">
              <w:rPr>
                <w:rFonts w:cs="Tahoma"/>
                <w:szCs w:val="18"/>
              </w:rPr>
              <w:t>999</w:t>
            </w:r>
          </w:p>
        </w:tc>
        <w:tc>
          <w:tcPr>
            <w:tcW w:w="2520" w:type="dxa"/>
          </w:tcPr>
          <w:p w:rsidR="00A17E03" w:rsidRPr="00A75DF9" w:rsidRDefault="00A17E03" w:rsidP="00A17E03">
            <w:pPr>
              <w:jc w:val="center"/>
              <w:rPr>
                <w:rFonts w:cs="Tahoma"/>
                <w:szCs w:val="18"/>
              </w:rPr>
            </w:pPr>
            <w:r w:rsidRPr="00A75DF9">
              <w:rPr>
                <w:rFonts w:cs="Tahoma"/>
                <w:szCs w:val="18"/>
              </w:rPr>
              <w:t>5</w:t>
            </w:r>
          </w:p>
        </w:tc>
      </w:tr>
      <w:tr w:rsidR="00A17E03" w:rsidRPr="00A75DF9" w:rsidTr="002A6416">
        <w:tc>
          <w:tcPr>
            <w:tcW w:w="2160" w:type="dxa"/>
          </w:tcPr>
          <w:p w:rsidR="00A17E03" w:rsidRPr="00A75DF9" w:rsidRDefault="00A17E03" w:rsidP="004B42EB">
            <w:pPr>
              <w:jc w:val="center"/>
              <w:rPr>
                <w:rFonts w:cs="Tahoma"/>
                <w:szCs w:val="18"/>
              </w:rPr>
            </w:pPr>
            <w:r w:rsidRPr="00A75DF9">
              <w:rPr>
                <w:rFonts w:cs="Tahoma"/>
                <w:szCs w:val="18"/>
              </w:rPr>
              <w:t>$500</w:t>
            </w:r>
            <w:r w:rsidR="004B42EB">
              <w:rPr>
                <w:rFonts w:cs="Tahoma"/>
                <w:szCs w:val="18"/>
              </w:rPr>
              <w:t>.</w:t>
            </w:r>
            <w:r w:rsidRPr="00A75DF9">
              <w:rPr>
                <w:rFonts w:cs="Tahoma"/>
                <w:szCs w:val="18"/>
              </w:rPr>
              <w:t>000 - $624</w:t>
            </w:r>
            <w:r w:rsidR="004B42EB">
              <w:rPr>
                <w:rFonts w:cs="Tahoma"/>
                <w:szCs w:val="18"/>
              </w:rPr>
              <w:t>.</w:t>
            </w:r>
            <w:r w:rsidRPr="00A75DF9">
              <w:rPr>
                <w:rFonts w:cs="Tahoma"/>
                <w:szCs w:val="18"/>
              </w:rPr>
              <w:t>999</w:t>
            </w:r>
          </w:p>
        </w:tc>
        <w:tc>
          <w:tcPr>
            <w:tcW w:w="2520" w:type="dxa"/>
          </w:tcPr>
          <w:p w:rsidR="00A17E03" w:rsidRPr="00A75DF9" w:rsidRDefault="00A17E03" w:rsidP="00A17E03">
            <w:pPr>
              <w:jc w:val="center"/>
              <w:rPr>
                <w:rFonts w:cs="Tahoma"/>
                <w:szCs w:val="18"/>
              </w:rPr>
            </w:pPr>
            <w:r w:rsidRPr="00A75DF9">
              <w:rPr>
                <w:rFonts w:cs="Tahoma"/>
                <w:szCs w:val="18"/>
              </w:rPr>
              <w:t>6</w:t>
            </w:r>
          </w:p>
        </w:tc>
      </w:tr>
      <w:tr w:rsidR="00A17E03" w:rsidRPr="00A75DF9" w:rsidTr="002A6416">
        <w:tc>
          <w:tcPr>
            <w:tcW w:w="2160" w:type="dxa"/>
          </w:tcPr>
          <w:p w:rsidR="00A17E03" w:rsidRPr="00A75DF9" w:rsidRDefault="00A17E03" w:rsidP="004B42EB">
            <w:pPr>
              <w:jc w:val="center"/>
              <w:rPr>
                <w:rFonts w:cs="Tahoma"/>
                <w:szCs w:val="18"/>
              </w:rPr>
            </w:pPr>
            <w:r w:rsidRPr="00A75DF9">
              <w:rPr>
                <w:rFonts w:cs="Tahoma"/>
                <w:szCs w:val="18"/>
              </w:rPr>
              <w:t>$625</w:t>
            </w:r>
            <w:r w:rsidR="004B42EB">
              <w:rPr>
                <w:rFonts w:cs="Tahoma"/>
                <w:szCs w:val="18"/>
              </w:rPr>
              <w:t>.</w:t>
            </w:r>
            <w:r w:rsidRPr="00A75DF9">
              <w:rPr>
                <w:rFonts w:cs="Tahoma"/>
                <w:szCs w:val="18"/>
              </w:rPr>
              <w:t>000 - $749</w:t>
            </w:r>
            <w:r w:rsidR="004B42EB">
              <w:rPr>
                <w:rFonts w:cs="Tahoma"/>
                <w:szCs w:val="18"/>
              </w:rPr>
              <w:t>.</w:t>
            </w:r>
            <w:r w:rsidRPr="00A75DF9">
              <w:rPr>
                <w:rFonts w:cs="Tahoma"/>
                <w:szCs w:val="18"/>
              </w:rPr>
              <w:t>999</w:t>
            </w:r>
          </w:p>
        </w:tc>
        <w:tc>
          <w:tcPr>
            <w:tcW w:w="2520" w:type="dxa"/>
          </w:tcPr>
          <w:p w:rsidR="00A17E03" w:rsidRPr="00A75DF9" w:rsidRDefault="00A17E03" w:rsidP="00A17E03">
            <w:pPr>
              <w:jc w:val="center"/>
              <w:rPr>
                <w:rFonts w:cs="Tahoma"/>
                <w:szCs w:val="18"/>
              </w:rPr>
            </w:pPr>
            <w:r w:rsidRPr="00A75DF9">
              <w:rPr>
                <w:rFonts w:cs="Tahoma"/>
                <w:szCs w:val="18"/>
              </w:rPr>
              <w:t>7</w:t>
            </w:r>
          </w:p>
        </w:tc>
      </w:tr>
      <w:tr w:rsidR="00A17E03" w:rsidRPr="00A75DF9" w:rsidTr="002A6416">
        <w:tc>
          <w:tcPr>
            <w:tcW w:w="2160" w:type="dxa"/>
          </w:tcPr>
          <w:p w:rsidR="00A17E03" w:rsidRPr="00A75DF9" w:rsidRDefault="00A17E03" w:rsidP="004B42EB">
            <w:pPr>
              <w:jc w:val="center"/>
              <w:rPr>
                <w:rFonts w:cs="Tahoma"/>
                <w:szCs w:val="18"/>
              </w:rPr>
            </w:pPr>
            <w:r w:rsidRPr="00A75DF9">
              <w:rPr>
                <w:rFonts w:cs="Tahoma"/>
                <w:szCs w:val="18"/>
              </w:rPr>
              <w:t>$750</w:t>
            </w:r>
            <w:r w:rsidR="004B42EB">
              <w:rPr>
                <w:rFonts w:cs="Tahoma"/>
                <w:szCs w:val="18"/>
              </w:rPr>
              <w:t>.</w:t>
            </w:r>
            <w:r w:rsidRPr="00A75DF9">
              <w:rPr>
                <w:rFonts w:cs="Tahoma"/>
                <w:szCs w:val="18"/>
              </w:rPr>
              <w:t>000 - $874</w:t>
            </w:r>
            <w:r w:rsidR="004B42EB">
              <w:rPr>
                <w:rFonts w:cs="Tahoma"/>
                <w:szCs w:val="18"/>
              </w:rPr>
              <w:t>.</w:t>
            </w:r>
            <w:r w:rsidRPr="00A75DF9">
              <w:rPr>
                <w:rFonts w:cs="Tahoma"/>
                <w:szCs w:val="18"/>
              </w:rPr>
              <w:t>999</w:t>
            </w:r>
          </w:p>
        </w:tc>
        <w:tc>
          <w:tcPr>
            <w:tcW w:w="2520" w:type="dxa"/>
          </w:tcPr>
          <w:p w:rsidR="00A17E03" w:rsidRPr="00A75DF9" w:rsidRDefault="00A17E03" w:rsidP="00A17E03">
            <w:pPr>
              <w:jc w:val="center"/>
              <w:rPr>
                <w:rFonts w:cs="Tahoma"/>
                <w:szCs w:val="18"/>
              </w:rPr>
            </w:pPr>
            <w:r w:rsidRPr="00A75DF9">
              <w:rPr>
                <w:rFonts w:cs="Tahoma"/>
                <w:szCs w:val="18"/>
              </w:rPr>
              <w:t>8</w:t>
            </w:r>
          </w:p>
        </w:tc>
      </w:tr>
    </w:tbl>
    <w:p w:rsidR="00A17E03" w:rsidRPr="00A75DF9" w:rsidRDefault="00A17E03" w:rsidP="00F42FB8">
      <w:pPr>
        <w:jc w:val="both"/>
        <w:rPr>
          <w:rFonts w:cs="Tahoma"/>
        </w:rPr>
      </w:pPr>
      <w:r w:rsidRPr="00A75DF9">
        <w:rPr>
          <w:rFonts w:cs="Tahoma"/>
          <w:szCs w:val="18"/>
        </w:rPr>
        <w:t xml:space="preserve">Le richieste di supporto dovrebbero essere effettuate via telefono o Web da un contatto designato dalla società e seguire la procedura descritta nel Contratto Premier Services della società. Il vantaggio PRS Illimitato 24x7 include </w:t>
      </w:r>
      <w:r w:rsidRPr="00A75DF9">
        <w:rPr>
          <w:rFonts w:cs="Tahoma"/>
          <w:szCs w:val="18"/>
        </w:rPr>
        <w:lastRenderedPageBreak/>
        <w:t>soltanto i Servizi per la Risoluzione dei Problemi. Il tempo eventualmente dedicato dal Technical Account Manager (TAM) o dal Designated Support Engineer (DSE) alla risoluzione del problema sarà conteggiato nell</w:t>
      </w:r>
      <w:r w:rsidR="00F2643E">
        <w:rPr>
          <w:rFonts w:cs="Tahoma"/>
          <w:szCs w:val="18"/>
        </w:rPr>
        <w:t>’</w:t>
      </w:r>
      <w:r w:rsidRPr="00A75DF9">
        <w:rPr>
          <w:rFonts w:cs="Tahoma"/>
          <w:szCs w:val="18"/>
        </w:rPr>
        <w:t xml:space="preserve">ambito del Contratto Premier Services della società. </w:t>
      </w:r>
    </w:p>
    <w:p w:rsidR="00023FE7" w:rsidRPr="004B42EB" w:rsidRDefault="00023FE7" w:rsidP="00F42FB8">
      <w:pPr>
        <w:pStyle w:val="Heading3"/>
        <w:rPr>
          <w:rFonts w:ascii="Tahoma" w:hAnsi="Tahoma" w:cs="Tahoma"/>
          <w:b w:val="0"/>
          <w:bCs/>
          <w:sz w:val="18"/>
          <w:szCs w:val="18"/>
        </w:rPr>
      </w:pPr>
    </w:p>
    <w:p w:rsidR="00620185" w:rsidRPr="00A75DF9" w:rsidRDefault="00620185" w:rsidP="00F42FB8">
      <w:pPr>
        <w:pStyle w:val="Heading3"/>
        <w:rPr>
          <w:rFonts w:ascii="Tahoma" w:hAnsi="Tahoma" w:cs="Tahoma"/>
        </w:rPr>
      </w:pPr>
      <w:bookmarkStart w:id="750" w:name="_Toc336338238"/>
      <w:bookmarkStart w:id="751" w:name="_Toc368310229"/>
      <w:r w:rsidRPr="00A75DF9">
        <w:rPr>
          <w:rFonts w:ascii="Tahoma" w:hAnsi="Tahoma" w:cs="Tahoma"/>
          <w:color w:val="000000"/>
          <w:sz w:val="24"/>
          <w:szCs w:val="18"/>
        </w:rPr>
        <w:t>System Center Advisor</w:t>
      </w:r>
      <w:bookmarkEnd w:id="750"/>
      <w:bookmarkEnd w:id="751"/>
    </w:p>
    <w:p w:rsidR="00620185" w:rsidRPr="00A75DF9" w:rsidRDefault="00620185" w:rsidP="00F42FB8">
      <w:pPr>
        <w:rPr>
          <w:rFonts w:cs="Tahoma"/>
        </w:rPr>
      </w:pPr>
    </w:p>
    <w:p w:rsidR="001C1727" w:rsidRPr="00A75DF9" w:rsidRDefault="00F56FC9">
      <w:pPr>
        <w:rPr>
          <w:rFonts w:cs="Tahoma"/>
        </w:rPr>
      </w:pPr>
      <w:r w:rsidRPr="00A75DF9">
        <w:rPr>
          <w:rFonts w:cs="Tahoma"/>
          <w:szCs w:val="18"/>
        </w:rPr>
        <w:t xml:space="preserve">Le società con copertura Software Assurance attiva per le licenze software per le edizioni di Windows Server, SQL Server, Exchange Server e SharePoint Server identificate nella tabella che segue sono idonee a utilizzare System Center Advisor come specificato nei Diritti di Utilizzo del Prodotto. </w:t>
      </w:r>
    </w:p>
    <w:p w:rsidR="003479E5" w:rsidRPr="00A75DF9" w:rsidRDefault="003479E5" w:rsidP="00792D1E">
      <w:pPr>
        <w:outlineLvl w:val="2"/>
        <w:rPr>
          <w:rFonts w:cs="Tahoma"/>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12"/>
        <w:gridCol w:w="1848"/>
        <w:gridCol w:w="1774"/>
        <w:gridCol w:w="1913"/>
        <w:gridCol w:w="1391"/>
      </w:tblGrid>
      <w:tr w:rsidR="00A13BC3" w:rsidRPr="00A75DF9" w:rsidTr="004B42EB">
        <w:trPr>
          <w:tblHeader/>
        </w:trPr>
        <w:tc>
          <w:tcPr>
            <w:tcW w:w="3760" w:type="dxa"/>
            <w:gridSpan w:val="2"/>
            <w:shd w:val="clear" w:color="auto" w:fill="FABF8F"/>
          </w:tcPr>
          <w:p w:rsidR="00A13BC3" w:rsidRPr="00A75DF9" w:rsidRDefault="00A13BC3" w:rsidP="007E466C">
            <w:pPr>
              <w:spacing w:before="120" w:after="120" w:line="276" w:lineRule="auto"/>
              <w:jc w:val="center"/>
              <w:rPr>
                <w:rFonts w:cs="Tahoma"/>
                <w:b/>
                <w:bCs/>
                <w:color w:val="000000"/>
                <w:szCs w:val="18"/>
                <w:lang w:eastAsia="ja-JP"/>
              </w:rPr>
            </w:pPr>
            <w:r w:rsidRPr="00A75DF9">
              <w:rPr>
                <w:rFonts w:cs="Tahoma"/>
                <w:b/>
                <w:bCs/>
                <w:color w:val="000000"/>
                <w:szCs w:val="18"/>
              </w:rPr>
              <w:t>Software Server Qualificante*</w:t>
            </w:r>
          </w:p>
        </w:tc>
        <w:tc>
          <w:tcPr>
            <w:tcW w:w="1774" w:type="dxa"/>
            <w:shd w:val="clear" w:color="auto" w:fill="FABF8F"/>
          </w:tcPr>
          <w:p w:rsidR="00A13BC3" w:rsidRPr="00A75DF9" w:rsidRDefault="00A13BC3" w:rsidP="003479E5">
            <w:pPr>
              <w:spacing w:after="200" w:line="276" w:lineRule="auto"/>
              <w:jc w:val="center"/>
              <w:rPr>
                <w:rFonts w:cs="Tahoma"/>
                <w:b/>
                <w:bCs/>
                <w:color w:val="000000"/>
                <w:szCs w:val="18"/>
                <w:lang w:eastAsia="ja-JP"/>
              </w:rPr>
            </w:pPr>
          </w:p>
        </w:tc>
        <w:tc>
          <w:tcPr>
            <w:tcW w:w="1913" w:type="dxa"/>
            <w:shd w:val="clear" w:color="auto" w:fill="FABF8F"/>
          </w:tcPr>
          <w:p w:rsidR="00A13BC3" w:rsidRPr="00A75DF9" w:rsidRDefault="00A13BC3" w:rsidP="003479E5">
            <w:pPr>
              <w:spacing w:after="200" w:line="276" w:lineRule="auto"/>
              <w:jc w:val="center"/>
              <w:rPr>
                <w:rFonts w:cs="Tahoma"/>
                <w:b/>
                <w:bCs/>
                <w:color w:val="000000"/>
                <w:szCs w:val="18"/>
                <w:lang w:eastAsia="ja-JP"/>
              </w:rPr>
            </w:pPr>
          </w:p>
        </w:tc>
        <w:tc>
          <w:tcPr>
            <w:tcW w:w="1391" w:type="dxa"/>
            <w:shd w:val="clear" w:color="auto" w:fill="FABF8F"/>
          </w:tcPr>
          <w:p w:rsidR="00A13BC3" w:rsidRPr="00A75DF9" w:rsidRDefault="00A13BC3" w:rsidP="003479E5">
            <w:pPr>
              <w:spacing w:after="200" w:line="276" w:lineRule="auto"/>
              <w:jc w:val="center"/>
              <w:rPr>
                <w:rFonts w:cs="Tahoma"/>
                <w:b/>
                <w:bCs/>
                <w:color w:val="000000"/>
                <w:szCs w:val="18"/>
                <w:lang w:eastAsia="ja-JP"/>
              </w:rPr>
            </w:pPr>
          </w:p>
        </w:tc>
      </w:tr>
      <w:tr w:rsidR="00A13BC3" w:rsidRPr="00A75DF9" w:rsidTr="004B42EB">
        <w:trPr>
          <w:tblHeader/>
        </w:trPr>
        <w:tc>
          <w:tcPr>
            <w:tcW w:w="1912" w:type="dxa"/>
            <w:shd w:val="clear" w:color="auto" w:fill="FABF8F"/>
            <w:vAlign w:val="center"/>
          </w:tcPr>
          <w:p w:rsidR="00A13BC3" w:rsidRPr="00A75DF9" w:rsidRDefault="00A13BC3" w:rsidP="007E466C">
            <w:pPr>
              <w:spacing w:before="120" w:after="120" w:line="276" w:lineRule="auto"/>
              <w:jc w:val="center"/>
              <w:rPr>
                <w:rFonts w:cs="Tahoma"/>
                <w:color w:val="000000"/>
                <w:szCs w:val="18"/>
                <w:lang w:eastAsia="ja-JP"/>
              </w:rPr>
            </w:pPr>
            <w:r w:rsidRPr="00A75DF9">
              <w:rPr>
                <w:rFonts w:cs="Tahoma"/>
                <w:b/>
                <w:bCs/>
                <w:color w:val="000000"/>
                <w:szCs w:val="18"/>
              </w:rPr>
              <w:t>Windows Server</w:t>
            </w:r>
          </w:p>
        </w:tc>
        <w:tc>
          <w:tcPr>
            <w:tcW w:w="1848" w:type="dxa"/>
            <w:shd w:val="clear" w:color="auto" w:fill="FABF8F"/>
            <w:vAlign w:val="center"/>
          </w:tcPr>
          <w:p w:rsidR="00A13BC3" w:rsidRPr="00A75DF9" w:rsidRDefault="00A13BC3" w:rsidP="007E466C">
            <w:pPr>
              <w:spacing w:before="120" w:after="120" w:line="276" w:lineRule="auto"/>
              <w:jc w:val="center"/>
              <w:rPr>
                <w:rFonts w:cs="Tahoma"/>
                <w:color w:val="000000"/>
                <w:szCs w:val="18"/>
                <w:lang w:eastAsia="ja-JP"/>
              </w:rPr>
            </w:pPr>
            <w:r w:rsidRPr="00A75DF9">
              <w:rPr>
                <w:rFonts w:cs="Tahoma"/>
                <w:b/>
                <w:bCs/>
                <w:color w:val="000000"/>
                <w:szCs w:val="18"/>
              </w:rPr>
              <w:t>SQL Server</w:t>
            </w:r>
          </w:p>
        </w:tc>
        <w:tc>
          <w:tcPr>
            <w:tcW w:w="1774" w:type="dxa"/>
            <w:shd w:val="clear" w:color="auto" w:fill="FABF8F"/>
            <w:vAlign w:val="center"/>
          </w:tcPr>
          <w:p w:rsidR="00A13BC3" w:rsidRPr="00A75DF9" w:rsidRDefault="00A13BC3" w:rsidP="007E466C">
            <w:pPr>
              <w:spacing w:before="120" w:after="120" w:line="276" w:lineRule="auto"/>
              <w:jc w:val="center"/>
              <w:rPr>
                <w:rFonts w:cs="Tahoma"/>
                <w:b/>
                <w:bCs/>
                <w:color w:val="000000"/>
                <w:szCs w:val="18"/>
                <w:lang w:eastAsia="ja-JP"/>
              </w:rPr>
            </w:pPr>
            <w:r w:rsidRPr="00A75DF9">
              <w:rPr>
                <w:rFonts w:cs="Tahoma"/>
                <w:b/>
                <w:bCs/>
                <w:color w:val="000000"/>
                <w:szCs w:val="18"/>
              </w:rPr>
              <w:t>Exchange Server</w:t>
            </w:r>
          </w:p>
        </w:tc>
        <w:tc>
          <w:tcPr>
            <w:tcW w:w="1913" w:type="dxa"/>
            <w:shd w:val="clear" w:color="auto" w:fill="FABF8F"/>
            <w:vAlign w:val="center"/>
          </w:tcPr>
          <w:p w:rsidR="00A13BC3" w:rsidRPr="00A75DF9" w:rsidRDefault="00A13BC3" w:rsidP="007E466C">
            <w:pPr>
              <w:spacing w:before="120" w:after="120" w:line="276" w:lineRule="auto"/>
              <w:jc w:val="center"/>
              <w:rPr>
                <w:rFonts w:cs="Tahoma"/>
                <w:b/>
                <w:bCs/>
                <w:color w:val="000000"/>
                <w:szCs w:val="18"/>
                <w:lang w:eastAsia="ja-JP"/>
              </w:rPr>
            </w:pPr>
            <w:r w:rsidRPr="00A75DF9">
              <w:rPr>
                <w:rFonts w:cs="Tahoma"/>
                <w:b/>
                <w:bCs/>
                <w:color w:val="000000"/>
                <w:szCs w:val="18"/>
              </w:rPr>
              <w:t>SharePoint Server</w:t>
            </w:r>
          </w:p>
        </w:tc>
        <w:tc>
          <w:tcPr>
            <w:tcW w:w="1391" w:type="dxa"/>
            <w:shd w:val="clear" w:color="auto" w:fill="FABF8F"/>
            <w:vAlign w:val="center"/>
          </w:tcPr>
          <w:p w:rsidR="00A13BC3" w:rsidRPr="00A75DF9" w:rsidRDefault="00A13BC3" w:rsidP="007E466C">
            <w:pPr>
              <w:spacing w:before="120" w:after="120" w:line="276" w:lineRule="auto"/>
              <w:jc w:val="center"/>
              <w:rPr>
                <w:rFonts w:cs="Tahoma"/>
                <w:b/>
                <w:bCs/>
                <w:color w:val="000000"/>
                <w:szCs w:val="18"/>
                <w:lang w:eastAsia="ja-JP"/>
              </w:rPr>
            </w:pPr>
            <w:r w:rsidRPr="00A75DF9">
              <w:rPr>
                <w:rFonts w:cs="Tahoma"/>
                <w:b/>
                <w:bCs/>
                <w:color w:val="000000"/>
                <w:szCs w:val="18"/>
              </w:rPr>
              <w:t>Lync Server</w:t>
            </w:r>
          </w:p>
        </w:tc>
      </w:tr>
      <w:tr w:rsidR="00A13BC3" w:rsidRPr="00A75DF9" w:rsidTr="007E466C">
        <w:tc>
          <w:tcPr>
            <w:tcW w:w="1912" w:type="dxa"/>
          </w:tcPr>
          <w:p w:rsidR="00A13BC3" w:rsidRPr="00A75DF9" w:rsidRDefault="00A13BC3" w:rsidP="003479E5">
            <w:pPr>
              <w:spacing w:after="200" w:line="276" w:lineRule="auto"/>
              <w:jc w:val="center"/>
              <w:rPr>
                <w:rFonts w:cs="Tahoma"/>
                <w:color w:val="000000"/>
                <w:szCs w:val="18"/>
                <w:lang w:eastAsia="ja-JP"/>
              </w:rPr>
            </w:pPr>
            <w:r w:rsidRPr="00A75DF9">
              <w:rPr>
                <w:rFonts w:cs="Tahoma"/>
                <w:color w:val="000000"/>
                <w:szCs w:val="18"/>
              </w:rPr>
              <w:t>Windows Server Datacenter</w:t>
            </w:r>
          </w:p>
        </w:tc>
        <w:tc>
          <w:tcPr>
            <w:tcW w:w="1848" w:type="dxa"/>
          </w:tcPr>
          <w:p w:rsidR="00A13BC3" w:rsidRPr="00A75DF9" w:rsidRDefault="00A13BC3" w:rsidP="003479E5">
            <w:pPr>
              <w:spacing w:after="200" w:line="276" w:lineRule="auto"/>
              <w:jc w:val="center"/>
              <w:rPr>
                <w:rFonts w:cs="Tahoma"/>
                <w:color w:val="000000"/>
                <w:szCs w:val="18"/>
                <w:lang w:eastAsia="ja-JP"/>
              </w:rPr>
            </w:pPr>
            <w:r w:rsidRPr="00A75DF9">
              <w:rPr>
                <w:rFonts w:cs="Tahoma"/>
                <w:color w:val="000000"/>
                <w:szCs w:val="18"/>
              </w:rPr>
              <w:t xml:space="preserve">SQL Server Parallel Data Warehouse </w:t>
            </w:r>
          </w:p>
        </w:tc>
        <w:tc>
          <w:tcPr>
            <w:tcW w:w="1774" w:type="dxa"/>
          </w:tcPr>
          <w:p w:rsidR="00A13BC3" w:rsidRPr="00A75DF9" w:rsidRDefault="00A13BC3" w:rsidP="003479E5">
            <w:pPr>
              <w:spacing w:after="200" w:line="276" w:lineRule="auto"/>
              <w:jc w:val="center"/>
              <w:rPr>
                <w:rFonts w:cs="Tahoma"/>
                <w:color w:val="000000"/>
                <w:szCs w:val="18"/>
                <w:lang w:eastAsia="ja-JP"/>
              </w:rPr>
            </w:pPr>
            <w:r w:rsidRPr="00A75DF9">
              <w:rPr>
                <w:rFonts w:cs="Tahoma"/>
                <w:color w:val="000000"/>
                <w:szCs w:val="18"/>
              </w:rPr>
              <w:t>Exchange Small Business Server</w:t>
            </w:r>
          </w:p>
        </w:tc>
        <w:tc>
          <w:tcPr>
            <w:tcW w:w="1913" w:type="dxa"/>
          </w:tcPr>
          <w:p w:rsidR="00A13BC3" w:rsidRPr="00A75DF9" w:rsidRDefault="00A13BC3" w:rsidP="003479E5">
            <w:pPr>
              <w:spacing w:after="200" w:line="276" w:lineRule="auto"/>
              <w:jc w:val="center"/>
              <w:rPr>
                <w:rFonts w:cs="Tahoma"/>
                <w:color w:val="000000"/>
                <w:szCs w:val="18"/>
                <w:lang w:eastAsia="ja-JP"/>
              </w:rPr>
            </w:pPr>
            <w:r w:rsidRPr="00A75DF9">
              <w:rPr>
                <w:rFonts w:cs="Tahoma"/>
                <w:color w:val="000000"/>
                <w:szCs w:val="18"/>
              </w:rPr>
              <w:t>SharePoint for Internet Sites Server Enterprise</w:t>
            </w:r>
          </w:p>
        </w:tc>
        <w:tc>
          <w:tcPr>
            <w:tcW w:w="1391" w:type="dxa"/>
          </w:tcPr>
          <w:p w:rsidR="00A13BC3" w:rsidRPr="00A75DF9" w:rsidRDefault="00A13BC3" w:rsidP="003479E5">
            <w:pPr>
              <w:spacing w:after="200" w:line="276" w:lineRule="auto"/>
              <w:jc w:val="center"/>
              <w:rPr>
                <w:rFonts w:cs="Tahoma"/>
                <w:color w:val="000000"/>
                <w:szCs w:val="18"/>
                <w:lang w:eastAsia="ja-JP"/>
              </w:rPr>
            </w:pPr>
            <w:r w:rsidRPr="00A75DF9">
              <w:rPr>
                <w:rFonts w:cs="Tahoma"/>
                <w:color w:val="000000"/>
                <w:szCs w:val="18"/>
              </w:rPr>
              <w:t>Lync Server 2010 Enterprise Edition</w:t>
            </w:r>
          </w:p>
        </w:tc>
      </w:tr>
      <w:tr w:rsidR="00A13BC3" w:rsidRPr="00A75DF9" w:rsidTr="007E466C">
        <w:tc>
          <w:tcPr>
            <w:tcW w:w="1912" w:type="dxa"/>
          </w:tcPr>
          <w:p w:rsidR="00A13BC3" w:rsidRPr="00A75DF9" w:rsidRDefault="00A13BC3" w:rsidP="003479E5">
            <w:pPr>
              <w:spacing w:after="200" w:line="276" w:lineRule="auto"/>
              <w:jc w:val="center"/>
              <w:rPr>
                <w:rFonts w:cs="Tahoma"/>
                <w:szCs w:val="18"/>
              </w:rPr>
            </w:pPr>
            <w:r w:rsidRPr="00A75DF9">
              <w:rPr>
                <w:rFonts w:cs="Tahoma"/>
                <w:color w:val="000000"/>
                <w:szCs w:val="18"/>
              </w:rPr>
              <w:t>Windows Server Enterprise</w:t>
            </w:r>
          </w:p>
        </w:tc>
        <w:tc>
          <w:tcPr>
            <w:tcW w:w="1848" w:type="dxa"/>
          </w:tcPr>
          <w:p w:rsidR="00A13BC3" w:rsidRPr="00A75DF9" w:rsidRDefault="00A13BC3" w:rsidP="003479E5">
            <w:pPr>
              <w:spacing w:after="200" w:line="276" w:lineRule="auto"/>
              <w:jc w:val="center"/>
              <w:rPr>
                <w:rFonts w:cs="Tahoma"/>
                <w:szCs w:val="18"/>
                <w:lang w:eastAsia="ja-JP"/>
              </w:rPr>
            </w:pPr>
            <w:r w:rsidRPr="00A75DF9">
              <w:rPr>
                <w:rFonts w:cs="Tahoma"/>
                <w:color w:val="000000"/>
                <w:szCs w:val="18"/>
              </w:rPr>
              <w:t>SQL Server Datacenter</w:t>
            </w:r>
          </w:p>
        </w:tc>
        <w:tc>
          <w:tcPr>
            <w:tcW w:w="1774" w:type="dxa"/>
          </w:tcPr>
          <w:p w:rsidR="00A13BC3" w:rsidRPr="00A75DF9" w:rsidRDefault="00A13BC3" w:rsidP="003479E5">
            <w:pPr>
              <w:spacing w:after="200" w:line="276" w:lineRule="auto"/>
              <w:jc w:val="center"/>
              <w:rPr>
                <w:rFonts w:cs="Tahoma"/>
                <w:color w:val="000000"/>
                <w:szCs w:val="18"/>
                <w:lang w:eastAsia="ja-JP"/>
              </w:rPr>
            </w:pPr>
            <w:r w:rsidRPr="00A75DF9">
              <w:rPr>
                <w:rFonts w:cs="Tahoma"/>
                <w:color w:val="000000"/>
                <w:szCs w:val="18"/>
              </w:rPr>
              <w:t>Exchange Server Enterprise</w:t>
            </w:r>
          </w:p>
        </w:tc>
        <w:tc>
          <w:tcPr>
            <w:tcW w:w="1913" w:type="dxa"/>
          </w:tcPr>
          <w:p w:rsidR="00A13BC3" w:rsidRPr="00A75DF9" w:rsidRDefault="00A13BC3" w:rsidP="003479E5">
            <w:pPr>
              <w:spacing w:after="200" w:line="276" w:lineRule="auto"/>
              <w:jc w:val="center"/>
              <w:rPr>
                <w:rFonts w:cs="Tahoma"/>
                <w:color w:val="000000"/>
                <w:szCs w:val="18"/>
                <w:lang w:eastAsia="ja-JP"/>
              </w:rPr>
            </w:pPr>
            <w:r w:rsidRPr="00A75DF9">
              <w:rPr>
                <w:rFonts w:cs="Tahoma"/>
                <w:color w:val="000000"/>
                <w:szCs w:val="18"/>
              </w:rPr>
              <w:t>SharePoint for Internet Sites Server Standard</w:t>
            </w:r>
          </w:p>
        </w:tc>
        <w:tc>
          <w:tcPr>
            <w:tcW w:w="1391" w:type="dxa"/>
          </w:tcPr>
          <w:p w:rsidR="00A13BC3" w:rsidRPr="00A75DF9" w:rsidRDefault="00A13BC3" w:rsidP="003479E5">
            <w:pPr>
              <w:spacing w:after="200" w:line="276" w:lineRule="auto"/>
              <w:jc w:val="center"/>
              <w:rPr>
                <w:rFonts w:cs="Tahoma"/>
                <w:color w:val="000000"/>
                <w:szCs w:val="18"/>
                <w:lang w:eastAsia="ja-JP"/>
              </w:rPr>
            </w:pPr>
            <w:r w:rsidRPr="00A75DF9">
              <w:rPr>
                <w:rFonts w:cs="Tahoma"/>
                <w:color w:val="000000"/>
                <w:szCs w:val="18"/>
              </w:rPr>
              <w:t>Lync Server 2010 Standard Edition</w:t>
            </w:r>
          </w:p>
        </w:tc>
      </w:tr>
      <w:tr w:rsidR="00A13BC3" w:rsidRPr="00A75DF9" w:rsidTr="007E466C">
        <w:tc>
          <w:tcPr>
            <w:tcW w:w="1912" w:type="dxa"/>
          </w:tcPr>
          <w:p w:rsidR="00A13BC3" w:rsidRPr="00A75DF9" w:rsidRDefault="00A13BC3" w:rsidP="003479E5">
            <w:pPr>
              <w:spacing w:after="200" w:line="276" w:lineRule="auto"/>
              <w:jc w:val="center"/>
              <w:rPr>
                <w:rFonts w:cs="Tahoma"/>
                <w:szCs w:val="18"/>
                <w:lang w:eastAsia="ja-JP"/>
              </w:rPr>
            </w:pPr>
            <w:r w:rsidRPr="00A75DF9">
              <w:rPr>
                <w:rFonts w:cs="Tahoma"/>
                <w:color w:val="000000"/>
                <w:szCs w:val="18"/>
              </w:rPr>
              <w:t>Windows Server Standard</w:t>
            </w:r>
          </w:p>
        </w:tc>
        <w:tc>
          <w:tcPr>
            <w:tcW w:w="1848" w:type="dxa"/>
          </w:tcPr>
          <w:p w:rsidR="00A13BC3" w:rsidRPr="00A75DF9" w:rsidRDefault="00A13BC3" w:rsidP="003479E5">
            <w:pPr>
              <w:spacing w:after="200" w:line="276" w:lineRule="auto"/>
              <w:jc w:val="center"/>
              <w:rPr>
                <w:rFonts w:cs="Tahoma"/>
                <w:szCs w:val="18"/>
                <w:lang w:eastAsia="ja-JP"/>
              </w:rPr>
            </w:pPr>
            <w:r w:rsidRPr="00A75DF9">
              <w:rPr>
                <w:rFonts w:cs="Tahoma"/>
                <w:szCs w:val="18"/>
              </w:rPr>
              <w:t>SQL Server Enterprise</w:t>
            </w:r>
          </w:p>
        </w:tc>
        <w:tc>
          <w:tcPr>
            <w:tcW w:w="1774" w:type="dxa"/>
          </w:tcPr>
          <w:p w:rsidR="00A13BC3" w:rsidRPr="00A75DF9" w:rsidRDefault="00A13BC3" w:rsidP="003479E5">
            <w:pPr>
              <w:spacing w:after="200" w:line="276" w:lineRule="auto"/>
              <w:jc w:val="center"/>
              <w:rPr>
                <w:rFonts w:cs="Tahoma"/>
                <w:color w:val="000000"/>
                <w:szCs w:val="18"/>
                <w:lang w:eastAsia="ja-JP"/>
              </w:rPr>
            </w:pPr>
            <w:r w:rsidRPr="00A75DF9">
              <w:rPr>
                <w:rFonts w:cs="Tahoma"/>
                <w:color w:val="000000"/>
                <w:szCs w:val="18"/>
              </w:rPr>
              <w:t>Exchange Server Standard</w:t>
            </w:r>
          </w:p>
        </w:tc>
        <w:tc>
          <w:tcPr>
            <w:tcW w:w="1913" w:type="dxa"/>
          </w:tcPr>
          <w:p w:rsidR="00A13BC3" w:rsidRPr="00A75DF9" w:rsidRDefault="00A13BC3" w:rsidP="003479E5">
            <w:pPr>
              <w:spacing w:after="200" w:line="276" w:lineRule="auto"/>
              <w:jc w:val="center"/>
              <w:rPr>
                <w:rFonts w:cs="Tahoma"/>
                <w:color w:val="000000"/>
                <w:szCs w:val="18"/>
                <w:lang w:eastAsia="ja-JP"/>
              </w:rPr>
            </w:pPr>
            <w:r w:rsidRPr="00A75DF9">
              <w:rPr>
                <w:rFonts w:cs="Tahoma"/>
                <w:color w:val="000000"/>
                <w:szCs w:val="18"/>
              </w:rPr>
              <w:t>SharePoint Server</w:t>
            </w:r>
          </w:p>
        </w:tc>
        <w:tc>
          <w:tcPr>
            <w:tcW w:w="1391" w:type="dxa"/>
          </w:tcPr>
          <w:p w:rsidR="00A13BC3" w:rsidRPr="00A75DF9" w:rsidRDefault="00A13BC3" w:rsidP="003479E5">
            <w:pPr>
              <w:spacing w:after="200" w:line="276" w:lineRule="auto"/>
              <w:jc w:val="center"/>
              <w:rPr>
                <w:rFonts w:cs="Tahoma"/>
                <w:color w:val="000000"/>
                <w:szCs w:val="18"/>
                <w:lang w:eastAsia="ja-JP"/>
              </w:rPr>
            </w:pPr>
          </w:p>
        </w:tc>
      </w:tr>
      <w:tr w:rsidR="00A13BC3" w:rsidRPr="00A75DF9" w:rsidTr="007E466C">
        <w:tc>
          <w:tcPr>
            <w:tcW w:w="1912" w:type="dxa"/>
          </w:tcPr>
          <w:p w:rsidR="00A13BC3" w:rsidRPr="00A75DF9" w:rsidRDefault="00A13BC3" w:rsidP="003479E5">
            <w:pPr>
              <w:spacing w:after="200" w:line="276" w:lineRule="auto"/>
              <w:jc w:val="center"/>
              <w:rPr>
                <w:rFonts w:cs="Tahoma"/>
                <w:szCs w:val="18"/>
                <w:lang w:eastAsia="ja-JP"/>
              </w:rPr>
            </w:pPr>
            <w:r w:rsidRPr="00A75DF9">
              <w:rPr>
                <w:rFonts w:cs="Tahoma"/>
                <w:szCs w:val="18"/>
              </w:rPr>
              <w:t>Premium Add-on per Windows Small Business Server</w:t>
            </w:r>
          </w:p>
        </w:tc>
        <w:tc>
          <w:tcPr>
            <w:tcW w:w="1848" w:type="dxa"/>
          </w:tcPr>
          <w:p w:rsidR="00A13BC3" w:rsidRPr="00A75DF9" w:rsidRDefault="00A13BC3" w:rsidP="003479E5">
            <w:pPr>
              <w:spacing w:after="200" w:line="276" w:lineRule="auto"/>
              <w:jc w:val="center"/>
              <w:rPr>
                <w:rFonts w:cs="Tahoma"/>
                <w:szCs w:val="18"/>
                <w:lang w:eastAsia="ja-JP"/>
              </w:rPr>
            </w:pPr>
            <w:r w:rsidRPr="00A75DF9">
              <w:rPr>
                <w:rFonts w:cs="Tahoma"/>
                <w:szCs w:val="18"/>
              </w:rPr>
              <w:t>SQL Server Standard</w:t>
            </w:r>
          </w:p>
        </w:tc>
        <w:tc>
          <w:tcPr>
            <w:tcW w:w="1774" w:type="dxa"/>
          </w:tcPr>
          <w:p w:rsidR="00A13BC3" w:rsidRPr="00A75DF9" w:rsidRDefault="00A13BC3" w:rsidP="003479E5">
            <w:pPr>
              <w:spacing w:after="200" w:line="276" w:lineRule="auto"/>
              <w:jc w:val="center"/>
              <w:rPr>
                <w:rFonts w:cs="Tahoma"/>
                <w:szCs w:val="18"/>
                <w:lang w:eastAsia="ja-JP"/>
              </w:rPr>
            </w:pPr>
          </w:p>
        </w:tc>
        <w:tc>
          <w:tcPr>
            <w:tcW w:w="1913" w:type="dxa"/>
          </w:tcPr>
          <w:p w:rsidR="00A13BC3" w:rsidRPr="00A75DF9" w:rsidRDefault="00A13BC3" w:rsidP="003479E5">
            <w:pPr>
              <w:spacing w:after="200" w:line="276" w:lineRule="auto"/>
              <w:jc w:val="center"/>
              <w:rPr>
                <w:rFonts w:cs="Tahoma"/>
                <w:szCs w:val="18"/>
                <w:lang w:eastAsia="ja-JP"/>
              </w:rPr>
            </w:pPr>
          </w:p>
        </w:tc>
        <w:tc>
          <w:tcPr>
            <w:tcW w:w="1391" w:type="dxa"/>
          </w:tcPr>
          <w:p w:rsidR="00A13BC3" w:rsidRPr="00A75DF9" w:rsidRDefault="00A13BC3" w:rsidP="003479E5">
            <w:pPr>
              <w:spacing w:after="200" w:line="276" w:lineRule="auto"/>
              <w:jc w:val="center"/>
              <w:rPr>
                <w:rFonts w:cs="Tahoma"/>
                <w:szCs w:val="18"/>
                <w:lang w:eastAsia="ja-JP"/>
              </w:rPr>
            </w:pPr>
          </w:p>
        </w:tc>
      </w:tr>
      <w:tr w:rsidR="00A13BC3" w:rsidRPr="00A75DF9" w:rsidTr="007E466C">
        <w:tc>
          <w:tcPr>
            <w:tcW w:w="1912" w:type="dxa"/>
          </w:tcPr>
          <w:p w:rsidR="00A13BC3" w:rsidRPr="00A75DF9" w:rsidRDefault="00A13BC3" w:rsidP="003479E5">
            <w:pPr>
              <w:spacing w:after="200" w:line="276" w:lineRule="auto"/>
              <w:jc w:val="center"/>
              <w:rPr>
                <w:rFonts w:cs="Tahoma"/>
                <w:szCs w:val="18"/>
                <w:lang w:eastAsia="ja-JP"/>
              </w:rPr>
            </w:pPr>
            <w:r w:rsidRPr="00A75DF9">
              <w:rPr>
                <w:rFonts w:cs="Tahoma"/>
                <w:szCs w:val="18"/>
              </w:rPr>
              <w:t>Windows Small Business Server Standard</w:t>
            </w:r>
          </w:p>
        </w:tc>
        <w:tc>
          <w:tcPr>
            <w:tcW w:w="1848" w:type="dxa"/>
          </w:tcPr>
          <w:p w:rsidR="00A13BC3" w:rsidRPr="00A75DF9" w:rsidRDefault="00A13BC3" w:rsidP="003479E5">
            <w:pPr>
              <w:spacing w:after="200" w:line="276" w:lineRule="auto"/>
              <w:jc w:val="center"/>
              <w:rPr>
                <w:rFonts w:cs="Tahoma"/>
                <w:szCs w:val="18"/>
                <w:lang w:eastAsia="ja-JP"/>
              </w:rPr>
            </w:pPr>
            <w:r w:rsidRPr="00A75DF9">
              <w:rPr>
                <w:rFonts w:cs="Tahoma"/>
                <w:szCs w:val="18"/>
              </w:rPr>
              <w:t>SQL Server Workgroup</w:t>
            </w:r>
          </w:p>
        </w:tc>
        <w:tc>
          <w:tcPr>
            <w:tcW w:w="1774" w:type="dxa"/>
          </w:tcPr>
          <w:p w:rsidR="00A13BC3" w:rsidRPr="00A75DF9" w:rsidRDefault="00A13BC3" w:rsidP="003479E5">
            <w:pPr>
              <w:spacing w:after="200" w:line="276" w:lineRule="auto"/>
              <w:jc w:val="center"/>
              <w:rPr>
                <w:rFonts w:cs="Tahoma"/>
                <w:szCs w:val="18"/>
                <w:lang w:eastAsia="ja-JP"/>
              </w:rPr>
            </w:pPr>
          </w:p>
        </w:tc>
        <w:tc>
          <w:tcPr>
            <w:tcW w:w="1913" w:type="dxa"/>
          </w:tcPr>
          <w:p w:rsidR="00A13BC3" w:rsidRPr="00A75DF9" w:rsidRDefault="00A13BC3" w:rsidP="003479E5">
            <w:pPr>
              <w:spacing w:after="200" w:line="276" w:lineRule="auto"/>
              <w:jc w:val="center"/>
              <w:rPr>
                <w:rFonts w:cs="Tahoma"/>
                <w:szCs w:val="18"/>
                <w:lang w:eastAsia="ja-JP"/>
              </w:rPr>
            </w:pPr>
          </w:p>
        </w:tc>
        <w:tc>
          <w:tcPr>
            <w:tcW w:w="1391" w:type="dxa"/>
          </w:tcPr>
          <w:p w:rsidR="00A13BC3" w:rsidRPr="00A75DF9" w:rsidRDefault="00A13BC3" w:rsidP="003479E5">
            <w:pPr>
              <w:spacing w:after="200" w:line="276" w:lineRule="auto"/>
              <w:jc w:val="center"/>
              <w:rPr>
                <w:rFonts w:cs="Tahoma"/>
                <w:szCs w:val="18"/>
                <w:lang w:eastAsia="ja-JP"/>
              </w:rPr>
            </w:pPr>
          </w:p>
        </w:tc>
      </w:tr>
      <w:tr w:rsidR="00A13BC3" w:rsidRPr="00A75DF9" w:rsidTr="007E466C">
        <w:tc>
          <w:tcPr>
            <w:tcW w:w="1912" w:type="dxa"/>
          </w:tcPr>
          <w:p w:rsidR="00A13BC3" w:rsidRPr="00A75DF9" w:rsidRDefault="00A13BC3" w:rsidP="003479E5">
            <w:pPr>
              <w:spacing w:after="200" w:line="276" w:lineRule="auto"/>
              <w:jc w:val="center"/>
              <w:rPr>
                <w:rFonts w:cs="Tahoma"/>
                <w:szCs w:val="18"/>
                <w:lang w:eastAsia="ja-JP"/>
              </w:rPr>
            </w:pPr>
            <w:r w:rsidRPr="00A75DF9">
              <w:rPr>
                <w:rFonts w:cs="Tahoma"/>
                <w:szCs w:val="18"/>
              </w:rPr>
              <w:t>Windows Small Business Server Essentials</w:t>
            </w:r>
          </w:p>
        </w:tc>
        <w:tc>
          <w:tcPr>
            <w:tcW w:w="1848" w:type="dxa"/>
          </w:tcPr>
          <w:p w:rsidR="00A13BC3" w:rsidRPr="00A75DF9" w:rsidRDefault="00A13BC3" w:rsidP="003479E5">
            <w:pPr>
              <w:spacing w:after="200" w:line="276" w:lineRule="auto"/>
              <w:jc w:val="center"/>
              <w:rPr>
                <w:rFonts w:cs="Tahoma"/>
                <w:szCs w:val="18"/>
                <w:lang w:eastAsia="ja-JP"/>
              </w:rPr>
            </w:pPr>
            <w:r w:rsidRPr="00A75DF9">
              <w:rPr>
                <w:rFonts w:cs="Tahoma"/>
                <w:szCs w:val="18"/>
              </w:rPr>
              <w:t>SQL Server Small Business</w:t>
            </w:r>
          </w:p>
        </w:tc>
        <w:tc>
          <w:tcPr>
            <w:tcW w:w="1774" w:type="dxa"/>
          </w:tcPr>
          <w:p w:rsidR="00A13BC3" w:rsidRPr="00A75DF9" w:rsidRDefault="00A13BC3" w:rsidP="003479E5">
            <w:pPr>
              <w:spacing w:after="200" w:line="276" w:lineRule="auto"/>
              <w:jc w:val="center"/>
              <w:rPr>
                <w:rFonts w:cs="Tahoma"/>
                <w:szCs w:val="18"/>
                <w:lang w:eastAsia="ja-JP"/>
              </w:rPr>
            </w:pPr>
          </w:p>
        </w:tc>
        <w:tc>
          <w:tcPr>
            <w:tcW w:w="1913" w:type="dxa"/>
          </w:tcPr>
          <w:p w:rsidR="00A13BC3" w:rsidRPr="00A75DF9" w:rsidRDefault="00A13BC3" w:rsidP="003479E5">
            <w:pPr>
              <w:spacing w:after="200" w:line="276" w:lineRule="auto"/>
              <w:jc w:val="center"/>
              <w:rPr>
                <w:rFonts w:cs="Tahoma"/>
                <w:szCs w:val="18"/>
                <w:lang w:eastAsia="ja-JP"/>
              </w:rPr>
            </w:pPr>
          </w:p>
        </w:tc>
        <w:tc>
          <w:tcPr>
            <w:tcW w:w="1391" w:type="dxa"/>
          </w:tcPr>
          <w:p w:rsidR="00A13BC3" w:rsidRPr="00A75DF9" w:rsidRDefault="00A13BC3" w:rsidP="003479E5">
            <w:pPr>
              <w:spacing w:after="200" w:line="276" w:lineRule="auto"/>
              <w:jc w:val="center"/>
              <w:rPr>
                <w:rFonts w:cs="Tahoma"/>
                <w:szCs w:val="18"/>
                <w:lang w:eastAsia="ja-JP"/>
              </w:rPr>
            </w:pPr>
          </w:p>
        </w:tc>
      </w:tr>
      <w:tr w:rsidR="00A13BC3" w:rsidRPr="00A75DF9" w:rsidTr="007E466C">
        <w:tc>
          <w:tcPr>
            <w:tcW w:w="1912" w:type="dxa"/>
          </w:tcPr>
          <w:p w:rsidR="00A13BC3" w:rsidRPr="00A75DF9" w:rsidRDefault="00A13BC3" w:rsidP="003479E5">
            <w:pPr>
              <w:spacing w:after="200" w:line="276" w:lineRule="auto"/>
              <w:jc w:val="center"/>
              <w:rPr>
                <w:rFonts w:cs="Tahoma"/>
                <w:szCs w:val="18"/>
                <w:lang w:eastAsia="ja-JP"/>
              </w:rPr>
            </w:pPr>
            <w:r w:rsidRPr="00A75DF9">
              <w:rPr>
                <w:rFonts w:cs="Tahoma"/>
                <w:szCs w:val="18"/>
              </w:rPr>
              <w:t>Windows Web Server</w:t>
            </w:r>
          </w:p>
        </w:tc>
        <w:tc>
          <w:tcPr>
            <w:tcW w:w="1848" w:type="dxa"/>
          </w:tcPr>
          <w:p w:rsidR="00A13BC3" w:rsidRPr="00A75DF9" w:rsidRDefault="00A13BC3" w:rsidP="003479E5">
            <w:pPr>
              <w:spacing w:after="200" w:line="276" w:lineRule="auto"/>
              <w:jc w:val="center"/>
              <w:rPr>
                <w:rFonts w:cs="Tahoma"/>
                <w:szCs w:val="18"/>
                <w:lang w:eastAsia="ja-JP"/>
              </w:rPr>
            </w:pPr>
            <w:r w:rsidRPr="00A75DF9">
              <w:rPr>
                <w:rFonts w:cs="Tahoma"/>
                <w:szCs w:val="18"/>
              </w:rPr>
              <w:t>SQL Server Web</w:t>
            </w:r>
          </w:p>
        </w:tc>
        <w:tc>
          <w:tcPr>
            <w:tcW w:w="1774" w:type="dxa"/>
          </w:tcPr>
          <w:p w:rsidR="00A13BC3" w:rsidRPr="00A75DF9" w:rsidRDefault="00A13BC3" w:rsidP="003479E5">
            <w:pPr>
              <w:spacing w:after="200" w:line="276" w:lineRule="auto"/>
              <w:jc w:val="center"/>
              <w:rPr>
                <w:rFonts w:cs="Tahoma"/>
                <w:szCs w:val="18"/>
                <w:lang w:eastAsia="ja-JP"/>
              </w:rPr>
            </w:pPr>
          </w:p>
        </w:tc>
        <w:tc>
          <w:tcPr>
            <w:tcW w:w="1913" w:type="dxa"/>
          </w:tcPr>
          <w:p w:rsidR="00A13BC3" w:rsidRPr="00A75DF9" w:rsidRDefault="00A13BC3" w:rsidP="003479E5">
            <w:pPr>
              <w:spacing w:after="200" w:line="276" w:lineRule="auto"/>
              <w:jc w:val="center"/>
              <w:rPr>
                <w:rFonts w:cs="Tahoma"/>
                <w:szCs w:val="18"/>
                <w:lang w:eastAsia="ja-JP"/>
              </w:rPr>
            </w:pPr>
          </w:p>
        </w:tc>
        <w:tc>
          <w:tcPr>
            <w:tcW w:w="1391" w:type="dxa"/>
          </w:tcPr>
          <w:p w:rsidR="00A13BC3" w:rsidRPr="00A75DF9" w:rsidRDefault="00A13BC3" w:rsidP="003479E5">
            <w:pPr>
              <w:spacing w:after="200" w:line="276" w:lineRule="auto"/>
              <w:jc w:val="center"/>
              <w:rPr>
                <w:rFonts w:cs="Tahoma"/>
                <w:szCs w:val="18"/>
                <w:lang w:eastAsia="ja-JP"/>
              </w:rPr>
            </w:pPr>
          </w:p>
        </w:tc>
      </w:tr>
      <w:tr w:rsidR="00A13BC3" w:rsidRPr="00A75DF9" w:rsidTr="007E466C">
        <w:tc>
          <w:tcPr>
            <w:tcW w:w="1912" w:type="dxa"/>
          </w:tcPr>
          <w:p w:rsidR="00A13BC3" w:rsidRPr="00A75DF9" w:rsidRDefault="00A13BC3" w:rsidP="003479E5">
            <w:pPr>
              <w:spacing w:after="200" w:line="276" w:lineRule="auto"/>
              <w:jc w:val="center"/>
              <w:rPr>
                <w:rFonts w:cs="Tahoma"/>
                <w:szCs w:val="18"/>
                <w:lang w:eastAsia="ja-JP"/>
              </w:rPr>
            </w:pPr>
            <w:r w:rsidRPr="00A75DF9">
              <w:rPr>
                <w:rFonts w:cs="Tahoma"/>
                <w:szCs w:val="18"/>
              </w:rPr>
              <w:t>Windows HPC Server Suite</w:t>
            </w:r>
          </w:p>
        </w:tc>
        <w:tc>
          <w:tcPr>
            <w:tcW w:w="1848" w:type="dxa"/>
          </w:tcPr>
          <w:p w:rsidR="00A13BC3" w:rsidRPr="00A75DF9" w:rsidRDefault="00A13BC3" w:rsidP="003479E5">
            <w:pPr>
              <w:spacing w:after="200" w:line="276" w:lineRule="auto"/>
              <w:jc w:val="center"/>
              <w:rPr>
                <w:rFonts w:cs="Tahoma"/>
                <w:szCs w:val="18"/>
                <w:lang w:eastAsia="ja-JP"/>
              </w:rPr>
            </w:pPr>
            <w:r w:rsidRPr="00A75DF9">
              <w:rPr>
                <w:rFonts w:cs="Tahoma"/>
                <w:szCs w:val="18"/>
              </w:rPr>
              <w:t>SQL Server Developer</w:t>
            </w:r>
          </w:p>
        </w:tc>
        <w:tc>
          <w:tcPr>
            <w:tcW w:w="1774" w:type="dxa"/>
          </w:tcPr>
          <w:p w:rsidR="00A13BC3" w:rsidRPr="00A75DF9" w:rsidRDefault="00A13BC3" w:rsidP="003479E5">
            <w:pPr>
              <w:spacing w:after="200" w:line="276" w:lineRule="auto"/>
              <w:jc w:val="center"/>
              <w:rPr>
                <w:rFonts w:cs="Tahoma"/>
                <w:szCs w:val="18"/>
                <w:lang w:eastAsia="ja-JP"/>
              </w:rPr>
            </w:pPr>
          </w:p>
        </w:tc>
        <w:tc>
          <w:tcPr>
            <w:tcW w:w="1913" w:type="dxa"/>
          </w:tcPr>
          <w:p w:rsidR="00A13BC3" w:rsidRPr="00A75DF9" w:rsidRDefault="00A13BC3" w:rsidP="003479E5">
            <w:pPr>
              <w:spacing w:after="200" w:line="276" w:lineRule="auto"/>
              <w:jc w:val="center"/>
              <w:rPr>
                <w:rFonts w:cs="Tahoma"/>
                <w:szCs w:val="18"/>
                <w:lang w:eastAsia="ja-JP"/>
              </w:rPr>
            </w:pPr>
          </w:p>
        </w:tc>
        <w:tc>
          <w:tcPr>
            <w:tcW w:w="1391" w:type="dxa"/>
          </w:tcPr>
          <w:p w:rsidR="00A13BC3" w:rsidRPr="00A75DF9" w:rsidRDefault="00A13BC3" w:rsidP="003479E5">
            <w:pPr>
              <w:spacing w:after="200" w:line="276" w:lineRule="auto"/>
              <w:jc w:val="center"/>
              <w:rPr>
                <w:rFonts w:cs="Tahoma"/>
                <w:szCs w:val="18"/>
                <w:lang w:eastAsia="ja-JP"/>
              </w:rPr>
            </w:pPr>
          </w:p>
        </w:tc>
      </w:tr>
      <w:tr w:rsidR="00A13BC3" w:rsidRPr="00A75DF9" w:rsidTr="007E466C">
        <w:tc>
          <w:tcPr>
            <w:tcW w:w="1912" w:type="dxa"/>
          </w:tcPr>
          <w:p w:rsidR="00A13BC3" w:rsidRPr="00A75DF9" w:rsidRDefault="00A13BC3" w:rsidP="00894563">
            <w:pPr>
              <w:spacing w:after="200" w:line="276" w:lineRule="auto"/>
              <w:jc w:val="center"/>
              <w:rPr>
                <w:rFonts w:cs="Tahoma"/>
                <w:szCs w:val="18"/>
                <w:lang w:eastAsia="ja-JP"/>
              </w:rPr>
            </w:pPr>
            <w:r w:rsidRPr="00A75DF9">
              <w:rPr>
                <w:rFonts w:cs="Tahoma"/>
                <w:szCs w:val="18"/>
              </w:rPr>
              <w:t>Windows Server HPC Edition</w:t>
            </w:r>
          </w:p>
        </w:tc>
        <w:tc>
          <w:tcPr>
            <w:tcW w:w="1848" w:type="dxa"/>
          </w:tcPr>
          <w:p w:rsidR="00A13BC3" w:rsidRPr="00A75DF9" w:rsidRDefault="00A13BC3" w:rsidP="003479E5">
            <w:pPr>
              <w:spacing w:after="200" w:line="276" w:lineRule="auto"/>
              <w:jc w:val="center"/>
              <w:rPr>
                <w:rFonts w:cs="Tahoma"/>
                <w:szCs w:val="18"/>
                <w:lang w:eastAsia="ja-JP"/>
              </w:rPr>
            </w:pPr>
            <w:r w:rsidRPr="00A75DF9">
              <w:rPr>
                <w:rFonts w:cs="Tahoma"/>
                <w:szCs w:val="18"/>
              </w:rPr>
              <w:t>SQL Server Business Intelligence</w:t>
            </w:r>
          </w:p>
        </w:tc>
        <w:tc>
          <w:tcPr>
            <w:tcW w:w="1774" w:type="dxa"/>
          </w:tcPr>
          <w:p w:rsidR="00A13BC3" w:rsidRPr="00A75DF9" w:rsidRDefault="00A13BC3" w:rsidP="003479E5">
            <w:pPr>
              <w:spacing w:after="200" w:line="276" w:lineRule="auto"/>
              <w:jc w:val="center"/>
              <w:rPr>
                <w:rFonts w:cs="Tahoma"/>
                <w:szCs w:val="18"/>
                <w:lang w:eastAsia="ja-JP"/>
              </w:rPr>
            </w:pPr>
          </w:p>
        </w:tc>
        <w:tc>
          <w:tcPr>
            <w:tcW w:w="1913" w:type="dxa"/>
          </w:tcPr>
          <w:p w:rsidR="00A13BC3" w:rsidRPr="00A75DF9" w:rsidRDefault="00A13BC3" w:rsidP="003479E5">
            <w:pPr>
              <w:spacing w:after="200" w:line="276" w:lineRule="auto"/>
              <w:jc w:val="center"/>
              <w:rPr>
                <w:rFonts w:cs="Tahoma"/>
                <w:szCs w:val="18"/>
                <w:lang w:eastAsia="ja-JP"/>
              </w:rPr>
            </w:pPr>
          </w:p>
        </w:tc>
        <w:tc>
          <w:tcPr>
            <w:tcW w:w="1391" w:type="dxa"/>
          </w:tcPr>
          <w:p w:rsidR="00A13BC3" w:rsidRPr="00A75DF9" w:rsidRDefault="00A13BC3" w:rsidP="003479E5">
            <w:pPr>
              <w:spacing w:after="200" w:line="276" w:lineRule="auto"/>
              <w:jc w:val="center"/>
              <w:rPr>
                <w:rFonts w:cs="Tahoma"/>
                <w:szCs w:val="18"/>
                <w:lang w:eastAsia="ja-JP"/>
              </w:rPr>
            </w:pPr>
          </w:p>
        </w:tc>
      </w:tr>
      <w:tr w:rsidR="00A13BC3" w:rsidRPr="00A75DF9" w:rsidTr="007E466C">
        <w:tc>
          <w:tcPr>
            <w:tcW w:w="1912" w:type="dxa"/>
          </w:tcPr>
          <w:p w:rsidR="00A13BC3" w:rsidRPr="00A75DF9" w:rsidRDefault="00A13BC3" w:rsidP="003479E5">
            <w:pPr>
              <w:spacing w:after="200" w:line="276" w:lineRule="auto"/>
              <w:jc w:val="center"/>
              <w:rPr>
                <w:rFonts w:cs="Tahoma"/>
                <w:szCs w:val="18"/>
                <w:lang w:eastAsia="ja-JP"/>
              </w:rPr>
            </w:pPr>
            <w:r w:rsidRPr="00A75DF9">
              <w:rPr>
                <w:rFonts w:cs="Tahoma"/>
                <w:szCs w:val="18"/>
              </w:rPr>
              <w:t xml:space="preserve">Core Infrastructure Server Suite Datacenter </w:t>
            </w:r>
          </w:p>
        </w:tc>
        <w:tc>
          <w:tcPr>
            <w:tcW w:w="1848" w:type="dxa"/>
          </w:tcPr>
          <w:p w:rsidR="00A13BC3" w:rsidRPr="00A75DF9" w:rsidRDefault="00A13BC3" w:rsidP="003479E5">
            <w:pPr>
              <w:spacing w:after="200" w:line="276" w:lineRule="auto"/>
              <w:jc w:val="center"/>
              <w:rPr>
                <w:rFonts w:cs="Tahoma"/>
                <w:szCs w:val="18"/>
              </w:rPr>
            </w:pPr>
          </w:p>
        </w:tc>
        <w:tc>
          <w:tcPr>
            <w:tcW w:w="1774" w:type="dxa"/>
          </w:tcPr>
          <w:p w:rsidR="00A13BC3" w:rsidRPr="00A75DF9" w:rsidRDefault="00A13BC3" w:rsidP="003479E5">
            <w:pPr>
              <w:spacing w:after="200" w:line="276" w:lineRule="auto"/>
              <w:jc w:val="center"/>
              <w:rPr>
                <w:rFonts w:cs="Tahoma"/>
                <w:szCs w:val="18"/>
              </w:rPr>
            </w:pPr>
          </w:p>
        </w:tc>
        <w:tc>
          <w:tcPr>
            <w:tcW w:w="1913" w:type="dxa"/>
          </w:tcPr>
          <w:p w:rsidR="00A13BC3" w:rsidRPr="00A75DF9" w:rsidRDefault="00A13BC3" w:rsidP="003479E5">
            <w:pPr>
              <w:spacing w:after="200" w:line="276" w:lineRule="auto"/>
              <w:jc w:val="center"/>
              <w:rPr>
                <w:rFonts w:cs="Tahoma"/>
                <w:szCs w:val="18"/>
              </w:rPr>
            </w:pPr>
          </w:p>
        </w:tc>
        <w:tc>
          <w:tcPr>
            <w:tcW w:w="1391" w:type="dxa"/>
          </w:tcPr>
          <w:p w:rsidR="00A13BC3" w:rsidRPr="00A75DF9" w:rsidRDefault="00A13BC3" w:rsidP="003479E5">
            <w:pPr>
              <w:spacing w:after="200" w:line="276" w:lineRule="auto"/>
              <w:jc w:val="center"/>
              <w:rPr>
                <w:rFonts w:cs="Tahoma"/>
                <w:szCs w:val="18"/>
              </w:rPr>
            </w:pPr>
          </w:p>
        </w:tc>
      </w:tr>
      <w:tr w:rsidR="00A13BC3" w:rsidRPr="00A75DF9" w:rsidTr="004B42EB">
        <w:trPr>
          <w:cantSplit/>
        </w:trPr>
        <w:tc>
          <w:tcPr>
            <w:tcW w:w="1912" w:type="dxa"/>
          </w:tcPr>
          <w:p w:rsidR="00A13BC3" w:rsidRPr="00A75DF9" w:rsidRDefault="00A13BC3" w:rsidP="003479E5">
            <w:pPr>
              <w:spacing w:after="200" w:line="276" w:lineRule="auto"/>
              <w:jc w:val="center"/>
              <w:rPr>
                <w:rFonts w:cs="Tahoma"/>
                <w:szCs w:val="18"/>
                <w:lang w:eastAsia="ja-JP"/>
              </w:rPr>
            </w:pPr>
            <w:r w:rsidRPr="00A75DF9">
              <w:rPr>
                <w:rFonts w:cs="Tahoma"/>
                <w:szCs w:val="18"/>
              </w:rPr>
              <w:t>Core Infrastructure Server Suite Enterprise</w:t>
            </w:r>
          </w:p>
        </w:tc>
        <w:tc>
          <w:tcPr>
            <w:tcW w:w="1848" w:type="dxa"/>
          </w:tcPr>
          <w:p w:rsidR="00A13BC3" w:rsidRPr="00A75DF9" w:rsidRDefault="00A13BC3" w:rsidP="003479E5">
            <w:pPr>
              <w:spacing w:after="200" w:line="276" w:lineRule="auto"/>
              <w:jc w:val="center"/>
              <w:rPr>
                <w:rFonts w:cs="Tahoma"/>
                <w:szCs w:val="18"/>
              </w:rPr>
            </w:pPr>
          </w:p>
        </w:tc>
        <w:tc>
          <w:tcPr>
            <w:tcW w:w="1774" w:type="dxa"/>
          </w:tcPr>
          <w:p w:rsidR="00A13BC3" w:rsidRPr="00A75DF9" w:rsidRDefault="00A13BC3" w:rsidP="003479E5">
            <w:pPr>
              <w:spacing w:after="200" w:line="276" w:lineRule="auto"/>
              <w:jc w:val="center"/>
              <w:rPr>
                <w:rFonts w:cs="Tahoma"/>
                <w:szCs w:val="18"/>
              </w:rPr>
            </w:pPr>
          </w:p>
        </w:tc>
        <w:tc>
          <w:tcPr>
            <w:tcW w:w="1913" w:type="dxa"/>
          </w:tcPr>
          <w:p w:rsidR="00A13BC3" w:rsidRPr="00A75DF9" w:rsidRDefault="00A13BC3" w:rsidP="003479E5">
            <w:pPr>
              <w:spacing w:after="200" w:line="276" w:lineRule="auto"/>
              <w:jc w:val="center"/>
              <w:rPr>
                <w:rFonts w:cs="Tahoma"/>
                <w:szCs w:val="18"/>
              </w:rPr>
            </w:pPr>
          </w:p>
        </w:tc>
        <w:tc>
          <w:tcPr>
            <w:tcW w:w="1391" w:type="dxa"/>
          </w:tcPr>
          <w:p w:rsidR="00A13BC3" w:rsidRPr="00A75DF9" w:rsidRDefault="00A13BC3" w:rsidP="003479E5">
            <w:pPr>
              <w:spacing w:after="200" w:line="276" w:lineRule="auto"/>
              <w:jc w:val="center"/>
              <w:rPr>
                <w:rFonts w:cs="Tahoma"/>
                <w:szCs w:val="18"/>
              </w:rPr>
            </w:pPr>
          </w:p>
        </w:tc>
      </w:tr>
      <w:tr w:rsidR="00A13BC3" w:rsidRPr="00A75DF9" w:rsidTr="004B42EB">
        <w:tc>
          <w:tcPr>
            <w:tcW w:w="1912" w:type="dxa"/>
          </w:tcPr>
          <w:p w:rsidR="00A13BC3" w:rsidRPr="00A75DF9" w:rsidRDefault="00A13BC3" w:rsidP="003479E5">
            <w:pPr>
              <w:spacing w:after="200" w:line="276" w:lineRule="auto"/>
              <w:jc w:val="center"/>
              <w:rPr>
                <w:rFonts w:cs="Tahoma"/>
                <w:szCs w:val="18"/>
                <w:lang w:eastAsia="ja-JP"/>
              </w:rPr>
            </w:pPr>
            <w:r w:rsidRPr="00A75DF9">
              <w:rPr>
                <w:rFonts w:cs="Tahoma"/>
                <w:szCs w:val="18"/>
              </w:rPr>
              <w:lastRenderedPageBreak/>
              <w:t>Core Infrastructure Server Suite Standard</w:t>
            </w:r>
          </w:p>
        </w:tc>
        <w:tc>
          <w:tcPr>
            <w:tcW w:w="1848" w:type="dxa"/>
          </w:tcPr>
          <w:p w:rsidR="00A13BC3" w:rsidRPr="00A75DF9" w:rsidRDefault="00A13BC3" w:rsidP="003479E5">
            <w:pPr>
              <w:spacing w:after="200" w:line="276" w:lineRule="auto"/>
              <w:jc w:val="center"/>
              <w:rPr>
                <w:rFonts w:cs="Tahoma"/>
                <w:szCs w:val="18"/>
              </w:rPr>
            </w:pPr>
          </w:p>
        </w:tc>
        <w:tc>
          <w:tcPr>
            <w:tcW w:w="1774" w:type="dxa"/>
          </w:tcPr>
          <w:p w:rsidR="00A13BC3" w:rsidRPr="00A75DF9" w:rsidRDefault="00A13BC3" w:rsidP="003479E5">
            <w:pPr>
              <w:spacing w:after="200" w:line="276" w:lineRule="auto"/>
              <w:jc w:val="center"/>
              <w:rPr>
                <w:rFonts w:cs="Tahoma"/>
                <w:szCs w:val="18"/>
              </w:rPr>
            </w:pPr>
          </w:p>
        </w:tc>
        <w:tc>
          <w:tcPr>
            <w:tcW w:w="1913" w:type="dxa"/>
          </w:tcPr>
          <w:p w:rsidR="00A13BC3" w:rsidRPr="00A75DF9" w:rsidRDefault="00A13BC3" w:rsidP="003479E5">
            <w:pPr>
              <w:spacing w:after="200" w:line="276" w:lineRule="auto"/>
              <w:jc w:val="center"/>
              <w:rPr>
                <w:rFonts w:cs="Tahoma"/>
                <w:szCs w:val="18"/>
              </w:rPr>
            </w:pPr>
          </w:p>
        </w:tc>
        <w:tc>
          <w:tcPr>
            <w:tcW w:w="1391" w:type="dxa"/>
          </w:tcPr>
          <w:p w:rsidR="00A13BC3" w:rsidRPr="00A75DF9" w:rsidRDefault="00A13BC3" w:rsidP="003479E5">
            <w:pPr>
              <w:spacing w:after="200" w:line="276" w:lineRule="auto"/>
              <w:jc w:val="center"/>
              <w:rPr>
                <w:rFonts w:cs="Tahoma"/>
                <w:szCs w:val="18"/>
              </w:rPr>
            </w:pPr>
          </w:p>
        </w:tc>
      </w:tr>
    </w:tbl>
    <w:p w:rsidR="003479E5" w:rsidRPr="00A75DF9" w:rsidRDefault="003479E5" w:rsidP="00792D1E">
      <w:pPr>
        <w:rPr>
          <w:rFonts w:cs="Tahoma"/>
        </w:rPr>
      </w:pPr>
    </w:p>
    <w:p w:rsidR="003479E5" w:rsidRPr="00A75DF9" w:rsidRDefault="003479E5" w:rsidP="00792D1E">
      <w:pPr>
        <w:rPr>
          <w:rFonts w:cs="Tahoma"/>
        </w:rPr>
      </w:pPr>
      <w:r w:rsidRPr="00A75DF9">
        <w:rPr>
          <w:rFonts w:cs="Tahoma"/>
          <w:bCs/>
          <w:szCs w:val="18"/>
        </w:rPr>
        <w:t>*La copertura Software Assurance per le Licenze CAL per il Software Server Qualificante non qualifica le società per il vantaggio di Software Assurance System Center Advisor.</w:t>
      </w:r>
      <w:r w:rsidR="009D3B41" w:rsidRPr="00A75DF9">
        <w:rPr>
          <w:rFonts w:cs="Tahoma"/>
          <w:bCs/>
          <w:szCs w:val="18"/>
        </w:rPr>
        <w:t xml:space="preserve"> </w:t>
      </w:r>
      <w:r w:rsidRPr="00A75DF9">
        <w:rPr>
          <w:rFonts w:cs="Tahoma"/>
          <w:bCs/>
          <w:szCs w:val="18"/>
        </w:rPr>
        <w:t>Le società dovranno disporre di una copertura per le licenze software ai sensi delle quali viene eseguito il Software Server Qualificante.</w:t>
      </w:r>
    </w:p>
    <w:p w:rsidR="003479E5" w:rsidRPr="00A75DF9" w:rsidRDefault="003479E5" w:rsidP="00792D1E">
      <w:pPr>
        <w:rPr>
          <w:rFonts w:cs="Tahoma"/>
        </w:rPr>
      </w:pPr>
    </w:p>
    <w:p w:rsidR="000D454E" w:rsidRPr="00A75DF9" w:rsidRDefault="000D454E" w:rsidP="00792D1E">
      <w:pPr>
        <w:rPr>
          <w:rFonts w:cs="Tahoma"/>
        </w:rPr>
      </w:pPr>
      <w:r w:rsidRPr="00A75DF9">
        <w:rPr>
          <w:rFonts w:cs="Tahoma"/>
          <w:szCs w:val="18"/>
        </w:rPr>
        <w:t>Le società con la copertura Software Assurance attiva per le Licenze di Gestione identificate nella tabella che segue sono idonee a utilizzare System Center Advisor come specificato nei Diritti di Utilizzo del Prodotto.</w:t>
      </w:r>
    </w:p>
    <w:p w:rsidR="000D454E" w:rsidRPr="00A75DF9" w:rsidRDefault="000D454E" w:rsidP="000D454E">
      <w:pPr>
        <w:outlineLvl w:val="2"/>
        <w:rPr>
          <w:rFonts w:cs="Tahoma"/>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D454E" w:rsidRPr="00A75DF9" w:rsidTr="007E466C">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hideMark/>
          </w:tcPr>
          <w:p w:rsidR="000D454E" w:rsidRPr="00A75DF9" w:rsidRDefault="000D454E" w:rsidP="007E466C">
            <w:pPr>
              <w:spacing w:before="120" w:after="120" w:line="276" w:lineRule="auto"/>
              <w:jc w:val="center"/>
              <w:rPr>
                <w:rFonts w:cs="Tahoma"/>
                <w:b/>
                <w:color w:val="000000"/>
                <w:szCs w:val="18"/>
                <w:lang w:eastAsia="ja-JP"/>
              </w:rPr>
            </w:pPr>
            <w:r w:rsidRPr="00A75DF9">
              <w:rPr>
                <w:rFonts w:cs="Tahoma"/>
                <w:b/>
                <w:color w:val="000000"/>
                <w:szCs w:val="18"/>
              </w:rPr>
              <w:t>Licenze di Gestione Qualificanti</w:t>
            </w:r>
          </w:p>
        </w:tc>
      </w:tr>
      <w:tr w:rsidR="000D454E" w:rsidRPr="00A75DF9"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0D454E" w:rsidRPr="00A75DF9" w:rsidRDefault="000D454E" w:rsidP="007E466C">
            <w:pPr>
              <w:spacing w:before="120" w:after="120"/>
              <w:jc w:val="center"/>
              <w:rPr>
                <w:rFonts w:cs="Tahoma"/>
                <w:color w:val="000000"/>
                <w:szCs w:val="18"/>
                <w:lang w:eastAsia="ja-JP"/>
              </w:rPr>
            </w:pPr>
            <w:r w:rsidRPr="00A75DF9">
              <w:rPr>
                <w:rFonts w:cs="Tahoma"/>
                <w:color w:val="000000"/>
                <w:szCs w:val="18"/>
              </w:rPr>
              <w:t>Licenza di Gestione Server per System Center 2012 Datacenter</w:t>
            </w:r>
          </w:p>
        </w:tc>
      </w:tr>
      <w:tr w:rsidR="000D454E" w:rsidRPr="00A75DF9" w:rsidTr="007E466C">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0D454E" w:rsidRPr="00A75DF9" w:rsidRDefault="000D454E" w:rsidP="007E466C">
            <w:pPr>
              <w:spacing w:before="120" w:after="120" w:line="276" w:lineRule="auto"/>
              <w:jc w:val="center"/>
              <w:rPr>
                <w:rFonts w:cs="Tahoma"/>
                <w:szCs w:val="18"/>
              </w:rPr>
            </w:pPr>
            <w:r w:rsidRPr="00A75DF9">
              <w:rPr>
                <w:rFonts w:cs="Tahoma"/>
                <w:color w:val="000000"/>
                <w:szCs w:val="18"/>
              </w:rPr>
              <w:t>Licenza di Gestione Server per System Center 2012 Standard</w:t>
            </w:r>
          </w:p>
        </w:tc>
      </w:tr>
    </w:tbl>
    <w:p w:rsidR="00E06FE8" w:rsidRPr="00A75DF9" w:rsidRDefault="000E6E21" w:rsidP="00E06FE8">
      <w:pPr>
        <w:keepNext/>
        <w:keepLines/>
        <w:spacing w:before="40" w:line="259" w:lineRule="auto"/>
        <w:outlineLvl w:val="2"/>
        <w:rPr>
          <w:rFonts w:cs="Tahoma"/>
        </w:rPr>
      </w:pPr>
      <w:bookmarkStart w:id="752" w:name="_Toc336338239"/>
      <w:r w:rsidRPr="00A75DF9">
        <w:rPr>
          <w:rFonts w:eastAsiaTheme="majorEastAsia" w:cs="Tahoma"/>
          <w:color w:val="000000"/>
          <w:szCs w:val="18"/>
        </w:rPr>
        <w:cr/>
      </w:r>
      <w:r w:rsidRPr="00A75DF9">
        <w:rPr>
          <w:rFonts w:eastAsiaTheme="majorEastAsia" w:cs="Tahoma"/>
          <w:b/>
          <w:color w:val="000000"/>
          <w:sz w:val="24"/>
          <w:szCs w:val="18"/>
        </w:rPr>
        <w:t>System Center Global Service Monitor</w:t>
      </w:r>
    </w:p>
    <w:p w:rsidR="00E06FE8" w:rsidRPr="00A75DF9" w:rsidRDefault="00E06FE8" w:rsidP="007E466C">
      <w:pPr>
        <w:rPr>
          <w:rFonts w:cs="Tahoma"/>
        </w:rPr>
      </w:pPr>
      <w:r w:rsidRPr="00A75DF9">
        <w:rPr>
          <w:rFonts w:cs="Tahoma"/>
          <w:szCs w:val="18"/>
        </w:rPr>
        <w:t>Le società con la copertura Software Assurance attiva per le Licenze di Gestione identificate nella tabella che segue sono idonee a utilizzare System Center Global Service Monitor come specificato nei Diritti di Utilizzo del Prodotto.</w:t>
      </w:r>
    </w:p>
    <w:p w:rsidR="000E6E21" w:rsidRPr="00A75DF9" w:rsidRDefault="000E6E21" w:rsidP="007E466C">
      <w:pPr>
        <w:rPr>
          <w:rFonts w:cs="Tahoma"/>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28"/>
      </w:tblGrid>
      <w:tr w:rsidR="000E6E21" w:rsidRPr="00A75DF9" w:rsidTr="000E6E21">
        <w:trPr>
          <w:jc w:val="center"/>
        </w:trPr>
        <w:tc>
          <w:tcPr>
            <w:tcW w:w="5328"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E06FE8" w:rsidRPr="00A75DF9" w:rsidRDefault="00E06FE8" w:rsidP="007E466C">
            <w:pPr>
              <w:spacing w:before="120" w:after="120"/>
              <w:jc w:val="center"/>
              <w:rPr>
                <w:rFonts w:cs="Tahoma"/>
                <w:b/>
                <w:szCs w:val="18"/>
              </w:rPr>
            </w:pPr>
            <w:r w:rsidRPr="00A75DF9">
              <w:rPr>
                <w:rFonts w:cs="Tahoma"/>
                <w:b/>
                <w:szCs w:val="18"/>
              </w:rPr>
              <w:t>Licenze di Gestione Qualificanti</w:t>
            </w:r>
          </w:p>
        </w:tc>
      </w:tr>
      <w:tr w:rsidR="000E6E21" w:rsidRPr="00A75DF9"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E06FE8" w:rsidRPr="00A75DF9" w:rsidRDefault="00E06FE8" w:rsidP="007E466C">
            <w:pPr>
              <w:spacing w:before="120" w:after="120"/>
              <w:jc w:val="center"/>
              <w:rPr>
                <w:rFonts w:cs="Tahoma"/>
                <w:szCs w:val="18"/>
              </w:rPr>
            </w:pPr>
            <w:r w:rsidRPr="00A75DF9">
              <w:rPr>
                <w:rFonts w:cs="Tahoma"/>
                <w:szCs w:val="18"/>
              </w:rPr>
              <w:t>Licenza di Gestione Server per System Center Datacenter</w:t>
            </w:r>
          </w:p>
        </w:tc>
      </w:tr>
      <w:tr w:rsidR="000E6E21" w:rsidRPr="00A75DF9" w:rsidTr="000E6E21">
        <w:trPr>
          <w:jc w:val="center"/>
        </w:trPr>
        <w:tc>
          <w:tcPr>
            <w:tcW w:w="5328" w:type="dxa"/>
            <w:tcBorders>
              <w:top w:val="single" w:sz="4" w:space="0" w:color="000000"/>
              <w:left w:val="single" w:sz="4" w:space="0" w:color="000000"/>
              <w:bottom w:val="single" w:sz="4" w:space="0" w:color="000000"/>
              <w:right w:val="single" w:sz="4" w:space="0" w:color="000000"/>
            </w:tcBorders>
            <w:vAlign w:val="center"/>
            <w:hideMark/>
          </w:tcPr>
          <w:p w:rsidR="00E06FE8" w:rsidRPr="00A75DF9" w:rsidRDefault="00E06FE8" w:rsidP="007E466C">
            <w:pPr>
              <w:spacing w:before="120" w:after="120"/>
              <w:jc w:val="center"/>
              <w:rPr>
                <w:rFonts w:cs="Tahoma"/>
                <w:szCs w:val="18"/>
              </w:rPr>
            </w:pPr>
            <w:r w:rsidRPr="00A75DF9">
              <w:rPr>
                <w:rFonts w:cs="Tahoma"/>
                <w:szCs w:val="18"/>
              </w:rPr>
              <w:t>Licenza di Gestione Server per System Center Standard</w:t>
            </w:r>
          </w:p>
        </w:tc>
      </w:tr>
    </w:tbl>
    <w:p w:rsidR="00E06FE8" w:rsidRPr="00A75DF9" w:rsidRDefault="00E06FE8">
      <w:pPr>
        <w:rPr>
          <w:rFonts w:cs="Tahoma"/>
        </w:rPr>
      </w:pPr>
    </w:p>
    <w:p w:rsidR="00023FE7" w:rsidRPr="00A75DF9" w:rsidRDefault="00023FE7">
      <w:pPr>
        <w:pStyle w:val="Heading3"/>
        <w:rPr>
          <w:rFonts w:ascii="Tahoma" w:hAnsi="Tahoma" w:cs="Tahoma"/>
        </w:rPr>
      </w:pPr>
      <w:bookmarkStart w:id="753" w:name="_Toc368310230"/>
      <w:r w:rsidRPr="00A75DF9">
        <w:rPr>
          <w:rFonts w:ascii="Tahoma" w:hAnsi="Tahoma" w:cs="Tahoma"/>
          <w:sz w:val="24"/>
        </w:rPr>
        <w:t>Back-up per Ripristino di Emergenza “a Freddo”</w:t>
      </w:r>
      <w:bookmarkEnd w:id="752"/>
      <w:bookmarkEnd w:id="753"/>
      <w:r w:rsidRPr="00A75DF9">
        <w:rPr>
          <w:rFonts w:ascii="Tahoma" w:hAnsi="Tahoma" w:cs="Tahoma"/>
          <w:sz w:val="24"/>
        </w:rPr>
        <w:t xml:space="preserve"> </w:t>
      </w:r>
    </w:p>
    <w:p w:rsidR="00023FE7" w:rsidRPr="00A75DF9" w:rsidRDefault="00023FE7">
      <w:pPr>
        <w:rPr>
          <w:rFonts w:cs="Tahoma"/>
        </w:rPr>
      </w:pPr>
    </w:p>
    <w:p w:rsidR="008A15A8" w:rsidRPr="00A75DF9" w:rsidRDefault="008A15A8" w:rsidP="00792D1E">
      <w:pPr>
        <w:rPr>
          <w:rFonts w:cs="Tahoma"/>
        </w:rPr>
      </w:pPr>
      <w:r w:rsidRPr="00A75DF9">
        <w:rPr>
          <w:rFonts w:eastAsia="Calibri" w:cs="Tahoma"/>
          <w:szCs w:val="18"/>
        </w:rPr>
        <w:t>Le società con copertura Software Assurance per i prodotti server qualificanti e relative CAL sono idonee a ricevere licenze server gratuite per tali prodotti a fini del ripristino di emergenza (DR).</w:t>
      </w:r>
    </w:p>
    <w:p w:rsidR="00792D1E" w:rsidRPr="00A75DF9" w:rsidRDefault="00792D1E" w:rsidP="00792D1E">
      <w:pPr>
        <w:rPr>
          <w:rFonts w:cs="Tahoma"/>
        </w:rPr>
      </w:pPr>
    </w:p>
    <w:p w:rsidR="00023FE7" w:rsidRPr="00A75DF9" w:rsidRDefault="00023FE7" w:rsidP="00792D1E">
      <w:pPr>
        <w:pStyle w:val="AppendixFlushBulletedList"/>
        <w:tabs>
          <w:tab w:val="clear" w:pos="360"/>
          <w:tab w:val="num" w:pos="0"/>
        </w:tabs>
        <w:ind w:left="0" w:firstLine="0"/>
        <w:rPr>
          <w:rFonts w:ascii="Tahoma" w:hAnsi="Tahoma" w:cs="Tahoma"/>
        </w:rPr>
      </w:pPr>
      <w:r w:rsidRPr="00A75DF9">
        <w:rPr>
          <w:rFonts w:ascii="Tahoma" w:hAnsi="Tahoma" w:cs="Tahoma"/>
          <w:sz w:val="18"/>
          <w:szCs w:val="18"/>
        </w:rPr>
        <w:t>Per ogni licenza server qualificante per la quale (i) una società sia iscritta a SA e (ii) la società abbia iscritto a SA tutte le relative CAL (se richieste dal prodotto), verrà concessa alla società stessa una seconda licenza server, ai sensi della quale la società potrà distribuire lo stesso prodotto su un server di back-up “a freddo” unicamente per fini di DR, durante il periodo di validità della copertura Software Assurance.</w:t>
      </w:r>
      <w:r w:rsidR="009D3B41" w:rsidRPr="00A75DF9">
        <w:rPr>
          <w:rFonts w:ascii="Tahoma" w:hAnsi="Tahoma" w:cs="Tahoma"/>
          <w:sz w:val="18"/>
          <w:szCs w:val="18"/>
        </w:rPr>
        <w:t xml:space="preserve"> </w:t>
      </w:r>
      <w:r w:rsidRPr="00A75DF9">
        <w:rPr>
          <w:rFonts w:ascii="Tahoma" w:hAnsi="Tahoma" w:cs="Tahoma"/>
          <w:sz w:val="18"/>
          <w:szCs w:val="18"/>
        </w:rPr>
        <w:t>La distribuzione e l</w:t>
      </w:r>
      <w:r w:rsidR="00F2643E">
        <w:rPr>
          <w:rFonts w:ascii="Tahoma" w:hAnsi="Tahoma" w:cs="Tahoma"/>
          <w:sz w:val="18"/>
          <w:szCs w:val="18"/>
        </w:rPr>
        <w:t>’</w:t>
      </w:r>
      <w:r w:rsidRPr="00A75DF9">
        <w:rPr>
          <w:rFonts w:ascii="Tahoma" w:hAnsi="Tahoma" w:cs="Tahoma"/>
          <w:sz w:val="18"/>
          <w:szCs w:val="18"/>
        </w:rPr>
        <w:t>utilizzo del software da parte della società ai sensi delle licenze DR sono soggetti alle condizioni del relativo contratto di licenza.</w:t>
      </w:r>
    </w:p>
    <w:p w:rsidR="00FE5F1D" w:rsidRDefault="00FE5F1D" w:rsidP="00792D1E">
      <w:pPr>
        <w:pStyle w:val="AppendixBodyText"/>
        <w:spacing w:after="0"/>
        <w:rPr>
          <w:rFonts w:ascii="Tahoma" w:hAnsi="Tahoma" w:cs="Tahoma"/>
        </w:rPr>
      </w:pPr>
    </w:p>
    <w:p w:rsidR="004B42EB" w:rsidRDefault="004B42EB" w:rsidP="00792D1E">
      <w:pPr>
        <w:pStyle w:val="AppendixBodyText"/>
        <w:spacing w:after="0"/>
        <w:rPr>
          <w:rFonts w:ascii="Tahoma" w:hAnsi="Tahoma" w:cs="Tahoma"/>
        </w:rPr>
      </w:pPr>
    </w:p>
    <w:p w:rsidR="004B42EB" w:rsidRDefault="004B42EB" w:rsidP="00792D1E">
      <w:pPr>
        <w:pStyle w:val="AppendixBodyText"/>
        <w:spacing w:after="0"/>
        <w:rPr>
          <w:rFonts w:ascii="Tahoma" w:hAnsi="Tahoma" w:cs="Tahoma"/>
        </w:rPr>
      </w:pPr>
    </w:p>
    <w:p w:rsidR="004B42EB" w:rsidRDefault="004B42EB" w:rsidP="00792D1E">
      <w:pPr>
        <w:pStyle w:val="AppendixBodyText"/>
        <w:spacing w:after="0"/>
        <w:rPr>
          <w:rFonts w:ascii="Tahoma" w:hAnsi="Tahoma" w:cs="Tahoma"/>
        </w:rPr>
      </w:pPr>
    </w:p>
    <w:p w:rsidR="004B42EB" w:rsidRDefault="004B42EB" w:rsidP="00792D1E">
      <w:pPr>
        <w:pStyle w:val="AppendixBodyText"/>
        <w:spacing w:after="0"/>
        <w:rPr>
          <w:rFonts w:ascii="Tahoma" w:hAnsi="Tahoma" w:cs="Tahoma"/>
        </w:rPr>
      </w:pPr>
    </w:p>
    <w:p w:rsidR="004B42EB" w:rsidRPr="00A75DF9" w:rsidRDefault="004B42EB" w:rsidP="00792D1E">
      <w:pPr>
        <w:pStyle w:val="AppendixBodyText"/>
        <w:spacing w:after="0"/>
        <w:rPr>
          <w:rFonts w:ascii="Tahoma" w:hAnsi="Tahoma" w:cs="Tahoma"/>
        </w:rPr>
      </w:pPr>
    </w:p>
    <w:p w:rsidR="00023FE7" w:rsidRPr="00A75DF9" w:rsidRDefault="00023FE7" w:rsidP="00792D1E">
      <w:pPr>
        <w:pStyle w:val="Heading3"/>
        <w:rPr>
          <w:rFonts w:ascii="Tahoma" w:hAnsi="Tahoma" w:cs="Tahoma"/>
        </w:rPr>
      </w:pPr>
      <w:bookmarkStart w:id="754" w:name="_Toc336338240"/>
      <w:bookmarkStart w:id="755" w:name="_Toc368310231"/>
      <w:r w:rsidRPr="00A75DF9">
        <w:rPr>
          <w:rFonts w:ascii="Tahoma" w:hAnsi="Tahoma" w:cs="Tahoma"/>
          <w:sz w:val="24"/>
        </w:rPr>
        <w:t>Servizi in Abbonamento TechNet SA</w:t>
      </w:r>
      <w:bookmarkEnd w:id="754"/>
      <w:bookmarkEnd w:id="755"/>
    </w:p>
    <w:p w:rsidR="00023FE7" w:rsidRPr="00A75DF9" w:rsidRDefault="00023FE7" w:rsidP="00792D1E">
      <w:pPr>
        <w:rPr>
          <w:rFonts w:cs="Tahoma"/>
        </w:rPr>
      </w:pPr>
    </w:p>
    <w:p w:rsidR="004A4D28" w:rsidRPr="004B42EB" w:rsidRDefault="00A65414" w:rsidP="004B42EB">
      <w:pPr>
        <w:pStyle w:val="AppendixBodyText"/>
        <w:spacing w:after="0"/>
        <w:rPr>
          <w:rFonts w:ascii="Tahoma" w:hAnsi="Tahoma" w:cs="Tahoma"/>
          <w:sz w:val="18"/>
          <w:szCs w:val="18"/>
        </w:rPr>
      </w:pPr>
      <w:r w:rsidRPr="004B42EB">
        <w:rPr>
          <w:rFonts w:ascii="Tahoma" w:eastAsia="Calibri" w:hAnsi="Tahoma" w:cs="Tahoma"/>
          <w:sz w:val="18"/>
          <w:szCs w:val="18"/>
        </w:rPr>
        <w:t xml:space="preserve">Le società con copertura Software Assurance per i prodotti qualificanti del pool di prodotti server sono idonee a beneficiare del supporto per i Servizi in Abbonamento TechNet SA durante il periodo di validità della copertura Software Assurance. </w:t>
      </w:r>
      <w:r w:rsidRPr="004B42EB">
        <w:rPr>
          <w:rFonts w:ascii="Tahoma" w:hAnsi="Tahoma" w:cs="Tahoma"/>
          <w:sz w:val="18"/>
          <w:szCs w:val="18"/>
        </w:rPr>
        <w:t xml:space="preserve">In questo modo i professionisti IT riceveranno risposte a domande tecniche da colleghi che </w:t>
      </w:r>
      <w:r w:rsidRPr="004B42EB">
        <w:rPr>
          <w:rFonts w:ascii="Tahoma" w:hAnsi="Tahoma" w:cs="Tahoma"/>
          <w:sz w:val="18"/>
          <w:szCs w:val="18"/>
        </w:rPr>
        <w:lastRenderedPageBreak/>
        <w:t>operano nello stesso settore.</w:t>
      </w:r>
      <w:r w:rsidR="009D3B41" w:rsidRPr="004B42EB">
        <w:rPr>
          <w:rFonts w:ascii="Tahoma" w:hAnsi="Tahoma" w:cs="Tahoma"/>
          <w:sz w:val="18"/>
          <w:szCs w:val="18"/>
        </w:rPr>
        <w:t xml:space="preserve"> </w:t>
      </w:r>
      <w:r w:rsidRPr="004B42EB">
        <w:rPr>
          <w:rFonts w:ascii="Tahoma" w:hAnsi="Tahoma" w:cs="Tahoma"/>
          <w:sz w:val="18"/>
          <w:szCs w:val="18"/>
        </w:rPr>
        <w:t>Esperti Microsoft forniranno assistenza per monitorare i newsgroup e contribuire a</w:t>
      </w:r>
      <w:r w:rsidR="004B42EB" w:rsidRPr="004B42EB">
        <w:rPr>
          <w:rFonts w:ascii="Tahoma" w:hAnsi="Tahoma" w:cs="Tahoma"/>
          <w:sz w:val="18"/>
          <w:szCs w:val="18"/>
        </w:rPr>
        <w:t> </w:t>
      </w:r>
      <w:r w:rsidRPr="004B42EB">
        <w:rPr>
          <w:rFonts w:ascii="Tahoma" w:hAnsi="Tahoma" w:cs="Tahoma"/>
          <w:sz w:val="18"/>
          <w:szCs w:val="18"/>
        </w:rPr>
        <w:t>garantire l</w:t>
      </w:r>
      <w:r w:rsidR="00F2643E">
        <w:rPr>
          <w:rFonts w:ascii="Tahoma" w:hAnsi="Tahoma" w:cs="Tahoma"/>
          <w:sz w:val="18"/>
          <w:szCs w:val="18"/>
        </w:rPr>
        <w:t>’</w:t>
      </w:r>
      <w:r w:rsidRPr="004B42EB">
        <w:rPr>
          <w:rFonts w:ascii="Tahoma" w:hAnsi="Tahoma" w:cs="Tahoma"/>
          <w:sz w:val="18"/>
          <w:szCs w:val="18"/>
        </w:rPr>
        <w:t>accuratezza.</w:t>
      </w:r>
      <w:r w:rsidR="009D3B41" w:rsidRPr="004B42EB">
        <w:rPr>
          <w:rFonts w:ascii="Tahoma" w:hAnsi="Tahoma" w:cs="Tahoma"/>
          <w:sz w:val="18"/>
          <w:szCs w:val="18"/>
        </w:rPr>
        <w:t xml:space="preserve"> </w:t>
      </w:r>
      <w:r w:rsidRPr="004B42EB">
        <w:rPr>
          <w:rFonts w:ascii="Tahoma" w:hAnsi="Tahoma" w:cs="Tahoma"/>
          <w:sz w:val="18"/>
          <w:szCs w:val="18"/>
        </w:rPr>
        <w:t>Le società idonee riceveranno gli ID Utente necessari ad accedere ai servizi online.</w:t>
      </w:r>
      <w:r w:rsidR="009D3B41" w:rsidRPr="004B42EB">
        <w:rPr>
          <w:rFonts w:ascii="Tahoma" w:hAnsi="Tahoma" w:cs="Tahoma"/>
          <w:sz w:val="18"/>
          <w:szCs w:val="18"/>
        </w:rPr>
        <w:t xml:space="preserve"> </w:t>
      </w:r>
    </w:p>
    <w:p w:rsidR="00FE5F1D" w:rsidRPr="004B42EB" w:rsidRDefault="00FE5F1D" w:rsidP="00792D1E">
      <w:pPr>
        <w:pStyle w:val="AppendixBodyText"/>
        <w:spacing w:after="0"/>
        <w:rPr>
          <w:rFonts w:ascii="Tahoma" w:hAnsi="Tahoma" w:cs="Tahoma"/>
          <w:sz w:val="18"/>
          <w:szCs w:val="18"/>
        </w:rPr>
      </w:pPr>
    </w:p>
    <w:p w:rsidR="00023FE7" w:rsidRPr="004B42EB" w:rsidRDefault="00023FE7" w:rsidP="004B42EB">
      <w:pPr>
        <w:pStyle w:val="AppendixBodyText"/>
        <w:spacing w:after="0"/>
        <w:rPr>
          <w:rFonts w:ascii="Tahoma" w:hAnsi="Tahoma" w:cs="Tahoma"/>
          <w:sz w:val="18"/>
          <w:szCs w:val="18"/>
        </w:rPr>
      </w:pPr>
      <w:r w:rsidRPr="004B42EB">
        <w:rPr>
          <w:rFonts w:ascii="Tahoma" w:hAnsi="Tahoma" w:cs="Tahoma"/>
          <w:sz w:val="18"/>
          <w:szCs w:val="18"/>
        </w:rPr>
        <w:t>Le società riceveranno un ID Utente per ogni prodotto idoneo coperto da Software Assurance, come mostrato di</w:t>
      </w:r>
      <w:r w:rsidR="004B42EB" w:rsidRPr="004B42EB">
        <w:rPr>
          <w:rFonts w:ascii="Tahoma" w:hAnsi="Tahoma" w:cs="Tahoma"/>
          <w:sz w:val="18"/>
          <w:szCs w:val="18"/>
        </w:rPr>
        <w:t> </w:t>
      </w:r>
      <w:r w:rsidRPr="004B42EB">
        <w:rPr>
          <w:rFonts w:ascii="Tahoma" w:hAnsi="Tahoma" w:cs="Tahoma"/>
          <w:sz w:val="18"/>
          <w:szCs w:val="18"/>
        </w:rPr>
        <w:t>seguito:</w:t>
      </w:r>
    </w:p>
    <w:p w:rsidR="00023FE7" w:rsidRPr="004B42EB" w:rsidRDefault="00023FE7" w:rsidP="00792D1E">
      <w:pPr>
        <w:pStyle w:val="AppendixBodyText"/>
        <w:spacing w:after="0"/>
        <w:rPr>
          <w:rFonts w:ascii="Tahoma" w:hAnsi="Tahoma" w:cs="Tahoma"/>
          <w:sz w:val="18"/>
          <w:szCs w:val="18"/>
        </w:rPr>
      </w:pPr>
    </w:p>
    <w:tbl>
      <w:tblPr>
        <w:tblW w:w="7288" w:type="dxa"/>
        <w:tblInd w:w="9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78"/>
        <w:gridCol w:w="2970"/>
        <w:gridCol w:w="2340"/>
      </w:tblGrid>
      <w:tr w:rsidR="0036654E" w:rsidRPr="00A75DF9" w:rsidTr="002A6416">
        <w:trPr>
          <w:trHeight w:val="178"/>
        </w:trPr>
        <w:tc>
          <w:tcPr>
            <w:tcW w:w="1978"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A75DF9" w:rsidRDefault="0036654E" w:rsidP="00D824E9">
            <w:pPr>
              <w:pStyle w:val="AppendixTableHeadings"/>
              <w:keepNext/>
              <w:rPr>
                <w:rFonts w:ascii="Tahoma" w:hAnsi="Tahoma" w:cs="Tahoma"/>
                <w:sz w:val="20"/>
                <w:szCs w:val="20"/>
              </w:rPr>
            </w:pPr>
            <w:r w:rsidRPr="00A75DF9">
              <w:rPr>
                <w:rFonts w:ascii="Tahoma" w:hAnsi="Tahoma" w:cs="Tahoma"/>
                <w:sz w:val="20"/>
                <w:szCs w:val="20"/>
              </w:rPr>
              <w:t>Gruppo di Prodotti</w:t>
            </w:r>
          </w:p>
        </w:tc>
        <w:tc>
          <w:tcPr>
            <w:tcW w:w="297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A75DF9" w:rsidRDefault="0036654E">
            <w:pPr>
              <w:pStyle w:val="AppendixTableHeadings"/>
              <w:rPr>
                <w:rFonts w:ascii="Tahoma" w:hAnsi="Tahoma" w:cs="Tahoma"/>
                <w:sz w:val="20"/>
                <w:szCs w:val="20"/>
              </w:rPr>
            </w:pPr>
            <w:r w:rsidRPr="00A75DF9">
              <w:rPr>
                <w:rFonts w:ascii="Tahoma" w:hAnsi="Tahoma" w:cs="Tahoma"/>
                <w:sz w:val="20"/>
                <w:szCs w:val="20"/>
              </w:rPr>
              <w:t>Open License, Open Value Subscription - Education Solutions, Open Value e Academic con SAM</w:t>
            </w:r>
          </w:p>
        </w:tc>
        <w:tc>
          <w:tcPr>
            <w:tcW w:w="2340" w:type="dxa"/>
            <w:tcBorders>
              <w:top w:val="single" w:sz="8" w:space="0" w:color="auto"/>
              <w:left w:val="single" w:sz="8" w:space="0" w:color="auto"/>
              <w:bottom w:val="single" w:sz="8" w:space="0" w:color="auto"/>
              <w:right w:val="single" w:sz="8" w:space="0" w:color="auto"/>
            </w:tcBorders>
            <w:shd w:val="clear" w:color="auto" w:fill="FFCC99"/>
            <w:vAlign w:val="center"/>
          </w:tcPr>
          <w:p w:rsidR="0036654E" w:rsidRPr="00A75DF9" w:rsidRDefault="0036654E">
            <w:pPr>
              <w:pStyle w:val="AppendixTableHeadings"/>
              <w:rPr>
                <w:rFonts w:ascii="Tahoma" w:hAnsi="Tahoma" w:cs="Tahoma"/>
                <w:sz w:val="20"/>
                <w:szCs w:val="20"/>
              </w:rPr>
            </w:pPr>
            <w:r w:rsidRPr="00A75DF9">
              <w:rPr>
                <w:rFonts w:ascii="Tahoma" w:hAnsi="Tahoma" w:cs="Tahoma"/>
                <w:sz w:val="20"/>
                <w:szCs w:val="20"/>
              </w:rPr>
              <w:t>Select/Select Plus/EA</w:t>
            </w:r>
          </w:p>
        </w:tc>
      </w:tr>
      <w:tr w:rsidR="0036654E" w:rsidRPr="00A75DF9" w:rsidTr="002A6416">
        <w:tc>
          <w:tcPr>
            <w:tcW w:w="1978"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A75DF9" w:rsidRDefault="0036654E" w:rsidP="00D824E9">
            <w:pPr>
              <w:pStyle w:val="AppendixTableText"/>
              <w:keepNext/>
              <w:rPr>
                <w:rFonts w:ascii="Tahoma" w:hAnsi="Tahoma" w:cs="Tahoma"/>
                <w:b/>
              </w:rPr>
            </w:pPr>
            <w:r w:rsidRPr="00A75DF9">
              <w:rPr>
                <w:rFonts w:ascii="Tahoma" w:hAnsi="Tahoma" w:cs="Tahoma"/>
                <w:b/>
                <w:sz w:val="20"/>
              </w:rPr>
              <w:t>Pool di Server</w:t>
            </w:r>
          </w:p>
        </w:tc>
        <w:tc>
          <w:tcPr>
            <w:tcW w:w="297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A75DF9" w:rsidRDefault="0036654E" w:rsidP="00A9099B">
            <w:pPr>
              <w:pStyle w:val="AppendixTableText"/>
              <w:rPr>
                <w:rFonts w:ascii="Tahoma" w:hAnsi="Tahoma" w:cs="Tahoma"/>
              </w:rPr>
            </w:pPr>
            <w:r w:rsidRPr="00A75DF9">
              <w:rPr>
                <w:rFonts w:ascii="Tahoma" w:hAnsi="Tahoma" w:cs="Tahoma"/>
              </w:rPr>
              <w:t>1 ID Utente per</w:t>
            </w:r>
          </w:p>
          <w:p w:rsidR="0036654E" w:rsidRPr="00A75DF9" w:rsidRDefault="0036654E" w:rsidP="00A9099B">
            <w:pPr>
              <w:pStyle w:val="AppendixTableText"/>
              <w:rPr>
                <w:rFonts w:ascii="Tahoma" w:hAnsi="Tahoma" w:cs="Tahoma"/>
              </w:rPr>
            </w:pPr>
            <w:r w:rsidRPr="00A75DF9">
              <w:rPr>
                <w:rFonts w:ascii="Tahoma" w:hAnsi="Tahoma" w:cs="Tahoma"/>
              </w:rPr>
              <w:t>Licenza Server</w:t>
            </w:r>
          </w:p>
          <w:p w:rsidR="0036654E" w:rsidRPr="00A75DF9" w:rsidRDefault="0036654E">
            <w:pPr>
              <w:pStyle w:val="AppendixTableText"/>
              <w:rPr>
                <w:rFonts w:ascii="Tahoma" w:hAnsi="Tahoma" w:cs="Tahoma"/>
              </w:rPr>
            </w:pPr>
            <w:r w:rsidRPr="00A75DF9">
              <w:rPr>
                <w:rFonts w:ascii="Tahoma" w:hAnsi="Tahoma" w:cs="Tahoma"/>
              </w:rPr>
              <w:t>(una volta soddisfatto il requisito di 5 SA Server)</w:t>
            </w:r>
          </w:p>
        </w:tc>
        <w:tc>
          <w:tcPr>
            <w:tcW w:w="2340" w:type="dxa"/>
            <w:tcBorders>
              <w:top w:val="single" w:sz="8" w:space="0" w:color="auto"/>
              <w:left w:val="single" w:sz="8" w:space="0" w:color="auto"/>
              <w:bottom w:val="single" w:sz="8" w:space="0" w:color="auto"/>
              <w:right w:val="single" w:sz="8" w:space="0" w:color="auto"/>
            </w:tcBorders>
            <w:shd w:val="clear" w:color="auto" w:fill="FFFFFF"/>
            <w:vAlign w:val="center"/>
          </w:tcPr>
          <w:p w:rsidR="0036654E" w:rsidRPr="00A75DF9" w:rsidRDefault="0036654E" w:rsidP="00A9099B">
            <w:pPr>
              <w:pStyle w:val="AppendixTableText"/>
              <w:rPr>
                <w:rFonts w:ascii="Tahoma" w:hAnsi="Tahoma" w:cs="Tahoma"/>
              </w:rPr>
            </w:pPr>
            <w:r w:rsidRPr="00A75DF9">
              <w:rPr>
                <w:rFonts w:ascii="Tahoma" w:hAnsi="Tahoma" w:cs="Tahoma"/>
              </w:rPr>
              <w:t>1 ID Utente per</w:t>
            </w:r>
          </w:p>
          <w:p w:rsidR="0036654E" w:rsidRPr="00A75DF9" w:rsidRDefault="0036654E">
            <w:pPr>
              <w:pStyle w:val="AppendixTableText"/>
              <w:rPr>
                <w:rFonts w:ascii="Tahoma" w:hAnsi="Tahoma" w:cs="Tahoma"/>
              </w:rPr>
            </w:pPr>
            <w:r w:rsidRPr="00A75DF9">
              <w:rPr>
                <w:rFonts w:ascii="Tahoma" w:hAnsi="Tahoma" w:cs="Tahoma"/>
              </w:rPr>
              <w:t>Licenza Server</w:t>
            </w:r>
          </w:p>
        </w:tc>
      </w:tr>
    </w:tbl>
    <w:p w:rsidR="00023FE7" w:rsidRDefault="00023FE7" w:rsidP="00792D1E">
      <w:pPr>
        <w:pStyle w:val="AppendixBodyText"/>
        <w:spacing w:after="0"/>
        <w:rPr>
          <w:rFonts w:ascii="Tahoma" w:hAnsi="Tahoma" w:cs="Tahoma"/>
          <w:sz w:val="18"/>
          <w:szCs w:val="18"/>
        </w:rPr>
      </w:pPr>
    </w:p>
    <w:p w:rsidR="004B42EB" w:rsidRPr="004B42EB" w:rsidRDefault="004B42EB" w:rsidP="00792D1E">
      <w:pPr>
        <w:pStyle w:val="AppendixBodyText"/>
        <w:spacing w:after="0"/>
        <w:rPr>
          <w:rFonts w:ascii="Tahoma" w:hAnsi="Tahoma" w:cs="Tahoma"/>
          <w:sz w:val="12"/>
          <w:szCs w:val="12"/>
        </w:rPr>
      </w:pPr>
    </w:p>
    <w:tbl>
      <w:tblPr>
        <w:tblW w:w="945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99" w:type="dxa"/>
          <w:right w:w="99" w:type="dxa"/>
        </w:tblCellMar>
        <w:tblLook w:val="01E0" w:firstRow="1" w:lastRow="1" w:firstColumn="1" w:lastColumn="1" w:noHBand="0" w:noVBand="0"/>
      </w:tblPr>
      <w:tblGrid>
        <w:gridCol w:w="1332"/>
        <w:gridCol w:w="1080"/>
        <w:gridCol w:w="1352"/>
        <w:gridCol w:w="1350"/>
        <w:gridCol w:w="1530"/>
        <w:gridCol w:w="1258"/>
        <w:gridCol w:w="1548"/>
      </w:tblGrid>
      <w:tr w:rsidR="0043190C" w:rsidRPr="00A75DF9" w:rsidTr="004B42EB">
        <w:trPr>
          <w:trHeight w:val="178"/>
        </w:trPr>
        <w:tc>
          <w:tcPr>
            <w:tcW w:w="1332" w:type="dxa"/>
            <w:shd w:val="clear" w:color="auto" w:fill="FFCC99"/>
            <w:vAlign w:val="center"/>
          </w:tcPr>
          <w:p w:rsidR="0043190C" w:rsidRPr="00A75DF9" w:rsidRDefault="0043190C" w:rsidP="004B42EB">
            <w:pPr>
              <w:pStyle w:val="AppendixTableHeadings"/>
              <w:keepNext/>
              <w:spacing w:line="240" w:lineRule="auto"/>
              <w:rPr>
                <w:rFonts w:ascii="Tahoma" w:hAnsi="Tahoma" w:cs="Tahoma"/>
                <w:sz w:val="20"/>
                <w:szCs w:val="20"/>
              </w:rPr>
            </w:pPr>
            <w:r w:rsidRPr="00A75DF9">
              <w:rPr>
                <w:rFonts w:ascii="Tahoma" w:hAnsi="Tahoma" w:cs="Tahoma"/>
                <w:sz w:val="20"/>
                <w:szCs w:val="20"/>
              </w:rPr>
              <w:t>Gruppo di</w:t>
            </w:r>
            <w:r w:rsidR="004B42EB">
              <w:rPr>
                <w:rFonts w:ascii="Tahoma" w:hAnsi="Tahoma" w:cs="Tahoma"/>
                <w:sz w:val="20"/>
                <w:szCs w:val="20"/>
              </w:rPr>
              <w:t> </w:t>
            </w:r>
            <w:r w:rsidRPr="00A75DF9">
              <w:rPr>
                <w:rFonts w:ascii="Tahoma" w:hAnsi="Tahoma" w:cs="Tahoma"/>
                <w:sz w:val="20"/>
                <w:szCs w:val="20"/>
              </w:rPr>
              <w:t>Prodotti</w:t>
            </w:r>
          </w:p>
        </w:tc>
        <w:tc>
          <w:tcPr>
            <w:tcW w:w="1080" w:type="dxa"/>
            <w:shd w:val="clear" w:color="auto" w:fill="FFCC99"/>
            <w:vAlign w:val="center"/>
          </w:tcPr>
          <w:p w:rsidR="0043190C" w:rsidRPr="00A75DF9" w:rsidRDefault="0043190C" w:rsidP="004B42EB">
            <w:pPr>
              <w:pStyle w:val="AppendixTableHeadings"/>
              <w:keepNext/>
              <w:spacing w:line="240" w:lineRule="auto"/>
              <w:rPr>
                <w:rFonts w:ascii="Tahoma" w:hAnsi="Tahoma" w:cs="Tahoma"/>
                <w:sz w:val="20"/>
                <w:szCs w:val="20"/>
              </w:rPr>
            </w:pPr>
            <w:r w:rsidRPr="00A75DF9">
              <w:rPr>
                <w:rFonts w:ascii="Tahoma" w:hAnsi="Tahoma" w:cs="Tahoma"/>
                <w:sz w:val="20"/>
                <w:szCs w:val="20"/>
              </w:rPr>
              <w:t>Open Value con SAM</w:t>
            </w:r>
          </w:p>
        </w:tc>
        <w:tc>
          <w:tcPr>
            <w:tcW w:w="1352" w:type="dxa"/>
            <w:shd w:val="clear" w:color="auto" w:fill="FFCC99"/>
            <w:vAlign w:val="center"/>
          </w:tcPr>
          <w:p w:rsidR="0043190C" w:rsidRPr="00A75DF9" w:rsidRDefault="0043190C" w:rsidP="004B42EB">
            <w:pPr>
              <w:pStyle w:val="AppendixTableHeadings"/>
              <w:keepNext/>
              <w:spacing w:line="240" w:lineRule="auto"/>
              <w:rPr>
                <w:rFonts w:ascii="Tahoma" w:hAnsi="Tahoma" w:cs="Tahoma"/>
              </w:rPr>
            </w:pPr>
            <w:r w:rsidRPr="00A75DF9">
              <w:rPr>
                <w:rFonts w:ascii="Tahoma" w:hAnsi="Tahoma" w:cs="Tahoma"/>
                <w:sz w:val="20"/>
                <w:szCs w:val="20"/>
              </w:rPr>
              <w:t>SAM</w:t>
            </w:r>
          </w:p>
          <w:p w:rsidR="0043190C" w:rsidRPr="00A75DF9" w:rsidRDefault="0043190C" w:rsidP="004B42EB">
            <w:pPr>
              <w:pStyle w:val="AppendixTableHeadings"/>
              <w:keepNext/>
              <w:spacing w:line="240" w:lineRule="auto"/>
              <w:rPr>
                <w:rFonts w:ascii="Tahoma" w:hAnsi="Tahoma" w:cs="Tahoma"/>
                <w:sz w:val="20"/>
                <w:szCs w:val="20"/>
              </w:rPr>
            </w:pPr>
            <w:r w:rsidRPr="00A75DF9">
              <w:rPr>
                <w:rFonts w:ascii="Tahoma" w:hAnsi="Tahoma" w:cs="Tahoma"/>
                <w:sz w:val="20"/>
                <w:szCs w:val="20"/>
              </w:rPr>
              <w:t>250-2</w:t>
            </w:r>
            <w:r w:rsidR="004B42EB">
              <w:rPr>
                <w:rFonts w:ascii="Tahoma" w:hAnsi="Tahoma" w:cs="Tahoma"/>
                <w:sz w:val="20"/>
                <w:szCs w:val="20"/>
              </w:rPr>
              <w:t>.</w:t>
            </w:r>
            <w:r w:rsidRPr="00A75DF9">
              <w:rPr>
                <w:rFonts w:ascii="Tahoma" w:hAnsi="Tahoma" w:cs="Tahoma"/>
                <w:sz w:val="20"/>
                <w:szCs w:val="20"/>
              </w:rPr>
              <w:t xml:space="preserve">399 </w:t>
            </w:r>
          </w:p>
        </w:tc>
        <w:tc>
          <w:tcPr>
            <w:tcW w:w="1350" w:type="dxa"/>
            <w:shd w:val="clear" w:color="auto" w:fill="FFCC99"/>
            <w:vAlign w:val="center"/>
          </w:tcPr>
          <w:p w:rsidR="0043190C" w:rsidRPr="00A75DF9" w:rsidRDefault="0043190C" w:rsidP="004B42EB">
            <w:pPr>
              <w:pStyle w:val="AppendixTableHeadings"/>
              <w:keepNext/>
              <w:spacing w:line="240" w:lineRule="auto"/>
              <w:rPr>
                <w:rFonts w:ascii="Tahoma" w:hAnsi="Tahoma" w:cs="Tahoma"/>
              </w:rPr>
            </w:pPr>
            <w:r w:rsidRPr="00A75DF9">
              <w:rPr>
                <w:rFonts w:ascii="Tahoma" w:hAnsi="Tahoma" w:cs="Tahoma"/>
                <w:sz w:val="20"/>
                <w:szCs w:val="20"/>
              </w:rPr>
              <w:t>SAM</w:t>
            </w:r>
          </w:p>
          <w:p w:rsidR="0043190C" w:rsidRPr="00A75DF9" w:rsidRDefault="0043190C" w:rsidP="004B42EB">
            <w:pPr>
              <w:pStyle w:val="AppendixTableHeadings"/>
              <w:keepNext/>
              <w:spacing w:line="240" w:lineRule="auto"/>
              <w:rPr>
                <w:rFonts w:ascii="Tahoma" w:hAnsi="Tahoma" w:cs="Tahoma"/>
                <w:sz w:val="20"/>
                <w:szCs w:val="20"/>
              </w:rPr>
            </w:pPr>
            <w:r w:rsidRPr="00A75DF9">
              <w:rPr>
                <w:rFonts w:ascii="Tahoma" w:hAnsi="Tahoma" w:cs="Tahoma"/>
                <w:sz w:val="20"/>
                <w:szCs w:val="20"/>
              </w:rPr>
              <w:t>2</w:t>
            </w:r>
            <w:r w:rsidR="004B42EB">
              <w:rPr>
                <w:rFonts w:ascii="Tahoma" w:hAnsi="Tahoma" w:cs="Tahoma"/>
                <w:sz w:val="20"/>
                <w:szCs w:val="20"/>
              </w:rPr>
              <w:t>.</w:t>
            </w:r>
            <w:r w:rsidRPr="00A75DF9">
              <w:rPr>
                <w:rFonts w:ascii="Tahoma" w:hAnsi="Tahoma" w:cs="Tahoma"/>
                <w:sz w:val="20"/>
                <w:szCs w:val="20"/>
              </w:rPr>
              <w:t>400-5</w:t>
            </w:r>
            <w:r w:rsidR="004B42EB">
              <w:rPr>
                <w:rFonts w:ascii="Tahoma" w:hAnsi="Tahoma" w:cs="Tahoma"/>
                <w:sz w:val="20"/>
                <w:szCs w:val="20"/>
              </w:rPr>
              <w:t>.</w:t>
            </w:r>
            <w:r w:rsidRPr="00A75DF9">
              <w:rPr>
                <w:rFonts w:ascii="Tahoma" w:hAnsi="Tahoma" w:cs="Tahoma"/>
                <w:sz w:val="20"/>
                <w:szCs w:val="20"/>
              </w:rPr>
              <w:t>999</w:t>
            </w:r>
          </w:p>
        </w:tc>
        <w:tc>
          <w:tcPr>
            <w:tcW w:w="1530" w:type="dxa"/>
            <w:shd w:val="clear" w:color="auto" w:fill="FFCC99"/>
            <w:vAlign w:val="center"/>
          </w:tcPr>
          <w:p w:rsidR="0043190C" w:rsidRPr="00A75DF9" w:rsidRDefault="0043190C" w:rsidP="004B42EB">
            <w:pPr>
              <w:pStyle w:val="AppendixTableHeadings"/>
              <w:keepNext/>
              <w:spacing w:line="240" w:lineRule="auto"/>
              <w:rPr>
                <w:rFonts w:ascii="Tahoma" w:hAnsi="Tahoma" w:cs="Tahoma"/>
              </w:rPr>
            </w:pPr>
            <w:r w:rsidRPr="00A75DF9">
              <w:rPr>
                <w:rFonts w:ascii="Tahoma" w:hAnsi="Tahoma" w:cs="Tahoma"/>
                <w:sz w:val="20"/>
                <w:szCs w:val="20"/>
              </w:rPr>
              <w:t>SAM</w:t>
            </w:r>
          </w:p>
          <w:p w:rsidR="0043190C" w:rsidRPr="00A75DF9" w:rsidRDefault="0043190C" w:rsidP="004B42EB">
            <w:pPr>
              <w:pStyle w:val="AppendixTableHeadings"/>
              <w:keepNext/>
              <w:spacing w:line="240" w:lineRule="auto"/>
              <w:rPr>
                <w:rFonts w:ascii="Tahoma" w:hAnsi="Tahoma" w:cs="Tahoma"/>
                <w:sz w:val="20"/>
                <w:szCs w:val="20"/>
              </w:rPr>
            </w:pPr>
            <w:r w:rsidRPr="00A75DF9">
              <w:rPr>
                <w:rFonts w:ascii="Tahoma" w:hAnsi="Tahoma" w:cs="Tahoma"/>
                <w:sz w:val="20"/>
                <w:szCs w:val="20"/>
              </w:rPr>
              <w:t>6</w:t>
            </w:r>
            <w:r w:rsidR="004B42EB">
              <w:rPr>
                <w:rFonts w:ascii="Tahoma" w:hAnsi="Tahoma" w:cs="Tahoma"/>
                <w:sz w:val="20"/>
                <w:szCs w:val="20"/>
              </w:rPr>
              <w:t>.</w:t>
            </w:r>
            <w:r w:rsidRPr="00A75DF9">
              <w:rPr>
                <w:rFonts w:ascii="Tahoma" w:hAnsi="Tahoma" w:cs="Tahoma"/>
                <w:sz w:val="20"/>
                <w:szCs w:val="20"/>
              </w:rPr>
              <w:t>000-14</w:t>
            </w:r>
            <w:r w:rsidR="004B42EB">
              <w:rPr>
                <w:rFonts w:ascii="Tahoma" w:hAnsi="Tahoma" w:cs="Tahoma"/>
                <w:sz w:val="20"/>
                <w:szCs w:val="20"/>
              </w:rPr>
              <w:t>.</w:t>
            </w:r>
            <w:r w:rsidRPr="00A75DF9">
              <w:rPr>
                <w:rFonts w:ascii="Tahoma" w:hAnsi="Tahoma" w:cs="Tahoma"/>
                <w:sz w:val="20"/>
                <w:szCs w:val="20"/>
              </w:rPr>
              <w:t>999</w:t>
            </w:r>
          </w:p>
        </w:tc>
        <w:tc>
          <w:tcPr>
            <w:tcW w:w="1258" w:type="dxa"/>
            <w:shd w:val="clear" w:color="auto" w:fill="FFCC99"/>
            <w:vAlign w:val="center"/>
          </w:tcPr>
          <w:p w:rsidR="0043190C" w:rsidRPr="00A75DF9" w:rsidRDefault="0043190C" w:rsidP="004B42EB">
            <w:pPr>
              <w:pStyle w:val="AppendixTableHeadings"/>
              <w:keepNext/>
              <w:spacing w:line="240" w:lineRule="auto"/>
              <w:rPr>
                <w:rFonts w:ascii="Tahoma" w:hAnsi="Tahoma" w:cs="Tahoma"/>
              </w:rPr>
            </w:pPr>
            <w:r w:rsidRPr="00A75DF9">
              <w:rPr>
                <w:rFonts w:ascii="Tahoma" w:hAnsi="Tahoma" w:cs="Tahoma"/>
                <w:sz w:val="20"/>
                <w:szCs w:val="20"/>
              </w:rPr>
              <w:t>SAM</w:t>
            </w:r>
          </w:p>
          <w:p w:rsidR="0043190C" w:rsidRPr="00A75DF9" w:rsidRDefault="0043190C" w:rsidP="004B42EB">
            <w:pPr>
              <w:pStyle w:val="AppendixTableHeadings"/>
              <w:keepNext/>
              <w:spacing w:line="240" w:lineRule="auto"/>
              <w:rPr>
                <w:rFonts w:ascii="Tahoma" w:hAnsi="Tahoma" w:cs="Tahoma"/>
                <w:sz w:val="20"/>
                <w:szCs w:val="20"/>
              </w:rPr>
            </w:pPr>
            <w:r w:rsidRPr="00A75DF9">
              <w:rPr>
                <w:rFonts w:ascii="Tahoma" w:hAnsi="Tahoma" w:cs="Tahoma"/>
                <w:sz w:val="20"/>
                <w:szCs w:val="20"/>
              </w:rPr>
              <w:t>15</w:t>
            </w:r>
            <w:r w:rsidR="004B42EB">
              <w:rPr>
                <w:rFonts w:ascii="Tahoma" w:hAnsi="Tahoma" w:cs="Tahoma"/>
                <w:sz w:val="20"/>
                <w:szCs w:val="20"/>
              </w:rPr>
              <w:t>.</w:t>
            </w:r>
            <w:r w:rsidRPr="00A75DF9">
              <w:rPr>
                <w:rFonts w:ascii="Tahoma" w:hAnsi="Tahoma" w:cs="Tahoma"/>
                <w:sz w:val="20"/>
                <w:szCs w:val="20"/>
              </w:rPr>
              <w:t>000+</w:t>
            </w:r>
          </w:p>
        </w:tc>
        <w:tc>
          <w:tcPr>
            <w:tcW w:w="1548" w:type="dxa"/>
            <w:shd w:val="clear" w:color="auto" w:fill="FFCC99"/>
            <w:vAlign w:val="center"/>
          </w:tcPr>
          <w:p w:rsidR="0043190C" w:rsidRPr="00A75DF9" w:rsidRDefault="0043190C" w:rsidP="004B42EB">
            <w:pPr>
              <w:pStyle w:val="AppendixTableHeadings"/>
              <w:keepNext/>
              <w:spacing w:line="240" w:lineRule="auto"/>
              <w:rPr>
                <w:rFonts w:ascii="Tahoma" w:hAnsi="Tahoma" w:cs="Tahoma"/>
                <w:sz w:val="20"/>
                <w:szCs w:val="20"/>
              </w:rPr>
            </w:pPr>
            <w:r w:rsidRPr="00A75DF9">
              <w:rPr>
                <w:rFonts w:ascii="Tahoma" w:hAnsi="Tahoma" w:cs="Tahoma"/>
                <w:sz w:val="20"/>
                <w:szCs w:val="20"/>
              </w:rPr>
              <w:t>Academic Select/Select Plus for Academic/</w:t>
            </w:r>
            <w:r w:rsidR="004B42EB">
              <w:rPr>
                <w:rFonts w:ascii="Tahoma" w:hAnsi="Tahoma" w:cs="Tahoma"/>
                <w:sz w:val="20"/>
                <w:szCs w:val="20"/>
              </w:rPr>
              <w:br/>
            </w:r>
            <w:r w:rsidRPr="00A75DF9">
              <w:rPr>
                <w:rFonts w:ascii="Tahoma" w:hAnsi="Tahoma" w:cs="Tahoma"/>
                <w:sz w:val="20"/>
                <w:szCs w:val="20"/>
              </w:rPr>
              <w:t>Open con SAM</w:t>
            </w:r>
          </w:p>
        </w:tc>
      </w:tr>
      <w:tr w:rsidR="0043190C" w:rsidRPr="00A75DF9" w:rsidTr="004B42EB">
        <w:trPr>
          <w:trHeight w:val="236"/>
        </w:trPr>
        <w:tc>
          <w:tcPr>
            <w:tcW w:w="1332" w:type="dxa"/>
            <w:vAlign w:val="center"/>
          </w:tcPr>
          <w:p w:rsidR="0043190C" w:rsidRPr="00A75DF9" w:rsidRDefault="0043190C" w:rsidP="004B42EB">
            <w:pPr>
              <w:pStyle w:val="AppendixTableText"/>
              <w:keepNext/>
              <w:spacing w:line="240" w:lineRule="auto"/>
              <w:rPr>
                <w:rFonts w:ascii="Tahoma" w:hAnsi="Tahoma" w:cs="Tahoma"/>
              </w:rPr>
            </w:pPr>
            <w:r w:rsidRPr="00A75DF9">
              <w:rPr>
                <w:rFonts w:ascii="Tahoma" w:hAnsi="Tahoma" w:cs="Tahoma"/>
                <w:b/>
              </w:rPr>
              <w:t>Pool di</w:t>
            </w:r>
            <w:r w:rsidRPr="00A75DF9">
              <w:rPr>
                <w:rFonts w:ascii="Tahoma" w:hAnsi="Tahoma" w:cs="Tahoma"/>
              </w:rPr>
              <w:t xml:space="preserve"> </w:t>
            </w:r>
            <w:r w:rsidRPr="00A75DF9">
              <w:rPr>
                <w:rFonts w:ascii="Tahoma" w:hAnsi="Tahoma" w:cs="Tahoma"/>
                <w:b/>
              </w:rPr>
              <w:t>Applicazioni</w:t>
            </w:r>
          </w:p>
        </w:tc>
        <w:tc>
          <w:tcPr>
            <w:tcW w:w="1080" w:type="dxa"/>
            <w:vAlign w:val="center"/>
          </w:tcPr>
          <w:p w:rsidR="0043190C" w:rsidRPr="00A75DF9" w:rsidRDefault="0043190C" w:rsidP="004B42EB">
            <w:pPr>
              <w:pStyle w:val="AppendixTableText"/>
              <w:keepNext/>
              <w:spacing w:line="240" w:lineRule="auto"/>
              <w:rPr>
                <w:rFonts w:ascii="Tahoma" w:hAnsi="Tahoma" w:cs="Tahoma"/>
              </w:rPr>
            </w:pPr>
            <w:r w:rsidRPr="00A75DF9">
              <w:rPr>
                <w:rFonts w:ascii="Tahoma" w:hAnsi="Tahoma" w:cs="Tahoma"/>
              </w:rPr>
              <w:t>1 ID Utente</w:t>
            </w:r>
            <w:r w:rsidR="004B42EB">
              <w:rPr>
                <w:rFonts w:ascii="Tahoma" w:hAnsi="Tahoma" w:cs="Tahoma"/>
              </w:rPr>
              <w:t> </w:t>
            </w:r>
            <w:r w:rsidRPr="00A75DF9">
              <w:rPr>
                <w:rFonts w:ascii="Tahoma" w:hAnsi="Tahoma" w:cs="Tahoma"/>
              </w:rPr>
              <w:t>per contratto</w:t>
            </w:r>
          </w:p>
        </w:tc>
        <w:tc>
          <w:tcPr>
            <w:tcW w:w="1352" w:type="dxa"/>
            <w:vAlign w:val="center"/>
          </w:tcPr>
          <w:p w:rsidR="0043190C" w:rsidRPr="00A75DF9" w:rsidRDefault="0043190C" w:rsidP="004B42EB">
            <w:pPr>
              <w:pStyle w:val="AppendixTableText"/>
              <w:keepNext/>
              <w:spacing w:line="240" w:lineRule="auto"/>
              <w:rPr>
                <w:rFonts w:ascii="Tahoma" w:hAnsi="Tahoma" w:cs="Tahoma"/>
              </w:rPr>
            </w:pPr>
            <w:r w:rsidRPr="00A75DF9">
              <w:rPr>
                <w:rFonts w:ascii="Tahoma" w:hAnsi="Tahoma" w:cs="Tahoma"/>
              </w:rPr>
              <w:t>2 ID Utente</w:t>
            </w:r>
            <w:r w:rsidR="004B42EB">
              <w:rPr>
                <w:rFonts w:ascii="Tahoma" w:hAnsi="Tahoma" w:cs="Tahoma"/>
              </w:rPr>
              <w:t> </w:t>
            </w:r>
            <w:r w:rsidRPr="00A75DF9">
              <w:rPr>
                <w:rFonts w:ascii="Tahoma" w:hAnsi="Tahoma" w:cs="Tahoma"/>
              </w:rPr>
              <w:t>per</w:t>
            </w:r>
          </w:p>
          <w:p w:rsidR="0043190C" w:rsidRPr="00A75DF9" w:rsidRDefault="0043190C" w:rsidP="004B42EB">
            <w:pPr>
              <w:pStyle w:val="AppendixTableText"/>
              <w:keepNext/>
              <w:spacing w:line="240" w:lineRule="auto"/>
              <w:rPr>
                <w:rFonts w:ascii="Tahoma" w:hAnsi="Tahoma" w:cs="Tahoma"/>
              </w:rPr>
            </w:pPr>
            <w:r w:rsidRPr="00A75DF9">
              <w:rPr>
                <w:rFonts w:ascii="Tahoma" w:hAnsi="Tahoma" w:cs="Tahoma"/>
              </w:rPr>
              <w:t>Idoneo</w:t>
            </w:r>
          </w:p>
          <w:p w:rsidR="0043190C" w:rsidRPr="00A75DF9" w:rsidRDefault="0043190C" w:rsidP="004B42EB">
            <w:pPr>
              <w:pStyle w:val="AppendixTableText"/>
              <w:keepNext/>
              <w:spacing w:line="240" w:lineRule="auto"/>
              <w:rPr>
                <w:rFonts w:ascii="Tahoma" w:hAnsi="Tahoma" w:cs="Tahoma"/>
              </w:rPr>
            </w:pPr>
            <w:r w:rsidRPr="00A75DF9">
              <w:rPr>
                <w:rFonts w:ascii="Tahoma" w:hAnsi="Tahoma" w:cs="Tahoma"/>
              </w:rPr>
              <w:t>Qualificante</w:t>
            </w:r>
          </w:p>
        </w:tc>
        <w:tc>
          <w:tcPr>
            <w:tcW w:w="1350" w:type="dxa"/>
            <w:vAlign w:val="center"/>
          </w:tcPr>
          <w:p w:rsidR="0043190C" w:rsidRPr="00A75DF9" w:rsidRDefault="0043190C" w:rsidP="004B42EB">
            <w:pPr>
              <w:pStyle w:val="AppendixTableText"/>
              <w:keepNext/>
              <w:spacing w:line="240" w:lineRule="auto"/>
              <w:rPr>
                <w:rFonts w:ascii="Tahoma" w:hAnsi="Tahoma" w:cs="Tahoma"/>
              </w:rPr>
            </w:pPr>
            <w:r w:rsidRPr="00A75DF9">
              <w:rPr>
                <w:rFonts w:ascii="Tahoma" w:hAnsi="Tahoma" w:cs="Tahoma"/>
              </w:rPr>
              <w:t>5 ID Utente</w:t>
            </w:r>
            <w:r w:rsidR="004B42EB">
              <w:rPr>
                <w:rFonts w:ascii="Tahoma" w:hAnsi="Tahoma" w:cs="Tahoma"/>
              </w:rPr>
              <w:t> </w:t>
            </w:r>
            <w:r w:rsidRPr="00A75DF9">
              <w:rPr>
                <w:rFonts w:ascii="Tahoma" w:hAnsi="Tahoma" w:cs="Tahoma"/>
              </w:rPr>
              <w:t>per</w:t>
            </w:r>
          </w:p>
          <w:p w:rsidR="0043190C" w:rsidRPr="00A75DF9" w:rsidRDefault="0043190C" w:rsidP="004B42EB">
            <w:pPr>
              <w:pStyle w:val="AppendixTableText"/>
              <w:keepNext/>
              <w:spacing w:line="240" w:lineRule="auto"/>
              <w:rPr>
                <w:rFonts w:ascii="Tahoma" w:hAnsi="Tahoma" w:cs="Tahoma"/>
              </w:rPr>
            </w:pPr>
            <w:r w:rsidRPr="00A75DF9">
              <w:rPr>
                <w:rFonts w:ascii="Tahoma" w:hAnsi="Tahoma" w:cs="Tahoma"/>
              </w:rPr>
              <w:t>Idoneo</w:t>
            </w:r>
          </w:p>
          <w:p w:rsidR="0043190C" w:rsidRPr="00A75DF9" w:rsidRDefault="0043190C" w:rsidP="004B42EB">
            <w:pPr>
              <w:pStyle w:val="AppendixTableText"/>
              <w:keepNext/>
              <w:spacing w:line="240" w:lineRule="auto"/>
              <w:rPr>
                <w:rFonts w:ascii="Tahoma" w:hAnsi="Tahoma" w:cs="Tahoma"/>
              </w:rPr>
            </w:pPr>
            <w:r w:rsidRPr="00A75DF9">
              <w:rPr>
                <w:rFonts w:ascii="Tahoma" w:hAnsi="Tahoma" w:cs="Tahoma"/>
              </w:rPr>
              <w:t>Qualificante</w:t>
            </w:r>
          </w:p>
        </w:tc>
        <w:tc>
          <w:tcPr>
            <w:tcW w:w="1530" w:type="dxa"/>
            <w:vAlign w:val="center"/>
          </w:tcPr>
          <w:p w:rsidR="0043190C" w:rsidRPr="00A75DF9" w:rsidRDefault="0043190C" w:rsidP="004B42EB">
            <w:pPr>
              <w:pStyle w:val="AppendixTableText"/>
              <w:keepNext/>
              <w:spacing w:line="240" w:lineRule="auto"/>
              <w:rPr>
                <w:rFonts w:ascii="Tahoma" w:hAnsi="Tahoma" w:cs="Tahoma"/>
              </w:rPr>
            </w:pPr>
            <w:r w:rsidRPr="00A75DF9">
              <w:rPr>
                <w:rFonts w:ascii="Tahoma" w:hAnsi="Tahoma" w:cs="Tahoma"/>
              </w:rPr>
              <w:t>10 ID Utente</w:t>
            </w:r>
            <w:r w:rsidR="004B42EB">
              <w:rPr>
                <w:rFonts w:ascii="Tahoma" w:hAnsi="Tahoma" w:cs="Tahoma"/>
              </w:rPr>
              <w:t> </w:t>
            </w:r>
            <w:r w:rsidRPr="00A75DF9">
              <w:rPr>
                <w:rFonts w:ascii="Tahoma" w:hAnsi="Tahoma" w:cs="Tahoma"/>
              </w:rPr>
              <w:t>per</w:t>
            </w:r>
          </w:p>
          <w:p w:rsidR="0043190C" w:rsidRPr="00A75DF9" w:rsidRDefault="0043190C" w:rsidP="004B42EB">
            <w:pPr>
              <w:pStyle w:val="AppendixTableText"/>
              <w:keepNext/>
              <w:spacing w:line="240" w:lineRule="auto"/>
              <w:rPr>
                <w:rFonts w:ascii="Tahoma" w:hAnsi="Tahoma" w:cs="Tahoma"/>
              </w:rPr>
            </w:pPr>
            <w:r w:rsidRPr="00A75DF9">
              <w:rPr>
                <w:rFonts w:ascii="Tahoma" w:hAnsi="Tahoma" w:cs="Tahoma"/>
              </w:rPr>
              <w:t>Idoneo</w:t>
            </w:r>
          </w:p>
          <w:p w:rsidR="0043190C" w:rsidRPr="00A75DF9" w:rsidRDefault="0043190C" w:rsidP="004B42EB">
            <w:pPr>
              <w:pStyle w:val="AppendixTableText"/>
              <w:keepNext/>
              <w:spacing w:line="240" w:lineRule="auto"/>
              <w:rPr>
                <w:rFonts w:ascii="Tahoma" w:hAnsi="Tahoma" w:cs="Tahoma"/>
              </w:rPr>
            </w:pPr>
            <w:r w:rsidRPr="00A75DF9">
              <w:rPr>
                <w:rFonts w:ascii="Tahoma" w:hAnsi="Tahoma" w:cs="Tahoma"/>
              </w:rPr>
              <w:t>Qualificante</w:t>
            </w:r>
          </w:p>
        </w:tc>
        <w:tc>
          <w:tcPr>
            <w:tcW w:w="1258" w:type="dxa"/>
            <w:vAlign w:val="center"/>
          </w:tcPr>
          <w:p w:rsidR="0043190C" w:rsidRPr="00A75DF9" w:rsidRDefault="0043190C" w:rsidP="004B42EB">
            <w:pPr>
              <w:pStyle w:val="AppendixTableText"/>
              <w:keepNext/>
              <w:spacing w:line="240" w:lineRule="auto"/>
              <w:rPr>
                <w:rFonts w:ascii="Tahoma" w:hAnsi="Tahoma" w:cs="Tahoma"/>
              </w:rPr>
            </w:pPr>
            <w:r w:rsidRPr="00A75DF9">
              <w:rPr>
                <w:rFonts w:ascii="Tahoma" w:hAnsi="Tahoma" w:cs="Tahoma"/>
              </w:rPr>
              <w:t>20 ID Utente</w:t>
            </w:r>
            <w:r w:rsidR="004B42EB">
              <w:rPr>
                <w:rFonts w:ascii="Tahoma" w:hAnsi="Tahoma" w:cs="Tahoma"/>
              </w:rPr>
              <w:t> </w:t>
            </w:r>
            <w:r w:rsidRPr="00A75DF9">
              <w:rPr>
                <w:rFonts w:ascii="Tahoma" w:hAnsi="Tahoma" w:cs="Tahoma"/>
              </w:rPr>
              <w:t>per</w:t>
            </w:r>
          </w:p>
          <w:p w:rsidR="0043190C" w:rsidRPr="00A75DF9" w:rsidRDefault="0043190C" w:rsidP="004B42EB">
            <w:pPr>
              <w:pStyle w:val="AppendixTableText"/>
              <w:keepNext/>
              <w:spacing w:line="240" w:lineRule="auto"/>
              <w:rPr>
                <w:rFonts w:ascii="Tahoma" w:hAnsi="Tahoma" w:cs="Tahoma"/>
              </w:rPr>
            </w:pPr>
            <w:r w:rsidRPr="00A75DF9">
              <w:rPr>
                <w:rFonts w:ascii="Tahoma" w:hAnsi="Tahoma" w:cs="Tahoma"/>
              </w:rPr>
              <w:t>Idoneo</w:t>
            </w:r>
          </w:p>
          <w:p w:rsidR="0043190C" w:rsidRPr="00A75DF9" w:rsidRDefault="0043190C" w:rsidP="004B42EB">
            <w:pPr>
              <w:pStyle w:val="AppendixTableText"/>
              <w:keepNext/>
              <w:spacing w:line="240" w:lineRule="auto"/>
              <w:rPr>
                <w:rFonts w:ascii="Tahoma" w:hAnsi="Tahoma" w:cs="Tahoma"/>
              </w:rPr>
            </w:pPr>
            <w:r w:rsidRPr="00A75DF9">
              <w:rPr>
                <w:rFonts w:ascii="Tahoma" w:hAnsi="Tahoma" w:cs="Tahoma"/>
              </w:rPr>
              <w:t>Qualificante</w:t>
            </w:r>
          </w:p>
        </w:tc>
        <w:tc>
          <w:tcPr>
            <w:tcW w:w="1548" w:type="dxa"/>
            <w:vAlign w:val="center"/>
          </w:tcPr>
          <w:p w:rsidR="0043190C" w:rsidRPr="00A75DF9" w:rsidRDefault="0043190C" w:rsidP="004B42EB">
            <w:pPr>
              <w:pStyle w:val="AppendixTableText"/>
              <w:keepNext/>
              <w:spacing w:line="240" w:lineRule="auto"/>
              <w:rPr>
                <w:rFonts w:ascii="Tahoma" w:hAnsi="Tahoma" w:cs="Tahoma"/>
              </w:rPr>
            </w:pPr>
            <w:r w:rsidRPr="00A75DF9">
              <w:rPr>
                <w:rFonts w:ascii="Tahoma" w:hAnsi="Tahoma" w:cs="Tahoma"/>
              </w:rPr>
              <w:t>1 ID Utente per iscrizione/</w:t>
            </w:r>
            <w:r w:rsidR="004B42EB">
              <w:rPr>
                <w:rFonts w:ascii="Tahoma" w:hAnsi="Tahoma" w:cs="Tahoma"/>
              </w:rPr>
              <w:br/>
            </w:r>
            <w:r w:rsidRPr="00A75DF9">
              <w:rPr>
                <w:rFonts w:ascii="Tahoma" w:hAnsi="Tahoma" w:cs="Tahoma"/>
              </w:rPr>
              <w:t>contratto</w:t>
            </w:r>
          </w:p>
        </w:tc>
      </w:tr>
      <w:tr w:rsidR="0043190C" w:rsidRPr="00A75DF9" w:rsidTr="004B42EB">
        <w:trPr>
          <w:trHeight w:val="236"/>
        </w:trPr>
        <w:tc>
          <w:tcPr>
            <w:tcW w:w="1332" w:type="dxa"/>
            <w:vAlign w:val="center"/>
          </w:tcPr>
          <w:p w:rsidR="0043190C" w:rsidRPr="00A75DF9" w:rsidRDefault="0043190C" w:rsidP="004B42EB">
            <w:pPr>
              <w:pStyle w:val="AppendixTableText"/>
              <w:keepNext/>
              <w:spacing w:line="240" w:lineRule="auto"/>
              <w:rPr>
                <w:rFonts w:ascii="Tahoma" w:hAnsi="Tahoma" w:cs="Tahoma"/>
              </w:rPr>
            </w:pPr>
            <w:r w:rsidRPr="00A75DF9">
              <w:rPr>
                <w:rFonts w:ascii="Tahoma" w:hAnsi="Tahoma" w:cs="Tahoma"/>
                <w:b/>
              </w:rPr>
              <w:t>Pool di</w:t>
            </w:r>
            <w:r w:rsidRPr="00A75DF9">
              <w:rPr>
                <w:rFonts w:ascii="Tahoma" w:hAnsi="Tahoma" w:cs="Tahoma"/>
              </w:rPr>
              <w:t xml:space="preserve"> </w:t>
            </w:r>
            <w:r w:rsidRPr="00A75DF9">
              <w:rPr>
                <w:rFonts w:ascii="Tahoma" w:hAnsi="Tahoma" w:cs="Tahoma"/>
                <w:b/>
              </w:rPr>
              <w:t>Sistemi</w:t>
            </w:r>
          </w:p>
        </w:tc>
        <w:tc>
          <w:tcPr>
            <w:tcW w:w="1080" w:type="dxa"/>
            <w:vAlign w:val="center"/>
          </w:tcPr>
          <w:p w:rsidR="0043190C" w:rsidRPr="00A75DF9" w:rsidRDefault="0043190C" w:rsidP="004B42EB">
            <w:pPr>
              <w:pStyle w:val="AppendixTableText"/>
              <w:keepNext/>
              <w:spacing w:line="240" w:lineRule="auto"/>
              <w:rPr>
                <w:rFonts w:ascii="Tahoma" w:hAnsi="Tahoma" w:cs="Tahoma"/>
              </w:rPr>
            </w:pPr>
            <w:r w:rsidRPr="00A75DF9">
              <w:rPr>
                <w:rFonts w:ascii="Tahoma" w:hAnsi="Tahoma" w:cs="Tahoma"/>
              </w:rPr>
              <w:t>1 ID Utente</w:t>
            </w:r>
            <w:r w:rsidR="004B42EB">
              <w:rPr>
                <w:rFonts w:ascii="Tahoma" w:hAnsi="Tahoma" w:cs="Tahoma"/>
              </w:rPr>
              <w:t> </w:t>
            </w:r>
            <w:r w:rsidRPr="00A75DF9">
              <w:rPr>
                <w:rFonts w:ascii="Tahoma" w:hAnsi="Tahoma" w:cs="Tahoma"/>
              </w:rPr>
              <w:t>per contratto</w:t>
            </w:r>
          </w:p>
        </w:tc>
        <w:tc>
          <w:tcPr>
            <w:tcW w:w="1352" w:type="dxa"/>
            <w:vAlign w:val="center"/>
          </w:tcPr>
          <w:p w:rsidR="0043190C" w:rsidRPr="00A75DF9" w:rsidRDefault="0043190C" w:rsidP="004B42EB">
            <w:pPr>
              <w:pStyle w:val="AppendixTableText"/>
              <w:keepNext/>
              <w:spacing w:line="240" w:lineRule="auto"/>
              <w:rPr>
                <w:rFonts w:ascii="Tahoma" w:hAnsi="Tahoma" w:cs="Tahoma"/>
              </w:rPr>
            </w:pPr>
            <w:r w:rsidRPr="00A75DF9">
              <w:rPr>
                <w:rFonts w:ascii="Tahoma" w:hAnsi="Tahoma" w:cs="Tahoma"/>
              </w:rPr>
              <w:t>2 ID Utente</w:t>
            </w:r>
            <w:r w:rsidR="004B42EB">
              <w:rPr>
                <w:rFonts w:ascii="Tahoma" w:hAnsi="Tahoma" w:cs="Tahoma"/>
              </w:rPr>
              <w:t> </w:t>
            </w:r>
            <w:r w:rsidRPr="00A75DF9">
              <w:rPr>
                <w:rFonts w:ascii="Tahoma" w:hAnsi="Tahoma" w:cs="Tahoma"/>
              </w:rPr>
              <w:t>per</w:t>
            </w:r>
          </w:p>
          <w:p w:rsidR="0043190C" w:rsidRPr="00A75DF9" w:rsidRDefault="0043190C" w:rsidP="004B42EB">
            <w:pPr>
              <w:pStyle w:val="AppendixTableText"/>
              <w:keepNext/>
              <w:spacing w:line="240" w:lineRule="auto"/>
              <w:rPr>
                <w:rFonts w:ascii="Tahoma" w:hAnsi="Tahoma" w:cs="Tahoma"/>
              </w:rPr>
            </w:pPr>
            <w:r w:rsidRPr="00A75DF9">
              <w:rPr>
                <w:rFonts w:ascii="Tahoma" w:hAnsi="Tahoma" w:cs="Tahoma"/>
              </w:rPr>
              <w:t>Idoneo</w:t>
            </w:r>
          </w:p>
          <w:p w:rsidR="0043190C" w:rsidRPr="00A75DF9" w:rsidRDefault="0043190C" w:rsidP="004B42EB">
            <w:pPr>
              <w:pStyle w:val="AppendixTableText"/>
              <w:keepNext/>
              <w:spacing w:line="240" w:lineRule="auto"/>
              <w:rPr>
                <w:rFonts w:ascii="Tahoma" w:hAnsi="Tahoma" w:cs="Tahoma"/>
              </w:rPr>
            </w:pPr>
            <w:r w:rsidRPr="00A75DF9">
              <w:rPr>
                <w:rFonts w:ascii="Tahoma" w:hAnsi="Tahoma" w:cs="Tahoma"/>
              </w:rPr>
              <w:t>Qualificante</w:t>
            </w:r>
          </w:p>
        </w:tc>
        <w:tc>
          <w:tcPr>
            <w:tcW w:w="1350" w:type="dxa"/>
            <w:vAlign w:val="center"/>
          </w:tcPr>
          <w:p w:rsidR="0043190C" w:rsidRPr="00A75DF9" w:rsidRDefault="00F30075" w:rsidP="004B42EB">
            <w:pPr>
              <w:pStyle w:val="AppendixTableText"/>
              <w:keepNext/>
              <w:spacing w:line="240" w:lineRule="auto"/>
              <w:rPr>
                <w:rFonts w:ascii="Tahoma" w:hAnsi="Tahoma" w:cs="Tahoma"/>
              </w:rPr>
            </w:pPr>
            <w:r w:rsidRPr="00A75DF9">
              <w:rPr>
                <w:rFonts w:ascii="Tahoma" w:hAnsi="Tahoma" w:cs="Tahoma"/>
              </w:rPr>
              <w:t>3 ID Utente</w:t>
            </w:r>
            <w:r w:rsidR="004B42EB">
              <w:rPr>
                <w:rFonts w:ascii="Tahoma" w:hAnsi="Tahoma" w:cs="Tahoma"/>
              </w:rPr>
              <w:t> </w:t>
            </w:r>
            <w:r w:rsidRPr="00A75DF9">
              <w:rPr>
                <w:rFonts w:ascii="Tahoma" w:hAnsi="Tahoma" w:cs="Tahoma"/>
              </w:rPr>
              <w:t>per</w:t>
            </w:r>
          </w:p>
          <w:p w:rsidR="0043190C" w:rsidRPr="00A75DF9" w:rsidRDefault="0043190C" w:rsidP="004B42EB">
            <w:pPr>
              <w:pStyle w:val="AppendixTableText"/>
              <w:keepNext/>
              <w:spacing w:line="240" w:lineRule="auto"/>
              <w:rPr>
                <w:rFonts w:ascii="Tahoma" w:hAnsi="Tahoma" w:cs="Tahoma"/>
              </w:rPr>
            </w:pPr>
            <w:r w:rsidRPr="00A75DF9">
              <w:rPr>
                <w:rFonts w:ascii="Tahoma" w:hAnsi="Tahoma" w:cs="Tahoma"/>
              </w:rPr>
              <w:t>Idoneo</w:t>
            </w:r>
          </w:p>
          <w:p w:rsidR="0043190C" w:rsidRPr="00A75DF9" w:rsidRDefault="0043190C" w:rsidP="004B42EB">
            <w:pPr>
              <w:pStyle w:val="AppendixTableText"/>
              <w:keepNext/>
              <w:spacing w:line="240" w:lineRule="auto"/>
              <w:rPr>
                <w:rFonts w:ascii="Tahoma" w:hAnsi="Tahoma" w:cs="Tahoma"/>
              </w:rPr>
            </w:pPr>
            <w:r w:rsidRPr="00A75DF9">
              <w:rPr>
                <w:rFonts w:ascii="Tahoma" w:hAnsi="Tahoma" w:cs="Tahoma"/>
              </w:rPr>
              <w:t>Qualificante</w:t>
            </w:r>
          </w:p>
        </w:tc>
        <w:tc>
          <w:tcPr>
            <w:tcW w:w="1530" w:type="dxa"/>
            <w:vAlign w:val="center"/>
          </w:tcPr>
          <w:p w:rsidR="0043190C" w:rsidRPr="00A75DF9" w:rsidRDefault="00F30075" w:rsidP="004B42EB">
            <w:pPr>
              <w:pStyle w:val="AppendixTableText"/>
              <w:keepNext/>
              <w:spacing w:line="240" w:lineRule="auto"/>
              <w:rPr>
                <w:rFonts w:ascii="Tahoma" w:hAnsi="Tahoma" w:cs="Tahoma"/>
              </w:rPr>
            </w:pPr>
            <w:r w:rsidRPr="00A75DF9">
              <w:rPr>
                <w:rFonts w:ascii="Tahoma" w:hAnsi="Tahoma" w:cs="Tahoma"/>
              </w:rPr>
              <w:t>5 ID Utente per</w:t>
            </w:r>
          </w:p>
          <w:p w:rsidR="0043190C" w:rsidRPr="00A75DF9" w:rsidRDefault="0043190C" w:rsidP="004B42EB">
            <w:pPr>
              <w:pStyle w:val="AppendixTableText"/>
              <w:keepNext/>
              <w:spacing w:line="240" w:lineRule="auto"/>
              <w:rPr>
                <w:rFonts w:ascii="Tahoma" w:hAnsi="Tahoma" w:cs="Tahoma"/>
              </w:rPr>
            </w:pPr>
            <w:r w:rsidRPr="00A75DF9">
              <w:rPr>
                <w:rFonts w:ascii="Tahoma" w:hAnsi="Tahoma" w:cs="Tahoma"/>
              </w:rPr>
              <w:t>Idoneo</w:t>
            </w:r>
          </w:p>
          <w:p w:rsidR="0043190C" w:rsidRPr="00A75DF9" w:rsidRDefault="0043190C" w:rsidP="004B42EB">
            <w:pPr>
              <w:pStyle w:val="AppendixTableText"/>
              <w:keepNext/>
              <w:spacing w:line="240" w:lineRule="auto"/>
              <w:rPr>
                <w:rFonts w:ascii="Tahoma" w:hAnsi="Tahoma" w:cs="Tahoma"/>
              </w:rPr>
            </w:pPr>
            <w:r w:rsidRPr="00A75DF9">
              <w:rPr>
                <w:rFonts w:ascii="Tahoma" w:hAnsi="Tahoma" w:cs="Tahoma"/>
              </w:rPr>
              <w:t>Qualificante</w:t>
            </w:r>
          </w:p>
        </w:tc>
        <w:tc>
          <w:tcPr>
            <w:tcW w:w="1258" w:type="dxa"/>
            <w:vAlign w:val="center"/>
          </w:tcPr>
          <w:p w:rsidR="0043190C" w:rsidRPr="00A75DF9" w:rsidRDefault="00F30075" w:rsidP="004B42EB">
            <w:pPr>
              <w:pStyle w:val="AppendixTableText"/>
              <w:keepNext/>
              <w:spacing w:line="240" w:lineRule="auto"/>
              <w:rPr>
                <w:rFonts w:ascii="Tahoma" w:hAnsi="Tahoma" w:cs="Tahoma"/>
              </w:rPr>
            </w:pPr>
            <w:r w:rsidRPr="00A75DF9">
              <w:rPr>
                <w:rFonts w:ascii="Tahoma" w:hAnsi="Tahoma" w:cs="Tahoma"/>
              </w:rPr>
              <w:t>10 ID Utente</w:t>
            </w:r>
            <w:r w:rsidR="004B42EB">
              <w:rPr>
                <w:rFonts w:ascii="Tahoma" w:hAnsi="Tahoma" w:cs="Tahoma"/>
              </w:rPr>
              <w:t> </w:t>
            </w:r>
            <w:r w:rsidRPr="00A75DF9">
              <w:rPr>
                <w:rFonts w:ascii="Tahoma" w:hAnsi="Tahoma" w:cs="Tahoma"/>
              </w:rPr>
              <w:t>per</w:t>
            </w:r>
          </w:p>
          <w:p w:rsidR="0043190C" w:rsidRPr="00A75DF9" w:rsidRDefault="0043190C" w:rsidP="004B42EB">
            <w:pPr>
              <w:pStyle w:val="AppendixTableText"/>
              <w:keepNext/>
              <w:spacing w:line="240" w:lineRule="auto"/>
              <w:rPr>
                <w:rFonts w:ascii="Tahoma" w:hAnsi="Tahoma" w:cs="Tahoma"/>
              </w:rPr>
            </w:pPr>
            <w:r w:rsidRPr="00A75DF9">
              <w:rPr>
                <w:rFonts w:ascii="Tahoma" w:hAnsi="Tahoma" w:cs="Tahoma"/>
              </w:rPr>
              <w:t>Idoneo</w:t>
            </w:r>
          </w:p>
          <w:p w:rsidR="0043190C" w:rsidRPr="00A75DF9" w:rsidRDefault="0043190C" w:rsidP="004B42EB">
            <w:pPr>
              <w:pStyle w:val="AppendixTableText"/>
              <w:keepNext/>
              <w:spacing w:line="240" w:lineRule="auto"/>
              <w:rPr>
                <w:rFonts w:ascii="Tahoma" w:hAnsi="Tahoma" w:cs="Tahoma"/>
              </w:rPr>
            </w:pPr>
            <w:r w:rsidRPr="00A75DF9">
              <w:rPr>
                <w:rFonts w:ascii="Tahoma" w:hAnsi="Tahoma" w:cs="Tahoma"/>
              </w:rPr>
              <w:t>Qualificante</w:t>
            </w:r>
          </w:p>
        </w:tc>
        <w:tc>
          <w:tcPr>
            <w:tcW w:w="1548" w:type="dxa"/>
            <w:vAlign w:val="center"/>
          </w:tcPr>
          <w:p w:rsidR="0043190C" w:rsidRPr="00A75DF9" w:rsidRDefault="0043190C" w:rsidP="004B42EB">
            <w:pPr>
              <w:pStyle w:val="AppendixTableText"/>
              <w:keepNext/>
              <w:spacing w:line="240" w:lineRule="auto"/>
              <w:rPr>
                <w:rFonts w:ascii="Tahoma" w:hAnsi="Tahoma" w:cs="Tahoma"/>
              </w:rPr>
            </w:pPr>
            <w:r w:rsidRPr="00A75DF9">
              <w:rPr>
                <w:rFonts w:ascii="Tahoma" w:hAnsi="Tahoma" w:cs="Tahoma"/>
              </w:rPr>
              <w:t>1 ID Utente per iscrizione/</w:t>
            </w:r>
            <w:r w:rsidR="004B42EB">
              <w:rPr>
                <w:rFonts w:ascii="Tahoma" w:hAnsi="Tahoma" w:cs="Tahoma"/>
              </w:rPr>
              <w:br/>
            </w:r>
            <w:r w:rsidRPr="00A75DF9">
              <w:rPr>
                <w:rFonts w:ascii="Tahoma" w:hAnsi="Tahoma" w:cs="Tahoma"/>
              </w:rPr>
              <w:t>contratto</w:t>
            </w:r>
          </w:p>
        </w:tc>
      </w:tr>
    </w:tbl>
    <w:p w:rsidR="009D26EE" w:rsidRPr="004B42EB" w:rsidRDefault="009D26EE" w:rsidP="00792D1E">
      <w:pPr>
        <w:pStyle w:val="AppendixFlushBulletedList"/>
        <w:tabs>
          <w:tab w:val="clear" w:pos="360"/>
          <w:tab w:val="num" w:pos="0"/>
        </w:tabs>
        <w:ind w:left="0" w:firstLine="0"/>
        <w:rPr>
          <w:rFonts w:ascii="Tahoma" w:hAnsi="Tahoma" w:cs="Tahoma"/>
          <w:sz w:val="18"/>
          <w:szCs w:val="18"/>
        </w:rPr>
      </w:pPr>
      <w:r w:rsidRPr="004B42EB">
        <w:rPr>
          <w:rFonts w:ascii="Tahoma" w:hAnsi="Tahoma" w:cs="Tahoma"/>
          <w:sz w:val="18"/>
          <w:szCs w:val="18"/>
        </w:rPr>
        <w:t>Ogni ID Utente attribuisce a una persona il diritto di registrarsi e di avere accesso al sito dei servizi online riservato agli Iscritti, inclusi, a titolo esemplificativo: Online Concierge Chat, Managed Newsgroups e contenuto Premium.</w:t>
      </w:r>
    </w:p>
    <w:p w:rsidR="00792D1E" w:rsidRPr="004B42EB" w:rsidRDefault="00792D1E" w:rsidP="00792D1E">
      <w:pPr>
        <w:pStyle w:val="AppendixFlushBulletedList"/>
        <w:tabs>
          <w:tab w:val="clear" w:pos="360"/>
          <w:tab w:val="num" w:pos="0"/>
        </w:tabs>
        <w:ind w:left="0" w:firstLine="0"/>
        <w:rPr>
          <w:rFonts w:ascii="Tahoma" w:hAnsi="Tahoma" w:cs="Tahoma"/>
          <w:sz w:val="18"/>
          <w:szCs w:val="18"/>
        </w:rPr>
      </w:pPr>
    </w:p>
    <w:p w:rsidR="008C0608" w:rsidRPr="004B42EB" w:rsidRDefault="008C0608" w:rsidP="00792D1E">
      <w:pPr>
        <w:pStyle w:val="AppendixFlushBulletedList"/>
        <w:tabs>
          <w:tab w:val="clear" w:pos="360"/>
          <w:tab w:val="num" w:pos="0"/>
        </w:tabs>
        <w:ind w:left="0" w:firstLine="0"/>
        <w:rPr>
          <w:rFonts w:ascii="Tahoma" w:hAnsi="Tahoma" w:cs="Tahoma"/>
          <w:sz w:val="18"/>
          <w:szCs w:val="18"/>
        </w:rPr>
      </w:pPr>
      <w:r w:rsidRPr="004B42EB">
        <w:rPr>
          <w:rFonts w:ascii="Tahoma" w:hAnsi="Tahoma" w:cs="Tahoma"/>
          <w:sz w:val="18"/>
          <w:szCs w:val="18"/>
        </w:rPr>
        <w:t>Per essere idonee a ricevere questo vantaggio, le società con prodotti Open License, Open Value, Open Value Subscription - Education Solutions, Academic Select License e Select Plus for Academic dovranno acquistare Software Assurance per un minimo di cinque licenze server per prodotti qualificanti.</w:t>
      </w:r>
    </w:p>
    <w:p w:rsidR="00792D1E" w:rsidRPr="004B42EB" w:rsidRDefault="00792D1E" w:rsidP="00792D1E">
      <w:pPr>
        <w:pStyle w:val="AppendixFlushBulletedList"/>
        <w:tabs>
          <w:tab w:val="clear" w:pos="360"/>
          <w:tab w:val="num" w:pos="0"/>
        </w:tabs>
        <w:ind w:left="0" w:firstLine="0"/>
        <w:rPr>
          <w:rFonts w:ascii="Tahoma" w:hAnsi="Tahoma" w:cs="Tahoma"/>
          <w:sz w:val="18"/>
          <w:szCs w:val="18"/>
        </w:rPr>
      </w:pPr>
    </w:p>
    <w:p w:rsidR="00023FE7" w:rsidRPr="004B42EB" w:rsidRDefault="009D26EE" w:rsidP="00792D1E">
      <w:pPr>
        <w:pStyle w:val="AppendixBodyText"/>
        <w:spacing w:after="0"/>
        <w:rPr>
          <w:rFonts w:ascii="Tahoma" w:hAnsi="Tahoma" w:cs="Tahoma"/>
          <w:sz w:val="18"/>
          <w:szCs w:val="18"/>
        </w:rPr>
      </w:pPr>
      <w:r w:rsidRPr="004B42EB">
        <w:rPr>
          <w:rFonts w:ascii="Tahoma" w:hAnsi="Tahoma" w:cs="Tahoma"/>
          <w:sz w:val="18"/>
          <w:szCs w:val="18"/>
        </w:rPr>
        <w:t>L</w:t>
      </w:r>
      <w:r w:rsidR="00F2643E">
        <w:rPr>
          <w:rFonts w:ascii="Tahoma" w:hAnsi="Tahoma" w:cs="Tahoma"/>
          <w:sz w:val="18"/>
          <w:szCs w:val="18"/>
        </w:rPr>
        <w:t>’</w:t>
      </w:r>
      <w:r w:rsidRPr="004B42EB">
        <w:rPr>
          <w:rFonts w:ascii="Tahoma" w:hAnsi="Tahoma" w:cs="Tahoma"/>
          <w:sz w:val="18"/>
          <w:szCs w:val="18"/>
        </w:rPr>
        <w:t>utilizzo del software per i Servizi in Abbonamento TechNet SA da parte delle società è soggetto alle condizioni del relativo contratto di licenza.</w:t>
      </w:r>
    </w:p>
    <w:p w:rsidR="004D4D43" w:rsidRPr="004B42EB" w:rsidRDefault="004D4D43" w:rsidP="00F0652C">
      <w:pPr>
        <w:pStyle w:val="Heading3"/>
        <w:rPr>
          <w:rFonts w:ascii="Tahoma" w:hAnsi="Tahoma" w:cs="Tahoma"/>
          <w:b w:val="0"/>
          <w:bCs/>
          <w:sz w:val="18"/>
          <w:szCs w:val="18"/>
        </w:rPr>
      </w:pPr>
    </w:p>
    <w:p w:rsidR="00023FE7" w:rsidRPr="00A75DF9" w:rsidRDefault="00023FE7" w:rsidP="00F0652C">
      <w:pPr>
        <w:pStyle w:val="Heading3"/>
        <w:rPr>
          <w:rFonts w:ascii="Tahoma" w:hAnsi="Tahoma" w:cs="Tahoma"/>
        </w:rPr>
      </w:pPr>
      <w:bookmarkStart w:id="756" w:name="_Toc336338241"/>
      <w:bookmarkStart w:id="757" w:name="_Toc368310232"/>
      <w:r w:rsidRPr="00A75DF9">
        <w:rPr>
          <w:rFonts w:ascii="Tahoma" w:hAnsi="Tahoma" w:cs="Tahoma"/>
          <w:sz w:val="24"/>
        </w:rPr>
        <w:t>TechNet Plus Direct</w:t>
      </w:r>
      <w:bookmarkEnd w:id="756"/>
      <w:bookmarkEnd w:id="757"/>
    </w:p>
    <w:p w:rsidR="00F0652C" w:rsidRPr="00A75DF9" w:rsidRDefault="00F0652C" w:rsidP="00F0652C">
      <w:pPr>
        <w:rPr>
          <w:rFonts w:cs="Tahoma"/>
        </w:rPr>
      </w:pPr>
    </w:p>
    <w:p w:rsidR="00792D1E" w:rsidRPr="004B42EB" w:rsidRDefault="00A65414" w:rsidP="00792D1E">
      <w:pPr>
        <w:pStyle w:val="AppendixBodyText"/>
        <w:spacing w:after="0"/>
        <w:rPr>
          <w:rFonts w:ascii="Tahoma" w:hAnsi="Tahoma" w:cs="Tahoma"/>
          <w:sz w:val="18"/>
          <w:szCs w:val="18"/>
        </w:rPr>
      </w:pPr>
      <w:r w:rsidRPr="004B42EB">
        <w:rPr>
          <w:rFonts w:ascii="Tahoma" w:hAnsi="Tahoma" w:cs="Tahoma"/>
          <w:sz w:val="18"/>
          <w:szCs w:val="18"/>
        </w:rPr>
        <w:t>Le società con copertura Software Assurance su prodotti qualificanti del pool di server sono idonee a beneficiare dell</w:t>
      </w:r>
      <w:r w:rsidR="00F2643E">
        <w:rPr>
          <w:rFonts w:ascii="Tahoma" w:hAnsi="Tahoma" w:cs="Tahoma"/>
          <w:sz w:val="18"/>
          <w:szCs w:val="18"/>
        </w:rPr>
        <w:t>’</w:t>
      </w:r>
      <w:r w:rsidRPr="004B42EB">
        <w:rPr>
          <w:rFonts w:ascii="Tahoma" w:hAnsi="Tahoma" w:cs="Tahoma"/>
          <w:sz w:val="18"/>
          <w:szCs w:val="18"/>
        </w:rPr>
        <w:t>Abbonamento a TechNet Plus Direct durante il periodo di validità della copertura Software Assurance.</w:t>
      </w:r>
      <w:r w:rsidR="009D3B41" w:rsidRPr="004B42EB">
        <w:rPr>
          <w:rFonts w:ascii="Tahoma" w:hAnsi="Tahoma" w:cs="Tahoma"/>
          <w:sz w:val="18"/>
          <w:szCs w:val="18"/>
        </w:rPr>
        <w:t xml:space="preserve"> </w:t>
      </w:r>
      <w:r w:rsidRPr="004B42EB">
        <w:rPr>
          <w:rFonts w:ascii="Tahoma" w:hAnsi="Tahoma" w:cs="Tahoma"/>
          <w:sz w:val="18"/>
          <w:szCs w:val="18"/>
        </w:rPr>
        <w:t>In questo modo i professionisti IT avranno accesso al contenuto di TechNet Plus Direct che include la Knowledge Base Microsoft, formazione tecnica, download, patch di protezione, service pack e articoli esplicativi. Le società beneficeranno, inoltre, di quanto segue:</w:t>
      </w:r>
    </w:p>
    <w:p w:rsidR="00023FE7" w:rsidRPr="004B42EB" w:rsidRDefault="00023FE7" w:rsidP="00792D1E">
      <w:pPr>
        <w:pStyle w:val="AppendixBodyText"/>
        <w:spacing w:after="0"/>
        <w:rPr>
          <w:rFonts w:ascii="Tahoma" w:hAnsi="Tahoma" w:cs="Tahoma"/>
          <w:sz w:val="18"/>
          <w:szCs w:val="18"/>
        </w:rPr>
      </w:pPr>
    </w:p>
    <w:p w:rsidR="00023FE7" w:rsidRPr="004B42EB" w:rsidRDefault="00023FE7" w:rsidP="00346F4B">
      <w:pPr>
        <w:pStyle w:val="AppendixFlushBulletedList"/>
        <w:numPr>
          <w:ilvl w:val="0"/>
          <w:numId w:val="111"/>
        </w:numPr>
        <w:spacing w:after="60"/>
        <w:ind w:left="1440"/>
        <w:rPr>
          <w:rFonts w:ascii="Tahoma" w:hAnsi="Tahoma" w:cs="Tahoma"/>
          <w:sz w:val="18"/>
          <w:szCs w:val="18"/>
        </w:rPr>
      </w:pPr>
      <w:r w:rsidRPr="004B42EB">
        <w:rPr>
          <w:rFonts w:ascii="Tahoma" w:hAnsi="Tahoma" w:cs="Tahoma"/>
          <w:sz w:val="18"/>
          <w:szCs w:val="18"/>
        </w:rPr>
        <w:t xml:space="preserve">Accesso al download di software in versione completa concesso in licenza a scopo di valutazione; sono compresi i sistemi operativi, i server e il software Office System Microsoft. </w:t>
      </w:r>
    </w:p>
    <w:p w:rsidR="00023FE7" w:rsidRPr="004B42EB" w:rsidRDefault="00023FE7" w:rsidP="00346F4B">
      <w:pPr>
        <w:pStyle w:val="AppendixFlushBulletedList"/>
        <w:numPr>
          <w:ilvl w:val="0"/>
          <w:numId w:val="111"/>
        </w:numPr>
        <w:spacing w:after="60"/>
        <w:ind w:left="1440"/>
        <w:rPr>
          <w:rFonts w:ascii="Tahoma" w:hAnsi="Tahoma" w:cs="Tahoma"/>
          <w:sz w:val="18"/>
          <w:szCs w:val="18"/>
        </w:rPr>
      </w:pPr>
      <w:r w:rsidRPr="004B42EB">
        <w:rPr>
          <w:rFonts w:ascii="Tahoma" w:hAnsi="Tahoma" w:cs="Tahoma"/>
          <w:sz w:val="18"/>
          <w:szCs w:val="18"/>
        </w:rPr>
        <w:t>Accesso al download di software Beta (versioni prototipo di software Microsoft).</w:t>
      </w:r>
    </w:p>
    <w:p w:rsidR="00023FE7" w:rsidRPr="00A75DF9" w:rsidRDefault="00023FE7" w:rsidP="00346F4B">
      <w:pPr>
        <w:pStyle w:val="AppendixFlushBulletedList"/>
        <w:numPr>
          <w:ilvl w:val="0"/>
          <w:numId w:val="111"/>
        </w:numPr>
        <w:spacing w:after="60"/>
        <w:ind w:left="1440"/>
        <w:rPr>
          <w:rFonts w:ascii="Tahoma" w:hAnsi="Tahoma" w:cs="Tahoma"/>
        </w:rPr>
      </w:pPr>
      <w:r w:rsidRPr="00A75DF9">
        <w:rPr>
          <w:rFonts w:ascii="Tahoma" w:hAnsi="Tahoma" w:cs="Tahoma"/>
          <w:sz w:val="18"/>
          <w:szCs w:val="18"/>
        </w:rPr>
        <w:t>Due (2) interventi d supporto tecnico gratuiti all</w:t>
      </w:r>
      <w:r w:rsidR="00F2643E">
        <w:rPr>
          <w:rFonts w:ascii="Tahoma" w:hAnsi="Tahoma" w:cs="Tahoma"/>
          <w:sz w:val="18"/>
          <w:szCs w:val="18"/>
        </w:rPr>
        <w:t>’</w:t>
      </w:r>
      <w:r w:rsidRPr="00A75DF9">
        <w:rPr>
          <w:rFonts w:ascii="Tahoma" w:hAnsi="Tahoma" w:cs="Tahoma"/>
          <w:sz w:val="18"/>
          <w:szCs w:val="18"/>
        </w:rPr>
        <w:t xml:space="preserve">anno e il 20% di sconto sugli interventi aggiuntivi tramite supporto telefonico acquistati dalla società. </w:t>
      </w:r>
    </w:p>
    <w:p w:rsidR="00023FE7" w:rsidRPr="00A75DF9" w:rsidRDefault="00023FE7" w:rsidP="00346F4B">
      <w:pPr>
        <w:pStyle w:val="AppendixFlushBulletedList"/>
        <w:numPr>
          <w:ilvl w:val="0"/>
          <w:numId w:val="111"/>
        </w:numPr>
        <w:spacing w:after="60"/>
        <w:ind w:left="1440"/>
        <w:rPr>
          <w:rFonts w:ascii="Tahoma" w:hAnsi="Tahoma" w:cs="Tahoma"/>
        </w:rPr>
      </w:pPr>
      <w:r w:rsidRPr="00A75DF9">
        <w:rPr>
          <w:rFonts w:ascii="Tahoma" w:hAnsi="Tahoma" w:cs="Tahoma"/>
          <w:sz w:val="18"/>
          <w:szCs w:val="18"/>
        </w:rPr>
        <w:t xml:space="preserve">Servizio illimitato di Supporto per Managed Newsgroup e Online Concierge. </w:t>
      </w:r>
    </w:p>
    <w:p w:rsidR="00023FE7" w:rsidRPr="00380E04" w:rsidRDefault="00023FE7" w:rsidP="00792D1E">
      <w:pPr>
        <w:pStyle w:val="AppendixBodyText"/>
        <w:spacing w:after="0"/>
        <w:rPr>
          <w:rFonts w:ascii="Tahoma" w:hAnsi="Tahoma" w:cs="Tahoma"/>
          <w:sz w:val="16"/>
          <w:szCs w:val="16"/>
        </w:rPr>
      </w:pPr>
    </w:p>
    <w:p w:rsidR="00023FE7" w:rsidRPr="004B42EB" w:rsidRDefault="00023FE7" w:rsidP="00792D1E">
      <w:pPr>
        <w:pStyle w:val="AppendixBodyText"/>
        <w:spacing w:after="0"/>
        <w:rPr>
          <w:rFonts w:ascii="Tahoma" w:hAnsi="Tahoma" w:cs="Tahoma"/>
          <w:sz w:val="18"/>
          <w:szCs w:val="18"/>
        </w:rPr>
      </w:pPr>
      <w:r w:rsidRPr="004B42EB">
        <w:rPr>
          <w:rFonts w:ascii="Tahoma" w:hAnsi="Tahoma" w:cs="Tahoma"/>
          <w:sz w:val="18"/>
          <w:szCs w:val="18"/>
        </w:rPr>
        <w:t>Le società idonee riceveranno un abbonamento per iscrizione qualificante, come mostrato di seguito:</w:t>
      </w:r>
    </w:p>
    <w:p w:rsidR="00023FE7" w:rsidRPr="00380E04" w:rsidRDefault="00023FE7" w:rsidP="00792D1E">
      <w:pPr>
        <w:pStyle w:val="AppendixBodyText"/>
        <w:tabs>
          <w:tab w:val="left" w:pos="1425"/>
        </w:tabs>
        <w:spacing w:after="0"/>
        <w:rPr>
          <w:rFonts w:ascii="Tahoma" w:hAnsi="Tahoma" w:cs="Tahoma"/>
          <w:sz w:val="16"/>
          <w:szCs w:val="16"/>
        </w:rPr>
      </w:pPr>
    </w:p>
    <w:tbl>
      <w:tblPr>
        <w:tblW w:w="9459" w:type="dxa"/>
        <w:tblInd w:w="99" w:type="dxa"/>
        <w:tblCellMar>
          <w:left w:w="0" w:type="dxa"/>
          <w:right w:w="0" w:type="dxa"/>
        </w:tblCellMar>
        <w:tblLook w:val="0000" w:firstRow="0" w:lastRow="0" w:firstColumn="0" w:lastColumn="0" w:noHBand="0" w:noVBand="0"/>
      </w:tblPr>
      <w:tblGrid>
        <w:gridCol w:w="1530"/>
        <w:gridCol w:w="1620"/>
        <w:gridCol w:w="2070"/>
        <w:gridCol w:w="2160"/>
        <w:gridCol w:w="2079"/>
      </w:tblGrid>
      <w:tr w:rsidR="00270612" w:rsidRPr="00A75DF9" w:rsidTr="004B42EB">
        <w:trPr>
          <w:trHeight w:val="460"/>
        </w:trPr>
        <w:tc>
          <w:tcPr>
            <w:tcW w:w="1530"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A75DF9" w:rsidRDefault="00270612" w:rsidP="00D824E9">
            <w:pPr>
              <w:keepNext/>
              <w:jc w:val="center"/>
              <w:rPr>
                <w:rFonts w:cs="Tahoma"/>
                <w:b/>
                <w:bCs/>
                <w:color w:val="000000"/>
                <w:sz w:val="20"/>
                <w:szCs w:val="20"/>
                <w:highlight w:val="yellow"/>
              </w:rPr>
            </w:pPr>
            <w:r w:rsidRPr="00A75DF9">
              <w:rPr>
                <w:rFonts w:cs="Tahoma"/>
                <w:b/>
                <w:bCs/>
                <w:color w:val="000000"/>
                <w:sz w:val="20"/>
                <w:szCs w:val="20"/>
              </w:rPr>
              <w:t>Prodotto</w:t>
            </w:r>
          </w:p>
        </w:tc>
        <w:tc>
          <w:tcPr>
            <w:tcW w:w="162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A75DF9" w:rsidRDefault="00270612" w:rsidP="00CA4488">
            <w:pPr>
              <w:jc w:val="center"/>
              <w:rPr>
                <w:rFonts w:cs="Tahoma"/>
                <w:b/>
                <w:bCs/>
                <w:color w:val="000000"/>
                <w:sz w:val="20"/>
                <w:szCs w:val="20"/>
                <w:highlight w:val="yellow"/>
              </w:rPr>
            </w:pPr>
            <w:r w:rsidRPr="00A75DF9">
              <w:rPr>
                <w:rFonts w:cs="Tahoma"/>
                <w:b/>
                <w:bCs/>
                <w:color w:val="000000"/>
                <w:sz w:val="20"/>
                <w:szCs w:val="20"/>
              </w:rPr>
              <w:t>Licenza Open</w:t>
            </w:r>
          </w:p>
        </w:tc>
        <w:tc>
          <w:tcPr>
            <w:tcW w:w="2070" w:type="dxa"/>
            <w:tcBorders>
              <w:top w:val="single" w:sz="8" w:space="0" w:color="auto"/>
              <w:left w:val="nil"/>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A75DF9" w:rsidRDefault="00270612" w:rsidP="00CA4488">
            <w:pPr>
              <w:jc w:val="center"/>
              <w:rPr>
                <w:rFonts w:cs="Tahoma"/>
                <w:b/>
                <w:bCs/>
                <w:color w:val="000000"/>
                <w:sz w:val="20"/>
                <w:szCs w:val="20"/>
                <w:highlight w:val="yellow"/>
              </w:rPr>
            </w:pPr>
            <w:r w:rsidRPr="00A75DF9">
              <w:rPr>
                <w:rFonts w:cs="Tahoma"/>
                <w:b/>
                <w:bCs/>
                <w:color w:val="000000"/>
                <w:sz w:val="20"/>
                <w:szCs w:val="20"/>
              </w:rPr>
              <w:t>Open Value</w:t>
            </w:r>
          </w:p>
        </w:tc>
        <w:tc>
          <w:tcPr>
            <w:tcW w:w="2160" w:type="dxa"/>
            <w:tcBorders>
              <w:top w:val="single" w:sz="8" w:space="0" w:color="auto"/>
              <w:left w:val="nil"/>
              <w:bottom w:val="single" w:sz="8" w:space="0" w:color="auto"/>
              <w:right w:val="single" w:sz="8" w:space="0" w:color="auto"/>
            </w:tcBorders>
            <w:shd w:val="clear" w:color="auto" w:fill="FFCC99"/>
            <w:vAlign w:val="center"/>
          </w:tcPr>
          <w:p w:rsidR="00270612" w:rsidRPr="00A75DF9" w:rsidRDefault="00270612" w:rsidP="00CA4488">
            <w:pPr>
              <w:jc w:val="center"/>
              <w:rPr>
                <w:rFonts w:cs="Tahoma"/>
                <w:b/>
                <w:bCs/>
                <w:color w:val="000000"/>
                <w:sz w:val="20"/>
                <w:szCs w:val="20"/>
              </w:rPr>
            </w:pPr>
            <w:r w:rsidRPr="00A75DF9">
              <w:rPr>
                <w:rFonts w:cs="Tahoma"/>
                <w:b/>
                <w:bCs/>
                <w:color w:val="000000"/>
                <w:sz w:val="20"/>
                <w:szCs w:val="20"/>
              </w:rPr>
              <w:t>Academic</w:t>
            </w:r>
          </w:p>
        </w:tc>
        <w:tc>
          <w:tcPr>
            <w:tcW w:w="2079" w:type="dxa"/>
            <w:tcBorders>
              <w:top w:val="single" w:sz="8" w:space="0" w:color="auto"/>
              <w:left w:val="single" w:sz="8" w:space="0" w:color="auto"/>
              <w:bottom w:val="single" w:sz="8" w:space="0" w:color="auto"/>
              <w:right w:val="single" w:sz="8" w:space="0" w:color="auto"/>
            </w:tcBorders>
            <w:shd w:val="clear" w:color="auto" w:fill="FFCC99"/>
            <w:tcMar>
              <w:top w:w="0" w:type="dxa"/>
              <w:left w:w="99" w:type="dxa"/>
              <w:bottom w:w="0" w:type="dxa"/>
              <w:right w:w="99" w:type="dxa"/>
            </w:tcMar>
            <w:vAlign w:val="center"/>
          </w:tcPr>
          <w:p w:rsidR="00270612" w:rsidRPr="00A75DF9" w:rsidRDefault="00270612" w:rsidP="00CA4488">
            <w:pPr>
              <w:jc w:val="center"/>
              <w:rPr>
                <w:rFonts w:cs="Tahoma"/>
                <w:b/>
                <w:bCs/>
                <w:color w:val="000000"/>
                <w:sz w:val="20"/>
                <w:szCs w:val="20"/>
                <w:highlight w:val="yellow"/>
              </w:rPr>
            </w:pPr>
            <w:r w:rsidRPr="00A75DF9">
              <w:rPr>
                <w:rFonts w:cs="Tahoma"/>
                <w:b/>
                <w:bCs/>
                <w:color w:val="000000"/>
                <w:sz w:val="20"/>
                <w:szCs w:val="20"/>
              </w:rPr>
              <w:t>Select (diversa da Academic) /Select Plus (diversa da Academic)/EA</w:t>
            </w:r>
          </w:p>
        </w:tc>
      </w:tr>
      <w:tr w:rsidR="00270612" w:rsidRPr="00A75DF9" w:rsidTr="004B42EB">
        <w:trPr>
          <w:trHeight w:val="50"/>
        </w:trPr>
        <w:tc>
          <w:tcPr>
            <w:tcW w:w="1530"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A75DF9" w:rsidRDefault="00270612" w:rsidP="00CA4488">
            <w:pPr>
              <w:rPr>
                <w:rFonts w:cs="Tahoma"/>
                <w:color w:val="000000"/>
                <w:szCs w:val="18"/>
                <w:highlight w:val="yellow"/>
              </w:rPr>
            </w:pPr>
            <w:r w:rsidRPr="00A75DF9">
              <w:rPr>
                <w:rFonts w:cs="Tahoma"/>
                <w:b/>
                <w:bCs/>
                <w:iCs/>
                <w:color w:val="000000"/>
                <w:szCs w:val="18"/>
              </w:rPr>
              <w:t>Licenze</w:t>
            </w:r>
            <w:r w:rsidRPr="00A75DF9">
              <w:rPr>
                <w:rFonts w:cs="Tahoma"/>
                <w:b/>
                <w:color w:val="000000"/>
                <w:szCs w:val="18"/>
              </w:rPr>
              <w:t xml:space="preserve"> Server</w:t>
            </w:r>
          </w:p>
        </w:tc>
        <w:tc>
          <w:tcPr>
            <w:tcW w:w="1620"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A75DF9" w:rsidRDefault="00270612" w:rsidP="00CA4488">
            <w:pPr>
              <w:jc w:val="center"/>
              <w:rPr>
                <w:rFonts w:cs="Tahoma"/>
                <w:color w:val="000000"/>
                <w:szCs w:val="18"/>
                <w:highlight w:val="yellow"/>
              </w:rPr>
            </w:pPr>
            <w:r w:rsidRPr="00A75DF9">
              <w:rPr>
                <w:rFonts w:cs="Tahoma"/>
                <w:color w:val="000000"/>
                <w:szCs w:val="18"/>
              </w:rPr>
              <w:t>N/D</w:t>
            </w:r>
          </w:p>
        </w:tc>
        <w:tc>
          <w:tcPr>
            <w:tcW w:w="2070" w:type="dxa"/>
            <w:tcBorders>
              <w:top w:val="nil"/>
              <w:left w:val="nil"/>
              <w:bottom w:val="single" w:sz="8" w:space="0" w:color="auto"/>
              <w:right w:val="single" w:sz="8" w:space="0" w:color="auto"/>
            </w:tcBorders>
            <w:tcMar>
              <w:top w:w="0" w:type="dxa"/>
              <w:left w:w="99" w:type="dxa"/>
              <w:bottom w:w="0" w:type="dxa"/>
              <w:right w:w="99" w:type="dxa"/>
            </w:tcMar>
            <w:vAlign w:val="center"/>
          </w:tcPr>
          <w:p w:rsidR="00270612" w:rsidRPr="00A75DF9" w:rsidRDefault="00270612" w:rsidP="004B42EB">
            <w:pPr>
              <w:jc w:val="center"/>
              <w:rPr>
                <w:rFonts w:cs="Tahoma"/>
                <w:color w:val="000000"/>
                <w:szCs w:val="18"/>
                <w:highlight w:val="yellow"/>
              </w:rPr>
            </w:pPr>
            <w:r w:rsidRPr="00A75DF9">
              <w:rPr>
                <w:rFonts w:cs="Tahoma"/>
                <w:color w:val="000000"/>
                <w:szCs w:val="18"/>
              </w:rPr>
              <w:t>1 sottoscrizione per</w:t>
            </w:r>
            <w:r w:rsidR="004B42EB">
              <w:rPr>
                <w:rFonts w:cs="Tahoma"/>
                <w:color w:val="000000"/>
                <w:szCs w:val="18"/>
              </w:rPr>
              <w:t> </w:t>
            </w:r>
            <w:r w:rsidRPr="00A75DF9">
              <w:rPr>
                <w:rFonts w:cs="Tahoma"/>
                <w:color w:val="000000"/>
                <w:szCs w:val="18"/>
              </w:rPr>
              <w:t>iscrizione</w:t>
            </w:r>
          </w:p>
        </w:tc>
        <w:tc>
          <w:tcPr>
            <w:tcW w:w="2160" w:type="dxa"/>
            <w:tcBorders>
              <w:top w:val="single" w:sz="8" w:space="0" w:color="auto"/>
              <w:left w:val="nil"/>
              <w:bottom w:val="single" w:sz="8" w:space="0" w:color="auto"/>
              <w:right w:val="single" w:sz="8" w:space="0" w:color="auto"/>
            </w:tcBorders>
          </w:tcPr>
          <w:p w:rsidR="00270612" w:rsidRPr="00A75DF9" w:rsidRDefault="00270612" w:rsidP="00F30075">
            <w:pPr>
              <w:ind w:left="360"/>
              <w:rPr>
                <w:rFonts w:cs="Tahoma"/>
                <w:color w:val="000000"/>
                <w:szCs w:val="18"/>
              </w:rPr>
            </w:pPr>
            <w:r w:rsidRPr="00A75DF9">
              <w:rPr>
                <w:rFonts w:cs="Tahoma"/>
                <w:color w:val="000000"/>
                <w:szCs w:val="18"/>
              </w:rPr>
              <w:t>1 sottoscrizione per iscrizione</w:t>
            </w:r>
          </w:p>
        </w:tc>
        <w:tc>
          <w:tcPr>
            <w:tcW w:w="2079" w:type="dxa"/>
            <w:tcBorders>
              <w:top w:val="nil"/>
              <w:left w:val="single" w:sz="8" w:space="0" w:color="auto"/>
              <w:bottom w:val="single" w:sz="8" w:space="0" w:color="auto"/>
              <w:right w:val="single" w:sz="8" w:space="0" w:color="auto"/>
            </w:tcBorders>
            <w:tcMar>
              <w:top w:w="0" w:type="dxa"/>
              <w:left w:w="99" w:type="dxa"/>
              <w:bottom w:w="0" w:type="dxa"/>
              <w:right w:w="99" w:type="dxa"/>
            </w:tcMar>
            <w:vAlign w:val="center"/>
          </w:tcPr>
          <w:p w:rsidR="00270612" w:rsidRPr="00A75DF9" w:rsidRDefault="00270612" w:rsidP="00CA4488">
            <w:pPr>
              <w:rPr>
                <w:rFonts w:cs="Tahoma"/>
                <w:color w:val="000000"/>
                <w:szCs w:val="18"/>
              </w:rPr>
            </w:pPr>
            <w:r w:rsidRPr="00A75DF9">
              <w:rPr>
                <w:rFonts w:cs="Tahoma"/>
                <w:color w:val="000000"/>
                <w:szCs w:val="18"/>
              </w:rPr>
              <w:t>1 sottoscrizione per iscrizione</w:t>
            </w:r>
          </w:p>
        </w:tc>
      </w:tr>
    </w:tbl>
    <w:p w:rsidR="00F30075" w:rsidRPr="00A75DF9" w:rsidRDefault="00F30075" w:rsidP="00F30075">
      <w:pPr>
        <w:tabs>
          <w:tab w:val="num" w:pos="0"/>
        </w:tabs>
        <w:rPr>
          <w:rFonts w:cs="Tahoma"/>
        </w:rPr>
      </w:pPr>
      <w:r w:rsidRPr="00A75DF9">
        <w:rPr>
          <w:rFonts w:cs="Tahoma"/>
          <w:i/>
          <w:color w:val="000000"/>
          <w:sz w:val="16"/>
          <w:szCs w:val="16"/>
        </w:rPr>
        <w:t>* Se la società dispone della copertura SA attiva su cinque licenze software</w:t>
      </w:r>
    </w:p>
    <w:p w:rsidR="00270612" w:rsidRPr="00380E04" w:rsidRDefault="00270612" w:rsidP="00270612">
      <w:pPr>
        <w:pStyle w:val="AppendixFlushBulletedList"/>
        <w:tabs>
          <w:tab w:val="clear" w:pos="360"/>
          <w:tab w:val="num" w:pos="0"/>
        </w:tabs>
        <w:ind w:left="0" w:firstLine="0"/>
        <w:rPr>
          <w:rFonts w:ascii="Tahoma" w:hAnsi="Tahoma" w:cs="Tahoma"/>
          <w:sz w:val="16"/>
          <w:szCs w:val="16"/>
        </w:rPr>
      </w:pPr>
    </w:p>
    <w:p w:rsidR="00270612" w:rsidRPr="004B42EB" w:rsidRDefault="00270612" w:rsidP="00270612">
      <w:pPr>
        <w:pStyle w:val="AppendixFlushBulletedList"/>
        <w:tabs>
          <w:tab w:val="clear" w:pos="360"/>
          <w:tab w:val="num" w:pos="0"/>
        </w:tabs>
        <w:ind w:left="0" w:firstLine="0"/>
        <w:rPr>
          <w:rFonts w:ascii="Tahoma" w:hAnsi="Tahoma" w:cs="Tahoma"/>
          <w:sz w:val="18"/>
          <w:szCs w:val="18"/>
        </w:rPr>
      </w:pPr>
      <w:r w:rsidRPr="004B42EB">
        <w:rPr>
          <w:rFonts w:ascii="Tahoma" w:hAnsi="Tahoma" w:cs="Tahoma"/>
          <w:color w:val="000000"/>
          <w:sz w:val="18"/>
          <w:szCs w:val="18"/>
        </w:rPr>
        <w:t>L</w:t>
      </w:r>
      <w:r w:rsidR="00F2643E">
        <w:rPr>
          <w:rFonts w:ascii="Tahoma" w:hAnsi="Tahoma" w:cs="Tahoma"/>
          <w:color w:val="000000"/>
          <w:sz w:val="18"/>
          <w:szCs w:val="18"/>
        </w:rPr>
        <w:t>’</w:t>
      </w:r>
      <w:r w:rsidRPr="004B42EB">
        <w:rPr>
          <w:rFonts w:ascii="Tahoma" w:hAnsi="Tahoma" w:cs="Tahoma"/>
          <w:color w:val="000000"/>
          <w:sz w:val="18"/>
          <w:szCs w:val="18"/>
        </w:rPr>
        <w:t>utilizzo del software TechNet Plus Direct, in versione prototipo e di valutazione, da parte delle società è soggetto alle condizioni del relativo contratto di licenza.</w:t>
      </w:r>
      <w:r w:rsidR="009D3B41" w:rsidRPr="004B42EB">
        <w:rPr>
          <w:rFonts w:ascii="Tahoma" w:hAnsi="Tahoma" w:cs="Tahoma"/>
          <w:color w:val="000000"/>
          <w:sz w:val="18"/>
          <w:szCs w:val="18"/>
        </w:rPr>
        <w:t xml:space="preserve"> </w:t>
      </w:r>
    </w:p>
    <w:p w:rsidR="00270612" w:rsidRPr="004B42EB" w:rsidRDefault="00270612" w:rsidP="00270612">
      <w:pPr>
        <w:pStyle w:val="AppendixFlushBulletedList"/>
        <w:tabs>
          <w:tab w:val="clear" w:pos="360"/>
          <w:tab w:val="num" w:pos="0"/>
        </w:tabs>
        <w:ind w:left="0" w:firstLine="0"/>
        <w:rPr>
          <w:rFonts w:ascii="Tahoma" w:hAnsi="Tahoma" w:cs="Tahoma"/>
          <w:sz w:val="18"/>
          <w:szCs w:val="18"/>
        </w:rPr>
      </w:pPr>
      <w:r w:rsidRPr="004B42EB">
        <w:rPr>
          <w:rFonts w:ascii="Tahoma" w:hAnsi="Tahoma" w:cs="Tahoma"/>
          <w:color w:val="000000"/>
          <w:sz w:val="18"/>
          <w:szCs w:val="18"/>
        </w:rPr>
        <w:t xml:space="preserve">Il software in versione completa concesso in licenza non contiene “time bomb” ed è fornito esclusivamente a scopi di valutazione, non per un utilizzo in ambienti di produzione. </w:t>
      </w:r>
    </w:p>
    <w:p w:rsidR="004D4D43" w:rsidRPr="00380E04" w:rsidRDefault="004D4D43" w:rsidP="00270612">
      <w:pPr>
        <w:pStyle w:val="AppendixFlushBulletedList"/>
        <w:tabs>
          <w:tab w:val="clear" w:pos="360"/>
          <w:tab w:val="num" w:pos="0"/>
        </w:tabs>
        <w:ind w:left="0" w:firstLine="0"/>
        <w:rPr>
          <w:rFonts w:ascii="Tahoma" w:hAnsi="Tahoma" w:cs="Tahoma"/>
          <w:sz w:val="16"/>
          <w:szCs w:val="16"/>
        </w:rPr>
      </w:pPr>
    </w:p>
    <w:p w:rsidR="00270612" w:rsidRPr="004B42EB" w:rsidRDefault="00270612" w:rsidP="00270612">
      <w:pPr>
        <w:pStyle w:val="AppendixFlushBulletedList"/>
        <w:tabs>
          <w:tab w:val="clear" w:pos="360"/>
          <w:tab w:val="num" w:pos="0"/>
        </w:tabs>
        <w:ind w:left="0" w:firstLine="0"/>
        <w:rPr>
          <w:rFonts w:ascii="Tahoma" w:hAnsi="Tahoma" w:cs="Tahoma"/>
          <w:sz w:val="18"/>
          <w:szCs w:val="18"/>
        </w:rPr>
      </w:pPr>
      <w:r w:rsidRPr="004B42EB">
        <w:rPr>
          <w:rFonts w:ascii="Tahoma" w:hAnsi="Tahoma" w:cs="Tahoma"/>
          <w:color w:val="000000"/>
          <w:sz w:val="18"/>
          <w:szCs w:val="18"/>
        </w:rPr>
        <w:t>Le società con copertura SA hanno il diritto di condividere il contenuto tecnico all</w:t>
      </w:r>
      <w:r w:rsidR="00F2643E">
        <w:rPr>
          <w:rFonts w:ascii="Tahoma" w:hAnsi="Tahoma" w:cs="Tahoma"/>
          <w:color w:val="000000"/>
          <w:sz w:val="18"/>
          <w:szCs w:val="18"/>
        </w:rPr>
        <w:t>’</w:t>
      </w:r>
      <w:r w:rsidRPr="004B42EB">
        <w:rPr>
          <w:rFonts w:ascii="Tahoma" w:hAnsi="Tahoma" w:cs="Tahoma"/>
          <w:color w:val="000000"/>
          <w:sz w:val="18"/>
          <w:szCs w:val="18"/>
        </w:rPr>
        <w:t>interno dell</w:t>
      </w:r>
      <w:r w:rsidR="00F2643E">
        <w:rPr>
          <w:rFonts w:ascii="Tahoma" w:hAnsi="Tahoma" w:cs="Tahoma"/>
          <w:color w:val="000000"/>
          <w:sz w:val="18"/>
          <w:szCs w:val="18"/>
        </w:rPr>
        <w:t>’</w:t>
      </w:r>
      <w:r w:rsidRPr="004B42EB">
        <w:rPr>
          <w:rFonts w:ascii="Tahoma" w:hAnsi="Tahoma" w:cs="Tahoma"/>
          <w:color w:val="000000"/>
          <w:sz w:val="18"/>
          <w:szCs w:val="18"/>
        </w:rPr>
        <w:t xml:space="preserve">organizzazione, tra cui la Knowledge Base, la formazione tecnica, i download, i service pack e le patch di protezione. Tuttavia, i seguenti vantaggi sono riservati unicamente al sottoscrittore principale e non si possono condividere: software in versione completa fornito per scopi di valutazione, software in versione beta, interventi di supporto tecnico e sconto, managed newsgroup e online concierge e altri servizi premium disponibili solo sul sito Web dei Servizi TechNet Plus Direct. </w:t>
      </w:r>
    </w:p>
    <w:p w:rsidR="00792D1E" w:rsidRPr="00380E04" w:rsidRDefault="00792D1E" w:rsidP="00270612">
      <w:pPr>
        <w:pStyle w:val="AppendixFlushBulletedList"/>
        <w:tabs>
          <w:tab w:val="clear" w:pos="360"/>
          <w:tab w:val="num" w:pos="0"/>
        </w:tabs>
        <w:ind w:left="0" w:firstLine="0"/>
        <w:rPr>
          <w:rFonts w:ascii="Tahoma" w:hAnsi="Tahoma" w:cs="Tahoma"/>
          <w:sz w:val="16"/>
          <w:szCs w:val="16"/>
        </w:rPr>
      </w:pPr>
    </w:p>
    <w:p w:rsidR="00270612" w:rsidRPr="004B42EB" w:rsidRDefault="00270612" w:rsidP="00270612">
      <w:pPr>
        <w:pStyle w:val="AppendixFlushBulletedList"/>
        <w:tabs>
          <w:tab w:val="clear" w:pos="360"/>
          <w:tab w:val="num" w:pos="0"/>
        </w:tabs>
        <w:ind w:left="0" w:firstLine="0"/>
        <w:rPr>
          <w:rFonts w:ascii="Tahoma" w:hAnsi="Tahoma" w:cs="Tahoma"/>
          <w:sz w:val="18"/>
          <w:szCs w:val="18"/>
        </w:rPr>
      </w:pPr>
      <w:r w:rsidRPr="004B42EB">
        <w:rPr>
          <w:rFonts w:ascii="Tahoma" w:hAnsi="Tahoma" w:cs="Tahoma"/>
          <w:color w:val="000000"/>
          <w:sz w:val="18"/>
          <w:szCs w:val="18"/>
        </w:rPr>
        <w:t>Non tutti i servizi e i vantaggi TechNet Plus Direct sono disponibili in ogni paese.</w:t>
      </w:r>
      <w:r w:rsidR="009D3B41" w:rsidRPr="004B42EB">
        <w:rPr>
          <w:rFonts w:ascii="Tahoma" w:hAnsi="Tahoma" w:cs="Tahoma"/>
          <w:color w:val="000000"/>
          <w:sz w:val="18"/>
          <w:szCs w:val="18"/>
        </w:rPr>
        <w:t xml:space="preserve"> </w:t>
      </w:r>
    </w:p>
    <w:p w:rsidR="00792D1E" w:rsidRPr="00380E04" w:rsidRDefault="00792D1E" w:rsidP="00270612">
      <w:pPr>
        <w:pStyle w:val="AppendixFlushBulletedList"/>
        <w:tabs>
          <w:tab w:val="clear" w:pos="360"/>
          <w:tab w:val="num" w:pos="0"/>
        </w:tabs>
        <w:ind w:left="0" w:firstLine="0"/>
        <w:rPr>
          <w:rFonts w:ascii="Tahoma" w:hAnsi="Tahoma" w:cs="Tahoma"/>
          <w:sz w:val="16"/>
          <w:szCs w:val="16"/>
        </w:rPr>
      </w:pPr>
    </w:p>
    <w:p w:rsidR="00270612" w:rsidRPr="004B42EB" w:rsidRDefault="00270612" w:rsidP="004B42EB">
      <w:pPr>
        <w:pStyle w:val="AppendixFlushBulletedList"/>
        <w:tabs>
          <w:tab w:val="clear" w:pos="360"/>
          <w:tab w:val="num" w:pos="0"/>
        </w:tabs>
        <w:ind w:left="0" w:firstLine="0"/>
        <w:rPr>
          <w:rFonts w:ascii="Tahoma" w:hAnsi="Tahoma" w:cs="Tahoma"/>
          <w:spacing w:val="-2"/>
        </w:rPr>
      </w:pPr>
      <w:r w:rsidRPr="004B42EB">
        <w:rPr>
          <w:rFonts w:ascii="Tahoma" w:hAnsi="Tahoma" w:cs="Tahoma"/>
          <w:color w:val="000000"/>
          <w:spacing w:val="-2"/>
          <w:sz w:val="18"/>
          <w:szCs w:val="18"/>
        </w:rPr>
        <w:t xml:space="preserve">Per ulteriori informazioni sulla disponibilità in base al Paese, visitare la pagina </w:t>
      </w:r>
      <w:hyperlink r:id="rId28" w:history="1">
        <w:r w:rsidR="004B42EB" w:rsidRPr="004B42EB">
          <w:rPr>
            <w:rStyle w:val="Hyperlink"/>
            <w:rFonts w:ascii="Tahoma" w:hAnsi="Tahoma" w:cs="Tahoma"/>
            <w:color w:val="000000"/>
            <w:spacing w:val="-2"/>
            <w:sz w:val="18"/>
            <w:szCs w:val="18"/>
          </w:rPr>
          <w:t>www.microsoft.com/technet/subscription</w:t>
        </w:r>
      </w:hyperlink>
      <w:r w:rsidRPr="004B42EB">
        <w:rPr>
          <w:rFonts w:ascii="Tahoma" w:hAnsi="Tahoma" w:cs="Tahoma"/>
          <w:color w:val="000000"/>
          <w:spacing w:val="-2"/>
          <w:sz w:val="18"/>
          <w:szCs w:val="18"/>
        </w:rPr>
        <w:t xml:space="preserve">. </w:t>
      </w:r>
    </w:p>
    <w:p w:rsidR="00270612" w:rsidRPr="00A75DF9" w:rsidRDefault="00270612" w:rsidP="00270612">
      <w:pPr>
        <w:pStyle w:val="AppendixFlushBulletedList"/>
        <w:tabs>
          <w:tab w:val="clear" w:pos="360"/>
          <w:tab w:val="num" w:pos="0"/>
        </w:tabs>
        <w:ind w:left="0" w:firstLine="0"/>
        <w:rPr>
          <w:rFonts w:ascii="Tahoma" w:hAnsi="Tahoma" w:cs="Tahoma"/>
        </w:rPr>
      </w:pPr>
      <w:r w:rsidRPr="00A75DF9">
        <w:rPr>
          <w:rFonts w:ascii="Tahoma" w:hAnsi="Tahoma" w:cs="Tahoma"/>
          <w:color w:val="000000"/>
          <w:sz w:val="18"/>
          <w:szCs w:val="18"/>
        </w:rPr>
        <w:t>Il diritto delle società di utilizzare software TechNet Plus Direct e software in versione prototipo e di valutazione cessa alla scadenza della copertura Software Assurance.</w:t>
      </w:r>
    </w:p>
    <w:p w:rsidR="00023FE7" w:rsidRPr="00380E04" w:rsidRDefault="00023FE7">
      <w:pPr>
        <w:pStyle w:val="Heading3"/>
        <w:tabs>
          <w:tab w:val="num" w:pos="0"/>
        </w:tabs>
        <w:rPr>
          <w:rFonts w:ascii="Tahoma" w:hAnsi="Tahoma" w:cs="Tahoma"/>
          <w:b w:val="0"/>
          <w:bCs/>
          <w:sz w:val="16"/>
          <w:szCs w:val="16"/>
        </w:rPr>
      </w:pPr>
    </w:p>
    <w:p w:rsidR="004D4D43" w:rsidRPr="00A75DF9" w:rsidRDefault="004D4D43" w:rsidP="004D4D43">
      <w:pPr>
        <w:pStyle w:val="Heading3"/>
        <w:tabs>
          <w:tab w:val="num" w:pos="0"/>
        </w:tabs>
        <w:rPr>
          <w:rFonts w:ascii="Tahoma" w:hAnsi="Tahoma" w:cs="Tahoma"/>
        </w:rPr>
      </w:pPr>
      <w:bookmarkStart w:id="758" w:name="_Toc336338242"/>
      <w:bookmarkStart w:id="759" w:name="_Toc368310233"/>
      <w:r w:rsidRPr="00A75DF9">
        <w:rPr>
          <w:rFonts w:ascii="Tahoma" w:hAnsi="Tahoma" w:cs="Tahoma"/>
          <w:sz w:val="24"/>
        </w:rPr>
        <w:t>Mobilità delle Licenze tramite Software Assurance</w:t>
      </w:r>
      <w:bookmarkEnd w:id="758"/>
      <w:bookmarkEnd w:id="759"/>
    </w:p>
    <w:p w:rsidR="004D4D43" w:rsidRPr="00380E04" w:rsidRDefault="004D4D43" w:rsidP="0007218F">
      <w:pPr>
        <w:pStyle w:val="Heading3"/>
        <w:tabs>
          <w:tab w:val="num" w:pos="0"/>
        </w:tabs>
        <w:rPr>
          <w:rFonts w:ascii="Tahoma" w:hAnsi="Tahoma" w:cs="Tahoma"/>
          <w:b w:val="0"/>
          <w:bCs/>
          <w:sz w:val="16"/>
          <w:szCs w:val="16"/>
        </w:rPr>
      </w:pPr>
    </w:p>
    <w:p w:rsidR="004D4D43" w:rsidRPr="00A75DF9" w:rsidRDefault="004D4D43" w:rsidP="002171C3">
      <w:pPr>
        <w:rPr>
          <w:rFonts w:cs="Tahoma"/>
        </w:rPr>
      </w:pPr>
      <w:bookmarkStart w:id="760" w:name="_Toc294048012"/>
      <w:bookmarkStart w:id="761" w:name="_Toc294048569"/>
      <w:bookmarkStart w:id="762" w:name="_Toc294092640"/>
      <w:bookmarkStart w:id="763" w:name="_Toc295819320"/>
      <w:bookmarkStart w:id="764" w:name="_Toc298795971"/>
      <w:bookmarkStart w:id="765" w:name="_Toc299369847"/>
      <w:bookmarkStart w:id="766" w:name="_Toc300391558"/>
      <w:bookmarkStart w:id="767" w:name="_Toc301939835"/>
      <w:bookmarkStart w:id="768" w:name="_Toc304801232"/>
      <w:bookmarkStart w:id="769" w:name="_Toc312399280"/>
      <w:bookmarkStart w:id="770" w:name="_Toc315289087"/>
      <w:bookmarkStart w:id="771" w:name="_Toc317591243"/>
      <w:bookmarkStart w:id="772" w:name="_Toc325313196"/>
      <w:bookmarkStart w:id="773" w:name="_Toc325609219"/>
      <w:r w:rsidRPr="00A75DF9">
        <w:rPr>
          <w:rFonts w:cs="Tahoma"/>
        </w:rPr>
        <w:t>Mobilità delle Licenze tramite Software Assurance consente di spostare determinate licenze on-premise con copertura Software Assurance su server condivisi di terzi.</w:t>
      </w:r>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p>
    <w:p w:rsidR="004D4D43" w:rsidRPr="00380E04" w:rsidRDefault="004D4D43" w:rsidP="002171C3">
      <w:pPr>
        <w:rPr>
          <w:rFonts w:cs="Tahoma"/>
          <w:sz w:val="16"/>
          <w:szCs w:val="16"/>
        </w:rPr>
      </w:pPr>
    </w:p>
    <w:p w:rsidR="004D4D43" w:rsidRPr="00380E04" w:rsidRDefault="004D4D43" w:rsidP="002171C3">
      <w:pPr>
        <w:rPr>
          <w:rFonts w:cs="Tahoma"/>
          <w:spacing w:val="-3"/>
        </w:rPr>
      </w:pPr>
      <w:bookmarkStart w:id="774" w:name="_Toc294048013"/>
      <w:bookmarkStart w:id="775" w:name="_Toc294048570"/>
      <w:bookmarkStart w:id="776" w:name="_Toc294092641"/>
      <w:bookmarkStart w:id="777" w:name="_Toc295819321"/>
      <w:bookmarkStart w:id="778" w:name="_Toc298795972"/>
      <w:bookmarkStart w:id="779" w:name="_Toc299369848"/>
      <w:bookmarkStart w:id="780" w:name="_Toc300391559"/>
      <w:bookmarkStart w:id="781" w:name="_Toc301939836"/>
      <w:bookmarkStart w:id="782" w:name="_Toc304801233"/>
      <w:bookmarkStart w:id="783" w:name="_Toc307350402"/>
      <w:bookmarkStart w:id="784" w:name="_Toc308429813"/>
      <w:bookmarkStart w:id="785" w:name="_Toc312399281"/>
      <w:bookmarkStart w:id="786" w:name="_Toc315289088"/>
      <w:bookmarkStart w:id="787" w:name="_Toc317591244"/>
      <w:bookmarkStart w:id="788" w:name="_Toc323034197"/>
      <w:bookmarkStart w:id="789" w:name="_Toc325313197"/>
      <w:bookmarkStart w:id="790" w:name="_Toc325609220"/>
      <w:r w:rsidRPr="00380E04">
        <w:rPr>
          <w:rFonts w:cs="Tahoma"/>
          <w:spacing w:val="-3"/>
        </w:rPr>
        <w:t>Tutti i Prodotti attualmente idonei per “Mobilità delle Licenze all</w:t>
      </w:r>
      <w:r w:rsidR="00F2643E">
        <w:rPr>
          <w:rFonts w:cs="Tahoma"/>
          <w:spacing w:val="-3"/>
        </w:rPr>
        <w:t>’</w:t>
      </w:r>
      <w:r w:rsidRPr="00380E04">
        <w:rPr>
          <w:rFonts w:cs="Tahoma"/>
          <w:spacing w:val="-3"/>
        </w:rPr>
        <w:t>interno di Server Farm” in base a quanto definito nei Diritti di Utilizzo del Prodotto (PUR) e con copertura Software Assurance sono idonei per Mobilità delle Licenze tramite Software Assurance. Inoltre, sono idonei per Mobilità delle Licenze tramite Software Assurance anche i Prodotti seguenti:</w:t>
      </w:r>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p>
    <w:p w:rsidR="004D4D43" w:rsidRPr="00380E04" w:rsidRDefault="004D4D43" w:rsidP="00F86E06">
      <w:pPr>
        <w:rPr>
          <w:rFonts w:cs="Tahoma"/>
          <w:sz w:val="16"/>
          <w:szCs w:val="16"/>
        </w:rPr>
      </w:pPr>
    </w:p>
    <w:p w:rsidR="004D4D43" w:rsidRPr="00A75DF9" w:rsidRDefault="004D4D43" w:rsidP="007D62D8">
      <w:pPr>
        <w:numPr>
          <w:ilvl w:val="0"/>
          <w:numId w:val="74"/>
        </w:numPr>
        <w:spacing w:after="50"/>
        <w:ind w:left="1440"/>
        <w:rPr>
          <w:rFonts w:cs="Tahoma"/>
        </w:rPr>
      </w:pPr>
      <w:bookmarkStart w:id="791" w:name="_Toc294048014"/>
      <w:bookmarkStart w:id="792" w:name="_Toc294048571"/>
      <w:bookmarkStart w:id="793" w:name="_Toc294092642"/>
      <w:bookmarkStart w:id="794" w:name="_Toc295819322"/>
      <w:bookmarkStart w:id="795" w:name="_Toc298795973"/>
      <w:bookmarkStart w:id="796" w:name="_Toc299369849"/>
      <w:bookmarkStart w:id="797" w:name="_Toc300391560"/>
      <w:bookmarkStart w:id="798" w:name="_Toc301939837"/>
      <w:bookmarkStart w:id="799" w:name="_Toc304801234"/>
      <w:bookmarkStart w:id="800" w:name="_Toc307350403"/>
      <w:bookmarkStart w:id="801" w:name="_Toc308429814"/>
      <w:bookmarkStart w:id="802" w:name="_Toc312399282"/>
      <w:bookmarkStart w:id="803" w:name="_Toc315289089"/>
      <w:bookmarkStart w:id="804" w:name="_Toc317591245"/>
      <w:bookmarkStart w:id="805" w:name="_Toc323034198"/>
      <w:bookmarkStart w:id="806" w:name="_Toc325313198"/>
      <w:bookmarkStart w:id="807" w:name="_Toc325609221"/>
      <w:r w:rsidRPr="00A75DF9">
        <w:rPr>
          <w:rFonts w:cs="Tahoma"/>
        </w:rPr>
        <w:t>SQL Server Standard</w:t>
      </w:r>
      <w:r w:rsidR="007D62D8" w:rsidRPr="00A75DF9">
        <w:rPr>
          <w:rFonts w:cs="Tahoma"/>
        </w:rPr>
        <w:t xml:space="preserve"> - </w:t>
      </w:r>
      <w:r w:rsidRPr="00A75DF9">
        <w:rPr>
          <w:rFonts w:cs="Tahoma"/>
        </w:rPr>
        <w:t>Per Processore e Server/CAL (solo licenze per processore e server) con</w:t>
      </w:r>
      <w:r w:rsidR="004B42EB">
        <w:rPr>
          <w:rFonts w:cs="Tahoma"/>
        </w:rPr>
        <w:t> </w:t>
      </w:r>
      <w:r w:rsidRPr="00A75DF9">
        <w:rPr>
          <w:rFonts w:cs="Tahoma"/>
        </w:rPr>
        <w:t>Software Assurance</w:t>
      </w:r>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p>
    <w:p w:rsidR="004D4D43" w:rsidRPr="00A75DF9" w:rsidRDefault="004D4D43" w:rsidP="00380E04">
      <w:pPr>
        <w:numPr>
          <w:ilvl w:val="0"/>
          <w:numId w:val="74"/>
        </w:numPr>
        <w:spacing w:after="50"/>
        <w:ind w:left="1440"/>
        <w:rPr>
          <w:rFonts w:cs="Tahoma"/>
        </w:rPr>
      </w:pPr>
      <w:bookmarkStart w:id="808" w:name="_Toc294048015"/>
      <w:bookmarkStart w:id="809" w:name="_Toc294048572"/>
      <w:bookmarkStart w:id="810" w:name="_Toc294092643"/>
      <w:bookmarkStart w:id="811" w:name="_Toc295819323"/>
      <w:bookmarkStart w:id="812" w:name="_Toc298795974"/>
      <w:bookmarkStart w:id="813" w:name="_Toc299369850"/>
      <w:bookmarkStart w:id="814" w:name="_Toc300391561"/>
      <w:bookmarkStart w:id="815" w:name="_Toc301939838"/>
      <w:bookmarkStart w:id="816" w:name="_Toc304801235"/>
      <w:bookmarkStart w:id="817" w:name="_Toc307350404"/>
      <w:bookmarkStart w:id="818" w:name="_Toc308429815"/>
      <w:bookmarkStart w:id="819" w:name="_Toc312399283"/>
      <w:bookmarkStart w:id="820" w:name="_Toc315289090"/>
      <w:bookmarkStart w:id="821" w:name="_Toc317591246"/>
      <w:bookmarkStart w:id="822" w:name="_Toc323034199"/>
      <w:bookmarkStart w:id="823" w:name="_Toc325313199"/>
      <w:bookmarkStart w:id="824" w:name="_Toc325609222"/>
      <w:r w:rsidRPr="00A75DF9">
        <w:rPr>
          <w:rFonts w:cs="Tahoma"/>
        </w:rPr>
        <w:t>System Center - tutte le Licenze di Gestione Server (ML), incluse SMSE e SMSD con Software Assurance</w:t>
      </w:r>
      <w:bookmarkEnd w:id="808"/>
      <w:bookmarkEnd w:id="809"/>
      <w:bookmarkEnd w:id="810"/>
      <w:bookmarkEnd w:id="811"/>
      <w:bookmarkEnd w:id="812"/>
      <w:bookmarkEnd w:id="813"/>
      <w:bookmarkEnd w:id="814"/>
      <w:bookmarkEnd w:id="815"/>
      <w:bookmarkEnd w:id="816"/>
      <w:bookmarkEnd w:id="817"/>
      <w:bookmarkEnd w:id="818"/>
      <w:bookmarkEnd w:id="819"/>
      <w:bookmarkEnd w:id="820"/>
      <w:r w:rsidRPr="00A75DF9">
        <w:rPr>
          <w:rFonts w:cs="Tahoma"/>
        </w:rPr>
        <w:t xml:space="preserve"> e System Center 2012 Standard e Datacenter con Software Assurance</w:t>
      </w:r>
      <w:bookmarkEnd w:id="821"/>
      <w:bookmarkEnd w:id="822"/>
      <w:bookmarkEnd w:id="823"/>
      <w:bookmarkEnd w:id="824"/>
    </w:p>
    <w:p w:rsidR="00973A93" w:rsidRPr="00380E04" w:rsidRDefault="00973A93">
      <w:pPr>
        <w:rPr>
          <w:rFonts w:cs="Tahoma"/>
          <w:sz w:val="16"/>
          <w:szCs w:val="16"/>
        </w:rPr>
      </w:pPr>
      <w:bookmarkStart w:id="825" w:name="_Toc294048016"/>
      <w:bookmarkStart w:id="826" w:name="_Toc294048573"/>
      <w:bookmarkStart w:id="827" w:name="_Toc294092644"/>
      <w:bookmarkStart w:id="828" w:name="_Toc295819324"/>
      <w:bookmarkStart w:id="829" w:name="_Toc298795975"/>
      <w:bookmarkStart w:id="830" w:name="_Toc299369851"/>
      <w:bookmarkStart w:id="831" w:name="_Toc300391562"/>
      <w:bookmarkStart w:id="832" w:name="_Toc301939839"/>
      <w:bookmarkStart w:id="833" w:name="_Toc304801236"/>
      <w:bookmarkStart w:id="834" w:name="_Toc307350405"/>
      <w:bookmarkStart w:id="835" w:name="_Toc308429816"/>
      <w:bookmarkStart w:id="836" w:name="_Toc312399284"/>
      <w:bookmarkStart w:id="837" w:name="_Toc315289091"/>
      <w:bookmarkStart w:id="838" w:name="_Toc317591247"/>
      <w:bookmarkStart w:id="839" w:name="_Toc323034200"/>
      <w:bookmarkStart w:id="840" w:name="_Toc325313200"/>
      <w:bookmarkStart w:id="841" w:name="_Toc325609223"/>
    </w:p>
    <w:p w:rsidR="004D4D43" w:rsidRPr="00A75DF9" w:rsidRDefault="004D4D43" w:rsidP="002171C3">
      <w:pPr>
        <w:rPr>
          <w:rFonts w:cs="Tahoma"/>
        </w:rPr>
      </w:pPr>
      <w:r w:rsidRPr="00A75DF9">
        <w:rPr>
          <w:rFonts w:cs="Tahoma"/>
        </w:rPr>
        <w:t>Per utilizzare Mobilità delle Licenze tramite Software Assurance, le società dovranno:</w:t>
      </w:r>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p>
    <w:p w:rsidR="004D4D43" w:rsidRPr="00380E04" w:rsidRDefault="004D4D43" w:rsidP="00F86E06">
      <w:pPr>
        <w:rPr>
          <w:rFonts w:cs="Tahoma"/>
          <w:sz w:val="16"/>
          <w:szCs w:val="16"/>
        </w:rPr>
      </w:pPr>
    </w:p>
    <w:p w:rsidR="004D4D43" w:rsidRPr="00A75DF9" w:rsidRDefault="004D4D43" w:rsidP="00380E04">
      <w:pPr>
        <w:numPr>
          <w:ilvl w:val="0"/>
          <w:numId w:val="63"/>
        </w:numPr>
        <w:spacing w:after="50"/>
        <w:ind w:left="1440"/>
        <w:rPr>
          <w:rFonts w:cs="Tahoma"/>
        </w:rPr>
      </w:pPr>
      <w:bookmarkStart w:id="842" w:name="_Toc294048017"/>
      <w:bookmarkStart w:id="843" w:name="_Toc294048574"/>
      <w:bookmarkStart w:id="844" w:name="_Toc294092645"/>
      <w:bookmarkStart w:id="845" w:name="_Toc295819325"/>
      <w:bookmarkStart w:id="846" w:name="_Toc298795976"/>
      <w:bookmarkStart w:id="847" w:name="_Toc299369852"/>
      <w:bookmarkStart w:id="848" w:name="_Toc300391563"/>
      <w:bookmarkStart w:id="849" w:name="_Toc301939840"/>
      <w:bookmarkStart w:id="850" w:name="_Toc304801237"/>
      <w:bookmarkStart w:id="851" w:name="_Toc307350406"/>
      <w:bookmarkStart w:id="852" w:name="_Toc308429817"/>
      <w:bookmarkStart w:id="853" w:name="_Toc312399285"/>
      <w:bookmarkStart w:id="854" w:name="_Toc315289092"/>
      <w:bookmarkStart w:id="855" w:name="_Toc317591248"/>
      <w:bookmarkStart w:id="856" w:name="_Toc323034201"/>
      <w:bookmarkStart w:id="857" w:name="_Toc325313201"/>
      <w:bookmarkStart w:id="858" w:name="_Toc325609224"/>
      <w:r w:rsidRPr="00A75DF9">
        <w:rPr>
          <w:rFonts w:cs="Tahoma"/>
        </w:rPr>
        <w:t>gestire la copertura Software Assurance per le licenze ai sensi delle quali eseguono software o gestiscono ambienti di sistemi operativi su server di terzi condivisi nonché tutte le CAL, External Connector e licenze di gestione corrispondenti;</w:t>
      </w:r>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p>
    <w:p w:rsidR="004D4D43" w:rsidRPr="00A75DF9" w:rsidRDefault="004D4D43" w:rsidP="00380E04">
      <w:pPr>
        <w:numPr>
          <w:ilvl w:val="0"/>
          <w:numId w:val="63"/>
        </w:numPr>
        <w:spacing w:after="50"/>
        <w:ind w:left="1440"/>
        <w:rPr>
          <w:rFonts w:cs="Tahoma"/>
        </w:rPr>
      </w:pPr>
      <w:bookmarkStart w:id="859" w:name="_Toc294048018"/>
      <w:bookmarkStart w:id="860" w:name="_Toc294048575"/>
      <w:bookmarkStart w:id="861" w:name="_Toc294092646"/>
      <w:bookmarkStart w:id="862" w:name="_Toc295819326"/>
      <w:bookmarkStart w:id="863" w:name="_Toc298795977"/>
      <w:bookmarkStart w:id="864" w:name="_Toc299369853"/>
      <w:bookmarkStart w:id="865" w:name="_Toc300391564"/>
      <w:bookmarkStart w:id="866" w:name="_Toc301939841"/>
      <w:bookmarkStart w:id="867" w:name="_Toc304801238"/>
      <w:bookmarkStart w:id="868" w:name="_Toc307350407"/>
      <w:bookmarkStart w:id="869" w:name="_Toc308429818"/>
      <w:bookmarkStart w:id="870" w:name="_Toc312399286"/>
      <w:bookmarkStart w:id="871" w:name="_Toc315289093"/>
      <w:bookmarkStart w:id="872" w:name="_Toc317591249"/>
      <w:bookmarkStart w:id="873" w:name="_Toc323034202"/>
      <w:bookmarkStart w:id="874" w:name="_Toc325313202"/>
      <w:bookmarkStart w:id="875" w:name="_Toc325609225"/>
      <w:r w:rsidRPr="00A75DF9">
        <w:rPr>
          <w:rFonts w:cs="Tahoma"/>
        </w:rPr>
        <w:t>distribuire le proprie licenze solo con Partner di Mobilità delle Licenze tramite Software Assurance qualificati. L</w:t>
      </w:r>
      <w:r w:rsidR="00F2643E">
        <w:rPr>
          <w:rFonts w:cs="Tahoma"/>
        </w:rPr>
        <w:t>’</w:t>
      </w:r>
      <w:r w:rsidRPr="00A75DF9">
        <w:rPr>
          <w:rFonts w:cs="Tahoma"/>
        </w:rPr>
        <w:t xml:space="preserve">elenco dei Partner di Mobilità delle Licenze tramite Software Assurance qualificati è disponibile sul sito Web </w:t>
      </w:r>
      <w:r w:rsidR="004B42EB" w:rsidRPr="00207514">
        <w:t>http://www.microsoft.com/licensing/software-assurance/license-mobility</w:t>
      </w:r>
      <w:r w:rsidRPr="00A75DF9">
        <w:rPr>
          <w:rFonts w:cs="Tahoma"/>
        </w:rPr>
        <w:t xml:space="preserve"> e</w:t>
      </w:r>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p>
    <w:p w:rsidR="004D4D43" w:rsidRPr="00A75DF9" w:rsidRDefault="004D4D43" w:rsidP="00380E04">
      <w:pPr>
        <w:numPr>
          <w:ilvl w:val="0"/>
          <w:numId w:val="63"/>
        </w:numPr>
        <w:spacing w:after="50"/>
        <w:ind w:left="1440"/>
        <w:rPr>
          <w:rFonts w:cs="Tahoma"/>
        </w:rPr>
      </w:pPr>
      <w:bookmarkStart w:id="876" w:name="_Toc294048019"/>
      <w:bookmarkStart w:id="877" w:name="_Toc294048576"/>
      <w:bookmarkStart w:id="878" w:name="_Toc294092647"/>
      <w:bookmarkStart w:id="879" w:name="_Toc295819327"/>
      <w:bookmarkStart w:id="880" w:name="_Toc298795978"/>
      <w:bookmarkStart w:id="881" w:name="_Toc299369854"/>
      <w:bookmarkStart w:id="882" w:name="_Toc300391565"/>
      <w:bookmarkStart w:id="883" w:name="_Toc301939842"/>
      <w:bookmarkStart w:id="884" w:name="_Toc304801239"/>
      <w:bookmarkStart w:id="885" w:name="_Toc307350408"/>
      <w:bookmarkStart w:id="886" w:name="_Toc308429819"/>
      <w:bookmarkStart w:id="887" w:name="_Toc312399287"/>
      <w:bookmarkStart w:id="888" w:name="_Toc315289094"/>
      <w:bookmarkStart w:id="889" w:name="_Toc317591250"/>
      <w:bookmarkStart w:id="890" w:name="_Toc323034203"/>
      <w:bookmarkStart w:id="891" w:name="_Toc325313203"/>
      <w:bookmarkStart w:id="892" w:name="_Toc325609226"/>
      <w:r w:rsidRPr="00A75DF9">
        <w:rPr>
          <w:rFonts w:cs="Tahoma"/>
        </w:rPr>
        <w:t>completare e inviare il modulo per la Convalida della Mobilità delle Licenze con ciascun Partner di Mobilità delle Licenze tramite Software Assurance qualificato che eseguirà il software in licenza delle società sui server condivisi dei partner.</w:t>
      </w:r>
      <w:r w:rsidR="009D3B41" w:rsidRPr="00A75DF9">
        <w:rPr>
          <w:rFonts w:cs="Tahoma"/>
        </w:rPr>
        <w:t xml:space="preserve"> </w:t>
      </w:r>
      <w:r w:rsidRPr="00A75DF9">
        <w:rPr>
          <w:rFonts w:cs="Tahoma"/>
        </w:rPr>
        <w:t>Il modulo per la Convalida della Mobilità delle Licenze verrà messo a disposizione delle società dal Partner di Mobilità delle Licenze tramite Software Assurance qualificato.</w:t>
      </w:r>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p>
    <w:p w:rsidR="004D4D43" w:rsidRPr="00A75DF9" w:rsidRDefault="004D4D43" w:rsidP="002171C3">
      <w:pPr>
        <w:rPr>
          <w:rFonts w:cs="Tahoma"/>
        </w:rPr>
      </w:pPr>
      <w:bookmarkStart w:id="893" w:name="_Toc294048020"/>
      <w:bookmarkStart w:id="894" w:name="_Toc294048577"/>
      <w:bookmarkStart w:id="895" w:name="_Toc294092648"/>
      <w:bookmarkStart w:id="896" w:name="_Toc295819328"/>
      <w:bookmarkStart w:id="897" w:name="_Toc298795979"/>
      <w:bookmarkStart w:id="898" w:name="_Toc299369855"/>
      <w:bookmarkStart w:id="899" w:name="_Toc300391566"/>
      <w:bookmarkStart w:id="900" w:name="_Toc301939843"/>
      <w:bookmarkStart w:id="901" w:name="_Toc304801240"/>
      <w:bookmarkStart w:id="902" w:name="_Toc307350409"/>
      <w:bookmarkStart w:id="903" w:name="_Toc308429820"/>
      <w:bookmarkStart w:id="904" w:name="_Toc312399288"/>
      <w:bookmarkStart w:id="905" w:name="_Toc317591251"/>
      <w:bookmarkStart w:id="906" w:name="_Toc323034204"/>
      <w:bookmarkStart w:id="907" w:name="_Toc325313204"/>
      <w:bookmarkStart w:id="908" w:name="_Toc325609227"/>
      <w:r w:rsidRPr="00A75DF9">
        <w:rPr>
          <w:rFonts w:cs="Tahoma"/>
        </w:rPr>
        <w:t>I diritti delle società di eseguire software in licenza e gestire OSE su server di terzi condivisi scadranno al termine della copertura Software Assurance su tali licenze o sulle licenze di accesso o di gestione corrispondenti.</w:t>
      </w:r>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p>
    <w:p w:rsidR="004D4D43" w:rsidRPr="00A75DF9" w:rsidRDefault="004D4D43" w:rsidP="0007218F">
      <w:pPr>
        <w:rPr>
          <w:rFonts w:cs="Tahoma"/>
        </w:rPr>
      </w:pPr>
    </w:p>
    <w:p w:rsidR="00023FE7" w:rsidRPr="00A75DF9" w:rsidRDefault="00023FE7" w:rsidP="00D824E9">
      <w:pPr>
        <w:pStyle w:val="Heading3"/>
        <w:keepNext/>
        <w:tabs>
          <w:tab w:val="num" w:pos="0"/>
        </w:tabs>
        <w:rPr>
          <w:rFonts w:ascii="Tahoma" w:hAnsi="Tahoma" w:cs="Tahoma"/>
        </w:rPr>
      </w:pPr>
      <w:bookmarkStart w:id="909" w:name="_Toc336338243"/>
      <w:bookmarkStart w:id="910" w:name="_Toc368310234"/>
      <w:r w:rsidRPr="00A75DF9">
        <w:rPr>
          <w:rFonts w:ascii="Tahoma" w:hAnsi="Tahoma" w:cs="Tahoma"/>
          <w:sz w:val="24"/>
        </w:rPr>
        <w:lastRenderedPageBreak/>
        <w:t>Windows Thin PC</w:t>
      </w:r>
      <w:bookmarkEnd w:id="909"/>
      <w:bookmarkEnd w:id="910"/>
    </w:p>
    <w:p w:rsidR="00023FE7" w:rsidRPr="00A75DF9" w:rsidRDefault="00023FE7" w:rsidP="0007218F">
      <w:pPr>
        <w:pStyle w:val="Heading3"/>
        <w:rPr>
          <w:rFonts w:ascii="Tahoma" w:hAnsi="Tahoma" w:cs="Tahoma"/>
        </w:rPr>
      </w:pPr>
    </w:p>
    <w:p w:rsidR="0008414D" w:rsidRPr="00A75DF9" w:rsidRDefault="0008414D" w:rsidP="0007218F">
      <w:pPr>
        <w:rPr>
          <w:rFonts w:cs="Tahoma"/>
        </w:rPr>
      </w:pPr>
      <w:r w:rsidRPr="00A75DF9">
        <w:rPr>
          <w:rFonts w:eastAsia="Calibri" w:cs="Tahoma"/>
          <w:szCs w:val="20"/>
        </w:rPr>
        <w:t xml:space="preserve">Le società che abbiano stipulato Contratti Multilicenza con copertura Software Assurance attiva per il sistema operativo desktop Windows o licenze attive per VDA o Windows Intune </w:t>
      </w:r>
      <w:r w:rsidRPr="00A75DF9">
        <w:rPr>
          <w:rFonts w:cs="Tahoma"/>
          <w:szCs w:val="18"/>
        </w:rPr>
        <w:t xml:space="preserve">(Per Dispositivo) </w:t>
      </w:r>
      <w:r w:rsidRPr="00A75DF9">
        <w:rPr>
          <w:rFonts w:eastAsia="Calibri" w:cs="Tahoma"/>
          <w:szCs w:val="20"/>
        </w:rPr>
        <w:t xml:space="preserve">sono idonee per questo vantaggio. Le società che accedono a questo vantaggio </w:t>
      </w:r>
      <w:r w:rsidRPr="00A75DF9">
        <w:rPr>
          <w:rFonts w:eastAsia="Calibri" w:cs="Tahoma"/>
          <w:color w:val="000000"/>
          <w:szCs w:val="20"/>
        </w:rPr>
        <w:t xml:space="preserve">in base a </w:t>
      </w:r>
      <w:r w:rsidRPr="00A75DF9">
        <w:rPr>
          <w:rFonts w:eastAsia="Calibri" w:cs="Tahoma"/>
          <w:szCs w:val="20"/>
        </w:rPr>
        <w:t>VDA dovranno disporre di un sistema operativo qualificante</w:t>
      </w:r>
      <w:r w:rsidRPr="00A75DF9">
        <w:rPr>
          <w:rFonts w:eastAsia="Calibri" w:cs="Tahoma"/>
          <w:color w:val="1F497D"/>
          <w:szCs w:val="20"/>
        </w:rPr>
        <w:t xml:space="preserve"> </w:t>
      </w:r>
      <w:r w:rsidRPr="00A75DF9">
        <w:rPr>
          <w:rFonts w:eastAsia="Calibri" w:cs="Tahoma"/>
          <w:color w:val="000000"/>
          <w:szCs w:val="20"/>
        </w:rPr>
        <w:t xml:space="preserve">installato nel dispositivo con licenza </w:t>
      </w:r>
      <w:r w:rsidRPr="00A75DF9">
        <w:rPr>
          <w:rFonts w:eastAsia="Calibri" w:cs="Tahoma"/>
          <w:szCs w:val="20"/>
        </w:rPr>
        <w:t xml:space="preserve">in base alla tabella dei Sistemi Operativi Qualificanti come descritto alla sezione </w:t>
      </w:r>
      <w:r w:rsidRPr="00A75DF9">
        <w:rPr>
          <w:rFonts w:eastAsia="Calibri" w:cs="Tahoma"/>
          <w:color w:val="000000"/>
          <w:szCs w:val="20"/>
        </w:rPr>
        <w:t xml:space="preserve">Note del Prodotto, </w:t>
      </w:r>
      <w:r w:rsidRPr="00A75DF9">
        <w:rPr>
          <w:rFonts w:eastAsia="Calibri" w:cs="Tahoma"/>
          <w:szCs w:val="20"/>
        </w:rPr>
        <w:t>Pool di Sistemi del presente documento.</w:t>
      </w:r>
      <w:r w:rsidR="009D3B41" w:rsidRPr="00A75DF9">
        <w:rPr>
          <w:rFonts w:eastAsia="Calibri" w:cs="Tahoma"/>
          <w:szCs w:val="20"/>
        </w:rPr>
        <w:t xml:space="preserve"> </w:t>
      </w:r>
    </w:p>
    <w:p w:rsidR="0008414D" w:rsidRPr="00A75DF9" w:rsidRDefault="0008414D" w:rsidP="0007218F">
      <w:pPr>
        <w:rPr>
          <w:rFonts w:cs="Tahoma"/>
        </w:rPr>
      </w:pPr>
    </w:p>
    <w:p w:rsidR="0008414D" w:rsidRPr="00A75DF9" w:rsidRDefault="0008414D" w:rsidP="0007218F">
      <w:pPr>
        <w:rPr>
          <w:rFonts w:cs="Tahoma"/>
        </w:rPr>
      </w:pPr>
      <w:r w:rsidRPr="00A75DF9">
        <w:rPr>
          <w:rFonts w:eastAsia="Calibri" w:cs="Tahoma"/>
          <w:szCs w:val="20"/>
        </w:rPr>
        <w:t>Windows Thin PC è una soluzione basata sul Sistema Operativo Windows con un footprint più piccolo, progettata per società che desiderano ridefinire i PC esistenti</w:t>
      </w:r>
      <w:r w:rsidRPr="00A75DF9">
        <w:rPr>
          <w:rFonts w:eastAsia="Calibri" w:cs="Tahoma"/>
          <w:color w:val="1F497D"/>
          <w:szCs w:val="20"/>
        </w:rPr>
        <w:t xml:space="preserve"> </w:t>
      </w:r>
      <w:r w:rsidRPr="00A75DF9">
        <w:rPr>
          <w:rFonts w:eastAsia="Calibri" w:cs="Tahoma"/>
          <w:szCs w:val="20"/>
        </w:rPr>
        <w:t xml:space="preserve">in grado di eseguire Windows 8 per la connessione a un desktop centralizzato senza dover acquistare nuovo hardware thin client. Le società idonee potranno utilizzare Windows Thin PC al posto di istanze di sistemi operativi desktop Windows che sono autorizzate a utilizzare in base alla copertura Software Assurance Windows, a licenze per Windows Intune </w:t>
      </w:r>
      <w:r w:rsidRPr="00A75DF9">
        <w:rPr>
          <w:rFonts w:cs="Tahoma"/>
          <w:szCs w:val="18"/>
        </w:rPr>
        <w:t>(Per Dispositivo)</w:t>
      </w:r>
      <w:r w:rsidRPr="00A75DF9">
        <w:rPr>
          <w:rFonts w:eastAsia="Calibri" w:cs="Tahoma"/>
          <w:color w:val="000000"/>
          <w:szCs w:val="20"/>
        </w:rPr>
        <w:t xml:space="preserve"> o per Windows </w:t>
      </w:r>
      <w:r w:rsidRPr="00A75DF9">
        <w:rPr>
          <w:rFonts w:eastAsia="Calibri" w:cs="Tahoma"/>
          <w:szCs w:val="20"/>
        </w:rPr>
        <w:t>VDA. L</w:t>
      </w:r>
      <w:r w:rsidR="00F2643E">
        <w:rPr>
          <w:rFonts w:eastAsia="Calibri" w:cs="Tahoma"/>
          <w:szCs w:val="20"/>
        </w:rPr>
        <w:t>’</w:t>
      </w:r>
      <w:r w:rsidRPr="00A75DF9">
        <w:rPr>
          <w:rFonts w:eastAsia="Calibri" w:cs="Tahoma"/>
          <w:szCs w:val="20"/>
        </w:rPr>
        <w:t>utilizzo di Windows Thin PC da parte delle società è soggetto alle condizioni del rispettivo contratto di licenza.</w:t>
      </w:r>
    </w:p>
    <w:p w:rsidR="00023FE7" w:rsidRPr="00A75DF9" w:rsidRDefault="00023FE7" w:rsidP="0007218F">
      <w:pPr>
        <w:rPr>
          <w:rFonts w:cs="Tahoma"/>
        </w:rPr>
      </w:pPr>
    </w:p>
    <w:p w:rsidR="00F30075" w:rsidRPr="00A75DF9" w:rsidRDefault="00F30075" w:rsidP="0007218F">
      <w:pPr>
        <w:outlineLvl w:val="2"/>
        <w:rPr>
          <w:rFonts w:cs="Tahoma"/>
        </w:rPr>
      </w:pPr>
      <w:bookmarkStart w:id="911" w:name="_Toc291204568"/>
      <w:r w:rsidRPr="00A75DF9">
        <w:rPr>
          <w:rFonts w:cs="Tahoma"/>
          <w:b/>
          <w:sz w:val="24"/>
          <w:szCs w:val="20"/>
        </w:rPr>
        <w:t>Supporto Hotfix Esteso</w:t>
      </w:r>
      <w:bookmarkEnd w:id="911"/>
    </w:p>
    <w:p w:rsidR="00F30075" w:rsidRPr="00A75DF9" w:rsidRDefault="00F30075" w:rsidP="0007218F">
      <w:pPr>
        <w:outlineLvl w:val="2"/>
        <w:rPr>
          <w:rFonts w:cs="Tahoma"/>
        </w:rPr>
      </w:pPr>
    </w:p>
    <w:p w:rsidR="00F30075" w:rsidRPr="00A75DF9" w:rsidRDefault="00F30075" w:rsidP="00F30075">
      <w:pPr>
        <w:rPr>
          <w:rFonts w:cs="Tahoma"/>
        </w:rPr>
      </w:pPr>
      <w:r w:rsidRPr="00A75DF9">
        <w:rPr>
          <w:rFonts w:cs="Tahoma"/>
        </w:rPr>
        <w:t>Supporto Hotfix Esteso è disponibile per le società seguenti:</w:t>
      </w:r>
    </w:p>
    <w:p w:rsidR="0007218F" w:rsidRPr="00A75DF9" w:rsidRDefault="0007218F" w:rsidP="00F30075">
      <w:pPr>
        <w:rPr>
          <w:rFonts w:cs="Tahoma"/>
        </w:rPr>
      </w:pPr>
    </w:p>
    <w:p w:rsidR="00F30075" w:rsidRPr="00A75DF9" w:rsidRDefault="00F30075" w:rsidP="00380E04">
      <w:pPr>
        <w:numPr>
          <w:ilvl w:val="0"/>
          <w:numId w:val="48"/>
        </w:numPr>
        <w:spacing w:after="60"/>
        <w:ind w:left="1440"/>
        <w:contextualSpacing/>
        <w:jc w:val="both"/>
        <w:rPr>
          <w:rFonts w:cs="Tahoma"/>
        </w:rPr>
      </w:pPr>
      <w:r w:rsidRPr="00A75DF9">
        <w:rPr>
          <w:rFonts w:eastAsia="Calibri" w:cs="Tahoma"/>
          <w:szCs w:val="18"/>
        </w:rPr>
        <w:t>Le società che non dispongono di Contratti Academic Select, Select Plus for Academic, Campus e</w:t>
      </w:r>
      <w:r w:rsidR="00380E04">
        <w:rPr>
          <w:rFonts w:eastAsia="Calibri" w:cs="Tahoma"/>
          <w:szCs w:val="18"/>
        </w:rPr>
        <w:t> </w:t>
      </w:r>
      <w:r w:rsidRPr="00A75DF9">
        <w:rPr>
          <w:rFonts w:eastAsia="Calibri" w:cs="Tahoma"/>
          <w:szCs w:val="18"/>
        </w:rPr>
        <w:t>School e Open Value Subscription - Education Solutions, ma hanno la copertura Partecipazione a</w:t>
      </w:r>
      <w:r w:rsidR="00380E04">
        <w:rPr>
          <w:rFonts w:eastAsia="Calibri" w:cs="Tahoma"/>
          <w:szCs w:val="18"/>
        </w:rPr>
        <w:t> </w:t>
      </w:r>
      <w:r w:rsidRPr="00A75DF9">
        <w:rPr>
          <w:rFonts w:eastAsia="Calibri" w:cs="Tahoma"/>
          <w:szCs w:val="18"/>
        </w:rPr>
        <w:t xml:space="preserve">Software Assurance per il Pool di Applicazioni si qualificano per il Supporto Hotfix Esteso per i prodotti del pool di Applicazioni. </w:t>
      </w:r>
    </w:p>
    <w:p w:rsidR="00F30075" w:rsidRPr="00A75DF9" w:rsidRDefault="00F30075" w:rsidP="00380E04">
      <w:pPr>
        <w:numPr>
          <w:ilvl w:val="0"/>
          <w:numId w:val="48"/>
        </w:numPr>
        <w:spacing w:after="60"/>
        <w:ind w:left="1440"/>
        <w:jc w:val="both"/>
        <w:rPr>
          <w:rFonts w:cs="Tahoma"/>
        </w:rPr>
      </w:pPr>
      <w:r w:rsidRPr="00A75DF9">
        <w:rPr>
          <w:rFonts w:cs="Tahoma"/>
          <w:szCs w:val="18"/>
        </w:rPr>
        <w:t>Le società che non dispongono di Contratti Academic Select, Select Plus for Academic, Campus e</w:t>
      </w:r>
      <w:r w:rsidR="00380E04">
        <w:rPr>
          <w:rFonts w:cs="Tahoma"/>
          <w:szCs w:val="18"/>
        </w:rPr>
        <w:t> </w:t>
      </w:r>
      <w:r w:rsidRPr="00A75DF9">
        <w:rPr>
          <w:rFonts w:cs="Tahoma"/>
          <w:szCs w:val="18"/>
        </w:rPr>
        <w:t>School e Open Value Subscription - Education Solutions, ma hanno la copertura Partecipazione a</w:t>
      </w:r>
      <w:r w:rsidR="00380E04">
        <w:rPr>
          <w:rFonts w:cs="Tahoma"/>
          <w:szCs w:val="18"/>
        </w:rPr>
        <w:t> </w:t>
      </w:r>
      <w:r w:rsidRPr="00A75DF9">
        <w:rPr>
          <w:rFonts w:cs="Tahoma"/>
          <w:szCs w:val="18"/>
        </w:rPr>
        <w:t>Software Assurance per il pool di Sistemi si qualificano per il Supporto Hotfix Esteso per il sistema operativo desktop Windows.</w:t>
      </w:r>
    </w:p>
    <w:p w:rsidR="00F30075" w:rsidRPr="00A75DF9" w:rsidRDefault="00F30075" w:rsidP="00380E04">
      <w:pPr>
        <w:numPr>
          <w:ilvl w:val="0"/>
          <w:numId w:val="48"/>
        </w:numPr>
        <w:spacing w:after="60"/>
        <w:ind w:left="1440"/>
        <w:jc w:val="both"/>
        <w:rPr>
          <w:rFonts w:cs="Tahoma"/>
        </w:rPr>
      </w:pPr>
      <w:r w:rsidRPr="00A75DF9">
        <w:rPr>
          <w:rFonts w:cs="Tahoma"/>
          <w:szCs w:val="18"/>
        </w:rPr>
        <w:t>Le società che dispongono di abbonamenti per Windows Intune (Per Dispositivo) si qualificano per</w:t>
      </w:r>
      <w:r w:rsidR="00380E04">
        <w:rPr>
          <w:rFonts w:cs="Tahoma"/>
          <w:szCs w:val="18"/>
        </w:rPr>
        <w:t> </w:t>
      </w:r>
      <w:r w:rsidRPr="00A75DF9">
        <w:rPr>
          <w:rFonts w:cs="Tahoma"/>
          <w:szCs w:val="18"/>
        </w:rPr>
        <w:t>il Supporto Hotfix Esteso per il sistema operativo desktop Windows.</w:t>
      </w:r>
    </w:p>
    <w:p w:rsidR="0007218F" w:rsidRPr="00A75DF9" w:rsidRDefault="007627B7" w:rsidP="00346F4B">
      <w:pPr>
        <w:numPr>
          <w:ilvl w:val="0"/>
          <w:numId w:val="48"/>
        </w:numPr>
        <w:spacing w:after="60"/>
        <w:ind w:left="1440"/>
        <w:contextualSpacing/>
        <w:rPr>
          <w:rFonts w:cs="Tahoma"/>
        </w:rPr>
      </w:pPr>
      <w:r w:rsidRPr="00A75DF9">
        <w:rPr>
          <w:rFonts w:eastAsia="Calibri" w:cs="Tahoma"/>
          <w:szCs w:val="18"/>
        </w:rPr>
        <w:t>Le società (che non sono società Academic) in possesso di Software Assurance per almeno un prodotto server si qualificano per il Supporto Hotfix Esteso per i prodotti Server.</w:t>
      </w:r>
      <w:r w:rsidR="009D3B41" w:rsidRPr="00A75DF9">
        <w:rPr>
          <w:rFonts w:eastAsia="Calibri" w:cs="Tahoma"/>
          <w:szCs w:val="18"/>
        </w:rPr>
        <w:t xml:space="preserve"> </w:t>
      </w:r>
      <w:r w:rsidRPr="00A75DF9">
        <w:rPr>
          <w:rFonts w:cs="Tahoma"/>
          <w:szCs w:val="18"/>
        </w:rPr>
        <w:t>I seguenti prodotti server rientrano nella copertura:</w:t>
      </w:r>
    </w:p>
    <w:p w:rsidR="007627B7" w:rsidRPr="00A75DF9" w:rsidRDefault="007627B7" w:rsidP="00346F4B">
      <w:pPr>
        <w:numPr>
          <w:ilvl w:val="2"/>
          <w:numId w:val="48"/>
        </w:numPr>
        <w:spacing w:after="60"/>
        <w:ind w:left="1980"/>
        <w:contextualSpacing/>
        <w:rPr>
          <w:rFonts w:cs="Tahoma"/>
        </w:rPr>
      </w:pPr>
      <w:r w:rsidRPr="00A75DF9">
        <w:rPr>
          <w:rFonts w:cs="Tahoma"/>
          <w:iCs/>
          <w:color w:val="000000"/>
          <w:szCs w:val="18"/>
        </w:rPr>
        <w:t>Microsoft Exchange Server, Microsoft SQL Server, System Center 2012 e Windows Server.</w:t>
      </w:r>
    </w:p>
    <w:p w:rsidR="0007218F" w:rsidRPr="00A75DF9" w:rsidRDefault="0007218F" w:rsidP="0007218F">
      <w:pPr>
        <w:spacing w:after="200" w:line="276" w:lineRule="auto"/>
        <w:contextualSpacing/>
        <w:rPr>
          <w:rFonts w:cs="Tahoma"/>
        </w:rPr>
      </w:pPr>
    </w:p>
    <w:p w:rsidR="00023FE7" w:rsidRPr="00A75DF9" w:rsidRDefault="00023FE7">
      <w:pPr>
        <w:rPr>
          <w:rFonts w:cs="Tahoma"/>
        </w:rPr>
      </w:pPr>
      <w:r w:rsidRPr="00A75DF9">
        <w:rPr>
          <w:rFonts w:cs="Tahoma"/>
          <w:szCs w:val="18"/>
        </w:rPr>
        <w:t>Il Supporto Hotfix Esteso è un beneficio per versioni software più vecchie che abbiano effettuato la transizione dal Supporto Mainstream a quello Esteso.</w:t>
      </w:r>
      <w:r w:rsidR="009D3B41" w:rsidRPr="00A75DF9">
        <w:rPr>
          <w:rFonts w:cs="Tahoma"/>
          <w:szCs w:val="18"/>
        </w:rPr>
        <w:t xml:space="preserve"> </w:t>
      </w:r>
      <w:r w:rsidRPr="00A75DF9">
        <w:rPr>
          <w:rFonts w:cs="Tahoma"/>
          <w:szCs w:val="18"/>
        </w:rPr>
        <w:t>I corrispettivi annuali normalmente addebitati nel quadro del contratto di Supporto Esteso sono sospesi durante il periodo di validità della copertura Software Server per le società idonee a ricevere questo beneficio Software Assurance. Le società idonee a ricevere questo beneficio non avranno l</w:t>
      </w:r>
      <w:r w:rsidR="00F2643E">
        <w:rPr>
          <w:rFonts w:cs="Tahoma"/>
          <w:szCs w:val="18"/>
        </w:rPr>
        <w:t>’</w:t>
      </w:r>
      <w:r w:rsidRPr="00A75DF9">
        <w:rPr>
          <w:rFonts w:cs="Tahoma"/>
          <w:szCs w:val="18"/>
        </w:rPr>
        <w:t>obbligo di abbonarsi entro un periodo di 90 giorni di transizione del prodotto al Supporto Esteso.</w:t>
      </w:r>
      <w:r w:rsidR="009D3B41" w:rsidRPr="00A75DF9">
        <w:rPr>
          <w:rFonts w:cs="Tahoma"/>
          <w:szCs w:val="18"/>
        </w:rPr>
        <w:t xml:space="preserve"> </w:t>
      </w:r>
    </w:p>
    <w:p w:rsidR="00023FE7" w:rsidRPr="00A75DF9" w:rsidRDefault="00023FE7">
      <w:pPr>
        <w:rPr>
          <w:rFonts w:cs="Tahoma"/>
        </w:rPr>
      </w:pPr>
    </w:p>
    <w:p w:rsidR="00023FE7" w:rsidRPr="00A75DF9" w:rsidRDefault="00023FE7">
      <w:pPr>
        <w:rPr>
          <w:rFonts w:cs="Tahoma"/>
        </w:rPr>
      </w:pPr>
      <w:r w:rsidRPr="00A75DF9">
        <w:rPr>
          <w:rFonts w:cs="Tahoma"/>
          <w:szCs w:val="18"/>
        </w:rPr>
        <w:t>Le società sono comunque responsabili dei corrispettivi delle singole Hotfix.</w:t>
      </w:r>
      <w:r w:rsidR="009D3B41" w:rsidRPr="00A75DF9">
        <w:rPr>
          <w:rFonts w:cs="Tahoma"/>
          <w:szCs w:val="18"/>
        </w:rPr>
        <w:t xml:space="preserve"> </w:t>
      </w:r>
      <w:r w:rsidRPr="00A75DF9">
        <w:rPr>
          <w:rFonts w:cs="Tahoma"/>
          <w:szCs w:val="18"/>
        </w:rPr>
        <w:t>Un contratto Premier o Essential costituisce condizione preliminare per l</w:t>
      </w:r>
      <w:r w:rsidR="00F2643E">
        <w:rPr>
          <w:rFonts w:cs="Tahoma"/>
          <w:szCs w:val="18"/>
        </w:rPr>
        <w:t>’</w:t>
      </w:r>
      <w:r w:rsidRPr="00A75DF9">
        <w:rPr>
          <w:rFonts w:cs="Tahoma"/>
          <w:szCs w:val="18"/>
        </w:rPr>
        <w:t>idoneità.</w:t>
      </w:r>
    </w:p>
    <w:p w:rsidR="000429EF" w:rsidRPr="00380E04" w:rsidRDefault="000429EF">
      <w:pPr>
        <w:pStyle w:val="Heading3"/>
        <w:rPr>
          <w:rFonts w:ascii="Tahoma" w:hAnsi="Tahoma" w:cs="Tahoma"/>
          <w:b w:val="0"/>
          <w:bCs/>
          <w:sz w:val="18"/>
          <w:szCs w:val="18"/>
        </w:rPr>
      </w:pPr>
    </w:p>
    <w:p w:rsidR="00023FE7" w:rsidRPr="00A75DF9" w:rsidRDefault="00023FE7">
      <w:pPr>
        <w:pStyle w:val="Heading3"/>
        <w:rPr>
          <w:rFonts w:ascii="Tahoma" w:hAnsi="Tahoma" w:cs="Tahoma"/>
        </w:rPr>
      </w:pPr>
      <w:bookmarkStart w:id="912" w:name="_Toc336338244"/>
      <w:bookmarkStart w:id="913" w:name="_Toc368310235"/>
      <w:r w:rsidRPr="00A75DF9">
        <w:rPr>
          <w:rFonts w:ascii="Tahoma" w:hAnsi="Tahoma" w:cs="Tahoma"/>
          <w:sz w:val="24"/>
        </w:rPr>
        <w:t>Microsoft Desktop Optimization Pack per Software Assurance</w:t>
      </w:r>
      <w:bookmarkEnd w:id="912"/>
      <w:bookmarkEnd w:id="913"/>
    </w:p>
    <w:p w:rsidR="00023FE7" w:rsidRPr="00A75DF9" w:rsidRDefault="00023FE7">
      <w:pPr>
        <w:rPr>
          <w:rFonts w:cs="Tahoma"/>
        </w:rPr>
      </w:pPr>
    </w:p>
    <w:p w:rsidR="00F30075" w:rsidRPr="00A75DF9" w:rsidRDefault="00F30075" w:rsidP="00F30075">
      <w:pPr>
        <w:rPr>
          <w:rFonts w:cs="Tahoma"/>
        </w:rPr>
      </w:pPr>
      <w:r w:rsidRPr="00A75DF9">
        <w:rPr>
          <w:rFonts w:eastAsia="MS PGothic" w:cs="Tahoma"/>
          <w:szCs w:val="18"/>
        </w:rPr>
        <w:t>Microsoft Desktop Optimization Pack per Software Assurance (MDOP) è un acquisto opzionale a disposizione unicamente delle società che dispongono delle seguenti caratteristiche:</w:t>
      </w:r>
    </w:p>
    <w:p w:rsidR="00E762F8" w:rsidRPr="00A75DF9" w:rsidRDefault="00E762F8" w:rsidP="00F30075">
      <w:pPr>
        <w:rPr>
          <w:rFonts w:cs="Tahoma"/>
        </w:rPr>
      </w:pPr>
    </w:p>
    <w:p w:rsidR="00F30075" w:rsidRPr="00A75DF9" w:rsidRDefault="00F30075" w:rsidP="00346F4B">
      <w:pPr>
        <w:numPr>
          <w:ilvl w:val="0"/>
          <w:numId w:val="47"/>
        </w:numPr>
        <w:spacing w:after="60" w:line="276" w:lineRule="auto"/>
        <w:ind w:left="1440" w:hanging="274"/>
        <w:rPr>
          <w:rFonts w:cs="Tahoma"/>
        </w:rPr>
      </w:pPr>
      <w:r w:rsidRPr="00A75DF9">
        <w:rPr>
          <w:rFonts w:eastAsia="MS PGothic" w:cs="Tahoma"/>
          <w:szCs w:val="18"/>
        </w:rPr>
        <w:t>copertura Software Assurance Attiva per le licenze del sistema operativo desktop Windows;</w:t>
      </w:r>
    </w:p>
    <w:p w:rsidR="00F30075" w:rsidRPr="00A75DF9" w:rsidRDefault="00F30075" w:rsidP="00346F4B">
      <w:pPr>
        <w:numPr>
          <w:ilvl w:val="0"/>
          <w:numId w:val="47"/>
        </w:numPr>
        <w:spacing w:after="60" w:line="276" w:lineRule="auto"/>
        <w:ind w:left="1440" w:hanging="274"/>
        <w:rPr>
          <w:rFonts w:cs="Tahoma"/>
        </w:rPr>
      </w:pPr>
      <w:r w:rsidRPr="00A75DF9">
        <w:rPr>
          <w:rFonts w:eastAsia="MS PGothic" w:cs="Tahoma"/>
          <w:szCs w:val="18"/>
        </w:rPr>
        <w:t>sottoscrizioni attive per Windows Virtual Desktop Access o</w:t>
      </w:r>
    </w:p>
    <w:p w:rsidR="00F30075" w:rsidRPr="00A75DF9" w:rsidRDefault="00F30075" w:rsidP="00346F4B">
      <w:pPr>
        <w:numPr>
          <w:ilvl w:val="0"/>
          <w:numId w:val="47"/>
        </w:numPr>
        <w:spacing w:after="60" w:line="276" w:lineRule="auto"/>
        <w:ind w:left="1440" w:hanging="274"/>
        <w:rPr>
          <w:rFonts w:cs="Tahoma"/>
        </w:rPr>
      </w:pPr>
      <w:r w:rsidRPr="00A75DF9">
        <w:rPr>
          <w:rFonts w:eastAsia="MS PGothic" w:cs="Tahoma"/>
          <w:szCs w:val="18"/>
        </w:rPr>
        <w:t xml:space="preserve">sottoscrizioni attive per Windows Intune </w:t>
      </w:r>
      <w:r w:rsidRPr="00A75DF9">
        <w:rPr>
          <w:rFonts w:cs="Tahoma"/>
          <w:szCs w:val="18"/>
        </w:rPr>
        <w:t>(Per Dispositivo) o</w:t>
      </w:r>
    </w:p>
    <w:p w:rsidR="00421D4A" w:rsidRPr="00A75DF9" w:rsidRDefault="00421D4A" w:rsidP="00346F4B">
      <w:pPr>
        <w:numPr>
          <w:ilvl w:val="0"/>
          <w:numId w:val="47"/>
        </w:numPr>
        <w:spacing w:after="200" w:line="276" w:lineRule="auto"/>
        <w:ind w:left="1440" w:hanging="270"/>
        <w:rPr>
          <w:rFonts w:cs="Tahoma"/>
        </w:rPr>
      </w:pPr>
      <w:r w:rsidRPr="00A75DF9">
        <w:rPr>
          <w:rFonts w:eastAsia="MS PGothic" w:cs="Tahoma"/>
          <w:color w:val="000000"/>
          <w:szCs w:val="18"/>
        </w:rPr>
        <w:t xml:space="preserve">sottoscrizioni attive per la </w:t>
      </w:r>
      <w:r w:rsidRPr="00A75DF9">
        <w:rPr>
          <w:rFonts w:eastAsia="MS PGothic" w:cs="Tahoma"/>
          <w:szCs w:val="18"/>
        </w:rPr>
        <w:t>Licenza “Subscription” per Windows Companion</w:t>
      </w:r>
    </w:p>
    <w:p w:rsidR="00023FE7" w:rsidRPr="00A75DF9" w:rsidRDefault="00023FE7">
      <w:pPr>
        <w:rPr>
          <w:rFonts w:cs="Tahoma"/>
        </w:rPr>
      </w:pPr>
      <w:r w:rsidRPr="00A75DF9">
        <w:rPr>
          <w:rFonts w:eastAsia="MS PGothic" w:cs="Tahoma"/>
          <w:color w:val="000000"/>
          <w:szCs w:val="18"/>
        </w:rPr>
        <w:t>Per ulteriori informazioni su questo prodotto fare riferimento alle Note del Prodotto nella sezione relativa ai gruppi di sistemi del presente documento. MDOP non è disponibile per le licenze per il Sistema Operativo Windows Embedded.</w:t>
      </w:r>
    </w:p>
    <w:p w:rsidR="00023FE7" w:rsidRPr="00A75DF9" w:rsidRDefault="00023FE7">
      <w:pPr>
        <w:rPr>
          <w:rFonts w:cs="Tahoma"/>
        </w:rPr>
      </w:pPr>
    </w:p>
    <w:p w:rsidR="002D7B73" w:rsidRPr="00A75DF9" w:rsidRDefault="008C0608" w:rsidP="00AF1D88">
      <w:pPr>
        <w:keepNext/>
        <w:rPr>
          <w:rFonts w:cs="Tahoma"/>
        </w:rPr>
      </w:pPr>
      <w:r w:rsidRPr="00A75DF9">
        <w:rPr>
          <w:rFonts w:cs="Tahoma"/>
          <w:b/>
          <w:color w:val="000000"/>
          <w:sz w:val="24"/>
          <w:szCs w:val="18"/>
        </w:rPr>
        <w:lastRenderedPageBreak/>
        <w:t>Diritti di Virtualizzazione per i Desktop con Licenza Windows</w:t>
      </w:r>
    </w:p>
    <w:p w:rsidR="0043735F" w:rsidRPr="00A75DF9" w:rsidRDefault="0043735F" w:rsidP="008C0608">
      <w:pPr>
        <w:rPr>
          <w:rFonts w:cs="Tahoma"/>
        </w:rPr>
      </w:pPr>
    </w:p>
    <w:p w:rsidR="008C0608" w:rsidRPr="00A75DF9" w:rsidRDefault="008C0608" w:rsidP="008C0608">
      <w:pPr>
        <w:rPr>
          <w:rFonts w:cs="Tahoma"/>
        </w:rPr>
      </w:pPr>
      <w:r w:rsidRPr="00A75DF9">
        <w:rPr>
          <w:rFonts w:cs="Tahoma"/>
          <w:color w:val="000000"/>
          <w:szCs w:val="18"/>
        </w:rPr>
        <w:t>Le società che hanno stipulato Contratti Multilicenza dispongono di un certo grado di flessibilità in merito alla modalità di distribuzione di Windows 8 tra le diverse organizzazioni.</w:t>
      </w:r>
      <w:r w:rsidR="009D3B41" w:rsidRPr="00A75DF9">
        <w:rPr>
          <w:rFonts w:cs="Tahoma"/>
          <w:color w:val="000000"/>
          <w:szCs w:val="18"/>
        </w:rPr>
        <w:t xml:space="preserve"> </w:t>
      </w:r>
    </w:p>
    <w:p w:rsidR="008C0608" w:rsidRPr="00A75DF9" w:rsidRDefault="008C0608" w:rsidP="00380E04">
      <w:pPr>
        <w:jc w:val="both"/>
        <w:rPr>
          <w:rFonts w:cs="Tahoma"/>
        </w:rPr>
      </w:pPr>
      <w:r w:rsidRPr="00A75DF9">
        <w:rPr>
          <w:rFonts w:cs="Tahoma"/>
          <w:szCs w:val="18"/>
        </w:rPr>
        <w:t>Le società che dispongono di una o entrambe le seguenti caratteristiche potranno usufruire dei diritti sull</w:t>
      </w:r>
      <w:r w:rsidR="00F2643E">
        <w:rPr>
          <w:rFonts w:cs="Tahoma"/>
          <w:szCs w:val="18"/>
        </w:rPr>
        <w:t>’</w:t>
      </w:r>
      <w:r w:rsidRPr="00A75DF9">
        <w:rPr>
          <w:rFonts w:cs="Tahoma"/>
          <w:szCs w:val="18"/>
        </w:rPr>
        <w:t>utilizzo della</w:t>
      </w:r>
      <w:r w:rsidR="00380E04">
        <w:rPr>
          <w:rFonts w:cs="Tahoma"/>
          <w:szCs w:val="18"/>
        </w:rPr>
        <w:t> </w:t>
      </w:r>
      <w:r w:rsidRPr="00A75DF9">
        <w:rPr>
          <w:rFonts w:cs="Tahoma"/>
          <w:szCs w:val="18"/>
        </w:rPr>
        <w:t>virtualizzazione:</w:t>
      </w:r>
    </w:p>
    <w:p w:rsidR="00BF1889" w:rsidRPr="00A75DF9" w:rsidRDefault="00BF1889" w:rsidP="008C0608">
      <w:pPr>
        <w:jc w:val="both"/>
        <w:rPr>
          <w:rFonts w:cs="Tahoma"/>
        </w:rPr>
      </w:pPr>
    </w:p>
    <w:p w:rsidR="00F30075" w:rsidRPr="00A75DF9" w:rsidRDefault="00F30075" w:rsidP="00346F4B">
      <w:pPr>
        <w:numPr>
          <w:ilvl w:val="0"/>
          <w:numId w:val="39"/>
        </w:numPr>
        <w:spacing w:after="60" w:line="276" w:lineRule="auto"/>
        <w:ind w:left="1440"/>
        <w:rPr>
          <w:rFonts w:cs="Tahoma"/>
        </w:rPr>
      </w:pPr>
      <w:r w:rsidRPr="00A75DF9">
        <w:rPr>
          <w:rFonts w:eastAsia="MS PGothic" w:cs="Tahoma"/>
          <w:szCs w:val="18"/>
        </w:rPr>
        <w:t>copertura Software Assurance Attiva per le licenze del sistema operativo desktop Windows;</w:t>
      </w:r>
    </w:p>
    <w:p w:rsidR="00AC246A" w:rsidRPr="00A75DF9" w:rsidRDefault="00F30075" w:rsidP="00346F4B">
      <w:pPr>
        <w:numPr>
          <w:ilvl w:val="0"/>
          <w:numId w:val="39"/>
        </w:numPr>
        <w:spacing w:after="60" w:line="276" w:lineRule="auto"/>
        <w:ind w:left="1440"/>
        <w:jc w:val="both"/>
        <w:rPr>
          <w:rFonts w:cs="Tahoma"/>
        </w:rPr>
      </w:pPr>
      <w:r w:rsidRPr="00A75DF9">
        <w:rPr>
          <w:rFonts w:cs="Tahoma"/>
          <w:szCs w:val="18"/>
        </w:rPr>
        <w:t>vantaggio dei Servizi Online fornito insieme agli acquisti di Windows Intune (Per Dispositivo)</w:t>
      </w:r>
    </w:p>
    <w:p w:rsidR="00F30075" w:rsidRPr="00A75DF9" w:rsidRDefault="00F30075" w:rsidP="00346F4B">
      <w:pPr>
        <w:numPr>
          <w:ilvl w:val="0"/>
          <w:numId w:val="39"/>
        </w:numPr>
        <w:spacing w:after="60" w:line="276" w:lineRule="auto"/>
        <w:ind w:left="1440"/>
        <w:jc w:val="both"/>
        <w:rPr>
          <w:rFonts w:cs="Tahoma"/>
        </w:rPr>
      </w:pPr>
      <w:r w:rsidRPr="00A75DF9">
        <w:rPr>
          <w:rFonts w:cs="Tahoma"/>
          <w:szCs w:val="18"/>
        </w:rPr>
        <w:t>sottoscrizioni attive per Windows Intune (Per Dispositivo)</w:t>
      </w:r>
    </w:p>
    <w:p w:rsidR="00F30075" w:rsidRPr="00A75DF9" w:rsidRDefault="00F30075" w:rsidP="008C0608">
      <w:pPr>
        <w:rPr>
          <w:rFonts w:cs="Tahoma"/>
        </w:rPr>
      </w:pPr>
    </w:p>
    <w:p w:rsidR="002D7B73" w:rsidRPr="00A75DF9" w:rsidRDefault="002D7B73" w:rsidP="008C0608">
      <w:pPr>
        <w:rPr>
          <w:rFonts w:cs="Tahoma"/>
        </w:rPr>
      </w:pPr>
      <w:r w:rsidRPr="00A75DF9">
        <w:rPr>
          <w:rFonts w:cs="Tahoma"/>
          <w:color w:val="000000"/>
          <w:szCs w:val="18"/>
        </w:rPr>
        <w:t>Tale diritto di utilizzo consente di eseguire il software su un massimo di quattro macchine virtuali locali.</w:t>
      </w:r>
      <w:r w:rsidR="009D3B41" w:rsidRPr="00A75DF9">
        <w:rPr>
          <w:rFonts w:cs="Tahoma"/>
          <w:color w:val="000000"/>
          <w:szCs w:val="18"/>
        </w:rPr>
        <w:t xml:space="preserve"> </w:t>
      </w:r>
      <w:r w:rsidRPr="00A75DF9">
        <w:rPr>
          <w:rFonts w:cs="Tahoma"/>
          <w:color w:val="000000"/>
          <w:szCs w:val="18"/>
        </w:rPr>
        <w:t>Mentre il diritto di utilizzo di Windows 8 Enterprise potrà mantenere validità anche dopo la scadenza della copertura Software Assurance, il Diritto di Utilizzo della Virtualizzazione cesserà. Per ulteriori informazioni sui diritti di utilizzo, l</w:t>
      </w:r>
      <w:r w:rsidR="00F2643E">
        <w:rPr>
          <w:rFonts w:cs="Tahoma"/>
          <w:color w:val="000000"/>
          <w:szCs w:val="18"/>
        </w:rPr>
        <w:t>’</w:t>
      </w:r>
      <w:r w:rsidRPr="00A75DF9">
        <w:rPr>
          <w:rFonts w:cs="Tahoma"/>
          <w:color w:val="000000"/>
          <w:szCs w:val="18"/>
        </w:rPr>
        <w:t>utente dovrà fare riferimento al documento Diritti di Utilizzo del Prodotto.</w:t>
      </w:r>
    </w:p>
    <w:p w:rsidR="00C831EC" w:rsidRPr="00380E04" w:rsidRDefault="00C831EC" w:rsidP="002D7B73">
      <w:pPr>
        <w:pStyle w:val="Heading3"/>
        <w:rPr>
          <w:rFonts w:ascii="Tahoma" w:hAnsi="Tahoma" w:cs="Tahoma"/>
          <w:b w:val="0"/>
          <w:bCs/>
          <w:sz w:val="18"/>
          <w:szCs w:val="18"/>
        </w:rPr>
      </w:pPr>
      <w:bookmarkStart w:id="914" w:name="_Toc257907651"/>
      <w:bookmarkStart w:id="915" w:name="_Toc233026785"/>
    </w:p>
    <w:p w:rsidR="002D7B73" w:rsidRPr="00A75DF9" w:rsidRDefault="002D7B73" w:rsidP="002D7B73">
      <w:pPr>
        <w:pStyle w:val="Heading3"/>
        <w:rPr>
          <w:rFonts w:ascii="Tahoma" w:hAnsi="Tahoma" w:cs="Tahoma"/>
        </w:rPr>
      </w:pPr>
      <w:bookmarkStart w:id="916" w:name="_Toc336338245"/>
      <w:bookmarkStart w:id="917" w:name="_Toc368310236"/>
      <w:r w:rsidRPr="00A75DF9">
        <w:rPr>
          <w:rFonts w:ascii="Tahoma" w:hAnsi="Tahoma" w:cs="Tahoma"/>
          <w:color w:val="000000"/>
          <w:sz w:val="24"/>
        </w:rPr>
        <w:t>Diritti per Windows Virtual Desktop Access (VDA)</w:t>
      </w:r>
      <w:bookmarkEnd w:id="914"/>
      <w:bookmarkEnd w:id="917"/>
      <w:r w:rsidRPr="00A75DF9">
        <w:rPr>
          <w:rFonts w:ascii="Tahoma" w:hAnsi="Tahoma" w:cs="Tahoma"/>
          <w:color w:val="000000"/>
          <w:sz w:val="24"/>
        </w:rPr>
        <w:t xml:space="preserve"> </w:t>
      </w:r>
      <w:bookmarkEnd w:id="916"/>
    </w:p>
    <w:p w:rsidR="002D7B73" w:rsidRPr="00A75DF9" w:rsidRDefault="002D7B73" w:rsidP="002D7B73">
      <w:pPr>
        <w:rPr>
          <w:rFonts w:cs="Tahoma"/>
        </w:rPr>
      </w:pPr>
    </w:p>
    <w:p w:rsidR="00EC5C9D" w:rsidRPr="00A75DF9" w:rsidRDefault="00EC5C9D" w:rsidP="00380E04">
      <w:pPr>
        <w:rPr>
          <w:rFonts w:cs="Tahoma"/>
        </w:rPr>
      </w:pPr>
      <w:r w:rsidRPr="00A75DF9">
        <w:rPr>
          <w:rFonts w:eastAsia="Calibri" w:cs="Tahoma"/>
          <w:color w:val="000000"/>
          <w:szCs w:val="18"/>
        </w:rPr>
        <w:t xml:space="preserve">I diritti per Windows VDA sono disponibili per le società con copertura Software Assurance per il sistema operativo desktop Windows e per le società con licenza per Windows Intune </w:t>
      </w:r>
      <w:r w:rsidRPr="00A75DF9">
        <w:rPr>
          <w:rFonts w:cs="Tahoma"/>
          <w:szCs w:val="18"/>
        </w:rPr>
        <w:t>(Per Dispositivo)</w:t>
      </w:r>
      <w:r w:rsidRPr="00A75DF9">
        <w:rPr>
          <w:rFonts w:eastAsia="Calibri" w:cs="Tahoma"/>
          <w:color w:val="000000"/>
          <w:szCs w:val="18"/>
        </w:rPr>
        <w:t>.</w:t>
      </w:r>
      <w:r w:rsidR="009D3B41" w:rsidRPr="00A75DF9">
        <w:rPr>
          <w:rFonts w:eastAsia="Calibri" w:cs="Tahoma"/>
          <w:color w:val="000000"/>
          <w:szCs w:val="18"/>
        </w:rPr>
        <w:t xml:space="preserve"> </w:t>
      </w:r>
      <w:r w:rsidRPr="00A75DF9">
        <w:rPr>
          <w:rFonts w:eastAsia="Calibri" w:cs="Tahoma"/>
          <w:color w:val="000000"/>
          <w:szCs w:val="18"/>
        </w:rPr>
        <w:t>Sono disponibili anche come licenza “Subscription” distinta. Windows VDA avvantaggia le società intenzionate a distribuire Windows con l</w:t>
      </w:r>
      <w:r w:rsidR="00F2643E">
        <w:rPr>
          <w:rFonts w:eastAsia="Calibri" w:cs="Tahoma"/>
          <w:color w:val="000000"/>
          <w:szCs w:val="18"/>
        </w:rPr>
        <w:t>’</w:t>
      </w:r>
      <w:r w:rsidRPr="00A75DF9">
        <w:rPr>
          <w:rFonts w:eastAsia="Calibri" w:cs="Tahoma"/>
          <w:color w:val="000000"/>
          <w:szCs w:val="18"/>
        </w:rPr>
        <w:t>ausilio di</w:t>
      </w:r>
      <w:r w:rsidR="00380E04">
        <w:rPr>
          <w:rFonts w:eastAsia="Calibri" w:cs="Tahoma"/>
          <w:color w:val="000000"/>
          <w:szCs w:val="18"/>
        </w:rPr>
        <w:t> </w:t>
      </w:r>
      <w:r w:rsidRPr="00A75DF9">
        <w:rPr>
          <w:rFonts w:eastAsia="Calibri" w:cs="Tahoma"/>
          <w:color w:val="000000"/>
          <w:szCs w:val="18"/>
        </w:rPr>
        <w:t>dispositivi thin client (in genere preinstallati su un sistema operativo integrato). La licenza “subscription” VDA concede alle società il diritto di eseguire la versione più recente del sistema operativo desktop Windows messa a</w:t>
      </w:r>
      <w:r w:rsidR="00380E04">
        <w:rPr>
          <w:rFonts w:eastAsia="Calibri" w:cs="Tahoma"/>
          <w:color w:val="000000"/>
          <w:szCs w:val="18"/>
        </w:rPr>
        <w:t> </w:t>
      </w:r>
      <w:r w:rsidRPr="00A75DF9">
        <w:rPr>
          <w:rFonts w:eastAsia="Calibri" w:cs="Tahoma"/>
          <w:color w:val="000000"/>
          <w:szCs w:val="18"/>
        </w:rPr>
        <w:t>disposizione durante il periodo di validità dell</w:t>
      </w:r>
      <w:r w:rsidR="00F2643E">
        <w:rPr>
          <w:rFonts w:eastAsia="Calibri" w:cs="Tahoma"/>
          <w:color w:val="000000"/>
          <w:szCs w:val="18"/>
        </w:rPr>
        <w:t>’</w:t>
      </w:r>
      <w:r w:rsidRPr="00A75DF9">
        <w:rPr>
          <w:rFonts w:eastAsia="Calibri" w:cs="Tahoma"/>
          <w:color w:val="000000"/>
          <w:szCs w:val="18"/>
        </w:rPr>
        <w:t>abbonamento.</w:t>
      </w:r>
    </w:p>
    <w:p w:rsidR="00EC5C9D" w:rsidRPr="00A75DF9" w:rsidRDefault="00EC5C9D" w:rsidP="00EC5C9D">
      <w:pPr>
        <w:rPr>
          <w:rFonts w:cs="Tahoma"/>
        </w:rPr>
      </w:pPr>
    </w:p>
    <w:p w:rsidR="00EC5C9D" w:rsidRPr="00A75DF9" w:rsidRDefault="00EC5C9D" w:rsidP="00EC5C9D">
      <w:pPr>
        <w:rPr>
          <w:rFonts w:cs="Tahoma"/>
        </w:rPr>
      </w:pPr>
      <w:r w:rsidRPr="00A75DF9">
        <w:rPr>
          <w:rFonts w:eastAsia="Calibri" w:cs="Tahoma"/>
          <w:color w:val="000000"/>
          <w:szCs w:val="18"/>
        </w:rPr>
        <w:t>Per ulteriori informazioni su VDA, fare riferimento al documento Diritti di Utilizzo del Prodotto.</w:t>
      </w:r>
    </w:p>
    <w:bookmarkEnd w:id="915"/>
    <w:p w:rsidR="00023FE7" w:rsidRPr="00A75DF9" w:rsidRDefault="00023FE7">
      <w:pPr>
        <w:rPr>
          <w:rFonts w:cs="Tahoma"/>
        </w:rPr>
      </w:pPr>
    </w:p>
    <w:p w:rsidR="00023FE7" w:rsidRPr="00A75DF9" w:rsidRDefault="00023FE7">
      <w:pPr>
        <w:rPr>
          <w:rFonts w:cs="Tahoma"/>
        </w:rPr>
      </w:pPr>
      <w:bookmarkStart w:id="918" w:name="_Toc336338246"/>
      <w:bookmarkStart w:id="919" w:name="_Toc368310237"/>
      <w:r w:rsidRPr="00A75DF9">
        <w:rPr>
          <w:rStyle w:val="Heading3Char"/>
          <w:rFonts w:ascii="Tahoma" w:hAnsi="Tahoma" w:cs="Tahoma"/>
          <w:sz w:val="24"/>
        </w:rPr>
        <w:t>Disponibilità di Licenze Step-Up</w:t>
      </w:r>
      <w:bookmarkEnd w:id="918"/>
      <w:bookmarkEnd w:id="919"/>
      <w:r w:rsidRPr="00A75DF9">
        <w:rPr>
          <w:rFonts w:cs="Tahoma"/>
          <w:b/>
          <w:sz w:val="24"/>
          <w:szCs w:val="20"/>
        </w:rPr>
        <w:t>*</w:t>
      </w:r>
    </w:p>
    <w:p w:rsidR="00023FE7" w:rsidRPr="00A75DF9" w:rsidRDefault="00023FE7">
      <w:pPr>
        <w:rPr>
          <w:rFonts w:cs="Tahoma"/>
        </w:rPr>
      </w:pPr>
    </w:p>
    <w:p w:rsidR="00023FE7" w:rsidRPr="00A75DF9" w:rsidRDefault="00AD6AD6" w:rsidP="00380E04">
      <w:pPr>
        <w:rPr>
          <w:rFonts w:cs="Tahoma"/>
        </w:rPr>
      </w:pPr>
      <w:r w:rsidRPr="00A75DF9">
        <w:rPr>
          <w:rFonts w:cs="Tahoma"/>
          <w:szCs w:val="18"/>
        </w:rPr>
        <w:t>Le società potranno eseguire la migrazione da una versione di livello inferiore a una versione di livello superiore di</w:t>
      </w:r>
      <w:r w:rsidR="00380E04">
        <w:rPr>
          <w:rFonts w:cs="Tahoma"/>
          <w:szCs w:val="18"/>
        </w:rPr>
        <w:t> </w:t>
      </w:r>
      <w:r w:rsidRPr="00A75DF9">
        <w:rPr>
          <w:rFonts w:cs="Tahoma"/>
          <w:szCs w:val="18"/>
        </w:rPr>
        <w:t xml:space="preserve">determinati prodotti con una Licenza Step-Up. Le società dovranno disporre di una licenza con copertura Software Assurance attiva per il prodotto qualificante, al fine di </w:t>
      </w:r>
      <w:r w:rsidRPr="00A75DF9">
        <w:rPr>
          <w:rFonts w:cs="Tahoma"/>
          <w:color w:val="000000"/>
          <w:szCs w:val="18"/>
        </w:rPr>
        <w:t>acquistare una Licenza Step-Up. La Licenza Step-Up dovrà essere acquistata, e sarà valida unicamente dopo l</w:t>
      </w:r>
      <w:r w:rsidR="00F2643E">
        <w:rPr>
          <w:rFonts w:cs="Tahoma"/>
          <w:color w:val="000000"/>
          <w:szCs w:val="18"/>
        </w:rPr>
        <w:t>’</w:t>
      </w:r>
      <w:r w:rsidRPr="00A75DF9">
        <w:rPr>
          <w:rFonts w:cs="Tahoma"/>
          <w:color w:val="000000"/>
          <w:szCs w:val="18"/>
        </w:rPr>
        <w:t>acquisto, nell</w:t>
      </w:r>
      <w:r w:rsidR="00F2643E">
        <w:rPr>
          <w:rFonts w:cs="Tahoma"/>
          <w:color w:val="000000"/>
          <w:szCs w:val="18"/>
        </w:rPr>
        <w:t>’</w:t>
      </w:r>
      <w:r w:rsidRPr="00A75DF9">
        <w:rPr>
          <w:rFonts w:cs="Tahoma"/>
          <w:color w:val="000000"/>
          <w:szCs w:val="18"/>
        </w:rPr>
        <w:t>ambito del medesimo contratto multilicenza e della</w:t>
      </w:r>
      <w:r w:rsidR="00380E04">
        <w:rPr>
          <w:rFonts w:cs="Tahoma"/>
          <w:color w:val="000000"/>
          <w:szCs w:val="18"/>
        </w:rPr>
        <w:t> </w:t>
      </w:r>
      <w:r w:rsidRPr="00A75DF9">
        <w:rPr>
          <w:rFonts w:cs="Tahoma"/>
          <w:color w:val="000000"/>
          <w:szCs w:val="18"/>
        </w:rPr>
        <w:t>medesima iscrizione, se disponibili, ai sensi dei quali è stata originariamente acquistata la copertura Software Assurance del prodotto</w:t>
      </w:r>
      <w:r w:rsidRPr="00A75DF9">
        <w:rPr>
          <w:rFonts w:cs="Tahoma"/>
          <w:szCs w:val="18"/>
        </w:rPr>
        <w:t xml:space="preserve"> qualificante.</w:t>
      </w:r>
      <w:r w:rsidR="009D3B41" w:rsidRPr="00A75DF9">
        <w:rPr>
          <w:rFonts w:cs="Tahoma"/>
          <w:szCs w:val="18"/>
        </w:rPr>
        <w:t xml:space="preserve"> </w:t>
      </w:r>
      <w:r w:rsidRPr="00A75DF9">
        <w:rPr>
          <w:rFonts w:cs="Tahoma"/>
          <w:szCs w:val="18"/>
        </w:rPr>
        <w:t xml:space="preserve">Il diritto di utilizzo del software da parte della società ai sensi della Licenza </w:t>
      </w:r>
      <w:r w:rsidR="00380E04">
        <w:rPr>
          <w:rFonts w:cs="Tahoma"/>
          <w:szCs w:val="18"/>
        </w:rPr>
        <w:br/>
      </w:r>
      <w:r w:rsidRPr="00A75DF9">
        <w:rPr>
          <w:rFonts w:cs="Tahoma"/>
          <w:szCs w:val="18"/>
        </w:rPr>
        <w:t>Step-Up è subordinato al possesso e al mantenimento di una Licenza per il prodotto qualificante. Le società non possono trasferire la Licenza per il prodotto qualificante separatamente dalla Licenza Step-Up.</w:t>
      </w:r>
      <w:r w:rsidR="009D3B41" w:rsidRPr="00A75DF9">
        <w:rPr>
          <w:rFonts w:cs="Tahoma"/>
          <w:szCs w:val="18"/>
        </w:rPr>
        <w:t xml:space="preserve"> </w:t>
      </w:r>
      <w:r w:rsidRPr="00A75DF9">
        <w:rPr>
          <w:rFonts w:cs="Tahoma"/>
          <w:szCs w:val="18"/>
        </w:rPr>
        <w:t>I diritti perpetui delle</w:t>
      </w:r>
      <w:r w:rsidR="00380E04">
        <w:rPr>
          <w:rFonts w:cs="Tahoma"/>
          <w:szCs w:val="18"/>
        </w:rPr>
        <w:t> </w:t>
      </w:r>
      <w:r w:rsidRPr="00A75DF9">
        <w:rPr>
          <w:rFonts w:cs="Tahoma"/>
          <w:szCs w:val="18"/>
        </w:rPr>
        <w:t>società concessi ai sensi della Licenza Step-Up prevalgono e sostituiscono la licenza sottostante per il prodotto qualificante. Per ulteriori informazioni, consultare il Documento relativo alla Licenza Step-up per Enterprise Edition nel</w:t>
      </w:r>
      <w:r w:rsidR="00380E04">
        <w:rPr>
          <w:rFonts w:cs="Tahoma"/>
          <w:szCs w:val="18"/>
        </w:rPr>
        <w:t> </w:t>
      </w:r>
      <w:r w:rsidRPr="00A75DF9">
        <w:rPr>
          <w:rFonts w:cs="Tahoma"/>
          <w:szCs w:val="18"/>
        </w:rPr>
        <w:t>quadro del Programma per Contratti Multilicenza all</w:t>
      </w:r>
      <w:r w:rsidR="00F2643E">
        <w:rPr>
          <w:rFonts w:cs="Tahoma"/>
          <w:szCs w:val="18"/>
        </w:rPr>
        <w:t>’</w:t>
      </w:r>
      <w:r w:rsidRPr="00A75DF9">
        <w:rPr>
          <w:rFonts w:cs="Tahoma"/>
          <w:szCs w:val="18"/>
        </w:rPr>
        <w:t xml:space="preserve">indirizzo: </w:t>
      </w:r>
      <w:r w:rsidR="00380E04">
        <w:rPr>
          <w:rFonts w:cs="Tahoma"/>
          <w:szCs w:val="18"/>
        </w:rPr>
        <w:t>http://</w:t>
      </w:r>
      <w:hyperlink r:id="rId29" w:history="1">
        <w:r w:rsidR="00380E04">
          <w:rPr>
            <w:rStyle w:val="Hyperlink"/>
            <w:rFonts w:cs="Tahoma"/>
            <w:szCs w:val="18"/>
          </w:rPr>
          <w:t>www.microsoft.com/licensing</w:t>
        </w:r>
      </w:hyperlink>
      <w:r w:rsidRPr="00A75DF9">
        <w:rPr>
          <w:rFonts w:cs="Tahoma"/>
          <w:szCs w:val="18"/>
        </w:rPr>
        <w:t xml:space="preserve"> </w:t>
      </w:r>
    </w:p>
    <w:p w:rsidR="00023FE7" w:rsidRPr="00A75DF9" w:rsidRDefault="00023FE7">
      <w:pPr>
        <w:rPr>
          <w:rFonts w:cs="Tahoma"/>
        </w:rPr>
      </w:pPr>
    </w:p>
    <w:tbl>
      <w:tblPr>
        <w:tblW w:w="8460" w:type="dxa"/>
        <w:tblInd w:w="55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230"/>
        <w:gridCol w:w="4230"/>
      </w:tblGrid>
      <w:tr w:rsidR="003573CD" w:rsidRPr="00A75DF9" w:rsidTr="001E3F7D">
        <w:trPr>
          <w:tblHeader/>
        </w:trPr>
        <w:tc>
          <w:tcPr>
            <w:tcW w:w="4230" w:type="dxa"/>
            <w:shd w:val="clear" w:color="auto" w:fill="FABF8F"/>
            <w:tcMar>
              <w:top w:w="0" w:type="dxa"/>
              <w:left w:w="108" w:type="dxa"/>
              <w:bottom w:w="0" w:type="dxa"/>
              <w:right w:w="108" w:type="dxa"/>
            </w:tcMar>
            <w:hideMark/>
          </w:tcPr>
          <w:p w:rsidR="003573CD" w:rsidRPr="00A75DF9" w:rsidRDefault="003573CD" w:rsidP="00554A35">
            <w:pPr>
              <w:jc w:val="center"/>
              <w:rPr>
                <w:rFonts w:eastAsia="Calibri" w:cs="Tahoma"/>
                <w:b/>
                <w:sz w:val="20"/>
                <w:szCs w:val="20"/>
              </w:rPr>
            </w:pPr>
            <w:r w:rsidRPr="00A75DF9">
              <w:rPr>
                <w:rFonts w:cs="Tahoma"/>
                <w:b/>
                <w:sz w:val="20"/>
                <w:szCs w:val="20"/>
              </w:rPr>
              <w:t>Step-Up Da</w:t>
            </w:r>
          </w:p>
        </w:tc>
        <w:tc>
          <w:tcPr>
            <w:tcW w:w="4230" w:type="dxa"/>
            <w:shd w:val="clear" w:color="auto" w:fill="FABF8F"/>
            <w:tcMar>
              <w:top w:w="0" w:type="dxa"/>
              <w:left w:w="108" w:type="dxa"/>
              <w:bottom w:w="0" w:type="dxa"/>
              <w:right w:w="108" w:type="dxa"/>
            </w:tcMar>
            <w:hideMark/>
          </w:tcPr>
          <w:p w:rsidR="003573CD" w:rsidRPr="00A75DF9" w:rsidRDefault="003573CD" w:rsidP="00554A35">
            <w:pPr>
              <w:jc w:val="center"/>
              <w:rPr>
                <w:rFonts w:eastAsia="Calibri" w:cs="Tahoma"/>
                <w:b/>
                <w:sz w:val="20"/>
                <w:szCs w:val="20"/>
              </w:rPr>
            </w:pPr>
            <w:r w:rsidRPr="00A75DF9">
              <w:rPr>
                <w:rFonts w:cs="Tahoma"/>
                <w:b/>
                <w:sz w:val="20"/>
                <w:szCs w:val="20"/>
              </w:rPr>
              <w:t>Step-Up A</w:t>
            </w:r>
          </w:p>
        </w:tc>
      </w:tr>
      <w:tr w:rsidR="003573CD" w:rsidRPr="00A75DF9" w:rsidTr="001E3F7D">
        <w:tc>
          <w:tcPr>
            <w:tcW w:w="4230" w:type="dxa"/>
            <w:tcMar>
              <w:top w:w="0" w:type="dxa"/>
              <w:left w:w="108" w:type="dxa"/>
              <w:bottom w:w="0" w:type="dxa"/>
              <w:right w:w="108" w:type="dxa"/>
            </w:tcMar>
            <w:hideMark/>
          </w:tcPr>
          <w:p w:rsidR="003573CD" w:rsidRPr="00A75DF9" w:rsidRDefault="003573CD" w:rsidP="00554A35">
            <w:pPr>
              <w:rPr>
                <w:rFonts w:eastAsia="Calibri" w:cs="Tahoma"/>
                <w:szCs w:val="18"/>
              </w:rPr>
            </w:pPr>
            <w:r w:rsidRPr="00A75DF9">
              <w:rPr>
                <w:rFonts w:cs="Tahoma"/>
                <w:szCs w:val="18"/>
              </w:rPr>
              <w:t>BizTalk</w:t>
            </w:r>
            <w:r w:rsidR="009D5D7B" w:rsidRPr="00A75DF9">
              <w:rPr>
                <w:rFonts w:cs="Tahoma"/>
                <w:szCs w:val="18"/>
                <w:vertAlign w:val="superscript"/>
              </w:rPr>
              <w:t>®</w:t>
            </w:r>
            <w:r w:rsidRPr="00A75DF9">
              <w:rPr>
                <w:rFonts w:cs="Tahoma"/>
                <w:szCs w:val="18"/>
              </w:rPr>
              <w:t xml:space="preserve"> Server Branch</w:t>
            </w:r>
          </w:p>
        </w:tc>
        <w:tc>
          <w:tcPr>
            <w:tcW w:w="4230" w:type="dxa"/>
            <w:tcMar>
              <w:top w:w="0" w:type="dxa"/>
              <w:left w:w="108" w:type="dxa"/>
              <w:bottom w:w="0" w:type="dxa"/>
              <w:right w:w="108" w:type="dxa"/>
            </w:tcMar>
            <w:hideMark/>
          </w:tcPr>
          <w:p w:rsidR="003573CD" w:rsidRPr="00A75DF9" w:rsidRDefault="003573CD" w:rsidP="00554A35">
            <w:pPr>
              <w:rPr>
                <w:rFonts w:eastAsia="Calibri" w:cs="Tahoma"/>
                <w:szCs w:val="18"/>
              </w:rPr>
            </w:pPr>
            <w:r w:rsidRPr="00A75DF9">
              <w:rPr>
                <w:rFonts w:cs="Tahoma"/>
                <w:szCs w:val="18"/>
              </w:rPr>
              <w:t>BizTalk</w:t>
            </w:r>
            <w:r w:rsidR="009D5D7B" w:rsidRPr="00A75DF9">
              <w:rPr>
                <w:rFonts w:cs="Tahoma"/>
                <w:szCs w:val="18"/>
                <w:vertAlign w:val="superscript"/>
              </w:rPr>
              <w:t>®</w:t>
            </w:r>
            <w:r w:rsidRPr="00A75DF9">
              <w:rPr>
                <w:rFonts w:cs="Tahoma"/>
                <w:szCs w:val="18"/>
              </w:rPr>
              <w:t xml:space="preserve"> Server Standard</w:t>
            </w:r>
          </w:p>
        </w:tc>
      </w:tr>
      <w:tr w:rsidR="003573CD" w:rsidRPr="00A75DF9" w:rsidTr="001E3F7D">
        <w:tc>
          <w:tcPr>
            <w:tcW w:w="4230" w:type="dxa"/>
            <w:tcMar>
              <w:top w:w="0" w:type="dxa"/>
              <w:left w:w="108" w:type="dxa"/>
              <w:bottom w:w="0" w:type="dxa"/>
              <w:right w:w="108" w:type="dxa"/>
            </w:tcMar>
            <w:hideMark/>
          </w:tcPr>
          <w:p w:rsidR="003573CD" w:rsidRPr="00A75DF9" w:rsidRDefault="003573CD" w:rsidP="00554A35">
            <w:pPr>
              <w:rPr>
                <w:rFonts w:eastAsia="Calibri" w:cs="Tahoma"/>
                <w:szCs w:val="18"/>
              </w:rPr>
            </w:pPr>
            <w:r w:rsidRPr="00A75DF9">
              <w:rPr>
                <w:rFonts w:cs="Tahoma"/>
                <w:szCs w:val="18"/>
              </w:rPr>
              <w:t>BizTalk</w:t>
            </w:r>
            <w:r w:rsidR="009D5D7B" w:rsidRPr="00A75DF9">
              <w:rPr>
                <w:rFonts w:cs="Tahoma"/>
                <w:szCs w:val="18"/>
                <w:vertAlign w:val="superscript"/>
              </w:rPr>
              <w:t>®</w:t>
            </w:r>
            <w:r w:rsidRPr="00A75DF9">
              <w:rPr>
                <w:rFonts w:cs="Tahoma"/>
                <w:szCs w:val="18"/>
              </w:rPr>
              <w:t xml:space="preserve"> Server Branch</w:t>
            </w:r>
          </w:p>
        </w:tc>
        <w:tc>
          <w:tcPr>
            <w:tcW w:w="4230" w:type="dxa"/>
            <w:tcMar>
              <w:top w:w="0" w:type="dxa"/>
              <w:left w:w="108" w:type="dxa"/>
              <w:bottom w:w="0" w:type="dxa"/>
              <w:right w:w="108" w:type="dxa"/>
            </w:tcMar>
            <w:hideMark/>
          </w:tcPr>
          <w:p w:rsidR="003573CD" w:rsidRPr="00A75DF9" w:rsidRDefault="003573CD" w:rsidP="00554A35">
            <w:pPr>
              <w:rPr>
                <w:rFonts w:eastAsia="Calibri" w:cs="Tahoma"/>
                <w:szCs w:val="18"/>
              </w:rPr>
            </w:pPr>
            <w:r w:rsidRPr="00A75DF9">
              <w:rPr>
                <w:rFonts w:cs="Tahoma"/>
                <w:szCs w:val="18"/>
              </w:rPr>
              <w:t>BizTalk</w:t>
            </w:r>
            <w:r w:rsidR="009D5D7B" w:rsidRPr="00A75DF9">
              <w:rPr>
                <w:rFonts w:cs="Tahoma"/>
                <w:szCs w:val="18"/>
                <w:vertAlign w:val="superscript"/>
              </w:rPr>
              <w:t>®</w:t>
            </w:r>
            <w:r w:rsidRPr="00A75DF9">
              <w:rPr>
                <w:rFonts w:cs="Tahoma"/>
                <w:szCs w:val="18"/>
              </w:rPr>
              <w:t xml:space="preserve"> Server Enterprise</w:t>
            </w:r>
          </w:p>
        </w:tc>
      </w:tr>
      <w:tr w:rsidR="003573CD" w:rsidRPr="00A75DF9" w:rsidTr="001E3F7D">
        <w:tc>
          <w:tcPr>
            <w:tcW w:w="4230" w:type="dxa"/>
            <w:tcMar>
              <w:top w:w="0" w:type="dxa"/>
              <w:left w:w="108" w:type="dxa"/>
              <w:bottom w:w="0" w:type="dxa"/>
              <w:right w:w="108" w:type="dxa"/>
            </w:tcMar>
            <w:hideMark/>
          </w:tcPr>
          <w:p w:rsidR="003573CD" w:rsidRPr="00A75DF9" w:rsidRDefault="003573CD" w:rsidP="00554A35">
            <w:pPr>
              <w:rPr>
                <w:rFonts w:eastAsia="Calibri" w:cs="Tahoma"/>
                <w:szCs w:val="18"/>
              </w:rPr>
            </w:pPr>
            <w:r w:rsidRPr="00A75DF9">
              <w:rPr>
                <w:rFonts w:cs="Tahoma"/>
                <w:szCs w:val="18"/>
              </w:rPr>
              <w:t>BizTalk</w:t>
            </w:r>
            <w:r w:rsidR="009D5D7B" w:rsidRPr="00A75DF9">
              <w:rPr>
                <w:rFonts w:cs="Tahoma"/>
                <w:szCs w:val="18"/>
                <w:vertAlign w:val="superscript"/>
              </w:rPr>
              <w:t>®</w:t>
            </w:r>
            <w:r w:rsidRPr="00A75DF9">
              <w:rPr>
                <w:rFonts w:cs="Tahoma"/>
                <w:szCs w:val="18"/>
              </w:rPr>
              <w:t xml:space="preserve"> Server Standard</w:t>
            </w:r>
          </w:p>
        </w:tc>
        <w:tc>
          <w:tcPr>
            <w:tcW w:w="4230" w:type="dxa"/>
            <w:tcMar>
              <w:top w:w="0" w:type="dxa"/>
              <w:left w:w="108" w:type="dxa"/>
              <w:bottom w:w="0" w:type="dxa"/>
              <w:right w:w="108" w:type="dxa"/>
            </w:tcMar>
            <w:hideMark/>
          </w:tcPr>
          <w:p w:rsidR="003573CD" w:rsidRPr="00A75DF9" w:rsidRDefault="003573CD" w:rsidP="00554A35">
            <w:pPr>
              <w:rPr>
                <w:rFonts w:eastAsia="Calibri" w:cs="Tahoma"/>
                <w:szCs w:val="18"/>
              </w:rPr>
            </w:pPr>
            <w:r w:rsidRPr="00A75DF9">
              <w:rPr>
                <w:rFonts w:cs="Tahoma"/>
                <w:szCs w:val="18"/>
              </w:rPr>
              <w:t>BizTalk</w:t>
            </w:r>
            <w:r w:rsidR="009D5D7B" w:rsidRPr="00A75DF9">
              <w:rPr>
                <w:rFonts w:cs="Tahoma"/>
                <w:szCs w:val="18"/>
                <w:vertAlign w:val="superscript"/>
              </w:rPr>
              <w:t>®</w:t>
            </w:r>
            <w:r w:rsidRPr="00A75DF9">
              <w:rPr>
                <w:rFonts w:cs="Tahoma"/>
                <w:szCs w:val="18"/>
              </w:rPr>
              <w:t xml:space="preserve"> Server Enterprise</w:t>
            </w:r>
          </w:p>
        </w:tc>
      </w:tr>
      <w:tr w:rsidR="003573CD" w:rsidRPr="00A75DF9" w:rsidTr="001E3F7D">
        <w:tc>
          <w:tcPr>
            <w:tcW w:w="4230" w:type="dxa"/>
            <w:tcMar>
              <w:top w:w="0" w:type="dxa"/>
              <w:left w:w="108" w:type="dxa"/>
              <w:bottom w:w="0" w:type="dxa"/>
              <w:right w:w="108" w:type="dxa"/>
            </w:tcMar>
            <w:hideMark/>
          </w:tcPr>
          <w:p w:rsidR="003573CD" w:rsidRPr="00A75DF9" w:rsidRDefault="003573CD" w:rsidP="00554A35">
            <w:pPr>
              <w:rPr>
                <w:rFonts w:eastAsia="Calibri" w:cs="Tahoma"/>
                <w:szCs w:val="18"/>
              </w:rPr>
            </w:pPr>
            <w:r w:rsidRPr="00A75DF9">
              <w:rPr>
                <w:rFonts w:cs="Tahoma"/>
                <w:szCs w:val="18"/>
              </w:rPr>
              <w:t>Commerce Server Standard</w:t>
            </w:r>
          </w:p>
        </w:tc>
        <w:tc>
          <w:tcPr>
            <w:tcW w:w="4230" w:type="dxa"/>
            <w:tcMar>
              <w:top w:w="0" w:type="dxa"/>
              <w:left w:w="108" w:type="dxa"/>
              <w:bottom w:w="0" w:type="dxa"/>
              <w:right w:w="108" w:type="dxa"/>
            </w:tcMar>
            <w:hideMark/>
          </w:tcPr>
          <w:p w:rsidR="003573CD" w:rsidRPr="00A75DF9" w:rsidRDefault="003573CD" w:rsidP="00554A35">
            <w:pPr>
              <w:rPr>
                <w:rFonts w:eastAsia="Calibri" w:cs="Tahoma"/>
                <w:szCs w:val="18"/>
              </w:rPr>
            </w:pPr>
            <w:r w:rsidRPr="00A75DF9">
              <w:rPr>
                <w:rFonts w:cs="Tahoma"/>
                <w:szCs w:val="18"/>
              </w:rPr>
              <w:t>Commerce Server Enterprise</w:t>
            </w:r>
          </w:p>
        </w:tc>
      </w:tr>
      <w:tr w:rsidR="003573CD" w:rsidRPr="00A75DF9" w:rsidTr="001E3F7D">
        <w:trPr>
          <w:trHeight w:val="238"/>
        </w:trPr>
        <w:tc>
          <w:tcPr>
            <w:tcW w:w="4230" w:type="dxa"/>
            <w:tcMar>
              <w:top w:w="0" w:type="dxa"/>
              <w:left w:w="108" w:type="dxa"/>
              <w:bottom w:w="0" w:type="dxa"/>
              <w:right w:w="108" w:type="dxa"/>
            </w:tcMar>
            <w:hideMark/>
          </w:tcPr>
          <w:p w:rsidR="003573CD" w:rsidRPr="00A75DF9" w:rsidRDefault="003573CD" w:rsidP="00554A35">
            <w:pPr>
              <w:rPr>
                <w:rFonts w:eastAsia="Calibri" w:cs="Tahoma"/>
                <w:szCs w:val="18"/>
              </w:rPr>
            </w:pPr>
            <w:r w:rsidRPr="00A75DF9">
              <w:rPr>
                <w:rFonts w:cs="Tahoma"/>
                <w:szCs w:val="18"/>
              </w:rPr>
              <w:t>Core CAL Suite</w:t>
            </w:r>
          </w:p>
        </w:tc>
        <w:tc>
          <w:tcPr>
            <w:tcW w:w="4230" w:type="dxa"/>
            <w:tcMar>
              <w:top w:w="0" w:type="dxa"/>
              <w:left w:w="108" w:type="dxa"/>
              <w:bottom w:w="0" w:type="dxa"/>
              <w:right w:w="108" w:type="dxa"/>
            </w:tcMar>
            <w:hideMark/>
          </w:tcPr>
          <w:p w:rsidR="003573CD" w:rsidRPr="00A75DF9" w:rsidRDefault="003573CD" w:rsidP="00554A35">
            <w:pPr>
              <w:rPr>
                <w:rFonts w:eastAsia="Calibri" w:cs="Tahoma"/>
                <w:szCs w:val="18"/>
              </w:rPr>
            </w:pPr>
            <w:r w:rsidRPr="00A75DF9">
              <w:rPr>
                <w:rFonts w:cs="Tahoma"/>
                <w:szCs w:val="18"/>
              </w:rPr>
              <w:t>Enterprise CAL Suite</w:t>
            </w:r>
          </w:p>
        </w:tc>
      </w:tr>
      <w:tr w:rsidR="00E87953" w:rsidRPr="00A75DF9" w:rsidTr="001E3F7D">
        <w:trPr>
          <w:trHeight w:val="247"/>
        </w:trPr>
        <w:tc>
          <w:tcPr>
            <w:tcW w:w="4230" w:type="dxa"/>
            <w:tcMar>
              <w:top w:w="0" w:type="dxa"/>
              <w:left w:w="108" w:type="dxa"/>
              <w:bottom w:w="0" w:type="dxa"/>
              <w:right w:w="108" w:type="dxa"/>
            </w:tcMar>
          </w:tcPr>
          <w:p w:rsidR="00E87953" w:rsidRPr="00A75DF9" w:rsidRDefault="00E87953" w:rsidP="00734CF4">
            <w:pPr>
              <w:rPr>
                <w:rFonts w:cs="Tahoma"/>
                <w:color w:val="000000"/>
                <w:szCs w:val="18"/>
              </w:rPr>
            </w:pPr>
            <w:r w:rsidRPr="00A75DF9">
              <w:rPr>
                <w:rFonts w:cs="Tahoma"/>
                <w:color w:val="000000"/>
                <w:szCs w:val="18"/>
              </w:rPr>
              <w:t>Core CAL Suite Bridge per Office 365</w:t>
            </w:r>
          </w:p>
        </w:tc>
        <w:tc>
          <w:tcPr>
            <w:tcW w:w="4230" w:type="dxa"/>
            <w:tcMar>
              <w:top w:w="0" w:type="dxa"/>
              <w:left w:w="108" w:type="dxa"/>
              <w:bottom w:w="0" w:type="dxa"/>
              <w:right w:w="108" w:type="dxa"/>
            </w:tcMar>
          </w:tcPr>
          <w:p w:rsidR="00E87953" w:rsidRPr="00A75DF9" w:rsidRDefault="00E87953" w:rsidP="00734CF4">
            <w:pPr>
              <w:rPr>
                <w:rFonts w:cs="Tahoma"/>
                <w:color w:val="000000"/>
                <w:szCs w:val="18"/>
              </w:rPr>
            </w:pPr>
            <w:r w:rsidRPr="00A75DF9">
              <w:rPr>
                <w:rFonts w:cs="Tahoma"/>
                <w:color w:val="000000"/>
                <w:szCs w:val="18"/>
              </w:rPr>
              <w:t>Enterprise CAL Suite Bridge per Office 365</w:t>
            </w:r>
          </w:p>
        </w:tc>
      </w:tr>
      <w:tr w:rsidR="00E87953" w:rsidRPr="00A75DF9" w:rsidTr="001E3F7D">
        <w:trPr>
          <w:trHeight w:val="247"/>
        </w:trPr>
        <w:tc>
          <w:tcPr>
            <w:tcW w:w="4230" w:type="dxa"/>
            <w:tcMar>
              <w:top w:w="0" w:type="dxa"/>
              <w:left w:w="108" w:type="dxa"/>
              <w:bottom w:w="0" w:type="dxa"/>
              <w:right w:w="108" w:type="dxa"/>
            </w:tcMar>
          </w:tcPr>
          <w:p w:rsidR="00E87953" w:rsidRPr="00A75DF9" w:rsidRDefault="00E87953" w:rsidP="007C6582">
            <w:pPr>
              <w:rPr>
                <w:rFonts w:cs="Tahoma"/>
                <w:color w:val="000000"/>
                <w:szCs w:val="18"/>
              </w:rPr>
            </w:pPr>
            <w:r w:rsidRPr="00A75DF9">
              <w:rPr>
                <w:rFonts w:cs="Tahoma"/>
                <w:color w:val="000000"/>
                <w:szCs w:val="18"/>
              </w:rPr>
              <w:t>Core CAL Suite Bridge per Windows</w:t>
            </w:r>
            <w:r w:rsidR="009D5D7B" w:rsidRPr="00A75DF9">
              <w:rPr>
                <w:rFonts w:cs="Tahoma"/>
                <w:color w:val="000000"/>
                <w:szCs w:val="18"/>
                <w:vertAlign w:val="superscript"/>
              </w:rPr>
              <w:t>®</w:t>
            </w:r>
            <w:r w:rsidRPr="00A75DF9">
              <w:rPr>
                <w:rFonts w:cs="Tahoma"/>
                <w:color w:val="000000"/>
                <w:szCs w:val="18"/>
              </w:rPr>
              <w:t xml:space="preserve"> Intune</w:t>
            </w:r>
          </w:p>
        </w:tc>
        <w:tc>
          <w:tcPr>
            <w:tcW w:w="4230" w:type="dxa"/>
            <w:tcMar>
              <w:top w:w="0" w:type="dxa"/>
              <w:left w:w="108" w:type="dxa"/>
              <w:bottom w:w="0" w:type="dxa"/>
              <w:right w:w="108" w:type="dxa"/>
            </w:tcMar>
          </w:tcPr>
          <w:p w:rsidR="00E87953" w:rsidRPr="00A75DF9" w:rsidRDefault="00E87953" w:rsidP="007C6582">
            <w:pPr>
              <w:rPr>
                <w:rFonts w:cs="Tahoma"/>
                <w:color w:val="000000"/>
                <w:szCs w:val="18"/>
              </w:rPr>
            </w:pPr>
            <w:r w:rsidRPr="00A75DF9">
              <w:rPr>
                <w:rFonts w:cs="Tahoma"/>
                <w:color w:val="000000"/>
                <w:szCs w:val="18"/>
              </w:rPr>
              <w:t>Enterprise CAL Suite Bridge per Windows</w:t>
            </w:r>
            <w:r w:rsidR="009D5D7B" w:rsidRPr="00A75DF9">
              <w:rPr>
                <w:rFonts w:cs="Tahoma"/>
                <w:color w:val="000000"/>
                <w:szCs w:val="18"/>
                <w:vertAlign w:val="superscript"/>
              </w:rPr>
              <w:t>®</w:t>
            </w:r>
            <w:r w:rsidRPr="00A75DF9">
              <w:rPr>
                <w:rFonts w:cs="Tahoma"/>
                <w:color w:val="000000"/>
                <w:szCs w:val="18"/>
              </w:rPr>
              <w:t xml:space="preserve"> Intune</w:t>
            </w:r>
          </w:p>
        </w:tc>
      </w:tr>
      <w:tr w:rsidR="000466E8" w:rsidRPr="00A75DF9" w:rsidTr="001E3F7D">
        <w:trPr>
          <w:trHeight w:val="247"/>
        </w:trPr>
        <w:tc>
          <w:tcPr>
            <w:tcW w:w="4230" w:type="dxa"/>
            <w:tcMar>
              <w:top w:w="0" w:type="dxa"/>
              <w:left w:w="108" w:type="dxa"/>
              <w:bottom w:w="0" w:type="dxa"/>
              <w:right w:w="108" w:type="dxa"/>
            </w:tcMar>
          </w:tcPr>
          <w:p w:rsidR="000466E8" w:rsidRPr="00A75DF9" w:rsidRDefault="0054507B" w:rsidP="007C6582">
            <w:pPr>
              <w:rPr>
                <w:rFonts w:cs="Tahoma"/>
                <w:color w:val="000000"/>
                <w:szCs w:val="18"/>
              </w:rPr>
            </w:pPr>
            <w:r w:rsidRPr="00A75DF9">
              <w:rPr>
                <w:rFonts w:cs="Tahoma"/>
                <w:color w:val="000000"/>
                <w:szCs w:val="18"/>
              </w:rPr>
              <w:t>Core CAL Suite Bridge per Office 365 e Windows</w:t>
            </w:r>
            <w:r w:rsidR="009D5D7B" w:rsidRPr="00A75DF9">
              <w:rPr>
                <w:rFonts w:cs="Tahoma"/>
                <w:color w:val="000000"/>
                <w:szCs w:val="18"/>
                <w:vertAlign w:val="superscript"/>
              </w:rPr>
              <w:t>®</w:t>
            </w:r>
            <w:r w:rsidRPr="00A75DF9">
              <w:rPr>
                <w:rFonts w:cs="Tahoma"/>
                <w:color w:val="000000"/>
                <w:szCs w:val="18"/>
              </w:rPr>
              <w:t xml:space="preserve"> Intune</w:t>
            </w:r>
          </w:p>
        </w:tc>
        <w:tc>
          <w:tcPr>
            <w:tcW w:w="4230" w:type="dxa"/>
            <w:tcMar>
              <w:top w:w="0" w:type="dxa"/>
              <w:left w:w="108" w:type="dxa"/>
              <w:bottom w:w="0" w:type="dxa"/>
              <w:right w:w="108" w:type="dxa"/>
            </w:tcMar>
          </w:tcPr>
          <w:p w:rsidR="000466E8" w:rsidRPr="00A75DF9" w:rsidRDefault="00C3058D" w:rsidP="007C6582">
            <w:pPr>
              <w:rPr>
                <w:rFonts w:cs="Tahoma"/>
                <w:color w:val="000000"/>
                <w:szCs w:val="18"/>
              </w:rPr>
            </w:pPr>
            <w:r w:rsidRPr="00A75DF9">
              <w:rPr>
                <w:rFonts w:eastAsia="Calibri" w:cs="Tahoma"/>
                <w:szCs w:val="18"/>
              </w:rPr>
              <w:t>Enterprise CAL Suite Bridge per Office 365 e Windows</w:t>
            </w:r>
            <w:r w:rsidR="009D5D7B" w:rsidRPr="00A75DF9">
              <w:rPr>
                <w:rFonts w:cs="Tahoma"/>
                <w:color w:val="000000"/>
                <w:szCs w:val="18"/>
                <w:vertAlign w:val="superscript"/>
              </w:rPr>
              <w:t>®</w:t>
            </w:r>
            <w:r w:rsidRPr="00A75DF9">
              <w:rPr>
                <w:rFonts w:cs="Tahoma"/>
                <w:color w:val="000000"/>
                <w:szCs w:val="18"/>
                <w:vertAlign w:val="superscript"/>
              </w:rPr>
              <w:t xml:space="preserve"> </w:t>
            </w:r>
            <w:r w:rsidRPr="00A75DF9">
              <w:rPr>
                <w:rFonts w:eastAsia="Calibri" w:cs="Tahoma"/>
                <w:szCs w:val="18"/>
              </w:rPr>
              <w:t>Intune</w:t>
            </w:r>
          </w:p>
        </w:tc>
      </w:tr>
      <w:tr w:rsidR="004C6855" w:rsidRPr="00A75DF9" w:rsidTr="001E3F7D">
        <w:trPr>
          <w:trHeight w:val="247"/>
        </w:trPr>
        <w:tc>
          <w:tcPr>
            <w:tcW w:w="4230" w:type="dxa"/>
            <w:tcMar>
              <w:top w:w="0" w:type="dxa"/>
              <w:left w:w="108" w:type="dxa"/>
              <w:bottom w:w="0" w:type="dxa"/>
              <w:right w:w="108" w:type="dxa"/>
            </w:tcMar>
            <w:hideMark/>
          </w:tcPr>
          <w:p w:rsidR="004C6855" w:rsidRPr="00A75DF9" w:rsidRDefault="004C6855" w:rsidP="00554A35">
            <w:pPr>
              <w:rPr>
                <w:rFonts w:cs="Tahoma"/>
                <w:szCs w:val="18"/>
              </w:rPr>
            </w:pPr>
            <w:r w:rsidRPr="00A75DF9">
              <w:rPr>
                <w:rFonts w:cs="Tahoma"/>
                <w:color w:val="000000"/>
                <w:szCs w:val="18"/>
              </w:rPr>
              <w:t>Core Infrastructure Server Suite Standard</w:t>
            </w:r>
          </w:p>
        </w:tc>
        <w:tc>
          <w:tcPr>
            <w:tcW w:w="4230" w:type="dxa"/>
            <w:tcMar>
              <w:top w:w="0" w:type="dxa"/>
              <w:left w:w="108" w:type="dxa"/>
              <w:bottom w:w="0" w:type="dxa"/>
              <w:right w:w="108" w:type="dxa"/>
            </w:tcMar>
            <w:hideMark/>
          </w:tcPr>
          <w:p w:rsidR="004C6855" w:rsidRPr="00A75DF9" w:rsidRDefault="004C6855" w:rsidP="00933674">
            <w:pPr>
              <w:rPr>
                <w:rFonts w:cs="Tahoma"/>
                <w:szCs w:val="18"/>
              </w:rPr>
            </w:pPr>
            <w:r w:rsidRPr="00A75DF9">
              <w:rPr>
                <w:rFonts w:cs="Tahoma"/>
                <w:color w:val="000000"/>
                <w:szCs w:val="18"/>
              </w:rPr>
              <w:t>Core Infrastructure Server Suite Datacenter</w:t>
            </w:r>
          </w:p>
        </w:tc>
      </w:tr>
      <w:tr w:rsidR="003573CD" w:rsidRPr="00A75DF9" w:rsidTr="001E3F7D">
        <w:tc>
          <w:tcPr>
            <w:tcW w:w="4230" w:type="dxa"/>
            <w:tcMar>
              <w:top w:w="0" w:type="dxa"/>
              <w:left w:w="108" w:type="dxa"/>
              <w:bottom w:w="0" w:type="dxa"/>
              <w:right w:w="108" w:type="dxa"/>
            </w:tcMar>
            <w:hideMark/>
          </w:tcPr>
          <w:p w:rsidR="003573CD" w:rsidRPr="00A75DF9" w:rsidRDefault="003573CD" w:rsidP="00394D2B">
            <w:pPr>
              <w:rPr>
                <w:rFonts w:eastAsia="Calibri" w:cs="Tahoma"/>
                <w:szCs w:val="18"/>
              </w:rPr>
            </w:pPr>
            <w:r w:rsidRPr="00A75DF9">
              <w:rPr>
                <w:rFonts w:cs="Tahoma"/>
                <w:szCs w:val="18"/>
              </w:rPr>
              <w:t>Desktop Education con Core CAL</w:t>
            </w:r>
          </w:p>
        </w:tc>
        <w:tc>
          <w:tcPr>
            <w:tcW w:w="4230" w:type="dxa"/>
            <w:tcMar>
              <w:top w:w="0" w:type="dxa"/>
              <w:left w:w="108" w:type="dxa"/>
              <w:bottom w:w="0" w:type="dxa"/>
              <w:right w:w="108" w:type="dxa"/>
            </w:tcMar>
            <w:hideMark/>
          </w:tcPr>
          <w:p w:rsidR="003573CD" w:rsidRPr="00A75DF9" w:rsidRDefault="003573CD" w:rsidP="00394D2B">
            <w:pPr>
              <w:rPr>
                <w:rFonts w:eastAsia="Calibri" w:cs="Tahoma"/>
                <w:szCs w:val="18"/>
              </w:rPr>
            </w:pPr>
            <w:r w:rsidRPr="00A75DF9">
              <w:rPr>
                <w:rFonts w:cs="Tahoma"/>
                <w:szCs w:val="18"/>
              </w:rPr>
              <w:t>Desktop Education con Enterprise CAL Suite</w:t>
            </w:r>
          </w:p>
        </w:tc>
      </w:tr>
      <w:tr w:rsidR="003573CD" w:rsidRPr="00A75DF9" w:rsidTr="001E3F7D">
        <w:tc>
          <w:tcPr>
            <w:tcW w:w="4230" w:type="dxa"/>
            <w:tcMar>
              <w:top w:w="0" w:type="dxa"/>
              <w:left w:w="108" w:type="dxa"/>
              <w:bottom w:w="0" w:type="dxa"/>
              <w:right w:w="108" w:type="dxa"/>
            </w:tcMar>
            <w:hideMark/>
          </w:tcPr>
          <w:p w:rsidR="003573CD" w:rsidRPr="00A75DF9" w:rsidRDefault="003573CD" w:rsidP="00554A35">
            <w:pPr>
              <w:rPr>
                <w:rFonts w:eastAsia="Calibri" w:cs="Tahoma"/>
                <w:szCs w:val="18"/>
              </w:rPr>
            </w:pPr>
            <w:r w:rsidRPr="00A75DF9">
              <w:rPr>
                <w:rFonts w:cs="Tahoma"/>
                <w:szCs w:val="18"/>
              </w:rPr>
              <w:t>Desktop School con Core CAL</w:t>
            </w:r>
          </w:p>
        </w:tc>
        <w:tc>
          <w:tcPr>
            <w:tcW w:w="4230" w:type="dxa"/>
            <w:tcMar>
              <w:top w:w="0" w:type="dxa"/>
              <w:left w:w="108" w:type="dxa"/>
              <w:bottom w:w="0" w:type="dxa"/>
              <w:right w:w="108" w:type="dxa"/>
            </w:tcMar>
            <w:hideMark/>
          </w:tcPr>
          <w:p w:rsidR="003573CD" w:rsidRPr="00A75DF9" w:rsidRDefault="00ED0F02" w:rsidP="00554A35">
            <w:pPr>
              <w:rPr>
                <w:rFonts w:eastAsia="Calibri" w:cs="Tahoma"/>
                <w:szCs w:val="18"/>
              </w:rPr>
            </w:pPr>
            <w:r w:rsidRPr="00A75DF9">
              <w:rPr>
                <w:rFonts w:cs="Tahoma"/>
                <w:szCs w:val="18"/>
              </w:rPr>
              <w:t>Desktop School con Enterprise CAL Suite</w:t>
            </w:r>
          </w:p>
        </w:tc>
      </w:tr>
      <w:tr w:rsidR="003573CD" w:rsidRPr="00A75DF9" w:rsidTr="001E3F7D">
        <w:tc>
          <w:tcPr>
            <w:tcW w:w="4230" w:type="dxa"/>
            <w:tcMar>
              <w:top w:w="0" w:type="dxa"/>
              <w:left w:w="108" w:type="dxa"/>
              <w:bottom w:w="0" w:type="dxa"/>
              <w:right w:w="108" w:type="dxa"/>
            </w:tcMar>
            <w:hideMark/>
          </w:tcPr>
          <w:p w:rsidR="003573CD" w:rsidRPr="00A75DF9" w:rsidRDefault="003573CD" w:rsidP="00554A35">
            <w:pPr>
              <w:rPr>
                <w:rFonts w:eastAsia="Calibri" w:cs="Tahoma"/>
                <w:szCs w:val="18"/>
                <w:lang w:val="fr-FR"/>
              </w:rPr>
            </w:pPr>
            <w:r w:rsidRPr="00A75DF9">
              <w:rPr>
                <w:rFonts w:cs="Tahoma"/>
                <w:szCs w:val="18"/>
              </w:rPr>
              <w:t>Exchange Server Standard</w:t>
            </w:r>
          </w:p>
        </w:tc>
        <w:tc>
          <w:tcPr>
            <w:tcW w:w="4230" w:type="dxa"/>
            <w:tcMar>
              <w:top w:w="0" w:type="dxa"/>
              <w:left w:w="108" w:type="dxa"/>
              <w:bottom w:w="0" w:type="dxa"/>
              <w:right w:w="108" w:type="dxa"/>
            </w:tcMar>
            <w:hideMark/>
          </w:tcPr>
          <w:p w:rsidR="003573CD" w:rsidRPr="00A75DF9" w:rsidRDefault="003573CD" w:rsidP="00554A35">
            <w:pPr>
              <w:rPr>
                <w:rFonts w:eastAsia="Calibri" w:cs="Tahoma"/>
                <w:szCs w:val="18"/>
              </w:rPr>
            </w:pPr>
            <w:r w:rsidRPr="00A75DF9">
              <w:rPr>
                <w:rFonts w:cs="Tahoma"/>
                <w:szCs w:val="18"/>
              </w:rPr>
              <w:t>Exchange Server Enterprise</w:t>
            </w:r>
          </w:p>
        </w:tc>
      </w:tr>
      <w:tr w:rsidR="004D4D43" w:rsidRPr="00A75DF9" w:rsidTr="001E3F7D">
        <w:tc>
          <w:tcPr>
            <w:tcW w:w="4230" w:type="dxa"/>
            <w:tcMar>
              <w:top w:w="0" w:type="dxa"/>
              <w:left w:w="108" w:type="dxa"/>
              <w:bottom w:w="0" w:type="dxa"/>
              <w:right w:w="108" w:type="dxa"/>
            </w:tcMar>
          </w:tcPr>
          <w:p w:rsidR="004D4D43" w:rsidRPr="00A75DF9" w:rsidRDefault="004D4D43" w:rsidP="00AB4C80">
            <w:pPr>
              <w:rPr>
                <w:rFonts w:cs="Tahoma"/>
                <w:szCs w:val="18"/>
              </w:rPr>
            </w:pPr>
            <w:r w:rsidRPr="00A75DF9">
              <w:rPr>
                <w:rFonts w:cs="Tahoma"/>
                <w:szCs w:val="18"/>
              </w:rPr>
              <w:t>Forefront TMG Standard</w:t>
            </w:r>
          </w:p>
        </w:tc>
        <w:tc>
          <w:tcPr>
            <w:tcW w:w="4230" w:type="dxa"/>
            <w:tcMar>
              <w:top w:w="0" w:type="dxa"/>
              <w:left w:w="108" w:type="dxa"/>
              <w:bottom w:w="0" w:type="dxa"/>
              <w:right w:w="108" w:type="dxa"/>
            </w:tcMar>
          </w:tcPr>
          <w:p w:rsidR="004D4D43" w:rsidRPr="00A75DF9" w:rsidRDefault="004D4D43" w:rsidP="00AB4C80">
            <w:pPr>
              <w:rPr>
                <w:rFonts w:cs="Tahoma"/>
                <w:szCs w:val="18"/>
              </w:rPr>
            </w:pPr>
            <w:r w:rsidRPr="00A75DF9">
              <w:rPr>
                <w:rFonts w:cs="Tahoma"/>
                <w:szCs w:val="18"/>
              </w:rPr>
              <w:t>Forefront TMG Enterprise</w:t>
            </w:r>
          </w:p>
        </w:tc>
      </w:tr>
      <w:tr w:rsidR="003573CD" w:rsidRPr="00A75DF9" w:rsidTr="001E3F7D">
        <w:tc>
          <w:tcPr>
            <w:tcW w:w="4230" w:type="dxa"/>
            <w:tcMar>
              <w:top w:w="0" w:type="dxa"/>
              <w:left w:w="108" w:type="dxa"/>
              <w:bottom w:w="0" w:type="dxa"/>
              <w:right w:w="108" w:type="dxa"/>
            </w:tcMar>
            <w:hideMark/>
          </w:tcPr>
          <w:p w:rsidR="003573CD" w:rsidRPr="00A75DF9" w:rsidRDefault="003573CD" w:rsidP="00554A35">
            <w:pPr>
              <w:rPr>
                <w:rFonts w:eastAsia="Calibri" w:cs="Tahoma"/>
                <w:szCs w:val="18"/>
              </w:rPr>
            </w:pPr>
            <w:r w:rsidRPr="00A75DF9">
              <w:rPr>
                <w:rFonts w:cs="Tahoma"/>
                <w:szCs w:val="18"/>
              </w:rPr>
              <w:lastRenderedPageBreak/>
              <w:t>Internet Security &amp; Acceleration (ISA) Standard Server</w:t>
            </w:r>
          </w:p>
        </w:tc>
        <w:tc>
          <w:tcPr>
            <w:tcW w:w="4230" w:type="dxa"/>
            <w:tcMar>
              <w:top w:w="0" w:type="dxa"/>
              <w:left w:w="108" w:type="dxa"/>
              <w:bottom w:w="0" w:type="dxa"/>
              <w:right w:w="108" w:type="dxa"/>
            </w:tcMar>
            <w:hideMark/>
          </w:tcPr>
          <w:p w:rsidR="003573CD" w:rsidRPr="00A75DF9" w:rsidRDefault="003573CD" w:rsidP="00554A35">
            <w:pPr>
              <w:rPr>
                <w:rFonts w:eastAsia="Calibri" w:cs="Tahoma"/>
                <w:szCs w:val="18"/>
              </w:rPr>
            </w:pPr>
            <w:r w:rsidRPr="00A75DF9">
              <w:rPr>
                <w:rFonts w:cs="Tahoma"/>
                <w:szCs w:val="18"/>
              </w:rPr>
              <w:t>Internet Security and Acceleration (ISA) Enterprise Server</w:t>
            </w:r>
          </w:p>
        </w:tc>
      </w:tr>
      <w:tr w:rsidR="00781A60" w:rsidRPr="00A75DF9" w:rsidTr="001E3F7D">
        <w:tc>
          <w:tcPr>
            <w:tcW w:w="4230" w:type="dxa"/>
            <w:tcMar>
              <w:top w:w="0" w:type="dxa"/>
              <w:left w:w="108" w:type="dxa"/>
              <w:bottom w:w="0" w:type="dxa"/>
              <w:right w:w="108" w:type="dxa"/>
            </w:tcMar>
          </w:tcPr>
          <w:p w:rsidR="00781A60" w:rsidRPr="00A75DF9" w:rsidRDefault="00781A60" w:rsidP="00554A35">
            <w:pPr>
              <w:rPr>
                <w:rFonts w:cs="Tahoma"/>
                <w:szCs w:val="18"/>
              </w:rPr>
            </w:pPr>
            <w:r w:rsidRPr="00A75DF9">
              <w:rPr>
                <w:rFonts w:cs="Tahoma"/>
                <w:szCs w:val="18"/>
              </w:rPr>
              <w:t>Microsoft Dynamics CRM Workgroup Server 2011</w:t>
            </w:r>
          </w:p>
        </w:tc>
        <w:tc>
          <w:tcPr>
            <w:tcW w:w="4230" w:type="dxa"/>
            <w:tcMar>
              <w:top w:w="0" w:type="dxa"/>
              <w:left w:w="108" w:type="dxa"/>
              <w:bottom w:w="0" w:type="dxa"/>
              <w:right w:w="108" w:type="dxa"/>
            </w:tcMar>
          </w:tcPr>
          <w:p w:rsidR="00781A60" w:rsidRPr="00A75DF9" w:rsidRDefault="00781A60" w:rsidP="00554A35">
            <w:pPr>
              <w:rPr>
                <w:rFonts w:cs="Tahoma"/>
                <w:szCs w:val="18"/>
              </w:rPr>
            </w:pPr>
            <w:r w:rsidRPr="00A75DF9">
              <w:rPr>
                <w:rFonts w:cs="Tahoma"/>
                <w:szCs w:val="18"/>
              </w:rPr>
              <w:t>Microsoft Dynamics CRM Server 2011</w:t>
            </w:r>
          </w:p>
        </w:tc>
      </w:tr>
      <w:tr w:rsidR="003573CD" w:rsidRPr="00A75DF9" w:rsidTr="001E3F7D">
        <w:tc>
          <w:tcPr>
            <w:tcW w:w="4230" w:type="dxa"/>
            <w:tcMar>
              <w:top w:w="0" w:type="dxa"/>
              <w:left w:w="108" w:type="dxa"/>
              <w:bottom w:w="0" w:type="dxa"/>
              <w:right w:w="108" w:type="dxa"/>
            </w:tcMar>
            <w:hideMark/>
          </w:tcPr>
          <w:p w:rsidR="003573CD" w:rsidRPr="00A75DF9" w:rsidRDefault="003573CD" w:rsidP="00554A35">
            <w:pPr>
              <w:rPr>
                <w:rFonts w:eastAsia="Calibri" w:cs="Tahoma"/>
                <w:szCs w:val="18"/>
              </w:rPr>
            </w:pPr>
            <w:r w:rsidRPr="00A75DF9">
              <w:rPr>
                <w:rFonts w:cs="Tahoma"/>
                <w:szCs w:val="18"/>
              </w:rPr>
              <w:t xml:space="preserve">Office Standard </w:t>
            </w:r>
          </w:p>
        </w:tc>
        <w:tc>
          <w:tcPr>
            <w:tcW w:w="4230" w:type="dxa"/>
            <w:tcMar>
              <w:top w:w="0" w:type="dxa"/>
              <w:left w:w="108" w:type="dxa"/>
              <w:bottom w:w="0" w:type="dxa"/>
              <w:right w:w="108" w:type="dxa"/>
            </w:tcMar>
            <w:hideMark/>
          </w:tcPr>
          <w:p w:rsidR="003573CD" w:rsidRPr="00A75DF9" w:rsidRDefault="003573CD" w:rsidP="00554A35">
            <w:pPr>
              <w:rPr>
                <w:rFonts w:eastAsia="Calibri" w:cs="Tahoma"/>
                <w:szCs w:val="18"/>
                <w:lang w:val="fr-FR"/>
              </w:rPr>
            </w:pPr>
            <w:r w:rsidRPr="00A75DF9">
              <w:rPr>
                <w:rFonts w:cs="Tahoma"/>
                <w:szCs w:val="18"/>
              </w:rPr>
              <w:t xml:space="preserve">Office Professional Plus </w:t>
            </w:r>
          </w:p>
        </w:tc>
      </w:tr>
      <w:tr w:rsidR="003573CD" w:rsidRPr="00A75DF9" w:rsidTr="001E3F7D">
        <w:tc>
          <w:tcPr>
            <w:tcW w:w="4230" w:type="dxa"/>
            <w:tcMar>
              <w:top w:w="0" w:type="dxa"/>
              <w:left w:w="108" w:type="dxa"/>
              <w:bottom w:w="0" w:type="dxa"/>
              <w:right w:w="108" w:type="dxa"/>
            </w:tcMar>
            <w:hideMark/>
          </w:tcPr>
          <w:p w:rsidR="003573CD" w:rsidRPr="00A75DF9" w:rsidRDefault="003573CD" w:rsidP="00554A35">
            <w:pPr>
              <w:rPr>
                <w:rFonts w:eastAsia="Calibri" w:cs="Tahoma"/>
                <w:szCs w:val="18"/>
              </w:rPr>
            </w:pPr>
            <w:r w:rsidRPr="00A75DF9">
              <w:rPr>
                <w:rFonts w:cs="Tahoma"/>
                <w:szCs w:val="18"/>
              </w:rPr>
              <w:t>Professional Desktop</w:t>
            </w:r>
          </w:p>
        </w:tc>
        <w:tc>
          <w:tcPr>
            <w:tcW w:w="4230" w:type="dxa"/>
            <w:tcMar>
              <w:top w:w="0" w:type="dxa"/>
              <w:left w:w="108" w:type="dxa"/>
              <w:bottom w:w="0" w:type="dxa"/>
              <w:right w:w="108" w:type="dxa"/>
            </w:tcMar>
            <w:hideMark/>
          </w:tcPr>
          <w:p w:rsidR="003573CD" w:rsidRPr="00A75DF9" w:rsidRDefault="003573CD" w:rsidP="00554A35">
            <w:pPr>
              <w:rPr>
                <w:rFonts w:eastAsia="Calibri" w:cs="Tahoma"/>
                <w:szCs w:val="18"/>
              </w:rPr>
            </w:pPr>
            <w:r w:rsidRPr="00A75DF9">
              <w:rPr>
                <w:rFonts w:cs="Tahoma"/>
                <w:szCs w:val="18"/>
              </w:rPr>
              <w:t>Enterprise Desktop</w:t>
            </w:r>
          </w:p>
        </w:tc>
      </w:tr>
      <w:tr w:rsidR="008925CF" w:rsidRPr="00A75DF9" w:rsidTr="001E3F7D">
        <w:tc>
          <w:tcPr>
            <w:tcW w:w="4230" w:type="dxa"/>
            <w:tcMar>
              <w:top w:w="0" w:type="dxa"/>
              <w:left w:w="108" w:type="dxa"/>
              <w:bottom w:w="0" w:type="dxa"/>
              <w:right w:w="108" w:type="dxa"/>
            </w:tcMar>
            <w:hideMark/>
          </w:tcPr>
          <w:p w:rsidR="008925CF" w:rsidRPr="00A75DF9" w:rsidRDefault="008925CF" w:rsidP="008925CF">
            <w:pPr>
              <w:rPr>
                <w:rFonts w:cs="Tahoma"/>
                <w:color w:val="000000"/>
                <w:szCs w:val="18"/>
              </w:rPr>
            </w:pPr>
            <w:r w:rsidRPr="00A75DF9">
              <w:rPr>
                <w:rFonts w:cs="Tahoma"/>
                <w:color w:val="000000"/>
                <w:szCs w:val="18"/>
              </w:rPr>
              <w:t>Professional Desktop con Microsoft</w:t>
            </w:r>
            <w:bookmarkStart w:id="920" w:name="_Toc236810936"/>
            <w:r w:rsidRPr="00A75DF9">
              <w:rPr>
                <w:rFonts w:cs="Tahoma"/>
                <w:color w:val="000000"/>
                <w:szCs w:val="18"/>
              </w:rPr>
              <w:t xml:space="preserve"> Desktop Optimization Pack </w:t>
            </w:r>
            <w:bookmarkEnd w:id="920"/>
          </w:p>
        </w:tc>
        <w:tc>
          <w:tcPr>
            <w:tcW w:w="4230" w:type="dxa"/>
            <w:tcMar>
              <w:top w:w="0" w:type="dxa"/>
              <w:left w:w="108" w:type="dxa"/>
              <w:bottom w:w="0" w:type="dxa"/>
              <w:right w:w="108" w:type="dxa"/>
            </w:tcMar>
            <w:hideMark/>
          </w:tcPr>
          <w:p w:rsidR="008925CF" w:rsidRPr="00A75DF9" w:rsidRDefault="008925CF" w:rsidP="00554A35">
            <w:pPr>
              <w:rPr>
                <w:rFonts w:cs="Tahoma"/>
                <w:color w:val="000000"/>
                <w:szCs w:val="18"/>
              </w:rPr>
            </w:pPr>
            <w:r w:rsidRPr="00A75DF9">
              <w:rPr>
                <w:rFonts w:cs="Tahoma"/>
                <w:color w:val="000000"/>
                <w:szCs w:val="18"/>
              </w:rPr>
              <w:t>Enterprise Desktop con Microsoft Desktop Optimization Pack</w:t>
            </w:r>
          </w:p>
        </w:tc>
      </w:tr>
      <w:tr w:rsidR="009F254F" w:rsidRPr="00A75DF9" w:rsidTr="001E3F7D">
        <w:tc>
          <w:tcPr>
            <w:tcW w:w="4230" w:type="dxa"/>
            <w:tcMar>
              <w:top w:w="0" w:type="dxa"/>
              <w:left w:w="108" w:type="dxa"/>
              <w:bottom w:w="0" w:type="dxa"/>
              <w:right w:w="108" w:type="dxa"/>
            </w:tcMar>
            <w:hideMark/>
          </w:tcPr>
          <w:p w:rsidR="009F254F" w:rsidRPr="00A75DF9" w:rsidRDefault="009F254F" w:rsidP="00CA4488">
            <w:pPr>
              <w:rPr>
                <w:rFonts w:eastAsia="Calibri" w:cs="Tahoma"/>
                <w:color w:val="000000"/>
                <w:szCs w:val="18"/>
              </w:rPr>
            </w:pPr>
            <w:r w:rsidRPr="00A75DF9">
              <w:rPr>
                <w:rFonts w:cs="Tahoma"/>
                <w:color w:val="000000"/>
                <w:szCs w:val="18"/>
              </w:rPr>
              <w:t xml:space="preserve">Project Standard </w:t>
            </w:r>
          </w:p>
        </w:tc>
        <w:tc>
          <w:tcPr>
            <w:tcW w:w="4230" w:type="dxa"/>
            <w:tcMar>
              <w:top w:w="0" w:type="dxa"/>
              <w:left w:w="108" w:type="dxa"/>
              <w:bottom w:w="0" w:type="dxa"/>
              <w:right w:w="108" w:type="dxa"/>
            </w:tcMar>
            <w:hideMark/>
          </w:tcPr>
          <w:p w:rsidR="009F254F" w:rsidRPr="00A75DF9" w:rsidRDefault="009F254F" w:rsidP="00CA4488">
            <w:pPr>
              <w:rPr>
                <w:rFonts w:eastAsia="Calibri" w:cs="Tahoma"/>
                <w:color w:val="000000"/>
                <w:szCs w:val="18"/>
              </w:rPr>
            </w:pPr>
            <w:r w:rsidRPr="00A75DF9">
              <w:rPr>
                <w:rFonts w:cs="Tahoma"/>
                <w:color w:val="000000"/>
                <w:szCs w:val="18"/>
              </w:rPr>
              <w:t xml:space="preserve">Project Professional </w:t>
            </w:r>
          </w:p>
        </w:tc>
      </w:tr>
      <w:tr w:rsidR="003573CD" w:rsidRPr="00A75DF9" w:rsidTr="001E3F7D">
        <w:tc>
          <w:tcPr>
            <w:tcW w:w="4230" w:type="dxa"/>
            <w:tcMar>
              <w:top w:w="0" w:type="dxa"/>
              <w:left w:w="108" w:type="dxa"/>
              <w:bottom w:w="0" w:type="dxa"/>
              <w:right w:w="108" w:type="dxa"/>
            </w:tcMar>
            <w:hideMark/>
          </w:tcPr>
          <w:p w:rsidR="003573CD" w:rsidRPr="00A75DF9" w:rsidRDefault="009D5D7B" w:rsidP="00554A35">
            <w:pPr>
              <w:rPr>
                <w:rFonts w:eastAsia="Calibri" w:cs="Tahoma"/>
                <w:color w:val="000000"/>
                <w:szCs w:val="18"/>
              </w:rPr>
            </w:pPr>
            <w:r w:rsidRPr="00A75DF9">
              <w:rPr>
                <w:rFonts w:cs="Tahoma"/>
                <w:color w:val="000000"/>
                <w:szCs w:val="18"/>
              </w:rPr>
              <w:t>SQL Server</w:t>
            </w:r>
            <w:r w:rsidR="003573CD" w:rsidRPr="00A75DF9">
              <w:rPr>
                <w:rFonts w:cs="Tahoma"/>
                <w:color w:val="000000"/>
                <w:szCs w:val="18"/>
              </w:rPr>
              <w:t>™ Standard Core</w:t>
            </w:r>
          </w:p>
        </w:tc>
        <w:tc>
          <w:tcPr>
            <w:tcW w:w="4230" w:type="dxa"/>
            <w:tcMar>
              <w:top w:w="0" w:type="dxa"/>
              <w:left w:w="108" w:type="dxa"/>
              <w:bottom w:w="0" w:type="dxa"/>
              <w:right w:w="108" w:type="dxa"/>
            </w:tcMar>
            <w:hideMark/>
          </w:tcPr>
          <w:p w:rsidR="003573CD" w:rsidRPr="00A75DF9" w:rsidRDefault="003573CD" w:rsidP="009D5D7B">
            <w:pPr>
              <w:rPr>
                <w:rFonts w:eastAsia="Calibri" w:cs="Tahoma"/>
                <w:color w:val="000000"/>
                <w:szCs w:val="18"/>
              </w:rPr>
            </w:pPr>
            <w:r w:rsidRPr="00A75DF9">
              <w:rPr>
                <w:rFonts w:cs="Tahoma"/>
                <w:color w:val="000000"/>
                <w:szCs w:val="18"/>
              </w:rPr>
              <w:t>SQL Server™ Enterprise Core</w:t>
            </w:r>
          </w:p>
        </w:tc>
      </w:tr>
      <w:tr w:rsidR="00270F92" w:rsidRPr="00A75DF9" w:rsidTr="001E3F7D">
        <w:tc>
          <w:tcPr>
            <w:tcW w:w="4230" w:type="dxa"/>
            <w:tcMar>
              <w:top w:w="0" w:type="dxa"/>
              <w:left w:w="108" w:type="dxa"/>
              <w:bottom w:w="0" w:type="dxa"/>
              <w:right w:w="108" w:type="dxa"/>
            </w:tcMar>
            <w:hideMark/>
          </w:tcPr>
          <w:p w:rsidR="00270F92" w:rsidRPr="00A75DF9" w:rsidRDefault="009D5D7B" w:rsidP="00270F92">
            <w:pPr>
              <w:rPr>
                <w:rFonts w:eastAsia="Calibri" w:cs="Tahoma"/>
                <w:szCs w:val="18"/>
              </w:rPr>
            </w:pPr>
            <w:r w:rsidRPr="00A75DF9">
              <w:rPr>
                <w:rFonts w:cs="Tahoma"/>
                <w:szCs w:val="18"/>
              </w:rPr>
              <w:t>SQL Server</w:t>
            </w:r>
            <w:r w:rsidR="00270F92" w:rsidRPr="00A75DF9">
              <w:rPr>
                <w:rFonts w:cs="Tahoma"/>
                <w:szCs w:val="18"/>
              </w:rPr>
              <w:t xml:space="preserve">™ </w:t>
            </w:r>
            <w:r w:rsidR="00270F92" w:rsidRPr="00A75DF9">
              <w:rPr>
                <w:rFonts w:cs="Tahoma"/>
                <w:color w:val="000000"/>
                <w:szCs w:val="18"/>
              </w:rPr>
              <w:t>Standard</w:t>
            </w:r>
          </w:p>
        </w:tc>
        <w:tc>
          <w:tcPr>
            <w:tcW w:w="4230" w:type="dxa"/>
            <w:tcMar>
              <w:top w:w="0" w:type="dxa"/>
              <w:left w:w="108" w:type="dxa"/>
              <w:bottom w:w="0" w:type="dxa"/>
              <w:right w:w="108" w:type="dxa"/>
            </w:tcMar>
            <w:hideMark/>
          </w:tcPr>
          <w:p w:rsidR="00270F92" w:rsidRPr="00A75DF9" w:rsidRDefault="009D5D7B" w:rsidP="00BB516F">
            <w:pPr>
              <w:rPr>
                <w:rFonts w:eastAsia="Calibri" w:cs="Tahoma"/>
                <w:szCs w:val="18"/>
              </w:rPr>
            </w:pPr>
            <w:r w:rsidRPr="00A75DF9">
              <w:rPr>
                <w:rFonts w:cs="Tahoma"/>
                <w:szCs w:val="18"/>
              </w:rPr>
              <w:t>SQL Server</w:t>
            </w:r>
            <w:r w:rsidR="00270F92" w:rsidRPr="00A75DF9">
              <w:rPr>
                <w:rFonts w:cs="Tahoma"/>
                <w:szCs w:val="18"/>
              </w:rPr>
              <w:t>™ Business Intelligence</w:t>
            </w:r>
          </w:p>
        </w:tc>
      </w:tr>
      <w:tr w:rsidR="003573CD" w:rsidRPr="00A75DF9" w:rsidTr="001E3F7D">
        <w:tc>
          <w:tcPr>
            <w:tcW w:w="4230" w:type="dxa"/>
            <w:tcMar>
              <w:top w:w="0" w:type="dxa"/>
              <w:left w:w="108" w:type="dxa"/>
              <w:bottom w:w="0" w:type="dxa"/>
              <w:right w:w="108" w:type="dxa"/>
            </w:tcMar>
            <w:hideMark/>
          </w:tcPr>
          <w:p w:rsidR="003573CD" w:rsidRPr="00A75DF9" w:rsidRDefault="00D04131" w:rsidP="00554A35">
            <w:pPr>
              <w:rPr>
                <w:rFonts w:eastAsia="Calibri" w:cs="Tahoma"/>
                <w:szCs w:val="18"/>
              </w:rPr>
            </w:pPr>
            <w:r w:rsidRPr="00A75DF9">
              <w:rPr>
                <w:rFonts w:cs="Tahoma"/>
                <w:szCs w:val="18"/>
              </w:rPr>
              <w:t>System Center 2012 Standard</w:t>
            </w:r>
          </w:p>
        </w:tc>
        <w:tc>
          <w:tcPr>
            <w:tcW w:w="4230" w:type="dxa"/>
            <w:tcMar>
              <w:top w:w="0" w:type="dxa"/>
              <w:left w:w="108" w:type="dxa"/>
              <w:bottom w:w="0" w:type="dxa"/>
              <w:right w:w="108" w:type="dxa"/>
            </w:tcMar>
            <w:hideMark/>
          </w:tcPr>
          <w:p w:rsidR="003573CD" w:rsidRPr="00A75DF9" w:rsidRDefault="00D04131" w:rsidP="00554A35">
            <w:pPr>
              <w:rPr>
                <w:rFonts w:eastAsia="Calibri" w:cs="Tahoma"/>
                <w:szCs w:val="18"/>
              </w:rPr>
            </w:pPr>
            <w:r w:rsidRPr="00A75DF9">
              <w:rPr>
                <w:rFonts w:cs="Tahoma"/>
                <w:szCs w:val="18"/>
              </w:rPr>
              <w:t>System Center 2012 Datacenter</w:t>
            </w:r>
          </w:p>
        </w:tc>
      </w:tr>
      <w:tr w:rsidR="009F254F" w:rsidRPr="00A75DF9" w:rsidTr="001E3F7D">
        <w:tc>
          <w:tcPr>
            <w:tcW w:w="4230" w:type="dxa"/>
            <w:tcMar>
              <w:top w:w="0" w:type="dxa"/>
              <w:left w:w="108" w:type="dxa"/>
              <w:bottom w:w="0" w:type="dxa"/>
              <w:right w:w="108" w:type="dxa"/>
            </w:tcMar>
            <w:hideMark/>
          </w:tcPr>
          <w:p w:rsidR="009F254F" w:rsidRPr="00A75DF9" w:rsidRDefault="009F254F" w:rsidP="00CA4488">
            <w:pPr>
              <w:rPr>
                <w:rFonts w:eastAsia="Calibri" w:cs="Tahoma"/>
                <w:color w:val="000000"/>
                <w:szCs w:val="18"/>
              </w:rPr>
            </w:pPr>
            <w:r w:rsidRPr="00A75DF9">
              <w:rPr>
                <w:rFonts w:cs="Tahoma"/>
                <w:color w:val="000000"/>
                <w:szCs w:val="18"/>
              </w:rPr>
              <w:t>Visio</w:t>
            </w:r>
            <w:r w:rsidR="009D5D7B" w:rsidRPr="00A75DF9">
              <w:rPr>
                <w:rFonts w:cs="Tahoma"/>
                <w:color w:val="000000"/>
                <w:szCs w:val="18"/>
                <w:vertAlign w:val="superscript"/>
              </w:rPr>
              <w:t>®</w:t>
            </w:r>
            <w:r w:rsidRPr="00A75DF9">
              <w:rPr>
                <w:rFonts w:cs="Tahoma"/>
                <w:color w:val="000000"/>
                <w:szCs w:val="18"/>
              </w:rPr>
              <w:t xml:space="preserve"> Standard</w:t>
            </w:r>
          </w:p>
        </w:tc>
        <w:tc>
          <w:tcPr>
            <w:tcW w:w="4230" w:type="dxa"/>
            <w:tcMar>
              <w:top w:w="0" w:type="dxa"/>
              <w:left w:w="108" w:type="dxa"/>
              <w:bottom w:w="0" w:type="dxa"/>
              <w:right w:w="108" w:type="dxa"/>
            </w:tcMar>
            <w:hideMark/>
          </w:tcPr>
          <w:p w:rsidR="009F254F" w:rsidRPr="00A75DF9" w:rsidRDefault="009F254F" w:rsidP="00CA4488">
            <w:pPr>
              <w:rPr>
                <w:rFonts w:eastAsia="Calibri" w:cs="Tahoma"/>
                <w:color w:val="000000"/>
                <w:szCs w:val="18"/>
              </w:rPr>
            </w:pPr>
            <w:r w:rsidRPr="00A75DF9">
              <w:rPr>
                <w:rFonts w:cs="Tahoma"/>
                <w:color w:val="000000"/>
                <w:szCs w:val="18"/>
              </w:rPr>
              <w:t xml:space="preserve"> Visio</w:t>
            </w:r>
            <w:r w:rsidR="009D5D7B" w:rsidRPr="00A75DF9">
              <w:rPr>
                <w:rFonts w:cs="Tahoma"/>
                <w:color w:val="000000"/>
                <w:szCs w:val="18"/>
                <w:vertAlign w:val="superscript"/>
              </w:rPr>
              <w:t>®</w:t>
            </w:r>
            <w:r w:rsidRPr="00A75DF9">
              <w:rPr>
                <w:rFonts w:cs="Tahoma"/>
                <w:color w:val="000000"/>
                <w:szCs w:val="18"/>
              </w:rPr>
              <w:t xml:space="preserve"> Professional</w:t>
            </w:r>
          </w:p>
        </w:tc>
      </w:tr>
      <w:tr w:rsidR="009F254F" w:rsidRPr="00A75DF9" w:rsidTr="001E3F7D">
        <w:tc>
          <w:tcPr>
            <w:tcW w:w="4230" w:type="dxa"/>
            <w:tcMar>
              <w:top w:w="0" w:type="dxa"/>
              <w:left w:w="108" w:type="dxa"/>
              <w:bottom w:w="0" w:type="dxa"/>
              <w:right w:w="108" w:type="dxa"/>
            </w:tcMar>
            <w:hideMark/>
          </w:tcPr>
          <w:p w:rsidR="009F254F" w:rsidRPr="00A75DF9" w:rsidRDefault="009F254F" w:rsidP="00CA4488">
            <w:pPr>
              <w:rPr>
                <w:rFonts w:eastAsia="Calibri" w:cs="Tahoma"/>
                <w:color w:val="000000"/>
                <w:szCs w:val="18"/>
              </w:rPr>
            </w:pPr>
            <w:r w:rsidRPr="00A75DF9">
              <w:rPr>
                <w:rFonts w:cs="Tahoma"/>
                <w:color w:val="000000"/>
                <w:szCs w:val="18"/>
              </w:rPr>
              <w:t>Visual Studio Professional con MSDN</w:t>
            </w:r>
          </w:p>
        </w:tc>
        <w:tc>
          <w:tcPr>
            <w:tcW w:w="4230" w:type="dxa"/>
            <w:tcMar>
              <w:top w:w="0" w:type="dxa"/>
              <w:left w:w="108" w:type="dxa"/>
              <w:bottom w:w="0" w:type="dxa"/>
              <w:right w:w="108" w:type="dxa"/>
            </w:tcMar>
            <w:hideMark/>
          </w:tcPr>
          <w:p w:rsidR="009F254F" w:rsidRPr="00A75DF9" w:rsidRDefault="009F254F" w:rsidP="00CA4488">
            <w:pPr>
              <w:rPr>
                <w:rFonts w:eastAsia="Calibri" w:cs="Tahoma"/>
                <w:color w:val="000000"/>
                <w:szCs w:val="18"/>
              </w:rPr>
            </w:pPr>
            <w:r w:rsidRPr="00A75DF9">
              <w:rPr>
                <w:rFonts w:cs="Tahoma"/>
                <w:color w:val="000000"/>
                <w:szCs w:val="18"/>
              </w:rPr>
              <w:t>Visual Studio Premium con MSDN</w:t>
            </w:r>
          </w:p>
        </w:tc>
      </w:tr>
      <w:tr w:rsidR="009F254F" w:rsidRPr="00A75DF9" w:rsidTr="001E3F7D">
        <w:tc>
          <w:tcPr>
            <w:tcW w:w="4230" w:type="dxa"/>
            <w:tcMar>
              <w:top w:w="0" w:type="dxa"/>
              <w:left w:w="108" w:type="dxa"/>
              <w:bottom w:w="0" w:type="dxa"/>
              <w:right w:w="108" w:type="dxa"/>
            </w:tcMar>
            <w:hideMark/>
          </w:tcPr>
          <w:p w:rsidR="009F254F" w:rsidRPr="00A75DF9" w:rsidRDefault="009F254F" w:rsidP="00CA4488">
            <w:pPr>
              <w:rPr>
                <w:rFonts w:eastAsia="Calibri" w:cs="Tahoma"/>
                <w:szCs w:val="18"/>
              </w:rPr>
            </w:pPr>
            <w:r w:rsidRPr="00A75DF9">
              <w:rPr>
                <w:rFonts w:cs="Tahoma"/>
                <w:szCs w:val="18"/>
              </w:rPr>
              <w:t>Visual Studio Premium con MSDN</w:t>
            </w:r>
          </w:p>
        </w:tc>
        <w:tc>
          <w:tcPr>
            <w:tcW w:w="4230" w:type="dxa"/>
            <w:tcMar>
              <w:top w:w="0" w:type="dxa"/>
              <w:left w:w="108" w:type="dxa"/>
              <w:bottom w:w="0" w:type="dxa"/>
              <w:right w:w="108" w:type="dxa"/>
            </w:tcMar>
            <w:hideMark/>
          </w:tcPr>
          <w:p w:rsidR="009F254F" w:rsidRPr="00A75DF9" w:rsidRDefault="009F254F" w:rsidP="00CA4488">
            <w:pPr>
              <w:rPr>
                <w:rFonts w:eastAsia="Calibri" w:cs="Tahoma"/>
                <w:szCs w:val="18"/>
              </w:rPr>
            </w:pPr>
            <w:r w:rsidRPr="00A75DF9">
              <w:rPr>
                <w:rFonts w:cs="Tahoma"/>
                <w:szCs w:val="18"/>
              </w:rPr>
              <w:t>Visual Studio Ultimate con MSDN</w:t>
            </w:r>
          </w:p>
        </w:tc>
      </w:tr>
      <w:tr w:rsidR="009F254F" w:rsidRPr="00A75DF9" w:rsidTr="001E3F7D">
        <w:tc>
          <w:tcPr>
            <w:tcW w:w="4230" w:type="dxa"/>
            <w:tcMar>
              <w:top w:w="0" w:type="dxa"/>
              <w:left w:w="108" w:type="dxa"/>
              <w:bottom w:w="0" w:type="dxa"/>
              <w:right w:w="108" w:type="dxa"/>
            </w:tcMar>
            <w:hideMark/>
          </w:tcPr>
          <w:p w:rsidR="009F254F" w:rsidRPr="00A75DF9" w:rsidRDefault="009F254F" w:rsidP="00CA4488">
            <w:pPr>
              <w:rPr>
                <w:rFonts w:eastAsia="Calibri" w:cs="Tahoma"/>
                <w:szCs w:val="18"/>
              </w:rPr>
            </w:pPr>
            <w:r w:rsidRPr="00A75DF9">
              <w:rPr>
                <w:rFonts w:cs="Tahoma"/>
                <w:szCs w:val="18"/>
              </w:rPr>
              <w:t>Visual Studio Test Professional con MSDN</w:t>
            </w:r>
          </w:p>
        </w:tc>
        <w:tc>
          <w:tcPr>
            <w:tcW w:w="4230" w:type="dxa"/>
            <w:tcMar>
              <w:top w:w="0" w:type="dxa"/>
              <w:left w:w="108" w:type="dxa"/>
              <w:bottom w:w="0" w:type="dxa"/>
              <w:right w:w="108" w:type="dxa"/>
            </w:tcMar>
            <w:hideMark/>
          </w:tcPr>
          <w:p w:rsidR="009F254F" w:rsidRPr="00A75DF9" w:rsidRDefault="009F254F" w:rsidP="007E710C">
            <w:pPr>
              <w:rPr>
                <w:rFonts w:eastAsia="Calibri" w:cs="Tahoma"/>
                <w:szCs w:val="18"/>
              </w:rPr>
            </w:pPr>
            <w:r w:rsidRPr="00A75DF9">
              <w:rPr>
                <w:rFonts w:cs="Tahoma"/>
                <w:szCs w:val="18"/>
              </w:rPr>
              <w:t>Visual Studio Premium con MSDN</w:t>
            </w:r>
          </w:p>
        </w:tc>
      </w:tr>
      <w:tr w:rsidR="003573CD" w:rsidRPr="00A75DF9" w:rsidTr="001E3F7D">
        <w:tc>
          <w:tcPr>
            <w:tcW w:w="4230" w:type="dxa"/>
            <w:tcMar>
              <w:top w:w="0" w:type="dxa"/>
              <w:left w:w="108" w:type="dxa"/>
              <w:bottom w:w="0" w:type="dxa"/>
              <w:right w:w="108" w:type="dxa"/>
            </w:tcMar>
            <w:hideMark/>
          </w:tcPr>
          <w:p w:rsidR="003573CD" w:rsidRPr="00A75DF9" w:rsidRDefault="003573CD" w:rsidP="00554A35">
            <w:pPr>
              <w:rPr>
                <w:rFonts w:eastAsia="Calibri" w:cs="Tahoma"/>
                <w:szCs w:val="18"/>
              </w:rPr>
            </w:pPr>
            <w:r w:rsidRPr="00A75DF9">
              <w:rPr>
                <w:rFonts w:cs="Tahoma"/>
                <w:szCs w:val="18"/>
              </w:rPr>
              <w:t>Windows</w:t>
            </w:r>
            <w:r w:rsidR="009D5D7B" w:rsidRPr="00A75DF9">
              <w:rPr>
                <w:rFonts w:cs="Tahoma"/>
                <w:szCs w:val="18"/>
                <w:vertAlign w:val="superscript"/>
              </w:rPr>
              <w:t>®</w:t>
            </w:r>
            <w:r w:rsidRPr="00A75DF9">
              <w:rPr>
                <w:rFonts w:cs="Tahoma"/>
                <w:szCs w:val="18"/>
              </w:rPr>
              <w:t xml:space="preserve"> Server™ Standard</w:t>
            </w:r>
          </w:p>
        </w:tc>
        <w:tc>
          <w:tcPr>
            <w:tcW w:w="4230" w:type="dxa"/>
            <w:tcMar>
              <w:top w:w="0" w:type="dxa"/>
              <w:left w:w="108" w:type="dxa"/>
              <w:bottom w:w="0" w:type="dxa"/>
              <w:right w:w="108" w:type="dxa"/>
            </w:tcMar>
            <w:hideMark/>
          </w:tcPr>
          <w:p w:rsidR="003573CD" w:rsidRPr="00A75DF9" w:rsidRDefault="003573CD" w:rsidP="00554A35">
            <w:pPr>
              <w:rPr>
                <w:rFonts w:eastAsia="Calibri" w:cs="Tahoma"/>
                <w:szCs w:val="18"/>
              </w:rPr>
            </w:pPr>
            <w:r w:rsidRPr="00A75DF9">
              <w:rPr>
                <w:rFonts w:cs="Tahoma"/>
                <w:szCs w:val="18"/>
              </w:rPr>
              <w:t>Windows</w:t>
            </w:r>
            <w:r w:rsidR="009D5D7B" w:rsidRPr="00A75DF9">
              <w:rPr>
                <w:rFonts w:cs="Tahoma"/>
                <w:szCs w:val="18"/>
                <w:vertAlign w:val="superscript"/>
              </w:rPr>
              <w:t>®</w:t>
            </w:r>
            <w:r w:rsidRPr="00A75DF9">
              <w:rPr>
                <w:rFonts w:cs="Tahoma"/>
                <w:szCs w:val="18"/>
              </w:rPr>
              <w:t xml:space="preserve"> Server™ Datacenter</w:t>
            </w:r>
          </w:p>
        </w:tc>
      </w:tr>
    </w:tbl>
    <w:p w:rsidR="003573CD" w:rsidRPr="00380E04" w:rsidRDefault="003573CD" w:rsidP="00AF1D88">
      <w:pPr>
        <w:pStyle w:val="AppendixBodyText"/>
        <w:rPr>
          <w:rFonts w:ascii="Tahoma" w:hAnsi="Tahoma" w:cs="Tahoma"/>
          <w:sz w:val="16"/>
          <w:szCs w:val="16"/>
        </w:rPr>
      </w:pPr>
      <w:r w:rsidRPr="00380E04">
        <w:rPr>
          <w:rFonts w:ascii="Tahoma" w:hAnsi="Tahoma" w:cs="Tahoma"/>
          <w:b/>
          <w:i/>
          <w:sz w:val="16"/>
          <w:szCs w:val="16"/>
        </w:rPr>
        <w:t>*Nota:</w:t>
      </w:r>
      <w:r w:rsidRPr="00380E04">
        <w:rPr>
          <w:rFonts w:ascii="Tahoma" w:hAnsi="Tahoma" w:cs="Tahoma"/>
          <w:i/>
          <w:sz w:val="16"/>
          <w:szCs w:val="16"/>
        </w:rPr>
        <w:t xml:space="preserve"> La lista dei prodotti per cui sono disponibili Licenze Step-up è soggetta a modifiche.</w:t>
      </w:r>
    </w:p>
    <w:p w:rsidR="003573CD" w:rsidRPr="00A75DF9" w:rsidRDefault="003573CD">
      <w:pPr>
        <w:rPr>
          <w:rFonts w:cs="Tahoma"/>
        </w:rPr>
      </w:pPr>
    </w:p>
    <w:p w:rsidR="00023FE7" w:rsidRPr="00A75DF9" w:rsidRDefault="00023FE7">
      <w:pPr>
        <w:pStyle w:val="AppendixBodyText"/>
        <w:ind w:left="1710" w:hanging="1260"/>
        <w:rPr>
          <w:rFonts w:ascii="Tahoma" w:hAnsi="Tahoma" w:cs="Tahoma"/>
        </w:rPr>
      </w:pPr>
      <w:r w:rsidRPr="00A75DF9">
        <w:rPr>
          <w:rFonts w:ascii="Tahoma" w:hAnsi="Tahoma" w:cs="Tahoma"/>
          <w:b/>
          <w:i/>
        </w:rPr>
        <w:t xml:space="preserve"> </w:t>
      </w:r>
    </w:p>
    <w:p w:rsidR="00023FE7" w:rsidRPr="00A75DF9" w:rsidRDefault="00CA395A" w:rsidP="00380E04">
      <w:pPr>
        <w:pStyle w:val="Heading1"/>
        <w:spacing w:before="0"/>
        <w:rPr>
          <w:rFonts w:cs="Tahoma"/>
        </w:rPr>
      </w:pPr>
      <w:r w:rsidRPr="00A75DF9">
        <w:rPr>
          <w:rFonts w:cs="Tahoma"/>
        </w:rPr>
        <w:br w:type="page"/>
      </w:r>
      <w:bookmarkStart w:id="921" w:name="_Toc317591256"/>
      <w:bookmarkStart w:id="922" w:name="_Toc336338247"/>
      <w:bookmarkStart w:id="923" w:name="_Toc368310238"/>
      <w:r w:rsidRPr="00A75DF9">
        <w:rPr>
          <w:rFonts w:cs="Tahoma"/>
        </w:rPr>
        <w:lastRenderedPageBreak/>
        <w:t>ARTICOLO 8 - Servizi</w:t>
      </w:r>
      <w:bookmarkEnd w:id="921"/>
      <w:bookmarkEnd w:id="922"/>
      <w:bookmarkEnd w:id="923"/>
    </w:p>
    <w:p w:rsidR="00023FE7" w:rsidRPr="00A75DF9" w:rsidRDefault="00023FE7">
      <w:pPr>
        <w:rPr>
          <w:rFonts w:cs="Tahoma"/>
        </w:rPr>
      </w:pPr>
    </w:p>
    <w:p w:rsidR="00DD7F8E" w:rsidRPr="00A75DF9" w:rsidRDefault="00DD7F8E" w:rsidP="00607FE8">
      <w:pPr>
        <w:jc w:val="both"/>
        <w:rPr>
          <w:rFonts w:cs="Tahoma"/>
        </w:rPr>
      </w:pPr>
      <w:r w:rsidRPr="00A75DF9">
        <w:rPr>
          <w:rFonts w:eastAsia="Times New Roman" w:cs="Tahoma"/>
          <w:szCs w:val="20"/>
        </w:rPr>
        <w:t>Il diritto di utilizzo dei Servizi acquistati dalla presente Lista dei Prodotti da parte della società è disciplinato (1) dal Contratto Multilicenza della società e (2) da qualunque contratto per i Servizi Microsoft di livello master applicabile alla società all</w:t>
      </w:r>
      <w:r w:rsidR="00F2643E">
        <w:rPr>
          <w:rFonts w:eastAsia="Times New Roman" w:cs="Tahoma"/>
          <w:szCs w:val="20"/>
        </w:rPr>
        <w:t>’</w:t>
      </w:r>
      <w:r w:rsidRPr="00A75DF9">
        <w:rPr>
          <w:rFonts w:eastAsia="Times New Roman" w:cs="Tahoma"/>
          <w:szCs w:val="20"/>
        </w:rPr>
        <w:t>epoca dell</w:t>
      </w:r>
      <w:r w:rsidR="00F2643E">
        <w:rPr>
          <w:rFonts w:eastAsia="Times New Roman" w:cs="Tahoma"/>
          <w:szCs w:val="20"/>
        </w:rPr>
        <w:t>’</w:t>
      </w:r>
      <w:r w:rsidRPr="00A75DF9">
        <w:rPr>
          <w:rFonts w:eastAsia="Times New Roman" w:cs="Tahoma"/>
          <w:szCs w:val="20"/>
        </w:rPr>
        <w:t>acquisto. Nell</w:t>
      </w:r>
      <w:r w:rsidR="00F2643E">
        <w:rPr>
          <w:rFonts w:eastAsia="Times New Roman" w:cs="Tahoma"/>
          <w:szCs w:val="20"/>
        </w:rPr>
        <w:t>’</w:t>
      </w:r>
      <w:r w:rsidRPr="00A75DF9">
        <w:rPr>
          <w:rFonts w:eastAsia="Times New Roman" w:cs="Tahoma"/>
          <w:szCs w:val="20"/>
        </w:rPr>
        <w:t>eventualità di discrepanze, il contratto più aggiornato relativo ai Servizi avrà la priorità.</w:t>
      </w:r>
      <w:r w:rsidR="009D3B41" w:rsidRPr="00A75DF9">
        <w:rPr>
          <w:rFonts w:eastAsia="Times New Roman" w:cs="Tahoma"/>
          <w:szCs w:val="20"/>
        </w:rPr>
        <w:t xml:space="preserve"> </w:t>
      </w:r>
      <w:r w:rsidRPr="00A75DF9">
        <w:rPr>
          <w:rFonts w:cs="Tahoma"/>
          <w:color w:val="000000"/>
          <w:szCs w:val="18"/>
        </w:rPr>
        <w:t>Se il contratto Volume License o le condizioni dei Servizi di livello master della società non contengono disposizioni relative alla Titolarità dei Servizi e alla lingua della Licenza, si applicheranno i Diritti sull</w:t>
      </w:r>
      <w:r w:rsidR="00F2643E">
        <w:rPr>
          <w:rFonts w:cs="Tahoma"/>
          <w:color w:val="000000"/>
          <w:szCs w:val="18"/>
        </w:rPr>
        <w:t>’</w:t>
      </w:r>
      <w:r w:rsidRPr="00A75DF9">
        <w:rPr>
          <w:rFonts w:cs="Tahoma"/>
          <w:color w:val="000000"/>
          <w:szCs w:val="18"/>
        </w:rPr>
        <w:t>utilizzo, di titolarità e di licenza definiti nelle Condizioni di Servizio Aggiuntive riportate di seguito.</w:t>
      </w:r>
      <w:r w:rsidR="009D3B41" w:rsidRPr="00A75DF9">
        <w:rPr>
          <w:rFonts w:cs="Tahoma"/>
          <w:color w:val="000000"/>
          <w:szCs w:val="18"/>
        </w:rPr>
        <w:t xml:space="preserve"> </w:t>
      </w:r>
      <w:r w:rsidRPr="00A75DF9">
        <w:rPr>
          <w:rFonts w:eastAsia="Times New Roman" w:cs="Tahoma"/>
          <w:szCs w:val="20"/>
        </w:rPr>
        <w:t>Qualora la società non abbia stipulato con Microsoft un contratto per i Servizi di livello master, si applicheranno le Condizioni di Servizio Aggiuntive riportate di seguito.</w:t>
      </w:r>
    </w:p>
    <w:p w:rsidR="00DD7F8E" w:rsidRPr="00A75DF9" w:rsidRDefault="00DD7F8E" w:rsidP="00607FE8">
      <w:pPr>
        <w:jc w:val="both"/>
        <w:rPr>
          <w:rFonts w:cs="Tahoma"/>
        </w:rPr>
      </w:pPr>
    </w:p>
    <w:p w:rsidR="00DD7F8E" w:rsidRPr="00A75DF9" w:rsidRDefault="00DD7F8E" w:rsidP="00607FE8">
      <w:pPr>
        <w:spacing w:after="75"/>
        <w:rPr>
          <w:rFonts w:cs="Tahoma"/>
        </w:rPr>
      </w:pPr>
      <w:r w:rsidRPr="00A75DF9">
        <w:rPr>
          <w:rFonts w:eastAsia="Times New Roman" w:cs="Tahoma"/>
          <w:szCs w:val="20"/>
        </w:rPr>
        <w:t xml:space="preserve">Una descrizione dettagliata dei Servizi che le società possono acquistare è fornita nelle sezioni seguenti. </w:t>
      </w:r>
    </w:p>
    <w:p w:rsidR="00DD7F8E" w:rsidRPr="00A75DF9" w:rsidRDefault="00DD7F8E" w:rsidP="00607FE8">
      <w:pPr>
        <w:spacing w:after="75"/>
        <w:rPr>
          <w:rFonts w:cs="Tahoma"/>
        </w:rPr>
      </w:pPr>
      <w:r w:rsidRPr="00A75DF9">
        <w:rPr>
          <w:rFonts w:eastAsia="Times New Roman" w:cs="Tahoma"/>
          <w:szCs w:val="20"/>
        </w:rPr>
        <w:t>La disponibilità delle offerte seguenti varia in base alla regione e al Programma per Contratti Multilicenza. Alcune offerte potrebbero non essere disponibili per gli Enti Pubblici con determinate eccezioni limitate in merito a progetti pilota. Le società dovranno contattare il proprio rivenditore o l</w:t>
      </w:r>
      <w:r w:rsidR="00F2643E">
        <w:rPr>
          <w:rFonts w:eastAsia="Times New Roman" w:cs="Tahoma"/>
          <w:szCs w:val="20"/>
        </w:rPr>
        <w:t>’</w:t>
      </w:r>
      <w:r w:rsidRPr="00A75DF9">
        <w:rPr>
          <w:rFonts w:eastAsia="Times New Roman" w:cs="Tahoma"/>
          <w:szCs w:val="20"/>
        </w:rPr>
        <w:t>Account Manager designato da Microsoft per richiedere informazioni relative alla disponibilità di una determinata offerta.</w:t>
      </w:r>
    </w:p>
    <w:p w:rsidR="00F42FB8" w:rsidRPr="00A75DF9" w:rsidRDefault="00F42FB8" w:rsidP="00DD7F8E">
      <w:pPr>
        <w:rPr>
          <w:rFonts w:cs="Tahoma"/>
        </w:rPr>
      </w:pPr>
    </w:p>
    <w:p w:rsidR="00DD7F8E" w:rsidRPr="00380E04" w:rsidRDefault="00DD7F8E" w:rsidP="00DD7F8E">
      <w:pPr>
        <w:rPr>
          <w:rFonts w:cs="Tahoma"/>
          <w:sz w:val="24"/>
          <w:szCs w:val="24"/>
        </w:rPr>
      </w:pPr>
      <w:r w:rsidRPr="00380E04">
        <w:rPr>
          <w:rFonts w:cs="Tahoma"/>
          <w:b/>
          <w:sz w:val="24"/>
          <w:szCs w:val="24"/>
        </w:rPr>
        <w:t>Offerte di Supporto Tecnico Microsoft Premier</w:t>
      </w:r>
    </w:p>
    <w:p w:rsidR="00DB2D1E" w:rsidRPr="00A75DF9" w:rsidRDefault="00DB2D1E" w:rsidP="00DC0853">
      <w:pPr>
        <w:rPr>
          <w:rFonts w:cs="Tahoma"/>
        </w:rPr>
      </w:pPr>
    </w:p>
    <w:tbl>
      <w:tblPr>
        <w:tblW w:w="9468"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68"/>
        <w:gridCol w:w="1580"/>
        <w:gridCol w:w="1444"/>
        <w:gridCol w:w="1687"/>
        <w:gridCol w:w="1589"/>
      </w:tblGrid>
      <w:tr w:rsidR="00DB2D1E" w:rsidRPr="00A75DF9" w:rsidTr="002A6416">
        <w:tc>
          <w:tcPr>
            <w:tcW w:w="3168" w:type="dxa"/>
            <w:shd w:val="clear" w:color="auto" w:fill="FABF8F"/>
            <w:vAlign w:val="center"/>
          </w:tcPr>
          <w:p w:rsidR="00DB2D1E" w:rsidRPr="00A75DF9" w:rsidRDefault="00DB2D1E" w:rsidP="00DE73D4">
            <w:pPr>
              <w:jc w:val="center"/>
              <w:rPr>
                <w:rFonts w:cs="Tahoma"/>
                <w:color w:val="000000"/>
                <w:szCs w:val="18"/>
              </w:rPr>
            </w:pPr>
            <w:r w:rsidRPr="00A75DF9">
              <w:rPr>
                <w:rFonts w:cs="Tahoma"/>
                <w:b/>
                <w:bCs/>
                <w:color w:val="000000"/>
                <w:sz w:val="20"/>
                <w:szCs w:val="18"/>
              </w:rPr>
              <w:t xml:space="preserve">Area </w:t>
            </w:r>
            <w:r w:rsidRPr="00A75DF9">
              <w:rPr>
                <w:rFonts w:cs="Tahoma"/>
                <w:b/>
                <w:bCs/>
                <w:color w:val="000000"/>
                <w:sz w:val="20"/>
                <w:szCs w:val="18"/>
                <w:vertAlign w:val="superscript"/>
              </w:rPr>
              <w:t>1</w:t>
            </w:r>
          </w:p>
        </w:tc>
        <w:tc>
          <w:tcPr>
            <w:tcW w:w="1580" w:type="dxa"/>
            <w:shd w:val="clear" w:color="auto" w:fill="FABF8F"/>
            <w:vAlign w:val="center"/>
          </w:tcPr>
          <w:p w:rsidR="00DB2D1E" w:rsidRPr="00A75DF9" w:rsidRDefault="00DB2D1E" w:rsidP="00DE73D4">
            <w:pPr>
              <w:jc w:val="center"/>
              <w:rPr>
                <w:rFonts w:cs="Tahoma"/>
                <w:color w:val="000000"/>
                <w:sz w:val="20"/>
                <w:szCs w:val="20"/>
              </w:rPr>
            </w:pPr>
            <w:r w:rsidRPr="00A75DF9">
              <w:rPr>
                <w:rFonts w:cs="Tahoma"/>
                <w:b/>
                <w:bCs/>
                <w:color w:val="000000"/>
                <w:sz w:val="20"/>
                <w:szCs w:val="20"/>
              </w:rPr>
              <w:t>Premier Core</w:t>
            </w:r>
          </w:p>
        </w:tc>
        <w:tc>
          <w:tcPr>
            <w:tcW w:w="1444" w:type="dxa"/>
            <w:shd w:val="clear" w:color="auto" w:fill="FABF8F"/>
          </w:tcPr>
          <w:p w:rsidR="00DB2D1E" w:rsidRPr="00A75DF9" w:rsidRDefault="00DB2D1E" w:rsidP="00DE73D4">
            <w:pPr>
              <w:jc w:val="center"/>
              <w:rPr>
                <w:rFonts w:cs="Tahoma"/>
                <w:b/>
                <w:bCs/>
                <w:color w:val="000000"/>
                <w:sz w:val="20"/>
                <w:szCs w:val="18"/>
              </w:rPr>
            </w:pPr>
            <w:r w:rsidRPr="00A75DF9">
              <w:rPr>
                <w:rFonts w:cs="Tahoma"/>
                <w:b/>
                <w:bCs/>
                <w:color w:val="000000"/>
                <w:sz w:val="20"/>
                <w:szCs w:val="18"/>
              </w:rPr>
              <w:t>Premier Foundation</w:t>
            </w:r>
          </w:p>
        </w:tc>
        <w:tc>
          <w:tcPr>
            <w:tcW w:w="1687" w:type="dxa"/>
            <w:shd w:val="clear" w:color="auto" w:fill="FABF8F"/>
            <w:vAlign w:val="center"/>
          </w:tcPr>
          <w:p w:rsidR="00DB2D1E" w:rsidRPr="00A75DF9" w:rsidRDefault="00DB2D1E" w:rsidP="00DE73D4">
            <w:pPr>
              <w:jc w:val="center"/>
              <w:rPr>
                <w:rFonts w:cs="Tahoma"/>
                <w:color w:val="000000"/>
                <w:szCs w:val="18"/>
              </w:rPr>
            </w:pPr>
            <w:r w:rsidRPr="00A75DF9">
              <w:rPr>
                <w:rFonts w:cs="Tahoma"/>
                <w:b/>
                <w:bCs/>
                <w:color w:val="000000"/>
                <w:sz w:val="20"/>
                <w:szCs w:val="18"/>
              </w:rPr>
              <w:t>Premier Standard</w:t>
            </w:r>
          </w:p>
        </w:tc>
        <w:tc>
          <w:tcPr>
            <w:tcW w:w="1589" w:type="dxa"/>
            <w:shd w:val="clear" w:color="auto" w:fill="FABF8F"/>
            <w:vAlign w:val="center"/>
          </w:tcPr>
          <w:p w:rsidR="00DB2D1E" w:rsidRPr="00A75DF9" w:rsidRDefault="00DB2D1E" w:rsidP="00DE73D4">
            <w:pPr>
              <w:jc w:val="center"/>
              <w:rPr>
                <w:rFonts w:cs="Tahoma"/>
                <w:color w:val="000000"/>
                <w:szCs w:val="18"/>
              </w:rPr>
            </w:pPr>
            <w:r w:rsidRPr="00A75DF9">
              <w:rPr>
                <w:rFonts w:cs="Tahoma"/>
                <w:b/>
                <w:bCs/>
                <w:color w:val="000000"/>
                <w:sz w:val="20"/>
                <w:szCs w:val="18"/>
              </w:rPr>
              <w:t>Premier Plus</w:t>
            </w:r>
          </w:p>
        </w:tc>
      </w:tr>
      <w:tr w:rsidR="00DB2D1E" w:rsidRPr="00A75DF9" w:rsidTr="002A6416">
        <w:tc>
          <w:tcPr>
            <w:tcW w:w="3168" w:type="dxa"/>
            <w:vAlign w:val="center"/>
          </w:tcPr>
          <w:p w:rsidR="00DB2D1E" w:rsidRPr="00A75DF9" w:rsidRDefault="00DB2D1E" w:rsidP="00DE73D4">
            <w:pPr>
              <w:rPr>
                <w:rFonts w:cs="Tahoma"/>
                <w:color w:val="000000"/>
                <w:szCs w:val="18"/>
              </w:rPr>
            </w:pPr>
            <w:r w:rsidRPr="00A75DF9">
              <w:rPr>
                <w:rFonts w:cs="Tahoma"/>
                <w:color w:val="000000"/>
                <w:szCs w:val="18"/>
              </w:rPr>
              <w:t xml:space="preserve">Support Account Management </w:t>
            </w:r>
          </w:p>
        </w:tc>
        <w:tc>
          <w:tcPr>
            <w:tcW w:w="1580" w:type="dxa"/>
            <w:vAlign w:val="center"/>
          </w:tcPr>
          <w:p w:rsidR="00DB2D1E" w:rsidRPr="00A75DF9" w:rsidRDefault="00DB2D1E" w:rsidP="00DE73D4">
            <w:pPr>
              <w:jc w:val="center"/>
              <w:rPr>
                <w:rFonts w:cs="Tahoma"/>
                <w:color w:val="000000"/>
                <w:szCs w:val="18"/>
              </w:rPr>
            </w:pPr>
            <w:r w:rsidRPr="00A75DF9">
              <w:rPr>
                <w:rFonts w:ascii="MS UI Gothic" w:eastAsia="MS UI Gothic" w:hAnsi="MS UI Gothic" w:cs="MS UI Gothic" w:hint="eastAsia"/>
                <w:color w:val="000000"/>
                <w:szCs w:val="18"/>
              </w:rPr>
              <w:t>✓</w:t>
            </w:r>
          </w:p>
        </w:tc>
        <w:tc>
          <w:tcPr>
            <w:tcW w:w="1444" w:type="dxa"/>
            <w:vAlign w:val="center"/>
          </w:tcPr>
          <w:p w:rsidR="00DB2D1E" w:rsidRPr="00A75DF9" w:rsidRDefault="00DB2D1E" w:rsidP="00DE73D4">
            <w:pPr>
              <w:jc w:val="center"/>
              <w:rPr>
                <w:rFonts w:cs="Tahoma"/>
                <w:color w:val="000000"/>
                <w:szCs w:val="18"/>
              </w:rPr>
            </w:pPr>
            <w:r w:rsidRPr="00A75DF9">
              <w:rPr>
                <w:rFonts w:ascii="MS UI Gothic" w:eastAsia="MS UI Gothic" w:hAnsi="MS UI Gothic" w:cs="MS UI Gothic" w:hint="eastAsia"/>
                <w:color w:val="000000"/>
                <w:szCs w:val="18"/>
              </w:rPr>
              <w:t>✓</w:t>
            </w:r>
          </w:p>
        </w:tc>
        <w:tc>
          <w:tcPr>
            <w:tcW w:w="1687" w:type="dxa"/>
            <w:vAlign w:val="center"/>
          </w:tcPr>
          <w:p w:rsidR="00DB2D1E" w:rsidRPr="00A75DF9" w:rsidRDefault="00DB2D1E" w:rsidP="00DE73D4">
            <w:pPr>
              <w:jc w:val="center"/>
              <w:rPr>
                <w:rFonts w:cs="Tahoma"/>
                <w:color w:val="000000"/>
                <w:szCs w:val="18"/>
              </w:rPr>
            </w:pPr>
            <w:r w:rsidRPr="00A75DF9">
              <w:rPr>
                <w:rFonts w:cs="Tahoma"/>
                <w:color w:val="000000"/>
                <w:szCs w:val="18"/>
              </w:rPr>
              <w:t>√</w:t>
            </w:r>
          </w:p>
        </w:tc>
        <w:tc>
          <w:tcPr>
            <w:tcW w:w="1589" w:type="dxa"/>
            <w:vAlign w:val="center"/>
          </w:tcPr>
          <w:p w:rsidR="00DB2D1E" w:rsidRPr="00A75DF9" w:rsidRDefault="00DB2D1E" w:rsidP="00DE73D4">
            <w:pPr>
              <w:jc w:val="center"/>
              <w:rPr>
                <w:rFonts w:cs="Tahoma"/>
                <w:color w:val="000000"/>
                <w:szCs w:val="18"/>
              </w:rPr>
            </w:pPr>
            <w:r w:rsidRPr="00A75DF9">
              <w:rPr>
                <w:rFonts w:cs="Tahoma"/>
                <w:color w:val="000000"/>
                <w:szCs w:val="18"/>
              </w:rPr>
              <w:t>√</w:t>
            </w:r>
          </w:p>
        </w:tc>
      </w:tr>
      <w:tr w:rsidR="00DB2D1E" w:rsidRPr="00A75DF9" w:rsidTr="002A6416">
        <w:tc>
          <w:tcPr>
            <w:tcW w:w="3168" w:type="dxa"/>
            <w:vAlign w:val="center"/>
          </w:tcPr>
          <w:p w:rsidR="00DB2D1E" w:rsidRPr="00A75DF9" w:rsidRDefault="00DB2D1E" w:rsidP="00DE73D4">
            <w:pPr>
              <w:rPr>
                <w:rFonts w:cs="Tahoma"/>
                <w:color w:val="000000"/>
                <w:szCs w:val="18"/>
              </w:rPr>
            </w:pPr>
            <w:r w:rsidRPr="00A75DF9">
              <w:rPr>
                <w:rFonts w:cs="Tahoma"/>
                <w:color w:val="000000"/>
                <w:szCs w:val="18"/>
              </w:rPr>
              <w:t>Profiling e Reporting dell</w:t>
            </w:r>
            <w:r w:rsidR="00F2643E">
              <w:rPr>
                <w:rFonts w:cs="Tahoma"/>
                <w:color w:val="000000"/>
                <w:szCs w:val="18"/>
              </w:rPr>
              <w:t>’</w:t>
            </w:r>
            <w:r w:rsidRPr="00A75DF9">
              <w:rPr>
                <w:rFonts w:cs="Tahoma"/>
                <w:color w:val="000000"/>
                <w:szCs w:val="18"/>
              </w:rPr>
              <w:t>Account</w:t>
            </w:r>
          </w:p>
        </w:tc>
        <w:tc>
          <w:tcPr>
            <w:tcW w:w="1580" w:type="dxa"/>
            <w:vAlign w:val="center"/>
          </w:tcPr>
          <w:p w:rsidR="00DB2D1E" w:rsidRPr="00A75DF9" w:rsidRDefault="00DB2D1E" w:rsidP="00DE73D4">
            <w:pPr>
              <w:jc w:val="center"/>
              <w:rPr>
                <w:rFonts w:cs="Tahoma"/>
                <w:color w:val="000000"/>
                <w:szCs w:val="18"/>
              </w:rPr>
            </w:pPr>
            <w:r w:rsidRPr="00A75DF9">
              <w:rPr>
                <w:rFonts w:cs="Tahoma"/>
                <w:color w:val="000000"/>
                <w:szCs w:val="18"/>
              </w:rPr>
              <w:t>Mensile</w:t>
            </w:r>
          </w:p>
        </w:tc>
        <w:tc>
          <w:tcPr>
            <w:tcW w:w="1444" w:type="dxa"/>
            <w:vAlign w:val="center"/>
          </w:tcPr>
          <w:p w:rsidR="00DB2D1E" w:rsidRPr="00A75DF9" w:rsidRDefault="00DB2D1E" w:rsidP="00DE73D4">
            <w:pPr>
              <w:jc w:val="center"/>
              <w:rPr>
                <w:rFonts w:cs="Tahoma"/>
                <w:color w:val="000000"/>
                <w:szCs w:val="18"/>
              </w:rPr>
            </w:pPr>
            <w:r w:rsidRPr="00A75DF9">
              <w:rPr>
                <w:rFonts w:cs="Tahoma"/>
                <w:color w:val="000000"/>
                <w:szCs w:val="18"/>
              </w:rPr>
              <w:t>Mensile</w:t>
            </w:r>
          </w:p>
        </w:tc>
        <w:tc>
          <w:tcPr>
            <w:tcW w:w="1687" w:type="dxa"/>
            <w:vAlign w:val="center"/>
          </w:tcPr>
          <w:p w:rsidR="00DB2D1E" w:rsidRPr="00A75DF9" w:rsidRDefault="00DB2D1E" w:rsidP="00DE73D4">
            <w:pPr>
              <w:jc w:val="center"/>
              <w:rPr>
                <w:rFonts w:cs="Tahoma"/>
                <w:color w:val="000000"/>
                <w:szCs w:val="18"/>
              </w:rPr>
            </w:pPr>
            <w:r w:rsidRPr="00A75DF9">
              <w:rPr>
                <w:rFonts w:cs="Tahoma"/>
                <w:color w:val="000000"/>
                <w:szCs w:val="18"/>
              </w:rPr>
              <w:t>Mensile</w:t>
            </w:r>
          </w:p>
        </w:tc>
        <w:tc>
          <w:tcPr>
            <w:tcW w:w="1589" w:type="dxa"/>
            <w:vAlign w:val="center"/>
          </w:tcPr>
          <w:p w:rsidR="00DB2D1E" w:rsidRPr="00A75DF9" w:rsidRDefault="00DB2D1E" w:rsidP="00DE73D4">
            <w:pPr>
              <w:jc w:val="center"/>
              <w:rPr>
                <w:rFonts w:cs="Tahoma"/>
                <w:color w:val="000000"/>
                <w:szCs w:val="18"/>
              </w:rPr>
            </w:pPr>
            <w:r w:rsidRPr="00A75DF9">
              <w:rPr>
                <w:rFonts w:cs="Tahoma"/>
                <w:color w:val="000000"/>
                <w:szCs w:val="18"/>
              </w:rPr>
              <w:t>Mensile</w:t>
            </w:r>
          </w:p>
        </w:tc>
      </w:tr>
      <w:tr w:rsidR="00DB2D1E" w:rsidRPr="00A75DF9" w:rsidTr="002A6416">
        <w:tc>
          <w:tcPr>
            <w:tcW w:w="3168" w:type="dxa"/>
            <w:vAlign w:val="center"/>
          </w:tcPr>
          <w:p w:rsidR="00DB2D1E" w:rsidRPr="00A75DF9" w:rsidRDefault="00DB2D1E" w:rsidP="00DE73D4">
            <w:pPr>
              <w:rPr>
                <w:rFonts w:cs="Tahoma"/>
                <w:color w:val="000000"/>
                <w:szCs w:val="18"/>
              </w:rPr>
            </w:pPr>
            <w:r w:rsidRPr="00A75DF9">
              <w:rPr>
                <w:rFonts w:cs="Tahoma"/>
                <w:color w:val="000000"/>
                <w:szCs w:val="18"/>
              </w:rPr>
              <w:t>Support Assistance (Ore allocate annualmente)</w:t>
            </w:r>
          </w:p>
        </w:tc>
        <w:tc>
          <w:tcPr>
            <w:tcW w:w="1580" w:type="dxa"/>
            <w:vAlign w:val="center"/>
          </w:tcPr>
          <w:p w:rsidR="00DB2D1E" w:rsidRPr="00A75DF9" w:rsidRDefault="00DB2D1E" w:rsidP="00DE73D4">
            <w:pPr>
              <w:jc w:val="center"/>
              <w:rPr>
                <w:rFonts w:cs="Tahoma"/>
                <w:color w:val="000000"/>
                <w:szCs w:val="18"/>
              </w:rPr>
            </w:pPr>
            <w:r w:rsidRPr="00A75DF9">
              <w:rPr>
                <w:rFonts w:cs="Tahoma"/>
                <w:color w:val="000000"/>
                <w:szCs w:val="18"/>
              </w:rPr>
              <w:t>Fino a 10 ore</w:t>
            </w:r>
          </w:p>
        </w:tc>
        <w:tc>
          <w:tcPr>
            <w:tcW w:w="1444" w:type="dxa"/>
          </w:tcPr>
          <w:p w:rsidR="00DB2D1E" w:rsidRPr="00A75DF9" w:rsidRDefault="00DB2D1E" w:rsidP="00DE73D4">
            <w:pPr>
              <w:jc w:val="center"/>
              <w:rPr>
                <w:rFonts w:cs="Tahoma"/>
                <w:color w:val="000000"/>
                <w:szCs w:val="18"/>
              </w:rPr>
            </w:pPr>
            <w:r w:rsidRPr="00A75DF9">
              <w:rPr>
                <w:rFonts w:cs="Tahoma"/>
                <w:color w:val="000000"/>
                <w:szCs w:val="18"/>
              </w:rPr>
              <w:t>Fino a 10 ore</w:t>
            </w:r>
            <w:r w:rsidRPr="00A75DF9">
              <w:rPr>
                <w:rFonts w:cs="Tahoma"/>
                <w:color w:val="000000"/>
                <w:szCs w:val="18"/>
              </w:rPr>
              <w:br/>
              <w:t>+ 1 Controllo dello Stato</w:t>
            </w:r>
            <w:r w:rsidRPr="00A75DF9">
              <w:rPr>
                <w:rFonts w:cs="Tahoma"/>
                <w:color w:val="000000"/>
                <w:szCs w:val="18"/>
              </w:rPr>
              <w:br/>
              <w:t>+ 1 Workshop</w:t>
            </w:r>
          </w:p>
        </w:tc>
        <w:tc>
          <w:tcPr>
            <w:tcW w:w="1687" w:type="dxa"/>
            <w:vAlign w:val="center"/>
          </w:tcPr>
          <w:p w:rsidR="00DB2D1E" w:rsidRPr="00A75DF9" w:rsidRDefault="00DB2D1E" w:rsidP="00DE73D4">
            <w:pPr>
              <w:jc w:val="center"/>
              <w:rPr>
                <w:rFonts w:cs="Tahoma"/>
                <w:color w:val="000000"/>
                <w:szCs w:val="18"/>
              </w:rPr>
            </w:pPr>
            <w:r w:rsidRPr="00A75DF9">
              <w:rPr>
                <w:rFonts w:cs="Tahoma"/>
                <w:color w:val="000000"/>
                <w:szCs w:val="18"/>
              </w:rPr>
              <w:t>Fino a 120 ore</w:t>
            </w:r>
          </w:p>
        </w:tc>
        <w:tc>
          <w:tcPr>
            <w:tcW w:w="1589" w:type="dxa"/>
            <w:vAlign w:val="center"/>
          </w:tcPr>
          <w:p w:rsidR="00DB2D1E" w:rsidRPr="00A75DF9" w:rsidRDefault="00DB2D1E" w:rsidP="00DE73D4">
            <w:pPr>
              <w:jc w:val="center"/>
              <w:rPr>
                <w:rFonts w:cs="Tahoma"/>
                <w:color w:val="000000"/>
                <w:szCs w:val="18"/>
              </w:rPr>
            </w:pPr>
            <w:r w:rsidRPr="00A75DF9">
              <w:rPr>
                <w:rFonts w:cs="Tahoma"/>
                <w:color w:val="000000"/>
                <w:szCs w:val="18"/>
              </w:rPr>
              <w:t>Fino a 160 ore</w:t>
            </w:r>
          </w:p>
        </w:tc>
      </w:tr>
      <w:tr w:rsidR="00DB2D1E" w:rsidRPr="00A75DF9" w:rsidTr="002A6416">
        <w:tc>
          <w:tcPr>
            <w:tcW w:w="3168" w:type="dxa"/>
            <w:vAlign w:val="center"/>
          </w:tcPr>
          <w:p w:rsidR="00DB2D1E" w:rsidRPr="00A75DF9" w:rsidRDefault="00DB2D1E" w:rsidP="00DE73D4">
            <w:pPr>
              <w:rPr>
                <w:rFonts w:cs="Tahoma"/>
                <w:color w:val="000000"/>
                <w:szCs w:val="18"/>
              </w:rPr>
            </w:pPr>
            <w:r w:rsidRPr="00A75DF9">
              <w:rPr>
                <w:rFonts w:cs="Tahoma"/>
                <w:color w:val="000000"/>
                <w:szCs w:val="18"/>
              </w:rPr>
              <w:t>Problem Resolution Support (PRS) (allocato annualmente)</w:t>
            </w:r>
          </w:p>
        </w:tc>
        <w:tc>
          <w:tcPr>
            <w:tcW w:w="1580" w:type="dxa"/>
            <w:vAlign w:val="center"/>
          </w:tcPr>
          <w:p w:rsidR="00DB2D1E" w:rsidRPr="00A75DF9" w:rsidRDefault="00DB2D1E" w:rsidP="00DE73D4">
            <w:pPr>
              <w:jc w:val="center"/>
              <w:rPr>
                <w:rFonts w:cs="Tahoma"/>
                <w:color w:val="000000"/>
                <w:szCs w:val="18"/>
              </w:rPr>
            </w:pPr>
            <w:r w:rsidRPr="00A75DF9">
              <w:rPr>
                <w:rFonts w:cs="Tahoma"/>
                <w:color w:val="000000"/>
                <w:szCs w:val="18"/>
              </w:rPr>
              <w:t>Fino a 40 ore</w:t>
            </w:r>
          </w:p>
        </w:tc>
        <w:tc>
          <w:tcPr>
            <w:tcW w:w="1444" w:type="dxa"/>
          </w:tcPr>
          <w:p w:rsidR="00DB2D1E" w:rsidRPr="00A75DF9" w:rsidRDefault="00DB2D1E" w:rsidP="00DE73D4">
            <w:pPr>
              <w:spacing w:before="120"/>
              <w:jc w:val="center"/>
              <w:rPr>
                <w:rFonts w:cs="Tahoma"/>
                <w:color w:val="000000"/>
                <w:szCs w:val="18"/>
              </w:rPr>
            </w:pPr>
            <w:r w:rsidRPr="00A75DF9">
              <w:rPr>
                <w:rFonts w:cs="Tahoma"/>
                <w:color w:val="000000"/>
                <w:szCs w:val="18"/>
              </w:rPr>
              <w:t>Fino a 30 ore</w:t>
            </w:r>
          </w:p>
        </w:tc>
        <w:tc>
          <w:tcPr>
            <w:tcW w:w="1687" w:type="dxa"/>
            <w:vAlign w:val="center"/>
          </w:tcPr>
          <w:p w:rsidR="00DB2D1E" w:rsidRPr="00A75DF9" w:rsidRDefault="00DB2D1E" w:rsidP="00DE73D4">
            <w:pPr>
              <w:jc w:val="center"/>
              <w:rPr>
                <w:rFonts w:cs="Tahoma"/>
                <w:color w:val="000000"/>
                <w:szCs w:val="18"/>
              </w:rPr>
            </w:pPr>
            <w:r w:rsidRPr="00A75DF9">
              <w:rPr>
                <w:rFonts w:cs="Tahoma"/>
                <w:color w:val="000000"/>
                <w:szCs w:val="18"/>
              </w:rPr>
              <w:t>Fino a 80 ore</w:t>
            </w:r>
          </w:p>
        </w:tc>
        <w:tc>
          <w:tcPr>
            <w:tcW w:w="1589" w:type="dxa"/>
            <w:vAlign w:val="center"/>
          </w:tcPr>
          <w:p w:rsidR="00DB2D1E" w:rsidRPr="00A75DF9" w:rsidRDefault="00DB2D1E" w:rsidP="00DE73D4">
            <w:pPr>
              <w:jc w:val="center"/>
              <w:rPr>
                <w:rFonts w:cs="Tahoma"/>
                <w:color w:val="000000"/>
                <w:szCs w:val="18"/>
              </w:rPr>
            </w:pPr>
            <w:r w:rsidRPr="00A75DF9">
              <w:rPr>
                <w:rFonts w:cs="Tahoma"/>
                <w:color w:val="000000"/>
                <w:szCs w:val="18"/>
              </w:rPr>
              <w:t>Fino a 140 ore</w:t>
            </w:r>
          </w:p>
        </w:tc>
      </w:tr>
      <w:tr w:rsidR="00DB2D1E" w:rsidRPr="00A75DF9" w:rsidTr="002A6416">
        <w:tc>
          <w:tcPr>
            <w:tcW w:w="3168" w:type="dxa"/>
            <w:vAlign w:val="center"/>
          </w:tcPr>
          <w:p w:rsidR="00DB2D1E" w:rsidRPr="00A75DF9" w:rsidRDefault="00DB2D1E" w:rsidP="00380E04">
            <w:pPr>
              <w:rPr>
                <w:rFonts w:cs="Tahoma"/>
                <w:color w:val="000000"/>
                <w:szCs w:val="18"/>
              </w:rPr>
            </w:pPr>
            <w:r w:rsidRPr="00A75DF9">
              <w:rPr>
                <w:rFonts w:cs="Tahoma"/>
                <w:color w:val="000000"/>
                <w:szCs w:val="18"/>
              </w:rPr>
              <w:t>Critical Situation Escalation Management 24x7 (Livello</w:t>
            </w:r>
            <w:r w:rsidR="00380E04">
              <w:rPr>
                <w:rFonts w:cs="Tahoma"/>
                <w:color w:val="000000"/>
                <w:szCs w:val="18"/>
              </w:rPr>
              <w:t> </w:t>
            </w:r>
            <w:r w:rsidRPr="00A75DF9">
              <w:rPr>
                <w:rFonts w:cs="Tahoma"/>
                <w:color w:val="000000"/>
                <w:szCs w:val="18"/>
              </w:rPr>
              <w:t>di</w:t>
            </w:r>
            <w:r w:rsidR="00380E04">
              <w:rPr>
                <w:rFonts w:cs="Tahoma"/>
                <w:color w:val="000000"/>
                <w:szCs w:val="18"/>
              </w:rPr>
              <w:t> </w:t>
            </w:r>
            <w:r w:rsidRPr="00A75DF9">
              <w:rPr>
                <w:rFonts w:cs="Tahoma"/>
                <w:color w:val="000000"/>
                <w:szCs w:val="18"/>
              </w:rPr>
              <w:t>Severità 1)</w:t>
            </w:r>
          </w:p>
        </w:tc>
        <w:tc>
          <w:tcPr>
            <w:tcW w:w="1580" w:type="dxa"/>
            <w:vAlign w:val="center"/>
          </w:tcPr>
          <w:p w:rsidR="00DB2D1E" w:rsidRPr="00A75DF9" w:rsidRDefault="00DB2D1E" w:rsidP="00DE73D4">
            <w:pPr>
              <w:jc w:val="center"/>
              <w:rPr>
                <w:rFonts w:cs="Tahoma"/>
                <w:color w:val="000000"/>
                <w:szCs w:val="18"/>
              </w:rPr>
            </w:pPr>
            <w:r w:rsidRPr="00A75DF9">
              <w:rPr>
                <w:rFonts w:ascii="MS UI Gothic" w:eastAsia="MS UI Gothic" w:hAnsi="MS UI Gothic" w:cs="MS UI Gothic" w:hint="eastAsia"/>
                <w:color w:val="000000"/>
                <w:szCs w:val="18"/>
              </w:rPr>
              <w:t>✓</w:t>
            </w:r>
          </w:p>
        </w:tc>
        <w:tc>
          <w:tcPr>
            <w:tcW w:w="1444" w:type="dxa"/>
            <w:vAlign w:val="center"/>
          </w:tcPr>
          <w:p w:rsidR="00DB2D1E" w:rsidRPr="00A75DF9" w:rsidRDefault="00DB2D1E" w:rsidP="00DE73D4">
            <w:pPr>
              <w:jc w:val="center"/>
              <w:rPr>
                <w:rFonts w:cs="Tahoma"/>
                <w:color w:val="000000"/>
                <w:szCs w:val="18"/>
              </w:rPr>
            </w:pPr>
            <w:r w:rsidRPr="00A75DF9">
              <w:rPr>
                <w:rFonts w:ascii="MS UI Gothic" w:eastAsia="MS UI Gothic" w:hAnsi="MS UI Gothic" w:cs="MS UI Gothic" w:hint="eastAsia"/>
                <w:color w:val="000000"/>
                <w:szCs w:val="18"/>
              </w:rPr>
              <w:t>✓</w:t>
            </w:r>
          </w:p>
        </w:tc>
        <w:tc>
          <w:tcPr>
            <w:tcW w:w="1687" w:type="dxa"/>
            <w:vAlign w:val="center"/>
          </w:tcPr>
          <w:p w:rsidR="00DB2D1E" w:rsidRPr="00A75DF9" w:rsidRDefault="00DB2D1E" w:rsidP="00DE73D4">
            <w:pPr>
              <w:jc w:val="center"/>
              <w:rPr>
                <w:rFonts w:cs="Tahoma"/>
                <w:color w:val="000000"/>
                <w:szCs w:val="18"/>
              </w:rPr>
            </w:pPr>
            <w:r w:rsidRPr="00A75DF9">
              <w:rPr>
                <w:rFonts w:cs="Tahoma"/>
                <w:color w:val="000000"/>
                <w:szCs w:val="18"/>
              </w:rPr>
              <w:t>√</w:t>
            </w:r>
          </w:p>
        </w:tc>
        <w:tc>
          <w:tcPr>
            <w:tcW w:w="1589" w:type="dxa"/>
            <w:vAlign w:val="center"/>
          </w:tcPr>
          <w:p w:rsidR="00DB2D1E" w:rsidRPr="00A75DF9" w:rsidRDefault="00DB2D1E" w:rsidP="00DE73D4">
            <w:pPr>
              <w:jc w:val="center"/>
              <w:rPr>
                <w:rFonts w:cs="Tahoma"/>
                <w:color w:val="000000"/>
                <w:szCs w:val="18"/>
              </w:rPr>
            </w:pPr>
            <w:r w:rsidRPr="00A75DF9">
              <w:rPr>
                <w:rFonts w:cs="Tahoma"/>
                <w:color w:val="000000"/>
                <w:szCs w:val="18"/>
              </w:rPr>
              <w:t>√</w:t>
            </w:r>
          </w:p>
        </w:tc>
      </w:tr>
      <w:tr w:rsidR="00DB2D1E" w:rsidRPr="00A75DF9" w:rsidTr="002A6416">
        <w:tc>
          <w:tcPr>
            <w:tcW w:w="3168" w:type="dxa"/>
            <w:vAlign w:val="center"/>
          </w:tcPr>
          <w:p w:rsidR="00DB2D1E" w:rsidRPr="00A75DF9" w:rsidRDefault="00DB2D1E" w:rsidP="00DE73D4">
            <w:pPr>
              <w:rPr>
                <w:rFonts w:cs="Tahoma"/>
                <w:color w:val="000000"/>
                <w:szCs w:val="18"/>
              </w:rPr>
            </w:pPr>
            <w:r w:rsidRPr="00A75DF9">
              <w:rPr>
                <w:rFonts w:cs="Tahoma"/>
                <w:color w:val="000000"/>
                <w:szCs w:val="18"/>
              </w:rPr>
              <w:t>Rapid Onsite Support</w:t>
            </w:r>
          </w:p>
        </w:tc>
        <w:tc>
          <w:tcPr>
            <w:tcW w:w="1580" w:type="dxa"/>
            <w:vAlign w:val="center"/>
          </w:tcPr>
          <w:p w:rsidR="00DB2D1E" w:rsidRPr="00A75DF9" w:rsidRDefault="00DB2D1E" w:rsidP="00DE73D4">
            <w:pPr>
              <w:jc w:val="center"/>
              <w:rPr>
                <w:rFonts w:cs="Tahoma"/>
                <w:color w:val="000000"/>
                <w:szCs w:val="18"/>
              </w:rPr>
            </w:pPr>
            <w:r w:rsidRPr="00A75DF9">
              <w:rPr>
                <w:rFonts w:ascii="MS UI Gothic" w:eastAsia="MS UI Gothic" w:hAnsi="MS UI Gothic" w:cs="MS UI Gothic" w:hint="eastAsia"/>
                <w:color w:val="000000"/>
                <w:szCs w:val="18"/>
              </w:rPr>
              <w:t>✓</w:t>
            </w:r>
          </w:p>
        </w:tc>
        <w:tc>
          <w:tcPr>
            <w:tcW w:w="1444" w:type="dxa"/>
            <w:vAlign w:val="center"/>
          </w:tcPr>
          <w:p w:rsidR="00DB2D1E" w:rsidRPr="00A75DF9" w:rsidRDefault="00DB2D1E" w:rsidP="00DE73D4">
            <w:pPr>
              <w:jc w:val="center"/>
              <w:rPr>
                <w:rFonts w:cs="Tahoma"/>
                <w:color w:val="000000"/>
                <w:szCs w:val="18"/>
              </w:rPr>
            </w:pPr>
            <w:r w:rsidRPr="00A75DF9">
              <w:rPr>
                <w:rFonts w:ascii="MS UI Gothic" w:eastAsia="MS UI Gothic" w:hAnsi="MS UI Gothic" w:cs="MS UI Gothic" w:hint="eastAsia"/>
                <w:color w:val="000000"/>
                <w:szCs w:val="18"/>
              </w:rPr>
              <w:t>✓</w:t>
            </w:r>
          </w:p>
        </w:tc>
        <w:tc>
          <w:tcPr>
            <w:tcW w:w="1687" w:type="dxa"/>
            <w:vAlign w:val="center"/>
          </w:tcPr>
          <w:p w:rsidR="00DB2D1E" w:rsidRPr="00A75DF9" w:rsidRDefault="00DB2D1E" w:rsidP="00DE73D4">
            <w:pPr>
              <w:jc w:val="center"/>
              <w:rPr>
                <w:rFonts w:cs="Tahoma"/>
                <w:color w:val="000000"/>
                <w:szCs w:val="18"/>
              </w:rPr>
            </w:pPr>
            <w:r w:rsidRPr="00A75DF9">
              <w:rPr>
                <w:rFonts w:cs="Tahoma"/>
                <w:color w:val="000000"/>
                <w:szCs w:val="18"/>
              </w:rPr>
              <w:t>√</w:t>
            </w:r>
          </w:p>
        </w:tc>
        <w:tc>
          <w:tcPr>
            <w:tcW w:w="1589" w:type="dxa"/>
            <w:vAlign w:val="center"/>
          </w:tcPr>
          <w:p w:rsidR="00DB2D1E" w:rsidRPr="00A75DF9" w:rsidRDefault="00DB2D1E" w:rsidP="00DE73D4">
            <w:pPr>
              <w:jc w:val="center"/>
              <w:rPr>
                <w:rFonts w:cs="Tahoma"/>
                <w:color w:val="000000"/>
                <w:szCs w:val="18"/>
              </w:rPr>
            </w:pPr>
            <w:r w:rsidRPr="00A75DF9">
              <w:rPr>
                <w:rFonts w:cs="Tahoma"/>
                <w:color w:val="000000"/>
                <w:szCs w:val="18"/>
              </w:rPr>
              <w:t>√</w:t>
            </w:r>
          </w:p>
        </w:tc>
      </w:tr>
      <w:tr w:rsidR="00DB2D1E" w:rsidRPr="00A75DF9" w:rsidTr="002A6416">
        <w:tc>
          <w:tcPr>
            <w:tcW w:w="3168" w:type="dxa"/>
            <w:vAlign w:val="center"/>
          </w:tcPr>
          <w:p w:rsidR="00DB2D1E" w:rsidRPr="00A75DF9" w:rsidRDefault="00DB2D1E" w:rsidP="00DE73D4">
            <w:pPr>
              <w:rPr>
                <w:rFonts w:cs="Tahoma"/>
                <w:color w:val="000000"/>
                <w:szCs w:val="18"/>
              </w:rPr>
            </w:pPr>
            <w:r w:rsidRPr="00A75DF9">
              <w:rPr>
                <w:rFonts w:cs="Tahoma"/>
                <w:color w:val="000000"/>
                <w:szCs w:val="18"/>
              </w:rPr>
              <w:t>Proactive Information Service</w:t>
            </w:r>
          </w:p>
        </w:tc>
        <w:tc>
          <w:tcPr>
            <w:tcW w:w="1580" w:type="dxa"/>
            <w:vAlign w:val="center"/>
          </w:tcPr>
          <w:p w:rsidR="00DB2D1E" w:rsidRPr="00A75DF9" w:rsidRDefault="00DB2D1E" w:rsidP="00DE73D4">
            <w:pPr>
              <w:jc w:val="center"/>
              <w:rPr>
                <w:rFonts w:cs="Tahoma"/>
                <w:color w:val="000000"/>
                <w:szCs w:val="18"/>
              </w:rPr>
            </w:pPr>
            <w:r w:rsidRPr="00A75DF9">
              <w:rPr>
                <w:rFonts w:ascii="MS UI Gothic" w:eastAsia="MS UI Gothic" w:hAnsi="MS UI Gothic" w:cs="MS UI Gothic" w:hint="eastAsia"/>
                <w:color w:val="000000"/>
                <w:szCs w:val="18"/>
              </w:rPr>
              <w:t>✓</w:t>
            </w:r>
          </w:p>
        </w:tc>
        <w:tc>
          <w:tcPr>
            <w:tcW w:w="1444" w:type="dxa"/>
            <w:vAlign w:val="center"/>
          </w:tcPr>
          <w:p w:rsidR="00DB2D1E" w:rsidRPr="00A75DF9" w:rsidRDefault="00DB2D1E" w:rsidP="00DE73D4">
            <w:pPr>
              <w:jc w:val="center"/>
              <w:rPr>
                <w:rFonts w:cs="Tahoma"/>
                <w:color w:val="000000"/>
                <w:szCs w:val="18"/>
              </w:rPr>
            </w:pPr>
            <w:r w:rsidRPr="00A75DF9">
              <w:rPr>
                <w:rFonts w:ascii="MS UI Gothic" w:eastAsia="MS UI Gothic" w:hAnsi="MS UI Gothic" w:cs="MS UI Gothic" w:hint="eastAsia"/>
                <w:color w:val="000000"/>
                <w:szCs w:val="18"/>
              </w:rPr>
              <w:t>✓</w:t>
            </w:r>
          </w:p>
        </w:tc>
        <w:tc>
          <w:tcPr>
            <w:tcW w:w="1687" w:type="dxa"/>
            <w:vAlign w:val="center"/>
          </w:tcPr>
          <w:p w:rsidR="00DB2D1E" w:rsidRPr="00A75DF9" w:rsidRDefault="00DB2D1E" w:rsidP="00DE73D4">
            <w:pPr>
              <w:jc w:val="center"/>
              <w:rPr>
                <w:rFonts w:cs="Tahoma"/>
                <w:color w:val="000000"/>
                <w:szCs w:val="18"/>
              </w:rPr>
            </w:pPr>
            <w:r w:rsidRPr="00A75DF9">
              <w:rPr>
                <w:rFonts w:cs="Tahoma"/>
                <w:color w:val="000000"/>
                <w:szCs w:val="18"/>
              </w:rPr>
              <w:t>√</w:t>
            </w:r>
          </w:p>
        </w:tc>
        <w:tc>
          <w:tcPr>
            <w:tcW w:w="1589" w:type="dxa"/>
            <w:vAlign w:val="center"/>
          </w:tcPr>
          <w:p w:rsidR="00DB2D1E" w:rsidRPr="00A75DF9" w:rsidRDefault="00DB2D1E" w:rsidP="00DE73D4">
            <w:pPr>
              <w:jc w:val="center"/>
              <w:rPr>
                <w:rFonts w:cs="Tahoma"/>
                <w:color w:val="000000"/>
                <w:szCs w:val="18"/>
              </w:rPr>
            </w:pPr>
            <w:r w:rsidRPr="00A75DF9">
              <w:rPr>
                <w:rFonts w:cs="Tahoma"/>
                <w:color w:val="000000"/>
                <w:szCs w:val="18"/>
              </w:rPr>
              <w:t>√</w:t>
            </w:r>
          </w:p>
        </w:tc>
      </w:tr>
      <w:tr w:rsidR="00DB2D1E" w:rsidRPr="00A75DF9" w:rsidTr="002A6416">
        <w:tc>
          <w:tcPr>
            <w:tcW w:w="3168" w:type="dxa"/>
            <w:vAlign w:val="center"/>
          </w:tcPr>
          <w:p w:rsidR="00DB2D1E" w:rsidRPr="00A75DF9" w:rsidRDefault="00DB2D1E" w:rsidP="00DE73D4">
            <w:pPr>
              <w:rPr>
                <w:rFonts w:cs="Tahoma"/>
                <w:color w:val="000000"/>
                <w:szCs w:val="18"/>
              </w:rPr>
            </w:pPr>
            <w:r w:rsidRPr="00A75DF9">
              <w:rPr>
                <w:rFonts w:cs="Tahoma"/>
                <w:color w:val="000000"/>
                <w:szCs w:val="18"/>
              </w:rPr>
              <w:t>Microsoft Premier Online</w:t>
            </w:r>
          </w:p>
        </w:tc>
        <w:tc>
          <w:tcPr>
            <w:tcW w:w="1580" w:type="dxa"/>
            <w:vAlign w:val="center"/>
          </w:tcPr>
          <w:p w:rsidR="00DB2D1E" w:rsidRPr="00A75DF9" w:rsidRDefault="00DB2D1E" w:rsidP="00DE73D4">
            <w:pPr>
              <w:jc w:val="center"/>
              <w:rPr>
                <w:rFonts w:cs="Tahoma"/>
                <w:color w:val="000000"/>
                <w:szCs w:val="18"/>
              </w:rPr>
            </w:pPr>
            <w:r w:rsidRPr="00A75DF9">
              <w:rPr>
                <w:rFonts w:ascii="MS UI Gothic" w:eastAsia="MS UI Gothic" w:hAnsi="MS UI Gothic" w:cs="MS UI Gothic" w:hint="eastAsia"/>
                <w:color w:val="000000"/>
                <w:szCs w:val="18"/>
              </w:rPr>
              <w:t>✓</w:t>
            </w:r>
          </w:p>
        </w:tc>
        <w:tc>
          <w:tcPr>
            <w:tcW w:w="1444" w:type="dxa"/>
            <w:vAlign w:val="center"/>
          </w:tcPr>
          <w:p w:rsidR="00DB2D1E" w:rsidRPr="00A75DF9" w:rsidRDefault="00DB2D1E" w:rsidP="00DE73D4">
            <w:pPr>
              <w:jc w:val="center"/>
              <w:rPr>
                <w:rFonts w:cs="Tahoma"/>
                <w:color w:val="000000"/>
                <w:szCs w:val="18"/>
              </w:rPr>
            </w:pPr>
            <w:r w:rsidRPr="00A75DF9">
              <w:rPr>
                <w:rFonts w:ascii="MS UI Gothic" w:eastAsia="MS UI Gothic" w:hAnsi="MS UI Gothic" w:cs="MS UI Gothic" w:hint="eastAsia"/>
                <w:color w:val="000000"/>
                <w:szCs w:val="18"/>
              </w:rPr>
              <w:t>✓</w:t>
            </w:r>
          </w:p>
        </w:tc>
        <w:tc>
          <w:tcPr>
            <w:tcW w:w="1687" w:type="dxa"/>
            <w:vAlign w:val="center"/>
          </w:tcPr>
          <w:p w:rsidR="00DB2D1E" w:rsidRPr="00A75DF9" w:rsidRDefault="00DB2D1E" w:rsidP="00DE73D4">
            <w:pPr>
              <w:jc w:val="center"/>
              <w:rPr>
                <w:rFonts w:cs="Tahoma"/>
                <w:color w:val="000000"/>
                <w:szCs w:val="18"/>
              </w:rPr>
            </w:pPr>
            <w:r w:rsidRPr="00A75DF9">
              <w:rPr>
                <w:rFonts w:cs="Tahoma"/>
                <w:color w:val="000000"/>
                <w:szCs w:val="18"/>
              </w:rPr>
              <w:t>√</w:t>
            </w:r>
          </w:p>
        </w:tc>
        <w:tc>
          <w:tcPr>
            <w:tcW w:w="1589" w:type="dxa"/>
            <w:vAlign w:val="center"/>
          </w:tcPr>
          <w:p w:rsidR="00DB2D1E" w:rsidRPr="00A75DF9" w:rsidRDefault="00DB2D1E" w:rsidP="00DE73D4">
            <w:pPr>
              <w:jc w:val="center"/>
              <w:rPr>
                <w:rFonts w:cs="Tahoma"/>
                <w:color w:val="000000"/>
                <w:szCs w:val="18"/>
              </w:rPr>
            </w:pPr>
            <w:r w:rsidRPr="00A75DF9">
              <w:rPr>
                <w:rFonts w:cs="Tahoma"/>
                <w:color w:val="000000"/>
                <w:szCs w:val="18"/>
              </w:rPr>
              <w:t>√</w:t>
            </w:r>
          </w:p>
        </w:tc>
      </w:tr>
      <w:tr w:rsidR="00DB2D1E" w:rsidRPr="00A75DF9" w:rsidTr="002A6416">
        <w:tc>
          <w:tcPr>
            <w:tcW w:w="3168" w:type="dxa"/>
            <w:vAlign w:val="center"/>
          </w:tcPr>
          <w:p w:rsidR="00DB2D1E" w:rsidRPr="00A75DF9" w:rsidRDefault="00DB2D1E" w:rsidP="00DE73D4">
            <w:pPr>
              <w:rPr>
                <w:rFonts w:cs="Tahoma"/>
                <w:color w:val="000000"/>
                <w:szCs w:val="18"/>
              </w:rPr>
            </w:pPr>
            <w:r w:rsidRPr="00A75DF9">
              <w:rPr>
                <w:rFonts w:cs="Tahoma"/>
                <w:color w:val="000000"/>
                <w:szCs w:val="18"/>
              </w:rPr>
              <w:t xml:space="preserve">Ore di Aggiunta </w:t>
            </w:r>
          </w:p>
        </w:tc>
        <w:tc>
          <w:tcPr>
            <w:tcW w:w="1580" w:type="dxa"/>
            <w:vAlign w:val="center"/>
          </w:tcPr>
          <w:p w:rsidR="00DB2D1E" w:rsidRPr="00A75DF9" w:rsidRDefault="00DB2D1E" w:rsidP="00DE73D4">
            <w:pPr>
              <w:jc w:val="center"/>
              <w:rPr>
                <w:rFonts w:cs="Tahoma"/>
                <w:color w:val="000000"/>
                <w:szCs w:val="18"/>
              </w:rPr>
            </w:pPr>
            <w:r w:rsidRPr="00A75DF9">
              <w:rPr>
                <w:rFonts w:cs="Tahoma"/>
                <w:color w:val="000000"/>
                <w:szCs w:val="18"/>
              </w:rPr>
              <w:t>Pacchetti da 20</w:t>
            </w:r>
          </w:p>
        </w:tc>
        <w:tc>
          <w:tcPr>
            <w:tcW w:w="1444" w:type="dxa"/>
            <w:vAlign w:val="center"/>
          </w:tcPr>
          <w:p w:rsidR="00DB2D1E" w:rsidRPr="00A75DF9" w:rsidRDefault="00DB2D1E" w:rsidP="00DE73D4">
            <w:pPr>
              <w:jc w:val="center"/>
              <w:rPr>
                <w:rFonts w:cs="Tahoma"/>
                <w:color w:val="000000"/>
                <w:szCs w:val="18"/>
              </w:rPr>
            </w:pPr>
            <w:r w:rsidRPr="00A75DF9">
              <w:rPr>
                <w:rFonts w:cs="Tahoma"/>
                <w:color w:val="000000"/>
                <w:szCs w:val="18"/>
              </w:rPr>
              <w:t>Pacchetti da 20</w:t>
            </w:r>
          </w:p>
        </w:tc>
        <w:tc>
          <w:tcPr>
            <w:tcW w:w="1687" w:type="dxa"/>
            <w:vAlign w:val="center"/>
          </w:tcPr>
          <w:p w:rsidR="00DB2D1E" w:rsidRPr="00A75DF9" w:rsidRDefault="00DB2D1E" w:rsidP="00DE73D4">
            <w:pPr>
              <w:jc w:val="center"/>
              <w:rPr>
                <w:rFonts w:cs="Tahoma"/>
                <w:color w:val="000000"/>
                <w:szCs w:val="18"/>
              </w:rPr>
            </w:pPr>
            <w:r w:rsidRPr="00A75DF9">
              <w:rPr>
                <w:rFonts w:cs="Tahoma"/>
                <w:color w:val="000000"/>
                <w:szCs w:val="18"/>
              </w:rPr>
              <w:t>Pacchetti da 20</w:t>
            </w:r>
          </w:p>
        </w:tc>
        <w:tc>
          <w:tcPr>
            <w:tcW w:w="1589" w:type="dxa"/>
            <w:vAlign w:val="center"/>
          </w:tcPr>
          <w:p w:rsidR="00DB2D1E" w:rsidRPr="00A75DF9" w:rsidRDefault="00DB2D1E" w:rsidP="00DE73D4">
            <w:pPr>
              <w:jc w:val="center"/>
              <w:rPr>
                <w:rFonts w:cs="Tahoma"/>
                <w:color w:val="000000"/>
                <w:szCs w:val="18"/>
              </w:rPr>
            </w:pPr>
            <w:r w:rsidRPr="00A75DF9">
              <w:rPr>
                <w:rFonts w:cs="Tahoma"/>
                <w:color w:val="000000"/>
                <w:szCs w:val="18"/>
              </w:rPr>
              <w:t>Pacchetti da 20</w:t>
            </w:r>
          </w:p>
        </w:tc>
      </w:tr>
    </w:tbl>
    <w:p w:rsidR="00DB2D1E" w:rsidRPr="00380E04" w:rsidRDefault="00DB2D1E" w:rsidP="00DB2D1E">
      <w:pPr>
        <w:pStyle w:val="tableclose"/>
        <w:tabs>
          <w:tab w:val="left" w:pos="810"/>
        </w:tabs>
        <w:ind w:left="810" w:hanging="720"/>
        <w:rPr>
          <w:rFonts w:ascii="Tahoma" w:hAnsi="Tahoma" w:cs="Tahoma"/>
          <w:sz w:val="16"/>
          <w:szCs w:val="16"/>
        </w:rPr>
      </w:pPr>
      <w:r w:rsidRPr="00380E04">
        <w:rPr>
          <w:rFonts w:ascii="Tahoma" w:hAnsi="Tahoma" w:cs="Tahoma"/>
          <w:i/>
          <w:color w:val="000000"/>
          <w:sz w:val="16"/>
          <w:szCs w:val="16"/>
          <w:vertAlign w:val="superscript"/>
        </w:rPr>
        <w:t>1</w:t>
      </w:r>
      <w:r w:rsidRPr="00380E04">
        <w:rPr>
          <w:rFonts w:ascii="Tahoma" w:hAnsi="Tahoma" w:cs="Tahoma"/>
          <w:i/>
          <w:color w:val="000000"/>
          <w:sz w:val="16"/>
          <w:szCs w:val="16"/>
        </w:rPr>
        <w:t xml:space="preserve"> Le Ore Lavorative sono definite su base locale.</w:t>
      </w:r>
    </w:p>
    <w:p w:rsidR="00DB2D1E" w:rsidRPr="00380E04" w:rsidRDefault="00DB2D1E" w:rsidP="00F42FB8">
      <w:pPr>
        <w:pStyle w:val="BodyText2"/>
        <w:spacing w:after="0" w:line="240" w:lineRule="auto"/>
        <w:rPr>
          <w:rFonts w:ascii="Tahoma" w:hAnsi="Tahoma" w:cs="Tahoma"/>
          <w:sz w:val="18"/>
          <w:szCs w:val="18"/>
        </w:rPr>
      </w:pPr>
    </w:p>
    <w:p w:rsidR="00DB2D1E" w:rsidRPr="00380E04" w:rsidRDefault="00DB2D1E" w:rsidP="00CA52FE">
      <w:pPr>
        <w:pStyle w:val="BodyText2"/>
        <w:spacing w:after="0" w:line="240" w:lineRule="auto"/>
        <w:rPr>
          <w:rFonts w:ascii="Tahoma" w:hAnsi="Tahoma" w:cs="Tahoma"/>
          <w:sz w:val="18"/>
          <w:szCs w:val="18"/>
        </w:rPr>
      </w:pPr>
      <w:r w:rsidRPr="00380E04">
        <w:rPr>
          <w:rFonts w:ascii="Tahoma" w:hAnsi="Tahoma" w:cs="Tahoma"/>
          <w:sz w:val="18"/>
          <w:szCs w:val="18"/>
        </w:rPr>
        <w:t xml:space="preserve">Il servizio </w:t>
      </w:r>
      <w:r w:rsidRPr="00380E04">
        <w:rPr>
          <w:rFonts w:ascii="Tahoma" w:hAnsi="Tahoma" w:cs="Tahoma"/>
          <w:b/>
          <w:bCs/>
          <w:color w:val="000000"/>
          <w:sz w:val="18"/>
          <w:szCs w:val="18"/>
        </w:rPr>
        <w:t>Support Account Management</w:t>
      </w:r>
      <w:r w:rsidRPr="00380E04">
        <w:rPr>
          <w:rFonts w:ascii="Tahoma" w:hAnsi="Tahoma" w:cs="Tahoma"/>
          <w:color w:val="000000"/>
          <w:sz w:val="18"/>
          <w:szCs w:val="18"/>
        </w:rPr>
        <w:t xml:space="preserve"> semplifica la creazione e la gestione delle relazioni con il personale di gestione e di fornitura del servizio della società, nonché l</w:t>
      </w:r>
      <w:r w:rsidR="00F2643E">
        <w:rPr>
          <w:rFonts w:ascii="Tahoma" w:hAnsi="Tahoma" w:cs="Tahoma"/>
          <w:color w:val="000000"/>
          <w:sz w:val="18"/>
          <w:szCs w:val="18"/>
        </w:rPr>
        <w:t>’</w:t>
      </w:r>
      <w:r w:rsidRPr="00380E04">
        <w:rPr>
          <w:rFonts w:ascii="Tahoma" w:hAnsi="Tahoma" w:cs="Tahoma"/>
          <w:color w:val="000000"/>
          <w:sz w:val="18"/>
          <w:szCs w:val="18"/>
        </w:rPr>
        <w:t xml:space="preserve">organizzazione di ogni elemento del piano dei servizi della società in modo conforme ai requisiti aziendali. </w:t>
      </w:r>
    </w:p>
    <w:p w:rsidR="00CA52FE" w:rsidRPr="00380E04" w:rsidRDefault="00CA52FE" w:rsidP="00CA52FE">
      <w:pPr>
        <w:pStyle w:val="BodyText2"/>
        <w:spacing w:after="0" w:line="240" w:lineRule="auto"/>
        <w:rPr>
          <w:rFonts w:ascii="Tahoma" w:hAnsi="Tahoma" w:cs="Tahoma"/>
          <w:sz w:val="18"/>
          <w:szCs w:val="18"/>
        </w:rPr>
      </w:pPr>
    </w:p>
    <w:p w:rsidR="00DB2D1E" w:rsidRPr="00380E04" w:rsidRDefault="00DB2D1E" w:rsidP="00380E04">
      <w:pPr>
        <w:jc w:val="both"/>
        <w:rPr>
          <w:rFonts w:cs="Tahoma"/>
          <w:szCs w:val="18"/>
        </w:rPr>
      </w:pPr>
      <w:r w:rsidRPr="00380E04">
        <w:rPr>
          <w:rFonts w:cs="Tahoma"/>
          <w:szCs w:val="18"/>
        </w:rPr>
        <w:t xml:space="preserve">Il servizio </w:t>
      </w:r>
      <w:r w:rsidRPr="00380E04">
        <w:rPr>
          <w:rFonts w:cs="Tahoma"/>
          <w:b/>
          <w:bCs/>
          <w:color w:val="000000"/>
          <w:szCs w:val="18"/>
        </w:rPr>
        <w:t xml:space="preserve">Support Assistance </w:t>
      </w:r>
      <w:r w:rsidRPr="00380E04">
        <w:rPr>
          <w:rFonts w:cs="Tahoma"/>
          <w:color w:val="000000"/>
          <w:szCs w:val="18"/>
        </w:rPr>
        <w:t>fornisce indicazioni e suggerimenti a breve termine (in base alle risorse Microsoft disponibili) relativi a problemi che non rientrano nell</w:t>
      </w:r>
      <w:r w:rsidR="00F2643E">
        <w:rPr>
          <w:rFonts w:cs="Tahoma"/>
          <w:color w:val="000000"/>
          <w:szCs w:val="18"/>
        </w:rPr>
        <w:t>’</w:t>
      </w:r>
      <w:r w:rsidRPr="00380E04">
        <w:rPr>
          <w:rFonts w:cs="Tahoma"/>
          <w:color w:val="000000"/>
          <w:szCs w:val="18"/>
        </w:rPr>
        <w:t>ambito del servizio Problem Resolution Support, nonché a</w:t>
      </w:r>
      <w:r w:rsidR="00380E04">
        <w:rPr>
          <w:rFonts w:cs="Tahoma"/>
          <w:color w:val="000000"/>
          <w:szCs w:val="18"/>
        </w:rPr>
        <w:t> </w:t>
      </w:r>
      <w:r w:rsidRPr="00380E04">
        <w:rPr>
          <w:rFonts w:cs="Tahoma"/>
          <w:color w:val="000000"/>
          <w:szCs w:val="18"/>
        </w:rPr>
        <w:t>richieste di assistenza consultiva in merito a problemi a livello di progettazione, sviluppo e implementazione.</w:t>
      </w:r>
    </w:p>
    <w:p w:rsidR="00CA52FE" w:rsidRPr="00380E04" w:rsidRDefault="00CA52FE" w:rsidP="00CA52FE">
      <w:pPr>
        <w:jc w:val="both"/>
        <w:rPr>
          <w:rFonts w:cs="Tahoma"/>
          <w:szCs w:val="18"/>
        </w:rPr>
      </w:pPr>
    </w:p>
    <w:p w:rsidR="00676723" w:rsidRPr="00380E04" w:rsidRDefault="00DB2D1E" w:rsidP="00380E04">
      <w:pPr>
        <w:rPr>
          <w:rFonts w:cs="Tahoma"/>
          <w:szCs w:val="18"/>
        </w:rPr>
      </w:pPr>
      <w:r w:rsidRPr="00380E04">
        <w:rPr>
          <w:rFonts w:cs="Tahoma"/>
          <w:szCs w:val="18"/>
        </w:rPr>
        <w:t xml:space="preserve">Il servizio </w:t>
      </w:r>
      <w:r w:rsidRPr="00380E04">
        <w:rPr>
          <w:rFonts w:cs="Tahoma"/>
          <w:b/>
          <w:bCs/>
          <w:color w:val="000000"/>
          <w:szCs w:val="18"/>
        </w:rPr>
        <w:t xml:space="preserve">Problem Resolution Support </w:t>
      </w:r>
      <w:r w:rsidRPr="00380E04">
        <w:rPr>
          <w:rFonts w:cs="Tahoma"/>
          <w:color w:val="000000"/>
          <w:szCs w:val="18"/>
        </w:rPr>
        <w:t>fornisce assistenza quando, durante l</w:t>
      </w:r>
      <w:r w:rsidR="00F2643E">
        <w:rPr>
          <w:rFonts w:cs="Tahoma"/>
          <w:color w:val="000000"/>
          <w:szCs w:val="18"/>
        </w:rPr>
        <w:t>’</w:t>
      </w:r>
      <w:r w:rsidRPr="00380E04">
        <w:rPr>
          <w:rFonts w:cs="Tahoma"/>
          <w:color w:val="000000"/>
          <w:szCs w:val="18"/>
        </w:rPr>
        <w:t>utilizzo dei prodotti Microsoft, si</w:t>
      </w:r>
      <w:r w:rsidR="00380E04">
        <w:rPr>
          <w:rFonts w:cs="Tahoma"/>
          <w:color w:val="000000"/>
          <w:szCs w:val="18"/>
        </w:rPr>
        <w:t> </w:t>
      </w:r>
      <w:r w:rsidRPr="00380E04">
        <w:rPr>
          <w:rFonts w:cs="Tahoma"/>
          <w:color w:val="000000"/>
          <w:szCs w:val="18"/>
        </w:rPr>
        <w:t>verificano problemi con sintomi specifici, la cui causa sia ragionevolmente attribuibile ai prodotti Microsoft.</w:t>
      </w:r>
    </w:p>
    <w:p w:rsidR="00676723" w:rsidRPr="00A75DF9" w:rsidRDefault="00676723">
      <w:pPr>
        <w:rPr>
          <w:rFonts w:cs="Tahoma"/>
        </w:rPr>
      </w:pPr>
      <w:r w:rsidRPr="00A75DF9">
        <w:rPr>
          <w:rFonts w:cs="Tahoma"/>
          <w:color w:val="000000"/>
          <w:szCs w:val="18"/>
        </w:rPr>
        <w:br w:type="page"/>
      </w:r>
    </w:p>
    <w:tbl>
      <w:tblPr>
        <w:tblW w:w="9360" w:type="dxa"/>
        <w:tblInd w:w="108" w:type="dxa"/>
        <w:tblCellMar>
          <w:left w:w="0" w:type="dxa"/>
          <w:right w:w="0" w:type="dxa"/>
        </w:tblCellMar>
        <w:tblLook w:val="04A0" w:firstRow="1" w:lastRow="0" w:firstColumn="1" w:lastColumn="0" w:noHBand="0" w:noVBand="1"/>
      </w:tblPr>
      <w:tblGrid>
        <w:gridCol w:w="1542"/>
        <w:gridCol w:w="2508"/>
        <w:gridCol w:w="2880"/>
        <w:gridCol w:w="2430"/>
      </w:tblGrid>
      <w:tr w:rsidR="00DB2D1E" w:rsidRPr="00A75DF9" w:rsidTr="002A6416">
        <w:trPr>
          <w:tblHeader/>
        </w:trPr>
        <w:tc>
          <w:tcPr>
            <w:tcW w:w="1542" w:type="dxa"/>
            <w:tcBorders>
              <w:top w:val="single" w:sz="8" w:space="0" w:color="auto"/>
              <w:left w:val="single" w:sz="8" w:space="0" w:color="auto"/>
              <w:bottom w:val="single" w:sz="8" w:space="0" w:color="auto"/>
              <w:right w:val="single" w:sz="8" w:space="0" w:color="auto"/>
            </w:tcBorders>
            <w:shd w:val="clear" w:color="auto" w:fill="FABF8F"/>
            <w:tcMar>
              <w:top w:w="0" w:type="dxa"/>
              <w:left w:w="108" w:type="dxa"/>
              <w:bottom w:w="0" w:type="dxa"/>
              <w:right w:w="108" w:type="dxa"/>
            </w:tcMar>
          </w:tcPr>
          <w:p w:rsidR="00DB2D1E" w:rsidRPr="00A75DF9" w:rsidRDefault="001C1727" w:rsidP="00DE73D4">
            <w:pPr>
              <w:pStyle w:val="tableclose"/>
              <w:spacing w:line="276" w:lineRule="auto"/>
              <w:rPr>
                <w:rFonts w:ascii="Tahoma" w:hAnsi="Tahoma" w:cs="Tahoma"/>
                <w:b/>
                <w:color w:val="000000"/>
              </w:rPr>
            </w:pPr>
            <w:r w:rsidRPr="00A75DF9">
              <w:rPr>
                <w:rFonts w:ascii="Tahoma" w:hAnsi="Tahoma" w:cs="Tahoma"/>
                <w:color w:val="000000"/>
                <w:sz w:val="6"/>
              </w:rPr>
              <w:lastRenderedPageBreak/>
              <w:br w:type="page"/>
            </w:r>
            <w:r w:rsidRPr="00A75DF9">
              <w:rPr>
                <w:rFonts w:ascii="Tahoma" w:hAnsi="Tahoma" w:cs="Tahoma"/>
                <w:b/>
                <w:color w:val="000000"/>
              </w:rPr>
              <w:t>Severity</w:t>
            </w:r>
          </w:p>
        </w:tc>
        <w:tc>
          <w:tcPr>
            <w:tcW w:w="2508"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A75DF9" w:rsidRDefault="00DB2D1E" w:rsidP="00DE73D4">
            <w:pPr>
              <w:pStyle w:val="tableclose"/>
              <w:spacing w:line="276" w:lineRule="auto"/>
              <w:rPr>
                <w:rFonts w:ascii="Tahoma" w:hAnsi="Tahoma" w:cs="Tahoma"/>
                <w:b/>
                <w:color w:val="000000"/>
              </w:rPr>
            </w:pPr>
            <w:r w:rsidRPr="00A75DF9">
              <w:rPr>
                <w:rFonts w:ascii="Tahoma" w:hAnsi="Tahoma" w:cs="Tahoma"/>
                <w:b/>
                <w:color w:val="000000"/>
              </w:rPr>
              <w:t>Situazione</w:t>
            </w:r>
          </w:p>
        </w:tc>
        <w:tc>
          <w:tcPr>
            <w:tcW w:w="288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A75DF9" w:rsidRDefault="00DB2D1E" w:rsidP="00DE73D4">
            <w:pPr>
              <w:pStyle w:val="tableclose"/>
              <w:spacing w:line="276" w:lineRule="auto"/>
              <w:rPr>
                <w:rFonts w:ascii="Tahoma" w:hAnsi="Tahoma" w:cs="Tahoma"/>
                <w:b/>
                <w:color w:val="000000"/>
              </w:rPr>
            </w:pPr>
            <w:r w:rsidRPr="00A75DF9">
              <w:rPr>
                <w:rFonts w:ascii="Tahoma" w:hAnsi="Tahoma" w:cs="Tahoma"/>
                <w:b/>
                <w:color w:val="000000"/>
              </w:rPr>
              <w:t>Risposta Microsoft Prevista</w:t>
            </w:r>
          </w:p>
        </w:tc>
        <w:tc>
          <w:tcPr>
            <w:tcW w:w="2430" w:type="dxa"/>
            <w:tcBorders>
              <w:top w:val="single" w:sz="8" w:space="0" w:color="auto"/>
              <w:left w:val="nil"/>
              <w:bottom w:val="single" w:sz="8" w:space="0" w:color="auto"/>
              <w:right w:val="single" w:sz="8" w:space="0" w:color="auto"/>
            </w:tcBorders>
            <w:shd w:val="clear" w:color="auto" w:fill="FABF8F"/>
            <w:tcMar>
              <w:top w:w="0" w:type="dxa"/>
              <w:left w:w="108" w:type="dxa"/>
              <w:bottom w:w="0" w:type="dxa"/>
              <w:right w:w="108" w:type="dxa"/>
            </w:tcMar>
          </w:tcPr>
          <w:p w:rsidR="00DB2D1E" w:rsidRPr="00A75DF9" w:rsidRDefault="00DB2D1E" w:rsidP="00DE73D4">
            <w:pPr>
              <w:pStyle w:val="tableclose"/>
              <w:spacing w:line="276" w:lineRule="auto"/>
              <w:rPr>
                <w:rFonts w:ascii="Tahoma" w:hAnsi="Tahoma" w:cs="Tahoma"/>
                <w:b/>
                <w:color w:val="000000"/>
              </w:rPr>
            </w:pPr>
            <w:r w:rsidRPr="00A75DF9">
              <w:rPr>
                <w:rFonts w:ascii="Tahoma" w:hAnsi="Tahoma" w:cs="Tahoma"/>
                <w:b/>
                <w:color w:val="000000"/>
              </w:rPr>
              <w:t>Risposta della Società Prevista</w:t>
            </w:r>
          </w:p>
        </w:tc>
      </w:tr>
      <w:tr w:rsidR="00DB2D1E" w:rsidRPr="00A75DF9"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A75DF9" w:rsidRDefault="00DB2D1E" w:rsidP="00DE73D4">
            <w:pPr>
              <w:pStyle w:val="tableclose"/>
              <w:spacing w:line="276" w:lineRule="auto"/>
              <w:rPr>
                <w:rFonts w:ascii="Tahoma" w:hAnsi="Tahoma" w:cs="Tahoma"/>
                <w:color w:val="000000"/>
                <w:sz w:val="18"/>
                <w:szCs w:val="18"/>
              </w:rPr>
            </w:pPr>
            <w:r w:rsidRPr="00A75DF9">
              <w:rPr>
                <w:rFonts w:ascii="Tahoma" w:hAnsi="Tahoma" w:cs="Tahoma"/>
                <w:color w:val="000000"/>
                <w:sz w:val="18"/>
                <w:szCs w:val="18"/>
              </w:rPr>
              <w:t>1. Formulazione solo telefonica</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380E04" w:rsidRDefault="00DB2D1E" w:rsidP="00346F4B">
            <w:pPr>
              <w:pStyle w:val="ListBullet3"/>
              <w:numPr>
                <w:ilvl w:val="0"/>
                <w:numId w:val="60"/>
              </w:numPr>
              <w:spacing w:line="276" w:lineRule="auto"/>
              <w:rPr>
                <w:rFonts w:ascii="Tahoma" w:hAnsi="Tahoma" w:cs="Tahoma"/>
                <w:sz w:val="18"/>
                <w:szCs w:val="18"/>
              </w:rPr>
            </w:pPr>
            <w:r w:rsidRPr="00380E04">
              <w:rPr>
                <w:rFonts w:ascii="Tahoma" w:hAnsi="Tahoma" w:cs="Tahoma"/>
                <w:color w:val="000000"/>
                <w:sz w:val="18"/>
                <w:szCs w:val="18"/>
              </w:rPr>
              <w:t xml:space="preserve">Impatto commerciale catastrofico </w:t>
            </w:r>
          </w:p>
          <w:p w:rsidR="00DB2D1E" w:rsidRPr="00380E04" w:rsidRDefault="00DB2D1E" w:rsidP="00380E04">
            <w:pPr>
              <w:pStyle w:val="ListBullet3"/>
              <w:numPr>
                <w:ilvl w:val="0"/>
                <w:numId w:val="60"/>
              </w:numPr>
              <w:spacing w:line="276" w:lineRule="auto"/>
              <w:rPr>
                <w:rFonts w:ascii="Tahoma" w:hAnsi="Tahoma" w:cs="Tahoma"/>
                <w:sz w:val="18"/>
                <w:szCs w:val="18"/>
              </w:rPr>
            </w:pPr>
            <w:r w:rsidRPr="00380E04">
              <w:rPr>
                <w:rFonts w:ascii="Tahoma" w:hAnsi="Tahoma" w:cs="Tahoma"/>
                <w:color w:val="000000"/>
                <w:sz w:val="18"/>
                <w:szCs w:val="18"/>
              </w:rPr>
              <w:t>Perdita completa di un</w:t>
            </w:r>
            <w:r w:rsidR="00380E04" w:rsidRPr="00380E04">
              <w:rPr>
                <w:rFonts w:ascii="Tahoma" w:hAnsi="Tahoma" w:cs="Tahoma"/>
                <w:color w:val="000000"/>
                <w:sz w:val="18"/>
                <w:szCs w:val="18"/>
              </w:rPr>
              <w:t> </w:t>
            </w:r>
            <w:r w:rsidRPr="00380E04">
              <w:rPr>
                <w:rFonts w:ascii="Tahoma" w:hAnsi="Tahoma" w:cs="Tahoma"/>
                <w:color w:val="000000"/>
                <w:sz w:val="18"/>
                <w:szCs w:val="18"/>
              </w:rPr>
              <w:t>procedimento commerciale cruciale (mission critical) e</w:t>
            </w:r>
            <w:r w:rsidR="00380E04" w:rsidRPr="00380E04">
              <w:rPr>
                <w:rFonts w:ascii="Tahoma" w:hAnsi="Tahoma" w:cs="Tahoma"/>
                <w:color w:val="000000"/>
                <w:sz w:val="18"/>
                <w:szCs w:val="18"/>
              </w:rPr>
              <w:t> </w:t>
            </w:r>
            <w:r w:rsidRPr="00380E04">
              <w:rPr>
                <w:rFonts w:ascii="Tahoma" w:hAnsi="Tahoma" w:cs="Tahoma"/>
                <w:color w:val="000000"/>
                <w:sz w:val="18"/>
                <w:szCs w:val="18"/>
              </w:rPr>
              <w:t>impossibilità di continuare in modo adeguato il lavoro</w:t>
            </w:r>
          </w:p>
          <w:p w:rsidR="00DB2D1E" w:rsidRPr="00380E04" w:rsidRDefault="00DB2D1E" w:rsidP="00346F4B">
            <w:pPr>
              <w:pStyle w:val="ListBullet3"/>
              <w:numPr>
                <w:ilvl w:val="0"/>
                <w:numId w:val="60"/>
              </w:numPr>
              <w:spacing w:line="276" w:lineRule="auto"/>
              <w:rPr>
                <w:rFonts w:ascii="Tahoma" w:hAnsi="Tahoma" w:cs="Tahoma"/>
                <w:color w:val="000000"/>
                <w:sz w:val="18"/>
                <w:szCs w:val="18"/>
              </w:rPr>
            </w:pPr>
            <w:r w:rsidRPr="00380E04">
              <w:rPr>
                <w:rFonts w:ascii="Tahoma" w:hAnsi="Tahoma" w:cs="Tahoma"/>
                <w:color w:val="000000"/>
                <w:sz w:val="18"/>
                <w:szCs w:val="18"/>
              </w:rPr>
              <w:t>Necessità di un intervento immediato</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380E04" w:rsidRDefault="00DB2D1E" w:rsidP="00380E04">
            <w:pPr>
              <w:pStyle w:val="ListBullet3"/>
              <w:numPr>
                <w:ilvl w:val="0"/>
                <w:numId w:val="61"/>
              </w:numPr>
              <w:spacing w:line="276" w:lineRule="auto"/>
              <w:rPr>
                <w:rFonts w:ascii="Tahoma" w:hAnsi="Tahoma" w:cs="Tahoma"/>
                <w:sz w:val="18"/>
                <w:szCs w:val="18"/>
              </w:rPr>
            </w:pPr>
            <w:r w:rsidRPr="00380E04">
              <w:rPr>
                <w:rFonts w:ascii="Tahoma" w:hAnsi="Tahoma" w:cs="Tahoma"/>
                <w:color w:val="000000"/>
                <w:sz w:val="18"/>
                <w:szCs w:val="18"/>
              </w:rPr>
              <w:t>Risposta alla prima chiamata</w:t>
            </w:r>
            <w:r w:rsidR="00380E04">
              <w:rPr>
                <w:rFonts w:ascii="Tahoma" w:hAnsi="Tahoma" w:cs="Tahoma"/>
                <w:color w:val="000000"/>
                <w:sz w:val="18"/>
                <w:szCs w:val="18"/>
              </w:rPr>
              <w:t> </w:t>
            </w:r>
            <w:r w:rsidRPr="00380E04">
              <w:rPr>
                <w:rFonts w:ascii="Tahoma" w:hAnsi="Tahoma" w:cs="Tahoma"/>
                <w:color w:val="000000"/>
                <w:sz w:val="18"/>
                <w:szCs w:val="18"/>
              </w:rPr>
              <w:t>in 1 ora o meno</w:t>
            </w:r>
          </w:p>
          <w:p w:rsidR="00DB2D1E" w:rsidRPr="00380E04" w:rsidRDefault="00DB2D1E" w:rsidP="00380E04">
            <w:pPr>
              <w:pStyle w:val="ListBullet3"/>
              <w:numPr>
                <w:ilvl w:val="0"/>
                <w:numId w:val="61"/>
              </w:numPr>
              <w:spacing w:line="276" w:lineRule="auto"/>
              <w:rPr>
                <w:rFonts w:ascii="Tahoma" w:hAnsi="Tahoma" w:cs="Tahoma"/>
                <w:sz w:val="18"/>
                <w:szCs w:val="18"/>
              </w:rPr>
            </w:pPr>
            <w:r w:rsidRPr="00380E04">
              <w:rPr>
                <w:rFonts w:ascii="Tahoma" w:hAnsi="Tahoma" w:cs="Tahoma"/>
                <w:color w:val="000000"/>
                <w:sz w:val="18"/>
                <w:szCs w:val="18"/>
              </w:rPr>
              <w:t>Risorse Microsoft sul sito il</w:t>
            </w:r>
            <w:r w:rsidR="00380E04" w:rsidRPr="00380E04">
              <w:rPr>
                <w:rFonts w:ascii="Tahoma" w:hAnsi="Tahoma" w:cs="Tahoma"/>
                <w:color w:val="000000"/>
                <w:sz w:val="18"/>
                <w:szCs w:val="18"/>
              </w:rPr>
              <w:t> </w:t>
            </w:r>
            <w:r w:rsidRPr="00380E04">
              <w:rPr>
                <w:rFonts w:ascii="Tahoma" w:hAnsi="Tahoma" w:cs="Tahoma"/>
                <w:color w:val="000000"/>
                <w:sz w:val="18"/>
                <w:szCs w:val="18"/>
              </w:rPr>
              <w:t>più presto possibile</w:t>
            </w:r>
          </w:p>
          <w:p w:rsidR="00DB2D1E" w:rsidRPr="00380E04" w:rsidRDefault="00DB2D1E" w:rsidP="00346F4B">
            <w:pPr>
              <w:pStyle w:val="ListBullet3"/>
              <w:numPr>
                <w:ilvl w:val="0"/>
                <w:numId w:val="61"/>
              </w:numPr>
              <w:spacing w:line="276" w:lineRule="auto"/>
              <w:rPr>
                <w:rFonts w:ascii="Tahoma" w:hAnsi="Tahoma" w:cs="Tahoma"/>
                <w:sz w:val="18"/>
                <w:szCs w:val="18"/>
              </w:rPr>
            </w:pPr>
            <w:r w:rsidRPr="00380E04">
              <w:rPr>
                <w:rFonts w:ascii="Tahoma" w:hAnsi="Tahoma" w:cs="Tahoma"/>
                <w:color w:val="000000"/>
                <w:sz w:val="18"/>
                <w:szCs w:val="18"/>
              </w:rPr>
              <w:t>Impegno continuo 24x7</w:t>
            </w:r>
          </w:p>
          <w:p w:rsidR="00DB2D1E" w:rsidRPr="00380E04" w:rsidRDefault="00DB2D1E" w:rsidP="00346F4B">
            <w:pPr>
              <w:pStyle w:val="ListBullet3"/>
              <w:numPr>
                <w:ilvl w:val="0"/>
                <w:numId w:val="61"/>
              </w:numPr>
              <w:spacing w:line="276" w:lineRule="auto"/>
              <w:rPr>
                <w:rFonts w:ascii="Tahoma" w:hAnsi="Tahoma" w:cs="Tahoma"/>
                <w:sz w:val="18"/>
                <w:szCs w:val="18"/>
              </w:rPr>
            </w:pPr>
            <w:r w:rsidRPr="00380E04">
              <w:rPr>
                <w:rFonts w:ascii="Tahoma" w:hAnsi="Tahoma" w:cs="Tahoma"/>
                <w:color w:val="000000"/>
                <w:sz w:val="18"/>
                <w:szCs w:val="18"/>
              </w:rPr>
              <w:t>Escalation Rapida ai team dei Prodotti di Microsoft</w:t>
            </w:r>
          </w:p>
          <w:p w:rsidR="00DB2D1E" w:rsidRPr="00380E04" w:rsidRDefault="00DB2D1E" w:rsidP="00346F4B">
            <w:pPr>
              <w:pStyle w:val="ListBullet3"/>
              <w:numPr>
                <w:ilvl w:val="0"/>
                <w:numId w:val="61"/>
              </w:numPr>
              <w:spacing w:line="276" w:lineRule="auto"/>
              <w:rPr>
                <w:rFonts w:ascii="Tahoma" w:hAnsi="Tahoma" w:cs="Tahoma"/>
                <w:color w:val="000000"/>
                <w:sz w:val="18"/>
                <w:szCs w:val="18"/>
              </w:rPr>
            </w:pPr>
            <w:r w:rsidRPr="00380E04">
              <w:rPr>
                <w:rFonts w:ascii="Tahoma" w:hAnsi="Tahoma" w:cs="Tahoma"/>
                <w:color w:val="000000"/>
                <w:sz w:val="18"/>
                <w:szCs w:val="18"/>
              </w:rPr>
              <w:t xml:space="preserve">Comunicazione dei Dirigenti di Alto Livello di Microsoft </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380E04" w:rsidRDefault="00DB2D1E" w:rsidP="00346F4B">
            <w:pPr>
              <w:pStyle w:val="ListBullet3"/>
              <w:numPr>
                <w:ilvl w:val="0"/>
                <w:numId w:val="62"/>
              </w:numPr>
              <w:spacing w:line="276" w:lineRule="auto"/>
              <w:rPr>
                <w:rFonts w:ascii="Tahoma" w:hAnsi="Tahoma" w:cs="Tahoma"/>
                <w:sz w:val="18"/>
                <w:szCs w:val="18"/>
              </w:rPr>
            </w:pPr>
            <w:r w:rsidRPr="00380E04">
              <w:rPr>
                <w:rFonts w:ascii="Tahoma" w:hAnsi="Tahoma" w:cs="Tahoma"/>
                <w:color w:val="000000"/>
                <w:sz w:val="18"/>
                <w:szCs w:val="18"/>
              </w:rPr>
              <w:t xml:space="preserve">Comunicazione dei dirigenti di alto livello della società </w:t>
            </w:r>
          </w:p>
          <w:p w:rsidR="00DB2D1E" w:rsidRPr="00380E04" w:rsidRDefault="00DB2D1E" w:rsidP="00346F4B">
            <w:pPr>
              <w:pStyle w:val="ListBullet3"/>
              <w:numPr>
                <w:ilvl w:val="0"/>
                <w:numId w:val="62"/>
              </w:numPr>
              <w:spacing w:line="276" w:lineRule="auto"/>
              <w:rPr>
                <w:rFonts w:ascii="Tahoma" w:hAnsi="Tahoma" w:cs="Tahoma"/>
                <w:sz w:val="18"/>
                <w:szCs w:val="18"/>
              </w:rPr>
            </w:pPr>
            <w:r w:rsidRPr="00380E04">
              <w:rPr>
                <w:rFonts w:ascii="Tahoma" w:hAnsi="Tahoma" w:cs="Tahoma"/>
                <w:color w:val="000000"/>
                <w:sz w:val="18"/>
                <w:szCs w:val="18"/>
              </w:rPr>
              <w:t>Allocazione delle risorse appropriate per sostenere l</w:t>
            </w:r>
            <w:r w:rsidR="00F2643E">
              <w:rPr>
                <w:rFonts w:ascii="Tahoma" w:hAnsi="Tahoma" w:cs="Tahoma"/>
                <w:color w:val="000000"/>
                <w:sz w:val="18"/>
                <w:szCs w:val="18"/>
              </w:rPr>
              <w:t>’</w:t>
            </w:r>
            <w:r w:rsidRPr="00380E04">
              <w:rPr>
                <w:rFonts w:ascii="Tahoma" w:hAnsi="Tahoma" w:cs="Tahoma"/>
                <w:color w:val="000000"/>
                <w:sz w:val="18"/>
                <w:szCs w:val="18"/>
              </w:rPr>
              <w:t>impegno continuo 24x7</w:t>
            </w:r>
            <w:r w:rsidRPr="00380E04">
              <w:rPr>
                <w:rFonts w:ascii="Tahoma" w:hAnsi="Tahoma" w:cs="Tahoma"/>
                <w:color w:val="000000"/>
                <w:sz w:val="18"/>
                <w:szCs w:val="18"/>
                <w:vertAlign w:val="superscript"/>
              </w:rPr>
              <w:t>2</w:t>
            </w:r>
          </w:p>
          <w:p w:rsidR="00DB2D1E" w:rsidRPr="00380E04" w:rsidRDefault="00DB2D1E" w:rsidP="00380E04">
            <w:pPr>
              <w:pStyle w:val="ListBullet3"/>
              <w:numPr>
                <w:ilvl w:val="0"/>
                <w:numId w:val="62"/>
              </w:numPr>
              <w:spacing w:line="276" w:lineRule="auto"/>
              <w:rPr>
                <w:rFonts w:ascii="Tahoma" w:hAnsi="Tahoma" w:cs="Tahoma"/>
                <w:color w:val="000000"/>
                <w:sz w:val="18"/>
                <w:szCs w:val="18"/>
              </w:rPr>
            </w:pPr>
            <w:r w:rsidRPr="00380E04">
              <w:rPr>
                <w:rFonts w:ascii="Tahoma" w:hAnsi="Tahoma" w:cs="Tahoma"/>
                <w:color w:val="000000"/>
                <w:sz w:val="18"/>
                <w:szCs w:val="18"/>
              </w:rPr>
              <w:t>Accesso e risposte rapide dall</w:t>
            </w:r>
            <w:r w:rsidR="00F2643E">
              <w:rPr>
                <w:rFonts w:ascii="Tahoma" w:hAnsi="Tahoma" w:cs="Tahoma"/>
                <w:color w:val="000000"/>
                <w:sz w:val="18"/>
                <w:szCs w:val="18"/>
              </w:rPr>
              <w:t>’</w:t>
            </w:r>
            <w:r w:rsidRPr="00380E04">
              <w:rPr>
                <w:rFonts w:ascii="Tahoma" w:hAnsi="Tahoma" w:cs="Tahoma"/>
                <w:color w:val="000000"/>
                <w:sz w:val="18"/>
                <w:szCs w:val="18"/>
              </w:rPr>
              <w:t>autorità di</w:t>
            </w:r>
            <w:r w:rsidR="00380E04">
              <w:rPr>
                <w:rFonts w:ascii="Tahoma" w:hAnsi="Tahoma" w:cs="Tahoma"/>
                <w:color w:val="000000"/>
                <w:sz w:val="18"/>
                <w:szCs w:val="18"/>
              </w:rPr>
              <w:t> </w:t>
            </w:r>
            <w:r w:rsidRPr="00380E04">
              <w:rPr>
                <w:rFonts w:ascii="Tahoma" w:hAnsi="Tahoma" w:cs="Tahoma"/>
                <w:color w:val="000000"/>
                <w:sz w:val="18"/>
                <w:szCs w:val="18"/>
              </w:rPr>
              <w:t>controllo delle modifiche</w:t>
            </w:r>
          </w:p>
        </w:tc>
      </w:tr>
      <w:tr w:rsidR="00DB2D1E" w:rsidRPr="00A75DF9"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A75DF9" w:rsidRDefault="00DB2D1E" w:rsidP="00DE73D4">
            <w:pPr>
              <w:pStyle w:val="tableclose"/>
              <w:spacing w:line="276" w:lineRule="auto"/>
              <w:rPr>
                <w:rFonts w:ascii="Tahoma" w:hAnsi="Tahoma" w:cs="Tahoma"/>
                <w:color w:val="000000"/>
                <w:sz w:val="18"/>
                <w:szCs w:val="18"/>
              </w:rPr>
            </w:pPr>
            <w:r w:rsidRPr="00A75DF9">
              <w:rPr>
                <w:rFonts w:ascii="Tahoma" w:hAnsi="Tahoma" w:cs="Tahoma"/>
                <w:color w:val="000000"/>
                <w:sz w:val="18"/>
                <w:szCs w:val="18"/>
              </w:rPr>
              <w:t>A Formulazione solo telefonica</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380E04" w:rsidRDefault="00DB2D1E" w:rsidP="00346F4B">
            <w:pPr>
              <w:pStyle w:val="ListBullet3"/>
              <w:numPr>
                <w:ilvl w:val="0"/>
                <w:numId w:val="60"/>
              </w:numPr>
              <w:spacing w:line="276" w:lineRule="auto"/>
              <w:rPr>
                <w:rFonts w:ascii="Tahoma" w:hAnsi="Tahoma" w:cs="Tahoma"/>
                <w:sz w:val="18"/>
                <w:szCs w:val="18"/>
              </w:rPr>
            </w:pPr>
            <w:r w:rsidRPr="00380E04">
              <w:rPr>
                <w:rFonts w:ascii="Tahoma" w:hAnsi="Tahoma" w:cs="Tahoma"/>
                <w:color w:val="000000"/>
                <w:sz w:val="18"/>
                <w:szCs w:val="18"/>
              </w:rPr>
              <w:t xml:space="preserve">Impatto commerciale critico </w:t>
            </w:r>
          </w:p>
          <w:p w:rsidR="00DB2D1E" w:rsidRPr="00380E04" w:rsidRDefault="00DB2D1E" w:rsidP="00346F4B">
            <w:pPr>
              <w:pStyle w:val="ListBullet3"/>
              <w:numPr>
                <w:ilvl w:val="0"/>
                <w:numId w:val="60"/>
              </w:numPr>
              <w:spacing w:line="276" w:lineRule="auto"/>
              <w:rPr>
                <w:rFonts w:ascii="Tahoma" w:hAnsi="Tahoma" w:cs="Tahoma"/>
                <w:sz w:val="18"/>
                <w:szCs w:val="18"/>
              </w:rPr>
            </w:pPr>
            <w:r w:rsidRPr="00380E04">
              <w:rPr>
                <w:rFonts w:ascii="Tahoma" w:hAnsi="Tahoma" w:cs="Tahoma"/>
                <w:color w:val="000000"/>
                <w:sz w:val="18"/>
                <w:szCs w:val="18"/>
              </w:rPr>
              <w:t>Perdita o degradazione significativa dei servizi</w:t>
            </w:r>
          </w:p>
          <w:p w:rsidR="00DB2D1E" w:rsidRPr="00380E04" w:rsidRDefault="00DB2D1E" w:rsidP="00346F4B">
            <w:pPr>
              <w:pStyle w:val="ListBullet3"/>
              <w:numPr>
                <w:ilvl w:val="0"/>
                <w:numId w:val="60"/>
              </w:numPr>
              <w:spacing w:line="276" w:lineRule="auto"/>
              <w:rPr>
                <w:rFonts w:ascii="Tahoma" w:hAnsi="Tahoma" w:cs="Tahoma"/>
                <w:color w:val="000000"/>
                <w:sz w:val="18"/>
                <w:szCs w:val="18"/>
              </w:rPr>
            </w:pPr>
            <w:r w:rsidRPr="00380E04">
              <w:rPr>
                <w:rFonts w:ascii="Tahoma" w:hAnsi="Tahoma" w:cs="Tahoma"/>
                <w:color w:val="000000"/>
                <w:sz w:val="18"/>
                <w:szCs w:val="18"/>
              </w:rPr>
              <w:t>Necessità dell</w:t>
            </w:r>
            <w:r w:rsidR="00F2643E">
              <w:rPr>
                <w:rFonts w:ascii="Tahoma" w:hAnsi="Tahoma" w:cs="Tahoma"/>
                <w:color w:val="000000"/>
                <w:sz w:val="18"/>
                <w:szCs w:val="18"/>
              </w:rPr>
              <w:t>’</w:t>
            </w:r>
            <w:r w:rsidRPr="00380E04">
              <w:rPr>
                <w:rFonts w:ascii="Tahoma" w:hAnsi="Tahoma" w:cs="Tahoma"/>
                <w:color w:val="000000"/>
                <w:sz w:val="18"/>
                <w:szCs w:val="18"/>
              </w:rPr>
              <w:t>intervento entro 1 ora</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380E04" w:rsidRDefault="00DB2D1E" w:rsidP="00380E04">
            <w:pPr>
              <w:pStyle w:val="ListBullet3"/>
              <w:numPr>
                <w:ilvl w:val="0"/>
                <w:numId w:val="61"/>
              </w:numPr>
              <w:spacing w:line="276" w:lineRule="auto"/>
              <w:rPr>
                <w:rFonts w:ascii="Tahoma" w:hAnsi="Tahoma" w:cs="Tahoma"/>
                <w:sz w:val="18"/>
                <w:szCs w:val="18"/>
              </w:rPr>
            </w:pPr>
            <w:r w:rsidRPr="00380E04">
              <w:rPr>
                <w:rFonts w:ascii="Tahoma" w:hAnsi="Tahoma" w:cs="Tahoma"/>
                <w:color w:val="000000"/>
                <w:sz w:val="18"/>
                <w:szCs w:val="18"/>
              </w:rPr>
              <w:t>Risposta alla prima chiamata</w:t>
            </w:r>
            <w:r w:rsidR="00380E04">
              <w:rPr>
                <w:rFonts w:ascii="Tahoma" w:hAnsi="Tahoma" w:cs="Tahoma"/>
                <w:color w:val="000000"/>
                <w:sz w:val="18"/>
                <w:szCs w:val="18"/>
              </w:rPr>
              <w:t> </w:t>
            </w:r>
            <w:r w:rsidRPr="00380E04">
              <w:rPr>
                <w:rFonts w:ascii="Tahoma" w:hAnsi="Tahoma" w:cs="Tahoma"/>
                <w:color w:val="000000"/>
                <w:sz w:val="18"/>
                <w:szCs w:val="18"/>
              </w:rPr>
              <w:t>in 1 ora o meno</w:t>
            </w:r>
          </w:p>
          <w:p w:rsidR="00DB2D1E" w:rsidRPr="00380E04" w:rsidRDefault="00DB2D1E" w:rsidP="00346F4B">
            <w:pPr>
              <w:pStyle w:val="ListBullet3"/>
              <w:numPr>
                <w:ilvl w:val="0"/>
                <w:numId w:val="61"/>
              </w:numPr>
              <w:spacing w:line="276" w:lineRule="auto"/>
              <w:rPr>
                <w:rFonts w:ascii="Tahoma" w:hAnsi="Tahoma" w:cs="Tahoma"/>
                <w:sz w:val="18"/>
                <w:szCs w:val="18"/>
              </w:rPr>
            </w:pPr>
            <w:r w:rsidRPr="00380E04">
              <w:rPr>
                <w:rFonts w:ascii="Tahoma" w:hAnsi="Tahoma" w:cs="Tahoma"/>
                <w:color w:val="000000"/>
                <w:sz w:val="18"/>
                <w:szCs w:val="18"/>
              </w:rPr>
              <w:t>Risorse Microsoft presso la sede della società, come richiesto.</w:t>
            </w:r>
          </w:p>
          <w:p w:rsidR="00DB2D1E" w:rsidRPr="00380E04" w:rsidRDefault="00DB2D1E" w:rsidP="00346F4B">
            <w:pPr>
              <w:pStyle w:val="ListBullet3"/>
              <w:numPr>
                <w:ilvl w:val="0"/>
                <w:numId w:val="61"/>
              </w:numPr>
              <w:spacing w:line="276" w:lineRule="auto"/>
              <w:rPr>
                <w:rFonts w:ascii="Tahoma" w:hAnsi="Tahoma" w:cs="Tahoma"/>
                <w:sz w:val="18"/>
                <w:szCs w:val="18"/>
              </w:rPr>
            </w:pPr>
            <w:r w:rsidRPr="00380E04">
              <w:rPr>
                <w:rFonts w:ascii="Tahoma" w:hAnsi="Tahoma" w:cs="Tahoma"/>
                <w:color w:val="000000"/>
                <w:sz w:val="18"/>
                <w:szCs w:val="18"/>
              </w:rPr>
              <w:t>Impegno continuo 24x7</w:t>
            </w:r>
          </w:p>
          <w:p w:rsidR="00DB2D1E" w:rsidRPr="00380E04" w:rsidRDefault="00DB2D1E" w:rsidP="00346F4B">
            <w:pPr>
              <w:pStyle w:val="ListBullet3"/>
              <w:numPr>
                <w:ilvl w:val="0"/>
                <w:numId w:val="61"/>
              </w:numPr>
              <w:spacing w:line="276" w:lineRule="auto"/>
              <w:rPr>
                <w:rFonts w:ascii="Tahoma" w:hAnsi="Tahoma" w:cs="Tahoma"/>
                <w:color w:val="000000"/>
                <w:sz w:val="18"/>
                <w:szCs w:val="18"/>
              </w:rPr>
            </w:pPr>
            <w:r w:rsidRPr="00380E04">
              <w:rPr>
                <w:rFonts w:ascii="Tahoma" w:hAnsi="Tahoma" w:cs="Tahoma"/>
                <w:color w:val="000000"/>
                <w:sz w:val="18"/>
                <w:szCs w:val="18"/>
              </w:rPr>
              <w:t>Comunicazione dei Dirigenti di Alto Livello di Microsoft</w:t>
            </w: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380E04" w:rsidRDefault="00DB2D1E" w:rsidP="00346F4B">
            <w:pPr>
              <w:pStyle w:val="ListBullet3"/>
              <w:numPr>
                <w:ilvl w:val="0"/>
                <w:numId w:val="62"/>
              </w:numPr>
              <w:spacing w:line="276" w:lineRule="auto"/>
              <w:rPr>
                <w:rFonts w:ascii="Tahoma" w:hAnsi="Tahoma" w:cs="Tahoma"/>
                <w:sz w:val="18"/>
                <w:szCs w:val="18"/>
              </w:rPr>
            </w:pPr>
            <w:r w:rsidRPr="00380E04">
              <w:rPr>
                <w:rFonts w:ascii="Tahoma" w:hAnsi="Tahoma" w:cs="Tahoma"/>
                <w:color w:val="000000"/>
                <w:sz w:val="18"/>
                <w:szCs w:val="18"/>
              </w:rPr>
              <w:t>Allocazione delle risorse appropriate per sostenere l</w:t>
            </w:r>
            <w:r w:rsidR="00F2643E">
              <w:rPr>
                <w:rFonts w:ascii="Tahoma" w:hAnsi="Tahoma" w:cs="Tahoma"/>
                <w:color w:val="000000"/>
                <w:sz w:val="18"/>
                <w:szCs w:val="18"/>
              </w:rPr>
              <w:t>’</w:t>
            </w:r>
            <w:r w:rsidRPr="00380E04">
              <w:rPr>
                <w:rFonts w:ascii="Tahoma" w:hAnsi="Tahoma" w:cs="Tahoma"/>
                <w:color w:val="000000"/>
                <w:sz w:val="18"/>
                <w:szCs w:val="18"/>
              </w:rPr>
              <w:t>impegno continuo 24x7</w:t>
            </w:r>
            <w:r w:rsidRPr="00380E04">
              <w:rPr>
                <w:rFonts w:ascii="Tahoma" w:hAnsi="Tahoma" w:cs="Tahoma"/>
                <w:color w:val="000000"/>
                <w:sz w:val="18"/>
                <w:szCs w:val="18"/>
                <w:vertAlign w:val="superscript"/>
              </w:rPr>
              <w:t>2</w:t>
            </w:r>
          </w:p>
          <w:p w:rsidR="00DB2D1E" w:rsidRPr="00380E04" w:rsidRDefault="00DB2D1E" w:rsidP="00380E04">
            <w:pPr>
              <w:pStyle w:val="ListBullet3"/>
              <w:numPr>
                <w:ilvl w:val="0"/>
                <w:numId w:val="62"/>
              </w:numPr>
              <w:spacing w:line="276" w:lineRule="auto"/>
              <w:rPr>
                <w:rFonts w:ascii="Tahoma" w:hAnsi="Tahoma" w:cs="Tahoma"/>
                <w:sz w:val="18"/>
                <w:szCs w:val="18"/>
              </w:rPr>
            </w:pPr>
            <w:r w:rsidRPr="00380E04">
              <w:rPr>
                <w:rFonts w:ascii="Tahoma" w:hAnsi="Tahoma" w:cs="Tahoma"/>
                <w:color w:val="000000"/>
                <w:sz w:val="18"/>
                <w:szCs w:val="18"/>
              </w:rPr>
              <w:t>Accesso e risposte rapide dall</w:t>
            </w:r>
            <w:r w:rsidR="00F2643E">
              <w:rPr>
                <w:rFonts w:ascii="Tahoma" w:hAnsi="Tahoma" w:cs="Tahoma"/>
                <w:color w:val="000000"/>
                <w:sz w:val="18"/>
                <w:szCs w:val="18"/>
              </w:rPr>
              <w:t>’</w:t>
            </w:r>
            <w:r w:rsidRPr="00380E04">
              <w:rPr>
                <w:rFonts w:ascii="Tahoma" w:hAnsi="Tahoma" w:cs="Tahoma"/>
                <w:color w:val="000000"/>
                <w:sz w:val="18"/>
                <w:szCs w:val="18"/>
              </w:rPr>
              <w:t>autorità di</w:t>
            </w:r>
            <w:r w:rsidR="00380E04">
              <w:rPr>
                <w:rFonts w:ascii="Tahoma" w:hAnsi="Tahoma" w:cs="Tahoma"/>
                <w:color w:val="000000"/>
                <w:sz w:val="18"/>
                <w:szCs w:val="18"/>
              </w:rPr>
              <w:t> </w:t>
            </w:r>
            <w:r w:rsidRPr="00380E04">
              <w:rPr>
                <w:rFonts w:ascii="Tahoma" w:hAnsi="Tahoma" w:cs="Tahoma"/>
                <w:color w:val="000000"/>
                <w:sz w:val="18"/>
                <w:szCs w:val="18"/>
              </w:rPr>
              <w:t>controllo delle modifiche</w:t>
            </w:r>
          </w:p>
          <w:p w:rsidR="00DB2D1E" w:rsidRPr="00380E04" w:rsidRDefault="00DB2D1E" w:rsidP="00346F4B">
            <w:pPr>
              <w:pStyle w:val="ListBullet3"/>
              <w:numPr>
                <w:ilvl w:val="0"/>
                <w:numId w:val="62"/>
              </w:numPr>
              <w:spacing w:line="276" w:lineRule="auto"/>
              <w:rPr>
                <w:rFonts w:ascii="Tahoma" w:hAnsi="Tahoma" w:cs="Tahoma"/>
                <w:color w:val="000000"/>
                <w:sz w:val="18"/>
                <w:szCs w:val="18"/>
              </w:rPr>
            </w:pPr>
            <w:r w:rsidRPr="00380E04">
              <w:rPr>
                <w:rFonts w:ascii="Tahoma" w:hAnsi="Tahoma" w:cs="Tahoma"/>
                <w:color w:val="000000"/>
                <w:sz w:val="18"/>
                <w:szCs w:val="18"/>
              </w:rPr>
              <w:t>Comunicazione della direzione</w:t>
            </w:r>
          </w:p>
        </w:tc>
      </w:tr>
      <w:tr w:rsidR="00DB2D1E" w:rsidRPr="00A75DF9"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A75DF9" w:rsidRDefault="00DB2D1E" w:rsidP="00DE73D4">
            <w:pPr>
              <w:pStyle w:val="tableclose"/>
              <w:spacing w:line="276" w:lineRule="auto"/>
              <w:rPr>
                <w:rFonts w:ascii="Tahoma" w:hAnsi="Tahoma" w:cs="Tahoma"/>
                <w:color w:val="000000"/>
                <w:sz w:val="18"/>
                <w:szCs w:val="18"/>
              </w:rPr>
            </w:pPr>
            <w:r w:rsidRPr="00A75DF9">
              <w:rPr>
                <w:rFonts w:ascii="Tahoma" w:hAnsi="Tahoma" w:cs="Tahoma"/>
                <w:color w:val="000000"/>
                <w:sz w:val="18"/>
                <w:szCs w:val="18"/>
              </w:rPr>
              <w:t>B Formulazione telefonica o invio tramite 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380E04" w:rsidRDefault="00DB2D1E" w:rsidP="00346F4B">
            <w:pPr>
              <w:pStyle w:val="ListBullet3"/>
              <w:numPr>
                <w:ilvl w:val="0"/>
                <w:numId w:val="60"/>
              </w:numPr>
              <w:spacing w:line="276" w:lineRule="auto"/>
              <w:rPr>
                <w:rFonts w:ascii="Tahoma" w:hAnsi="Tahoma" w:cs="Tahoma"/>
                <w:sz w:val="18"/>
                <w:szCs w:val="18"/>
              </w:rPr>
            </w:pPr>
            <w:r w:rsidRPr="00380E04">
              <w:rPr>
                <w:rFonts w:ascii="Tahoma" w:hAnsi="Tahoma" w:cs="Tahoma"/>
                <w:color w:val="000000"/>
                <w:sz w:val="18"/>
                <w:szCs w:val="18"/>
              </w:rPr>
              <w:t xml:space="preserve">Impatto commerciale moderato: </w:t>
            </w:r>
          </w:p>
          <w:p w:rsidR="00DB2D1E" w:rsidRPr="00380E04" w:rsidRDefault="00DB2D1E" w:rsidP="00346F4B">
            <w:pPr>
              <w:pStyle w:val="ListBullet3"/>
              <w:numPr>
                <w:ilvl w:val="0"/>
                <w:numId w:val="60"/>
              </w:numPr>
              <w:spacing w:line="276" w:lineRule="auto"/>
              <w:rPr>
                <w:rFonts w:ascii="Tahoma" w:hAnsi="Tahoma" w:cs="Tahoma"/>
                <w:sz w:val="18"/>
                <w:szCs w:val="18"/>
              </w:rPr>
            </w:pPr>
            <w:r w:rsidRPr="00380E04">
              <w:rPr>
                <w:rFonts w:ascii="Tahoma" w:hAnsi="Tahoma" w:cs="Tahoma"/>
                <w:color w:val="000000"/>
                <w:sz w:val="18"/>
                <w:szCs w:val="18"/>
              </w:rPr>
              <w:t>Perdita o degradazione moderata dei servizi e possibilità di continuare il lavoro in modo meno efficiente.</w:t>
            </w:r>
          </w:p>
          <w:p w:rsidR="00DB2D1E" w:rsidRPr="00380E04" w:rsidRDefault="00DB2D1E" w:rsidP="00346F4B">
            <w:pPr>
              <w:pStyle w:val="ListBullet3"/>
              <w:numPr>
                <w:ilvl w:val="0"/>
                <w:numId w:val="60"/>
              </w:numPr>
              <w:spacing w:line="276" w:lineRule="auto"/>
              <w:rPr>
                <w:rFonts w:ascii="Tahoma" w:hAnsi="Tahoma" w:cs="Tahoma"/>
                <w:color w:val="000000"/>
                <w:sz w:val="18"/>
                <w:szCs w:val="18"/>
              </w:rPr>
            </w:pPr>
            <w:r w:rsidRPr="00380E04">
              <w:rPr>
                <w:rFonts w:ascii="Tahoma" w:hAnsi="Tahoma" w:cs="Tahoma"/>
                <w:color w:val="000000"/>
                <w:sz w:val="18"/>
                <w:szCs w:val="18"/>
              </w:rPr>
              <w:t>Necessità dell</w:t>
            </w:r>
            <w:r w:rsidR="00F2643E">
              <w:rPr>
                <w:rFonts w:ascii="Tahoma" w:hAnsi="Tahoma" w:cs="Tahoma"/>
                <w:color w:val="000000"/>
                <w:sz w:val="18"/>
                <w:szCs w:val="18"/>
              </w:rPr>
              <w:t>’</w:t>
            </w:r>
            <w:r w:rsidRPr="00380E04">
              <w:rPr>
                <w:rFonts w:ascii="Tahoma" w:hAnsi="Tahoma" w:cs="Tahoma"/>
                <w:color w:val="000000"/>
                <w:sz w:val="18"/>
                <w:szCs w:val="18"/>
              </w:rPr>
              <w:t>intervento entro 2 Ore Lavorative</w:t>
            </w:r>
            <w:r w:rsidRPr="00380E04">
              <w:rPr>
                <w:rFonts w:ascii="Tahoma" w:hAnsi="Tahoma" w:cs="Tahoma"/>
                <w:color w:val="000000"/>
                <w:sz w:val="18"/>
                <w:szCs w:val="18"/>
                <w:vertAlign w:val="superscript"/>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380E04" w:rsidRDefault="00DB2D1E" w:rsidP="00346F4B">
            <w:pPr>
              <w:pStyle w:val="ListBullet3"/>
              <w:numPr>
                <w:ilvl w:val="0"/>
                <w:numId w:val="61"/>
              </w:numPr>
              <w:spacing w:line="276" w:lineRule="auto"/>
              <w:rPr>
                <w:rFonts w:ascii="Tahoma" w:hAnsi="Tahoma" w:cs="Tahoma"/>
                <w:sz w:val="18"/>
                <w:szCs w:val="18"/>
              </w:rPr>
            </w:pPr>
            <w:r w:rsidRPr="00380E04">
              <w:rPr>
                <w:rFonts w:ascii="Tahoma" w:hAnsi="Tahoma" w:cs="Tahoma"/>
                <w:color w:val="000000"/>
                <w:sz w:val="18"/>
                <w:szCs w:val="18"/>
              </w:rPr>
              <w:t>Risposta alla prima chiamata in 2 ore o meno</w:t>
            </w:r>
          </w:p>
          <w:p w:rsidR="00DB2D1E" w:rsidRPr="00380E04" w:rsidRDefault="00DB2D1E" w:rsidP="00380E04">
            <w:pPr>
              <w:pStyle w:val="ListBullet3"/>
              <w:numPr>
                <w:ilvl w:val="0"/>
                <w:numId w:val="61"/>
              </w:numPr>
              <w:spacing w:line="276" w:lineRule="auto"/>
              <w:rPr>
                <w:rFonts w:ascii="Tahoma" w:hAnsi="Tahoma" w:cs="Tahoma"/>
                <w:sz w:val="18"/>
                <w:szCs w:val="18"/>
              </w:rPr>
            </w:pPr>
            <w:r w:rsidRPr="00380E04">
              <w:rPr>
                <w:rFonts w:ascii="Tahoma" w:hAnsi="Tahoma" w:cs="Tahoma"/>
                <w:color w:val="000000"/>
                <w:sz w:val="18"/>
                <w:szCs w:val="18"/>
              </w:rPr>
              <w:t>Impegno solo durante le Ore</w:t>
            </w:r>
            <w:r w:rsidR="00380E04">
              <w:rPr>
                <w:rFonts w:ascii="Tahoma" w:hAnsi="Tahoma" w:cs="Tahoma"/>
                <w:color w:val="000000"/>
                <w:sz w:val="18"/>
                <w:szCs w:val="18"/>
              </w:rPr>
              <w:t> </w:t>
            </w:r>
            <w:r w:rsidRPr="00380E04">
              <w:rPr>
                <w:rFonts w:ascii="Tahoma" w:hAnsi="Tahoma" w:cs="Tahoma"/>
                <w:color w:val="000000"/>
                <w:sz w:val="18"/>
                <w:szCs w:val="18"/>
              </w:rPr>
              <w:t>Lavorative</w:t>
            </w:r>
            <w:r w:rsidRPr="00380E04">
              <w:rPr>
                <w:rFonts w:ascii="Tahoma" w:hAnsi="Tahoma" w:cs="Tahoma"/>
                <w:color w:val="000000"/>
                <w:sz w:val="18"/>
                <w:szCs w:val="18"/>
                <w:vertAlign w:val="superscript"/>
              </w:rPr>
              <w:t>1</w:t>
            </w:r>
          </w:p>
          <w:p w:rsidR="00DB2D1E" w:rsidRPr="00380E04" w:rsidRDefault="00DB2D1E" w:rsidP="00DE73D4">
            <w:pPr>
              <w:pStyle w:val="ListBullet3"/>
              <w:tabs>
                <w:tab w:val="clear" w:pos="1080"/>
                <w:tab w:val="left" w:pos="720"/>
              </w:tabs>
              <w:spacing w:line="276" w:lineRule="auto"/>
              <w:ind w:left="529" w:hanging="450"/>
              <w:rPr>
                <w:rFonts w:ascii="Tahoma"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380E04" w:rsidRDefault="00DB2D1E" w:rsidP="00346F4B">
            <w:pPr>
              <w:pStyle w:val="ListBullet3"/>
              <w:numPr>
                <w:ilvl w:val="0"/>
                <w:numId w:val="62"/>
              </w:numPr>
              <w:spacing w:line="276" w:lineRule="auto"/>
              <w:rPr>
                <w:rFonts w:ascii="Tahoma" w:hAnsi="Tahoma" w:cs="Tahoma"/>
                <w:sz w:val="18"/>
                <w:szCs w:val="18"/>
              </w:rPr>
            </w:pPr>
            <w:r w:rsidRPr="00380E04">
              <w:rPr>
                <w:rFonts w:ascii="Tahoma" w:hAnsi="Tahoma" w:cs="Tahoma"/>
                <w:color w:val="000000"/>
                <w:sz w:val="18"/>
                <w:szCs w:val="18"/>
              </w:rPr>
              <w:t>Allocazione di risorse appropriate per sostenere l</w:t>
            </w:r>
            <w:r w:rsidR="00F2643E">
              <w:rPr>
                <w:rFonts w:ascii="Tahoma" w:hAnsi="Tahoma" w:cs="Tahoma"/>
                <w:color w:val="000000"/>
                <w:sz w:val="18"/>
                <w:szCs w:val="18"/>
              </w:rPr>
              <w:t>’</w:t>
            </w:r>
            <w:r w:rsidRPr="00380E04">
              <w:rPr>
                <w:rFonts w:ascii="Tahoma" w:hAnsi="Tahoma" w:cs="Tahoma"/>
                <w:color w:val="000000"/>
                <w:sz w:val="18"/>
                <w:szCs w:val="18"/>
              </w:rPr>
              <w:t>impegno continuo durante le Ore Lavorative</w:t>
            </w:r>
            <w:r w:rsidRPr="00380E04">
              <w:rPr>
                <w:rFonts w:ascii="Tahoma" w:hAnsi="Tahoma" w:cs="Tahoma"/>
                <w:color w:val="000000"/>
                <w:sz w:val="18"/>
                <w:szCs w:val="18"/>
                <w:vertAlign w:val="superscript"/>
              </w:rPr>
              <w:t>1</w:t>
            </w:r>
          </w:p>
          <w:p w:rsidR="00DB2D1E" w:rsidRPr="00380E04" w:rsidRDefault="00DB2D1E" w:rsidP="00346F4B">
            <w:pPr>
              <w:pStyle w:val="ListBullet3"/>
              <w:numPr>
                <w:ilvl w:val="0"/>
                <w:numId w:val="62"/>
              </w:numPr>
              <w:spacing w:line="276" w:lineRule="auto"/>
              <w:rPr>
                <w:rFonts w:ascii="Tahoma" w:hAnsi="Tahoma" w:cs="Tahoma"/>
                <w:color w:val="000000"/>
                <w:sz w:val="18"/>
                <w:szCs w:val="18"/>
              </w:rPr>
            </w:pPr>
            <w:r w:rsidRPr="00380E04">
              <w:rPr>
                <w:rFonts w:ascii="Tahoma" w:hAnsi="Tahoma" w:cs="Tahoma"/>
                <w:color w:val="000000"/>
                <w:sz w:val="18"/>
                <w:szCs w:val="18"/>
              </w:rPr>
              <w:t>Accesso e risposta dall</w:t>
            </w:r>
            <w:r w:rsidR="00F2643E">
              <w:rPr>
                <w:rFonts w:ascii="Tahoma" w:hAnsi="Tahoma" w:cs="Tahoma"/>
                <w:color w:val="000000"/>
                <w:sz w:val="18"/>
                <w:szCs w:val="18"/>
              </w:rPr>
              <w:t>’</w:t>
            </w:r>
            <w:r w:rsidRPr="00380E04">
              <w:rPr>
                <w:rFonts w:ascii="Tahoma" w:hAnsi="Tahoma" w:cs="Tahoma"/>
                <w:color w:val="000000"/>
                <w:sz w:val="18"/>
                <w:szCs w:val="18"/>
              </w:rPr>
              <w:t>autorità preposta al controllo delle modifiche entro 4 Ore Lavorative</w:t>
            </w:r>
            <w:r w:rsidRPr="00380E04">
              <w:rPr>
                <w:rFonts w:ascii="Tahoma" w:hAnsi="Tahoma" w:cs="Tahoma"/>
                <w:color w:val="000000"/>
                <w:sz w:val="18"/>
                <w:szCs w:val="18"/>
                <w:vertAlign w:val="superscript"/>
              </w:rPr>
              <w:t>1</w:t>
            </w:r>
          </w:p>
        </w:tc>
      </w:tr>
      <w:tr w:rsidR="00DB2D1E" w:rsidRPr="00A75DF9" w:rsidTr="002A6416">
        <w:tc>
          <w:tcPr>
            <w:tcW w:w="1542" w:type="dxa"/>
            <w:tcBorders>
              <w:top w:val="nil"/>
              <w:left w:val="single" w:sz="8" w:space="0" w:color="auto"/>
              <w:bottom w:val="single" w:sz="8" w:space="0" w:color="auto"/>
              <w:right w:val="single" w:sz="8" w:space="0" w:color="auto"/>
            </w:tcBorders>
            <w:tcMar>
              <w:top w:w="0" w:type="dxa"/>
              <w:left w:w="108" w:type="dxa"/>
              <w:bottom w:w="0" w:type="dxa"/>
              <w:right w:w="108" w:type="dxa"/>
            </w:tcMar>
          </w:tcPr>
          <w:p w:rsidR="00DB2D1E" w:rsidRPr="00A75DF9" w:rsidRDefault="00DB2D1E" w:rsidP="00DE73D4">
            <w:pPr>
              <w:pStyle w:val="tableclose"/>
              <w:spacing w:line="276" w:lineRule="auto"/>
              <w:rPr>
                <w:rFonts w:ascii="Tahoma" w:hAnsi="Tahoma" w:cs="Tahoma"/>
                <w:color w:val="000000"/>
                <w:sz w:val="18"/>
                <w:szCs w:val="18"/>
              </w:rPr>
            </w:pPr>
            <w:r w:rsidRPr="00A75DF9">
              <w:rPr>
                <w:rFonts w:ascii="Tahoma" w:hAnsi="Tahoma" w:cs="Tahoma"/>
                <w:color w:val="000000"/>
                <w:sz w:val="18"/>
                <w:szCs w:val="18"/>
              </w:rPr>
              <w:t>C Formulazione telefonica o invio tramite Web</w:t>
            </w:r>
          </w:p>
        </w:tc>
        <w:tc>
          <w:tcPr>
            <w:tcW w:w="2508" w:type="dxa"/>
            <w:tcBorders>
              <w:top w:val="nil"/>
              <w:left w:val="nil"/>
              <w:bottom w:val="single" w:sz="8" w:space="0" w:color="auto"/>
              <w:right w:val="single" w:sz="8" w:space="0" w:color="auto"/>
            </w:tcBorders>
            <w:tcMar>
              <w:top w:w="0" w:type="dxa"/>
              <w:left w:w="108" w:type="dxa"/>
              <w:bottom w:w="0" w:type="dxa"/>
              <w:right w:w="108" w:type="dxa"/>
            </w:tcMar>
          </w:tcPr>
          <w:p w:rsidR="00DB2D1E" w:rsidRPr="00380E04" w:rsidRDefault="00DB2D1E" w:rsidP="00346F4B">
            <w:pPr>
              <w:pStyle w:val="ListBullet3"/>
              <w:numPr>
                <w:ilvl w:val="0"/>
                <w:numId w:val="60"/>
              </w:numPr>
              <w:spacing w:line="276" w:lineRule="auto"/>
              <w:rPr>
                <w:rFonts w:ascii="Tahoma" w:hAnsi="Tahoma" w:cs="Tahoma"/>
                <w:sz w:val="18"/>
                <w:szCs w:val="18"/>
              </w:rPr>
            </w:pPr>
            <w:r w:rsidRPr="00380E04">
              <w:rPr>
                <w:rFonts w:ascii="Tahoma" w:hAnsi="Tahoma" w:cs="Tahoma"/>
                <w:color w:val="000000"/>
                <w:sz w:val="18"/>
                <w:szCs w:val="18"/>
              </w:rPr>
              <w:t xml:space="preserve">Impatto commerciale minimo </w:t>
            </w:r>
          </w:p>
          <w:p w:rsidR="00DB2D1E" w:rsidRPr="00380E04" w:rsidRDefault="00DB2D1E" w:rsidP="00346F4B">
            <w:pPr>
              <w:pStyle w:val="ListBullet3"/>
              <w:numPr>
                <w:ilvl w:val="0"/>
                <w:numId w:val="60"/>
              </w:numPr>
              <w:spacing w:line="276" w:lineRule="auto"/>
              <w:rPr>
                <w:rFonts w:ascii="Tahoma" w:hAnsi="Tahoma" w:cs="Tahoma"/>
                <w:sz w:val="18"/>
                <w:szCs w:val="18"/>
              </w:rPr>
            </w:pPr>
            <w:r w:rsidRPr="00380E04">
              <w:rPr>
                <w:rFonts w:ascii="Tahoma" w:hAnsi="Tahoma" w:cs="Tahoma"/>
                <w:color w:val="000000"/>
                <w:sz w:val="18"/>
                <w:szCs w:val="18"/>
              </w:rPr>
              <w:t>Funzionamento sostanzialmente nella norma, in alcuni casi con qualche minimo impedimento dei servizi.</w:t>
            </w:r>
          </w:p>
          <w:p w:rsidR="00DB2D1E" w:rsidRPr="00380E04" w:rsidRDefault="00DB2D1E" w:rsidP="00346F4B">
            <w:pPr>
              <w:pStyle w:val="ListBullet3"/>
              <w:numPr>
                <w:ilvl w:val="0"/>
                <w:numId w:val="60"/>
              </w:numPr>
              <w:spacing w:line="276" w:lineRule="auto"/>
              <w:rPr>
                <w:rFonts w:ascii="Tahoma" w:hAnsi="Tahoma" w:cs="Tahoma"/>
                <w:color w:val="000000"/>
                <w:sz w:val="18"/>
                <w:szCs w:val="18"/>
              </w:rPr>
            </w:pPr>
            <w:r w:rsidRPr="00380E04">
              <w:rPr>
                <w:rFonts w:ascii="Tahoma" w:hAnsi="Tahoma" w:cs="Tahoma"/>
                <w:color w:val="000000"/>
                <w:sz w:val="18"/>
                <w:szCs w:val="18"/>
              </w:rPr>
              <w:t>Necessità dell</w:t>
            </w:r>
            <w:r w:rsidR="00F2643E">
              <w:rPr>
                <w:rFonts w:ascii="Tahoma" w:hAnsi="Tahoma" w:cs="Tahoma"/>
                <w:color w:val="000000"/>
                <w:sz w:val="18"/>
                <w:szCs w:val="18"/>
              </w:rPr>
              <w:t>’</w:t>
            </w:r>
            <w:r w:rsidRPr="00380E04">
              <w:rPr>
                <w:rFonts w:ascii="Tahoma" w:hAnsi="Tahoma" w:cs="Tahoma"/>
                <w:color w:val="000000"/>
                <w:sz w:val="18"/>
                <w:szCs w:val="18"/>
              </w:rPr>
              <w:t>intervento entro 4 Ore Lavorative</w:t>
            </w:r>
            <w:r w:rsidRPr="00380E04">
              <w:rPr>
                <w:rFonts w:ascii="Tahoma" w:hAnsi="Tahoma" w:cs="Tahoma"/>
                <w:color w:val="000000"/>
                <w:sz w:val="18"/>
                <w:szCs w:val="18"/>
                <w:vertAlign w:val="superscript"/>
              </w:rPr>
              <w:t>1</w:t>
            </w:r>
          </w:p>
        </w:tc>
        <w:tc>
          <w:tcPr>
            <w:tcW w:w="2880" w:type="dxa"/>
            <w:tcBorders>
              <w:top w:val="nil"/>
              <w:left w:val="nil"/>
              <w:bottom w:val="single" w:sz="8" w:space="0" w:color="auto"/>
              <w:right w:val="single" w:sz="8" w:space="0" w:color="auto"/>
            </w:tcBorders>
            <w:tcMar>
              <w:top w:w="0" w:type="dxa"/>
              <w:left w:w="108" w:type="dxa"/>
              <w:bottom w:w="0" w:type="dxa"/>
              <w:right w:w="108" w:type="dxa"/>
            </w:tcMar>
          </w:tcPr>
          <w:p w:rsidR="00DB2D1E" w:rsidRPr="00380E04" w:rsidRDefault="00DB2D1E" w:rsidP="00346F4B">
            <w:pPr>
              <w:pStyle w:val="ListBullet3"/>
              <w:numPr>
                <w:ilvl w:val="0"/>
                <w:numId w:val="61"/>
              </w:numPr>
              <w:spacing w:line="276" w:lineRule="auto"/>
              <w:rPr>
                <w:rFonts w:ascii="Tahoma" w:hAnsi="Tahoma" w:cs="Tahoma"/>
                <w:sz w:val="18"/>
                <w:szCs w:val="18"/>
              </w:rPr>
            </w:pPr>
            <w:r w:rsidRPr="00380E04">
              <w:rPr>
                <w:rFonts w:ascii="Tahoma" w:hAnsi="Tahoma" w:cs="Tahoma"/>
                <w:color w:val="000000"/>
                <w:sz w:val="18"/>
                <w:szCs w:val="18"/>
              </w:rPr>
              <w:t>Risposta alla prima chiamata in 4 ore o meno</w:t>
            </w:r>
          </w:p>
          <w:p w:rsidR="00DB2D1E" w:rsidRPr="00380E04" w:rsidRDefault="00DB2D1E" w:rsidP="00380E04">
            <w:pPr>
              <w:pStyle w:val="ListBullet3"/>
              <w:numPr>
                <w:ilvl w:val="0"/>
                <w:numId w:val="61"/>
              </w:numPr>
              <w:spacing w:line="276" w:lineRule="auto"/>
              <w:rPr>
                <w:rFonts w:ascii="Tahoma" w:hAnsi="Tahoma" w:cs="Tahoma"/>
                <w:sz w:val="18"/>
                <w:szCs w:val="18"/>
              </w:rPr>
            </w:pPr>
            <w:r w:rsidRPr="00380E04">
              <w:rPr>
                <w:rFonts w:ascii="Tahoma" w:hAnsi="Tahoma" w:cs="Tahoma"/>
                <w:color w:val="000000"/>
                <w:sz w:val="18"/>
                <w:szCs w:val="18"/>
              </w:rPr>
              <w:t>Impegno solo durante le Ore</w:t>
            </w:r>
            <w:r w:rsidR="00380E04">
              <w:rPr>
                <w:rFonts w:ascii="Tahoma" w:hAnsi="Tahoma" w:cs="Tahoma"/>
                <w:color w:val="000000"/>
                <w:sz w:val="18"/>
                <w:szCs w:val="18"/>
              </w:rPr>
              <w:t> </w:t>
            </w:r>
            <w:r w:rsidRPr="00380E04">
              <w:rPr>
                <w:rFonts w:ascii="Tahoma" w:hAnsi="Tahoma" w:cs="Tahoma"/>
                <w:color w:val="000000"/>
                <w:sz w:val="18"/>
                <w:szCs w:val="18"/>
              </w:rPr>
              <w:t>Lavorative</w:t>
            </w:r>
            <w:r w:rsidRPr="00380E04">
              <w:rPr>
                <w:rFonts w:ascii="Tahoma" w:hAnsi="Tahoma" w:cs="Tahoma"/>
                <w:color w:val="000000"/>
                <w:sz w:val="18"/>
                <w:szCs w:val="18"/>
                <w:vertAlign w:val="superscript"/>
              </w:rPr>
              <w:t>1</w:t>
            </w:r>
          </w:p>
          <w:p w:rsidR="00DB2D1E" w:rsidRPr="00380E04" w:rsidRDefault="00DB2D1E" w:rsidP="00DE73D4">
            <w:pPr>
              <w:pStyle w:val="tableclose"/>
              <w:spacing w:line="276" w:lineRule="auto"/>
              <w:ind w:left="529" w:hanging="450"/>
              <w:rPr>
                <w:rFonts w:ascii="Tahoma" w:hAnsi="Tahoma" w:cs="Tahoma"/>
                <w:color w:val="000000"/>
                <w:sz w:val="18"/>
                <w:szCs w:val="18"/>
              </w:rPr>
            </w:pPr>
          </w:p>
        </w:tc>
        <w:tc>
          <w:tcPr>
            <w:tcW w:w="2430" w:type="dxa"/>
            <w:tcBorders>
              <w:top w:val="nil"/>
              <w:left w:val="nil"/>
              <w:bottom w:val="single" w:sz="8" w:space="0" w:color="auto"/>
              <w:right w:val="single" w:sz="8" w:space="0" w:color="auto"/>
            </w:tcBorders>
            <w:tcMar>
              <w:top w:w="0" w:type="dxa"/>
              <w:left w:w="108" w:type="dxa"/>
              <w:bottom w:w="0" w:type="dxa"/>
              <w:right w:w="108" w:type="dxa"/>
            </w:tcMar>
          </w:tcPr>
          <w:p w:rsidR="00DB2D1E" w:rsidRPr="00380E04" w:rsidRDefault="00DB2D1E" w:rsidP="00380E04">
            <w:pPr>
              <w:pStyle w:val="ListBullet3"/>
              <w:numPr>
                <w:ilvl w:val="0"/>
                <w:numId w:val="62"/>
              </w:numPr>
              <w:spacing w:line="276" w:lineRule="auto"/>
              <w:rPr>
                <w:rFonts w:ascii="Tahoma" w:hAnsi="Tahoma" w:cs="Tahoma"/>
                <w:sz w:val="18"/>
                <w:szCs w:val="18"/>
              </w:rPr>
            </w:pPr>
            <w:r w:rsidRPr="00380E04">
              <w:rPr>
                <w:rFonts w:ascii="Tahoma" w:hAnsi="Tahoma" w:cs="Tahoma"/>
                <w:color w:val="000000"/>
                <w:sz w:val="18"/>
                <w:szCs w:val="18"/>
              </w:rPr>
              <w:t>Informazioni accurate da parte di chi segue il</w:t>
            </w:r>
            <w:r w:rsidR="00380E04">
              <w:rPr>
                <w:rFonts w:ascii="Tahoma" w:hAnsi="Tahoma" w:cs="Tahoma"/>
                <w:color w:val="000000"/>
                <w:sz w:val="18"/>
                <w:szCs w:val="18"/>
              </w:rPr>
              <w:t> </w:t>
            </w:r>
            <w:r w:rsidRPr="00380E04">
              <w:rPr>
                <w:rFonts w:ascii="Tahoma" w:hAnsi="Tahoma" w:cs="Tahoma"/>
                <w:color w:val="000000"/>
                <w:sz w:val="18"/>
                <w:szCs w:val="18"/>
              </w:rPr>
              <w:t>caso</w:t>
            </w:r>
          </w:p>
          <w:p w:rsidR="00DB2D1E" w:rsidRPr="00380E04" w:rsidRDefault="00DB2D1E" w:rsidP="00346F4B">
            <w:pPr>
              <w:pStyle w:val="ListBullet3"/>
              <w:numPr>
                <w:ilvl w:val="0"/>
                <w:numId w:val="62"/>
              </w:numPr>
              <w:spacing w:line="276" w:lineRule="auto"/>
              <w:rPr>
                <w:rFonts w:ascii="Tahoma" w:hAnsi="Tahoma" w:cs="Tahoma"/>
                <w:color w:val="000000"/>
                <w:sz w:val="18"/>
                <w:szCs w:val="18"/>
              </w:rPr>
            </w:pPr>
            <w:r w:rsidRPr="00380E04">
              <w:rPr>
                <w:rFonts w:ascii="Tahoma" w:hAnsi="Tahoma" w:cs="Tahoma"/>
                <w:color w:val="000000"/>
                <w:sz w:val="18"/>
                <w:szCs w:val="18"/>
              </w:rPr>
              <w:t>Risposta entro 24 ore.</w:t>
            </w:r>
          </w:p>
        </w:tc>
      </w:tr>
    </w:tbl>
    <w:p w:rsidR="00DB2D1E" w:rsidRPr="00380E04" w:rsidRDefault="00DB2D1E" w:rsidP="00DB2D1E">
      <w:pPr>
        <w:pStyle w:val="tableclose"/>
        <w:rPr>
          <w:rFonts w:ascii="Tahoma" w:hAnsi="Tahoma" w:cs="Tahoma"/>
          <w:sz w:val="16"/>
          <w:szCs w:val="16"/>
        </w:rPr>
      </w:pPr>
      <w:r w:rsidRPr="00380E04">
        <w:rPr>
          <w:rFonts w:ascii="Tahoma" w:hAnsi="Tahoma" w:cs="Tahoma"/>
          <w:i/>
          <w:color w:val="000000"/>
          <w:sz w:val="16"/>
          <w:szCs w:val="16"/>
          <w:vertAlign w:val="superscript"/>
        </w:rPr>
        <w:t>1</w:t>
      </w:r>
      <w:r w:rsidRPr="00380E04">
        <w:rPr>
          <w:rFonts w:ascii="Tahoma" w:hAnsi="Tahoma" w:cs="Tahoma"/>
          <w:i/>
          <w:color w:val="000000"/>
          <w:sz w:val="16"/>
          <w:szCs w:val="16"/>
        </w:rPr>
        <w:t xml:space="preserve"> Le Ore Lavorative sono definite su base locale.</w:t>
      </w:r>
    </w:p>
    <w:p w:rsidR="00DB2D1E" w:rsidRPr="00380E04" w:rsidRDefault="00DB2D1E" w:rsidP="00F42FB8">
      <w:pPr>
        <w:pStyle w:val="tableclose"/>
        <w:rPr>
          <w:rFonts w:ascii="Tahoma" w:hAnsi="Tahoma" w:cs="Tahoma"/>
          <w:sz w:val="16"/>
          <w:szCs w:val="16"/>
        </w:rPr>
      </w:pPr>
      <w:r w:rsidRPr="00380E04">
        <w:rPr>
          <w:rFonts w:ascii="Tahoma" w:hAnsi="Tahoma" w:cs="Tahoma"/>
          <w:i/>
          <w:color w:val="000000"/>
          <w:sz w:val="16"/>
          <w:szCs w:val="16"/>
          <w:vertAlign w:val="superscript"/>
        </w:rPr>
        <w:t>2</w:t>
      </w:r>
      <w:r w:rsidRPr="00380E04">
        <w:rPr>
          <w:rFonts w:ascii="Tahoma" w:hAnsi="Tahoma" w:cs="Tahoma"/>
          <w:i/>
          <w:color w:val="000000"/>
          <w:sz w:val="16"/>
          <w:szCs w:val="16"/>
        </w:rPr>
        <w:t xml:space="preserve"> È possibile che Microsoft riduca il livello di gravità se la società non è in grado di fornire risorse o risposte adeguate a supporto dell</w:t>
      </w:r>
      <w:r w:rsidR="00F2643E">
        <w:rPr>
          <w:rFonts w:ascii="Tahoma" w:hAnsi="Tahoma" w:cs="Tahoma"/>
          <w:i/>
          <w:color w:val="000000"/>
          <w:sz w:val="16"/>
          <w:szCs w:val="16"/>
        </w:rPr>
        <w:t>’</w:t>
      </w:r>
      <w:r w:rsidRPr="00380E04">
        <w:rPr>
          <w:rFonts w:ascii="Tahoma" w:hAnsi="Tahoma" w:cs="Tahoma"/>
          <w:i/>
          <w:color w:val="000000"/>
          <w:sz w:val="16"/>
          <w:szCs w:val="16"/>
        </w:rPr>
        <w:t>impegno di Microsoft volto a risolvere il problema.</w:t>
      </w:r>
    </w:p>
    <w:p w:rsidR="00DB2D1E" w:rsidRPr="00380E04" w:rsidRDefault="00DB2D1E" w:rsidP="00F42FB8">
      <w:pPr>
        <w:rPr>
          <w:rFonts w:cs="Tahoma"/>
          <w:b/>
          <w:bCs/>
          <w:sz w:val="20"/>
          <w:szCs w:val="20"/>
        </w:rPr>
      </w:pPr>
    </w:p>
    <w:p w:rsidR="00DB2D1E" w:rsidRPr="00A75DF9" w:rsidRDefault="00DB2D1E" w:rsidP="00DB2D1E">
      <w:pPr>
        <w:spacing w:after="120"/>
        <w:rPr>
          <w:rFonts w:cs="Tahoma"/>
        </w:rPr>
      </w:pPr>
      <w:r w:rsidRPr="00A75DF9">
        <w:rPr>
          <w:rFonts w:cs="Tahoma"/>
        </w:rPr>
        <w:t xml:space="preserve">Il servizio </w:t>
      </w:r>
      <w:r w:rsidRPr="00A75DF9">
        <w:rPr>
          <w:rFonts w:cs="Tahoma"/>
          <w:b/>
          <w:bCs/>
          <w:color w:val="000000"/>
          <w:szCs w:val="18"/>
        </w:rPr>
        <w:t>Information Services</w:t>
      </w:r>
      <w:r w:rsidRPr="00A75DF9">
        <w:rPr>
          <w:rFonts w:cs="Tahoma"/>
          <w:color w:val="000000"/>
          <w:szCs w:val="18"/>
        </w:rPr>
        <w:t xml:space="preserve"> include l</w:t>
      </w:r>
      <w:r w:rsidR="00F2643E">
        <w:rPr>
          <w:rFonts w:cs="Tahoma"/>
          <w:color w:val="000000"/>
          <w:szCs w:val="18"/>
        </w:rPr>
        <w:t>’</w:t>
      </w:r>
      <w:r w:rsidRPr="00A75DF9">
        <w:rPr>
          <w:rFonts w:cs="Tahoma"/>
          <w:color w:val="000000"/>
          <w:szCs w:val="18"/>
        </w:rPr>
        <w:t>accesso al sito Web Premier e a Webcast di supporto pianificati su base periodica condotte da manager, sviluppatori ed esperti del programma Microsoft che forniscono informazioni chiave sulla tecnologia Microsoft.</w:t>
      </w:r>
    </w:p>
    <w:p w:rsidR="00DB2D1E" w:rsidRPr="00A75DF9" w:rsidRDefault="00DB2D1E" w:rsidP="00DB2D1E">
      <w:pPr>
        <w:rPr>
          <w:rFonts w:cs="Tahoma"/>
        </w:rPr>
      </w:pPr>
      <w:r w:rsidRPr="00A75DF9">
        <w:rPr>
          <w:rFonts w:cs="Tahoma"/>
        </w:rPr>
        <w:t xml:space="preserve">Le </w:t>
      </w:r>
      <w:r w:rsidRPr="00A75DF9">
        <w:rPr>
          <w:rFonts w:cs="Tahoma"/>
          <w:b/>
          <w:bCs/>
          <w:color w:val="000000"/>
          <w:szCs w:val="18"/>
        </w:rPr>
        <w:t xml:space="preserve">Ore di Aggiunta </w:t>
      </w:r>
      <w:r w:rsidRPr="00A75DF9">
        <w:rPr>
          <w:rFonts w:cs="Tahoma"/>
          <w:color w:val="000000"/>
          <w:szCs w:val="18"/>
        </w:rPr>
        <w:t xml:space="preserve">possono essere utilizzate per le Attività Proattive di Supporto (Support Assistance) o il Supporto per la Risoluzione dei Problemi. </w:t>
      </w:r>
    </w:p>
    <w:p w:rsidR="00DC0853" w:rsidRPr="00A75DF9" w:rsidRDefault="00DC0853" w:rsidP="00DC0853">
      <w:pPr>
        <w:spacing w:after="60"/>
        <w:rPr>
          <w:rFonts w:cs="Tahoma"/>
        </w:rPr>
      </w:pPr>
      <w:r w:rsidRPr="00A75DF9">
        <w:rPr>
          <w:rFonts w:cs="Tahoma"/>
          <w:b/>
          <w:bCs/>
          <w:color w:val="000000"/>
          <w:szCs w:val="18"/>
        </w:rPr>
        <w:lastRenderedPageBreak/>
        <w:t>Regole Commerciali Associate</w:t>
      </w:r>
    </w:p>
    <w:p w:rsidR="00DB2D1E" w:rsidRPr="00A75DF9" w:rsidRDefault="00DB2D1E" w:rsidP="00380E04">
      <w:pPr>
        <w:rPr>
          <w:rFonts w:cs="Tahoma"/>
        </w:rPr>
      </w:pPr>
      <w:r w:rsidRPr="00A75DF9">
        <w:rPr>
          <w:rFonts w:cs="Tahoma"/>
          <w:color w:val="000000"/>
          <w:szCs w:val="18"/>
        </w:rPr>
        <w:t>Tutti i Servizi forniscono il supporto per Prodotti Microsoft disponibili sul mercato e destinati a un uso commerciale (se non specificamente escluso sul sito Web Microsoft Premier o sul sito Web Microsoft di Supporto del Ciclo di Vita). I Servizi saranno addebitati, in genere, su base oraria, forniti in remoto e in lingua inglese (salvo laddove sia disponibile un</w:t>
      </w:r>
      <w:r w:rsidR="00F2643E">
        <w:rPr>
          <w:rFonts w:cs="Tahoma"/>
          <w:color w:val="000000"/>
          <w:szCs w:val="18"/>
        </w:rPr>
        <w:t>’</w:t>
      </w:r>
      <w:r w:rsidRPr="00A75DF9">
        <w:rPr>
          <w:rFonts w:cs="Tahoma"/>
          <w:color w:val="000000"/>
          <w:szCs w:val="18"/>
        </w:rPr>
        <w:t>altra lingua). I Servizi saranno forniti nel paese in cui è stato sottoscritto il contratto VL. Gli interventi in</w:t>
      </w:r>
      <w:r w:rsidR="00380E04">
        <w:rPr>
          <w:rFonts w:cs="Tahoma"/>
          <w:color w:val="000000"/>
          <w:szCs w:val="18"/>
        </w:rPr>
        <w:t> </w:t>
      </w:r>
      <w:r w:rsidRPr="00A75DF9">
        <w:rPr>
          <w:rFonts w:cs="Tahoma"/>
          <w:color w:val="000000"/>
          <w:szCs w:val="18"/>
        </w:rPr>
        <w:t>loco non sono prepagati e dipendono dalla disponibilità delle risorse. Tutti i Servizi non utilizzati nell</w:t>
      </w:r>
      <w:r w:rsidR="00F2643E">
        <w:rPr>
          <w:rFonts w:cs="Tahoma"/>
          <w:color w:val="000000"/>
          <w:szCs w:val="18"/>
        </w:rPr>
        <w:t>’</w:t>
      </w:r>
      <w:r w:rsidRPr="00A75DF9">
        <w:rPr>
          <w:rFonts w:cs="Tahoma"/>
          <w:color w:val="000000"/>
          <w:szCs w:val="18"/>
        </w:rPr>
        <w:t>anno andranno persi. Su richiesta della società, Microsoft potrà accedere al sistema della società tramite connessione telefonica remota per analizzare i problemi. Le società dovranno disporre di un accesso a Internet per poter utilizzare i servizi basati su Internet.</w:t>
      </w:r>
    </w:p>
    <w:p w:rsidR="00DB2D1E" w:rsidRPr="00A75DF9" w:rsidRDefault="00DB2D1E" w:rsidP="00DB2D1E">
      <w:pPr>
        <w:jc w:val="both"/>
        <w:rPr>
          <w:rFonts w:cs="Tahoma"/>
        </w:rPr>
      </w:pPr>
    </w:p>
    <w:p w:rsidR="00596386" w:rsidRPr="00380E04" w:rsidRDefault="00596386" w:rsidP="00596386">
      <w:pPr>
        <w:rPr>
          <w:rFonts w:cs="Tahoma"/>
          <w:sz w:val="24"/>
          <w:szCs w:val="24"/>
        </w:rPr>
      </w:pPr>
      <w:r w:rsidRPr="00380E04">
        <w:rPr>
          <w:rFonts w:cs="Tahoma"/>
          <w:b/>
          <w:sz w:val="24"/>
          <w:szCs w:val="24"/>
        </w:rPr>
        <w:t>Offerte di Supporto per Microsoft Windows Azure</w:t>
      </w:r>
    </w:p>
    <w:p w:rsidR="00596386" w:rsidRPr="00A75DF9" w:rsidRDefault="00596386" w:rsidP="00596386">
      <w:pPr>
        <w:rPr>
          <w:rFonts w:cs="Tahoma"/>
        </w:rPr>
      </w:pPr>
    </w:p>
    <w:p w:rsidR="00596386" w:rsidRPr="00A75DF9" w:rsidRDefault="00596386" w:rsidP="00380E04">
      <w:pPr>
        <w:jc w:val="both"/>
        <w:rPr>
          <w:rFonts w:cs="Tahoma"/>
        </w:rPr>
      </w:pPr>
      <w:r w:rsidRPr="00A75DF9">
        <w:rPr>
          <w:rFonts w:cs="Tahoma"/>
          <w:color w:val="000000"/>
          <w:szCs w:val="18"/>
        </w:rPr>
        <w:t>Salvo quanto diversamente specificato di sotto, i Servizi di Supporto per Windows Azure sono disponibili per Windows</w:t>
      </w:r>
      <w:r w:rsidR="00380E04">
        <w:rPr>
          <w:rFonts w:cs="Tahoma"/>
          <w:color w:val="000000"/>
          <w:szCs w:val="18"/>
        </w:rPr>
        <w:t> </w:t>
      </w:r>
      <w:r w:rsidRPr="00A75DF9">
        <w:rPr>
          <w:rFonts w:cs="Tahoma"/>
          <w:color w:val="000000"/>
          <w:szCs w:val="18"/>
        </w:rPr>
        <w:t xml:space="preserve">Azure. </w:t>
      </w:r>
    </w:p>
    <w:p w:rsidR="00596386" w:rsidRPr="00A75DF9" w:rsidRDefault="00596386" w:rsidP="00596386">
      <w:pPr>
        <w:tabs>
          <w:tab w:val="left" w:pos="360"/>
        </w:tabs>
        <w:jc w:val="both"/>
        <w:rPr>
          <w:rFonts w:cs="Tahoma"/>
        </w:rPr>
      </w:pPr>
    </w:p>
    <w:p w:rsidR="00596386" w:rsidRPr="00A75DF9" w:rsidRDefault="00596386" w:rsidP="00380E04">
      <w:pPr>
        <w:tabs>
          <w:tab w:val="left" w:pos="360"/>
        </w:tabs>
        <w:jc w:val="both"/>
        <w:rPr>
          <w:rFonts w:cs="Tahoma"/>
        </w:rPr>
      </w:pPr>
      <w:r w:rsidRPr="00A75DF9">
        <w:rPr>
          <w:rFonts w:cs="Tahoma"/>
          <w:szCs w:val="18"/>
        </w:rPr>
        <w:t>I Servizi verranno forniti dal team di Supporto di Windows Azure, che comprende specialisti di Windows Azure che risponderanno alle richieste di supporto per Windows Azure di una società</w:t>
      </w:r>
      <w:r w:rsidRPr="00A75DF9">
        <w:rPr>
          <w:rFonts w:cs="Tahoma"/>
          <w:snapToGrid w:val="0"/>
          <w:szCs w:val="18"/>
        </w:rPr>
        <w:t xml:space="preserve">. Le società riceveranno assistenza di alto livello </w:t>
      </w:r>
      <w:r w:rsidRPr="00A75DF9">
        <w:rPr>
          <w:rFonts w:cs="Tahoma"/>
          <w:szCs w:val="18"/>
        </w:rPr>
        <w:t>24 ore al giorno, 7 giorni su 7, solo in lingua inglese.</w:t>
      </w:r>
      <w:r w:rsidR="009D3B41" w:rsidRPr="00A75DF9">
        <w:rPr>
          <w:rFonts w:cs="Tahoma"/>
          <w:szCs w:val="18"/>
        </w:rPr>
        <w:t xml:space="preserve"> </w:t>
      </w:r>
      <w:r w:rsidRPr="00A75DF9">
        <w:rPr>
          <w:rFonts w:cs="Tahoma"/>
          <w:szCs w:val="18"/>
        </w:rPr>
        <w:t>L</w:t>
      </w:r>
      <w:r w:rsidR="00F2643E">
        <w:rPr>
          <w:rFonts w:cs="Tahoma"/>
          <w:szCs w:val="18"/>
        </w:rPr>
        <w:t>’</w:t>
      </w:r>
      <w:r w:rsidRPr="00A75DF9">
        <w:rPr>
          <w:rFonts w:cs="Tahoma"/>
          <w:szCs w:val="18"/>
        </w:rPr>
        <w:t>assistenza in altre lingue (</w:t>
      </w:r>
      <w:hyperlink r:id="rId30" w:history="1">
        <w:r w:rsidR="00380E04">
          <w:rPr>
            <w:rStyle w:val="Hyperlink"/>
            <w:szCs w:val="18"/>
          </w:rPr>
          <w:t>www.windowsazure.com/en-us/support/plans/</w:t>
        </w:r>
      </w:hyperlink>
      <w:r w:rsidRPr="00A75DF9">
        <w:rPr>
          <w:rFonts w:cs="Tahoma"/>
          <w:szCs w:val="18"/>
        </w:rPr>
        <w:t>) è disponibile solo durante le ore lavorative.</w:t>
      </w:r>
    </w:p>
    <w:p w:rsidR="00596386" w:rsidRPr="00A75DF9" w:rsidRDefault="00596386" w:rsidP="00596386">
      <w:pPr>
        <w:tabs>
          <w:tab w:val="left" w:pos="360"/>
        </w:tabs>
        <w:jc w:val="both"/>
        <w:rPr>
          <w:rFonts w:cs="Tahoma"/>
        </w:rPr>
      </w:pPr>
    </w:p>
    <w:p w:rsidR="00596386" w:rsidRPr="00A75DF9" w:rsidRDefault="00596386" w:rsidP="00380E04">
      <w:pPr>
        <w:tabs>
          <w:tab w:val="left" w:pos="360"/>
        </w:tabs>
        <w:jc w:val="both"/>
        <w:rPr>
          <w:rFonts w:cs="Tahoma"/>
        </w:rPr>
      </w:pPr>
      <w:r w:rsidRPr="00A75DF9">
        <w:rPr>
          <w:rFonts w:cs="Tahoma"/>
          <w:szCs w:val="18"/>
        </w:rPr>
        <w:t>“Intervento” indica una richiesta di assistenza in garanzia per un</w:t>
      </w:r>
      <w:r w:rsidR="00F2643E">
        <w:rPr>
          <w:rFonts w:cs="Tahoma"/>
          <w:szCs w:val="18"/>
        </w:rPr>
        <w:t>’</w:t>
      </w:r>
      <w:r w:rsidRPr="00A75DF9">
        <w:rPr>
          <w:rFonts w:cs="Tahoma"/>
          <w:szCs w:val="18"/>
        </w:rPr>
        <w:t>Unica Problematica di Assistenza.</w:t>
      </w:r>
      <w:r w:rsidR="009D3B41" w:rsidRPr="00A75DF9">
        <w:rPr>
          <w:rFonts w:cs="Tahoma"/>
          <w:szCs w:val="18"/>
        </w:rPr>
        <w:t xml:space="preserve"> </w:t>
      </w:r>
      <w:r w:rsidRPr="00A75DF9">
        <w:rPr>
          <w:rFonts w:cs="Tahoma"/>
          <w:szCs w:val="18"/>
        </w:rPr>
        <w:t>“Unica</w:t>
      </w:r>
      <w:r w:rsidR="00380E04">
        <w:rPr>
          <w:rFonts w:cs="Tahoma"/>
          <w:szCs w:val="18"/>
        </w:rPr>
        <w:t> </w:t>
      </w:r>
      <w:r w:rsidRPr="00A75DF9">
        <w:rPr>
          <w:rFonts w:cs="Tahoma"/>
          <w:szCs w:val="18"/>
        </w:rPr>
        <w:t>Problematica di Assistenza” indica un problema che non può essere suddiviso in problematiche subordinate.</w:t>
      </w:r>
      <w:r w:rsidR="009D3B41" w:rsidRPr="00A75DF9">
        <w:rPr>
          <w:rFonts w:cs="Tahoma"/>
          <w:szCs w:val="18"/>
        </w:rPr>
        <w:t xml:space="preserve"> </w:t>
      </w:r>
      <w:r w:rsidRPr="00A75DF9">
        <w:rPr>
          <w:rFonts w:cs="Tahoma"/>
          <w:szCs w:val="18"/>
        </w:rPr>
        <w:t>Qualora un problema sia composto da problematiche subordinate, ogni problematica dovrà essere considerata un</w:t>
      </w:r>
      <w:r w:rsidR="00380E04">
        <w:rPr>
          <w:rFonts w:cs="Tahoma"/>
          <w:szCs w:val="18"/>
        </w:rPr>
        <w:t> </w:t>
      </w:r>
      <w:r w:rsidRPr="00A75DF9">
        <w:rPr>
          <w:rFonts w:cs="Tahoma"/>
          <w:szCs w:val="18"/>
        </w:rPr>
        <w:t>Intervento distinto.</w:t>
      </w:r>
      <w:r w:rsidR="009D3B41" w:rsidRPr="00A75DF9">
        <w:rPr>
          <w:rFonts w:cs="Tahoma"/>
          <w:szCs w:val="18"/>
        </w:rPr>
        <w:t xml:space="preserve"> </w:t>
      </w:r>
      <w:r w:rsidRPr="00A75DF9">
        <w:rPr>
          <w:rFonts w:cs="Tahoma"/>
          <w:szCs w:val="18"/>
        </w:rPr>
        <w:t>Gli Interventi includono la quantità ragionevole sotto il profilo commerciale di servizi necessari per individuare e risolvere la problematica di assistenza.</w:t>
      </w:r>
      <w:r w:rsidR="009D3B41" w:rsidRPr="00A75DF9">
        <w:rPr>
          <w:rFonts w:cs="Tahoma"/>
          <w:szCs w:val="18"/>
        </w:rPr>
        <w:t xml:space="preserve"> </w:t>
      </w:r>
      <w:r w:rsidRPr="00A75DF9">
        <w:rPr>
          <w:rFonts w:cs="Tahoma"/>
          <w:szCs w:val="18"/>
        </w:rPr>
        <w:t xml:space="preserve">Gli Interventi potranno essere eseguiti tramite il sito Web del supporto assistito online </w:t>
      </w:r>
      <w:hyperlink r:id="rId31" w:history="1">
        <w:r w:rsidR="00380E04" w:rsidRPr="001B7E60">
          <w:rPr>
            <w:rStyle w:val="Hyperlink"/>
            <w:rFonts w:cs="Arial"/>
            <w:szCs w:val="18"/>
          </w:rPr>
          <w:t>www.windowsazure.com</w:t>
        </w:r>
      </w:hyperlink>
      <w:r w:rsidRPr="00A75DF9">
        <w:rPr>
          <w:rFonts w:cs="Tahoma"/>
          <w:szCs w:val="18"/>
        </w:rPr>
        <w:t>.</w:t>
      </w:r>
      <w:r w:rsidR="009D3B41" w:rsidRPr="00A75DF9">
        <w:rPr>
          <w:rFonts w:cs="Tahoma"/>
          <w:szCs w:val="18"/>
        </w:rPr>
        <w:t xml:space="preserve"> </w:t>
      </w:r>
    </w:p>
    <w:p w:rsidR="00596386" w:rsidRPr="00A75DF9" w:rsidRDefault="00596386" w:rsidP="00596386">
      <w:pPr>
        <w:tabs>
          <w:tab w:val="left" w:pos="360"/>
        </w:tabs>
        <w:jc w:val="both"/>
        <w:rPr>
          <w:rFonts w:cs="Tahoma"/>
        </w:rPr>
      </w:pPr>
    </w:p>
    <w:p w:rsidR="00596386" w:rsidRPr="00A75DF9" w:rsidRDefault="00596386" w:rsidP="00380E04">
      <w:pPr>
        <w:tabs>
          <w:tab w:val="left" w:pos="360"/>
        </w:tabs>
        <w:jc w:val="both"/>
        <w:rPr>
          <w:rFonts w:cs="Tahoma"/>
        </w:rPr>
      </w:pPr>
      <w:r w:rsidRPr="00A75DF9">
        <w:rPr>
          <w:rFonts w:cs="Tahoma"/>
          <w:szCs w:val="18"/>
        </w:rPr>
        <w:t>I Servizi verranno forniti in lingua inglese salvo quanto diversamente concordato tra una società e Microsoft per iscritto. Servizi aggiuntivi, inclusi i servizi di supporto, potranno essere disponibili per Windows Azure in conformità a</w:t>
      </w:r>
      <w:r w:rsidR="00380E04">
        <w:rPr>
          <w:rFonts w:cs="Tahoma"/>
          <w:szCs w:val="18"/>
        </w:rPr>
        <w:t> </w:t>
      </w:r>
      <w:r w:rsidRPr="00A75DF9">
        <w:rPr>
          <w:rFonts w:cs="Tahoma"/>
          <w:szCs w:val="18"/>
        </w:rPr>
        <w:t>un contratto specifico stipulato tra le parti.</w:t>
      </w:r>
      <w:r w:rsidR="009D3B41" w:rsidRPr="00A75DF9">
        <w:rPr>
          <w:rFonts w:cs="Tahoma"/>
          <w:szCs w:val="18"/>
        </w:rPr>
        <w:t xml:space="preserve"> </w:t>
      </w:r>
      <w:r w:rsidRPr="00A75DF9">
        <w:rPr>
          <w:rFonts w:cs="Tahoma"/>
          <w:szCs w:val="18"/>
        </w:rPr>
        <w:t>Tali servizi aggiuntivi saranno disciplinati dalle condizioni di tale contratto specifico.</w:t>
      </w:r>
    </w:p>
    <w:p w:rsidR="00596386" w:rsidRPr="00380E04" w:rsidRDefault="00596386" w:rsidP="00596386">
      <w:pPr>
        <w:pStyle w:val="normal1"/>
        <w:jc w:val="both"/>
        <w:rPr>
          <w:rFonts w:ascii="Tahoma" w:hAnsi="Tahoma" w:cs="Tahoma"/>
          <w:sz w:val="18"/>
          <w:szCs w:val="18"/>
        </w:rPr>
      </w:pPr>
    </w:p>
    <w:p w:rsidR="00596386" w:rsidRPr="00A75DF9" w:rsidRDefault="00596386" w:rsidP="00596386">
      <w:pPr>
        <w:widowControl w:val="0"/>
        <w:tabs>
          <w:tab w:val="left" w:pos="720"/>
          <w:tab w:val="left" w:pos="1170"/>
        </w:tabs>
        <w:rPr>
          <w:rFonts w:cs="Tahoma"/>
        </w:rPr>
      </w:pPr>
      <w:r w:rsidRPr="00A75DF9">
        <w:rPr>
          <w:rFonts w:cs="Tahoma"/>
          <w:b/>
          <w:bCs/>
          <w:sz w:val="24"/>
          <w:szCs w:val="18"/>
        </w:rPr>
        <w:t>Supporto Diretto Professionale per Windows Azure</w:t>
      </w:r>
    </w:p>
    <w:p w:rsidR="001B7453" w:rsidRPr="00A75DF9" w:rsidRDefault="001B7453" w:rsidP="006E7D7A">
      <w:pPr>
        <w:tabs>
          <w:tab w:val="left" w:pos="360"/>
        </w:tabs>
        <w:jc w:val="both"/>
        <w:rPr>
          <w:rFonts w:cs="Tahoma"/>
        </w:rPr>
      </w:pPr>
    </w:p>
    <w:p w:rsidR="00596386" w:rsidRPr="00A75DF9" w:rsidRDefault="00596386" w:rsidP="00380E04">
      <w:pPr>
        <w:tabs>
          <w:tab w:val="left" w:pos="360"/>
        </w:tabs>
        <w:jc w:val="both"/>
        <w:rPr>
          <w:rFonts w:cs="Tahoma"/>
        </w:rPr>
      </w:pPr>
      <w:r w:rsidRPr="00A75DF9">
        <w:rPr>
          <w:rFonts w:cs="Tahoma"/>
          <w:color w:val="000000"/>
          <w:szCs w:val="18"/>
        </w:rPr>
        <w:t>Le società avranno la responsabilità di definire il livello di gravità iniziale utilizzando la procedura di invio tramite Web in linea con le indicazioni di gravità fornite di seguito. Microsoft potrà ridurre il livello di gravità; ciò potrà avvenire anche nei casi in cui la società non fornisca risorse o risposte adeguate a supportare Microsoft nel suo impegno volto a risolvere il problema.</w:t>
      </w:r>
      <w:r w:rsidR="009D3B41" w:rsidRPr="00A75DF9">
        <w:rPr>
          <w:rFonts w:cs="Tahoma"/>
          <w:color w:val="000000"/>
          <w:szCs w:val="18"/>
        </w:rPr>
        <w:t xml:space="preserve"> </w:t>
      </w:r>
      <w:r w:rsidRPr="00A75DF9">
        <w:rPr>
          <w:rFonts w:cs="Tahoma"/>
          <w:color w:val="000000"/>
          <w:szCs w:val="18"/>
        </w:rPr>
        <w:t>La gravità dell</w:t>
      </w:r>
      <w:r w:rsidR="00F2643E">
        <w:rPr>
          <w:rFonts w:cs="Tahoma"/>
          <w:color w:val="000000"/>
          <w:szCs w:val="18"/>
        </w:rPr>
        <w:t>’</w:t>
      </w:r>
      <w:r w:rsidRPr="00A75DF9">
        <w:rPr>
          <w:rFonts w:cs="Tahoma"/>
          <w:color w:val="000000"/>
          <w:szCs w:val="18"/>
        </w:rPr>
        <w:t>intervento determinerà i livelli di risposta da parte di Microsoft. I tempi di</w:t>
      </w:r>
      <w:r w:rsidR="00380E04">
        <w:rPr>
          <w:rFonts w:cs="Tahoma"/>
          <w:color w:val="000000"/>
          <w:szCs w:val="18"/>
        </w:rPr>
        <w:t> </w:t>
      </w:r>
      <w:r w:rsidRPr="00A75DF9">
        <w:rPr>
          <w:rFonts w:cs="Tahoma"/>
          <w:color w:val="000000"/>
          <w:szCs w:val="18"/>
        </w:rPr>
        <w:t>risposta previsti sono definiti nella tabella che segue.</w:t>
      </w:r>
      <w:r w:rsidR="009D3B41" w:rsidRPr="00A75DF9">
        <w:rPr>
          <w:rFonts w:cs="Tahoma"/>
          <w:color w:val="000000"/>
          <w:szCs w:val="18"/>
        </w:rPr>
        <w:t xml:space="preserve"> </w:t>
      </w:r>
      <w:r w:rsidRPr="00A75DF9">
        <w:rPr>
          <w:rFonts w:cs="Tahoma"/>
          <w:color w:val="000000"/>
          <w:szCs w:val="18"/>
        </w:rPr>
        <w:t>La possibilità per Microsoft di offrire i servizi dipende dalla totale e tempestiva collaborazione della società e dall</w:t>
      </w:r>
      <w:r w:rsidR="00F2643E">
        <w:rPr>
          <w:rFonts w:cs="Tahoma"/>
          <w:color w:val="000000"/>
          <w:szCs w:val="18"/>
        </w:rPr>
        <w:t>’</w:t>
      </w:r>
      <w:r w:rsidRPr="00A75DF9">
        <w:rPr>
          <w:rFonts w:cs="Tahoma"/>
          <w:color w:val="000000"/>
          <w:szCs w:val="18"/>
        </w:rPr>
        <w:t>accuratezza e completezza dei dati forniti.</w:t>
      </w:r>
    </w:p>
    <w:p w:rsidR="000D747C" w:rsidRPr="00A75DF9" w:rsidRDefault="000D747C" w:rsidP="00596386">
      <w:pPr>
        <w:tabs>
          <w:tab w:val="left" w:pos="360"/>
        </w:tabs>
        <w:jc w:val="both"/>
        <w:rPr>
          <w:rFonts w:cs="Tahoma"/>
        </w:rPr>
      </w:pPr>
    </w:p>
    <w:p w:rsidR="00381B33" w:rsidRPr="00A75DF9" w:rsidRDefault="00381B33" w:rsidP="00DD7F8E">
      <w:pPr>
        <w:rPr>
          <w:rFonts w:cs="Tahoma"/>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243"/>
        <w:gridCol w:w="3150"/>
      </w:tblGrid>
      <w:tr w:rsidR="00596386" w:rsidRPr="00A75DF9" w:rsidTr="00380E04">
        <w:trPr>
          <w:tblHeader/>
        </w:trPr>
        <w:tc>
          <w:tcPr>
            <w:tcW w:w="1347" w:type="dxa"/>
            <w:shd w:val="clear" w:color="auto" w:fill="FABF8F"/>
          </w:tcPr>
          <w:p w:rsidR="00596386" w:rsidRPr="00A75DF9" w:rsidRDefault="00596386" w:rsidP="0037031E">
            <w:pPr>
              <w:jc w:val="center"/>
              <w:rPr>
                <w:rFonts w:cs="Tahoma"/>
                <w:b/>
                <w:bCs/>
                <w:color w:val="000000"/>
                <w:sz w:val="20"/>
                <w:szCs w:val="18"/>
              </w:rPr>
            </w:pPr>
            <w:r w:rsidRPr="00A75DF9">
              <w:rPr>
                <w:rFonts w:cs="Tahoma"/>
                <w:b/>
                <w:bCs/>
                <w:color w:val="000000"/>
                <w:sz w:val="20"/>
                <w:szCs w:val="18"/>
              </w:rPr>
              <w:t>Severity</w:t>
            </w:r>
          </w:p>
        </w:tc>
        <w:tc>
          <w:tcPr>
            <w:tcW w:w="1800" w:type="dxa"/>
            <w:shd w:val="clear" w:color="auto" w:fill="FABF8F"/>
          </w:tcPr>
          <w:p w:rsidR="00596386" w:rsidRPr="00A75DF9" w:rsidRDefault="00596386" w:rsidP="0037031E">
            <w:pPr>
              <w:jc w:val="center"/>
              <w:rPr>
                <w:rFonts w:cs="Tahoma"/>
                <w:b/>
                <w:bCs/>
                <w:color w:val="000000"/>
                <w:sz w:val="20"/>
                <w:szCs w:val="18"/>
              </w:rPr>
            </w:pPr>
            <w:r w:rsidRPr="00A75DF9">
              <w:rPr>
                <w:rFonts w:cs="Tahoma"/>
                <w:b/>
                <w:bCs/>
                <w:color w:val="000000"/>
                <w:sz w:val="20"/>
                <w:szCs w:val="18"/>
              </w:rPr>
              <w:t>Contatto</w:t>
            </w:r>
          </w:p>
        </w:tc>
        <w:tc>
          <w:tcPr>
            <w:tcW w:w="3243" w:type="dxa"/>
            <w:shd w:val="clear" w:color="auto" w:fill="FABF8F"/>
          </w:tcPr>
          <w:p w:rsidR="00596386" w:rsidRPr="00A75DF9" w:rsidRDefault="00596386" w:rsidP="0037031E">
            <w:pPr>
              <w:jc w:val="center"/>
              <w:rPr>
                <w:rFonts w:cs="Tahoma"/>
                <w:b/>
                <w:bCs/>
                <w:color w:val="000000"/>
                <w:sz w:val="20"/>
                <w:szCs w:val="18"/>
              </w:rPr>
            </w:pPr>
            <w:r w:rsidRPr="00A75DF9">
              <w:rPr>
                <w:rFonts w:cs="Tahoma"/>
                <w:b/>
                <w:bCs/>
                <w:color w:val="000000"/>
                <w:sz w:val="20"/>
                <w:szCs w:val="18"/>
              </w:rPr>
              <w:t>Situazione della Società</w:t>
            </w:r>
          </w:p>
        </w:tc>
        <w:tc>
          <w:tcPr>
            <w:tcW w:w="3150" w:type="dxa"/>
            <w:shd w:val="clear" w:color="auto" w:fill="FABF8F"/>
          </w:tcPr>
          <w:p w:rsidR="00596386" w:rsidRPr="00A75DF9" w:rsidRDefault="00596386" w:rsidP="0037031E">
            <w:pPr>
              <w:jc w:val="center"/>
              <w:rPr>
                <w:rFonts w:cs="Tahoma"/>
                <w:b/>
                <w:bCs/>
                <w:color w:val="000000"/>
                <w:sz w:val="20"/>
                <w:szCs w:val="18"/>
              </w:rPr>
            </w:pPr>
            <w:r w:rsidRPr="00A75DF9">
              <w:rPr>
                <w:rFonts w:cs="Tahoma"/>
                <w:b/>
                <w:bCs/>
                <w:color w:val="000000"/>
                <w:sz w:val="20"/>
                <w:szCs w:val="18"/>
              </w:rPr>
              <w:t>Risposta di Microsoft Attesa</w:t>
            </w:r>
          </w:p>
        </w:tc>
      </w:tr>
      <w:tr w:rsidR="00596386" w:rsidRPr="00A75DF9" w:rsidTr="00380E04">
        <w:tc>
          <w:tcPr>
            <w:tcW w:w="1347" w:type="dxa"/>
          </w:tcPr>
          <w:p w:rsidR="00596386" w:rsidRPr="00A75DF9" w:rsidRDefault="00596386" w:rsidP="00647923">
            <w:pPr>
              <w:spacing w:after="60" w:line="240" w:lineRule="atLeast"/>
              <w:jc w:val="center"/>
              <w:rPr>
                <w:rFonts w:cs="Tahoma"/>
                <w:szCs w:val="18"/>
              </w:rPr>
            </w:pPr>
            <w:r w:rsidRPr="00A75DF9">
              <w:rPr>
                <w:rFonts w:cs="Tahoma"/>
                <w:szCs w:val="18"/>
              </w:rPr>
              <w:t>A</w:t>
            </w:r>
          </w:p>
        </w:tc>
        <w:tc>
          <w:tcPr>
            <w:tcW w:w="1800" w:type="dxa"/>
          </w:tcPr>
          <w:p w:rsidR="00596386" w:rsidRPr="00A75DF9" w:rsidRDefault="00596386" w:rsidP="00380E04">
            <w:pPr>
              <w:spacing w:after="60" w:line="240" w:lineRule="atLeast"/>
              <w:jc w:val="center"/>
              <w:rPr>
                <w:rFonts w:cs="Tahoma"/>
                <w:szCs w:val="18"/>
              </w:rPr>
            </w:pPr>
            <w:r w:rsidRPr="00A75DF9">
              <w:rPr>
                <w:rFonts w:cs="Tahoma"/>
                <w:szCs w:val="18"/>
              </w:rPr>
              <w:t>Formulazione via</w:t>
            </w:r>
            <w:r w:rsidR="00380E04">
              <w:rPr>
                <w:rFonts w:cs="Tahoma"/>
                <w:szCs w:val="18"/>
              </w:rPr>
              <w:t> </w:t>
            </w:r>
            <w:r w:rsidRPr="00A75DF9">
              <w:rPr>
                <w:rFonts w:cs="Tahoma"/>
                <w:szCs w:val="18"/>
              </w:rPr>
              <w:t>Web</w:t>
            </w:r>
          </w:p>
        </w:tc>
        <w:tc>
          <w:tcPr>
            <w:tcW w:w="3243" w:type="dxa"/>
          </w:tcPr>
          <w:p w:rsidR="00596386" w:rsidRPr="00A75DF9" w:rsidRDefault="00596386" w:rsidP="00647923">
            <w:pPr>
              <w:spacing w:after="60" w:line="240" w:lineRule="atLeast"/>
              <w:rPr>
                <w:rFonts w:cs="Tahoma"/>
              </w:rPr>
            </w:pPr>
            <w:r w:rsidRPr="00A75DF9">
              <w:rPr>
                <w:rFonts w:cs="Tahoma"/>
                <w:szCs w:val="18"/>
              </w:rPr>
              <w:t>Impatto commerciale critico</w:t>
            </w:r>
          </w:p>
          <w:p w:rsidR="00596386" w:rsidRPr="00A75DF9" w:rsidRDefault="00596386" w:rsidP="00647923">
            <w:pPr>
              <w:spacing w:after="60" w:line="240" w:lineRule="atLeast"/>
              <w:rPr>
                <w:rFonts w:cs="Tahoma"/>
              </w:rPr>
            </w:pPr>
            <w:r w:rsidRPr="00A75DF9">
              <w:rPr>
                <w:rFonts w:cs="Tahoma"/>
                <w:szCs w:val="18"/>
              </w:rPr>
              <w:t>Perdita o degradazione significativa dei servizi (applicazione fuori uso)</w:t>
            </w:r>
          </w:p>
          <w:p w:rsidR="00596386" w:rsidRPr="00A75DF9" w:rsidRDefault="00596386" w:rsidP="00380E04">
            <w:pPr>
              <w:spacing w:after="60" w:line="240" w:lineRule="atLeast"/>
              <w:rPr>
                <w:rFonts w:cs="Tahoma"/>
                <w:szCs w:val="18"/>
              </w:rPr>
            </w:pPr>
            <w:r w:rsidRPr="00A75DF9">
              <w:rPr>
                <w:rFonts w:cs="Tahoma"/>
                <w:szCs w:val="18"/>
              </w:rPr>
              <w:t>Necessità dell</w:t>
            </w:r>
            <w:r w:rsidR="00F2643E">
              <w:rPr>
                <w:rFonts w:cs="Tahoma"/>
                <w:szCs w:val="18"/>
              </w:rPr>
              <w:t>’</w:t>
            </w:r>
            <w:r w:rsidRPr="00A75DF9">
              <w:rPr>
                <w:rFonts w:cs="Tahoma"/>
                <w:szCs w:val="18"/>
              </w:rPr>
              <w:t>intervento entro 1</w:t>
            </w:r>
            <w:r w:rsidR="00380E04">
              <w:rPr>
                <w:rFonts w:cs="Tahoma"/>
                <w:szCs w:val="18"/>
              </w:rPr>
              <w:t> </w:t>
            </w:r>
            <w:r w:rsidRPr="00A75DF9">
              <w:rPr>
                <w:rFonts w:cs="Tahoma"/>
                <w:szCs w:val="18"/>
              </w:rPr>
              <w:t>Ora</w:t>
            </w:r>
          </w:p>
        </w:tc>
        <w:tc>
          <w:tcPr>
            <w:tcW w:w="3150" w:type="dxa"/>
          </w:tcPr>
          <w:p w:rsidR="00596386" w:rsidRPr="00A75DF9" w:rsidRDefault="00596386" w:rsidP="00647923">
            <w:pPr>
              <w:spacing w:after="60" w:line="240" w:lineRule="atLeast"/>
              <w:rPr>
                <w:rFonts w:cs="Tahoma"/>
              </w:rPr>
            </w:pPr>
            <w:r w:rsidRPr="00A75DF9">
              <w:rPr>
                <w:rFonts w:cs="Tahoma"/>
                <w:szCs w:val="18"/>
              </w:rPr>
              <w:t>1</w:t>
            </w:r>
            <w:r w:rsidRPr="00A75DF9">
              <w:rPr>
                <w:rFonts w:cs="Tahoma"/>
                <w:szCs w:val="18"/>
                <w:vertAlign w:val="superscript"/>
              </w:rPr>
              <w:t>a</w:t>
            </w:r>
            <w:r w:rsidRPr="00A75DF9">
              <w:rPr>
                <w:rFonts w:cs="Tahoma"/>
                <w:szCs w:val="18"/>
              </w:rPr>
              <w:t xml:space="preserve"> risposta in 1 Ora o meno</w:t>
            </w:r>
          </w:p>
          <w:p w:rsidR="00596386" w:rsidRPr="00A75DF9" w:rsidRDefault="00596386" w:rsidP="00647923">
            <w:pPr>
              <w:spacing w:after="60" w:line="240" w:lineRule="atLeast"/>
              <w:rPr>
                <w:rFonts w:cs="Tahoma"/>
                <w:szCs w:val="18"/>
              </w:rPr>
            </w:pPr>
          </w:p>
        </w:tc>
      </w:tr>
      <w:tr w:rsidR="00596386" w:rsidRPr="00A75DF9" w:rsidTr="00380E04">
        <w:tc>
          <w:tcPr>
            <w:tcW w:w="1347" w:type="dxa"/>
          </w:tcPr>
          <w:p w:rsidR="00596386" w:rsidRPr="00A75DF9" w:rsidRDefault="00596386" w:rsidP="00647923">
            <w:pPr>
              <w:spacing w:after="60" w:line="240" w:lineRule="atLeast"/>
              <w:jc w:val="center"/>
              <w:rPr>
                <w:rFonts w:cs="Tahoma"/>
                <w:szCs w:val="18"/>
              </w:rPr>
            </w:pPr>
            <w:r w:rsidRPr="00A75DF9">
              <w:rPr>
                <w:rFonts w:cs="Tahoma"/>
                <w:szCs w:val="18"/>
              </w:rPr>
              <w:t>B</w:t>
            </w:r>
          </w:p>
        </w:tc>
        <w:tc>
          <w:tcPr>
            <w:tcW w:w="1800" w:type="dxa"/>
          </w:tcPr>
          <w:p w:rsidR="00596386" w:rsidRPr="00A75DF9" w:rsidRDefault="00596386" w:rsidP="00380E04">
            <w:pPr>
              <w:spacing w:after="60" w:line="240" w:lineRule="atLeast"/>
              <w:jc w:val="center"/>
              <w:rPr>
                <w:rFonts w:cs="Tahoma"/>
                <w:szCs w:val="18"/>
              </w:rPr>
            </w:pPr>
            <w:r w:rsidRPr="00A75DF9">
              <w:rPr>
                <w:rFonts w:cs="Tahoma"/>
                <w:szCs w:val="18"/>
              </w:rPr>
              <w:t>Formulazione via</w:t>
            </w:r>
            <w:r w:rsidR="00380E04">
              <w:rPr>
                <w:rFonts w:cs="Tahoma"/>
                <w:szCs w:val="18"/>
              </w:rPr>
              <w:t> </w:t>
            </w:r>
            <w:r w:rsidRPr="00A75DF9">
              <w:rPr>
                <w:rFonts w:cs="Tahoma"/>
                <w:szCs w:val="18"/>
              </w:rPr>
              <w:t>Web</w:t>
            </w:r>
          </w:p>
        </w:tc>
        <w:tc>
          <w:tcPr>
            <w:tcW w:w="3243" w:type="dxa"/>
          </w:tcPr>
          <w:p w:rsidR="00596386" w:rsidRPr="00A75DF9" w:rsidRDefault="00596386" w:rsidP="00647923">
            <w:pPr>
              <w:spacing w:after="60" w:line="240" w:lineRule="atLeast"/>
              <w:rPr>
                <w:rFonts w:cs="Tahoma"/>
              </w:rPr>
            </w:pPr>
            <w:r w:rsidRPr="00A75DF9">
              <w:rPr>
                <w:rFonts w:cs="Tahoma"/>
                <w:szCs w:val="18"/>
              </w:rPr>
              <w:t xml:space="preserve">Impatto commerciale moderato: </w:t>
            </w:r>
          </w:p>
          <w:p w:rsidR="00596386" w:rsidRPr="00A75DF9" w:rsidRDefault="00596386" w:rsidP="00647923">
            <w:pPr>
              <w:spacing w:line="240" w:lineRule="atLeast"/>
              <w:rPr>
                <w:rFonts w:cs="Tahoma"/>
              </w:rPr>
            </w:pPr>
            <w:r w:rsidRPr="00A75DF9">
              <w:rPr>
                <w:rFonts w:cs="Tahoma"/>
                <w:szCs w:val="18"/>
              </w:rPr>
              <w:t>Perdita o degradazione moderata dei servizi e possibilità di continuare il lavoro in modo meno efficiente.</w:t>
            </w:r>
          </w:p>
          <w:p w:rsidR="00596386" w:rsidRPr="00A75DF9" w:rsidRDefault="00596386" w:rsidP="00380E04">
            <w:pPr>
              <w:spacing w:after="60" w:line="240" w:lineRule="atLeast"/>
              <w:rPr>
                <w:rFonts w:cs="Tahoma"/>
                <w:szCs w:val="18"/>
              </w:rPr>
            </w:pPr>
            <w:r w:rsidRPr="00A75DF9">
              <w:rPr>
                <w:rFonts w:cs="Tahoma"/>
                <w:szCs w:val="18"/>
              </w:rPr>
              <w:t>Necessità dell</w:t>
            </w:r>
            <w:r w:rsidR="00F2643E">
              <w:rPr>
                <w:rFonts w:cs="Tahoma"/>
                <w:szCs w:val="18"/>
              </w:rPr>
              <w:t>’</w:t>
            </w:r>
            <w:r w:rsidRPr="00A75DF9">
              <w:rPr>
                <w:rFonts w:cs="Tahoma"/>
                <w:szCs w:val="18"/>
              </w:rPr>
              <w:t>intervento entro 2</w:t>
            </w:r>
            <w:r w:rsidR="00380E04">
              <w:rPr>
                <w:rFonts w:cs="Tahoma"/>
                <w:szCs w:val="18"/>
              </w:rPr>
              <w:t> </w:t>
            </w:r>
            <w:r w:rsidRPr="00A75DF9">
              <w:rPr>
                <w:rFonts w:cs="Tahoma"/>
                <w:szCs w:val="18"/>
              </w:rPr>
              <w:t>Ore</w:t>
            </w:r>
          </w:p>
        </w:tc>
        <w:tc>
          <w:tcPr>
            <w:tcW w:w="3150" w:type="dxa"/>
          </w:tcPr>
          <w:p w:rsidR="00596386" w:rsidRPr="00A75DF9" w:rsidRDefault="00596386" w:rsidP="00647923">
            <w:pPr>
              <w:spacing w:line="240" w:lineRule="atLeast"/>
              <w:rPr>
                <w:rFonts w:cs="Tahoma"/>
              </w:rPr>
            </w:pPr>
            <w:r w:rsidRPr="00A75DF9">
              <w:rPr>
                <w:rFonts w:cs="Tahoma"/>
                <w:szCs w:val="18"/>
              </w:rPr>
              <w:t>1</w:t>
            </w:r>
            <w:r w:rsidRPr="00A75DF9">
              <w:rPr>
                <w:rFonts w:cs="Tahoma"/>
                <w:szCs w:val="18"/>
                <w:vertAlign w:val="superscript"/>
              </w:rPr>
              <w:t>a</w:t>
            </w:r>
            <w:r w:rsidRPr="00A75DF9">
              <w:rPr>
                <w:rFonts w:cs="Tahoma"/>
                <w:szCs w:val="18"/>
              </w:rPr>
              <w:t xml:space="preserve"> risposta in 2 Ore o meno</w:t>
            </w:r>
          </w:p>
          <w:p w:rsidR="00596386" w:rsidRPr="00A75DF9" w:rsidRDefault="00596386" w:rsidP="00647923">
            <w:pPr>
              <w:spacing w:after="60" w:line="240" w:lineRule="atLeast"/>
              <w:rPr>
                <w:rFonts w:cs="Tahoma"/>
                <w:szCs w:val="18"/>
              </w:rPr>
            </w:pPr>
          </w:p>
        </w:tc>
      </w:tr>
      <w:tr w:rsidR="00596386" w:rsidRPr="00A75DF9" w:rsidTr="00380E04">
        <w:trPr>
          <w:cantSplit/>
        </w:trPr>
        <w:tc>
          <w:tcPr>
            <w:tcW w:w="1347" w:type="dxa"/>
          </w:tcPr>
          <w:p w:rsidR="00596386" w:rsidRPr="00A75DF9" w:rsidRDefault="00596386" w:rsidP="00647923">
            <w:pPr>
              <w:spacing w:after="60" w:line="240" w:lineRule="atLeast"/>
              <w:jc w:val="center"/>
              <w:rPr>
                <w:rFonts w:cs="Tahoma"/>
                <w:szCs w:val="18"/>
              </w:rPr>
            </w:pPr>
            <w:r w:rsidRPr="00A75DF9">
              <w:rPr>
                <w:rFonts w:cs="Tahoma"/>
                <w:szCs w:val="18"/>
              </w:rPr>
              <w:lastRenderedPageBreak/>
              <w:t>C</w:t>
            </w:r>
          </w:p>
        </w:tc>
        <w:tc>
          <w:tcPr>
            <w:tcW w:w="1800" w:type="dxa"/>
          </w:tcPr>
          <w:p w:rsidR="00596386" w:rsidRPr="00A75DF9" w:rsidRDefault="00596386" w:rsidP="00380E04">
            <w:pPr>
              <w:spacing w:after="60" w:line="240" w:lineRule="atLeast"/>
              <w:jc w:val="center"/>
              <w:rPr>
                <w:rFonts w:cs="Tahoma"/>
                <w:szCs w:val="18"/>
              </w:rPr>
            </w:pPr>
            <w:r w:rsidRPr="00A75DF9">
              <w:rPr>
                <w:rFonts w:cs="Tahoma"/>
                <w:szCs w:val="18"/>
              </w:rPr>
              <w:t>Formulazione via</w:t>
            </w:r>
            <w:r w:rsidR="00380E04">
              <w:rPr>
                <w:rFonts w:cs="Tahoma"/>
                <w:szCs w:val="18"/>
              </w:rPr>
              <w:t> </w:t>
            </w:r>
            <w:r w:rsidRPr="00A75DF9">
              <w:rPr>
                <w:rFonts w:cs="Tahoma"/>
                <w:szCs w:val="18"/>
              </w:rPr>
              <w:t>Web</w:t>
            </w:r>
          </w:p>
        </w:tc>
        <w:tc>
          <w:tcPr>
            <w:tcW w:w="3243" w:type="dxa"/>
          </w:tcPr>
          <w:p w:rsidR="00596386" w:rsidRPr="00A75DF9" w:rsidRDefault="00596386" w:rsidP="00647923">
            <w:pPr>
              <w:rPr>
                <w:rFonts w:cs="Tahoma"/>
              </w:rPr>
            </w:pPr>
            <w:r w:rsidRPr="00A75DF9">
              <w:rPr>
                <w:rFonts w:cs="Tahoma"/>
                <w:szCs w:val="18"/>
              </w:rPr>
              <w:t>Impatto commerciale minimo</w:t>
            </w:r>
          </w:p>
          <w:p w:rsidR="00596386" w:rsidRPr="00A75DF9" w:rsidRDefault="00596386" w:rsidP="00647923">
            <w:pPr>
              <w:rPr>
                <w:rFonts w:cs="Tahoma"/>
              </w:rPr>
            </w:pPr>
            <w:r w:rsidRPr="00A75DF9">
              <w:rPr>
                <w:rFonts w:cs="Tahoma"/>
                <w:szCs w:val="18"/>
              </w:rPr>
              <w:t>Funzionamento sostanzialmente nella norma, in alcuni casi con qualche minimo impedimento dei servizi.</w:t>
            </w:r>
          </w:p>
          <w:p w:rsidR="00596386" w:rsidRPr="00A75DF9" w:rsidRDefault="00596386" w:rsidP="00380E04">
            <w:pPr>
              <w:spacing w:after="60" w:line="240" w:lineRule="atLeast"/>
              <w:rPr>
                <w:rFonts w:cs="Tahoma"/>
                <w:szCs w:val="18"/>
              </w:rPr>
            </w:pPr>
            <w:r w:rsidRPr="00A75DF9">
              <w:rPr>
                <w:rFonts w:cs="Tahoma"/>
                <w:szCs w:val="18"/>
              </w:rPr>
              <w:t>Necessità dell</w:t>
            </w:r>
            <w:r w:rsidR="00F2643E">
              <w:rPr>
                <w:rFonts w:cs="Tahoma"/>
                <w:szCs w:val="18"/>
              </w:rPr>
              <w:t>’</w:t>
            </w:r>
            <w:r w:rsidRPr="00A75DF9">
              <w:rPr>
                <w:rFonts w:cs="Tahoma"/>
                <w:szCs w:val="18"/>
              </w:rPr>
              <w:t>intervento entro 4</w:t>
            </w:r>
            <w:r w:rsidR="00380E04">
              <w:rPr>
                <w:rFonts w:cs="Tahoma"/>
                <w:szCs w:val="18"/>
              </w:rPr>
              <w:t> </w:t>
            </w:r>
            <w:r w:rsidRPr="00A75DF9">
              <w:rPr>
                <w:rFonts w:cs="Tahoma"/>
                <w:szCs w:val="18"/>
              </w:rPr>
              <w:t>Ore</w:t>
            </w:r>
          </w:p>
        </w:tc>
        <w:tc>
          <w:tcPr>
            <w:tcW w:w="3150" w:type="dxa"/>
          </w:tcPr>
          <w:p w:rsidR="00596386" w:rsidRPr="00A75DF9" w:rsidRDefault="00596386" w:rsidP="00647923">
            <w:pPr>
              <w:rPr>
                <w:rFonts w:cs="Tahoma"/>
              </w:rPr>
            </w:pPr>
            <w:r w:rsidRPr="00A75DF9">
              <w:rPr>
                <w:rFonts w:cs="Tahoma"/>
                <w:szCs w:val="18"/>
              </w:rPr>
              <w:t>1</w:t>
            </w:r>
            <w:r w:rsidRPr="00A75DF9">
              <w:rPr>
                <w:rFonts w:cs="Tahoma"/>
                <w:szCs w:val="18"/>
                <w:vertAlign w:val="superscript"/>
              </w:rPr>
              <w:t>a</w:t>
            </w:r>
            <w:r w:rsidRPr="00A75DF9">
              <w:rPr>
                <w:rFonts w:cs="Tahoma"/>
                <w:szCs w:val="18"/>
              </w:rPr>
              <w:t xml:space="preserve"> risposta in 4 Ore o meno</w:t>
            </w:r>
          </w:p>
          <w:p w:rsidR="00596386" w:rsidRPr="00A75DF9" w:rsidRDefault="00596386" w:rsidP="00647923">
            <w:pPr>
              <w:spacing w:line="240" w:lineRule="atLeast"/>
              <w:rPr>
                <w:rFonts w:cs="Tahoma"/>
                <w:szCs w:val="18"/>
              </w:rPr>
            </w:pPr>
          </w:p>
        </w:tc>
      </w:tr>
    </w:tbl>
    <w:p w:rsidR="00596386" w:rsidRPr="003A4BBE" w:rsidRDefault="00596386" w:rsidP="00DD7F8E">
      <w:pPr>
        <w:rPr>
          <w:rFonts w:cs="Tahoma"/>
          <w:sz w:val="16"/>
          <w:szCs w:val="16"/>
        </w:rPr>
      </w:pPr>
    </w:p>
    <w:p w:rsidR="000D747C" w:rsidRPr="00A75DF9" w:rsidRDefault="000D747C" w:rsidP="000D747C">
      <w:pPr>
        <w:rPr>
          <w:rFonts w:cs="Tahoma"/>
        </w:rPr>
      </w:pPr>
      <w:r w:rsidRPr="00A75DF9">
        <w:rPr>
          <w:rFonts w:cs="Tahoma"/>
          <w:snapToGrid w:val="0"/>
          <w:color w:val="000000"/>
          <w:szCs w:val="18"/>
        </w:rPr>
        <w:t>Le società possono scegliere di essere richiamate da Microsoft.</w:t>
      </w:r>
      <w:r w:rsidR="009D3B41" w:rsidRPr="00A75DF9">
        <w:rPr>
          <w:rFonts w:cs="Tahoma"/>
          <w:snapToGrid w:val="0"/>
          <w:color w:val="000000"/>
          <w:szCs w:val="18"/>
        </w:rPr>
        <w:t xml:space="preserve"> </w:t>
      </w:r>
      <w:r w:rsidRPr="00A75DF9">
        <w:rPr>
          <w:rFonts w:cs="Tahoma"/>
          <w:snapToGrid w:val="0"/>
          <w:color w:val="000000"/>
          <w:szCs w:val="18"/>
        </w:rPr>
        <w:t>Diversamente, il team di supporto di Windows Azure individuerà e risolverà l</w:t>
      </w:r>
      <w:r w:rsidR="00F2643E">
        <w:rPr>
          <w:rFonts w:cs="Tahoma"/>
          <w:snapToGrid w:val="0"/>
          <w:color w:val="000000"/>
          <w:szCs w:val="18"/>
        </w:rPr>
        <w:t>’</w:t>
      </w:r>
      <w:r w:rsidRPr="00A75DF9">
        <w:rPr>
          <w:rFonts w:cs="Tahoma"/>
          <w:snapToGrid w:val="0"/>
          <w:color w:val="000000"/>
          <w:szCs w:val="18"/>
        </w:rPr>
        <w:t>intervento tramite i canali online (ad esempio, tramite posta elettronica o il portale di Windows Azure).</w:t>
      </w:r>
    </w:p>
    <w:p w:rsidR="001C1727" w:rsidRPr="003A4BBE" w:rsidRDefault="001C1727">
      <w:pPr>
        <w:rPr>
          <w:rFonts w:cs="Tahoma"/>
          <w:sz w:val="16"/>
          <w:szCs w:val="16"/>
        </w:rPr>
      </w:pPr>
    </w:p>
    <w:p w:rsidR="00DC0853" w:rsidRPr="00A75DF9" w:rsidRDefault="00CB228A" w:rsidP="0047054A">
      <w:pPr>
        <w:keepNext/>
        <w:tabs>
          <w:tab w:val="left" w:pos="360"/>
        </w:tabs>
        <w:spacing w:after="60"/>
        <w:jc w:val="both"/>
        <w:rPr>
          <w:rFonts w:cs="Tahoma"/>
        </w:rPr>
      </w:pPr>
      <w:r w:rsidRPr="00A75DF9">
        <w:rPr>
          <w:rFonts w:cs="Tahoma"/>
          <w:b/>
          <w:color w:val="000000"/>
          <w:szCs w:val="18"/>
        </w:rPr>
        <w:t>Gestione della Fornitura dei Servizi</w:t>
      </w:r>
    </w:p>
    <w:p w:rsidR="00596386" w:rsidRPr="003A4BBE" w:rsidRDefault="00596386" w:rsidP="00596386">
      <w:pPr>
        <w:tabs>
          <w:tab w:val="left" w:pos="360"/>
        </w:tabs>
        <w:jc w:val="both"/>
        <w:rPr>
          <w:rFonts w:cs="Tahoma"/>
        </w:rPr>
      </w:pPr>
      <w:r w:rsidRPr="003A4BBE">
        <w:rPr>
          <w:rFonts w:cs="Tahoma"/>
          <w:color w:val="000000"/>
          <w:szCs w:val="18"/>
        </w:rPr>
        <w:t>In aggiunta</w:t>
      </w:r>
      <w:r w:rsidRPr="003A4BBE">
        <w:rPr>
          <w:rFonts w:cs="Tahoma"/>
          <w:snapToGrid w:val="0"/>
          <w:szCs w:val="18"/>
        </w:rPr>
        <w:t xml:space="preserve"> ai Servizi descritti sopra, le società con il Supporto Diretto Professionale per Windows Azure ricevono </w:t>
      </w:r>
      <w:r w:rsidRPr="003A4BBE">
        <w:rPr>
          <w:rFonts w:cs="Tahoma"/>
          <w:snapToGrid w:val="0"/>
          <w:color w:val="000000"/>
          <w:szCs w:val="18"/>
        </w:rPr>
        <w:t>assistenza nel coordinare il rapporto tra il supporto e i servizi per Windows Azure.</w:t>
      </w:r>
      <w:r w:rsidR="009D3B41" w:rsidRPr="003A4BBE">
        <w:rPr>
          <w:rFonts w:cs="Tahoma"/>
          <w:snapToGrid w:val="0"/>
          <w:color w:val="000000"/>
          <w:szCs w:val="18"/>
        </w:rPr>
        <w:t xml:space="preserve"> </w:t>
      </w:r>
      <w:r w:rsidRPr="003A4BBE">
        <w:rPr>
          <w:rFonts w:cs="Tahoma"/>
          <w:snapToGrid w:val="0"/>
          <w:color w:val="000000"/>
          <w:szCs w:val="18"/>
        </w:rPr>
        <w:t>Tali servizi sono erogati da un pool di addetti (“Responsabili della Fornitura Diretta Professionale”).</w:t>
      </w:r>
      <w:r w:rsidR="009D3B41" w:rsidRPr="003A4BBE">
        <w:rPr>
          <w:rFonts w:cs="Tahoma"/>
          <w:snapToGrid w:val="0"/>
          <w:color w:val="000000"/>
          <w:szCs w:val="18"/>
        </w:rPr>
        <w:t xml:space="preserve"> </w:t>
      </w:r>
      <w:r w:rsidRPr="003A4BBE">
        <w:rPr>
          <w:rFonts w:cs="Tahoma"/>
          <w:snapToGrid w:val="0"/>
          <w:color w:val="000000"/>
          <w:szCs w:val="18"/>
        </w:rPr>
        <w:t xml:space="preserve">I Responsabili della Fornitura Diretta Professionale sono </w:t>
      </w:r>
      <w:r w:rsidRPr="003A4BBE">
        <w:rPr>
          <w:rFonts w:cs="Tahoma"/>
          <w:szCs w:val="18"/>
        </w:rPr>
        <w:t xml:space="preserve">i rappresentanti </w:t>
      </w:r>
      <w:r w:rsidRPr="003A4BBE">
        <w:rPr>
          <w:rFonts w:cs="Tahoma"/>
          <w:snapToGrid w:val="0"/>
          <w:color w:val="000000"/>
          <w:szCs w:val="18"/>
        </w:rPr>
        <w:t>della società all</w:t>
      </w:r>
      <w:r w:rsidR="00F2643E">
        <w:rPr>
          <w:rFonts w:cs="Tahoma"/>
          <w:snapToGrid w:val="0"/>
          <w:color w:val="000000"/>
          <w:szCs w:val="18"/>
        </w:rPr>
        <w:t>’</w:t>
      </w:r>
      <w:r w:rsidRPr="003A4BBE">
        <w:rPr>
          <w:rFonts w:cs="Tahoma"/>
          <w:snapToGrid w:val="0"/>
          <w:color w:val="000000"/>
          <w:szCs w:val="18"/>
        </w:rPr>
        <w:t>interno di Microsoft e facilitano il coordinamento con i team che possono fornire il supporto tecnico disponibile per i Servizi Online.</w:t>
      </w:r>
      <w:r w:rsidR="009D3B41" w:rsidRPr="003A4BBE">
        <w:rPr>
          <w:rFonts w:cs="Tahoma"/>
          <w:snapToGrid w:val="0"/>
          <w:color w:val="000000"/>
          <w:szCs w:val="18"/>
        </w:rPr>
        <w:t xml:space="preserve"> </w:t>
      </w:r>
      <w:r w:rsidRPr="003A4BBE">
        <w:rPr>
          <w:rFonts w:cs="Tahoma"/>
          <w:snapToGrid w:val="0"/>
          <w:color w:val="000000"/>
          <w:szCs w:val="18"/>
        </w:rPr>
        <w:t xml:space="preserve">I Responsabili della Fornitura Diretta Professionale fungono inoltre da punto di riferimento per la raccolta di informazioni e forniscono ad altri gruppi Microsoft </w:t>
      </w:r>
      <w:r w:rsidRPr="003A4BBE">
        <w:rPr>
          <w:rFonts w:cs="Tahoma"/>
          <w:szCs w:val="18"/>
        </w:rPr>
        <w:t xml:space="preserve">i commenti </w:t>
      </w:r>
      <w:r w:rsidRPr="003A4BBE">
        <w:rPr>
          <w:rFonts w:cs="Tahoma"/>
          <w:snapToGrid w:val="0"/>
          <w:color w:val="000000"/>
          <w:szCs w:val="18"/>
        </w:rPr>
        <w:t>della società in merito ai Servizi.</w:t>
      </w:r>
      <w:r w:rsidR="009D3B41" w:rsidRPr="003A4BBE">
        <w:rPr>
          <w:rFonts w:cs="Tahoma"/>
          <w:snapToGrid w:val="0"/>
          <w:color w:val="000000"/>
          <w:szCs w:val="18"/>
        </w:rPr>
        <w:t xml:space="preserve"> </w:t>
      </w:r>
      <w:r w:rsidRPr="003A4BBE">
        <w:rPr>
          <w:rFonts w:cs="Tahoma"/>
          <w:snapToGrid w:val="0"/>
          <w:color w:val="000000"/>
          <w:szCs w:val="18"/>
        </w:rPr>
        <w:t>I Responsabili della Fornitura Diretta Professionale potranno inoltre erogare i seguenti Servizi aggiuntivi:</w:t>
      </w:r>
    </w:p>
    <w:p w:rsidR="00596386" w:rsidRPr="003A4BBE" w:rsidRDefault="00596386" w:rsidP="00596386">
      <w:pPr>
        <w:tabs>
          <w:tab w:val="left" w:pos="360"/>
        </w:tabs>
        <w:jc w:val="both"/>
        <w:rPr>
          <w:rFonts w:cs="Tahoma"/>
          <w:sz w:val="16"/>
          <w:szCs w:val="16"/>
        </w:rPr>
      </w:pPr>
    </w:p>
    <w:p w:rsidR="00596386" w:rsidRPr="00A75DF9" w:rsidRDefault="00596386" w:rsidP="003A4BBE">
      <w:pPr>
        <w:numPr>
          <w:ilvl w:val="0"/>
          <w:numId w:val="112"/>
        </w:numPr>
        <w:tabs>
          <w:tab w:val="clear" w:pos="720"/>
        </w:tabs>
        <w:spacing w:after="20"/>
        <w:ind w:left="1440"/>
        <w:jc w:val="both"/>
        <w:rPr>
          <w:rFonts w:cs="Tahoma"/>
        </w:rPr>
      </w:pPr>
      <w:r w:rsidRPr="00A75DF9">
        <w:rPr>
          <w:rFonts w:cs="Tahoma"/>
          <w:b/>
          <w:color w:val="000000"/>
          <w:szCs w:val="18"/>
        </w:rPr>
        <w:t>Pianificazione e Gestione.</w:t>
      </w:r>
      <w:r w:rsidRPr="00A75DF9">
        <w:rPr>
          <w:rFonts w:cs="Tahoma"/>
          <w:szCs w:val="18"/>
        </w:rPr>
        <w:t xml:space="preserve"> Alla data di entrata in vigore del presente Contratto Microsoft offre una sessione di orientamento alla direzione e al personale della società tramite teleconferenza.</w:t>
      </w:r>
      <w:r w:rsidR="009D3B41" w:rsidRPr="00A75DF9">
        <w:rPr>
          <w:rFonts w:cs="Tahoma"/>
          <w:szCs w:val="18"/>
        </w:rPr>
        <w:t xml:space="preserve"> </w:t>
      </w:r>
      <w:r w:rsidRPr="00A75DF9">
        <w:rPr>
          <w:rFonts w:cs="Tahoma"/>
          <w:szCs w:val="18"/>
        </w:rPr>
        <w:t>Lo scopo di questa riunione è di discutere i Servizi di supporto disponibili e di rispondere a eventuali domande in modo che la società possa pianificare l</w:t>
      </w:r>
      <w:r w:rsidR="00F2643E">
        <w:rPr>
          <w:rFonts w:cs="Tahoma"/>
          <w:szCs w:val="18"/>
        </w:rPr>
        <w:t>’</w:t>
      </w:r>
      <w:r w:rsidRPr="00A75DF9">
        <w:rPr>
          <w:rFonts w:cs="Tahoma"/>
          <w:szCs w:val="18"/>
        </w:rPr>
        <w:t>utilizzo dei Servizi.</w:t>
      </w:r>
    </w:p>
    <w:p w:rsidR="00596386" w:rsidRPr="00A75DF9" w:rsidRDefault="00596386" w:rsidP="003A4BBE">
      <w:pPr>
        <w:numPr>
          <w:ilvl w:val="0"/>
          <w:numId w:val="112"/>
        </w:numPr>
        <w:tabs>
          <w:tab w:val="clear" w:pos="720"/>
        </w:tabs>
        <w:spacing w:after="20"/>
        <w:ind w:left="1440"/>
        <w:jc w:val="both"/>
        <w:rPr>
          <w:rFonts w:cs="Tahoma"/>
        </w:rPr>
      </w:pPr>
      <w:r w:rsidRPr="00A75DF9">
        <w:rPr>
          <w:rFonts w:cs="Tahoma"/>
          <w:b/>
          <w:color w:val="000000"/>
          <w:szCs w:val="18"/>
        </w:rPr>
        <w:t>Gestione dell</w:t>
      </w:r>
      <w:r w:rsidR="00F2643E">
        <w:rPr>
          <w:rFonts w:cs="Tahoma"/>
          <w:b/>
          <w:color w:val="000000"/>
          <w:szCs w:val="18"/>
        </w:rPr>
        <w:t>’</w:t>
      </w:r>
      <w:r w:rsidRPr="00A75DF9">
        <w:rPr>
          <w:rFonts w:cs="Tahoma"/>
          <w:b/>
          <w:color w:val="000000"/>
          <w:szCs w:val="18"/>
        </w:rPr>
        <w:t>Escalation.</w:t>
      </w:r>
      <w:r w:rsidRPr="00A75DF9">
        <w:rPr>
          <w:rFonts w:cs="Tahoma"/>
          <w:szCs w:val="18"/>
        </w:rPr>
        <w:t xml:space="preserve"> Un Responsabile della Fornitura Diretta Professionale </w:t>
      </w:r>
      <w:r w:rsidRPr="00A75DF9">
        <w:rPr>
          <w:rFonts w:cs="Tahoma"/>
          <w:snapToGrid w:val="0"/>
          <w:szCs w:val="18"/>
        </w:rPr>
        <w:t>erogherà alla società servizi di gestione dell</w:t>
      </w:r>
      <w:r w:rsidR="00F2643E">
        <w:rPr>
          <w:rFonts w:cs="Tahoma"/>
          <w:snapToGrid w:val="0"/>
          <w:szCs w:val="18"/>
        </w:rPr>
        <w:t>’</w:t>
      </w:r>
      <w:r w:rsidRPr="00A75DF9">
        <w:rPr>
          <w:rFonts w:cs="Tahoma"/>
          <w:snapToGrid w:val="0"/>
          <w:szCs w:val="18"/>
        </w:rPr>
        <w:t>escalation per Windows Azure.</w:t>
      </w:r>
    </w:p>
    <w:p w:rsidR="00596386" w:rsidRPr="003A4BBE" w:rsidRDefault="00596386" w:rsidP="00596386">
      <w:pPr>
        <w:tabs>
          <w:tab w:val="left" w:pos="360"/>
        </w:tabs>
        <w:jc w:val="both"/>
        <w:rPr>
          <w:rFonts w:cs="Tahoma"/>
          <w:sz w:val="16"/>
          <w:szCs w:val="16"/>
        </w:rPr>
      </w:pPr>
    </w:p>
    <w:p w:rsidR="00596386" w:rsidRPr="00380E04" w:rsidRDefault="00CB228A" w:rsidP="00380E04">
      <w:pPr>
        <w:pStyle w:val="normal1"/>
        <w:jc w:val="both"/>
        <w:rPr>
          <w:rFonts w:ascii="Tahoma" w:hAnsi="Tahoma" w:cs="Tahoma"/>
          <w:sz w:val="18"/>
          <w:szCs w:val="18"/>
        </w:rPr>
      </w:pPr>
      <w:r w:rsidRPr="00380E04">
        <w:rPr>
          <w:rFonts w:ascii="Tahoma" w:hAnsi="Tahoma" w:cs="Tahoma"/>
          <w:color w:val="000000"/>
          <w:sz w:val="18"/>
          <w:szCs w:val="18"/>
        </w:rPr>
        <w:t>I servizi di Gestione della Fornitura dei Servizi sono erogati solo in lingua inglese dalle 9.00 alle 17.00 Ora Locale,</w:t>
      </w:r>
      <w:r w:rsidRPr="00380E04">
        <w:rPr>
          <w:rFonts w:ascii="Tahoma" w:hAnsi="Tahoma" w:cs="Tahoma"/>
          <w:color w:val="FF3399"/>
          <w:sz w:val="18"/>
          <w:szCs w:val="18"/>
        </w:rPr>
        <w:t xml:space="preserve"> </w:t>
      </w:r>
      <w:r w:rsidRPr="00380E04">
        <w:rPr>
          <w:rFonts w:ascii="Tahoma" w:hAnsi="Tahoma" w:cs="Tahoma"/>
          <w:sz w:val="18"/>
          <w:szCs w:val="18"/>
        </w:rPr>
        <w:t>da</w:t>
      </w:r>
      <w:r w:rsidR="00380E04">
        <w:rPr>
          <w:rFonts w:ascii="Tahoma" w:hAnsi="Tahoma" w:cs="Tahoma"/>
          <w:sz w:val="18"/>
          <w:szCs w:val="18"/>
        </w:rPr>
        <w:t> </w:t>
      </w:r>
      <w:r w:rsidRPr="00380E04">
        <w:rPr>
          <w:rFonts w:ascii="Tahoma" w:hAnsi="Tahoma" w:cs="Tahoma"/>
          <w:sz w:val="18"/>
          <w:szCs w:val="18"/>
        </w:rPr>
        <w:t>lunedì a venerdì, fine settimana e festività esclusi.</w:t>
      </w:r>
      <w:r w:rsidRPr="00380E04">
        <w:rPr>
          <w:rFonts w:ascii="Tahoma" w:hAnsi="Tahoma" w:cs="Tahoma"/>
          <w:color w:val="000000"/>
          <w:sz w:val="18"/>
          <w:szCs w:val="18"/>
          <w:u w:val="single"/>
        </w:rPr>
        <w:t xml:space="preserve"> </w:t>
      </w:r>
    </w:p>
    <w:p w:rsidR="00596386" w:rsidRPr="003A4BBE" w:rsidRDefault="00596386" w:rsidP="00596386">
      <w:pPr>
        <w:pStyle w:val="normal1"/>
        <w:jc w:val="both"/>
        <w:rPr>
          <w:rFonts w:ascii="Tahoma" w:hAnsi="Tahoma" w:cs="Tahoma"/>
          <w:sz w:val="16"/>
          <w:szCs w:val="16"/>
        </w:rPr>
      </w:pPr>
    </w:p>
    <w:p w:rsidR="00DC0853" w:rsidRPr="00A75DF9" w:rsidRDefault="00596386" w:rsidP="00DC0853">
      <w:pPr>
        <w:tabs>
          <w:tab w:val="left" w:pos="360"/>
        </w:tabs>
        <w:spacing w:after="60"/>
        <w:jc w:val="both"/>
        <w:rPr>
          <w:rFonts w:cs="Tahoma"/>
        </w:rPr>
      </w:pPr>
      <w:r w:rsidRPr="00A75DF9">
        <w:rPr>
          <w:rFonts w:cs="Tahoma"/>
          <w:b/>
          <w:szCs w:val="18"/>
        </w:rPr>
        <w:t>Altri Servizi Informativi e Vantaggi</w:t>
      </w:r>
    </w:p>
    <w:p w:rsidR="00596386" w:rsidRPr="00A75DF9" w:rsidRDefault="00596386" w:rsidP="00596386">
      <w:pPr>
        <w:tabs>
          <w:tab w:val="left" w:pos="360"/>
        </w:tabs>
        <w:jc w:val="both"/>
        <w:rPr>
          <w:rFonts w:cs="Tahoma"/>
        </w:rPr>
      </w:pPr>
      <w:r w:rsidRPr="00A75DF9">
        <w:rPr>
          <w:rFonts w:cs="Tahoma"/>
          <w:szCs w:val="18"/>
        </w:rPr>
        <w:t>I Servizi Informativi forniscono dettagli tecnici su Windows Azure e gli strumenti di supporto che consentono alle società di implementare e far funzionare Windows Azure in modo più efficiente ed efficace.</w:t>
      </w:r>
      <w:r w:rsidR="009D3B41" w:rsidRPr="00A75DF9">
        <w:rPr>
          <w:rFonts w:cs="Tahoma"/>
          <w:szCs w:val="18"/>
        </w:rPr>
        <w:t xml:space="preserve"> </w:t>
      </w:r>
      <w:r w:rsidRPr="00A75DF9">
        <w:rPr>
          <w:rFonts w:cs="Tahoma"/>
          <w:szCs w:val="18"/>
        </w:rPr>
        <w:t>I Servizi Informativi sono erogati solo in lingua inglese e includono quanto segue:</w:t>
      </w:r>
    </w:p>
    <w:p w:rsidR="00596386" w:rsidRPr="003A4BBE" w:rsidRDefault="00596386" w:rsidP="00596386">
      <w:pPr>
        <w:tabs>
          <w:tab w:val="left" w:pos="360"/>
        </w:tabs>
        <w:jc w:val="both"/>
        <w:rPr>
          <w:rFonts w:cs="Tahoma"/>
          <w:sz w:val="16"/>
          <w:szCs w:val="16"/>
        </w:rPr>
      </w:pPr>
    </w:p>
    <w:p w:rsidR="00596386" w:rsidRPr="00380E04" w:rsidRDefault="00596386" w:rsidP="003A4BBE">
      <w:pPr>
        <w:pStyle w:val="ListParagraph"/>
        <w:numPr>
          <w:ilvl w:val="0"/>
          <w:numId w:val="113"/>
        </w:numPr>
        <w:tabs>
          <w:tab w:val="left" w:pos="360"/>
        </w:tabs>
        <w:spacing w:after="40"/>
        <w:ind w:left="1440"/>
        <w:contextualSpacing w:val="0"/>
        <w:jc w:val="both"/>
        <w:rPr>
          <w:rFonts w:ascii="Tahoma" w:hAnsi="Tahoma" w:cs="Tahoma"/>
          <w:sz w:val="18"/>
          <w:szCs w:val="18"/>
        </w:rPr>
      </w:pPr>
      <w:r w:rsidRPr="00380E04">
        <w:rPr>
          <w:rFonts w:ascii="Tahoma" w:hAnsi="Tahoma" w:cs="Tahoma"/>
          <w:b/>
          <w:color w:val="000000"/>
          <w:sz w:val="18"/>
          <w:szCs w:val="18"/>
        </w:rPr>
        <w:t xml:space="preserve">Supporto Diretto Professionale per il contenuto esclusivo di Windows Azure. </w:t>
      </w:r>
      <w:r w:rsidRPr="00380E04">
        <w:rPr>
          <w:rFonts w:ascii="Tahoma" w:hAnsi="Tahoma" w:cs="Tahoma"/>
          <w:snapToGrid w:val="0"/>
          <w:sz w:val="18"/>
          <w:szCs w:val="18"/>
        </w:rPr>
        <w:t>Alle società verrà concesso l</w:t>
      </w:r>
      <w:r w:rsidR="00F2643E">
        <w:rPr>
          <w:rFonts w:ascii="Tahoma" w:hAnsi="Tahoma" w:cs="Tahoma"/>
          <w:snapToGrid w:val="0"/>
          <w:sz w:val="18"/>
          <w:szCs w:val="18"/>
        </w:rPr>
        <w:t>’</w:t>
      </w:r>
      <w:r w:rsidRPr="00380E04">
        <w:rPr>
          <w:rFonts w:ascii="Tahoma" w:hAnsi="Tahoma" w:cs="Tahoma"/>
          <w:snapToGrid w:val="0"/>
          <w:sz w:val="18"/>
          <w:szCs w:val="18"/>
        </w:rPr>
        <w:t>accesso al contenuto esclusivo di Windows Azure, inclusi, a titolo esemplificativo, pubblicazioni online relative a manuali con procedure consigliate di architettura e distribuzione, contenuto di training archiviato, notifiche di futuri Webinar e altre informazioni di carattere generico su Windows Azure.</w:t>
      </w:r>
    </w:p>
    <w:p w:rsidR="00596386" w:rsidRPr="00380E04" w:rsidRDefault="00596386" w:rsidP="003A4BBE">
      <w:pPr>
        <w:numPr>
          <w:ilvl w:val="0"/>
          <w:numId w:val="113"/>
        </w:numPr>
        <w:tabs>
          <w:tab w:val="left" w:pos="360"/>
        </w:tabs>
        <w:spacing w:after="40"/>
        <w:ind w:left="1440"/>
        <w:jc w:val="both"/>
        <w:rPr>
          <w:rFonts w:cs="Tahoma"/>
          <w:szCs w:val="18"/>
        </w:rPr>
      </w:pPr>
      <w:r w:rsidRPr="00380E04">
        <w:rPr>
          <w:rFonts w:cs="Tahoma"/>
          <w:b/>
          <w:color w:val="000000"/>
          <w:szCs w:val="18"/>
        </w:rPr>
        <w:t>Webinar.</w:t>
      </w:r>
      <w:r w:rsidRPr="00380E04">
        <w:rPr>
          <w:rFonts w:cs="Tahoma"/>
          <w:szCs w:val="18"/>
        </w:rPr>
        <w:t xml:space="preserve"> I Webinar sono discussioni pianificate su base periodica condotte da esperti Microsoft che seguono aree importanti dei Microsoft Online Services. I Webinar includono, a titolo esemplificativo, “Guida Introduttiva” con Windows Azure, Briefing sulle Nuove Funzionalità e Domande e Risposte con gli Esperti. </w:t>
      </w:r>
    </w:p>
    <w:p w:rsidR="00596386" w:rsidRPr="00380E04" w:rsidRDefault="00596386" w:rsidP="003A4BBE">
      <w:pPr>
        <w:numPr>
          <w:ilvl w:val="0"/>
          <w:numId w:val="113"/>
        </w:numPr>
        <w:tabs>
          <w:tab w:val="left" w:pos="360"/>
        </w:tabs>
        <w:spacing w:after="40"/>
        <w:ind w:left="1440"/>
        <w:jc w:val="both"/>
        <w:rPr>
          <w:rFonts w:cs="Tahoma"/>
          <w:szCs w:val="18"/>
        </w:rPr>
      </w:pPr>
      <w:r w:rsidRPr="00380E04">
        <w:rPr>
          <w:rFonts w:cs="Tahoma"/>
          <w:b/>
          <w:color w:val="000000"/>
          <w:szCs w:val="18"/>
        </w:rPr>
        <w:t>Servizi di Consulenza Aggiuntivi erogati dai Responsabili della Fornitura Diretta Professionale.</w:t>
      </w:r>
    </w:p>
    <w:p w:rsidR="00596386" w:rsidRPr="00A75DF9" w:rsidRDefault="00596386" w:rsidP="003A4BBE">
      <w:pPr>
        <w:numPr>
          <w:ilvl w:val="1"/>
          <w:numId w:val="99"/>
        </w:numPr>
        <w:tabs>
          <w:tab w:val="left" w:pos="360"/>
        </w:tabs>
        <w:spacing w:after="20"/>
        <w:ind w:left="1987"/>
        <w:jc w:val="both"/>
        <w:rPr>
          <w:rFonts w:cs="Tahoma"/>
        </w:rPr>
      </w:pPr>
      <w:r w:rsidRPr="00A75DF9">
        <w:rPr>
          <w:rFonts w:cs="Tahoma"/>
          <w:snapToGrid w:val="0"/>
          <w:szCs w:val="18"/>
        </w:rPr>
        <w:t>Riferimenti alle principali risorse online.</w:t>
      </w:r>
      <w:r w:rsidR="009D3B41" w:rsidRPr="00A75DF9">
        <w:rPr>
          <w:rFonts w:cs="Tahoma"/>
          <w:snapToGrid w:val="0"/>
          <w:szCs w:val="18"/>
        </w:rPr>
        <w:t xml:space="preserve"> </w:t>
      </w:r>
      <w:r w:rsidRPr="00A75DF9">
        <w:rPr>
          <w:rFonts w:cs="Tahoma"/>
          <w:snapToGrid w:val="0"/>
          <w:szCs w:val="18"/>
        </w:rPr>
        <w:t>Un Responsabile della Fornitura Diretta Professionale fornirà alle società suggerimenti, incluse le istruzioni su come accedere alle risorse self-service in quel momento disponibili per poter rispondere alle domande relative alle procedure sui servizi e le funzionalità comuni di Windows Azure.</w:t>
      </w:r>
    </w:p>
    <w:p w:rsidR="00596386" w:rsidRPr="00A75DF9" w:rsidRDefault="00596386" w:rsidP="003A4BBE">
      <w:pPr>
        <w:numPr>
          <w:ilvl w:val="1"/>
          <w:numId w:val="99"/>
        </w:numPr>
        <w:spacing w:after="20"/>
        <w:ind w:left="1987"/>
        <w:jc w:val="both"/>
        <w:rPr>
          <w:rFonts w:cs="Tahoma"/>
        </w:rPr>
      </w:pPr>
      <w:r w:rsidRPr="00A75DF9">
        <w:rPr>
          <w:rFonts w:cs="Tahoma"/>
          <w:snapToGrid w:val="0"/>
          <w:szCs w:val="18"/>
        </w:rPr>
        <w:t>Orientamento di base degli interventi.</w:t>
      </w:r>
      <w:r w:rsidR="009D3B41" w:rsidRPr="00A75DF9">
        <w:rPr>
          <w:rFonts w:cs="Tahoma"/>
          <w:snapToGrid w:val="0"/>
          <w:szCs w:val="18"/>
        </w:rPr>
        <w:t xml:space="preserve"> </w:t>
      </w:r>
      <w:r w:rsidRPr="00A75DF9">
        <w:rPr>
          <w:rFonts w:cs="Tahoma"/>
          <w:snapToGrid w:val="0"/>
          <w:szCs w:val="18"/>
        </w:rPr>
        <w:t>Un Responsabile della Fornitura Diretta Professionale aiuterà a rilevare e valutare la causa principale delle richieste comuni di supporto formulate dalle società, fornendo consigli su come attenuare tali problematiche in futuro.</w:t>
      </w:r>
    </w:p>
    <w:p w:rsidR="00596386" w:rsidRPr="00A75DF9" w:rsidRDefault="00596386" w:rsidP="003A4BBE">
      <w:pPr>
        <w:numPr>
          <w:ilvl w:val="0"/>
          <w:numId w:val="113"/>
        </w:numPr>
        <w:tabs>
          <w:tab w:val="left" w:pos="360"/>
        </w:tabs>
        <w:spacing w:after="40"/>
        <w:ind w:left="1440"/>
        <w:jc w:val="both"/>
        <w:rPr>
          <w:rFonts w:cs="Tahoma"/>
        </w:rPr>
      </w:pPr>
      <w:r w:rsidRPr="00A75DF9">
        <w:rPr>
          <w:rFonts w:cs="Tahoma"/>
          <w:b/>
          <w:color w:val="000000"/>
          <w:szCs w:val="18"/>
        </w:rPr>
        <w:t>Segnalazioni per l</w:t>
      </w:r>
      <w:r w:rsidR="00F2643E">
        <w:rPr>
          <w:rFonts w:cs="Tahoma"/>
          <w:b/>
          <w:color w:val="000000"/>
          <w:szCs w:val="18"/>
        </w:rPr>
        <w:t>’</w:t>
      </w:r>
      <w:r w:rsidRPr="00A75DF9">
        <w:rPr>
          <w:rFonts w:cs="Tahoma"/>
          <w:b/>
          <w:color w:val="000000"/>
          <w:szCs w:val="18"/>
        </w:rPr>
        <w:t xml:space="preserve">Ottimizzazione di Windows Azure. </w:t>
      </w:r>
      <w:r w:rsidRPr="00A75DF9">
        <w:rPr>
          <w:rFonts w:cs="Tahoma"/>
          <w:szCs w:val="18"/>
        </w:rPr>
        <w:t>Un Responsabile della Fornitura Diretta Professionale fornirà segnalazioni periodiche per contribuire all</w:t>
      </w:r>
      <w:r w:rsidR="00F2643E">
        <w:rPr>
          <w:rFonts w:cs="Tahoma"/>
          <w:szCs w:val="18"/>
        </w:rPr>
        <w:t>’</w:t>
      </w:r>
      <w:r w:rsidRPr="00A75DF9">
        <w:rPr>
          <w:rFonts w:cs="Tahoma"/>
          <w:szCs w:val="18"/>
        </w:rPr>
        <w:t>identificazione delle potenziali riduzioni di costo, per ottimizzare le attività e migliorare l</w:t>
      </w:r>
      <w:r w:rsidR="00F2643E">
        <w:rPr>
          <w:rFonts w:cs="Tahoma"/>
          <w:szCs w:val="18"/>
        </w:rPr>
        <w:t>’</w:t>
      </w:r>
      <w:r w:rsidRPr="00A75DF9">
        <w:rPr>
          <w:rFonts w:cs="Tahoma"/>
          <w:szCs w:val="18"/>
        </w:rPr>
        <w:t>esperienza utente.</w:t>
      </w:r>
      <w:r w:rsidR="009D3B41" w:rsidRPr="00A75DF9">
        <w:rPr>
          <w:rFonts w:cs="Tahoma"/>
        </w:rPr>
        <w:t xml:space="preserve"> </w:t>
      </w:r>
    </w:p>
    <w:p w:rsidR="00596386" w:rsidRPr="00A75DF9" w:rsidRDefault="00596386" w:rsidP="00596386">
      <w:pPr>
        <w:tabs>
          <w:tab w:val="left" w:pos="360"/>
        </w:tabs>
        <w:jc w:val="both"/>
        <w:rPr>
          <w:rFonts w:cs="Tahoma"/>
        </w:rPr>
      </w:pPr>
      <w:r w:rsidRPr="00A75DF9">
        <w:rPr>
          <w:rFonts w:cs="Tahoma"/>
          <w:b/>
          <w:sz w:val="24"/>
          <w:szCs w:val="18"/>
        </w:rPr>
        <w:lastRenderedPageBreak/>
        <w:t>Supporto Standard per Windows Azure</w:t>
      </w:r>
    </w:p>
    <w:p w:rsidR="00596386" w:rsidRPr="00A75DF9" w:rsidRDefault="00596386" w:rsidP="00596386">
      <w:pPr>
        <w:tabs>
          <w:tab w:val="left" w:pos="360"/>
        </w:tabs>
        <w:jc w:val="both"/>
        <w:rPr>
          <w:rFonts w:cs="Tahoma"/>
        </w:rPr>
      </w:pPr>
    </w:p>
    <w:p w:rsidR="00596386" w:rsidRPr="00A75DF9" w:rsidRDefault="00A47BFD" w:rsidP="00687970">
      <w:pPr>
        <w:rPr>
          <w:rFonts w:cs="Tahoma"/>
        </w:rPr>
      </w:pPr>
      <w:r w:rsidRPr="00A75DF9">
        <w:rPr>
          <w:rFonts w:cs="Tahoma"/>
          <w:color w:val="000000"/>
          <w:szCs w:val="18"/>
        </w:rPr>
        <w:t>Le società avranno la responsabilità di definire il livello di gravità iniziale durante la procedura di invio tramite Web in</w:t>
      </w:r>
      <w:r w:rsidR="00687970">
        <w:rPr>
          <w:rFonts w:cs="Tahoma"/>
          <w:color w:val="000000"/>
          <w:szCs w:val="18"/>
        </w:rPr>
        <w:t> </w:t>
      </w:r>
      <w:r w:rsidRPr="00A75DF9">
        <w:rPr>
          <w:rFonts w:cs="Tahoma"/>
          <w:color w:val="000000"/>
          <w:szCs w:val="18"/>
        </w:rPr>
        <w:t>linea con le indicazioni di gravità fornite di seguito.</w:t>
      </w:r>
      <w:r w:rsidR="009D3B41" w:rsidRPr="00A75DF9">
        <w:rPr>
          <w:rFonts w:cs="Tahoma"/>
          <w:color w:val="000000"/>
          <w:szCs w:val="18"/>
        </w:rPr>
        <w:t xml:space="preserve"> </w:t>
      </w:r>
      <w:r w:rsidRPr="00A75DF9">
        <w:rPr>
          <w:rFonts w:cs="Tahoma"/>
          <w:color w:val="000000"/>
          <w:szCs w:val="18"/>
        </w:rPr>
        <w:t>Microsoft potrà ridurre il livello di gravità qualora la società non</w:t>
      </w:r>
      <w:r w:rsidR="00687970">
        <w:rPr>
          <w:rFonts w:cs="Tahoma"/>
          <w:color w:val="000000"/>
          <w:szCs w:val="18"/>
        </w:rPr>
        <w:t> </w:t>
      </w:r>
      <w:r w:rsidRPr="00A75DF9">
        <w:rPr>
          <w:rFonts w:cs="Tahoma"/>
          <w:color w:val="000000"/>
          <w:szCs w:val="18"/>
        </w:rPr>
        <w:t xml:space="preserve">sia in grado di fornire risorse o risposte adeguate a supportare Microsoft nel suo impegno volto a risolvere il problema. </w:t>
      </w:r>
      <w:r w:rsidRPr="00A75DF9">
        <w:rPr>
          <w:rFonts w:cs="Tahoma"/>
          <w:szCs w:val="18"/>
        </w:rPr>
        <w:t>La gravità dell</w:t>
      </w:r>
      <w:r w:rsidR="00F2643E">
        <w:rPr>
          <w:rFonts w:cs="Tahoma"/>
          <w:szCs w:val="18"/>
        </w:rPr>
        <w:t>’</w:t>
      </w:r>
      <w:r w:rsidRPr="00A75DF9">
        <w:rPr>
          <w:rFonts w:cs="Tahoma"/>
          <w:szCs w:val="18"/>
        </w:rPr>
        <w:t>intervento determinerà i livelli di risposta da parte di Microsoft. I tempi di risposta previsti sono definiti nella tabella che segue. La possibilità per Microsoft di offrire i servizi dipende dalla totale e tempestiva collaborazione della società e dall</w:t>
      </w:r>
      <w:r w:rsidR="00F2643E">
        <w:rPr>
          <w:rFonts w:cs="Tahoma"/>
          <w:szCs w:val="18"/>
        </w:rPr>
        <w:t>’</w:t>
      </w:r>
      <w:r w:rsidRPr="00A75DF9">
        <w:rPr>
          <w:rFonts w:cs="Tahoma"/>
          <w:szCs w:val="18"/>
        </w:rPr>
        <w:t>accuratezza e completezza dei dati forniti.</w:t>
      </w:r>
    </w:p>
    <w:p w:rsidR="00596386" w:rsidRPr="00A75DF9" w:rsidRDefault="00596386" w:rsidP="00596386">
      <w:pPr>
        <w:rPr>
          <w:rFonts w:cs="Tahoma"/>
        </w:rPr>
      </w:pP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7"/>
        <w:gridCol w:w="1911"/>
        <w:gridCol w:w="3048"/>
        <w:gridCol w:w="2934"/>
      </w:tblGrid>
      <w:tr w:rsidR="00596386" w:rsidRPr="00A75DF9" w:rsidTr="00687970">
        <w:tc>
          <w:tcPr>
            <w:tcW w:w="779" w:type="pct"/>
            <w:shd w:val="clear" w:color="auto" w:fill="FABF8F"/>
          </w:tcPr>
          <w:p w:rsidR="00596386" w:rsidRPr="00A75DF9" w:rsidRDefault="00596386" w:rsidP="0037031E">
            <w:pPr>
              <w:jc w:val="center"/>
              <w:rPr>
                <w:rFonts w:cs="Tahoma"/>
                <w:b/>
                <w:bCs/>
                <w:color w:val="000000"/>
                <w:sz w:val="20"/>
                <w:szCs w:val="18"/>
              </w:rPr>
            </w:pPr>
            <w:r w:rsidRPr="00A75DF9">
              <w:rPr>
                <w:rFonts w:cs="Tahoma"/>
                <w:b/>
                <w:bCs/>
                <w:color w:val="000000"/>
                <w:sz w:val="20"/>
                <w:szCs w:val="18"/>
              </w:rPr>
              <w:t>Severity</w:t>
            </w:r>
          </w:p>
        </w:tc>
        <w:tc>
          <w:tcPr>
            <w:tcW w:w="1022" w:type="pct"/>
            <w:shd w:val="clear" w:color="auto" w:fill="FABF8F"/>
          </w:tcPr>
          <w:p w:rsidR="00596386" w:rsidRPr="00A75DF9" w:rsidRDefault="00596386" w:rsidP="0037031E">
            <w:pPr>
              <w:jc w:val="center"/>
              <w:rPr>
                <w:rFonts w:cs="Tahoma"/>
                <w:b/>
                <w:bCs/>
                <w:color w:val="000000"/>
                <w:sz w:val="20"/>
                <w:szCs w:val="18"/>
              </w:rPr>
            </w:pPr>
            <w:r w:rsidRPr="00A75DF9">
              <w:rPr>
                <w:rFonts w:cs="Tahoma"/>
                <w:b/>
                <w:bCs/>
                <w:color w:val="000000"/>
                <w:sz w:val="20"/>
                <w:szCs w:val="18"/>
              </w:rPr>
              <w:t>Contatto</w:t>
            </w:r>
          </w:p>
        </w:tc>
        <w:tc>
          <w:tcPr>
            <w:tcW w:w="1630" w:type="pct"/>
            <w:shd w:val="clear" w:color="auto" w:fill="FABF8F"/>
          </w:tcPr>
          <w:p w:rsidR="00596386" w:rsidRPr="00A75DF9" w:rsidRDefault="00596386" w:rsidP="0037031E">
            <w:pPr>
              <w:jc w:val="center"/>
              <w:rPr>
                <w:rFonts w:cs="Tahoma"/>
                <w:b/>
                <w:bCs/>
                <w:color w:val="000000"/>
                <w:sz w:val="20"/>
                <w:szCs w:val="18"/>
              </w:rPr>
            </w:pPr>
            <w:r w:rsidRPr="00A75DF9">
              <w:rPr>
                <w:rFonts w:cs="Tahoma"/>
                <w:b/>
                <w:bCs/>
                <w:color w:val="000000"/>
                <w:sz w:val="20"/>
                <w:szCs w:val="18"/>
              </w:rPr>
              <w:t>Situazione della Società</w:t>
            </w:r>
          </w:p>
        </w:tc>
        <w:tc>
          <w:tcPr>
            <w:tcW w:w="1570" w:type="pct"/>
            <w:shd w:val="clear" w:color="auto" w:fill="FABF8F"/>
          </w:tcPr>
          <w:p w:rsidR="00596386" w:rsidRPr="00A75DF9" w:rsidRDefault="00596386" w:rsidP="0037031E">
            <w:pPr>
              <w:jc w:val="center"/>
              <w:rPr>
                <w:rFonts w:cs="Tahoma"/>
                <w:b/>
                <w:bCs/>
                <w:color w:val="000000"/>
                <w:sz w:val="20"/>
                <w:szCs w:val="18"/>
              </w:rPr>
            </w:pPr>
            <w:r w:rsidRPr="00A75DF9">
              <w:rPr>
                <w:rFonts w:cs="Tahoma"/>
                <w:b/>
                <w:bCs/>
                <w:color w:val="000000"/>
                <w:sz w:val="20"/>
                <w:szCs w:val="18"/>
              </w:rPr>
              <w:t>Risposta di Microsoft Attesa</w:t>
            </w:r>
          </w:p>
        </w:tc>
      </w:tr>
      <w:tr w:rsidR="00596386" w:rsidRPr="00A75DF9" w:rsidTr="00687970">
        <w:tc>
          <w:tcPr>
            <w:tcW w:w="779" w:type="pct"/>
          </w:tcPr>
          <w:p w:rsidR="00596386" w:rsidRPr="00A75DF9" w:rsidRDefault="00596386" w:rsidP="00647923">
            <w:pPr>
              <w:spacing w:after="60" w:line="240" w:lineRule="atLeast"/>
              <w:jc w:val="center"/>
              <w:rPr>
                <w:rFonts w:cs="Tahoma"/>
                <w:szCs w:val="18"/>
              </w:rPr>
            </w:pPr>
            <w:r w:rsidRPr="00A75DF9">
              <w:rPr>
                <w:rFonts w:cs="Tahoma"/>
                <w:szCs w:val="18"/>
              </w:rPr>
              <w:t>A</w:t>
            </w:r>
          </w:p>
        </w:tc>
        <w:tc>
          <w:tcPr>
            <w:tcW w:w="1022" w:type="pct"/>
          </w:tcPr>
          <w:p w:rsidR="00596386" w:rsidRPr="00A75DF9" w:rsidRDefault="00596386" w:rsidP="00687970">
            <w:pPr>
              <w:spacing w:after="60" w:line="240" w:lineRule="atLeast"/>
              <w:jc w:val="center"/>
              <w:rPr>
                <w:rFonts w:cs="Tahoma"/>
                <w:szCs w:val="18"/>
              </w:rPr>
            </w:pPr>
            <w:r w:rsidRPr="00A75DF9">
              <w:rPr>
                <w:rFonts w:cs="Tahoma"/>
                <w:szCs w:val="18"/>
              </w:rPr>
              <w:t>Formulazione via</w:t>
            </w:r>
            <w:r w:rsidR="00687970">
              <w:rPr>
                <w:rFonts w:cs="Tahoma"/>
                <w:szCs w:val="18"/>
              </w:rPr>
              <w:t> </w:t>
            </w:r>
            <w:r w:rsidRPr="00A75DF9">
              <w:rPr>
                <w:rFonts w:cs="Tahoma"/>
                <w:szCs w:val="18"/>
              </w:rPr>
              <w:t>Web</w:t>
            </w:r>
          </w:p>
        </w:tc>
        <w:tc>
          <w:tcPr>
            <w:tcW w:w="1630" w:type="pct"/>
          </w:tcPr>
          <w:p w:rsidR="00596386" w:rsidRPr="00A75DF9" w:rsidRDefault="00596386" w:rsidP="00647923">
            <w:pPr>
              <w:spacing w:after="60" w:line="240" w:lineRule="atLeast"/>
              <w:rPr>
                <w:rFonts w:cs="Tahoma"/>
              </w:rPr>
            </w:pPr>
            <w:r w:rsidRPr="00A75DF9">
              <w:rPr>
                <w:rFonts w:cs="Tahoma"/>
                <w:szCs w:val="18"/>
              </w:rPr>
              <w:t>Impatto commerciale critico</w:t>
            </w:r>
          </w:p>
          <w:p w:rsidR="00596386" w:rsidRPr="00A75DF9" w:rsidRDefault="00596386" w:rsidP="00647923">
            <w:pPr>
              <w:spacing w:after="60" w:line="240" w:lineRule="atLeast"/>
              <w:rPr>
                <w:rFonts w:cs="Tahoma"/>
              </w:rPr>
            </w:pPr>
            <w:r w:rsidRPr="00A75DF9">
              <w:rPr>
                <w:rFonts w:cs="Tahoma"/>
                <w:szCs w:val="18"/>
              </w:rPr>
              <w:t>Perdita o degradazione significativa dei servizi (applicazione fuori uso)</w:t>
            </w:r>
          </w:p>
          <w:p w:rsidR="00596386" w:rsidRPr="00A75DF9" w:rsidRDefault="00596386" w:rsidP="00647923">
            <w:pPr>
              <w:spacing w:after="60" w:line="240" w:lineRule="atLeast"/>
              <w:rPr>
                <w:rFonts w:cs="Tahoma"/>
                <w:szCs w:val="18"/>
              </w:rPr>
            </w:pPr>
            <w:r w:rsidRPr="00A75DF9">
              <w:rPr>
                <w:rFonts w:cs="Tahoma"/>
                <w:szCs w:val="18"/>
              </w:rPr>
              <w:t>Necessità dell</w:t>
            </w:r>
            <w:r w:rsidR="00F2643E">
              <w:rPr>
                <w:rFonts w:cs="Tahoma"/>
                <w:szCs w:val="18"/>
              </w:rPr>
              <w:t>’</w:t>
            </w:r>
            <w:r w:rsidRPr="00A75DF9">
              <w:rPr>
                <w:rFonts w:cs="Tahoma"/>
                <w:szCs w:val="18"/>
              </w:rPr>
              <w:t>intervento entro 2 Ore</w:t>
            </w:r>
          </w:p>
        </w:tc>
        <w:tc>
          <w:tcPr>
            <w:tcW w:w="1570" w:type="pct"/>
          </w:tcPr>
          <w:p w:rsidR="00596386" w:rsidRPr="00A75DF9" w:rsidRDefault="00596386" w:rsidP="00647923">
            <w:pPr>
              <w:spacing w:after="60" w:line="240" w:lineRule="atLeast"/>
              <w:rPr>
                <w:rFonts w:cs="Tahoma"/>
              </w:rPr>
            </w:pPr>
            <w:r w:rsidRPr="00A75DF9">
              <w:rPr>
                <w:rFonts w:cs="Tahoma"/>
                <w:szCs w:val="18"/>
              </w:rPr>
              <w:t>1</w:t>
            </w:r>
            <w:r w:rsidRPr="00A75DF9">
              <w:rPr>
                <w:rFonts w:cs="Tahoma"/>
                <w:szCs w:val="18"/>
                <w:vertAlign w:val="superscript"/>
              </w:rPr>
              <w:t>a</w:t>
            </w:r>
            <w:r w:rsidRPr="00A75DF9">
              <w:rPr>
                <w:rFonts w:cs="Tahoma"/>
                <w:szCs w:val="18"/>
              </w:rPr>
              <w:t xml:space="preserve"> risposta in 2 Ore o meno</w:t>
            </w:r>
          </w:p>
          <w:p w:rsidR="00596386" w:rsidRPr="00A75DF9" w:rsidRDefault="00596386" w:rsidP="00647923">
            <w:pPr>
              <w:spacing w:after="60" w:line="240" w:lineRule="atLeast"/>
              <w:rPr>
                <w:rFonts w:cs="Tahoma"/>
                <w:szCs w:val="18"/>
              </w:rPr>
            </w:pPr>
          </w:p>
        </w:tc>
      </w:tr>
      <w:tr w:rsidR="00596386" w:rsidRPr="00A75DF9" w:rsidTr="00687970">
        <w:tc>
          <w:tcPr>
            <w:tcW w:w="779" w:type="pct"/>
          </w:tcPr>
          <w:p w:rsidR="00596386" w:rsidRPr="00A75DF9" w:rsidRDefault="00596386" w:rsidP="00D824E9">
            <w:pPr>
              <w:keepNext/>
              <w:spacing w:after="60" w:line="240" w:lineRule="atLeast"/>
              <w:jc w:val="center"/>
              <w:rPr>
                <w:rFonts w:cs="Tahoma"/>
                <w:szCs w:val="18"/>
              </w:rPr>
            </w:pPr>
            <w:r w:rsidRPr="00A75DF9">
              <w:rPr>
                <w:rFonts w:cs="Tahoma"/>
                <w:szCs w:val="18"/>
              </w:rPr>
              <w:t>B</w:t>
            </w:r>
          </w:p>
        </w:tc>
        <w:tc>
          <w:tcPr>
            <w:tcW w:w="1022" w:type="pct"/>
          </w:tcPr>
          <w:p w:rsidR="00596386" w:rsidRPr="00A75DF9" w:rsidRDefault="00596386" w:rsidP="00687970">
            <w:pPr>
              <w:spacing w:after="60" w:line="240" w:lineRule="atLeast"/>
              <w:jc w:val="center"/>
              <w:rPr>
                <w:rFonts w:cs="Tahoma"/>
                <w:szCs w:val="18"/>
              </w:rPr>
            </w:pPr>
            <w:r w:rsidRPr="00A75DF9">
              <w:rPr>
                <w:rFonts w:cs="Tahoma"/>
                <w:szCs w:val="18"/>
              </w:rPr>
              <w:t>Formulazione via</w:t>
            </w:r>
            <w:r w:rsidR="00687970">
              <w:rPr>
                <w:rFonts w:cs="Tahoma"/>
                <w:szCs w:val="18"/>
              </w:rPr>
              <w:t> </w:t>
            </w:r>
            <w:r w:rsidRPr="00A75DF9">
              <w:rPr>
                <w:rFonts w:cs="Tahoma"/>
                <w:szCs w:val="18"/>
              </w:rPr>
              <w:t>Web</w:t>
            </w:r>
          </w:p>
        </w:tc>
        <w:tc>
          <w:tcPr>
            <w:tcW w:w="1630" w:type="pct"/>
          </w:tcPr>
          <w:p w:rsidR="00596386" w:rsidRPr="00A75DF9" w:rsidRDefault="00596386" w:rsidP="00647923">
            <w:pPr>
              <w:spacing w:after="60" w:line="240" w:lineRule="atLeast"/>
              <w:rPr>
                <w:rFonts w:cs="Tahoma"/>
              </w:rPr>
            </w:pPr>
            <w:r w:rsidRPr="00A75DF9">
              <w:rPr>
                <w:rFonts w:cs="Tahoma"/>
                <w:szCs w:val="18"/>
              </w:rPr>
              <w:t xml:space="preserve">Impatto commerciale moderato: </w:t>
            </w:r>
          </w:p>
          <w:p w:rsidR="00596386" w:rsidRPr="00A75DF9" w:rsidRDefault="00596386" w:rsidP="00647923">
            <w:pPr>
              <w:spacing w:line="240" w:lineRule="atLeast"/>
              <w:rPr>
                <w:rFonts w:cs="Tahoma"/>
              </w:rPr>
            </w:pPr>
            <w:r w:rsidRPr="00A75DF9">
              <w:rPr>
                <w:rFonts w:cs="Tahoma"/>
                <w:szCs w:val="18"/>
              </w:rPr>
              <w:t>Perdita o degradazione moderata dei servizi e possibilità di continuare il lavoro in modo meno efficiente.</w:t>
            </w:r>
          </w:p>
          <w:p w:rsidR="00596386" w:rsidRPr="00A75DF9" w:rsidRDefault="00596386" w:rsidP="00647923">
            <w:pPr>
              <w:spacing w:after="60" w:line="240" w:lineRule="atLeast"/>
              <w:rPr>
                <w:rFonts w:cs="Tahoma"/>
                <w:szCs w:val="18"/>
              </w:rPr>
            </w:pPr>
            <w:r w:rsidRPr="00A75DF9">
              <w:rPr>
                <w:rFonts w:cs="Tahoma"/>
                <w:szCs w:val="18"/>
              </w:rPr>
              <w:t>Necessità dell</w:t>
            </w:r>
            <w:r w:rsidR="00F2643E">
              <w:rPr>
                <w:rFonts w:cs="Tahoma"/>
                <w:szCs w:val="18"/>
              </w:rPr>
              <w:t>’</w:t>
            </w:r>
            <w:r w:rsidRPr="00A75DF9">
              <w:rPr>
                <w:rFonts w:cs="Tahoma"/>
                <w:szCs w:val="18"/>
              </w:rPr>
              <w:t>intervento entro 4 Ore</w:t>
            </w:r>
          </w:p>
        </w:tc>
        <w:tc>
          <w:tcPr>
            <w:tcW w:w="1570" w:type="pct"/>
          </w:tcPr>
          <w:p w:rsidR="00596386" w:rsidRPr="00A75DF9" w:rsidRDefault="00596386" w:rsidP="00647923">
            <w:pPr>
              <w:spacing w:line="240" w:lineRule="atLeast"/>
              <w:rPr>
                <w:rFonts w:cs="Tahoma"/>
              </w:rPr>
            </w:pPr>
            <w:r w:rsidRPr="00A75DF9">
              <w:rPr>
                <w:rFonts w:cs="Tahoma"/>
                <w:szCs w:val="18"/>
              </w:rPr>
              <w:t>1</w:t>
            </w:r>
            <w:r w:rsidRPr="00A75DF9">
              <w:rPr>
                <w:rFonts w:cs="Tahoma"/>
                <w:szCs w:val="18"/>
                <w:vertAlign w:val="superscript"/>
              </w:rPr>
              <w:t>a</w:t>
            </w:r>
            <w:r w:rsidRPr="00A75DF9">
              <w:rPr>
                <w:rFonts w:cs="Tahoma"/>
                <w:szCs w:val="18"/>
              </w:rPr>
              <w:t xml:space="preserve"> risposta in 4 Ore o meno</w:t>
            </w:r>
          </w:p>
          <w:p w:rsidR="00596386" w:rsidRPr="00A75DF9" w:rsidRDefault="00596386" w:rsidP="00647923">
            <w:pPr>
              <w:spacing w:after="60" w:line="240" w:lineRule="atLeast"/>
              <w:rPr>
                <w:rFonts w:cs="Tahoma"/>
                <w:szCs w:val="18"/>
              </w:rPr>
            </w:pPr>
          </w:p>
        </w:tc>
      </w:tr>
      <w:tr w:rsidR="00596386" w:rsidRPr="00A75DF9" w:rsidTr="00687970">
        <w:tc>
          <w:tcPr>
            <w:tcW w:w="779" w:type="pct"/>
          </w:tcPr>
          <w:p w:rsidR="00596386" w:rsidRPr="00A75DF9" w:rsidRDefault="00596386" w:rsidP="00647923">
            <w:pPr>
              <w:spacing w:after="60" w:line="240" w:lineRule="atLeast"/>
              <w:jc w:val="center"/>
              <w:rPr>
                <w:rFonts w:cs="Tahoma"/>
                <w:szCs w:val="18"/>
              </w:rPr>
            </w:pPr>
            <w:r w:rsidRPr="00A75DF9">
              <w:rPr>
                <w:rFonts w:cs="Tahoma"/>
                <w:szCs w:val="18"/>
              </w:rPr>
              <w:t>C</w:t>
            </w:r>
          </w:p>
        </w:tc>
        <w:tc>
          <w:tcPr>
            <w:tcW w:w="1022" w:type="pct"/>
          </w:tcPr>
          <w:p w:rsidR="00596386" w:rsidRPr="00A75DF9" w:rsidRDefault="00596386" w:rsidP="00687970">
            <w:pPr>
              <w:spacing w:after="60" w:line="240" w:lineRule="atLeast"/>
              <w:jc w:val="center"/>
              <w:rPr>
                <w:rFonts w:cs="Tahoma"/>
                <w:szCs w:val="18"/>
              </w:rPr>
            </w:pPr>
            <w:r w:rsidRPr="00A75DF9">
              <w:rPr>
                <w:rFonts w:cs="Tahoma"/>
                <w:szCs w:val="18"/>
              </w:rPr>
              <w:t>Formulazione via</w:t>
            </w:r>
            <w:r w:rsidR="00687970">
              <w:rPr>
                <w:rFonts w:cs="Tahoma"/>
                <w:szCs w:val="18"/>
              </w:rPr>
              <w:t> </w:t>
            </w:r>
            <w:r w:rsidRPr="00A75DF9">
              <w:rPr>
                <w:rFonts w:cs="Tahoma"/>
                <w:szCs w:val="18"/>
              </w:rPr>
              <w:t>Web</w:t>
            </w:r>
          </w:p>
        </w:tc>
        <w:tc>
          <w:tcPr>
            <w:tcW w:w="1630" w:type="pct"/>
          </w:tcPr>
          <w:p w:rsidR="00596386" w:rsidRPr="00A75DF9" w:rsidRDefault="00596386" w:rsidP="00647923">
            <w:pPr>
              <w:rPr>
                <w:rFonts w:cs="Tahoma"/>
              </w:rPr>
            </w:pPr>
            <w:r w:rsidRPr="00A75DF9">
              <w:rPr>
                <w:rFonts w:cs="Tahoma"/>
                <w:szCs w:val="18"/>
              </w:rPr>
              <w:t>Impatto commerciale minimo</w:t>
            </w:r>
          </w:p>
          <w:p w:rsidR="00596386" w:rsidRPr="00A75DF9" w:rsidRDefault="00596386" w:rsidP="00687970">
            <w:pPr>
              <w:rPr>
                <w:rFonts w:cs="Tahoma"/>
              </w:rPr>
            </w:pPr>
            <w:r w:rsidRPr="00A75DF9">
              <w:rPr>
                <w:rFonts w:cs="Tahoma"/>
                <w:szCs w:val="18"/>
              </w:rPr>
              <w:t>Funzionamento sostanzialmente nella norma, in alcuni casi con qualche minimo impedimento dei</w:t>
            </w:r>
            <w:r w:rsidR="00687970">
              <w:rPr>
                <w:rFonts w:cs="Tahoma"/>
                <w:szCs w:val="18"/>
              </w:rPr>
              <w:t> </w:t>
            </w:r>
            <w:r w:rsidRPr="00A75DF9">
              <w:rPr>
                <w:rFonts w:cs="Tahoma"/>
                <w:szCs w:val="18"/>
              </w:rPr>
              <w:t>servizi.</w:t>
            </w:r>
          </w:p>
          <w:p w:rsidR="00596386" w:rsidRPr="00A75DF9" w:rsidRDefault="00596386" w:rsidP="00647923">
            <w:pPr>
              <w:spacing w:after="60" w:line="240" w:lineRule="atLeast"/>
              <w:rPr>
                <w:rFonts w:cs="Tahoma"/>
                <w:szCs w:val="18"/>
              </w:rPr>
            </w:pPr>
            <w:r w:rsidRPr="00A75DF9">
              <w:rPr>
                <w:rFonts w:cs="Tahoma"/>
                <w:szCs w:val="18"/>
              </w:rPr>
              <w:t>Necessità dell</w:t>
            </w:r>
            <w:r w:rsidR="00F2643E">
              <w:rPr>
                <w:rFonts w:cs="Tahoma"/>
                <w:szCs w:val="18"/>
              </w:rPr>
              <w:t>’</w:t>
            </w:r>
            <w:r w:rsidRPr="00A75DF9">
              <w:rPr>
                <w:rFonts w:cs="Tahoma"/>
                <w:szCs w:val="18"/>
              </w:rPr>
              <w:t>intervento entro 8 Ore</w:t>
            </w:r>
          </w:p>
        </w:tc>
        <w:tc>
          <w:tcPr>
            <w:tcW w:w="1570" w:type="pct"/>
          </w:tcPr>
          <w:p w:rsidR="00596386" w:rsidRPr="00A75DF9" w:rsidRDefault="00596386" w:rsidP="00647923">
            <w:pPr>
              <w:rPr>
                <w:rFonts w:cs="Tahoma"/>
              </w:rPr>
            </w:pPr>
            <w:r w:rsidRPr="00A75DF9">
              <w:rPr>
                <w:rFonts w:cs="Tahoma"/>
                <w:szCs w:val="18"/>
              </w:rPr>
              <w:t>1</w:t>
            </w:r>
            <w:r w:rsidRPr="00A75DF9">
              <w:rPr>
                <w:rFonts w:cs="Tahoma"/>
                <w:szCs w:val="18"/>
                <w:vertAlign w:val="superscript"/>
              </w:rPr>
              <w:t>a</w:t>
            </w:r>
            <w:r w:rsidRPr="00A75DF9">
              <w:rPr>
                <w:rFonts w:cs="Tahoma"/>
                <w:szCs w:val="18"/>
              </w:rPr>
              <w:t xml:space="preserve"> risposta in 8 Ore o meno</w:t>
            </w:r>
          </w:p>
          <w:p w:rsidR="00596386" w:rsidRPr="00A75DF9" w:rsidRDefault="00596386" w:rsidP="00647923">
            <w:pPr>
              <w:spacing w:line="240" w:lineRule="atLeast"/>
              <w:rPr>
                <w:rFonts w:cs="Tahoma"/>
                <w:szCs w:val="18"/>
              </w:rPr>
            </w:pPr>
          </w:p>
        </w:tc>
      </w:tr>
    </w:tbl>
    <w:p w:rsidR="00596386" w:rsidRPr="00687970" w:rsidRDefault="00596386" w:rsidP="00596386">
      <w:pPr>
        <w:rPr>
          <w:rFonts w:cs="Tahoma"/>
          <w:b/>
          <w:bCs/>
          <w:sz w:val="22"/>
        </w:rPr>
      </w:pPr>
    </w:p>
    <w:p w:rsidR="00596386" w:rsidRPr="00A75DF9" w:rsidRDefault="00596386" w:rsidP="00596386">
      <w:pPr>
        <w:tabs>
          <w:tab w:val="left" w:pos="360"/>
        </w:tabs>
        <w:jc w:val="both"/>
        <w:rPr>
          <w:rFonts w:cs="Tahoma"/>
        </w:rPr>
      </w:pPr>
      <w:r w:rsidRPr="00A75DF9">
        <w:rPr>
          <w:rFonts w:cs="Tahoma"/>
          <w:snapToGrid w:val="0"/>
          <w:color w:val="000000"/>
          <w:szCs w:val="18"/>
        </w:rPr>
        <w:t>Le società possono scegliere di essere richiamate da Microsoft per un massimo di 3 interventi al mese.</w:t>
      </w:r>
      <w:r w:rsidR="009D3B41" w:rsidRPr="00A75DF9">
        <w:rPr>
          <w:rFonts w:cs="Tahoma"/>
          <w:snapToGrid w:val="0"/>
          <w:color w:val="000000"/>
          <w:szCs w:val="18"/>
        </w:rPr>
        <w:t xml:space="preserve"> </w:t>
      </w:r>
      <w:r w:rsidRPr="00A75DF9">
        <w:rPr>
          <w:rFonts w:cs="Tahoma"/>
          <w:snapToGrid w:val="0"/>
          <w:color w:val="000000"/>
          <w:szCs w:val="18"/>
        </w:rPr>
        <w:t>Diversamente, il team di supporto di Windows Azure individuerà e risolverà l</w:t>
      </w:r>
      <w:r w:rsidR="00F2643E">
        <w:rPr>
          <w:rFonts w:cs="Tahoma"/>
          <w:snapToGrid w:val="0"/>
          <w:color w:val="000000"/>
          <w:szCs w:val="18"/>
        </w:rPr>
        <w:t>’</w:t>
      </w:r>
      <w:r w:rsidRPr="00A75DF9">
        <w:rPr>
          <w:rFonts w:cs="Tahoma"/>
          <w:snapToGrid w:val="0"/>
          <w:color w:val="000000"/>
          <w:szCs w:val="18"/>
        </w:rPr>
        <w:t>intervento tramite i canali online (ad esempio, tramite posta elettronica o il portale di Windows Azure).</w:t>
      </w:r>
      <w:r w:rsidR="009D3B41" w:rsidRPr="00A75DF9">
        <w:rPr>
          <w:rFonts w:cs="Tahoma"/>
          <w:snapToGrid w:val="0"/>
          <w:color w:val="000000"/>
          <w:szCs w:val="18"/>
        </w:rPr>
        <w:t xml:space="preserve"> </w:t>
      </w:r>
    </w:p>
    <w:p w:rsidR="00596386" w:rsidRPr="00A75DF9" w:rsidRDefault="00596386" w:rsidP="00DD7F8E">
      <w:pPr>
        <w:rPr>
          <w:rFonts w:cs="Tahoma"/>
        </w:rPr>
      </w:pPr>
    </w:p>
    <w:p w:rsidR="00DD7F8E" w:rsidRPr="00A75DF9" w:rsidRDefault="00DD7F8E" w:rsidP="00DD7F8E">
      <w:pPr>
        <w:rPr>
          <w:rFonts w:cs="Tahoma"/>
        </w:rPr>
      </w:pPr>
      <w:r w:rsidRPr="00A75DF9">
        <w:rPr>
          <w:rFonts w:cs="Tahoma"/>
          <w:b/>
          <w:sz w:val="24"/>
          <w:szCs w:val="24"/>
        </w:rPr>
        <w:t>Offerte per il Programma Microsoft Enterprise Strategy</w:t>
      </w:r>
    </w:p>
    <w:p w:rsidR="00DD7F8E" w:rsidRPr="00A75DF9" w:rsidRDefault="00DD7F8E" w:rsidP="00DD7F8E">
      <w:pPr>
        <w:rPr>
          <w:rFonts w:cs="Tahoma"/>
        </w:rPr>
      </w:pPr>
    </w:p>
    <w:p w:rsidR="00DD7F8E" w:rsidRPr="00A75DF9" w:rsidRDefault="00DD7F8E" w:rsidP="006D6BED">
      <w:pPr>
        <w:widowControl w:val="0"/>
        <w:tabs>
          <w:tab w:val="left" w:pos="720"/>
          <w:tab w:val="left" w:pos="1170"/>
        </w:tabs>
        <w:spacing w:after="60"/>
        <w:rPr>
          <w:rFonts w:cs="Tahoma"/>
        </w:rPr>
      </w:pPr>
      <w:r w:rsidRPr="00A75DF9">
        <w:rPr>
          <w:rFonts w:cs="Tahoma"/>
          <w:b/>
          <w:bCs/>
          <w:szCs w:val="18"/>
        </w:rPr>
        <w:t>Panoramica del Programma Enterprise Strategy</w:t>
      </w:r>
    </w:p>
    <w:p w:rsidR="00DD7F8E" w:rsidRPr="00A75DF9" w:rsidRDefault="00DD7F8E" w:rsidP="006D6BED">
      <w:pPr>
        <w:rPr>
          <w:rFonts w:cs="Tahoma"/>
        </w:rPr>
      </w:pPr>
      <w:r w:rsidRPr="00A75DF9">
        <w:rPr>
          <w:rFonts w:cs="Tahoma"/>
        </w:rPr>
        <w:t>Il Programma Enterprise Strategy per il Contratto Microsoft Enterprise offre alle società la consulenza di Microsoft Enterprise Architects in merito a come velocizzare l</w:t>
      </w:r>
      <w:r w:rsidR="00F2643E">
        <w:rPr>
          <w:rFonts w:cs="Tahoma"/>
        </w:rPr>
        <w:t>’</w:t>
      </w:r>
      <w:r w:rsidRPr="00A75DF9">
        <w:rPr>
          <w:rFonts w:cs="Tahoma"/>
        </w:rPr>
        <w:t>adozione di tecnologia e pianificare modifiche ragionevoli allo scopo di massimizzare l</w:t>
      </w:r>
      <w:r w:rsidR="00F2643E">
        <w:rPr>
          <w:rFonts w:cs="Tahoma"/>
        </w:rPr>
        <w:t>’</w:t>
      </w:r>
      <w:r w:rsidRPr="00A75DF9">
        <w:rPr>
          <w:rFonts w:cs="Tahoma"/>
        </w:rPr>
        <w:t xml:space="preserve">investimento effettuato nelle tecnologie Microsoft. Le tempistiche, le date e i piani di consegna sono semplici stime e pertanto sono soggette a modifica. </w:t>
      </w:r>
    </w:p>
    <w:p w:rsidR="00DD7F8E" w:rsidRPr="00A75DF9" w:rsidRDefault="00DD7F8E" w:rsidP="006D6BED">
      <w:pPr>
        <w:rPr>
          <w:rFonts w:cs="Tahoma"/>
        </w:rPr>
      </w:pPr>
    </w:p>
    <w:p w:rsidR="0064651F" w:rsidRPr="00A75DF9" w:rsidRDefault="00DD7F8E" w:rsidP="0064651F">
      <w:pPr>
        <w:rPr>
          <w:rFonts w:cs="Tahoma"/>
        </w:rPr>
      </w:pPr>
      <w:r w:rsidRPr="00A75DF9">
        <w:rPr>
          <w:rFonts w:cs="Tahoma"/>
        </w:rPr>
        <w:t>Le offerte relative al Programma Enterprise Strategy includono i componenti descritti di seguito, che verranno forniti per ogni anno di validità del Contratto Enterprise stipulato dalla Società:</w:t>
      </w:r>
    </w:p>
    <w:p w:rsidR="00FD27BC" w:rsidRPr="00A75DF9" w:rsidRDefault="00FD27BC" w:rsidP="006D6BED">
      <w:pPr>
        <w:rPr>
          <w:rFonts w:cs="Tahoma"/>
        </w:rPr>
      </w:pPr>
      <w:bookmarkStart w:id="924" w:name="OLE_LINK5"/>
      <w:bookmarkStart w:id="925" w:name="OLE_LINK6"/>
    </w:p>
    <w:tbl>
      <w:tblPr>
        <w:tblW w:w="936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700"/>
        <w:gridCol w:w="2070"/>
        <w:gridCol w:w="2340"/>
        <w:gridCol w:w="2250"/>
      </w:tblGrid>
      <w:tr w:rsidR="00FD27BC" w:rsidRPr="00A75DF9" w:rsidTr="00687970">
        <w:trPr>
          <w:tblHeader/>
        </w:trPr>
        <w:tc>
          <w:tcPr>
            <w:tcW w:w="2700" w:type="dxa"/>
            <w:shd w:val="clear" w:color="auto" w:fill="FABF8F"/>
            <w:vAlign w:val="center"/>
          </w:tcPr>
          <w:p w:rsidR="00FD27BC" w:rsidRPr="00A75DF9" w:rsidRDefault="00FD27BC" w:rsidP="00FD27BC">
            <w:pPr>
              <w:jc w:val="center"/>
              <w:rPr>
                <w:rFonts w:cs="Tahoma"/>
                <w:color w:val="000000"/>
                <w:szCs w:val="18"/>
              </w:rPr>
            </w:pPr>
            <w:r w:rsidRPr="00A75DF9">
              <w:rPr>
                <w:rFonts w:cs="Tahoma"/>
                <w:b/>
                <w:bCs/>
                <w:color w:val="000000"/>
                <w:sz w:val="20"/>
                <w:szCs w:val="18"/>
              </w:rPr>
              <w:t>Area</w:t>
            </w:r>
          </w:p>
        </w:tc>
        <w:tc>
          <w:tcPr>
            <w:tcW w:w="2070" w:type="dxa"/>
            <w:shd w:val="clear" w:color="auto" w:fill="FABF8F"/>
            <w:vAlign w:val="center"/>
          </w:tcPr>
          <w:p w:rsidR="00FD27BC" w:rsidRPr="00A75DF9" w:rsidRDefault="00FD27BC" w:rsidP="00FD27BC">
            <w:pPr>
              <w:jc w:val="center"/>
              <w:rPr>
                <w:rFonts w:cs="Tahoma"/>
                <w:b/>
                <w:bCs/>
                <w:color w:val="000000"/>
                <w:sz w:val="20"/>
                <w:szCs w:val="20"/>
              </w:rPr>
            </w:pPr>
            <w:r w:rsidRPr="00A75DF9">
              <w:rPr>
                <w:rFonts w:cs="Tahoma"/>
                <w:b/>
                <w:bCs/>
                <w:color w:val="000000"/>
                <w:sz w:val="20"/>
                <w:szCs w:val="20"/>
              </w:rPr>
              <w:t>Enterprise Strategy Connect</w:t>
            </w:r>
          </w:p>
        </w:tc>
        <w:tc>
          <w:tcPr>
            <w:tcW w:w="2340" w:type="dxa"/>
            <w:shd w:val="clear" w:color="auto" w:fill="FABF8F"/>
            <w:vAlign w:val="center"/>
          </w:tcPr>
          <w:p w:rsidR="00FD27BC" w:rsidRPr="00A75DF9" w:rsidRDefault="00FD27BC" w:rsidP="00FD27BC">
            <w:pPr>
              <w:jc w:val="center"/>
              <w:rPr>
                <w:rFonts w:cs="Tahoma"/>
                <w:color w:val="000000"/>
                <w:sz w:val="20"/>
                <w:szCs w:val="20"/>
              </w:rPr>
            </w:pPr>
            <w:r w:rsidRPr="00A75DF9">
              <w:rPr>
                <w:rFonts w:cs="Tahoma"/>
                <w:b/>
                <w:bCs/>
                <w:color w:val="000000"/>
                <w:sz w:val="20"/>
                <w:szCs w:val="20"/>
              </w:rPr>
              <w:t>Enterprise Strategy Foundation</w:t>
            </w:r>
          </w:p>
        </w:tc>
        <w:tc>
          <w:tcPr>
            <w:tcW w:w="2250" w:type="dxa"/>
            <w:shd w:val="clear" w:color="auto" w:fill="FABF8F"/>
            <w:vAlign w:val="center"/>
          </w:tcPr>
          <w:p w:rsidR="00FD27BC" w:rsidRPr="00A75DF9" w:rsidRDefault="00FD27BC" w:rsidP="00FD27BC">
            <w:pPr>
              <w:jc w:val="center"/>
              <w:rPr>
                <w:rFonts w:cs="Tahoma"/>
                <w:b/>
                <w:bCs/>
                <w:color w:val="000000"/>
                <w:sz w:val="20"/>
                <w:szCs w:val="18"/>
              </w:rPr>
            </w:pPr>
            <w:r w:rsidRPr="00A75DF9">
              <w:rPr>
                <w:rFonts w:cs="Tahoma"/>
                <w:b/>
                <w:bCs/>
                <w:color w:val="000000"/>
                <w:sz w:val="20"/>
                <w:szCs w:val="18"/>
              </w:rPr>
              <w:t>Enterprise Strategy Portfolio</w:t>
            </w:r>
          </w:p>
        </w:tc>
      </w:tr>
      <w:tr w:rsidR="00FD27BC" w:rsidRPr="00A75DF9" w:rsidTr="00687970">
        <w:tc>
          <w:tcPr>
            <w:tcW w:w="2700" w:type="dxa"/>
            <w:vAlign w:val="center"/>
          </w:tcPr>
          <w:p w:rsidR="00FD27BC" w:rsidRPr="00A75DF9" w:rsidRDefault="00FD27BC" w:rsidP="009B78AB">
            <w:pPr>
              <w:rPr>
                <w:rFonts w:cs="Tahoma"/>
                <w:color w:val="000000"/>
                <w:szCs w:val="18"/>
              </w:rPr>
            </w:pPr>
            <w:r w:rsidRPr="00A75DF9">
              <w:rPr>
                <w:rFonts w:cs="Tahoma"/>
                <w:color w:val="000000"/>
                <w:szCs w:val="18"/>
              </w:rPr>
              <w:t>Enterprise Architect</w:t>
            </w:r>
          </w:p>
        </w:tc>
        <w:tc>
          <w:tcPr>
            <w:tcW w:w="2070" w:type="dxa"/>
            <w:vAlign w:val="center"/>
          </w:tcPr>
          <w:p w:rsidR="00FD27BC" w:rsidRPr="00A75DF9" w:rsidRDefault="00FD27BC" w:rsidP="00FD27BC">
            <w:pPr>
              <w:jc w:val="center"/>
              <w:rPr>
                <w:rFonts w:eastAsia="MS UI Gothic" w:cs="Tahoma"/>
                <w:color w:val="000000"/>
                <w:szCs w:val="18"/>
              </w:rPr>
            </w:pPr>
            <w:r w:rsidRPr="00A75DF9">
              <w:rPr>
                <w:rFonts w:eastAsia="MS UI Gothic" w:cs="Tahoma"/>
                <w:color w:val="000000"/>
                <w:szCs w:val="18"/>
              </w:rPr>
              <w:t xml:space="preserve">1 Microsoft Enterprise Architect trimestrale </w:t>
            </w:r>
            <w:r w:rsidRPr="00A75DF9">
              <w:rPr>
                <w:rFonts w:cs="Tahoma"/>
                <w:b/>
                <w:bCs/>
                <w:color w:val="000000"/>
                <w:sz w:val="20"/>
                <w:szCs w:val="18"/>
                <w:vertAlign w:val="superscript"/>
              </w:rPr>
              <w:t>1</w:t>
            </w:r>
          </w:p>
        </w:tc>
        <w:tc>
          <w:tcPr>
            <w:tcW w:w="2340" w:type="dxa"/>
            <w:vAlign w:val="center"/>
          </w:tcPr>
          <w:p w:rsidR="00FD27BC" w:rsidRPr="00A75DF9" w:rsidRDefault="00FD27BC" w:rsidP="00FD27BC">
            <w:pPr>
              <w:jc w:val="center"/>
              <w:rPr>
                <w:rFonts w:cs="Tahoma"/>
                <w:color w:val="000000"/>
                <w:szCs w:val="18"/>
              </w:rPr>
            </w:pPr>
            <w:r w:rsidRPr="00A75DF9">
              <w:rPr>
                <w:rFonts w:eastAsia="MS UI Gothic" w:cs="Tahoma"/>
                <w:color w:val="000000"/>
                <w:szCs w:val="18"/>
              </w:rPr>
              <w:t xml:space="preserve">1 Microsoft Enterprise Architect part-time </w:t>
            </w:r>
            <w:r w:rsidRPr="00A75DF9">
              <w:rPr>
                <w:rFonts w:cs="Tahoma"/>
                <w:b/>
                <w:bCs/>
                <w:color w:val="000000"/>
                <w:sz w:val="20"/>
                <w:szCs w:val="18"/>
                <w:vertAlign w:val="superscript"/>
              </w:rPr>
              <w:t>1</w:t>
            </w:r>
          </w:p>
        </w:tc>
        <w:tc>
          <w:tcPr>
            <w:tcW w:w="2250" w:type="dxa"/>
            <w:vAlign w:val="center"/>
          </w:tcPr>
          <w:p w:rsidR="00FD27BC" w:rsidRPr="00A75DF9" w:rsidRDefault="00FD27BC" w:rsidP="00FD27BC">
            <w:pPr>
              <w:jc w:val="center"/>
              <w:rPr>
                <w:rFonts w:cs="Tahoma"/>
                <w:color w:val="000000"/>
                <w:szCs w:val="18"/>
              </w:rPr>
            </w:pPr>
            <w:r w:rsidRPr="00A75DF9">
              <w:rPr>
                <w:rFonts w:eastAsia="MS UI Gothic" w:cs="Tahoma"/>
                <w:color w:val="000000"/>
                <w:szCs w:val="18"/>
              </w:rPr>
              <w:t xml:space="preserve">1 Microsoft Enterprise Architect full-time </w:t>
            </w:r>
            <w:r w:rsidRPr="00A75DF9">
              <w:rPr>
                <w:rFonts w:cs="Tahoma"/>
                <w:b/>
                <w:bCs/>
                <w:color w:val="000000"/>
                <w:sz w:val="20"/>
                <w:szCs w:val="18"/>
                <w:vertAlign w:val="superscript"/>
              </w:rPr>
              <w:t>1</w:t>
            </w:r>
          </w:p>
        </w:tc>
      </w:tr>
      <w:tr w:rsidR="00FD27BC" w:rsidRPr="00A75DF9" w:rsidTr="00687970">
        <w:tc>
          <w:tcPr>
            <w:tcW w:w="2700" w:type="dxa"/>
            <w:vAlign w:val="center"/>
          </w:tcPr>
          <w:p w:rsidR="00FD27BC" w:rsidRPr="00A75DF9" w:rsidRDefault="00FD27BC" w:rsidP="00FD27BC">
            <w:pPr>
              <w:rPr>
                <w:rFonts w:cs="Tahoma"/>
                <w:color w:val="000000"/>
                <w:szCs w:val="18"/>
              </w:rPr>
            </w:pPr>
            <w:r w:rsidRPr="00A75DF9">
              <w:rPr>
                <w:rFonts w:cs="Tahoma"/>
                <w:color w:val="000000"/>
                <w:szCs w:val="18"/>
              </w:rPr>
              <w:t>Valutazione</w:t>
            </w:r>
            <w:r w:rsidRPr="00A75DF9">
              <w:rPr>
                <w:rFonts w:cs="Tahoma"/>
                <w:b/>
                <w:bCs/>
                <w:color w:val="000000"/>
                <w:sz w:val="20"/>
                <w:szCs w:val="18"/>
              </w:rPr>
              <w:t xml:space="preserve"> </w:t>
            </w:r>
            <w:r w:rsidRPr="00A75DF9">
              <w:rPr>
                <w:rFonts w:cs="Tahoma"/>
                <w:b/>
                <w:bCs/>
                <w:color w:val="000000"/>
                <w:sz w:val="20"/>
                <w:szCs w:val="18"/>
                <w:vertAlign w:val="superscript"/>
              </w:rPr>
              <w:t>2</w:t>
            </w:r>
          </w:p>
        </w:tc>
        <w:tc>
          <w:tcPr>
            <w:tcW w:w="2070" w:type="dxa"/>
            <w:vAlign w:val="center"/>
          </w:tcPr>
          <w:p w:rsidR="00FD27BC" w:rsidRPr="00A75DF9" w:rsidRDefault="00FD27BC" w:rsidP="00FD27BC">
            <w:pPr>
              <w:jc w:val="center"/>
              <w:rPr>
                <w:rFonts w:cs="Tahoma"/>
                <w:color w:val="000000"/>
                <w:szCs w:val="18"/>
              </w:rPr>
            </w:pPr>
            <w:r w:rsidRPr="00A75DF9">
              <w:rPr>
                <w:rFonts w:cs="Tahoma"/>
                <w:color w:val="000000"/>
                <w:szCs w:val="18"/>
              </w:rPr>
              <w:t>Fino al 25% dell</w:t>
            </w:r>
            <w:r w:rsidR="00F2643E">
              <w:rPr>
                <w:rFonts w:cs="Tahoma"/>
                <w:color w:val="000000"/>
                <w:szCs w:val="18"/>
              </w:rPr>
              <w:t>’</w:t>
            </w:r>
            <w:r w:rsidRPr="00A75DF9">
              <w:rPr>
                <w:rFonts w:cs="Tahoma"/>
                <w:color w:val="000000"/>
                <w:szCs w:val="18"/>
              </w:rPr>
              <w:t>impegno di un Architect all</w:t>
            </w:r>
            <w:r w:rsidR="00F2643E">
              <w:rPr>
                <w:rFonts w:cs="Tahoma"/>
                <w:color w:val="000000"/>
                <w:szCs w:val="18"/>
              </w:rPr>
              <w:t>’</w:t>
            </w:r>
            <w:r w:rsidRPr="00A75DF9">
              <w:rPr>
                <w:rFonts w:cs="Tahoma"/>
                <w:color w:val="000000"/>
                <w:szCs w:val="18"/>
              </w:rPr>
              <w:t>anno</w:t>
            </w:r>
          </w:p>
        </w:tc>
        <w:tc>
          <w:tcPr>
            <w:tcW w:w="2340" w:type="dxa"/>
            <w:vAlign w:val="center"/>
          </w:tcPr>
          <w:p w:rsidR="00FD27BC" w:rsidRPr="00A75DF9" w:rsidRDefault="00FD27BC" w:rsidP="00FD27BC">
            <w:pPr>
              <w:jc w:val="center"/>
              <w:rPr>
                <w:rFonts w:cs="Tahoma"/>
                <w:color w:val="000000"/>
                <w:szCs w:val="18"/>
              </w:rPr>
            </w:pPr>
            <w:r w:rsidRPr="00A75DF9">
              <w:rPr>
                <w:rFonts w:cs="Tahoma"/>
                <w:color w:val="000000"/>
                <w:szCs w:val="18"/>
              </w:rPr>
              <w:t>Fino al 25% dell</w:t>
            </w:r>
            <w:r w:rsidR="00F2643E">
              <w:rPr>
                <w:rFonts w:cs="Tahoma"/>
                <w:color w:val="000000"/>
                <w:szCs w:val="18"/>
              </w:rPr>
              <w:t>’</w:t>
            </w:r>
            <w:r w:rsidRPr="00A75DF9">
              <w:rPr>
                <w:rFonts w:cs="Tahoma"/>
                <w:color w:val="000000"/>
                <w:szCs w:val="18"/>
              </w:rPr>
              <w:t>impegno di un Architect all</w:t>
            </w:r>
            <w:r w:rsidR="00F2643E">
              <w:rPr>
                <w:rFonts w:cs="Tahoma"/>
                <w:color w:val="000000"/>
                <w:szCs w:val="18"/>
              </w:rPr>
              <w:t>’</w:t>
            </w:r>
            <w:r w:rsidRPr="00A75DF9">
              <w:rPr>
                <w:rFonts w:cs="Tahoma"/>
                <w:color w:val="000000"/>
                <w:szCs w:val="18"/>
              </w:rPr>
              <w:t>anno</w:t>
            </w:r>
          </w:p>
        </w:tc>
        <w:tc>
          <w:tcPr>
            <w:tcW w:w="2250" w:type="dxa"/>
            <w:vAlign w:val="center"/>
          </w:tcPr>
          <w:p w:rsidR="00FD27BC" w:rsidRPr="00A75DF9" w:rsidRDefault="00FD27BC" w:rsidP="00FD27BC">
            <w:pPr>
              <w:jc w:val="center"/>
              <w:rPr>
                <w:rFonts w:cs="Tahoma"/>
                <w:color w:val="000000"/>
                <w:szCs w:val="18"/>
              </w:rPr>
            </w:pPr>
            <w:r w:rsidRPr="00A75DF9">
              <w:rPr>
                <w:rFonts w:cs="Tahoma"/>
                <w:color w:val="000000"/>
                <w:szCs w:val="18"/>
              </w:rPr>
              <w:t>Fino al 25% dell</w:t>
            </w:r>
            <w:r w:rsidR="00F2643E">
              <w:rPr>
                <w:rFonts w:cs="Tahoma"/>
                <w:color w:val="000000"/>
                <w:szCs w:val="18"/>
              </w:rPr>
              <w:t>’</w:t>
            </w:r>
            <w:r w:rsidRPr="00A75DF9">
              <w:rPr>
                <w:rFonts w:cs="Tahoma"/>
                <w:color w:val="000000"/>
                <w:szCs w:val="18"/>
              </w:rPr>
              <w:t>impegno di un Architect all</w:t>
            </w:r>
            <w:r w:rsidR="00F2643E">
              <w:rPr>
                <w:rFonts w:cs="Tahoma"/>
                <w:color w:val="000000"/>
                <w:szCs w:val="18"/>
              </w:rPr>
              <w:t>’</w:t>
            </w:r>
            <w:r w:rsidRPr="00A75DF9">
              <w:rPr>
                <w:rFonts w:cs="Tahoma"/>
                <w:color w:val="000000"/>
                <w:szCs w:val="18"/>
              </w:rPr>
              <w:t>anno</w:t>
            </w:r>
          </w:p>
        </w:tc>
      </w:tr>
      <w:tr w:rsidR="00FD27BC" w:rsidRPr="00A75DF9" w:rsidTr="00687970">
        <w:tc>
          <w:tcPr>
            <w:tcW w:w="2700" w:type="dxa"/>
            <w:vAlign w:val="center"/>
          </w:tcPr>
          <w:p w:rsidR="00FD27BC" w:rsidRPr="00A75DF9" w:rsidRDefault="00FD27BC" w:rsidP="00FD27BC">
            <w:pPr>
              <w:rPr>
                <w:rFonts w:cs="Tahoma"/>
                <w:color w:val="000000"/>
                <w:szCs w:val="18"/>
              </w:rPr>
            </w:pPr>
            <w:r w:rsidRPr="00A75DF9">
              <w:rPr>
                <w:rFonts w:cs="Tahoma"/>
                <w:color w:val="000000"/>
                <w:szCs w:val="18"/>
              </w:rPr>
              <w:lastRenderedPageBreak/>
              <w:t>Progetto Enterprise Strategy</w:t>
            </w:r>
            <w:r w:rsidRPr="00A75DF9">
              <w:rPr>
                <w:rFonts w:cs="Tahoma"/>
                <w:b/>
                <w:bCs/>
                <w:color w:val="000000"/>
                <w:sz w:val="20"/>
                <w:szCs w:val="18"/>
              </w:rPr>
              <w:t xml:space="preserve"> </w:t>
            </w:r>
            <w:r w:rsidRPr="00A75DF9">
              <w:rPr>
                <w:rFonts w:cs="Tahoma"/>
                <w:b/>
                <w:bCs/>
                <w:color w:val="000000"/>
                <w:sz w:val="20"/>
                <w:szCs w:val="18"/>
                <w:vertAlign w:val="superscript"/>
              </w:rPr>
              <w:t>2</w:t>
            </w:r>
          </w:p>
        </w:tc>
        <w:tc>
          <w:tcPr>
            <w:tcW w:w="2070" w:type="dxa"/>
            <w:vAlign w:val="center"/>
          </w:tcPr>
          <w:p w:rsidR="00FD27BC" w:rsidRPr="00A75DF9" w:rsidRDefault="00FD27BC" w:rsidP="00FD27BC">
            <w:pPr>
              <w:jc w:val="center"/>
              <w:rPr>
                <w:rFonts w:cs="Tahoma"/>
                <w:color w:val="000000"/>
                <w:szCs w:val="18"/>
              </w:rPr>
            </w:pPr>
            <w:r w:rsidRPr="00A75DF9">
              <w:rPr>
                <w:rFonts w:cs="Tahoma"/>
                <w:color w:val="000000"/>
                <w:szCs w:val="18"/>
              </w:rPr>
              <w:t>Fino al 75% dell</w:t>
            </w:r>
            <w:r w:rsidR="00F2643E">
              <w:rPr>
                <w:rFonts w:cs="Tahoma"/>
                <w:color w:val="000000"/>
                <w:szCs w:val="18"/>
              </w:rPr>
              <w:t>’</w:t>
            </w:r>
            <w:r w:rsidRPr="00A75DF9">
              <w:rPr>
                <w:rFonts w:cs="Tahoma"/>
                <w:color w:val="000000"/>
                <w:szCs w:val="18"/>
              </w:rPr>
              <w:t>impegno di un Architect all</w:t>
            </w:r>
            <w:r w:rsidR="00F2643E">
              <w:rPr>
                <w:rFonts w:cs="Tahoma"/>
                <w:color w:val="000000"/>
                <w:szCs w:val="18"/>
              </w:rPr>
              <w:t>’</w:t>
            </w:r>
            <w:r w:rsidRPr="00A75DF9">
              <w:rPr>
                <w:rFonts w:cs="Tahoma"/>
                <w:color w:val="000000"/>
                <w:szCs w:val="18"/>
              </w:rPr>
              <w:t>anno</w:t>
            </w:r>
          </w:p>
        </w:tc>
        <w:tc>
          <w:tcPr>
            <w:tcW w:w="2340" w:type="dxa"/>
            <w:vAlign w:val="center"/>
          </w:tcPr>
          <w:p w:rsidR="00FD27BC" w:rsidRPr="00A75DF9" w:rsidRDefault="00FD27BC" w:rsidP="00FD27BC">
            <w:pPr>
              <w:jc w:val="center"/>
              <w:rPr>
                <w:rFonts w:cs="Tahoma"/>
                <w:color w:val="000000"/>
                <w:szCs w:val="18"/>
              </w:rPr>
            </w:pPr>
            <w:r w:rsidRPr="00A75DF9">
              <w:rPr>
                <w:rFonts w:cs="Tahoma"/>
                <w:color w:val="000000"/>
                <w:szCs w:val="18"/>
              </w:rPr>
              <w:t>Fino al 75% dell</w:t>
            </w:r>
            <w:r w:rsidR="00F2643E">
              <w:rPr>
                <w:rFonts w:cs="Tahoma"/>
                <w:color w:val="000000"/>
                <w:szCs w:val="18"/>
              </w:rPr>
              <w:t>’</w:t>
            </w:r>
            <w:r w:rsidRPr="00A75DF9">
              <w:rPr>
                <w:rFonts w:cs="Tahoma"/>
                <w:color w:val="000000"/>
                <w:szCs w:val="18"/>
              </w:rPr>
              <w:t>impegno di un Architect all</w:t>
            </w:r>
            <w:r w:rsidR="00F2643E">
              <w:rPr>
                <w:rFonts w:cs="Tahoma"/>
                <w:color w:val="000000"/>
                <w:szCs w:val="18"/>
              </w:rPr>
              <w:t>’</w:t>
            </w:r>
            <w:r w:rsidRPr="00A75DF9">
              <w:rPr>
                <w:rFonts w:cs="Tahoma"/>
                <w:color w:val="000000"/>
                <w:szCs w:val="18"/>
              </w:rPr>
              <w:t>anno</w:t>
            </w:r>
          </w:p>
        </w:tc>
        <w:tc>
          <w:tcPr>
            <w:tcW w:w="2250" w:type="dxa"/>
            <w:vAlign w:val="center"/>
          </w:tcPr>
          <w:p w:rsidR="00FD27BC" w:rsidRPr="00A75DF9" w:rsidRDefault="00FD27BC" w:rsidP="00FD27BC">
            <w:pPr>
              <w:jc w:val="center"/>
              <w:rPr>
                <w:rFonts w:cs="Tahoma"/>
                <w:color w:val="000000"/>
                <w:szCs w:val="18"/>
              </w:rPr>
            </w:pPr>
            <w:r w:rsidRPr="00A75DF9">
              <w:rPr>
                <w:rFonts w:cs="Tahoma"/>
                <w:color w:val="000000"/>
                <w:szCs w:val="18"/>
              </w:rPr>
              <w:t>Fino al 75% dell</w:t>
            </w:r>
            <w:r w:rsidR="00F2643E">
              <w:rPr>
                <w:rFonts w:cs="Tahoma"/>
                <w:color w:val="000000"/>
                <w:szCs w:val="18"/>
              </w:rPr>
              <w:t>’</w:t>
            </w:r>
            <w:r w:rsidRPr="00A75DF9">
              <w:rPr>
                <w:rFonts w:cs="Tahoma"/>
                <w:color w:val="000000"/>
                <w:szCs w:val="18"/>
              </w:rPr>
              <w:t>impegno di un Architect all</w:t>
            </w:r>
            <w:r w:rsidR="00F2643E">
              <w:rPr>
                <w:rFonts w:cs="Tahoma"/>
                <w:color w:val="000000"/>
                <w:szCs w:val="18"/>
              </w:rPr>
              <w:t>’</w:t>
            </w:r>
            <w:r w:rsidRPr="00A75DF9">
              <w:rPr>
                <w:rFonts w:cs="Tahoma"/>
                <w:color w:val="000000"/>
                <w:szCs w:val="18"/>
              </w:rPr>
              <w:t>anno</w:t>
            </w:r>
          </w:p>
        </w:tc>
      </w:tr>
      <w:tr w:rsidR="00FD27BC" w:rsidRPr="00A75DF9" w:rsidTr="00687970">
        <w:tc>
          <w:tcPr>
            <w:tcW w:w="2700" w:type="dxa"/>
            <w:vAlign w:val="center"/>
          </w:tcPr>
          <w:p w:rsidR="00FD27BC" w:rsidRPr="00A75DF9" w:rsidRDefault="00FD27BC" w:rsidP="00FD27BC">
            <w:pPr>
              <w:rPr>
                <w:rFonts w:cs="Tahoma"/>
                <w:color w:val="000000"/>
                <w:szCs w:val="18"/>
              </w:rPr>
            </w:pPr>
            <w:r w:rsidRPr="00A75DF9">
              <w:rPr>
                <w:rFonts w:cs="Tahoma"/>
                <w:color w:val="000000"/>
                <w:szCs w:val="18"/>
              </w:rPr>
              <w:t>Workshop relativi all</w:t>
            </w:r>
            <w:r w:rsidR="00F2643E">
              <w:rPr>
                <w:rFonts w:cs="Tahoma"/>
                <w:color w:val="000000"/>
                <w:szCs w:val="18"/>
              </w:rPr>
              <w:t>’</w:t>
            </w:r>
            <w:r w:rsidRPr="00A75DF9">
              <w:rPr>
                <w:rFonts w:cs="Tahoma"/>
                <w:color w:val="000000"/>
                <w:szCs w:val="18"/>
              </w:rPr>
              <w:t>engagement</w:t>
            </w:r>
          </w:p>
        </w:tc>
        <w:tc>
          <w:tcPr>
            <w:tcW w:w="2070" w:type="dxa"/>
            <w:vAlign w:val="center"/>
          </w:tcPr>
          <w:p w:rsidR="00FD27BC" w:rsidRPr="00A75DF9" w:rsidRDefault="00FD27BC" w:rsidP="00FD27BC">
            <w:pPr>
              <w:jc w:val="center"/>
              <w:rPr>
                <w:rFonts w:cs="Tahoma"/>
                <w:color w:val="000000"/>
                <w:szCs w:val="18"/>
              </w:rPr>
            </w:pPr>
            <w:r w:rsidRPr="00A75DF9">
              <w:rPr>
                <w:rFonts w:cs="Tahoma"/>
                <w:color w:val="000000"/>
                <w:szCs w:val="18"/>
              </w:rPr>
              <w:t>Fino a 1 all</w:t>
            </w:r>
            <w:r w:rsidR="00F2643E">
              <w:rPr>
                <w:rFonts w:cs="Tahoma"/>
                <w:color w:val="000000"/>
                <w:szCs w:val="18"/>
              </w:rPr>
              <w:t>’</w:t>
            </w:r>
            <w:r w:rsidRPr="00A75DF9">
              <w:rPr>
                <w:rFonts w:cs="Tahoma"/>
                <w:color w:val="000000"/>
                <w:szCs w:val="18"/>
              </w:rPr>
              <w:t>anno</w:t>
            </w:r>
          </w:p>
        </w:tc>
        <w:tc>
          <w:tcPr>
            <w:tcW w:w="2340" w:type="dxa"/>
            <w:vAlign w:val="center"/>
          </w:tcPr>
          <w:p w:rsidR="00FD27BC" w:rsidRPr="00A75DF9" w:rsidRDefault="00FD27BC" w:rsidP="00FD27BC">
            <w:pPr>
              <w:jc w:val="center"/>
              <w:rPr>
                <w:rFonts w:cs="Tahoma"/>
                <w:color w:val="000000"/>
                <w:szCs w:val="18"/>
              </w:rPr>
            </w:pPr>
            <w:r w:rsidRPr="00A75DF9">
              <w:rPr>
                <w:rFonts w:cs="Tahoma"/>
                <w:color w:val="000000"/>
                <w:szCs w:val="18"/>
              </w:rPr>
              <w:t>Fino a 2 all</w:t>
            </w:r>
            <w:r w:rsidR="00F2643E">
              <w:rPr>
                <w:rFonts w:cs="Tahoma"/>
                <w:color w:val="000000"/>
                <w:szCs w:val="18"/>
              </w:rPr>
              <w:t>’</w:t>
            </w:r>
            <w:r w:rsidRPr="00A75DF9">
              <w:rPr>
                <w:rFonts w:cs="Tahoma"/>
                <w:color w:val="000000"/>
                <w:szCs w:val="18"/>
              </w:rPr>
              <w:t>anno</w:t>
            </w:r>
          </w:p>
        </w:tc>
        <w:tc>
          <w:tcPr>
            <w:tcW w:w="2250" w:type="dxa"/>
            <w:vAlign w:val="center"/>
          </w:tcPr>
          <w:p w:rsidR="00FD27BC" w:rsidRPr="00A75DF9" w:rsidRDefault="00FD27BC" w:rsidP="00FD27BC">
            <w:pPr>
              <w:spacing w:before="120"/>
              <w:jc w:val="center"/>
              <w:rPr>
                <w:rFonts w:cs="Tahoma"/>
                <w:color w:val="000000"/>
                <w:szCs w:val="18"/>
              </w:rPr>
            </w:pPr>
            <w:r w:rsidRPr="00A75DF9">
              <w:rPr>
                <w:rFonts w:cs="Tahoma"/>
              </w:rPr>
              <w:t>Fino a 4 all</w:t>
            </w:r>
            <w:r w:rsidR="00F2643E">
              <w:rPr>
                <w:rFonts w:cs="Tahoma"/>
              </w:rPr>
              <w:t>’</w:t>
            </w:r>
            <w:r w:rsidRPr="00A75DF9">
              <w:rPr>
                <w:rFonts w:cs="Tahoma"/>
              </w:rPr>
              <w:t>anno</w:t>
            </w:r>
          </w:p>
        </w:tc>
      </w:tr>
      <w:tr w:rsidR="00FD27BC" w:rsidRPr="00A75DF9" w:rsidTr="00687970">
        <w:tc>
          <w:tcPr>
            <w:tcW w:w="2700" w:type="dxa"/>
            <w:vAlign w:val="center"/>
          </w:tcPr>
          <w:p w:rsidR="00FD27BC" w:rsidRPr="00A75DF9" w:rsidRDefault="00FD27BC" w:rsidP="00FD27BC">
            <w:pPr>
              <w:rPr>
                <w:rFonts w:cs="Tahoma"/>
                <w:color w:val="000000"/>
                <w:szCs w:val="18"/>
              </w:rPr>
            </w:pPr>
            <w:r w:rsidRPr="00A75DF9">
              <w:rPr>
                <w:rFonts w:cs="Tahoma"/>
                <w:color w:val="000000"/>
                <w:szCs w:val="18"/>
              </w:rPr>
              <w:t>Enterprise Strategy Network</w:t>
            </w:r>
          </w:p>
        </w:tc>
        <w:tc>
          <w:tcPr>
            <w:tcW w:w="2070" w:type="dxa"/>
            <w:vAlign w:val="center"/>
          </w:tcPr>
          <w:p w:rsidR="00FD27BC" w:rsidRPr="00A75DF9" w:rsidRDefault="00FD27BC" w:rsidP="00FD27BC">
            <w:pPr>
              <w:jc w:val="center"/>
              <w:rPr>
                <w:rFonts w:eastAsia="MS UI Gothic" w:cs="Tahoma"/>
                <w:color w:val="000000"/>
                <w:szCs w:val="18"/>
              </w:rPr>
            </w:pPr>
            <w:r w:rsidRPr="00A75DF9">
              <w:rPr>
                <w:rFonts w:ascii="MS UI Gothic" w:eastAsia="MS UI Gothic" w:hAnsi="MS UI Gothic" w:cs="MS UI Gothic" w:hint="eastAsia"/>
                <w:color w:val="000000"/>
                <w:szCs w:val="18"/>
              </w:rPr>
              <w:t>✓</w:t>
            </w:r>
          </w:p>
        </w:tc>
        <w:tc>
          <w:tcPr>
            <w:tcW w:w="2340" w:type="dxa"/>
            <w:vAlign w:val="center"/>
          </w:tcPr>
          <w:p w:rsidR="00FD27BC" w:rsidRPr="00A75DF9" w:rsidRDefault="00FD27BC" w:rsidP="00FD27BC">
            <w:pPr>
              <w:jc w:val="center"/>
              <w:rPr>
                <w:rFonts w:eastAsia="MS UI Gothic" w:cs="Tahoma"/>
                <w:color w:val="000000"/>
                <w:szCs w:val="18"/>
              </w:rPr>
            </w:pPr>
            <w:r w:rsidRPr="00A75DF9">
              <w:rPr>
                <w:rFonts w:ascii="MS UI Gothic" w:eastAsia="MS UI Gothic" w:hAnsi="MS UI Gothic" w:cs="MS UI Gothic" w:hint="eastAsia"/>
                <w:color w:val="000000"/>
                <w:szCs w:val="18"/>
              </w:rPr>
              <w:t>✓</w:t>
            </w:r>
          </w:p>
        </w:tc>
        <w:tc>
          <w:tcPr>
            <w:tcW w:w="2250" w:type="dxa"/>
            <w:vAlign w:val="center"/>
          </w:tcPr>
          <w:p w:rsidR="00FD27BC" w:rsidRPr="00A75DF9" w:rsidRDefault="00FD27BC" w:rsidP="00FD27BC">
            <w:pPr>
              <w:jc w:val="center"/>
              <w:rPr>
                <w:rFonts w:eastAsia="MS UI Gothic" w:cs="Tahoma"/>
              </w:rPr>
            </w:pPr>
            <w:r w:rsidRPr="00A75DF9">
              <w:rPr>
                <w:rFonts w:ascii="MS UI Gothic" w:eastAsia="MS UI Gothic" w:hAnsi="MS UI Gothic" w:cs="MS UI Gothic" w:hint="eastAsia"/>
                <w:color w:val="000000"/>
                <w:szCs w:val="18"/>
              </w:rPr>
              <w:t>✓</w:t>
            </w:r>
          </w:p>
        </w:tc>
      </w:tr>
      <w:tr w:rsidR="00FD27BC" w:rsidRPr="00A75DF9" w:rsidTr="00687970">
        <w:tc>
          <w:tcPr>
            <w:tcW w:w="2700" w:type="dxa"/>
            <w:vAlign w:val="center"/>
          </w:tcPr>
          <w:p w:rsidR="00FD27BC" w:rsidRPr="00A75DF9" w:rsidRDefault="00FD27BC" w:rsidP="00FD27BC">
            <w:pPr>
              <w:rPr>
                <w:rFonts w:cs="Tahoma"/>
                <w:color w:val="000000"/>
                <w:szCs w:val="18"/>
              </w:rPr>
            </w:pPr>
            <w:r w:rsidRPr="00A75DF9">
              <w:rPr>
                <w:rFonts w:cs="Tahoma"/>
                <w:color w:val="000000"/>
                <w:szCs w:val="18"/>
              </w:rPr>
              <w:t>Enterprise Strategy Library</w:t>
            </w:r>
          </w:p>
        </w:tc>
        <w:tc>
          <w:tcPr>
            <w:tcW w:w="2070" w:type="dxa"/>
            <w:vAlign w:val="center"/>
          </w:tcPr>
          <w:p w:rsidR="00FD27BC" w:rsidRPr="00A75DF9" w:rsidRDefault="00FD27BC" w:rsidP="00FD27BC">
            <w:pPr>
              <w:jc w:val="center"/>
              <w:rPr>
                <w:rFonts w:eastAsia="MS UI Gothic" w:cs="Tahoma"/>
                <w:color w:val="000000"/>
                <w:szCs w:val="18"/>
              </w:rPr>
            </w:pPr>
            <w:r w:rsidRPr="00A75DF9">
              <w:rPr>
                <w:rFonts w:ascii="MS UI Gothic" w:eastAsia="MS UI Gothic" w:hAnsi="MS UI Gothic" w:cs="MS UI Gothic" w:hint="eastAsia"/>
                <w:color w:val="000000"/>
                <w:szCs w:val="18"/>
              </w:rPr>
              <w:t>✓</w:t>
            </w:r>
          </w:p>
        </w:tc>
        <w:tc>
          <w:tcPr>
            <w:tcW w:w="2340" w:type="dxa"/>
            <w:vAlign w:val="center"/>
          </w:tcPr>
          <w:p w:rsidR="00FD27BC" w:rsidRPr="00A75DF9" w:rsidRDefault="00FD27BC" w:rsidP="00FD27BC">
            <w:pPr>
              <w:jc w:val="center"/>
              <w:rPr>
                <w:rFonts w:eastAsia="MS UI Gothic" w:cs="Tahoma"/>
                <w:color w:val="000000"/>
                <w:szCs w:val="18"/>
              </w:rPr>
            </w:pPr>
            <w:r w:rsidRPr="00A75DF9">
              <w:rPr>
                <w:rFonts w:ascii="MS UI Gothic" w:eastAsia="MS UI Gothic" w:hAnsi="MS UI Gothic" w:cs="MS UI Gothic" w:hint="eastAsia"/>
                <w:color w:val="000000"/>
                <w:szCs w:val="18"/>
              </w:rPr>
              <w:t>✓</w:t>
            </w:r>
          </w:p>
        </w:tc>
        <w:tc>
          <w:tcPr>
            <w:tcW w:w="2250" w:type="dxa"/>
            <w:vAlign w:val="center"/>
          </w:tcPr>
          <w:p w:rsidR="00FD27BC" w:rsidRPr="00A75DF9" w:rsidRDefault="00FD27BC" w:rsidP="00FD27BC">
            <w:pPr>
              <w:jc w:val="center"/>
              <w:rPr>
                <w:rFonts w:eastAsia="MS UI Gothic" w:cs="Tahoma"/>
              </w:rPr>
            </w:pPr>
            <w:r w:rsidRPr="00A75DF9">
              <w:rPr>
                <w:rFonts w:ascii="MS UI Gothic" w:eastAsia="MS UI Gothic" w:hAnsi="MS UI Gothic" w:cs="MS UI Gothic" w:hint="eastAsia"/>
                <w:color w:val="000000"/>
                <w:szCs w:val="18"/>
              </w:rPr>
              <w:t>✓</w:t>
            </w:r>
          </w:p>
        </w:tc>
      </w:tr>
      <w:tr w:rsidR="00FD27BC" w:rsidRPr="00A75DF9" w:rsidTr="00687970">
        <w:tc>
          <w:tcPr>
            <w:tcW w:w="2700" w:type="dxa"/>
            <w:vAlign w:val="center"/>
          </w:tcPr>
          <w:p w:rsidR="00FD27BC" w:rsidRPr="00A75DF9" w:rsidRDefault="00FD27BC" w:rsidP="00FD27BC">
            <w:pPr>
              <w:rPr>
                <w:rFonts w:cs="Tahoma"/>
                <w:color w:val="000000"/>
                <w:szCs w:val="18"/>
              </w:rPr>
            </w:pPr>
            <w:r w:rsidRPr="00A75DF9">
              <w:rPr>
                <w:rFonts w:cs="Tahoma"/>
                <w:color w:val="000000"/>
                <w:szCs w:val="18"/>
              </w:rPr>
              <w:t>Briefing strategici</w:t>
            </w:r>
          </w:p>
        </w:tc>
        <w:tc>
          <w:tcPr>
            <w:tcW w:w="2070" w:type="dxa"/>
            <w:vAlign w:val="center"/>
          </w:tcPr>
          <w:p w:rsidR="00FD27BC" w:rsidRPr="00A75DF9" w:rsidRDefault="00FD27BC" w:rsidP="00FD27BC">
            <w:pPr>
              <w:jc w:val="center"/>
              <w:rPr>
                <w:rFonts w:eastAsia="MS UI Gothic" w:cs="Tahoma"/>
                <w:color w:val="000000"/>
                <w:szCs w:val="18"/>
              </w:rPr>
            </w:pPr>
            <w:r w:rsidRPr="00A75DF9">
              <w:rPr>
                <w:rFonts w:ascii="MS UI Gothic" w:eastAsia="MS UI Gothic" w:hAnsi="MS UI Gothic" w:cs="MS UI Gothic" w:hint="eastAsia"/>
                <w:color w:val="000000"/>
                <w:szCs w:val="18"/>
              </w:rPr>
              <w:t>✓</w:t>
            </w:r>
          </w:p>
        </w:tc>
        <w:tc>
          <w:tcPr>
            <w:tcW w:w="2340" w:type="dxa"/>
            <w:vAlign w:val="center"/>
          </w:tcPr>
          <w:p w:rsidR="00FD27BC" w:rsidRPr="00A75DF9" w:rsidRDefault="00FD27BC" w:rsidP="00FD27BC">
            <w:pPr>
              <w:jc w:val="center"/>
              <w:rPr>
                <w:rFonts w:cs="Tahoma"/>
                <w:color w:val="000000"/>
                <w:szCs w:val="18"/>
              </w:rPr>
            </w:pPr>
            <w:r w:rsidRPr="00A75DF9">
              <w:rPr>
                <w:rFonts w:ascii="MS UI Gothic" w:eastAsia="MS UI Gothic" w:hAnsi="MS UI Gothic" w:cs="MS UI Gothic" w:hint="eastAsia"/>
                <w:color w:val="000000"/>
                <w:szCs w:val="18"/>
              </w:rPr>
              <w:t>✓</w:t>
            </w:r>
          </w:p>
        </w:tc>
        <w:tc>
          <w:tcPr>
            <w:tcW w:w="2250" w:type="dxa"/>
            <w:vAlign w:val="center"/>
          </w:tcPr>
          <w:p w:rsidR="00FD27BC" w:rsidRPr="00A75DF9" w:rsidRDefault="00FD27BC" w:rsidP="00FD27BC">
            <w:pPr>
              <w:jc w:val="center"/>
              <w:rPr>
                <w:rFonts w:cs="Tahoma"/>
                <w:color w:val="000000"/>
                <w:szCs w:val="18"/>
              </w:rPr>
            </w:pPr>
            <w:r w:rsidRPr="00A75DF9">
              <w:rPr>
                <w:rFonts w:ascii="MS UI Gothic" w:eastAsia="MS UI Gothic" w:hAnsi="MS UI Gothic" w:cs="MS UI Gothic" w:hint="eastAsia"/>
              </w:rPr>
              <w:t>✓</w:t>
            </w:r>
          </w:p>
        </w:tc>
      </w:tr>
      <w:tr w:rsidR="009B78AB" w:rsidRPr="00A75DF9" w:rsidTr="00687970">
        <w:tc>
          <w:tcPr>
            <w:tcW w:w="2700" w:type="dxa"/>
            <w:vAlign w:val="center"/>
          </w:tcPr>
          <w:p w:rsidR="009B78AB" w:rsidRPr="00A75DF9" w:rsidRDefault="009B78AB" w:rsidP="009B78AB">
            <w:pPr>
              <w:rPr>
                <w:rFonts w:cs="Tahoma"/>
                <w:color w:val="000000"/>
                <w:szCs w:val="18"/>
              </w:rPr>
            </w:pPr>
            <w:r w:rsidRPr="00A75DF9">
              <w:rPr>
                <w:rFonts w:cs="Tahoma"/>
                <w:color w:val="000000"/>
                <w:szCs w:val="18"/>
              </w:rPr>
              <w:t>Enterprise Strategy Forum</w:t>
            </w:r>
          </w:p>
        </w:tc>
        <w:tc>
          <w:tcPr>
            <w:tcW w:w="2070" w:type="dxa"/>
            <w:vAlign w:val="center"/>
          </w:tcPr>
          <w:p w:rsidR="009B78AB" w:rsidRPr="00A75DF9" w:rsidRDefault="009B78AB" w:rsidP="00FD27BC">
            <w:pPr>
              <w:jc w:val="center"/>
              <w:rPr>
                <w:rFonts w:cs="Tahoma"/>
                <w:color w:val="000000"/>
                <w:szCs w:val="18"/>
              </w:rPr>
            </w:pPr>
          </w:p>
        </w:tc>
        <w:tc>
          <w:tcPr>
            <w:tcW w:w="2340" w:type="dxa"/>
            <w:vAlign w:val="center"/>
          </w:tcPr>
          <w:p w:rsidR="009B78AB" w:rsidRPr="00A75DF9" w:rsidRDefault="009B78AB" w:rsidP="00FD27BC">
            <w:pPr>
              <w:jc w:val="center"/>
              <w:rPr>
                <w:rFonts w:cs="Tahoma"/>
                <w:color w:val="000000"/>
                <w:szCs w:val="18"/>
              </w:rPr>
            </w:pPr>
            <w:r w:rsidRPr="00A75DF9">
              <w:rPr>
                <w:rFonts w:ascii="MS UI Gothic" w:eastAsia="MS UI Gothic" w:hAnsi="MS UI Gothic" w:cs="MS UI Gothic" w:hint="eastAsia"/>
                <w:color w:val="000000"/>
                <w:szCs w:val="18"/>
              </w:rPr>
              <w:t>✓</w:t>
            </w:r>
          </w:p>
        </w:tc>
        <w:tc>
          <w:tcPr>
            <w:tcW w:w="2250" w:type="dxa"/>
            <w:vAlign w:val="center"/>
          </w:tcPr>
          <w:p w:rsidR="009B78AB" w:rsidRPr="00A75DF9" w:rsidRDefault="009B78AB" w:rsidP="00FD27BC">
            <w:pPr>
              <w:jc w:val="center"/>
              <w:rPr>
                <w:rFonts w:cs="Tahoma"/>
                <w:color w:val="000000"/>
                <w:szCs w:val="18"/>
              </w:rPr>
            </w:pPr>
            <w:r w:rsidRPr="00A75DF9">
              <w:rPr>
                <w:rFonts w:ascii="MS UI Gothic" w:eastAsia="MS UI Gothic" w:hAnsi="MS UI Gothic" w:cs="MS UI Gothic" w:hint="eastAsia"/>
                <w:color w:val="000000"/>
                <w:szCs w:val="18"/>
              </w:rPr>
              <w:t>✓</w:t>
            </w:r>
          </w:p>
        </w:tc>
      </w:tr>
      <w:tr w:rsidR="00FD27BC" w:rsidRPr="00A75DF9" w:rsidTr="00687970">
        <w:tc>
          <w:tcPr>
            <w:tcW w:w="2700" w:type="dxa"/>
            <w:vAlign w:val="center"/>
          </w:tcPr>
          <w:p w:rsidR="00FD27BC" w:rsidRPr="00A75DF9" w:rsidRDefault="00FD27BC" w:rsidP="009B78AB">
            <w:pPr>
              <w:rPr>
                <w:rFonts w:cs="Tahoma"/>
                <w:color w:val="000000"/>
                <w:szCs w:val="18"/>
              </w:rPr>
            </w:pPr>
            <w:r w:rsidRPr="00A75DF9">
              <w:rPr>
                <w:rFonts w:cs="Tahoma"/>
                <w:color w:val="000000"/>
                <w:szCs w:val="18"/>
              </w:rPr>
              <w:t>Componente Aggiuntivo Enterprise Strategy Capacity</w:t>
            </w:r>
          </w:p>
        </w:tc>
        <w:tc>
          <w:tcPr>
            <w:tcW w:w="2070" w:type="dxa"/>
            <w:vAlign w:val="center"/>
          </w:tcPr>
          <w:p w:rsidR="00FD27BC" w:rsidRPr="00A75DF9" w:rsidRDefault="00FD27BC" w:rsidP="00FD27BC">
            <w:pPr>
              <w:jc w:val="center"/>
              <w:rPr>
                <w:rFonts w:eastAsia="MS UI Gothic" w:cs="Tahoma"/>
                <w:color w:val="000000"/>
                <w:szCs w:val="18"/>
              </w:rPr>
            </w:pPr>
            <w:r w:rsidRPr="00A75DF9">
              <w:rPr>
                <w:rFonts w:cs="Tahoma"/>
                <w:color w:val="000000"/>
                <w:szCs w:val="18"/>
              </w:rPr>
              <w:t>200 ore</w:t>
            </w:r>
          </w:p>
        </w:tc>
        <w:tc>
          <w:tcPr>
            <w:tcW w:w="2340" w:type="dxa"/>
            <w:vAlign w:val="center"/>
          </w:tcPr>
          <w:p w:rsidR="00FD27BC" w:rsidRPr="00A75DF9" w:rsidRDefault="00FD27BC" w:rsidP="00FD27BC">
            <w:pPr>
              <w:jc w:val="center"/>
              <w:rPr>
                <w:rFonts w:eastAsia="MS UI Gothic" w:cs="Tahoma"/>
                <w:color w:val="000000"/>
                <w:szCs w:val="18"/>
              </w:rPr>
            </w:pPr>
            <w:r w:rsidRPr="00A75DF9">
              <w:rPr>
                <w:rFonts w:cs="Tahoma"/>
                <w:color w:val="000000"/>
                <w:szCs w:val="18"/>
              </w:rPr>
              <w:t>200 ore</w:t>
            </w:r>
          </w:p>
        </w:tc>
        <w:tc>
          <w:tcPr>
            <w:tcW w:w="2250" w:type="dxa"/>
            <w:vAlign w:val="center"/>
          </w:tcPr>
          <w:p w:rsidR="00FD27BC" w:rsidRPr="00A75DF9" w:rsidRDefault="00FD27BC" w:rsidP="00FD27BC">
            <w:pPr>
              <w:jc w:val="center"/>
              <w:rPr>
                <w:rFonts w:eastAsia="MS UI Gothic" w:cs="Tahoma"/>
              </w:rPr>
            </w:pPr>
            <w:r w:rsidRPr="00A75DF9">
              <w:rPr>
                <w:rFonts w:cs="Tahoma"/>
                <w:color w:val="000000"/>
                <w:szCs w:val="18"/>
              </w:rPr>
              <w:t>200 ore</w:t>
            </w:r>
          </w:p>
        </w:tc>
      </w:tr>
    </w:tbl>
    <w:p w:rsidR="009B78AB" w:rsidRPr="00687970" w:rsidRDefault="00415DDA" w:rsidP="00DD7F8E">
      <w:pPr>
        <w:rPr>
          <w:rFonts w:cs="Tahoma"/>
          <w:sz w:val="16"/>
          <w:szCs w:val="16"/>
        </w:rPr>
      </w:pPr>
      <w:r w:rsidRPr="00A75DF9">
        <w:rPr>
          <w:rFonts w:cs="Tahoma"/>
          <w:b/>
          <w:bCs/>
          <w:color w:val="000000"/>
          <w:sz w:val="20"/>
          <w:szCs w:val="18"/>
          <w:vertAlign w:val="superscript"/>
        </w:rPr>
        <w:t>1</w:t>
      </w:r>
      <w:r w:rsidRPr="00A75DF9">
        <w:rPr>
          <w:rFonts w:cs="Tahoma"/>
          <w:b/>
          <w:bCs/>
          <w:i/>
          <w:color w:val="000000"/>
          <w:sz w:val="20"/>
          <w:szCs w:val="18"/>
          <w:vertAlign w:val="superscript"/>
        </w:rPr>
        <w:t xml:space="preserve"> </w:t>
      </w:r>
      <w:r w:rsidRPr="00A75DF9">
        <w:rPr>
          <w:rFonts w:eastAsia="Times New Roman" w:cs="Tahoma"/>
          <w:i/>
          <w:sz w:val="16"/>
          <w:szCs w:val="20"/>
        </w:rPr>
        <w:t>Un programma Enterprise Strategy Connect implica fino a 400 ore di lavoro. Un programma Enterprise Strategy Foundation implica fino a 800 ore di lavoro. Un programma Enterprise Strategy Portfolio implica fino a 1600 ore di lavoro. Le risorse Microsoft che offrono il lavoro sono personalizzate in base</w:t>
      </w:r>
      <w:r w:rsidRPr="00687970">
        <w:rPr>
          <w:rFonts w:eastAsia="Times New Roman" w:cs="Tahoma"/>
          <w:i/>
          <w:sz w:val="16"/>
          <w:szCs w:val="16"/>
        </w:rPr>
        <w:t xml:space="preserve"> alle esigenze specifiche delle società e includono una combinazione di risorse Enterprise Architects ed Enterprise Strategy Network.</w:t>
      </w:r>
    </w:p>
    <w:p w:rsidR="009B78AB" w:rsidRPr="00A75DF9" w:rsidRDefault="009B78AB" w:rsidP="00DD7F8E">
      <w:pPr>
        <w:rPr>
          <w:rFonts w:cs="Tahoma"/>
        </w:rPr>
      </w:pPr>
    </w:p>
    <w:p w:rsidR="00DD7F8E" w:rsidRPr="00A75DF9" w:rsidRDefault="009B78AB" w:rsidP="00DD7F8E">
      <w:pPr>
        <w:rPr>
          <w:rFonts w:cs="Tahoma"/>
        </w:rPr>
      </w:pPr>
      <w:r w:rsidRPr="00A75DF9">
        <w:rPr>
          <w:rFonts w:cs="Tahoma"/>
          <w:b/>
          <w:bCs/>
          <w:i/>
          <w:color w:val="000000"/>
          <w:sz w:val="20"/>
          <w:szCs w:val="18"/>
          <w:vertAlign w:val="superscript"/>
        </w:rPr>
        <w:t>2</w:t>
      </w:r>
      <w:r w:rsidR="00687970">
        <w:rPr>
          <w:rFonts w:cs="Tahoma"/>
          <w:b/>
          <w:bCs/>
          <w:i/>
          <w:color w:val="000000"/>
          <w:sz w:val="20"/>
          <w:szCs w:val="18"/>
          <w:vertAlign w:val="superscript"/>
        </w:rPr>
        <w:t xml:space="preserve"> </w:t>
      </w:r>
      <w:r w:rsidRPr="00A75DF9">
        <w:rPr>
          <w:rFonts w:eastAsia="Times New Roman" w:cs="Tahoma"/>
          <w:i/>
          <w:sz w:val="16"/>
          <w:szCs w:val="20"/>
        </w:rPr>
        <w:t>La quantità effettiva di impegno è concordata tra Microsoft e la Società</w:t>
      </w:r>
    </w:p>
    <w:p w:rsidR="00415DDA" w:rsidRPr="00A75DF9" w:rsidRDefault="00415DDA" w:rsidP="00DD7F8E">
      <w:pPr>
        <w:rPr>
          <w:rFonts w:cs="Tahoma"/>
        </w:rPr>
      </w:pPr>
    </w:p>
    <w:p w:rsidR="00DD7F8E" w:rsidRPr="00A75DF9" w:rsidRDefault="00DD7F8E" w:rsidP="001760D6">
      <w:pPr>
        <w:keepNext/>
        <w:spacing w:after="60"/>
        <w:rPr>
          <w:rFonts w:cs="Tahoma"/>
        </w:rPr>
      </w:pPr>
      <w:r w:rsidRPr="00A75DF9">
        <w:rPr>
          <w:rFonts w:cs="Tahoma"/>
          <w:b/>
        </w:rPr>
        <w:t xml:space="preserve">Enterprise Architect: </w:t>
      </w:r>
    </w:p>
    <w:p w:rsidR="00DD7F8E" w:rsidRPr="00A75DF9" w:rsidRDefault="00DD7F8E" w:rsidP="00346F4B">
      <w:pPr>
        <w:numPr>
          <w:ilvl w:val="0"/>
          <w:numId w:val="75"/>
        </w:numPr>
        <w:spacing w:after="60"/>
        <w:ind w:left="1440"/>
        <w:rPr>
          <w:rFonts w:cs="Tahoma"/>
        </w:rPr>
      </w:pPr>
      <w:r w:rsidRPr="00A75DF9">
        <w:rPr>
          <w:rFonts w:eastAsia="Times New Roman" w:cs="Tahoma"/>
          <w:szCs w:val="20"/>
        </w:rPr>
        <w:t>Lavorerà a stretto contatto con la Società per sviluppare un Piano di Erogazione dei Servizi di Architettura da implementare, nel quale verranno definiti obiettivi e milestone e verranno stabiliti processi, dati e regole che consentiranno di tenere traccia dei progressi conseguiti.</w:t>
      </w:r>
      <w:r w:rsidR="009D3B41" w:rsidRPr="00A75DF9">
        <w:rPr>
          <w:rFonts w:eastAsia="Times New Roman" w:cs="Tahoma"/>
          <w:szCs w:val="20"/>
        </w:rPr>
        <w:t xml:space="preserve"> </w:t>
      </w:r>
    </w:p>
    <w:p w:rsidR="00DD7F8E" w:rsidRPr="00A75DF9" w:rsidRDefault="00DD7F8E" w:rsidP="00346F4B">
      <w:pPr>
        <w:numPr>
          <w:ilvl w:val="0"/>
          <w:numId w:val="75"/>
        </w:numPr>
        <w:spacing w:after="60"/>
        <w:ind w:left="1440"/>
        <w:rPr>
          <w:rFonts w:cs="Tahoma"/>
        </w:rPr>
      </w:pPr>
      <w:r w:rsidRPr="00A75DF9">
        <w:rPr>
          <w:rFonts w:eastAsia="Times New Roman" w:cs="Tahoma"/>
          <w:szCs w:val="20"/>
        </w:rPr>
        <w:t>Presenterà inoltre aggiornamenti mensili dello stato relativi ai progressi conseguiti dalla Società rispetto al piano prestabilito.</w:t>
      </w:r>
    </w:p>
    <w:p w:rsidR="00415DDA" w:rsidRPr="00A75DF9" w:rsidRDefault="00415DDA" w:rsidP="00346F4B">
      <w:pPr>
        <w:numPr>
          <w:ilvl w:val="0"/>
          <w:numId w:val="75"/>
        </w:numPr>
        <w:spacing w:after="60"/>
        <w:ind w:left="1440"/>
        <w:rPr>
          <w:rFonts w:cs="Tahoma"/>
        </w:rPr>
      </w:pPr>
      <w:r w:rsidRPr="00A75DF9">
        <w:rPr>
          <w:rFonts w:cs="Tahoma"/>
        </w:rPr>
        <w:t>Gestirà l</w:t>
      </w:r>
      <w:r w:rsidR="00F2643E">
        <w:rPr>
          <w:rFonts w:cs="Tahoma"/>
        </w:rPr>
        <w:t>’</w:t>
      </w:r>
      <w:r w:rsidRPr="00A75DF9">
        <w:rPr>
          <w:rFonts w:cs="Tahoma"/>
        </w:rPr>
        <w:t>accesso alla Microsoft Enterprise Strategy Network.</w:t>
      </w:r>
    </w:p>
    <w:p w:rsidR="00E03856" w:rsidRPr="00A75DF9" w:rsidRDefault="00E03856">
      <w:pPr>
        <w:rPr>
          <w:rFonts w:cs="Tahoma"/>
        </w:rPr>
      </w:pPr>
    </w:p>
    <w:p w:rsidR="00DD7F8E" w:rsidRPr="00A75DF9" w:rsidRDefault="00DD7F8E" w:rsidP="00DD7F8E">
      <w:pPr>
        <w:spacing w:after="60"/>
        <w:rPr>
          <w:rFonts w:cs="Tahoma"/>
        </w:rPr>
      </w:pPr>
      <w:r w:rsidRPr="00A75DF9">
        <w:rPr>
          <w:rFonts w:cs="Tahoma"/>
          <w:b/>
        </w:rPr>
        <w:t>Valutazione:</w:t>
      </w:r>
    </w:p>
    <w:p w:rsidR="00DD7F8E" w:rsidRPr="00A75DF9" w:rsidRDefault="00DD7F8E" w:rsidP="00346F4B">
      <w:pPr>
        <w:numPr>
          <w:ilvl w:val="0"/>
          <w:numId w:val="76"/>
        </w:numPr>
        <w:spacing w:after="60"/>
        <w:ind w:left="1440"/>
        <w:rPr>
          <w:rFonts w:cs="Tahoma"/>
        </w:rPr>
      </w:pPr>
      <w:r w:rsidRPr="00A75DF9">
        <w:rPr>
          <w:rFonts w:eastAsia="Times New Roman" w:cs="Tahoma"/>
          <w:szCs w:val="20"/>
        </w:rPr>
        <w:t>Identifica le opportunità a livello IT allineabili agli obiettivi aziendali della Società.</w:t>
      </w:r>
    </w:p>
    <w:p w:rsidR="00DD7F8E" w:rsidRPr="00A75DF9" w:rsidRDefault="005F0406" w:rsidP="00346F4B">
      <w:pPr>
        <w:numPr>
          <w:ilvl w:val="0"/>
          <w:numId w:val="76"/>
        </w:numPr>
        <w:spacing w:after="60"/>
        <w:ind w:left="1440"/>
        <w:rPr>
          <w:rFonts w:cs="Tahoma"/>
        </w:rPr>
      </w:pPr>
      <w:r w:rsidRPr="00A75DF9">
        <w:rPr>
          <w:rFonts w:eastAsia="Times New Roman" w:cs="Tahoma"/>
          <w:szCs w:val="20"/>
        </w:rPr>
        <w:t>Stabilisce i contesti aziendali e architetturali precedenti alla progettazione relativamente ai servizi IT e ai gruppi aziendali interessati, allo scopo di individuare le dipendenze e definire attività e costi che giustifichino l</w:t>
      </w:r>
      <w:r w:rsidR="00F2643E">
        <w:rPr>
          <w:rFonts w:eastAsia="Times New Roman" w:cs="Tahoma"/>
          <w:szCs w:val="20"/>
        </w:rPr>
        <w:t>’</w:t>
      </w:r>
      <w:r w:rsidRPr="00A75DF9">
        <w:rPr>
          <w:rFonts w:eastAsia="Times New Roman" w:cs="Tahoma"/>
          <w:szCs w:val="20"/>
        </w:rPr>
        <w:t>ulteriore pianificazione.</w:t>
      </w:r>
    </w:p>
    <w:p w:rsidR="00DD7F8E" w:rsidRPr="00A75DF9" w:rsidRDefault="00DD7F8E" w:rsidP="00346F4B">
      <w:pPr>
        <w:numPr>
          <w:ilvl w:val="0"/>
          <w:numId w:val="76"/>
        </w:numPr>
        <w:spacing w:after="60"/>
        <w:ind w:left="1440"/>
        <w:rPr>
          <w:rFonts w:cs="Tahoma"/>
        </w:rPr>
      </w:pPr>
      <w:r w:rsidRPr="00A75DF9">
        <w:rPr>
          <w:rFonts w:eastAsia="Times New Roman" w:cs="Tahoma"/>
          <w:szCs w:val="20"/>
        </w:rPr>
        <w:t>Definisce e conferma le iniziative e ne stabilisce la priorità nel Piano di Erogazione dei Servizi.</w:t>
      </w:r>
    </w:p>
    <w:p w:rsidR="00DD7F8E" w:rsidRPr="00A75DF9" w:rsidRDefault="00DD7F8E" w:rsidP="00346F4B">
      <w:pPr>
        <w:numPr>
          <w:ilvl w:val="0"/>
          <w:numId w:val="76"/>
        </w:numPr>
        <w:spacing w:after="60"/>
        <w:ind w:left="1440"/>
        <w:rPr>
          <w:rFonts w:cs="Tahoma"/>
        </w:rPr>
      </w:pPr>
      <w:r w:rsidRPr="00A75DF9">
        <w:rPr>
          <w:rFonts w:eastAsia="Times New Roman" w:cs="Tahoma"/>
          <w:szCs w:val="20"/>
        </w:rPr>
        <w:t>Fornisce la Relazione di Valutazione Finale in cui viene consigliata almeno un</w:t>
      </w:r>
      <w:r w:rsidR="00F2643E">
        <w:rPr>
          <w:rFonts w:eastAsia="Times New Roman" w:cs="Tahoma"/>
          <w:szCs w:val="20"/>
        </w:rPr>
        <w:t>’</w:t>
      </w:r>
      <w:r w:rsidRPr="00A75DF9">
        <w:rPr>
          <w:rFonts w:eastAsia="Times New Roman" w:cs="Tahoma"/>
          <w:szCs w:val="20"/>
        </w:rPr>
        <w:t>iniziativa come Progetto Enterprise Strategy.</w:t>
      </w:r>
    </w:p>
    <w:p w:rsidR="00DD7F8E" w:rsidRPr="00A75DF9" w:rsidRDefault="00DD7F8E" w:rsidP="00DD7F8E">
      <w:pPr>
        <w:spacing w:after="60"/>
        <w:rPr>
          <w:rFonts w:cs="Tahoma"/>
        </w:rPr>
      </w:pPr>
    </w:p>
    <w:p w:rsidR="00DD7F8E" w:rsidRPr="00A75DF9" w:rsidRDefault="00DD7F8E" w:rsidP="00E77F1E">
      <w:pPr>
        <w:spacing w:after="60"/>
        <w:rPr>
          <w:rFonts w:cs="Tahoma"/>
        </w:rPr>
      </w:pPr>
      <w:r w:rsidRPr="00A75DF9">
        <w:rPr>
          <w:rFonts w:cs="Tahoma"/>
          <w:b/>
        </w:rPr>
        <w:t>Progetti Enterprise Strategy</w:t>
      </w:r>
    </w:p>
    <w:p w:rsidR="00DD7F8E" w:rsidRPr="00A75DF9" w:rsidRDefault="00DD7F8E" w:rsidP="00687970">
      <w:pPr>
        <w:rPr>
          <w:rFonts w:cs="Tahoma"/>
        </w:rPr>
      </w:pPr>
      <w:r w:rsidRPr="00A75DF9">
        <w:rPr>
          <w:rFonts w:eastAsia="Arial" w:cs="Tahoma"/>
          <w:bCs/>
          <w:color w:val="000000"/>
          <w:szCs w:val="18"/>
        </w:rPr>
        <w:t>L</w:t>
      </w:r>
      <w:r w:rsidR="00F2643E">
        <w:rPr>
          <w:rFonts w:eastAsia="Arial" w:cs="Tahoma"/>
          <w:bCs/>
          <w:color w:val="000000"/>
          <w:szCs w:val="18"/>
        </w:rPr>
        <w:t>’</w:t>
      </w:r>
      <w:r w:rsidRPr="00A75DF9">
        <w:rPr>
          <w:rFonts w:eastAsia="Arial" w:cs="Tahoma"/>
          <w:bCs/>
          <w:color w:val="000000"/>
          <w:szCs w:val="18"/>
        </w:rPr>
        <w:t xml:space="preserve">Enterprise </w:t>
      </w:r>
      <w:r w:rsidRPr="00A75DF9">
        <w:rPr>
          <w:rFonts w:cs="Tahoma"/>
          <w:bCs/>
          <w:szCs w:val="18"/>
        </w:rPr>
        <w:t xml:space="preserve">Architect collaborerà con la Società </w:t>
      </w:r>
      <w:r w:rsidRPr="00A75DF9">
        <w:rPr>
          <w:rFonts w:cs="Tahoma"/>
          <w:bCs/>
          <w:color w:val="000000"/>
          <w:szCs w:val="18"/>
        </w:rPr>
        <w:t xml:space="preserve">allo sviluppo di un piano </w:t>
      </w:r>
      <w:r w:rsidRPr="00A75DF9">
        <w:rPr>
          <w:rFonts w:cs="Tahoma"/>
          <w:color w:val="000000"/>
          <w:szCs w:val="18"/>
        </w:rPr>
        <w:t>che consenta a quest</w:t>
      </w:r>
      <w:r w:rsidR="00F2643E">
        <w:rPr>
          <w:rFonts w:cs="Tahoma"/>
          <w:color w:val="000000"/>
          <w:szCs w:val="18"/>
        </w:rPr>
        <w:t>’</w:t>
      </w:r>
      <w:r w:rsidRPr="00A75DF9">
        <w:rPr>
          <w:rFonts w:cs="Tahoma"/>
          <w:color w:val="000000"/>
          <w:szCs w:val="18"/>
        </w:rPr>
        <w:t>ultima di realizzare gli</w:t>
      </w:r>
      <w:r w:rsidR="00687970">
        <w:rPr>
          <w:rFonts w:cs="Tahoma"/>
          <w:color w:val="000000"/>
          <w:szCs w:val="18"/>
        </w:rPr>
        <w:t> </w:t>
      </w:r>
      <w:r w:rsidRPr="00A75DF9">
        <w:rPr>
          <w:rFonts w:cs="Tahoma"/>
          <w:color w:val="000000"/>
          <w:szCs w:val="18"/>
        </w:rPr>
        <w:t>obiettivi aziendali identificati per l</w:t>
      </w:r>
      <w:r w:rsidR="00F2643E">
        <w:rPr>
          <w:rFonts w:cs="Tahoma"/>
          <w:color w:val="000000"/>
          <w:szCs w:val="18"/>
        </w:rPr>
        <w:t>’</w:t>
      </w:r>
      <w:r w:rsidRPr="00A75DF9">
        <w:rPr>
          <w:rFonts w:cs="Tahoma"/>
          <w:color w:val="000000"/>
          <w:szCs w:val="18"/>
        </w:rPr>
        <w:t>iniziativa o le iniziative selezionate e di passare allo stato IT definito, riducendo al contempo le interruzioni relative alla distribuzione e alle operazioni e massimizzando il ROI.</w:t>
      </w:r>
    </w:p>
    <w:p w:rsidR="00CA52FE" w:rsidRPr="00A75DF9" w:rsidRDefault="00CA52FE" w:rsidP="00CA52FE">
      <w:pPr>
        <w:rPr>
          <w:rFonts w:cs="Tahoma"/>
        </w:rPr>
      </w:pPr>
    </w:p>
    <w:p w:rsidR="00DD7F8E" w:rsidRPr="00A75DF9" w:rsidRDefault="00415DDA" w:rsidP="00E77F1E">
      <w:pPr>
        <w:spacing w:after="60"/>
        <w:rPr>
          <w:rFonts w:cs="Tahoma"/>
        </w:rPr>
      </w:pPr>
      <w:r w:rsidRPr="00A75DF9">
        <w:rPr>
          <w:rFonts w:cs="Tahoma"/>
          <w:b/>
          <w:color w:val="000000"/>
          <w:szCs w:val="18"/>
        </w:rPr>
        <w:t>I Progetti Enterprise Strategy includono:</w:t>
      </w:r>
    </w:p>
    <w:p w:rsidR="00DD7F8E" w:rsidRPr="00A75DF9" w:rsidRDefault="00DD7F8E" w:rsidP="00346F4B">
      <w:pPr>
        <w:numPr>
          <w:ilvl w:val="0"/>
          <w:numId w:val="77"/>
        </w:numPr>
        <w:spacing w:after="60"/>
        <w:ind w:left="1440"/>
        <w:rPr>
          <w:rFonts w:cs="Tahoma"/>
        </w:rPr>
      </w:pPr>
      <w:r w:rsidRPr="00A75DF9">
        <w:rPr>
          <w:rFonts w:eastAsia="Times New Roman" w:cs="Tahoma"/>
          <w:szCs w:val="20"/>
        </w:rPr>
        <w:t xml:space="preserve">Documentazione e allineamento di tecnologie Microsoft a obiettivi aziendali fondamentali. </w:t>
      </w:r>
    </w:p>
    <w:p w:rsidR="00DD7F8E" w:rsidRPr="00A75DF9" w:rsidRDefault="00DD7F8E" w:rsidP="00346F4B">
      <w:pPr>
        <w:numPr>
          <w:ilvl w:val="0"/>
          <w:numId w:val="77"/>
        </w:numPr>
        <w:tabs>
          <w:tab w:val="left" w:pos="1080"/>
        </w:tabs>
        <w:spacing w:after="60"/>
        <w:ind w:left="1440"/>
        <w:rPr>
          <w:rFonts w:cs="Tahoma"/>
        </w:rPr>
      </w:pPr>
      <w:r w:rsidRPr="00A75DF9">
        <w:rPr>
          <w:rFonts w:eastAsia="Times New Roman" w:cs="Tahoma"/>
          <w:szCs w:val="20"/>
        </w:rPr>
        <w:t>Sviluppo di un business case per l</w:t>
      </w:r>
      <w:r w:rsidR="00F2643E">
        <w:rPr>
          <w:rFonts w:eastAsia="Times New Roman" w:cs="Tahoma"/>
          <w:szCs w:val="20"/>
        </w:rPr>
        <w:t>’</w:t>
      </w:r>
      <w:r w:rsidRPr="00A75DF9">
        <w:rPr>
          <w:rFonts w:eastAsia="Times New Roman" w:cs="Tahoma"/>
          <w:szCs w:val="20"/>
        </w:rPr>
        <w:t>identificazione dei vantaggi e dei costi potenziali relativi a ogni unità aziendale o funzionale interessata dal progetto.</w:t>
      </w:r>
    </w:p>
    <w:p w:rsidR="00DD7F8E" w:rsidRPr="00A75DF9" w:rsidRDefault="00DD7F8E" w:rsidP="00346F4B">
      <w:pPr>
        <w:numPr>
          <w:ilvl w:val="0"/>
          <w:numId w:val="77"/>
        </w:numPr>
        <w:tabs>
          <w:tab w:val="left" w:pos="1080"/>
        </w:tabs>
        <w:spacing w:after="60"/>
        <w:ind w:left="1440"/>
        <w:rPr>
          <w:rFonts w:cs="Tahoma"/>
        </w:rPr>
      </w:pPr>
      <w:r w:rsidRPr="00A75DF9">
        <w:rPr>
          <w:rFonts w:eastAsia="Times New Roman" w:cs="Tahoma"/>
          <w:szCs w:val="20"/>
        </w:rPr>
        <w:t>Creazione di un Documento di Definizione dell</w:t>
      </w:r>
      <w:r w:rsidR="00F2643E">
        <w:rPr>
          <w:rFonts w:eastAsia="Times New Roman" w:cs="Tahoma"/>
          <w:szCs w:val="20"/>
        </w:rPr>
        <w:t>’</w:t>
      </w:r>
      <w:r w:rsidRPr="00A75DF9">
        <w:rPr>
          <w:rFonts w:eastAsia="Times New Roman" w:cs="Tahoma"/>
          <w:szCs w:val="20"/>
        </w:rPr>
        <w:t>Architettura nel quale vengono descritti i requisiti delle specifiche e l</w:t>
      </w:r>
      <w:r w:rsidR="00F2643E">
        <w:rPr>
          <w:rFonts w:eastAsia="Times New Roman" w:cs="Tahoma"/>
          <w:szCs w:val="20"/>
        </w:rPr>
        <w:t>’</w:t>
      </w:r>
      <w:r w:rsidRPr="00A75DF9">
        <w:rPr>
          <w:rFonts w:eastAsia="Times New Roman" w:cs="Tahoma"/>
          <w:szCs w:val="20"/>
        </w:rPr>
        <w:t>architettura funzionale delle applicazioni e della tecnologia a supporto della consulenza fornita.</w:t>
      </w:r>
    </w:p>
    <w:p w:rsidR="00DD7F8E" w:rsidRPr="00A75DF9" w:rsidRDefault="00DD7F8E" w:rsidP="00346F4B">
      <w:pPr>
        <w:numPr>
          <w:ilvl w:val="0"/>
          <w:numId w:val="77"/>
        </w:numPr>
        <w:tabs>
          <w:tab w:val="left" w:pos="1080"/>
        </w:tabs>
        <w:spacing w:after="60"/>
        <w:ind w:left="1440"/>
        <w:rPr>
          <w:rFonts w:cs="Tahoma"/>
        </w:rPr>
      </w:pPr>
      <w:r w:rsidRPr="00A75DF9">
        <w:rPr>
          <w:rFonts w:eastAsia="Times New Roman" w:cs="Tahoma"/>
          <w:szCs w:val="20"/>
        </w:rPr>
        <w:t>Creazione di un Piano di Misurazione nel quale viene descritta la metrica utilizzata per la misurazione dei progressi conseguiti a fronte della responsabilità, della tempistica e degli obiettivi aziendali proposti.</w:t>
      </w:r>
    </w:p>
    <w:p w:rsidR="00DD7F8E" w:rsidRPr="00A75DF9" w:rsidRDefault="00DD7F8E" w:rsidP="00346F4B">
      <w:pPr>
        <w:numPr>
          <w:ilvl w:val="0"/>
          <w:numId w:val="77"/>
        </w:numPr>
        <w:spacing w:after="60"/>
        <w:ind w:left="1440"/>
        <w:rPr>
          <w:rFonts w:cs="Tahoma"/>
        </w:rPr>
      </w:pPr>
      <w:r w:rsidRPr="00A75DF9">
        <w:rPr>
          <w:rFonts w:eastAsia="Times New Roman" w:cs="Tahoma"/>
          <w:szCs w:val="20"/>
        </w:rPr>
        <w:lastRenderedPageBreak/>
        <w:t>Personalizzazione, in base all</w:t>
      </w:r>
      <w:r w:rsidR="00F2643E">
        <w:rPr>
          <w:rFonts w:eastAsia="Times New Roman" w:cs="Tahoma"/>
          <w:szCs w:val="20"/>
        </w:rPr>
        <w:t>’</w:t>
      </w:r>
      <w:r w:rsidRPr="00A75DF9">
        <w:rPr>
          <w:rFonts w:eastAsia="Times New Roman" w:cs="Tahoma"/>
          <w:szCs w:val="20"/>
        </w:rPr>
        <w:t>ambiente della Società, delle Procedure Consigliate Microsoft relativamente a supervisione/direzione, adozione e misurazione.</w:t>
      </w:r>
    </w:p>
    <w:p w:rsidR="00DD7F8E" w:rsidRPr="00A75DF9" w:rsidRDefault="00DD7F8E" w:rsidP="00346F4B">
      <w:pPr>
        <w:numPr>
          <w:ilvl w:val="0"/>
          <w:numId w:val="77"/>
        </w:numPr>
        <w:spacing w:after="60"/>
        <w:ind w:left="1440"/>
        <w:rPr>
          <w:rFonts w:cs="Tahoma"/>
        </w:rPr>
      </w:pPr>
      <w:r w:rsidRPr="00A75DF9">
        <w:rPr>
          <w:rFonts w:eastAsia="Times New Roman" w:cs="Tahoma"/>
          <w:szCs w:val="20"/>
        </w:rPr>
        <w:t>Collaborazione con il team esecutivo della Società per la definizione della governance del programma</w:t>
      </w:r>
      <w:r w:rsidRPr="00A75DF9">
        <w:rPr>
          <w:rFonts w:eastAsia="Arial" w:cs="Tahoma"/>
          <w:szCs w:val="18"/>
        </w:rPr>
        <w:t>.</w:t>
      </w:r>
    </w:p>
    <w:p w:rsidR="00415DDA" w:rsidRPr="00687970" w:rsidDel="00954C6A" w:rsidRDefault="00415DDA" w:rsidP="00346F4B">
      <w:pPr>
        <w:numPr>
          <w:ilvl w:val="0"/>
          <w:numId w:val="77"/>
        </w:numPr>
        <w:ind w:left="1440"/>
        <w:rPr>
          <w:rFonts w:cs="Tahoma"/>
          <w:spacing w:val="-1"/>
        </w:rPr>
      </w:pPr>
      <w:r w:rsidRPr="00687970">
        <w:rPr>
          <w:rFonts w:eastAsia="Times New Roman" w:cs="Tahoma"/>
          <w:spacing w:val="-1"/>
          <w:szCs w:val="20"/>
        </w:rPr>
        <w:t>Esame periodico dei progressi conseguiti dalla Società rispetto alla scorecard degli obiettivi aziendali.</w:t>
      </w:r>
    </w:p>
    <w:p w:rsidR="00CA52FE" w:rsidRPr="00A75DF9" w:rsidRDefault="00CA52FE" w:rsidP="00E77F1E">
      <w:pPr>
        <w:rPr>
          <w:rFonts w:cs="Tahoma"/>
        </w:rPr>
      </w:pPr>
    </w:p>
    <w:p w:rsidR="00DD7F8E" w:rsidRPr="00A75DF9" w:rsidRDefault="00DD7F8E" w:rsidP="00DD7F8E">
      <w:pPr>
        <w:rPr>
          <w:rFonts w:cs="Tahoma"/>
        </w:rPr>
      </w:pPr>
      <w:r w:rsidRPr="00A75DF9">
        <w:rPr>
          <w:rFonts w:eastAsia="Arial" w:cs="Tahoma"/>
          <w:b/>
          <w:sz w:val="24"/>
          <w:szCs w:val="18"/>
        </w:rPr>
        <w:t>Vantaggi del Programma</w:t>
      </w:r>
    </w:p>
    <w:p w:rsidR="00DD7F8E" w:rsidRPr="00A75DF9" w:rsidRDefault="00DD7F8E" w:rsidP="00DD7F8E">
      <w:pPr>
        <w:rPr>
          <w:rFonts w:cs="Tahoma"/>
        </w:rPr>
      </w:pPr>
    </w:p>
    <w:p w:rsidR="00DD7F8E" w:rsidRPr="00A75DF9" w:rsidRDefault="00DD7F8E" w:rsidP="00DD7F8E">
      <w:pPr>
        <w:rPr>
          <w:rFonts w:cs="Tahoma"/>
        </w:rPr>
      </w:pPr>
      <w:r w:rsidRPr="00A75DF9">
        <w:rPr>
          <w:rFonts w:eastAsia="Arial" w:cs="Tahoma"/>
          <w:szCs w:val="18"/>
        </w:rPr>
        <w:t xml:space="preserve">La partecipazione al programma consente di usufruire dei vantaggi seguenti: </w:t>
      </w:r>
    </w:p>
    <w:p w:rsidR="00DD7F8E" w:rsidRPr="00A75DF9" w:rsidRDefault="00DD7F8E" w:rsidP="00DD7F8E">
      <w:pPr>
        <w:spacing w:after="60"/>
        <w:rPr>
          <w:rFonts w:cs="Tahoma"/>
        </w:rPr>
      </w:pPr>
    </w:p>
    <w:p w:rsidR="00E77F1E" w:rsidRPr="00A75DF9" w:rsidRDefault="00E77F1E" w:rsidP="00E77F1E">
      <w:pPr>
        <w:spacing w:after="60"/>
        <w:rPr>
          <w:rFonts w:cs="Tahoma"/>
        </w:rPr>
      </w:pPr>
      <w:r w:rsidRPr="00A75DF9">
        <w:rPr>
          <w:rFonts w:cs="Tahoma"/>
          <w:b/>
          <w:szCs w:val="18"/>
        </w:rPr>
        <w:t>Enterprise Strategy Network</w:t>
      </w:r>
    </w:p>
    <w:p w:rsidR="00C151FB" w:rsidRPr="00A75DF9" w:rsidRDefault="00C151FB" w:rsidP="00C151FB">
      <w:pPr>
        <w:rPr>
          <w:rFonts w:cs="Tahoma"/>
        </w:rPr>
      </w:pPr>
      <w:r w:rsidRPr="00A75DF9">
        <w:rPr>
          <w:rFonts w:cs="Tahoma"/>
          <w:szCs w:val="18"/>
        </w:rPr>
        <w:t>Il Programma Enterprise Strategy include una connessione integrale ai team di ricerca e sviluppo di Microsoft e agli esperti con competenze specifiche dei reparti dei servizi Microsoft. Gli Enterprise Architect utilizzano tali esperti per fornire alle Società procedure appropriate, indicazioni specifiche su determinate tecnologie di Microsoft e architetture di riferimento. Le procedure consigliate e il materiale e gli strumenti associati sono inclusi nella Microsoft Enterprise Strategy Library al fine di accelerare l</w:t>
      </w:r>
      <w:r w:rsidR="00F2643E">
        <w:rPr>
          <w:rFonts w:cs="Tahoma"/>
          <w:szCs w:val="18"/>
        </w:rPr>
        <w:t>’</w:t>
      </w:r>
      <w:r w:rsidRPr="00A75DF9">
        <w:rPr>
          <w:rFonts w:cs="Tahoma"/>
          <w:szCs w:val="18"/>
        </w:rPr>
        <w:t>erogazione degli engagement ESP per le società.</w:t>
      </w:r>
    </w:p>
    <w:p w:rsidR="001C1727" w:rsidRPr="00A75DF9" w:rsidRDefault="001C1727">
      <w:pPr>
        <w:rPr>
          <w:rFonts w:cs="Tahoma"/>
        </w:rPr>
      </w:pPr>
    </w:p>
    <w:p w:rsidR="00E77F1E" w:rsidRPr="00A75DF9" w:rsidRDefault="00C151FB" w:rsidP="00E77F1E">
      <w:pPr>
        <w:spacing w:after="60"/>
        <w:rPr>
          <w:rFonts w:cs="Tahoma"/>
        </w:rPr>
      </w:pPr>
      <w:r w:rsidRPr="00A75DF9">
        <w:rPr>
          <w:rFonts w:cs="Tahoma"/>
          <w:b/>
          <w:szCs w:val="18"/>
        </w:rPr>
        <w:t>Enterprise Strategy Library</w:t>
      </w:r>
    </w:p>
    <w:p w:rsidR="00C151FB" w:rsidRPr="00A75DF9" w:rsidRDefault="00C151FB" w:rsidP="00E77F1E">
      <w:pPr>
        <w:rPr>
          <w:rFonts w:cs="Tahoma"/>
        </w:rPr>
      </w:pPr>
      <w:r w:rsidRPr="00A75DF9">
        <w:rPr>
          <w:rFonts w:cs="Tahoma"/>
          <w:szCs w:val="18"/>
        </w:rPr>
        <w:t xml:space="preserve">Il Programma Enterprise Strategy include </w:t>
      </w:r>
      <w:r w:rsidRPr="00A75DF9">
        <w:rPr>
          <w:rFonts w:eastAsia="Arial" w:cs="Tahoma"/>
          <w:szCs w:val="18"/>
        </w:rPr>
        <w:t>un</w:t>
      </w:r>
      <w:r w:rsidR="00F2643E">
        <w:rPr>
          <w:rFonts w:eastAsia="Arial" w:cs="Tahoma"/>
          <w:szCs w:val="18"/>
        </w:rPr>
        <w:t>’</w:t>
      </w:r>
      <w:r w:rsidRPr="00A75DF9">
        <w:rPr>
          <w:rFonts w:eastAsia="Arial" w:cs="Tahoma"/>
          <w:szCs w:val="18"/>
        </w:rPr>
        <w:t>ampia raccolta di materiale, inclusi gli strumenti per gli approfondimenti del settore e le prove comparative e i modelli e i metodi di riferimento di Enterprise Architecture e Technology Architecture. A seconda delle esigenze della Società, l</w:t>
      </w:r>
      <w:r w:rsidR="00F2643E">
        <w:rPr>
          <w:rFonts w:eastAsia="Arial" w:cs="Tahoma"/>
          <w:szCs w:val="18"/>
        </w:rPr>
        <w:t>’</w:t>
      </w:r>
      <w:r w:rsidRPr="00A75DF9">
        <w:rPr>
          <w:rFonts w:eastAsia="Arial" w:cs="Tahoma"/>
          <w:szCs w:val="18"/>
        </w:rPr>
        <w:t>Enterprise Architect utilizza il materiale e gli strumenti appropriati.</w:t>
      </w:r>
    </w:p>
    <w:p w:rsidR="00C151FB" w:rsidRPr="00A75DF9" w:rsidRDefault="00C151FB" w:rsidP="00E77F1E">
      <w:pPr>
        <w:rPr>
          <w:rFonts w:cs="Tahoma"/>
        </w:rPr>
      </w:pPr>
    </w:p>
    <w:p w:rsidR="00E77F1E" w:rsidRPr="00A75DF9" w:rsidRDefault="00E77F1E" w:rsidP="00AF1D88">
      <w:pPr>
        <w:keepNext/>
        <w:spacing w:after="60"/>
        <w:rPr>
          <w:rFonts w:cs="Tahoma"/>
        </w:rPr>
      </w:pPr>
      <w:r w:rsidRPr="00A75DF9">
        <w:rPr>
          <w:rFonts w:cs="Tahoma"/>
          <w:b/>
          <w:szCs w:val="18"/>
        </w:rPr>
        <w:t>Workshop relativi all</w:t>
      </w:r>
      <w:r w:rsidR="00F2643E">
        <w:rPr>
          <w:rFonts w:cs="Tahoma"/>
          <w:b/>
          <w:szCs w:val="18"/>
        </w:rPr>
        <w:t>’</w:t>
      </w:r>
      <w:r w:rsidRPr="00A75DF9">
        <w:rPr>
          <w:rFonts w:cs="Tahoma"/>
          <w:b/>
          <w:szCs w:val="18"/>
        </w:rPr>
        <w:t>engagement</w:t>
      </w:r>
    </w:p>
    <w:p w:rsidR="00DD7F8E" w:rsidRPr="00A75DF9" w:rsidRDefault="00DD7F8E" w:rsidP="00E77F1E">
      <w:pPr>
        <w:rPr>
          <w:rFonts w:cs="Tahoma"/>
        </w:rPr>
      </w:pPr>
      <w:r w:rsidRPr="00A75DF9">
        <w:rPr>
          <w:rFonts w:eastAsia="Arial" w:cs="Tahoma"/>
        </w:rPr>
        <w:t>Questi workshop destinati all</w:t>
      </w:r>
      <w:r w:rsidR="00F2643E">
        <w:rPr>
          <w:rFonts w:eastAsia="Arial" w:cs="Tahoma"/>
        </w:rPr>
        <w:t>’</w:t>
      </w:r>
      <w:r w:rsidRPr="00A75DF9">
        <w:rPr>
          <w:rFonts w:eastAsia="Arial" w:cs="Tahoma"/>
        </w:rPr>
        <w:t>esecutivo della Società hanno durata giornaliera e vengono generalmente svolti negli uffici regionali di Microsoft presso la filiale locale. Sono ideati e personalizzati per i responsabili aziendali e IT della Società, in quanto consentiranno loro di comprendere la rilevanza delle tecnologie emergenti e ricevere informazioni settoriali importanti per l</w:t>
      </w:r>
      <w:r w:rsidR="00F2643E">
        <w:rPr>
          <w:rFonts w:eastAsia="Arial" w:cs="Tahoma"/>
        </w:rPr>
        <w:t>’</w:t>
      </w:r>
      <w:r w:rsidRPr="00A75DF9">
        <w:rPr>
          <w:rFonts w:eastAsia="Arial" w:cs="Tahoma"/>
        </w:rPr>
        <w:t>attività svolta.</w:t>
      </w:r>
      <w:r w:rsidR="009D3B41" w:rsidRPr="00A75DF9">
        <w:rPr>
          <w:rFonts w:eastAsia="Arial" w:cs="Tahoma"/>
        </w:rPr>
        <w:t xml:space="preserve"> </w:t>
      </w:r>
      <w:r w:rsidRPr="00A75DF9">
        <w:rPr>
          <w:rFonts w:eastAsia="Arial" w:cs="Tahoma"/>
        </w:rPr>
        <w:t>La Società è responsabile dei costi da essa stessa sostenuti relativamente alla partecipazione a tali workshop.</w:t>
      </w:r>
    </w:p>
    <w:p w:rsidR="00DD7F8E" w:rsidRPr="00A75DF9" w:rsidRDefault="00DD7F8E" w:rsidP="00E77F1E">
      <w:pPr>
        <w:rPr>
          <w:rFonts w:cs="Tahoma"/>
        </w:rPr>
      </w:pPr>
    </w:p>
    <w:p w:rsidR="00E77F1E" w:rsidRPr="00A75DF9" w:rsidRDefault="00E77F1E" w:rsidP="00E77F1E">
      <w:pPr>
        <w:spacing w:after="60"/>
        <w:rPr>
          <w:rFonts w:cs="Tahoma"/>
        </w:rPr>
      </w:pPr>
      <w:r w:rsidRPr="00A75DF9">
        <w:rPr>
          <w:rFonts w:cs="Tahoma"/>
          <w:b/>
          <w:szCs w:val="18"/>
        </w:rPr>
        <w:t>Briefing strategici</w:t>
      </w:r>
    </w:p>
    <w:p w:rsidR="00DD7F8E" w:rsidRPr="00A75DF9" w:rsidRDefault="00DD7F8E" w:rsidP="00E77F1E">
      <w:pPr>
        <w:spacing w:after="60"/>
        <w:rPr>
          <w:rFonts w:cs="Tahoma"/>
        </w:rPr>
      </w:pPr>
      <w:r w:rsidRPr="00A75DF9">
        <w:rPr>
          <w:rFonts w:eastAsia="Arial" w:cs="Tahoma"/>
        </w:rPr>
        <w:t>si tratta di conferenze Web globali della durata di un</w:t>
      </w:r>
      <w:r w:rsidR="00F2643E">
        <w:rPr>
          <w:rFonts w:eastAsia="Arial" w:cs="Tahoma"/>
        </w:rPr>
        <w:t>’</w:t>
      </w:r>
      <w:r w:rsidRPr="00A75DF9">
        <w:rPr>
          <w:rFonts w:eastAsia="Arial" w:cs="Tahoma"/>
        </w:rPr>
        <w:t>ora, destinate a responsabili aziendali e IT, riguardanti le opportunità aziendali e di settore, le tendenze tecnologiche e la prospettiva di Microsoft in merito a punti di vista strategici su problemi importanti.</w:t>
      </w:r>
      <w:r w:rsidR="009D3B41" w:rsidRPr="00A75DF9">
        <w:rPr>
          <w:rFonts w:eastAsia="Arial" w:cs="Tahoma"/>
        </w:rPr>
        <w:t xml:space="preserve"> </w:t>
      </w:r>
      <w:r w:rsidRPr="00A75DF9">
        <w:rPr>
          <w:rFonts w:eastAsia="Arial" w:cs="Tahoma"/>
        </w:rPr>
        <w:t>Le Società avranno la possibilità di vedere i Briefing Strategici registrati in precedenza.</w:t>
      </w:r>
    </w:p>
    <w:p w:rsidR="00DD7F8E" w:rsidRPr="00A75DF9" w:rsidRDefault="00DD7F8E" w:rsidP="00E77F1E">
      <w:pPr>
        <w:rPr>
          <w:rFonts w:cs="Tahoma"/>
        </w:rPr>
      </w:pPr>
    </w:p>
    <w:p w:rsidR="009B78AB" w:rsidRPr="00A75DF9" w:rsidRDefault="009B78AB" w:rsidP="009B78AB">
      <w:pPr>
        <w:spacing w:after="60"/>
        <w:rPr>
          <w:rFonts w:cs="Tahoma"/>
        </w:rPr>
      </w:pPr>
      <w:r w:rsidRPr="00A75DF9">
        <w:rPr>
          <w:rFonts w:eastAsia="Arial" w:cs="Tahoma"/>
          <w:b/>
        </w:rPr>
        <w:t>Enterprise Strategy Forum</w:t>
      </w:r>
    </w:p>
    <w:p w:rsidR="009B78AB" w:rsidRPr="00A75DF9" w:rsidRDefault="009B78AB" w:rsidP="009B78AB">
      <w:pPr>
        <w:spacing w:after="60"/>
        <w:rPr>
          <w:rFonts w:cs="Tahoma"/>
        </w:rPr>
      </w:pPr>
      <w:r w:rsidRPr="00A75DF9">
        <w:rPr>
          <w:rFonts w:eastAsia="Arial" w:cs="Tahoma"/>
        </w:rPr>
        <w:t>si tratta di una conferenza, con partecipazione esclusivamente su invito, dedicata ai Chief Architect e ai rispettivi dirigenti, fruibile esclusivamente dalle Società partecipanti al Programma Enterprise Strategy di tutto il mondo. Offrirà ai Chief Architect un</w:t>
      </w:r>
      <w:r w:rsidR="00F2643E">
        <w:rPr>
          <w:rFonts w:eastAsia="Arial" w:cs="Tahoma"/>
        </w:rPr>
        <w:t>’</w:t>
      </w:r>
      <w:r w:rsidRPr="00A75DF9">
        <w:rPr>
          <w:rFonts w:eastAsia="Arial" w:cs="Tahoma"/>
        </w:rPr>
        <w:t>opportunità di scambio con colleghi e dirigenti Microsoft. Durante il forum verranno discussi alcuni dei problemi delle grandi Società nonché le varie modalità di risoluzione degli stessi.</w:t>
      </w:r>
      <w:r w:rsidR="009D3B41" w:rsidRPr="00A75DF9">
        <w:rPr>
          <w:rFonts w:eastAsia="Arial" w:cs="Tahoma"/>
        </w:rPr>
        <w:t xml:space="preserve"> </w:t>
      </w:r>
      <w:r w:rsidRPr="00A75DF9">
        <w:rPr>
          <w:rFonts w:eastAsia="Arial" w:cs="Tahoma"/>
        </w:rPr>
        <w:t>La Società è responsabile dei costi da essa stessa sostenuti relativamente alla partecipazione a tali forum.</w:t>
      </w:r>
      <w:r w:rsidRPr="00A75DF9">
        <w:rPr>
          <w:rFonts w:cs="Tahoma"/>
          <w:sz w:val="22"/>
        </w:rPr>
        <w:t xml:space="preserve"> </w:t>
      </w:r>
    </w:p>
    <w:p w:rsidR="00C151FB" w:rsidRPr="00A75DF9" w:rsidRDefault="00C151FB" w:rsidP="00E77F1E">
      <w:pPr>
        <w:rPr>
          <w:rFonts w:cs="Tahoma"/>
        </w:rPr>
      </w:pPr>
    </w:p>
    <w:p w:rsidR="00E77F1E" w:rsidRPr="00A75DF9" w:rsidRDefault="00C151FB" w:rsidP="00E77F1E">
      <w:pPr>
        <w:spacing w:after="60"/>
        <w:rPr>
          <w:rFonts w:cs="Tahoma"/>
        </w:rPr>
      </w:pPr>
      <w:r w:rsidRPr="00A75DF9">
        <w:rPr>
          <w:rFonts w:cs="Tahoma"/>
          <w:b/>
          <w:bCs/>
          <w:color w:val="000000"/>
          <w:szCs w:val="18"/>
        </w:rPr>
        <w:t>Componente Aggiuntivo Enterprise Strategy Capacity</w:t>
      </w:r>
    </w:p>
    <w:p w:rsidR="00C151FB" w:rsidRPr="00A75DF9" w:rsidRDefault="00C151FB" w:rsidP="00E77F1E">
      <w:pPr>
        <w:rPr>
          <w:rFonts w:cs="Tahoma"/>
        </w:rPr>
      </w:pPr>
      <w:r w:rsidRPr="00A75DF9">
        <w:rPr>
          <w:rFonts w:cs="Tahoma"/>
          <w:color w:val="000000"/>
          <w:szCs w:val="18"/>
        </w:rPr>
        <w:t>La Società può acquistare blocchi di 200 ore di risorse di consulenza di Microsoft Enterprise Service per migliorare la capacità di erogazione dei Progetti Enterprise Strategy oppure per colmare le lacune tra i programmi. Il Componente Aggiuntivo Enterprise Strategy Capacity è disponibile per le Società che hanno acquistato l</w:t>
      </w:r>
      <w:r w:rsidR="00F2643E">
        <w:rPr>
          <w:rFonts w:cs="Tahoma"/>
          <w:color w:val="000000"/>
          <w:szCs w:val="18"/>
        </w:rPr>
        <w:t>’</w:t>
      </w:r>
      <w:r w:rsidRPr="00A75DF9">
        <w:rPr>
          <w:rFonts w:cs="Tahoma"/>
          <w:color w:val="000000"/>
          <w:szCs w:val="18"/>
        </w:rPr>
        <w:t>offerta Enterprise Strategy Connect, Enterprise Strategy Foundation o Enterprise Strategy Portfolio tramite i contratti multilicenza o di Servizi standard di Microsoft.</w:t>
      </w:r>
    </w:p>
    <w:p w:rsidR="00DD7F8E" w:rsidRPr="00A75DF9" w:rsidRDefault="00DD7F8E" w:rsidP="00E77F1E">
      <w:pPr>
        <w:rPr>
          <w:rFonts w:cs="Tahoma"/>
        </w:rPr>
      </w:pPr>
    </w:p>
    <w:bookmarkEnd w:id="924"/>
    <w:bookmarkEnd w:id="925"/>
    <w:p w:rsidR="00DD7F8E" w:rsidRPr="00A75DF9" w:rsidRDefault="00DD7F8E" w:rsidP="00DD7F8E">
      <w:pPr>
        <w:rPr>
          <w:rFonts w:cs="Tahoma"/>
        </w:rPr>
      </w:pPr>
      <w:r w:rsidRPr="00A75DF9">
        <w:rPr>
          <w:rFonts w:cs="Tahoma"/>
          <w:b/>
          <w:sz w:val="24"/>
          <w:szCs w:val="18"/>
        </w:rPr>
        <w:t>Servizi non Inclusi nell</w:t>
      </w:r>
      <w:r w:rsidR="00F2643E">
        <w:rPr>
          <w:rFonts w:cs="Tahoma"/>
          <w:b/>
          <w:sz w:val="24"/>
          <w:szCs w:val="18"/>
        </w:rPr>
        <w:t>’</w:t>
      </w:r>
      <w:r w:rsidRPr="00A75DF9">
        <w:rPr>
          <w:rFonts w:cs="Tahoma"/>
          <w:b/>
          <w:sz w:val="24"/>
          <w:szCs w:val="18"/>
        </w:rPr>
        <w:t>Ambito del Programma</w:t>
      </w:r>
      <w:r w:rsidR="009D3B41" w:rsidRPr="00A75DF9">
        <w:rPr>
          <w:rFonts w:cs="Tahoma"/>
          <w:sz w:val="20"/>
          <w:szCs w:val="18"/>
        </w:rPr>
        <w:t xml:space="preserve"> </w:t>
      </w:r>
    </w:p>
    <w:p w:rsidR="00DD7F8E" w:rsidRPr="00A75DF9" w:rsidRDefault="00DD7F8E" w:rsidP="00E77F1E">
      <w:pPr>
        <w:rPr>
          <w:rFonts w:cs="Tahoma"/>
        </w:rPr>
      </w:pPr>
    </w:p>
    <w:p w:rsidR="00DD7F8E" w:rsidRPr="00A75DF9" w:rsidRDefault="00DD7F8E" w:rsidP="00AA3B53">
      <w:pPr>
        <w:rPr>
          <w:rFonts w:cs="Tahoma"/>
        </w:rPr>
      </w:pPr>
      <w:r w:rsidRPr="00A75DF9">
        <w:rPr>
          <w:rFonts w:cs="Tahoma"/>
          <w:szCs w:val="18"/>
        </w:rPr>
        <w:t>Il Programma Enterprise Strategy include esclusivamente consulenza e assistenza relative all</w:t>
      </w:r>
      <w:r w:rsidR="00F2643E">
        <w:rPr>
          <w:rFonts w:cs="Tahoma"/>
          <w:szCs w:val="18"/>
        </w:rPr>
        <w:t>’</w:t>
      </w:r>
      <w:r w:rsidRPr="00A75DF9">
        <w:rPr>
          <w:rFonts w:cs="Tahoma"/>
          <w:szCs w:val="18"/>
        </w:rPr>
        <w:t>adozione di tecnologie Microsoft da parte della Società.</w:t>
      </w:r>
      <w:r w:rsidR="009D3B41" w:rsidRPr="00A75DF9">
        <w:rPr>
          <w:rFonts w:cs="Tahoma"/>
          <w:szCs w:val="18"/>
        </w:rPr>
        <w:t xml:space="preserve"> </w:t>
      </w:r>
      <w:r w:rsidRPr="00A75DF9">
        <w:rPr>
          <w:rFonts w:eastAsia="Arial" w:cs="Tahoma"/>
          <w:bCs/>
          <w:sz w:val="19"/>
          <w:szCs w:val="19"/>
        </w:rPr>
        <w:t>Spetta solamente alla Società scegliere se seguire o ignorare la consulenza, l</w:t>
      </w:r>
      <w:r w:rsidR="00F2643E">
        <w:rPr>
          <w:rFonts w:eastAsia="Arial" w:cs="Tahoma"/>
          <w:bCs/>
          <w:sz w:val="19"/>
          <w:szCs w:val="19"/>
        </w:rPr>
        <w:t>’</w:t>
      </w:r>
      <w:r w:rsidRPr="00A75DF9">
        <w:rPr>
          <w:rFonts w:eastAsia="Arial" w:cs="Tahoma"/>
          <w:bCs/>
          <w:sz w:val="19"/>
          <w:szCs w:val="19"/>
        </w:rPr>
        <w:t>assistenza e i consigli di Microsoft.</w:t>
      </w:r>
      <w:r w:rsidR="009D3B41" w:rsidRPr="00A75DF9">
        <w:rPr>
          <w:rFonts w:eastAsia="Arial" w:cs="Tahoma"/>
          <w:bCs/>
          <w:sz w:val="19"/>
          <w:szCs w:val="19"/>
        </w:rPr>
        <w:t xml:space="preserve"> </w:t>
      </w:r>
      <w:r w:rsidRPr="00A75DF9">
        <w:rPr>
          <w:rFonts w:eastAsia="Arial" w:cs="Tahoma"/>
          <w:bCs/>
          <w:sz w:val="19"/>
          <w:szCs w:val="19"/>
        </w:rPr>
        <w:t xml:space="preserve">Microsoft non rilascia alcuna dichiarazione, garanzia o condizione </w:t>
      </w:r>
      <w:r w:rsidRPr="00A75DF9">
        <w:rPr>
          <w:rFonts w:eastAsia="Arial" w:cs="Tahoma"/>
          <w:bCs/>
          <w:sz w:val="19"/>
          <w:szCs w:val="19"/>
        </w:rPr>
        <w:lastRenderedPageBreak/>
        <w:t>relativamente ai risultati ottenibili dalla Società in seguito all</w:t>
      </w:r>
      <w:r w:rsidR="00F2643E">
        <w:rPr>
          <w:rFonts w:eastAsia="Arial" w:cs="Tahoma"/>
          <w:bCs/>
          <w:sz w:val="19"/>
          <w:szCs w:val="19"/>
        </w:rPr>
        <w:t>’</w:t>
      </w:r>
      <w:r w:rsidRPr="00A75DF9">
        <w:rPr>
          <w:rFonts w:eastAsia="Arial" w:cs="Tahoma"/>
          <w:bCs/>
          <w:sz w:val="19"/>
          <w:szCs w:val="19"/>
        </w:rPr>
        <w:t>applicazione della consulenza, dell</w:t>
      </w:r>
      <w:r w:rsidR="00F2643E">
        <w:rPr>
          <w:rFonts w:eastAsia="Arial" w:cs="Tahoma"/>
          <w:bCs/>
          <w:sz w:val="19"/>
          <w:szCs w:val="19"/>
        </w:rPr>
        <w:t>’</w:t>
      </w:r>
      <w:r w:rsidRPr="00A75DF9">
        <w:rPr>
          <w:rFonts w:eastAsia="Arial" w:cs="Tahoma"/>
          <w:bCs/>
          <w:sz w:val="19"/>
          <w:szCs w:val="19"/>
        </w:rPr>
        <w:t>assistenza e dei</w:t>
      </w:r>
      <w:r w:rsidR="00AA3B53">
        <w:rPr>
          <w:rFonts w:eastAsia="Arial" w:cs="Tahoma"/>
          <w:bCs/>
          <w:sz w:val="19"/>
          <w:szCs w:val="19"/>
        </w:rPr>
        <w:t> </w:t>
      </w:r>
      <w:r w:rsidRPr="00A75DF9">
        <w:rPr>
          <w:rFonts w:eastAsia="Arial" w:cs="Tahoma"/>
          <w:bCs/>
          <w:sz w:val="19"/>
          <w:szCs w:val="19"/>
        </w:rPr>
        <w:t>consigli forniti da Microsoft stessa e riportati di seguito.</w:t>
      </w:r>
      <w:r w:rsidR="009D3B41" w:rsidRPr="00A75DF9">
        <w:rPr>
          <w:rFonts w:eastAsia="Arial" w:cs="Tahoma"/>
          <w:bCs/>
          <w:sz w:val="19"/>
          <w:szCs w:val="19"/>
        </w:rPr>
        <w:t xml:space="preserve"> </w:t>
      </w:r>
      <w:r w:rsidRPr="00A75DF9">
        <w:rPr>
          <w:rFonts w:cs="Tahoma"/>
          <w:szCs w:val="18"/>
        </w:rPr>
        <w:t>Le licenze per i prodotti non sono incluse.</w:t>
      </w:r>
      <w:r w:rsidR="009D3B41" w:rsidRPr="00A75DF9">
        <w:rPr>
          <w:rFonts w:cs="Tahoma"/>
          <w:szCs w:val="18"/>
        </w:rPr>
        <w:t xml:space="preserve"> </w:t>
      </w:r>
      <w:r w:rsidRPr="00A75DF9">
        <w:rPr>
          <w:rFonts w:cs="Tahoma"/>
          <w:szCs w:val="18"/>
        </w:rPr>
        <w:t>I Servizi dell</w:t>
      </w:r>
      <w:r w:rsidR="00F2643E">
        <w:rPr>
          <w:rFonts w:cs="Tahoma"/>
          <w:szCs w:val="18"/>
        </w:rPr>
        <w:t>’</w:t>
      </w:r>
      <w:r w:rsidRPr="00A75DF9">
        <w:rPr>
          <w:rFonts w:cs="Tahoma"/>
          <w:szCs w:val="18"/>
        </w:rPr>
        <w:t>Enterprise Architect, inoltre, non includono la distribuzione dei prodotti, la risoluzione dei problemi, l</w:t>
      </w:r>
      <w:r w:rsidR="00F2643E">
        <w:rPr>
          <w:rFonts w:cs="Tahoma"/>
          <w:szCs w:val="18"/>
        </w:rPr>
        <w:t>’</w:t>
      </w:r>
      <w:r w:rsidRPr="00A75DF9">
        <w:rPr>
          <w:rFonts w:cs="Tahoma"/>
          <w:szCs w:val="18"/>
        </w:rPr>
        <w:t>assistenza in</w:t>
      </w:r>
      <w:r w:rsidR="00AA3B53">
        <w:rPr>
          <w:rFonts w:cs="Tahoma"/>
          <w:szCs w:val="18"/>
        </w:rPr>
        <w:t> </w:t>
      </w:r>
      <w:r w:rsidRPr="00A75DF9">
        <w:rPr>
          <w:rFonts w:cs="Tahoma"/>
          <w:szCs w:val="18"/>
        </w:rPr>
        <w:t>aranzia, l</w:t>
      </w:r>
      <w:r w:rsidR="00F2643E">
        <w:rPr>
          <w:rFonts w:cs="Tahoma"/>
          <w:szCs w:val="18"/>
        </w:rPr>
        <w:t>’</w:t>
      </w:r>
      <w:r w:rsidRPr="00A75DF9">
        <w:rPr>
          <w:rFonts w:cs="Tahoma"/>
          <w:szCs w:val="18"/>
        </w:rPr>
        <w:t>analisi di codice sorgente non Microsoft né la consulenza tecnica o architetturale che non rientri nella risultati finali di cui sopra. Nel caso di codice sorgente non Microsoft, i Servizi di Microsoft saranno limitati solo all</w:t>
      </w:r>
      <w:r w:rsidR="00F2643E">
        <w:rPr>
          <w:rFonts w:cs="Tahoma"/>
          <w:szCs w:val="18"/>
        </w:rPr>
        <w:t>’</w:t>
      </w:r>
      <w:r w:rsidRPr="00A75DF9">
        <w:rPr>
          <w:rFonts w:cs="Tahoma"/>
          <w:szCs w:val="18"/>
        </w:rPr>
        <w:t>analisi dei dati binari, ad esempio un dump di processo o una traccia di Network Monitor.</w:t>
      </w:r>
    </w:p>
    <w:p w:rsidR="00DD7F8E" w:rsidRPr="00A75DF9" w:rsidRDefault="00DD7F8E" w:rsidP="00E77F1E">
      <w:pPr>
        <w:rPr>
          <w:rFonts w:cs="Tahoma"/>
        </w:rPr>
      </w:pPr>
    </w:p>
    <w:p w:rsidR="00DD7F8E" w:rsidRPr="00AA3B53" w:rsidRDefault="00DD7F8E" w:rsidP="00DD7F8E">
      <w:pPr>
        <w:rPr>
          <w:rFonts w:cs="Tahoma"/>
          <w:sz w:val="24"/>
          <w:szCs w:val="24"/>
        </w:rPr>
      </w:pPr>
      <w:r w:rsidRPr="00AA3B53">
        <w:rPr>
          <w:rFonts w:cs="Tahoma"/>
          <w:b/>
          <w:sz w:val="24"/>
          <w:szCs w:val="24"/>
        </w:rPr>
        <w:t>Responsabilità della Società</w:t>
      </w:r>
      <w:r w:rsidR="009D3B41" w:rsidRPr="00AA3B53">
        <w:rPr>
          <w:rFonts w:cs="Tahoma"/>
          <w:sz w:val="24"/>
          <w:szCs w:val="24"/>
        </w:rPr>
        <w:t xml:space="preserve"> </w:t>
      </w:r>
    </w:p>
    <w:p w:rsidR="00DD7F8E" w:rsidRPr="00A75DF9" w:rsidRDefault="00DD7F8E" w:rsidP="00DD7F8E">
      <w:pPr>
        <w:rPr>
          <w:rFonts w:cs="Tahoma"/>
        </w:rPr>
      </w:pPr>
    </w:p>
    <w:p w:rsidR="00DD7F8E" w:rsidRPr="00A75DF9" w:rsidRDefault="00DD7F8E" w:rsidP="00DD7F8E">
      <w:pPr>
        <w:rPr>
          <w:rFonts w:cs="Tahoma"/>
        </w:rPr>
      </w:pPr>
      <w:r w:rsidRPr="00A75DF9">
        <w:rPr>
          <w:rFonts w:cs="Tahoma"/>
          <w:szCs w:val="18"/>
        </w:rPr>
        <w:t>Il successo del Programma Enterprise Strategy e le prestazioni di Microsoft relativamente alle proprie obbligazioni dipendono dal coinvolgimento della Società nel programma, inclusi, a titolo esemplificativo:</w:t>
      </w:r>
    </w:p>
    <w:p w:rsidR="00DD7F8E" w:rsidRPr="00A75DF9" w:rsidRDefault="00DD7F8E" w:rsidP="00DD7F8E">
      <w:pPr>
        <w:rPr>
          <w:rFonts w:cs="Tahoma"/>
        </w:rPr>
      </w:pPr>
    </w:p>
    <w:p w:rsidR="00DD7F8E" w:rsidRPr="00A75DF9" w:rsidRDefault="00DD7F8E" w:rsidP="00346F4B">
      <w:pPr>
        <w:numPr>
          <w:ilvl w:val="0"/>
          <w:numId w:val="78"/>
        </w:numPr>
        <w:tabs>
          <w:tab w:val="left" w:pos="1440"/>
        </w:tabs>
        <w:spacing w:after="60"/>
        <w:ind w:left="1440"/>
        <w:rPr>
          <w:rFonts w:cs="Tahoma"/>
        </w:rPr>
      </w:pPr>
      <w:r w:rsidRPr="00A75DF9">
        <w:rPr>
          <w:rFonts w:cs="Tahoma"/>
          <w:color w:val="000000"/>
          <w:szCs w:val="18"/>
        </w:rPr>
        <w:t xml:space="preserve">disponibilità dei rappresentanti, del personale IT e delle risorse della Società, inclusi, a titolo esemplificativo, hardware, software, connettività Internet e spazi ragionevolmente sufficienti; </w:t>
      </w:r>
    </w:p>
    <w:p w:rsidR="00DD7F8E" w:rsidRPr="00A75DF9" w:rsidRDefault="00DD7F8E" w:rsidP="00346F4B">
      <w:pPr>
        <w:numPr>
          <w:ilvl w:val="0"/>
          <w:numId w:val="78"/>
        </w:numPr>
        <w:tabs>
          <w:tab w:val="left" w:pos="1440"/>
        </w:tabs>
        <w:spacing w:after="60"/>
        <w:ind w:left="1440"/>
        <w:rPr>
          <w:rFonts w:cs="Tahoma"/>
        </w:rPr>
      </w:pPr>
      <w:r w:rsidRPr="00A75DF9">
        <w:rPr>
          <w:rFonts w:cs="Tahoma"/>
          <w:color w:val="000000"/>
          <w:szCs w:val="18"/>
        </w:rPr>
        <w:t xml:space="preserve">tempestiva comunicazione, da parte della Società, di informazioni accurate e complete; </w:t>
      </w:r>
    </w:p>
    <w:p w:rsidR="00DD7F8E" w:rsidRPr="00A75DF9" w:rsidRDefault="00DD7F8E" w:rsidP="00346F4B">
      <w:pPr>
        <w:numPr>
          <w:ilvl w:val="0"/>
          <w:numId w:val="78"/>
        </w:numPr>
        <w:tabs>
          <w:tab w:val="left" w:pos="1440"/>
        </w:tabs>
        <w:spacing w:after="60"/>
        <w:ind w:left="1440"/>
        <w:rPr>
          <w:rFonts w:cs="Tahoma"/>
        </w:rPr>
      </w:pPr>
      <w:r w:rsidRPr="00A75DF9">
        <w:rPr>
          <w:rFonts w:cs="Tahoma"/>
          <w:color w:val="000000"/>
          <w:szCs w:val="18"/>
        </w:rPr>
        <w:t>accesso a informazioni riguardanti l</w:t>
      </w:r>
      <w:r w:rsidR="00F2643E">
        <w:rPr>
          <w:rFonts w:cs="Tahoma"/>
          <w:color w:val="000000"/>
          <w:szCs w:val="18"/>
        </w:rPr>
        <w:t>’</w:t>
      </w:r>
      <w:r w:rsidRPr="00A75DF9">
        <w:rPr>
          <w:rFonts w:cs="Tahoma"/>
          <w:color w:val="000000"/>
          <w:szCs w:val="18"/>
        </w:rPr>
        <w:t>organizzazione della Società;</w:t>
      </w:r>
    </w:p>
    <w:p w:rsidR="00DD7F8E" w:rsidRPr="00A75DF9" w:rsidRDefault="00DD7F8E" w:rsidP="00346F4B">
      <w:pPr>
        <w:numPr>
          <w:ilvl w:val="0"/>
          <w:numId w:val="78"/>
        </w:numPr>
        <w:tabs>
          <w:tab w:val="left" w:pos="1440"/>
        </w:tabs>
        <w:spacing w:after="60"/>
        <w:ind w:left="1440"/>
        <w:rPr>
          <w:rFonts w:cs="Tahoma"/>
        </w:rPr>
      </w:pPr>
      <w:r w:rsidRPr="00A75DF9">
        <w:rPr>
          <w:rFonts w:cs="Tahoma"/>
          <w:color w:val="000000"/>
          <w:szCs w:val="18"/>
        </w:rPr>
        <w:t>adempimento tempestivo ed efficace delle responsabilità della Società e</w:t>
      </w:r>
    </w:p>
    <w:p w:rsidR="00DD7F8E" w:rsidRPr="00A75DF9" w:rsidRDefault="00DD7F8E" w:rsidP="00346F4B">
      <w:pPr>
        <w:numPr>
          <w:ilvl w:val="0"/>
          <w:numId w:val="78"/>
        </w:numPr>
        <w:tabs>
          <w:tab w:val="left" w:pos="1440"/>
        </w:tabs>
        <w:spacing w:after="60"/>
        <w:ind w:left="1440"/>
        <w:rPr>
          <w:rFonts w:cs="Tahoma"/>
        </w:rPr>
      </w:pPr>
      <w:r w:rsidRPr="00A75DF9">
        <w:rPr>
          <w:rFonts w:cs="Tahoma"/>
          <w:color w:val="000000"/>
          <w:szCs w:val="18"/>
        </w:rPr>
        <w:t>approvazioni e decisioni tempestive da parte dei dirigenti e manager della Società.</w:t>
      </w:r>
      <w:r w:rsidR="009D3B41" w:rsidRPr="00A75DF9">
        <w:rPr>
          <w:rFonts w:cs="Tahoma"/>
          <w:color w:val="000000"/>
          <w:szCs w:val="18"/>
        </w:rPr>
        <w:t xml:space="preserve"> </w:t>
      </w:r>
    </w:p>
    <w:p w:rsidR="0064651F" w:rsidRPr="00A75DF9" w:rsidRDefault="0064651F" w:rsidP="00CA52FE">
      <w:pPr>
        <w:rPr>
          <w:rFonts w:cs="Tahoma"/>
        </w:rPr>
      </w:pPr>
      <w:bookmarkStart w:id="926" w:name="_Toc288760404"/>
    </w:p>
    <w:p w:rsidR="00DD7F8E" w:rsidRPr="00A75DF9" w:rsidRDefault="00DD7F8E" w:rsidP="00CA52FE">
      <w:pPr>
        <w:rPr>
          <w:rFonts w:cs="Tahoma"/>
        </w:rPr>
      </w:pPr>
      <w:r w:rsidRPr="00A75DF9">
        <w:rPr>
          <w:rFonts w:cs="Tahoma"/>
          <w:b/>
          <w:sz w:val="24"/>
          <w:szCs w:val="18"/>
        </w:rPr>
        <w:t>Condizioni di Servizio Aggiuntive</w:t>
      </w:r>
    </w:p>
    <w:p w:rsidR="00DD7F8E" w:rsidRPr="00A75DF9" w:rsidRDefault="00DD7F8E" w:rsidP="00CA52FE">
      <w:pPr>
        <w:rPr>
          <w:rFonts w:cs="Tahoma"/>
        </w:rPr>
      </w:pPr>
    </w:p>
    <w:p w:rsidR="00DD7F8E" w:rsidRPr="00A75DF9" w:rsidRDefault="00DB2D1E" w:rsidP="00E77F1E">
      <w:pPr>
        <w:spacing w:after="60"/>
        <w:rPr>
          <w:rFonts w:cs="Tahoma"/>
        </w:rPr>
      </w:pPr>
      <w:bookmarkStart w:id="927" w:name="_Toc317591257"/>
      <w:bookmarkStart w:id="928" w:name="_Toc336338248"/>
      <w:bookmarkStart w:id="929" w:name="_Toc368310239"/>
      <w:r w:rsidRPr="00A75DF9">
        <w:rPr>
          <w:rStyle w:val="Heading2Char"/>
          <w:rFonts w:ascii="Tahoma" w:hAnsi="Tahoma" w:cs="Tahoma"/>
          <w:sz w:val="20"/>
          <w:szCs w:val="20"/>
        </w:rPr>
        <w:t>Diritti sull</w:t>
      </w:r>
      <w:r w:rsidR="00F2643E">
        <w:rPr>
          <w:rStyle w:val="Heading2Char"/>
          <w:rFonts w:ascii="Tahoma" w:hAnsi="Tahoma" w:cs="Tahoma"/>
          <w:sz w:val="20"/>
          <w:szCs w:val="20"/>
        </w:rPr>
        <w:t>’</w:t>
      </w:r>
      <w:r w:rsidRPr="00A75DF9">
        <w:rPr>
          <w:rStyle w:val="Heading2Char"/>
          <w:rFonts w:ascii="Tahoma" w:hAnsi="Tahoma" w:cs="Tahoma"/>
          <w:sz w:val="20"/>
          <w:szCs w:val="20"/>
        </w:rPr>
        <w:t>utilizzo, di titolarità e di licenza</w:t>
      </w:r>
      <w:bookmarkEnd w:id="926"/>
      <w:bookmarkEnd w:id="927"/>
      <w:bookmarkEnd w:id="928"/>
      <w:bookmarkEnd w:id="929"/>
    </w:p>
    <w:p w:rsidR="00DB2D1E" w:rsidRPr="00AA3B53" w:rsidRDefault="00DB2D1E" w:rsidP="00AA3B53">
      <w:pPr>
        <w:pStyle w:val="normal1"/>
        <w:rPr>
          <w:rFonts w:ascii="Tahoma" w:hAnsi="Tahoma" w:cs="Tahoma"/>
          <w:sz w:val="18"/>
          <w:szCs w:val="18"/>
        </w:rPr>
      </w:pPr>
      <w:r w:rsidRPr="00AA3B53">
        <w:rPr>
          <w:rFonts w:ascii="Tahoma" w:hAnsi="Tahoma" w:cs="Tahoma"/>
          <w:b/>
          <w:bCs/>
          <w:color w:val="000000"/>
          <w:sz w:val="18"/>
          <w:szCs w:val="18"/>
        </w:rPr>
        <w:t>Fix.</w:t>
      </w:r>
      <w:r w:rsidR="009D3B41" w:rsidRPr="00AA3B53">
        <w:rPr>
          <w:rFonts w:ascii="Tahoma" w:hAnsi="Tahoma" w:cs="Tahoma"/>
          <w:b/>
          <w:bCs/>
          <w:color w:val="000000"/>
          <w:sz w:val="18"/>
          <w:szCs w:val="18"/>
        </w:rPr>
        <w:t xml:space="preserve"> </w:t>
      </w:r>
      <w:r w:rsidRPr="00AA3B53">
        <w:rPr>
          <w:rFonts w:ascii="Tahoma" w:hAnsi="Tahoma" w:cs="Tahoma"/>
          <w:bCs/>
          <w:color w:val="000000"/>
          <w:sz w:val="18"/>
          <w:szCs w:val="18"/>
        </w:rPr>
        <w:t>Qualora Microsoft fornisca Fix alla Società durante la prestazione dei Servizi, tali</w:t>
      </w:r>
      <w:r w:rsidRPr="00AA3B53">
        <w:rPr>
          <w:rFonts w:ascii="Tahoma" w:hAnsi="Tahoma" w:cs="Tahoma"/>
          <w:b/>
          <w:bCs/>
          <w:color w:val="000000"/>
          <w:sz w:val="18"/>
          <w:szCs w:val="18"/>
        </w:rPr>
        <w:t xml:space="preserve"> </w:t>
      </w:r>
      <w:r w:rsidRPr="00AA3B53">
        <w:rPr>
          <w:rFonts w:ascii="Tahoma" w:hAnsi="Tahoma" w:cs="Tahoma"/>
          <w:color w:val="000000"/>
          <w:sz w:val="18"/>
          <w:szCs w:val="18"/>
        </w:rPr>
        <w:t>Fix sono concessi in licenza in</w:t>
      </w:r>
      <w:r w:rsidR="00AA3B53" w:rsidRPr="00AA3B53">
        <w:rPr>
          <w:rFonts w:ascii="Tahoma" w:hAnsi="Tahoma" w:cs="Tahoma"/>
          <w:color w:val="000000"/>
          <w:sz w:val="18"/>
          <w:szCs w:val="18"/>
        </w:rPr>
        <w:t> </w:t>
      </w:r>
      <w:r w:rsidRPr="00AA3B53">
        <w:rPr>
          <w:rFonts w:ascii="Tahoma" w:hAnsi="Tahoma" w:cs="Tahoma"/>
          <w:color w:val="000000"/>
          <w:sz w:val="18"/>
          <w:szCs w:val="18"/>
        </w:rPr>
        <w:t>conformità alle condizioni di licenza applicabili al Prodotto cui si riferiscono. Qualora i Fix non siano relativi a un Prodotto specifico, si applicheranno le condizioni per l</w:t>
      </w:r>
      <w:r w:rsidR="00F2643E">
        <w:rPr>
          <w:rFonts w:ascii="Tahoma" w:hAnsi="Tahoma" w:cs="Tahoma"/>
          <w:color w:val="000000"/>
          <w:sz w:val="18"/>
          <w:szCs w:val="18"/>
        </w:rPr>
        <w:t>’</w:t>
      </w:r>
      <w:r w:rsidRPr="00AA3B53">
        <w:rPr>
          <w:rFonts w:ascii="Tahoma" w:hAnsi="Tahoma" w:cs="Tahoma"/>
          <w:color w:val="000000"/>
          <w:sz w:val="18"/>
          <w:szCs w:val="18"/>
        </w:rPr>
        <w:t>utilizzo fornite da Microsoft con i Fix. Nel caso non siano fornite condizioni per l</w:t>
      </w:r>
      <w:r w:rsidR="00F2643E">
        <w:rPr>
          <w:rFonts w:ascii="Tahoma" w:hAnsi="Tahoma" w:cs="Tahoma"/>
          <w:color w:val="000000"/>
          <w:sz w:val="18"/>
          <w:szCs w:val="18"/>
        </w:rPr>
        <w:t>’</w:t>
      </w:r>
      <w:r w:rsidRPr="00AA3B53">
        <w:rPr>
          <w:rFonts w:ascii="Tahoma" w:hAnsi="Tahoma" w:cs="Tahoma"/>
          <w:color w:val="000000"/>
          <w:sz w:val="18"/>
          <w:szCs w:val="18"/>
        </w:rPr>
        <w:t>utilizzo, la Società avrà una licenza non esclusiva, perpetua e gratuita di utilizzare e riprodurre i Fix esclusivamente per uso interno. La Società non potrà modificare, cambiare il nome del file né combinare i Fix con altro codice per computer che non sia di Microsoft.</w:t>
      </w:r>
    </w:p>
    <w:p w:rsidR="003F47CB" w:rsidRPr="00AA3B53" w:rsidRDefault="003F47CB" w:rsidP="00CA52FE">
      <w:pPr>
        <w:pStyle w:val="normal1"/>
        <w:rPr>
          <w:rFonts w:ascii="Tahoma" w:hAnsi="Tahoma" w:cs="Tahoma"/>
          <w:sz w:val="18"/>
          <w:szCs w:val="18"/>
        </w:rPr>
      </w:pPr>
    </w:p>
    <w:p w:rsidR="00DB2D1E" w:rsidRPr="00AA3B53" w:rsidRDefault="00DB2D1E" w:rsidP="00CA52FE">
      <w:pPr>
        <w:pStyle w:val="normal1"/>
        <w:rPr>
          <w:rFonts w:ascii="Tahoma" w:hAnsi="Tahoma" w:cs="Tahoma"/>
          <w:sz w:val="18"/>
          <w:szCs w:val="18"/>
        </w:rPr>
      </w:pPr>
      <w:r w:rsidRPr="00AA3B53">
        <w:rPr>
          <w:rFonts w:ascii="Tahoma" w:hAnsi="Tahoma" w:cs="Tahoma"/>
          <w:b/>
          <w:bCs/>
          <w:color w:val="000000"/>
          <w:sz w:val="18"/>
          <w:szCs w:val="18"/>
        </w:rPr>
        <w:t>Lavoro Pre-esistente.</w:t>
      </w:r>
      <w:r w:rsidR="009D3B41" w:rsidRPr="00AA3B53">
        <w:rPr>
          <w:rFonts w:ascii="Tahoma" w:hAnsi="Tahoma" w:cs="Tahoma"/>
          <w:color w:val="000000"/>
          <w:sz w:val="18"/>
          <w:szCs w:val="18"/>
        </w:rPr>
        <w:t xml:space="preserve"> </w:t>
      </w:r>
      <w:r w:rsidRPr="00AA3B53">
        <w:rPr>
          <w:rFonts w:ascii="Tahoma" w:hAnsi="Tahoma" w:cs="Tahoma"/>
          <w:color w:val="000000"/>
          <w:sz w:val="18"/>
          <w:szCs w:val="18"/>
        </w:rPr>
        <w:t>Tutti i diritti riguardanti il codice per computer o qualsiasi altro materiale scritto non basato su codice sviluppato o altrimenti ottenuto da o per le parti o le relative Consociate e indipendente dal presente contratto (“Lavoro Pre-Esistente”) resteranno di esclusiva proprietà della parte che lo fornisce. Durante l</w:t>
      </w:r>
      <w:r w:rsidR="00F2643E">
        <w:rPr>
          <w:rFonts w:ascii="Tahoma" w:hAnsi="Tahoma" w:cs="Tahoma"/>
          <w:color w:val="000000"/>
          <w:sz w:val="18"/>
          <w:szCs w:val="18"/>
        </w:rPr>
        <w:t>’</w:t>
      </w:r>
      <w:r w:rsidRPr="00AA3B53">
        <w:rPr>
          <w:rFonts w:ascii="Tahoma" w:hAnsi="Tahoma" w:cs="Tahoma"/>
          <w:color w:val="000000"/>
          <w:sz w:val="18"/>
          <w:szCs w:val="18"/>
        </w:rPr>
        <w:t>esecuzione dei Servizi ciascuna parte concederà all</w:t>
      </w:r>
      <w:r w:rsidR="00F2643E">
        <w:rPr>
          <w:rFonts w:ascii="Tahoma" w:hAnsi="Tahoma" w:cs="Tahoma"/>
          <w:color w:val="000000"/>
          <w:sz w:val="18"/>
          <w:szCs w:val="18"/>
        </w:rPr>
        <w:t>’</w:t>
      </w:r>
      <w:r w:rsidRPr="00AA3B53">
        <w:rPr>
          <w:rFonts w:ascii="Tahoma" w:hAnsi="Tahoma" w:cs="Tahoma"/>
          <w:color w:val="000000"/>
          <w:sz w:val="18"/>
          <w:szCs w:val="18"/>
        </w:rPr>
        <w:t>altra, e se necessario ai fornitori di Microsoft, una licenza temporanea e non esclusiva di utilizzare, riprodurre e modificare qualsiasi Lavoro Pre-esistente fornito all</w:t>
      </w:r>
      <w:r w:rsidR="00F2643E">
        <w:rPr>
          <w:rFonts w:ascii="Tahoma" w:hAnsi="Tahoma" w:cs="Tahoma"/>
          <w:color w:val="000000"/>
          <w:sz w:val="18"/>
          <w:szCs w:val="18"/>
        </w:rPr>
        <w:t>’</w:t>
      </w:r>
      <w:r w:rsidRPr="00AA3B53">
        <w:rPr>
          <w:rFonts w:ascii="Tahoma" w:hAnsi="Tahoma" w:cs="Tahoma"/>
          <w:color w:val="000000"/>
          <w:sz w:val="18"/>
          <w:szCs w:val="18"/>
        </w:rPr>
        <w:t>altra parte, al solo fine di eseguire i Servizi.</w:t>
      </w:r>
    </w:p>
    <w:p w:rsidR="00DB2D1E" w:rsidRPr="00A75DF9" w:rsidRDefault="00DB2D1E" w:rsidP="00AA3B53">
      <w:pPr>
        <w:pStyle w:val="normal1"/>
        <w:rPr>
          <w:rFonts w:ascii="Tahoma" w:hAnsi="Tahoma" w:cs="Tahoma"/>
        </w:rPr>
      </w:pPr>
      <w:r w:rsidRPr="00A75DF9">
        <w:rPr>
          <w:rFonts w:ascii="Tahoma" w:hAnsi="Tahoma" w:cs="Tahoma"/>
          <w:color w:val="000000"/>
          <w:sz w:val="18"/>
          <w:szCs w:val="18"/>
        </w:rPr>
        <w:t>Fatto salvo quanto diversamente concordato per iscritto tra le parti, Microsoft, ricevuto l</w:t>
      </w:r>
      <w:r w:rsidR="00F2643E">
        <w:rPr>
          <w:rFonts w:ascii="Tahoma" w:hAnsi="Tahoma" w:cs="Tahoma"/>
          <w:color w:val="000000"/>
          <w:sz w:val="18"/>
          <w:szCs w:val="18"/>
        </w:rPr>
        <w:t>’</w:t>
      </w:r>
      <w:r w:rsidRPr="00A75DF9">
        <w:rPr>
          <w:rFonts w:ascii="Tahoma" w:hAnsi="Tahoma" w:cs="Tahoma"/>
          <w:color w:val="000000"/>
          <w:sz w:val="18"/>
          <w:szCs w:val="18"/>
        </w:rPr>
        <w:t>intero corrispettivo, concede alla Società una licenza non esclusiva, perpetua e gratuita di utilizzare, riprodurre e modificare (se applicabile) il</w:t>
      </w:r>
      <w:r w:rsidR="00AA3B53">
        <w:rPr>
          <w:rFonts w:ascii="Tahoma" w:hAnsi="Tahoma" w:cs="Tahoma"/>
          <w:color w:val="000000"/>
          <w:sz w:val="18"/>
          <w:szCs w:val="18"/>
        </w:rPr>
        <w:t> </w:t>
      </w:r>
      <w:r w:rsidRPr="00A75DF9">
        <w:rPr>
          <w:rFonts w:ascii="Tahoma" w:hAnsi="Tahoma" w:cs="Tahoma"/>
          <w:color w:val="000000"/>
          <w:sz w:val="18"/>
          <w:szCs w:val="18"/>
        </w:rPr>
        <w:t>Lavoro Pre-esistente di Microsoft esclusivamente nella forma consegnata alla Società come parte del Materiale Fornito con i Servizi ed esclusivamente per l</w:t>
      </w:r>
      <w:r w:rsidR="00F2643E">
        <w:rPr>
          <w:rFonts w:ascii="Tahoma" w:hAnsi="Tahoma" w:cs="Tahoma"/>
          <w:color w:val="000000"/>
          <w:sz w:val="18"/>
          <w:szCs w:val="18"/>
        </w:rPr>
        <w:t>’</w:t>
      </w:r>
      <w:r w:rsidRPr="00A75DF9">
        <w:rPr>
          <w:rFonts w:ascii="Tahoma" w:hAnsi="Tahoma" w:cs="Tahoma"/>
          <w:color w:val="000000"/>
          <w:sz w:val="18"/>
          <w:szCs w:val="18"/>
        </w:rPr>
        <w:t xml:space="preserve">attività interna della Società stessa. La licenza riguardante il Lavoro </w:t>
      </w:r>
      <w:r w:rsidR="00AA3B53">
        <w:rPr>
          <w:rFonts w:ascii="Tahoma" w:hAnsi="Tahoma" w:cs="Tahoma"/>
          <w:color w:val="000000"/>
          <w:sz w:val="18"/>
          <w:szCs w:val="18"/>
        </w:rPr>
        <w:br/>
      </w:r>
      <w:r w:rsidRPr="00A75DF9">
        <w:rPr>
          <w:rFonts w:ascii="Tahoma" w:hAnsi="Tahoma" w:cs="Tahoma"/>
          <w:color w:val="000000"/>
          <w:sz w:val="18"/>
          <w:szCs w:val="18"/>
        </w:rPr>
        <w:t>Pre-esistente di Microsoft è subordinata al rispetto da parte della Società delle condizioni del presente contratto.</w:t>
      </w:r>
    </w:p>
    <w:p w:rsidR="003F47CB" w:rsidRPr="00AA3B53" w:rsidRDefault="003F47CB" w:rsidP="00CA52FE">
      <w:pPr>
        <w:pStyle w:val="normal1"/>
        <w:rPr>
          <w:rFonts w:ascii="Tahoma" w:hAnsi="Tahoma" w:cs="Tahoma"/>
          <w:sz w:val="18"/>
          <w:szCs w:val="18"/>
        </w:rPr>
      </w:pPr>
    </w:p>
    <w:p w:rsidR="00DB2D1E" w:rsidRPr="00AA3B53" w:rsidRDefault="00DB2D1E" w:rsidP="00CA52FE">
      <w:pPr>
        <w:pStyle w:val="normal1"/>
        <w:rPr>
          <w:rFonts w:ascii="Tahoma" w:hAnsi="Tahoma" w:cs="Tahoma"/>
          <w:sz w:val="18"/>
          <w:szCs w:val="18"/>
        </w:rPr>
      </w:pPr>
      <w:r w:rsidRPr="00AA3B53">
        <w:rPr>
          <w:rFonts w:ascii="Tahoma" w:hAnsi="Tahoma" w:cs="Tahoma"/>
          <w:b/>
          <w:bCs/>
          <w:color w:val="000000"/>
          <w:sz w:val="18"/>
          <w:szCs w:val="18"/>
        </w:rPr>
        <w:t>Sviluppi</w:t>
      </w:r>
      <w:r w:rsidRPr="0084456B">
        <w:rPr>
          <w:rFonts w:ascii="Tahoma" w:hAnsi="Tahoma" w:cs="Tahoma"/>
          <w:b/>
          <w:bCs/>
          <w:color w:val="000000"/>
          <w:sz w:val="18"/>
          <w:szCs w:val="18"/>
        </w:rPr>
        <w:t xml:space="preserve">. </w:t>
      </w:r>
      <w:r w:rsidRPr="00AA3B53">
        <w:rPr>
          <w:rFonts w:ascii="Tahoma" w:hAnsi="Tahoma" w:cs="Tahoma"/>
          <w:color w:val="000000"/>
          <w:sz w:val="18"/>
          <w:szCs w:val="18"/>
        </w:rPr>
        <w:t>Microsoft, ricevuto l</w:t>
      </w:r>
      <w:r w:rsidR="00F2643E">
        <w:rPr>
          <w:rFonts w:ascii="Tahoma" w:hAnsi="Tahoma" w:cs="Tahoma"/>
          <w:color w:val="000000"/>
          <w:sz w:val="18"/>
          <w:szCs w:val="18"/>
        </w:rPr>
        <w:t>’</w:t>
      </w:r>
      <w:r w:rsidRPr="00AA3B53">
        <w:rPr>
          <w:rFonts w:ascii="Tahoma" w:hAnsi="Tahoma" w:cs="Tahoma"/>
          <w:color w:val="000000"/>
          <w:sz w:val="18"/>
          <w:szCs w:val="18"/>
        </w:rPr>
        <w:t>intero corrispettivo, concede alla Società la titolarità congiunta di qualsiasi codice per computer o materiale scritto non basato su codice (diverso da Prodotti, Fix o Lavoro Pre-esistente) sviluppato da Microsoft o in collaborazione con la Società e lasciato presso quest</w:t>
      </w:r>
      <w:r w:rsidR="00F2643E">
        <w:rPr>
          <w:rFonts w:ascii="Tahoma" w:hAnsi="Tahoma" w:cs="Tahoma"/>
          <w:color w:val="000000"/>
          <w:sz w:val="18"/>
          <w:szCs w:val="18"/>
        </w:rPr>
        <w:t>’</w:t>
      </w:r>
      <w:r w:rsidRPr="00AA3B53">
        <w:rPr>
          <w:rFonts w:ascii="Tahoma" w:hAnsi="Tahoma" w:cs="Tahoma"/>
          <w:color w:val="000000"/>
          <w:sz w:val="18"/>
          <w:szCs w:val="18"/>
        </w:rPr>
        <w:t>ultima alla conclusione dei Servizi (“Sviluppi”). Ciascuna parte sarà l</w:t>
      </w:r>
      <w:r w:rsidR="00F2643E">
        <w:rPr>
          <w:rFonts w:ascii="Tahoma" w:hAnsi="Tahoma" w:cs="Tahoma"/>
          <w:color w:val="000000"/>
          <w:sz w:val="18"/>
          <w:szCs w:val="18"/>
        </w:rPr>
        <w:t>’</w:t>
      </w:r>
      <w:r w:rsidRPr="00AA3B53">
        <w:rPr>
          <w:rFonts w:ascii="Tahoma" w:hAnsi="Tahoma" w:cs="Tahoma"/>
          <w:color w:val="000000"/>
          <w:sz w:val="18"/>
          <w:szCs w:val="18"/>
        </w:rPr>
        <w:t>unica titolare dei diritti attinenti alle modifiche effettuate in base agli sviluppi. La Società accetta di esercitare i propri diritti in relazione a qualsiasi Sviluppo esclusivamente per le proprie attività interne e di non rivendere né distribuire gli Sviluppi a terzi.</w:t>
      </w:r>
    </w:p>
    <w:p w:rsidR="003F47CB" w:rsidRPr="00AA3B53" w:rsidRDefault="003F47CB" w:rsidP="00CA52FE">
      <w:pPr>
        <w:pStyle w:val="normal1"/>
        <w:rPr>
          <w:rFonts w:ascii="Tahoma" w:hAnsi="Tahoma" w:cs="Tahoma"/>
          <w:sz w:val="18"/>
          <w:szCs w:val="18"/>
        </w:rPr>
      </w:pPr>
    </w:p>
    <w:p w:rsidR="00222641" w:rsidRPr="00AA3B53" w:rsidRDefault="00222641" w:rsidP="00AA3B53">
      <w:pPr>
        <w:rPr>
          <w:rFonts w:cs="Tahoma"/>
          <w:szCs w:val="18"/>
        </w:rPr>
      </w:pPr>
      <w:r w:rsidRPr="00AA3B53">
        <w:rPr>
          <w:rFonts w:eastAsia="Calibri" w:cs="Tahoma"/>
          <w:b/>
          <w:bCs/>
          <w:color w:val="000000"/>
          <w:szCs w:val="18"/>
        </w:rPr>
        <w:t>Materiale.</w:t>
      </w:r>
      <w:r w:rsidR="009D3B41" w:rsidRPr="00AA3B53">
        <w:rPr>
          <w:rFonts w:eastAsia="Calibri" w:cs="Tahoma"/>
          <w:b/>
          <w:bCs/>
          <w:color w:val="000000"/>
          <w:szCs w:val="18"/>
        </w:rPr>
        <w:t xml:space="preserve"> </w:t>
      </w:r>
      <w:r w:rsidRPr="00AA3B53">
        <w:rPr>
          <w:rFonts w:eastAsia="Calibri" w:cs="Tahoma"/>
          <w:bCs/>
          <w:color w:val="000000"/>
          <w:szCs w:val="18"/>
        </w:rPr>
        <w:t>Tutti i diritti relativi a qualsiasi materiale sviluppato da Microsoft, diverso dal codice di software, e fornito alla società al fine di erogare il Supporto per Windows Azure e il Supporto Professionale (“Materiale”) saranno di proprietà esclusiva di Microsoft, fatta eccezione per i casi in cui il suddetto Materiale costituisca il Lavoro Preesistente della società.</w:t>
      </w:r>
      <w:r w:rsidR="009D3B41" w:rsidRPr="00AA3B53">
        <w:rPr>
          <w:rFonts w:eastAsia="Calibri" w:cs="Tahoma"/>
          <w:bCs/>
          <w:color w:val="000000"/>
          <w:szCs w:val="18"/>
        </w:rPr>
        <w:t xml:space="preserve"> </w:t>
      </w:r>
      <w:r w:rsidRPr="00AA3B53">
        <w:rPr>
          <w:rFonts w:eastAsia="Calibri" w:cs="Tahoma"/>
          <w:bCs/>
          <w:color w:val="000000"/>
          <w:szCs w:val="18"/>
        </w:rPr>
        <w:t>Microsoft concede alle società una licenza non esclusiva, perpetua, gratuita di utilizzo, riproduzione e</w:t>
      </w:r>
      <w:r w:rsidR="00AA3B53">
        <w:rPr>
          <w:rFonts w:eastAsia="Calibri" w:cs="Tahoma"/>
          <w:bCs/>
          <w:color w:val="000000"/>
          <w:szCs w:val="18"/>
        </w:rPr>
        <w:t> </w:t>
      </w:r>
      <w:r w:rsidRPr="00AA3B53">
        <w:rPr>
          <w:rFonts w:eastAsia="Calibri" w:cs="Tahoma"/>
          <w:bCs/>
          <w:color w:val="000000"/>
          <w:szCs w:val="18"/>
        </w:rPr>
        <w:t>modifica del Materiale esclusivamente per le loro attività interne e senza alcuna obbligazione di contabilizzazione o</w:t>
      </w:r>
      <w:r w:rsidR="00AA3B53">
        <w:rPr>
          <w:rFonts w:eastAsia="Calibri" w:cs="Tahoma"/>
          <w:bCs/>
          <w:color w:val="000000"/>
          <w:szCs w:val="18"/>
        </w:rPr>
        <w:t> </w:t>
      </w:r>
      <w:r w:rsidRPr="00AA3B53">
        <w:rPr>
          <w:rFonts w:eastAsia="Calibri" w:cs="Tahoma"/>
          <w:bCs/>
          <w:color w:val="000000"/>
          <w:szCs w:val="18"/>
        </w:rPr>
        <w:t>pagamento di royalty.</w:t>
      </w:r>
      <w:r w:rsidR="009D3B41" w:rsidRPr="00AA3B53">
        <w:rPr>
          <w:rFonts w:eastAsia="Calibri" w:cs="Tahoma"/>
          <w:bCs/>
          <w:color w:val="000000"/>
          <w:szCs w:val="18"/>
        </w:rPr>
        <w:t xml:space="preserve"> </w:t>
      </w:r>
      <w:r w:rsidRPr="00AA3B53">
        <w:rPr>
          <w:rFonts w:eastAsia="Calibri" w:cs="Tahoma"/>
          <w:bCs/>
          <w:color w:val="000000"/>
          <w:szCs w:val="18"/>
        </w:rPr>
        <w:t>Le società potranno concedere in sublicenza alle proprie Consociate i diritti concessi nel presente documento.</w:t>
      </w:r>
      <w:r w:rsidR="009D3B41" w:rsidRPr="00AA3B53">
        <w:rPr>
          <w:rFonts w:eastAsia="Calibri" w:cs="Tahoma"/>
          <w:bCs/>
          <w:color w:val="000000"/>
          <w:szCs w:val="18"/>
        </w:rPr>
        <w:t xml:space="preserve"> </w:t>
      </w:r>
      <w:r w:rsidRPr="00AA3B53">
        <w:rPr>
          <w:rFonts w:eastAsia="Calibri" w:cs="Tahoma"/>
          <w:bCs/>
          <w:color w:val="000000"/>
          <w:szCs w:val="18"/>
        </w:rPr>
        <w:t>Tutti i diritti non espressamente concessi sono riservati.</w:t>
      </w:r>
    </w:p>
    <w:p w:rsidR="003F47CB" w:rsidRPr="00AA3B53" w:rsidRDefault="003F47CB" w:rsidP="00CA52FE">
      <w:pPr>
        <w:rPr>
          <w:rFonts w:cs="Tahoma"/>
          <w:szCs w:val="18"/>
        </w:rPr>
      </w:pPr>
    </w:p>
    <w:p w:rsidR="00B53C3C" w:rsidRPr="00AA3B53" w:rsidRDefault="00B53C3C" w:rsidP="00CA52FE">
      <w:pPr>
        <w:rPr>
          <w:rFonts w:cs="Tahoma"/>
          <w:spacing w:val="-2"/>
        </w:rPr>
      </w:pPr>
      <w:r w:rsidRPr="00AA3B53">
        <w:rPr>
          <w:rFonts w:eastAsia="Calibri" w:cs="Tahoma"/>
          <w:b/>
          <w:bCs/>
          <w:color w:val="000000"/>
          <w:spacing w:val="-2"/>
          <w:szCs w:val="18"/>
        </w:rPr>
        <w:lastRenderedPageBreak/>
        <w:t>Codice Campione.</w:t>
      </w:r>
      <w:r w:rsidR="009D3B41" w:rsidRPr="00AA3B53">
        <w:rPr>
          <w:rFonts w:eastAsia="Calibri" w:cs="Tahoma"/>
          <w:b/>
          <w:bCs/>
          <w:color w:val="000000"/>
          <w:spacing w:val="-2"/>
          <w:szCs w:val="18"/>
        </w:rPr>
        <w:t xml:space="preserve"> </w:t>
      </w:r>
      <w:r w:rsidRPr="00AA3B53">
        <w:rPr>
          <w:rFonts w:eastAsia="Calibri" w:cs="Tahoma"/>
          <w:bCs/>
          <w:color w:val="000000"/>
          <w:spacing w:val="-2"/>
          <w:szCs w:val="18"/>
        </w:rPr>
        <w:t>Microsoft concede alle società un diritto non esclusivo, perpetuo e gratuito di utilizzare e modificare qualsiasi codice di software (“Codice Campione”) fornito da Microsoft allo scopo di illustrare e di riprodurre e distribuire il formato in codice oggetto del Codice Campione, a condizione che le società accettino di: (i) astenersi dall</w:t>
      </w:r>
      <w:r w:rsidR="00F2643E">
        <w:rPr>
          <w:rFonts w:eastAsia="Calibri" w:cs="Tahoma"/>
          <w:bCs/>
          <w:color w:val="000000"/>
          <w:spacing w:val="-2"/>
          <w:szCs w:val="18"/>
        </w:rPr>
        <w:t>’</w:t>
      </w:r>
      <w:r w:rsidRPr="00AA3B53">
        <w:rPr>
          <w:rFonts w:eastAsia="Calibri" w:cs="Tahoma"/>
          <w:bCs/>
          <w:color w:val="000000"/>
          <w:spacing w:val="-2"/>
          <w:szCs w:val="18"/>
        </w:rPr>
        <w:t>utilizzare il nome, il logo o i marchi Microsoft per commercializzare il proprio prodotto software nel quale è incorporato il Codice Campione, (ii) includere valide informazioni sul copyright nel proprio prodotto software nel quale è incorporato il Codice Campione e (iii) indennizzare, manlevare e difendere Microsoft e i suoi fornitori da ogni e qualsiasi reclamo o azione giudiziaria, ivi incluse le spese legali che derivino o risultino dall</w:t>
      </w:r>
      <w:r w:rsidR="00F2643E">
        <w:rPr>
          <w:rFonts w:eastAsia="Calibri" w:cs="Tahoma"/>
          <w:bCs/>
          <w:color w:val="000000"/>
          <w:spacing w:val="-2"/>
          <w:szCs w:val="18"/>
        </w:rPr>
        <w:t>’</w:t>
      </w:r>
      <w:r w:rsidRPr="00AA3B53">
        <w:rPr>
          <w:rFonts w:eastAsia="Calibri" w:cs="Tahoma"/>
          <w:bCs/>
          <w:color w:val="000000"/>
          <w:spacing w:val="-2"/>
          <w:szCs w:val="18"/>
        </w:rPr>
        <w:t xml:space="preserve">utilizzo o dalla distribuzione del Codice Campione. </w:t>
      </w:r>
    </w:p>
    <w:p w:rsidR="00DB2D1E" w:rsidRPr="00AA3B53" w:rsidRDefault="00DB2D1E" w:rsidP="00AA3B53">
      <w:pPr>
        <w:pStyle w:val="normal1"/>
        <w:rPr>
          <w:rFonts w:ascii="Tahoma" w:hAnsi="Tahoma" w:cs="Tahoma"/>
          <w:sz w:val="18"/>
          <w:szCs w:val="18"/>
        </w:rPr>
      </w:pPr>
      <w:r w:rsidRPr="00AA3B53">
        <w:rPr>
          <w:rFonts w:ascii="Tahoma" w:hAnsi="Tahoma" w:cs="Tahoma"/>
          <w:b/>
          <w:bCs/>
          <w:color w:val="000000"/>
          <w:sz w:val="18"/>
          <w:szCs w:val="18"/>
        </w:rPr>
        <w:t>Restrizioni di Licenza Open Source</w:t>
      </w:r>
      <w:r w:rsidRPr="0084456B">
        <w:rPr>
          <w:rFonts w:ascii="Tahoma" w:hAnsi="Tahoma" w:cs="Tahoma"/>
          <w:b/>
          <w:bCs/>
          <w:color w:val="000000"/>
          <w:sz w:val="18"/>
          <w:szCs w:val="18"/>
        </w:rPr>
        <w:t>.</w:t>
      </w:r>
      <w:r w:rsidRPr="00AA3B53">
        <w:rPr>
          <w:rFonts w:ascii="Tahoma" w:hAnsi="Tahoma" w:cs="Tahoma"/>
          <w:color w:val="000000"/>
          <w:sz w:val="18"/>
          <w:szCs w:val="18"/>
        </w:rPr>
        <w:t xml:space="preserve"> Poiché alcune condizioni di licenza di terzi richiedono che il codice per computer sia a livello generale (i) divulgato a terzi nel formato in codice sorgente, (ii) concesso in licenza a terzi allo scopo di creare lavori derivati oppure (iii) ridistribuibile gratuitamente a terzi (collettivamente, “Condizioni di Licenza Open Source”), i diritti di licenza concessi da ciascuna parte relativamente a qualsiasi codice per computer, o a qualsiasi proprietà intellettuale ad esso associata, non comprendono alcuna licenza, diritto o potere di incorporare, modificare, associare e/o distribuire tale codice per computer con qualsiasi altro codice per computer in modo tale da</w:t>
      </w:r>
      <w:r w:rsidR="00AA3B53" w:rsidRPr="00AA3B53">
        <w:rPr>
          <w:rFonts w:ascii="Tahoma" w:hAnsi="Tahoma" w:cs="Tahoma"/>
          <w:color w:val="000000"/>
          <w:sz w:val="18"/>
          <w:szCs w:val="18"/>
        </w:rPr>
        <w:t> </w:t>
      </w:r>
      <w:r w:rsidRPr="00AA3B53">
        <w:rPr>
          <w:rFonts w:ascii="Tahoma" w:hAnsi="Tahoma" w:cs="Tahoma"/>
          <w:color w:val="000000"/>
          <w:sz w:val="18"/>
          <w:szCs w:val="18"/>
        </w:rPr>
        <w:t>assoggettare il codice per computer dell</w:t>
      </w:r>
      <w:r w:rsidR="00F2643E">
        <w:rPr>
          <w:rFonts w:ascii="Tahoma" w:hAnsi="Tahoma" w:cs="Tahoma"/>
          <w:color w:val="000000"/>
          <w:sz w:val="18"/>
          <w:szCs w:val="18"/>
        </w:rPr>
        <w:t>’</w:t>
      </w:r>
      <w:r w:rsidRPr="00AA3B53">
        <w:rPr>
          <w:rFonts w:ascii="Tahoma" w:hAnsi="Tahoma" w:cs="Tahoma"/>
          <w:color w:val="000000"/>
          <w:sz w:val="18"/>
          <w:szCs w:val="18"/>
        </w:rPr>
        <w:t>altra parte a Condizioni di Licenza Open Source. Inoltre, ciascuna parte garantisce che non fornirà né metterà a disposizione dell</w:t>
      </w:r>
      <w:r w:rsidR="00F2643E">
        <w:rPr>
          <w:rFonts w:ascii="Tahoma" w:hAnsi="Tahoma" w:cs="Tahoma"/>
          <w:color w:val="000000"/>
          <w:sz w:val="18"/>
          <w:szCs w:val="18"/>
        </w:rPr>
        <w:t>’</w:t>
      </w:r>
      <w:r w:rsidRPr="00AA3B53">
        <w:rPr>
          <w:rFonts w:ascii="Tahoma" w:hAnsi="Tahoma" w:cs="Tahoma"/>
          <w:color w:val="000000"/>
          <w:sz w:val="18"/>
          <w:szCs w:val="18"/>
        </w:rPr>
        <w:t>altra parte codice per computer che sia disciplinato da Condizioni di Licenza Open Source.</w:t>
      </w:r>
    </w:p>
    <w:p w:rsidR="003F47CB" w:rsidRPr="00AA3B53" w:rsidRDefault="003F47CB" w:rsidP="00CA52FE">
      <w:pPr>
        <w:pStyle w:val="normal1"/>
        <w:rPr>
          <w:rFonts w:ascii="Tahoma" w:hAnsi="Tahoma" w:cs="Tahoma"/>
          <w:sz w:val="18"/>
          <w:szCs w:val="18"/>
        </w:rPr>
      </w:pPr>
    </w:p>
    <w:p w:rsidR="00DB2D1E" w:rsidRPr="00AA3B53" w:rsidRDefault="00DB2D1E" w:rsidP="00F5527B">
      <w:pPr>
        <w:pStyle w:val="normal1"/>
        <w:rPr>
          <w:rFonts w:ascii="Tahoma" w:hAnsi="Tahoma" w:cs="Tahoma"/>
          <w:sz w:val="18"/>
          <w:szCs w:val="18"/>
        </w:rPr>
      </w:pPr>
      <w:r w:rsidRPr="00AA3B53">
        <w:rPr>
          <w:rFonts w:ascii="Tahoma" w:hAnsi="Tahoma" w:cs="Tahoma"/>
          <w:b/>
          <w:bCs/>
          <w:color w:val="000000"/>
          <w:sz w:val="18"/>
          <w:szCs w:val="18"/>
        </w:rPr>
        <w:t>Diritti delle Consociate.</w:t>
      </w:r>
      <w:r w:rsidR="009D3B41" w:rsidRPr="00AA3B53">
        <w:rPr>
          <w:rFonts w:ascii="Tahoma" w:hAnsi="Tahoma" w:cs="Tahoma"/>
          <w:color w:val="000000"/>
          <w:sz w:val="18"/>
          <w:szCs w:val="18"/>
        </w:rPr>
        <w:t xml:space="preserve"> </w:t>
      </w:r>
      <w:r w:rsidRPr="00AA3B53">
        <w:rPr>
          <w:rFonts w:ascii="Tahoma" w:hAnsi="Tahoma" w:cs="Tahoma"/>
          <w:color w:val="000000"/>
          <w:sz w:val="18"/>
          <w:szCs w:val="18"/>
        </w:rPr>
        <w:t>La Società può concedere in sublicenza alle proprie Consociate i diritti contenuti nel</w:t>
      </w:r>
      <w:r w:rsidR="00F5527B">
        <w:rPr>
          <w:rFonts w:ascii="Tahoma" w:hAnsi="Tahoma" w:cs="Tahoma"/>
          <w:color w:val="000000"/>
          <w:sz w:val="18"/>
          <w:szCs w:val="18"/>
        </w:rPr>
        <w:t> </w:t>
      </w:r>
      <w:r w:rsidRPr="00AA3B53">
        <w:rPr>
          <w:rFonts w:ascii="Tahoma" w:hAnsi="Tahoma" w:cs="Tahoma"/>
          <w:color w:val="000000"/>
          <w:sz w:val="18"/>
          <w:szCs w:val="18"/>
        </w:rPr>
        <w:t>presente sottoparagrafo relativi al Materiale Fornito con i Servizi. Tali Consociate, tuttavia, non potranno ulteriormente concedere in sublicenza tali diritti e il loro utilizzo dovrà essere conforme alle condizioni di licenza previste nel presente contratto.</w:t>
      </w:r>
    </w:p>
    <w:p w:rsidR="001C1727" w:rsidRPr="00AA3B53" w:rsidRDefault="001C1727">
      <w:pPr>
        <w:rPr>
          <w:rFonts w:cs="Tahoma"/>
          <w:szCs w:val="18"/>
        </w:rPr>
      </w:pPr>
    </w:p>
    <w:p w:rsidR="00DB2D1E" w:rsidRPr="00AA3B53" w:rsidRDefault="00DB2D1E" w:rsidP="00CA52FE">
      <w:pPr>
        <w:rPr>
          <w:rFonts w:cs="Tahoma"/>
          <w:szCs w:val="18"/>
        </w:rPr>
      </w:pPr>
      <w:r w:rsidRPr="00AA3B53">
        <w:rPr>
          <w:rFonts w:cs="Tahoma"/>
          <w:b/>
          <w:bCs/>
          <w:color w:val="000000"/>
          <w:szCs w:val="18"/>
        </w:rPr>
        <w:t>Riserva di Diritti.</w:t>
      </w:r>
      <w:r w:rsidR="009D3B41" w:rsidRPr="00AA3B53">
        <w:rPr>
          <w:rFonts w:cs="Tahoma"/>
          <w:color w:val="000000"/>
          <w:szCs w:val="18"/>
        </w:rPr>
        <w:t xml:space="preserve"> </w:t>
      </w:r>
      <w:r w:rsidRPr="00AA3B53">
        <w:rPr>
          <w:rFonts w:cs="Tahoma"/>
          <w:color w:val="000000"/>
          <w:szCs w:val="18"/>
        </w:rPr>
        <w:t>Tutti i diritti non espressamente concessi sono riservati.</w:t>
      </w:r>
    </w:p>
    <w:p w:rsidR="00DB2D1E" w:rsidRPr="00A75DF9" w:rsidRDefault="00DB2D1E" w:rsidP="00CA52FE">
      <w:pPr>
        <w:rPr>
          <w:rFonts w:cs="Tahoma"/>
        </w:rPr>
      </w:pPr>
    </w:p>
    <w:p w:rsidR="00DD7F8E" w:rsidRPr="00A75DF9" w:rsidRDefault="00DD7F8E" w:rsidP="00E77F1E">
      <w:pPr>
        <w:spacing w:after="60"/>
        <w:rPr>
          <w:rFonts w:cs="Tahoma"/>
        </w:rPr>
      </w:pPr>
      <w:r w:rsidRPr="00A75DF9">
        <w:rPr>
          <w:rFonts w:cs="Tahoma"/>
          <w:b/>
          <w:szCs w:val="18"/>
        </w:rPr>
        <w:t>Garanzie, Dichiarazioni di non Responsabilità e Limitazioni di Responsabilità</w:t>
      </w:r>
    </w:p>
    <w:p w:rsidR="00DD7F8E" w:rsidRPr="00A75DF9" w:rsidRDefault="00DD7F8E" w:rsidP="00CA52FE">
      <w:pPr>
        <w:ind w:left="360"/>
        <w:rPr>
          <w:rFonts w:cs="Tahoma"/>
        </w:rPr>
      </w:pPr>
      <w:r w:rsidRPr="00A75DF9">
        <w:rPr>
          <w:rFonts w:cs="Tahoma"/>
          <w:b/>
          <w:color w:val="000000"/>
          <w:szCs w:val="18"/>
        </w:rPr>
        <w:t>Garanzia per i Serviz</w:t>
      </w:r>
      <w:r w:rsidRPr="0084456B">
        <w:rPr>
          <w:rFonts w:cs="Tahoma"/>
          <w:b/>
          <w:color w:val="000000"/>
          <w:szCs w:val="18"/>
        </w:rPr>
        <w:t>i.</w:t>
      </w:r>
      <w:r w:rsidR="009D3B41" w:rsidRPr="00A75DF9">
        <w:rPr>
          <w:rFonts w:cs="Tahoma"/>
          <w:color w:val="000000"/>
          <w:szCs w:val="18"/>
        </w:rPr>
        <w:t xml:space="preserve"> </w:t>
      </w:r>
      <w:r w:rsidRPr="00A75DF9">
        <w:rPr>
          <w:rFonts w:cs="Tahoma"/>
          <w:color w:val="000000"/>
          <w:szCs w:val="18"/>
        </w:rPr>
        <w:t>Microsoft garantisce che tutti i Servizi verranno eseguiti con cura e competenza professionali.</w:t>
      </w:r>
    </w:p>
    <w:p w:rsidR="00DD7F8E" w:rsidRPr="00A75DF9" w:rsidRDefault="00DD7F8E" w:rsidP="00CA52FE">
      <w:pPr>
        <w:ind w:left="360"/>
        <w:rPr>
          <w:rFonts w:cs="Tahoma"/>
        </w:rPr>
      </w:pPr>
    </w:p>
    <w:p w:rsidR="00DD7F8E" w:rsidRPr="00A75DF9" w:rsidRDefault="00DD7F8E" w:rsidP="00AA3B53">
      <w:pPr>
        <w:ind w:left="360"/>
        <w:rPr>
          <w:rFonts w:cs="Tahoma"/>
        </w:rPr>
      </w:pPr>
      <w:r w:rsidRPr="00A75DF9">
        <w:rPr>
          <w:rFonts w:cs="Tahoma"/>
          <w:b/>
          <w:szCs w:val="18"/>
        </w:rPr>
        <w:t>ESCLUSIONE DI ALTRE GARANZIE</w:t>
      </w:r>
      <w:r w:rsidRPr="0084456B">
        <w:rPr>
          <w:rFonts w:cs="Tahoma"/>
          <w:b/>
          <w:iCs/>
          <w:szCs w:val="18"/>
        </w:rPr>
        <w:t>.</w:t>
      </w:r>
      <w:r w:rsidR="009D3B41" w:rsidRPr="00A75DF9">
        <w:rPr>
          <w:rFonts w:cs="Tahoma"/>
          <w:szCs w:val="18"/>
        </w:rPr>
        <w:t xml:space="preserve"> </w:t>
      </w:r>
      <w:r w:rsidRPr="00A75DF9">
        <w:rPr>
          <w:rFonts w:cs="Tahoma"/>
          <w:szCs w:val="18"/>
        </w:rPr>
        <w:t>NELLA MISURA MASSIMA CONSENTITA DALLA LEGGE APPLICABILE, MICROSOFT NON RICONOSCE ED ESCLUDE TUTTE LE DICHIARAZIONI, LE GARANZIE E LE CONDIZIONI ESPRESSE, IMPLICITE O DI LEGGE DIVERSE DA QUELLE SPECIFICATAMENTE INDICATE NEL PRESENTE CONTRATTO.</w:t>
      </w:r>
      <w:r w:rsidR="009D3B41" w:rsidRPr="00A75DF9">
        <w:rPr>
          <w:rFonts w:cs="Tahoma"/>
          <w:szCs w:val="18"/>
        </w:rPr>
        <w:t xml:space="preserve"> </w:t>
      </w:r>
      <w:r w:rsidRPr="00A75DF9">
        <w:rPr>
          <w:rFonts w:cs="Tahoma"/>
          <w:szCs w:val="18"/>
        </w:rPr>
        <w:t>LA PRESENTE DICHIARAZIONE DI NON RESPONSABILITÀ INCLUDE QUALSIASI GARANZIA O</w:t>
      </w:r>
      <w:r w:rsidR="00AA3B53">
        <w:rPr>
          <w:rFonts w:cs="Tahoma"/>
          <w:szCs w:val="18"/>
        </w:rPr>
        <w:t> </w:t>
      </w:r>
      <w:r w:rsidRPr="00A75DF9">
        <w:rPr>
          <w:rFonts w:cs="Tahoma"/>
          <w:szCs w:val="18"/>
        </w:rPr>
        <w:t>CONDIZIONE DI TITOLARITÀ, DI NON VIOLAZIONE DI DIRITTI ALTRUI, DI QUALITÀ O RISULTATI SODDISFACENTI, DI COMMERCIABILITÀ (QUALITÀ NON INFERIORE ALLA MEDIA) E DI ADEGUATEZZA PER UNO SCOPO SPECIFICO, RELATIVAMENTE A CONSULENZA, RACCOMANDAZIONI, FIX, MATERIALE FORNITO CON I SERVIZI E MATERIALE CORRELATO FORNITO DA MICROSOFT E DA CONSOCIATE, FORNITORI E APPALTATORI MICROSOFT DURANTE L</w:t>
      </w:r>
      <w:r w:rsidR="00F2643E">
        <w:rPr>
          <w:rFonts w:cs="Tahoma"/>
          <w:szCs w:val="18"/>
        </w:rPr>
        <w:t>’</w:t>
      </w:r>
      <w:r w:rsidRPr="00A75DF9">
        <w:rPr>
          <w:rFonts w:cs="Tahoma"/>
          <w:szCs w:val="18"/>
        </w:rPr>
        <w:t>EROGAZIONE DEI SERVIZI.</w:t>
      </w:r>
      <w:r w:rsidR="009D3B41" w:rsidRPr="00A75DF9">
        <w:rPr>
          <w:rFonts w:cs="Tahoma"/>
          <w:szCs w:val="18"/>
        </w:rPr>
        <w:t xml:space="preserve"> </w:t>
      </w:r>
    </w:p>
    <w:p w:rsidR="00DD7F8E" w:rsidRPr="00A75DF9" w:rsidRDefault="00DD7F8E" w:rsidP="00CA52FE">
      <w:pPr>
        <w:ind w:left="360"/>
        <w:rPr>
          <w:rFonts w:cs="Tahoma"/>
        </w:rPr>
      </w:pPr>
    </w:p>
    <w:p w:rsidR="00DD7F8E" w:rsidRPr="00A75DF9" w:rsidRDefault="00DD7F8E" w:rsidP="00CA52FE">
      <w:pPr>
        <w:ind w:left="360"/>
        <w:rPr>
          <w:rFonts w:cs="Tahoma"/>
        </w:rPr>
      </w:pPr>
      <w:r w:rsidRPr="00A75DF9">
        <w:rPr>
          <w:rFonts w:cs="Tahoma"/>
          <w:b/>
          <w:szCs w:val="18"/>
        </w:rPr>
        <w:t>Limitazione di Responsabilità</w:t>
      </w:r>
      <w:r w:rsidRPr="0084456B">
        <w:rPr>
          <w:rFonts w:cs="Tahoma"/>
          <w:b/>
          <w:bCs/>
          <w:szCs w:val="18"/>
        </w:rPr>
        <w:t>.</w:t>
      </w:r>
      <w:r w:rsidR="009D3B41" w:rsidRPr="00A75DF9">
        <w:rPr>
          <w:rFonts w:cs="Tahoma"/>
          <w:szCs w:val="18"/>
        </w:rPr>
        <w:t xml:space="preserve"> </w:t>
      </w:r>
      <w:r w:rsidRPr="00A75DF9">
        <w:rPr>
          <w:rFonts w:cs="Tahoma"/>
          <w:szCs w:val="18"/>
        </w:rPr>
        <w:t>La responsabilità complessiva di Microsoft per i danni diretti sarà limitata alla misura massima consentita dalla legge applicabile agli importi versati dalla Società per il pagamento dei Servizi che hanno dato origine al reclamo nei 12 mesi precedenti al reclamo.</w:t>
      </w:r>
      <w:r w:rsidR="009D3B41" w:rsidRPr="00A75DF9">
        <w:rPr>
          <w:rFonts w:cs="Tahoma"/>
          <w:szCs w:val="18"/>
        </w:rPr>
        <w:t xml:space="preserve"> </w:t>
      </w:r>
    </w:p>
    <w:p w:rsidR="00DD7F8E" w:rsidRPr="00A75DF9" w:rsidRDefault="00DD7F8E" w:rsidP="00CA52FE">
      <w:pPr>
        <w:ind w:left="360"/>
        <w:rPr>
          <w:rFonts w:cs="Tahoma"/>
        </w:rPr>
      </w:pPr>
    </w:p>
    <w:p w:rsidR="00DD7F8E" w:rsidRPr="00A75DF9" w:rsidRDefault="00DD7F8E" w:rsidP="00AA3B53">
      <w:pPr>
        <w:ind w:left="360"/>
        <w:rPr>
          <w:rFonts w:cs="Tahoma"/>
        </w:rPr>
      </w:pPr>
      <w:r w:rsidRPr="00A75DF9">
        <w:rPr>
          <w:rFonts w:cs="Tahoma"/>
          <w:b/>
          <w:szCs w:val="18"/>
        </w:rPr>
        <w:t>ESCLUSIONE DI RESPONSABILITÀ PER DANNI PARTICOLARI</w:t>
      </w:r>
      <w:r w:rsidRPr="0084456B">
        <w:rPr>
          <w:rFonts w:cs="Tahoma"/>
          <w:b/>
          <w:bCs/>
          <w:szCs w:val="18"/>
        </w:rPr>
        <w:t>.</w:t>
      </w:r>
      <w:r w:rsidR="009D3B41" w:rsidRPr="00A75DF9">
        <w:rPr>
          <w:rFonts w:cs="Tahoma"/>
          <w:szCs w:val="18"/>
        </w:rPr>
        <w:t xml:space="preserve"> </w:t>
      </w:r>
      <w:r w:rsidRPr="00A75DF9">
        <w:rPr>
          <w:rFonts w:cs="Tahoma"/>
          <w:szCs w:val="18"/>
        </w:rPr>
        <w:t>NELLA MISURA MASSIMA CONSENTITA DALLA LEGGE APPLICABILE, NESSUNA DELLE PARTI NÉ DELLE RELATIVE CONSOCIATE O DEI RELATIVI FORNITORI O APPALTATORI SARÀ RESPONSABILE DI EVENTUALI DANNI INDIRETTI (INCLUSI, A TITOLO ESEMPLIFICATIVO, DANNI CONSEQUENZIALI, SPECIALI O INCIDENTALI, DANNI PER PERDITA O MANCATO GUADAGNO, INTERRUZIONE DELL</w:t>
      </w:r>
      <w:r w:rsidR="00F2643E">
        <w:rPr>
          <w:rFonts w:cs="Tahoma"/>
          <w:szCs w:val="18"/>
        </w:rPr>
        <w:t>’</w:t>
      </w:r>
      <w:r w:rsidRPr="00A75DF9">
        <w:rPr>
          <w:rFonts w:cs="Tahoma"/>
          <w:szCs w:val="18"/>
        </w:rPr>
        <w:t>ATTIVITÀ O PERDITA DI INFORMAZIONI) CORRELATI AL PRESENTE CONTRATTO, ANCHE NEL CASO IN CUI LA POSSIBILITÀ DEL VERIFICARSI DI TALI DANNI FOSSE STATA COMUNICATA O FOSSE RAGIONEVOLMENTE PREVEDIBILE.</w:t>
      </w:r>
      <w:r w:rsidR="009D3B41" w:rsidRPr="00A75DF9">
        <w:rPr>
          <w:rFonts w:cs="Tahoma"/>
          <w:szCs w:val="18"/>
        </w:rPr>
        <w:t xml:space="preserve"> </w:t>
      </w:r>
      <w:r w:rsidRPr="00A75DF9">
        <w:rPr>
          <w:rFonts w:cs="Tahoma"/>
          <w:szCs w:val="18"/>
        </w:rPr>
        <w:t>TALE ESCLUSIONE DI RESPONSABILITÀ NON SI</w:t>
      </w:r>
      <w:r w:rsidR="00AA3B53">
        <w:rPr>
          <w:rFonts w:cs="Tahoma"/>
          <w:szCs w:val="18"/>
        </w:rPr>
        <w:t> </w:t>
      </w:r>
      <w:r w:rsidRPr="00A75DF9">
        <w:rPr>
          <w:rFonts w:cs="Tahoma"/>
          <w:szCs w:val="18"/>
        </w:rPr>
        <w:t>APPLICA NEL CASO DI INADEMPIMENTO DELLE OBBLIGAZIONI DI RISERVATEZZA DI UNA PARTE NEI CONFRONTI DELL</w:t>
      </w:r>
      <w:r w:rsidR="00F2643E">
        <w:rPr>
          <w:rFonts w:cs="Tahoma"/>
          <w:szCs w:val="18"/>
        </w:rPr>
        <w:t>’</w:t>
      </w:r>
      <w:r w:rsidRPr="00A75DF9">
        <w:rPr>
          <w:rFonts w:cs="Tahoma"/>
          <w:szCs w:val="18"/>
        </w:rPr>
        <w:t>ALTRA O NEL CASO DI VIOLAZIONE DEI DIRITTI DI PROPRIETÀ INTELLETTUALE DELL</w:t>
      </w:r>
      <w:r w:rsidR="00F2643E">
        <w:rPr>
          <w:rFonts w:cs="Tahoma"/>
          <w:szCs w:val="18"/>
        </w:rPr>
        <w:t>’</w:t>
      </w:r>
      <w:r w:rsidRPr="00A75DF9">
        <w:rPr>
          <w:rFonts w:cs="Tahoma"/>
          <w:szCs w:val="18"/>
        </w:rPr>
        <w:t>ALTRA PARTE.</w:t>
      </w:r>
    </w:p>
    <w:p w:rsidR="00DD7F8E" w:rsidRPr="00A75DF9" w:rsidRDefault="00DD7F8E" w:rsidP="00CA52FE">
      <w:pPr>
        <w:ind w:left="360" w:hanging="360"/>
        <w:jc w:val="both"/>
        <w:rPr>
          <w:rFonts w:cs="Tahoma"/>
        </w:rPr>
      </w:pPr>
    </w:p>
    <w:p w:rsidR="00DD7F8E" w:rsidRPr="00A75DF9" w:rsidRDefault="00DD7F8E" w:rsidP="00CA52FE">
      <w:pPr>
        <w:ind w:left="360"/>
        <w:rPr>
          <w:rFonts w:cs="Tahoma"/>
        </w:rPr>
      </w:pPr>
      <w:r w:rsidRPr="00A75DF9">
        <w:rPr>
          <w:rFonts w:cs="Tahoma"/>
          <w:b/>
          <w:szCs w:val="18"/>
        </w:rPr>
        <w:t>Applicazione</w:t>
      </w:r>
      <w:r w:rsidRPr="0084456B">
        <w:rPr>
          <w:rFonts w:cs="Tahoma"/>
          <w:b/>
          <w:bCs/>
          <w:szCs w:val="18"/>
        </w:rPr>
        <w:t>.</w:t>
      </w:r>
      <w:r w:rsidR="009D3B41" w:rsidRPr="00A75DF9">
        <w:rPr>
          <w:rFonts w:cs="Tahoma"/>
          <w:szCs w:val="18"/>
        </w:rPr>
        <w:t xml:space="preserve"> </w:t>
      </w:r>
      <w:r w:rsidRPr="00A75DF9">
        <w:rPr>
          <w:rFonts w:cs="Tahoma"/>
          <w:szCs w:val="18"/>
        </w:rPr>
        <w:t>Fatto salvo quanto espressamente indicato nel presente documento, le limitazioni e le esclusioni di responsabilità per danni, contenute nel presente contratto, sono comunque applicabili qualunque sia la natura della responsabilità, ovvero anche nel caso in cui la responsabilità derivi da inadempimento contrattuale, illecito civile (inclusa la negligenza), responsabilità oggettiva o violazione di garanzie.</w:t>
      </w:r>
    </w:p>
    <w:p w:rsidR="00023FE7" w:rsidRDefault="00023FE7">
      <w:pPr>
        <w:tabs>
          <w:tab w:val="left" w:pos="2936"/>
        </w:tabs>
        <w:rPr>
          <w:rFonts w:cs="Tahoma"/>
        </w:rPr>
      </w:pPr>
    </w:p>
    <w:p w:rsidR="000F4095" w:rsidRPr="00A75DF9" w:rsidRDefault="000F4095" w:rsidP="000F4095">
      <w:pPr>
        <w:rPr>
          <w:rFonts w:cs="Tahoma"/>
        </w:rPr>
      </w:pPr>
      <w:r w:rsidRPr="00A75DF9">
        <w:rPr>
          <w:rFonts w:cs="Tahoma"/>
          <w:b/>
          <w:sz w:val="24"/>
          <w:szCs w:val="24"/>
        </w:rPr>
        <w:lastRenderedPageBreak/>
        <w:t>Offerte di Supporto per Microsoft Dynamics CRM Online</w:t>
      </w:r>
    </w:p>
    <w:p w:rsidR="000F4095" w:rsidRPr="00A75DF9" w:rsidRDefault="000F4095" w:rsidP="000F4095">
      <w:pPr>
        <w:rPr>
          <w:rFonts w:cs="Tahoma"/>
        </w:rPr>
      </w:pPr>
    </w:p>
    <w:p w:rsidR="000F4095" w:rsidRPr="00A75DF9" w:rsidRDefault="000F4095" w:rsidP="000F4095">
      <w:pPr>
        <w:jc w:val="both"/>
        <w:rPr>
          <w:rFonts w:cs="Tahoma"/>
        </w:rPr>
      </w:pPr>
      <w:r w:rsidRPr="00A75DF9">
        <w:rPr>
          <w:rFonts w:cs="Tahoma"/>
          <w:color w:val="000000"/>
          <w:szCs w:val="18"/>
        </w:rPr>
        <w:t xml:space="preserve">Salvo quanto diversamente specificato sotto, i Servizi di Supporto per Microsoft Dynamics CRM Online sono disponibili per Microsoft Dynamics CRM Online. </w:t>
      </w:r>
    </w:p>
    <w:p w:rsidR="000F4095" w:rsidRPr="00A75DF9" w:rsidRDefault="000F4095" w:rsidP="000F4095">
      <w:pPr>
        <w:tabs>
          <w:tab w:val="left" w:pos="360"/>
        </w:tabs>
        <w:jc w:val="both"/>
        <w:rPr>
          <w:rFonts w:cs="Tahoma"/>
        </w:rPr>
      </w:pPr>
    </w:p>
    <w:p w:rsidR="000F4095" w:rsidRPr="00A75DF9" w:rsidRDefault="000F4095" w:rsidP="00AA3B53">
      <w:pPr>
        <w:tabs>
          <w:tab w:val="left" w:pos="360"/>
        </w:tabs>
        <w:jc w:val="both"/>
        <w:rPr>
          <w:rFonts w:cs="Tahoma"/>
        </w:rPr>
      </w:pPr>
      <w:r w:rsidRPr="00A75DF9">
        <w:rPr>
          <w:rFonts w:cs="Tahoma"/>
          <w:szCs w:val="18"/>
        </w:rPr>
        <w:t xml:space="preserve">I Servizi verranno forniti dal team di Supporto di Microsoft </w:t>
      </w:r>
      <w:r w:rsidRPr="00A75DF9">
        <w:rPr>
          <w:rFonts w:cs="Tahoma"/>
          <w:color w:val="000000"/>
          <w:szCs w:val="18"/>
        </w:rPr>
        <w:t>Dynamics CRM Online</w:t>
      </w:r>
      <w:r w:rsidRPr="00A75DF9">
        <w:rPr>
          <w:rFonts w:cs="Tahoma"/>
          <w:szCs w:val="18"/>
        </w:rPr>
        <w:t>, che comprende specialisti di</w:t>
      </w:r>
      <w:r w:rsidR="00AA3B53">
        <w:rPr>
          <w:rFonts w:cs="Tahoma"/>
          <w:szCs w:val="18"/>
        </w:rPr>
        <w:t> </w:t>
      </w:r>
      <w:r w:rsidRPr="00A75DF9">
        <w:rPr>
          <w:rFonts w:cs="Tahoma"/>
          <w:szCs w:val="18"/>
        </w:rPr>
        <w:t xml:space="preserve">Microsoft </w:t>
      </w:r>
      <w:r w:rsidRPr="00A75DF9">
        <w:rPr>
          <w:rFonts w:cs="Tahoma"/>
          <w:color w:val="000000"/>
          <w:szCs w:val="18"/>
        </w:rPr>
        <w:t>Dynamics CRM Online</w:t>
      </w:r>
      <w:r w:rsidRPr="00A75DF9">
        <w:rPr>
          <w:rFonts w:cs="Tahoma"/>
          <w:szCs w:val="18"/>
        </w:rPr>
        <w:t xml:space="preserve"> che risponderanno alle richieste di supporto di una società</w:t>
      </w:r>
      <w:r w:rsidRPr="00A75DF9">
        <w:rPr>
          <w:rFonts w:cs="Tahoma"/>
          <w:snapToGrid w:val="0"/>
          <w:szCs w:val="18"/>
        </w:rPr>
        <w:t xml:space="preserve">. </w:t>
      </w:r>
    </w:p>
    <w:p w:rsidR="000F4095" w:rsidRPr="00A75DF9" w:rsidRDefault="000F4095" w:rsidP="00AA3B53">
      <w:pPr>
        <w:tabs>
          <w:tab w:val="left" w:pos="360"/>
        </w:tabs>
        <w:jc w:val="both"/>
        <w:rPr>
          <w:rFonts w:cs="Tahoma"/>
        </w:rPr>
      </w:pPr>
      <w:r w:rsidRPr="00A75DF9">
        <w:rPr>
          <w:rFonts w:cs="Tahoma"/>
          <w:szCs w:val="18"/>
        </w:rPr>
        <w:t>“Intervento” indica una richiesta di assistenza in garanzia per un</w:t>
      </w:r>
      <w:r w:rsidR="00F2643E">
        <w:rPr>
          <w:rFonts w:cs="Tahoma"/>
          <w:szCs w:val="18"/>
        </w:rPr>
        <w:t>’</w:t>
      </w:r>
      <w:r w:rsidRPr="00A75DF9">
        <w:rPr>
          <w:rFonts w:cs="Tahoma"/>
          <w:szCs w:val="18"/>
        </w:rPr>
        <w:t>Unica Problematica di Assistenza.</w:t>
      </w:r>
      <w:r w:rsidR="009D3B41" w:rsidRPr="00A75DF9">
        <w:rPr>
          <w:rFonts w:cs="Tahoma"/>
          <w:szCs w:val="18"/>
        </w:rPr>
        <w:t xml:space="preserve"> </w:t>
      </w:r>
      <w:r w:rsidRPr="00A75DF9">
        <w:rPr>
          <w:rFonts w:cs="Tahoma"/>
          <w:szCs w:val="18"/>
        </w:rPr>
        <w:t>“Unica Problematica di Assistenza” indica un problema che non può essere suddiviso in problematiche subordinate.</w:t>
      </w:r>
      <w:r w:rsidR="009D3B41" w:rsidRPr="00A75DF9">
        <w:rPr>
          <w:rFonts w:cs="Tahoma"/>
          <w:szCs w:val="18"/>
        </w:rPr>
        <w:t xml:space="preserve"> </w:t>
      </w:r>
      <w:r w:rsidRPr="00A75DF9">
        <w:rPr>
          <w:rFonts w:cs="Tahoma"/>
          <w:szCs w:val="18"/>
        </w:rPr>
        <w:t>Qualora un problema sia composto da problematiche subordinate, ogni problematica dovrà essere considerata un Intervento distinto.</w:t>
      </w:r>
      <w:r w:rsidR="009D3B41" w:rsidRPr="00A75DF9">
        <w:rPr>
          <w:rFonts w:cs="Tahoma"/>
          <w:szCs w:val="18"/>
        </w:rPr>
        <w:t xml:space="preserve"> </w:t>
      </w:r>
      <w:r w:rsidRPr="00A75DF9">
        <w:rPr>
          <w:rFonts w:cs="Tahoma"/>
          <w:szCs w:val="18"/>
        </w:rPr>
        <w:t>Gli Interventi includono la quantità ragionevole sotto il profilo commerciale di servizi necessari per individuare e risolvere la problematica di assistenza.</w:t>
      </w:r>
      <w:r w:rsidR="009D3B41" w:rsidRPr="00A75DF9">
        <w:rPr>
          <w:rFonts w:cs="Tahoma"/>
          <w:szCs w:val="18"/>
        </w:rPr>
        <w:t xml:space="preserve"> </w:t>
      </w:r>
      <w:r w:rsidRPr="00A75DF9">
        <w:rPr>
          <w:rFonts w:cs="Tahoma"/>
          <w:szCs w:val="18"/>
        </w:rPr>
        <w:t xml:space="preserve">Gli Interventi potranno essere eseguiti tramite il sito Web del supporto assistito online </w:t>
      </w:r>
      <w:r w:rsidR="00AA3B53" w:rsidRPr="003D33A1">
        <w:t>https://portal.microsoftonline.com/</w:t>
      </w:r>
      <w:r w:rsidR="009D3B41" w:rsidRPr="00A75DF9">
        <w:rPr>
          <w:rFonts w:cs="Tahoma"/>
          <w:szCs w:val="18"/>
        </w:rPr>
        <w:t xml:space="preserve"> </w:t>
      </w:r>
    </w:p>
    <w:p w:rsidR="000F4095" w:rsidRPr="00A75DF9" w:rsidRDefault="000F4095" w:rsidP="000F4095">
      <w:pPr>
        <w:tabs>
          <w:tab w:val="left" w:pos="360"/>
        </w:tabs>
        <w:jc w:val="both"/>
        <w:rPr>
          <w:rFonts w:cs="Tahoma"/>
        </w:rPr>
      </w:pPr>
    </w:p>
    <w:p w:rsidR="000F4095" w:rsidRPr="00A75DF9" w:rsidRDefault="000F4095" w:rsidP="000F4095">
      <w:pPr>
        <w:tabs>
          <w:tab w:val="left" w:pos="360"/>
        </w:tabs>
        <w:jc w:val="both"/>
        <w:rPr>
          <w:rFonts w:cs="Tahoma"/>
        </w:rPr>
      </w:pPr>
      <w:r w:rsidRPr="00A75DF9">
        <w:rPr>
          <w:rFonts w:cs="Tahoma"/>
          <w:szCs w:val="18"/>
        </w:rPr>
        <w:t xml:space="preserve">I Servizi verranno forniti in lingua inglese salvo quanto diversamente concordato tra una società e Microsoft per iscritto. Servizi aggiuntivi, inclusi i servizi di supporto tecnico, potranno essere disponibili per Microsoft </w:t>
      </w:r>
      <w:r w:rsidRPr="00A75DF9">
        <w:rPr>
          <w:rFonts w:cs="Tahoma"/>
          <w:color w:val="000000"/>
          <w:szCs w:val="18"/>
        </w:rPr>
        <w:t>Dynamics CRM Online</w:t>
      </w:r>
      <w:r w:rsidRPr="00A75DF9">
        <w:rPr>
          <w:rFonts w:cs="Tahoma"/>
          <w:szCs w:val="18"/>
        </w:rPr>
        <w:t xml:space="preserve"> in conformità a un contratto specifico stipulato tra le parti.</w:t>
      </w:r>
      <w:r w:rsidR="009D3B41" w:rsidRPr="00A75DF9">
        <w:rPr>
          <w:rFonts w:cs="Tahoma"/>
          <w:szCs w:val="18"/>
        </w:rPr>
        <w:t xml:space="preserve"> </w:t>
      </w:r>
      <w:r w:rsidRPr="00A75DF9">
        <w:rPr>
          <w:rFonts w:cs="Tahoma"/>
          <w:szCs w:val="18"/>
        </w:rPr>
        <w:t>Tali servizi aggiuntivi saranno disciplinati dalle condizioni di tale contratto specifico.</w:t>
      </w:r>
    </w:p>
    <w:p w:rsidR="000F4095" w:rsidRPr="00A75DF9" w:rsidRDefault="000F4095" w:rsidP="000F4095">
      <w:pPr>
        <w:jc w:val="both"/>
        <w:rPr>
          <w:rFonts w:cs="Tahoma"/>
        </w:rPr>
      </w:pPr>
    </w:p>
    <w:p w:rsidR="000F4095" w:rsidRPr="00A75DF9" w:rsidRDefault="000F4095" w:rsidP="000F4095">
      <w:pPr>
        <w:widowControl w:val="0"/>
        <w:tabs>
          <w:tab w:val="left" w:pos="720"/>
          <w:tab w:val="left" w:pos="1170"/>
        </w:tabs>
        <w:rPr>
          <w:rFonts w:cs="Tahoma"/>
        </w:rPr>
      </w:pPr>
      <w:r w:rsidRPr="00A75DF9">
        <w:rPr>
          <w:rFonts w:cs="Tahoma"/>
          <w:b/>
          <w:bCs/>
          <w:sz w:val="24"/>
          <w:szCs w:val="18"/>
        </w:rPr>
        <w:t>Supporto Professionale Diretto per Microsoft Dynamics CRM Online</w:t>
      </w:r>
    </w:p>
    <w:p w:rsidR="000F4095" w:rsidRPr="00A75DF9" w:rsidRDefault="000F4095" w:rsidP="000F4095">
      <w:pPr>
        <w:tabs>
          <w:tab w:val="left" w:pos="360"/>
        </w:tabs>
        <w:jc w:val="both"/>
        <w:rPr>
          <w:rFonts w:cs="Tahoma"/>
        </w:rPr>
      </w:pPr>
    </w:p>
    <w:p w:rsidR="000F4095" w:rsidRPr="00A75DF9" w:rsidRDefault="000F4095" w:rsidP="00AA3B53">
      <w:pPr>
        <w:tabs>
          <w:tab w:val="left" w:pos="360"/>
        </w:tabs>
        <w:rPr>
          <w:rFonts w:cs="Tahoma"/>
        </w:rPr>
      </w:pPr>
      <w:r w:rsidRPr="00A75DF9">
        <w:rPr>
          <w:rFonts w:cs="Tahoma"/>
          <w:i/>
          <w:color w:val="000000"/>
          <w:szCs w:val="18"/>
        </w:rPr>
        <w:t>Disponibilità commerciale limitata</w:t>
      </w:r>
      <w:r w:rsidRPr="00A75DF9">
        <w:rPr>
          <w:rFonts w:cs="Tahoma"/>
          <w:color w:val="000000"/>
          <w:szCs w:val="18"/>
        </w:rPr>
        <w:t xml:space="preserve"> - Il Supporto Professionale Diretto per i servizi Microsoft Dynamics CRM Online delineati di seguito sono erogati in lingua inglese solo in un numero limitato di paesi </w:t>
      </w:r>
      <w:r w:rsidR="00AA3B53" w:rsidRPr="003D33A1">
        <w:rPr>
          <w:rFonts w:cs="Arial"/>
          <w:color w:val="000000"/>
          <w:szCs w:val="18"/>
        </w:rPr>
        <w:t>http://www.microsoft.com/dynamics/customer/en-us/service-plans.aspx</w:t>
      </w:r>
      <w:r w:rsidRPr="00A75DF9">
        <w:rPr>
          <w:rFonts w:cs="Tahoma"/>
          <w:szCs w:val="18"/>
        </w:rPr>
        <w:t>.</w:t>
      </w:r>
    </w:p>
    <w:p w:rsidR="000F4095" w:rsidRPr="00A75DF9" w:rsidRDefault="000F4095" w:rsidP="000F4095">
      <w:pPr>
        <w:tabs>
          <w:tab w:val="left" w:pos="360"/>
        </w:tabs>
        <w:jc w:val="both"/>
        <w:rPr>
          <w:rFonts w:cs="Tahoma"/>
        </w:rPr>
      </w:pPr>
    </w:p>
    <w:p w:rsidR="000F4095" w:rsidRPr="00A75DF9" w:rsidRDefault="000F4095" w:rsidP="000F4095">
      <w:pPr>
        <w:tabs>
          <w:tab w:val="left" w:pos="360"/>
        </w:tabs>
        <w:jc w:val="both"/>
        <w:rPr>
          <w:rFonts w:cs="Tahoma"/>
        </w:rPr>
      </w:pPr>
      <w:r w:rsidRPr="00A75DF9">
        <w:rPr>
          <w:rFonts w:cs="Tahoma"/>
          <w:color w:val="000000"/>
          <w:szCs w:val="18"/>
        </w:rPr>
        <w:t>Le società avranno la responsabilità di definire il livello di gravità iniziale utilizzando la procedura di invio tramite Web in linea con le indicazioni di gravità fornite di seguito. Microsoft potrà ridurre il livello di gravità; ciò potrà avvenire anche nei casi in cui la società non fornisca risorse o risposte adeguate a supportare Microsoft nel suo impegno volto a risolvere il problema.</w:t>
      </w:r>
      <w:r w:rsidR="009D3B41" w:rsidRPr="00A75DF9">
        <w:rPr>
          <w:rFonts w:cs="Tahoma"/>
          <w:color w:val="000000"/>
          <w:szCs w:val="18"/>
        </w:rPr>
        <w:t xml:space="preserve"> </w:t>
      </w:r>
      <w:r w:rsidRPr="00A75DF9">
        <w:rPr>
          <w:rFonts w:cs="Tahoma"/>
          <w:color w:val="000000"/>
          <w:szCs w:val="18"/>
        </w:rPr>
        <w:t>La gravità dell</w:t>
      </w:r>
      <w:r w:rsidR="00F2643E">
        <w:rPr>
          <w:rFonts w:cs="Tahoma"/>
          <w:color w:val="000000"/>
          <w:szCs w:val="18"/>
        </w:rPr>
        <w:t>’</w:t>
      </w:r>
      <w:r w:rsidRPr="00A75DF9">
        <w:rPr>
          <w:rFonts w:cs="Tahoma"/>
          <w:color w:val="000000"/>
          <w:szCs w:val="18"/>
        </w:rPr>
        <w:t>intervento determinerà i livelli di risposta da parte di Microsoft. I tempi di risposta previsti sono definiti nella tabella che segue.</w:t>
      </w:r>
      <w:r w:rsidR="009D3B41" w:rsidRPr="00A75DF9">
        <w:rPr>
          <w:rFonts w:cs="Tahoma"/>
          <w:color w:val="000000"/>
          <w:szCs w:val="18"/>
        </w:rPr>
        <w:t xml:space="preserve"> </w:t>
      </w:r>
      <w:r w:rsidRPr="00A75DF9">
        <w:rPr>
          <w:rFonts w:cs="Tahoma"/>
          <w:color w:val="000000"/>
          <w:szCs w:val="18"/>
        </w:rPr>
        <w:t>La possibilità per Microsoft di offrire i servizi dipende dalla totale e tempestiva collaborazione della società e dall</w:t>
      </w:r>
      <w:r w:rsidR="00F2643E">
        <w:rPr>
          <w:rFonts w:cs="Tahoma"/>
          <w:color w:val="000000"/>
          <w:szCs w:val="18"/>
        </w:rPr>
        <w:t>’</w:t>
      </w:r>
      <w:r w:rsidRPr="00A75DF9">
        <w:rPr>
          <w:rFonts w:cs="Tahoma"/>
          <w:color w:val="000000"/>
          <w:szCs w:val="18"/>
        </w:rPr>
        <w:t>accuratezza e completezza dei dati forniti.</w:t>
      </w:r>
    </w:p>
    <w:p w:rsidR="000F4095" w:rsidRPr="00A75DF9" w:rsidRDefault="000F4095" w:rsidP="000F4095">
      <w:pPr>
        <w:tabs>
          <w:tab w:val="left" w:pos="360"/>
        </w:tabs>
        <w:jc w:val="both"/>
        <w:rPr>
          <w:rFonts w:cs="Tahoma"/>
        </w:rPr>
      </w:pPr>
    </w:p>
    <w:p w:rsidR="000F4095" w:rsidRPr="00A75DF9" w:rsidRDefault="000F4095" w:rsidP="000F4095">
      <w:pPr>
        <w:rPr>
          <w:rFonts w:cs="Tahoma"/>
        </w:rPr>
      </w:pPr>
    </w:p>
    <w:tbl>
      <w:tblPr>
        <w:tblW w:w="95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47"/>
        <w:gridCol w:w="1800"/>
        <w:gridCol w:w="3171"/>
        <w:gridCol w:w="3222"/>
      </w:tblGrid>
      <w:tr w:rsidR="000F4095" w:rsidRPr="00A75DF9" w:rsidTr="00AA3B53">
        <w:tc>
          <w:tcPr>
            <w:tcW w:w="1347" w:type="dxa"/>
            <w:shd w:val="clear" w:color="auto" w:fill="FABF8F"/>
          </w:tcPr>
          <w:p w:rsidR="000F4095" w:rsidRPr="00A75DF9" w:rsidRDefault="000F4095" w:rsidP="00343766">
            <w:pPr>
              <w:jc w:val="center"/>
              <w:rPr>
                <w:rFonts w:cs="Tahoma"/>
                <w:b/>
                <w:bCs/>
                <w:color w:val="000000"/>
                <w:sz w:val="20"/>
                <w:szCs w:val="18"/>
              </w:rPr>
            </w:pPr>
            <w:r w:rsidRPr="00A75DF9">
              <w:rPr>
                <w:rFonts w:cs="Tahoma"/>
                <w:b/>
                <w:bCs/>
                <w:color w:val="000000"/>
                <w:sz w:val="20"/>
                <w:szCs w:val="18"/>
              </w:rPr>
              <w:t>Severity</w:t>
            </w:r>
          </w:p>
        </w:tc>
        <w:tc>
          <w:tcPr>
            <w:tcW w:w="1800" w:type="dxa"/>
            <w:shd w:val="clear" w:color="auto" w:fill="FABF8F"/>
          </w:tcPr>
          <w:p w:rsidR="000F4095" w:rsidRPr="00A75DF9" w:rsidRDefault="000F4095" w:rsidP="00343766">
            <w:pPr>
              <w:jc w:val="center"/>
              <w:rPr>
                <w:rFonts w:cs="Tahoma"/>
                <w:b/>
                <w:bCs/>
                <w:color w:val="000000"/>
                <w:sz w:val="20"/>
                <w:szCs w:val="18"/>
              </w:rPr>
            </w:pPr>
            <w:r w:rsidRPr="00A75DF9">
              <w:rPr>
                <w:rFonts w:cs="Tahoma"/>
                <w:b/>
                <w:bCs/>
                <w:color w:val="000000"/>
                <w:sz w:val="20"/>
                <w:szCs w:val="18"/>
              </w:rPr>
              <w:t>Contatto</w:t>
            </w:r>
          </w:p>
        </w:tc>
        <w:tc>
          <w:tcPr>
            <w:tcW w:w="3171" w:type="dxa"/>
            <w:shd w:val="clear" w:color="auto" w:fill="FABF8F"/>
          </w:tcPr>
          <w:p w:rsidR="000F4095" w:rsidRPr="00A75DF9" w:rsidRDefault="000F4095" w:rsidP="00343766">
            <w:pPr>
              <w:jc w:val="center"/>
              <w:rPr>
                <w:rFonts w:cs="Tahoma"/>
                <w:b/>
                <w:bCs/>
                <w:color w:val="000000"/>
                <w:sz w:val="20"/>
                <w:szCs w:val="18"/>
              </w:rPr>
            </w:pPr>
            <w:r w:rsidRPr="00A75DF9">
              <w:rPr>
                <w:rFonts w:cs="Tahoma"/>
                <w:b/>
                <w:bCs/>
                <w:color w:val="000000"/>
                <w:sz w:val="20"/>
                <w:szCs w:val="18"/>
              </w:rPr>
              <w:t>Situazione della Società</w:t>
            </w:r>
          </w:p>
        </w:tc>
        <w:tc>
          <w:tcPr>
            <w:tcW w:w="3222" w:type="dxa"/>
            <w:shd w:val="clear" w:color="auto" w:fill="FABF8F"/>
          </w:tcPr>
          <w:p w:rsidR="000F4095" w:rsidRPr="00A75DF9" w:rsidRDefault="000F4095" w:rsidP="00343766">
            <w:pPr>
              <w:jc w:val="center"/>
              <w:rPr>
                <w:rFonts w:cs="Tahoma"/>
                <w:b/>
                <w:bCs/>
                <w:color w:val="000000"/>
                <w:sz w:val="20"/>
                <w:szCs w:val="18"/>
              </w:rPr>
            </w:pPr>
            <w:r w:rsidRPr="00A75DF9">
              <w:rPr>
                <w:rFonts w:cs="Tahoma"/>
                <w:b/>
                <w:bCs/>
                <w:color w:val="000000"/>
                <w:sz w:val="20"/>
                <w:szCs w:val="18"/>
              </w:rPr>
              <w:t>Risposta di Microsoft Attesa</w:t>
            </w:r>
          </w:p>
        </w:tc>
      </w:tr>
      <w:tr w:rsidR="000F4095" w:rsidRPr="00A75DF9" w:rsidTr="00AA3B53">
        <w:tc>
          <w:tcPr>
            <w:tcW w:w="1347" w:type="dxa"/>
          </w:tcPr>
          <w:p w:rsidR="000F4095" w:rsidRPr="00A75DF9" w:rsidRDefault="000F4095" w:rsidP="00343766">
            <w:pPr>
              <w:spacing w:after="60" w:line="240" w:lineRule="atLeast"/>
              <w:jc w:val="center"/>
              <w:rPr>
                <w:rFonts w:cs="Tahoma"/>
                <w:szCs w:val="18"/>
              </w:rPr>
            </w:pPr>
            <w:r w:rsidRPr="00A75DF9">
              <w:rPr>
                <w:rFonts w:cs="Tahoma"/>
                <w:szCs w:val="18"/>
              </w:rPr>
              <w:t>A</w:t>
            </w:r>
          </w:p>
        </w:tc>
        <w:tc>
          <w:tcPr>
            <w:tcW w:w="1800" w:type="dxa"/>
          </w:tcPr>
          <w:p w:rsidR="000F4095" w:rsidRPr="00A75DF9" w:rsidRDefault="000F4095" w:rsidP="00AA3B53">
            <w:pPr>
              <w:spacing w:after="60" w:line="240" w:lineRule="atLeast"/>
              <w:jc w:val="center"/>
              <w:rPr>
                <w:rFonts w:cs="Tahoma"/>
                <w:szCs w:val="18"/>
              </w:rPr>
            </w:pPr>
            <w:r w:rsidRPr="00A75DF9">
              <w:rPr>
                <w:rFonts w:cs="Tahoma"/>
                <w:szCs w:val="18"/>
              </w:rPr>
              <w:t>Formulazione via</w:t>
            </w:r>
            <w:r w:rsidR="00AA3B53">
              <w:rPr>
                <w:rFonts w:cs="Tahoma"/>
                <w:szCs w:val="18"/>
              </w:rPr>
              <w:t> </w:t>
            </w:r>
            <w:r w:rsidRPr="00A75DF9">
              <w:rPr>
                <w:rFonts w:cs="Tahoma"/>
                <w:szCs w:val="18"/>
              </w:rPr>
              <w:t>Web</w:t>
            </w:r>
          </w:p>
        </w:tc>
        <w:tc>
          <w:tcPr>
            <w:tcW w:w="3171" w:type="dxa"/>
          </w:tcPr>
          <w:p w:rsidR="000F4095" w:rsidRPr="00A75DF9" w:rsidRDefault="000F4095" w:rsidP="00343766">
            <w:pPr>
              <w:spacing w:after="60" w:line="240" w:lineRule="atLeast"/>
              <w:rPr>
                <w:rFonts w:cs="Tahoma"/>
              </w:rPr>
            </w:pPr>
            <w:r w:rsidRPr="00A75DF9">
              <w:rPr>
                <w:rFonts w:cs="Tahoma"/>
                <w:szCs w:val="18"/>
              </w:rPr>
              <w:t>Impatto commerciale critico</w:t>
            </w:r>
          </w:p>
          <w:p w:rsidR="000F4095" w:rsidRPr="00A75DF9" w:rsidRDefault="000F4095" w:rsidP="00343766">
            <w:pPr>
              <w:spacing w:after="60" w:line="240" w:lineRule="atLeast"/>
              <w:rPr>
                <w:rFonts w:cs="Tahoma"/>
              </w:rPr>
            </w:pPr>
            <w:r w:rsidRPr="00A75DF9">
              <w:rPr>
                <w:rFonts w:cs="Tahoma"/>
                <w:szCs w:val="18"/>
              </w:rPr>
              <w:t>Perdita o degradazione significativa dei servizi (applicazione fuori uso)</w:t>
            </w:r>
          </w:p>
          <w:p w:rsidR="000F4095" w:rsidRPr="00A75DF9" w:rsidRDefault="000F4095" w:rsidP="00343766">
            <w:pPr>
              <w:spacing w:after="60" w:line="240" w:lineRule="atLeast"/>
              <w:rPr>
                <w:rFonts w:cs="Tahoma"/>
                <w:szCs w:val="18"/>
              </w:rPr>
            </w:pPr>
            <w:r w:rsidRPr="00A75DF9">
              <w:rPr>
                <w:rFonts w:cs="Tahoma"/>
                <w:szCs w:val="18"/>
              </w:rPr>
              <w:t>Necessità dell</w:t>
            </w:r>
            <w:r w:rsidR="00F2643E">
              <w:rPr>
                <w:rFonts w:cs="Tahoma"/>
                <w:szCs w:val="18"/>
              </w:rPr>
              <w:t>’</w:t>
            </w:r>
            <w:r w:rsidRPr="00A75DF9">
              <w:rPr>
                <w:rFonts w:cs="Tahoma"/>
                <w:szCs w:val="18"/>
              </w:rPr>
              <w:t>intervento entro 1 Ora</w:t>
            </w:r>
          </w:p>
        </w:tc>
        <w:tc>
          <w:tcPr>
            <w:tcW w:w="3222" w:type="dxa"/>
          </w:tcPr>
          <w:p w:rsidR="000F4095" w:rsidRPr="00A75DF9" w:rsidRDefault="000F4095" w:rsidP="00343766">
            <w:pPr>
              <w:spacing w:after="60" w:line="240" w:lineRule="atLeast"/>
              <w:rPr>
                <w:rFonts w:cs="Tahoma"/>
              </w:rPr>
            </w:pPr>
            <w:r w:rsidRPr="00A75DF9">
              <w:rPr>
                <w:rFonts w:cs="Tahoma"/>
                <w:szCs w:val="18"/>
              </w:rPr>
              <w:t>Risposta alla prima chiamata in 1 Ora o meno, disponibile 24x7</w:t>
            </w:r>
          </w:p>
          <w:p w:rsidR="000F4095" w:rsidRPr="00A75DF9" w:rsidRDefault="000F4095" w:rsidP="00343766">
            <w:pPr>
              <w:spacing w:after="60" w:line="240" w:lineRule="atLeast"/>
              <w:rPr>
                <w:rFonts w:cs="Tahoma"/>
                <w:szCs w:val="18"/>
              </w:rPr>
            </w:pPr>
          </w:p>
        </w:tc>
      </w:tr>
      <w:tr w:rsidR="000F4095" w:rsidRPr="00A75DF9" w:rsidTr="00AA3B53">
        <w:tc>
          <w:tcPr>
            <w:tcW w:w="1347" w:type="dxa"/>
          </w:tcPr>
          <w:p w:rsidR="000F4095" w:rsidRPr="00A75DF9" w:rsidRDefault="000F4095" w:rsidP="00343766">
            <w:pPr>
              <w:spacing w:after="60" w:line="240" w:lineRule="atLeast"/>
              <w:jc w:val="center"/>
              <w:rPr>
                <w:rFonts w:cs="Tahoma"/>
                <w:szCs w:val="18"/>
              </w:rPr>
            </w:pPr>
            <w:r w:rsidRPr="00A75DF9">
              <w:rPr>
                <w:rFonts w:cs="Tahoma"/>
                <w:szCs w:val="18"/>
              </w:rPr>
              <w:t>B</w:t>
            </w:r>
          </w:p>
        </w:tc>
        <w:tc>
          <w:tcPr>
            <w:tcW w:w="1800" w:type="dxa"/>
          </w:tcPr>
          <w:p w:rsidR="000F4095" w:rsidRPr="00A75DF9" w:rsidRDefault="000F4095" w:rsidP="00AA3B53">
            <w:pPr>
              <w:spacing w:after="60" w:line="240" w:lineRule="atLeast"/>
              <w:jc w:val="center"/>
              <w:rPr>
                <w:rFonts w:cs="Tahoma"/>
                <w:szCs w:val="18"/>
              </w:rPr>
            </w:pPr>
            <w:r w:rsidRPr="00A75DF9">
              <w:rPr>
                <w:rFonts w:cs="Tahoma"/>
                <w:szCs w:val="18"/>
              </w:rPr>
              <w:t>Formulazione via</w:t>
            </w:r>
            <w:r w:rsidR="00AA3B53">
              <w:rPr>
                <w:rFonts w:cs="Tahoma"/>
                <w:szCs w:val="18"/>
              </w:rPr>
              <w:t> </w:t>
            </w:r>
            <w:r w:rsidRPr="00A75DF9">
              <w:rPr>
                <w:rFonts w:cs="Tahoma"/>
                <w:szCs w:val="18"/>
              </w:rPr>
              <w:t>Web</w:t>
            </w:r>
          </w:p>
        </w:tc>
        <w:tc>
          <w:tcPr>
            <w:tcW w:w="3171" w:type="dxa"/>
          </w:tcPr>
          <w:p w:rsidR="000F4095" w:rsidRPr="00A75DF9" w:rsidRDefault="000F4095" w:rsidP="00343766">
            <w:pPr>
              <w:spacing w:after="60" w:line="240" w:lineRule="atLeast"/>
              <w:rPr>
                <w:rFonts w:cs="Tahoma"/>
              </w:rPr>
            </w:pPr>
            <w:r w:rsidRPr="00A75DF9">
              <w:rPr>
                <w:rFonts w:cs="Tahoma"/>
                <w:szCs w:val="18"/>
              </w:rPr>
              <w:t xml:space="preserve">Impatto commerciale moderato: </w:t>
            </w:r>
          </w:p>
          <w:p w:rsidR="000F4095" w:rsidRPr="00A75DF9" w:rsidRDefault="000F4095" w:rsidP="00343766">
            <w:pPr>
              <w:spacing w:line="240" w:lineRule="atLeast"/>
              <w:rPr>
                <w:rFonts w:cs="Tahoma"/>
              </w:rPr>
            </w:pPr>
            <w:r w:rsidRPr="00A75DF9">
              <w:rPr>
                <w:rFonts w:cs="Tahoma"/>
                <w:szCs w:val="18"/>
              </w:rPr>
              <w:t>Perdita o degradazione moderata dei servizi e possibilità di continuare il lavoro in modo meno efficiente.</w:t>
            </w:r>
          </w:p>
          <w:p w:rsidR="000F4095" w:rsidRPr="00A75DF9" w:rsidRDefault="000F4095" w:rsidP="00343766">
            <w:pPr>
              <w:spacing w:after="60" w:line="240" w:lineRule="atLeast"/>
              <w:rPr>
                <w:rFonts w:cs="Tahoma"/>
                <w:szCs w:val="18"/>
              </w:rPr>
            </w:pPr>
            <w:r w:rsidRPr="00A75DF9">
              <w:rPr>
                <w:rFonts w:cs="Tahoma"/>
                <w:szCs w:val="18"/>
              </w:rPr>
              <w:t>Necessità dell</w:t>
            </w:r>
            <w:r w:rsidR="00F2643E">
              <w:rPr>
                <w:rFonts w:cs="Tahoma"/>
                <w:szCs w:val="18"/>
              </w:rPr>
              <w:t>’</w:t>
            </w:r>
            <w:r w:rsidRPr="00A75DF9">
              <w:rPr>
                <w:rFonts w:cs="Tahoma"/>
                <w:szCs w:val="18"/>
              </w:rPr>
              <w:t>intervento entro 2 Ore</w:t>
            </w:r>
          </w:p>
        </w:tc>
        <w:tc>
          <w:tcPr>
            <w:tcW w:w="3222" w:type="dxa"/>
          </w:tcPr>
          <w:p w:rsidR="000F4095" w:rsidRPr="00A75DF9" w:rsidRDefault="000F4095" w:rsidP="00343766">
            <w:pPr>
              <w:spacing w:line="240" w:lineRule="atLeast"/>
              <w:rPr>
                <w:rFonts w:cs="Tahoma"/>
              </w:rPr>
            </w:pPr>
            <w:r w:rsidRPr="00A75DF9">
              <w:rPr>
                <w:rFonts w:cs="Tahoma"/>
                <w:szCs w:val="18"/>
              </w:rPr>
              <w:t>Risposta alla prima chiamata in 2 Ore o meno, disponibile 24x7</w:t>
            </w:r>
          </w:p>
          <w:p w:rsidR="000F4095" w:rsidRPr="00A75DF9" w:rsidRDefault="000F4095" w:rsidP="00343766">
            <w:pPr>
              <w:spacing w:after="60" w:line="240" w:lineRule="atLeast"/>
              <w:rPr>
                <w:rFonts w:cs="Tahoma"/>
                <w:szCs w:val="18"/>
              </w:rPr>
            </w:pPr>
          </w:p>
        </w:tc>
      </w:tr>
      <w:tr w:rsidR="000F4095" w:rsidRPr="00A75DF9" w:rsidTr="00AA3B53">
        <w:tc>
          <w:tcPr>
            <w:tcW w:w="1347" w:type="dxa"/>
          </w:tcPr>
          <w:p w:rsidR="000F4095" w:rsidRPr="00A75DF9" w:rsidRDefault="000F4095" w:rsidP="00343766">
            <w:pPr>
              <w:spacing w:after="60" w:line="240" w:lineRule="atLeast"/>
              <w:jc w:val="center"/>
              <w:rPr>
                <w:rFonts w:cs="Tahoma"/>
                <w:szCs w:val="18"/>
              </w:rPr>
            </w:pPr>
            <w:r w:rsidRPr="00A75DF9">
              <w:rPr>
                <w:rFonts w:cs="Tahoma"/>
                <w:szCs w:val="18"/>
              </w:rPr>
              <w:t>C</w:t>
            </w:r>
          </w:p>
        </w:tc>
        <w:tc>
          <w:tcPr>
            <w:tcW w:w="1800" w:type="dxa"/>
          </w:tcPr>
          <w:p w:rsidR="000F4095" w:rsidRPr="00A75DF9" w:rsidRDefault="000F4095" w:rsidP="00AA3B53">
            <w:pPr>
              <w:spacing w:after="60" w:line="240" w:lineRule="atLeast"/>
              <w:jc w:val="center"/>
              <w:rPr>
                <w:rFonts w:cs="Tahoma"/>
                <w:szCs w:val="18"/>
              </w:rPr>
            </w:pPr>
            <w:r w:rsidRPr="00A75DF9">
              <w:rPr>
                <w:rFonts w:cs="Tahoma"/>
                <w:szCs w:val="18"/>
              </w:rPr>
              <w:t>Formulazione via</w:t>
            </w:r>
            <w:r w:rsidR="00AA3B53">
              <w:rPr>
                <w:rFonts w:cs="Tahoma"/>
                <w:szCs w:val="18"/>
              </w:rPr>
              <w:t> </w:t>
            </w:r>
            <w:r w:rsidRPr="00A75DF9">
              <w:rPr>
                <w:rFonts w:cs="Tahoma"/>
                <w:szCs w:val="18"/>
              </w:rPr>
              <w:t>Web</w:t>
            </w:r>
          </w:p>
        </w:tc>
        <w:tc>
          <w:tcPr>
            <w:tcW w:w="3171" w:type="dxa"/>
          </w:tcPr>
          <w:p w:rsidR="000F4095" w:rsidRPr="00A75DF9" w:rsidRDefault="000F4095" w:rsidP="00343766">
            <w:pPr>
              <w:rPr>
                <w:rFonts w:cs="Tahoma"/>
              </w:rPr>
            </w:pPr>
            <w:r w:rsidRPr="00A75DF9">
              <w:rPr>
                <w:rFonts w:cs="Tahoma"/>
                <w:szCs w:val="18"/>
              </w:rPr>
              <w:t>Impatto commerciale minimo</w:t>
            </w:r>
          </w:p>
          <w:p w:rsidR="000F4095" w:rsidRPr="00A75DF9" w:rsidRDefault="000F4095" w:rsidP="00AA3B53">
            <w:pPr>
              <w:rPr>
                <w:rFonts w:cs="Tahoma"/>
              </w:rPr>
            </w:pPr>
            <w:r w:rsidRPr="00A75DF9">
              <w:rPr>
                <w:rFonts w:cs="Tahoma"/>
                <w:szCs w:val="18"/>
              </w:rPr>
              <w:t>Funzionamento sostanzialmente nella norma, in alcuni casi con qualche minimo impedimento dei</w:t>
            </w:r>
            <w:r w:rsidR="00AA3B53">
              <w:rPr>
                <w:rFonts w:cs="Tahoma"/>
                <w:szCs w:val="18"/>
              </w:rPr>
              <w:t> </w:t>
            </w:r>
            <w:r w:rsidRPr="00A75DF9">
              <w:rPr>
                <w:rFonts w:cs="Tahoma"/>
                <w:szCs w:val="18"/>
              </w:rPr>
              <w:t>servizi.</w:t>
            </w:r>
          </w:p>
          <w:p w:rsidR="000F4095" w:rsidRPr="00A75DF9" w:rsidRDefault="000F4095" w:rsidP="00343766">
            <w:pPr>
              <w:spacing w:after="60" w:line="240" w:lineRule="atLeast"/>
              <w:rPr>
                <w:rFonts w:cs="Tahoma"/>
                <w:szCs w:val="18"/>
              </w:rPr>
            </w:pPr>
            <w:r w:rsidRPr="00A75DF9">
              <w:rPr>
                <w:rFonts w:cs="Tahoma"/>
                <w:szCs w:val="18"/>
              </w:rPr>
              <w:t>Necessità dell</w:t>
            </w:r>
            <w:r w:rsidR="00F2643E">
              <w:rPr>
                <w:rFonts w:cs="Tahoma"/>
                <w:szCs w:val="18"/>
              </w:rPr>
              <w:t>’</w:t>
            </w:r>
            <w:r w:rsidRPr="00A75DF9">
              <w:rPr>
                <w:rFonts w:cs="Tahoma"/>
                <w:szCs w:val="18"/>
              </w:rPr>
              <w:t>intervento entro 4 Ore</w:t>
            </w:r>
          </w:p>
        </w:tc>
        <w:tc>
          <w:tcPr>
            <w:tcW w:w="3222" w:type="dxa"/>
          </w:tcPr>
          <w:p w:rsidR="000F4095" w:rsidRPr="00A75DF9" w:rsidRDefault="000F4095" w:rsidP="00343766">
            <w:pPr>
              <w:rPr>
                <w:rFonts w:cs="Tahoma"/>
              </w:rPr>
            </w:pPr>
            <w:r w:rsidRPr="00A75DF9">
              <w:rPr>
                <w:rFonts w:cs="Tahoma"/>
                <w:szCs w:val="18"/>
              </w:rPr>
              <w:t>1</w:t>
            </w:r>
            <w:r w:rsidRPr="00A75DF9">
              <w:rPr>
                <w:rFonts w:cs="Tahoma"/>
                <w:szCs w:val="18"/>
                <w:vertAlign w:val="superscript"/>
              </w:rPr>
              <w:t>a</w:t>
            </w:r>
            <w:r w:rsidRPr="00A75DF9">
              <w:rPr>
                <w:rFonts w:cs="Tahoma"/>
                <w:szCs w:val="18"/>
              </w:rPr>
              <w:t xml:space="preserve"> risposta in 4 Ore o meno</w:t>
            </w:r>
          </w:p>
          <w:p w:rsidR="000F4095" w:rsidRPr="00A75DF9" w:rsidRDefault="000F4095" w:rsidP="00343766">
            <w:pPr>
              <w:spacing w:line="240" w:lineRule="atLeast"/>
              <w:rPr>
                <w:rFonts w:cs="Tahoma"/>
                <w:szCs w:val="18"/>
              </w:rPr>
            </w:pPr>
          </w:p>
        </w:tc>
      </w:tr>
    </w:tbl>
    <w:p w:rsidR="000F4095" w:rsidRPr="00A75DF9" w:rsidRDefault="000F4095" w:rsidP="000F4095">
      <w:pPr>
        <w:rPr>
          <w:rFonts w:cs="Tahoma"/>
        </w:rPr>
      </w:pPr>
    </w:p>
    <w:p w:rsidR="000F4095" w:rsidRPr="00A75DF9" w:rsidRDefault="000F4095" w:rsidP="000F4095">
      <w:pPr>
        <w:rPr>
          <w:rFonts w:cs="Tahoma"/>
        </w:rPr>
      </w:pPr>
    </w:p>
    <w:p w:rsidR="000F4095" w:rsidRPr="00A75DF9" w:rsidRDefault="000F4095" w:rsidP="000F4095">
      <w:pPr>
        <w:rPr>
          <w:rFonts w:cs="Tahoma"/>
        </w:rPr>
      </w:pPr>
      <w:r w:rsidRPr="00A75DF9">
        <w:rPr>
          <w:rFonts w:cs="Tahoma"/>
          <w:b/>
          <w:szCs w:val="24"/>
        </w:rPr>
        <w:t>I servizi riguardano solo gli interventi del Supporto Tecnico.</w:t>
      </w:r>
    </w:p>
    <w:p w:rsidR="000F4095" w:rsidRDefault="000F4095">
      <w:pPr>
        <w:rPr>
          <w:rFonts w:cs="Tahoma"/>
        </w:rPr>
      </w:pPr>
    </w:p>
    <w:p w:rsidR="000F4095" w:rsidRPr="00AA3B53" w:rsidRDefault="000F4095" w:rsidP="000F4095">
      <w:pPr>
        <w:rPr>
          <w:rFonts w:cs="Tahoma"/>
          <w:sz w:val="24"/>
          <w:szCs w:val="24"/>
        </w:rPr>
      </w:pPr>
      <w:r w:rsidRPr="00AA3B53">
        <w:rPr>
          <w:rFonts w:cs="Tahoma"/>
          <w:b/>
          <w:sz w:val="24"/>
          <w:szCs w:val="24"/>
        </w:rPr>
        <w:t>Condizioni di Servizio Aggiuntive</w:t>
      </w:r>
    </w:p>
    <w:p w:rsidR="000F4095" w:rsidRPr="00A75DF9" w:rsidRDefault="000F4095" w:rsidP="000F4095">
      <w:pPr>
        <w:rPr>
          <w:rFonts w:cs="Tahoma"/>
        </w:rPr>
      </w:pPr>
    </w:p>
    <w:p w:rsidR="000F4095" w:rsidRPr="00A75DF9" w:rsidRDefault="000F4095" w:rsidP="000F4095">
      <w:pPr>
        <w:spacing w:after="60"/>
        <w:rPr>
          <w:rFonts w:cs="Tahoma"/>
        </w:rPr>
      </w:pPr>
      <w:bookmarkStart w:id="930" w:name="_Toc357763632"/>
      <w:r w:rsidRPr="00A75DF9">
        <w:rPr>
          <w:rFonts w:cs="Tahoma"/>
          <w:b/>
          <w:sz w:val="20"/>
          <w:szCs w:val="20"/>
        </w:rPr>
        <w:lastRenderedPageBreak/>
        <w:t>Diritti sull</w:t>
      </w:r>
      <w:r w:rsidR="00F2643E">
        <w:rPr>
          <w:rFonts w:cs="Tahoma"/>
          <w:b/>
          <w:sz w:val="20"/>
          <w:szCs w:val="20"/>
        </w:rPr>
        <w:t>’</w:t>
      </w:r>
      <w:r w:rsidRPr="00A75DF9">
        <w:rPr>
          <w:rFonts w:cs="Tahoma"/>
          <w:b/>
          <w:sz w:val="20"/>
          <w:szCs w:val="20"/>
        </w:rPr>
        <w:t>utilizzo, di titolarità e di licenza</w:t>
      </w:r>
      <w:bookmarkEnd w:id="930"/>
    </w:p>
    <w:p w:rsidR="000F4095" w:rsidRPr="00A75DF9" w:rsidRDefault="000F4095" w:rsidP="00AA3B53">
      <w:pPr>
        <w:rPr>
          <w:rFonts w:cs="Tahoma"/>
        </w:rPr>
      </w:pPr>
      <w:r w:rsidRPr="00A75DF9">
        <w:rPr>
          <w:rFonts w:eastAsia="Calibri" w:cs="Tahoma"/>
          <w:b/>
          <w:bCs/>
          <w:color w:val="000000"/>
          <w:szCs w:val="18"/>
        </w:rPr>
        <w:t>Fix.</w:t>
      </w:r>
      <w:r w:rsidR="009D3B41" w:rsidRPr="00A75DF9">
        <w:rPr>
          <w:rFonts w:eastAsia="Calibri" w:cs="Tahoma"/>
          <w:b/>
          <w:bCs/>
          <w:color w:val="000000"/>
          <w:szCs w:val="18"/>
        </w:rPr>
        <w:t xml:space="preserve"> </w:t>
      </w:r>
      <w:r w:rsidRPr="00A75DF9">
        <w:rPr>
          <w:rFonts w:eastAsia="Calibri" w:cs="Tahoma"/>
          <w:bCs/>
          <w:color w:val="000000"/>
          <w:szCs w:val="18"/>
        </w:rPr>
        <w:t>Qualora Microsoft fornisca Fix alla Società durante la prestazione dei Servizi, tali</w:t>
      </w:r>
      <w:r w:rsidRPr="00A75DF9">
        <w:rPr>
          <w:rFonts w:eastAsia="Calibri" w:cs="Tahoma"/>
          <w:b/>
          <w:bCs/>
          <w:color w:val="000000"/>
          <w:szCs w:val="18"/>
        </w:rPr>
        <w:t xml:space="preserve"> </w:t>
      </w:r>
      <w:r w:rsidRPr="00A75DF9">
        <w:rPr>
          <w:rFonts w:eastAsia="Calibri" w:cs="Tahoma"/>
          <w:color w:val="000000"/>
          <w:szCs w:val="18"/>
        </w:rPr>
        <w:t>Fix sono concessi in licenza in</w:t>
      </w:r>
      <w:r w:rsidR="00AA3B53">
        <w:rPr>
          <w:rFonts w:eastAsia="Calibri" w:cs="Tahoma"/>
          <w:color w:val="000000"/>
          <w:szCs w:val="18"/>
        </w:rPr>
        <w:t> </w:t>
      </w:r>
      <w:r w:rsidRPr="00A75DF9">
        <w:rPr>
          <w:rFonts w:eastAsia="Calibri" w:cs="Tahoma"/>
          <w:color w:val="000000"/>
          <w:szCs w:val="18"/>
        </w:rPr>
        <w:t>conformità alle condizioni di licenza applicabili al Prodotto cui si riferiscono. Qualora i Fix non siano relativi a un Prodotto specifico, si applicheranno le condizioni per l</w:t>
      </w:r>
      <w:r w:rsidR="00F2643E">
        <w:rPr>
          <w:rFonts w:eastAsia="Calibri" w:cs="Tahoma"/>
          <w:color w:val="000000"/>
          <w:szCs w:val="18"/>
        </w:rPr>
        <w:t>’</w:t>
      </w:r>
      <w:r w:rsidRPr="00A75DF9">
        <w:rPr>
          <w:rFonts w:eastAsia="Calibri" w:cs="Tahoma"/>
          <w:color w:val="000000"/>
          <w:szCs w:val="18"/>
        </w:rPr>
        <w:t>utilizzo fornite da Microsoft con i Fix. Nel caso non siano fornite condizioni per l</w:t>
      </w:r>
      <w:r w:rsidR="00F2643E">
        <w:rPr>
          <w:rFonts w:eastAsia="Calibri" w:cs="Tahoma"/>
          <w:color w:val="000000"/>
          <w:szCs w:val="18"/>
        </w:rPr>
        <w:t>’</w:t>
      </w:r>
      <w:r w:rsidRPr="00A75DF9">
        <w:rPr>
          <w:rFonts w:eastAsia="Calibri" w:cs="Tahoma"/>
          <w:color w:val="000000"/>
          <w:szCs w:val="18"/>
        </w:rPr>
        <w:t>utilizzo, la Società avrà una licenza non esclusiva, perpetua e gratuita di utilizzare e riprodurre i Fix esclusivamente per uso interno. La Società non potrà modificare, cambiare il nome del file né combinare i Fix con altro codice per computer che non sia di Microsoft.</w:t>
      </w:r>
    </w:p>
    <w:p w:rsidR="000F4095" w:rsidRPr="00A75DF9" w:rsidRDefault="000F4095" w:rsidP="000F4095">
      <w:pPr>
        <w:rPr>
          <w:rFonts w:cs="Tahoma"/>
        </w:rPr>
      </w:pPr>
      <w:r w:rsidRPr="00A75DF9">
        <w:rPr>
          <w:rFonts w:eastAsia="Calibri" w:cs="Tahoma"/>
          <w:b/>
          <w:bCs/>
          <w:color w:val="000000"/>
          <w:szCs w:val="18"/>
        </w:rPr>
        <w:t>Lavoro Pre-esistente.</w:t>
      </w:r>
      <w:r w:rsidR="009D3B41" w:rsidRPr="00A75DF9">
        <w:rPr>
          <w:rFonts w:eastAsia="Calibri" w:cs="Tahoma"/>
          <w:color w:val="000000"/>
          <w:szCs w:val="18"/>
        </w:rPr>
        <w:t xml:space="preserve"> </w:t>
      </w:r>
      <w:r w:rsidRPr="00A75DF9">
        <w:rPr>
          <w:rFonts w:eastAsia="Calibri" w:cs="Tahoma"/>
          <w:color w:val="000000"/>
          <w:szCs w:val="18"/>
        </w:rPr>
        <w:t>Tutti i diritti riguardanti il codice per computer o qualsiasi altro materiale scritto non basato su codice sviluppato o altrimenti ottenuto da o per le parti o le relative Consociate e indipendente dal presente contratto (“Lavoro Pre-Esistente”) resteranno di esclusiva proprietà della parte che lo fornisce. Durante l</w:t>
      </w:r>
      <w:r w:rsidR="00F2643E">
        <w:rPr>
          <w:rFonts w:eastAsia="Calibri" w:cs="Tahoma"/>
          <w:color w:val="000000"/>
          <w:szCs w:val="18"/>
        </w:rPr>
        <w:t>’</w:t>
      </w:r>
      <w:r w:rsidRPr="00A75DF9">
        <w:rPr>
          <w:rFonts w:eastAsia="Calibri" w:cs="Tahoma"/>
          <w:color w:val="000000"/>
          <w:szCs w:val="18"/>
        </w:rPr>
        <w:t>esecuzione dei Servizi ciascuna parte concederà all</w:t>
      </w:r>
      <w:r w:rsidR="00F2643E">
        <w:rPr>
          <w:rFonts w:eastAsia="Calibri" w:cs="Tahoma"/>
          <w:color w:val="000000"/>
          <w:szCs w:val="18"/>
        </w:rPr>
        <w:t>’</w:t>
      </w:r>
      <w:r w:rsidRPr="00A75DF9">
        <w:rPr>
          <w:rFonts w:eastAsia="Calibri" w:cs="Tahoma"/>
          <w:color w:val="000000"/>
          <w:szCs w:val="18"/>
        </w:rPr>
        <w:t>altra, e se necessario ai fornitori di Microsoft, una licenza temporanea e non esclusiva di utilizzare, riprodurre e modificare qualsiasi Lavoro Pre-esistente fornito all</w:t>
      </w:r>
      <w:r w:rsidR="00F2643E">
        <w:rPr>
          <w:rFonts w:eastAsia="Calibri" w:cs="Tahoma"/>
          <w:color w:val="000000"/>
          <w:szCs w:val="18"/>
        </w:rPr>
        <w:t>’</w:t>
      </w:r>
      <w:r w:rsidRPr="00A75DF9">
        <w:rPr>
          <w:rFonts w:eastAsia="Calibri" w:cs="Tahoma"/>
          <w:color w:val="000000"/>
          <w:szCs w:val="18"/>
        </w:rPr>
        <w:t>altra parte, al solo fine di eseguire i Servizi.</w:t>
      </w:r>
    </w:p>
    <w:p w:rsidR="000F4095" w:rsidRPr="00A75DF9" w:rsidRDefault="000F4095" w:rsidP="00AA3B53">
      <w:pPr>
        <w:rPr>
          <w:rFonts w:cs="Tahoma"/>
        </w:rPr>
      </w:pPr>
      <w:r w:rsidRPr="00A75DF9">
        <w:rPr>
          <w:rFonts w:eastAsia="Calibri" w:cs="Tahoma"/>
          <w:color w:val="000000"/>
          <w:szCs w:val="18"/>
        </w:rPr>
        <w:t>Fatto salvo quanto diversamente concordato per iscritto tra le parti, Microsoft, ricevuto l</w:t>
      </w:r>
      <w:r w:rsidR="00F2643E">
        <w:rPr>
          <w:rFonts w:eastAsia="Calibri" w:cs="Tahoma"/>
          <w:color w:val="000000"/>
          <w:szCs w:val="18"/>
        </w:rPr>
        <w:t>’</w:t>
      </w:r>
      <w:r w:rsidRPr="00A75DF9">
        <w:rPr>
          <w:rFonts w:eastAsia="Calibri" w:cs="Tahoma"/>
          <w:color w:val="000000"/>
          <w:szCs w:val="18"/>
        </w:rPr>
        <w:t>intero corrispettivo, concede alla Società una licenza non esclusiva, perpetua e gratuita di utilizzare, riprodurre e modificare (se applicabile) il</w:t>
      </w:r>
      <w:r w:rsidR="00AA3B53">
        <w:rPr>
          <w:rFonts w:eastAsia="Calibri" w:cs="Tahoma"/>
          <w:color w:val="000000"/>
          <w:szCs w:val="18"/>
        </w:rPr>
        <w:t> </w:t>
      </w:r>
      <w:r w:rsidRPr="00A75DF9">
        <w:rPr>
          <w:rFonts w:eastAsia="Calibri" w:cs="Tahoma"/>
          <w:color w:val="000000"/>
          <w:szCs w:val="18"/>
        </w:rPr>
        <w:t>Lavoro Pre-esistente di Microsoft esclusivamente nella forma consegnata alla Società come parte del Materiale Fornito con i Servizi ed esclusivamente per l</w:t>
      </w:r>
      <w:r w:rsidR="00F2643E">
        <w:rPr>
          <w:rFonts w:eastAsia="Calibri" w:cs="Tahoma"/>
          <w:color w:val="000000"/>
          <w:szCs w:val="18"/>
        </w:rPr>
        <w:t>’</w:t>
      </w:r>
      <w:r w:rsidRPr="00A75DF9">
        <w:rPr>
          <w:rFonts w:eastAsia="Calibri" w:cs="Tahoma"/>
          <w:color w:val="000000"/>
          <w:szCs w:val="18"/>
        </w:rPr>
        <w:t xml:space="preserve">attività interna della Società stessa. La licenza riguardante il Lavoro </w:t>
      </w:r>
      <w:r w:rsidR="00AA3B53">
        <w:rPr>
          <w:rFonts w:eastAsia="Calibri" w:cs="Tahoma"/>
          <w:color w:val="000000"/>
          <w:szCs w:val="18"/>
        </w:rPr>
        <w:br/>
      </w:r>
      <w:r w:rsidRPr="00A75DF9">
        <w:rPr>
          <w:rFonts w:eastAsia="Calibri" w:cs="Tahoma"/>
          <w:color w:val="000000"/>
          <w:szCs w:val="18"/>
        </w:rPr>
        <w:t>Pre-esistente di Microsoft è subordinata al rispetto da parte della Società delle condizioni del presente contratto.</w:t>
      </w:r>
    </w:p>
    <w:p w:rsidR="000F4095" w:rsidRPr="00A75DF9" w:rsidRDefault="000F4095" w:rsidP="000F4095">
      <w:pPr>
        <w:rPr>
          <w:rFonts w:cs="Tahoma"/>
        </w:rPr>
      </w:pPr>
    </w:p>
    <w:p w:rsidR="000F4095" w:rsidRPr="00A75DF9" w:rsidRDefault="000F4095" w:rsidP="000F4095">
      <w:pPr>
        <w:rPr>
          <w:rFonts w:cs="Tahoma"/>
        </w:rPr>
      </w:pPr>
      <w:r w:rsidRPr="00A75DF9">
        <w:rPr>
          <w:rFonts w:eastAsia="Calibri" w:cs="Tahoma"/>
          <w:b/>
          <w:bCs/>
          <w:color w:val="000000"/>
          <w:szCs w:val="18"/>
        </w:rPr>
        <w:t>Sviluppi</w:t>
      </w:r>
      <w:r w:rsidRPr="00A75DF9">
        <w:rPr>
          <w:rFonts w:eastAsia="Calibri" w:cs="Tahoma"/>
          <w:color w:val="000000"/>
          <w:szCs w:val="18"/>
        </w:rPr>
        <w:t>. Microsoft, ricevuto l</w:t>
      </w:r>
      <w:r w:rsidR="00F2643E">
        <w:rPr>
          <w:rFonts w:eastAsia="Calibri" w:cs="Tahoma"/>
          <w:color w:val="000000"/>
          <w:szCs w:val="18"/>
        </w:rPr>
        <w:t>’</w:t>
      </w:r>
      <w:r w:rsidRPr="00A75DF9">
        <w:rPr>
          <w:rFonts w:eastAsia="Calibri" w:cs="Tahoma"/>
          <w:color w:val="000000"/>
          <w:szCs w:val="18"/>
        </w:rPr>
        <w:t>intero corrispettivo, concede alla Società la titolarità congiunta di qualsiasi codice per computer o materiale scritto non basato su codice (diverso da Prodotti, Fix o Lavoro Pre-esistente) sviluppato da Microsoft o in collaborazione con la Società e lasciato presso quest</w:t>
      </w:r>
      <w:r w:rsidR="00F2643E">
        <w:rPr>
          <w:rFonts w:eastAsia="Calibri" w:cs="Tahoma"/>
          <w:color w:val="000000"/>
          <w:szCs w:val="18"/>
        </w:rPr>
        <w:t>’</w:t>
      </w:r>
      <w:r w:rsidRPr="00A75DF9">
        <w:rPr>
          <w:rFonts w:eastAsia="Calibri" w:cs="Tahoma"/>
          <w:color w:val="000000"/>
          <w:szCs w:val="18"/>
        </w:rPr>
        <w:t>ultima alla conclusione dei Servizi (“Sviluppi”). Ciascuna parte sarà l</w:t>
      </w:r>
      <w:r w:rsidR="00F2643E">
        <w:rPr>
          <w:rFonts w:eastAsia="Calibri" w:cs="Tahoma"/>
          <w:color w:val="000000"/>
          <w:szCs w:val="18"/>
        </w:rPr>
        <w:t>’</w:t>
      </w:r>
      <w:r w:rsidRPr="00A75DF9">
        <w:rPr>
          <w:rFonts w:eastAsia="Calibri" w:cs="Tahoma"/>
          <w:color w:val="000000"/>
          <w:szCs w:val="18"/>
        </w:rPr>
        <w:t>unica titolare dei diritti attinenti alle modifiche effettuate in base agli sviluppi. La Società accetta di esercitare i propri diritti in relazione a qualsiasi Sviluppo esclusivamente per le proprie attività interne e di non rivendere né distribuire gli Sviluppi a terzi.</w:t>
      </w:r>
    </w:p>
    <w:p w:rsidR="000F4095" w:rsidRPr="00A75DF9" w:rsidRDefault="000F4095" w:rsidP="000F4095">
      <w:pPr>
        <w:rPr>
          <w:rFonts w:cs="Tahoma"/>
        </w:rPr>
      </w:pPr>
    </w:p>
    <w:p w:rsidR="000F4095" w:rsidRPr="00A75DF9" w:rsidRDefault="000F4095" w:rsidP="000F4095">
      <w:pPr>
        <w:rPr>
          <w:rFonts w:cs="Tahoma"/>
        </w:rPr>
      </w:pPr>
      <w:r w:rsidRPr="00A75DF9">
        <w:rPr>
          <w:rFonts w:eastAsia="Calibri" w:cs="Tahoma"/>
          <w:b/>
          <w:bCs/>
          <w:color w:val="000000"/>
          <w:szCs w:val="18"/>
        </w:rPr>
        <w:t>Materiale.</w:t>
      </w:r>
      <w:r w:rsidR="009D3B41" w:rsidRPr="00A75DF9">
        <w:rPr>
          <w:rFonts w:eastAsia="Calibri" w:cs="Tahoma"/>
          <w:b/>
          <w:bCs/>
          <w:color w:val="000000"/>
          <w:szCs w:val="18"/>
        </w:rPr>
        <w:t xml:space="preserve"> </w:t>
      </w:r>
      <w:r w:rsidRPr="00A75DF9">
        <w:rPr>
          <w:rFonts w:eastAsia="Calibri" w:cs="Tahoma"/>
          <w:bCs/>
          <w:color w:val="000000"/>
          <w:szCs w:val="18"/>
        </w:rPr>
        <w:t>Tutti i diritti relativi a qualsiasi materiale sviluppato da Microsoft, diverso dal codice di software, e fornito alla società al fine di erogare il Supporto per Microsoft Dynamics CRM Online e il Supporto Professionale (“Materiale”) saranno di proprietà esclusiva di Microsoft, fatta eccezione per i casi in cui il suddetto Materiale costituisca il Lavoro Preesistente della società.</w:t>
      </w:r>
      <w:r w:rsidR="009D3B41" w:rsidRPr="00A75DF9">
        <w:rPr>
          <w:rFonts w:eastAsia="Calibri" w:cs="Tahoma"/>
          <w:bCs/>
          <w:color w:val="000000"/>
          <w:szCs w:val="18"/>
        </w:rPr>
        <w:t xml:space="preserve"> </w:t>
      </w:r>
      <w:r w:rsidRPr="00A75DF9">
        <w:rPr>
          <w:rFonts w:eastAsia="Calibri" w:cs="Tahoma"/>
          <w:bCs/>
          <w:color w:val="000000"/>
          <w:szCs w:val="18"/>
        </w:rPr>
        <w:t>Microsoft concede alle società una licenza non esclusiva, perpetua, gratuita di utilizzo, riproduzione e modifica del Materiale esclusivamente per le loro attività interne e senza alcuna obbligazione di contabilizzazione o pagamento di royalty.</w:t>
      </w:r>
      <w:r w:rsidR="009D3B41" w:rsidRPr="00A75DF9">
        <w:rPr>
          <w:rFonts w:eastAsia="Calibri" w:cs="Tahoma"/>
          <w:bCs/>
          <w:color w:val="000000"/>
          <w:szCs w:val="18"/>
        </w:rPr>
        <w:t xml:space="preserve"> </w:t>
      </w:r>
      <w:r w:rsidRPr="00A75DF9">
        <w:rPr>
          <w:rFonts w:eastAsia="Calibri" w:cs="Tahoma"/>
          <w:bCs/>
          <w:color w:val="000000"/>
          <w:szCs w:val="18"/>
        </w:rPr>
        <w:t>Le società potranno concedere in sublicenza alle proprie Consociate i diritti concessi nel presente documento.</w:t>
      </w:r>
      <w:r w:rsidR="009D3B41" w:rsidRPr="00A75DF9">
        <w:rPr>
          <w:rFonts w:eastAsia="Calibri" w:cs="Tahoma"/>
          <w:bCs/>
          <w:color w:val="000000"/>
          <w:szCs w:val="18"/>
        </w:rPr>
        <w:t xml:space="preserve"> </w:t>
      </w:r>
      <w:r w:rsidRPr="00A75DF9">
        <w:rPr>
          <w:rFonts w:eastAsia="Calibri" w:cs="Tahoma"/>
          <w:bCs/>
          <w:color w:val="000000"/>
          <w:szCs w:val="18"/>
        </w:rPr>
        <w:t>Tutti i diritti non espressamente concessi sono riservati.</w:t>
      </w:r>
    </w:p>
    <w:p w:rsidR="000F4095" w:rsidRPr="00A75DF9" w:rsidRDefault="000F4095" w:rsidP="000F4095">
      <w:pPr>
        <w:rPr>
          <w:rFonts w:cs="Tahoma"/>
        </w:rPr>
      </w:pPr>
    </w:p>
    <w:p w:rsidR="000F4095" w:rsidRPr="00A75DF9" w:rsidRDefault="000F4095" w:rsidP="00AA3B53">
      <w:pPr>
        <w:rPr>
          <w:rFonts w:cs="Tahoma"/>
        </w:rPr>
      </w:pPr>
      <w:r w:rsidRPr="00A75DF9">
        <w:rPr>
          <w:rFonts w:eastAsia="Calibri" w:cs="Tahoma"/>
          <w:b/>
          <w:bCs/>
          <w:color w:val="000000"/>
          <w:szCs w:val="18"/>
        </w:rPr>
        <w:t>Codice Campione.</w:t>
      </w:r>
      <w:r w:rsidR="009D3B41" w:rsidRPr="00A75DF9">
        <w:rPr>
          <w:rFonts w:eastAsia="Calibri" w:cs="Tahoma"/>
          <w:b/>
          <w:bCs/>
          <w:color w:val="000000"/>
          <w:szCs w:val="18"/>
        </w:rPr>
        <w:t xml:space="preserve"> </w:t>
      </w:r>
      <w:r w:rsidRPr="00A75DF9">
        <w:rPr>
          <w:rFonts w:eastAsia="Calibri" w:cs="Tahoma"/>
          <w:bCs/>
          <w:color w:val="000000"/>
          <w:szCs w:val="18"/>
        </w:rPr>
        <w:t>Microsoft concede alle società un diritto non esclusivo, perpetuo e gratuito di utilizzare e</w:t>
      </w:r>
      <w:r w:rsidR="00AA3B53">
        <w:rPr>
          <w:rFonts w:eastAsia="Calibri" w:cs="Tahoma"/>
          <w:bCs/>
          <w:color w:val="000000"/>
          <w:szCs w:val="18"/>
        </w:rPr>
        <w:t> </w:t>
      </w:r>
      <w:r w:rsidRPr="00A75DF9">
        <w:rPr>
          <w:rFonts w:eastAsia="Calibri" w:cs="Tahoma"/>
          <w:bCs/>
          <w:color w:val="000000"/>
          <w:szCs w:val="18"/>
        </w:rPr>
        <w:t>modificare qualsiasi codice di software (“Codice Campione”) fornito da Microsoft allo scopo di illustrare e di riprodurre e distribuire il formato in codice oggetto del Codice Campione, a condizione che le società accettino di: (i) astenersi dall</w:t>
      </w:r>
      <w:r w:rsidR="00F2643E">
        <w:rPr>
          <w:rFonts w:eastAsia="Calibri" w:cs="Tahoma"/>
          <w:bCs/>
          <w:color w:val="000000"/>
          <w:szCs w:val="18"/>
        </w:rPr>
        <w:t>’</w:t>
      </w:r>
      <w:r w:rsidRPr="00A75DF9">
        <w:rPr>
          <w:rFonts w:eastAsia="Calibri" w:cs="Tahoma"/>
          <w:bCs/>
          <w:color w:val="000000"/>
          <w:szCs w:val="18"/>
        </w:rPr>
        <w:t>utilizzare il nome, il logo o i marchi Microsoft per commercializzare il proprio prodotto software nel quale è</w:t>
      </w:r>
      <w:r w:rsidR="00AA3B53">
        <w:rPr>
          <w:rFonts w:eastAsia="Calibri" w:cs="Tahoma"/>
          <w:bCs/>
          <w:color w:val="000000"/>
          <w:szCs w:val="18"/>
        </w:rPr>
        <w:t> </w:t>
      </w:r>
      <w:r w:rsidRPr="00A75DF9">
        <w:rPr>
          <w:rFonts w:eastAsia="Calibri" w:cs="Tahoma"/>
          <w:bCs/>
          <w:color w:val="000000"/>
          <w:szCs w:val="18"/>
        </w:rPr>
        <w:t>incorporato il Codice Campione, (ii) includere valide informazioni sul copyright nel proprio prodotto software nel quale</w:t>
      </w:r>
      <w:r w:rsidR="00AA3B53">
        <w:rPr>
          <w:rFonts w:eastAsia="Calibri" w:cs="Tahoma"/>
          <w:bCs/>
          <w:color w:val="000000"/>
          <w:szCs w:val="18"/>
        </w:rPr>
        <w:t> </w:t>
      </w:r>
      <w:r w:rsidRPr="00A75DF9">
        <w:rPr>
          <w:rFonts w:eastAsia="Calibri" w:cs="Tahoma"/>
          <w:bCs/>
          <w:color w:val="000000"/>
          <w:szCs w:val="18"/>
        </w:rPr>
        <w:t>è incorporato il Codice Campione e (iii) indennizzare, manlevare e difendere Microsoft e i suoi fornitori da ogni</w:t>
      </w:r>
      <w:r w:rsidR="00AA3B53">
        <w:rPr>
          <w:rFonts w:eastAsia="Calibri" w:cs="Tahoma"/>
          <w:bCs/>
          <w:color w:val="000000"/>
          <w:szCs w:val="18"/>
        </w:rPr>
        <w:t> </w:t>
      </w:r>
      <w:r w:rsidRPr="00A75DF9">
        <w:rPr>
          <w:rFonts w:eastAsia="Calibri" w:cs="Tahoma"/>
          <w:bCs/>
          <w:color w:val="000000"/>
          <w:szCs w:val="18"/>
        </w:rPr>
        <w:t>e qualsiasi reclamo o azione giudiziaria, ivi incluse le spese legali che derivino o risultino dall</w:t>
      </w:r>
      <w:r w:rsidR="00F2643E">
        <w:rPr>
          <w:rFonts w:eastAsia="Calibri" w:cs="Tahoma"/>
          <w:bCs/>
          <w:color w:val="000000"/>
          <w:szCs w:val="18"/>
        </w:rPr>
        <w:t>’</w:t>
      </w:r>
      <w:r w:rsidRPr="00A75DF9">
        <w:rPr>
          <w:rFonts w:eastAsia="Calibri" w:cs="Tahoma"/>
          <w:bCs/>
          <w:color w:val="000000"/>
          <w:szCs w:val="18"/>
        </w:rPr>
        <w:t xml:space="preserve">utilizzo o dalla distribuzione del Codice Campione. </w:t>
      </w:r>
    </w:p>
    <w:p w:rsidR="000F4095" w:rsidRPr="00A75DF9" w:rsidRDefault="000F4095" w:rsidP="000F4095">
      <w:pPr>
        <w:rPr>
          <w:rFonts w:cs="Tahoma"/>
        </w:rPr>
      </w:pPr>
    </w:p>
    <w:p w:rsidR="000F4095" w:rsidRPr="00A75DF9" w:rsidRDefault="000F4095" w:rsidP="00AA3B53">
      <w:pPr>
        <w:rPr>
          <w:rFonts w:cs="Tahoma"/>
        </w:rPr>
      </w:pPr>
      <w:r w:rsidRPr="00A75DF9">
        <w:rPr>
          <w:rFonts w:eastAsia="Calibri" w:cs="Tahoma"/>
          <w:b/>
          <w:bCs/>
          <w:color w:val="000000"/>
          <w:szCs w:val="18"/>
        </w:rPr>
        <w:t>Restrizioni di Licenza Open Source</w:t>
      </w:r>
      <w:r w:rsidRPr="00A75DF9">
        <w:rPr>
          <w:rFonts w:eastAsia="Calibri" w:cs="Tahoma"/>
          <w:color w:val="000000"/>
          <w:szCs w:val="18"/>
        </w:rPr>
        <w:t>. Poiché alcune condizioni di licenza di terzi richiedono che il codice per computer sia a livello generale (i) divulgato a terzi nel formato in codice sorgente, (ii) concesso in licenza a terzi allo scopo di creare lavori derivati oppure (iii) ridistribuibile gratuitamente a terzi (collettivamente, “Condizioni di Licenza Open Source”), i diritti di licenza concessi da ciascuna parte relativamente a qualsiasi codice per computer, o a qualsiasi proprietà intellettuale ad esso associata, non comprendono alcuna licenza, diritto o potere di incorporare, modificare, associare e/o distribuire tale codice per computer con qualsiasi altro codice per computer in modo tale da</w:t>
      </w:r>
      <w:r w:rsidR="00AA3B53">
        <w:rPr>
          <w:rFonts w:eastAsia="Calibri" w:cs="Tahoma"/>
          <w:color w:val="000000"/>
          <w:szCs w:val="18"/>
        </w:rPr>
        <w:t> </w:t>
      </w:r>
      <w:r w:rsidRPr="00A75DF9">
        <w:rPr>
          <w:rFonts w:eastAsia="Calibri" w:cs="Tahoma"/>
          <w:color w:val="000000"/>
          <w:szCs w:val="18"/>
        </w:rPr>
        <w:t>assoggettare il codice per computer dell</w:t>
      </w:r>
      <w:r w:rsidR="00F2643E">
        <w:rPr>
          <w:rFonts w:eastAsia="Calibri" w:cs="Tahoma"/>
          <w:color w:val="000000"/>
          <w:szCs w:val="18"/>
        </w:rPr>
        <w:t>’</w:t>
      </w:r>
      <w:r w:rsidRPr="00A75DF9">
        <w:rPr>
          <w:rFonts w:eastAsia="Calibri" w:cs="Tahoma"/>
          <w:color w:val="000000"/>
          <w:szCs w:val="18"/>
        </w:rPr>
        <w:t>altra parte a Condizioni di Licenza Open Source. Inoltre, ciascuna parte garantisce che non fornirà né metterà a disposizione dell</w:t>
      </w:r>
      <w:r w:rsidR="00F2643E">
        <w:rPr>
          <w:rFonts w:eastAsia="Calibri" w:cs="Tahoma"/>
          <w:color w:val="000000"/>
          <w:szCs w:val="18"/>
        </w:rPr>
        <w:t>’</w:t>
      </w:r>
      <w:r w:rsidRPr="00A75DF9">
        <w:rPr>
          <w:rFonts w:eastAsia="Calibri" w:cs="Tahoma"/>
          <w:color w:val="000000"/>
          <w:szCs w:val="18"/>
        </w:rPr>
        <w:t>altra parte codice per computer che sia disciplinato da Condizioni di Licenza Open Source.</w:t>
      </w:r>
    </w:p>
    <w:p w:rsidR="000F4095" w:rsidRDefault="000F4095" w:rsidP="000F4095">
      <w:pPr>
        <w:rPr>
          <w:rFonts w:cs="Tahoma"/>
        </w:rPr>
      </w:pPr>
    </w:p>
    <w:p w:rsidR="00AA3B53" w:rsidRPr="00A75DF9" w:rsidRDefault="00AA3B53" w:rsidP="000F4095">
      <w:pPr>
        <w:rPr>
          <w:rFonts w:cs="Tahoma"/>
        </w:rPr>
      </w:pPr>
    </w:p>
    <w:p w:rsidR="000F4095" w:rsidRPr="00A75DF9" w:rsidRDefault="000F4095" w:rsidP="00AA3B53">
      <w:pPr>
        <w:rPr>
          <w:rFonts w:cs="Tahoma"/>
        </w:rPr>
      </w:pPr>
      <w:r w:rsidRPr="00A75DF9">
        <w:rPr>
          <w:rFonts w:eastAsia="Calibri" w:cs="Tahoma"/>
          <w:b/>
          <w:bCs/>
          <w:color w:val="000000"/>
          <w:szCs w:val="18"/>
        </w:rPr>
        <w:t>Diritti delle Consociate.</w:t>
      </w:r>
      <w:r w:rsidR="009D3B41" w:rsidRPr="00A75DF9">
        <w:rPr>
          <w:rFonts w:eastAsia="Calibri" w:cs="Tahoma"/>
          <w:color w:val="000000"/>
          <w:szCs w:val="18"/>
        </w:rPr>
        <w:t xml:space="preserve"> </w:t>
      </w:r>
      <w:r w:rsidRPr="00A75DF9">
        <w:rPr>
          <w:rFonts w:eastAsia="Calibri" w:cs="Tahoma"/>
          <w:color w:val="000000"/>
          <w:szCs w:val="18"/>
        </w:rPr>
        <w:t>La Società può concedere in sublicenza alle proprie Consociate i diritti contenuti nel</w:t>
      </w:r>
      <w:r w:rsidR="00AA3B53">
        <w:rPr>
          <w:rFonts w:eastAsia="Calibri" w:cs="Tahoma"/>
          <w:color w:val="000000"/>
          <w:szCs w:val="18"/>
        </w:rPr>
        <w:t> </w:t>
      </w:r>
      <w:r w:rsidRPr="00A75DF9">
        <w:rPr>
          <w:rFonts w:eastAsia="Calibri" w:cs="Tahoma"/>
          <w:color w:val="000000"/>
          <w:szCs w:val="18"/>
        </w:rPr>
        <w:t>presente sottoparagrafo relativi al Materiale Fornito con i Servizi. Tali Consociate, tuttavia, non potranno ulteriormente concedere in sublicenza tali diritti e il loro utilizzo dovrà essere conforme alle condizioni di licenza previste nel presente contratto.</w:t>
      </w:r>
    </w:p>
    <w:p w:rsidR="000F4095" w:rsidRPr="00A75DF9" w:rsidRDefault="000F4095" w:rsidP="000F4095">
      <w:pPr>
        <w:rPr>
          <w:rFonts w:cs="Tahoma"/>
        </w:rPr>
      </w:pPr>
    </w:p>
    <w:p w:rsidR="000F4095" w:rsidRPr="00A75DF9" w:rsidRDefault="000F4095" w:rsidP="000F4095">
      <w:pPr>
        <w:rPr>
          <w:rFonts w:cs="Tahoma"/>
        </w:rPr>
      </w:pPr>
      <w:r w:rsidRPr="00A75DF9">
        <w:rPr>
          <w:rFonts w:cs="Tahoma"/>
          <w:b/>
          <w:bCs/>
          <w:color w:val="000000"/>
          <w:szCs w:val="18"/>
        </w:rPr>
        <w:lastRenderedPageBreak/>
        <w:t>Riserva di Diritti.</w:t>
      </w:r>
      <w:r w:rsidR="009D3B41" w:rsidRPr="00A75DF9">
        <w:rPr>
          <w:rFonts w:cs="Tahoma"/>
          <w:color w:val="000000"/>
          <w:szCs w:val="18"/>
        </w:rPr>
        <w:t xml:space="preserve"> </w:t>
      </w:r>
      <w:r w:rsidRPr="00A75DF9">
        <w:rPr>
          <w:rFonts w:cs="Tahoma"/>
          <w:color w:val="000000"/>
          <w:szCs w:val="18"/>
        </w:rPr>
        <w:t>Tutti i diritti non espressamente concessi sono riservati.</w:t>
      </w:r>
    </w:p>
    <w:p w:rsidR="000F4095" w:rsidRPr="00A75DF9" w:rsidRDefault="000F4095" w:rsidP="000F4095">
      <w:pPr>
        <w:rPr>
          <w:rFonts w:cs="Tahoma"/>
        </w:rPr>
      </w:pPr>
    </w:p>
    <w:p w:rsidR="000F4095" w:rsidRPr="00A75DF9" w:rsidRDefault="000F4095" w:rsidP="000F4095">
      <w:pPr>
        <w:spacing w:after="60"/>
        <w:rPr>
          <w:rFonts w:cs="Tahoma"/>
        </w:rPr>
      </w:pPr>
      <w:r w:rsidRPr="00A75DF9">
        <w:rPr>
          <w:rFonts w:cs="Tahoma"/>
          <w:b/>
          <w:szCs w:val="18"/>
        </w:rPr>
        <w:t>Garanzie, Dichiarazioni di non Responsabilità e Limitazioni di Responsabilità</w:t>
      </w:r>
    </w:p>
    <w:p w:rsidR="000F4095" w:rsidRPr="00A75DF9" w:rsidRDefault="000F4095" w:rsidP="000F4095">
      <w:pPr>
        <w:ind w:left="360"/>
        <w:rPr>
          <w:rFonts w:cs="Tahoma"/>
        </w:rPr>
      </w:pPr>
      <w:r w:rsidRPr="00A75DF9">
        <w:rPr>
          <w:rFonts w:cs="Tahoma"/>
          <w:b/>
          <w:color w:val="000000"/>
          <w:szCs w:val="18"/>
        </w:rPr>
        <w:t>Garanzia per i Servizi</w:t>
      </w:r>
      <w:r w:rsidRPr="00A75DF9">
        <w:rPr>
          <w:rFonts w:cs="Tahoma"/>
          <w:color w:val="000000"/>
          <w:szCs w:val="18"/>
        </w:rPr>
        <w:t>.</w:t>
      </w:r>
      <w:r w:rsidR="009D3B41" w:rsidRPr="00A75DF9">
        <w:rPr>
          <w:rFonts w:cs="Tahoma"/>
          <w:color w:val="000000"/>
          <w:szCs w:val="18"/>
        </w:rPr>
        <w:t xml:space="preserve"> </w:t>
      </w:r>
      <w:r w:rsidRPr="00A75DF9">
        <w:rPr>
          <w:rFonts w:cs="Tahoma"/>
          <w:color w:val="000000"/>
          <w:szCs w:val="18"/>
        </w:rPr>
        <w:t>Microsoft garantisce che tutti i Servizi verranno eseguiti con cura e competenza professionali.</w:t>
      </w:r>
    </w:p>
    <w:p w:rsidR="000F4095" w:rsidRPr="00A75DF9" w:rsidRDefault="000F4095" w:rsidP="000F4095">
      <w:pPr>
        <w:ind w:left="360"/>
        <w:rPr>
          <w:rFonts w:cs="Tahoma"/>
        </w:rPr>
      </w:pPr>
    </w:p>
    <w:p w:rsidR="000F4095" w:rsidRPr="00A75DF9" w:rsidRDefault="000F4095" w:rsidP="00AA3B53">
      <w:pPr>
        <w:ind w:left="360"/>
        <w:rPr>
          <w:rFonts w:cs="Tahoma"/>
        </w:rPr>
      </w:pPr>
      <w:r w:rsidRPr="00A75DF9">
        <w:rPr>
          <w:rFonts w:cs="Tahoma"/>
          <w:b/>
          <w:szCs w:val="18"/>
        </w:rPr>
        <w:t>ESCLUSIONE DI ALTRE GARANZIE</w:t>
      </w:r>
      <w:r w:rsidRPr="00A75DF9">
        <w:rPr>
          <w:rFonts w:cs="Tahoma"/>
          <w:b/>
          <w:i/>
          <w:szCs w:val="18"/>
        </w:rPr>
        <w:t>.</w:t>
      </w:r>
      <w:r w:rsidR="009D3B41" w:rsidRPr="00A75DF9">
        <w:rPr>
          <w:rFonts w:cs="Tahoma"/>
          <w:szCs w:val="18"/>
        </w:rPr>
        <w:t xml:space="preserve"> </w:t>
      </w:r>
      <w:r w:rsidRPr="00A75DF9">
        <w:rPr>
          <w:rFonts w:cs="Tahoma"/>
          <w:szCs w:val="18"/>
        </w:rPr>
        <w:t>NELLA MISURA MASSIMA CONSENTITA DALLA LEGGE APPLICABILE, MICROSOFT NON RICONOSCE ED ESCLUDE TUTTE LE DICHIARAZIONI, LE GARANZIE E LE CONDIZIONI ESPRESSE, IMPLICITE O DI LEGGE DIVERSE DA QUELLE SPECIFICATAMENTE INDICATE NEL PRESENTE CONTRATTO.</w:t>
      </w:r>
      <w:r w:rsidR="009D3B41" w:rsidRPr="00A75DF9">
        <w:rPr>
          <w:rFonts w:cs="Tahoma"/>
          <w:szCs w:val="18"/>
        </w:rPr>
        <w:t xml:space="preserve"> </w:t>
      </w:r>
      <w:r w:rsidRPr="00A75DF9">
        <w:rPr>
          <w:rFonts w:cs="Tahoma"/>
          <w:szCs w:val="18"/>
        </w:rPr>
        <w:t>LA PRESENTE DICHIARAZIONE DI NON RESPONSABILITÀ INCLUDE QUALSIASI GARANZIA O</w:t>
      </w:r>
      <w:r w:rsidR="00AA3B53">
        <w:rPr>
          <w:rFonts w:cs="Tahoma"/>
          <w:szCs w:val="18"/>
        </w:rPr>
        <w:t> </w:t>
      </w:r>
      <w:r w:rsidRPr="00A75DF9">
        <w:rPr>
          <w:rFonts w:cs="Tahoma"/>
          <w:szCs w:val="18"/>
        </w:rPr>
        <w:t>CONDIZIONE DI TITOLARITÀ, DI NON VIOLAZIONE DI DIRITTI ALTRUI, DI QUALITÀ O RISULTATI SODDISFACENTI, DI COMMERCIABILITÀ (QUALITÀ NON INFERIORE ALLA MEDIA) E DI ADEGUATEZZA PER UNO SCOPO SPECIFICO, RELATIVAMENTE A CONSULENZA, RACCOMANDAZIONI, FIX, MATERIALE FORNITO CON I SERVIZI E MATERIALE CORRELATO FORNITO DA MICROSOFT E DA CONSOCIATE, FORNITORI E APPALTATORI MICROSOFT DURANTE L</w:t>
      </w:r>
      <w:r w:rsidR="00F2643E">
        <w:rPr>
          <w:rFonts w:cs="Tahoma"/>
          <w:szCs w:val="18"/>
        </w:rPr>
        <w:t>’</w:t>
      </w:r>
      <w:r w:rsidRPr="00A75DF9">
        <w:rPr>
          <w:rFonts w:cs="Tahoma"/>
          <w:szCs w:val="18"/>
        </w:rPr>
        <w:t>EROGAZIONE DEI SERVIZI.</w:t>
      </w:r>
      <w:r w:rsidR="009D3B41" w:rsidRPr="00A75DF9">
        <w:rPr>
          <w:rFonts w:cs="Tahoma"/>
          <w:szCs w:val="18"/>
        </w:rPr>
        <w:t xml:space="preserve"> </w:t>
      </w:r>
    </w:p>
    <w:p w:rsidR="000F4095" w:rsidRPr="00A75DF9" w:rsidRDefault="000F4095" w:rsidP="000F4095">
      <w:pPr>
        <w:ind w:left="360"/>
        <w:rPr>
          <w:rFonts w:cs="Tahoma"/>
        </w:rPr>
      </w:pPr>
    </w:p>
    <w:p w:rsidR="000F4095" w:rsidRPr="00A75DF9" w:rsidRDefault="000F4095" w:rsidP="000F4095">
      <w:pPr>
        <w:ind w:left="360"/>
        <w:rPr>
          <w:rFonts w:cs="Tahoma"/>
        </w:rPr>
      </w:pPr>
      <w:r w:rsidRPr="00A75DF9">
        <w:rPr>
          <w:rFonts w:cs="Tahoma"/>
          <w:b/>
          <w:szCs w:val="18"/>
        </w:rPr>
        <w:t>Limitazione di Responsabilità</w:t>
      </w:r>
      <w:r w:rsidRPr="00A75DF9">
        <w:rPr>
          <w:rFonts w:cs="Tahoma"/>
          <w:szCs w:val="18"/>
        </w:rPr>
        <w:t>.</w:t>
      </w:r>
      <w:r w:rsidR="009D3B41" w:rsidRPr="00A75DF9">
        <w:rPr>
          <w:rFonts w:cs="Tahoma"/>
          <w:szCs w:val="18"/>
        </w:rPr>
        <w:t xml:space="preserve"> </w:t>
      </w:r>
      <w:r w:rsidRPr="00A75DF9">
        <w:rPr>
          <w:rFonts w:cs="Tahoma"/>
          <w:szCs w:val="18"/>
        </w:rPr>
        <w:t>La responsabilità complessiva di Microsoft per i danni diretti sarà limitata alla misura massima consentita dalla legge applicabile agli importi versati dalla Società per il pagamento dei Servizi che hanno dato origine al reclamo nei 12 mesi precedenti al reclamo.</w:t>
      </w:r>
      <w:r w:rsidR="009D3B41" w:rsidRPr="00A75DF9">
        <w:rPr>
          <w:rFonts w:cs="Tahoma"/>
          <w:szCs w:val="18"/>
        </w:rPr>
        <w:t xml:space="preserve"> </w:t>
      </w:r>
    </w:p>
    <w:p w:rsidR="000F4095" w:rsidRPr="00A75DF9" w:rsidRDefault="000F4095" w:rsidP="000F4095">
      <w:pPr>
        <w:ind w:left="360"/>
        <w:rPr>
          <w:rFonts w:cs="Tahoma"/>
        </w:rPr>
      </w:pPr>
    </w:p>
    <w:p w:rsidR="000F4095" w:rsidRPr="00A75DF9" w:rsidRDefault="000F4095" w:rsidP="00AA3B53">
      <w:pPr>
        <w:ind w:left="360"/>
        <w:rPr>
          <w:rFonts w:cs="Tahoma"/>
        </w:rPr>
      </w:pPr>
      <w:r w:rsidRPr="00A75DF9">
        <w:rPr>
          <w:rFonts w:cs="Tahoma"/>
          <w:b/>
          <w:szCs w:val="18"/>
        </w:rPr>
        <w:t>ESCLUSIONE DI RESPONSABILITÀ PER DANNI PARTICOLARI</w:t>
      </w:r>
      <w:r w:rsidRPr="00A75DF9">
        <w:rPr>
          <w:rFonts w:cs="Tahoma"/>
          <w:szCs w:val="18"/>
        </w:rPr>
        <w:t>.</w:t>
      </w:r>
      <w:r w:rsidR="009D3B41" w:rsidRPr="00A75DF9">
        <w:rPr>
          <w:rFonts w:cs="Tahoma"/>
          <w:szCs w:val="18"/>
        </w:rPr>
        <w:t xml:space="preserve"> </w:t>
      </w:r>
      <w:r w:rsidRPr="00A75DF9">
        <w:rPr>
          <w:rFonts w:cs="Tahoma"/>
          <w:szCs w:val="18"/>
        </w:rPr>
        <w:t>NELLA MISURA MASSIMA CONSENTITA DALLA LEGGE APPLICABILE, NESSUNA DELLE PARTI NÉ DELLE RELATIVE CONSOCIATE O DEI RELATIVI FORNITORI O APPALTATORI SARÀ RESPONSABILE DI EVENTUALI DANNI INDIRETTI (INCLUSI, A TITOLO ESEMPLIFICATIVO, DANNI CONSEQUENZIALI, SPECIALI O INCIDENTALI, DANNI PER PERDITA O MANCATO GUADAGNO, INTERRUZIONE DELL</w:t>
      </w:r>
      <w:r w:rsidR="00F2643E">
        <w:rPr>
          <w:rFonts w:cs="Tahoma"/>
          <w:szCs w:val="18"/>
        </w:rPr>
        <w:t>’</w:t>
      </w:r>
      <w:r w:rsidRPr="00A75DF9">
        <w:rPr>
          <w:rFonts w:cs="Tahoma"/>
          <w:szCs w:val="18"/>
        </w:rPr>
        <w:t>ATTIVITÀ O PERDITA DI INFORMAZIONI) CORRELATI AL PRESENTE CONTRATTO, ANCHE NEL CASO IN CUI LA POSSIBILITÀ DEL VERIFICARSI DI TALI DANNI FOSSE STATA COMUNICATA O FOSSE RAGIONEVOLMENTE PREVEDIBILE.</w:t>
      </w:r>
      <w:r w:rsidR="009D3B41" w:rsidRPr="00A75DF9">
        <w:rPr>
          <w:rFonts w:cs="Tahoma"/>
          <w:szCs w:val="18"/>
        </w:rPr>
        <w:t xml:space="preserve"> </w:t>
      </w:r>
      <w:r w:rsidRPr="00A75DF9">
        <w:rPr>
          <w:rFonts w:cs="Tahoma"/>
          <w:szCs w:val="18"/>
        </w:rPr>
        <w:t>TALE ESCLUSIONE DI RESPONSABILITÀ NON SI</w:t>
      </w:r>
      <w:r w:rsidR="00AA3B53">
        <w:rPr>
          <w:rFonts w:cs="Tahoma"/>
          <w:szCs w:val="18"/>
        </w:rPr>
        <w:t> </w:t>
      </w:r>
      <w:r w:rsidRPr="00A75DF9">
        <w:rPr>
          <w:rFonts w:cs="Tahoma"/>
          <w:szCs w:val="18"/>
        </w:rPr>
        <w:t>APPLICA NEL CASO DI INADEMPIMENTO DELLE OBBLIGAZIONI DI RISERVATEZZA DI UNA PARTE NEI CONFRONTI DELL</w:t>
      </w:r>
      <w:r w:rsidR="00F2643E">
        <w:rPr>
          <w:rFonts w:cs="Tahoma"/>
          <w:szCs w:val="18"/>
        </w:rPr>
        <w:t>’</w:t>
      </w:r>
      <w:r w:rsidRPr="00A75DF9">
        <w:rPr>
          <w:rFonts w:cs="Tahoma"/>
          <w:szCs w:val="18"/>
        </w:rPr>
        <w:t>ALTRA O NEL CASO DI VIOLAZIONE DEI DIRITTI DI PROPRIETÀ INTELLETTUALE DELL</w:t>
      </w:r>
      <w:r w:rsidR="00F2643E">
        <w:rPr>
          <w:rFonts w:cs="Tahoma"/>
          <w:szCs w:val="18"/>
        </w:rPr>
        <w:t>’</w:t>
      </w:r>
      <w:r w:rsidRPr="00A75DF9">
        <w:rPr>
          <w:rFonts w:cs="Tahoma"/>
          <w:szCs w:val="18"/>
        </w:rPr>
        <w:t>ALTRA PARTE.</w:t>
      </w:r>
    </w:p>
    <w:p w:rsidR="000F4095" w:rsidRPr="00A75DF9" w:rsidRDefault="000F4095" w:rsidP="000F4095">
      <w:pPr>
        <w:ind w:left="360" w:hanging="360"/>
        <w:jc w:val="both"/>
        <w:rPr>
          <w:rFonts w:cs="Tahoma"/>
        </w:rPr>
      </w:pPr>
    </w:p>
    <w:p w:rsidR="000F4095" w:rsidRPr="00A75DF9" w:rsidRDefault="000F4095" w:rsidP="000F4095">
      <w:pPr>
        <w:ind w:left="360"/>
        <w:rPr>
          <w:rFonts w:cs="Tahoma"/>
        </w:rPr>
      </w:pPr>
      <w:r w:rsidRPr="00A75DF9">
        <w:rPr>
          <w:rFonts w:cs="Tahoma"/>
          <w:b/>
          <w:szCs w:val="18"/>
        </w:rPr>
        <w:t>Applicazione</w:t>
      </w:r>
      <w:r w:rsidRPr="00A75DF9">
        <w:rPr>
          <w:rFonts w:cs="Tahoma"/>
          <w:szCs w:val="18"/>
        </w:rPr>
        <w:t>.</w:t>
      </w:r>
      <w:r w:rsidR="009D3B41" w:rsidRPr="00A75DF9">
        <w:rPr>
          <w:rFonts w:cs="Tahoma"/>
          <w:szCs w:val="18"/>
        </w:rPr>
        <w:t xml:space="preserve"> </w:t>
      </w:r>
      <w:r w:rsidRPr="00A75DF9">
        <w:rPr>
          <w:rFonts w:cs="Tahoma"/>
          <w:szCs w:val="18"/>
        </w:rPr>
        <w:t>Fatto salvo quanto espressamente indicato nel presente documento, le limitazioni e le esclusioni di responsabilità per danni, contenute nel presente contratto, sono comunque applicabili qualunque sia la natura della responsabilità, ovvero anche nel caso in cui la responsabilità derivi da inadempimento contrattuale, illecito civile (inclusa la negligenza), responsabilità oggettiva o violazione di garanzie.</w:t>
      </w:r>
    </w:p>
    <w:p w:rsidR="00023FE7" w:rsidRPr="00A75DF9" w:rsidRDefault="00023FE7">
      <w:pPr>
        <w:rPr>
          <w:rFonts w:cs="Tahoma"/>
        </w:rPr>
      </w:pPr>
      <w:r w:rsidRPr="00A75DF9">
        <w:rPr>
          <w:rFonts w:cs="Tahoma"/>
        </w:rPr>
        <w:br w:type="page"/>
      </w:r>
    </w:p>
    <w:p w:rsidR="008A1637" w:rsidRPr="00A75DF9" w:rsidRDefault="008A1637" w:rsidP="00AA3B53">
      <w:pPr>
        <w:pStyle w:val="Heading1"/>
        <w:spacing w:before="0"/>
        <w:rPr>
          <w:rFonts w:cs="Tahoma"/>
        </w:rPr>
      </w:pPr>
      <w:bookmarkStart w:id="931" w:name="_Toc336338249"/>
      <w:bookmarkStart w:id="932" w:name="_Toc368310240"/>
      <w:r w:rsidRPr="00A75DF9">
        <w:rPr>
          <w:rFonts w:cs="Tahoma"/>
        </w:rPr>
        <w:lastRenderedPageBreak/>
        <w:t>ARTICOLO 9 - Condizioni Aggiuntive</w:t>
      </w:r>
      <w:bookmarkEnd w:id="931"/>
      <w:bookmarkEnd w:id="932"/>
    </w:p>
    <w:p w:rsidR="00AA3B53" w:rsidRPr="007022C1" w:rsidRDefault="00AA3B53" w:rsidP="00AA3B53">
      <w:pPr>
        <w:pStyle w:val="Heading1"/>
        <w:rPr>
          <w:sz w:val="18"/>
        </w:rPr>
      </w:pPr>
      <w:bookmarkStart w:id="933" w:name="_Toc323159781"/>
      <w:bookmarkStart w:id="934" w:name="_Toc336338250"/>
    </w:p>
    <w:p w:rsidR="008A1637" w:rsidRPr="00A75DF9" w:rsidRDefault="008A1637" w:rsidP="008A1637">
      <w:pPr>
        <w:pStyle w:val="Heading3"/>
        <w:ind w:left="800" w:right="720" w:hanging="800"/>
        <w:rPr>
          <w:rFonts w:ascii="Tahoma" w:hAnsi="Tahoma" w:cs="Tahoma"/>
        </w:rPr>
      </w:pPr>
      <w:bookmarkStart w:id="935" w:name="_Toc368310241"/>
      <w:r w:rsidRPr="00A75DF9">
        <w:rPr>
          <w:rFonts w:ascii="Tahoma" w:eastAsia="Times New Roman" w:hAnsi="Tahoma" w:cs="Tahoma"/>
          <w:color w:val="000000"/>
          <w:sz w:val="24"/>
          <w:szCs w:val="22"/>
        </w:rPr>
        <w:t>Client Access Licenses (CAL) e Licenze di Gestione Client (ML)</w:t>
      </w:r>
      <w:bookmarkEnd w:id="933"/>
      <w:bookmarkEnd w:id="934"/>
      <w:bookmarkEnd w:id="935"/>
    </w:p>
    <w:p w:rsidR="008A1637" w:rsidRPr="00A75DF9" w:rsidRDefault="008A1637" w:rsidP="008A1637">
      <w:pPr>
        <w:pStyle w:val="AppendixFlushBulletedList"/>
        <w:tabs>
          <w:tab w:val="clear" w:pos="360"/>
        </w:tabs>
        <w:ind w:left="720" w:right="720" w:firstLine="0"/>
        <w:rPr>
          <w:rFonts w:ascii="Tahoma" w:hAnsi="Tahoma" w:cs="Tahoma"/>
        </w:rPr>
      </w:pPr>
    </w:p>
    <w:p w:rsidR="008A1637" w:rsidRPr="00A75DF9" w:rsidRDefault="008A1637" w:rsidP="00346F4B">
      <w:pPr>
        <w:pStyle w:val="AppendixFlushBulletedList"/>
        <w:numPr>
          <w:ilvl w:val="0"/>
          <w:numId w:val="79"/>
        </w:numPr>
        <w:ind w:left="1440" w:right="720"/>
        <w:rPr>
          <w:rFonts w:ascii="Tahoma" w:hAnsi="Tahoma" w:cs="Tahoma"/>
        </w:rPr>
      </w:pPr>
      <w:r w:rsidRPr="00A75DF9">
        <w:rPr>
          <w:rFonts w:ascii="Tahoma" w:hAnsi="Tahoma" w:cs="Tahoma"/>
          <w:b/>
          <w:bCs/>
          <w:color w:val="000000"/>
          <w:sz w:val="18"/>
          <w:szCs w:val="18"/>
        </w:rPr>
        <w:t>Transizione tra User CAL e CAL per Dispositivo</w:t>
      </w:r>
    </w:p>
    <w:p w:rsidR="008A1637" w:rsidRPr="00AA3B53" w:rsidRDefault="008A1637" w:rsidP="00AA3B53">
      <w:pPr>
        <w:pStyle w:val="AppendixBodyText"/>
        <w:numPr>
          <w:ilvl w:val="0"/>
          <w:numId w:val="80"/>
        </w:numPr>
        <w:spacing w:afterLines="60" w:after="144"/>
        <w:ind w:left="1800" w:right="720"/>
        <w:rPr>
          <w:rFonts w:ascii="Tahoma" w:hAnsi="Tahoma" w:cs="Tahoma"/>
          <w:sz w:val="18"/>
          <w:szCs w:val="18"/>
        </w:rPr>
      </w:pPr>
      <w:r w:rsidRPr="00AA3B53">
        <w:rPr>
          <w:rFonts w:ascii="Tahoma" w:hAnsi="Tahoma" w:cs="Tahoma"/>
          <w:color w:val="000000"/>
          <w:sz w:val="18"/>
          <w:szCs w:val="18"/>
        </w:rPr>
        <w:t>Le società con Software Assurance attiva per le CAL possono passare da Utente a Dispositivo e viceversa quando effettuano il rinnovo della loro copertura Software Assurance. Tale transizione non cambia l</w:t>
      </w:r>
      <w:r w:rsidR="00F2643E">
        <w:rPr>
          <w:rFonts w:ascii="Tahoma" w:hAnsi="Tahoma" w:cs="Tahoma"/>
          <w:color w:val="000000"/>
          <w:sz w:val="18"/>
          <w:szCs w:val="18"/>
        </w:rPr>
        <w:t>’</w:t>
      </w:r>
      <w:r w:rsidRPr="00AA3B53">
        <w:rPr>
          <w:rFonts w:ascii="Tahoma" w:hAnsi="Tahoma" w:cs="Tahoma"/>
          <w:color w:val="000000"/>
          <w:sz w:val="18"/>
          <w:szCs w:val="18"/>
        </w:rPr>
        <w:t>edizione della CAL (ad esempio, da Standard</w:t>
      </w:r>
      <w:r w:rsidR="00AA3B53" w:rsidRPr="00AA3B53">
        <w:rPr>
          <w:rFonts w:ascii="Tahoma" w:hAnsi="Tahoma" w:cs="Tahoma"/>
          <w:color w:val="000000"/>
          <w:sz w:val="18"/>
          <w:szCs w:val="18"/>
        </w:rPr>
        <w:t> </w:t>
      </w:r>
      <w:r w:rsidRPr="00AA3B53">
        <w:rPr>
          <w:rFonts w:ascii="Tahoma" w:hAnsi="Tahoma" w:cs="Tahoma"/>
          <w:color w:val="000000"/>
          <w:sz w:val="18"/>
          <w:szCs w:val="18"/>
        </w:rPr>
        <w:t>a Enterprise). Fare riferimento alle Note del Prodotto per informazioni sui</w:t>
      </w:r>
      <w:r w:rsidR="00AA3B53" w:rsidRPr="00AA3B53">
        <w:rPr>
          <w:rFonts w:ascii="Tahoma" w:hAnsi="Tahoma" w:cs="Tahoma"/>
          <w:color w:val="000000"/>
          <w:sz w:val="18"/>
          <w:szCs w:val="18"/>
        </w:rPr>
        <w:t> </w:t>
      </w:r>
      <w:r w:rsidRPr="00AA3B53">
        <w:rPr>
          <w:rFonts w:ascii="Tahoma" w:hAnsi="Tahoma" w:cs="Tahoma"/>
          <w:color w:val="000000"/>
          <w:sz w:val="18"/>
          <w:szCs w:val="18"/>
        </w:rPr>
        <w:t xml:space="preserve">singoli prodotti </w:t>
      </w:r>
    </w:p>
    <w:p w:rsidR="008A1637" w:rsidRPr="00A75DF9" w:rsidRDefault="008A1637" w:rsidP="00346F4B">
      <w:pPr>
        <w:pStyle w:val="AppendixFlushBulletedList"/>
        <w:numPr>
          <w:ilvl w:val="0"/>
          <w:numId w:val="79"/>
        </w:numPr>
        <w:ind w:left="1440" w:right="720"/>
        <w:rPr>
          <w:rFonts w:ascii="Tahoma" w:hAnsi="Tahoma" w:cs="Tahoma"/>
        </w:rPr>
      </w:pPr>
      <w:r w:rsidRPr="00A75DF9">
        <w:rPr>
          <w:rFonts w:ascii="Tahoma" w:hAnsi="Tahoma" w:cs="Tahoma"/>
          <w:b/>
          <w:bCs/>
          <w:color w:val="000000"/>
          <w:sz w:val="18"/>
          <w:szCs w:val="18"/>
        </w:rPr>
        <w:t>Transizione tra client ML per Utente e per OSE</w:t>
      </w:r>
    </w:p>
    <w:p w:rsidR="008A1637" w:rsidRPr="00AA3B53" w:rsidRDefault="008A1637" w:rsidP="00AA3B53">
      <w:pPr>
        <w:pStyle w:val="AppendixBodyText"/>
        <w:numPr>
          <w:ilvl w:val="0"/>
          <w:numId w:val="80"/>
        </w:numPr>
        <w:spacing w:afterLines="60" w:after="144"/>
        <w:ind w:left="1800" w:right="720"/>
        <w:rPr>
          <w:rFonts w:ascii="Tahoma" w:hAnsi="Tahoma" w:cs="Tahoma"/>
          <w:sz w:val="18"/>
          <w:szCs w:val="18"/>
        </w:rPr>
      </w:pPr>
      <w:r w:rsidRPr="00AA3B53">
        <w:rPr>
          <w:rFonts w:ascii="Tahoma" w:hAnsi="Tahoma" w:cs="Tahoma"/>
          <w:color w:val="000000"/>
          <w:sz w:val="18"/>
          <w:szCs w:val="18"/>
        </w:rPr>
        <w:t>Le società con Software Assurance attiva per le client ML possono passare da Utente</w:t>
      </w:r>
      <w:r w:rsidR="00AA3B53" w:rsidRPr="00AA3B53">
        <w:rPr>
          <w:rFonts w:ascii="Tahoma" w:hAnsi="Tahoma" w:cs="Tahoma"/>
          <w:color w:val="000000"/>
          <w:sz w:val="18"/>
          <w:szCs w:val="18"/>
        </w:rPr>
        <w:t> </w:t>
      </w:r>
      <w:r w:rsidRPr="00AA3B53">
        <w:rPr>
          <w:rFonts w:ascii="Tahoma" w:hAnsi="Tahoma" w:cs="Tahoma"/>
          <w:color w:val="000000"/>
          <w:sz w:val="18"/>
          <w:szCs w:val="18"/>
        </w:rPr>
        <w:t>a OSE e viceversa quando effettuano il rinnovo della loro copertura Software</w:t>
      </w:r>
      <w:r w:rsidR="00AA3B53" w:rsidRPr="00AA3B53">
        <w:rPr>
          <w:rFonts w:ascii="Tahoma" w:hAnsi="Tahoma" w:cs="Tahoma"/>
          <w:color w:val="000000"/>
          <w:sz w:val="18"/>
          <w:szCs w:val="18"/>
        </w:rPr>
        <w:t> </w:t>
      </w:r>
      <w:r w:rsidRPr="00AA3B53">
        <w:rPr>
          <w:rFonts w:ascii="Tahoma" w:hAnsi="Tahoma" w:cs="Tahoma"/>
          <w:color w:val="000000"/>
          <w:sz w:val="18"/>
          <w:szCs w:val="18"/>
        </w:rPr>
        <w:t xml:space="preserve">Assurance. Fare riferimento alle Note del Prodotto per informazioni sui singoli prodotti. </w:t>
      </w:r>
    </w:p>
    <w:p w:rsidR="008A1637" w:rsidRPr="00A75DF9" w:rsidRDefault="008A1637" w:rsidP="00346F4B">
      <w:pPr>
        <w:pStyle w:val="AppendixFlushBulletedList"/>
        <w:numPr>
          <w:ilvl w:val="0"/>
          <w:numId w:val="79"/>
        </w:numPr>
        <w:ind w:left="1440" w:right="720"/>
        <w:rPr>
          <w:rFonts w:ascii="Tahoma" w:hAnsi="Tahoma" w:cs="Tahoma"/>
        </w:rPr>
      </w:pPr>
      <w:r w:rsidRPr="00A75DF9">
        <w:rPr>
          <w:rFonts w:ascii="Tahoma" w:hAnsi="Tahoma" w:cs="Tahoma"/>
          <w:b/>
          <w:bCs/>
          <w:color w:val="000000"/>
          <w:sz w:val="18"/>
          <w:szCs w:val="18"/>
        </w:rPr>
        <w:t>In fase di rinnovo</w:t>
      </w:r>
    </w:p>
    <w:p w:rsidR="008A1637" w:rsidRPr="00AA3B53" w:rsidRDefault="008A1637" w:rsidP="008B1245">
      <w:pPr>
        <w:pStyle w:val="AppendixBodyText"/>
        <w:numPr>
          <w:ilvl w:val="0"/>
          <w:numId w:val="80"/>
        </w:numPr>
        <w:spacing w:afterLines="60" w:after="144"/>
        <w:ind w:left="1800" w:right="720"/>
        <w:rPr>
          <w:rFonts w:ascii="Tahoma" w:hAnsi="Tahoma" w:cs="Tahoma"/>
          <w:sz w:val="18"/>
          <w:szCs w:val="18"/>
        </w:rPr>
      </w:pPr>
      <w:r w:rsidRPr="00AA3B53">
        <w:rPr>
          <w:rFonts w:ascii="Tahoma" w:hAnsi="Tahoma" w:cs="Tahoma"/>
          <w:color w:val="000000"/>
          <w:sz w:val="18"/>
          <w:szCs w:val="18"/>
        </w:rPr>
        <w:t>Nel caso in cui siano disponibili sia User CAL che CAL per Dispositivo, le società potranno rinnovare Software Assurance per entrambi i tipi. I diritti di utilizzo del prodotto per il tipo di licenze CAL per il quale è stata ordinata la copertura Software Assurance determinano la modalità di assegnazione e uso delle licenze CAL. Le società che hanno effettuato l</w:t>
      </w:r>
      <w:r w:rsidR="00F2643E">
        <w:rPr>
          <w:rFonts w:ascii="Tahoma" w:hAnsi="Tahoma" w:cs="Tahoma"/>
          <w:color w:val="000000"/>
          <w:sz w:val="18"/>
          <w:szCs w:val="18"/>
        </w:rPr>
        <w:t>’</w:t>
      </w:r>
      <w:r w:rsidRPr="00AA3B53">
        <w:rPr>
          <w:rFonts w:ascii="Tahoma" w:hAnsi="Tahoma" w:cs="Tahoma"/>
          <w:color w:val="000000"/>
          <w:sz w:val="18"/>
          <w:szCs w:val="18"/>
        </w:rPr>
        <w:t xml:space="preserve">Iscrizione Enterprise e che scelgono di ordinare Software Assurance per le User CAL potranno acquistare le licenze CAL sulla base del loro numero di utenti. Fare riferimento alle note per informazioni sui singoli prodotti. </w:t>
      </w:r>
    </w:p>
    <w:p w:rsidR="008A1637" w:rsidRPr="00A75DF9" w:rsidRDefault="008A1637" w:rsidP="00346F4B">
      <w:pPr>
        <w:pStyle w:val="AppendixFlushBulletedList"/>
        <w:numPr>
          <w:ilvl w:val="0"/>
          <w:numId w:val="79"/>
        </w:numPr>
        <w:ind w:left="1440" w:right="720"/>
        <w:rPr>
          <w:rFonts w:ascii="Tahoma" w:hAnsi="Tahoma" w:cs="Tahoma"/>
        </w:rPr>
      </w:pPr>
      <w:r w:rsidRPr="00A75DF9">
        <w:rPr>
          <w:rFonts w:ascii="Tahoma" w:hAnsi="Tahoma" w:cs="Tahoma"/>
          <w:b/>
          <w:bCs/>
          <w:color w:val="000000"/>
          <w:sz w:val="18"/>
          <w:szCs w:val="18"/>
        </w:rPr>
        <w:t>CAL in Eccedenza</w:t>
      </w:r>
    </w:p>
    <w:p w:rsidR="008A1637" w:rsidRPr="00AA3B53" w:rsidRDefault="008A1637" w:rsidP="008B1245">
      <w:pPr>
        <w:pStyle w:val="AppendixBodyText"/>
        <w:numPr>
          <w:ilvl w:val="0"/>
          <w:numId w:val="80"/>
        </w:numPr>
        <w:spacing w:afterLines="60" w:after="144"/>
        <w:ind w:left="1800" w:right="720"/>
        <w:rPr>
          <w:rFonts w:ascii="Tahoma" w:hAnsi="Tahoma" w:cs="Tahoma"/>
          <w:sz w:val="18"/>
          <w:szCs w:val="18"/>
        </w:rPr>
      </w:pPr>
      <w:r w:rsidRPr="00AA3B53">
        <w:rPr>
          <w:rFonts w:ascii="Tahoma" w:hAnsi="Tahoma" w:cs="Tahoma"/>
          <w:color w:val="000000"/>
          <w:sz w:val="18"/>
          <w:szCs w:val="18"/>
        </w:rPr>
        <w:t>La transizione tra User CAL e CAL per Dispositivo, nella modalità consentita sopra, potrebbe dar luogo a un</w:t>
      </w:r>
      <w:r w:rsidR="00F2643E">
        <w:rPr>
          <w:rFonts w:ascii="Tahoma" w:hAnsi="Tahoma" w:cs="Tahoma"/>
          <w:color w:val="000000"/>
          <w:sz w:val="18"/>
          <w:szCs w:val="18"/>
        </w:rPr>
        <w:t>’</w:t>
      </w:r>
      <w:r w:rsidRPr="00AA3B53">
        <w:rPr>
          <w:rFonts w:ascii="Tahoma" w:hAnsi="Tahoma" w:cs="Tahoma"/>
          <w:color w:val="000000"/>
          <w:sz w:val="18"/>
          <w:szCs w:val="18"/>
        </w:rPr>
        <w:t xml:space="preserve">eccedenza di CAL. Le società potranno riassegnare le CAL in eccedenza quando il loro numero di utenti o dispositivi crescerà. In fase di rinnovo le società potranno scegliere di tenere Software Assurance per le CAL in eccedenza. Le società non potranno rinnovare successivamente Software Assurance per le CAL in eccedenza, per le quali è scaduta la copertura. </w:t>
      </w:r>
    </w:p>
    <w:p w:rsidR="008A1637" w:rsidRPr="00A75DF9" w:rsidRDefault="008A1637" w:rsidP="00346F4B">
      <w:pPr>
        <w:pStyle w:val="AppendixFlushBulletedList"/>
        <w:numPr>
          <w:ilvl w:val="0"/>
          <w:numId w:val="79"/>
        </w:numPr>
        <w:ind w:left="1440" w:right="720"/>
        <w:rPr>
          <w:rFonts w:ascii="Tahoma" w:hAnsi="Tahoma" w:cs="Tahoma"/>
        </w:rPr>
      </w:pPr>
      <w:r w:rsidRPr="00A75DF9">
        <w:rPr>
          <w:rFonts w:ascii="Tahoma" w:hAnsi="Tahoma" w:cs="Tahoma"/>
          <w:b/>
          <w:bCs/>
          <w:color w:val="000000"/>
          <w:sz w:val="18"/>
          <w:szCs w:val="18"/>
        </w:rPr>
        <w:t>ML in Eccedenza</w:t>
      </w:r>
    </w:p>
    <w:p w:rsidR="008A1637" w:rsidRPr="00AA3B53" w:rsidRDefault="008A1637" w:rsidP="008B1245">
      <w:pPr>
        <w:pStyle w:val="AppendixBodyText"/>
        <w:numPr>
          <w:ilvl w:val="0"/>
          <w:numId w:val="80"/>
        </w:numPr>
        <w:spacing w:afterLines="60" w:after="144"/>
        <w:ind w:left="1800" w:right="720"/>
        <w:rPr>
          <w:rFonts w:ascii="Tahoma" w:hAnsi="Tahoma" w:cs="Tahoma"/>
          <w:sz w:val="18"/>
          <w:szCs w:val="18"/>
        </w:rPr>
      </w:pPr>
      <w:r w:rsidRPr="00AA3B53">
        <w:rPr>
          <w:rFonts w:ascii="Tahoma" w:hAnsi="Tahoma" w:cs="Tahoma"/>
          <w:color w:val="000000"/>
          <w:sz w:val="18"/>
          <w:szCs w:val="18"/>
        </w:rPr>
        <w:t>La transizione tra client ML per Utente e per OSE, nella modalità consentita sopra, potrebbe dar luogo a un</w:t>
      </w:r>
      <w:r w:rsidR="00F2643E">
        <w:rPr>
          <w:rFonts w:ascii="Tahoma" w:hAnsi="Tahoma" w:cs="Tahoma"/>
          <w:color w:val="000000"/>
          <w:sz w:val="18"/>
          <w:szCs w:val="18"/>
        </w:rPr>
        <w:t>’</w:t>
      </w:r>
      <w:r w:rsidRPr="00AA3B53">
        <w:rPr>
          <w:rFonts w:ascii="Tahoma" w:hAnsi="Tahoma" w:cs="Tahoma"/>
          <w:color w:val="000000"/>
          <w:sz w:val="18"/>
          <w:szCs w:val="18"/>
        </w:rPr>
        <w:t xml:space="preserve">eccedenza di ML. Le società potranno riassegnare le ML in eccedenza quando il loro numero di utenti o di OSE gestiti crescerà. In fase di rinnovo le società potranno scegliere di tenere Software Assurance per le ML in eccedenza. Le società non potranno rinnovare successivamente Software Assurance per le ML in eccedenza, per le quali è scaduta la copertura. </w:t>
      </w:r>
    </w:p>
    <w:p w:rsidR="008A1637" w:rsidRPr="00A75DF9" w:rsidRDefault="008A1637" w:rsidP="00346F4B">
      <w:pPr>
        <w:pStyle w:val="AppendixFlushBulletedList"/>
        <w:numPr>
          <w:ilvl w:val="0"/>
          <w:numId w:val="79"/>
        </w:numPr>
        <w:ind w:left="1440" w:right="720"/>
        <w:rPr>
          <w:rFonts w:ascii="Tahoma" w:hAnsi="Tahoma" w:cs="Tahoma"/>
        </w:rPr>
      </w:pPr>
      <w:r w:rsidRPr="00A75DF9">
        <w:rPr>
          <w:rFonts w:ascii="Tahoma" w:hAnsi="Tahoma" w:cs="Tahoma"/>
          <w:b/>
          <w:bCs/>
          <w:color w:val="000000"/>
          <w:sz w:val="18"/>
          <w:szCs w:val="18"/>
        </w:rPr>
        <w:t>Prova di Licenze</w:t>
      </w:r>
    </w:p>
    <w:p w:rsidR="007022C1" w:rsidRPr="00AA3B53" w:rsidRDefault="008A1637" w:rsidP="00AA3B53">
      <w:pPr>
        <w:pStyle w:val="AppendixBodyText"/>
        <w:numPr>
          <w:ilvl w:val="0"/>
          <w:numId w:val="80"/>
        </w:numPr>
        <w:spacing w:after="0"/>
        <w:ind w:left="1800" w:right="720"/>
        <w:rPr>
          <w:rFonts w:ascii="Tahoma" w:hAnsi="Tahoma" w:cs="Tahoma"/>
          <w:sz w:val="18"/>
          <w:szCs w:val="18"/>
        </w:rPr>
      </w:pPr>
      <w:r w:rsidRPr="00AA3B53">
        <w:rPr>
          <w:rFonts w:ascii="Tahoma" w:hAnsi="Tahoma" w:cs="Tahoma"/>
          <w:color w:val="000000"/>
          <w:sz w:val="18"/>
          <w:szCs w:val="18"/>
        </w:rPr>
        <w:t>Il diritto di migrare alle User CAL e di utilizzarle è evidenziato nella presente Lista dei Prodotti, nelle documentazioni relative a Software Assurance delle società e nelle CAL</w:t>
      </w:r>
      <w:r w:rsidR="00AA3B53">
        <w:rPr>
          <w:rFonts w:ascii="Tahoma" w:hAnsi="Tahoma" w:cs="Tahoma"/>
          <w:color w:val="000000"/>
          <w:sz w:val="18"/>
          <w:szCs w:val="18"/>
        </w:rPr>
        <w:t> </w:t>
      </w:r>
      <w:r w:rsidRPr="00AA3B53">
        <w:rPr>
          <w:rFonts w:ascii="Tahoma" w:hAnsi="Tahoma" w:cs="Tahoma"/>
          <w:color w:val="000000"/>
          <w:sz w:val="18"/>
          <w:szCs w:val="18"/>
        </w:rPr>
        <w:t>sottostanti. Il diritto di migrare alle User ML e di utilizzarle è evidenziato nella presente Lista dei Prodotti, nelle documentazioni relative a Software Assurance delle società e nelle ML sottostanti.</w:t>
      </w:r>
    </w:p>
    <w:p w:rsidR="007022C1" w:rsidRPr="00AA3B53" w:rsidRDefault="007022C1" w:rsidP="00944EE1">
      <w:pPr>
        <w:pStyle w:val="AppendixBodyText"/>
        <w:spacing w:after="0"/>
        <w:ind w:right="720"/>
        <w:rPr>
          <w:rFonts w:ascii="Tahoma" w:hAnsi="Tahoma" w:cs="Tahoma"/>
          <w:sz w:val="18"/>
          <w:szCs w:val="18"/>
        </w:rPr>
      </w:pPr>
    </w:p>
    <w:p w:rsidR="008A1637" w:rsidRPr="00A75DF9" w:rsidRDefault="008A1637" w:rsidP="008A1637">
      <w:pPr>
        <w:pStyle w:val="Heading3"/>
        <w:ind w:right="720"/>
        <w:rPr>
          <w:rFonts w:ascii="Tahoma" w:hAnsi="Tahoma" w:cs="Tahoma"/>
        </w:rPr>
      </w:pPr>
      <w:bookmarkStart w:id="936" w:name="_Toc323159782"/>
      <w:bookmarkStart w:id="937" w:name="_Toc336338251"/>
      <w:bookmarkStart w:id="938" w:name="_Toc368310242"/>
      <w:r w:rsidRPr="00A75DF9">
        <w:rPr>
          <w:rFonts w:ascii="Tahoma" w:hAnsi="Tahoma" w:cs="Tahoma"/>
          <w:sz w:val="24"/>
          <w:szCs w:val="22"/>
        </w:rPr>
        <w:t>Limitazioni dei Controlli EI</w:t>
      </w:r>
      <w:bookmarkEnd w:id="936"/>
      <w:bookmarkEnd w:id="937"/>
      <w:bookmarkEnd w:id="938"/>
    </w:p>
    <w:p w:rsidR="008A1637" w:rsidRPr="00A75DF9" w:rsidRDefault="008A1637" w:rsidP="008A1637">
      <w:pPr>
        <w:ind w:right="720"/>
        <w:rPr>
          <w:rFonts w:cs="Tahoma"/>
        </w:rPr>
      </w:pPr>
    </w:p>
    <w:p w:rsidR="008A1637" w:rsidRPr="00A75DF9" w:rsidRDefault="008A1637" w:rsidP="00AA3B53">
      <w:pPr>
        <w:pStyle w:val="AppendixBodyText"/>
        <w:ind w:right="720"/>
        <w:rPr>
          <w:rFonts w:ascii="Tahoma" w:hAnsi="Tahoma" w:cs="Tahoma"/>
        </w:rPr>
      </w:pPr>
      <w:r w:rsidRPr="00A75DF9">
        <w:rPr>
          <w:rFonts w:ascii="Tahoma" w:hAnsi="Tahoma" w:cs="Tahoma"/>
          <w:sz w:val="18"/>
        </w:rPr>
        <w:t>L</w:t>
      </w:r>
      <w:r w:rsidR="00F2643E">
        <w:rPr>
          <w:rFonts w:ascii="Tahoma" w:hAnsi="Tahoma" w:cs="Tahoma"/>
          <w:sz w:val="18"/>
        </w:rPr>
        <w:t>’</w:t>
      </w:r>
      <w:r w:rsidRPr="00A75DF9">
        <w:rPr>
          <w:rFonts w:ascii="Tahoma" w:hAnsi="Tahoma" w:cs="Tahoma"/>
          <w:sz w:val="18"/>
        </w:rPr>
        <w:t>esportazione di alcuni prodotti Microsoft dagli Stati Uniti è regolata ai sensi dei “Controlli EI” dell</w:t>
      </w:r>
      <w:r w:rsidR="00F2643E">
        <w:rPr>
          <w:rFonts w:ascii="Tahoma" w:hAnsi="Tahoma" w:cs="Tahoma"/>
          <w:sz w:val="18"/>
        </w:rPr>
        <w:t>’</w:t>
      </w:r>
      <w:r w:rsidRPr="00A75DF9">
        <w:rPr>
          <w:rFonts w:ascii="Tahoma" w:hAnsi="Tahoma" w:cs="Tahoma"/>
          <w:sz w:val="18"/>
        </w:rPr>
        <w:t xml:space="preserve">Export Administration Regulations (EAR, 15 CFR 730-744) del Commerce Department, Bureau of Export Administration (BXA) degli Stati Uniti. Per ulteriori informazioni, visitare la pagina: </w:t>
      </w:r>
      <w:hyperlink r:id="rId32" w:history="1">
        <w:r w:rsidR="00AA3B53">
          <w:rPr>
            <w:rStyle w:val="Hyperlink"/>
            <w:rFonts w:ascii="Tahoma" w:hAnsi="Tahoma" w:cs="Tahoma"/>
            <w:sz w:val="18"/>
          </w:rPr>
          <w:t>www.microsoft.com/products/exporting/basics.htm</w:t>
        </w:r>
      </w:hyperlink>
    </w:p>
    <w:p w:rsidR="008A1637" w:rsidRPr="00A75DF9" w:rsidRDefault="008A1637" w:rsidP="008A1637">
      <w:pPr>
        <w:rPr>
          <w:rFonts w:cs="Tahoma"/>
        </w:rPr>
      </w:pPr>
    </w:p>
    <w:p w:rsidR="008A1637" w:rsidRPr="00A75DF9" w:rsidRDefault="008A1637" w:rsidP="00944EE1">
      <w:pPr>
        <w:pStyle w:val="Heading3"/>
        <w:spacing w:after="60"/>
        <w:ind w:right="720"/>
        <w:rPr>
          <w:rFonts w:ascii="Tahoma" w:hAnsi="Tahoma" w:cs="Tahoma"/>
        </w:rPr>
      </w:pPr>
      <w:bookmarkStart w:id="939" w:name="_Toc323159783"/>
      <w:bookmarkStart w:id="940" w:name="_Toc336338252"/>
      <w:bookmarkStart w:id="941" w:name="_Toc368310243"/>
      <w:r w:rsidRPr="00A75DF9">
        <w:rPr>
          <w:rFonts w:ascii="Tahoma" w:hAnsi="Tahoma" w:cs="Tahoma"/>
          <w:bCs/>
        </w:rPr>
        <w:lastRenderedPageBreak/>
        <w:t>Multilanguage Pack (MLP), Funzionalità Multilanguage User Interface (MUI) e Nuovi Diritti sulle Lingue</w:t>
      </w:r>
      <w:bookmarkEnd w:id="939"/>
      <w:bookmarkEnd w:id="940"/>
      <w:bookmarkEnd w:id="941"/>
    </w:p>
    <w:p w:rsidR="008A1637" w:rsidRPr="00A75DF9" w:rsidRDefault="008A1637" w:rsidP="008A1637">
      <w:pPr>
        <w:rPr>
          <w:rFonts w:cs="Tahoma"/>
        </w:rPr>
      </w:pPr>
      <w:r w:rsidRPr="00A75DF9">
        <w:rPr>
          <w:rFonts w:cs="Tahoma"/>
        </w:rPr>
        <w:t>Le funzionalità MLP e MUI consentono alle società di eseguire e alternare versioni in lingua diversa di prodotti con licenza. Il diritto di utilizzare entrambi varia in base al tipo di prodotto, programma e licenza.</w:t>
      </w:r>
      <w:r w:rsidR="009D3B41" w:rsidRPr="00A75DF9">
        <w:rPr>
          <w:rFonts w:cs="Tahoma"/>
        </w:rPr>
        <w:t xml:space="preserve"> </w:t>
      </w:r>
    </w:p>
    <w:p w:rsidR="008A1637" w:rsidRPr="00AA3B53" w:rsidRDefault="008A1637" w:rsidP="008A1637">
      <w:pPr>
        <w:pStyle w:val="Heading3"/>
        <w:ind w:right="720"/>
        <w:rPr>
          <w:rFonts w:ascii="Tahoma" w:hAnsi="Tahoma" w:cs="Tahoma"/>
          <w:b w:val="0"/>
          <w:bCs/>
          <w:sz w:val="18"/>
          <w:szCs w:val="18"/>
        </w:rPr>
      </w:pPr>
    </w:p>
    <w:p w:rsidR="008A1637" w:rsidRPr="00A75DF9" w:rsidRDefault="008A1637" w:rsidP="007022C1">
      <w:pPr>
        <w:numPr>
          <w:ilvl w:val="0"/>
          <w:numId w:val="17"/>
        </w:numPr>
        <w:tabs>
          <w:tab w:val="left" w:pos="1440"/>
        </w:tabs>
        <w:spacing w:after="60"/>
        <w:rPr>
          <w:rFonts w:cs="Tahoma"/>
        </w:rPr>
      </w:pPr>
      <w:r w:rsidRPr="00A75DF9">
        <w:rPr>
          <w:rFonts w:cs="Tahoma"/>
        </w:rPr>
        <w:t>Per la maggior parte dei prodotti server, ad esempio Windows Server, la funzionalità MUI è inclusa nel prodotto base. Le società che ottengono in licenza tali prodotti potranno utilizzare tale funzionalità in conformità ai diritti sull</w:t>
      </w:r>
      <w:r w:rsidR="00F2643E">
        <w:rPr>
          <w:rFonts w:cs="Tahoma"/>
        </w:rPr>
        <w:t>’</w:t>
      </w:r>
      <w:r w:rsidRPr="00A75DF9">
        <w:rPr>
          <w:rFonts w:cs="Tahoma"/>
        </w:rPr>
        <w:t>utilizzo per tali prodotti.</w:t>
      </w:r>
      <w:r w:rsidR="009D3B41" w:rsidRPr="00A75DF9">
        <w:rPr>
          <w:rFonts w:cs="Tahoma"/>
        </w:rPr>
        <w:t xml:space="preserve"> </w:t>
      </w:r>
    </w:p>
    <w:p w:rsidR="008A1637" w:rsidRPr="00A75DF9" w:rsidRDefault="008A1637" w:rsidP="00AA3B53">
      <w:pPr>
        <w:numPr>
          <w:ilvl w:val="0"/>
          <w:numId w:val="17"/>
        </w:numPr>
        <w:tabs>
          <w:tab w:val="left" w:pos="1440"/>
        </w:tabs>
        <w:spacing w:after="60"/>
        <w:rPr>
          <w:rFonts w:cs="Tahoma"/>
        </w:rPr>
      </w:pPr>
      <w:r w:rsidRPr="00A75DF9">
        <w:rPr>
          <w:rFonts w:cs="Tahoma"/>
        </w:rPr>
        <w:t>Nel caso dei prodotti Office System, che non siano server, e delle famiglie di prodotti, a partire dal 1 ottobre 2008 il diritto di utilizzare la funzionalità MLP è disponibile per le società con copertura Software Assurance attiva sulle licenze qualificanti (per dettagli consultare l</w:t>
      </w:r>
      <w:r w:rsidR="00F2643E">
        <w:rPr>
          <w:rFonts w:cs="Tahoma"/>
        </w:rPr>
        <w:t>’</w:t>
      </w:r>
      <w:r w:rsidRPr="00A75DF9">
        <w:rPr>
          <w:rFonts w:cs="Tahoma"/>
        </w:rPr>
        <w:t>Articolo 6). Ai sensi di alcuni programmi, ad esempio Select, i pacchetti MLP per i prodotti e le famiglie di prodotti Office</w:t>
      </w:r>
      <w:r w:rsidR="00AA3B53">
        <w:rPr>
          <w:rFonts w:cs="Tahoma"/>
        </w:rPr>
        <w:t> </w:t>
      </w:r>
      <w:r w:rsidRPr="00A75DF9">
        <w:rPr>
          <w:rFonts w:cs="Tahoma"/>
        </w:rPr>
        <w:t>System continuano a essere disponibili separatamente al di fuori della copertura Software</w:t>
      </w:r>
      <w:r w:rsidR="00AA3B53">
        <w:rPr>
          <w:rFonts w:cs="Tahoma"/>
        </w:rPr>
        <w:t> </w:t>
      </w:r>
      <w:r w:rsidRPr="00A75DF9">
        <w:rPr>
          <w:rFonts w:cs="Tahoma"/>
        </w:rPr>
        <w:t xml:space="preserve">Assurance. </w:t>
      </w:r>
    </w:p>
    <w:p w:rsidR="008A1637" w:rsidRPr="00A75DF9" w:rsidRDefault="008A1637" w:rsidP="007022C1">
      <w:pPr>
        <w:numPr>
          <w:ilvl w:val="0"/>
          <w:numId w:val="17"/>
        </w:numPr>
        <w:spacing w:after="60"/>
        <w:rPr>
          <w:rFonts w:cs="Tahoma"/>
        </w:rPr>
      </w:pPr>
      <w:r w:rsidRPr="00A75DF9">
        <w:rPr>
          <w:rFonts w:cs="Tahoma"/>
        </w:rPr>
        <w:t>Nel caso di Windows 8 la funzionalità MUI è inclusa nella versione Windows 8 Pro.</w:t>
      </w:r>
      <w:r w:rsidR="009D3B41" w:rsidRPr="00A75DF9">
        <w:rPr>
          <w:rFonts w:cs="Tahoma"/>
        </w:rPr>
        <w:t xml:space="preserve"> </w:t>
      </w:r>
    </w:p>
    <w:p w:rsidR="008A1637" w:rsidRPr="00A75DF9" w:rsidRDefault="008A1637" w:rsidP="008A1637">
      <w:pPr>
        <w:rPr>
          <w:rFonts w:cs="Tahoma"/>
        </w:rPr>
      </w:pPr>
    </w:p>
    <w:p w:rsidR="008A1637" w:rsidRPr="00A75DF9" w:rsidRDefault="008A1637" w:rsidP="008A1637">
      <w:pPr>
        <w:rPr>
          <w:rFonts w:cs="Tahoma"/>
        </w:rPr>
      </w:pPr>
      <w:r w:rsidRPr="00A75DF9">
        <w:rPr>
          <w:rFonts w:cs="Tahoma"/>
        </w:rPr>
        <w:t>Le versioni in lingua, grazie alle quali alle società è consentito utilizzare nello stesso modo le funzionalità MUI e MLP, variano in base al programma, al prodotto e al paese.</w:t>
      </w:r>
      <w:r w:rsidR="009D3B41" w:rsidRPr="00A75DF9">
        <w:rPr>
          <w:rFonts w:cs="Tahoma"/>
        </w:rPr>
        <w:t xml:space="preserve"> </w:t>
      </w:r>
    </w:p>
    <w:p w:rsidR="008A1637" w:rsidRPr="00AA3B53" w:rsidRDefault="008A1637" w:rsidP="008A1637">
      <w:pPr>
        <w:pStyle w:val="Heading3"/>
        <w:ind w:right="720"/>
        <w:rPr>
          <w:rFonts w:ascii="Tahoma" w:hAnsi="Tahoma" w:cs="Tahoma"/>
          <w:b w:val="0"/>
          <w:bCs/>
          <w:sz w:val="18"/>
          <w:szCs w:val="18"/>
        </w:rPr>
      </w:pPr>
    </w:p>
    <w:p w:rsidR="008A1637" w:rsidRPr="00A75DF9" w:rsidRDefault="008A1637" w:rsidP="00AA3B53">
      <w:pPr>
        <w:numPr>
          <w:ilvl w:val="0"/>
          <w:numId w:val="18"/>
        </w:numPr>
        <w:tabs>
          <w:tab w:val="clear" w:pos="1080"/>
          <w:tab w:val="num" w:pos="1440"/>
        </w:tabs>
        <w:ind w:left="1440"/>
        <w:rPr>
          <w:rFonts w:cs="Tahoma"/>
        </w:rPr>
      </w:pPr>
      <w:r w:rsidRPr="00A75DF9">
        <w:rPr>
          <w:rFonts w:cs="Tahoma"/>
        </w:rPr>
        <w:t>A partire dal 1 ottobre 2008 le società che acquistano il diritto di utilizzare le funzionalità MUI e</w:t>
      </w:r>
      <w:r w:rsidR="00AA3B53">
        <w:rPr>
          <w:rFonts w:cs="Tahoma"/>
        </w:rPr>
        <w:t> </w:t>
      </w:r>
      <w:r w:rsidRPr="00A75DF9">
        <w:rPr>
          <w:rFonts w:cs="Tahoma"/>
        </w:rPr>
        <w:t>MLP ai sensi di un Contratto Enterprise, Enterprise Subscription, Open Value (per l</w:t>
      </w:r>
      <w:r w:rsidR="00F2643E">
        <w:rPr>
          <w:rFonts w:cs="Tahoma"/>
        </w:rPr>
        <w:t>’</w:t>
      </w:r>
      <w:r w:rsidRPr="00A75DF9">
        <w:rPr>
          <w:rFonts w:cs="Tahoma"/>
        </w:rPr>
        <w:t>intera organizzazione/a livello aziendale) o Open Value Subscription potranno usare tali funzionalità con</w:t>
      </w:r>
      <w:r w:rsidR="00AA3B53">
        <w:rPr>
          <w:rFonts w:cs="Tahoma"/>
        </w:rPr>
        <w:t> </w:t>
      </w:r>
      <w:r w:rsidRPr="00A75DF9">
        <w:rPr>
          <w:rFonts w:cs="Tahoma"/>
        </w:rPr>
        <w:t>i</w:t>
      </w:r>
      <w:r w:rsidR="00AA3B53">
        <w:rPr>
          <w:rFonts w:cs="Tahoma"/>
        </w:rPr>
        <w:t> </w:t>
      </w:r>
      <w:r w:rsidRPr="00A75DF9">
        <w:rPr>
          <w:rFonts w:cs="Tahoma"/>
        </w:rPr>
        <w:t>prodotti con licenza</w:t>
      </w:r>
      <w:r w:rsidRPr="00A75DF9">
        <w:rPr>
          <w:rFonts w:cs="Tahoma"/>
          <w:b/>
        </w:rPr>
        <w:t xml:space="preserve"> </w:t>
      </w:r>
      <w:r w:rsidRPr="00A75DF9">
        <w:rPr>
          <w:rFonts w:cs="Tahoma"/>
          <w:b/>
          <w:u w:val="single"/>
        </w:rPr>
        <w:t>in tutte le versioni in lingua,</w:t>
      </w:r>
      <w:r w:rsidRPr="00A75DF9">
        <w:rPr>
          <w:rFonts w:cs="Tahoma"/>
          <w:b/>
        </w:rPr>
        <w:t xml:space="preserve"> </w:t>
      </w:r>
      <w:r w:rsidRPr="00A75DF9">
        <w:rPr>
          <w:rFonts w:cs="Tahoma"/>
        </w:rPr>
        <w:t>nonostante qualsiasi limitazione in tali</w:t>
      </w:r>
      <w:r w:rsidR="00AA3B53">
        <w:rPr>
          <w:rFonts w:cs="Tahoma"/>
        </w:rPr>
        <w:t> </w:t>
      </w:r>
      <w:r w:rsidRPr="00A75DF9">
        <w:rPr>
          <w:rFonts w:cs="Tahoma"/>
        </w:rPr>
        <w:t>contratti rispetto all</w:t>
      </w:r>
      <w:r w:rsidR="00F2643E">
        <w:rPr>
          <w:rFonts w:cs="Tahoma"/>
        </w:rPr>
        <w:t>’</w:t>
      </w:r>
      <w:r w:rsidRPr="00A75DF9">
        <w:rPr>
          <w:rFonts w:cs="Tahoma"/>
        </w:rPr>
        <w:t xml:space="preserve">utilizzo di determinate lingue. </w:t>
      </w:r>
    </w:p>
    <w:p w:rsidR="008A1637" w:rsidRPr="00AA3B53" w:rsidRDefault="008A1637" w:rsidP="008A1637">
      <w:pPr>
        <w:pStyle w:val="Heading3"/>
        <w:ind w:right="720"/>
        <w:rPr>
          <w:rFonts w:ascii="Tahoma" w:hAnsi="Tahoma" w:cs="Tahoma"/>
          <w:b w:val="0"/>
          <w:bCs/>
          <w:sz w:val="18"/>
          <w:szCs w:val="18"/>
        </w:rPr>
      </w:pPr>
    </w:p>
    <w:p w:rsidR="008A1637" w:rsidRPr="00A75DF9" w:rsidRDefault="008A1637" w:rsidP="008A1637">
      <w:pPr>
        <w:rPr>
          <w:rFonts w:cs="Tahoma"/>
        </w:rPr>
      </w:pPr>
      <w:r w:rsidRPr="00A75DF9">
        <w:rPr>
          <w:rFonts w:cs="Tahoma"/>
        </w:rPr>
        <w:t>Le società che acquistano il diritto di utilizzare le funzionalità MUI e MLP ai sensi di contratti diversi da un Contratto Enterprise o Open Value (per l</w:t>
      </w:r>
      <w:r w:rsidR="00F2643E">
        <w:rPr>
          <w:rFonts w:cs="Tahoma"/>
        </w:rPr>
        <w:t>’</w:t>
      </w:r>
      <w:r w:rsidRPr="00A75DF9">
        <w:rPr>
          <w:rFonts w:cs="Tahoma"/>
        </w:rPr>
        <w:t>intera organizzazione/a livello aziendale) (con il prodotto base o tramite Software Assurance) rimangono soggette a eventuali limitazioni presenti nel loro contratto per quanto riguarda l</w:t>
      </w:r>
      <w:r w:rsidR="00F2643E">
        <w:rPr>
          <w:rFonts w:cs="Tahoma"/>
        </w:rPr>
        <w:t>’</w:t>
      </w:r>
      <w:r w:rsidRPr="00A75DF9">
        <w:rPr>
          <w:rFonts w:cs="Tahoma"/>
        </w:rPr>
        <w:t>uso di alcune lingue. Ad esempio, nel caso in cui la versione in lingua locale di un prodotto sia ottenuta in licenza a un prezzo diverso da quello riportato sul listino prezzi della società, il diritto di tale società di utilizzare altre versioni in lingua al posto di tale versione (con o senza funzionalità MUI o MLP) potrà essere limitato.</w:t>
      </w:r>
      <w:r w:rsidR="009D3B41" w:rsidRPr="00A75DF9">
        <w:rPr>
          <w:rFonts w:cs="Tahoma"/>
        </w:rPr>
        <w:t xml:space="preserve"> </w:t>
      </w:r>
      <w:r w:rsidRPr="00A75DF9">
        <w:rPr>
          <w:rFonts w:cs="Tahoma"/>
        </w:rPr>
        <w:t>Le società dovranno esaminare il loro Contratto di Licenza oppure contattare il loro Rivenditore o l</w:t>
      </w:r>
      <w:r w:rsidR="00F2643E">
        <w:rPr>
          <w:rFonts w:cs="Tahoma"/>
        </w:rPr>
        <w:t>’</w:t>
      </w:r>
      <w:r w:rsidRPr="00A75DF9">
        <w:rPr>
          <w:rFonts w:cs="Tahoma"/>
        </w:rPr>
        <w:t xml:space="preserve">Account Manager designato da Microsoft per ulteriori informazioni sul loro diritto di utilizzare altre lingue. </w:t>
      </w:r>
    </w:p>
    <w:p w:rsidR="007022C1" w:rsidRPr="00A75DF9" w:rsidRDefault="007022C1" w:rsidP="008A1637">
      <w:pPr>
        <w:rPr>
          <w:rFonts w:cs="Tahoma"/>
        </w:rPr>
      </w:pPr>
    </w:p>
    <w:p w:rsidR="008A1637" w:rsidRPr="00A75DF9" w:rsidRDefault="008A1637" w:rsidP="007022C1">
      <w:pPr>
        <w:pStyle w:val="Heading2"/>
        <w:ind w:left="0"/>
        <w:rPr>
          <w:rFonts w:ascii="Tahoma" w:hAnsi="Tahoma" w:cs="Tahoma"/>
        </w:rPr>
      </w:pPr>
      <w:bookmarkStart w:id="942" w:name="_Toc323159784"/>
      <w:bookmarkStart w:id="943" w:name="_Toc336338253"/>
      <w:bookmarkStart w:id="944" w:name="_Toc368310244"/>
      <w:r w:rsidRPr="00A75DF9">
        <w:rPr>
          <w:rFonts w:ascii="Tahoma" w:hAnsi="Tahoma" w:cs="Tahoma"/>
        </w:rPr>
        <w:t>Licenze Indipendenti dalla Piattaforma</w:t>
      </w:r>
      <w:bookmarkEnd w:id="942"/>
      <w:bookmarkEnd w:id="943"/>
      <w:bookmarkEnd w:id="944"/>
    </w:p>
    <w:p w:rsidR="008A1637" w:rsidRPr="00A75DF9" w:rsidRDefault="008A1637" w:rsidP="007022C1">
      <w:pPr>
        <w:tabs>
          <w:tab w:val="num" w:pos="0"/>
        </w:tabs>
        <w:ind w:right="720"/>
        <w:rPr>
          <w:rFonts w:cs="Tahoma"/>
        </w:rPr>
      </w:pPr>
    </w:p>
    <w:p w:rsidR="008A1637" w:rsidRPr="00AA3B53" w:rsidRDefault="008A1637" w:rsidP="00AA3B53">
      <w:pPr>
        <w:pStyle w:val="AppendixBodyText"/>
        <w:spacing w:after="0"/>
        <w:ind w:right="720"/>
        <w:rPr>
          <w:rFonts w:ascii="Tahoma" w:hAnsi="Tahoma" w:cs="Tahoma"/>
          <w:sz w:val="18"/>
          <w:szCs w:val="18"/>
        </w:rPr>
      </w:pPr>
      <w:r w:rsidRPr="00AA3B53">
        <w:rPr>
          <w:rFonts w:ascii="Tahoma" w:hAnsi="Tahoma" w:cs="Tahoma"/>
          <w:color w:val="000000"/>
          <w:sz w:val="18"/>
          <w:szCs w:val="18"/>
        </w:rPr>
        <w:t>Microsoft Office Standard, Office Professional Plus, Word, Excel, PowerPoint, Outlook, Lync Office per Mac, Word per Mac, Excel per Mac, PowerPoint per Mac, Lync per Mac e Outlook per Mac sono licenze “indipendenti dalla piattaforma”. Una licenza indipendente dalla piattaforma consente l</w:t>
      </w:r>
      <w:r w:rsidR="00F2643E">
        <w:rPr>
          <w:rFonts w:ascii="Tahoma" w:hAnsi="Tahoma" w:cs="Tahoma"/>
          <w:color w:val="000000"/>
          <w:sz w:val="18"/>
          <w:szCs w:val="18"/>
        </w:rPr>
        <w:t>’</w:t>
      </w:r>
      <w:r w:rsidRPr="00AA3B53">
        <w:rPr>
          <w:rFonts w:ascii="Tahoma" w:hAnsi="Tahoma" w:cs="Tahoma"/>
          <w:color w:val="000000"/>
          <w:sz w:val="18"/>
          <w:szCs w:val="18"/>
        </w:rPr>
        <w:t>utilizzo di un prodotto specifico su qualsiasi piattaforma di computer su cui è in esecuzione il software, a condizione che</w:t>
      </w:r>
      <w:r w:rsidR="00AA3B53" w:rsidRPr="00AA3B53">
        <w:rPr>
          <w:rFonts w:ascii="Tahoma" w:hAnsi="Tahoma" w:cs="Tahoma"/>
          <w:color w:val="000000"/>
          <w:sz w:val="18"/>
          <w:szCs w:val="18"/>
        </w:rPr>
        <w:t> </w:t>
      </w:r>
      <w:r w:rsidRPr="00AA3B53">
        <w:rPr>
          <w:rFonts w:ascii="Tahoma" w:hAnsi="Tahoma" w:cs="Tahoma"/>
          <w:color w:val="000000"/>
          <w:sz w:val="18"/>
          <w:szCs w:val="18"/>
        </w:rPr>
        <w:t>la versione usata sia identica o precedente alla versione originale ottenuta in licenza. Ad esempio, una società che ha ottenuto in licenza Office per Mac Standard 2011 potrà scegliere di utilizzare tale licenza per eseguire Office Standard 2010 per Windows.</w:t>
      </w:r>
    </w:p>
    <w:p w:rsidR="008A1637" w:rsidRPr="00AA3B53" w:rsidRDefault="008A1637" w:rsidP="007022C1">
      <w:pPr>
        <w:pStyle w:val="AppendixBodyText"/>
        <w:spacing w:after="0"/>
        <w:rPr>
          <w:rFonts w:ascii="Tahoma" w:hAnsi="Tahoma" w:cs="Tahoma"/>
          <w:sz w:val="18"/>
          <w:szCs w:val="18"/>
        </w:rPr>
      </w:pPr>
    </w:p>
    <w:p w:rsidR="008A1637" w:rsidRPr="00AA3B53" w:rsidRDefault="008A1637" w:rsidP="007022C1">
      <w:pPr>
        <w:pStyle w:val="AppendixBodyText"/>
        <w:spacing w:after="0"/>
        <w:ind w:right="720"/>
        <w:rPr>
          <w:rFonts w:ascii="Tahoma" w:hAnsi="Tahoma" w:cs="Tahoma"/>
          <w:sz w:val="18"/>
          <w:szCs w:val="18"/>
        </w:rPr>
      </w:pPr>
      <w:r w:rsidRPr="00AA3B53">
        <w:rPr>
          <w:rFonts w:ascii="Tahoma" w:hAnsi="Tahoma" w:cs="Tahoma"/>
          <w:color w:val="000000"/>
          <w:sz w:val="18"/>
          <w:szCs w:val="18"/>
        </w:rPr>
        <w:t>I componenti di una famiglia di prodotti potranno essere diversi a seconda della versione della piattaforma. La società potrà utilizzare esclusivamente i componenti della famiglia di prodotti che ha scelto di distribuire. Ad esempio, nel caso in cui una società con licenza per Office per Mac Standard 2011 scelga di eseguire Office Standard 2010, tale società potrà eseguire solo i componenti inclusi in Office Standard 2010. Non avrà, ad esempio, il diritto di eseguire Lync, bensì OneNote.</w:t>
      </w:r>
    </w:p>
    <w:p w:rsidR="008A1637" w:rsidRPr="00AA3B53" w:rsidRDefault="008A1637" w:rsidP="007022C1">
      <w:pPr>
        <w:pStyle w:val="AppendixBodyText"/>
        <w:spacing w:after="0"/>
        <w:ind w:right="720"/>
        <w:rPr>
          <w:rFonts w:ascii="Tahoma" w:hAnsi="Tahoma" w:cs="Tahoma"/>
          <w:sz w:val="18"/>
          <w:szCs w:val="18"/>
        </w:rPr>
      </w:pPr>
      <w:r w:rsidRPr="00AA3B53">
        <w:rPr>
          <w:rFonts w:ascii="Tahoma" w:hAnsi="Tahoma" w:cs="Tahoma"/>
          <w:color w:val="000000"/>
          <w:sz w:val="18"/>
          <w:szCs w:val="18"/>
        </w:rPr>
        <w:t>Inoltre, la copertura Software Assurance attiva per una licenza indipendente dalla piattaforma permette a una società di utilizzare al posto del prodotto con licenza la versione più corrente di una delle due versioni della piattaforma del prodotto che diventa disponibile durante il periodo di validità della copertura Software Assurance (in conformità alla limitazione relativa ai componenti di cui sopra). Ad esempio, una società che ha una copertura Software Assurance attiva per una licenza Office per Mac è idonea a utilizzare al posto di Office per Mac la versione più corrente della corrispondente edizione di Office per Windows rilasciata nel periodo di validità della copertura.</w:t>
      </w:r>
    </w:p>
    <w:p w:rsidR="008A1637" w:rsidRPr="00A75DF9" w:rsidRDefault="008A1637" w:rsidP="007022C1">
      <w:pPr>
        <w:tabs>
          <w:tab w:val="left" w:pos="360"/>
        </w:tabs>
        <w:ind w:right="720"/>
        <w:rPr>
          <w:rFonts w:cs="Tahoma"/>
        </w:rPr>
      </w:pPr>
    </w:p>
    <w:p w:rsidR="008A1637" w:rsidRPr="00AA3B53" w:rsidRDefault="008A1637" w:rsidP="007022C1">
      <w:pPr>
        <w:pStyle w:val="AppendixBodyText"/>
        <w:spacing w:after="0"/>
        <w:ind w:right="720"/>
        <w:rPr>
          <w:rFonts w:ascii="Tahoma" w:hAnsi="Tahoma" w:cs="Tahoma"/>
          <w:sz w:val="18"/>
          <w:szCs w:val="18"/>
        </w:rPr>
      </w:pPr>
      <w:r w:rsidRPr="00AA3B53">
        <w:rPr>
          <w:rFonts w:ascii="Tahoma" w:hAnsi="Tahoma" w:cs="Tahoma"/>
          <w:sz w:val="18"/>
          <w:szCs w:val="18"/>
        </w:rPr>
        <w:lastRenderedPageBreak/>
        <w:t>Microsoft SQL Server è una licenza “indipendente dalla piattaforma”. Una licenza indipendente dalla piattaforma consente l</w:t>
      </w:r>
      <w:r w:rsidR="00F2643E">
        <w:rPr>
          <w:rFonts w:ascii="Tahoma" w:hAnsi="Tahoma" w:cs="Tahoma"/>
          <w:sz w:val="18"/>
          <w:szCs w:val="18"/>
        </w:rPr>
        <w:t>’</w:t>
      </w:r>
      <w:r w:rsidRPr="00AA3B53">
        <w:rPr>
          <w:rFonts w:ascii="Tahoma" w:hAnsi="Tahoma" w:cs="Tahoma"/>
          <w:sz w:val="18"/>
          <w:szCs w:val="18"/>
        </w:rPr>
        <w:t>utilizzo di un prodotto specifico su qualsiasi piattaforma di computer su cui è in esecuzione il software, a condizione che la versione usata sia identica o precedente alla versione originale ottenuta in licenza.</w:t>
      </w:r>
    </w:p>
    <w:p w:rsidR="008A1637" w:rsidRPr="00AA3B53" w:rsidRDefault="008A1637" w:rsidP="007022C1">
      <w:pPr>
        <w:pStyle w:val="AppendixBodyText"/>
        <w:spacing w:after="0"/>
        <w:ind w:right="720"/>
        <w:rPr>
          <w:rFonts w:ascii="Tahoma" w:hAnsi="Tahoma" w:cs="Tahoma"/>
          <w:sz w:val="18"/>
          <w:szCs w:val="18"/>
        </w:rPr>
      </w:pPr>
    </w:p>
    <w:p w:rsidR="008A1637" w:rsidRPr="00AA3B53" w:rsidRDefault="008A1637" w:rsidP="00AA3B53">
      <w:pPr>
        <w:pStyle w:val="AppendixBodyText"/>
        <w:spacing w:after="0"/>
        <w:ind w:right="720"/>
        <w:rPr>
          <w:rFonts w:ascii="Tahoma" w:hAnsi="Tahoma" w:cs="Tahoma"/>
          <w:sz w:val="18"/>
          <w:szCs w:val="18"/>
        </w:rPr>
      </w:pPr>
      <w:r w:rsidRPr="00AA3B53">
        <w:rPr>
          <w:rFonts w:ascii="Tahoma" w:hAnsi="Tahoma" w:cs="Tahoma"/>
          <w:sz w:val="18"/>
          <w:szCs w:val="18"/>
        </w:rPr>
        <w:t>Inoltre, una società che si iscrive a una licenza indipendente dalla piattaforma in Software Assurance è idonea a utilizzare la versione più corrente di quel particolare prodotto che è disponibile durante il periodo di</w:t>
      </w:r>
      <w:r w:rsidR="00AA3B53">
        <w:rPr>
          <w:rFonts w:ascii="Tahoma" w:hAnsi="Tahoma" w:cs="Tahoma"/>
          <w:sz w:val="18"/>
          <w:szCs w:val="18"/>
        </w:rPr>
        <w:t> </w:t>
      </w:r>
      <w:r w:rsidRPr="00AA3B53">
        <w:rPr>
          <w:rFonts w:ascii="Tahoma" w:hAnsi="Tahoma" w:cs="Tahoma"/>
          <w:sz w:val="18"/>
          <w:szCs w:val="18"/>
        </w:rPr>
        <w:t>validità della copertura Software Assurance, indipendentemente dalla piattaforma (a condizione che sia installata o utilizzata una sola versione alla volta).</w:t>
      </w:r>
    </w:p>
    <w:p w:rsidR="00973A93" w:rsidRPr="00AA3B53" w:rsidRDefault="00973A93">
      <w:pPr>
        <w:rPr>
          <w:rFonts w:cs="Tahoma"/>
          <w:szCs w:val="18"/>
        </w:rPr>
      </w:pPr>
      <w:bookmarkStart w:id="945" w:name="_Toc336338254"/>
    </w:p>
    <w:p w:rsidR="008A1637" w:rsidRPr="00A75DF9" w:rsidRDefault="008A1637" w:rsidP="001760D6">
      <w:pPr>
        <w:pStyle w:val="Heading2"/>
        <w:keepNext/>
        <w:ind w:left="0"/>
        <w:rPr>
          <w:rFonts w:ascii="Tahoma" w:hAnsi="Tahoma" w:cs="Tahoma"/>
        </w:rPr>
      </w:pPr>
      <w:bookmarkStart w:id="946" w:name="_Toc368310245"/>
      <w:r w:rsidRPr="00A75DF9">
        <w:rPr>
          <w:rFonts w:ascii="Tahoma" w:hAnsi="Tahoma" w:cs="Tahoma"/>
        </w:rPr>
        <w:t>Codice “Product Key” per Volume Licensing</w:t>
      </w:r>
      <w:bookmarkEnd w:id="945"/>
      <w:bookmarkEnd w:id="946"/>
    </w:p>
    <w:p w:rsidR="008A1637" w:rsidRPr="00A75DF9" w:rsidRDefault="008A1637" w:rsidP="001760D6">
      <w:pPr>
        <w:keepNext/>
        <w:spacing w:after="60"/>
        <w:ind w:right="720"/>
        <w:rPr>
          <w:rFonts w:cs="Tahoma"/>
        </w:rPr>
      </w:pPr>
    </w:p>
    <w:p w:rsidR="008A1637" w:rsidRPr="00A75DF9" w:rsidRDefault="004829AF" w:rsidP="007022C1">
      <w:pPr>
        <w:ind w:right="720"/>
        <w:rPr>
          <w:rFonts w:cs="Tahoma"/>
        </w:rPr>
      </w:pPr>
      <w:r w:rsidRPr="00A75DF9">
        <w:rPr>
          <w:rFonts w:cs="Tahoma"/>
          <w:color w:val="000000"/>
          <w:szCs w:val="18"/>
        </w:rPr>
        <w:t xml:space="preserve">I codici Product Key consentono alle organizzazioni di utilizzare il software e i prodotti ricevuti in licenza. Tutti i codici vengono rilasciati a una società ai sensi di un contratto di licenza specifico. Per ottenere i codici Product Key, visitare </w:t>
      </w:r>
      <w:hyperlink r:id="rId33" w:history="1">
        <w:r w:rsidRPr="00A75DF9">
          <w:rPr>
            <w:rStyle w:val="Hyperlink"/>
            <w:rFonts w:cs="Tahoma"/>
            <w:szCs w:val="18"/>
          </w:rPr>
          <w:t>Microsoft Volume Licensing Service Center (VLSC)</w:t>
        </w:r>
      </w:hyperlink>
      <w:r w:rsidRPr="00A75DF9">
        <w:rPr>
          <w:rFonts w:cs="Tahoma"/>
          <w:color w:val="000000"/>
          <w:szCs w:val="18"/>
        </w:rPr>
        <w:t xml:space="preserve">. Sarà inoltre possibile contattare il </w:t>
      </w:r>
      <w:hyperlink r:id="rId34" w:history="1">
        <w:r w:rsidRPr="00A75DF9">
          <w:rPr>
            <w:rStyle w:val="Hyperlink"/>
            <w:rFonts w:cs="Tahoma"/>
            <w:szCs w:val="18"/>
          </w:rPr>
          <w:t>Centro di Attivazione dei Contratti Multilicenza Microsoft</w:t>
        </w:r>
      </w:hyperlink>
      <w:r w:rsidRPr="00A75DF9">
        <w:rPr>
          <w:rFonts w:cs="Tahoma"/>
          <w:color w:val="0070C0"/>
          <w:szCs w:val="18"/>
        </w:rPr>
        <w:t>.</w:t>
      </w:r>
      <w:r w:rsidRPr="00A75DF9">
        <w:rPr>
          <w:rFonts w:cs="Tahoma"/>
          <w:color w:val="000000"/>
          <w:szCs w:val="18"/>
        </w:rPr>
        <w:t xml:space="preserve"> </w:t>
      </w:r>
    </w:p>
    <w:p w:rsidR="008A1637" w:rsidRPr="00A75DF9" w:rsidRDefault="008A1637" w:rsidP="007022C1">
      <w:pPr>
        <w:ind w:right="720"/>
        <w:rPr>
          <w:rFonts w:cs="Tahoma"/>
        </w:rPr>
      </w:pPr>
    </w:p>
    <w:p w:rsidR="008A1637" w:rsidRPr="00A75DF9" w:rsidRDefault="008A1637" w:rsidP="00AA3B53">
      <w:pPr>
        <w:ind w:right="720"/>
        <w:rPr>
          <w:rFonts w:cs="Tahoma"/>
        </w:rPr>
      </w:pPr>
      <w:r w:rsidRPr="00A75DF9">
        <w:rPr>
          <w:rFonts w:cs="Tahoma"/>
          <w:color w:val="000000"/>
          <w:szCs w:val="18"/>
        </w:rPr>
        <w:t>Per prendere visione di una lista di prodotti Volume Licensing che richiedono i codici “Product Key” e</w:t>
      </w:r>
      <w:r w:rsidR="00AA3B53">
        <w:rPr>
          <w:rFonts w:cs="Tahoma"/>
          <w:color w:val="000000"/>
          <w:szCs w:val="18"/>
        </w:rPr>
        <w:t> </w:t>
      </w:r>
      <w:r w:rsidRPr="00A75DF9">
        <w:rPr>
          <w:rFonts w:cs="Tahoma"/>
          <w:color w:val="000000"/>
          <w:szCs w:val="18"/>
        </w:rPr>
        <w:t>per</w:t>
      </w:r>
      <w:r w:rsidR="00AA3B53">
        <w:rPr>
          <w:rFonts w:cs="Tahoma"/>
          <w:color w:val="000000"/>
          <w:szCs w:val="18"/>
        </w:rPr>
        <w:t> </w:t>
      </w:r>
      <w:r w:rsidRPr="00A75DF9">
        <w:rPr>
          <w:rFonts w:cs="Tahoma"/>
          <w:color w:val="000000"/>
          <w:szCs w:val="18"/>
        </w:rPr>
        <w:t xml:space="preserve">ulteriori informazioni, fare riferimento a: </w:t>
      </w:r>
      <w:hyperlink r:id="rId35" w:history="1">
        <w:r w:rsidR="00AA3B53">
          <w:rPr>
            <w:rStyle w:val="Hyperlink"/>
            <w:szCs w:val="18"/>
          </w:rPr>
          <w:t>http://www.microsoft.com/licensing/resources/vol/volumelicensekey/default.mspx</w:t>
        </w:r>
      </w:hyperlink>
      <w:r w:rsidRPr="00A75DF9">
        <w:rPr>
          <w:rFonts w:cs="Tahoma"/>
          <w:szCs w:val="18"/>
        </w:rPr>
        <w:t>.</w:t>
      </w:r>
    </w:p>
    <w:p w:rsidR="008A1637" w:rsidRPr="00A75DF9" w:rsidRDefault="008A1637" w:rsidP="00A237D8">
      <w:pPr>
        <w:ind w:right="720"/>
        <w:rPr>
          <w:rFonts w:cs="Tahoma"/>
        </w:rPr>
      </w:pPr>
      <w:r w:rsidRPr="00A75DF9">
        <w:rPr>
          <w:rFonts w:cs="Tahoma"/>
          <w:color w:val="1F497D"/>
          <w:szCs w:val="18"/>
        </w:rPr>
        <w:br/>
      </w:r>
      <w:r w:rsidRPr="00A75DF9">
        <w:rPr>
          <w:rFonts w:cs="Tahoma"/>
          <w:color w:val="000000"/>
          <w:szCs w:val="18"/>
        </w:rPr>
        <w:t>Non tutti i prodotti con contratti multilicenza (Volume Licensing) richiedono un codice “Product Key”.</w:t>
      </w:r>
      <w:r w:rsidRPr="00A75DF9">
        <w:rPr>
          <w:rFonts w:cs="Tahoma"/>
          <w:color w:val="333333"/>
          <w:sz w:val="17"/>
          <w:szCs w:val="17"/>
        </w:rPr>
        <w:t xml:space="preserve"> </w:t>
      </w:r>
      <w:r w:rsidRPr="00A75DF9">
        <w:rPr>
          <w:rFonts w:cs="Tahoma"/>
          <w:color w:val="000000"/>
          <w:szCs w:val="18"/>
        </w:rPr>
        <w:t>Se</w:t>
      </w:r>
      <w:r w:rsidR="00A237D8">
        <w:rPr>
          <w:rFonts w:cs="Tahoma"/>
          <w:color w:val="000000"/>
          <w:szCs w:val="18"/>
        </w:rPr>
        <w:t> </w:t>
      </w:r>
      <w:r w:rsidRPr="00A75DF9">
        <w:rPr>
          <w:rFonts w:cs="Tahoma"/>
          <w:color w:val="000000"/>
          <w:szCs w:val="18"/>
        </w:rPr>
        <w:t>un</w:t>
      </w:r>
      <w:r w:rsidR="00A237D8">
        <w:rPr>
          <w:rFonts w:cs="Tahoma"/>
          <w:color w:val="000000"/>
          <w:szCs w:val="18"/>
        </w:rPr>
        <w:t> </w:t>
      </w:r>
      <w:r w:rsidRPr="00A75DF9">
        <w:rPr>
          <w:rFonts w:cs="Tahoma"/>
          <w:color w:val="000000"/>
          <w:szCs w:val="18"/>
        </w:rPr>
        <w:t>prodotto non è presente nella lista, non richiede un codice “Product Key”.</w:t>
      </w:r>
    </w:p>
    <w:p w:rsidR="008A1637" w:rsidRPr="00A75DF9" w:rsidRDefault="008A1637" w:rsidP="007022C1">
      <w:pPr>
        <w:ind w:right="720"/>
        <w:rPr>
          <w:rFonts w:cs="Tahoma"/>
        </w:rPr>
      </w:pPr>
    </w:p>
    <w:p w:rsidR="001B413E" w:rsidRPr="00A75DF9" w:rsidRDefault="008A1637" w:rsidP="007022C1">
      <w:pPr>
        <w:ind w:right="720"/>
        <w:rPr>
          <w:rFonts w:cs="Tahoma"/>
        </w:rPr>
      </w:pPr>
      <w:r w:rsidRPr="00A75DF9">
        <w:rPr>
          <w:rFonts w:cs="Tahoma"/>
          <w:b/>
          <w:bCs/>
          <w:color w:val="000000"/>
          <w:szCs w:val="18"/>
        </w:rPr>
        <w:t>Nota:</w:t>
      </w:r>
      <w:r w:rsidR="009D3B41" w:rsidRPr="00A75DF9">
        <w:rPr>
          <w:rFonts w:cs="Tahoma"/>
          <w:color w:val="000000"/>
          <w:szCs w:val="18"/>
        </w:rPr>
        <w:t xml:space="preserve"> </w:t>
      </w:r>
      <w:r w:rsidRPr="00A75DF9">
        <w:rPr>
          <w:rFonts w:cs="Tahoma"/>
          <w:color w:val="000000"/>
          <w:szCs w:val="18"/>
        </w:rPr>
        <w:t>i codici Product Key vengono ceduti all</w:t>
      </w:r>
      <w:r w:rsidR="00F2643E">
        <w:rPr>
          <w:rFonts w:cs="Tahoma"/>
          <w:color w:val="000000"/>
          <w:szCs w:val="18"/>
        </w:rPr>
        <w:t>’</w:t>
      </w:r>
      <w:r w:rsidRPr="00A75DF9">
        <w:rPr>
          <w:rFonts w:cs="Tahoma"/>
          <w:color w:val="000000"/>
          <w:szCs w:val="18"/>
        </w:rPr>
        <w:t>organizzazione e sono a suo esclusivo utilizzo. La società sarà responsabile dell</w:t>
      </w:r>
      <w:r w:rsidR="00F2643E">
        <w:rPr>
          <w:rFonts w:cs="Tahoma"/>
          <w:color w:val="000000"/>
          <w:szCs w:val="18"/>
        </w:rPr>
        <w:t>’</w:t>
      </w:r>
      <w:r w:rsidRPr="00A75DF9">
        <w:rPr>
          <w:rFonts w:cs="Tahoma"/>
          <w:color w:val="000000"/>
          <w:szCs w:val="18"/>
        </w:rPr>
        <w:t xml:space="preserve">utilizzo non autorizzato dei codici “Product Key” rilasciati ai sensi del contratto stipulato. La società dovrà adottare le precauzioni necessarie per proteggerli. Non dovrà divulgarli a terzi non autorizzati. </w:t>
      </w:r>
    </w:p>
    <w:p w:rsidR="001B413E" w:rsidRPr="00A75DF9" w:rsidRDefault="001B413E">
      <w:pPr>
        <w:rPr>
          <w:rFonts w:cs="Tahoma"/>
        </w:rPr>
      </w:pPr>
      <w:r w:rsidRPr="00A75DF9">
        <w:rPr>
          <w:rFonts w:cs="Tahoma"/>
          <w:color w:val="000000"/>
          <w:szCs w:val="18"/>
        </w:rPr>
        <w:br w:type="page"/>
      </w:r>
    </w:p>
    <w:p w:rsidR="001B413E" w:rsidRPr="00A75DF9" w:rsidRDefault="001B413E" w:rsidP="00A237D8">
      <w:pPr>
        <w:pStyle w:val="Heading1"/>
        <w:spacing w:before="0"/>
        <w:rPr>
          <w:rFonts w:cs="Tahoma"/>
        </w:rPr>
      </w:pPr>
      <w:bookmarkStart w:id="947" w:name="_Section_10_–"/>
      <w:bookmarkStart w:id="948" w:name="_Articolo_10_-"/>
      <w:bookmarkStart w:id="949" w:name="_Toc368310246"/>
      <w:bookmarkEnd w:id="947"/>
      <w:bookmarkEnd w:id="948"/>
      <w:r w:rsidRPr="00A75DF9">
        <w:rPr>
          <w:rFonts w:cs="Tahoma"/>
        </w:rPr>
        <w:lastRenderedPageBreak/>
        <w:t>Articolo 10 - Condizioni Supplementari per i Servizi Online Utilizzati con il Software On-Premise</w:t>
      </w:r>
      <w:bookmarkEnd w:id="949"/>
    </w:p>
    <w:p w:rsidR="001B413E" w:rsidRPr="00A75DF9" w:rsidRDefault="001B413E" w:rsidP="001B413E">
      <w:pPr>
        <w:rPr>
          <w:rFonts w:cs="Tahoma"/>
        </w:rPr>
      </w:pPr>
    </w:p>
    <w:p w:rsidR="001B413E" w:rsidRPr="00A75DF9" w:rsidRDefault="001B413E" w:rsidP="001B413E">
      <w:pPr>
        <w:rPr>
          <w:rFonts w:cs="Tahoma"/>
        </w:rPr>
      </w:pPr>
      <w:r w:rsidRPr="00A75DF9">
        <w:rPr>
          <w:rFonts w:cs="Tahoma"/>
          <w:snapToGrid w:val="0"/>
        </w:rPr>
        <w:t>Alcune offerte includono sia prodotti software distribuiti e utilizzati presso le sedi delle società che uno o più Servizi Online identificati sopra nell</w:t>
      </w:r>
      <w:r w:rsidR="00F2643E">
        <w:rPr>
          <w:rFonts w:cs="Tahoma"/>
          <w:snapToGrid w:val="0"/>
        </w:rPr>
        <w:t>’</w:t>
      </w:r>
      <w:hyperlink w:anchor="_Articolo_5_-_1" w:history="1">
        <w:r w:rsidRPr="00A75DF9">
          <w:rPr>
            <w:rStyle w:val="Hyperlink"/>
            <w:rFonts w:cs="Tahoma"/>
            <w:snapToGrid w:val="0"/>
          </w:rPr>
          <w:t>Articolo 5</w:t>
        </w:r>
      </w:hyperlink>
      <w:r w:rsidRPr="00A75DF9">
        <w:rPr>
          <w:rFonts w:cs="Tahoma"/>
          <w:snapToGrid w:val="0"/>
        </w:rPr>
        <w:t xml:space="preserve"> ai sensi della stessa licenza. Ad esempio,</w:t>
      </w:r>
      <w:r w:rsidRPr="00A75DF9">
        <w:rPr>
          <w:rFonts w:cs="Tahoma"/>
          <w:szCs w:val="20"/>
        </w:rPr>
        <w:t xml:space="preserve"> Archiviazione Exchange Online per Exchange Server, Prevenzione della Perdita dei Dati o Exchange Online Protection sono a disposizione delle società nell</w:t>
      </w:r>
      <w:r w:rsidR="00F2643E">
        <w:rPr>
          <w:rFonts w:cs="Tahoma"/>
          <w:szCs w:val="20"/>
        </w:rPr>
        <w:t>’</w:t>
      </w:r>
      <w:r w:rsidRPr="00A75DF9">
        <w:rPr>
          <w:rFonts w:cs="Tahoma"/>
          <w:szCs w:val="20"/>
        </w:rPr>
        <w:t>ambito dell</w:t>
      </w:r>
      <w:r w:rsidR="00F2643E">
        <w:rPr>
          <w:rFonts w:cs="Tahoma"/>
          <w:szCs w:val="20"/>
        </w:rPr>
        <w:t>’</w:t>
      </w:r>
      <w:r w:rsidRPr="00A75DF9">
        <w:rPr>
          <w:rFonts w:cs="Tahoma"/>
          <w:szCs w:val="20"/>
        </w:rPr>
        <w:t>Enterprise CAL Suite o della CAL per Exchange Enterprise con Servizi 2013. Alcuni di questi Servizi Online sono disponibili anche come offerte "subscription" autonome per integrare il software On-Premise.</w:t>
      </w:r>
      <w:r w:rsidR="009D3B41" w:rsidRPr="00A75DF9">
        <w:rPr>
          <w:rFonts w:cs="Tahoma"/>
          <w:szCs w:val="20"/>
        </w:rPr>
        <w:t xml:space="preserve"> </w:t>
      </w:r>
      <w:r w:rsidRPr="00A75DF9">
        <w:rPr>
          <w:rFonts w:cs="Tahoma"/>
          <w:szCs w:val="20"/>
        </w:rPr>
        <w:t>Le Condizioni Supplementari (“Condizioni Supplementari”) che seguono si applicano all</w:t>
      </w:r>
      <w:r w:rsidR="00F2643E">
        <w:rPr>
          <w:rFonts w:cs="Tahoma"/>
          <w:szCs w:val="20"/>
        </w:rPr>
        <w:t>’</w:t>
      </w:r>
      <w:r w:rsidRPr="00A75DF9">
        <w:rPr>
          <w:rFonts w:cs="Tahoma"/>
          <w:snapToGrid w:val="0"/>
        </w:rPr>
        <w:t>acquisto e all</w:t>
      </w:r>
      <w:r w:rsidR="00F2643E">
        <w:rPr>
          <w:rFonts w:cs="Tahoma"/>
          <w:snapToGrid w:val="0"/>
        </w:rPr>
        <w:t>’</w:t>
      </w:r>
      <w:r w:rsidRPr="00A75DF9">
        <w:rPr>
          <w:rFonts w:cs="Tahoma"/>
          <w:snapToGrid w:val="0"/>
        </w:rPr>
        <w:t>utilizzo, da parte delle società, di tali Servizi Online.</w:t>
      </w:r>
      <w:r w:rsidR="009D3B41" w:rsidRPr="00A75DF9">
        <w:rPr>
          <w:rFonts w:cs="Tahoma"/>
          <w:szCs w:val="20"/>
        </w:rPr>
        <w:t xml:space="preserve"> </w:t>
      </w:r>
    </w:p>
    <w:p w:rsidR="001B413E" w:rsidRPr="00A75DF9" w:rsidRDefault="001B413E" w:rsidP="001B413E">
      <w:pPr>
        <w:keepNext/>
        <w:spacing w:before="120" w:after="60"/>
        <w:ind w:left="720"/>
        <w:outlineLvl w:val="0"/>
        <w:rPr>
          <w:rFonts w:cs="Tahoma"/>
        </w:rPr>
      </w:pPr>
      <w:r w:rsidRPr="00A75DF9">
        <w:rPr>
          <w:rFonts w:cs="Tahoma"/>
          <w:b/>
          <w:bCs/>
          <w:iCs/>
          <w:snapToGrid w:val="0"/>
          <w:szCs w:val="18"/>
        </w:rPr>
        <w:t>Definizioni.</w:t>
      </w:r>
    </w:p>
    <w:p w:rsidR="001B413E" w:rsidRPr="00A75DF9" w:rsidRDefault="001B413E" w:rsidP="001B413E">
      <w:pPr>
        <w:ind w:left="720"/>
        <w:jc w:val="both"/>
        <w:rPr>
          <w:rFonts w:cs="Tahoma"/>
        </w:rPr>
      </w:pPr>
      <w:r w:rsidRPr="00A75DF9">
        <w:rPr>
          <w:rFonts w:cs="Tahoma"/>
          <w:snapToGrid w:val="0"/>
          <w:color w:val="000000"/>
          <w:szCs w:val="18"/>
        </w:rPr>
        <w:t>“Dati della Società” indica tutti i dati, inclusi tutti i file di testo, audio, software e immagine forniti a Microsoft dalla o per conto della società tramite l</w:t>
      </w:r>
      <w:r w:rsidR="00F2643E">
        <w:rPr>
          <w:rFonts w:cs="Tahoma"/>
          <w:snapToGrid w:val="0"/>
          <w:color w:val="000000"/>
          <w:szCs w:val="18"/>
        </w:rPr>
        <w:t>’</w:t>
      </w:r>
      <w:r w:rsidRPr="00A75DF9">
        <w:rPr>
          <w:rFonts w:cs="Tahoma"/>
          <w:snapToGrid w:val="0"/>
          <w:color w:val="000000"/>
          <w:szCs w:val="18"/>
        </w:rPr>
        <w:t>utilizzo dei Servizi Online da parte della società.</w:t>
      </w:r>
    </w:p>
    <w:p w:rsidR="001B413E" w:rsidRPr="00A75DF9" w:rsidRDefault="001B413E" w:rsidP="00A237D8">
      <w:pPr>
        <w:spacing w:before="120"/>
        <w:ind w:left="720"/>
        <w:jc w:val="both"/>
        <w:rPr>
          <w:rFonts w:cs="Tahoma"/>
        </w:rPr>
      </w:pPr>
      <w:r w:rsidRPr="00A75DF9">
        <w:rPr>
          <w:rFonts w:cs="Tahoma"/>
          <w:snapToGrid w:val="0"/>
          <w:color w:val="000000"/>
          <w:szCs w:val="18"/>
        </w:rPr>
        <w:t>“Contratto di Servizio” indica il documento in cui vengono specificati gli standard cui Microsoft accetta di</w:t>
      </w:r>
      <w:r w:rsidR="00A237D8">
        <w:rPr>
          <w:rFonts w:cs="Tahoma"/>
          <w:snapToGrid w:val="0"/>
          <w:color w:val="000000"/>
          <w:szCs w:val="18"/>
        </w:rPr>
        <w:t> </w:t>
      </w:r>
      <w:r w:rsidRPr="00A75DF9">
        <w:rPr>
          <w:rFonts w:cs="Tahoma"/>
          <w:snapToGrid w:val="0"/>
          <w:color w:val="000000"/>
          <w:szCs w:val="18"/>
        </w:rPr>
        <w:t>aderire e tramite i quali misura il livello di servizio per un Servizio Online.</w:t>
      </w:r>
    </w:p>
    <w:p w:rsidR="001B413E" w:rsidRPr="00A75DF9" w:rsidRDefault="001B413E" w:rsidP="001B413E">
      <w:pPr>
        <w:keepNext/>
        <w:spacing w:before="120" w:after="60"/>
        <w:ind w:left="720"/>
        <w:outlineLvl w:val="0"/>
        <w:rPr>
          <w:rFonts w:cs="Tahoma"/>
        </w:rPr>
      </w:pPr>
      <w:r w:rsidRPr="00A75DF9">
        <w:rPr>
          <w:rFonts w:cs="Tahoma"/>
          <w:b/>
          <w:bCs/>
          <w:iCs/>
          <w:snapToGrid w:val="0"/>
          <w:szCs w:val="18"/>
        </w:rPr>
        <w:t>Ambito di Applicazione delle Condizioni Supplementari.</w:t>
      </w:r>
    </w:p>
    <w:p w:rsidR="001B413E" w:rsidRPr="00A75DF9" w:rsidRDefault="001B413E" w:rsidP="001B413E">
      <w:pPr>
        <w:ind w:left="720"/>
        <w:jc w:val="both"/>
        <w:rPr>
          <w:rFonts w:cs="Tahoma"/>
        </w:rPr>
      </w:pPr>
      <w:r w:rsidRPr="00A75DF9">
        <w:rPr>
          <w:rFonts w:cs="Tahoma"/>
          <w:snapToGrid w:val="0"/>
          <w:color w:val="000000"/>
          <w:szCs w:val="18"/>
        </w:rPr>
        <w:t>Le presenti Condizioni Supplementari si applicano esclusivamente all</w:t>
      </w:r>
      <w:r w:rsidR="00F2643E">
        <w:rPr>
          <w:rFonts w:cs="Tahoma"/>
          <w:snapToGrid w:val="0"/>
          <w:color w:val="000000"/>
          <w:szCs w:val="18"/>
        </w:rPr>
        <w:t>’</w:t>
      </w:r>
      <w:r w:rsidRPr="00A75DF9">
        <w:rPr>
          <w:rFonts w:cs="Tahoma"/>
          <w:snapToGrid w:val="0"/>
          <w:color w:val="000000"/>
          <w:szCs w:val="18"/>
        </w:rPr>
        <w:t>acquisto e all</w:t>
      </w:r>
      <w:r w:rsidR="00F2643E">
        <w:rPr>
          <w:rFonts w:cs="Tahoma"/>
          <w:snapToGrid w:val="0"/>
          <w:color w:val="000000"/>
          <w:szCs w:val="18"/>
        </w:rPr>
        <w:t>’</w:t>
      </w:r>
      <w:r w:rsidRPr="00A75DF9">
        <w:rPr>
          <w:rFonts w:cs="Tahoma"/>
          <w:snapToGrid w:val="0"/>
          <w:color w:val="000000"/>
          <w:szCs w:val="18"/>
        </w:rPr>
        <w:t>utilizzo dei Servizi Online e dei Servizi da parte della società.</w:t>
      </w:r>
      <w:r w:rsidR="009D3B41" w:rsidRPr="00A75DF9">
        <w:rPr>
          <w:rFonts w:cs="Tahoma"/>
          <w:snapToGrid w:val="0"/>
          <w:color w:val="000000"/>
          <w:szCs w:val="18"/>
        </w:rPr>
        <w:t xml:space="preserve"> </w:t>
      </w:r>
      <w:r w:rsidRPr="00A75DF9">
        <w:rPr>
          <w:rFonts w:cs="Tahoma"/>
          <w:snapToGrid w:val="0"/>
          <w:color w:val="000000"/>
          <w:szCs w:val="18"/>
        </w:rPr>
        <w:t>Nell</w:t>
      </w:r>
      <w:r w:rsidR="00F2643E">
        <w:rPr>
          <w:rFonts w:cs="Tahoma"/>
          <w:snapToGrid w:val="0"/>
          <w:color w:val="000000"/>
          <w:szCs w:val="18"/>
        </w:rPr>
        <w:t>’</w:t>
      </w:r>
      <w:r w:rsidRPr="00A75DF9">
        <w:rPr>
          <w:rFonts w:cs="Tahoma"/>
          <w:snapToGrid w:val="0"/>
          <w:color w:val="000000"/>
          <w:szCs w:val="18"/>
        </w:rPr>
        <w:t>eventualità di una discrepanza tra le presenti Condizioni Supplementari e le condizioni dell</w:t>
      </w:r>
      <w:r w:rsidR="00F2643E">
        <w:rPr>
          <w:rFonts w:cs="Tahoma"/>
          <w:snapToGrid w:val="0"/>
          <w:color w:val="000000"/>
          <w:szCs w:val="18"/>
        </w:rPr>
        <w:t>’</w:t>
      </w:r>
      <w:r w:rsidRPr="00A75DF9">
        <w:rPr>
          <w:rFonts w:cs="Tahoma"/>
          <w:snapToGrid w:val="0"/>
          <w:color w:val="000000"/>
          <w:szCs w:val="18"/>
        </w:rPr>
        <w:t>Accordo Principale o del Contratto che non possano essere espressamente risolte dalle condizioni di tali documenti, le Condizioni Supplementari avranno prevalenza:</w:t>
      </w:r>
    </w:p>
    <w:p w:rsidR="001B413E" w:rsidRPr="00A75DF9" w:rsidRDefault="001B413E" w:rsidP="001B413E">
      <w:pPr>
        <w:keepNext/>
        <w:spacing w:before="120" w:after="60"/>
        <w:ind w:left="720"/>
        <w:outlineLvl w:val="0"/>
        <w:rPr>
          <w:rFonts w:cs="Tahoma"/>
        </w:rPr>
      </w:pPr>
      <w:r w:rsidRPr="00A75DF9">
        <w:rPr>
          <w:rFonts w:cs="Tahoma"/>
          <w:b/>
          <w:bCs/>
          <w:iCs/>
          <w:snapToGrid w:val="0"/>
          <w:szCs w:val="18"/>
        </w:rPr>
        <w:t>Garanzia Limitata per i Servizi Online.</w:t>
      </w:r>
    </w:p>
    <w:p w:rsidR="001B413E" w:rsidRPr="00A75DF9" w:rsidRDefault="001B413E" w:rsidP="00A237D8">
      <w:pPr>
        <w:ind w:left="720"/>
        <w:jc w:val="both"/>
        <w:rPr>
          <w:rFonts w:cs="Tahoma"/>
        </w:rPr>
      </w:pPr>
      <w:r w:rsidRPr="00A75DF9">
        <w:rPr>
          <w:rFonts w:cs="Tahoma"/>
          <w:snapToGrid w:val="0"/>
          <w:color w:val="000000"/>
          <w:szCs w:val="18"/>
        </w:rPr>
        <w:t>Microsoft garantisce che i Servizi Online funzioneranno in conformità al Contratto di Servizio (SLA, Service Level Agreement) applicabile.</w:t>
      </w:r>
      <w:r w:rsidR="009D3B41" w:rsidRPr="00A75DF9">
        <w:rPr>
          <w:rFonts w:cs="Tahoma"/>
          <w:snapToGrid w:val="0"/>
          <w:color w:val="000000"/>
          <w:szCs w:val="18"/>
        </w:rPr>
        <w:t xml:space="preserve"> </w:t>
      </w:r>
      <w:r w:rsidRPr="00A75DF9">
        <w:rPr>
          <w:rFonts w:cs="Tahoma"/>
          <w:snapToGrid w:val="0"/>
          <w:color w:val="000000"/>
          <w:szCs w:val="18"/>
        </w:rPr>
        <w:t>La presente garanzia limitata è valida per tutta la durata dell</w:t>
      </w:r>
      <w:r w:rsidR="00F2643E">
        <w:rPr>
          <w:rFonts w:cs="Tahoma"/>
          <w:snapToGrid w:val="0"/>
          <w:color w:val="000000"/>
          <w:szCs w:val="18"/>
        </w:rPr>
        <w:t>’</w:t>
      </w:r>
      <w:r w:rsidRPr="00A75DF9">
        <w:rPr>
          <w:rFonts w:cs="Tahoma"/>
          <w:snapToGrid w:val="0"/>
          <w:color w:val="000000"/>
          <w:szCs w:val="18"/>
        </w:rPr>
        <w:t>utilizzo del Servizio Online da parte della società a condizione che vengano rispettati i requisiti in materia di</w:t>
      </w:r>
      <w:r w:rsidR="00A237D8">
        <w:rPr>
          <w:rFonts w:cs="Tahoma"/>
          <w:snapToGrid w:val="0"/>
          <w:color w:val="000000"/>
          <w:szCs w:val="18"/>
        </w:rPr>
        <w:t> </w:t>
      </w:r>
      <w:r w:rsidRPr="00A75DF9">
        <w:rPr>
          <w:rFonts w:cs="Tahoma"/>
          <w:snapToGrid w:val="0"/>
          <w:color w:val="000000"/>
          <w:szCs w:val="18"/>
        </w:rPr>
        <w:t>comunicazioni specificati nel Contratto di Servizio applicabile.</w:t>
      </w:r>
    </w:p>
    <w:p w:rsidR="001B413E" w:rsidRPr="00A75DF9" w:rsidRDefault="001B413E" w:rsidP="001B413E">
      <w:pPr>
        <w:spacing w:before="120"/>
        <w:ind w:left="720"/>
        <w:jc w:val="both"/>
        <w:rPr>
          <w:rFonts w:cs="Tahoma"/>
        </w:rPr>
      </w:pPr>
      <w:r w:rsidRPr="00A75DF9">
        <w:rPr>
          <w:rFonts w:cs="Tahoma"/>
          <w:snapToGrid w:val="0"/>
          <w:color w:val="000000"/>
          <w:szCs w:val="18"/>
        </w:rPr>
        <w:t>Qualora Microsoft non rispetti la presente garanzia limitata e la società ne dia comunicazione a Microsoft entro il periodo di validità della garanzia, Microsoft fornirà i rimedi indicati nel Contratto di Servizio per il Servizio Online interessato.</w:t>
      </w:r>
      <w:r w:rsidR="009D3B41" w:rsidRPr="00A75DF9">
        <w:rPr>
          <w:rFonts w:cs="Tahoma"/>
          <w:snapToGrid w:val="0"/>
          <w:color w:val="000000"/>
          <w:szCs w:val="18"/>
        </w:rPr>
        <w:t xml:space="preserve"> </w:t>
      </w:r>
      <w:r w:rsidRPr="00A75DF9">
        <w:rPr>
          <w:rFonts w:cs="Tahoma"/>
          <w:snapToGrid w:val="0"/>
          <w:color w:val="000000"/>
          <w:szCs w:val="18"/>
        </w:rPr>
        <w:t>Questi sono gli unici rimedi della società relativi all</w:t>
      </w:r>
      <w:r w:rsidR="00F2643E">
        <w:rPr>
          <w:rFonts w:cs="Tahoma"/>
          <w:snapToGrid w:val="0"/>
          <w:color w:val="000000"/>
          <w:szCs w:val="18"/>
        </w:rPr>
        <w:t>’</w:t>
      </w:r>
      <w:r w:rsidRPr="00A75DF9">
        <w:rPr>
          <w:rFonts w:cs="Tahoma"/>
          <w:snapToGrid w:val="0"/>
          <w:color w:val="000000"/>
          <w:szCs w:val="18"/>
        </w:rPr>
        <w:t>inadempimento della garanzia limitata, fatti salvi gli eventuali altri rimedi previsti dalla legge applicabile.</w:t>
      </w:r>
    </w:p>
    <w:p w:rsidR="001B413E" w:rsidRPr="00A75DF9" w:rsidRDefault="001B413E" w:rsidP="001B413E">
      <w:pPr>
        <w:spacing w:before="120"/>
        <w:ind w:left="720"/>
        <w:jc w:val="both"/>
        <w:rPr>
          <w:rFonts w:cs="Tahoma"/>
        </w:rPr>
      </w:pPr>
      <w:r w:rsidRPr="00A75DF9">
        <w:rPr>
          <w:rFonts w:cs="Tahoma"/>
          <w:snapToGrid w:val="0"/>
          <w:color w:val="000000"/>
          <w:szCs w:val="18"/>
        </w:rPr>
        <w:t>Tale garanzia limitata è soggetta alle seguenti limitazioni:</w:t>
      </w:r>
    </w:p>
    <w:p w:rsidR="001B413E" w:rsidRPr="00A75DF9" w:rsidRDefault="001B413E" w:rsidP="001B413E">
      <w:pPr>
        <w:numPr>
          <w:ilvl w:val="0"/>
          <w:numId w:val="124"/>
        </w:numPr>
        <w:spacing w:before="120"/>
        <w:ind w:left="1080"/>
        <w:contextualSpacing/>
        <w:jc w:val="both"/>
        <w:rPr>
          <w:rFonts w:cs="Tahoma"/>
        </w:rPr>
      </w:pPr>
      <w:r w:rsidRPr="00A75DF9">
        <w:rPr>
          <w:rFonts w:cs="Tahoma"/>
          <w:snapToGrid w:val="0"/>
          <w:color w:val="000000"/>
          <w:szCs w:val="18"/>
        </w:rPr>
        <w:t>qualsiasi garanzia o condizione implicita di legge, che non può essere esclusa contrattualmente avrà validità di un anno dalla data di inizio della garanzia limitata;</w:t>
      </w:r>
    </w:p>
    <w:p w:rsidR="001B413E" w:rsidRPr="00A75DF9" w:rsidRDefault="001B413E" w:rsidP="00A237D8">
      <w:pPr>
        <w:numPr>
          <w:ilvl w:val="0"/>
          <w:numId w:val="124"/>
        </w:numPr>
        <w:spacing w:before="120"/>
        <w:ind w:left="1080"/>
        <w:contextualSpacing/>
        <w:jc w:val="both"/>
        <w:rPr>
          <w:rFonts w:cs="Tahoma"/>
        </w:rPr>
      </w:pPr>
      <w:r w:rsidRPr="00A75DF9">
        <w:rPr>
          <w:rFonts w:cs="Tahoma"/>
          <w:snapToGrid w:val="0"/>
          <w:color w:val="000000"/>
          <w:szCs w:val="18"/>
        </w:rPr>
        <w:t>la garanzia limitata non copre problemi causati da incidenti, da un uso improprio o da un utilizzo non conforme alle disposizioni del presente Contratto Multilicenza della società o ai Diritti di Utilizzo del</w:t>
      </w:r>
      <w:r w:rsidR="00A237D8">
        <w:rPr>
          <w:rFonts w:cs="Tahoma"/>
          <w:snapToGrid w:val="0"/>
          <w:color w:val="000000"/>
          <w:szCs w:val="18"/>
        </w:rPr>
        <w:t> </w:t>
      </w:r>
      <w:r w:rsidRPr="00A75DF9">
        <w:rPr>
          <w:rFonts w:cs="Tahoma"/>
          <w:snapToGrid w:val="0"/>
          <w:color w:val="000000"/>
          <w:szCs w:val="18"/>
        </w:rPr>
        <w:t>Prodotto oppure derivanti da eventi non soggetti al ragionevole controllo da parte di Microsoft;</w:t>
      </w:r>
    </w:p>
    <w:p w:rsidR="001B413E" w:rsidRPr="00A75DF9" w:rsidRDefault="001B413E" w:rsidP="001B413E">
      <w:pPr>
        <w:numPr>
          <w:ilvl w:val="0"/>
          <w:numId w:val="124"/>
        </w:numPr>
        <w:spacing w:before="120"/>
        <w:ind w:left="1080"/>
        <w:contextualSpacing/>
        <w:jc w:val="both"/>
        <w:rPr>
          <w:rFonts w:cs="Tahoma"/>
        </w:rPr>
      </w:pPr>
      <w:r w:rsidRPr="00A75DF9">
        <w:rPr>
          <w:rFonts w:cs="Tahoma"/>
          <w:snapToGrid w:val="0"/>
          <w:color w:val="000000"/>
          <w:szCs w:val="18"/>
        </w:rPr>
        <w:t>la garanzia limitata non si applica a prodotti gratuiti, di valutazione, in versione preliminare o in versione beta dei Servizi Online e</w:t>
      </w:r>
    </w:p>
    <w:p w:rsidR="001B413E" w:rsidRPr="00A75DF9" w:rsidRDefault="001B413E" w:rsidP="00A237D8">
      <w:pPr>
        <w:numPr>
          <w:ilvl w:val="0"/>
          <w:numId w:val="124"/>
        </w:numPr>
        <w:spacing w:before="120"/>
        <w:ind w:left="1080"/>
        <w:contextualSpacing/>
        <w:jc w:val="both"/>
        <w:rPr>
          <w:rFonts w:cs="Tahoma"/>
        </w:rPr>
      </w:pPr>
      <w:r w:rsidRPr="00A75DF9">
        <w:rPr>
          <w:rFonts w:cs="Tahoma"/>
          <w:snapToGrid w:val="0"/>
          <w:color w:val="000000"/>
          <w:szCs w:val="18"/>
        </w:rPr>
        <w:t>la garanzia limitata non si applica a problemi dovuti al mancato soddisfacimento dei requisiti minimi di</w:t>
      </w:r>
      <w:r w:rsidR="00A237D8">
        <w:rPr>
          <w:rFonts w:cs="Tahoma"/>
          <w:snapToGrid w:val="0"/>
          <w:color w:val="000000"/>
          <w:szCs w:val="18"/>
        </w:rPr>
        <w:t> </w:t>
      </w:r>
      <w:r w:rsidRPr="00A75DF9">
        <w:rPr>
          <w:rFonts w:cs="Tahoma"/>
          <w:snapToGrid w:val="0"/>
          <w:color w:val="000000"/>
          <w:szCs w:val="18"/>
        </w:rPr>
        <w:t>sistema.</w:t>
      </w:r>
    </w:p>
    <w:p w:rsidR="001B413E" w:rsidRDefault="001B413E" w:rsidP="00A237D8">
      <w:pPr>
        <w:spacing w:before="120"/>
        <w:ind w:left="720"/>
        <w:jc w:val="both"/>
        <w:rPr>
          <w:rFonts w:cs="Tahoma"/>
          <w:b/>
          <w:bCs/>
          <w:snapToGrid w:val="0"/>
          <w:color w:val="000000"/>
          <w:szCs w:val="18"/>
        </w:rPr>
      </w:pPr>
      <w:r w:rsidRPr="00A75DF9">
        <w:rPr>
          <w:rFonts w:cs="Tahoma"/>
          <w:b/>
          <w:bCs/>
          <w:snapToGrid w:val="0"/>
          <w:color w:val="000000"/>
          <w:szCs w:val="18"/>
        </w:rPr>
        <w:t>OLTRE ALLA PRESENTE GARANZIA LIMITATA, MICROSOFT NON FORNISCE ALTRE GARANZIE NÉ CONDIZIONI ESPRESSE O IMPLICITE. MICROSOFT NON RICONOSCE ALCUNA GARANZIA, DICHIARAZIONE NÉ CONDIZIONE IMPLICITA, INCLUSE LE GARANZIE DI COMMERCIABILITÀ (QUALITÀ NON INFERIORE ALLA MEDIA), ADEGUATEZZA PER UNO SCOPO SPECIFICO, QUALITÀ SODDISFACENTE, TITOLARITÀ O NON VIOLAZIONE DI DIRITTI DI TERZI.</w:t>
      </w:r>
      <w:r w:rsidR="009D3B41" w:rsidRPr="00A75DF9">
        <w:rPr>
          <w:rFonts w:cs="Tahoma"/>
          <w:b/>
          <w:bCs/>
          <w:snapToGrid w:val="0"/>
          <w:color w:val="000000"/>
          <w:szCs w:val="18"/>
        </w:rPr>
        <w:t xml:space="preserve"> </w:t>
      </w:r>
      <w:r w:rsidRPr="00A75DF9">
        <w:rPr>
          <w:rFonts w:cs="Tahoma"/>
          <w:b/>
          <w:bCs/>
          <w:snapToGrid w:val="0"/>
          <w:color w:val="000000"/>
          <w:szCs w:val="18"/>
        </w:rPr>
        <w:t>LE</w:t>
      </w:r>
      <w:r w:rsidR="00A237D8">
        <w:rPr>
          <w:rFonts w:cs="Tahoma"/>
          <w:b/>
          <w:bCs/>
          <w:snapToGrid w:val="0"/>
          <w:color w:val="000000"/>
          <w:szCs w:val="18"/>
        </w:rPr>
        <w:t> </w:t>
      </w:r>
      <w:r w:rsidRPr="00A75DF9">
        <w:rPr>
          <w:rFonts w:cs="Tahoma"/>
          <w:b/>
          <w:bCs/>
          <w:snapToGrid w:val="0"/>
          <w:color w:val="000000"/>
          <w:szCs w:val="18"/>
        </w:rPr>
        <w:t>PRESENTI ESCLUSIONI SI APPLICHERANNO NELLA MISURA MASSIMA CONSENTITA DALLA LEGGE APPLICABILE.</w:t>
      </w:r>
    </w:p>
    <w:p w:rsidR="00A237D8" w:rsidRPr="00A75DF9" w:rsidRDefault="00A237D8" w:rsidP="001B413E">
      <w:pPr>
        <w:spacing w:before="120"/>
        <w:ind w:left="720"/>
        <w:jc w:val="both"/>
        <w:rPr>
          <w:rFonts w:cs="Tahoma"/>
        </w:rPr>
      </w:pPr>
    </w:p>
    <w:p w:rsidR="001B413E" w:rsidRPr="00A75DF9" w:rsidRDefault="001B413E" w:rsidP="001B413E">
      <w:pPr>
        <w:keepNext/>
        <w:spacing w:before="120" w:after="60"/>
        <w:ind w:left="720"/>
        <w:outlineLvl w:val="0"/>
        <w:rPr>
          <w:rFonts w:cs="Tahoma"/>
        </w:rPr>
      </w:pPr>
      <w:r w:rsidRPr="00A75DF9">
        <w:rPr>
          <w:rFonts w:cs="Tahoma"/>
          <w:b/>
          <w:bCs/>
          <w:iCs/>
          <w:snapToGrid w:val="0"/>
          <w:szCs w:val="18"/>
        </w:rPr>
        <w:lastRenderedPageBreak/>
        <w:t>Sicurezza e diritto alla protezione dei dati personali.</w:t>
      </w:r>
    </w:p>
    <w:p w:rsidR="001B413E" w:rsidRPr="00A75DF9" w:rsidRDefault="001B413E" w:rsidP="00A237D8">
      <w:pPr>
        <w:numPr>
          <w:ilvl w:val="1"/>
          <w:numId w:val="129"/>
        </w:numPr>
        <w:spacing w:before="120"/>
        <w:ind w:left="1080"/>
        <w:contextualSpacing/>
        <w:jc w:val="both"/>
        <w:rPr>
          <w:rFonts w:cs="Tahoma"/>
        </w:rPr>
      </w:pPr>
      <w:r w:rsidRPr="00A75DF9">
        <w:rPr>
          <w:rFonts w:cs="Tahoma"/>
          <w:snapToGrid w:val="0"/>
          <w:color w:val="000000"/>
          <w:szCs w:val="18"/>
        </w:rPr>
        <w:t>Microsoft e la Società si atterranno a tutte le leggi e a tutti i regolamenti applicabili (inclusa la legge applicabile in materia di notifica dell</w:t>
      </w:r>
      <w:r w:rsidR="00F2643E">
        <w:rPr>
          <w:rFonts w:cs="Tahoma"/>
          <w:snapToGrid w:val="0"/>
          <w:color w:val="000000"/>
          <w:szCs w:val="18"/>
        </w:rPr>
        <w:t>’</w:t>
      </w:r>
      <w:r w:rsidRPr="00A75DF9">
        <w:rPr>
          <w:rFonts w:cs="Tahoma"/>
          <w:snapToGrid w:val="0"/>
          <w:color w:val="000000"/>
          <w:szCs w:val="18"/>
        </w:rPr>
        <w:t>inadempimento delle obbligazioni di protezione).</w:t>
      </w:r>
      <w:r w:rsidR="009D3B41" w:rsidRPr="00A75DF9">
        <w:rPr>
          <w:rFonts w:cs="Tahoma"/>
          <w:snapToGrid w:val="0"/>
          <w:color w:val="000000"/>
          <w:szCs w:val="18"/>
        </w:rPr>
        <w:t xml:space="preserve"> </w:t>
      </w:r>
      <w:r w:rsidRPr="00A75DF9">
        <w:rPr>
          <w:rFonts w:cs="Tahoma"/>
          <w:snapToGrid w:val="0"/>
          <w:color w:val="000000"/>
          <w:szCs w:val="18"/>
        </w:rPr>
        <w:t>Microsoft non è</w:t>
      </w:r>
      <w:r w:rsidR="00A237D8">
        <w:rPr>
          <w:rFonts w:cs="Tahoma"/>
          <w:snapToGrid w:val="0"/>
          <w:color w:val="000000"/>
          <w:szCs w:val="18"/>
        </w:rPr>
        <w:t> </w:t>
      </w:r>
      <w:r w:rsidRPr="00A75DF9">
        <w:rPr>
          <w:rFonts w:cs="Tahoma"/>
          <w:snapToGrid w:val="0"/>
          <w:color w:val="000000"/>
          <w:szCs w:val="18"/>
        </w:rPr>
        <w:t>tuttavia responsabile della conformità alle leggi o ai regolamenti applicabili da parte della società o da parte del settore cui la società appartiene che non siano generalmente applicabili ai fornitori di servizi informatici.</w:t>
      </w:r>
      <w:r w:rsidR="009D3B41" w:rsidRPr="00A75DF9">
        <w:rPr>
          <w:rFonts w:cs="Tahoma"/>
          <w:snapToGrid w:val="0"/>
          <w:color w:val="000000"/>
          <w:szCs w:val="18"/>
        </w:rPr>
        <w:t xml:space="preserve"> </w:t>
      </w:r>
      <w:r w:rsidRPr="00A75DF9">
        <w:rPr>
          <w:rFonts w:cs="Tahoma"/>
          <w:snapToGrid w:val="0"/>
          <w:color w:val="000000"/>
          <w:szCs w:val="18"/>
        </w:rPr>
        <w:t>La società autorizza Microsoft e coloro che agiscono per suo conto a elaborare le</w:t>
      </w:r>
      <w:r w:rsidR="00A237D8">
        <w:rPr>
          <w:rFonts w:cs="Tahoma"/>
          <w:snapToGrid w:val="0"/>
          <w:color w:val="000000"/>
          <w:szCs w:val="18"/>
        </w:rPr>
        <w:t> </w:t>
      </w:r>
      <w:r w:rsidRPr="00A75DF9">
        <w:rPr>
          <w:rFonts w:cs="Tahoma"/>
          <w:snapToGrid w:val="0"/>
          <w:color w:val="000000"/>
          <w:szCs w:val="18"/>
        </w:rPr>
        <w:t>informazioni personali al fine di agevolare l</w:t>
      </w:r>
      <w:r w:rsidR="00F2643E">
        <w:rPr>
          <w:rFonts w:cs="Tahoma"/>
          <w:snapToGrid w:val="0"/>
          <w:color w:val="000000"/>
          <w:szCs w:val="18"/>
        </w:rPr>
        <w:t>’</w:t>
      </w:r>
      <w:r w:rsidRPr="00A75DF9">
        <w:rPr>
          <w:rFonts w:cs="Tahoma"/>
          <w:snapToGrid w:val="0"/>
          <w:color w:val="000000"/>
          <w:szCs w:val="18"/>
        </w:rPr>
        <w:t>esecuzione del Contratto, incluse le presenti Condizioni Supplementari.</w:t>
      </w:r>
    </w:p>
    <w:p w:rsidR="001B413E" w:rsidRPr="00A75DF9" w:rsidRDefault="001B413E" w:rsidP="00A237D8">
      <w:pPr>
        <w:numPr>
          <w:ilvl w:val="1"/>
          <w:numId w:val="129"/>
        </w:numPr>
        <w:spacing w:before="120"/>
        <w:ind w:left="1080"/>
        <w:contextualSpacing/>
        <w:jc w:val="both"/>
        <w:rPr>
          <w:rFonts w:cs="Tahoma"/>
        </w:rPr>
      </w:pPr>
      <w:r w:rsidRPr="00A75DF9">
        <w:rPr>
          <w:rFonts w:cs="Tahoma"/>
          <w:snapToGrid w:val="0"/>
          <w:color w:val="000000"/>
          <w:szCs w:val="18"/>
        </w:rPr>
        <w:t>In relazione all</w:t>
      </w:r>
      <w:r w:rsidR="00F2643E">
        <w:rPr>
          <w:rFonts w:cs="Tahoma"/>
          <w:snapToGrid w:val="0"/>
          <w:color w:val="000000"/>
          <w:szCs w:val="18"/>
        </w:rPr>
        <w:t>’</w:t>
      </w:r>
      <w:r w:rsidRPr="00A75DF9">
        <w:rPr>
          <w:rFonts w:cs="Tahoma"/>
          <w:snapToGrid w:val="0"/>
          <w:color w:val="000000"/>
          <w:szCs w:val="18"/>
        </w:rPr>
        <w:t>utilizzo dei Servizi Online o nell</w:t>
      </w:r>
      <w:r w:rsidR="00F2643E">
        <w:rPr>
          <w:rFonts w:cs="Tahoma"/>
          <w:snapToGrid w:val="0"/>
          <w:color w:val="000000"/>
          <w:szCs w:val="18"/>
        </w:rPr>
        <w:t>’</w:t>
      </w:r>
      <w:r w:rsidRPr="00A75DF9">
        <w:rPr>
          <w:rFonts w:cs="Tahoma"/>
          <w:snapToGrid w:val="0"/>
          <w:color w:val="000000"/>
          <w:szCs w:val="18"/>
        </w:rPr>
        <w:t>ambito del Contratto la società potrà decidere di fornire a</w:t>
      </w:r>
      <w:r w:rsidR="00A237D8">
        <w:rPr>
          <w:rFonts w:cs="Tahoma"/>
          <w:snapToGrid w:val="0"/>
          <w:color w:val="000000"/>
          <w:szCs w:val="18"/>
        </w:rPr>
        <w:t> </w:t>
      </w:r>
      <w:r w:rsidRPr="00A75DF9">
        <w:rPr>
          <w:rFonts w:cs="Tahoma"/>
          <w:snapToGrid w:val="0"/>
          <w:color w:val="000000"/>
          <w:szCs w:val="18"/>
        </w:rPr>
        <w:t>Microsoft informazioni personali per conto di terzi (compresi i contatti, i rivenditori, i distributori, gli amministratori e i dipendenti della società).</w:t>
      </w:r>
      <w:r w:rsidR="009D3B41" w:rsidRPr="00A75DF9">
        <w:rPr>
          <w:rFonts w:cs="Tahoma"/>
          <w:snapToGrid w:val="0"/>
          <w:color w:val="000000"/>
          <w:szCs w:val="18"/>
        </w:rPr>
        <w:t xml:space="preserve"> </w:t>
      </w:r>
      <w:r w:rsidRPr="00A75DF9">
        <w:rPr>
          <w:rFonts w:cs="Tahoma"/>
          <w:snapToGrid w:val="0"/>
          <w:color w:val="000000"/>
          <w:szCs w:val="18"/>
        </w:rPr>
        <w:t>Prima di fornire informazioni personali a Microsoft, la società otterrà dai terzi interessati tutte le approvazioni necessarie ai sensi delle leggi applicabili in</w:t>
      </w:r>
      <w:r w:rsidR="00A237D8">
        <w:rPr>
          <w:rFonts w:cs="Tahoma"/>
          <w:snapToGrid w:val="0"/>
          <w:color w:val="000000"/>
          <w:szCs w:val="18"/>
        </w:rPr>
        <w:t> </w:t>
      </w:r>
      <w:r w:rsidRPr="00A75DF9">
        <w:rPr>
          <w:rFonts w:cs="Tahoma"/>
          <w:snapToGrid w:val="0"/>
          <w:color w:val="000000"/>
          <w:szCs w:val="18"/>
        </w:rPr>
        <w:t>merito al diritto alla protezione dei dati personali.</w:t>
      </w:r>
    </w:p>
    <w:p w:rsidR="001B413E" w:rsidRPr="00A75DF9" w:rsidRDefault="001B413E" w:rsidP="00A237D8">
      <w:pPr>
        <w:numPr>
          <w:ilvl w:val="1"/>
          <w:numId w:val="129"/>
        </w:numPr>
        <w:spacing w:before="120"/>
        <w:ind w:left="1080"/>
        <w:contextualSpacing/>
        <w:jc w:val="both"/>
        <w:rPr>
          <w:rFonts w:cs="Tahoma"/>
        </w:rPr>
      </w:pPr>
      <w:r w:rsidRPr="00A75DF9">
        <w:rPr>
          <w:rFonts w:cs="Tahoma"/>
          <w:snapToGrid w:val="0"/>
          <w:color w:val="000000"/>
          <w:szCs w:val="18"/>
        </w:rPr>
        <w:t>Le informazioni personali che la società fornisce in relazione al Contratto o all</w:t>
      </w:r>
      <w:r w:rsidR="00F2643E">
        <w:rPr>
          <w:rFonts w:cs="Tahoma"/>
          <w:snapToGrid w:val="0"/>
          <w:color w:val="000000"/>
          <w:szCs w:val="18"/>
        </w:rPr>
        <w:t>’</w:t>
      </w:r>
      <w:r w:rsidRPr="00A75DF9">
        <w:rPr>
          <w:rFonts w:cs="Tahoma"/>
          <w:snapToGrid w:val="0"/>
          <w:color w:val="000000"/>
          <w:szCs w:val="18"/>
        </w:rPr>
        <w:t>utilizzo dei Servizi Online verranno elaborate ai sensi dell</w:t>
      </w:r>
      <w:r w:rsidR="00F2643E">
        <w:rPr>
          <w:rFonts w:cs="Tahoma"/>
          <w:snapToGrid w:val="0"/>
          <w:color w:val="000000"/>
          <w:szCs w:val="18"/>
        </w:rPr>
        <w:t>’</w:t>
      </w:r>
      <w:r w:rsidRPr="00A75DF9">
        <w:rPr>
          <w:rFonts w:cs="Tahoma"/>
          <w:snapToGrid w:val="0"/>
          <w:color w:val="000000"/>
          <w:szCs w:val="18"/>
        </w:rPr>
        <w:t>informativa sulla privacy disponibile all</w:t>
      </w:r>
      <w:r w:rsidR="00F2643E">
        <w:rPr>
          <w:rFonts w:cs="Tahoma"/>
          <w:snapToGrid w:val="0"/>
          <w:color w:val="000000"/>
          <w:szCs w:val="18"/>
        </w:rPr>
        <w:t>’</w:t>
      </w:r>
      <w:r w:rsidRPr="00A75DF9">
        <w:rPr>
          <w:rFonts w:cs="Tahoma"/>
          <w:snapToGrid w:val="0"/>
          <w:color w:val="000000"/>
          <w:szCs w:val="18"/>
        </w:rPr>
        <w:t xml:space="preserve">indirizzo </w:t>
      </w:r>
      <w:hyperlink r:id="rId36" w:history="1">
        <w:r w:rsidR="00A237D8" w:rsidRPr="00F86780">
          <w:rPr>
            <w:rFonts w:cs="Tahoma"/>
            <w:snapToGrid w:val="0"/>
            <w:color w:val="0000FF"/>
            <w:szCs w:val="18"/>
            <w:u w:val="single"/>
            <w:lang w:eastAsia="ja-JP"/>
          </w:rPr>
          <w:t>https://www.microsoft.com/licensing/servicecenter</w:t>
        </w:r>
      </w:hyperlink>
      <w:r w:rsidRPr="00A75DF9">
        <w:rPr>
          <w:rFonts w:cs="Tahoma"/>
          <w:snapToGrid w:val="0"/>
          <w:color w:val="000000"/>
          <w:szCs w:val="18"/>
        </w:rPr>
        <w:t>, fatta eccezione per eventuali informative sulla privacy specifiche per ciascun Prodotto e per i dettagli aggiuntivi relativi alla sicurezza e al diritto alla protezione dei dati personali indicati nei Diritti di Utilizzo del Prodotto.</w:t>
      </w:r>
      <w:r w:rsidR="009D3B41" w:rsidRPr="00A75DF9">
        <w:rPr>
          <w:rFonts w:cs="Tahoma"/>
          <w:snapToGrid w:val="0"/>
          <w:color w:val="000000"/>
          <w:szCs w:val="18"/>
        </w:rPr>
        <w:t xml:space="preserve"> </w:t>
      </w:r>
      <w:r w:rsidRPr="00A75DF9">
        <w:rPr>
          <w:rFonts w:cs="Tahoma"/>
          <w:snapToGrid w:val="0"/>
          <w:color w:val="000000"/>
          <w:szCs w:val="18"/>
        </w:rPr>
        <w:t>I dati personali raccolti da Microsoft tramite i Servizi Online o i Servizi potranno essere trasferiti, archiviati ed elaborati negli Stati Uniti o in qualsiasi altro paese in cui è presente Microsoft o i provider di servizi che operano per suo conto.</w:t>
      </w:r>
      <w:r w:rsidR="009D3B41" w:rsidRPr="00A75DF9">
        <w:rPr>
          <w:rFonts w:cs="Tahoma"/>
          <w:snapToGrid w:val="0"/>
          <w:color w:val="000000"/>
          <w:szCs w:val="18"/>
        </w:rPr>
        <w:t xml:space="preserve"> </w:t>
      </w:r>
      <w:r w:rsidRPr="00A75DF9">
        <w:rPr>
          <w:rFonts w:cs="Tahoma"/>
          <w:snapToGrid w:val="0"/>
          <w:color w:val="000000"/>
          <w:szCs w:val="18"/>
        </w:rPr>
        <w:t>Utilizzando i Servizi Online, la società accetta le condizioni sopra indicate.</w:t>
      </w:r>
      <w:r w:rsidR="009D3B41" w:rsidRPr="00A75DF9">
        <w:rPr>
          <w:rFonts w:cs="Tahoma"/>
          <w:snapToGrid w:val="0"/>
          <w:color w:val="000000"/>
          <w:szCs w:val="18"/>
        </w:rPr>
        <w:t xml:space="preserve"> </w:t>
      </w:r>
      <w:r w:rsidRPr="00A75DF9">
        <w:rPr>
          <w:rFonts w:cs="Tahoma"/>
          <w:snapToGrid w:val="0"/>
          <w:color w:val="000000"/>
          <w:szCs w:val="18"/>
        </w:rPr>
        <w:t>Microsoft aderisce al</w:t>
      </w:r>
      <w:r w:rsidR="00A237D8">
        <w:rPr>
          <w:rFonts w:cs="Tahoma"/>
          <w:snapToGrid w:val="0"/>
          <w:color w:val="000000"/>
          <w:szCs w:val="18"/>
        </w:rPr>
        <w:t> </w:t>
      </w:r>
      <w:r w:rsidRPr="00A75DF9">
        <w:rPr>
          <w:rFonts w:cs="Tahoma"/>
          <w:snapToGrid w:val="0"/>
          <w:color w:val="000000"/>
          <w:szCs w:val="18"/>
        </w:rPr>
        <w:t>protocollo di Safe Harbor dell</w:t>
      </w:r>
      <w:r w:rsidR="00F2643E">
        <w:rPr>
          <w:rFonts w:cs="Tahoma"/>
          <w:snapToGrid w:val="0"/>
          <w:color w:val="000000"/>
          <w:szCs w:val="18"/>
        </w:rPr>
        <w:t>’</w:t>
      </w:r>
      <w:r w:rsidRPr="00A75DF9">
        <w:rPr>
          <w:rFonts w:cs="Tahoma"/>
          <w:snapToGrid w:val="0"/>
          <w:color w:val="000000"/>
          <w:szCs w:val="18"/>
        </w:rPr>
        <w:t>Unione Europea (EU Safe Harbor) e di Safe Harbour della Svizzera (Swiss Safe Harbor) come stabilito dal Department of Commerce degli Stati Uniti relativamente alla raccolta, al trattamento e alla conservazione dei dati provenienti dall</w:t>
      </w:r>
      <w:r w:rsidR="00F2643E">
        <w:rPr>
          <w:rFonts w:cs="Tahoma"/>
          <w:snapToGrid w:val="0"/>
          <w:color w:val="000000"/>
          <w:szCs w:val="18"/>
        </w:rPr>
        <w:t>’</w:t>
      </w:r>
      <w:r w:rsidRPr="00A75DF9">
        <w:rPr>
          <w:rFonts w:cs="Tahoma"/>
          <w:snapToGrid w:val="0"/>
          <w:color w:val="000000"/>
          <w:szCs w:val="18"/>
        </w:rPr>
        <w:t>Unione Europea, dallo Spazio Economico Europeo e dalla Svizzera.</w:t>
      </w:r>
      <w:r w:rsidR="009D3B41" w:rsidRPr="00A75DF9">
        <w:rPr>
          <w:rFonts w:cs="Tahoma"/>
          <w:snapToGrid w:val="0"/>
          <w:color w:val="000000"/>
          <w:szCs w:val="18"/>
        </w:rPr>
        <w:t xml:space="preserve"> </w:t>
      </w:r>
    </w:p>
    <w:p w:rsidR="001B413E" w:rsidRPr="00A75DF9" w:rsidRDefault="001B413E" w:rsidP="00A57DFC">
      <w:pPr>
        <w:keepNext/>
        <w:spacing w:before="80" w:after="40"/>
        <w:ind w:left="720"/>
        <w:outlineLvl w:val="0"/>
        <w:rPr>
          <w:rFonts w:cs="Tahoma"/>
        </w:rPr>
      </w:pPr>
      <w:r w:rsidRPr="00A75DF9">
        <w:rPr>
          <w:rFonts w:cs="Tahoma"/>
          <w:b/>
          <w:bCs/>
          <w:iCs/>
          <w:snapToGrid w:val="0"/>
          <w:szCs w:val="18"/>
        </w:rPr>
        <w:t>Tutela da parte della società.</w:t>
      </w:r>
    </w:p>
    <w:p w:rsidR="001B413E" w:rsidRPr="00A75DF9" w:rsidRDefault="001B413E" w:rsidP="001B413E">
      <w:pPr>
        <w:ind w:left="720"/>
        <w:jc w:val="both"/>
        <w:rPr>
          <w:rFonts w:cs="Tahoma"/>
        </w:rPr>
      </w:pPr>
      <w:r w:rsidRPr="00A75DF9">
        <w:rPr>
          <w:rFonts w:cs="Tahoma"/>
          <w:snapToGrid w:val="0"/>
          <w:color w:val="000000"/>
          <w:szCs w:val="18"/>
        </w:rPr>
        <w:t>La società si impegna a difendere Microsoft nel caso in cui terzi che non siano consociate propongano un reclamo che:</w:t>
      </w:r>
    </w:p>
    <w:p w:rsidR="001B413E" w:rsidRPr="00A75DF9" w:rsidRDefault="001B413E" w:rsidP="001B413E">
      <w:pPr>
        <w:numPr>
          <w:ilvl w:val="0"/>
          <w:numId w:val="130"/>
        </w:numPr>
        <w:spacing w:before="120"/>
        <w:ind w:left="1260" w:hanging="540"/>
        <w:contextualSpacing/>
        <w:jc w:val="both"/>
        <w:rPr>
          <w:rFonts w:cs="Tahoma"/>
        </w:rPr>
      </w:pPr>
      <w:r w:rsidRPr="00A75DF9">
        <w:rPr>
          <w:rFonts w:cs="Tahoma"/>
          <w:snapToGrid w:val="0"/>
          <w:color w:val="000000"/>
          <w:szCs w:val="18"/>
        </w:rPr>
        <w:t>sostenga che i Dati della Società o i prodotti software non Microsoft ospitati da Microsoft per conto della società violino i diritti di brevetto, copyright o marchio di terzi o facciano un utilizzo illecito di un Segreto Commerciale oppure</w:t>
      </w:r>
    </w:p>
    <w:p w:rsidR="001B413E" w:rsidRPr="00A75DF9" w:rsidRDefault="001B413E" w:rsidP="001B413E">
      <w:pPr>
        <w:numPr>
          <w:ilvl w:val="0"/>
          <w:numId w:val="130"/>
        </w:numPr>
        <w:spacing w:before="120"/>
        <w:ind w:left="1260" w:hanging="540"/>
        <w:contextualSpacing/>
        <w:jc w:val="both"/>
        <w:rPr>
          <w:rFonts w:cs="Tahoma"/>
        </w:rPr>
      </w:pPr>
      <w:r w:rsidRPr="00A75DF9">
        <w:rPr>
          <w:rFonts w:cs="Tahoma"/>
          <w:snapToGrid w:val="0"/>
          <w:color w:val="000000"/>
          <w:szCs w:val="18"/>
        </w:rPr>
        <w:t>risulti dalla violazione delle condizioni dei Criteri di Utilizzo descritti nei Diritti di Utilizzo del Prodotto.</w:t>
      </w:r>
    </w:p>
    <w:p w:rsidR="001B413E" w:rsidRPr="00A75DF9" w:rsidRDefault="001B413E" w:rsidP="00A57DFC">
      <w:pPr>
        <w:spacing w:before="80"/>
        <w:ind w:left="720"/>
        <w:jc w:val="both"/>
        <w:rPr>
          <w:rFonts w:cs="Tahoma"/>
        </w:rPr>
      </w:pPr>
      <w:r w:rsidRPr="00A75DF9">
        <w:rPr>
          <w:rFonts w:cs="Tahoma"/>
          <w:snapToGrid w:val="0"/>
          <w:color w:val="000000"/>
          <w:szCs w:val="18"/>
        </w:rPr>
        <w:t>In tali casi la società dovrà pagare l</w:t>
      </w:r>
      <w:r w:rsidR="00F2643E">
        <w:rPr>
          <w:rFonts w:cs="Tahoma"/>
          <w:snapToGrid w:val="0"/>
          <w:color w:val="000000"/>
          <w:szCs w:val="18"/>
        </w:rPr>
        <w:t>’</w:t>
      </w:r>
      <w:r w:rsidRPr="00A75DF9">
        <w:rPr>
          <w:rFonts w:cs="Tahoma"/>
          <w:snapToGrid w:val="0"/>
          <w:color w:val="000000"/>
          <w:szCs w:val="18"/>
        </w:rPr>
        <w:t>importo liquidato in una sentenza definitiva di condanna (o in un accordo transattivo a cui la società abbia prestato il proprio consenso).</w:t>
      </w:r>
      <w:r w:rsidR="009D3B41" w:rsidRPr="00A75DF9">
        <w:rPr>
          <w:rFonts w:cs="Tahoma"/>
          <w:snapToGrid w:val="0"/>
          <w:color w:val="000000"/>
          <w:szCs w:val="18"/>
        </w:rPr>
        <w:t xml:space="preserve"> </w:t>
      </w:r>
      <w:r w:rsidRPr="00A75DF9">
        <w:rPr>
          <w:rFonts w:cs="Tahoma"/>
          <w:snapToGrid w:val="0"/>
          <w:color w:val="000000"/>
          <w:szCs w:val="18"/>
        </w:rPr>
        <w:t>Nel presente Articolo viene riportato il rimedio esclusivo di Microsoft relativo a tali reclami.</w:t>
      </w:r>
    </w:p>
    <w:p w:rsidR="001B413E" w:rsidRDefault="001B413E" w:rsidP="00A57DFC">
      <w:pPr>
        <w:spacing w:before="80"/>
        <w:ind w:left="720"/>
        <w:jc w:val="both"/>
        <w:rPr>
          <w:rFonts w:cs="Tahoma"/>
          <w:snapToGrid w:val="0"/>
          <w:color w:val="000000"/>
          <w:szCs w:val="18"/>
        </w:rPr>
      </w:pPr>
      <w:r w:rsidRPr="00A75DF9">
        <w:rPr>
          <w:rFonts w:cs="Tahoma"/>
          <w:snapToGrid w:val="0"/>
          <w:color w:val="000000"/>
          <w:szCs w:val="18"/>
        </w:rPr>
        <w:t>Microsoft dovrà informare tempestivamente la società dando preavviso scritto del reclamo in conformità al</w:t>
      </w:r>
      <w:r w:rsidR="00A237D8">
        <w:rPr>
          <w:rFonts w:cs="Tahoma"/>
          <w:snapToGrid w:val="0"/>
          <w:color w:val="000000"/>
          <w:szCs w:val="18"/>
        </w:rPr>
        <w:t> </w:t>
      </w:r>
      <w:r w:rsidRPr="00A75DF9">
        <w:rPr>
          <w:rFonts w:cs="Tahoma"/>
          <w:snapToGrid w:val="0"/>
          <w:color w:val="000000"/>
          <w:szCs w:val="18"/>
        </w:rPr>
        <w:t>presente Articolo.</w:t>
      </w:r>
      <w:r w:rsidR="009D3B41" w:rsidRPr="00A75DF9">
        <w:rPr>
          <w:rFonts w:cs="Tahoma"/>
          <w:snapToGrid w:val="0"/>
          <w:color w:val="000000"/>
          <w:szCs w:val="18"/>
        </w:rPr>
        <w:t xml:space="preserve"> </w:t>
      </w:r>
      <w:r w:rsidRPr="00A75DF9">
        <w:rPr>
          <w:rFonts w:cs="Tahoma"/>
          <w:snapToGrid w:val="0"/>
          <w:color w:val="000000"/>
          <w:szCs w:val="18"/>
        </w:rPr>
        <w:t>Microsoft dovrà (1) affidare alla società l</w:t>
      </w:r>
      <w:r w:rsidR="00F2643E">
        <w:rPr>
          <w:rFonts w:cs="Tahoma"/>
          <w:snapToGrid w:val="0"/>
          <w:color w:val="000000"/>
          <w:szCs w:val="18"/>
        </w:rPr>
        <w:t>’</w:t>
      </w:r>
      <w:r w:rsidRPr="00A75DF9">
        <w:rPr>
          <w:rFonts w:cs="Tahoma"/>
          <w:snapToGrid w:val="0"/>
          <w:color w:val="000000"/>
          <w:szCs w:val="18"/>
        </w:rPr>
        <w:t>esclusivo controllo della sua linea di difesa o</w:t>
      </w:r>
      <w:r w:rsidR="00A237D8">
        <w:rPr>
          <w:rFonts w:cs="Tahoma"/>
          <w:snapToGrid w:val="0"/>
          <w:color w:val="000000"/>
          <w:szCs w:val="18"/>
        </w:rPr>
        <w:t> </w:t>
      </w:r>
      <w:r w:rsidRPr="00A75DF9">
        <w:rPr>
          <w:rFonts w:cs="Tahoma"/>
          <w:snapToGrid w:val="0"/>
          <w:color w:val="000000"/>
          <w:szCs w:val="18"/>
        </w:rPr>
        <w:t>dell</w:t>
      </w:r>
      <w:r w:rsidR="00F2643E">
        <w:rPr>
          <w:rFonts w:cs="Tahoma"/>
          <w:snapToGrid w:val="0"/>
          <w:color w:val="000000"/>
          <w:szCs w:val="18"/>
        </w:rPr>
        <w:t>’</w:t>
      </w:r>
      <w:r w:rsidRPr="00A75DF9">
        <w:rPr>
          <w:rFonts w:cs="Tahoma"/>
          <w:snapToGrid w:val="0"/>
          <w:color w:val="000000"/>
          <w:szCs w:val="18"/>
        </w:rPr>
        <w:t>accordo transattivo di tale reclamo e (2) compiere ogni ragionevole sforzo per assistere la società nella definizione della linea di difesa. La società rimborserà inoltre a Microsoft tutte le spese esposte in misura ragionevole e sostenute per fornire tale assistenza.</w:t>
      </w:r>
    </w:p>
    <w:p w:rsidR="001B413E" w:rsidRPr="00A75DF9" w:rsidRDefault="001B413E" w:rsidP="00A57DFC">
      <w:pPr>
        <w:keepNext/>
        <w:spacing w:before="80" w:after="40"/>
        <w:ind w:left="720"/>
        <w:outlineLvl w:val="0"/>
        <w:rPr>
          <w:rFonts w:cs="Tahoma"/>
        </w:rPr>
      </w:pPr>
      <w:r w:rsidRPr="00A75DF9">
        <w:rPr>
          <w:rFonts w:cs="Tahoma"/>
          <w:b/>
          <w:bCs/>
          <w:iCs/>
          <w:snapToGrid w:val="0"/>
          <w:szCs w:val="18"/>
        </w:rPr>
        <w:t>Limitazione di responsabilità.</w:t>
      </w:r>
    </w:p>
    <w:p w:rsidR="001B413E" w:rsidRPr="00A75DF9" w:rsidRDefault="001B413E" w:rsidP="00A237D8">
      <w:pPr>
        <w:ind w:left="720"/>
        <w:jc w:val="both"/>
        <w:rPr>
          <w:rFonts w:cs="Tahoma"/>
        </w:rPr>
      </w:pPr>
      <w:r w:rsidRPr="00A75DF9">
        <w:rPr>
          <w:rFonts w:cs="Tahoma"/>
          <w:snapToGrid w:val="0"/>
          <w:color w:val="000000"/>
          <w:szCs w:val="18"/>
        </w:rPr>
        <w:t>Nella misura massima consentita dalla legge applicabile, la responsabilità di ciascuna delle parti, delle relative Consociate e dei relativi Collaboratori in relazione ai Servizi Online sarà limitata ai danni diretti fino alla concorrenza dell</w:t>
      </w:r>
      <w:r w:rsidR="00F2643E">
        <w:rPr>
          <w:rFonts w:cs="Tahoma"/>
          <w:snapToGrid w:val="0"/>
          <w:color w:val="000000"/>
          <w:szCs w:val="18"/>
        </w:rPr>
        <w:t>’</w:t>
      </w:r>
      <w:r w:rsidRPr="00A75DF9">
        <w:rPr>
          <w:rFonts w:cs="Tahoma"/>
          <w:snapToGrid w:val="0"/>
          <w:color w:val="000000"/>
          <w:szCs w:val="18"/>
        </w:rPr>
        <w:t>importo che la società ha pagato per i Servizi Online che hanno dato origine a tale responsabilità durante i 12 mesi precedenti.</w:t>
      </w:r>
      <w:r w:rsidR="009D3B41" w:rsidRPr="00A75DF9">
        <w:rPr>
          <w:rFonts w:cs="Tahoma"/>
          <w:snapToGrid w:val="0"/>
          <w:color w:val="000000"/>
          <w:szCs w:val="18"/>
        </w:rPr>
        <w:t xml:space="preserve"> </w:t>
      </w:r>
      <w:r w:rsidRPr="00A75DF9">
        <w:rPr>
          <w:rFonts w:cs="Tahoma"/>
          <w:snapToGrid w:val="0"/>
          <w:color w:val="000000"/>
          <w:szCs w:val="18"/>
        </w:rPr>
        <w:t>Le presenti limitazioni si applicano indipendentemente dal fondamento giuridico delle azioni risarcitorie poste in essere dalla società, siano esse relative a</w:t>
      </w:r>
      <w:r w:rsidR="00A237D8">
        <w:rPr>
          <w:rFonts w:cs="Tahoma"/>
          <w:snapToGrid w:val="0"/>
          <w:color w:val="000000"/>
          <w:szCs w:val="18"/>
        </w:rPr>
        <w:t> </w:t>
      </w:r>
      <w:r w:rsidRPr="00A75DF9">
        <w:rPr>
          <w:rFonts w:cs="Tahoma"/>
          <w:snapToGrid w:val="0"/>
          <w:color w:val="000000"/>
          <w:szCs w:val="18"/>
        </w:rPr>
        <w:t>inadempimento contrattuale, illecito civile (inclusa la negligenza), responsabilità oggettiva o violazione delle garanzie.</w:t>
      </w:r>
      <w:r w:rsidR="009D3B41" w:rsidRPr="00A75DF9">
        <w:rPr>
          <w:rFonts w:cs="Tahoma"/>
          <w:snapToGrid w:val="0"/>
          <w:color w:val="000000"/>
          <w:szCs w:val="18"/>
        </w:rPr>
        <w:t xml:space="preserve"> </w:t>
      </w:r>
      <w:r w:rsidRPr="00A75DF9">
        <w:rPr>
          <w:rFonts w:cs="Tahoma"/>
          <w:snapToGrid w:val="0"/>
          <w:color w:val="000000"/>
          <w:szCs w:val="18"/>
        </w:rPr>
        <w:t>Tuttavia, tali limitazioni monetarie non si applicheranno:</w:t>
      </w:r>
    </w:p>
    <w:p w:rsidR="001B413E" w:rsidRPr="00A75DF9" w:rsidRDefault="001B413E" w:rsidP="001B413E">
      <w:pPr>
        <w:numPr>
          <w:ilvl w:val="0"/>
          <w:numId w:val="125"/>
        </w:numPr>
        <w:spacing w:before="120"/>
        <w:ind w:left="1170" w:hanging="450"/>
        <w:contextualSpacing/>
        <w:jc w:val="both"/>
        <w:rPr>
          <w:rFonts w:cs="Tahoma"/>
        </w:rPr>
      </w:pPr>
      <w:r w:rsidRPr="00A75DF9">
        <w:rPr>
          <w:rFonts w:cs="Tahoma"/>
          <w:snapToGrid w:val="0"/>
          <w:color w:val="000000"/>
          <w:szCs w:val="18"/>
        </w:rPr>
        <w:t>alle obbligazioni di Microsoft ai sensi dell</w:t>
      </w:r>
      <w:r w:rsidR="00F2643E">
        <w:rPr>
          <w:rFonts w:cs="Tahoma"/>
          <w:snapToGrid w:val="0"/>
          <w:color w:val="000000"/>
          <w:szCs w:val="18"/>
        </w:rPr>
        <w:t>’</w:t>
      </w:r>
      <w:r w:rsidRPr="00A75DF9">
        <w:rPr>
          <w:rFonts w:cs="Tahoma"/>
          <w:snapToGrid w:val="0"/>
          <w:color w:val="000000"/>
          <w:szCs w:val="18"/>
        </w:rPr>
        <w:t>Articolo dell</w:t>
      </w:r>
      <w:r w:rsidR="00F2643E">
        <w:rPr>
          <w:rFonts w:cs="Tahoma"/>
          <w:snapToGrid w:val="0"/>
          <w:color w:val="000000"/>
          <w:szCs w:val="18"/>
        </w:rPr>
        <w:t>’</w:t>
      </w:r>
      <w:r w:rsidRPr="00A75DF9">
        <w:rPr>
          <w:rFonts w:cs="Tahoma"/>
          <w:snapToGrid w:val="0"/>
          <w:color w:val="000000"/>
          <w:szCs w:val="18"/>
        </w:rPr>
        <w:t>Accordo Principale relativo alla “Difesa dai reclami di terzi aventi ad oggetto la violazione dei diritti e l</w:t>
      </w:r>
      <w:r w:rsidR="00F2643E">
        <w:rPr>
          <w:rFonts w:cs="Tahoma"/>
          <w:snapToGrid w:val="0"/>
          <w:color w:val="000000"/>
          <w:szCs w:val="18"/>
        </w:rPr>
        <w:t>’</w:t>
      </w:r>
      <w:r w:rsidRPr="00A75DF9">
        <w:rPr>
          <w:rFonts w:cs="Tahoma"/>
          <w:snapToGrid w:val="0"/>
          <w:color w:val="000000"/>
          <w:szCs w:val="18"/>
        </w:rPr>
        <w:t>appropriazione indebita”, né alle obbligazioni della società ai sensi dell</w:t>
      </w:r>
      <w:r w:rsidR="00F2643E">
        <w:rPr>
          <w:rFonts w:cs="Tahoma"/>
          <w:snapToGrid w:val="0"/>
          <w:color w:val="000000"/>
          <w:szCs w:val="18"/>
        </w:rPr>
        <w:t>’</w:t>
      </w:r>
      <w:r w:rsidRPr="00A75DF9">
        <w:rPr>
          <w:rFonts w:cs="Tahoma"/>
          <w:snapToGrid w:val="0"/>
          <w:color w:val="000000"/>
          <w:szCs w:val="18"/>
        </w:rPr>
        <w:t>Articolo delle presenti Condizioni Supplementari intitolato “Tutela da parte della Società”;</w:t>
      </w:r>
    </w:p>
    <w:p w:rsidR="001B413E" w:rsidRPr="00A75DF9" w:rsidRDefault="001B413E" w:rsidP="00A237D8">
      <w:pPr>
        <w:numPr>
          <w:ilvl w:val="0"/>
          <w:numId w:val="125"/>
        </w:numPr>
        <w:spacing w:before="120"/>
        <w:ind w:left="1170" w:hanging="450"/>
        <w:contextualSpacing/>
        <w:jc w:val="both"/>
        <w:rPr>
          <w:rFonts w:cs="Tahoma"/>
        </w:rPr>
      </w:pPr>
      <w:r w:rsidRPr="00A75DF9">
        <w:rPr>
          <w:rFonts w:cs="Tahoma"/>
          <w:snapToGrid w:val="0"/>
          <w:color w:val="000000"/>
          <w:szCs w:val="18"/>
        </w:rPr>
        <w:t>alle responsabilità derivanti da qualsiasi inadempimento di una delle parti delle obbligazioni previste ai</w:t>
      </w:r>
      <w:r w:rsidR="00A237D8">
        <w:rPr>
          <w:rFonts w:cs="Tahoma"/>
          <w:snapToGrid w:val="0"/>
          <w:color w:val="000000"/>
          <w:szCs w:val="18"/>
        </w:rPr>
        <w:t> </w:t>
      </w:r>
      <w:r w:rsidRPr="00A75DF9">
        <w:rPr>
          <w:rFonts w:cs="Tahoma"/>
          <w:snapToGrid w:val="0"/>
          <w:color w:val="000000"/>
          <w:szCs w:val="18"/>
        </w:rPr>
        <w:t>sensi dell</w:t>
      </w:r>
      <w:r w:rsidR="00F2643E">
        <w:rPr>
          <w:rFonts w:cs="Tahoma"/>
          <w:snapToGrid w:val="0"/>
          <w:color w:val="000000"/>
          <w:szCs w:val="18"/>
        </w:rPr>
        <w:t>’</w:t>
      </w:r>
      <w:r w:rsidRPr="00A75DF9">
        <w:rPr>
          <w:rFonts w:cs="Tahoma"/>
          <w:snapToGrid w:val="0"/>
          <w:color w:val="000000"/>
          <w:szCs w:val="18"/>
        </w:rPr>
        <w:t>Articolo delle Condizioni dell</w:t>
      </w:r>
      <w:r w:rsidR="00F2643E">
        <w:rPr>
          <w:rFonts w:cs="Tahoma"/>
          <w:snapToGrid w:val="0"/>
          <w:color w:val="000000"/>
          <w:szCs w:val="18"/>
        </w:rPr>
        <w:t>’</w:t>
      </w:r>
      <w:r w:rsidRPr="00A75DF9">
        <w:rPr>
          <w:rFonts w:cs="Tahoma"/>
          <w:snapToGrid w:val="0"/>
          <w:color w:val="000000"/>
          <w:szCs w:val="18"/>
        </w:rPr>
        <w:t>Accordo Principale intitolato “Riservatezza”, fatto salvo che la responsabilità di Microsoft derivante da o in relazione ai Dati della Società sarà in tutti i casi limitata all</w:t>
      </w:r>
      <w:r w:rsidR="00F2643E">
        <w:rPr>
          <w:rFonts w:cs="Tahoma"/>
          <w:snapToGrid w:val="0"/>
          <w:color w:val="000000"/>
          <w:szCs w:val="18"/>
        </w:rPr>
        <w:t>’</w:t>
      </w:r>
      <w:r w:rsidRPr="00A75DF9">
        <w:rPr>
          <w:rFonts w:cs="Tahoma"/>
          <w:snapToGrid w:val="0"/>
          <w:color w:val="000000"/>
          <w:szCs w:val="18"/>
        </w:rPr>
        <w:t>importo pagato dalla società per i Servizi Online che hanno dato origine a tale responsabilità nei 12</w:t>
      </w:r>
      <w:r w:rsidR="00A237D8">
        <w:rPr>
          <w:rFonts w:cs="Tahoma"/>
          <w:snapToGrid w:val="0"/>
          <w:color w:val="000000"/>
          <w:szCs w:val="18"/>
        </w:rPr>
        <w:t> </w:t>
      </w:r>
      <w:r w:rsidRPr="00A75DF9">
        <w:rPr>
          <w:rFonts w:cs="Tahoma"/>
          <w:snapToGrid w:val="0"/>
          <w:color w:val="000000"/>
          <w:szCs w:val="18"/>
        </w:rPr>
        <w:t xml:space="preserve">mesi precedenti e </w:t>
      </w:r>
    </w:p>
    <w:p w:rsidR="001B413E" w:rsidRPr="00A75DF9" w:rsidRDefault="001B413E" w:rsidP="001B413E">
      <w:pPr>
        <w:numPr>
          <w:ilvl w:val="0"/>
          <w:numId w:val="125"/>
        </w:numPr>
        <w:spacing w:before="120"/>
        <w:ind w:left="1170" w:hanging="450"/>
        <w:contextualSpacing/>
        <w:jc w:val="both"/>
        <w:rPr>
          <w:rFonts w:cs="Tahoma"/>
        </w:rPr>
      </w:pPr>
      <w:r w:rsidRPr="00A75DF9">
        <w:rPr>
          <w:rFonts w:cs="Tahoma"/>
          <w:snapToGrid w:val="0"/>
          <w:color w:val="000000"/>
          <w:szCs w:val="18"/>
        </w:rPr>
        <w:t>alla violazione a opera di una delle parti dei diritti di proprietà intellettuale dell</w:t>
      </w:r>
      <w:r w:rsidR="00F2643E">
        <w:rPr>
          <w:rFonts w:cs="Tahoma"/>
          <w:snapToGrid w:val="0"/>
          <w:color w:val="000000"/>
          <w:szCs w:val="18"/>
        </w:rPr>
        <w:t>’</w:t>
      </w:r>
      <w:r w:rsidRPr="00A75DF9">
        <w:rPr>
          <w:rFonts w:cs="Tahoma"/>
          <w:snapToGrid w:val="0"/>
          <w:color w:val="000000"/>
          <w:szCs w:val="18"/>
        </w:rPr>
        <w:t>altra parte.</w:t>
      </w:r>
    </w:p>
    <w:p w:rsidR="001B413E" w:rsidRPr="00A75DF9" w:rsidRDefault="001B413E" w:rsidP="00A237D8">
      <w:pPr>
        <w:spacing w:before="120"/>
        <w:ind w:left="720"/>
        <w:jc w:val="both"/>
        <w:rPr>
          <w:rFonts w:cs="Tahoma"/>
        </w:rPr>
      </w:pPr>
      <w:r w:rsidRPr="00A75DF9">
        <w:rPr>
          <w:rFonts w:cs="Tahoma"/>
          <w:b/>
          <w:bCs/>
          <w:snapToGrid w:val="0"/>
          <w:color w:val="000000"/>
          <w:szCs w:val="18"/>
        </w:rPr>
        <w:lastRenderedPageBreak/>
        <w:t>NELLA MISURA MASSIMA CONSENTITA DALLA LEGGE APPLICABILE, INDIPENDENTEMENTE DAL FONDAMENTO GIURIDICO DEL RECLAMO, LE PARTI, LE RISPETTIVE CONSOCIATE O I RISPETTIVI COLLABORATORI NON SARANNO RESPONSABILI DI DANNI INDIRETTI, CONSEQUENZIALI, SPECIALI O INCIDENTALI NÉ DI DANNI DOVUTI A LUCRO CESSANTE, INTERRUZIONE DELL</w:t>
      </w:r>
      <w:r w:rsidR="00F2643E">
        <w:rPr>
          <w:rFonts w:cs="Tahoma"/>
          <w:b/>
          <w:bCs/>
          <w:snapToGrid w:val="0"/>
          <w:color w:val="000000"/>
          <w:szCs w:val="18"/>
        </w:rPr>
        <w:t>’</w:t>
      </w:r>
      <w:r w:rsidRPr="00A75DF9">
        <w:rPr>
          <w:rFonts w:cs="Tahoma"/>
          <w:b/>
          <w:bCs/>
          <w:snapToGrid w:val="0"/>
          <w:color w:val="000000"/>
          <w:szCs w:val="18"/>
        </w:rPr>
        <w:t>ATTIVITÀ O PERDITA DI INFORMAZIONI RELATIVI AL CONTRATTO O</w:t>
      </w:r>
      <w:r w:rsidR="00A237D8">
        <w:rPr>
          <w:rFonts w:cs="Tahoma"/>
          <w:b/>
          <w:bCs/>
          <w:snapToGrid w:val="0"/>
          <w:color w:val="000000"/>
          <w:szCs w:val="18"/>
        </w:rPr>
        <w:t> </w:t>
      </w:r>
      <w:r w:rsidRPr="00A75DF9">
        <w:rPr>
          <w:rFonts w:cs="Tahoma"/>
          <w:b/>
          <w:bCs/>
          <w:snapToGrid w:val="0"/>
          <w:color w:val="000000"/>
          <w:szCs w:val="18"/>
        </w:rPr>
        <w:t>ALLE PRESENTI CONDIZIONI SUPPLEMENTARI, ANCHE NEL CASO IN CUI I SOGGETTI DI CUI SOPRA SIANO STATI INFORMATI DELLA POSSIBILITÀ DEL VERIFICARSI DI TALI DANNI O</w:t>
      </w:r>
      <w:r w:rsidR="00A237D8">
        <w:rPr>
          <w:rFonts w:cs="Tahoma"/>
          <w:b/>
          <w:bCs/>
          <w:snapToGrid w:val="0"/>
          <w:color w:val="000000"/>
          <w:szCs w:val="18"/>
        </w:rPr>
        <w:t> </w:t>
      </w:r>
      <w:r w:rsidRPr="00A75DF9">
        <w:rPr>
          <w:rFonts w:cs="Tahoma"/>
          <w:b/>
          <w:bCs/>
          <w:snapToGrid w:val="0"/>
          <w:color w:val="000000"/>
          <w:szCs w:val="18"/>
        </w:rPr>
        <w:t>TALE POSSIBILITÀ FOSSE RAGIONEVOLMENTE PREVEDIBILE.</w:t>
      </w:r>
      <w:r w:rsidR="009D3B41" w:rsidRPr="00A75DF9">
        <w:rPr>
          <w:rFonts w:cs="Tahoma"/>
          <w:b/>
          <w:bCs/>
          <w:snapToGrid w:val="0"/>
          <w:color w:val="000000"/>
          <w:szCs w:val="18"/>
        </w:rPr>
        <w:t xml:space="preserve"> </w:t>
      </w:r>
      <w:r w:rsidRPr="00A75DF9">
        <w:rPr>
          <w:rFonts w:cs="Tahoma"/>
          <w:b/>
          <w:bCs/>
          <w:snapToGrid w:val="0"/>
          <w:color w:val="000000"/>
          <w:szCs w:val="18"/>
        </w:rPr>
        <w:t>TUTTAVIA, TALE ESCLUSIONE DI RESPONSABILITÀ NON SI APPLICA NEL CASO DI INADEMPIMENTO DELLE OBBLIGAZIONI DI RISERVATEZZA (FATTA ECCEZIONE PER I CASI IN CUI TALE VIOLAZIONE NON RIGUARDI I DATI DELLA SOCIETÀ) DI UNA PARTE NEI CONFRONTI DELL</w:t>
      </w:r>
      <w:r w:rsidR="00F2643E">
        <w:rPr>
          <w:rFonts w:cs="Tahoma"/>
          <w:b/>
          <w:bCs/>
          <w:snapToGrid w:val="0"/>
          <w:color w:val="000000"/>
          <w:szCs w:val="18"/>
        </w:rPr>
        <w:t>’</w:t>
      </w:r>
      <w:r w:rsidRPr="00A75DF9">
        <w:rPr>
          <w:rFonts w:cs="Tahoma"/>
          <w:b/>
          <w:bCs/>
          <w:snapToGrid w:val="0"/>
          <w:color w:val="000000"/>
          <w:szCs w:val="18"/>
        </w:rPr>
        <w:t>ALTRA NÉ NEL CASO DI VIOLAZIONE DEI DIRITTI DI PROPRIETÀ INTELLETTUALE DELL</w:t>
      </w:r>
      <w:r w:rsidR="00F2643E">
        <w:rPr>
          <w:rFonts w:cs="Tahoma"/>
          <w:b/>
          <w:bCs/>
          <w:snapToGrid w:val="0"/>
          <w:color w:val="000000"/>
          <w:szCs w:val="18"/>
        </w:rPr>
        <w:t>’</w:t>
      </w:r>
      <w:r w:rsidRPr="00A75DF9">
        <w:rPr>
          <w:rFonts w:cs="Tahoma"/>
          <w:b/>
          <w:bCs/>
          <w:snapToGrid w:val="0"/>
          <w:color w:val="000000"/>
          <w:szCs w:val="18"/>
        </w:rPr>
        <w:t>ALTRA PARTE, DELLE OBBLIGAZIONI DI MICROSOFT DEFINITE AI SENSI DELL</w:t>
      </w:r>
      <w:r w:rsidR="00F2643E">
        <w:rPr>
          <w:rFonts w:cs="Tahoma"/>
          <w:b/>
          <w:bCs/>
          <w:snapToGrid w:val="0"/>
          <w:color w:val="000000"/>
          <w:szCs w:val="18"/>
        </w:rPr>
        <w:t>’</w:t>
      </w:r>
      <w:r w:rsidRPr="00A75DF9">
        <w:rPr>
          <w:rFonts w:cs="Tahoma"/>
          <w:b/>
          <w:bCs/>
          <w:snapToGrid w:val="0"/>
          <w:color w:val="000000"/>
          <w:szCs w:val="18"/>
        </w:rPr>
        <w:t>ARTICOLO CONTENUTO NELLE CONDIZIONI DELL</w:t>
      </w:r>
      <w:r w:rsidR="00F2643E">
        <w:rPr>
          <w:rFonts w:cs="Tahoma"/>
          <w:b/>
          <w:bCs/>
          <w:snapToGrid w:val="0"/>
          <w:color w:val="000000"/>
          <w:szCs w:val="18"/>
        </w:rPr>
        <w:t>’</w:t>
      </w:r>
      <w:r w:rsidRPr="00A75DF9">
        <w:rPr>
          <w:rFonts w:cs="Tahoma"/>
          <w:b/>
          <w:bCs/>
          <w:snapToGrid w:val="0"/>
          <w:color w:val="000000"/>
          <w:szCs w:val="18"/>
        </w:rPr>
        <w:t>ACCORDO PRINCIPALE INTITOLATO “DIFESA DAI RECLAMI DI TERZI AVENTI AD OGGETTO LA VIOLAZIONE DEI DIRITTI E L</w:t>
      </w:r>
      <w:r w:rsidR="00F2643E">
        <w:rPr>
          <w:rFonts w:cs="Tahoma"/>
          <w:b/>
          <w:bCs/>
          <w:snapToGrid w:val="0"/>
          <w:color w:val="000000"/>
          <w:szCs w:val="18"/>
        </w:rPr>
        <w:t>’</w:t>
      </w:r>
      <w:r w:rsidRPr="00A75DF9">
        <w:rPr>
          <w:rFonts w:cs="Tahoma"/>
          <w:b/>
          <w:bCs/>
          <w:snapToGrid w:val="0"/>
          <w:color w:val="000000"/>
          <w:szCs w:val="18"/>
        </w:rPr>
        <w:t>APPROPRIAZIONE INDEBITA” O DELLE OBBLIGAZIONI DELLA SOCIETÀ PREVISTE AI SENSI DELL</w:t>
      </w:r>
      <w:r w:rsidR="00F2643E">
        <w:rPr>
          <w:rFonts w:cs="Tahoma"/>
          <w:b/>
          <w:bCs/>
          <w:snapToGrid w:val="0"/>
          <w:color w:val="000000"/>
          <w:szCs w:val="18"/>
        </w:rPr>
        <w:t>’</w:t>
      </w:r>
      <w:r w:rsidRPr="00A75DF9">
        <w:rPr>
          <w:rFonts w:cs="Tahoma"/>
          <w:b/>
          <w:bCs/>
          <w:snapToGrid w:val="0"/>
          <w:color w:val="000000"/>
          <w:szCs w:val="18"/>
        </w:rPr>
        <w:t>ARTICOLO CONTENUTO NELLE PRESENTI CONDIZIONI SUPPLEMENTARI E INTITOLATO “TUTELA DA PARTE DELLA SOCIETÀ”.</w:t>
      </w:r>
    </w:p>
    <w:p w:rsidR="001B413E" w:rsidRPr="00A75DF9" w:rsidRDefault="001B413E" w:rsidP="001B413E">
      <w:pPr>
        <w:keepNext/>
        <w:spacing w:before="120" w:after="60"/>
        <w:ind w:left="720"/>
        <w:outlineLvl w:val="0"/>
        <w:rPr>
          <w:rFonts w:cs="Tahoma"/>
        </w:rPr>
      </w:pPr>
      <w:r w:rsidRPr="00A75DF9">
        <w:rPr>
          <w:rFonts w:cs="Tahoma"/>
          <w:b/>
          <w:bCs/>
          <w:iCs/>
          <w:snapToGrid w:val="0"/>
          <w:szCs w:val="18"/>
        </w:rPr>
        <w:t>Subappaltatori.</w:t>
      </w:r>
    </w:p>
    <w:p w:rsidR="008A1637" w:rsidRPr="00A75DF9" w:rsidRDefault="001B413E" w:rsidP="001B413E">
      <w:pPr>
        <w:ind w:left="720" w:right="720"/>
        <w:rPr>
          <w:rFonts w:cs="Tahoma"/>
        </w:rPr>
      </w:pPr>
      <w:r w:rsidRPr="00A75DF9">
        <w:rPr>
          <w:rFonts w:cs="Tahoma"/>
          <w:snapToGrid w:val="0"/>
          <w:szCs w:val="18"/>
        </w:rPr>
        <w:t>Microsoft potrà ricorrere all</w:t>
      </w:r>
      <w:r w:rsidR="00F2643E">
        <w:rPr>
          <w:rFonts w:cs="Tahoma"/>
          <w:snapToGrid w:val="0"/>
          <w:szCs w:val="18"/>
        </w:rPr>
        <w:t>’</w:t>
      </w:r>
      <w:r w:rsidRPr="00A75DF9">
        <w:rPr>
          <w:rFonts w:cs="Tahoma"/>
          <w:snapToGrid w:val="0"/>
          <w:szCs w:val="18"/>
        </w:rPr>
        <w:t>attività prestata da Collaboratori per supportare i Servizi Online.</w:t>
      </w:r>
      <w:r w:rsidR="009D3B41" w:rsidRPr="00A75DF9">
        <w:rPr>
          <w:rFonts w:cs="Tahoma"/>
          <w:snapToGrid w:val="0"/>
          <w:szCs w:val="18"/>
        </w:rPr>
        <w:t xml:space="preserve"> </w:t>
      </w:r>
      <w:r w:rsidRPr="00A75DF9">
        <w:rPr>
          <w:rFonts w:cs="Tahoma"/>
          <w:snapToGrid w:val="0"/>
          <w:szCs w:val="18"/>
        </w:rPr>
        <w:t>Microsoft sarà responsabile delle loro prestazioni secondo quanto previsto dalle condizioni del Contratto Multilicenza della Società.</w:t>
      </w:r>
    </w:p>
    <w:p w:rsidR="00023FE7" w:rsidRPr="00A75DF9" w:rsidRDefault="008A1637" w:rsidP="00A237D8">
      <w:pPr>
        <w:pStyle w:val="Heading1"/>
        <w:spacing w:before="0"/>
        <w:rPr>
          <w:rFonts w:cs="Tahoma"/>
        </w:rPr>
      </w:pPr>
      <w:r w:rsidRPr="00A75DF9">
        <w:rPr>
          <w:rFonts w:cs="Tahoma"/>
        </w:rPr>
        <w:br w:type="page"/>
      </w:r>
      <w:bookmarkStart w:id="950" w:name="_Toc336338255"/>
      <w:bookmarkStart w:id="951" w:name="_Toc368310247"/>
      <w:r w:rsidRPr="00A75DF9">
        <w:rPr>
          <w:rFonts w:cs="Tahoma"/>
        </w:rPr>
        <w:lastRenderedPageBreak/>
        <w:t>NOTE del Prodotto</w:t>
      </w:r>
      <w:bookmarkEnd w:id="950"/>
      <w:bookmarkEnd w:id="951"/>
    </w:p>
    <w:p w:rsidR="00023FE7" w:rsidRPr="00A75DF9" w:rsidRDefault="00023FE7">
      <w:pPr>
        <w:pStyle w:val="Heading2"/>
        <w:ind w:hanging="540"/>
        <w:rPr>
          <w:rFonts w:ascii="Tahoma" w:hAnsi="Tahoma" w:cs="Tahoma"/>
        </w:rPr>
      </w:pPr>
    </w:p>
    <w:p w:rsidR="00023FE7" w:rsidRPr="00A75DF9" w:rsidRDefault="00023FE7">
      <w:pPr>
        <w:pStyle w:val="Heading2"/>
        <w:ind w:left="0"/>
        <w:rPr>
          <w:rFonts w:ascii="Tahoma" w:hAnsi="Tahoma" w:cs="Tahoma"/>
        </w:rPr>
      </w:pPr>
      <w:bookmarkStart w:id="952" w:name="_Toc336338256"/>
      <w:bookmarkStart w:id="953" w:name="_Toc368310248"/>
      <w:r w:rsidRPr="00A75DF9">
        <w:rPr>
          <w:rFonts w:ascii="Tahoma" w:hAnsi="Tahoma" w:cs="Tahoma"/>
          <w:sz w:val="28"/>
        </w:rPr>
        <w:t>Pool di Applicazioni</w:t>
      </w:r>
      <w:bookmarkEnd w:id="952"/>
      <w:bookmarkEnd w:id="953"/>
    </w:p>
    <w:p w:rsidR="00023FE7" w:rsidRPr="00A75DF9" w:rsidRDefault="00023FE7" w:rsidP="00D94745">
      <w:pPr>
        <w:rPr>
          <w:rFonts w:cs="Tahoma"/>
        </w:rPr>
      </w:pPr>
      <w:bookmarkStart w:id="954" w:name="_1_Data_Analyzer"/>
      <w:bookmarkStart w:id="955" w:name="Aps_1BingMapsDesktopandContentPack"/>
      <w:bookmarkEnd w:id="954"/>
    </w:p>
    <w:p w:rsidR="004A2FC2" w:rsidRPr="00A75DF9" w:rsidRDefault="004A2FC2" w:rsidP="004A2FC2">
      <w:pPr>
        <w:rPr>
          <w:rFonts w:cs="Tahoma"/>
        </w:rPr>
      </w:pPr>
      <w:bookmarkStart w:id="956" w:name="Aps_ExpStudioproducts"/>
      <w:bookmarkStart w:id="957" w:name="Aps_ExpStudio2"/>
      <w:bookmarkStart w:id="958" w:name="Aps_1ExpStudio3"/>
      <w:bookmarkEnd w:id="955"/>
    </w:p>
    <w:p w:rsidR="00176313" w:rsidRPr="00A75DF9" w:rsidRDefault="00B54C21" w:rsidP="004A2FC2">
      <w:pPr>
        <w:pStyle w:val="Heading3"/>
        <w:ind w:left="180" w:hanging="180"/>
        <w:rPr>
          <w:rFonts w:ascii="Tahoma" w:hAnsi="Tahoma" w:cs="Tahoma"/>
        </w:rPr>
      </w:pPr>
      <w:bookmarkStart w:id="959" w:name="_12_Expression_Encoder"/>
      <w:bookmarkStart w:id="960" w:name="_1_Expression_Encoder"/>
      <w:bookmarkStart w:id="961" w:name="_Toc336338258"/>
      <w:bookmarkStart w:id="962" w:name="_Toc368310249"/>
      <w:bookmarkEnd w:id="959"/>
      <w:bookmarkEnd w:id="960"/>
      <w:r w:rsidRPr="00A75DF9">
        <w:rPr>
          <w:rFonts w:ascii="Tahoma" w:hAnsi="Tahoma" w:cs="Tahoma"/>
          <w:caps/>
          <w:color w:val="F66400"/>
          <w:sz w:val="22"/>
          <w:vertAlign w:val="superscript"/>
        </w:rPr>
        <w:t>1</w:t>
      </w:r>
      <w:r w:rsidRPr="00A75DF9">
        <w:rPr>
          <w:rFonts w:ascii="Tahoma" w:hAnsi="Tahoma" w:cs="Tahoma"/>
          <w:color w:val="F66400"/>
          <w:sz w:val="22"/>
        </w:rPr>
        <w:t xml:space="preserve"> Expression Encoder Pro 4</w:t>
      </w:r>
      <w:bookmarkEnd w:id="956"/>
      <w:bookmarkEnd w:id="961"/>
      <w:bookmarkEnd w:id="962"/>
    </w:p>
    <w:p w:rsidR="00176313" w:rsidRPr="00A75DF9" w:rsidRDefault="00176313" w:rsidP="004A2FC2">
      <w:pPr>
        <w:rPr>
          <w:rFonts w:cs="Tahoma"/>
        </w:rPr>
      </w:pPr>
    </w:p>
    <w:p w:rsidR="00176313" w:rsidRPr="00A75DF9" w:rsidRDefault="00176313" w:rsidP="00864B8A">
      <w:pPr>
        <w:spacing w:after="60"/>
        <w:ind w:left="720"/>
        <w:rPr>
          <w:rFonts w:cs="Tahoma"/>
        </w:rPr>
      </w:pPr>
      <w:r w:rsidRPr="00A75DF9">
        <w:rPr>
          <w:rFonts w:cs="Tahoma"/>
          <w:b/>
          <w:szCs w:val="20"/>
        </w:rPr>
        <w:t>Expression Encoder Pro 4</w:t>
      </w:r>
    </w:p>
    <w:p w:rsidR="00176313" w:rsidRPr="00A75DF9" w:rsidRDefault="00176313" w:rsidP="004A2FC2">
      <w:pPr>
        <w:ind w:left="720"/>
        <w:rPr>
          <w:rFonts w:cs="Tahoma"/>
        </w:rPr>
      </w:pPr>
      <w:r w:rsidRPr="00A75DF9">
        <w:rPr>
          <w:rFonts w:cs="Tahoma"/>
          <w:color w:val="000000"/>
          <w:szCs w:val="18"/>
        </w:rPr>
        <w:t>È stato applicato un nuovo marchio alla linea di prodotti Expression.</w:t>
      </w:r>
      <w:r w:rsidR="009D3B41" w:rsidRPr="00A75DF9">
        <w:rPr>
          <w:rFonts w:cs="Tahoma"/>
          <w:color w:val="000000"/>
          <w:szCs w:val="18"/>
        </w:rPr>
        <w:t xml:space="preserve"> </w:t>
      </w:r>
      <w:r w:rsidRPr="00A75DF9">
        <w:rPr>
          <w:rFonts w:cs="Tahoma"/>
          <w:color w:val="000000"/>
          <w:szCs w:val="18"/>
        </w:rPr>
        <w:t>È stato modificato solo il marchio del prodotto. La versione 3 e la versione 4 del software sono uguali.</w:t>
      </w:r>
      <w:r w:rsidR="009D3B41" w:rsidRPr="00A75DF9">
        <w:rPr>
          <w:rFonts w:cs="Tahoma"/>
          <w:color w:val="000000"/>
          <w:szCs w:val="18"/>
        </w:rPr>
        <w:t xml:space="preserve"> </w:t>
      </w:r>
      <w:r w:rsidRPr="00A75DF9">
        <w:rPr>
          <w:rFonts w:cs="Tahoma"/>
          <w:color w:val="000000"/>
          <w:szCs w:val="18"/>
        </w:rPr>
        <w:t>Di conseguenza, le società che dispongono della licenza per i prodotti con versione 3 saranno considerate titolari della licenza per i prodotti con versione 4 corrispondenti (come illustrato di seguito) e potranno utilizzare il software con il marchio associato alla versione 4 al posto del software con il marchio associato alla versione 3. Il diritto di utilizzo del software continuerà a essere disciplinato dalle condizioni del Contratto Multilicenza della società e dai diritti di utilizzo del prodotto per il software integrati dalla presente nota relativa alle condizioni del prodotto.</w:t>
      </w:r>
      <w:r w:rsidR="009D3B41" w:rsidRPr="00A75DF9">
        <w:rPr>
          <w:rFonts w:cs="Tahoma"/>
          <w:color w:val="000000"/>
          <w:szCs w:val="18"/>
        </w:rPr>
        <w:t xml:space="preserve"> </w:t>
      </w:r>
      <w:r w:rsidRPr="00A75DF9">
        <w:rPr>
          <w:rFonts w:cs="Tahoma"/>
          <w:color w:val="000000"/>
          <w:szCs w:val="18"/>
        </w:rPr>
        <w:t>La modifica del marchio non estende la garanzia né le obbligazioni correlate al supporto tecnico di Microsoft in relazione alla copertura Software Assurance per il prodotto.</w:t>
      </w:r>
    </w:p>
    <w:p w:rsidR="00973A93" w:rsidRPr="00A75DF9" w:rsidRDefault="00973A93">
      <w:pPr>
        <w:rPr>
          <w:rFonts w:cs="Tahoma"/>
        </w:rPr>
      </w:pPr>
    </w:p>
    <w:p w:rsidR="004A2FC2" w:rsidRPr="00A75DF9" w:rsidRDefault="004A2FC2" w:rsidP="004A2FC2">
      <w:pPr>
        <w:rPr>
          <w:rFonts w:cs="Tahoma"/>
        </w:rPr>
      </w:pPr>
      <w:bookmarkStart w:id="963" w:name="_Toc254806117"/>
      <w:bookmarkStart w:id="964" w:name="Aps_MSDNOPSystems"/>
      <w:bookmarkStart w:id="965" w:name="Aps_3MSDNOPSystems"/>
      <w:bookmarkStart w:id="966" w:name="Aps_5OffCommunicator07"/>
      <w:bookmarkEnd w:id="957"/>
      <w:bookmarkEnd w:id="958"/>
    </w:p>
    <w:p w:rsidR="00E316C2" w:rsidRPr="00A75DF9" w:rsidRDefault="00B54C21" w:rsidP="00E316C2">
      <w:pPr>
        <w:pStyle w:val="Heading3"/>
        <w:rPr>
          <w:rFonts w:ascii="Tahoma" w:hAnsi="Tahoma" w:cs="Tahoma"/>
        </w:rPr>
      </w:pPr>
      <w:bookmarkStart w:id="967" w:name="_23_Lync_for"/>
      <w:bookmarkStart w:id="968" w:name="_2_Lync_for"/>
      <w:bookmarkStart w:id="969" w:name="_Toc336338259"/>
      <w:bookmarkStart w:id="970" w:name="Aps_3Lync2010"/>
      <w:bookmarkStart w:id="971" w:name="_Toc368310250"/>
      <w:bookmarkEnd w:id="967"/>
      <w:bookmarkEnd w:id="968"/>
      <w:r w:rsidRPr="00A75DF9">
        <w:rPr>
          <w:rFonts w:ascii="Tahoma" w:hAnsi="Tahoma" w:cs="Tahoma"/>
          <w:caps/>
          <w:color w:val="F66400"/>
          <w:sz w:val="22"/>
          <w:vertAlign w:val="superscript"/>
        </w:rPr>
        <w:t>2</w:t>
      </w:r>
      <w:r w:rsidRPr="00A75DF9">
        <w:rPr>
          <w:rFonts w:ascii="Tahoma" w:hAnsi="Tahoma" w:cs="Tahoma"/>
          <w:color w:val="F66400"/>
          <w:sz w:val="22"/>
        </w:rPr>
        <w:t xml:space="preserve"> </w:t>
      </w:r>
      <w:bookmarkStart w:id="972" w:name="Aps_4LyncforMac2011"/>
      <w:r w:rsidRPr="00A75DF9">
        <w:rPr>
          <w:rFonts w:ascii="Tahoma" w:hAnsi="Tahoma" w:cs="Tahoma"/>
          <w:color w:val="F66400"/>
          <w:sz w:val="22"/>
        </w:rPr>
        <w:t xml:space="preserve">Lync </w:t>
      </w:r>
      <w:bookmarkEnd w:id="969"/>
      <w:r w:rsidRPr="00A75DF9">
        <w:rPr>
          <w:rFonts w:ascii="Tahoma" w:hAnsi="Tahoma" w:cs="Tahoma"/>
          <w:color w:val="F66400"/>
          <w:sz w:val="22"/>
        </w:rPr>
        <w:t>per Mac 2011</w:t>
      </w:r>
      <w:bookmarkEnd w:id="971"/>
      <w:bookmarkEnd w:id="972"/>
    </w:p>
    <w:p w:rsidR="00AE5A9F" w:rsidRPr="00A75DF9" w:rsidRDefault="00AE5A9F" w:rsidP="00AE5A9F">
      <w:pPr>
        <w:rPr>
          <w:rFonts w:cs="Tahoma"/>
        </w:rPr>
      </w:pPr>
    </w:p>
    <w:bookmarkEnd w:id="970"/>
    <w:p w:rsidR="004A2FC2" w:rsidRPr="00A75DF9" w:rsidRDefault="00E316C2" w:rsidP="00864B8A">
      <w:pPr>
        <w:spacing w:after="60"/>
        <w:ind w:left="720"/>
        <w:rPr>
          <w:rFonts w:cs="Tahoma"/>
        </w:rPr>
      </w:pPr>
      <w:r w:rsidRPr="00A75DF9">
        <w:rPr>
          <w:rFonts w:cs="Tahoma"/>
          <w:b/>
          <w:szCs w:val="20"/>
        </w:rPr>
        <w:t xml:space="preserve">Percorso di Migrazione a Software Assurance per Communicator per Mac 2011 </w:t>
      </w:r>
    </w:p>
    <w:p w:rsidR="00B9674D" w:rsidRPr="00A75DF9" w:rsidRDefault="00E316C2" w:rsidP="004A2FC2">
      <w:pPr>
        <w:adjustRightInd w:val="0"/>
        <w:ind w:left="720"/>
        <w:textAlignment w:val="baseline"/>
        <w:rPr>
          <w:rFonts w:cs="Tahoma"/>
        </w:rPr>
      </w:pPr>
      <w:r w:rsidRPr="00A75DF9">
        <w:rPr>
          <w:rFonts w:cs="Tahoma"/>
        </w:rPr>
        <w:t>La versione sostitutiva di Communicator per Mac 2011 è Lync per Mac 2011.</w:t>
      </w:r>
    </w:p>
    <w:p w:rsidR="004A2FC2" w:rsidRPr="00A75DF9" w:rsidRDefault="004A2FC2" w:rsidP="004A2FC2">
      <w:pPr>
        <w:adjustRightInd w:val="0"/>
        <w:textAlignment w:val="baseline"/>
        <w:rPr>
          <w:rFonts w:cs="Tahoma"/>
        </w:rPr>
      </w:pPr>
    </w:p>
    <w:p w:rsidR="004A2FC2" w:rsidRPr="00A75DF9" w:rsidRDefault="004A2FC2" w:rsidP="004A2FC2">
      <w:pPr>
        <w:adjustRightInd w:val="0"/>
        <w:textAlignment w:val="baseline"/>
        <w:rPr>
          <w:rFonts w:cs="Tahoma"/>
        </w:rPr>
      </w:pPr>
    </w:p>
    <w:p w:rsidR="00DC2291" w:rsidRPr="00A75DF9" w:rsidRDefault="00B54C21" w:rsidP="00DC2291">
      <w:pPr>
        <w:pStyle w:val="Heading3"/>
        <w:rPr>
          <w:rFonts w:ascii="Tahoma" w:hAnsi="Tahoma" w:cs="Tahoma"/>
        </w:rPr>
      </w:pPr>
      <w:bookmarkStart w:id="973" w:name="_34_MSDN_Operating"/>
      <w:bookmarkStart w:id="974" w:name="_3_MSDN_Operating"/>
      <w:bookmarkStart w:id="975" w:name="_Toc336338261"/>
      <w:bookmarkStart w:id="976" w:name="_Toc368310251"/>
      <w:bookmarkEnd w:id="973"/>
      <w:bookmarkEnd w:id="974"/>
      <w:r w:rsidRPr="00A75DF9">
        <w:rPr>
          <w:rFonts w:ascii="Tahoma" w:hAnsi="Tahoma" w:cs="Tahoma"/>
          <w:caps/>
          <w:color w:val="F66400"/>
          <w:sz w:val="22"/>
          <w:vertAlign w:val="superscript"/>
        </w:rPr>
        <w:t>3</w:t>
      </w:r>
      <w:r w:rsidRPr="00A75DF9">
        <w:rPr>
          <w:rFonts w:ascii="Tahoma" w:hAnsi="Tahoma" w:cs="Tahoma"/>
          <w:color w:val="F66400"/>
          <w:sz w:val="22"/>
        </w:rPr>
        <w:t xml:space="preserve"> Sistemi Operativi MSDN</w:t>
      </w:r>
      <w:bookmarkEnd w:id="963"/>
      <w:bookmarkEnd w:id="975"/>
      <w:bookmarkEnd w:id="976"/>
    </w:p>
    <w:bookmarkEnd w:id="964"/>
    <w:bookmarkEnd w:id="965"/>
    <w:p w:rsidR="00D16EA8" w:rsidRPr="00A237D8" w:rsidRDefault="00D16EA8" w:rsidP="00D16EA8">
      <w:pPr>
        <w:pStyle w:val="FootnoteBulletLevel1"/>
        <w:tabs>
          <w:tab w:val="clear" w:pos="900"/>
        </w:tabs>
        <w:spacing w:before="0" w:after="0"/>
        <w:ind w:left="720" w:firstLine="0"/>
        <w:rPr>
          <w:rFonts w:ascii="Tahoma" w:hAnsi="Tahoma" w:cs="Tahoma"/>
          <w:sz w:val="18"/>
          <w:szCs w:val="18"/>
        </w:rPr>
      </w:pPr>
    </w:p>
    <w:p w:rsidR="00D16EA8" w:rsidRPr="00A237D8" w:rsidRDefault="00DC2291" w:rsidP="00864B8A">
      <w:pPr>
        <w:spacing w:after="60"/>
        <w:ind w:left="720"/>
        <w:rPr>
          <w:rFonts w:cs="Tahoma"/>
          <w:szCs w:val="18"/>
        </w:rPr>
      </w:pPr>
      <w:r w:rsidRPr="00A237D8">
        <w:rPr>
          <w:rFonts w:cs="Tahoma"/>
          <w:b/>
          <w:szCs w:val="18"/>
        </w:rPr>
        <w:t>Requisiti di Idoneità per Software Assurance</w:t>
      </w:r>
    </w:p>
    <w:p w:rsidR="008368B4" w:rsidRPr="00A237D8" w:rsidRDefault="00DC2291" w:rsidP="008368B4">
      <w:pPr>
        <w:pStyle w:val="EndnoteText"/>
        <w:tabs>
          <w:tab w:val="num" w:pos="1080"/>
        </w:tabs>
        <w:ind w:left="720"/>
        <w:rPr>
          <w:rFonts w:ascii="Tahoma" w:hAnsi="Tahoma" w:cs="Tahoma"/>
          <w:sz w:val="18"/>
          <w:szCs w:val="18"/>
        </w:rPr>
      </w:pPr>
      <w:r w:rsidRPr="00A237D8">
        <w:rPr>
          <w:rFonts w:ascii="Tahoma" w:hAnsi="Tahoma" w:cs="Tahoma"/>
          <w:sz w:val="18"/>
          <w:szCs w:val="18"/>
        </w:rPr>
        <w:t>Le società con copertura Software Assurance in scadenza sulle licenze relative ai seguenti prodotti soddisfano i requisiti di idoneità per il rinnovo della copertura Software Assurance per i Sistemi Operativi MSDN. Quando viene effettuato il rinnovo a un livello di abbonamento MSDN diverso, le nuove condizioni per l</w:t>
      </w:r>
      <w:r w:rsidR="00F2643E">
        <w:rPr>
          <w:rFonts w:ascii="Tahoma" w:hAnsi="Tahoma" w:cs="Tahoma"/>
          <w:sz w:val="18"/>
          <w:szCs w:val="18"/>
        </w:rPr>
        <w:t>’</w:t>
      </w:r>
      <w:r w:rsidRPr="00A237D8">
        <w:rPr>
          <w:rFonts w:ascii="Tahoma" w:hAnsi="Tahoma" w:cs="Tahoma"/>
          <w:sz w:val="18"/>
          <w:szCs w:val="18"/>
        </w:rPr>
        <w:t>utilizzo sostituiscono quelle precedenti e qualsiasi prodotto software non incluso nel nuovo abbonamento MSDN dovrà essere rimosso.</w:t>
      </w:r>
    </w:p>
    <w:p w:rsidR="00DC2291" w:rsidRPr="00A237D8" w:rsidRDefault="00DC2291" w:rsidP="00D16EA8">
      <w:pPr>
        <w:pStyle w:val="EndnoteText"/>
        <w:tabs>
          <w:tab w:val="num" w:pos="1080"/>
        </w:tabs>
        <w:ind w:left="720"/>
        <w:rPr>
          <w:rFonts w:ascii="Tahoma" w:hAnsi="Tahoma" w:cs="Tahoma"/>
          <w:sz w:val="18"/>
          <w:szCs w:val="18"/>
        </w:rPr>
      </w:pPr>
    </w:p>
    <w:p w:rsidR="00DC2291" w:rsidRPr="00A237D8" w:rsidRDefault="00DC2291" w:rsidP="00D16EA8">
      <w:pPr>
        <w:pStyle w:val="FootnoteBulletLevel2"/>
        <w:numPr>
          <w:ilvl w:val="0"/>
          <w:numId w:val="4"/>
        </w:numPr>
        <w:spacing w:before="0" w:after="60"/>
        <w:ind w:left="1440"/>
        <w:rPr>
          <w:rFonts w:ascii="Tahoma" w:hAnsi="Tahoma" w:cs="Tahoma"/>
          <w:sz w:val="18"/>
          <w:szCs w:val="18"/>
        </w:rPr>
      </w:pPr>
      <w:r w:rsidRPr="00A237D8">
        <w:rPr>
          <w:rFonts w:ascii="Tahoma" w:hAnsi="Tahoma" w:cs="Tahoma"/>
          <w:sz w:val="18"/>
          <w:szCs w:val="18"/>
        </w:rPr>
        <w:t>Visual Studio Ultimate con MSDN</w:t>
      </w:r>
    </w:p>
    <w:p w:rsidR="00DC2291" w:rsidRPr="00A237D8" w:rsidRDefault="00DC2291" w:rsidP="00D16EA8">
      <w:pPr>
        <w:pStyle w:val="FootnoteBulletLevel2"/>
        <w:numPr>
          <w:ilvl w:val="0"/>
          <w:numId w:val="4"/>
        </w:numPr>
        <w:spacing w:before="0" w:after="60"/>
        <w:ind w:left="1440"/>
        <w:rPr>
          <w:rFonts w:ascii="Tahoma" w:hAnsi="Tahoma" w:cs="Tahoma"/>
          <w:sz w:val="18"/>
          <w:szCs w:val="18"/>
        </w:rPr>
      </w:pPr>
      <w:r w:rsidRPr="00A237D8">
        <w:rPr>
          <w:rFonts w:ascii="Tahoma" w:hAnsi="Tahoma" w:cs="Tahoma"/>
          <w:sz w:val="18"/>
          <w:szCs w:val="18"/>
        </w:rPr>
        <w:t>Visual Studio Premium con MSDN</w:t>
      </w:r>
    </w:p>
    <w:p w:rsidR="00DC2291" w:rsidRPr="00A237D8" w:rsidRDefault="00DC2291" w:rsidP="00D16EA8">
      <w:pPr>
        <w:pStyle w:val="FootnoteBulletLevel2"/>
        <w:numPr>
          <w:ilvl w:val="0"/>
          <w:numId w:val="4"/>
        </w:numPr>
        <w:spacing w:before="0" w:after="60"/>
        <w:ind w:left="1440"/>
        <w:rPr>
          <w:rFonts w:ascii="Tahoma" w:hAnsi="Tahoma" w:cs="Tahoma"/>
          <w:sz w:val="18"/>
          <w:szCs w:val="18"/>
        </w:rPr>
      </w:pPr>
      <w:r w:rsidRPr="00A237D8">
        <w:rPr>
          <w:rFonts w:ascii="Tahoma" w:hAnsi="Tahoma" w:cs="Tahoma"/>
          <w:sz w:val="18"/>
          <w:szCs w:val="18"/>
        </w:rPr>
        <w:t>Visual Studio Professional con MSDN</w:t>
      </w:r>
    </w:p>
    <w:p w:rsidR="00DC2291" w:rsidRPr="00A237D8" w:rsidRDefault="00DC2291" w:rsidP="00D16EA8">
      <w:pPr>
        <w:pStyle w:val="FootnoteBulletLevel2"/>
        <w:numPr>
          <w:ilvl w:val="0"/>
          <w:numId w:val="4"/>
        </w:numPr>
        <w:spacing w:before="0" w:after="60"/>
        <w:ind w:left="1440"/>
        <w:rPr>
          <w:rFonts w:ascii="Tahoma" w:hAnsi="Tahoma" w:cs="Tahoma"/>
          <w:sz w:val="18"/>
          <w:szCs w:val="18"/>
        </w:rPr>
      </w:pPr>
      <w:r w:rsidRPr="00A237D8">
        <w:rPr>
          <w:rFonts w:ascii="Tahoma" w:hAnsi="Tahoma" w:cs="Tahoma"/>
          <w:sz w:val="18"/>
          <w:szCs w:val="18"/>
        </w:rPr>
        <w:t>Visual Studio Professional con MSDN Embedded</w:t>
      </w:r>
    </w:p>
    <w:p w:rsidR="00DC2291" w:rsidRPr="00A237D8" w:rsidRDefault="00DC2291" w:rsidP="00D16EA8">
      <w:pPr>
        <w:pStyle w:val="FootnoteBulletLevel2"/>
        <w:numPr>
          <w:ilvl w:val="0"/>
          <w:numId w:val="4"/>
        </w:numPr>
        <w:spacing w:before="0" w:after="60"/>
        <w:ind w:left="1440"/>
        <w:rPr>
          <w:rFonts w:ascii="Tahoma" w:hAnsi="Tahoma" w:cs="Tahoma"/>
          <w:sz w:val="18"/>
          <w:szCs w:val="18"/>
        </w:rPr>
      </w:pPr>
      <w:r w:rsidRPr="00A237D8">
        <w:rPr>
          <w:rFonts w:ascii="Tahoma" w:hAnsi="Tahoma" w:cs="Tahoma"/>
          <w:sz w:val="18"/>
          <w:szCs w:val="18"/>
        </w:rPr>
        <w:t>Visual Studio Test Professional con MSDN</w:t>
      </w:r>
    </w:p>
    <w:p w:rsidR="00DC2291" w:rsidRPr="00A237D8" w:rsidRDefault="00DC2291" w:rsidP="00D16EA8">
      <w:pPr>
        <w:pStyle w:val="FootnoteBulletLevel2"/>
        <w:numPr>
          <w:ilvl w:val="0"/>
          <w:numId w:val="4"/>
        </w:numPr>
        <w:spacing w:before="0" w:after="60"/>
        <w:ind w:left="1440"/>
        <w:rPr>
          <w:rFonts w:ascii="Tahoma" w:hAnsi="Tahoma" w:cs="Tahoma"/>
          <w:sz w:val="18"/>
          <w:szCs w:val="18"/>
        </w:rPr>
      </w:pPr>
      <w:r w:rsidRPr="00A237D8">
        <w:rPr>
          <w:rFonts w:ascii="Tahoma" w:hAnsi="Tahoma" w:cs="Tahoma"/>
          <w:sz w:val="18"/>
          <w:szCs w:val="18"/>
        </w:rPr>
        <w:t>Visual Studio Professional con MSDN Professional</w:t>
      </w:r>
    </w:p>
    <w:p w:rsidR="00DC2291" w:rsidRPr="00A237D8" w:rsidRDefault="00DC2291" w:rsidP="00D16EA8">
      <w:pPr>
        <w:pStyle w:val="FootnoteBulletLevel2"/>
        <w:numPr>
          <w:ilvl w:val="0"/>
          <w:numId w:val="4"/>
        </w:numPr>
        <w:spacing w:before="0" w:after="60"/>
        <w:ind w:left="1440"/>
        <w:rPr>
          <w:rFonts w:ascii="Tahoma" w:hAnsi="Tahoma" w:cs="Tahoma"/>
          <w:sz w:val="18"/>
          <w:szCs w:val="18"/>
        </w:rPr>
      </w:pPr>
      <w:r w:rsidRPr="00A237D8">
        <w:rPr>
          <w:rFonts w:ascii="Tahoma" w:hAnsi="Tahoma" w:cs="Tahoma"/>
          <w:sz w:val="18"/>
          <w:szCs w:val="18"/>
        </w:rPr>
        <w:t>Visual Studio Professional con MSDN Premium</w:t>
      </w:r>
    </w:p>
    <w:p w:rsidR="00DC2291" w:rsidRPr="00A237D8" w:rsidRDefault="00DC2291" w:rsidP="00D16EA8">
      <w:pPr>
        <w:pStyle w:val="FootnoteBulletLevel2"/>
        <w:numPr>
          <w:ilvl w:val="0"/>
          <w:numId w:val="4"/>
        </w:numPr>
        <w:spacing w:before="0" w:after="60"/>
        <w:ind w:left="1440"/>
        <w:rPr>
          <w:rFonts w:ascii="Tahoma" w:hAnsi="Tahoma" w:cs="Tahoma"/>
          <w:sz w:val="18"/>
          <w:szCs w:val="18"/>
        </w:rPr>
      </w:pPr>
      <w:r w:rsidRPr="00A237D8">
        <w:rPr>
          <w:rFonts w:ascii="Tahoma" w:hAnsi="Tahoma" w:cs="Tahoma"/>
          <w:sz w:val="18"/>
          <w:szCs w:val="18"/>
        </w:rPr>
        <w:t>Visual Studio Team System Team Suite con MSDN Premium</w:t>
      </w:r>
    </w:p>
    <w:p w:rsidR="00DC2291" w:rsidRPr="00A237D8" w:rsidRDefault="00DC2291" w:rsidP="00D16EA8">
      <w:pPr>
        <w:pStyle w:val="FootnoteBulletLevel2"/>
        <w:numPr>
          <w:ilvl w:val="0"/>
          <w:numId w:val="4"/>
        </w:numPr>
        <w:spacing w:before="0" w:after="60"/>
        <w:ind w:left="1440"/>
        <w:rPr>
          <w:rFonts w:ascii="Tahoma" w:hAnsi="Tahoma" w:cs="Tahoma"/>
          <w:sz w:val="18"/>
          <w:szCs w:val="18"/>
        </w:rPr>
      </w:pPr>
      <w:r w:rsidRPr="00A237D8">
        <w:rPr>
          <w:rFonts w:ascii="Tahoma" w:hAnsi="Tahoma" w:cs="Tahoma"/>
          <w:sz w:val="18"/>
          <w:szCs w:val="18"/>
        </w:rPr>
        <w:t>Visual Studio Team System Test Edition con MSDN Premium</w:t>
      </w:r>
    </w:p>
    <w:p w:rsidR="00DC2291" w:rsidRPr="00A237D8" w:rsidRDefault="00DC2291" w:rsidP="00D16EA8">
      <w:pPr>
        <w:pStyle w:val="FootnoteBulletLevel2"/>
        <w:numPr>
          <w:ilvl w:val="0"/>
          <w:numId w:val="4"/>
        </w:numPr>
        <w:spacing w:before="0" w:after="60"/>
        <w:ind w:left="1440"/>
        <w:rPr>
          <w:rFonts w:ascii="Tahoma" w:hAnsi="Tahoma" w:cs="Tahoma"/>
          <w:sz w:val="18"/>
          <w:szCs w:val="18"/>
        </w:rPr>
      </w:pPr>
      <w:r w:rsidRPr="00A237D8">
        <w:rPr>
          <w:rFonts w:ascii="Tahoma" w:hAnsi="Tahoma" w:cs="Tahoma"/>
          <w:sz w:val="18"/>
          <w:szCs w:val="18"/>
        </w:rPr>
        <w:t>Visual Studio Team System Development Edition con MSDN Premium</w:t>
      </w:r>
    </w:p>
    <w:p w:rsidR="00DC2291" w:rsidRPr="00A237D8" w:rsidRDefault="00DC2291" w:rsidP="00D16EA8">
      <w:pPr>
        <w:pStyle w:val="FootnoteBulletLevel2"/>
        <w:numPr>
          <w:ilvl w:val="0"/>
          <w:numId w:val="4"/>
        </w:numPr>
        <w:spacing w:before="0" w:after="60"/>
        <w:ind w:left="1440"/>
        <w:rPr>
          <w:rFonts w:ascii="Tahoma" w:hAnsi="Tahoma" w:cs="Tahoma"/>
          <w:sz w:val="18"/>
          <w:szCs w:val="18"/>
        </w:rPr>
      </w:pPr>
      <w:r w:rsidRPr="00A237D8">
        <w:rPr>
          <w:rFonts w:ascii="Tahoma" w:hAnsi="Tahoma" w:cs="Tahoma"/>
          <w:sz w:val="18"/>
          <w:szCs w:val="18"/>
        </w:rPr>
        <w:t xml:space="preserve">Visual Studio Team System Architecture Edition con MSDN Premium </w:t>
      </w:r>
    </w:p>
    <w:p w:rsidR="00DC2291" w:rsidRPr="00A237D8" w:rsidRDefault="00DC2291" w:rsidP="00D16EA8">
      <w:pPr>
        <w:pStyle w:val="FootnoteBulletLevel2"/>
        <w:numPr>
          <w:ilvl w:val="0"/>
          <w:numId w:val="4"/>
        </w:numPr>
        <w:spacing w:before="0" w:after="60"/>
        <w:ind w:left="1440"/>
        <w:rPr>
          <w:rFonts w:ascii="Tahoma" w:hAnsi="Tahoma" w:cs="Tahoma"/>
          <w:sz w:val="18"/>
          <w:szCs w:val="18"/>
        </w:rPr>
      </w:pPr>
      <w:r w:rsidRPr="00A237D8">
        <w:rPr>
          <w:rFonts w:ascii="Tahoma" w:hAnsi="Tahoma" w:cs="Tahoma"/>
          <w:sz w:val="18"/>
          <w:szCs w:val="18"/>
        </w:rPr>
        <w:t>Visual Studio Team System Database Edition con MSDN Premium</w:t>
      </w:r>
    </w:p>
    <w:p w:rsidR="00DC2291" w:rsidRPr="00A237D8" w:rsidRDefault="00DC2291" w:rsidP="00D16EA8">
      <w:pPr>
        <w:pStyle w:val="FootnoteBulletLevel2"/>
        <w:numPr>
          <w:ilvl w:val="0"/>
          <w:numId w:val="4"/>
        </w:numPr>
        <w:spacing w:before="0" w:after="60"/>
        <w:ind w:left="1440"/>
        <w:rPr>
          <w:rFonts w:ascii="Tahoma" w:hAnsi="Tahoma" w:cs="Tahoma"/>
          <w:sz w:val="18"/>
          <w:szCs w:val="18"/>
        </w:rPr>
      </w:pPr>
      <w:r w:rsidRPr="00A237D8">
        <w:rPr>
          <w:rFonts w:ascii="Tahoma" w:hAnsi="Tahoma" w:cs="Tahoma"/>
          <w:sz w:val="18"/>
          <w:szCs w:val="18"/>
        </w:rPr>
        <w:t>Sistemi Operativi MSDN</w:t>
      </w:r>
    </w:p>
    <w:p w:rsidR="00DC2291" w:rsidRPr="00A237D8" w:rsidRDefault="00DC2291" w:rsidP="00A237D8">
      <w:pPr>
        <w:pStyle w:val="FootnoteBulletLevel2"/>
        <w:numPr>
          <w:ilvl w:val="0"/>
          <w:numId w:val="4"/>
        </w:numPr>
        <w:spacing w:before="0" w:after="60"/>
        <w:ind w:left="1440"/>
        <w:rPr>
          <w:rFonts w:ascii="Tahoma" w:hAnsi="Tahoma" w:cs="Tahoma"/>
          <w:sz w:val="18"/>
          <w:szCs w:val="18"/>
        </w:rPr>
      </w:pPr>
      <w:r w:rsidRPr="00A237D8">
        <w:rPr>
          <w:rFonts w:ascii="Tahoma" w:hAnsi="Tahoma" w:cs="Tahoma"/>
          <w:sz w:val="18"/>
          <w:szCs w:val="18"/>
        </w:rPr>
        <w:t>Società titolari di un abbonamento retail attivo per qualsiasi prodotto software indicato nel</w:t>
      </w:r>
      <w:r w:rsidR="00A237D8">
        <w:rPr>
          <w:rFonts w:ascii="Tahoma" w:hAnsi="Tahoma" w:cs="Tahoma"/>
          <w:sz w:val="18"/>
          <w:szCs w:val="18"/>
        </w:rPr>
        <w:t> </w:t>
      </w:r>
      <w:r w:rsidRPr="00A237D8">
        <w:rPr>
          <w:rFonts w:ascii="Tahoma" w:hAnsi="Tahoma" w:cs="Tahoma"/>
          <w:sz w:val="18"/>
          <w:szCs w:val="18"/>
        </w:rPr>
        <w:t>precedente elenco.</w:t>
      </w:r>
    </w:p>
    <w:p w:rsidR="00413D8A" w:rsidRPr="00A75DF9" w:rsidRDefault="00413D8A">
      <w:pPr>
        <w:rPr>
          <w:rFonts w:cs="Tahoma"/>
        </w:rPr>
      </w:pPr>
    </w:p>
    <w:p w:rsidR="00D16EA8" w:rsidRPr="00A75DF9" w:rsidRDefault="00F51051" w:rsidP="001760D6">
      <w:pPr>
        <w:keepNext/>
        <w:spacing w:after="60"/>
        <w:ind w:left="720"/>
        <w:rPr>
          <w:rFonts w:cs="Tahoma"/>
        </w:rPr>
      </w:pPr>
      <w:r w:rsidRPr="00A75DF9">
        <w:rPr>
          <w:rFonts w:cs="Tahoma"/>
          <w:b/>
          <w:szCs w:val="20"/>
        </w:rPr>
        <w:lastRenderedPageBreak/>
        <w:t>Servizi “Subscription”</w:t>
      </w:r>
    </w:p>
    <w:p w:rsidR="00B26237" w:rsidRPr="00A75DF9" w:rsidRDefault="002333B5" w:rsidP="00D16EA8">
      <w:pPr>
        <w:pStyle w:val="FootnoteBulletLevel2"/>
        <w:tabs>
          <w:tab w:val="clear" w:pos="1260"/>
        </w:tabs>
        <w:spacing w:before="0"/>
        <w:ind w:left="720" w:firstLine="0"/>
        <w:rPr>
          <w:rFonts w:ascii="Tahoma" w:hAnsi="Tahoma" w:cs="Tahoma"/>
        </w:rPr>
      </w:pPr>
      <w:r w:rsidRPr="00A75DF9">
        <w:rPr>
          <w:rFonts w:ascii="Tahoma" w:hAnsi="Tahoma" w:cs="Tahoma"/>
          <w:sz w:val="18"/>
        </w:rPr>
        <w:t>I servizi MSDN in abbonamento, che potranno includere download, codici Product Key, vantaggi di Windows Azure, e-learning, supporto tecnico, vantaggi di Windows Store e altri servizi, sono disponibili solo durante il periodo di validità dell</w:t>
      </w:r>
      <w:r w:rsidR="00F2643E">
        <w:rPr>
          <w:rFonts w:ascii="Tahoma" w:hAnsi="Tahoma" w:cs="Tahoma"/>
          <w:sz w:val="18"/>
        </w:rPr>
        <w:t>’</w:t>
      </w:r>
      <w:r w:rsidRPr="00A75DF9">
        <w:rPr>
          <w:rFonts w:ascii="Tahoma" w:hAnsi="Tahoma" w:cs="Tahoma"/>
          <w:sz w:val="18"/>
        </w:rPr>
        <w:t>abbonamento.</w:t>
      </w:r>
    </w:p>
    <w:p w:rsidR="00D16EA8" w:rsidRPr="00A237D8" w:rsidRDefault="00D16EA8" w:rsidP="00D16EA8">
      <w:pPr>
        <w:pStyle w:val="FootnoteBulletLevel2"/>
        <w:tabs>
          <w:tab w:val="clear" w:pos="1260"/>
        </w:tabs>
        <w:spacing w:before="0"/>
        <w:ind w:left="0" w:firstLine="0"/>
        <w:rPr>
          <w:rFonts w:ascii="Tahoma" w:hAnsi="Tahoma" w:cs="Tahoma"/>
          <w:sz w:val="18"/>
          <w:szCs w:val="18"/>
        </w:rPr>
      </w:pPr>
    </w:p>
    <w:p w:rsidR="00D16EA8" w:rsidRPr="00A237D8" w:rsidRDefault="00D16EA8" w:rsidP="00D16EA8">
      <w:pPr>
        <w:pStyle w:val="FootnoteBulletLevel2"/>
        <w:tabs>
          <w:tab w:val="clear" w:pos="1260"/>
        </w:tabs>
        <w:spacing w:before="0"/>
        <w:ind w:left="0" w:firstLine="0"/>
        <w:rPr>
          <w:rFonts w:ascii="Tahoma" w:hAnsi="Tahoma" w:cs="Tahoma"/>
          <w:sz w:val="18"/>
          <w:szCs w:val="18"/>
        </w:rPr>
      </w:pPr>
    </w:p>
    <w:p w:rsidR="000C6DBC" w:rsidRPr="00A75DF9" w:rsidRDefault="00B54C21" w:rsidP="00B26237">
      <w:pPr>
        <w:pStyle w:val="Heading2"/>
        <w:ind w:left="0"/>
        <w:rPr>
          <w:rFonts w:ascii="Tahoma" w:hAnsi="Tahoma" w:cs="Tahoma"/>
        </w:rPr>
      </w:pPr>
      <w:bookmarkStart w:id="977" w:name="_6_Office_365"/>
      <w:bookmarkStart w:id="978" w:name="_45_Office_365"/>
      <w:bookmarkStart w:id="979" w:name="_4_MSDN_Platforms"/>
      <w:bookmarkStart w:id="980" w:name="_4_Piattaforme_MSDN"/>
      <w:bookmarkStart w:id="981" w:name="_Toc336338262"/>
      <w:bookmarkStart w:id="982" w:name="_Toc368310252"/>
      <w:bookmarkEnd w:id="977"/>
      <w:bookmarkEnd w:id="978"/>
      <w:bookmarkEnd w:id="979"/>
      <w:bookmarkEnd w:id="980"/>
      <w:r w:rsidRPr="00A75DF9">
        <w:rPr>
          <w:rFonts w:ascii="Tahoma" w:hAnsi="Tahoma" w:cs="Tahoma"/>
          <w:caps/>
          <w:color w:val="F66400"/>
          <w:sz w:val="22"/>
          <w:szCs w:val="20"/>
          <w:vertAlign w:val="superscript"/>
        </w:rPr>
        <w:t>4</w:t>
      </w:r>
      <w:r w:rsidRPr="00A75DF9">
        <w:rPr>
          <w:rFonts w:ascii="Tahoma" w:hAnsi="Tahoma" w:cs="Tahoma"/>
          <w:color w:val="F66400"/>
          <w:sz w:val="22"/>
          <w:szCs w:val="20"/>
        </w:rPr>
        <w:t xml:space="preserve"> </w:t>
      </w:r>
      <w:r w:rsidRPr="00A75DF9">
        <w:rPr>
          <w:rFonts w:ascii="Tahoma" w:hAnsi="Tahoma" w:cs="Tahoma"/>
          <w:color w:val="FF6600"/>
          <w:sz w:val="22"/>
          <w:szCs w:val="22"/>
        </w:rPr>
        <w:t>Piattaforme MSDN</w:t>
      </w:r>
      <w:bookmarkEnd w:id="982"/>
    </w:p>
    <w:p w:rsidR="000C6DBC" w:rsidRPr="00A237D8" w:rsidRDefault="000C6DBC" w:rsidP="000C6DBC">
      <w:pPr>
        <w:pStyle w:val="FootnoteBulletLevel2"/>
        <w:tabs>
          <w:tab w:val="clear" w:pos="1260"/>
        </w:tabs>
        <w:spacing w:before="0"/>
        <w:ind w:left="0" w:firstLine="0"/>
        <w:rPr>
          <w:rFonts w:ascii="Tahoma" w:hAnsi="Tahoma" w:cs="Tahoma"/>
          <w:sz w:val="18"/>
          <w:szCs w:val="18"/>
        </w:rPr>
      </w:pPr>
    </w:p>
    <w:p w:rsidR="000C6DBC" w:rsidRPr="00A75DF9" w:rsidRDefault="000C6DBC" w:rsidP="000C6DBC">
      <w:pPr>
        <w:spacing w:after="60"/>
        <w:ind w:left="720"/>
        <w:rPr>
          <w:rFonts w:cs="Tahoma"/>
        </w:rPr>
      </w:pPr>
      <w:r w:rsidRPr="00A75DF9">
        <w:rPr>
          <w:rFonts w:cs="Tahoma"/>
          <w:b/>
          <w:szCs w:val="18"/>
        </w:rPr>
        <w:t>Visual Studio Team Foundation Server 2012</w:t>
      </w:r>
    </w:p>
    <w:p w:rsidR="000C6DBC" w:rsidRPr="00A237D8" w:rsidRDefault="000C6DBC" w:rsidP="000C6DBC">
      <w:pPr>
        <w:pStyle w:val="EndnoteText"/>
        <w:ind w:left="720"/>
        <w:rPr>
          <w:rFonts w:ascii="Tahoma" w:hAnsi="Tahoma" w:cs="Tahoma"/>
          <w:sz w:val="18"/>
          <w:szCs w:val="18"/>
        </w:rPr>
      </w:pPr>
      <w:r w:rsidRPr="00A237D8">
        <w:rPr>
          <w:rFonts w:ascii="Tahoma" w:hAnsi="Tahoma" w:cs="Tahoma"/>
          <w:sz w:val="18"/>
          <w:szCs w:val="18"/>
        </w:rPr>
        <w:t>Il sottoscrittore è autorizzato a ricevere una licenza server per Visual Studio Team Foundation Server 2012 e una User CAL per Team Foundation Server. La licenza CAL può essere utilizzata esclusivamente dal sottoscrittore.</w:t>
      </w:r>
    </w:p>
    <w:p w:rsidR="000C6DBC" w:rsidRPr="00A75DF9" w:rsidRDefault="000C6DBC" w:rsidP="000C6DBC">
      <w:pPr>
        <w:rPr>
          <w:rFonts w:cs="Tahoma"/>
        </w:rPr>
      </w:pPr>
    </w:p>
    <w:p w:rsidR="000C6DBC" w:rsidRPr="00A75DF9" w:rsidRDefault="000C6DBC" w:rsidP="000C6DBC">
      <w:pPr>
        <w:spacing w:after="60"/>
        <w:ind w:left="720"/>
        <w:rPr>
          <w:rFonts w:cs="Tahoma"/>
        </w:rPr>
      </w:pPr>
      <w:r w:rsidRPr="00A75DF9">
        <w:rPr>
          <w:rFonts w:cs="Tahoma"/>
          <w:b/>
          <w:szCs w:val="18"/>
        </w:rPr>
        <w:t>Servizi “Subscription”</w:t>
      </w:r>
    </w:p>
    <w:p w:rsidR="000C6DBC" w:rsidRPr="00A75DF9" w:rsidRDefault="000C6DBC" w:rsidP="000C6DBC">
      <w:pPr>
        <w:ind w:left="720"/>
        <w:rPr>
          <w:rFonts w:cs="Tahoma"/>
        </w:rPr>
      </w:pPr>
      <w:r w:rsidRPr="00A75DF9">
        <w:rPr>
          <w:rFonts w:cs="Tahoma"/>
          <w:szCs w:val="18"/>
        </w:rPr>
        <w:t>I servizi MSDN in abbonamento, che potranno includere download, codici Product Key, vantaggi di Windows Azure, vantaggi di Office 365 Developer, e-learning, supporto tecnico, vantaggi di Windows Store e altri servizi, sono disponibili solo durante il periodo di validità dell</w:t>
      </w:r>
      <w:r w:rsidR="00F2643E">
        <w:rPr>
          <w:rFonts w:cs="Tahoma"/>
          <w:szCs w:val="18"/>
        </w:rPr>
        <w:t>’</w:t>
      </w:r>
      <w:r w:rsidRPr="00A75DF9">
        <w:rPr>
          <w:rFonts w:cs="Tahoma"/>
          <w:szCs w:val="18"/>
        </w:rPr>
        <w:t>abbonamento.</w:t>
      </w:r>
    </w:p>
    <w:p w:rsidR="000C6DBC" w:rsidRPr="00A237D8" w:rsidRDefault="000C6DBC" w:rsidP="00B26237">
      <w:pPr>
        <w:pStyle w:val="Heading2"/>
        <w:ind w:left="0"/>
        <w:rPr>
          <w:rFonts w:ascii="Tahoma" w:hAnsi="Tahoma" w:cs="Tahoma"/>
          <w:b w:val="0"/>
          <w:bCs/>
          <w:sz w:val="18"/>
          <w:szCs w:val="18"/>
        </w:rPr>
      </w:pPr>
    </w:p>
    <w:p w:rsidR="000C6DBC" w:rsidRPr="00A237D8" w:rsidRDefault="000C6DBC" w:rsidP="00B26237">
      <w:pPr>
        <w:pStyle w:val="Heading2"/>
        <w:ind w:left="0"/>
        <w:rPr>
          <w:rFonts w:ascii="Tahoma" w:hAnsi="Tahoma" w:cs="Tahoma"/>
          <w:b w:val="0"/>
          <w:bCs/>
          <w:sz w:val="18"/>
          <w:szCs w:val="18"/>
        </w:rPr>
      </w:pPr>
    </w:p>
    <w:p w:rsidR="00B26237" w:rsidRPr="00A75DF9" w:rsidRDefault="00513265" w:rsidP="00B26237">
      <w:pPr>
        <w:pStyle w:val="Heading2"/>
        <w:ind w:left="0"/>
        <w:rPr>
          <w:rFonts w:ascii="Tahoma" w:hAnsi="Tahoma" w:cs="Tahoma"/>
        </w:rPr>
      </w:pPr>
      <w:bookmarkStart w:id="983" w:name="_5_Office_365_1"/>
      <w:bookmarkStart w:id="984" w:name="_Toc368310253"/>
      <w:bookmarkEnd w:id="983"/>
      <w:r w:rsidRPr="00A75DF9">
        <w:rPr>
          <w:rFonts w:ascii="Tahoma" w:hAnsi="Tahoma" w:cs="Tahoma"/>
          <w:caps/>
          <w:color w:val="FF6600"/>
          <w:sz w:val="22"/>
          <w:szCs w:val="22"/>
          <w:vertAlign w:val="superscript"/>
        </w:rPr>
        <w:t>5</w:t>
      </w:r>
      <w:r w:rsidRPr="00A75DF9">
        <w:rPr>
          <w:rFonts w:ascii="Tahoma" w:hAnsi="Tahoma" w:cs="Tahoma"/>
          <w:color w:val="FF6600"/>
        </w:rPr>
        <w:t xml:space="preserve"> </w:t>
      </w:r>
      <w:r w:rsidRPr="00A75DF9">
        <w:rPr>
          <w:rFonts w:ascii="Tahoma" w:hAnsi="Tahoma" w:cs="Tahoma"/>
          <w:color w:val="FF6600"/>
          <w:sz w:val="22"/>
          <w:szCs w:val="22"/>
        </w:rPr>
        <w:t>Office 365 Education A2-A4 (SL per Utente)</w:t>
      </w:r>
      <w:bookmarkEnd w:id="981"/>
      <w:bookmarkEnd w:id="984"/>
    </w:p>
    <w:p w:rsidR="00B26237" w:rsidRPr="00A75DF9" w:rsidRDefault="00B26237" w:rsidP="00AE5A9F">
      <w:pPr>
        <w:rPr>
          <w:rFonts w:cs="Tahoma"/>
        </w:rPr>
      </w:pPr>
    </w:p>
    <w:p w:rsidR="00B26237" w:rsidRPr="00A75DF9" w:rsidRDefault="00B26237" w:rsidP="00A237D8">
      <w:pPr>
        <w:ind w:left="720"/>
        <w:rPr>
          <w:rFonts w:cs="Tahoma"/>
        </w:rPr>
      </w:pPr>
      <w:r w:rsidRPr="00A75DF9">
        <w:rPr>
          <w:rFonts w:eastAsia="Calibri" w:cs="Tahoma"/>
          <w:color w:val="000000"/>
          <w:szCs w:val="18"/>
        </w:rPr>
        <w:t>Office 365 Education A2, A3 e A4 consistono di versioni specifiche Academic degli stessi servizi online che</w:t>
      </w:r>
      <w:r w:rsidR="00A237D8">
        <w:rPr>
          <w:rFonts w:eastAsia="Calibri" w:cs="Tahoma"/>
          <w:color w:val="000000"/>
          <w:szCs w:val="18"/>
        </w:rPr>
        <w:t> </w:t>
      </w:r>
      <w:r w:rsidRPr="00A75DF9">
        <w:rPr>
          <w:rFonts w:eastAsia="Calibri" w:cs="Tahoma"/>
          <w:color w:val="000000"/>
          <w:szCs w:val="18"/>
        </w:rPr>
        <w:t>comprendono rispettivamente Office 365 Enterprise E1, E3 ed E4, ad eccezione di Yammer Enterprise.</w:t>
      </w:r>
      <w:r w:rsidR="009D3B41" w:rsidRPr="00A75DF9">
        <w:rPr>
          <w:rFonts w:eastAsia="Calibri" w:cs="Tahoma"/>
          <w:color w:val="000000"/>
          <w:szCs w:val="18"/>
        </w:rPr>
        <w:t xml:space="preserve"> </w:t>
      </w:r>
      <w:r w:rsidRPr="00A75DF9">
        <w:rPr>
          <w:rFonts w:eastAsia="Calibri" w:cs="Tahoma"/>
          <w:color w:val="000000"/>
          <w:szCs w:val="18"/>
        </w:rPr>
        <w:t>I</w:t>
      </w:r>
      <w:r w:rsidR="00A237D8">
        <w:rPr>
          <w:rFonts w:eastAsia="Calibri" w:cs="Tahoma"/>
          <w:color w:val="000000"/>
          <w:szCs w:val="18"/>
        </w:rPr>
        <w:t> </w:t>
      </w:r>
      <w:r w:rsidRPr="00A75DF9">
        <w:rPr>
          <w:rFonts w:eastAsia="Calibri" w:cs="Tahoma"/>
          <w:color w:val="000000"/>
          <w:szCs w:val="18"/>
        </w:rPr>
        <w:t>diritti sull</w:t>
      </w:r>
      <w:r w:rsidR="00F2643E">
        <w:rPr>
          <w:rFonts w:eastAsia="Calibri" w:cs="Tahoma"/>
          <w:color w:val="000000"/>
          <w:szCs w:val="18"/>
        </w:rPr>
        <w:t>’</w:t>
      </w:r>
      <w:r w:rsidRPr="00A75DF9">
        <w:rPr>
          <w:rFonts w:eastAsia="Calibri" w:cs="Tahoma"/>
          <w:color w:val="000000"/>
          <w:szCs w:val="18"/>
        </w:rPr>
        <w:t>utilizzo di Education A2-A4 e dei relativi componenti sono equivalenti alle loro controparti commerciali.</w:t>
      </w:r>
      <w:r w:rsidR="009D3B41" w:rsidRPr="00A75DF9">
        <w:rPr>
          <w:rFonts w:eastAsia="Calibri" w:cs="Tahoma"/>
          <w:color w:val="000000"/>
          <w:szCs w:val="18"/>
        </w:rPr>
        <w:t xml:space="preserve"> </w:t>
      </w:r>
      <w:r w:rsidRPr="00A75DF9">
        <w:rPr>
          <w:rFonts w:eastAsia="Calibri" w:cs="Tahoma"/>
          <w:color w:val="000000"/>
          <w:szCs w:val="18"/>
        </w:rPr>
        <w:t>Tuttavia, gli utenti in possesso di USL per Office 365 Education A2 non sono autorizzati ad</w:t>
      </w:r>
      <w:r w:rsidR="00A237D8">
        <w:rPr>
          <w:rFonts w:eastAsia="Calibri" w:cs="Tahoma"/>
          <w:color w:val="000000"/>
          <w:szCs w:val="18"/>
        </w:rPr>
        <w:t> </w:t>
      </w:r>
      <w:r w:rsidRPr="00A75DF9">
        <w:rPr>
          <w:rFonts w:eastAsia="Calibri" w:cs="Tahoma"/>
          <w:color w:val="000000"/>
          <w:szCs w:val="18"/>
        </w:rPr>
        <w:t>accedere ai propri server locali e Yammer Enterprise non è disponibile con A2-A4.</w:t>
      </w:r>
    </w:p>
    <w:p w:rsidR="00B26237" w:rsidRPr="00A75DF9" w:rsidRDefault="00B26237" w:rsidP="00B26237">
      <w:pPr>
        <w:ind w:left="720"/>
        <w:rPr>
          <w:rFonts w:cs="Tahoma"/>
        </w:rPr>
      </w:pPr>
    </w:p>
    <w:p w:rsidR="00B26237" w:rsidRPr="00A75DF9" w:rsidRDefault="00B26237" w:rsidP="00A237D8">
      <w:pPr>
        <w:ind w:left="720"/>
        <w:rPr>
          <w:rFonts w:cs="Tahoma"/>
        </w:rPr>
      </w:pPr>
      <w:r w:rsidRPr="00A75DF9">
        <w:rPr>
          <w:rFonts w:eastAsia="Calibri" w:cs="Tahoma"/>
          <w:color w:val="000000"/>
          <w:szCs w:val="18"/>
        </w:rPr>
        <w:t>Ai sensi del Contratto School le licenze “Subscription” per i Piani di Office 365 dovranno essere acquistate in</w:t>
      </w:r>
      <w:r w:rsidR="00A237D8">
        <w:rPr>
          <w:rFonts w:eastAsia="Calibri" w:cs="Tahoma"/>
          <w:color w:val="000000"/>
          <w:szCs w:val="18"/>
        </w:rPr>
        <w:t> </w:t>
      </w:r>
      <w:r w:rsidRPr="00A75DF9">
        <w:rPr>
          <w:rFonts w:eastAsia="Calibri" w:cs="Tahoma"/>
          <w:color w:val="000000"/>
          <w:szCs w:val="18"/>
        </w:rPr>
        <w:t>modalità per utente per l</w:t>
      </w:r>
      <w:r w:rsidR="00F2643E">
        <w:rPr>
          <w:rFonts w:eastAsia="Calibri" w:cs="Tahoma"/>
          <w:color w:val="000000"/>
          <w:szCs w:val="18"/>
        </w:rPr>
        <w:t>’</w:t>
      </w:r>
      <w:r w:rsidRPr="00A75DF9">
        <w:rPr>
          <w:rFonts w:eastAsia="Calibri" w:cs="Tahoma"/>
          <w:color w:val="000000"/>
          <w:szCs w:val="18"/>
        </w:rPr>
        <w:t>intero istituto oppure non per l</w:t>
      </w:r>
      <w:r w:rsidR="00F2643E">
        <w:rPr>
          <w:rFonts w:eastAsia="Calibri" w:cs="Tahoma"/>
          <w:color w:val="000000"/>
          <w:szCs w:val="18"/>
        </w:rPr>
        <w:t>’</w:t>
      </w:r>
      <w:r w:rsidRPr="00A75DF9">
        <w:rPr>
          <w:rFonts w:eastAsia="Calibri" w:cs="Tahoma"/>
          <w:color w:val="000000"/>
          <w:szCs w:val="18"/>
        </w:rPr>
        <w:t>intero istituto. Qualora occorressero Licenze “Subscription” per Utente per accedere a un Piano a medio termine di Office 365, l</w:t>
      </w:r>
      <w:r w:rsidR="00F2643E">
        <w:rPr>
          <w:rFonts w:eastAsia="Calibri" w:cs="Tahoma"/>
          <w:color w:val="000000"/>
          <w:szCs w:val="18"/>
        </w:rPr>
        <w:t>’</w:t>
      </w:r>
      <w:r w:rsidRPr="00A75DF9">
        <w:rPr>
          <w:rFonts w:eastAsia="Calibri" w:cs="Tahoma"/>
          <w:color w:val="000000"/>
          <w:szCs w:val="18"/>
        </w:rPr>
        <w:t>Istituto dovrà ordinare tali Licenze.</w:t>
      </w:r>
      <w:r w:rsidR="009D3B41" w:rsidRPr="00A75DF9">
        <w:rPr>
          <w:rFonts w:eastAsia="Calibri" w:cs="Tahoma"/>
          <w:color w:val="000000"/>
          <w:szCs w:val="18"/>
        </w:rPr>
        <w:t xml:space="preserve"> </w:t>
      </w:r>
      <w:r w:rsidRPr="00A75DF9">
        <w:rPr>
          <w:rFonts w:eastAsia="Calibri" w:cs="Tahoma"/>
          <w:color w:val="000000"/>
          <w:szCs w:val="18"/>
        </w:rPr>
        <w:t>L</w:t>
      </w:r>
      <w:r w:rsidR="00F2643E">
        <w:rPr>
          <w:rFonts w:eastAsia="Calibri" w:cs="Tahoma"/>
          <w:color w:val="000000"/>
          <w:szCs w:val="18"/>
        </w:rPr>
        <w:t>’</w:t>
      </w:r>
      <w:r w:rsidRPr="00A75DF9">
        <w:rPr>
          <w:rFonts w:eastAsia="Calibri" w:cs="Tahoma"/>
          <w:color w:val="000000"/>
          <w:szCs w:val="18"/>
        </w:rPr>
        <w:t>Istituto può utilizzare un qualsiasi Piano di Office 365 per soddisfare i requisiti minimi del</w:t>
      </w:r>
      <w:r w:rsidR="00A237D8">
        <w:rPr>
          <w:rFonts w:eastAsia="Calibri" w:cs="Tahoma"/>
          <w:color w:val="000000"/>
          <w:szCs w:val="18"/>
        </w:rPr>
        <w:t> </w:t>
      </w:r>
      <w:r w:rsidRPr="00A75DF9">
        <w:rPr>
          <w:rFonts w:eastAsia="Calibri" w:cs="Tahoma"/>
          <w:color w:val="000000"/>
          <w:szCs w:val="18"/>
        </w:rPr>
        <w:t>programma. Quando si ottiene una licenza Add-on per Office 365, anche la licenza per il prodotto qualificante corrispondente dovrà essere acquistata ai sensi della stessa iscrizione.</w:t>
      </w:r>
      <w:r w:rsidR="009D3B41" w:rsidRPr="00A75DF9">
        <w:rPr>
          <w:rFonts w:eastAsia="Calibri" w:cs="Tahoma"/>
          <w:color w:val="000000"/>
          <w:szCs w:val="18"/>
        </w:rPr>
        <w:t xml:space="preserve"> </w:t>
      </w:r>
      <w:r w:rsidRPr="00A75DF9">
        <w:rPr>
          <w:rFonts w:cs="Tahoma"/>
          <w:color w:val="000000"/>
        </w:rPr>
        <w:t>In occasione della ricorrenza annuale l</w:t>
      </w:r>
      <w:r w:rsidR="00F2643E">
        <w:rPr>
          <w:rFonts w:cs="Tahoma"/>
          <w:color w:val="000000"/>
        </w:rPr>
        <w:t>’</w:t>
      </w:r>
      <w:r w:rsidRPr="00A75DF9">
        <w:rPr>
          <w:rFonts w:cs="Tahoma"/>
          <w:color w:val="000000"/>
        </w:rPr>
        <w:t>Istituto potrà ordinare un numero di licenze per i Servizi Online inferiore rispetto alla quantità dell</w:t>
      </w:r>
      <w:r w:rsidR="00F2643E">
        <w:rPr>
          <w:rFonts w:cs="Tahoma"/>
          <w:color w:val="000000"/>
        </w:rPr>
        <w:t>’</w:t>
      </w:r>
      <w:r w:rsidRPr="00A75DF9">
        <w:rPr>
          <w:rFonts w:cs="Tahoma"/>
          <w:color w:val="000000"/>
        </w:rPr>
        <w:t>ordine iniziale purché l</w:t>
      </w:r>
      <w:r w:rsidR="00F2643E">
        <w:rPr>
          <w:rFonts w:cs="Tahoma"/>
          <w:color w:val="000000"/>
        </w:rPr>
        <w:t>’</w:t>
      </w:r>
      <w:r w:rsidRPr="00A75DF9">
        <w:rPr>
          <w:rFonts w:cs="Tahoma"/>
          <w:color w:val="000000"/>
        </w:rPr>
        <w:t>ordine soddisfi i requisiti minimi per i Servizi Online Piattaforma.</w:t>
      </w:r>
    </w:p>
    <w:p w:rsidR="00B26237" w:rsidRPr="00A75DF9" w:rsidRDefault="00B26237" w:rsidP="00B26237">
      <w:pPr>
        <w:ind w:left="720"/>
        <w:rPr>
          <w:rFonts w:cs="Tahoma"/>
        </w:rPr>
      </w:pPr>
    </w:p>
    <w:p w:rsidR="00996781" w:rsidRPr="00A75DF9" w:rsidRDefault="00996781" w:rsidP="00A237D8">
      <w:pPr>
        <w:ind w:left="720"/>
        <w:rPr>
          <w:rFonts w:cs="Tahoma"/>
        </w:rPr>
      </w:pPr>
      <w:r w:rsidRPr="00A75DF9">
        <w:rPr>
          <w:rFonts w:cs="Tahoma"/>
          <w:iCs/>
        </w:rPr>
        <w:t>Grazie a un</w:t>
      </w:r>
      <w:r w:rsidR="00F2643E">
        <w:rPr>
          <w:rFonts w:cs="Tahoma"/>
          <w:iCs/>
        </w:rPr>
        <w:t>’</w:t>
      </w:r>
      <w:r w:rsidRPr="00A75DF9">
        <w:rPr>
          <w:rFonts w:cs="Tahoma"/>
          <w:iCs/>
        </w:rPr>
        <w:t>offerta di durata limitata, le società in possesso della licenza per Office 365 Education A2, A3 o</w:t>
      </w:r>
      <w:r w:rsidR="00A237D8">
        <w:rPr>
          <w:rFonts w:cs="Tahoma"/>
          <w:iCs/>
        </w:rPr>
        <w:t> </w:t>
      </w:r>
      <w:r w:rsidRPr="00A75DF9">
        <w:rPr>
          <w:rFonts w:cs="Tahoma"/>
          <w:iCs/>
        </w:rPr>
        <w:t>A4 riceveranno gratuitamente in licenza una copia di Lync 2013 (o Lync per Mac 2011) per ogni licenza “subscription” per utente per Office 365 Education A2, A3 e A4. Il software potrà essere utilizzato esclusivamente con Office 365 Education A2, A3, A4 (che include Lync Online) e tutti i diritti di utilizzo del</w:t>
      </w:r>
      <w:r w:rsidR="00A237D8">
        <w:rPr>
          <w:rFonts w:cs="Tahoma"/>
          <w:iCs/>
        </w:rPr>
        <w:t> </w:t>
      </w:r>
      <w:r w:rsidRPr="00A75DF9">
        <w:rPr>
          <w:rFonts w:cs="Tahoma"/>
          <w:iCs/>
        </w:rPr>
        <w:t>software cesseranno alla scadenza della licenza "subscription" sottostante, oppure in occasione della migrazione alla successiva nuova versione principale di Office 365 Education A2, A3, A4 e Lync Online, a</w:t>
      </w:r>
      <w:r w:rsidR="00A237D8">
        <w:rPr>
          <w:rFonts w:cs="Tahoma"/>
          <w:iCs/>
        </w:rPr>
        <w:t> </w:t>
      </w:r>
      <w:r w:rsidRPr="00A75DF9">
        <w:rPr>
          <w:rFonts w:cs="Tahoma"/>
          <w:iCs/>
        </w:rPr>
        <w:t>seconda di quale evento si verifichi per primo.</w:t>
      </w:r>
    </w:p>
    <w:p w:rsidR="00996781" w:rsidRPr="00A75DF9" w:rsidRDefault="00996781" w:rsidP="00B26237">
      <w:pPr>
        <w:ind w:left="720"/>
        <w:rPr>
          <w:rFonts w:cs="Tahoma"/>
        </w:rPr>
      </w:pPr>
    </w:p>
    <w:p w:rsidR="00B26237" w:rsidRPr="00A75DF9" w:rsidRDefault="000A0D35" w:rsidP="00864B8A">
      <w:pPr>
        <w:spacing w:after="60"/>
        <w:ind w:left="720"/>
        <w:rPr>
          <w:rFonts w:cs="Tahoma"/>
        </w:rPr>
      </w:pPr>
      <w:r w:rsidRPr="00A75DF9">
        <w:rPr>
          <w:rFonts w:cs="Tahoma"/>
          <w:b/>
          <w:szCs w:val="20"/>
        </w:rPr>
        <w:t>USL Add-On</w:t>
      </w:r>
    </w:p>
    <w:p w:rsidR="00B26237" w:rsidRPr="00A75DF9" w:rsidRDefault="00B26237" w:rsidP="00A237D8">
      <w:pPr>
        <w:ind w:left="720"/>
        <w:rPr>
          <w:rFonts w:cs="Tahoma"/>
        </w:rPr>
      </w:pPr>
      <w:r w:rsidRPr="00A75DF9">
        <w:rPr>
          <w:rFonts w:eastAsia="Calibri" w:cs="Tahoma"/>
          <w:color w:val="000000"/>
          <w:szCs w:val="18"/>
        </w:rPr>
        <w:t>Gli Istituti che dispongono di una copertura per i prodotti qualificanti potranno acquistare la Licenza “Subscription” per Utente corrispondente per il Piano Add-on di Office 365, come descritto in dettaglio nella</w:t>
      </w:r>
      <w:r w:rsidR="00A237D8">
        <w:rPr>
          <w:rFonts w:eastAsia="Calibri" w:cs="Tahoma"/>
          <w:color w:val="000000"/>
          <w:szCs w:val="18"/>
        </w:rPr>
        <w:t> </w:t>
      </w:r>
      <w:r w:rsidRPr="00A75DF9">
        <w:rPr>
          <w:rFonts w:eastAsia="Calibri" w:cs="Tahoma"/>
          <w:color w:val="000000"/>
          <w:szCs w:val="18"/>
        </w:rPr>
        <w:t>tabella che segue. Istituti che hanno stipulato un Contratto School: gli Istituti potranno acquistare la</w:t>
      </w:r>
      <w:r w:rsidR="00A237D8">
        <w:rPr>
          <w:rFonts w:eastAsia="Calibri" w:cs="Tahoma"/>
          <w:color w:val="000000"/>
          <w:szCs w:val="18"/>
        </w:rPr>
        <w:t> </w:t>
      </w:r>
      <w:r w:rsidRPr="00A75DF9">
        <w:rPr>
          <w:rFonts w:eastAsia="Calibri" w:cs="Tahoma"/>
          <w:color w:val="000000"/>
          <w:szCs w:val="18"/>
        </w:rPr>
        <w:t>corrispondente Licenza “Subscription” per Utente per il Piano Add-on di Office 365 per i loro Utenti, fino al raggiungimento della quantità indicata nel conteggio dei PC Idonei, purché siano in possesso della copertura per i prodotti qualificanti.</w:t>
      </w:r>
      <w:r w:rsidR="009D3B41" w:rsidRPr="00A75DF9">
        <w:rPr>
          <w:rFonts w:eastAsia="Calibri" w:cs="Tahoma"/>
          <w:color w:val="000000"/>
          <w:szCs w:val="18"/>
        </w:rPr>
        <w:t xml:space="preserve"> </w:t>
      </w:r>
    </w:p>
    <w:p w:rsidR="00B26237" w:rsidRDefault="00B26237" w:rsidP="00B26237">
      <w:pPr>
        <w:rPr>
          <w:rFonts w:cs="Tahoma"/>
        </w:rPr>
      </w:pPr>
    </w:p>
    <w:p w:rsidR="00A237D8" w:rsidRDefault="00A237D8" w:rsidP="00B26237">
      <w:pPr>
        <w:rPr>
          <w:rFonts w:cs="Tahoma"/>
        </w:rPr>
      </w:pPr>
    </w:p>
    <w:p w:rsidR="00A237D8" w:rsidRDefault="00A237D8" w:rsidP="00B26237">
      <w:pPr>
        <w:rPr>
          <w:rFonts w:cs="Tahoma"/>
        </w:rPr>
      </w:pPr>
    </w:p>
    <w:p w:rsidR="00A237D8" w:rsidRDefault="00A237D8" w:rsidP="00B26237">
      <w:pPr>
        <w:rPr>
          <w:rFonts w:cs="Tahoma"/>
        </w:rPr>
      </w:pPr>
    </w:p>
    <w:p w:rsidR="00A237D8" w:rsidRDefault="00A237D8" w:rsidP="00B26237">
      <w:pPr>
        <w:rPr>
          <w:rFonts w:cs="Tahoma"/>
        </w:rPr>
      </w:pPr>
    </w:p>
    <w:p w:rsidR="00A237D8" w:rsidRPr="00A75DF9" w:rsidRDefault="00A237D8" w:rsidP="00B26237">
      <w:pPr>
        <w:rPr>
          <w:rFonts w:cs="Tahoma"/>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4"/>
        <w:gridCol w:w="4258"/>
      </w:tblGrid>
      <w:tr w:rsidR="00B26237" w:rsidRPr="00A75DF9" w:rsidTr="00B42A20">
        <w:tc>
          <w:tcPr>
            <w:tcW w:w="4320" w:type="dxa"/>
            <w:shd w:val="clear" w:color="auto" w:fill="FABF8F"/>
          </w:tcPr>
          <w:p w:rsidR="00B26237" w:rsidRPr="00A75DF9" w:rsidRDefault="00B26237" w:rsidP="00B42A20">
            <w:pPr>
              <w:rPr>
                <w:rFonts w:eastAsia="Calibri" w:cs="Tahoma"/>
                <w:b/>
                <w:color w:val="000000"/>
                <w:szCs w:val="18"/>
              </w:rPr>
            </w:pPr>
            <w:r w:rsidRPr="00A75DF9">
              <w:rPr>
                <w:rFonts w:eastAsia="Calibri" w:cs="Tahoma"/>
                <w:b/>
                <w:color w:val="000000"/>
                <w:szCs w:val="18"/>
              </w:rPr>
              <w:lastRenderedPageBreak/>
              <w:t>Licenza Qualificante</w:t>
            </w:r>
          </w:p>
        </w:tc>
        <w:tc>
          <w:tcPr>
            <w:tcW w:w="4320" w:type="dxa"/>
            <w:shd w:val="clear" w:color="auto" w:fill="FABF8F"/>
          </w:tcPr>
          <w:p w:rsidR="00B26237" w:rsidRPr="00A75DF9" w:rsidRDefault="000A0D35" w:rsidP="000A0D35">
            <w:pPr>
              <w:rPr>
                <w:rFonts w:eastAsia="Calibri" w:cs="Tahoma"/>
                <w:b/>
                <w:color w:val="000000"/>
                <w:szCs w:val="18"/>
              </w:rPr>
            </w:pPr>
            <w:r w:rsidRPr="00A75DF9">
              <w:rPr>
                <w:rFonts w:eastAsia="Calibri" w:cs="Tahoma"/>
                <w:b/>
                <w:color w:val="000000"/>
                <w:szCs w:val="18"/>
              </w:rPr>
              <w:t xml:space="preserve">USL Add-On </w:t>
            </w:r>
          </w:p>
        </w:tc>
      </w:tr>
      <w:tr w:rsidR="00B26237" w:rsidRPr="00A75DF9" w:rsidTr="00B42A20">
        <w:tc>
          <w:tcPr>
            <w:tcW w:w="4320" w:type="dxa"/>
            <w:shd w:val="clear" w:color="auto" w:fill="auto"/>
          </w:tcPr>
          <w:p w:rsidR="00B26237" w:rsidRPr="00A75DF9" w:rsidRDefault="00B26237" w:rsidP="00B42A20">
            <w:pPr>
              <w:rPr>
                <w:rFonts w:eastAsia="Calibri" w:cs="Tahoma"/>
                <w:color w:val="000000"/>
                <w:szCs w:val="18"/>
              </w:rPr>
            </w:pPr>
            <w:r w:rsidRPr="00A75DF9">
              <w:rPr>
                <w:rFonts w:eastAsia="Calibri" w:cs="Tahoma"/>
                <w:color w:val="000000"/>
                <w:szCs w:val="18"/>
              </w:rPr>
              <w:t>Core CAL Suite</w:t>
            </w:r>
            <w:r w:rsidRPr="00A75DF9">
              <w:rPr>
                <w:rFonts w:eastAsia="Calibri" w:cs="Tahoma"/>
                <w:color w:val="000000"/>
                <w:szCs w:val="18"/>
                <w:vertAlign w:val="superscript"/>
              </w:rPr>
              <w:t>1</w:t>
            </w:r>
            <w:r w:rsidRPr="00A75DF9">
              <w:rPr>
                <w:rFonts w:eastAsia="Calibri" w:cs="Tahoma"/>
                <w:color w:val="000000"/>
                <w:szCs w:val="18"/>
              </w:rPr>
              <w:t xml:space="preserve"> o Enterprise CAL Suite</w:t>
            </w:r>
            <w:r w:rsidRPr="00A75DF9">
              <w:rPr>
                <w:rFonts w:eastAsia="Calibri" w:cs="Tahoma"/>
                <w:color w:val="000000"/>
                <w:szCs w:val="18"/>
                <w:vertAlign w:val="superscript"/>
              </w:rPr>
              <w:t>1</w:t>
            </w:r>
          </w:p>
        </w:tc>
        <w:tc>
          <w:tcPr>
            <w:tcW w:w="4320" w:type="dxa"/>
            <w:shd w:val="clear" w:color="auto" w:fill="auto"/>
          </w:tcPr>
          <w:p w:rsidR="00B26237" w:rsidRPr="00A75DF9" w:rsidRDefault="00B26237" w:rsidP="009B3FA2">
            <w:pPr>
              <w:rPr>
                <w:rFonts w:eastAsia="Calibri" w:cs="Tahoma"/>
                <w:color w:val="000000"/>
                <w:szCs w:val="18"/>
              </w:rPr>
            </w:pPr>
            <w:r w:rsidRPr="00A75DF9">
              <w:rPr>
                <w:rFonts w:eastAsia="Calibri" w:cs="Tahoma"/>
                <w:color w:val="000000"/>
                <w:szCs w:val="18"/>
              </w:rPr>
              <w:t>Add-on USL per Office 365 Education A3 per Core CAL o Enterprise CAL</w:t>
            </w:r>
          </w:p>
        </w:tc>
      </w:tr>
      <w:tr w:rsidR="00B26237" w:rsidRPr="00A75DF9" w:rsidTr="00B42A20">
        <w:tc>
          <w:tcPr>
            <w:tcW w:w="4320" w:type="dxa"/>
            <w:shd w:val="clear" w:color="auto" w:fill="auto"/>
          </w:tcPr>
          <w:p w:rsidR="00B26237" w:rsidRPr="00A75DF9" w:rsidRDefault="00B26237" w:rsidP="00B42A20">
            <w:pPr>
              <w:rPr>
                <w:rFonts w:eastAsia="Calibri" w:cs="Tahoma"/>
                <w:color w:val="000000"/>
                <w:szCs w:val="18"/>
              </w:rPr>
            </w:pPr>
            <w:r w:rsidRPr="00A75DF9">
              <w:rPr>
                <w:rFonts w:eastAsia="Calibri" w:cs="Tahoma"/>
                <w:color w:val="000000"/>
                <w:szCs w:val="18"/>
              </w:rPr>
              <w:t>Office Pro Plus</w:t>
            </w:r>
            <w:r w:rsidRPr="00A75DF9">
              <w:rPr>
                <w:rFonts w:eastAsia="Calibri" w:cs="Tahoma"/>
                <w:color w:val="000000"/>
                <w:szCs w:val="18"/>
                <w:vertAlign w:val="superscript"/>
              </w:rPr>
              <w:t>1</w:t>
            </w:r>
          </w:p>
        </w:tc>
        <w:tc>
          <w:tcPr>
            <w:tcW w:w="4320" w:type="dxa"/>
            <w:shd w:val="clear" w:color="auto" w:fill="auto"/>
          </w:tcPr>
          <w:p w:rsidR="00B26237" w:rsidRPr="00A75DF9" w:rsidRDefault="00B26237" w:rsidP="009B3FA2">
            <w:pPr>
              <w:rPr>
                <w:rFonts w:eastAsia="Calibri" w:cs="Tahoma"/>
                <w:color w:val="000000"/>
                <w:szCs w:val="18"/>
              </w:rPr>
            </w:pPr>
            <w:r w:rsidRPr="00A75DF9">
              <w:rPr>
                <w:rFonts w:eastAsia="Calibri" w:cs="Tahoma"/>
                <w:color w:val="000000"/>
                <w:szCs w:val="18"/>
              </w:rPr>
              <w:t>USL Add-On per Office 365 Education A3 per Office Pro Plus</w:t>
            </w:r>
          </w:p>
        </w:tc>
      </w:tr>
      <w:tr w:rsidR="00B26237" w:rsidRPr="00A75DF9" w:rsidTr="00B42A20">
        <w:tc>
          <w:tcPr>
            <w:tcW w:w="4320" w:type="dxa"/>
            <w:shd w:val="clear" w:color="auto" w:fill="auto"/>
          </w:tcPr>
          <w:p w:rsidR="00B26237" w:rsidRPr="00A75DF9" w:rsidRDefault="00B26237" w:rsidP="00B42A20">
            <w:pPr>
              <w:rPr>
                <w:rFonts w:eastAsia="Calibri" w:cs="Tahoma"/>
                <w:color w:val="000000"/>
                <w:szCs w:val="18"/>
              </w:rPr>
            </w:pPr>
            <w:r w:rsidRPr="00A75DF9">
              <w:rPr>
                <w:rFonts w:eastAsia="Calibri" w:cs="Tahoma"/>
                <w:color w:val="000000"/>
                <w:szCs w:val="18"/>
              </w:rPr>
              <w:t>Core CAL Suite</w:t>
            </w:r>
            <w:r w:rsidRPr="00A75DF9">
              <w:rPr>
                <w:rFonts w:eastAsia="Calibri" w:cs="Tahoma"/>
                <w:color w:val="000000"/>
                <w:szCs w:val="18"/>
                <w:vertAlign w:val="superscript"/>
              </w:rPr>
              <w:t>1</w:t>
            </w:r>
            <w:r w:rsidRPr="00A75DF9">
              <w:rPr>
                <w:rFonts w:eastAsia="Calibri" w:cs="Tahoma"/>
                <w:color w:val="000000"/>
                <w:szCs w:val="18"/>
              </w:rPr>
              <w:t xml:space="preserve"> o Enterprise CAL Suite</w:t>
            </w:r>
            <w:r w:rsidRPr="00A75DF9">
              <w:rPr>
                <w:rFonts w:eastAsia="Calibri" w:cs="Tahoma"/>
                <w:color w:val="000000"/>
                <w:szCs w:val="18"/>
                <w:vertAlign w:val="superscript"/>
              </w:rPr>
              <w:t>1</w:t>
            </w:r>
            <w:r w:rsidRPr="00A75DF9">
              <w:rPr>
                <w:rFonts w:eastAsia="Calibri" w:cs="Tahoma"/>
                <w:color w:val="000000"/>
                <w:szCs w:val="18"/>
              </w:rPr>
              <w:t xml:space="preserve"> + Office Pro Plus</w:t>
            </w:r>
            <w:r w:rsidRPr="00A75DF9">
              <w:rPr>
                <w:rFonts w:eastAsia="Calibri" w:cs="Tahoma"/>
                <w:color w:val="000000"/>
                <w:szCs w:val="18"/>
                <w:vertAlign w:val="superscript"/>
              </w:rPr>
              <w:t>1</w:t>
            </w:r>
          </w:p>
        </w:tc>
        <w:tc>
          <w:tcPr>
            <w:tcW w:w="4320" w:type="dxa"/>
            <w:shd w:val="clear" w:color="auto" w:fill="auto"/>
          </w:tcPr>
          <w:p w:rsidR="00B26237" w:rsidRPr="00A75DF9" w:rsidRDefault="00B26237" w:rsidP="009B3FA2">
            <w:pPr>
              <w:rPr>
                <w:rFonts w:eastAsia="Calibri" w:cs="Tahoma"/>
                <w:color w:val="000000"/>
                <w:szCs w:val="18"/>
              </w:rPr>
            </w:pPr>
            <w:r w:rsidRPr="00A75DF9">
              <w:rPr>
                <w:rFonts w:eastAsia="Calibri" w:cs="Tahoma"/>
                <w:color w:val="000000"/>
                <w:szCs w:val="18"/>
              </w:rPr>
              <w:t>Add-on USL per Office 365 Education A3 per Core CAL o Enterprise CAL + Office Pro Plus</w:t>
            </w:r>
          </w:p>
        </w:tc>
      </w:tr>
      <w:tr w:rsidR="00B26237" w:rsidRPr="00A75DF9" w:rsidTr="00B42A20">
        <w:tc>
          <w:tcPr>
            <w:tcW w:w="4320" w:type="dxa"/>
            <w:shd w:val="clear" w:color="auto" w:fill="auto"/>
          </w:tcPr>
          <w:p w:rsidR="00B26237" w:rsidRPr="00A75DF9" w:rsidRDefault="00B26237" w:rsidP="00B42A20">
            <w:pPr>
              <w:rPr>
                <w:rFonts w:eastAsia="Calibri" w:cs="Tahoma"/>
                <w:color w:val="000000"/>
                <w:szCs w:val="18"/>
              </w:rPr>
            </w:pPr>
            <w:r w:rsidRPr="00A75DF9">
              <w:rPr>
                <w:rFonts w:eastAsia="Calibri" w:cs="Tahoma"/>
                <w:color w:val="000000"/>
                <w:szCs w:val="18"/>
              </w:rPr>
              <w:t>Core CAL Suite</w:t>
            </w:r>
            <w:r w:rsidRPr="00A75DF9">
              <w:rPr>
                <w:rFonts w:eastAsia="Calibri" w:cs="Tahoma"/>
                <w:color w:val="000000"/>
                <w:szCs w:val="18"/>
                <w:vertAlign w:val="superscript"/>
              </w:rPr>
              <w:t>1</w:t>
            </w:r>
            <w:r w:rsidRPr="00A75DF9">
              <w:rPr>
                <w:rFonts w:eastAsia="Calibri" w:cs="Tahoma"/>
                <w:color w:val="000000"/>
                <w:szCs w:val="18"/>
              </w:rPr>
              <w:t xml:space="preserve"> o Enterprise CAL Suite</w:t>
            </w:r>
            <w:r w:rsidRPr="00A75DF9">
              <w:rPr>
                <w:rFonts w:eastAsia="Calibri" w:cs="Tahoma"/>
                <w:color w:val="000000"/>
                <w:szCs w:val="18"/>
                <w:vertAlign w:val="superscript"/>
              </w:rPr>
              <w:t>1</w:t>
            </w:r>
          </w:p>
        </w:tc>
        <w:tc>
          <w:tcPr>
            <w:tcW w:w="4320" w:type="dxa"/>
            <w:shd w:val="clear" w:color="auto" w:fill="auto"/>
          </w:tcPr>
          <w:p w:rsidR="00B26237" w:rsidRPr="00A75DF9" w:rsidRDefault="00B26237" w:rsidP="009B3FA2">
            <w:pPr>
              <w:rPr>
                <w:rFonts w:eastAsia="Calibri" w:cs="Tahoma"/>
                <w:color w:val="000000"/>
                <w:szCs w:val="18"/>
              </w:rPr>
            </w:pPr>
            <w:r w:rsidRPr="00A75DF9">
              <w:rPr>
                <w:rFonts w:eastAsia="Calibri" w:cs="Tahoma"/>
                <w:color w:val="000000"/>
                <w:szCs w:val="18"/>
              </w:rPr>
              <w:t>Add-on USL per Office 365 Education A4 per Core CAL o Enterprise CAL</w:t>
            </w:r>
          </w:p>
        </w:tc>
      </w:tr>
      <w:tr w:rsidR="00B26237" w:rsidRPr="00A75DF9" w:rsidTr="00B42A20">
        <w:tc>
          <w:tcPr>
            <w:tcW w:w="4320" w:type="dxa"/>
            <w:shd w:val="clear" w:color="auto" w:fill="auto"/>
          </w:tcPr>
          <w:p w:rsidR="00B26237" w:rsidRPr="00A75DF9" w:rsidRDefault="00B26237" w:rsidP="00B42A20">
            <w:pPr>
              <w:rPr>
                <w:rFonts w:eastAsia="Calibri" w:cs="Tahoma"/>
                <w:color w:val="000000"/>
                <w:szCs w:val="18"/>
              </w:rPr>
            </w:pPr>
            <w:r w:rsidRPr="00A75DF9">
              <w:rPr>
                <w:rFonts w:eastAsia="Calibri" w:cs="Tahoma"/>
                <w:color w:val="000000"/>
                <w:szCs w:val="18"/>
              </w:rPr>
              <w:t>Office Pro Plus</w:t>
            </w:r>
            <w:r w:rsidRPr="00A75DF9">
              <w:rPr>
                <w:rFonts w:eastAsia="Calibri" w:cs="Tahoma"/>
                <w:color w:val="000000"/>
                <w:szCs w:val="18"/>
                <w:vertAlign w:val="superscript"/>
              </w:rPr>
              <w:t>1</w:t>
            </w:r>
          </w:p>
        </w:tc>
        <w:tc>
          <w:tcPr>
            <w:tcW w:w="4320" w:type="dxa"/>
            <w:shd w:val="clear" w:color="auto" w:fill="auto"/>
          </w:tcPr>
          <w:p w:rsidR="00B26237" w:rsidRPr="00A75DF9" w:rsidRDefault="00B26237" w:rsidP="009B3FA2">
            <w:pPr>
              <w:rPr>
                <w:rFonts w:eastAsia="Calibri" w:cs="Tahoma"/>
                <w:color w:val="000000"/>
                <w:szCs w:val="18"/>
              </w:rPr>
            </w:pPr>
            <w:r w:rsidRPr="00A75DF9">
              <w:rPr>
                <w:rFonts w:eastAsia="Calibri" w:cs="Tahoma"/>
                <w:color w:val="000000"/>
                <w:szCs w:val="18"/>
              </w:rPr>
              <w:t>USL Add-On per Office 365 Education A4 per Office Pro Plus</w:t>
            </w:r>
          </w:p>
        </w:tc>
      </w:tr>
      <w:tr w:rsidR="00B26237" w:rsidRPr="00A75DF9" w:rsidTr="00B42A20">
        <w:tc>
          <w:tcPr>
            <w:tcW w:w="4320" w:type="dxa"/>
            <w:shd w:val="clear" w:color="auto" w:fill="auto"/>
          </w:tcPr>
          <w:p w:rsidR="00B26237" w:rsidRPr="00A75DF9" w:rsidRDefault="00B26237" w:rsidP="00A237D8">
            <w:pPr>
              <w:rPr>
                <w:rFonts w:eastAsia="Calibri" w:cs="Tahoma"/>
                <w:color w:val="000000"/>
                <w:szCs w:val="18"/>
              </w:rPr>
            </w:pPr>
            <w:r w:rsidRPr="00A75DF9">
              <w:rPr>
                <w:rFonts w:eastAsia="Calibri" w:cs="Tahoma"/>
                <w:color w:val="000000"/>
                <w:szCs w:val="18"/>
              </w:rPr>
              <w:t>Core CAL Suite o Enterprise CAL Suite</w:t>
            </w:r>
            <w:r w:rsidRPr="00A75DF9">
              <w:rPr>
                <w:rFonts w:eastAsia="Calibri" w:cs="Tahoma"/>
                <w:color w:val="000000"/>
                <w:szCs w:val="18"/>
                <w:vertAlign w:val="superscript"/>
              </w:rPr>
              <w:t>1</w:t>
            </w:r>
            <w:r w:rsidRPr="00A75DF9">
              <w:rPr>
                <w:rFonts w:eastAsia="Calibri" w:cs="Tahoma"/>
                <w:color w:val="000000"/>
                <w:szCs w:val="18"/>
              </w:rPr>
              <w:t xml:space="preserve"> + Office Pro</w:t>
            </w:r>
            <w:r w:rsidR="00A237D8">
              <w:rPr>
                <w:rFonts w:eastAsia="Calibri" w:cs="Tahoma"/>
                <w:color w:val="000000"/>
                <w:szCs w:val="18"/>
              </w:rPr>
              <w:t> </w:t>
            </w:r>
            <w:r w:rsidRPr="00A75DF9">
              <w:rPr>
                <w:rFonts w:eastAsia="Calibri" w:cs="Tahoma"/>
                <w:color w:val="000000"/>
                <w:szCs w:val="18"/>
              </w:rPr>
              <w:t>Plus</w:t>
            </w:r>
            <w:r w:rsidRPr="00A75DF9">
              <w:rPr>
                <w:rFonts w:eastAsia="Calibri" w:cs="Tahoma"/>
                <w:color w:val="000000"/>
                <w:szCs w:val="18"/>
                <w:vertAlign w:val="superscript"/>
              </w:rPr>
              <w:t>1</w:t>
            </w:r>
          </w:p>
        </w:tc>
        <w:tc>
          <w:tcPr>
            <w:tcW w:w="4320" w:type="dxa"/>
            <w:shd w:val="clear" w:color="auto" w:fill="auto"/>
          </w:tcPr>
          <w:p w:rsidR="00B26237" w:rsidRPr="00A75DF9" w:rsidRDefault="00B26237" w:rsidP="009B3FA2">
            <w:pPr>
              <w:rPr>
                <w:rFonts w:eastAsia="Calibri" w:cs="Tahoma"/>
                <w:color w:val="000000"/>
                <w:szCs w:val="18"/>
              </w:rPr>
            </w:pPr>
            <w:r w:rsidRPr="00A75DF9">
              <w:rPr>
                <w:rFonts w:eastAsia="Calibri" w:cs="Tahoma"/>
                <w:color w:val="000000"/>
                <w:szCs w:val="18"/>
              </w:rPr>
              <w:t>Add-on USL per Office 365 Education A4 per Core CAL o Enterprise CAL + Office Pro Plus</w:t>
            </w:r>
          </w:p>
        </w:tc>
      </w:tr>
    </w:tbl>
    <w:p w:rsidR="00B26237" w:rsidRPr="00A75DF9" w:rsidRDefault="00B26237" w:rsidP="00B26237">
      <w:pPr>
        <w:ind w:left="900"/>
        <w:rPr>
          <w:rFonts w:cs="Tahoma"/>
        </w:rPr>
      </w:pPr>
      <w:r w:rsidRPr="00A75DF9">
        <w:rPr>
          <w:rFonts w:eastAsia="Calibri" w:cs="Tahoma"/>
          <w:i/>
          <w:color w:val="000000"/>
          <w:sz w:val="16"/>
          <w:szCs w:val="18"/>
          <w:vertAlign w:val="superscript"/>
        </w:rPr>
        <w:t>1</w:t>
      </w:r>
      <w:r w:rsidRPr="00A75DF9">
        <w:rPr>
          <w:rFonts w:eastAsia="Calibri" w:cs="Tahoma"/>
          <w:i/>
          <w:color w:val="000000"/>
          <w:sz w:val="16"/>
          <w:szCs w:val="18"/>
        </w:rPr>
        <w:t>Con Software Assurance Attiva</w:t>
      </w:r>
    </w:p>
    <w:p w:rsidR="00B26237" w:rsidRPr="00A75DF9" w:rsidRDefault="00B26237" w:rsidP="00B26237">
      <w:pPr>
        <w:ind w:left="720"/>
        <w:rPr>
          <w:rFonts w:cs="Tahoma"/>
        </w:rPr>
      </w:pPr>
    </w:p>
    <w:p w:rsidR="00B26237" w:rsidRPr="00A75DF9" w:rsidRDefault="00B26237" w:rsidP="00A237D8">
      <w:pPr>
        <w:ind w:left="720"/>
        <w:rPr>
          <w:rFonts w:cs="Tahoma"/>
        </w:rPr>
      </w:pPr>
      <w:r w:rsidRPr="00A75DF9">
        <w:rPr>
          <w:rFonts w:eastAsia="Calibri" w:cs="Tahoma"/>
          <w:iCs/>
          <w:color w:val="000000"/>
          <w:szCs w:val="18"/>
        </w:rPr>
        <w:t>Gli Istituti in possesso di USL per Office 365 Education A3 o Office 365 Education A4 cedute a tutto il personale docente e non docente potranno installare il software Office Professional Plus 2013 in qualsiasi laboratorio o biblioteca ad accesso libero all</w:t>
      </w:r>
      <w:r w:rsidR="00F2643E">
        <w:rPr>
          <w:rFonts w:eastAsia="Calibri" w:cs="Tahoma"/>
          <w:iCs/>
          <w:color w:val="000000"/>
          <w:szCs w:val="18"/>
        </w:rPr>
        <w:t>’</w:t>
      </w:r>
      <w:r w:rsidRPr="00A75DF9">
        <w:rPr>
          <w:rFonts w:eastAsia="Calibri" w:cs="Tahoma"/>
          <w:iCs/>
          <w:color w:val="000000"/>
          <w:szCs w:val="18"/>
        </w:rPr>
        <w:t>interno dell</w:t>
      </w:r>
      <w:r w:rsidR="00F2643E">
        <w:rPr>
          <w:rFonts w:eastAsia="Calibri" w:cs="Tahoma"/>
          <w:iCs/>
          <w:color w:val="000000"/>
          <w:szCs w:val="18"/>
        </w:rPr>
        <w:t>’</w:t>
      </w:r>
      <w:r w:rsidRPr="00A75DF9">
        <w:rPr>
          <w:rFonts w:eastAsia="Calibri" w:cs="Tahoma"/>
          <w:iCs/>
          <w:color w:val="000000"/>
          <w:szCs w:val="18"/>
        </w:rPr>
        <w:t>Organizzazione dell</w:t>
      </w:r>
      <w:r w:rsidR="00F2643E">
        <w:rPr>
          <w:rFonts w:eastAsia="Calibri" w:cs="Tahoma"/>
          <w:iCs/>
          <w:color w:val="000000"/>
          <w:szCs w:val="18"/>
        </w:rPr>
        <w:t>’</w:t>
      </w:r>
      <w:r w:rsidRPr="00A75DF9">
        <w:rPr>
          <w:rFonts w:eastAsia="Calibri" w:cs="Tahoma"/>
          <w:iCs/>
          <w:color w:val="000000"/>
          <w:szCs w:val="18"/>
        </w:rPr>
        <w:t>Istituto.</w:t>
      </w:r>
      <w:r w:rsidR="009D3B41" w:rsidRPr="00A75DF9">
        <w:rPr>
          <w:rFonts w:eastAsia="Calibri" w:cs="Tahoma"/>
          <w:iCs/>
          <w:color w:val="000000"/>
          <w:szCs w:val="18"/>
        </w:rPr>
        <w:t xml:space="preserve"> </w:t>
      </w:r>
      <w:r w:rsidRPr="00A75DF9">
        <w:rPr>
          <w:rFonts w:eastAsia="Calibri" w:cs="Tahoma"/>
          <w:iCs/>
          <w:color w:val="000000"/>
          <w:szCs w:val="18"/>
        </w:rPr>
        <w:t>L</w:t>
      </w:r>
      <w:r w:rsidR="00F2643E">
        <w:rPr>
          <w:rFonts w:eastAsia="Calibri" w:cs="Tahoma"/>
          <w:iCs/>
          <w:color w:val="000000"/>
          <w:szCs w:val="18"/>
        </w:rPr>
        <w:t>’</w:t>
      </w:r>
      <w:r w:rsidRPr="00A75DF9">
        <w:rPr>
          <w:rFonts w:eastAsia="Calibri" w:cs="Tahoma"/>
          <w:iCs/>
          <w:color w:val="000000"/>
          <w:szCs w:val="18"/>
        </w:rPr>
        <w:t>utilizzo del software è</w:t>
      </w:r>
      <w:r w:rsidR="00A237D8">
        <w:rPr>
          <w:rFonts w:eastAsia="Calibri" w:cs="Tahoma"/>
          <w:iCs/>
          <w:color w:val="000000"/>
          <w:szCs w:val="18"/>
        </w:rPr>
        <w:t> </w:t>
      </w:r>
      <w:r w:rsidRPr="00A75DF9">
        <w:rPr>
          <w:rFonts w:eastAsia="Calibri" w:cs="Tahoma"/>
          <w:iCs/>
          <w:color w:val="000000"/>
          <w:szCs w:val="18"/>
        </w:rPr>
        <w:t>soggetto alle condizioni di licenza per Office Professional Plus 2013.</w:t>
      </w:r>
      <w:r w:rsidR="009D3B41" w:rsidRPr="00A75DF9">
        <w:rPr>
          <w:rFonts w:eastAsia="Calibri" w:cs="Tahoma"/>
          <w:iCs/>
          <w:color w:val="000000"/>
          <w:szCs w:val="18"/>
        </w:rPr>
        <w:t xml:space="preserve"> </w:t>
      </w:r>
    </w:p>
    <w:p w:rsidR="00B26237" w:rsidRPr="00A75DF9" w:rsidRDefault="00B26237" w:rsidP="00B26237">
      <w:pPr>
        <w:ind w:left="720"/>
        <w:rPr>
          <w:rFonts w:cs="Tahoma"/>
        </w:rPr>
      </w:pPr>
    </w:p>
    <w:p w:rsidR="00B26237" w:rsidRPr="00A75DF9" w:rsidRDefault="00B26237" w:rsidP="00A237D8">
      <w:pPr>
        <w:pStyle w:val="FootnoteBulletLevel2"/>
        <w:tabs>
          <w:tab w:val="clear" w:pos="1260"/>
        </w:tabs>
        <w:spacing w:before="0"/>
        <w:ind w:left="720" w:firstLine="0"/>
        <w:rPr>
          <w:rFonts w:ascii="Tahoma" w:hAnsi="Tahoma" w:cs="Tahoma"/>
        </w:rPr>
      </w:pPr>
      <w:r w:rsidRPr="00A75DF9">
        <w:rPr>
          <w:rFonts w:ascii="Tahoma" w:eastAsia="Calibri" w:hAnsi="Tahoma" w:cs="Tahoma"/>
          <w:color w:val="000000"/>
          <w:sz w:val="18"/>
          <w:szCs w:val="18"/>
        </w:rPr>
        <w:t>Lync Online Piano 1A e Piano 2A richiedono l</w:t>
      </w:r>
      <w:r w:rsidR="00F2643E">
        <w:rPr>
          <w:rFonts w:ascii="Tahoma" w:eastAsia="Calibri" w:hAnsi="Tahoma" w:cs="Tahoma"/>
          <w:color w:val="000000"/>
          <w:sz w:val="18"/>
          <w:szCs w:val="18"/>
        </w:rPr>
        <w:t>’</w:t>
      </w:r>
      <w:r w:rsidRPr="00A75DF9">
        <w:rPr>
          <w:rFonts w:ascii="Tahoma" w:eastAsia="Calibri" w:hAnsi="Tahoma" w:cs="Tahoma"/>
          <w:color w:val="000000"/>
          <w:sz w:val="18"/>
          <w:szCs w:val="18"/>
        </w:rPr>
        <w:t>acquisto e l</w:t>
      </w:r>
      <w:r w:rsidR="00F2643E">
        <w:rPr>
          <w:rFonts w:ascii="Tahoma" w:eastAsia="Calibri" w:hAnsi="Tahoma" w:cs="Tahoma"/>
          <w:color w:val="000000"/>
          <w:sz w:val="18"/>
          <w:szCs w:val="18"/>
        </w:rPr>
        <w:t>’</w:t>
      </w:r>
      <w:r w:rsidRPr="00A75DF9">
        <w:rPr>
          <w:rFonts w:ascii="Tahoma" w:eastAsia="Calibri" w:hAnsi="Tahoma" w:cs="Tahoma"/>
          <w:color w:val="000000"/>
          <w:sz w:val="18"/>
          <w:szCs w:val="18"/>
        </w:rPr>
        <w:t>installazione separati di Microsoft Lync 2013 (o</w:t>
      </w:r>
      <w:r w:rsidR="00A237D8">
        <w:rPr>
          <w:rFonts w:ascii="Tahoma" w:eastAsia="Calibri" w:hAnsi="Tahoma" w:cs="Tahoma"/>
          <w:color w:val="000000"/>
          <w:sz w:val="18"/>
          <w:szCs w:val="18"/>
        </w:rPr>
        <w:t> </w:t>
      </w:r>
      <w:r w:rsidRPr="00A75DF9">
        <w:rPr>
          <w:rFonts w:ascii="Tahoma" w:eastAsia="Calibri" w:hAnsi="Tahoma" w:cs="Tahoma"/>
          <w:color w:val="000000"/>
          <w:sz w:val="18"/>
          <w:szCs w:val="18"/>
        </w:rPr>
        <w:t>Lync per Mac 2011) per accedere al set completo di funzionalità di Lync Online Piano 1A e Piano 2A. Grazie a un</w:t>
      </w:r>
      <w:r w:rsidR="00F2643E">
        <w:rPr>
          <w:rFonts w:ascii="Tahoma" w:eastAsia="Calibri" w:hAnsi="Tahoma" w:cs="Tahoma"/>
          <w:color w:val="000000"/>
          <w:sz w:val="18"/>
          <w:szCs w:val="18"/>
        </w:rPr>
        <w:t>’</w:t>
      </w:r>
      <w:r w:rsidRPr="00A75DF9">
        <w:rPr>
          <w:rFonts w:ascii="Tahoma" w:eastAsia="Calibri" w:hAnsi="Tahoma" w:cs="Tahoma"/>
          <w:color w:val="000000"/>
          <w:sz w:val="18"/>
          <w:szCs w:val="18"/>
        </w:rPr>
        <w:t>offerta di durata limitata, le società in possesso della licenza per Lync Online riceveranno gratuitamente in licenza una copia di Lync per Mac 2011 per ogni licenza “Subscription” per Lync Online. Il</w:t>
      </w:r>
      <w:r w:rsidR="00A237D8">
        <w:rPr>
          <w:rFonts w:ascii="Tahoma" w:eastAsia="Calibri" w:hAnsi="Tahoma" w:cs="Tahoma"/>
          <w:color w:val="000000"/>
          <w:sz w:val="18"/>
          <w:szCs w:val="18"/>
        </w:rPr>
        <w:t> </w:t>
      </w:r>
      <w:r w:rsidRPr="00A75DF9">
        <w:rPr>
          <w:rFonts w:ascii="Tahoma" w:eastAsia="Calibri" w:hAnsi="Tahoma" w:cs="Tahoma"/>
          <w:color w:val="000000"/>
          <w:sz w:val="18"/>
          <w:szCs w:val="18"/>
        </w:rPr>
        <w:t>software potrà essere utilizzato esclusivamente con Lync Online e tutti i diritti di utilizzo del software cesseranno alla scadenza della licenza “Subscription” sottostante oppure in occasione della migrazione alla successiva nuova versione principale di Lync Online, a seconda di quale evento si verificherà per primo.</w:t>
      </w:r>
      <w:r w:rsidR="009D3B41" w:rsidRPr="00A75DF9">
        <w:rPr>
          <w:rFonts w:ascii="Tahoma" w:eastAsia="Calibri" w:hAnsi="Tahoma" w:cs="Tahoma"/>
          <w:color w:val="000000"/>
          <w:sz w:val="18"/>
          <w:szCs w:val="18"/>
        </w:rPr>
        <w:t xml:space="preserve"> </w:t>
      </w:r>
      <w:r w:rsidRPr="00A75DF9">
        <w:rPr>
          <w:rFonts w:ascii="Tahoma" w:eastAsia="Calibri" w:hAnsi="Tahoma" w:cs="Tahoma"/>
          <w:color w:val="000000"/>
          <w:sz w:val="18"/>
          <w:szCs w:val="18"/>
        </w:rPr>
        <w:t>Le società potranno utilizzare il client gratuito Lync Basic 2013 per i loro utenti finali in possesso di Windows.</w:t>
      </w:r>
    </w:p>
    <w:p w:rsidR="00B26237" w:rsidRPr="00A237D8" w:rsidRDefault="00B26237" w:rsidP="00E03856">
      <w:pPr>
        <w:pStyle w:val="FootnoteBulletLevel2"/>
        <w:tabs>
          <w:tab w:val="clear" w:pos="1260"/>
        </w:tabs>
        <w:spacing w:before="0"/>
        <w:ind w:left="0" w:firstLine="0"/>
        <w:rPr>
          <w:rFonts w:ascii="Tahoma" w:hAnsi="Tahoma" w:cs="Tahoma"/>
          <w:sz w:val="18"/>
          <w:szCs w:val="18"/>
        </w:rPr>
      </w:pPr>
    </w:p>
    <w:p w:rsidR="00B26237" w:rsidRPr="00A237D8" w:rsidRDefault="00B26237" w:rsidP="00D16EA8">
      <w:pPr>
        <w:pStyle w:val="FootnoteBulletLevel2"/>
        <w:tabs>
          <w:tab w:val="clear" w:pos="1260"/>
        </w:tabs>
        <w:spacing w:before="0"/>
        <w:ind w:left="0" w:firstLine="0"/>
        <w:rPr>
          <w:rFonts w:ascii="Tahoma" w:hAnsi="Tahoma" w:cs="Tahoma"/>
          <w:sz w:val="18"/>
          <w:szCs w:val="18"/>
        </w:rPr>
      </w:pPr>
    </w:p>
    <w:p w:rsidR="00996781" w:rsidRPr="00A75DF9" w:rsidRDefault="00A13C98" w:rsidP="00B26237">
      <w:pPr>
        <w:pStyle w:val="Heading2"/>
        <w:ind w:left="0"/>
        <w:rPr>
          <w:rFonts w:ascii="Tahoma" w:hAnsi="Tahoma" w:cs="Tahoma"/>
        </w:rPr>
      </w:pPr>
      <w:bookmarkStart w:id="985" w:name="_7_Office_365"/>
      <w:bookmarkStart w:id="986" w:name="_65_Office_365"/>
      <w:bookmarkStart w:id="987" w:name="_5_Office_365"/>
      <w:bookmarkStart w:id="988" w:name="_Toc336338263"/>
      <w:bookmarkStart w:id="989" w:name="_Toc368310254"/>
      <w:bookmarkEnd w:id="985"/>
      <w:bookmarkEnd w:id="986"/>
      <w:bookmarkEnd w:id="987"/>
      <w:r w:rsidRPr="00A75DF9">
        <w:rPr>
          <w:rFonts w:ascii="Tahoma" w:hAnsi="Tahoma" w:cs="Tahoma"/>
          <w:caps/>
          <w:color w:val="FF6600"/>
          <w:sz w:val="22"/>
          <w:szCs w:val="22"/>
          <w:vertAlign w:val="superscript"/>
        </w:rPr>
        <w:t>6</w:t>
      </w:r>
      <w:r w:rsidRPr="00A75DF9">
        <w:rPr>
          <w:rFonts w:ascii="Tahoma" w:hAnsi="Tahoma" w:cs="Tahoma"/>
          <w:color w:val="FF6600"/>
        </w:rPr>
        <w:t xml:space="preserve"> </w:t>
      </w:r>
      <w:r w:rsidRPr="00A75DF9">
        <w:rPr>
          <w:rFonts w:ascii="Tahoma" w:hAnsi="Tahoma" w:cs="Tahoma"/>
          <w:color w:val="FF6600"/>
          <w:sz w:val="22"/>
          <w:szCs w:val="22"/>
        </w:rPr>
        <w:t>Office 365 Midsize Business (SL per Utente)</w:t>
      </w:r>
      <w:bookmarkEnd w:id="989"/>
    </w:p>
    <w:p w:rsidR="00996781" w:rsidRPr="00A75DF9" w:rsidRDefault="00996781" w:rsidP="00996781">
      <w:pPr>
        <w:ind w:left="720"/>
        <w:rPr>
          <w:rFonts w:cs="Tahoma"/>
        </w:rPr>
      </w:pPr>
    </w:p>
    <w:p w:rsidR="00996781" w:rsidRPr="00A75DF9" w:rsidRDefault="00996781" w:rsidP="00A237D8">
      <w:pPr>
        <w:ind w:left="720"/>
        <w:rPr>
          <w:rFonts w:cs="Tahoma"/>
        </w:rPr>
      </w:pPr>
      <w:r w:rsidRPr="00A75DF9">
        <w:rPr>
          <w:rFonts w:cs="Tahoma"/>
          <w:color w:val="000000"/>
        </w:rPr>
        <w:t>Office 365 Midsized Business è adatto a società con 10 - 250 postazioni.</w:t>
      </w:r>
      <w:r w:rsidR="009D3B41" w:rsidRPr="00A75DF9">
        <w:rPr>
          <w:rFonts w:cs="Tahoma"/>
          <w:color w:val="000000"/>
        </w:rPr>
        <w:t xml:space="preserve"> </w:t>
      </w:r>
      <w:r w:rsidRPr="00A75DF9">
        <w:rPr>
          <w:rFonts w:cs="Tahoma"/>
          <w:color w:val="000000"/>
        </w:rPr>
        <w:t>Viene venduto solo con i Programmi Open License, Open Value e Open Value Subscription.</w:t>
      </w:r>
      <w:r w:rsidR="009D3B41" w:rsidRPr="00A75DF9">
        <w:rPr>
          <w:rFonts w:cs="Tahoma"/>
          <w:color w:val="000000"/>
        </w:rPr>
        <w:t xml:space="preserve"> </w:t>
      </w:r>
      <w:r w:rsidRPr="00A75DF9">
        <w:rPr>
          <w:rFonts w:cs="Tahoma"/>
          <w:color w:val="000000"/>
        </w:rPr>
        <w:t>Al momento dell</w:t>
      </w:r>
      <w:r w:rsidR="00F2643E">
        <w:rPr>
          <w:rFonts w:cs="Tahoma"/>
          <w:color w:val="000000"/>
        </w:rPr>
        <w:t>’</w:t>
      </w:r>
      <w:r w:rsidRPr="00A75DF9">
        <w:rPr>
          <w:rFonts w:cs="Tahoma"/>
          <w:color w:val="000000"/>
        </w:rPr>
        <w:t>acquisto di Office 365</w:t>
      </w:r>
      <w:r w:rsidR="00A237D8">
        <w:rPr>
          <w:rFonts w:cs="Tahoma"/>
          <w:color w:val="000000"/>
        </w:rPr>
        <w:t> </w:t>
      </w:r>
      <w:r w:rsidRPr="00A75DF9">
        <w:rPr>
          <w:rFonts w:cs="Tahoma"/>
          <w:color w:val="000000"/>
        </w:rPr>
        <w:t xml:space="preserve">Midsized Business viene emesso un codice Product Key che consente di attivare il servizio. </w:t>
      </w:r>
    </w:p>
    <w:p w:rsidR="00996781" w:rsidRPr="00A75DF9" w:rsidRDefault="00996781" w:rsidP="00996781">
      <w:pPr>
        <w:ind w:left="720"/>
        <w:rPr>
          <w:rFonts w:cs="Tahoma"/>
        </w:rPr>
      </w:pPr>
    </w:p>
    <w:p w:rsidR="00996781" w:rsidRPr="00A75DF9" w:rsidRDefault="00996781" w:rsidP="00996781">
      <w:pPr>
        <w:ind w:left="720"/>
        <w:rPr>
          <w:rFonts w:cs="Tahoma"/>
        </w:rPr>
      </w:pPr>
      <w:r w:rsidRPr="00A75DF9">
        <w:rPr>
          <w:rFonts w:cs="Tahoma"/>
          <w:color w:val="000000"/>
        </w:rPr>
        <w:t>Office 365 Midsized Business viene venduto con l</w:t>
      </w:r>
      <w:r w:rsidR="00F2643E">
        <w:rPr>
          <w:rFonts w:cs="Tahoma"/>
          <w:color w:val="000000"/>
        </w:rPr>
        <w:t>’</w:t>
      </w:r>
      <w:r w:rsidRPr="00A75DF9">
        <w:rPr>
          <w:rFonts w:cs="Tahoma"/>
          <w:color w:val="000000"/>
        </w:rPr>
        <w:t>opzione di pagamento anticipato di un anno.</w:t>
      </w:r>
      <w:r w:rsidR="009D3B41" w:rsidRPr="00A75DF9">
        <w:rPr>
          <w:rFonts w:cs="Tahoma"/>
          <w:color w:val="000000"/>
        </w:rPr>
        <w:t xml:space="preserve"> </w:t>
      </w:r>
      <w:r w:rsidRPr="00A75DF9">
        <w:rPr>
          <w:rFonts w:cs="Tahoma"/>
          <w:color w:val="000000"/>
        </w:rPr>
        <w:t>La data di inizio e la data di fine della sottoscrizione del servizio sono indipendenti dal periodo di validità del Contratto Multilicenza.</w:t>
      </w:r>
      <w:r w:rsidR="009D3B41" w:rsidRPr="00A75DF9">
        <w:rPr>
          <w:rFonts w:cs="Tahoma"/>
          <w:color w:val="000000"/>
        </w:rPr>
        <w:t xml:space="preserve"> </w:t>
      </w:r>
      <w:r w:rsidRPr="00A75DF9">
        <w:rPr>
          <w:rFonts w:cs="Tahoma"/>
          <w:color w:val="000000"/>
        </w:rPr>
        <w:t>Il periodo di sottoscrizione inizia al momento dell</w:t>
      </w:r>
      <w:r w:rsidR="00F2643E">
        <w:rPr>
          <w:rFonts w:cs="Tahoma"/>
          <w:color w:val="000000"/>
        </w:rPr>
        <w:t>’</w:t>
      </w:r>
      <w:r w:rsidRPr="00A75DF9">
        <w:rPr>
          <w:rFonts w:cs="Tahoma"/>
          <w:color w:val="000000"/>
        </w:rPr>
        <w:t>attivazione del codice Product Key e non quando viene effettuato l</w:t>
      </w:r>
      <w:r w:rsidR="00F2643E">
        <w:rPr>
          <w:rFonts w:cs="Tahoma"/>
          <w:color w:val="000000"/>
        </w:rPr>
        <w:t>’</w:t>
      </w:r>
      <w:r w:rsidRPr="00A75DF9">
        <w:rPr>
          <w:rFonts w:cs="Tahoma"/>
          <w:color w:val="000000"/>
        </w:rPr>
        <w:t>ordine.</w:t>
      </w:r>
      <w:r w:rsidR="009D3B41" w:rsidRPr="00A75DF9">
        <w:rPr>
          <w:rFonts w:cs="Tahoma"/>
          <w:color w:val="000000"/>
        </w:rPr>
        <w:t xml:space="preserve"> </w:t>
      </w:r>
      <w:r w:rsidRPr="00A75DF9">
        <w:rPr>
          <w:rFonts w:cs="Tahoma"/>
          <w:color w:val="000000"/>
        </w:rPr>
        <w:t xml:space="preserve">Una volta attivato il codice Product Key di Office 365, Microsoft non accetterà le richieste di restituzione inviate dai partner. </w:t>
      </w:r>
    </w:p>
    <w:p w:rsidR="00996781" w:rsidRPr="00A75DF9" w:rsidRDefault="00996781" w:rsidP="00996781">
      <w:pPr>
        <w:ind w:left="720"/>
        <w:rPr>
          <w:rFonts w:cs="Tahoma"/>
        </w:rPr>
      </w:pPr>
    </w:p>
    <w:p w:rsidR="00996781" w:rsidRPr="00A75DF9" w:rsidRDefault="00996781" w:rsidP="00996781">
      <w:pPr>
        <w:ind w:left="720"/>
        <w:rPr>
          <w:rFonts w:cs="Tahoma"/>
        </w:rPr>
      </w:pPr>
      <w:r w:rsidRPr="00A75DF9">
        <w:rPr>
          <w:rFonts w:cs="Tahoma"/>
          <w:color w:val="000000"/>
        </w:rPr>
        <w:t>Le società finali in possesso di un Contratto attivo Open Value/Open Value Subscription con un impegno per l</w:t>
      </w:r>
      <w:r w:rsidR="00F2643E">
        <w:rPr>
          <w:rFonts w:cs="Tahoma"/>
          <w:color w:val="000000"/>
        </w:rPr>
        <w:t>’</w:t>
      </w:r>
      <w:r w:rsidRPr="00A75DF9">
        <w:rPr>
          <w:rFonts w:cs="Tahoma"/>
          <w:color w:val="000000"/>
        </w:rPr>
        <w:t>intera organizzazione per Office Pro Plus e/o Client Access License Suite si qualificano per una riduzione del prezzo di Office 365 Midsized Business.</w:t>
      </w:r>
      <w:r w:rsidR="009D3B41" w:rsidRPr="00A75DF9">
        <w:rPr>
          <w:rFonts w:cs="Tahoma"/>
          <w:color w:val="000000"/>
        </w:rPr>
        <w:t xml:space="preserve"> </w:t>
      </w:r>
      <w:r w:rsidRPr="00A75DF9">
        <w:rPr>
          <w:rFonts w:cs="Tahoma"/>
          <w:color w:val="000000"/>
        </w:rPr>
        <w:t>L</w:t>
      </w:r>
      <w:r w:rsidR="00F2643E">
        <w:rPr>
          <w:rFonts w:cs="Tahoma"/>
          <w:color w:val="000000"/>
        </w:rPr>
        <w:t>’</w:t>
      </w:r>
      <w:r w:rsidRPr="00A75DF9">
        <w:rPr>
          <w:rFonts w:cs="Tahoma"/>
          <w:color w:val="000000"/>
        </w:rPr>
        <w:t xml:space="preserve">offerta è definita Offerta Office 365 Open Value e la società potrà contattare il rivenditore per ulteriori dettagli. </w:t>
      </w:r>
    </w:p>
    <w:p w:rsidR="00996781" w:rsidRPr="00A75DF9" w:rsidRDefault="00996781" w:rsidP="00996781">
      <w:pPr>
        <w:ind w:left="720"/>
        <w:rPr>
          <w:rFonts w:cs="Tahoma"/>
        </w:rPr>
      </w:pPr>
    </w:p>
    <w:p w:rsidR="00996781" w:rsidRPr="00A75DF9" w:rsidRDefault="00996781" w:rsidP="00996781">
      <w:pPr>
        <w:ind w:left="720"/>
        <w:rPr>
          <w:rFonts w:cs="Tahoma"/>
        </w:rPr>
      </w:pPr>
      <w:r w:rsidRPr="00A75DF9">
        <w:rPr>
          <w:rFonts w:cs="Tahoma"/>
          <w:color w:val="000000"/>
        </w:rPr>
        <w:t>Nell</w:t>
      </w:r>
      <w:r w:rsidR="00F2643E">
        <w:rPr>
          <w:rFonts w:cs="Tahoma"/>
          <w:color w:val="000000"/>
        </w:rPr>
        <w:t>’</w:t>
      </w:r>
      <w:r w:rsidRPr="00A75DF9">
        <w:rPr>
          <w:rFonts w:cs="Tahoma"/>
          <w:color w:val="000000"/>
        </w:rPr>
        <w:t>eventualità di una discrepanza tra le condizioni di licenza per Office 365 Midsized Business e questa nota, i Diritti di Utilizzo del Prodotto correnti avranno prevalenza.</w:t>
      </w:r>
    </w:p>
    <w:p w:rsidR="000A0D35" w:rsidRPr="00A75DF9" w:rsidRDefault="000A0D35" w:rsidP="00996781">
      <w:pPr>
        <w:ind w:left="720"/>
        <w:rPr>
          <w:rFonts w:cs="Tahoma"/>
        </w:rPr>
      </w:pPr>
    </w:p>
    <w:p w:rsidR="00D824E9" w:rsidRPr="00A75DF9" w:rsidRDefault="00D824E9" w:rsidP="00996781">
      <w:pPr>
        <w:ind w:left="720"/>
        <w:rPr>
          <w:rFonts w:cs="Tahoma"/>
        </w:rPr>
      </w:pPr>
    </w:p>
    <w:p w:rsidR="000A0D35" w:rsidRPr="00A237D8" w:rsidRDefault="000A0D35" w:rsidP="00A237D8">
      <w:pPr>
        <w:pStyle w:val="Heading2"/>
        <w:ind w:left="130" w:hanging="130"/>
        <w:rPr>
          <w:rFonts w:ascii="Tahoma" w:hAnsi="Tahoma" w:cs="Tahoma"/>
          <w:sz w:val="22"/>
          <w:szCs w:val="22"/>
        </w:rPr>
      </w:pPr>
      <w:bookmarkStart w:id="990" w:name="_7_Add-on_User"/>
      <w:bookmarkStart w:id="991" w:name="_7_Licenze_Subscription"/>
      <w:bookmarkStart w:id="992" w:name="_Toc368310255"/>
      <w:bookmarkEnd w:id="990"/>
      <w:bookmarkEnd w:id="991"/>
      <w:r w:rsidRPr="00A237D8">
        <w:rPr>
          <w:rFonts w:ascii="Tahoma" w:hAnsi="Tahoma" w:cs="Tahoma"/>
          <w:caps/>
          <w:color w:val="FF6600"/>
          <w:sz w:val="22"/>
          <w:szCs w:val="22"/>
          <w:vertAlign w:val="superscript"/>
        </w:rPr>
        <w:t xml:space="preserve">7 </w:t>
      </w:r>
      <w:r w:rsidRPr="00A237D8">
        <w:rPr>
          <w:rFonts w:ascii="Tahoma" w:hAnsi="Tahoma" w:cs="Tahoma"/>
          <w:color w:val="FF6600"/>
          <w:sz w:val="22"/>
          <w:szCs w:val="22"/>
        </w:rPr>
        <w:t>Licenze Subscription Add-on per Utente per Carichi di Lavoro di Office 365 ed</w:t>
      </w:r>
      <w:r w:rsidR="00A237D8" w:rsidRPr="00A237D8">
        <w:rPr>
          <w:rFonts w:ascii="Tahoma" w:hAnsi="Tahoma" w:cs="Tahoma"/>
          <w:color w:val="FF6600"/>
          <w:sz w:val="22"/>
          <w:szCs w:val="22"/>
        </w:rPr>
        <w:t> </w:t>
      </w:r>
      <w:r w:rsidRPr="00A237D8">
        <w:rPr>
          <w:rFonts w:ascii="Tahoma" w:hAnsi="Tahoma" w:cs="Tahoma"/>
          <w:color w:val="FF6600"/>
          <w:sz w:val="22"/>
          <w:szCs w:val="22"/>
        </w:rPr>
        <w:t>Enterprise</w:t>
      </w:r>
      <w:bookmarkEnd w:id="992"/>
    </w:p>
    <w:p w:rsidR="000A0D35" w:rsidRPr="00A75DF9" w:rsidRDefault="000A0D35" w:rsidP="000A0D35">
      <w:pPr>
        <w:spacing w:after="60"/>
        <w:ind w:left="720"/>
        <w:rPr>
          <w:rFonts w:cs="Tahoma"/>
        </w:rPr>
      </w:pPr>
    </w:p>
    <w:p w:rsidR="000A0D35" w:rsidRPr="00A75DF9" w:rsidRDefault="000A0D35" w:rsidP="00A237D8">
      <w:pPr>
        <w:spacing w:after="60"/>
        <w:ind w:left="720"/>
        <w:rPr>
          <w:rFonts w:cs="Tahoma"/>
        </w:rPr>
      </w:pPr>
      <w:r w:rsidRPr="00A75DF9">
        <w:rPr>
          <w:rFonts w:cs="Tahoma"/>
        </w:rPr>
        <w:t>Una Licenza Subscription Add-on per Utente (SL Add-on per Utente) è una Licenza Subscription (SL) per</w:t>
      </w:r>
      <w:r w:rsidR="00A237D8">
        <w:rPr>
          <w:rFonts w:cs="Tahoma"/>
        </w:rPr>
        <w:t> </w:t>
      </w:r>
      <w:r w:rsidRPr="00A75DF9">
        <w:rPr>
          <w:rFonts w:cs="Tahoma"/>
        </w:rPr>
        <w:t>utente acquistata in aggiunta (e in associazione) a una Licenza Qualificante (o a un gruppo di Licenze Qualificanti) che offre l</w:t>
      </w:r>
      <w:r w:rsidR="00F2643E">
        <w:rPr>
          <w:rFonts w:cs="Tahoma"/>
        </w:rPr>
        <w:t>’</w:t>
      </w:r>
      <w:r w:rsidRPr="00A75DF9">
        <w:rPr>
          <w:rFonts w:cs="Tahoma"/>
        </w:rPr>
        <w:t>accesso ai Servizi Online e diritti sull</w:t>
      </w:r>
      <w:r w:rsidR="00F2643E">
        <w:rPr>
          <w:rFonts w:cs="Tahoma"/>
        </w:rPr>
        <w:t>’</w:t>
      </w:r>
      <w:r w:rsidRPr="00A75DF9">
        <w:rPr>
          <w:rFonts w:cs="Tahoma"/>
        </w:rPr>
        <w:t>utilizzo equivalenti a una Corrispondente SL per</w:t>
      </w:r>
      <w:r w:rsidR="00A237D8">
        <w:rPr>
          <w:rFonts w:cs="Tahoma"/>
        </w:rPr>
        <w:t> </w:t>
      </w:r>
      <w:r w:rsidRPr="00A75DF9">
        <w:rPr>
          <w:rFonts w:cs="Tahoma"/>
        </w:rPr>
        <w:t xml:space="preserve">Utente per i Servizi Online. </w:t>
      </w:r>
    </w:p>
    <w:p w:rsidR="000A0D35" w:rsidRPr="00A75DF9" w:rsidRDefault="000A0D35" w:rsidP="000A0D35">
      <w:pPr>
        <w:spacing w:after="60"/>
        <w:ind w:left="720"/>
        <w:rPr>
          <w:rFonts w:cs="Tahoma"/>
        </w:rPr>
      </w:pPr>
      <w:r w:rsidRPr="00A75DF9">
        <w:rPr>
          <w:rFonts w:cs="Tahoma"/>
        </w:rPr>
        <w:lastRenderedPageBreak/>
        <w:t>Nella tabella seguente è indicata la Licenza Qualificante e la Corrispondente SL per Utente per i Servizi Online per ogni SL Add-on per Utente disponibile.</w:t>
      </w:r>
    </w:p>
    <w:p w:rsidR="000A0D35" w:rsidRPr="00A75DF9" w:rsidRDefault="000A0D35" w:rsidP="00D824E9">
      <w:pPr>
        <w:rPr>
          <w:rFonts w:cs="Tahoma"/>
        </w:rPr>
      </w:pPr>
    </w:p>
    <w:tbl>
      <w:tblPr>
        <w:tblStyle w:val="TableGrid"/>
        <w:tblW w:w="8853"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09"/>
        <w:gridCol w:w="3659"/>
        <w:gridCol w:w="3885"/>
      </w:tblGrid>
      <w:tr w:rsidR="000A0D35" w:rsidRPr="00A75DF9" w:rsidTr="00A237D8">
        <w:tc>
          <w:tcPr>
            <w:tcW w:w="1309" w:type="dxa"/>
            <w:shd w:val="clear" w:color="auto" w:fill="FABF8F"/>
          </w:tcPr>
          <w:p w:rsidR="000A0D35" w:rsidRPr="00A75DF9" w:rsidRDefault="000A0D35" w:rsidP="00DB3ECB">
            <w:pPr>
              <w:jc w:val="center"/>
              <w:rPr>
                <w:rFonts w:cs="Tahoma"/>
                <w:b/>
                <w:szCs w:val="24"/>
              </w:rPr>
            </w:pPr>
            <w:r w:rsidRPr="00A75DF9">
              <w:rPr>
                <w:rFonts w:cs="Tahoma"/>
                <w:b/>
                <w:szCs w:val="24"/>
              </w:rPr>
              <w:t>Licenza Qualificante</w:t>
            </w:r>
          </w:p>
        </w:tc>
        <w:tc>
          <w:tcPr>
            <w:tcW w:w="3659" w:type="dxa"/>
            <w:shd w:val="clear" w:color="auto" w:fill="FABF8F"/>
            <w:vAlign w:val="center"/>
          </w:tcPr>
          <w:p w:rsidR="000A0D35" w:rsidRPr="00A75DF9" w:rsidRDefault="000A0D35" w:rsidP="00DB3ECB">
            <w:pPr>
              <w:jc w:val="center"/>
              <w:rPr>
                <w:rFonts w:cs="Tahoma"/>
                <w:b/>
                <w:szCs w:val="24"/>
                <w:vertAlign w:val="superscript"/>
              </w:rPr>
            </w:pPr>
            <w:r w:rsidRPr="00A75DF9">
              <w:rPr>
                <w:rFonts w:cs="Tahoma"/>
                <w:b/>
                <w:szCs w:val="24"/>
              </w:rPr>
              <w:t>SL Add-on per Utente</w:t>
            </w:r>
            <w:r w:rsidRPr="00A75DF9">
              <w:rPr>
                <w:rFonts w:cs="Tahoma"/>
                <w:b/>
                <w:szCs w:val="24"/>
                <w:vertAlign w:val="superscript"/>
              </w:rPr>
              <w:t>1</w:t>
            </w:r>
          </w:p>
        </w:tc>
        <w:tc>
          <w:tcPr>
            <w:tcW w:w="3885" w:type="dxa"/>
            <w:shd w:val="clear" w:color="auto" w:fill="FABF8F"/>
            <w:vAlign w:val="center"/>
          </w:tcPr>
          <w:p w:rsidR="000A0D35" w:rsidRPr="00A75DF9" w:rsidRDefault="000A0D35" w:rsidP="00DB3ECB">
            <w:pPr>
              <w:jc w:val="center"/>
              <w:rPr>
                <w:rFonts w:cs="Tahoma"/>
                <w:b/>
                <w:szCs w:val="24"/>
              </w:rPr>
            </w:pPr>
            <w:r w:rsidRPr="00A75DF9">
              <w:rPr>
                <w:rFonts w:cs="Tahoma"/>
                <w:b/>
                <w:szCs w:val="24"/>
              </w:rPr>
              <w:t xml:space="preserve">Corrispondente SL per Utente per </w:t>
            </w:r>
            <w:r w:rsidR="00A237D8">
              <w:rPr>
                <w:rFonts w:cs="Tahoma"/>
                <w:b/>
                <w:szCs w:val="24"/>
              </w:rPr>
              <w:br/>
            </w:r>
            <w:r w:rsidRPr="00A75DF9">
              <w:rPr>
                <w:rFonts w:cs="Tahoma"/>
                <w:b/>
                <w:szCs w:val="24"/>
              </w:rPr>
              <w:t>i Servizi Online</w:t>
            </w:r>
            <w:r w:rsidRPr="00A75DF9">
              <w:rPr>
                <w:rFonts w:cs="Tahoma"/>
                <w:b/>
                <w:szCs w:val="24"/>
                <w:vertAlign w:val="superscript"/>
              </w:rPr>
              <w:t>1</w:t>
            </w:r>
          </w:p>
        </w:tc>
      </w:tr>
      <w:tr w:rsidR="000A0D35" w:rsidRPr="00A75DF9" w:rsidTr="00A237D8">
        <w:tc>
          <w:tcPr>
            <w:tcW w:w="1309" w:type="dxa"/>
            <w:vMerge w:val="restart"/>
            <w:vAlign w:val="center"/>
          </w:tcPr>
          <w:p w:rsidR="000A0D35" w:rsidRPr="00A75DF9" w:rsidRDefault="000A0D35" w:rsidP="00DB3ECB">
            <w:pPr>
              <w:jc w:val="center"/>
              <w:rPr>
                <w:rFonts w:cs="Tahoma"/>
                <w:szCs w:val="18"/>
              </w:rPr>
            </w:pPr>
            <w:r w:rsidRPr="00A75DF9">
              <w:rPr>
                <w:rFonts w:cs="Tahoma"/>
                <w:szCs w:val="18"/>
              </w:rPr>
              <w:t>Core CAL</w:t>
            </w:r>
          </w:p>
        </w:tc>
        <w:tc>
          <w:tcPr>
            <w:tcW w:w="3659" w:type="dxa"/>
            <w:vAlign w:val="center"/>
          </w:tcPr>
          <w:p w:rsidR="000A0D35" w:rsidRPr="00A75DF9" w:rsidRDefault="000A0D35" w:rsidP="00DB3ECB">
            <w:pPr>
              <w:rPr>
                <w:rFonts w:cs="Tahoma"/>
                <w:szCs w:val="18"/>
              </w:rPr>
            </w:pPr>
            <w:r w:rsidRPr="00A75DF9">
              <w:rPr>
                <w:rFonts w:cs="Tahoma"/>
                <w:szCs w:val="18"/>
              </w:rPr>
              <w:t xml:space="preserve">Componente Aggiuntivo di Office 365 E1/G1 </w:t>
            </w:r>
          </w:p>
        </w:tc>
        <w:tc>
          <w:tcPr>
            <w:tcW w:w="3885" w:type="dxa"/>
            <w:vAlign w:val="center"/>
          </w:tcPr>
          <w:p w:rsidR="000A0D35" w:rsidRPr="00A75DF9" w:rsidRDefault="000A0D35" w:rsidP="00DB3ECB">
            <w:pPr>
              <w:rPr>
                <w:rFonts w:cs="Tahoma"/>
                <w:szCs w:val="18"/>
              </w:rPr>
            </w:pPr>
            <w:r w:rsidRPr="00A75DF9">
              <w:rPr>
                <w:rFonts w:cs="Tahoma"/>
                <w:szCs w:val="18"/>
              </w:rPr>
              <w:t>Office 365 E1/G1</w:t>
            </w:r>
          </w:p>
        </w:tc>
      </w:tr>
      <w:tr w:rsidR="000A0D35" w:rsidRPr="00A75DF9" w:rsidTr="00A237D8">
        <w:tc>
          <w:tcPr>
            <w:tcW w:w="1309" w:type="dxa"/>
            <w:vMerge/>
            <w:vAlign w:val="center"/>
          </w:tcPr>
          <w:p w:rsidR="000A0D35" w:rsidRPr="00A75DF9" w:rsidRDefault="000A0D35" w:rsidP="00DB3ECB">
            <w:pPr>
              <w:jc w:val="center"/>
              <w:rPr>
                <w:rFonts w:cs="Tahoma"/>
                <w:szCs w:val="18"/>
              </w:rPr>
            </w:pPr>
          </w:p>
        </w:tc>
        <w:tc>
          <w:tcPr>
            <w:tcW w:w="3659" w:type="dxa"/>
            <w:vAlign w:val="center"/>
          </w:tcPr>
          <w:p w:rsidR="000A0D35" w:rsidRPr="00A75DF9" w:rsidRDefault="000A0D35" w:rsidP="00947901">
            <w:pPr>
              <w:rPr>
                <w:rFonts w:cs="Tahoma"/>
                <w:szCs w:val="18"/>
              </w:rPr>
            </w:pPr>
            <w:r w:rsidRPr="00A75DF9">
              <w:rPr>
                <w:rFonts w:cs="Tahoma"/>
                <w:szCs w:val="18"/>
              </w:rPr>
              <w:t xml:space="preserve">Office 365 E3/G3 senza Componente Aggiuntivo di ProPlus </w:t>
            </w:r>
          </w:p>
        </w:tc>
        <w:tc>
          <w:tcPr>
            <w:tcW w:w="3885" w:type="dxa"/>
            <w:vAlign w:val="center"/>
          </w:tcPr>
          <w:p w:rsidR="000A0D35" w:rsidRPr="00A75DF9" w:rsidRDefault="000A0D35" w:rsidP="00947901">
            <w:pPr>
              <w:rPr>
                <w:rFonts w:cs="Tahoma"/>
                <w:szCs w:val="18"/>
              </w:rPr>
            </w:pPr>
            <w:r w:rsidRPr="00A75DF9">
              <w:rPr>
                <w:rFonts w:cs="Tahoma"/>
                <w:szCs w:val="18"/>
              </w:rPr>
              <w:t xml:space="preserve">Office 365 E3/G3 senza ProPlus </w:t>
            </w:r>
          </w:p>
        </w:tc>
      </w:tr>
      <w:tr w:rsidR="000A0D35" w:rsidRPr="00A75DF9" w:rsidTr="00A237D8">
        <w:tc>
          <w:tcPr>
            <w:tcW w:w="1309" w:type="dxa"/>
            <w:vMerge/>
            <w:vAlign w:val="center"/>
          </w:tcPr>
          <w:p w:rsidR="000A0D35" w:rsidRPr="00A75DF9" w:rsidRDefault="000A0D35" w:rsidP="00DB3ECB">
            <w:pPr>
              <w:jc w:val="center"/>
              <w:rPr>
                <w:rFonts w:cs="Tahoma"/>
                <w:szCs w:val="18"/>
              </w:rPr>
            </w:pPr>
          </w:p>
        </w:tc>
        <w:tc>
          <w:tcPr>
            <w:tcW w:w="3659" w:type="dxa"/>
            <w:vAlign w:val="center"/>
          </w:tcPr>
          <w:p w:rsidR="000A0D35" w:rsidRPr="00A75DF9" w:rsidRDefault="000A0D35" w:rsidP="00947901">
            <w:pPr>
              <w:rPr>
                <w:rFonts w:cs="Tahoma"/>
                <w:szCs w:val="18"/>
              </w:rPr>
            </w:pPr>
            <w:r w:rsidRPr="00A75DF9">
              <w:rPr>
                <w:rFonts w:cs="Tahoma"/>
                <w:szCs w:val="18"/>
              </w:rPr>
              <w:t>Office 365 E4/G4 senza Componente Aggiuntivo di ProPlus</w:t>
            </w:r>
          </w:p>
        </w:tc>
        <w:tc>
          <w:tcPr>
            <w:tcW w:w="3885" w:type="dxa"/>
            <w:vAlign w:val="center"/>
          </w:tcPr>
          <w:p w:rsidR="000A0D35" w:rsidRPr="00A75DF9" w:rsidRDefault="000A0D35" w:rsidP="00DB3ECB">
            <w:pPr>
              <w:rPr>
                <w:rFonts w:cs="Tahoma"/>
                <w:szCs w:val="18"/>
              </w:rPr>
            </w:pPr>
            <w:r w:rsidRPr="00A75DF9">
              <w:rPr>
                <w:rFonts w:cs="Tahoma"/>
                <w:szCs w:val="18"/>
              </w:rPr>
              <w:t xml:space="preserve">Office 365 E4/G4 senza ProPlus </w:t>
            </w:r>
          </w:p>
        </w:tc>
      </w:tr>
      <w:tr w:rsidR="000A0D35" w:rsidRPr="00A75DF9" w:rsidTr="00A237D8">
        <w:tc>
          <w:tcPr>
            <w:tcW w:w="1309" w:type="dxa"/>
            <w:vMerge/>
            <w:vAlign w:val="center"/>
          </w:tcPr>
          <w:p w:rsidR="000A0D35" w:rsidRPr="00A75DF9" w:rsidRDefault="000A0D35" w:rsidP="00DB3ECB">
            <w:pPr>
              <w:jc w:val="center"/>
              <w:rPr>
                <w:rFonts w:cs="Tahoma"/>
                <w:szCs w:val="18"/>
              </w:rPr>
            </w:pPr>
          </w:p>
        </w:tc>
        <w:tc>
          <w:tcPr>
            <w:tcW w:w="3659" w:type="dxa"/>
            <w:vAlign w:val="center"/>
          </w:tcPr>
          <w:p w:rsidR="000A0D35" w:rsidRPr="00A75DF9" w:rsidRDefault="000A0D35" w:rsidP="00DB3ECB">
            <w:pPr>
              <w:rPr>
                <w:rFonts w:cs="Tahoma"/>
                <w:szCs w:val="18"/>
              </w:rPr>
            </w:pPr>
            <w:r w:rsidRPr="00A75DF9">
              <w:rPr>
                <w:rFonts w:cs="Tahoma"/>
                <w:szCs w:val="18"/>
              </w:rPr>
              <w:t>Componente Aggiuntivo di Exchange Online Piano 1</w:t>
            </w:r>
          </w:p>
        </w:tc>
        <w:tc>
          <w:tcPr>
            <w:tcW w:w="3885" w:type="dxa"/>
            <w:vAlign w:val="center"/>
          </w:tcPr>
          <w:p w:rsidR="000A0D35" w:rsidRPr="00A75DF9" w:rsidRDefault="000A0D35" w:rsidP="00DB3ECB">
            <w:pPr>
              <w:rPr>
                <w:rFonts w:cs="Tahoma"/>
                <w:szCs w:val="18"/>
              </w:rPr>
            </w:pPr>
            <w:r w:rsidRPr="00A75DF9">
              <w:rPr>
                <w:rFonts w:cs="Tahoma"/>
                <w:szCs w:val="18"/>
              </w:rPr>
              <w:t>Exchange Online Piano 1</w:t>
            </w:r>
          </w:p>
        </w:tc>
      </w:tr>
      <w:tr w:rsidR="000A0D35" w:rsidRPr="00A75DF9" w:rsidTr="00A237D8">
        <w:tc>
          <w:tcPr>
            <w:tcW w:w="1309" w:type="dxa"/>
            <w:vMerge/>
            <w:vAlign w:val="center"/>
          </w:tcPr>
          <w:p w:rsidR="000A0D35" w:rsidRPr="00A75DF9" w:rsidRDefault="000A0D35" w:rsidP="00DB3ECB">
            <w:pPr>
              <w:jc w:val="center"/>
              <w:rPr>
                <w:rFonts w:cs="Tahoma"/>
                <w:szCs w:val="18"/>
              </w:rPr>
            </w:pPr>
          </w:p>
        </w:tc>
        <w:tc>
          <w:tcPr>
            <w:tcW w:w="3659" w:type="dxa"/>
            <w:vAlign w:val="center"/>
          </w:tcPr>
          <w:p w:rsidR="000A0D35" w:rsidRPr="00A75DF9" w:rsidRDefault="000A0D35" w:rsidP="00DB3ECB">
            <w:pPr>
              <w:rPr>
                <w:rFonts w:cs="Tahoma"/>
                <w:szCs w:val="18"/>
              </w:rPr>
            </w:pPr>
          </w:p>
        </w:tc>
        <w:tc>
          <w:tcPr>
            <w:tcW w:w="3885" w:type="dxa"/>
            <w:vAlign w:val="center"/>
          </w:tcPr>
          <w:p w:rsidR="000A0D35" w:rsidRPr="00A75DF9" w:rsidRDefault="000A0D35" w:rsidP="00DB3ECB">
            <w:pPr>
              <w:rPr>
                <w:rFonts w:cs="Tahoma"/>
                <w:szCs w:val="18"/>
              </w:rPr>
            </w:pPr>
          </w:p>
        </w:tc>
      </w:tr>
      <w:tr w:rsidR="000A0D35" w:rsidRPr="00A75DF9" w:rsidTr="00A237D8">
        <w:tc>
          <w:tcPr>
            <w:tcW w:w="1309" w:type="dxa"/>
            <w:vMerge/>
            <w:vAlign w:val="center"/>
          </w:tcPr>
          <w:p w:rsidR="000A0D35" w:rsidRPr="00A75DF9" w:rsidRDefault="000A0D35" w:rsidP="00DB3ECB">
            <w:pPr>
              <w:jc w:val="center"/>
              <w:rPr>
                <w:rFonts w:cs="Tahoma"/>
                <w:szCs w:val="18"/>
              </w:rPr>
            </w:pPr>
          </w:p>
        </w:tc>
        <w:tc>
          <w:tcPr>
            <w:tcW w:w="3659" w:type="dxa"/>
            <w:vAlign w:val="center"/>
          </w:tcPr>
          <w:p w:rsidR="000A0D35" w:rsidRPr="00A75DF9" w:rsidRDefault="000A0D35" w:rsidP="00DB3ECB">
            <w:pPr>
              <w:rPr>
                <w:rFonts w:cs="Tahoma"/>
                <w:szCs w:val="18"/>
              </w:rPr>
            </w:pPr>
            <w:r w:rsidRPr="00A75DF9">
              <w:rPr>
                <w:rFonts w:cs="Tahoma"/>
                <w:szCs w:val="18"/>
              </w:rPr>
              <w:t>Componente Aggiuntivo di Lync Online Piano 1</w:t>
            </w:r>
          </w:p>
        </w:tc>
        <w:tc>
          <w:tcPr>
            <w:tcW w:w="3885" w:type="dxa"/>
            <w:vAlign w:val="center"/>
          </w:tcPr>
          <w:p w:rsidR="000A0D35" w:rsidRPr="00A75DF9" w:rsidRDefault="000A0D35" w:rsidP="00DB3ECB">
            <w:pPr>
              <w:rPr>
                <w:rFonts w:cs="Tahoma"/>
                <w:szCs w:val="18"/>
              </w:rPr>
            </w:pPr>
            <w:r w:rsidRPr="00A75DF9">
              <w:rPr>
                <w:rFonts w:cs="Tahoma"/>
                <w:szCs w:val="18"/>
              </w:rPr>
              <w:t>Lync Online Piano 1</w:t>
            </w:r>
          </w:p>
        </w:tc>
      </w:tr>
      <w:tr w:rsidR="000A0D35" w:rsidRPr="00A75DF9" w:rsidTr="00A237D8">
        <w:tc>
          <w:tcPr>
            <w:tcW w:w="1309" w:type="dxa"/>
            <w:vMerge/>
            <w:vAlign w:val="center"/>
          </w:tcPr>
          <w:p w:rsidR="000A0D35" w:rsidRPr="00A75DF9" w:rsidRDefault="000A0D35" w:rsidP="00DB3ECB">
            <w:pPr>
              <w:jc w:val="center"/>
              <w:rPr>
                <w:rFonts w:cs="Tahoma"/>
                <w:szCs w:val="18"/>
              </w:rPr>
            </w:pPr>
          </w:p>
        </w:tc>
        <w:tc>
          <w:tcPr>
            <w:tcW w:w="3659" w:type="dxa"/>
            <w:vAlign w:val="center"/>
          </w:tcPr>
          <w:p w:rsidR="000A0D35" w:rsidRPr="00A75DF9" w:rsidRDefault="000A0D35" w:rsidP="00DB3ECB">
            <w:pPr>
              <w:rPr>
                <w:rFonts w:cs="Tahoma"/>
                <w:szCs w:val="18"/>
              </w:rPr>
            </w:pPr>
            <w:r w:rsidRPr="00A75DF9">
              <w:rPr>
                <w:rFonts w:cs="Tahoma"/>
                <w:szCs w:val="18"/>
              </w:rPr>
              <w:t>SharePoint Online Piano 1 con Componente Aggiuntivo di Yammer</w:t>
            </w:r>
          </w:p>
        </w:tc>
        <w:tc>
          <w:tcPr>
            <w:tcW w:w="3885" w:type="dxa"/>
            <w:vAlign w:val="center"/>
          </w:tcPr>
          <w:p w:rsidR="000A0D35" w:rsidRPr="00A75DF9" w:rsidRDefault="000A0D35" w:rsidP="00541ED5">
            <w:pPr>
              <w:rPr>
                <w:rFonts w:cs="Tahoma"/>
                <w:szCs w:val="18"/>
              </w:rPr>
            </w:pPr>
            <w:r w:rsidRPr="00A75DF9">
              <w:rPr>
                <w:rFonts w:cs="Tahoma"/>
                <w:szCs w:val="18"/>
              </w:rPr>
              <w:t>SharePoint Online Piano 1 e Yammer Enterprise</w:t>
            </w:r>
          </w:p>
        </w:tc>
      </w:tr>
      <w:tr w:rsidR="000A0D35" w:rsidRPr="00A75DF9" w:rsidTr="00A237D8">
        <w:tc>
          <w:tcPr>
            <w:tcW w:w="1309" w:type="dxa"/>
            <w:vMerge w:val="restart"/>
            <w:vAlign w:val="center"/>
          </w:tcPr>
          <w:p w:rsidR="000A0D35" w:rsidRPr="00A75DF9" w:rsidRDefault="000A0D35" w:rsidP="00DB3ECB">
            <w:pPr>
              <w:jc w:val="center"/>
              <w:rPr>
                <w:rFonts w:cs="Tahoma"/>
              </w:rPr>
            </w:pPr>
            <w:r w:rsidRPr="00A75DF9">
              <w:rPr>
                <w:rFonts w:cs="Tahoma"/>
                <w:szCs w:val="18"/>
              </w:rPr>
              <w:t xml:space="preserve">Core CAL Suite + </w:t>
            </w:r>
          </w:p>
          <w:p w:rsidR="000A0D35" w:rsidRPr="00A75DF9" w:rsidRDefault="000A0D35" w:rsidP="00DB3ECB">
            <w:pPr>
              <w:jc w:val="center"/>
              <w:rPr>
                <w:rFonts w:cs="Tahoma"/>
                <w:szCs w:val="18"/>
              </w:rPr>
            </w:pPr>
            <w:r w:rsidRPr="00A75DF9">
              <w:rPr>
                <w:rFonts w:cs="Tahoma"/>
                <w:szCs w:val="18"/>
              </w:rPr>
              <w:t>Office Professional Plus</w:t>
            </w:r>
          </w:p>
        </w:tc>
        <w:tc>
          <w:tcPr>
            <w:tcW w:w="3659" w:type="dxa"/>
            <w:vAlign w:val="center"/>
          </w:tcPr>
          <w:p w:rsidR="000A0D35" w:rsidRPr="00A75DF9" w:rsidRDefault="000A0D35" w:rsidP="00DB3ECB">
            <w:pPr>
              <w:rPr>
                <w:rFonts w:cs="Tahoma"/>
                <w:szCs w:val="18"/>
              </w:rPr>
            </w:pPr>
            <w:r w:rsidRPr="00A75DF9">
              <w:rPr>
                <w:rFonts w:cs="Tahoma"/>
                <w:szCs w:val="18"/>
              </w:rPr>
              <w:t xml:space="preserve">Componente Aggiuntivo di Office 365 E1/G1 </w:t>
            </w:r>
          </w:p>
        </w:tc>
        <w:tc>
          <w:tcPr>
            <w:tcW w:w="3885" w:type="dxa"/>
            <w:vAlign w:val="center"/>
          </w:tcPr>
          <w:p w:rsidR="000A0D35" w:rsidRPr="00A75DF9" w:rsidRDefault="000A0D35" w:rsidP="00DB3ECB">
            <w:pPr>
              <w:rPr>
                <w:rFonts w:cs="Tahoma"/>
                <w:szCs w:val="18"/>
              </w:rPr>
            </w:pPr>
            <w:r w:rsidRPr="00A75DF9">
              <w:rPr>
                <w:rFonts w:cs="Tahoma"/>
                <w:szCs w:val="18"/>
              </w:rPr>
              <w:t>Office 365 E1/G1</w:t>
            </w:r>
          </w:p>
        </w:tc>
      </w:tr>
      <w:tr w:rsidR="000A0D35" w:rsidRPr="00A75DF9" w:rsidTr="00A237D8">
        <w:tc>
          <w:tcPr>
            <w:tcW w:w="1309" w:type="dxa"/>
            <w:vMerge/>
          </w:tcPr>
          <w:p w:rsidR="000A0D35" w:rsidRPr="00A75DF9" w:rsidRDefault="000A0D35" w:rsidP="00DB3ECB">
            <w:pPr>
              <w:rPr>
                <w:rFonts w:cs="Tahoma"/>
                <w:szCs w:val="18"/>
              </w:rPr>
            </w:pPr>
          </w:p>
        </w:tc>
        <w:tc>
          <w:tcPr>
            <w:tcW w:w="3659" w:type="dxa"/>
            <w:vAlign w:val="center"/>
          </w:tcPr>
          <w:p w:rsidR="000A0D35" w:rsidRPr="00A75DF9" w:rsidRDefault="000A0D35" w:rsidP="00947901">
            <w:pPr>
              <w:rPr>
                <w:rFonts w:cs="Tahoma"/>
                <w:szCs w:val="18"/>
              </w:rPr>
            </w:pPr>
            <w:r w:rsidRPr="00A75DF9">
              <w:rPr>
                <w:rFonts w:cs="Tahoma"/>
                <w:szCs w:val="18"/>
              </w:rPr>
              <w:t>Office 365 E3/G3 senza Componente Aggiuntivo di ProPlus</w:t>
            </w:r>
          </w:p>
        </w:tc>
        <w:tc>
          <w:tcPr>
            <w:tcW w:w="3885" w:type="dxa"/>
            <w:vAlign w:val="center"/>
          </w:tcPr>
          <w:p w:rsidR="000A0D35" w:rsidRPr="00A75DF9" w:rsidRDefault="000A0D35" w:rsidP="00947901">
            <w:pPr>
              <w:rPr>
                <w:rFonts w:cs="Tahoma"/>
                <w:szCs w:val="18"/>
              </w:rPr>
            </w:pPr>
            <w:r w:rsidRPr="00A75DF9">
              <w:rPr>
                <w:rFonts w:cs="Tahoma"/>
                <w:szCs w:val="18"/>
              </w:rPr>
              <w:t>Office 365 E3/G3 senza ProPlus</w:t>
            </w:r>
            <w:r w:rsidRPr="00A75DF9">
              <w:rPr>
                <w:rFonts w:cs="Tahoma"/>
                <w:szCs w:val="18"/>
                <w:vertAlign w:val="superscript"/>
              </w:rPr>
              <w:t>2</w:t>
            </w:r>
          </w:p>
        </w:tc>
      </w:tr>
      <w:tr w:rsidR="000A0D35" w:rsidRPr="00A75DF9" w:rsidTr="00A237D8">
        <w:tc>
          <w:tcPr>
            <w:tcW w:w="1309" w:type="dxa"/>
            <w:vMerge/>
          </w:tcPr>
          <w:p w:rsidR="000A0D35" w:rsidRPr="00A75DF9" w:rsidRDefault="000A0D35" w:rsidP="00DB3ECB">
            <w:pPr>
              <w:rPr>
                <w:rFonts w:cs="Tahoma"/>
                <w:szCs w:val="18"/>
              </w:rPr>
            </w:pPr>
          </w:p>
        </w:tc>
        <w:tc>
          <w:tcPr>
            <w:tcW w:w="3659" w:type="dxa"/>
            <w:vAlign w:val="center"/>
          </w:tcPr>
          <w:p w:rsidR="000A0D35" w:rsidRPr="00A75DF9" w:rsidRDefault="000A0D35" w:rsidP="00DB3ECB">
            <w:pPr>
              <w:rPr>
                <w:rFonts w:cs="Tahoma"/>
                <w:szCs w:val="18"/>
              </w:rPr>
            </w:pPr>
            <w:r w:rsidRPr="00A75DF9">
              <w:rPr>
                <w:rFonts w:cs="Tahoma"/>
                <w:szCs w:val="18"/>
              </w:rPr>
              <w:t>Componente Aggiuntivo di Office 365 E3/G3</w:t>
            </w:r>
          </w:p>
        </w:tc>
        <w:tc>
          <w:tcPr>
            <w:tcW w:w="3885" w:type="dxa"/>
            <w:vAlign w:val="center"/>
          </w:tcPr>
          <w:p w:rsidR="000A0D35" w:rsidRPr="00A75DF9" w:rsidRDefault="000A0D35" w:rsidP="00DB3ECB">
            <w:pPr>
              <w:rPr>
                <w:rFonts w:cs="Tahoma"/>
                <w:szCs w:val="18"/>
              </w:rPr>
            </w:pPr>
            <w:r w:rsidRPr="00A75DF9">
              <w:rPr>
                <w:rFonts w:cs="Tahoma"/>
                <w:szCs w:val="18"/>
              </w:rPr>
              <w:t>Office 365 E3/G3</w:t>
            </w:r>
          </w:p>
        </w:tc>
      </w:tr>
      <w:tr w:rsidR="000A0D35" w:rsidRPr="00A75DF9" w:rsidTr="00A237D8">
        <w:tc>
          <w:tcPr>
            <w:tcW w:w="1309" w:type="dxa"/>
            <w:vMerge/>
          </w:tcPr>
          <w:p w:rsidR="000A0D35" w:rsidRPr="00A75DF9" w:rsidRDefault="000A0D35" w:rsidP="00DB3ECB">
            <w:pPr>
              <w:rPr>
                <w:rFonts w:cs="Tahoma"/>
                <w:szCs w:val="18"/>
              </w:rPr>
            </w:pPr>
          </w:p>
        </w:tc>
        <w:tc>
          <w:tcPr>
            <w:tcW w:w="3659" w:type="dxa"/>
            <w:vAlign w:val="center"/>
          </w:tcPr>
          <w:p w:rsidR="000A0D35" w:rsidRPr="00A75DF9" w:rsidRDefault="000A0D35" w:rsidP="00947901">
            <w:pPr>
              <w:rPr>
                <w:rFonts w:cs="Tahoma"/>
                <w:szCs w:val="18"/>
              </w:rPr>
            </w:pPr>
            <w:r w:rsidRPr="00A75DF9">
              <w:rPr>
                <w:rFonts w:cs="Tahoma"/>
                <w:szCs w:val="18"/>
              </w:rPr>
              <w:t>Office 365 E4/G4 senza Componente Aggiuntivo di ProPlus</w:t>
            </w:r>
          </w:p>
        </w:tc>
        <w:tc>
          <w:tcPr>
            <w:tcW w:w="3885" w:type="dxa"/>
            <w:vAlign w:val="center"/>
          </w:tcPr>
          <w:p w:rsidR="000A0D35" w:rsidRPr="00A75DF9" w:rsidRDefault="000A0D35" w:rsidP="00DB3ECB">
            <w:pPr>
              <w:rPr>
                <w:rFonts w:cs="Tahoma"/>
                <w:szCs w:val="18"/>
              </w:rPr>
            </w:pPr>
            <w:r w:rsidRPr="00A75DF9">
              <w:rPr>
                <w:rFonts w:cs="Tahoma"/>
                <w:szCs w:val="18"/>
              </w:rPr>
              <w:t>Office 365 E4/G4 senza ProPlus</w:t>
            </w:r>
            <w:r w:rsidRPr="00A75DF9">
              <w:rPr>
                <w:rFonts w:cs="Tahoma"/>
                <w:szCs w:val="18"/>
                <w:vertAlign w:val="superscript"/>
              </w:rPr>
              <w:t>2</w:t>
            </w:r>
          </w:p>
        </w:tc>
      </w:tr>
      <w:tr w:rsidR="000A0D35" w:rsidRPr="00A75DF9" w:rsidTr="00A237D8">
        <w:tc>
          <w:tcPr>
            <w:tcW w:w="1309" w:type="dxa"/>
            <w:vMerge/>
          </w:tcPr>
          <w:p w:rsidR="000A0D35" w:rsidRPr="00A75DF9" w:rsidRDefault="000A0D35" w:rsidP="00DB3ECB">
            <w:pPr>
              <w:rPr>
                <w:rFonts w:cs="Tahoma"/>
                <w:szCs w:val="18"/>
              </w:rPr>
            </w:pPr>
          </w:p>
        </w:tc>
        <w:tc>
          <w:tcPr>
            <w:tcW w:w="3659" w:type="dxa"/>
            <w:vAlign w:val="center"/>
          </w:tcPr>
          <w:p w:rsidR="000A0D35" w:rsidRPr="00A75DF9" w:rsidRDefault="000A0D35" w:rsidP="00DB3ECB">
            <w:pPr>
              <w:rPr>
                <w:rFonts w:cs="Tahoma"/>
                <w:szCs w:val="18"/>
              </w:rPr>
            </w:pPr>
            <w:r w:rsidRPr="00A75DF9">
              <w:rPr>
                <w:rFonts w:cs="Tahoma"/>
                <w:szCs w:val="18"/>
              </w:rPr>
              <w:t>Componente Aggiuntivo di Office 365 E4/G4</w:t>
            </w:r>
          </w:p>
        </w:tc>
        <w:tc>
          <w:tcPr>
            <w:tcW w:w="3885" w:type="dxa"/>
            <w:vAlign w:val="center"/>
          </w:tcPr>
          <w:p w:rsidR="000A0D35" w:rsidRPr="00A75DF9" w:rsidRDefault="000A0D35" w:rsidP="00DB3ECB">
            <w:pPr>
              <w:rPr>
                <w:rFonts w:cs="Tahoma"/>
                <w:szCs w:val="18"/>
              </w:rPr>
            </w:pPr>
            <w:r w:rsidRPr="00A75DF9">
              <w:rPr>
                <w:rFonts w:cs="Tahoma"/>
                <w:szCs w:val="18"/>
              </w:rPr>
              <w:t>Office 365 E4/G4</w:t>
            </w:r>
          </w:p>
        </w:tc>
      </w:tr>
      <w:tr w:rsidR="000A0D35" w:rsidRPr="00A75DF9" w:rsidTr="00A237D8">
        <w:tc>
          <w:tcPr>
            <w:tcW w:w="1309" w:type="dxa"/>
            <w:vMerge/>
          </w:tcPr>
          <w:p w:rsidR="000A0D35" w:rsidRPr="00A75DF9" w:rsidRDefault="000A0D35" w:rsidP="00DB3ECB">
            <w:pPr>
              <w:rPr>
                <w:rFonts w:cs="Tahoma"/>
                <w:szCs w:val="18"/>
              </w:rPr>
            </w:pPr>
          </w:p>
        </w:tc>
        <w:tc>
          <w:tcPr>
            <w:tcW w:w="3659" w:type="dxa"/>
            <w:vAlign w:val="center"/>
          </w:tcPr>
          <w:p w:rsidR="000A0D35" w:rsidRPr="00A75DF9" w:rsidRDefault="000A0D35" w:rsidP="00DB3ECB">
            <w:pPr>
              <w:rPr>
                <w:rFonts w:cs="Tahoma"/>
                <w:szCs w:val="18"/>
              </w:rPr>
            </w:pPr>
            <w:r w:rsidRPr="00A75DF9">
              <w:rPr>
                <w:rFonts w:cs="Tahoma"/>
                <w:szCs w:val="18"/>
              </w:rPr>
              <w:t>Componente Aggiuntivo di Exchange Online Piano 1</w:t>
            </w:r>
          </w:p>
        </w:tc>
        <w:tc>
          <w:tcPr>
            <w:tcW w:w="3885" w:type="dxa"/>
            <w:vAlign w:val="center"/>
          </w:tcPr>
          <w:p w:rsidR="000A0D35" w:rsidRPr="00A75DF9" w:rsidRDefault="000A0D35" w:rsidP="00DB3ECB">
            <w:pPr>
              <w:rPr>
                <w:rFonts w:cs="Tahoma"/>
                <w:szCs w:val="18"/>
              </w:rPr>
            </w:pPr>
            <w:r w:rsidRPr="00A75DF9">
              <w:rPr>
                <w:rFonts w:cs="Tahoma"/>
                <w:szCs w:val="18"/>
              </w:rPr>
              <w:t>Exchange Online Piano 1</w:t>
            </w:r>
          </w:p>
        </w:tc>
      </w:tr>
      <w:tr w:rsidR="00A42F94" w:rsidRPr="00A75DF9" w:rsidTr="00A237D8">
        <w:tc>
          <w:tcPr>
            <w:tcW w:w="1309" w:type="dxa"/>
            <w:vMerge/>
          </w:tcPr>
          <w:p w:rsidR="00A42F94" w:rsidRPr="00A75DF9" w:rsidRDefault="00A42F94" w:rsidP="00A42F94">
            <w:pPr>
              <w:rPr>
                <w:rFonts w:cs="Tahoma"/>
                <w:szCs w:val="18"/>
              </w:rPr>
            </w:pPr>
          </w:p>
        </w:tc>
        <w:tc>
          <w:tcPr>
            <w:tcW w:w="3659" w:type="dxa"/>
            <w:vAlign w:val="center"/>
          </w:tcPr>
          <w:p w:rsidR="00A42F94" w:rsidRPr="00A75DF9" w:rsidRDefault="00A42F94" w:rsidP="00A42F94">
            <w:pPr>
              <w:rPr>
                <w:rFonts w:cs="Tahoma"/>
                <w:szCs w:val="18"/>
              </w:rPr>
            </w:pPr>
            <w:r w:rsidRPr="00A75DF9">
              <w:rPr>
                <w:rFonts w:cs="Tahoma"/>
                <w:szCs w:val="18"/>
              </w:rPr>
              <w:t>Componente Aggiuntivo di Lync Online Piano 1</w:t>
            </w:r>
          </w:p>
        </w:tc>
        <w:tc>
          <w:tcPr>
            <w:tcW w:w="3885" w:type="dxa"/>
            <w:vAlign w:val="center"/>
          </w:tcPr>
          <w:p w:rsidR="00A42F94" w:rsidRPr="00A75DF9" w:rsidRDefault="00A42F94" w:rsidP="00A42F94">
            <w:pPr>
              <w:rPr>
                <w:rFonts w:cs="Tahoma"/>
                <w:szCs w:val="18"/>
              </w:rPr>
            </w:pPr>
            <w:r w:rsidRPr="00A75DF9">
              <w:rPr>
                <w:rFonts w:cs="Tahoma"/>
                <w:szCs w:val="18"/>
              </w:rPr>
              <w:t>Lync Online Piano 1</w:t>
            </w:r>
          </w:p>
        </w:tc>
      </w:tr>
      <w:tr w:rsidR="00A42F94" w:rsidRPr="00A75DF9" w:rsidTr="00A237D8">
        <w:tc>
          <w:tcPr>
            <w:tcW w:w="1309" w:type="dxa"/>
            <w:vMerge/>
          </w:tcPr>
          <w:p w:rsidR="00A42F94" w:rsidRPr="00A75DF9" w:rsidRDefault="00A42F94" w:rsidP="00A42F94">
            <w:pPr>
              <w:rPr>
                <w:rFonts w:cs="Tahoma"/>
                <w:szCs w:val="18"/>
              </w:rPr>
            </w:pPr>
          </w:p>
        </w:tc>
        <w:tc>
          <w:tcPr>
            <w:tcW w:w="3659" w:type="dxa"/>
            <w:vAlign w:val="center"/>
          </w:tcPr>
          <w:p w:rsidR="00A42F94" w:rsidRPr="00A75DF9" w:rsidRDefault="00A42F94" w:rsidP="00A42F94">
            <w:pPr>
              <w:rPr>
                <w:rFonts w:cs="Tahoma"/>
                <w:szCs w:val="18"/>
              </w:rPr>
            </w:pPr>
            <w:r w:rsidRPr="00A75DF9">
              <w:rPr>
                <w:rFonts w:cs="Tahoma"/>
                <w:szCs w:val="18"/>
              </w:rPr>
              <w:t>SharePoint Online Piano 1 con Componente Aggiuntivo di Yammer</w:t>
            </w:r>
          </w:p>
        </w:tc>
        <w:tc>
          <w:tcPr>
            <w:tcW w:w="3885" w:type="dxa"/>
            <w:vAlign w:val="center"/>
          </w:tcPr>
          <w:p w:rsidR="00A42F94" w:rsidRPr="00A75DF9" w:rsidRDefault="00A42F94" w:rsidP="00A42F94">
            <w:pPr>
              <w:rPr>
                <w:rFonts w:cs="Tahoma"/>
                <w:szCs w:val="18"/>
              </w:rPr>
            </w:pPr>
            <w:r w:rsidRPr="00A75DF9">
              <w:rPr>
                <w:rFonts w:cs="Tahoma"/>
                <w:szCs w:val="18"/>
              </w:rPr>
              <w:t xml:space="preserve">SharePoint Online Piano 1 e Yammer Enterprise </w:t>
            </w:r>
          </w:p>
        </w:tc>
      </w:tr>
      <w:tr w:rsidR="00343766" w:rsidRPr="00A75DF9" w:rsidTr="00A237D8">
        <w:tc>
          <w:tcPr>
            <w:tcW w:w="1309" w:type="dxa"/>
            <w:vMerge w:val="restart"/>
            <w:vAlign w:val="center"/>
          </w:tcPr>
          <w:p w:rsidR="00343766" w:rsidRPr="00A75DF9" w:rsidRDefault="00343766" w:rsidP="00DB3ECB">
            <w:pPr>
              <w:jc w:val="center"/>
              <w:rPr>
                <w:rFonts w:cs="Tahoma"/>
                <w:szCs w:val="18"/>
              </w:rPr>
            </w:pPr>
            <w:r w:rsidRPr="00A75DF9">
              <w:rPr>
                <w:rFonts w:cs="Tahoma"/>
                <w:szCs w:val="18"/>
              </w:rPr>
              <w:t>Enterprise CAL Suite</w:t>
            </w:r>
          </w:p>
        </w:tc>
        <w:tc>
          <w:tcPr>
            <w:tcW w:w="3659" w:type="dxa"/>
            <w:vAlign w:val="center"/>
          </w:tcPr>
          <w:p w:rsidR="00343766" w:rsidRPr="00A75DF9" w:rsidRDefault="00343766" w:rsidP="009917CD">
            <w:pPr>
              <w:rPr>
                <w:rFonts w:cs="Tahoma"/>
                <w:szCs w:val="18"/>
              </w:rPr>
            </w:pPr>
            <w:r w:rsidRPr="00A75DF9">
              <w:rPr>
                <w:rFonts w:cs="Tahoma"/>
                <w:szCs w:val="18"/>
              </w:rPr>
              <w:t>Office 365 E3/G3 senza Componente Aggiuntivo di ProPlus</w:t>
            </w:r>
          </w:p>
        </w:tc>
        <w:tc>
          <w:tcPr>
            <w:tcW w:w="3885" w:type="dxa"/>
            <w:vAlign w:val="center"/>
          </w:tcPr>
          <w:p w:rsidR="00343766" w:rsidRPr="00A75DF9" w:rsidRDefault="00343766" w:rsidP="009917CD">
            <w:pPr>
              <w:rPr>
                <w:rFonts w:cs="Tahoma"/>
                <w:szCs w:val="18"/>
              </w:rPr>
            </w:pPr>
            <w:r w:rsidRPr="00A75DF9">
              <w:rPr>
                <w:rFonts w:cs="Tahoma"/>
                <w:szCs w:val="18"/>
              </w:rPr>
              <w:t>Office 365 E3/G3 senza ProPlus</w:t>
            </w:r>
            <w:r w:rsidRPr="00A75DF9">
              <w:rPr>
                <w:rFonts w:cs="Tahoma"/>
                <w:szCs w:val="18"/>
                <w:vertAlign w:val="superscript"/>
              </w:rPr>
              <w:t>2</w:t>
            </w:r>
          </w:p>
        </w:tc>
      </w:tr>
      <w:tr w:rsidR="00343766" w:rsidRPr="00A75DF9" w:rsidTr="00A237D8">
        <w:tc>
          <w:tcPr>
            <w:tcW w:w="1309" w:type="dxa"/>
            <w:vMerge/>
          </w:tcPr>
          <w:p w:rsidR="00343766" w:rsidRPr="00A75DF9" w:rsidRDefault="00343766" w:rsidP="00DB3ECB">
            <w:pPr>
              <w:jc w:val="center"/>
              <w:rPr>
                <w:rFonts w:cs="Tahoma"/>
                <w:szCs w:val="18"/>
              </w:rPr>
            </w:pPr>
          </w:p>
        </w:tc>
        <w:tc>
          <w:tcPr>
            <w:tcW w:w="3659" w:type="dxa"/>
            <w:vAlign w:val="center"/>
          </w:tcPr>
          <w:p w:rsidR="00343766" w:rsidRPr="00A75DF9" w:rsidRDefault="00343766" w:rsidP="009917CD">
            <w:pPr>
              <w:rPr>
                <w:rFonts w:cs="Tahoma"/>
                <w:szCs w:val="18"/>
              </w:rPr>
            </w:pPr>
            <w:r w:rsidRPr="00A75DF9">
              <w:rPr>
                <w:rFonts w:cs="Tahoma"/>
                <w:szCs w:val="18"/>
              </w:rPr>
              <w:t>Office 365 E4/G4 senza Componente Aggiuntivo di ProPlus</w:t>
            </w:r>
          </w:p>
        </w:tc>
        <w:tc>
          <w:tcPr>
            <w:tcW w:w="3885" w:type="dxa"/>
            <w:vAlign w:val="center"/>
          </w:tcPr>
          <w:p w:rsidR="00343766" w:rsidRPr="00A75DF9" w:rsidRDefault="00343766" w:rsidP="00DB3ECB">
            <w:pPr>
              <w:rPr>
                <w:rFonts w:cs="Tahoma"/>
                <w:szCs w:val="18"/>
              </w:rPr>
            </w:pPr>
            <w:r w:rsidRPr="00A75DF9">
              <w:rPr>
                <w:rFonts w:cs="Tahoma"/>
                <w:szCs w:val="18"/>
              </w:rPr>
              <w:t>Office 365 E4/G4 senza ProPlus</w:t>
            </w:r>
            <w:r w:rsidRPr="00A75DF9">
              <w:rPr>
                <w:rFonts w:cs="Tahoma"/>
                <w:szCs w:val="18"/>
                <w:vertAlign w:val="superscript"/>
              </w:rPr>
              <w:t>2</w:t>
            </w:r>
          </w:p>
        </w:tc>
      </w:tr>
      <w:tr w:rsidR="00343766" w:rsidRPr="00A75DF9" w:rsidTr="00A237D8">
        <w:tc>
          <w:tcPr>
            <w:tcW w:w="1309" w:type="dxa"/>
            <w:vMerge/>
          </w:tcPr>
          <w:p w:rsidR="00343766" w:rsidRPr="00A75DF9" w:rsidRDefault="00343766" w:rsidP="00DB3ECB">
            <w:pPr>
              <w:jc w:val="center"/>
              <w:rPr>
                <w:rFonts w:cs="Tahoma"/>
                <w:szCs w:val="18"/>
              </w:rPr>
            </w:pPr>
          </w:p>
        </w:tc>
        <w:tc>
          <w:tcPr>
            <w:tcW w:w="3659" w:type="dxa"/>
            <w:vAlign w:val="center"/>
          </w:tcPr>
          <w:p w:rsidR="00343766" w:rsidRPr="00A75DF9" w:rsidRDefault="00343766" w:rsidP="009917CD">
            <w:pPr>
              <w:rPr>
                <w:rFonts w:cs="Tahoma"/>
                <w:szCs w:val="18"/>
              </w:rPr>
            </w:pPr>
            <w:r w:rsidRPr="00A75DF9">
              <w:rPr>
                <w:rFonts w:cs="Tahoma"/>
                <w:szCs w:val="18"/>
              </w:rPr>
              <w:t>Componente Aggiuntivo di Windows Azure Active Directory Rights Management</w:t>
            </w:r>
          </w:p>
        </w:tc>
        <w:tc>
          <w:tcPr>
            <w:tcW w:w="3885" w:type="dxa"/>
            <w:vAlign w:val="center"/>
          </w:tcPr>
          <w:p w:rsidR="00343766" w:rsidRPr="00A75DF9" w:rsidRDefault="00343766" w:rsidP="00DB3ECB">
            <w:pPr>
              <w:rPr>
                <w:rFonts w:cs="Tahoma"/>
                <w:szCs w:val="18"/>
              </w:rPr>
            </w:pPr>
            <w:r w:rsidRPr="00A75DF9">
              <w:rPr>
                <w:rFonts w:cs="Tahoma"/>
                <w:szCs w:val="18"/>
              </w:rPr>
              <w:t>Windows Azure Active Directory Rights Management</w:t>
            </w:r>
          </w:p>
        </w:tc>
      </w:tr>
      <w:tr w:rsidR="00343766" w:rsidRPr="00A75DF9" w:rsidTr="00A237D8">
        <w:tc>
          <w:tcPr>
            <w:tcW w:w="1309" w:type="dxa"/>
            <w:vMerge w:val="restart"/>
            <w:vAlign w:val="center"/>
          </w:tcPr>
          <w:p w:rsidR="00343766" w:rsidRPr="00A75DF9" w:rsidRDefault="00343766" w:rsidP="00DB3ECB">
            <w:pPr>
              <w:jc w:val="center"/>
              <w:rPr>
                <w:rFonts w:cs="Tahoma"/>
              </w:rPr>
            </w:pPr>
            <w:r w:rsidRPr="00A75DF9">
              <w:rPr>
                <w:rFonts w:cs="Tahoma"/>
                <w:szCs w:val="18"/>
              </w:rPr>
              <w:t xml:space="preserve">Enterprise CAL Suite + </w:t>
            </w:r>
          </w:p>
          <w:p w:rsidR="00343766" w:rsidRPr="00A75DF9" w:rsidRDefault="00343766" w:rsidP="00DB3ECB">
            <w:pPr>
              <w:jc w:val="center"/>
              <w:rPr>
                <w:rFonts w:cs="Tahoma"/>
                <w:szCs w:val="18"/>
              </w:rPr>
            </w:pPr>
            <w:r w:rsidRPr="00A75DF9">
              <w:rPr>
                <w:rFonts w:cs="Tahoma"/>
                <w:szCs w:val="18"/>
              </w:rPr>
              <w:t>Office Professional Plus</w:t>
            </w:r>
          </w:p>
        </w:tc>
        <w:tc>
          <w:tcPr>
            <w:tcW w:w="3659" w:type="dxa"/>
            <w:vAlign w:val="center"/>
          </w:tcPr>
          <w:p w:rsidR="00343766" w:rsidRPr="00A75DF9" w:rsidRDefault="00343766" w:rsidP="009917CD">
            <w:pPr>
              <w:rPr>
                <w:rFonts w:cs="Tahoma"/>
                <w:szCs w:val="18"/>
              </w:rPr>
            </w:pPr>
            <w:r w:rsidRPr="00A75DF9">
              <w:rPr>
                <w:rFonts w:cs="Tahoma"/>
                <w:szCs w:val="18"/>
              </w:rPr>
              <w:t>Office 365 E3/G3 senza Componente Aggiuntivo di ProPlus</w:t>
            </w:r>
          </w:p>
        </w:tc>
        <w:tc>
          <w:tcPr>
            <w:tcW w:w="3885" w:type="dxa"/>
            <w:vAlign w:val="center"/>
          </w:tcPr>
          <w:p w:rsidR="00343766" w:rsidRPr="00A75DF9" w:rsidRDefault="00343766" w:rsidP="009917CD">
            <w:pPr>
              <w:rPr>
                <w:rFonts w:cs="Tahoma"/>
                <w:szCs w:val="18"/>
              </w:rPr>
            </w:pPr>
            <w:r w:rsidRPr="00A75DF9">
              <w:rPr>
                <w:rFonts w:cs="Tahoma"/>
                <w:szCs w:val="18"/>
              </w:rPr>
              <w:t>Office 365 E3/G3 senza ProPlus</w:t>
            </w:r>
            <w:r w:rsidRPr="00A75DF9">
              <w:rPr>
                <w:rFonts w:cs="Tahoma"/>
                <w:szCs w:val="18"/>
                <w:vertAlign w:val="superscript"/>
              </w:rPr>
              <w:t>2</w:t>
            </w:r>
          </w:p>
        </w:tc>
      </w:tr>
      <w:tr w:rsidR="00343766" w:rsidRPr="00A75DF9" w:rsidTr="00A237D8">
        <w:tc>
          <w:tcPr>
            <w:tcW w:w="1309" w:type="dxa"/>
            <w:vMerge/>
          </w:tcPr>
          <w:p w:rsidR="00343766" w:rsidRPr="00A75DF9" w:rsidRDefault="00343766" w:rsidP="00DB3ECB">
            <w:pPr>
              <w:jc w:val="center"/>
              <w:rPr>
                <w:rFonts w:cs="Tahoma"/>
                <w:szCs w:val="18"/>
              </w:rPr>
            </w:pPr>
          </w:p>
        </w:tc>
        <w:tc>
          <w:tcPr>
            <w:tcW w:w="3659" w:type="dxa"/>
            <w:vAlign w:val="center"/>
          </w:tcPr>
          <w:p w:rsidR="00343766" w:rsidRPr="00A75DF9" w:rsidRDefault="00343766" w:rsidP="00DB3ECB">
            <w:pPr>
              <w:rPr>
                <w:rFonts w:cs="Tahoma"/>
                <w:szCs w:val="18"/>
              </w:rPr>
            </w:pPr>
            <w:r w:rsidRPr="00A75DF9">
              <w:rPr>
                <w:rFonts w:cs="Tahoma"/>
                <w:szCs w:val="18"/>
              </w:rPr>
              <w:t>Componente Aggiuntivo di Office 365 E3/G3</w:t>
            </w:r>
          </w:p>
        </w:tc>
        <w:tc>
          <w:tcPr>
            <w:tcW w:w="3885" w:type="dxa"/>
            <w:vAlign w:val="center"/>
          </w:tcPr>
          <w:p w:rsidR="00343766" w:rsidRPr="00A75DF9" w:rsidRDefault="00343766" w:rsidP="00DB3ECB">
            <w:pPr>
              <w:rPr>
                <w:rFonts w:cs="Tahoma"/>
                <w:szCs w:val="18"/>
              </w:rPr>
            </w:pPr>
            <w:r w:rsidRPr="00A75DF9">
              <w:rPr>
                <w:rFonts w:cs="Tahoma"/>
                <w:szCs w:val="18"/>
              </w:rPr>
              <w:t>Componente Aggiuntivo di Office 365 E3/G3</w:t>
            </w:r>
          </w:p>
        </w:tc>
      </w:tr>
      <w:tr w:rsidR="00343766" w:rsidRPr="00A75DF9" w:rsidTr="00A237D8">
        <w:tc>
          <w:tcPr>
            <w:tcW w:w="1309" w:type="dxa"/>
            <w:vMerge/>
          </w:tcPr>
          <w:p w:rsidR="00343766" w:rsidRPr="00A75DF9" w:rsidRDefault="00343766" w:rsidP="00DB3ECB">
            <w:pPr>
              <w:jc w:val="center"/>
              <w:rPr>
                <w:rFonts w:cs="Tahoma"/>
                <w:szCs w:val="18"/>
              </w:rPr>
            </w:pPr>
          </w:p>
        </w:tc>
        <w:tc>
          <w:tcPr>
            <w:tcW w:w="3659" w:type="dxa"/>
            <w:vAlign w:val="center"/>
          </w:tcPr>
          <w:p w:rsidR="00343766" w:rsidRPr="00A75DF9" w:rsidRDefault="00343766" w:rsidP="009917CD">
            <w:pPr>
              <w:rPr>
                <w:rFonts w:cs="Tahoma"/>
                <w:szCs w:val="18"/>
              </w:rPr>
            </w:pPr>
            <w:r w:rsidRPr="00A75DF9">
              <w:rPr>
                <w:rFonts w:cs="Tahoma"/>
                <w:szCs w:val="18"/>
              </w:rPr>
              <w:t>Office 365 E4/G4 senza Componente Aggiuntivo di ProPlus</w:t>
            </w:r>
          </w:p>
        </w:tc>
        <w:tc>
          <w:tcPr>
            <w:tcW w:w="3885" w:type="dxa"/>
            <w:vAlign w:val="center"/>
          </w:tcPr>
          <w:p w:rsidR="00343766" w:rsidRPr="00A75DF9" w:rsidRDefault="00343766" w:rsidP="009917CD">
            <w:pPr>
              <w:rPr>
                <w:rFonts w:cs="Tahoma"/>
                <w:szCs w:val="18"/>
              </w:rPr>
            </w:pPr>
            <w:r w:rsidRPr="00A75DF9">
              <w:rPr>
                <w:rFonts w:cs="Tahoma"/>
                <w:szCs w:val="18"/>
              </w:rPr>
              <w:t>Office 365 E4/G4 senza ProPlus</w:t>
            </w:r>
            <w:r w:rsidRPr="00A75DF9">
              <w:rPr>
                <w:rFonts w:cs="Tahoma"/>
                <w:szCs w:val="18"/>
                <w:vertAlign w:val="superscript"/>
              </w:rPr>
              <w:t>2</w:t>
            </w:r>
          </w:p>
        </w:tc>
      </w:tr>
      <w:tr w:rsidR="00343766" w:rsidRPr="00A75DF9" w:rsidTr="00A237D8">
        <w:tc>
          <w:tcPr>
            <w:tcW w:w="1309" w:type="dxa"/>
            <w:vMerge/>
          </w:tcPr>
          <w:p w:rsidR="00343766" w:rsidRPr="00A75DF9" w:rsidRDefault="00343766" w:rsidP="00DB3ECB">
            <w:pPr>
              <w:jc w:val="center"/>
              <w:rPr>
                <w:rFonts w:cs="Tahoma"/>
                <w:szCs w:val="18"/>
              </w:rPr>
            </w:pPr>
          </w:p>
        </w:tc>
        <w:tc>
          <w:tcPr>
            <w:tcW w:w="3659" w:type="dxa"/>
            <w:vAlign w:val="center"/>
          </w:tcPr>
          <w:p w:rsidR="00343766" w:rsidRPr="00A75DF9" w:rsidRDefault="00343766" w:rsidP="00DB3ECB">
            <w:pPr>
              <w:rPr>
                <w:rFonts w:cs="Tahoma"/>
                <w:szCs w:val="18"/>
              </w:rPr>
            </w:pPr>
            <w:r w:rsidRPr="00A75DF9">
              <w:rPr>
                <w:rFonts w:cs="Tahoma"/>
                <w:szCs w:val="18"/>
              </w:rPr>
              <w:t>Componente Aggiuntivo di Office 365 E4/G4</w:t>
            </w:r>
          </w:p>
        </w:tc>
        <w:tc>
          <w:tcPr>
            <w:tcW w:w="3885" w:type="dxa"/>
            <w:vAlign w:val="center"/>
          </w:tcPr>
          <w:p w:rsidR="00343766" w:rsidRPr="00A75DF9" w:rsidRDefault="00343766" w:rsidP="00DB3ECB">
            <w:pPr>
              <w:rPr>
                <w:rFonts w:cs="Tahoma"/>
                <w:szCs w:val="18"/>
              </w:rPr>
            </w:pPr>
            <w:r w:rsidRPr="00A75DF9">
              <w:rPr>
                <w:rFonts w:cs="Tahoma"/>
                <w:szCs w:val="18"/>
              </w:rPr>
              <w:t>Office 365 E4/G4</w:t>
            </w:r>
          </w:p>
        </w:tc>
      </w:tr>
      <w:tr w:rsidR="00343766" w:rsidRPr="00A75DF9" w:rsidTr="00A237D8">
        <w:tc>
          <w:tcPr>
            <w:tcW w:w="1309" w:type="dxa"/>
            <w:vMerge/>
          </w:tcPr>
          <w:p w:rsidR="00343766" w:rsidRPr="00A75DF9" w:rsidRDefault="00343766" w:rsidP="00DB3ECB">
            <w:pPr>
              <w:jc w:val="center"/>
              <w:rPr>
                <w:rFonts w:cs="Tahoma"/>
                <w:szCs w:val="18"/>
              </w:rPr>
            </w:pPr>
          </w:p>
        </w:tc>
        <w:tc>
          <w:tcPr>
            <w:tcW w:w="3659" w:type="dxa"/>
            <w:vAlign w:val="center"/>
          </w:tcPr>
          <w:p w:rsidR="00343766" w:rsidRPr="00A75DF9" w:rsidRDefault="00343766" w:rsidP="00DB3ECB">
            <w:pPr>
              <w:rPr>
                <w:rFonts w:cs="Tahoma"/>
                <w:szCs w:val="18"/>
              </w:rPr>
            </w:pPr>
            <w:r w:rsidRPr="00A75DF9">
              <w:rPr>
                <w:rFonts w:cs="Tahoma"/>
                <w:szCs w:val="18"/>
              </w:rPr>
              <w:t>Componente Aggiuntivo di Windows Azure Active Directory Rights Management</w:t>
            </w:r>
          </w:p>
        </w:tc>
        <w:tc>
          <w:tcPr>
            <w:tcW w:w="3885" w:type="dxa"/>
            <w:vAlign w:val="center"/>
          </w:tcPr>
          <w:p w:rsidR="00343766" w:rsidRPr="00A75DF9" w:rsidRDefault="00343766" w:rsidP="00DB3ECB">
            <w:pPr>
              <w:rPr>
                <w:rFonts w:cs="Tahoma"/>
                <w:szCs w:val="18"/>
              </w:rPr>
            </w:pPr>
            <w:r w:rsidRPr="00A75DF9">
              <w:rPr>
                <w:rFonts w:cs="Tahoma"/>
                <w:szCs w:val="18"/>
              </w:rPr>
              <w:t>Windows Azure Active Directory Rights Management</w:t>
            </w:r>
          </w:p>
        </w:tc>
      </w:tr>
    </w:tbl>
    <w:p w:rsidR="00541ED5" w:rsidRPr="00A75DF9" w:rsidRDefault="00541ED5" w:rsidP="000A0D35">
      <w:pPr>
        <w:ind w:left="720"/>
        <w:rPr>
          <w:rFonts w:cs="Tahoma"/>
        </w:rPr>
      </w:pPr>
    </w:p>
    <w:p w:rsidR="000A0D35" w:rsidRPr="00A75DF9" w:rsidRDefault="000A0D35" w:rsidP="00A237D8">
      <w:pPr>
        <w:ind w:left="720"/>
        <w:rPr>
          <w:rFonts w:cs="Tahoma"/>
        </w:rPr>
      </w:pPr>
      <w:r w:rsidRPr="00A75DF9">
        <w:rPr>
          <w:rFonts w:cs="Tahoma"/>
          <w:szCs w:val="24"/>
          <w:vertAlign w:val="superscript"/>
        </w:rPr>
        <w:t>1</w:t>
      </w:r>
      <w:r w:rsidRPr="00A75DF9">
        <w:rPr>
          <w:rFonts w:cs="Tahoma"/>
          <w:sz w:val="16"/>
          <w:szCs w:val="24"/>
        </w:rPr>
        <w:t>Nella tabella precedente, l</w:t>
      </w:r>
      <w:r w:rsidR="00F2643E">
        <w:rPr>
          <w:rFonts w:cs="Tahoma"/>
          <w:sz w:val="16"/>
          <w:szCs w:val="24"/>
        </w:rPr>
        <w:t>’</w:t>
      </w:r>
      <w:r w:rsidRPr="00A75DF9">
        <w:rPr>
          <w:rFonts w:cs="Tahoma"/>
          <w:sz w:val="16"/>
          <w:szCs w:val="24"/>
        </w:rPr>
        <w:t>utilizzo della “E” nelle denominazioni delle SL Add-on per Utente e delle Corrispondenti SL per</w:t>
      </w:r>
      <w:r w:rsidR="00A237D8">
        <w:rPr>
          <w:rFonts w:cs="Tahoma"/>
          <w:sz w:val="16"/>
          <w:szCs w:val="24"/>
        </w:rPr>
        <w:t> </w:t>
      </w:r>
      <w:r w:rsidRPr="00A75DF9">
        <w:rPr>
          <w:rFonts w:cs="Tahoma"/>
          <w:sz w:val="16"/>
          <w:szCs w:val="24"/>
        </w:rPr>
        <w:t>Utente per i Servizi Online non sta a indicare che tali prodotti sono offerti come Prodotti Enterprise.</w:t>
      </w:r>
      <w:r w:rsidR="009D3B41" w:rsidRPr="00A75DF9">
        <w:rPr>
          <w:rFonts w:cs="Tahoma"/>
          <w:sz w:val="16"/>
          <w:szCs w:val="24"/>
        </w:rPr>
        <w:t xml:space="preserve"> </w:t>
      </w:r>
      <w:r w:rsidRPr="00A75DF9">
        <w:rPr>
          <w:rFonts w:cs="Tahoma"/>
          <w:sz w:val="16"/>
          <w:szCs w:val="24"/>
        </w:rPr>
        <w:t>Si tratta invece di un</w:t>
      </w:r>
      <w:r w:rsidR="00F2643E">
        <w:rPr>
          <w:rFonts w:cs="Tahoma"/>
          <w:sz w:val="16"/>
          <w:szCs w:val="24"/>
        </w:rPr>
        <w:t>’</w:t>
      </w:r>
      <w:r w:rsidRPr="00A75DF9">
        <w:rPr>
          <w:rFonts w:cs="Tahoma"/>
          <w:sz w:val="16"/>
          <w:szCs w:val="24"/>
        </w:rPr>
        <w:t>abbreviazione dei nomi dei prodotti Office 365, dove “E” sostituisce la parola Enterprise e “G” la parola Government.</w:t>
      </w:r>
    </w:p>
    <w:p w:rsidR="00FB1E38" w:rsidRPr="00A75DF9" w:rsidRDefault="00FB1E38" w:rsidP="00FB1E38">
      <w:pPr>
        <w:ind w:left="720"/>
        <w:rPr>
          <w:rFonts w:cs="Tahoma"/>
        </w:rPr>
      </w:pPr>
      <w:r w:rsidRPr="00A75DF9">
        <w:rPr>
          <w:rFonts w:cs="Tahoma"/>
          <w:sz w:val="16"/>
          <w:szCs w:val="24"/>
          <w:vertAlign w:val="superscript"/>
        </w:rPr>
        <w:t>2</w:t>
      </w:r>
      <w:r w:rsidRPr="00A75DF9">
        <w:rPr>
          <w:rFonts w:cs="Tahoma"/>
          <w:sz w:val="16"/>
          <w:szCs w:val="24"/>
        </w:rPr>
        <w:t>Le famiglie di prodotti Office 365 senza ProPlus sono disponibili solo tramite una USL Add-on</w:t>
      </w:r>
      <w:r w:rsidRPr="00A75DF9">
        <w:rPr>
          <w:rFonts w:cs="Tahoma"/>
          <w:szCs w:val="24"/>
        </w:rPr>
        <w:t>.</w:t>
      </w:r>
    </w:p>
    <w:p w:rsidR="000A0D35" w:rsidRPr="00A75DF9" w:rsidRDefault="000A0D35" w:rsidP="000A0D35">
      <w:pPr>
        <w:ind w:left="720"/>
        <w:rPr>
          <w:rFonts w:cs="Tahoma"/>
        </w:rPr>
      </w:pPr>
    </w:p>
    <w:p w:rsidR="000A0D35" w:rsidRPr="00A75DF9" w:rsidRDefault="000A0D35" w:rsidP="000A0D35">
      <w:pPr>
        <w:ind w:left="720"/>
        <w:rPr>
          <w:rFonts w:cs="Tahoma"/>
        </w:rPr>
      </w:pPr>
      <w:r w:rsidRPr="00A75DF9">
        <w:rPr>
          <w:rFonts w:cs="Tahoma"/>
          <w:szCs w:val="24"/>
        </w:rPr>
        <w:t xml:space="preserve">Le condizioni che seguono si applicano alle SL Add-on per Utente elencate nella tabella precedente. </w:t>
      </w:r>
    </w:p>
    <w:p w:rsidR="000A0D35" w:rsidRPr="00A75DF9" w:rsidRDefault="000A0D35" w:rsidP="000A0D35">
      <w:pPr>
        <w:ind w:left="900"/>
        <w:rPr>
          <w:rFonts w:cs="Tahoma"/>
        </w:rPr>
      </w:pPr>
    </w:p>
    <w:p w:rsidR="000A0D35" w:rsidRPr="00A75DF9" w:rsidRDefault="000A0D35" w:rsidP="000A0D35">
      <w:pPr>
        <w:keepNext/>
        <w:spacing w:after="60"/>
        <w:ind w:left="720"/>
        <w:rPr>
          <w:rFonts w:cs="Tahoma"/>
        </w:rPr>
      </w:pPr>
      <w:r w:rsidRPr="00A75DF9">
        <w:rPr>
          <w:rFonts w:eastAsia="Calibri" w:cs="Tahoma"/>
          <w:b/>
          <w:color w:val="000000"/>
          <w:szCs w:val="18"/>
        </w:rPr>
        <w:lastRenderedPageBreak/>
        <w:t>Idoneità all</w:t>
      </w:r>
      <w:r w:rsidR="00F2643E">
        <w:rPr>
          <w:rFonts w:eastAsia="Calibri" w:cs="Tahoma"/>
          <w:b/>
          <w:color w:val="000000"/>
          <w:szCs w:val="18"/>
        </w:rPr>
        <w:t>’</w:t>
      </w:r>
      <w:r w:rsidRPr="00A75DF9">
        <w:rPr>
          <w:rFonts w:eastAsia="Calibri" w:cs="Tahoma"/>
          <w:b/>
          <w:color w:val="000000"/>
          <w:szCs w:val="18"/>
        </w:rPr>
        <w:t>Acquisto</w:t>
      </w:r>
    </w:p>
    <w:p w:rsidR="000A0D35" w:rsidRPr="00A75DF9" w:rsidRDefault="000A0D35" w:rsidP="000A0D35">
      <w:pPr>
        <w:spacing w:after="60"/>
        <w:ind w:left="720"/>
        <w:rPr>
          <w:rFonts w:cs="Tahoma"/>
        </w:rPr>
      </w:pPr>
      <w:r w:rsidRPr="00A75DF9">
        <w:rPr>
          <w:rFonts w:cs="Tahoma"/>
          <w:szCs w:val="24"/>
        </w:rPr>
        <w:t xml:space="preserve">Per acquistare una SL Add-on per Utente: </w:t>
      </w:r>
    </w:p>
    <w:p w:rsidR="000A0D35" w:rsidRPr="00A237D8" w:rsidRDefault="000A0D35" w:rsidP="00A237D8">
      <w:pPr>
        <w:pStyle w:val="ListParagraph"/>
        <w:numPr>
          <w:ilvl w:val="0"/>
          <w:numId w:val="141"/>
        </w:numPr>
        <w:spacing w:after="60"/>
        <w:rPr>
          <w:rFonts w:ascii="Tahoma" w:hAnsi="Tahoma" w:cs="Tahoma"/>
          <w:sz w:val="18"/>
          <w:szCs w:val="18"/>
        </w:rPr>
      </w:pPr>
      <w:r w:rsidRPr="00A237D8">
        <w:rPr>
          <w:rFonts w:ascii="Tahoma" w:hAnsi="Tahoma" w:cs="Tahoma"/>
          <w:sz w:val="18"/>
          <w:szCs w:val="18"/>
        </w:rPr>
        <w:t>Le Società dovranno disporre di un</w:t>
      </w:r>
      <w:r w:rsidR="00F2643E">
        <w:rPr>
          <w:rFonts w:ascii="Tahoma" w:hAnsi="Tahoma" w:cs="Tahoma"/>
          <w:sz w:val="18"/>
          <w:szCs w:val="18"/>
        </w:rPr>
        <w:t>’</w:t>
      </w:r>
      <w:r w:rsidRPr="00A237D8">
        <w:rPr>
          <w:rFonts w:ascii="Tahoma" w:hAnsi="Tahoma" w:cs="Tahoma"/>
          <w:sz w:val="18"/>
          <w:szCs w:val="18"/>
        </w:rPr>
        <w:t>Iscrizione Enterprise attiva con Software Assurance attiva per la</w:t>
      </w:r>
      <w:r w:rsidR="00A237D8">
        <w:rPr>
          <w:rFonts w:ascii="Tahoma" w:hAnsi="Tahoma" w:cs="Tahoma"/>
          <w:sz w:val="18"/>
          <w:szCs w:val="18"/>
        </w:rPr>
        <w:t> </w:t>
      </w:r>
      <w:r w:rsidRPr="00A237D8">
        <w:rPr>
          <w:rFonts w:ascii="Tahoma" w:hAnsi="Tahoma" w:cs="Tahoma"/>
          <w:sz w:val="18"/>
          <w:szCs w:val="18"/>
        </w:rPr>
        <w:t xml:space="preserve">Licenza Qualificante corrispondente. La Licenza Qualificante potrà essere per utente o per dispositivo. </w:t>
      </w:r>
    </w:p>
    <w:p w:rsidR="000A0D35" w:rsidRPr="00A237D8" w:rsidRDefault="000A0D35" w:rsidP="000A0D35">
      <w:pPr>
        <w:pStyle w:val="ListParagraph"/>
        <w:numPr>
          <w:ilvl w:val="0"/>
          <w:numId w:val="141"/>
        </w:numPr>
        <w:spacing w:after="60"/>
        <w:rPr>
          <w:rFonts w:ascii="Tahoma" w:hAnsi="Tahoma" w:cs="Tahoma"/>
          <w:sz w:val="18"/>
          <w:szCs w:val="18"/>
        </w:rPr>
      </w:pPr>
      <w:r w:rsidRPr="00A237D8">
        <w:rPr>
          <w:rFonts w:ascii="Tahoma" w:hAnsi="Tahoma" w:cs="Tahoma"/>
          <w:sz w:val="18"/>
          <w:szCs w:val="18"/>
        </w:rPr>
        <w:t>Le Società con una versione di MBSA anteriore al 2010 devono firmare le Condizioni Supplementari per i Servizi Online.</w:t>
      </w:r>
    </w:p>
    <w:p w:rsidR="000A0D35" w:rsidRPr="00A237D8" w:rsidRDefault="000A0D35" w:rsidP="000A0D35">
      <w:pPr>
        <w:pStyle w:val="ListParagraph"/>
        <w:tabs>
          <w:tab w:val="left" w:pos="1440"/>
        </w:tabs>
        <w:spacing w:after="60"/>
        <w:ind w:left="1800"/>
        <w:rPr>
          <w:rFonts w:ascii="Tahoma" w:hAnsi="Tahoma" w:cs="Tahoma"/>
          <w:sz w:val="18"/>
          <w:szCs w:val="18"/>
        </w:rPr>
      </w:pPr>
    </w:p>
    <w:p w:rsidR="000A0D35" w:rsidRPr="00A75DF9" w:rsidRDefault="000A0D35" w:rsidP="000A0D35">
      <w:pPr>
        <w:keepNext/>
        <w:spacing w:after="60"/>
        <w:ind w:left="720"/>
        <w:rPr>
          <w:rFonts w:cs="Tahoma"/>
        </w:rPr>
      </w:pPr>
      <w:r w:rsidRPr="00A75DF9">
        <w:rPr>
          <w:rFonts w:eastAsia="Calibri" w:cs="Tahoma"/>
          <w:b/>
          <w:color w:val="000000"/>
          <w:szCs w:val="18"/>
        </w:rPr>
        <w:t>Limitazioni Relative all</w:t>
      </w:r>
      <w:r w:rsidR="00F2643E">
        <w:rPr>
          <w:rFonts w:eastAsia="Calibri" w:cs="Tahoma"/>
          <w:b/>
          <w:color w:val="000000"/>
          <w:szCs w:val="18"/>
        </w:rPr>
        <w:t>’</w:t>
      </w:r>
      <w:r w:rsidRPr="00A75DF9">
        <w:rPr>
          <w:rFonts w:eastAsia="Calibri" w:cs="Tahoma"/>
          <w:b/>
          <w:color w:val="000000"/>
          <w:szCs w:val="18"/>
        </w:rPr>
        <w:t>Acquisto</w:t>
      </w:r>
    </w:p>
    <w:p w:rsidR="000A0D35" w:rsidRPr="00A75DF9" w:rsidRDefault="000A0D35" w:rsidP="00A237D8">
      <w:pPr>
        <w:spacing w:after="60"/>
        <w:ind w:left="720"/>
        <w:rPr>
          <w:rFonts w:cs="Tahoma"/>
        </w:rPr>
      </w:pPr>
      <w:r w:rsidRPr="00A75DF9">
        <w:rPr>
          <w:rFonts w:cs="Tahoma"/>
          <w:szCs w:val="24"/>
        </w:rPr>
        <w:t>Per ogni Licenza Qualificante (o gruppo di Licenze Qualificanti) è possibile acquistare solo una SL Add-on per</w:t>
      </w:r>
      <w:r w:rsidR="00A237D8">
        <w:rPr>
          <w:rFonts w:cs="Tahoma"/>
          <w:szCs w:val="24"/>
        </w:rPr>
        <w:t> </w:t>
      </w:r>
      <w:r w:rsidRPr="00A75DF9">
        <w:rPr>
          <w:rFonts w:cs="Tahoma"/>
          <w:szCs w:val="24"/>
        </w:rPr>
        <w:t>Utente.</w:t>
      </w:r>
    </w:p>
    <w:p w:rsidR="00343766" w:rsidRPr="00A75DF9" w:rsidRDefault="00343766" w:rsidP="000A0D35">
      <w:pPr>
        <w:spacing w:after="60"/>
        <w:ind w:left="720"/>
        <w:rPr>
          <w:rFonts w:cs="Tahoma"/>
        </w:rPr>
      </w:pPr>
    </w:p>
    <w:p w:rsidR="00343766" w:rsidRPr="00A75DF9" w:rsidRDefault="00343766" w:rsidP="00A237D8">
      <w:pPr>
        <w:ind w:left="720"/>
        <w:rPr>
          <w:rFonts w:cs="Tahoma"/>
        </w:rPr>
      </w:pPr>
      <w:r w:rsidRPr="00A75DF9">
        <w:rPr>
          <w:rFonts w:cs="Tahoma"/>
        </w:rPr>
        <w:t>Le società potranno acquistare SL Add-On per Utente per gli utenti o gli utenti di dispositivi aggiunti al</w:t>
      </w:r>
      <w:r w:rsidR="00A237D8">
        <w:rPr>
          <w:rFonts w:cs="Tahoma"/>
        </w:rPr>
        <w:t> </w:t>
      </w:r>
      <w:r w:rsidRPr="00A75DF9">
        <w:rPr>
          <w:rFonts w:cs="Tahoma"/>
        </w:rPr>
        <w:t>numero di utenti o dispositivi di un Iscrizione Enterprise tra le date di true-up (vale a dire, prima dell</w:t>
      </w:r>
      <w:r w:rsidR="00F2643E">
        <w:rPr>
          <w:rFonts w:cs="Tahoma"/>
        </w:rPr>
        <w:t>’</w:t>
      </w:r>
      <w:r w:rsidRPr="00A75DF9">
        <w:rPr>
          <w:rFonts w:cs="Tahoma"/>
        </w:rPr>
        <w:t>acquisto delle licenze qualificanti), rispettando la stessa limitazione di una SL Add-on per Utente per</w:t>
      </w:r>
      <w:r w:rsidR="00A237D8">
        <w:rPr>
          <w:rFonts w:cs="Tahoma"/>
        </w:rPr>
        <w:t> </w:t>
      </w:r>
      <w:r w:rsidRPr="00A75DF9">
        <w:rPr>
          <w:rFonts w:cs="Tahoma"/>
        </w:rPr>
        <w:t>licenza qualificante (o gruppo di Licenze Qualificanti).</w:t>
      </w:r>
    </w:p>
    <w:p w:rsidR="000A0D35" w:rsidRPr="00A75DF9" w:rsidRDefault="000A0D35" w:rsidP="000A0D35">
      <w:pPr>
        <w:spacing w:after="60"/>
        <w:ind w:left="720"/>
        <w:rPr>
          <w:rFonts w:cs="Tahoma"/>
        </w:rPr>
      </w:pPr>
    </w:p>
    <w:p w:rsidR="000A0D35" w:rsidRPr="00A75DF9" w:rsidRDefault="000A0D35" w:rsidP="000A0D35">
      <w:pPr>
        <w:keepNext/>
        <w:spacing w:after="60"/>
        <w:ind w:left="720"/>
        <w:rPr>
          <w:rFonts w:cs="Tahoma"/>
        </w:rPr>
      </w:pPr>
      <w:r w:rsidRPr="00A75DF9">
        <w:rPr>
          <w:rFonts w:eastAsia="Calibri" w:cs="Tahoma"/>
          <w:b/>
          <w:color w:val="000000"/>
          <w:szCs w:val="18"/>
        </w:rPr>
        <w:t>Assegnazione delle Licenze</w:t>
      </w:r>
    </w:p>
    <w:p w:rsidR="000A0D35" w:rsidRPr="00A75DF9" w:rsidRDefault="000A0D35" w:rsidP="00D824E9">
      <w:pPr>
        <w:ind w:left="720"/>
        <w:rPr>
          <w:rFonts w:cs="Tahoma"/>
        </w:rPr>
      </w:pPr>
      <w:r w:rsidRPr="00A75DF9">
        <w:rPr>
          <w:rFonts w:cs="Tahoma"/>
          <w:szCs w:val="24"/>
        </w:rPr>
        <w:t>Ogni SL Add-on per Utente deve essere assegnata a un unico Utente Qualificato (come definito nell</w:t>
      </w:r>
      <w:r w:rsidR="00F2643E">
        <w:rPr>
          <w:rFonts w:cs="Tahoma"/>
          <w:szCs w:val="24"/>
        </w:rPr>
        <w:t>’</w:t>
      </w:r>
      <w:r w:rsidRPr="00A75DF9">
        <w:rPr>
          <w:rFonts w:cs="Tahoma"/>
          <w:szCs w:val="24"/>
        </w:rPr>
        <w:t xml:space="preserve">Iscrizione Enterprise della Società). Le SL Add-on per Utente possono essere riassegnate ad altri Utenti Qualificati in conformità alle Condizioni Universali di Licenza dei Diritti di Utilizzo del Prodotto (Product Use Rights o PUR) dei Contratti Multilicenza Microsoft che disciplinano la riassegnazione delle SL per Utente. </w:t>
      </w:r>
    </w:p>
    <w:p w:rsidR="000A0D35" w:rsidRPr="00A75DF9" w:rsidRDefault="000A0D35" w:rsidP="000A0D35">
      <w:pPr>
        <w:spacing w:after="60"/>
        <w:ind w:left="720"/>
        <w:rPr>
          <w:rFonts w:cs="Tahoma"/>
        </w:rPr>
      </w:pPr>
    </w:p>
    <w:p w:rsidR="000A0D35" w:rsidRPr="00A75DF9" w:rsidRDefault="000A0D35" w:rsidP="000A0D35">
      <w:pPr>
        <w:keepNext/>
        <w:spacing w:after="60"/>
        <w:ind w:left="720"/>
        <w:rPr>
          <w:rFonts w:cs="Tahoma"/>
        </w:rPr>
      </w:pPr>
      <w:r w:rsidRPr="00A75DF9">
        <w:rPr>
          <w:rFonts w:eastAsia="Calibri" w:cs="Tahoma"/>
          <w:b/>
          <w:color w:val="000000"/>
          <w:szCs w:val="18"/>
        </w:rPr>
        <w:t>Diritti sull</w:t>
      </w:r>
      <w:r w:rsidR="00F2643E">
        <w:rPr>
          <w:rFonts w:eastAsia="Calibri" w:cs="Tahoma"/>
          <w:b/>
          <w:color w:val="000000"/>
          <w:szCs w:val="18"/>
        </w:rPr>
        <w:t>’</w:t>
      </w:r>
      <w:r w:rsidRPr="00A75DF9">
        <w:rPr>
          <w:rFonts w:eastAsia="Calibri" w:cs="Tahoma"/>
          <w:b/>
          <w:color w:val="000000"/>
          <w:szCs w:val="18"/>
        </w:rPr>
        <w:t>Utilizzo</w:t>
      </w:r>
    </w:p>
    <w:p w:rsidR="000A0D35" w:rsidRPr="00A75DF9" w:rsidRDefault="000A0D35" w:rsidP="00D824E9">
      <w:pPr>
        <w:ind w:left="720"/>
        <w:rPr>
          <w:rFonts w:cs="Tahoma"/>
        </w:rPr>
      </w:pPr>
      <w:r w:rsidRPr="00A75DF9">
        <w:rPr>
          <w:rFonts w:eastAsia="Calibri" w:cs="Tahoma"/>
          <w:color w:val="000000"/>
          <w:szCs w:val="18"/>
        </w:rPr>
        <w:t>Ogni SL Add-on per Utente offre diritti sull</w:t>
      </w:r>
      <w:r w:rsidR="00F2643E">
        <w:rPr>
          <w:rFonts w:eastAsia="Calibri" w:cs="Tahoma"/>
          <w:color w:val="000000"/>
          <w:szCs w:val="18"/>
        </w:rPr>
        <w:t>’</w:t>
      </w:r>
      <w:r w:rsidRPr="00A75DF9">
        <w:rPr>
          <w:rFonts w:eastAsia="Calibri" w:cs="Tahoma"/>
          <w:color w:val="000000"/>
          <w:szCs w:val="18"/>
        </w:rPr>
        <w:t>utilizzo equivalenti a quelli della Corrispondente SL per Utente per i Servizi Online. I</w:t>
      </w:r>
      <w:r w:rsidRPr="00A75DF9">
        <w:rPr>
          <w:rFonts w:cs="Tahoma"/>
          <w:szCs w:val="24"/>
        </w:rPr>
        <w:t xml:space="preserve"> diritti sull</w:t>
      </w:r>
      <w:r w:rsidR="00F2643E">
        <w:rPr>
          <w:rFonts w:cs="Tahoma"/>
          <w:szCs w:val="24"/>
        </w:rPr>
        <w:t>’</w:t>
      </w:r>
      <w:r w:rsidRPr="00A75DF9">
        <w:rPr>
          <w:rFonts w:cs="Tahoma"/>
          <w:szCs w:val="24"/>
        </w:rPr>
        <w:t>utilizzo di ogni Corrispondente SL per Utente per i Servizi Online sono definiti nel documento PUR. I diritti sull</w:t>
      </w:r>
      <w:r w:rsidR="00F2643E">
        <w:rPr>
          <w:rFonts w:cs="Tahoma"/>
          <w:szCs w:val="24"/>
        </w:rPr>
        <w:t>’</w:t>
      </w:r>
      <w:r w:rsidRPr="00A75DF9">
        <w:rPr>
          <w:rFonts w:cs="Tahoma"/>
          <w:szCs w:val="24"/>
        </w:rPr>
        <w:t>utilizzo acquisiti tramite l</w:t>
      </w:r>
      <w:r w:rsidR="00F2643E">
        <w:rPr>
          <w:rFonts w:cs="Tahoma"/>
          <w:szCs w:val="24"/>
        </w:rPr>
        <w:t>’</w:t>
      </w:r>
      <w:r w:rsidRPr="00A75DF9">
        <w:rPr>
          <w:rFonts w:cs="Tahoma"/>
          <w:szCs w:val="24"/>
        </w:rPr>
        <w:t>acquisto di tali SL Add-on per Utente cesseranno alla scadenza della copertura Software Assurance della Licenza Qualificante o al termine del periodo di validità della sottoscrizione relativa alla SL Add-on per Utente, in base a quale evento si verifichi per primo. L</w:t>
      </w:r>
      <w:r w:rsidR="00F2643E">
        <w:rPr>
          <w:rFonts w:cs="Tahoma"/>
          <w:szCs w:val="24"/>
        </w:rPr>
        <w:t>’</w:t>
      </w:r>
      <w:r w:rsidRPr="00A75DF9">
        <w:rPr>
          <w:rFonts w:cs="Tahoma"/>
          <w:szCs w:val="24"/>
        </w:rPr>
        <w:t>acquisto di tali SL Add-on per Utente non ha effetti sui diritti sull</w:t>
      </w:r>
      <w:r w:rsidR="00F2643E">
        <w:rPr>
          <w:rFonts w:cs="Tahoma"/>
          <w:szCs w:val="24"/>
        </w:rPr>
        <w:t>’</w:t>
      </w:r>
      <w:r w:rsidRPr="00A75DF9">
        <w:rPr>
          <w:rFonts w:cs="Tahoma"/>
          <w:szCs w:val="24"/>
        </w:rPr>
        <w:t xml:space="preserve">utilizzo della Licenza Qualificante. </w:t>
      </w:r>
    </w:p>
    <w:p w:rsidR="000A0D35" w:rsidRPr="00A75DF9" w:rsidRDefault="000A0D35" w:rsidP="000A0D35">
      <w:pPr>
        <w:spacing w:after="60"/>
        <w:ind w:left="720"/>
        <w:rPr>
          <w:rFonts w:cs="Tahoma"/>
        </w:rPr>
      </w:pPr>
    </w:p>
    <w:p w:rsidR="000A0D35" w:rsidRPr="00A75DF9" w:rsidRDefault="000A0D35" w:rsidP="000A0D35">
      <w:pPr>
        <w:keepNext/>
        <w:spacing w:after="60"/>
        <w:ind w:left="720"/>
        <w:rPr>
          <w:rFonts w:cs="Tahoma"/>
        </w:rPr>
      </w:pPr>
      <w:r w:rsidRPr="00A75DF9">
        <w:rPr>
          <w:rFonts w:eastAsia="Calibri" w:cs="Tahoma"/>
          <w:b/>
          <w:color w:val="000000"/>
          <w:szCs w:val="18"/>
        </w:rPr>
        <w:t>True-up</w:t>
      </w:r>
    </w:p>
    <w:p w:rsidR="000A0D35" w:rsidRPr="00A75DF9" w:rsidRDefault="000A0D35" w:rsidP="000A0D35">
      <w:pPr>
        <w:spacing w:after="60"/>
        <w:ind w:left="720"/>
        <w:rPr>
          <w:rFonts w:cs="Tahoma"/>
        </w:rPr>
      </w:pPr>
      <w:r w:rsidRPr="00A75DF9">
        <w:rPr>
          <w:rFonts w:eastAsia="Calibri" w:cs="Tahoma"/>
          <w:color w:val="000000"/>
          <w:szCs w:val="18"/>
        </w:rPr>
        <w:t>Le SL Add-on per Utente non sono Prodotti Enterprise né Servizi Online Enterprise. Non possono essere utilizzate per soddisfare i requisiti per l</w:t>
      </w:r>
      <w:r w:rsidR="00F2643E">
        <w:rPr>
          <w:rFonts w:eastAsia="Calibri" w:cs="Tahoma"/>
          <w:color w:val="000000"/>
          <w:szCs w:val="18"/>
        </w:rPr>
        <w:t>’</w:t>
      </w:r>
      <w:r w:rsidRPr="00A75DF9">
        <w:rPr>
          <w:rFonts w:eastAsia="Calibri" w:cs="Tahoma"/>
          <w:color w:val="000000"/>
          <w:szCs w:val="18"/>
        </w:rPr>
        <w:t>intera Organizzazione di Prodotti Enterprise in un</w:t>
      </w:r>
      <w:r w:rsidR="00F2643E">
        <w:rPr>
          <w:rFonts w:eastAsia="Calibri" w:cs="Tahoma"/>
          <w:color w:val="000000"/>
          <w:szCs w:val="18"/>
        </w:rPr>
        <w:t>’</w:t>
      </w:r>
      <w:r w:rsidRPr="00A75DF9">
        <w:rPr>
          <w:rFonts w:eastAsia="Calibri" w:cs="Tahoma"/>
          <w:color w:val="000000"/>
          <w:szCs w:val="18"/>
        </w:rPr>
        <w:t>Iscrizione Enterprise. Ad esempio, se una società sceglie Office Professional Plus come Prodotto Enterprise nella propria Iscrizione Enterprise e utilizza una SL Add-on per Utente per installare Office 365 ProPlus su un Dispositivo Qualificato senza Office Professional Plus, deve comunque presentare un ordine True-up per Office Professional Plus su tale Dispositivo Qualificato, insieme a qualsiasi altro Prodotto Enterprise richiesto per il Dispositivo Qualificato in questione.</w:t>
      </w:r>
    </w:p>
    <w:p w:rsidR="00FB1E38" w:rsidRPr="00A75DF9" w:rsidRDefault="00FB1E38" w:rsidP="00FB1E38">
      <w:pPr>
        <w:spacing w:after="60"/>
        <w:ind w:left="720"/>
        <w:rPr>
          <w:rFonts w:cs="Tahoma"/>
        </w:rPr>
      </w:pPr>
    </w:p>
    <w:p w:rsidR="00FB1E38" w:rsidRPr="00A75DF9" w:rsidRDefault="00FB1E38" w:rsidP="00FB1E38">
      <w:pPr>
        <w:spacing w:after="60"/>
        <w:ind w:left="720"/>
        <w:rPr>
          <w:rFonts w:cs="Tahoma"/>
        </w:rPr>
      </w:pPr>
      <w:r w:rsidRPr="00A75DF9">
        <w:rPr>
          <w:rFonts w:eastAsia="Calibri" w:cs="Tahoma"/>
          <w:b/>
          <w:color w:val="000000"/>
          <w:szCs w:val="18"/>
        </w:rPr>
        <w:t>Condizioni per i Programmi Multilicenza</w:t>
      </w:r>
    </w:p>
    <w:p w:rsidR="00FB1E38" w:rsidRPr="00A75DF9" w:rsidRDefault="00343766" w:rsidP="00FB1E38">
      <w:pPr>
        <w:spacing w:after="60"/>
        <w:ind w:left="720"/>
        <w:rPr>
          <w:rFonts w:cs="Tahoma"/>
        </w:rPr>
      </w:pPr>
      <w:r w:rsidRPr="00A75DF9">
        <w:rPr>
          <w:rFonts w:eastAsia="Calibri" w:cs="Tahoma"/>
          <w:color w:val="000000"/>
          <w:szCs w:val="18"/>
        </w:rPr>
        <w:t xml:space="preserve">Ad esclusione dei diritti di Transizione, le Condizioni per i Programmi in vigore per la Corrispondente USL per i Servizi Online si applicano anche alle USL Add-on. </w:t>
      </w:r>
    </w:p>
    <w:p w:rsidR="00FB1E38" w:rsidRPr="00A75DF9" w:rsidRDefault="00FB1E38" w:rsidP="00FB1E38">
      <w:pPr>
        <w:spacing w:after="60"/>
        <w:ind w:left="720"/>
        <w:rPr>
          <w:rFonts w:cs="Tahoma"/>
        </w:rPr>
      </w:pPr>
    </w:p>
    <w:p w:rsidR="00FB1E38" w:rsidRPr="00A75DF9" w:rsidRDefault="00FB1E38" w:rsidP="00FB1E38">
      <w:pPr>
        <w:spacing w:after="60"/>
        <w:ind w:left="720"/>
        <w:rPr>
          <w:rFonts w:cs="Tahoma"/>
        </w:rPr>
      </w:pPr>
      <w:r w:rsidRPr="00A75DF9">
        <w:rPr>
          <w:rFonts w:eastAsia="Calibri" w:cs="Tahoma"/>
          <w:b/>
          <w:color w:val="000000"/>
          <w:szCs w:val="18"/>
        </w:rPr>
        <w:t>Prezzi dei Servizi Online e Condizioni di Pagamento</w:t>
      </w:r>
    </w:p>
    <w:p w:rsidR="00FB1E38" w:rsidRPr="00A75DF9" w:rsidRDefault="00FB1E38" w:rsidP="00FB1E38">
      <w:pPr>
        <w:spacing w:after="60"/>
        <w:ind w:left="720"/>
        <w:rPr>
          <w:rFonts w:cs="Tahoma"/>
        </w:rPr>
      </w:pPr>
      <w:r w:rsidRPr="00A75DF9">
        <w:rPr>
          <w:rFonts w:eastAsia="Calibri" w:cs="Tahoma"/>
          <w:color w:val="000000"/>
          <w:szCs w:val="18"/>
        </w:rPr>
        <w:t xml:space="preserve">I Prezzi dei Servizi Online e le Condizioni di Pagamento in vigore per la Corrispondente USL per i Servizi Online si applicano anche alle USL Add-on. </w:t>
      </w:r>
    </w:p>
    <w:p w:rsidR="00996781" w:rsidRPr="00311733" w:rsidRDefault="00996781" w:rsidP="00311733"/>
    <w:p w:rsidR="00996781" w:rsidRPr="00311733" w:rsidRDefault="00996781" w:rsidP="00311733"/>
    <w:p w:rsidR="00311733" w:rsidRDefault="00311733">
      <w:pPr>
        <w:rPr>
          <w:rFonts w:cs="Tahoma"/>
          <w:b/>
          <w:caps/>
          <w:color w:val="FF6600"/>
          <w:sz w:val="22"/>
          <w:vertAlign w:val="superscript"/>
        </w:rPr>
      </w:pPr>
      <w:bookmarkStart w:id="993" w:name="_7_Office_365_1"/>
      <w:bookmarkEnd w:id="993"/>
      <w:r>
        <w:rPr>
          <w:rFonts w:cs="Tahoma"/>
          <w:caps/>
          <w:color w:val="FF6600"/>
          <w:sz w:val="22"/>
          <w:vertAlign w:val="superscript"/>
        </w:rPr>
        <w:br w:type="page"/>
      </w:r>
    </w:p>
    <w:p w:rsidR="00B26237" w:rsidRPr="00A75DF9" w:rsidRDefault="00A560B6" w:rsidP="00B26237">
      <w:pPr>
        <w:pStyle w:val="Heading2"/>
        <w:ind w:left="0"/>
        <w:rPr>
          <w:rFonts w:ascii="Tahoma" w:hAnsi="Tahoma" w:cs="Tahoma"/>
        </w:rPr>
      </w:pPr>
      <w:bookmarkStart w:id="994" w:name="_8_Office_365"/>
      <w:bookmarkStart w:id="995" w:name="_Toc368310256"/>
      <w:bookmarkEnd w:id="994"/>
      <w:r w:rsidRPr="00A75DF9">
        <w:rPr>
          <w:rFonts w:ascii="Tahoma" w:hAnsi="Tahoma" w:cs="Tahoma"/>
          <w:caps/>
          <w:color w:val="FF6600"/>
          <w:sz w:val="22"/>
          <w:szCs w:val="22"/>
          <w:vertAlign w:val="superscript"/>
        </w:rPr>
        <w:lastRenderedPageBreak/>
        <w:t xml:space="preserve">8 </w:t>
      </w:r>
      <w:r w:rsidRPr="00A75DF9">
        <w:rPr>
          <w:rFonts w:ascii="Tahoma" w:hAnsi="Tahoma" w:cs="Tahoma"/>
          <w:color w:val="FF6600"/>
          <w:sz w:val="22"/>
          <w:szCs w:val="22"/>
        </w:rPr>
        <w:t>Office 365 Enterprise E3-E4</w:t>
      </w:r>
      <w:bookmarkEnd w:id="988"/>
      <w:bookmarkEnd w:id="995"/>
    </w:p>
    <w:p w:rsidR="00B26237" w:rsidRPr="00A75DF9" w:rsidRDefault="00B26237" w:rsidP="00AE5A9F">
      <w:pPr>
        <w:rPr>
          <w:rFonts w:cs="Tahoma"/>
        </w:rPr>
      </w:pPr>
    </w:p>
    <w:p w:rsidR="00B26237" w:rsidRPr="00A75DF9" w:rsidRDefault="00B26237" w:rsidP="00B26237">
      <w:pPr>
        <w:ind w:left="720"/>
        <w:rPr>
          <w:rFonts w:cs="Tahoma"/>
        </w:rPr>
      </w:pPr>
      <w:r w:rsidRPr="00A75DF9">
        <w:rPr>
          <w:rFonts w:cs="Tahoma"/>
          <w:color w:val="000000"/>
        </w:rPr>
        <w:t>Office 365 Piani E3-E4 permettono l</w:t>
      </w:r>
      <w:r w:rsidR="00F2643E">
        <w:rPr>
          <w:rFonts w:cs="Tahoma"/>
          <w:color w:val="000000"/>
        </w:rPr>
        <w:t>’</w:t>
      </w:r>
      <w:r w:rsidRPr="00A75DF9">
        <w:rPr>
          <w:rFonts w:cs="Tahoma"/>
          <w:color w:val="000000"/>
        </w:rPr>
        <w:t>accesso ai seguenti Servizi Online:</w:t>
      </w:r>
    </w:p>
    <w:p w:rsidR="00B26237" w:rsidRPr="00A75DF9" w:rsidRDefault="00B26237" w:rsidP="00B26237">
      <w:pPr>
        <w:rPr>
          <w:rFonts w:cs="Tahoma"/>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77"/>
        <w:gridCol w:w="4230"/>
      </w:tblGrid>
      <w:tr w:rsidR="000C6C07" w:rsidRPr="00A75DF9" w:rsidTr="000C6C07">
        <w:tc>
          <w:tcPr>
            <w:tcW w:w="3977" w:type="dxa"/>
            <w:shd w:val="clear" w:color="auto" w:fill="FABF8F"/>
          </w:tcPr>
          <w:p w:rsidR="000C6C07" w:rsidRPr="00A75DF9" w:rsidRDefault="000C6C07" w:rsidP="009B3FA2">
            <w:pPr>
              <w:jc w:val="center"/>
              <w:rPr>
                <w:rFonts w:eastAsia="Calibri" w:cs="Tahoma"/>
                <w:b/>
                <w:color w:val="000000"/>
                <w:sz w:val="20"/>
              </w:rPr>
            </w:pPr>
            <w:r w:rsidRPr="00A75DF9">
              <w:rPr>
                <w:rFonts w:eastAsia="Calibri" w:cs="Tahoma"/>
                <w:b/>
                <w:color w:val="000000"/>
                <w:sz w:val="20"/>
              </w:rPr>
              <w:t>Office 365 Enterprise E3</w:t>
            </w:r>
          </w:p>
        </w:tc>
        <w:tc>
          <w:tcPr>
            <w:tcW w:w="4230" w:type="dxa"/>
            <w:shd w:val="clear" w:color="auto" w:fill="FABF8F"/>
          </w:tcPr>
          <w:p w:rsidR="000C6C07" w:rsidRPr="00A75DF9" w:rsidRDefault="000C6C07" w:rsidP="009B3FA2">
            <w:pPr>
              <w:jc w:val="center"/>
              <w:rPr>
                <w:rFonts w:eastAsia="Calibri" w:cs="Tahoma"/>
                <w:b/>
                <w:color w:val="000000"/>
                <w:sz w:val="20"/>
              </w:rPr>
            </w:pPr>
            <w:r w:rsidRPr="00A75DF9">
              <w:rPr>
                <w:rFonts w:eastAsia="Calibri" w:cs="Tahoma"/>
                <w:b/>
                <w:color w:val="000000"/>
                <w:sz w:val="20"/>
              </w:rPr>
              <w:t>Office 365 Enterprise E4</w:t>
            </w:r>
          </w:p>
        </w:tc>
      </w:tr>
      <w:tr w:rsidR="000C6C07" w:rsidRPr="00A75DF9" w:rsidTr="000C6C07">
        <w:tc>
          <w:tcPr>
            <w:tcW w:w="3977" w:type="dxa"/>
            <w:shd w:val="clear" w:color="auto" w:fill="auto"/>
          </w:tcPr>
          <w:p w:rsidR="000C6C07" w:rsidRPr="00A75DF9" w:rsidRDefault="000C6C07" w:rsidP="00B42A20">
            <w:pPr>
              <w:ind w:left="138" w:right="138"/>
              <w:rPr>
                <w:rFonts w:eastAsia="Calibri" w:cs="Tahoma"/>
                <w:color w:val="000000"/>
              </w:rPr>
            </w:pPr>
            <w:r w:rsidRPr="00A75DF9">
              <w:rPr>
                <w:rFonts w:eastAsia="Calibri" w:cs="Tahoma"/>
                <w:color w:val="000000"/>
              </w:rPr>
              <w:t>Exchange Online Piano 2</w:t>
            </w:r>
          </w:p>
        </w:tc>
        <w:tc>
          <w:tcPr>
            <w:tcW w:w="4230" w:type="dxa"/>
            <w:shd w:val="clear" w:color="auto" w:fill="auto"/>
          </w:tcPr>
          <w:p w:rsidR="000C6C07" w:rsidRPr="00A75DF9" w:rsidRDefault="000C6C07" w:rsidP="00B42A20">
            <w:pPr>
              <w:ind w:left="186" w:right="180"/>
              <w:rPr>
                <w:rFonts w:eastAsia="Calibri" w:cs="Tahoma"/>
                <w:color w:val="000000"/>
              </w:rPr>
            </w:pPr>
            <w:r w:rsidRPr="00A75DF9">
              <w:rPr>
                <w:rFonts w:eastAsia="Calibri" w:cs="Tahoma"/>
                <w:color w:val="000000"/>
              </w:rPr>
              <w:t>Exchange Online Piano 2</w:t>
            </w:r>
          </w:p>
        </w:tc>
      </w:tr>
      <w:tr w:rsidR="000C6C07" w:rsidRPr="00A75DF9" w:rsidTr="000C6C07">
        <w:tc>
          <w:tcPr>
            <w:tcW w:w="3977" w:type="dxa"/>
            <w:shd w:val="clear" w:color="auto" w:fill="auto"/>
          </w:tcPr>
          <w:p w:rsidR="000C6C07" w:rsidRPr="00A75DF9" w:rsidRDefault="000C6C07" w:rsidP="00B42A20">
            <w:pPr>
              <w:ind w:left="138" w:right="138"/>
              <w:rPr>
                <w:rFonts w:eastAsia="Calibri" w:cs="Tahoma"/>
                <w:color w:val="000000"/>
              </w:rPr>
            </w:pPr>
            <w:r w:rsidRPr="00A75DF9">
              <w:rPr>
                <w:rFonts w:eastAsia="Calibri" w:cs="Tahoma"/>
                <w:color w:val="000000"/>
              </w:rPr>
              <w:t>SharePoint Online Piano 2</w:t>
            </w:r>
          </w:p>
        </w:tc>
        <w:tc>
          <w:tcPr>
            <w:tcW w:w="4230" w:type="dxa"/>
            <w:shd w:val="clear" w:color="auto" w:fill="auto"/>
          </w:tcPr>
          <w:p w:rsidR="000C6C07" w:rsidRPr="00A75DF9" w:rsidRDefault="000C6C07" w:rsidP="00B42A20">
            <w:pPr>
              <w:ind w:left="186" w:right="180"/>
              <w:rPr>
                <w:rFonts w:eastAsia="Calibri" w:cs="Tahoma"/>
                <w:color w:val="000000"/>
              </w:rPr>
            </w:pPr>
            <w:r w:rsidRPr="00A75DF9">
              <w:rPr>
                <w:rFonts w:eastAsia="Calibri" w:cs="Tahoma"/>
                <w:color w:val="000000"/>
              </w:rPr>
              <w:t>SharePoint Online Piano 2</w:t>
            </w:r>
          </w:p>
        </w:tc>
      </w:tr>
      <w:tr w:rsidR="000C6C07" w:rsidRPr="00A75DF9" w:rsidTr="000C6C07">
        <w:tc>
          <w:tcPr>
            <w:tcW w:w="3977" w:type="dxa"/>
            <w:shd w:val="clear" w:color="auto" w:fill="auto"/>
          </w:tcPr>
          <w:p w:rsidR="000C6C07" w:rsidRPr="00A75DF9" w:rsidRDefault="000C6C07" w:rsidP="00B42A20">
            <w:pPr>
              <w:ind w:left="138" w:right="138"/>
              <w:rPr>
                <w:rFonts w:eastAsia="Calibri" w:cs="Tahoma"/>
                <w:color w:val="000000"/>
              </w:rPr>
            </w:pPr>
            <w:r w:rsidRPr="00A75DF9">
              <w:rPr>
                <w:rFonts w:eastAsia="Calibri" w:cs="Tahoma"/>
                <w:color w:val="000000"/>
              </w:rPr>
              <w:t>Lync Online Piano 2</w:t>
            </w:r>
          </w:p>
        </w:tc>
        <w:tc>
          <w:tcPr>
            <w:tcW w:w="4230" w:type="dxa"/>
            <w:shd w:val="clear" w:color="auto" w:fill="auto"/>
          </w:tcPr>
          <w:p w:rsidR="000C6C07" w:rsidRPr="00A75DF9" w:rsidRDefault="000C6C07" w:rsidP="00B42A20">
            <w:pPr>
              <w:ind w:left="186" w:right="180"/>
              <w:rPr>
                <w:rFonts w:eastAsia="Calibri" w:cs="Tahoma"/>
                <w:color w:val="000000"/>
              </w:rPr>
            </w:pPr>
            <w:r w:rsidRPr="00A75DF9">
              <w:rPr>
                <w:rFonts w:eastAsia="Calibri" w:cs="Tahoma"/>
                <w:color w:val="000000"/>
              </w:rPr>
              <w:t>Lync Online Piano 3*</w:t>
            </w:r>
          </w:p>
        </w:tc>
      </w:tr>
      <w:tr w:rsidR="000C6C07" w:rsidRPr="00A75DF9" w:rsidTr="000C6C07">
        <w:tc>
          <w:tcPr>
            <w:tcW w:w="3977" w:type="dxa"/>
            <w:shd w:val="clear" w:color="auto" w:fill="auto"/>
          </w:tcPr>
          <w:p w:rsidR="000C6C07" w:rsidRPr="00A75DF9" w:rsidRDefault="000C6C07" w:rsidP="00B42A20">
            <w:pPr>
              <w:ind w:left="138" w:right="138"/>
              <w:rPr>
                <w:rFonts w:eastAsia="Calibri" w:cs="Tahoma"/>
                <w:color w:val="000000"/>
              </w:rPr>
            </w:pPr>
            <w:r w:rsidRPr="00A75DF9">
              <w:rPr>
                <w:rFonts w:eastAsia="Calibri" w:cs="Tahoma"/>
                <w:color w:val="000000"/>
              </w:rPr>
              <w:t>Office Web Applications (Microsoft Hosted)</w:t>
            </w:r>
          </w:p>
        </w:tc>
        <w:tc>
          <w:tcPr>
            <w:tcW w:w="4230" w:type="dxa"/>
            <w:shd w:val="clear" w:color="auto" w:fill="auto"/>
          </w:tcPr>
          <w:p w:rsidR="000C6C07" w:rsidRPr="00A75DF9" w:rsidRDefault="000C6C07" w:rsidP="00B42A20">
            <w:pPr>
              <w:ind w:left="186" w:right="180"/>
              <w:rPr>
                <w:rFonts w:eastAsia="Calibri" w:cs="Tahoma"/>
                <w:color w:val="000000"/>
              </w:rPr>
            </w:pPr>
            <w:r w:rsidRPr="00A75DF9">
              <w:rPr>
                <w:rFonts w:eastAsia="Calibri" w:cs="Tahoma"/>
                <w:color w:val="000000"/>
              </w:rPr>
              <w:t>Office Web Applications (Microsoft Hosted)</w:t>
            </w:r>
          </w:p>
        </w:tc>
      </w:tr>
      <w:tr w:rsidR="000C6C07" w:rsidRPr="00A75DF9" w:rsidTr="000C6C07">
        <w:tc>
          <w:tcPr>
            <w:tcW w:w="3977" w:type="dxa"/>
            <w:shd w:val="clear" w:color="auto" w:fill="auto"/>
          </w:tcPr>
          <w:p w:rsidR="000C6C07" w:rsidRPr="00A75DF9" w:rsidRDefault="000C6C07" w:rsidP="00B42A20">
            <w:pPr>
              <w:ind w:left="138" w:right="138"/>
              <w:rPr>
                <w:rFonts w:eastAsia="Calibri" w:cs="Tahoma"/>
                <w:color w:val="000000"/>
              </w:rPr>
            </w:pPr>
            <w:r w:rsidRPr="00A75DF9">
              <w:rPr>
                <w:rFonts w:eastAsia="Calibri" w:cs="Tahoma"/>
                <w:color w:val="000000"/>
              </w:rPr>
              <w:t>Office 365 ProPlus</w:t>
            </w:r>
          </w:p>
        </w:tc>
        <w:tc>
          <w:tcPr>
            <w:tcW w:w="4230" w:type="dxa"/>
            <w:shd w:val="clear" w:color="auto" w:fill="auto"/>
          </w:tcPr>
          <w:p w:rsidR="000C6C07" w:rsidRPr="00A75DF9" w:rsidRDefault="000C6C07" w:rsidP="008368B4">
            <w:pPr>
              <w:ind w:left="186" w:right="180"/>
              <w:rPr>
                <w:rFonts w:eastAsia="Calibri" w:cs="Tahoma"/>
                <w:color w:val="000000"/>
              </w:rPr>
            </w:pPr>
            <w:r w:rsidRPr="00A75DF9">
              <w:rPr>
                <w:rFonts w:eastAsia="Calibri" w:cs="Tahoma"/>
                <w:color w:val="000000"/>
              </w:rPr>
              <w:t>Office 365 ProPlus</w:t>
            </w:r>
          </w:p>
        </w:tc>
      </w:tr>
      <w:tr w:rsidR="000C6C07" w:rsidRPr="00A75DF9" w:rsidTr="000C6C07">
        <w:tc>
          <w:tcPr>
            <w:tcW w:w="3977" w:type="dxa"/>
            <w:shd w:val="clear" w:color="auto" w:fill="auto"/>
          </w:tcPr>
          <w:p w:rsidR="000C6C07" w:rsidRPr="00A75DF9" w:rsidRDefault="000C6C07" w:rsidP="00B42A20">
            <w:pPr>
              <w:ind w:left="138" w:right="138"/>
              <w:rPr>
                <w:rFonts w:eastAsia="Calibri" w:cs="Tahoma"/>
                <w:color w:val="000000"/>
              </w:rPr>
            </w:pPr>
            <w:r w:rsidRPr="00A75DF9">
              <w:rPr>
                <w:rFonts w:eastAsia="Calibri" w:cs="Tahoma"/>
                <w:color w:val="000000"/>
              </w:rPr>
              <w:t>Windows Azure Active Directory Rights Management</w:t>
            </w:r>
          </w:p>
        </w:tc>
        <w:tc>
          <w:tcPr>
            <w:tcW w:w="4230" w:type="dxa"/>
            <w:shd w:val="clear" w:color="auto" w:fill="auto"/>
          </w:tcPr>
          <w:p w:rsidR="000C6C07" w:rsidRPr="00A75DF9" w:rsidRDefault="000C6C07" w:rsidP="008368B4">
            <w:pPr>
              <w:ind w:left="186" w:right="180"/>
              <w:rPr>
                <w:rFonts w:eastAsia="Calibri" w:cs="Tahoma"/>
                <w:color w:val="000000"/>
              </w:rPr>
            </w:pPr>
            <w:r w:rsidRPr="00A75DF9">
              <w:rPr>
                <w:rFonts w:eastAsia="Calibri" w:cs="Tahoma"/>
                <w:color w:val="000000"/>
              </w:rPr>
              <w:t>Windows Azure Active Directory Rights Management</w:t>
            </w:r>
          </w:p>
        </w:tc>
      </w:tr>
      <w:tr w:rsidR="000C6C07" w:rsidRPr="00A75DF9" w:rsidTr="000C6C07">
        <w:tc>
          <w:tcPr>
            <w:tcW w:w="3977" w:type="dxa"/>
            <w:shd w:val="clear" w:color="auto" w:fill="auto"/>
          </w:tcPr>
          <w:p w:rsidR="000C6C07" w:rsidRPr="00A75DF9" w:rsidRDefault="000C6C07" w:rsidP="00B42A20">
            <w:pPr>
              <w:ind w:left="138" w:right="138"/>
              <w:rPr>
                <w:rFonts w:eastAsia="Calibri" w:cs="Tahoma"/>
                <w:color w:val="000000"/>
              </w:rPr>
            </w:pPr>
            <w:r w:rsidRPr="00A75DF9">
              <w:rPr>
                <w:rFonts w:eastAsia="Calibri" w:cs="Tahoma"/>
                <w:color w:val="000000"/>
              </w:rPr>
              <w:t>Yammer Enterprise</w:t>
            </w:r>
          </w:p>
        </w:tc>
        <w:tc>
          <w:tcPr>
            <w:tcW w:w="4230" w:type="dxa"/>
            <w:shd w:val="clear" w:color="auto" w:fill="auto"/>
          </w:tcPr>
          <w:p w:rsidR="000C6C07" w:rsidRPr="00A75DF9" w:rsidRDefault="000C6C07" w:rsidP="008368B4">
            <w:pPr>
              <w:ind w:left="186" w:right="180"/>
              <w:rPr>
                <w:rFonts w:eastAsia="Calibri" w:cs="Tahoma"/>
                <w:color w:val="000000"/>
              </w:rPr>
            </w:pPr>
            <w:r w:rsidRPr="00A75DF9">
              <w:rPr>
                <w:rFonts w:eastAsia="Calibri" w:cs="Tahoma"/>
                <w:color w:val="000000"/>
              </w:rPr>
              <w:t>Yammer Enterprise</w:t>
            </w:r>
          </w:p>
        </w:tc>
      </w:tr>
    </w:tbl>
    <w:p w:rsidR="00630ED6" w:rsidRPr="00A75DF9" w:rsidRDefault="00630ED6" w:rsidP="00630ED6">
      <w:pPr>
        <w:pStyle w:val="PURBody"/>
        <w:spacing w:after="0"/>
        <w:ind w:left="720"/>
        <w:rPr>
          <w:rFonts w:ascii="Tahoma" w:hAnsi="Tahoma" w:cs="Tahoma"/>
        </w:rPr>
      </w:pPr>
      <w:r w:rsidRPr="00A75DF9">
        <w:rPr>
          <w:rFonts w:ascii="Tahoma" w:hAnsi="Tahoma" w:cs="Tahoma"/>
          <w:i/>
          <w:sz w:val="16"/>
        </w:rPr>
        <w:t>*Le società che acquistano da paesi diversi da Regno Unito e Stati Uniti ricevono Lync Online Piano 2 anziché Lync Online Piano 3</w:t>
      </w:r>
    </w:p>
    <w:p w:rsidR="00B26237" w:rsidRPr="00A75DF9" w:rsidRDefault="00B26237" w:rsidP="00A237D8">
      <w:pPr>
        <w:ind w:left="720"/>
        <w:rPr>
          <w:rFonts w:cs="Tahoma"/>
        </w:rPr>
      </w:pPr>
      <w:r w:rsidRPr="00A75DF9">
        <w:rPr>
          <w:rFonts w:cs="Tahoma"/>
          <w:color w:val="000000"/>
        </w:rPr>
        <w:br/>
      </w:r>
      <w:r w:rsidRPr="00A75DF9">
        <w:rPr>
          <w:rFonts w:cs="Tahoma"/>
          <w:color w:val="000000"/>
          <w:szCs w:val="18"/>
        </w:rPr>
        <w:t>Questa lista è soggetta a modifiche. Nell</w:t>
      </w:r>
      <w:r w:rsidR="00F2643E">
        <w:rPr>
          <w:rFonts w:cs="Tahoma"/>
          <w:color w:val="000000"/>
          <w:szCs w:val="18"/>
        </w:rPr>
        <w:t>’</w:t>
      </w:r>
      <w:r w:rsidRPr="00A75DF9">
        <w:rPr>
          <w:rFonts w:cs="Tahoma"/>
          <w:color w:val="000000"/>
          <w:szCs w:val="18"/>
        </w:rPr>
        <w:t>eventualità di una discrepanza tra le condizioni di licenza per Office</w:t>
      </w:r>
      <w:r w:rsidR="00A237D8">
        <w:rPr>
          <w:rFonts w:cs="Tahoma"/>
          <w:color w:val="000000"/>
          <w:szCs w:val="18"/>
        </w:rPr>
        <w:t> </w:t>
      </w:r>
      <w:r w:rsidRPr="00A75DF9">
        <w:rPr>
          <w:rFonts w:cs="Tahoma"/>
          <w:color w:val="000000"/>
          <w:szCs w:val="18"/>
        </w:rPr>
        <w:t>365 Enterprise E3 - E4 e questa nota, i Diritti di Utilizzo del Prodotto correnti avranno prevalenza. Gli</w:t>
      </w:r>
      <w:r w:rsidR="00A237D8">
        <w:rPr>
          <w:rFonts w:cs="Tahoma"/>
          <w:color w:val="000000"/>
          <w:szCs w:val="18"/>
        </w:rPr>
        <w:t> </w:t>
      </w:r>
      <w:r w:rsidRPr="00A75DF9">
        <w:rPr>
          <w:rFonts w:cs="Tahoma"/>
          <w:color w:val="000000"/>
          <w:szCs w:val="18"/>
        </w:rPr>
        <w:t>eventuali diritti di accesso aggiuntivi per il software On-Premise concesso in licenza separatamente sono</w:t>
      </w:r>
      <w:r w:rsidR="00A237D8">
        <w:rPr>
          <w:rFonts w:cs="Tahoma"/>
          <w:color w:val="000000"/>
          <w:szCs w:val="18"/>
        </w:rPr>
        <w:t> </w:t>
      </w:r>
      <w:r w:rsidRPr="00A75DF9">
        <w:rPr>
          <w:rFonts w:cs="Tahoma"/>
          <w:color w:val="000000"/>
          <w:szCs w:val="18"/>
        </w:rPr>
        <w:t>specificati nei Diritti di Utilizzo del Prodotto.</w:t>
      </w:r>
      <w:r w:rsidR="009D3B41" w:rsidRPr="00A75DF9">
        <w:rPr>
          <w:rFonts w:cs="Tahoma"/>
          <w:color w:val="000000"/>
          <w:szCs w:val="18"/>
        </w:rPr>
        <w:t xml:space="preserve"> </w:t>
      </w:r>
    </w:p>
    <w:p w:rsidR="00B26237" w:rsidRPr="00A75DF9" w:rsidRDefault="00B26237" w:rsidP="00D16EA8">
      <w:pPr>
        <w:ind w:left="720"/>
        <w:rPr>
          <w:rFonts w:cs="Tahoma"/>
        </w:rPr>
      </w:pPr>
    </w:p>
    <w:p w:rsidR="00DC2291" w:rsidRPr="00A237D8" w:rsidRDefault="00B26237" w:rsidP="00A237D8">
      <w:pPr>
        <w:pStyle w:val="FootnoteBulletLevel1"/>
        <w:tabs>
          <w:tab w:val="clear" w:pos="900"/>
        </w:tabs>
        <w:spacing w:before="0" w:after="0"/>
        <w:ind w:left="720" w:firstLine="0"/>
        <w:rPr>
          <w:rFonts w:ascii="Tahoma" w:hAnsi="Tahoma" w:cs="Tahoma"/>
          <w:sz w:val="18"/>
          <w:szCs w:val="18"/>
        </w:rPr>
      </w:pPr>
      <w:r w:rsidRPr="00A237D8">
        <w:rPr>
          <w:rFonts w:ascii="Tahoma" w:hAnsi="Tahoma" w:cs="Tahoma"/>
          <w:color w:val="000000"/>
          <w:sz w:val="18"/>
          <w:szCs w:val="18"/>
        </w:rPr>
        <w:t>Lync Online Piano 1 e Piano 2 richiedono l</w:t>
      </w:r>
      <w:r w:rsidR="00F2643E">
        <w:rPr>
          <w:rFonts w:ascii="Tahoma" w:hAnsi="Tahoma" w:cs="Tahoma"/>
          <w:color w:val="000000"/>
          <w:sz w:val="18"/>
          <w:szCs w:val="18"/>
        </w:rPr>
        <w:t>’</w:t>
      </w:r>
      <w:r w:rsidRPr="00A237D8">
        <w:rPr>
          <w:rFonts w:ascii="Tahoma" w:hAnsi="Tahoma" w:cs="Tahoma"/>
          <w:color w:val="000000"/>
          <w:sz w:val="18"/>
          <w:szCs w:val="18"/>
        </w:rPr>
        <w:t>acquisto e l</w:t>
      </w:r>
      <w:r w:rsidR="00F2643E">
        <w:rPr>
          <w:rFonts w:ascii="Tahoma" w:hAnsi="Tahoma" w:cs="Tahoma"/>
          <w:color w:val="000000"/>
          <w:sz w:val="18"/>
          <w:szCs w:val="18"/>
        </w:rPr>
        <w:t>’</w:t>
      </w:r>
      <w:r w:rsidRPr="00A237D8">
        <w:rPr>
          <w:rFonts w:ascii="Tahoma" w:hAnsi="Tahoma" w:cs="Tahoma"/>
          <w:color w:val="000000"/>
          <w:sz w:val="18"/>
          <w:szCs w:val="18"/>
        </w:rPr>
        <w:t>installazione separati di Microsoft Lync 2013 (o di Lync per Mac 2011) per accedere al set completo di funzionalità di Lync Online Piano 1 e Piano 2. Grazie a</w:t>
      </w:r>
      <w:r w:rsidR="00A237D8" w:rsidRPr="00A237D8">
        <w:rPr>
          <w:rFonts w:ascii="Tahoma" w:hAnsi="Tahoma" w:cs="Tahoma"/>
          <w:color w:val="000000"/>
          <w:sz w:val="18"/>
          <w:szCs w:val="18"/>
        </w:rPr>
        <w:t> </w:t>
      </w:r>
      <w:r w:rsidRPr="00A237D8">
        <w:rPr>
          <w:rFonts w:ascii="Tahoma" w:hAnsi="Tahoma" w:cs="Tahoma"/>
          <w:color w:val="000000"/>
          <w:sz w:val="18"/>
          <w:szCs w:val="18"/>
        </w:rPr>
        <w:t>un</w:t>
      </w:r>
      <w:r w:rsidR="00F2643E">
        <w:rPr>
          <w:rFonts w:ascii="Tahoma" w:hAnsi="Tahoma" w:cs="Tahoma"/>
          <w:color w:val="000000"/>
          <w:sz w:val="18"/>
          <w:szCs w:val="18"/>
        </w:rPr>
        <w:t>’</w:t>
      </w:r>
      <w:r w:rsidRPr="00A237D8">
        <w:rPr>
          <w:rFonts w:ascii="Tahoma" w:hAnsi="Tahoma" w:cs="Tahoma"/>
          <w:color w:val="000000"/>
          <w:sz w:val="18"/>
          <w:szCs w:val="18"/>
        </w:rPr>
        <w:t>offerta di durata limitata, le società titolari di licenza per Lync Online riceveranno gratuitamente in licenza una copia di Lync 2010 (o di Lync per Mac 2011) per ciascuna licenza "subscription" acquistata o in versione di valutazione di Lync Online. Il software potrà essere utilizzato esclusivamente con Lync Online e tutti i diritti di utilizzo del software cesseranno alla scadenza della licenza "subscription" sottostante oppure in occasione della migrazione alla successiva nuova versione principale di Lync Online, a seconda di quale evento si verificherà per primo. Le società potranno utilizzare il client gratuito Lync Basic 2013 per i loro utenti finali in possesso di Windows.</w:t>
      </w:r>
    </w:p>
    <w:p w:rsidR="00B26237" w:rsidRPr="00A237D8" w:rsidRDefault="00B26237" w:rsidP="00D16EA8">
      <w:pPr>
        <w:pStyle w:val="FootnoteBulletLevel1"/>
        <w:tabs>
          <w:tab w:val="clear" w:pos="900"/>
          <w:tab w:val="num" w:pos="1080"/>
        </w:tabs>
        <w:spacing w:before="0" w:after="0"/>
        <w:ind w:left="0" w:firstLine="0"/>
        <w:rPr>
          <w:rFonts w:ascii="Tahoma" w:hAnsi="Tahoma" w:cs="Tahoma"/>
          <w:sz w:val="18"/>
          <w:szCs w:val="18"/>
        </w:rPr>
      </w:pPr>
    </w:p>
    <w:p w:rsidR="00D16EA8" w:rsidRPr="00A237D8" w:rsidRDefault="00D16EA8" w:rsidP="00D16EA8">
      <w:pPr>
        <w:pStyle w:val="FootnoteBulletLevel1"/>
        <w:tabs>
          <w:tab w:val="clear" w:pos="900"/>
          <w:tab w:val="num" w:pos="1080"/>
        </w:tabs>
        <w:spacing w:before="0" w:after="0"/>
        <w:ind w:left="0" w:firstLine="0"/>
        <w:rPr>
          <w:rFonts w:ascii="Tahoma" w:hAnsi="Tahoma" w:cs="Tahoma"/>
          <w:sz w:val="18"/>
          <w:szCs w:val="18"/>
        </w:rPr>
      </w:pPr>
    </w:p>
    <w:p w:rsidR="00704723" w:rsidRPr="00A75DF9" w:rsidRDefault="00A560B6" w:rsidP="000429EF">
      <w:pPr>
        <w:pStyle w:val="Heading3"/>
        <w:rPr>
          <w:rFonts w:ascii="Tahoma" w:hAnsi="Tahoma" w:cs="Tahoma"/>
        </w:rPr>
      </w:pPr>
      <w:bookmarkStart w:id="996" w:name="_76_Office_for"/>
      <w:bookmarkStart w:id="997" w:name="_8_Office_for"/>
      <w:bookmarkStart w:id="998" w:name="_Toc336338264"/>
      <w:bookmarkStart w:id="999" w:name="Srv_4OfficeMacStandard2011"/>
      <w:bookmarkStart w:id="1000" w:name="_Toc368310257"/>
      <w:bookmarkEnd w:id="966"/>
      <w:bookmarkEnd w:id="996"/>
      <w:bookmarkEnd w:id="997"/>
      <w:r w:rsidRPr="00A75DF9">
        <w:rPr>
          <w:rFonts w:ascii="Tahoma" w:hAnsi="Tahoma" w:cs="Tahoma"/>
          <w:caps/>
          <w:color w:val="F66400"/>
          <w:sz w:val="22"/>
          <w:vertAlign w:val="superscript"/>
        </w:rPr>
        <w:t xml:space="preserve">9 </w:t>
      </w:r>
      <w:r w:rsidRPr="00A75DF9">
        <w:rPr>
          <w:rFonts w:ascii="Tahoma" w:hAnsi="Tahoma" w:cs="Tahoma"/>
          <w:color w:val="F66400"/>
          <w:sz w:val="22"/>
        </w:rPr>
        <w:t>Office per Mac Standard 2011</w:t>
      </w:r>
      <w:bookmarkEnd w:id="998"/>
      <w:bookmarkEnd w:id="1000"/>
      <w:r w:rsidRPr="00A75DF9">
        <w:rPr>
          <w:rFonts w:ascii="Tahoma" w:hAnsi="Tahoma" w:cs="Tahoma"/>
          <w:color w:val="F66400"/>
          <w:sz w:val="22"/>
        </w:rPr>
        <w:t xml:space="preserve"> </w:t>
      </w:r>
      <w:bookmarkEnd w:id="999"/>
    </w:p>
    <w:p w:rsidR="00FD5FBA" w:rsidRPr="00A75DF9" w:rsidRDefault="00FD5FBA" w:rsidP="00AE5A9F">
      <w:pPr>
        <w:rPr>
          <w:rFonts w:cs="Tahoma"/>
        </w:rPr>
      </w:pPr>
    </w:p>
    <w:p w:rsidR="00FD5FBA" w:rsidRPr="00A75DF9" w:rsidRDefault="00FD5FBA" w:rsidP="00346F4B">
      <w:pPr>
        <w:pStyle w:val="EndnoteText"/>
        <w:numPr>
          <w:ilvl w:val="0"/>
          <w:numId w:val="114"/>
        </w:numPr>
        <w:ind w:left="990"/>
        <w:rPr>
          <w:rFonts w:ascii="Tahoma" w:hAnsi="Tahoma" w:cs="Tahoma"/>
        </w:rPr>
      </w:pPr>
      <w:r w:rsidRPr="00A75DF9">
        <w:rPr>
          <w:rFonts w:ascii="Tahoma" w:hAnsi="Tahoma" w:cs="Tahoma"/>
          <w:sz w:val="18"/>
          <w:szCs w:val="20"/>
        </w:rPr>
        <w:t xml:space="preserve">Licenza Work at Home (WAH) disponibile per le società con Contratto Select </w:t>
      </w:r>
      <w:r w:rsidRPr="00A75DF9">
        <w:rPr>
          <w:rFonts w:ascii="Tahoma" w:hAnsi="Tahoma" w:cs="Tahoma"/>
          <w:sz w:val="18"/>
          <w:szCs w:val="18"/>
        </w:rPr>
        <w:t>e Select Plus</w:t>
      </w:r>
    </w:p>
    <w:p w:rsidR="00CA6122" w:rsidRPr="00A75DF9" w:rsidRDefault="00CA6122" w:rsidP="00CA6122">
      <w:pPr>
        <w:adjustRightInd w:val="0"/>
        <w:ind w:left="720"/>
        <w:textAlignment w:val="baseline"/>
        <w:rPr>
          <w:rFonts w:cs="Tahoma"/>
        </w:rPr>
      </w:pPr>
    </w:p>
    <w:p w:rsidR="00864B8A" w:rsidRPr="00A75DF9" w:rsidRDefault="00704723" w:rsidP="00864B8A">
      <w:pPr>
        <w:spacing w:after="60"/>
        <w:ind w:left="720"/>
        <w:rPr>
          <w:rFonts w:cs="Tahoma"/>
        </w:rPr>
      </w:pPr>
      <w:r w:rsidRPr="00A75DF9">
        <w:rPr>
          <w:rFonts w:cs="Tahoma"/>
          <w:b/>
          <w:szCs w:val="20"/>
        </w:rPr>
        <w:t>Office per Mac Standard 2011</w:t>
      </w:r>
    </w:p>
    <w:p w:rsidR="00704723" w:rsidRPr="00A75DF9" w:rsidRDefault="00704723" w:rsidP="00864B8A">
      <w:pPr>
        <w:spacing w:after="60"/>
        <w:ind w:left="720"/>
        <w:rPr>
          <w:rFonts w:cs="Tahoma"/>
        </w:rPr>
      </w:pPr>
      <w:r w:rsidRPr="00A75DF9">
        <w:rPr>
          <w:rFonts w:cs="Tahoma"/>
          <w:szCs w:val="20"/>
        </w:rPr>
        <w:t xml:space="preserve">Una Licenza per Office per Mac Standard 2011 è composta dai seguenti elementi: Lync per Mac 2011, Excel per Mac 2011, Outlook per Mac 2011, </w:t>
      </w:r>
      <w:r w:rsidRPr="00A75DF9">
        <w:rPr>
          <w:rFonts w:cs="Tahoma"/>
        </w:rPr>
        <w:t>Office Home and Student RT 2013 Commercial Use,</w:t>
      </w:r>
      <w:r w:rsidRPr="00A75DF9">
        <w:rPr>
          <w:rFonts w:cs="Tahoma"/>
          <w:szCs w:val="20"/>
        </w:rPr>
        <w:t xml:space="preserve"> Office Web Apps 2010, PowerPoint per Mac 2011 e Word per Mac 2011.</w:t>
      </w:r>
    </w:p>
    <w:p w:rsidR="00CA6122" w:rsidRPr="00A75DF9" w:rsidRDefault="00CA6122" w:rsidP="00CA6122">
      <w:pPr>
        <w:adjustRightInd w:val="0"/>
        <w:ind w:left="720"/>
        <w:textAlignment w:val="baseline"/>
        <w:rPr>
          <w:rFonts w:cs="Tahoma"/>
        </w:rPr>
      </w:pPr>
    </w:p>
    <w:p w:rsidR="00864B8A" w:rsidRPr="00A75DF9" w:rsidRDefault="00704723" w:rsidP="00864B8A">
      <w:pPr>
        <w:spacing w:after="60"/>
        <w:ind w:left="720"/>
        <w:rPr>
          <w:rFonts w:cs="Tahoma"/>
        </w:rPr>
      </w:pPr>
      <w:r w:rsidRPr="00A75DF9">
        <w:rPr>
          <w:rFonts w:cs="Tahoma"/>
          <w:b/>
          <w:szCs w:val="20"/>
        </w:rPr>
        <w:t>Impossibilità di Separare Microsoft Office per Mac Standard 2011</w:t>
      </w:r>
    </w:p>
    <w:p w:rsidR="00704723" w:rsidRPr="00A75DF9" w:rsidRDefault="00704723" w:rsidP="00A237D8">
      <w:pPr>
        <w:spacing w:after="60"/>
        <w:ind w:left="720"/>
        <w:rPr>
          <w:rFonts w:cs="Tahoma"/>
        </w:rPr>
      </w:pPr>
      <w:r w:rsidRPr="00A75DF9">
        <w:rPr>
          <w:rFonts w:cs="Tahoma"/>
          <w:szCs w:val="20"/>
        </w:rPr>
        <w:t>Office per Mac Standard 2011 è composto da più di un prodotto offerto ai sensi di un</w:t>
      </w:r>
      <w:r w:rsidR="00F2643E">
        <w:rPr>
          <w:rFonts w:cs="Tahoma"/>
          <w:szCs w:val="20"/>
        </w:rPr>
        <w:t>’</w:t>
      </w:r>
      <w:r w:rsidRPr="00A75DF9">
        <w:rPr>
          <w:rFonts w:cs="Tahoma"/>
          <w:szCs w:val="20"/>
        </w:rPr>
        <w:t>unica licenza. Il</w:t>
      </w:r>
      <w:r w:rsidR="00A237D8">
        <w:rPr>
          <w:rFonts w:cs="Tahoma"/>
          <w:szCs w:val="20"/>
        </w:rPr>
        <w:t> </w:t>
      </w:r>
      <w:r w:rsidRPr="00A75DF9">
        <w:rPr>
          <w:rFonts w:cs="Tahoma"/>
          <w:szCs w:val="20"/>
        </w:rPr>
        <w:t>software non può essere separato per l</w:t>
      </w:r>
      <w:r w:rsidR="00F2643E">
        <w:rPr>
          <w:rFonts w:cs="Tahoma"/>
          <w:szCs w:val="20"/>
        </w:rPr>
        <w:t>’</w:t>
      </w:r>
      <w:r w:rsidRPr="00A75DF9">
        <w:rPr>
          <w:rFonts w:cs="Tahoma"/>
          <w:szCs w:val="20"/>
        </w:rPr>
        <w:t>utilizzo su più di un computer.</w:t>
      </w:r>
    </w:p>
    <w:p w:rsidR="00CA6122" w:rsidRPr="00A75DF9" w:rsidRDefault="00CA6122" w:rsidP="00CA6122">
      <w:pPr>
        <w:adjustRightInd w:val="0"/>
        <w:ind w:left="720"/>
        <w:textAlignment w:val="baseline"/>
        <w:rPr>
          <w:rFonts w:cs="Tahoma"/>
        </w:rPr>
      </w:pPr>
    </w:p>
    <w:p w:rsidR="00704723" w:rsidRPr="00A75DF9" w:rsidRDefault="0035314F" w:rsidP="00864B8A">
      <w:pPr>
        <w:spacing w:after="60"/>
        <w:ind w:left="720"/>
        <w:rPr>
          <w:rFonts w:cs="Tahoma"/>
        </w:rPr>
      </w:pPr>
      <w:r w:rsidRPr="00A75DF9">
        <w:rPr>
          <w:rFonts w:cs="Tahoma"/>
          <w:b/>
          <w:szCs w:val="20"/>
        </w:rPr>
        <w:t>Diritti di Utilizzo di Lync per Mac 2011</w:t>
      </w:r>
    </w:p>
    <w:p w:rsidR="00CA6122" w:rsidRPr="00A75DF9" w:rsidRDefault="00F14B59" w:rsidP="00737831">
      <w:pPr>
        <w:adjustRightInd w:val="0"/>
        <w:ind w:left="720"/>
        <w:textAlignment w:val="baseline"/>
        <w:rPr>
          <w:rFonts w:cs="Tahoma"/>
        </w:rPr>
      </w:pPr>
      <w:r w:rsidRPr="00A75DF9">
        <w:rPr>
          <w:rFonts w:cs="Tahoma"/>
          <w:szCs w:val="20"/>
        </w:rPr>
        <w:t>Le società che hanno acquistato Office per Mac Standard 2011 alla data del 1 ottobre 2011 riceveranno una famiglia di prodotti Office che include Lync per Mac 2011 anziché Communicator per Mac 2011. Le società con copertura Software Assurance attiva per Office per Mac Standard 2011 alla data del 1 ottobre 2011 possono utilizzare Communicator per Mac 2011 o fare l</w:t>
      </w:r>
      <w:r w:rsidR="00F2643E">
        <w:rPr>
          <w:rFonts w:cs="Tahoma"/>
          <w:szCs w:val="20"/>
        </w:rPr>
        <w:t>’</w:t>
      </w:r>
      <w:r w:rsidRPr="00A75DF9">
        <w:rPr>
          <w:rFonts w:cs="Tahoma"/>
          <w:szCs w:val="20"/>
        </w:rPr>
        <w:t xml:space="preserve">aggiornamento a Lync per Mac 2011. </w:t>
      </w:r>
    </w:p>
    <w:p w:rsidR="007631EF" w:rsidRPr="00A75DF9" w:rsidRDefault="007631EF">
      <w:pPr>
        <w:rPr>
          <w:rFonts w:cs="Tahoma"/>
        </w:rPr>
      </w:pPr>
    </w:p>
    <w:p w:rsidR="00697E59" w:rsidRDefault="00697E59">
      <w:pPr>
        <w:rPr>
          <w:rFonts w:cs="Tahoma"/>
        </w:rPr>
      </w:pPr>
      <w:bookmarkStart w:id="1001" w:name="_Toc336338265"/>
    </w:p>
    <w:p w:rsidR="00A237D8" w:rsidRDefault="00A237D8">
      <w:pPr>
        <w:rPr>
          <w:rFonts w:cs="Tahoma"/>
        </w:rPr>
      </w:pPr>
    </w:p>
    <w:p w:rsidR="00A237D8" w:rsidRDefault="00A237D8">
      <w:pPr>
        <w:rPr>
          <w:rFonts w:cs="Tahoma"/>
        </w:rPr>
      </w:pPr>
    </w:p>
    <w:p w:rsidR="00A237D8" w:rsidRDefault="00A237D8">
      <w:pPr>
        <w:rPr>
          <w:rFonts w:cs="Tahoma"/>
        </w:rPr>
      </w:pPr>
    </w:p>
    <w:p w:rsidR="00A237D8" w:rsidRDefault="00A237D8">
      <w:pPr>
        <w:rPr>
          <w:rFonts w:cs="Tahoma"/>
        </w:rPr>
      </w:pPr>
    </w:p>
    <w:p w:rsidR="00A237D8" w:rsidRPr="00A75DF9" w:rsidRDefault="00A237D8">
      <w:pPr>
        <w:rPr>
          <w:rFonts w:cs="Tahoma"/>
        </w:rPr>
      </w:pPr>
    </w:p>
    <w:p w:rsidR="00023FE7" w:rsidRPr="00A75DF9" w:rsidRDefault="00A560B6">
      <w:pPr>
        <w:pStyle w:val="Heading3"/>
        <w:rPr>
          <w:rFonts w:ascii="Tahoma" w:hAnsi="Tahoma" w:cs="Tahoma"/>
        </w:rPr>
      </w:pPr>
      <w:bookmarkStart w:id="1002" w:name="_5_Office_Multi-Language"/>
      <w:bookmarkStart w:id="1003" w:name="_7_Office_Multi-Language"/>
      <w:bookmarkStart w:id="1004" w:name="_87_Office_Multi-Language"/>
      <w:bookmarkStart w:id="1005" w:name="_9_Office_Multi-Language"/>
      <w:bookmarkStart w:id="1006" w:name="Aps_8OffMultiLangPack07"/>
      <w:bookmarkStart w:id="1007" w:name="Aps_6OfficeMultiLangPack2010"/>
      <w:bookmarkStart w:id="1008" w:name="Aps_5OfficeMultiLangPack2010"/>
      <w:bookmarkStart w:id="1009" w:name="_Toc368310258"/>
      <w:bookmarkEnd w:id="1002"/>
      <w:bookmarkEnd w:id="1003"/>
      <w:bookmarkEnd w:id="1004"/>
      <w:bookmarkEnd w:id="1005"/>
      <w:r w:rsidRPr="00A75DF9">
        <w:rPr>
          <w:rFonts w:ascii="Tahoma" w:hAnsi="Tahoma" w:cs="Tahoma"/>
          <w:caps/>
          <w:color w:val="F66400"/>
          <w:sz w:val="22"/>
          <w:vertAlign w:val="superscript"/>
        </w:rPr>
        <w:lastRenderedPageBreak/>
        <w:t>10</w:t>
      </w:r>
      <w:r w:rsidRPr="00A75DF9">
        <w:rPr>
          <w:rFonts w:ascii="Tahoma" w:hAnsi="Tahoma" w:cs="Tahoma"/>
          <w:color w:val="F66400"/>
          <w:sz w:val="22"/>
        </w:rPr>
        <w:t xml:space="preserve"> Office Multi-Language Pack </w:t>
      </w:r>
      <w:bookmarkEnd w:id="1001"/>
      <w:bookmarkEnd w:id="1006"/>
      <w:bookmarkEnd w:id="1007"/>
      <w:bookmarkEnd w:id="1008"/>
      <w:r w:rsidRPr="00A75DF9">
        <w:rPr>
          <w:rFonts w:ascii="Tahoma" w:hAnsi="Tahoma" w:cs="Tahoma"/>
          <w:color w:val="F66400"/>
          <w:sz w:val="22"/>
        </w:rPr>
        <w:t>2013</w:t>
      </w:r>
      <w:bookmarkEnd w:id="1009"/>
    </w:p>
    <w:p w:rsidR="00023FE7" w:rsidRPr="00A75DF9" w:rsidRDefault="00023FE7" w:rsidP="00AE5A9F">
      <w:pPr>
        <w:rPr>
          <w:rFonts w:cs="Tahoma"/>
        </w:rPr>
      </w:pPr>
    </w:p>
    <w:p w:rsidR="00223A77" w:rsidRPr="00A75DF9" w:rsidRDefault="0035314F" w:rsidP="00864B8A">
      <w:pPr>
        <w:spacing w:after="60"/>
        <w:ind w:left="720"/>
        <w:rPr>
          <w:rFonts w:cs="Tahoma"/>
        </w:rPr>
      </w:pPr>
      <w:r w:rsidRPr="00A75DF9">
        <w:rPr>
          <w:rFonts w:cs="Tahoma"/>
          <w:b/>
          <w:szCs w:val="20"/>
        </w:rPr>
        <w:t>Diritti di Downgrade per Office Multi-Language Pack 2013</w:t>
      </w:r>
    </w:p>
    <w:p w:rsidR="00223A77" w:rsidRPr="00A75DF9" w:rsidRDefault="00223A77" w:rsidP="00CA6122">
      <w:pPr>
        <w:ind w:left="720"/>
        <w:rPr>
          <w:rFonts w:cs="Tahoma"/>
        </w:rPr>
      </w:pPr>
      <w:r w:rsidRPr="00A75DF9">
        <w:rPr>
          <w:rFonts w:cs="Tahoma"/>
          <w:szCs w:val="18"/>
        </w:rPr>
        <w:t>Le società con Contratti Multilicenza e che dispongono di una licenza per Office Multi-Language Pack 2013 e di una licenza per uno qualsiasi dei seguenti prodotti:</w:t>
      </w:r>
    </w:p>
    <w:p w:rsidR="00C2130B" w:rsidRPr="00A75DF9" w:rsidRDefault="00C2130B" w:rsidP="00CA6122">
      <w:pPr>
        <w:ind w:left="900"/>
        <w:rPr>
          <w:rFonts w:cs="Tahoma"/>
        </w:rPr>
      </w:pPr>
    </w:p>
    <w:p w:rsidR="00223A77" w:rsidRPr="00A75DF9" w:rsidRDefault="00223A77" w:rsidP="00CA6122">
      <w:pPr>
        <w:numPr>
          <w:ilvl w:val="0"/>
          <w:numId w:val="9"/>
        </w:numPr>
        <w:spacing w:after="60"/>
        <w:ind w:left="1440"/>
        <w:rPr>
          <w:rFonts w:cs="Tahoma"/>
        </w:rPr>
      </w:pPr>
      <w:r w:rsidRPr="00A75DF9">
        <w:rPr>
          <w:rFonts w:cs="Tahoma"/>
          <w:szCs w:val="18"/>
        </w:rPr>
        <w:t>Office Standard 2013</w:t>
      </w:r>
    </w:p>
    <w:p w:rsidR="00223A77" w:rsidRPr="00A75DF9" w:rsidRDefault="00223A77" w:rsidP="00CA6122">
      <w:pPr>
        <w:numPr>
          <w:ilvl w:val="0"/>
          <w:numId w:val="9"/>
        </w:numPr>
        <w:spacing w:after="60"/>
        <w:ind w:left="1440"/>
        <w:rPr>
          <w:rFonts w:cs="Tahoma"/>
        </w:rPr>
      </w:pPr>
      <w:r w:rsidRPr="00A75DF9">
        <w:rPr>
          <w:rFonts w:cs="Tahoma"/>
          <w:szCs w:val="18"/>
        </w:rPr>
        <w:t>Office Professional Plus 2013</w:t>
      </w:r>
    </w:p>
    <w:p w:rsidR="00223A77" w:rsidRPr="00A75DF9" w:rsidRDefault="00223A77" w:rsidP="00CA6122">
      <w:pPr>
        <w:numPr>
          <w:ilvl w:val="0"/>
          <w:numId w:val="9"/>
        </w:numPr>
        <w:spacing w:after="60"/>
        <w:ind w:left="1440"/>
        <w:rPr>
          <w:rFonts w:cs="Tahoma"/>
        </w:rPr>
      </w:pPr>
      <w:r w:rsidRPr="00A75DF9">
        <w:rPr>
          <w:rFonts w:cs="Tahoma"/>
          <w:szCs w:val="18"/>
        </w:rPr>
        <w:t>Project Standard 2013</w:t>
      </w:r>
    </w:p>
    <w:p w:rsidR="00223A77" w:rsidRPr="00A75DF9" w:rsidRDefault="00223A77" w:rsidP="00CA6122">
      <w:pPr>
        <w:numPr>
          <w:ilvl w:val="0"/>
          <w:numId w:val="9"/>
        </w:numPr>
        <w:spacing w:after="60"/>
        <w:ind w:left="1440"/>
        <w:rPr>
          <w:rFonts w:cs="Tahoma"/>
        </w:rPr>
      </w:pPr>
      <w:r w:rsidRPr="00A75DF9">
        <w:rPr>
          <w:rFonts w:cs="Tahoma"/>
          <w:szCs w:val="18"/>
        </w:rPr>
        <w:t>Project Professional 2013</w:t>
      </w:r>
    </w:p>
    <w:p w:rsidR="00223A77" w:rsidRPr="00A75DF9" w:rsidRDefault="00223A77" w:rsidP="00CA6122">
      <w:pPr>
        <w:numPr>
          <w:ilvl w:val="0"/>
          <w:numId w:val="9"/>
        </w:numPr>
        <w:spacing w:after="60"/>
        <w:ind w:left="1440"/>
        <w:rPr>
          <w:rFonts w:cs="Tahoma"/>
        </w:rPr>
      </w:pPr>
      <w:r w:rsidRPr="00A75DF9">
        <w:rPr>
          <w:rFonts w:cs="Tahoma"/>
          <w:szCs w:val="18"/>
        </w:rPr>
        <w:t>Visio Standard 2013</w:t>
      </w:r>
    </w:p>
    <w:p w:rsidR="00223A77" w:rsidRPr="00A75DF9" w:rsidRDefault="00223A77" w:rsidP="00CA6122">
      <w:pPr>
        <w:numPr>
          <w:ilvl w:val="0"/>
          <w:numId w:val="9"/>
        </w:numPr>
        <w:spacing w:after="60"/>
        <w:ind w:left="1440"/>
        <w:rPr>
          <w:rFonts w:cs="Tahoma"/>
        </w:rPr>
      </w:pPr>
      <w:r w:rsidRPr="00A75DF9">
        <w:rPr>
          <w:rFonts w:cs="Tahoma"/>
          <w:szCs w:val="18"/>
        </w:rPr>
        <w:t>Visio Professional 2013</w:t>
      </w:r>
    </w:p>
    <w:p w:rsidR="00223A77" w:rsidRPr="00A75DF9" w:rsidRDefault="00223A77" w:rsidP="00CA6122">
      <w:pPr>
        <w:ind w:left="1260"/>
        <w:rPr>
          <w:rFonts w:cs="Tahoma"/>
        </w:rPr>
      </w:pPr>
    </w:p>
    <w:p w:rsidR="00223A77" w:rsidRPr="00A75DF9" w:rsidRDefault="00223A77" w:rsidP="00CA6122">
      <w:pPr>
        <w:ind w:left="720"/>
        <w:rPr>
          <w:rFonts w:cs="Tahoma"/>
        </w:rPr>
      </w:pPr>
      <w:r w:rsidRPr="00A75DF9">
        <w:rPr>
          <w:rFonts w:cs="Tahoma"/>
          <w:szCs w:val="18"/>
        </w:rPr>
        <w:t>sono idonee a utilizzare la versione Inglese/Multilingua di una versione sottoposta a downgrade del prodotto, al posto della versione concessa in licenza</w:t>
      </w:r>
      <w:r w:rsidRPr="00A75DF9">
        <w:rPr>
          <w:rFonts w:cs="Tahoma"/>
          <w:i/>
          <w:iCs/>
          <w:szCs w:val="18"/>
        </w:rPr>
        <w:t>.</w:t>
      </w:r>
      <w:r w:rsidRPr="00A75DF9">
        <w:rPr>
          <w:rFonts w:cs="Tahoma"/>
          <w:szCs w:val="18"/>
        </w:rPr>
        <w:t xml:space="preserve"> L</w:t>
      </w:r>
      <w:r w:rsidR="00F2643E">
        <w:rPr>
          <w:rFonts w:cs="Tahoma"/>
          <w:szCs w:val="18"/>
        </w:rPr>
        <w:t>’</w:t>
      </w:r>
      <w:r w:rsidRPr="00A75DF9">
        <w:rPr>
          <w:rFonts w:cs="Tahoma"/>
          <w:szCs w:val="18"/>
        </w:rPr>
        <w:t>utilizzo della versione sottoposta a downgrade del prodotto è soggetta ai diritti di utilizzo della versione 2013 del prodotto. Tali diritti cesseranno alla scadenza dei diritti della società di utilizzare il prodotto Office Multi-Language Pack 2013 o i prodotti 2013 indicati in precedenza.</w:t>
      </w:r>
    </w:p>
    <w:p w:rsidR="00CA6122" w:rsidRPr="00C70D7D" w:rsidRDefault="00CA6122">
      <w:pPr>
        <w:pStyle w:val="Heading3"/>
        <w:rPr>
          <w:rFonts w:ascii="Tahoma" w:hAnsi="Tahoma" w:cs="Tahoma"/>
          <w:b w:val="0"/>
          <w:bCs/>
          <w:sz w:val="18"/>
          <w:szCs w:val="18"/>
        </w:rPr>
      </w:pPr>
      <w:bookmarkStart w:id="1010" w:name="_Toc336338266"/>
      <w:bookmarkStart w:id="1011" w:name="Aps_9OffProPlus07forWin"/>
      <w:bookmarkStart w:id="1012" w:name="Aps_7OfficeProPlus2010"/>
      <w:bookmarkStart w:id="1013" w:name="Aps_6OfficeProPlus2010"/>
    </w:p>
    <w:p w:rsidR="00CA6122" w:rsidRPr="00C70D7D" w:rsidRDefault="00CA6122">
      <w:pPr>
        <w:pStyle w:val="Heading3"/>
        <w:rPr>
          <w:rFonts w:ascii="Tahoma" w:hAnsi="Tahoma" w:cs="Tahoma"/>
          <w:b w:val="0"/>
          <w:bCs/>
          <w:sz w:val="18"/>
          <w:szCs w:val="18"/>
        </w:rPr>
      </w:pPr>
    </w:p>
    <w:p w:rsidR="00023FE7" w:rsidRPr="00A75DF9" w:rsidRDefault="00A560B6">
      <w:pPr>
        <w:pStyle w:val="Heading3"/>
        <w:rPr>
          <w:rFonts w:ascii="Tahoma" w:hAnsi="Tahoma" w:cs="Tahoma"/>
        </w:rPr>
      </w:pPr>
      <w:bookmarkStart w:id="1014" w:name="_98_Office_Professional"/>
      <w:bookmarkStart w:id="1015" w:name="_10_Office_Professional"/>
      <w:bookmarkStart w:id="1016" w:name="_Toc368310259"/>
      <w:bookmarkEnd w:id="1014"/>
      <w:bookmarkEnd w:id="1015"/>
      <w:r w:rsidRPr="00A75DF9">
        <w:rPr>
          <w:rFonts w:ascii="Tahoma" w:hAnsi="Tahoma" w:cs="Tahoma"/>
          <w:caps/>
          <w:color w:val="F66400"/>
          <w:sz w:val="22"/>
          <w:vertAlign w:val="superscript"/>
        </w:rPr>
        <w:t>11</w:t>
      </w:r>
      <w:r w:rsidRPr="00A75DF9">
        <w:rPr>
          <w:rFonts w:ascii="Tahoma" w:hAnsi="Tahoma" w:cs="Tahoma"/>
          <w:color w:val="F66400"/>
          <w:sz w:val="22"/>
        </w:rPr>
        <w:t xml:space="preserve"> Office Professional Plus </w:t>
      </w:r>
      <w:bookmarkEnd w:id="1010"/>
      <w:r w:rsidRPr="00A75DF9">
        <w:rPr>
          <w:rFonts w:ascii="Tahoma" w:hAnsi="Tahoma" w:cs="Tahoma"/>
          <w:color w:val="F66400"/>
          <w:sz w:val="22"/>
        </w:rPr>
        <w:t>2013</w:t>
      </w:r>
      <w:bookmarkEnd w:id="1016"/>
    </w:p>
    <w:bookmarkEnd w:id="1011"/>
    <w:bookmarkEnd w:id="1012"/>
    <w:bookmarkEnd w:id="1013"/>
    <w:p w:rsidR="00023FE7" w:rsidRPr="00A75DF9" w:rsidRDefault="00023FE7" w:rsidP="00AE5A9F">
      <w:pPr>
        <w:rPr>
          <w:rFonts w:cs="Tahoma"/>
        </w:rPr>
      </w:pPr>
    </w:p>
    <w:p w:rsidR="00223A77" w:rsidRPr="00A75DF9" w:rsidRDefault="00223A77" w:rsidP="00346F4B">
      <w:pPr>
        <w:pStyle w:val="EndnoteText"/>
        <w:numPr>
          <w:ilvl w:val="0"/>
          <w:numId w:val="114"/>
        </w:numPr>
        <w:ind w:left="1080"/>
        <w:rPr>
          <w:rFonts w:ascii="Tahoma" w:hAnsi="Tahoma" w:cs="Tahoma"/>
        </w:rPr>
      </w:pPr>
      <w:r w:rsidRPr="00A75DF9">
        <w:rPr>
          <w:rFonts w:ascii="Tahoma" w:hAnsi="Tahoma" w:cs="Tahoma"/>
          <w:sz w:val="18"/>
          <w:szCs w:val="20"/>
        </w:rPr>
        <w:t xml:space="preserve">Licenza Work at Home (WAH) disponibile per le società con Contratto Select </w:t>
      </w:r>
      <w:r w:rsidRPr="00A75DF9">
        <w:rPr>
          <w:rFonts w:ascii="Tahoma" w:hAnsi="Tahoma" w:cs="Tahoma"/>
          <w:sz w:val="18"/>
          <w:szCs w:val="18"/>
        </w:rPr>
        <w:t>e Select Plus</w:t>
      </w:r>
    </w:p>
    <w:p w:rsidR="00223A77" w:rsidRPr="00A75DF9" w:rsidRDefault="00223A77" w:rsidP="00346F4B">
      <w:pPr>
        <w:pStyle w:val="EndnoteText"/>
        <w:numPr>
          <w:ilvl w:val="0"/>
          <w:numId w:val="114"/>
        </w:numPr>
        <w:ind w:left="1080"/>
        <w:rPr>
          <w:rFonts w:ascii="Tahoma" w:hAnsi="Tahoma" w:cs="Tahoma"/>
        </w:rPr>
      </w:pPr>
      <w:r w:rsidRPr="00A75DF9">
        <w:rPr>
          <w:rFonts w:ascii="Tahoma" w:hAnsi="Tahoma" w:cs="Tahoma"/>
          <w:sz w:val="18"/>
          <w:szCs w:val="20"/>
        </w:rPr>
        <w:t>Licenza Work at Home (WAH) disponibile per le società con Contratto Enterprise</w:t>
      </w:r>
    </w:p>
    <w:p w:rsidR="00223A77" w:rsidRPr="00A75DF9" w:rsidRDefault="00223A77" w:rsidP="00D16C5F">
      <w:pPr>
        <w:pStyle w:val="FootnoteBulletLevel1"/>
        <w:tabs>
          <w:tab w:val="clear" w:pos="900"/>
        </w:tabs>
        <w:spacing w:before="0" w:after="0"/>
        <w:ind w:left="720" w:firstLine="0"/>
        <w:rPr>
          <w:rFonts w:ascii="Tahoma" w:hAnsi="Tahoma" w:cs="Tahoma"/>
        </w:rPr>
      </w:pPr>
    </w:p>
    <w:p w:rsidR="00864B8A" w:rsidRPr="00A75DF9" w:rsidRDefault="00223A77" w:rsidP="00864B8A">
      <w:pPr>
        <w:spacing w:after="60"/>
        <w:ind w:left="720"/>
        <w:rPr>
          <w:rFonts w:cs="Tahoma"/>
        </w:rPr>
      </w:pPr>
      <w:r w:rsidRPr="00A75DF9">
        <w:rPr>
          <w:rFonts w:cs="Tahoma"/>
          <w:b/>
        </w:rPr>
        <w:t>Office Professional Plus 2013</w:t>
      </w:r>
    </w:p>
    <w:p w:rsidR="00223A77" w:rsidRPr="00A75DF9" w:rsidRDefault="00223A77" w:rsidP="00864B8A">
      <w:pPr>
        <w:spacing w:after="60"/>
        <w:ind w:left="720"/>
        <w:rPr>
          <w:rFonts w:cs="Tahoma"/>
        </w:rPr>
      </w:pPr>
      <w:r w:rsidRPr="00C70D7D">
        <w:rPr>
          <w:rFonts w:cs="Tahoma"/>
        </w:rPr>
        <w:t>Una Licenza per Office Professional Plus 2013 è composta dai seguenti elementi: Access 2013, Lync 2013, Excel 2013, InfoPath 2013, OneNote 2013, Outlook 2013, Office Home and Student RT 2013 Commercial Use, Office Web Apps, PowerPoint 2013, Publisher 2013 e Word 2013.</w:t>
      </w:r>
    </w:p>
    <w:p w:rsidR="00973A93" w:rsidRPr="00A75DF9" w:rsidRDefault="00973A93">
      <w:pPr>
        <w:rPr>
          <w:rFonts w:cs="Tahoma"/>
        </w:rPr>
      </w:pPr>
    </w:p>
    <w:p w:rsidR="00223A77" w:rsidRPr="00A75DF9" w:rsidRDefault="00223A77" w:rsidP="00AF1D88">
      <w:pPr>
        <w:keepNext/>
        <w:spacing w:after="60"/>
        <w:ind w:left="720"/>
        <w:rPr>
          <w:rFonts w:cs="Tahoma"/>
        </w:rPr>
      </w:pPr>
      <w:r w:rsidRPr="00A75DF9">
        <w:rPr>
          <w:rFonts w:cs="Tahoma"/>
          <w:b/>
        </w:rPr>
        <w:t>Impossibilità di Separare Office Professional Plus 2013</w:t>
      </w:r>
    </w:p>
    <w:p w:rsidR="00223A77" w:rsidRPr="00C70D7D" w:rsidRDefault="00223A77" w:rsidP="00D16C5F">
      <w:pPr>
        <w:pStyle w:val="FootnoteBulletLevel1"/>
        <w:tabs>
          <w:tab w:val="clear" w:pos="900"/>
        </w:tabs>
        <w:spacing w:before="0" w:after="0"/>
        <w:ind w:left="720" w:firstLine="0"/>
        <w:rPr>
          <w:rFonts w:ascii="Tahoma" w:hAnsi="Tahoma" w:cs="Tahoma"/>
          <w:sz w:val="18"/>
          <w:szCs w:val="18"/>
        </w:rPr>
      </w:pPr>
      <w:r w:rsidRPr="00C70D7D">
        <w:rPr>
          <w:rFonts w:ascii="Tahoma" w:hAnsi="Tahoma" w:cs="Tahoma"/>
          <w:sz w:val="18"/>
          <w:szCs w:val="18"/>
        </w:rPr>
        <w:t>Microsoft Office Professional Plus 2013 è composto da più di un prodotto offerto ai sensi di un</w:t>
      </w:r>
      <w:r w:rsidR="00F2643E">
        <w:rPr>
          <w:rFonts w:ascii="Tahoma" w:hAnsi="Tahoma" w:cs="Tahoma"/>
          <w:sz w:val="18"/>
          <w:szCs w:val="18"/>
        </w:rPr>
        <w:t>’</w:t>
      </w:r>
      <w:r w:rsidRPr="00C70D7D">
        <w:rPr>
          <w:rFonts w:ascii="Tahoma" w:hAnsi="Tahoma" w:cs="Tahoma"/>
          <w:sz w:val="18"/>
          <w:szCs w:val="18"/>
        </w:rPr>
        <w:t>unica licenza. Il software non può essere separato per l</w:t>
      </w:r>
      <w:r w:rsidR="00F2643E">
        <w:rPr>
          <w:rFonts w:ascii="Tahoma" w:hAnsi="Tahoma" w:cs="Tahoma"/>
          <w:sz w:val="18"/>
          <w:szCs w:val="18"/>
        </w:rPr>
        <w:t>’</w:t>
      </w:r>
      <w:r w:rsidRPr="00C70D7D">
        <w:rPr>
          <w:rFonts w:ascii="Tahoma" w:hAnsi="Tahoma" w:cs="Tahoma"/>
          <w:sz w:val="18"/>
          <w:szCs w:val="18"/>
        </w:rPr>
        <w:t>utilizzo su più di un computer.</w:t>
      </w:r>
    </w:p>
    <w:p w:rsidR="00952A87" w:rsidRPr="00A75DF9" w:rsidRDefault="00952A87" w:rsidP="00D16C5F">
      <w:pPr>
        <w:ind w:left="720"/>
        <w:rPr>
          <w:rFonts w:cs="Tahoma"/>
        </w:rPr>
      </w:pPr>
    </w:p>
    <w:p w:rsidR="00952A87" w:rsidRPr="00A75DF9" w:rsidRDefault="00952A87" w:rsidP="00864B8A">
      <w:pPr>
        <w:spacing w:after="60"/>
        <w:ind w:left="720"/>
        <w:rPr>
          <w:rFonts w:cs="Tahoma"/>
        </w:rPr>
      </w:pPr>
      <w:r w:rsidRPr="00A75DF9">
        <w:rPr>
          <w:rFonts w:cs="Tahoma"/>
          <w:b/>
        </w:rPr>
        <w:t>Contratto Campus e School</w:t>
      </w:r>
    </w:p>
    <w:p w:rsidR="00001A9A" w:rsidRPr="00A75DF9" w:rsidRDefault="00952A87" w:rsidP="00D16C5F">
      <w:pPr>
        <w:ind w:left="720"/>
        <w:rPr>
          <w:rFonts w:cs="Tahoma"/>
        </w:rPr>
      </w:pPr>
      <w:r w:rsidRPr="00A75DF9">
        <w:rPr>
          <w:rFonts w:eastAsia="Calibri" w:cs="Tahoma"/>
          <w:iCs/>
          <w:color w:val="000000"/>
          <w:szCs w:val="18"/>
        </w:rPr>
        <w:t>Gli Istituti in possesso di USL per Office 365 ProPlus cedute a tutto il personale docente e non docente potranno installare il software Office Professional Plus 2013 in qualsiasi laboratorio o biblioteca ad accesso libero all</w:t>
      </w:r>
      <w:r w:rsidR="00F2643E">
        <w:rPr>
          <w:rFonts w:eastAsia="Calibri" w:cs="Tahoma"/>
          <w:iCs/>
          <w:color w:val="000000"/>
          <w:szCs w:val="18"/>
        </w:rPr>
        <w:t>’</w:t>
      </w:r>
      <w:r w:rsidRPr="00A75DF9">
        <w:rPr>
          <w:rFonts w:eastAsia="Calibri" w:cs="Tahoma"/>
          <w:iCs/>
          <w:color w:val="000000"/>
          <w:szCs w:val="18"/>
        </w:rPr>
        <w:t>interno dell</w:t>
      </w:r>
      <w:r w:rsidR="00F2643E">
        <w:rPr>
          <w:rFonts w:eastAsia="Calibri" w:cs="Tahoma"/>
          <w:iCs/>
          <w:color w:val="000000"/>
          <w:szCs w:val="18"/>
        </w:rPr>
        <w:t>’</w:t>
      </w:r>
      <w:r w:rsidRPr="00A75DF9">
        <w:rPr>
          <w:rFonts w:eastAsia="Calibri" w:cs="Tahoma"/>
          <w:iCs/>
          <w:color w:val="000000"/>
          <w:szCs w:val="18"/>
        </w:rPr>
        <w:t>Organizzazione dell</w:t>
      </w:r>
      <w:r w:rsidR="00F2643E">
        <w:rPr>
          <w:rFonts w:eastAsia="Calibri" w:cs="Tahoma"/>
          <w:iCs/>
          <w:color w:val="000000"/>
          <w:szCs w:val="18"/>
        </w:rPr>
        <w:t>’</w:t>
      </w:r>
      <w:r w:rsidRPr="00A75DF9">
        <w:rPr>
          <w:rFonts w:eastAsia="Calibri" w:cs="Tahoma"/>
          <w:iCs/>
          <w:color w:val="000000"/>
          <w:szCs w:val="18"/>
        </w:rPr>
        <w:t>Istituto.</w:t>
      </w:r>
      <w:r w:rsidR="009D3B41" w:rsidRPr="00A75DF9">
        <w:rPr>
          <w:rFonts w:eastAsia="Calibri" w:cs="Tahoma"/>
          <w:iCs/>
          <w:color w:val="000000"/>
          <w:szCs w:val="18"/>
        </w:rPr>
        <w:t xml:space="preserve"> </w:t>
      </w:r>
      <w:r w:rsidRPr="00A75DF9">
        <w:rPr>
          <w:rFonts w:eastAsia="Calibri" w:cs="Tahoma"/>
          <w:iCs/>
          <w:color w:val="000000"/>
          <w:szCs w:val="18"/>
        </w:rPr>
        <w:t>L</w:t>
      </w:r>
      <w:r w:rsidR="00F2643E">
        <w:rPr>
          <w:rFonts w:eastAsia="Calibri" w:cs="Tahoma"/>
          <w:iCs/>
          <w:color w:val="000000"/>
          <w:szCs w:val="18"/>
        </w:rPr>
        <w:t>’</w:t>
      </w:r>
      <w:r w:rsidRPr="00A75DF9">
        <w:rPr>
          <w:rFonts w:eastAsia="Calibri" w:cs="Tahoma"/>
          <w:iCs/>
          <w:color w:val="000000"/>
          <w:szCs w:val="18"/>
        </w:rPr>
        <w:t>utilizzo del software è soggetto alle condizioni di licenza per Office Professional Plus 2013.</w:t>
      </w:r>
    </w:p>
    <w:p w:rsidR="00952A87" w:rsidRPr="00A75DF9" w:rsidRDefault="00952A87" w:rsidP="00D16C5F">
      <w:pPr>
        <w:rPr>
          <w:rFonts w:cs="Tahoma"/>
        </w:rPr>
      </w:pPr>
    </w:p>
    <w:p w:rsidR="00133069" w:rsidRPr="00A75DF9" w:rsidRDefault="00133069" w:rsidP="00133069">
      <w:pPr>
        <w:rPr>
          <w:rFonts w:cs="Tahoma"/>
        </w:rPr>
      </w:pPr>
    </w:p>
    <w:p w:rsidR="00223A77" w:rsidRPr="00A75DF9" w:rsidRDefault="00A560B6" w:rsidP="00223A77">
      <w:pPr>
        <w:pStyle w:val="Heading3"/>
        <w:rPr>
          <w:rFonts w:ascii="Tahoma" w:hAnsi="Tahoma" w:cs="Tahoma"/>
        </w:rPr>
      </w:pPr>
      <w:bookmarkStart w:id="1017" w:name="_109_Office_Standard"/>
      <w:bookmarkStart w:id="1018" w:name="_11_Office_Standard"/>
      <w:bookmarkStart w:id="1019" w:name="Aps_OfficeStandard2010"/>
      <w:bookmarkStart w:id="1020" w:name="_Toc254806115"/>
      <w:bookmarkStart w:id="1021" w:name="_Toc328146032"/>
      <w:bookmarkStart w:id="1022" w:name="Aps_7OfficeStandard2010"/>
      <w:bookmarkStart w:id="1023" w:name="_Toc336338268"/>
      <w:bookmarkStart w:id="1024" w:name="_Toc368310260"/>
      <w:bookmarkEnd w:id="1017"/>
      <w:bookmarkEnd w:id="1018"/>
      <w:r w:rsidRPr="00A75DF9">
        <w:rPr>
          <w:rFonts w:ascii="Tahoma" w:hAnsi="Tahoma" w:cs="Tahoma"/>
          <w:caps/>
          <w:color w:val="F66400"/>
          <w:sz w:val="22"/>
          <w:vertAlign w:val="superscript"/>
        </w:rPr>
        <w:t>12</w:t>
      </w:r>
      <w:r w:rsidRPr="00A75DF9">
        <w:rPr>
          <w:rFonts w:ascii="Tahoma" w:hAnsi="Tahoma" w:cs="Tahoma"/>
          <w:color w:val="F66400"/>
          <w:sz w:val="22"/>
        </w:rPr>
        <w:t xml:space="preserve"> Office Standard </w:t>
      </w:r>
      <w:bookmarkEnd w:id="1019"/>
      <w:bookmarkEnd w:id="1020"/>
      <w:bookmarkEnd w:id="1021"/>
      <w:r w:rsidRPr="00A75DF9">
        <w:rPr>
          <w:rFonts w:ascii="Tahoma" w:hAnsi="Tahoma" w:cs="Tahoma"/>
          <w:color w:val="F66400"/>
          <w:sz w:val="22"/>
        </w:rPr>
        <w:t>2013</w:t>
      </w:r>
      <w:bookmarkEnd w:id="1024"/>
    </w:p>
    <w:bookmarkEnd w:id="1022"/>
    <w:p w:rsidR="00223A77" w:rsidRPr="00A75DF9" w:rsidRDefault="00223A77" w:rsidP="00AE5A9F">
      <w:pPr>
        <w:rPr>
          <w:rFonts w:cs="Tahoma"/>
        </w:rPr>
      </w:pPr>
    </w:p>
    <w:p w:rsidR="00223A77" w:rsidRPr="00A75DF9" w:rsidRDefault="00223A77" w:rsidP="00346F4B">
      <w:pPr>
        <w:pStyle w:val="EndnoteText"/>
        <w:numPr>
          <w:ilvl w:val="3"/>
          <w:numId w:val="81"/>
        </w:numPr>
        <w:ind w:left="990"/>
        <w:rPr>
          <w:rFonts w:ascii="Tahoma" w:hAnsi="Tahoma" w:cs="Tahoma"/>
        </w:rPr>
      </w:pPr>
      <w:r w:rsidRPr="00A75DF9">
        <w:rPr>
          <w:rFonts w:ascii="Tahoma" w:hAnsi="Tahoma" w:cs="Tahoma"/>
          <w:sz w:val="18"/>
          <w:szCs w:val="20"/>
        </w:rPr>
        <w:t>Licenza Work at Home (WAH)</w:t>
      </w:r>
      <w:r w:rsidRPr="00A75DF9">
        <w:rPr>
          <w:rFonts w:ascii="Tahoma" w:hAnsi="Tahoma" w:cs="Tahoma"/>
          <w:sz w:val="18"/>
        </w:rPr>
        <w:t xml:space="preserve"> disponibile per le società con Contratto Select </w:t>
      </w:r>
      <w:r w:rsidRPr="00A75DF9">
        <w:rPr>
          <w:rFonts w:ascii="Tahoma" w:hAnsi="Tahoma" w:cs="Tahoma"/>
        </w:rPr>
        <w:t>e Select Plus</w:t>
      </w:r>
    </w:p>
    <w:p w:rsidR="00223A77" w:rsidRPr="00A75DF9" w:rsidRDefault="00223A77" w:rsidP="00346F4B">
      <w:pPr>
        <w:pStyle w:val="EndnoteText"/>
        <w:numPr>
          <w:ilvl w:val="3"/>
          <w:numId w:val="81"/>
        </w:numPr>
        <w:ind w:left="990"/>
        <w:rPr>
          <w:rFonts w:ascii="Tahoma" w:hAnsi="Tahoma" w:cs="Tahoma"/>
        </w:rPr>
      </w:pPr>
      <w:r w:rsidRPr="00A75DF9">
        <w:rPr>
          <w:rFonts w:ascii="Tahoma" w:hAnsi="Tahoma" w:cs="Tahoma"/>
          <w:sz w:val="18"/>
        </w:rPr>
        <w:t>Licenza Work at Home (WAH) disponibile per le società con Contratto Enterprise</w:t>
      </w:r>
    </w:p>
    <w:p w:rsidR="00223A77" w:rsidRPr="00A75DF9" w:rsidRDefault="00223A77" w:rsidP="00DF0E39">
      <w:pPr>
        <w:pStyle w:val="FootnoteBulletLevel1"/>
        <w:tabs>
          <w:tab w:val="clear" w:pos="900"/>
        </w:tabs>
        <w:spacing w:before="0" w:after="0"/>
        <w:ind w:left="720" w:firstLine="0"/>
        <w:rPr>
          <w:rFonts w:ascii="Tahoma" w:hAnsi="Tahoma" w:cs="Tahoma"/>
        </w:rPr>
      </w:pPr>
    </w:p>
    <w:p w:rsidR="00864B8A" w:rsidRPr="00A75DF9" w:rsidRDefault="00223A77" w:rsidP="00864B8A">
      <w:pPr>
        <w:spacing w:after="60"/>
        <w:ind w:left="720"/>
        <w:rPr>
          <w:rFonts w:cs="Tahoma"/>
        </w:rPr>
      </w:pPr>
      <w:r w:rsidRPr="00A75DF9">
        <w:rPr>
          <w:rFonts w:cs="Tahoma"/>
          <w:b/>
        </w:rPr>
        <w:t>Office Standard 2013</w:t>
      </w:r>
    </w:p>
    <w:p w:rsidR="00223A77" w:rsidRPr="00A75DF9" w:rsidRDefault="00223A77" w:rsidP="00DF0E39">
      <w:pPr>
        <w:pStyle w:val="FootnoteBulletLevel1"/>
        <w:tabs>
          <w:tab w:val="clear" w:pos="900"/>
        </w:tabs>
        <w:spacing w:before="0" w:after="0"/>
        <w:ind w:left="720" w:firstLine="0"/>
        <w:rPr>
          <w:rFonts w:ascii="Tahoma" w:hAnsi="Tahoma" w:cs="Tahoma"/>
        </w:rPr>
      </w:pPr>
      <w:r w:rsidRPr="00A75DF9">
        <w:rPr>
          <w:rFonts w:ascii="Tahoma" w:hAnsi="Tahoma" w:cs="Tahoma"/>
          <w:sz w:val="18"/>
        </w:rPr>
        <w:t>Una Licenza per Office Standard 2013 è composta dai seguenti elementi: Excel 2013, OneNote 2013, Outlook 2013,</w:t>
      </w:r>
      <w:r w:rsidRPr="00A75DF9">
        <w:rPr>
          <w:rFonts w:ascii="Tahoma" w:hAnsi="Tahoma" w:cs="Tahoma"/>
        </w:rPr>
        <w:t xml:space="preserve"> Office Home and Student RT 2013 Commercial Use,</w:t>
      </w:r>
      <w:r w:rsidRPr="00A75DF9">
        <w:rPr>
          <w:rFonts w:ascii="Tahoma" w:hAnsi="Tahoma" w:cs="Tahoma"/>
          <w:sz w:val="18"/>
        </w:rPr>
        <w:t xml:space="preserve"> Office Web Apps, PowerPoint 2013, Publisher 2013 e Word 2013.</w:t>
      </w:r>
    </w:p>
    <w:p w:rsidR="00DF0E39" w:rsidRPr="00A75DF9" w:rsidRDefault="00DF0E39" w:rsidP="00DF0E39">
      <w:pPr>
        <w:pStyle w:val="FootnoteBulletLevel1"/>
        <w:tabs>
          <w:tab w:val="clear" w:pos="900"/>
        </w:tabs>
        <w:spacing w:before="0" w:after="0"/>
        <w:ind w:left="720" w:firstLine="0"/>
        <w:rPr>
          <w:rFonts w:ascii="Tahoma" w:hAnsi="Tahoma" w:cs="Tahoma"/>
        </w:rPr>
      </w:pPr>
    </w:p>
    <w:p w:rsidR="00864B8A" w:rsidRPr="00A75DF9" w:rsidRDefault="00223A77" w:rsidP="00864B8A">
      <w:pPr>
        <w:spacing w:after="60"/>
        <w:ind w:left="720"/>
        <w:rPr>
          <w:rFonts w:cs="Tahoma"/>
        </w:rPr>
      </w:pPr>
      <w:r w:rsidRPr="00A75DF9">
        <w:rPr>
          <w:rFonts w:cs="Tahoma"/>
          <w:b/>
        </w:rPr>
        <w:t>Impossibilità di Separare Microsoft Office Standard 2013</w:t>
      </w:r>
    </w:p>
    <w:p w:rsidR="00223A77" w:rsidRPr="00A75DF9" w:rsidRDefault="00223A77" w:rsidP="002F39A5">
      <w:pPr>
        <w:spacing w:after="60"/>
        <w:ind w:left="720"/>
        <w:rPr>
          <w:rFonts w:cs="Tahoma"/>
        </w:rPr>
      </w:pPr>
      <w:r w:rsidRPr="00A75DF9">
        <w:rPr>
          <w:rFonts w:cs="Tahoma"/>
        </w:rPr>
        <w:t>Office Standard 2013 è composto da più di un prodotto offerto ai sensi di un</w:t>
      </w:r>
      <w:r w:rsidR="00F2643E">
        <w:rPr>
          <w:rFonts w:cs="Tahoma"/>
        </w:rPr>
        <w:t>’</w:t>
      </w:r>
      <w:r w:rsidRPr="00A75DF9">
        <w:rPr>
          <w:rFonts w:cs="Tahoma"/>
        </w:rPr>
        <w:t>unica licenza. Il software non può essere separato per l</w:t>
      </w:r>
      <w:r w:rsidR="00F2643E">
        <w:rPr>
          <w:rFonts w:cs="Tahoma"/>
        </w:rPr>
        <w:t>’</w:t>
      </w:r>
      <w:r w:rsidRPr="00A75DF9">
        <w:rPr>
          <w:rFonts w:cs="Tahoma"/>
        </w:rPr>
        <w:t>utilizzo su più di un computer.</w:t>
      </w:r>
    </w:p>
    <w:p w:rsidR="00B2182D" w:rsidRPr="00A75DF9" w:rsidRDefault="00A560B6" w:rsidP="00461CA9">
      <w:pPr>
        <w:pStyle w:val="Heading3"/>
        <w:rPr>
          <w:rFonts w:ascii="Tahoma" w:hAnsi="Tahoma" w:cs="Tahoma"/>
        </w:rPr>
      </w:pPr>
      <w:bookmarkStart w:id="1025" w:name="_110_Office_365"/>
      <w:bookmarkStart w:id="1026" w:name="_12_Office_365"/>
      <w:bookmarkStart w:id="1027" w:name="Aps_9OfficeProPlusSubUserSL"/>
      <w:bookmarkStart w:id="1028" w:name="_Toc368310261"/>
      <w:bookmarkEnd w:id="1025"/>
      <w:bookmarkEnd w:id="1026"/>
      <w:r w:rsidRPr="00A75DF9">
        <w:rPr>
          <w:rFonts w:ascii="Tahoma" w:hAnsi="Tahoma" w:cs="Tahoma"/>
          <w:caps/>
          <w:color w:val="F26200"/>
          <w:sz w:val="22"/>
          <w:vertAlign w:val="superscript"/>
        </w:rPr>
        <w:lastRenderedPageBreak/>
        <w:t>13</w:t>
      </w:r>
      <w:r w:rsidRPr="00A75DF9">
        <w:rPr>
          <w:rFonts w:ascii="Tahoma" w:hAnsi="Tahoma" w:cs="Tahoma"/>
          <w:color w:val="F26200"/>
          <w:sz w:val="22"/>
        </w:rPr>
        <w:t xml:space="preserve"> Office 365 ProPlus (SL per Utente)</w:t>
      </w:r>
      <w:bookmarkEnd w:id="1023"/>
      <w:bookmarkEnd w:id="1028"/>
    </w:p>
    <w:bookmarkEnd w:id="1027"/>
    <w:p w:rsidR="00B2182D" w:rsidRPr="00A75DF9" w:rsidRDefault="00B2182D" w:rsidP="00AE5A9F">
      <w:pPr>
        <w:rPr>
          <w:rFonts w:cs="Tahoma"/>
        </w:rPr>
      </w:pPr>
    </w:p>
    <w:p w:rsidR="003418C5" w:rsidRPr="00A75DF9" w:rsidRDefault="003418C5" w:rsidP="003418C5">
      <w:pPr>
        <w:spacing w:after="60"/>
        <w:ind w:left="720"/>
        <w:rPr>
          <w:rFonts w:cs="Tahoma"/>
        </w:rPr>
      </w:pPr>
      <w:r w:rsidRPr="00A75DF9">
        <w:rPr>
          <w:rFonts w:cs="Tahoma"/>
          <w:b/>
          <w:bCs/>
        </w:rPr>
        <w:t>Idoneità all</w:t>
      </w:r>
      <w:r w:rsidR="00F2643E">
        <w:rPr>
          <w:rFonts w:cs="Tahoma"/>
          <w:b/>
          <w:bCs/>
        </w:rPr>
        <w:t>’</w:t>
      </w:r>
      <w:r w:rsidRPr="00A75DF9">
        <w:rPr>
          <w:rFonts w:cs="Tahoma"/>
          <w:b/>
          <w:bCs/>
        </w:rPr>
        <w:t>acquisto</w:t>
      </w:r>
    </w:p>
    <w:p w:rsidR="003418C5" w:rsidRPr="00A75DF9" w:rsidRDefault="003418C5" w:rsidP="003418C5">
      <w:pPr>
        <w:ind w:left="720"/>
        <w:rPr>
          <w:rFonts w:cs="Tahoma"/>
        </w:rPr>
      </w:pPr>
      <w:r w:rsidRPr="00A75DF9">
        <w:rPr>
          <w:rFonts w:cs="Tahoma"/>
        </w:rPr>
        <w:t xml:space="preserve">Il licenziatario potrà acquistare la licenza Office 365 ProPlus SA Transition solo qualora disponga di una licenza sottostante per Office Professional Plus con Software Assurance per un Contratto Enterprise attivo. </w:t>
      </w:r>
    </w:p>
    <w:p w:rsidR="003418C5" w:rsidRPr="00A75DF9" w:rsidRDefault="003418C5" w:rsidP="00864B8A">
      <w:pPr>
        <w:spacing w:after="60"/>
        <w:ind w:left="720"/>
        <w:rPr>
          <w:rFonts w:cs="Tahoma"/>
        </w:rPr>
      </w:pPr>
    </w:p>
    <w:p w:rsidR="005C647E" w:rsidRPr="00A75DF9" w:rsidRDefault="005C647E" w:rsidP="00864B8A">
      <w:pPr>
        <w:spacing w:after="60"/>
        <w:ind w:left="720"/>
        <w:rPr>
          <w:rFonts w:cs="Tahoma"/>
        </w:rPr>
      </w:pPr>
      <w:r w:rsidRPr="00A75DF9">
        <w:rPr>
          <w:rFonts w:cs="Tahoma"/>
          <w:b/>
        </w:rPr>
        <w:t>Campus and School</w:t>
      </w:r>
    </w:p>
    <w:p w:rsidR="005C647E" w:rsidRPr="00A75DF9" w:rsidRDefault="005C647E" w:rsidP="00810479">
      <w:pPr>
        <w:ind w:left="720"/>
        <w:rPr>
          <w:rFonts w:cs="Tahoma"/>
        </w:rPr>
      </w:pPr>
      <w:r w:rsidRPr="00A75DF9">
        <w:rPr>
          <w:rFonts w:cs="Tahoma"/>
          <w:color w:val="000000"/>
        </w:rPr>
        <w:t>Qualora un Istituto disponga di una sottoscrizione di una USL per Office 365 ProPlus, dovrà acquistare una licenza per ogni Utente Qualificato della propria organizzazione. Qualora un Istituto aderisca all</w:t>
      </w:r>
      <w:r w:rsidR="00F2643E">
        <w:rPr>
          <w:rFonts w:cs="Tahoma"/>
          <w:color w:val="000000"/>
        </w:rPr>
        <w:t>’</w:t>
      </w:r>
      <w:r w:rsidRPr="00A75DF9">
        <w:rPr>
          <w:rFonts w:cs="Tahoma"/>
          <w:color w:val="000000"/>
        </w:rPr>
        <w:t>Opzione Studente per la USL per Office 365 ProPlus, dovrà acquistare una licenza per ogni Studente dell</w:t>
      </w:r>
      <w:r w:rsidR="00F2643E">
        <w:rPr>
          <w:rFonts w:cs="Tahoma"/>
          <w:color w:val="000000"/>
        </w:rPr>
        <w:t>’</w:t>
      </w:r>
      <w:r w:rsidRPr="00A75DF9">
        <w:rPr>
          <w:rFonts w:cs="Tahoma"/>
          <w:color w:val="000000"/>
        </w:rPr>
        <w:t>Organizzazione.</w:t>
      </w:r>
    </w:p>
    <w:p w:rsidR="005C647E" w:rsidRPr="00A75DF9" w:rsidRDefault="005C647E" w:rsidP="00810479">
      <w:pPr>
        <w:ind w:left="720"/>
        <w:rPr>
          <w:rFonts w:cs="Tahoma"/>
        </w:rPr>
      </w:pPr>
    </w:p>
    <w:p w:rsidR="008368B4" w:rsidRPr="00A75DF9" w:rsidRDefault="008368B4" w:rsidP="008368B4">
      <w:pPr>
        <w:ind w:left="720"/>
        <w:rPr>
          <w:rFonts w:cs="Tahoma"/>
        </w:rPr>
      </w:pPr>
      <w:r w:rsidRPr="00A75DF9">
        <w:rPr>
          <w:rFonts w:cs="Tahoma"/>
          <w:b/>
          <w:bCs/>
          <w:szCs w:val="18"/>
        </w:rPr>
        <w:t>Utilizzo di Office Professional Plus 2010 o Office per Mac Standard 2011</w:t>
      </w:r>
    </w:p>
    <w:p w:rsidR="008368B4" w:rsidRPr="00A75DF9" w:rsidRDefault="008368B4" w:rsidP="008368B4">
      <w:pPr>
        <w:ind w:left="720"/>
        <w:rPr>
          <w:rFonts w:cs="Tahoma"/>
        </w:rPr>
      </w:pPr>
      <w:r w:rsidRPr="00A75DF9">
        <w:rPr>
          <w:rFonts w:cs="Tahoma"/>
          <w:bCs/>
          <w:szCs w:val="18"/>
        </w:rPr>
        <w:t>Con il rilascio del servizio aggiornato per Office 365 ProPlus il diritto di idoneità dei supporti di memorizzazione di utilizzare Office Professional Plus 2010 o Office per Mac Standard 2011 al posto del software Office 365 ProPlus ai sensi di sottoscrizioni attive è stato interrotto. La società avrà a disposizione un anno, fino al 28 febbraio 2014 per aggiornare i dispositivi e utilizzare i supporti di memorizzazione di Office 365 ProPlus.</w:t>
      </w:r>
    </w:p>
    <w:p w:rsidR="00934C9A" w:rsidRPr="00A75DF9" w:rsidRDefault="00934C9A" w:rsidP="008368B4">
      <w:pPr>
        <w:ind w:left="720"/>
        <w:rPr>
          <w:rFonts w:cs="Tahoma"/>
        </w:rPr>
      </w:pPr>
      <w:r w:rsidRPr="00A75DF9">
        <w:rPr>
          <w:rFonts w:cs="Tahoma"/>
          <w:bCs/>
          <w:szCs w:val="18"/>
        </w:rPr>
        <w:t>* Consultare la Lista dei Prodotti del mese di febbraio 2013 per prendere visione di tutte le condizioni dei diritti di idoneità dei supporti di memorizzazione per Office Professional Plus Subscription</w:t>
      </w:r>
    </w:p>
    <w:p w:rsidR="008368B4" w:rsidRPr="00A75DF9" w:rsidRDefault="008368B4" w:rsidP="008368B4">
      <w:pPr>
        <w:ind w:left="720"/>
        <w:rPr>
          <w:rFonts w:cs="Tahoma"/>
        </w:rPr>
      </w:pPr>
    </w:p>
    <w:p w:rsidR="008368B4" w:rsidRPr="00A75DF9" w:rsidRDefault="008368B4" w:rsidP="008368B4">
      <w:pPr>
        <w:spacing w:after="60"/>
        <w:ind w:left="720"/>
        <w:rPr>
          <w:rFonts w:cs="Tahoma"/>
        </w:rPr>
      </w:pPr>
      <w:r w:rsidRPr="00A75DF9">
        <w:rPr>
          <w:rFonts w:cs="Tahoma"/>
          <w:b/>
        </w:rPr>
        <w:t>Idoneità dei Supporti di Memorizzazione con i Servizi Desktop Remoto (RDS)</w:t>
      </w:r>
    </w:p>
    <w:p w:rsidR="008368B4" w:rsidRPr="00A75DF9" w:rsidRDefault="008368B4" w:rsidP="00C70D7D">
      <w:pPr>
        <w:ind w:left="720"/>
        <w:rPr>
          <w:rFonts w:cs="Tahoma"/>
        </w:rPr>
      </w:pPr>
      <w:r w:rsidRPr="00A75DF9">
        <w:rPr>
          <w:rFonts w:cs="Tahoma"/>
          <w:szCs w:val="18"/>
        </w:rPr>
        <w:t>Qualora l</w:t>
      </w:r>
      <w:r w:rsidR="00F2643E">
        <w:rPr>
          <w:rFonts w:cs="Tahoma"/>
          <w:szCs w:val="18"/>
        </w:rPr>
        <w:t>’</w:t>
      </w:r>
      <w:r w:rsidRPr="00A75DF9">
        <w:rPr>
          <w:rFonts w:cs="Tahoma"/>
          <w:szCs w:val="18"/>
        </w:rPr>
        <w:t>utente al quale è stata ceduta una licenza per Office 365 ProPlus utilizzi il software su un server di</w:t>
      </w:r>
      <w:r w:rsidR="00C70D7D">
        <w:rPr>
          <w:rFonts w:cs="Tahoma"/>
          <w:szCs w:val="18"/>
        </w:rPr>
        <w:t> </w:t>
      </w:r>
      <w:r w:rsidRPr="00A75DF9">
        <w:rPr>
          <w:rFonts w:cs="Tahoma"/>
          <w:szCs w:val="18"/>
        </w:rPr>
        <w:t>rete con il ruolo RDS attivato anziché installare una copia del software fornito con Office 365 ProPlus su uno dei cinque dispositivi autorizzati in conformità ai Diritti di Utilizzo del Prodotto per Office 365 ProPlus, tale utente potrà 1) installare una copia del software Office Professional Plus 2013 su un server di rete e 2) accedere al software Office Professional Plus 2013 da qualsiasi dispositivo.</w:t>
      </w:r>
      <w:r w:rsidR="009D3B41" w:rsidRPr="00A75DF9">
        <w:rPr>
          <w:rFonts w:cs="Tahoma"/>
          <w:szCs w:val="18"/>
        </w:rPr>
        <w:t xml:space="preserve"> </w:t>
      </w:r>
      <w:r w:rsidRPr="00A75DF9">
        <w:rPr>
          <w:rFonts w:cs="Tahoma"/>
          <w:szCs w:val="18"/>
        </w:rPr>
        <w:t xml:space="preserve">Alla scadenza della sottoscrizione di Office 365 ProPlus la società dovrà disinstallare il software Office Professional Plus 2013 dal server di rete. </w:t>
      </w:r>
    </w:p>
    <w:p w:rsidR="00B2182D" w:rsidRPr="00A75DF9" w:rsidRDefault="00B2182D" w:rsidP="00810479">
      <w:pPr>
        <w:ind w:left="720"/>
        <w:rPr>
          <w:rFonts w:cs="Tahoma"/>
        </w:rPr>
      </w:pPr>
    </w:p>
    <w:p w:rsidR="00ED6F81" w:rsidRPr="00A75DF9" w:rsidRDefault="00ED6F81" w:rsidP="00864B8A">
      <w:pPr>
        <w:spacing w:after="60"/>
        <w:ind w:left="720"/>
        <w:rPr>
          <w:rFonts w:cs="Tahoma"/>
        </w:rPr>
      </w:pPr>
      <w:r w:rsidRPr="00A75DF9">
        <w:rPr>
          <w:rFonts w:cs="Tahoma"/>
          <w:b/>
        </w:rPr>
        <w:t>Idoneità dei Supporti di Memorizzazione con Windows To Go Rights</w:t>
      </w:r>
    </w:p>
    <w:p w:rsidR="008368B4" w:rsidRPr="00A75DF9" w:rsidRDefault="008368B4" w:rsidP="008368B4">
      <w:pPr>
        <w:ind w:left="720"/>
        <w:rPr>
          <w:rFonts w:cs="Tahoma"/>
        </w:rPr>
      </w:pPr>
      <w:r w:rsidRPr="00A75DF9">
        <w:rPr>
          <w:rFonts w:cs="Tahoma"/>
          <w:szCs w:val="18"/>
        </w:rPr>
        <w:t>Nell</w:t>
      </w:r>
      <w:r w:rsidR="00F2643E">
        <w:rPr>
          <w:rFonts w:cs="Tahoma"/>
          <w:szCs w:val="18"/>
        </w:rPr>
        <w:t>’</w:t>
      </w:r>
      <w:r w:rsidRPr="00A75DF9">
        <w:rPr>
          <w:rFonts w:cs="Tahoma"/>
          <w:szCs w:val="18"/>
        </w:rPr>
        <w:t>ambito della presentazione di Windows To Go Rights, qualora l</w:t>
      </w:r>
      <w:r w:rsidR="00F2643E">
        <w:rPr>
          <w:rFonts w:cs="Tahoma"/>
          <w:szCs w:val="18"/>
        </w:rPr>
        <w:t>’</w:t>
      </w:r>
      <w:r w:rsidRPr="00A75DF9">
        <w:rPr>
          <w:rFonts w:cs="Tahoma"/>
          <w:szCs w:val="18"/>
        </w:rPr>
        <w:t xml:space="preserve">utente al quale è stata ceduta una licenza per Office 365 ProPlus richieda il diritto di utilizzare il software ai sensi di Windows to Go Rights, anziché installare una copia del software fornito con una licenza per Office 365 ProPlus su uno dei cinque dispositivi autorizzati in conformità ai Diritti di Utilizzo del Prodotto per la licenza per Office 365 ProPlus, tale utente potrà 1) installare una copia del software Office Professional </w:t>
      </w:r>
      <w:r w:rsidRPr="00A75DF9">
        <w:rPr>
          <w:rFonts w:cs="Tahoma"/>
          <w:color w:val="000000" w:themeColor="text1"/>
          <w:szCs w:val="18"/>
        </w:rPr>
        <w:t>Plus 2013 sull</w:t>
      </w:r>
      <w:r w:rsidR="00F2643E">
        <w:rPr>
          <w:rFonts w:cs="Tahoma"/>
          <w:color w:val="000000" w:themeColor="text1"/>
          <w:szCs w:val="18"/>
        </w:rPr>
        <w:t>’</w:t>
      </w:r>
      <w:r w:rsidRPr="00A75DF9">
        <w:rPr>
          <w:rFonts w:cs="Tahoma"/>
          <w:color w:val="000000" w:themeColor="text1"/>
          <w:szCs w:val="18"/>
        </w:rPr>
        <w:t xml:space="preserve">unità USB utilizzata per Windows to Go Rights e 2) usare il software Office Professional Plus 2013 </w:t>
      </w:r>
      <w:r w:rsidRPr="00A75DF9">
        <w:rPr>
          <w:rFonts w:cs="Tahoma"/>
          <w:szCs w:val="18"/>
        </w:rPr>
        <w:t>su tale unità USB su qualsiasi dispositivo con licenza. Alla scadenza della sottoscrizione di Office 365 ProPlus la società dovrà disinstallare il software Office Professional Plus 2013 dall</w:t>
      </w:r>
      <w:r w:rsidR="00F2643E">
        <w:rPr>
          <w:rFonts w:cs="Tahoma"/>
          <w:szCs w:val="18"/>
        </w:rPr>
        <w:t>’</w:t>
      </w:r>
      <w:r w:rsidRPr="00A75DF9">
        <w:rPr>
          <w:rFonts w:cs="Tahoma"/>
          <w:szCs w:val="18"/>
        </w:rPr>
        <w:t xml:space="preserve">unità USB. </w:t>
      </w:r>
    </w:p>
    <w:p w:rsidR="00ED6F81" w:rsidRPr="00A75DF9" w:rsidRDefault="00ED6F81" w:rsidP="00810479">
      <w:pPr>
        <w:ind w:left="720"/>
        <w:rPr>
          <w:rFonts w:cs="Tahoma"/>
        </w:rPr>
      </w:pPr>
    </w:p>
    <w:p w:rsidR="00B2182D" w:rsidRPr="00A75DF9" w:rsidRDefault="00B2182D" w:rsidP="00864B8A">
      <w:pPr>
        <w:spacing w:after="60"/>
        <w:ind w:left="720"/>
        <w:rPr>
          <w:rFonts w:cs="Tahoma"/>
        </w:rPr>
      </w:pPr>
      <w:r w:rsidRPr="00A75DF9">
        <w:rPr>
          <w:rFonts w:cs="Tahoma"/>
          <w:b/>
        </w:rPr>
        <w:t>Diritti di Downgrade</w:t>
      </w:r>
    </w:p>
    <w:p w:rsidR="008368B4" w:rsidRPr="00A75DF9" w:rsidRDefault="008368B4" w:rsidP="00C70D7D">
      <w:pPr>
        <w:ind w:left="720"/>
        <w:rPr>
          <w:rFonts w:cs="Tahoma"/>
        </w:rPr>
      </w:pPr>
      <w:r w:rsidRPr="00A75DF9">
        <w:rPr>
          <w:rFonts w:cs="Tahoma"/>
          <w:bCs/>
          <w:szCs w:val="18"/>
        </w:rPr>
        <w:t>Per il servizio Office 365 ProPlus non sono previsti diritti di downgrade. Per ulteriori informazioni in merito ai requisiti per l</w:t>
      </w:r>
      <w:r w:rsidR="00F2643E">
        <w:rPr>
          <w:rFonts w:cs="Tahoma"/>
          <w:bCs/>
          <w:szCs w:val="18"/>
        </w:rPr>
        <w:t>’</w:t>
      </w:r>
      <w:r w:rsidRPr="00A75DF9">
        <w:rPr>
          <w:rFonts w:cs="Tahoma"/>
          <w:bCs/>
          <w:szCs w:val="18"/>
        </w:rPr>
        <w:t xml:space="preserve">aggiornamento dei Servizi Online, consultare il documento Diritti di Utilizzo del Prodotto (Product Use Rights o PUR) alla pagina </w:t>
      </w:r>
      <w:hyperlink r:id="rId37" w:history="1">
        <w:r w:rsidR="00C70D7D">
          <w:rPr>
            <w:rStyle w:val="Hyperlink"/>
            <w:rFonts w:cs="Tahoma"/>
            <w:bCs/>
            <w:szCs w:val="18"/>
          </w:rPr>
          <w:t>www.microsoftvolumelicensing.com/userights/PUR.aspx</w:t>
        </w:r>
      </w:hyperlink>
    </w:p>
    <w:p w:rsidR="00AE5A9F" w:rsidRPr="00A75DF9" w:rsidRDefault="00AE5A9F" w:rsidP="00AE5A9F">
      <w:pPr>
        <w:rPr>
          <w:rFonts w:cs="Tahoma"/>
        </w:rPr>
      </w:pPr>
      <w:bookmarkStart w:id="1029" w:name="Srv_9OutlookMac2011"/>
    </w:p>
    <w:p w:rsidR="00AE5A9F" w:rsidRPr="00A75DF9" w:rsidRDefault="00AE5A9F" w:rsidP="00AE5A9F">
      <w:pPr>
        <w:rPr>
          <w:rFonts w:cs="Tahoma"/>
        </w:rPr>
      </w:pPr>
    </w:p>
    <w:p w:rsidR="00704723" w:rsidRPr="00A75DF9" w:rsidRDefault="00A560B6" w:rsidP="00704723">
      <w:pPr>
        <w:pStyle w:val="Heading3"/>
        <w:rPr>
          <w:rFonts w:ascii="Tahoma" w:hAnsi="Tahoma" w:cs="Tahoma"/>
        </w:rPr>
      </w:pPr>
      <w:bookmarkStart w:id="1030" w:name="_121_Outlook_for"/>
      <w:bookmarkStart w:id="1031" w:name="_13_Outlook_for"/>
      <w:bookmarkStart w:id="1032" w:name="_Toc336338270"/>
      <w:bookmarkStart w:id="1033" w:name="_Toc368310262"/>
      <w:bookmarkEnd w:id="1030"/>
      <w:bookmarkEnd w:id="1031"/>
      <w:r w:rsidRPr="00A75DF9">
        <w:rPr>
          <w:rFonts w:ascii="Tahoma" w:hAnsi="Tahoma" w:cs="Tahoma"/>
          <w:caps/>
          <w:color w:val="F66400"/>
          <w:sz w:val="22"/>
          <w:vertAlign w:val="superscript"/>
        </w:rPr>
        <w:t>14</w:t>
      </w:r>
      <w:r w:rsidRPr="00A75DF9">
        <w:rPr>
          <w:rFonts w:ascii="Tahoma" w:hAnsi="Tahoma" w:cs="Tahoma"/>
          <w:color w:val="F66400"/>
          <w:sz w:val="22"/>
        </w:rPr>
        <w:t xml:space="preserve"> Outlook per Mac 2011</w:t>
      </w:r>
      <w:bookmarkEnd w:id="1032"/>
      <w:bookmarkEnd w:id="1033"/>
      <w:r w:rsidRPr="00A75DF9">
        <w:rPr>
          <w:rFonts w:ascii="Tahoma" w:hAnsi="Tahoma" w:cs="Tahoma"/>
          <w:color w:val="F66400"/>
          <w:sz w:val="22"/>
        </w:rPr>
        <w:t xml:space="preserve"> </w:t>
      </w:r>
    </w:p>
    <w:bookmarkEnd w:id="1029"/>
    <w:p w:rsidR="00704723" w:rsidRPr="00A75DF9" w:rsidRDefault="00704723" w:rsidP="00AE5A9F">
      <w:pPr>
        <w:rPr>
          <w:rFonts w:cs="Tahoma"/>
        </w:rPr>
      </w:pPr>
    </w:p>
    <w:p w:rsidR="00704723" w:rsidRPr="00A75DF9" w:rsidRDefault="00704723" w:rsidP="00864B8A">
      <w:pPr>
        <w:spacing w:after="60"/>
        <w:ind w:left="720"/>
        <w:rPr>
          <w:rFonts w:cs="Tahoma"/>
        </w:rPr>
      </w:pPr>
      <w:r w:rsidRPr="00A75DF9">
        <w:rPr>
          <w:rFonts w:cs="Tahoma"/>
          <w:b/>
        </w:rPr>
        <w:t>Percorso di Migrazione a Software Assurance per Entourage per Mac 2008</w:t>
      </w:r>
    </w:p>
    <w:p w:rsidR="00223A77" w:rsidRPr="00A75DF9" w:rsidRDefault="00704723" w:rsidP="00AE5A9F">
      <w:pPr>
        <w:adjustRightInd w:val="0"/>
        <w:ind w:left="720"/>
        <w:textAlignment w:val="baseline"/>
        <w:rPr>
          <w:rFonts w:cs="Tahoma"/>
        </w:rPr>
      </w:pPr>
      <w:r w:rsidRPr="00A75DF9">
        <w:rPr>
          <w:rFonts w:cs="Tahoma"/>
          <w:szCs w:val="20"/>
        </w:rPr>
        <w:t>La versione sostitutiva di Entourage per Mac</w:t>
      </w:r>
      <w:bookmarkStart w:id="1034" w:name="Srv_8Project2010Pro"/>
      <w:r w:rsidRPr="00A75DF9">
        <w:rPr>
          <w:rFonts w:cs="Tahoma"/>
          <w:szCs w:val="20"/>
        </w:rPr>
        <w:t xml:space="preserve"> 2008 è Outlook per Mac 2011.</w:t>
      </w:r>
    </w:p>
    <w:p w:rsidR="00AE5A9F" w:rsidRPr="00A75DF9" w:rsidRDefault="00AE5A9F" w:rsidP="00AE5A9F">
      <w:pPr>
        <w:adjustRightInd w:val="0"/>
        <w:textAlignment w:val="baseline"/>
        <w:rPr>
          <w:rFonts w:cs="Tahoma"/>
        </w:rPr>
      </w:pPr>
    </w:p>
    <w:p w:rsidR="00AE5A9F" w:rsidRDefault="00AE5A9F" w:rsidP="00AE5A9F">
      <w:pPr>
        <w:adjustRightInd w:val="0"/>
        <w:textAlignment w:val="baseline"/>
        <w:rPr>
          <w:rFonts w:cs="Tahoma"/>
        </w:rPr>
      </w:pPr>
    </w:p>
    <w:p w:rsidR="00C70D7D" w:rsidRDefault="00C70D7D" w:rsidP="00AE5A9F">
      <w:pPr>
        <w:adjustRightInd w:val="0"/>
        <w:textAlignment w:val="baseline"/>
        <w:rPr>
          <w:rFonts w:cs="Tahoma"/>
        </w:rPr>
      </w:pPr>
    </w:p>
    <w:p w:rsidR="00C70D7D" w:rsidRDefault="00C70D7D" w:rsidP="00AE5A9F">
      <w:pPr>
        <w:adjustRightInd w:val="0"/>
        <w:textAlignment w:val="baseline"/>
        <w:rPr>
          <w:rFonts w:cs="Tahoma"/>
        </w:rPr>
      </w:pPr>
    </w:p>
    <w:p w:rsidR="00C70D7D" w:rsidRDefault="00C70D7D" w:rsidP="00AE5A9F">
      <w:pPr>
        <w:adjustRightInd w:val="0"/>
        <w:textAlignment w:val="baseline"/>
        <w:rPr>
          <w:rFonts w:cs="Tahoma"/>
        </w:rPr>
      </w:pPr>
    </w:p>
    <w:p w:rsidR="00C70D7D" w:rsidRDefault="00C70D7D" w:rsidP="00AE5A9F">
      <w:pPr>
        <w:adjustRightInd w:val="0"/>
        <w:textAlignment w:val="baseline"/>
        <w:rPr>
          <w:rFonts w:cs="Tahoma"/>
        </w:rPr>
      </w:pPr>
    </w:p>
    <w:p w:rsidR="00C70D7D" w:rsidRPr="00A75DF9" w:rsidRDefault="00C70D7D" w:rsidP="00AE5A9F">
      <w:pPr>
        <w:adjustRightInd w:val="0"/>
        <w:textAlignment w:val="baseline"/>
        <w:rPr>
          <w:rFonts w:cs="Tahoma"/>
        </w:rPr>
      </w:pPr>
    </w:p>
    <w:p w:rsidR="00223A77" w:rsidRPr="00A75DF9" w:rsidRDefault="00A560B6" w:rsidP="00223A77">
      <w:pPr>
        <w:pStyle w:val="Heading3"/>
        <w:rPr>
          <w:rFonts w:ascii="Tahoma" w:hAnsi="Tahoma" w:cs="Tahoma"/>
        </w:rPr>
      </w:pPr>
      <w:bookmarkStart w:id="1035" w:name="_132_Project_2013"/>
      <w:bookmarkStart w:id="1036" w:name="_14_Project_Professional"/>
      <w:bookmarkStart w:id="1037" w:name="_Toc336338271"/>
      <w:bookmarkStart w:id="1038" w:name="_Toc254806116"/>
      <w:bookmarkStart w:id="1039" w:name="Srv_Project2010Pro"/>
      <w:bookmarkStart w:id="1040" w:name="Aps_8Project2010Pro"/>
      <w:bookmarkStart w:id="1041" w:name="_Toc368310263"/>
      <w:bookmarkEnd w:id="1035"/>
      <w:bookmarkEnd w:id="1036"/>
      <w:r w:rsidRPr="00A75DF9">
        <w:rPr>
          <w:rFonts w:ascii="Tahoma" w:hAnsi="Tahoma" w:cs="Tahoma"/>
          <w:caps/>
          <w:color w:val="F66400"/>
          <w:sz w:val="22"/>
          <w:vertAlign w:val="superscript"/>
        </w:rPr>
        <w:lastRenderedPageBreak/>
        <w:t>15</w:t>
      </w:r>
      <w:r w:rsidRPr="00A75DF9">
        <w:rPr>
          <w:rFonts w:ascii="Tahoma" w:hAnsi="Tahoma" w:cs="Tahoma"/>
          <w:color w:val="F66400"/>
          <w:sz w:val="22"/>
        </w:rPr>
        <w:t xml:space="preserve"> Project Professional 2013</w:t>
      </w:r>
      <w:bookmarkEnd w:id="1037"/>
      <w:bookmarkEnd w:id="1041"/>
      <w:r w:rsidRPr="00A75DF9">
        <w:rPr>
          <w:rFonts w:ascii="Tahoma" w:hAnsi="Tahoma" w:cs="Tahoma"/>
          <w:color w:val="F66400"/>
          <w:sz w:val="22"/>
        </w:rPr>
        <w:t xml:space="preserve"> </w:t>
      </w:r>
      <w:bookmarkEnd w:id="1038"/>
    </w:p>
    <w:bookmarkEnd w:id="1034"/>
    <w:bookmarkEnd w:id="1039"/>
    <w:bookmarkEnd w:id="1040"/>
    <w:p w:rsidR="00223A77" w:rsidRPr="00A75DF9" w:rsidRDefault="00223A77" w:rsidP="00AE5A9F">
      <w:pPr>
        <w:ind w:left="720"/>
        <w:rPr>
          <w:rFonts w:cs="Tahoma"/>
        </w:rPr>
      </w:pPr>
    </w:p>
    <w:p w:rsidR="00223A77" w:rsidRPr="00C70D7D" w:rsidRDefault="00223A77" w:rsidP="00864B8A">
      <w:pPr>
        <w:spacing w:after="60"/>
        <w:ind w:left="720"/>
        <w:rPr>
          <w:rFonts w:cs="Tahoma"/>
          <w:szCs w:val="18"/>
        </w:rPr>
      </w:pPr>
      <w:r w:rsidRPr="00C70D7D">
        <w:rPr>
          <w:rFonts w:cs="Tahoma"/>
          <w:b/>
          <w:szCs w:val="18"/>
        </w:rPr>
        <w:t>CAL gratuita per Project Server</w:t>
      </w:r>
    </w:p>
    <w:p w:rsidR="00223A77" w:rsidRPr="00C70D7D" w:rsidRDefault="00223A77" w:rsidP="00AE5A9F">
      <w:pPr>
        <w:pStyle w:val="EndnoteText"/>
        <w:ind w:left="720"/>
        <w:rPr>
          <w:rFonts w:ascii="Tahoma" w:hAnsi="Tahoma" w:cs="Tahoma"/>
          <w:sz w:val="18"/>
          <w:szCs w:val="18"/>
        </w:rPr>
      </w:pPr>
      <w:r w:rsidRPr="00C70D7D">
        <w:rPr>
          <w:rStyle w:val="EndnoteTextChar"/>
          <w:rFonts w:ascii="Tahoma" w:hAnsi="Tahoma" w:cs="Tahoma"/>
          <w:sz w:val="18"/>
          <w:szCs w:val="18"/>
        </w:rPr>
        <w:t>Le società che acquistano una licenza per Project Professional 2013 saranno considerate titolari di una CAL per Dispositivo per Project Server 2013. Il diritto di accedere a Project Server 2013 in virtù della CAL cesserà alla scadenza della corrispondente Licenza per Project Professional.</w:t>
      </w:r>
    </w:p>
    <w:p w:rsidR="00223A77" w:rsidRPr="00C70D7D" w:rsidRDefault="00223A77" w:rsidP="00AE5A9F">
      <w:pPr>
        <w:pStyle w:val="EndnoteText"/>
        <w:ind w:left="720"/>
        <w:rPr>
          <w:rFonts w:ascii="Tahoma" w:hAnsi="Tahoma" w:cs="Tahoma"/>
          <w:sz w:val="18"/>
          <w:szCs w:val="18"/>
        </w:rPr>
      </w:pPr>
    </w:p>
    <w:p w:rsidR="00223A77" w:rsidRPr="00C70D7D" w:rsidRDefault="00223A77" w:rsidP="00AE5A9F">
      <w:pPr>
        <w:pStyle w:val="EndnoteText"/>
        <w:ind w:left="720"/>
        <w:rPr>
          <w:rFonts w:ascii="Tahoma" w:hAnsi="Tahoma" w:cs="Tahoma"/>
          <w:sz w:val="18"/>
          <w:szCs w:val="18"/>
        </w:rPr>
      </w:pPr>
      <w:r w:rsidRPr="00C70D7D">
        <w:rPr>
          <w:rStyle w:val="EndnoteTextChar"/>
          <w:rFonts w:ascii="Tahoma" w:hAnsi="Tahoma" w:cs="Tahoma"/>
          <w:sz w:val="18"/>
          <w:szCs w:val="18"/>
        </w:rPr>
        <w:t>Le società con copertura Software Assurance attiva sulla rispettiva licenza per Project Professional saranno considerate titolari di una copertura Software Assurance relativa alle Licenze CAL gratuite per Project Server. Tale copertura cesserà alla scadenza della copertura Project Professional corrispondente.</w:t>
      </w:r>
    </w:p>
    <w:p w:rsidR="00223A77" w:rsidRPr="00C70D7D" w:rsidRDefault="00223A77" w:rsidP="00AE5A9F">
      <w:pPr>
        <w:pStyle w:val="EndnoteText"/>
        <w:ind w:left="720"/>
        <w:rPr>
          <w:rFonts w:ascii="Tahoma" w:hAnsi="Tahoma" w:cs="Tahoma"/>
          <w:sz w:val="18"/>
          <w:szCs w:val="18"/>
        </w:rPr>
      </w:pPr>
    </w:p>
    <w:p w:rsidR="00223A77" w:rsidRPr="00C70D7D" w:rsidRDefault="00223A77" w:rsidP="00AE5A9F">
      <w:pPr>
        <w:pStyle w:val="EndnoteText"/>
        <w:ind w:left="720"/>
        <w:rPr>
          <w:rFonts w:ascii="Tahoma" w:hAnsi="Tahoma" w:cs="Tahoma"/>
          <w:sz w:val="18"/>
          <w:szCs w:val="18"/>
        </w:rPr>
      </w:pPr>
      <w:r w:rsidRPr="00C70D7D">
        <w:rPr>
          <w:rStyle w:val="EndnoteTextChar"/>
          <w:rFonts w:ascii="Tahoma" w:hAnsi="Tahoma" w:cs="Tahoma"/>
          <w:sz w:val="18"/>
          <w:szCs w:val="18"/>
        </w:rPr>
        <w:t>Per ulteriori dettagli sui diritti aggiuntivi che si applicano a tali CAL, fare riferimento alle note relative alle condizioni del prodotto Project Server.</w:t>
      </w:r>
    </w:p>
    <w:p w:rsidR="00AE5A9F" w:rsidRPr="00C70D7D" w:rsidRDefault="00AE5A9F" w:rsidP="00AE5A9F">
      <w:pPr>
        <w:rPr>
          <w:rFonts w:cs="Tahoma"/>
          <w:szCs w:val="18"/>
        </w:rPr>
      </w:pPr>
    </w:p>
    <w:p w:rsidR="00AE5A9F" w:rsidRPr="00A75DF9" w:rsidRDefault="00AE5A9F" w:rsidP="00AE5A9F">
      <w:pPr>
        <w:rPr>
          <w:rFonts w:cs="Tahoma"/>
        </w:rPr>
      </w:pPr>
    </w:p>
    <w:p w:rsidR="002202DB" w:rsidRPr="00A75DF9" w:rsidRDefault="00A560B6" w:rsidP="00D824E9">
      <w:pPr>
        <w:pStyle w:val="Heading3"/>
        <w:keepNext/>
        <w:rPr>
          <w:rFonts w:ascii="Tahoma" w:hAnsi="Tahoma" w:cs="Tahoma"/>
        </w:rPr>
      </w:pPr>
      <w:bookmarkStart w:id="1042" w:name="_143_Project_Pro"/>
      <w:bookmarkStart w:id="1043" w:name="_15_Project_Pro"/>
      <w:bookmarkStart w:id="1044" w:name="_Toc368310264"/>
      <w:bookmarkEnd w:id="1042"/>
      <w:bookmarkEnd w:id="1043"/>
      <w:r w:rsidRPr="00A75DF9">
        <w:rPr>
          <w:rFonts w:ascii="Tahoma" w:hAnsi="Tahoma" w:cs="Tahoma"/>
          <w:caps/>
          <w:color w:val="F66400"/>
          <w:sz w:val="22"/>
          <w:vertAlign w:val="superscript"/>
        </w:rPr>
        <w:t xml:space="preserve">16 </w:t>
      </w:r>
      <w:r w:rsidRPr="00A75DF9">
        <w:rPr>
          <w:rFonts w:ascii="Tahoma" w:hAnsi="Tahoma" w:cs="Tahoma"/>
          <w:color w:val="F66400"/>
          <w:sz w:val="22"/>
        </w:rPr>
        <w:t>Project Pro per Office 365</w:t>
      </w:r>
      <w:bookmarkEnd w:id="1044"/>
      <w:r w:rsidRPr="00A75DF9">
        <w:rPr>
          <w:rFonts w:ascii="Tahoma" w:hAnsi="Tahoma" w:cs="Tahoma"/>
          <w:color w:val="F66400"/>
          <w:sz w:val="22"/>
        </w:rPr>
        <w:t xml:space="preserve"> </w:t>
      </w:r>
    </w:p>
    <w:p w:rsidR="00A32FE7" w:rsidRPr="00A75DF9" w:rsidRDefault="00A32FE7" w:rsidP="00D824E9">
      <w:pPr>
        <w:keepNext/>
        <w:rPr>
          <w:rFonts w:cs="Tahoma"/>
        </w:rPr>
      </w:pPr>
    </w:p>
    <w:p w:rsidR="002202DB" w:rsidRPr="00A75DF9" w:rsidRDefault="002202DB" w:rsidP="002202DB">
      <w:pPr>
        <w:spacing w:after="60"/>
        <w:ind w:left="720"/>
        <w:rPr>
          <w:rFonts w:cs="Tahoma"/>
        </w:rPr>
      </w:pPr>
      <w:r w:rsidRPr="00A75DF9">
        <w:rPr>
          <w:rFonts w:cs="Tahoma"/>
          <w:b/>
        </w:rPr>
        <w:t>Idoneità dei Supporti di Memorizzazione con i Servizi Desktop Remoto (RDS)</w:t>
      </w:r>
    </w:p>
    <w:p w:rsidR="002202DB" w:rsidRPr="00A75DF9" w:rsidRDefault="002202DB" w:rsidP="002202DB">
      <w:pPr>
        <w:ind w:left="720"/>
        <w:rPr>
          <w:rFonts w:cs="Tahoma"/>
        </w:rPr>
      </w:pPr>
      <w:r w:rsidRPr="00A75DF9">
        <w:rPr>
          <w:rFonts w:cs="Tahoma"/>
          <w:szCs w:val="18"/>
        </w:rPr>
        <w:t>Qualora l</w:t>
      </w:r>
      <w:r w:rsidR="00F2643E">
        <w:rPr>
          <w:rFonts w:cs="Tahoma"/>
          <w:szCs w:val="18"/>
        </w:rPr>
        <w:t>’</w:t>
      </w:r>
      <w:r w:rsidRPr="00A75DF9">
        <w:rPr>
          <w:rFonts w:cs="Tahoma"/>
          <w:szCs w:val="18"/>
        </w:rPr>
        <w:t>utente al quale è stata ceduta una licenza per Project Pro per Office 365 utilizzi il software su un server di rete con il ruolo RDS attivato anziché installare una copia del software fornito con Project Pro per Office 365 su uno dei cinque dispositivi autorizzati in conformità ai Diritti di Utilizzo del Prodotto per Project Pro per Office 365, tale utente potrà 1) installare una copia del software Project Professional 2013 su un server di rete e 2) accedere al software Project Professional 2013 da qualsiasi dispositivo.</w:t>
      </w:r>
      <w:r w:rsidR="009D3B41" w:rsidRPr="00A75DF9">
        <w:rPr>
          <w:rFonts w:cs="Tahoma"/>
          <w:szCs w:val="18"/>
        </w:rPr>
        <w:t xml:space="preserve"> </w:t>
      </w:r>
      <w:r w:rsidRPr="00A75DF9">
        <w:rPr>
          <w:rFonts w:cs="Tahoma"/>
          <w:szCs w:val="18"/>
        </w:rPr>
        <w:t xml:space="preserve">Alla scadenza della sottoscrizione di Project Pro per Office 365 la società dovrà disinstallare il software Project Professional 2013 dal server di rete. </w:t>
      </w:r>
    </w:p>
    <w:p w:rsidR="002202DB" w:rsidRPr="00A75DF9" w:rsidRDefault="002202DB" w:rsidP="002202DB">
      <w:pPr>
        <w:ind w:left="720"/>
        <w:rPr>
          <w:rFonts w:cs="Tahoma"/>
        </w:rPr>
      </w:pPr>
    </w:p>
    <w:p w:rsidR="002202DB" w:rsidRPr="00A75DF9" w:rsidRDefault="002202DB" w:rsidP="002202DB">
      <w:pPr>
        <w:spacing w:after="60"/>
        <w:ind w:left="720"/>
        <w:rPr>
          <w:rFonts w:cs="Tahoma"/>
        </w:rPr>
      </w:pPr>
      <w:r w:rsidRPr="00A75DF9">
        <w:rPr>
          <w:rFonts w:cs="Tahoma"/>
          <w:b/>
        </w:rPr>
        <w:t>Diritti di Downgrade</w:t>
      </w:r>
    </w:p>
    <w:p w:rsidR="002202DB" w:rsidRPr="00A75DF9" w:rsidRDefault="002202DB" w:rsidP="00C70D7D">
      <w:pPr>
        <w:ind w:left="720"/>
        <w:rPr>
          <w:rFonts w:cs="Tahoma"/>
        </w:rPr>
      </w:pPr>
      <w:r w:rsidRPr="00A75DF9">
        <w:rPr>
          <w:rFonts w:cs="Tahoma"/>
          <w:bCs/>
          <w:szCs w:val="18"/>
        </w:rPr>
        <w:t>Per il servizio Project Pro per Office 365 non sono previsti diritti di downgrade. Per ulteriori informazioni in merito ai requisiti per l</w:t>
      </w:r>
      <w:r w:rsidR="00F2643E">
        <w:rPr>
          <w:rFonts w:cs="Tahoma"/>
          <w:bCs/>
          <w:szCs w:val="18"/>
        </w:rPr>
        <w:t>’</w:t>
      </w:r>
      <w:r w:rsidRPr="00A75DF9">
        <w:rPr>
          <w:rFonts w:cs="Tahoma"/>
          <w:bCs/>
          <w:szCs w:val="18"/>
        </w:rPr>
        <w:t xml:space="preserve">aggiornamento dei Servizi Online, consultare il documento Diritti di Utilizzo del Prodotto (Product Use Rights o PUR) alla pagina </w:t>
      </w:r>
      <w:hyperlink r:id="rId38" w:history="1">
        <w:r w:rsidR="00C70D7D" w:rsidRPr="00ED25D5">
          <w:rPr>
            <w:rStyle w:val="Hyperlink"/>
            <w:rFonts w:cs="Tahoma"/>
            <w:bCs/>
            <w:szCs w:val="18"/>
          </w:rPr>
          <w:t>http://www.microsoftvolumelicensing.com/userights/PUR.aspx</w:t>
        </w:r>
      </w:hyperlink>
    </w:p>
    <w:p w:rsidR="002202DB" w:rsidRPr="00A75DF9" w:rsidRDefault="002202DB" w:rsidP="00AE5A9F">
      <w:pPr>
        <w:rPr>
          <w:rFonts w:cs="Tahoma"/>
        </w:rPr>
      </w:pPr>
    </w:p>
    <w:p w:rsidR="002202DB" w:rsidRPr="00A75DF9" w:rsidRDefault="002202DB" w:rsidP="00AE5A9F">
      <w:pPr>
        <w:rPr>
          <w:rFonts w:cs="Tahoma"/>
        </w:rPr>
      </w:pPr>
    </w:p>
    <w:p w:rsidR="00223A77" w:rsidRPr="00A75DF9" w:rsidRDefault="00A560B6" w:rsidP="002541AE">
      <w:pPr>
        <w:pStyle w:val="Heading3"/>
        <w:rPr>
          <w:rFonts w:ascii="Tahoma" w:hAnsi="Tahoma" w:cs="Tahoma"/>
        </w:rPr>
      </w:pPr>
      <w:bookmarkStart w:id="1045" w:name="_145_Rental_Rights"/>
      <w:bookmarkStart w:id="1046" w:name="_16_Rental_Rights"/>
      <w:bookmarkStart w:id="1047" w:name="_Toc336338272"/>
      <w:bookmarkStart w:id="1048" w:name="Aps_9RentalRightsOffice"/>
      <w:bookmarkStart w:id="1049" w:name="Srv_RentalRightsOffice"/>
      <w:bookmarkStart w:id="1050" w:name="Srv_9RentalRightsOffice"/>
      <w:bookmarkStart w:id="1051" w:name="_Toc368310265"/>
      <w:bookmarkEnd w:id="1045"/>
      <w:bookmarkEnd w:id="1046"/>
      <w:r w:rsidRPr="00A75DF9">
        <w:rPr>
          <w:rFonts w:ascii="Tahoma" w:hAnsi="Tahoma" w:cs="Tahoma"/>
          <w:caps/>
          <w:color w:val="E65D08"/>
          <w:sz w:val="22"/>
          <w:szCs w:val="22"/>
          <w:vertAlign w:val="superscript"/>
        </w:rPr>
        <w:t>17</w:t>
      </w:r>
      <w:r w:rsidRPr="00A75DF9">
        <w:rPr>
          <w:rFonts w:ascii="Tahoma" w:hAnsi="Tahoma" w:cs="Tahoma"/>
          <w:color w:val="E65D08"/>
          <w:sz w:val="22"/>
          <w:szCs w:val="22"/>
        </w:rPr>
        <w:t xml:space="preserve"> Diritti di Noleggio per Office</w:t>
      </w:r>
      <w:bookmarkEnd w:id="1047"/>
      <w:bookmarkEnd w:id="1051"/>
    </w:p>
    <w:bookmarkEnd w:id="1048"/>
    <w:p w:rsidR="002541AE" w:rsidRPr="00A75DF9" w:rsidRDefault="002541AE" w:rsidP="002541AE">
      <w:pPr>
        <w:rPr>
          <w:rFonts w:cs="Tahoma"/>
        </w:rPr>
      </w:pPr>
    </w:p>
    <w:bookmarkEnd w:id="1049"/>
    <w:bookmarkEnd w:id="1050"/>
    <w:p w:rsidR="000B0A08" w:rsidRPr="00C70D7D" w:rsidRDefault="000B0A08" w:rsidP="005E3B5E">
      <w:pPr>
        <w:pStyle w:val="FootnoteBulletLevel1"/>
        <w:tabs>
          <w:tab w:val="clear" w:pos="900"/>
        </w:tabs>
        <w:spacing w:before="0" w:after="0"/>
        <w:ind w:left="720" w:firstLine="0"/>
        <w:rPr>
          <w:rFonts w:ascii="Tahoma" w:hAnsi="Tahoma" w:cs="Tahoma"/>
          <w:sz w:val="18"/>
          <w:szCs w:val="18"/>
        </w:rPr>
      </w:pPr>
      <w:r w:rsidRPr="00C70D7D">
        <w:rPr>
          <w:rFonts w:ascii="Tahoma" w:hAnsi="Tahoma" w:cs="Tahoma"/>
          <w:color w:val="000000"/>
          <w:sz w:val="18"/>
          <w:szCs w:val="18"/>
        </w:rPr>
        <w:t>Le licenze per i diritti di noleggio fornite in base ai presenti programmi sono unicamente licenze aggiuntive. Tali licenze non sono licenze complete per i prodotti. Pertanto, ogni desktop a cui la società assegni una licenza per i diritti di noleggio dovrà avere la licenza per eseguire una delle applicazioni qualificanti indicate di seguito.</w:t>
      </w:r>
    </w:p>
    <w:p w:rsidR="00980240" w:rsidRPr="00A75DF9" w:rsidRDefault="00980240" w:rsidP="005E3B5E">
      <w:pPr>
        <w:ind w:left="720"/>
        <w:rPr>
          <w:rFonts w:cs="Tahoma"/>
        </w:rPr>
      </w:pPr>
    </w:p>
    <w:p w:rsidR="00980240" w:rsidRPr="00A75DF9" w:rsidRDefault="000B0A08" w:rsidP="00864B8A">
      <w:pPr>
        <w:spacing w:after="60"/>
        <w:ind w:left="720"/>
        <w:rPr>
          <w:rFonts w:cs="Tahoma"/>
        </w:rPr>
      </w:pPr>
      <w:r w:rsidRPr="00A75DF9">
        <w:rPr>
          <w:rFonts w:cs="Tahoma"/>
          <w:b/>
        </w:rPr>
        <w:t>Regole per le Applicazioni Qualificanti</w:t>
      </w:r>
    </w:p>
    <w:p w:rsidR="000B0A08" w:rsidRPr="00A75DF9" w:rsidRDefault="000B0A08" w:rsidP="005E3B5E">
      <w:pPr>
        <w:ind w:left="720"/>
        <w:rPr>
          <w:rFonts w:cs="Tahoma"/>
        </w:rPr>
      </w:pPr>
      <w:r w:rsidRPr="00A75DF9">
        <w:rPr>
          <w:rFonts w:cs="Tahoma"/>
          <w:color w:val="000000"/>
          <w:szCs w:val="18"/>
        </w:rPr>
        <w:t>(Ciascuna delle seguenti condizioni deve essere soddisfatta affinché la Licenza di base qualifichi la società per ottenere la licenza relativa ai Diritti di Noleggio):</w:t>
      </w:r>
    </w:p>
    <w:p w:rsidR="005E3B5E" w:rsidRPr="00A75DF9" w:rsidRDefault="005E3B5E" w:rsidP="005E3B5E">
      <w:pPr>
        <w:ind w:left="900"/>
        <w:rPr>
          <w:rFonts w:cs="Tahoma"/>
        </w:rPr>
      </w:pPr>
    </w:p>
    <w:p w:rsidR="000B0A08" w:rsidRPr="00A75DF9" w:rsidRDefault="000B0A08" w:rsidP="005E3B5E">
      <w:pPr>
        <w:numPr>
          <w:ilvl w:val="0"/>
          <w:numId w:val="20"/>
        </w:numPr>
        <w:spacing w:after="60"/>
        <w:ind w:left="1440"/>
        <w:rPr>
          <w:rFonts w:cs="Tahoma"/>
        </w:rPr>
      </w:pPr>
      <w:r w:rsidRPr="00A75DF9">
        <w:rPr>
          <w:rFonts w:cs="Tahoma"/>
          <w:color w:val="000000"/>
          <w:szCs w:val="18"/>
        </w:rPr>
        <w:t>La licenza per l</w:t>
      </w:r>
      <w:r w:rsidR="00F2643E">
        <w:rPr>
          <w:rFonts w:cs="Tahoma"/>
          <w:color w:val="000000"/>
          <w:szCs w:val="18"/>
        </w:rPr>
        <w:t>’</w:t>
      </w:r>
      <w:r w:rsidRPr="00A75DF9">
        <w:rPr>
          <w:rFonts w:cs="Tahoma"/>
          <w:color w:val="000000"/>
          <w:szCs w:val="18"/>
        </w:rPr>
        <w:t>applicazione qualificante deve essere assegnata allo stesso dispositivo a cui deve essere assegnata la licenza per i Diritti di Noleggio VL.</w:t>
      </w:r>
    </w:p>
    <w:p w:rsidR="000B0A08" w:rsidRPr="00A75DF9" w:rsidRDefault="000B0A08" w:rsidP="005E3B5E">
      <w:pPr>
        <w:numPr>
          <w:ilvl w:val="0"/>
          <w:numId w:val="20"/>
        </w:numPr>
        <w:tabs>
          <w:tab w:val="left" w:pos="1440"/>
        </w:tabs>
        <w:spacing w:after="60"/>
        <w:ind w:left="1440"/>
        <w:rPr>
          <w:rFonts w:cs="Tahoma"/>
        </w:rPr>
      </w:pPr>
      <w:r w:rsidRPr="00A75DF9">
        <w:rPr>
          <w:rFonts w:cs="Tahoma"/>
          <w:color w:val="000000"/>
          <w:szCs w:val="18"/>
        </w:rPr>
        <w:t>L</w:t>
      </w:r>
      <w:r w:rsidR="00F2643E">
        <w:rPr>
          <w:rFonts w:cs="Tahoma"/>
          <w:color w:val="000000"/>
          <w:szCs w:val="18"/>
        </w:rPr>
        <w:t>’</w:t>
      </w:r>
      <w:r w:rsidRPr="00A75DF9">
        <w:rPr>
          <w:rFonts w:cs="Tahoma"/>
          <w:color w:val="000000"/>
          <w:szCs w:val="18"/>
        </w:rPr>
        <w:t>applicazione qualificante deve essere installata su tale dispositivo.</w:t>
      </w:r>
    </w:p>
    <w:p w:rsidR="000B0A08" w:rsidRPr="00C70D7D" w:rsidRDefault="000B0A08" w:rsidP="005E3B5E">
      <w:pPr>
        <w:pStyle w:val="EndnoteText"/>
        <w:rPr>
          <w:rFonts w:ascii="Tahoma" w:hAnsi="Tahoma" w:cs="Tahoma"/>
          <w:sz w:val="18"/>
          <w:szCs w:val="18"/>
        </w:rPr>
      </w:pPr>
    </w:p>
    <w:p w:rsidR="000B0A08" w:rsidRPr="00C70D7D" w:rsidRDefault="000B0A08" w:rsidP="005E3B5E">
      <w:pPr>
        <w:pStyle w:val="EndnoteText"/>
        <w:ind w:left="720"/>
        <w:rPr>
          <w:rFonts w:ascii="Tahoma" w:hAnsi="Tahoma" w:cs="Tahoma"/>
          <w:sz w:val="18"/>
          <w:szCs w:val="18"/>
        </w:rPr>
      </w:pPr>
      <w:r w:rsidRPr="00C70D7D">
        <w:rPr>
          <w:rFonts w:ascii="Tahoma" w:hAnsi="Tahoma" w:cs="Tahoma"/>
          <w:color w:val="000000"/>
          <w:sz w:val="18"/>
          <w:szCs w:val="18"/>
        </w:rPr>
        <w:t>Le applicazioni qualificanti in base al tipo di Programma sono:</w:t>
      </w:r>
    </w:p>
    <w:p w:rsidR="000B0A08" w:rsidRPr="00A75DF9" w:rsidRDefault="000B0A08" w:rsidP="000B0A08">
      <w:pPr>
        <w:rPr>
          <w:rFonts w:cs="Tahoma"/>
        </w:rPr>
      </w:pPr>
    </w:p>
    <w:tbl>
      <w:tblPr>
        <w:tblW w:w="8405" w:type="dxa"/>
        <w:tblInd w:w="675" w:type="dxa"/>
        <w:tblLayout w:type="fixed"/>
        <w:tblCellMar>
          <w:left w:w="0" w:type="dxa"/>
          <w:right w:w="0" w:type="dxa"/>
        </w:tblCellMar>
        <w:tblLook w:val="04A0" w:firstRow="1" w:lastRow="0" w:firstColumn="1" w:lastColumn="0" w:noHBand="0" w:noVBand="1"/>
      </w:tblPr>
      <w:tblGrid>
        <w:gridCol w:w="3043"/>
        <w:gridCol w:w="1282"/>
        <w:gridCol w:w="1355"/>
        <w:gridCol w:w="1460"/>
        <w:gridCol w:w="1265"/>
      </w:tblGrid>
      <w:tr w:rsidR="00C4660F" w:rsidRPr="00A75DF9" w:rsidTr="00C70D7D">
        <w:trPr>
          <w:cantSplit/>
          <w:trHeight w:val="730"/>
          <w:tblHeader/>
        </w:trPr>
        <w:tc>
          <w:tcPr>
            <w:tcW w:w="3043" w:type="dxa"/>
            <w:tcBorders>
              <w:top w:val="single" w:sz="4" w:space="0" w:color="auto"/>
              <w:left w:val="single" w:sz="8" w:space="0" w:color="auto"/>
              <w:bottom w:val="single" w:sz="4" w:space="0" w:color="auto"/>
              <w:right w:val="single" w:sz="8" w:space="0" w:color="auto"/>
            </w:tcBorders>
            <w:shd w:val="clear" w:color="auto" w:fill="FABF8F"/>
            <w:vAlign w:val="center"/>
            <w:hideMark/>
          </w:tcPr>
          <w:p w:rsidR="00C4660F" w:rsidRPr="00A75DF9" w:rsidRDefault="00C4660F" w:rsidP="00C70D7D">
            <w:pPr>
              <w:jc w:val="center"/>
              <w:rPr>
                <w:rFonts w:eastAsia="MS PGothic" w:cs="Tahoma"/>
                <w:b/>
                <w:bCs/>
                <w:color w:val="000000"/>
                <w:szCs w:val="18"/>
              </w:rPr>
            </w:pPr>
            <w:r w:rsidRPr="00A75DF9">
              <w:rPr>
                <w:rFonts w:cs="Tahoma"/>
                <w:b/>
                <w:bCs/>
                <w:color w:val="000000"/>
                <w:szCs w:val="18"/>
              </w:rPr>
              <w:t>Applicazioni Qualificanti per</w:t>
            </w:r>
            <w:r w:rsidR="00C70D7D">
              <w:rPr>
                <w:rFonts w:cs="Tahoma"/>
                <w:b/>
                <w:bCs/>
                <w:color w:val="000000"/>
                <w:szCs w:val="18"/>
              </w:rPr>
              <w:t> </w:t>
            </w:r>
            <w:r w:rsidRPr="00A75DF9">
              <w:rPr>
                <w:rFonts w:cs="Tahoma"/>
                <w:b/>
                <w:bCs/>
                <w:color w:val="000000"/>
                <w:szCs w:val="18"/>
              </w:rPr>
              <w:t>l</w:t>
            </w:r>
            <w:r w:rsidR="00F2643E">
              <w:rPr>
                <w:rFonts w:cs="Tahoma"/>
                <w:b/>
                <w:bCs/>
                <w:color w:val="000000"/>
                <w:szCs w:val="18"/>
              </w:rPr>
              <w:t>’</w:t>
            </w:r>
            <w:r w:rsidRPr="00A75DF9">
              <w:rPr>
                <w:rFonts w:cs="Tahoma"/>
                <w:b/>
                <w:bCs/>
                <w:color w:val="000000"/>
                <w:szCs w:val="18"/>
              </w:rPr>
              <w:t>Acquisto dei Diritti di Noleggio per Office Standard</w:t>
            </w:r>
          </w:p>
        </w:tc>
        <w:tc>
          <w:tcPr>
            <w:tcW w:w="1282" w:type="dxa"/>
            <w:tcBorders>
              <w:top w:val="single" w:sz="4" w:space="0" w:color="auto"/>
              <w:left w:val="single" w:sz="8"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A75DF9" w:rsidRDefault="00C4660F" w:rsidP="00AD69BD">
            <w:pPr>
              <w:jc w:val="center"/>
              <w:rPr>
                <w:rFonts w:cs="Tahoma"/>
                <w:b/>
                <w:bCs/>
                <w:color w:val="000000"/>
                <w:szCs w:val="18"/>
              </w:rPr>
            </w:pPr>
            <w:r w:rsidRPr="00A75DF9">
              <w:rPr>
                <w:rFonts w:cs="Tahoma"/>
                <w:b/>
                <w:bCs/>
                <w:color w:val="000000"/>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center"/>
            <w:hideMark/>
          </w:tcPr>
          <w:p w:rsidR="00C4660F" w:rsidRPr="00A75DF9" w:rsidRDefault="00C4660F" w:rsidP="00AD69BD">
            <w:pPr>
              <w:jc w:val="center"/>
              <w:rPr>
                <w:rFonts w:cs="Tahoma"/>
              </w:rPr>
            </w:pPr>
            <w:r w:rsidRPr="00A75DF9">
              <w:rPr>
                <w:rFonts w:cs="Tahoma"/>
                <w:b/>
                <w:bCs/>
                <w:color w:val="000000"/>
                <w:szCs w:val="18"/>
              </w:rPr>
              <w:t>PIPC</w:t>
            </w:r>
          </w:p>
          <w:p w:rsidR="00C4660F" w:rsidRPr="00A75DF9" w:rsidRDefault="00C4660F" w:rsidP="00AD69BD">
            <w:pPr>
              <w:jc w:val="center"/>
              <w:rPr>
                <w:rFonts w:cs="Tahoma"/>
                <w:b/>
                <w:bCs/>
                <w:color w:val="000000"/>
                <w:szCs w:val="18"/>
              </w:rPr>
            </w:pPr>
            <w:r w:rsidRPr="00A75DF9">
              <w:rPr>
                <w:rFonts w:cs="Tahoma"/>
                <w:b/>
                <w:bCs/>
                <w:color w:val="000000"/>
                <w:szCs w:val="18"/>
              </w:rPr>
              <w:t>(solo Giappone)</w:t>
            </w:r>
          </w:p>
        </w:tc>
        <w:tc>
          <w:tcPr>
            <w:tcW w:w="1460"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A75DF9" w:rsidRDefault="00C4660F" w:rsidP="00AD69BD">
            <w:pPr>
              <w:jc w:val="center"/>
              <w:rPr>
                <w:rFonts w:cs="Tahoma"/>
                <w:b/>
                <w:bCs/>
                <w:color w:val="000000"/>
                <w:szCs w:val="18"/>
              </w:rPr>
            </w:pPr>
            <w:r w:rsidRPr="00A75DF9">
              <w:rPr>
                <w:rFonts w:cs="Tahoma"/>
                <w:b/>
                <w:bCs/>
                <w:color w:val="000000"/>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A75DF9" w:rsidRDefault="00C4660F" w:rsidP="00AD69BD">
            <w:pPr>
              <w:jc w:val="center"/>
              <w:rPr>
                <w:rFonts w:cs="Tahoma"/>
                <w:b/>
                <w:bCs/>
                <w:color w:val="000000"/>
                <w:szCs w:val="18"/>
              </w:rPr>
            </w:pPr>
            <w:r w:rsidRPr="00A75DF9">
              <w:rPr>
                <w:rFonts w:cs="Tahoma"/>
                <w:b/>
                <w:bCs/>
                <w:color w:val="000000"/>
                <w:szCs w:val="18"/>
              </w:rPr>
              <w:t>Licenza Open</w:t>
            </w:r>
          </w:p>
        </w:tc>
      </w:tr>
      <w:tr w:rsidR="000B0A08" w:rsidRPr="00A75DF9" w:rsidTr="00C70D7D">
        <w:trPr>
          <w:trHeight w:val="255"/>
        </w:trPr>
        <w:tc>
          <w:tcPr>
            <w:tcW w:w="3043"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A75DF9" w:rsidRDefault="000B0A08" w:rsidP="00257298">
            <w:pPr>
              <w:rPr>
                <w:rFonts w:cs="Tahoma"/>
                <w:b/>
                <w:bCs/>
                <w:color w:val="000000"/>
                <w:szCs w:val="18"/>
              </w:rPr>
            </w:pPr>
            <w:r w:rsidRPr="00A75DF9">
              <w:rPr>
                <w:rFonts w:cs="Tahoma"/>
                <w:b/>
                <w:bCs/>
                <w:color w:val="000000"/>
                <w:szCs w:val="18"/>
              </w:rPr>
              <w:t xml:space="preserve">Office Standard 2013 </w:t>
            </w:r>
          </w:p>
        </w:tc>
        <w:tc>
          <w:tcPr>
            <w:tcW w:w="1282" w:type="dxa"/>
            <w:tcBorders>
              <w:top w:val="single" w:sz="4" w:space="0" w:color="auto"/>
              <w:left w:val="single" w:sz="4" w:space="0" w:color="auto"/>
              <w:bottom w:val="single" w:sz="8" w:space="0" w:color="auto"/>
              <w:right w:val="single" w:sz="8" w:space="0" w:color="auto"/>
            </w:tcBorders>
            <w:noWrap/>
            <w:tcMar>
              <w:top w:w="0" w:type="dxa"/>
              <w:left w:w="108" w:type="dxa"/>
              <w:bottom w:w="0" w:type="dxa"/>
              <w:right w:w="108" w:type="dxa"/>
            </w:tcMar>
            <w:vAlign w:val="bottom"/>
          </w:tcPr>
          <w:p w:rsidR="000B0A08" w:rsidRPr="00A75DF9" w:rsidRDefault="000B0A08" w:rsidP="00AD69BD">
            <w:pPr>
              <w:jc w:val="center"/>
              <w:rPr>
                <w:rFonts w:eastAsia="MS PGothic" w:cs="Tahoma"/>
                <w:color w:val="000000"/>
                <w:sz w:val="21"/>
                <w:szCs w:val="21"/>
              </w:rPr>
            </w:pPr>
          </w:p>
        </w:tc>
        <w:tc>
          <w:tcPr>
            <w:tcW w:w="1355" w:type="dxa"/>
            <w:tcBorders>
              <w:top w:val="single" w:sz="4" w:space="0" w:color="auto"/>
              <w:left w:val="nil"/>
              <w:bottom w:val="single" w:sz="8" w:space="0" w:color="auto"/>
              <w:right w:val="single" w:sz="8" w:space="0" w:color="auto"/>
            </w:tcBorders>
          </w:tcPr>
          <w:p w:rsidR="000B0A08" w:rsidRPr="00A75DF9" w:rsidRDefault="000B0A08" w:rsidP="00AD69BD">
            <w:pPr>
              <w:jc w:val="center"/>
              <w:rPr>
                <w:rFonts w:eastAsia="MS PGothic" w:cs="Tahoma"/>
                <w:color w:val="000000"/>
                <w:sz w:val="21"/>
                <w:szCs w:val="21"/>
              </w:rPr>
            </w:pPr>
          </w:p>
        </w:tc>
        <w:tc>
          <w:tcPr>
            <w:tcW w:w="1460"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A75DF9" w:rsidRDefault="000B0A08" w:rsidP="00AD69BD">
            <w:pPr>
              <w:jc w:val="center"/>
              <w:rPr>
                <w:rFonts w:eastAsia="MS PGothic" w:cs="Tahoma"/>
                <w:color w:val="000000"/>
                <w:sz w:val="21"/>
                <w:szCs w:val="21"/>
              </w:rPr>
            </w:pPr>
            <w:r w:rsidRPr="00A75DF9">
              <w:rPr>
                <w:rFonts w:cs="Tahoma"/>
                <w:color w:val="000000"/>
              </w:rPr>
              <w:t>x</w:t>
            </w:r>
          </w:p>
        </w:tc>
        <w:tc>
          <w:tcPr>
            <w:tcW w:w="1265" w:type="dxa"/>
            <w:tcBorders>
              <w:top w:val="single" w:sz="4" w:space="0" w:color="auto"/>
              <w:left w:val="nil"/>
              <w:bottom w:val="single" w:sz="8" w:space="0" w:color="auto"/>
              <w:right w:val="single" w:sz="8" w:space="0" w:color="auto"/>
            </w:tcBorders>
            <w:noWrap/>
            <w:tcMar>
              <w:top w:w="0" w:type="dxa"/>
              <w:left w:w="108" w:type="dxa"/>
              <w:bottom w:w="0" w:type="dxa"/>
              <w:right w:w="108" w:type="dxa"/>
            </w:tcMar>
            <w:vAlign w:val="bottom"/>
            <w:hideMark/>
          </w:tcPr>
          <w:p w:rsidR="000B0A08" w:rsidRPr="00A75DF9" w:rsidRDefault="000B0A08" w:rsidP="00AD69BD">
            <w:pPr>
              <w:jc w:val="center"/>
              <w:rPr>
                <w:rFonts w:eastAsia="MS PGothic" w:cs="Tahoma"/>
                <w:color w:val="000000"/>
                <w:sz w:val="21"/>
                <w:szCs w:val="21"/>
              </w:rPr>
            </w:pPr>
            <w:r w:rsidRPr="00A75DF9">
              <w:rPr>
                <w:rFonts w:cs="Tahoma"/>
                <w:color w:val="000000"/>
              </w:rPr>
              <w:t>x</w:t>
            </w:r>
          </w:p>
        </w:tc>
      </w:tr>
      <w:tr w:rsidR="000B0A08" w:rsidRPr="00A75DF9" w:rsidTr="00C70D7D">
        <w:trPr>
          <w:trHeight w:val="255"/>
        </w:trPr>
        <w:tc>
          <w:tcPr>
            <w:tcW w:w="3043"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A75DF9" w:rsidRDefault="000B0A08" w:rsidP="00257298">
            <w:pPr>
              <w:rPr>
                <w:rFonts w:cs="Tahoma"/>
                <w:b/>
                <w:bCs/>
                <w:color w:val="000000"/>
                <w:szCs w:val="18"/>
              </w:rPr>
            </w:pPr>
            <w:r w:rsidRPr="00A75DF9">
              <w:rPr>
                <w:rFonts w:cs="Tahoma"/>
                <w:b/>
                <w:bCs/>
                <w:color w:val="000000"/>
                <w:szCs w:val="18"/>
              </w:rPr>
              <w:t>Office Standard 2010</w:t>
            </w:r>
          </w:p>
        </w:tc>
        <w:tc>
          <w:tcPr>
            <w:tcW w:w="128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A75DF9" w:rsidRDefault="000B0A08" w:rsidP="00AD69BD">
            <w:pPr>
              <w:jc w:val="center"/>
              <w:rPr>
                <w:rFonts w:eastAsia="MS PGothic" w:cs="Tahoma"/>
                <w:color w:val="000000"/>
                <w:sz w:val="21"/>
                <w:szCs w:val="21"/>
              </w:rPr>
            </w:pPr>
          </w:p>
        </w:tc>
        <w:tc>
          <w:tcPr>
            <w:tcW w:w="1355" w:type="dxa"/>
            <w:tcBorders>
              <w:top w:val="nil"/>
              <w:left w:val="nil"/>
              <w:bottom w:val="single" w:sz="8" w:space="0" w:color="auto"/>
              <w:right w:val="single" w:sz="8" w:space="0" w:color="auto"/>
            </w:tcBorders>
          </w:tcPr>
          <w:p w:rsidR="000B0A08" w:rsidRPr="00A75DF9" w:rsidRDefault="000B0A08" w:rsidP="00AD69BD">
            <w:pPr>
              <w:jc w:val="center"/>
              <w:rPr>
                <w:rFonts w:eastAsia="MS PGothic" w:cs="Tahoma"/>
                <w:color w:val="000000"/>
                <w:sz w:val="21"/>
                <w:szCs w:val="21"/>
              </w:rPr>
            </w:pPr>
          </w:p>
        </w:tc>
        <w:tc>
          <w:tcPr>
            <w:tcW w:w="14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A75DF9" w:rsidRDefault="000B0A08" w:rsidP="00AD69BD">
            <w:pPr>
              <w:jc w:val="center"/>
              <w:rPr>
                <w:rFonts w:eastAsia="MS PGothic" w:cs="Tahoma"/>
                <w:color w:val="000000"/>
                <w:sz w:val="21"/>
                <w:szCs w:val="21"/>
              </w:rPr>
            </w:pPr>
            <w:r w:rsidRPr="00A75DF9">
              <w:rPr>
                <w:rFonts w:cs="Tahoma"/>
                <w:color w:val="000000"/>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A75DF9" w:rsidRDefault="000B0A08" w:rsidP="00AD69BD">
            <w:pPr>
              <w:jc w:val="center"/>
              <w:rPr>
                <w:rFonts w:eastAsia="MS PGothic" w:cs="Tahoma"/>
                <w:color w:val="000000"/>
                <w:sz w:val="21"/>
                <w:szCs w:val="21"/>
              </w:rPr>
            </w:pPr>
            <w:r w:rsidRPr="00A75DF9">
              <w:rPr>
                <w:rFonts w:cs="Tahoma"/>
                <w:color w:val="000000"/>
              </w:rPr>
              <w:t>x</w:t>
            </w:r>
          </w:p>
        </w:tc>
      </w:tr>
    </w:tbl>
    <w:p w:rsidR="00980240" w:rsidRPr="00A75DF9" w:rsidRDefault="00980240" w:rsidP="000B0A08">
      <w:pPr>
        <w:rPr>
          <w:rFonts w:cs="Tahoma"/>
        </w:rPr>
      </w:pPr>
    </w:p>
    <w:tbl>
      <w:tblPr>
        <w:tblW w:w="8400" w:type="dxa"/>
        <w:tblInd w:w="680" w:type="dxa"/>
        <w:tblLayout w:type="fixed"/>
        <w:tblCellMar>
          <w:left w:w="0" w:type="dxa"/>
          <w:right w:w="0" w:type="dxa"/>
        </w:tblCellMar>
        <w:tblLook w:val="04A0" w:firstRow="1" w:lastRow="0" w:firstColumn="1" w:lastColumn="0" w:noHBand="0" w:noVBand="1"/>
      </w:tblPr>
      <w:tblGrid>
        <w:gridCol w:w="3083"/>
        <w:gridCol w:w="1242"/>
        <w:gridCol w:w="1355"/>
        <w:gridCol w:w="1455"/>
        <w:gridCol w:w="1265"/>
      </w:tblGrid>
      <w:tr w:rsidR="00C4660F" w:rsidRPr="00A75DF9" w:rsidTr="00C70D7D">
        <w:trPr>
          <w:cantSplit/>
          <w:trHeight w:val="736"/>
          <w:tblHeader/>
        </w:trPr>
        <w:tc>
          <w:tcPr>
            <w:tcW w:w="3083" w:type="dxa"/>
            <w:tcBorders>
              <w:top w:val="single" w:sz="4" w:space="0" w:color="auto"/>
              <w:left w:val="single" w:sz="8" w:space="0" w:color="auto"/>
              <w:bottom w:val="single" w:sz="8" w:space="0" w:color="000000"/>
              <w:right w:val="single" w:sz="8" w:space="0" w:color="auto"/>
            </w:tcBorders>
            <w:shd w:val="clear" w:color="auto" w:fill="FABF8F"/>
            <w:vAlign w:val="center"/>
            <w:hideMark/>
          </w:tcPr>
          <w:p w:rsidR="00C4660F" w:rsidRPr="00A75DF9" w:rsidRDefault="00C4660F" w:rsidP="00C4660F">
            <w:pPr>
              <w:ind w:left="5" w:firstLine="13"/>
              <w:jc w:val="center"/>
              <w:rPr>
                <w:rFonts w:eastAsia="MS PGothic" w:cs="Tahoma"/>
                <w:b/>
                <w:bCs/>
                <w:szCs w:val="18"/>
              </w:rPr>
            </w:pPr>
            <w:r w:rsidRPr="00A75DF9">
              <w:rPr>
                <w:rFonts w:cs="Tahoma"/>
                <w:b/>
                <w:bCs/>
                <w:szCs w:val="18"/>
              </w:rPr>
              <w:lastRenderedPageBreak/>
              <w:t>Applicazioni Qualificanti per l</w:t>
            </w:r>
            <w:r w:rsidR="00F2643E">
              <w:rPr>
                <w:rFonts w:cs="Tahoma"/>
                <w:b/>
                <w:bCs/>
                <w:szCs w:val="18"/>
              </w:rPr>
              <w:t>’</w:t>
            </w:r>
            <w:r w:rsidRPr="00A75DF9">
              <w:rPr>
                <w:rFonts w:cs="Tahoma"/>
                <w:b/>
                <w:bCs/>
                <w:szCs w:val="18"/>
              </w:rPr>
              <w:t>Acquisto dei Diritti di Noleggio per Office Professional Plus</w:t>
            </w:r>
          </w:p>
        </w:tc>
        <w:tc>
          <w:tcPr>
            <w:tcW w:w="1242" w:type="dxa"/>
            <w:tcBorders>
              <w:top w:val="single" w:sz="4" w:space="0" w:color="auto"/>
              <w:left w:val="nil"/>
              <w:bottom w:val="single" w:sz="8" w:space="0" w:color="auto"/>
              <w:right w:val="single" w:sz="4" w:space="0" w:color="auto"/>
            </w:tcBorders>
            <w:shd w:val="clear" w:color="auto" w:fill="FABF8F"/>
            <w:tcMar>
              <w:top w:w="0" w:type="dxa"/>
              <w:left w:w="108" w:type="dxa"/>
              <w:bottom w:w="0" w:type="dxa"/>
              <w:right w:w="108" w:type="dxa"/>
            </w:tcMar>
            <w:vAlign w:val="bottom"/>
            <w:hideMark/>
          </w:tcPr>
          <w:p w:rsidR="00C4660F" w:rsidRPr="00A75DF9" w:rsidRDefault="00C4660F" w:rsidP="00AD69BD">
            <w:pPr>
              <w:jc w:val="center"/>
              <w:rPr>
                <w:rFonts w:cs="Tahoma"/>
                <w:b/>
                <w:bCs/>
                <w:szCs w:val="18"/>
              </w:rPr>
            </w:pPr>
            <w:r w:rsidRPr="00A75DF9">
              <w:rPr>
                <w:rFonts w:cs="Tahoma"/>
                <w:b/>
                <w:bCs/>
                <w:szCs w:val="18"/>
              </w:rPr>
              <w:t>OEM</w:t>
            </w:r>
          </w:p>
        </w:tc>
        <w:tc>
          <w:tcPr>
            <w:tcW w:w="1355" w:type="dxa"/>
            <w:tcBorders>
              <w:top w:val="single" w:sz="4" w:space="0" w:color="auto"/>
              <w:left w:val="single" w:sz="4" w:space="0" w:color="auto"/>
              <w:bottom w:val="single" w:sz="4" w:space="0" w:color="auto"/>
              <w:right w:val="single" w:sz="4" w:space="0" w:color="auto"/>
            </w:tcBorders>
            <w:shd w:val="clear" w:color="auto" w:fill="FABF8F"/>
            <w:vAlign w:val="bottom"/>
            <w:hideMark/>
          </w:tcPr>
          <w:p w:rsidR="00C4660F" w:rsidRPr="00A75DF9" w:rsidRDefault="00C4660F" w:rsidP="00AD69BD">
            <w:pPr>
              <w:jc w:val="center"/>
              <w:rPr>
                <w:rFonts w:cs="Tahoma"/>
              </w:rPr>
            </w:pPr>
            <w:r w:rsidRPr="00A75DF9">
              <w:rPr>
                <w:rFonts w:cs="Tahoma"/>
                <w:b/>
                <w:bCs/>
                <w:szCs w:val="18"/>
              </w:rPr>
              <w:t>PIPC</w:t>
            </w:r>
          </w:p>
          <w:p w:rsidR="00C4660F" w:rsidRPr="00A75DF9" w:rsidRDefault="00C4660F" w:rsidP="00AD69BD">
            <w:pPr>
              <w:jc w:val="center"/>
              <w:rPr>
                <w:rFonts w:cs="Tahoma"/>
                <w:b/>
                <w:bCs/>
                <w:szCs w:val="16"/>
                <w:lang w:eastAsia="ja-JP"/>
              </w:rPr>
            </w:pPr>
            <w:r w:rsidRPr="00A75DF9">
              <w:rPr>
                <w:rFonts w:cs="Tahoma"/>
                <w:b/>
                <w:bCs/>
                <w:szCs w:val="18"/>
              </w:rPr>
              <w:t>(solo Giappone)</w:t>
            </w:r>
          </w:p>
        </w:tc>
        <w:tc>
          <w:tcPr>
            <w:tcW w:w="145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A75DF9" w:rsidRDefault="00C4660F" w:rsidP="00AD69BD">
            <w:pPr>
              <w:jc w:val="center"/>
              <w:rPr>
                <w:rFonts w:cs="Tahoma"/>
                <w:b/>
                <w:bCs/>
                <w:szCs w:val="18"/>
              </w:rPr>
            </w:pPr>
            <w:r w:rsidRPr="00A75DF9">
              <w:rPr>
                <w:rFonts w:cs="Tahoma"/>
                <w:b/>
                <w:bCs/>
                <w:szCs w:val="18"/>
              </w:rPr>
              <w:t>Select/Select Plus</w:t>
            </w:r>
          </w:p>
        </w:tc>
        <w:tc>
          <w:tcPr>
            <w:tcW w:w="1265" w:type="dxa"/>
            <w:tcBorders>
              <w:top w:val="single" w:sz="4" w:space="0" w:color="auto"/>
              <w:left w:val="single" w:sz="4" w:space="0" w:color="auto"/>
              <w:bottom w:val="single" w:sz="4" w:space="0" w:color="auto"/>
              <w:right w:val="single" w:sz="4" w:space="0" w:color="auto"/>
            </w:tcBorders>
            <w:shd w:val="clear" w:color="auto" w:fill="FABF8F"/>
            <w:tcMar>
              <w:top w:w="0" w:type="dxa"/>
              <w:left w:w="108" w:type="dxa"/>
              <w:bottom w:w="0" w:type="dxa"/>
              <w:right w:w="108" w:type="dxa"/>
            </w:tcMar>
            <w:vAlign w:val="bottom"/>
            <w:hideMark/>
          </w:tcPr>
          <w:p w:rsidR="00C4660F" w:rsidRPr="00A75DF9" w:rsidRDefault="00C4660F" w:rsidP="00AD69BD">
            <w:pPr>
              <w:jc w:val="center"/>
              <w:rPr>
                <w:rFonts w:cs="Tahoma"/>
                <w:b/>
                <w:bCs/>
                <w:szCs w:val="18"/>
              </w:rPr>
            </w:pPr>
            <w:r w:rsidRPr="00A75DF9">
              <w:rPr>
                <w:rFonts w:cs="Tahoma"/>
                <w:b/>
                <w:bCs/>
                <w:szCs w:val="18"/>
              </w:rPr>
              <w:t>Licenza Open</w:t>
            </w:r>
          </w:p>
        </w:tc>
      </w:tr>
      <w:tr w:rsidR="000B0A08" w:rsidRPr="00A75DF9" w:rsidTr="00C70D7D">
        <w:trPr>
          <w:trHeight w:val="255"/>
        </w:trPr>
        <w:tc>
          <w:tcPr>
            <w:tcW w:w="3083" w:type="dxa"/>
            <w:tcBorders>
              <w:top w:val="nil"/>
              <w:left w:val="single" w:sz="8" w:space="0" w:color="auto"/>
              <w:bottom w:val="single" w:sz="4" w:space="0" w:color="auto"/>
              <w:right w:val="single" w:sz="8" w:space="0" w:color="auto"/>
            </w:tcBorders>
            <w:noWrap/>
            <w:tcMar>
              <w:top w:w="0" w:type="dxa"/>
              <w:left w:w="108" w:type="dxa"/>
              <w:bottom w:w="0" w:type="dxa"/>
              <w:right w:w="108" w:type="dxa"/>
            </w:tcMar>
            <w:vAlign w:val="bottom"/>
            <w:hideMark/>
          </w:tcPr>
          <w:p w:rsidR="000B0A08" w:rsidRPr="00A75DF9" w:rsidRDefault="000B0A08" w:rsidP="00257298">
            <w:pPr>
              <w:rPr>
                <w:rFonts w:cs="Tahoma"/>
                <w:b/>
                <w:bCs/>
                <w:szCs w:val="18"/>
                <w:lang w:eastAsia="ja-JP"/>
              </w:rPr>
            </w:pPr>
            <w:r w:rsidRPr="00A75DF9">
              <w:rPr>
                <w:rFonts w:cs="Tahoma"/>
                <w:b/>
                <w:bCs/>
                <w:szCs w:val="18"/>
              </w:rPr>
              <w:t>Office Professional Plus 2013</w:t>
            </w:r>
          </w:p>
        </w:tc>
        <w:tc>
          <w:tcPr>
            <w:tcW w:w="124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A75DF9" w:rsidRDefault="000B0A08" w:rsidP="00AD69BD">
            <w:pPr>
              <w:jc w:val="center"/>
              <w:rPr>
                <w:rFonts w:eastAsia="MS PGothic" w:cs="Tahoma"/>
                <w:szCs w:val="18"/>
              </w:rPr>
            </w:pPr>
            <w:r w:rsidRPr="00A75DF9">
              <w:rPr>
                <w:rFonts w:cs="Tahoma"/>
                <w:szCs w:val="18"/>
              </w:rPr>
              <w:t> </w:t>
            </w:r>
          </w:p>
        </w:tc>
        <w:tc>
          <w:tcPr>
            <w:tcW w:w="1355" w:type="dxa"/>
            <w:tcBorders>
              <w:top w:val="nil"/>
              <w:left w:val="nil"/>
              <w:bottom w:val="single" w:sz="8" w:space="0" w:color="auto"/>
              <w:right w:val="single" w:sz="8" w:space="0" w:color="auto"/>
            </w:tcBorders>
          </w:tcPr>
          <w:p w:rsidR="000B0A08" w:rsidRPr="00A75DF9" w:rsidRDefault="000B0A08" w:rsidP="00AD69BD">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A75DF9" w:rsidRDefault="000B0A08" w:rsidP="00AD69BD">
            <w:pPr>
              <w:jc w:val="center"/>
              <w:rPr>
                <w:rFonts w:eastAsia="MS PGothic" w:cs="Tahoma"/>
                <w:szCs w:val="18"/>
              </w:rPr>
            </w:pPr>
            <w:r w:rsidRPr="00A75DF9">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A75DF9" w:rsidRDefault="000B0A08" w:rsidP="00AD69BD">
            <w:pPr>
              <w:jc w:val="center"/>
              <w:rPr>
                <w:rFonts w:eastAsia="MS PGothic" w:cs="Tahoma"/>
                <w:szCs w:val="18"/>
              </w:rPr>
            </w:pPr>
            <w:r w:rsidRPr="00A75DF9">
              <w:rPr>
                <w:rFonts w:cs="Tahoma"/>
                <w:szCs w:val="18"/>
              </w:rPr>
              <w:t>x</w:t>
            </w:r>
          </w:p>
        </w:tc>
      </w:tr>
      <w:tr w:rsidR="000B0A08" w:rsidRPr="00A75DF9" w:rsidTr="00C70D7D">
        <w:trPr>
          <w:trHeight w:val="255"/>
        </w:trPr>
        <w:tc>
          <w:tcPr>
            <w:tcW w:w="3083"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A75DF9" w:rsidRDefault="000B0A08" w:rsidP="00257298">
            <w:pPr>
              <w:rPr>
                <w:rFonts w:cs="Tahoma"/>
                <w:b/>
                <w:bCs/>
                <w:szCs w:val="18"/>
                <w:lang w:eastAsia="ja-JP"/>
              </w:rPr>
            </w:pPr>
            <w:r w:rsidRPr="00A75DF9">
              <w:rPr>
                <w:rFonts w:cs="Tahoma"/>
                <w:b/>
                <w:bCs/>
                <w:szCs w:val="18"/>
              </w:rPr>
              <w:t>Office Professional Plus 2010</w:t>
            </w:r>
          </w:p>
        </w:tc>
        <w:tc>
          <w:tcPr>
            <w:tcW w:w="124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A75DF9" w:rsidRDefault="000B0A08" w:rsidP="00AD69BD">
            <w:pPr>
              <w:jc w:val="center"/>
              <w:rPr>
                <w:rFonts w:eastAsia="MS PGothic" w:cs="Tahoma"/>
                <w:szCs w:val="18"/>
              </w:rPr>
            </w:pPr>
            <w:r w:rsidRPr="00A75DF9">
              <w:rPr>
                <w:rFonts w:cs="Tahoma"/>
                <w:szCs w:val="18"/>
              </w:rPr>
              <w:t> </w:t>
            </w:r>
          </w:p>
        </w:tc>
        <w:tc>
          <w:tcPr>
            <w:tcW w:w="1355" w:type="dxa"/>
            <w:tcBorders>
              <w:top w:val="nil"/>
              <w:left w:val="nil"/>
              <w:bottom w:val="single" w:sz="8" w:space="0" w:color="auto"/>
              <w:right w:val="single" w:sz="8" w:space="0" w:color="auto"/>
            </w:tcBorders>
          </w:tcPr>
          <w:p w:rsidR="000B0A08" w:rsidRPr="00A75DF9" w:rsidRDefault="000B0A08" w:rsidP="00AD69BD">
            <w:pPr>
              <w:jc w:val="center"/>
              <w:rPr>
                <w:rFonts w:eastAsia="MS PGothic" w:cs="Tahoma"/>
                <w:szCs w:val="18"/>
              </w:rPr>
            </w:pP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A75DF9" w:rsidRDefault="000B0A08" w:rsidP="00AD69BD">
            <w:pPr>
              <w:jc w:val="center"/>
              <w:rPr>
                <w:rFonts w:eastAsia="MS PGothic" w:cs="Tahoma"/>
                <w:szCs w:val="18"/>
              </w:rPr>
            </w:pPr>
            <w:r w:rsidRPr="00A75DF9">
              <w:rPr>
                <w:rFonts w:cs="Tahoma"/>
                <w:szCs w:val="18"/>
              </w:rPr>
              <w:t>x</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A75DF9" w:rsidRDefault="000B0A08" w:rsidP="00AD69BD">
            <w:pPr>
              <w:jc w:val="center"/>
              <w:rPr>
                <w:rFonts w:eastAsia="MS PGothic" w:cs="Tahoma"/>
                <w:szCs w:val="18"/>
              </w:rPr>
            </w:pPr>
            <w:r w:rsidRPr="00A75DF9">
              <w:rPr>
                <w:rFonts w:cs="Tahoma"/>
                <w:szCs w:val="18"/>
              </w:rPr>
              <w:t>x</w:t>
            </w:r>
          </w:p>
        </w:tc>
      </w:tr>
      <w:tr w:rsidR="000B0A08" w:rsidRPr="00A75DF9" w:rsidTr="00C70D7D">
        <w:trPr>
          <w:trHeight w:val="255"/>
        </w:trPr>
        <w:tc>
          <w:tcPr>
            <w:tcW w:w="3083"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A75DF9" w:rsidRDefault="000B0A08" w:rsidP="00257298">
            <w:pPr>
              <w:rPr>
                <w:rFonts w:cs="Tahoma"/>
                <w:b/>
                <w:bCs/>
                <w:szCs w:val="18"/>
              </w:rPr>
            </w:pPr>
            <w:r w:rsidRPr="00A75DF9">
              <w:rPr>
                <w:rFonts w:cs="Tahoma"/>
                <w:b/>
                <w:bCs/>
                <w:szCs w:val="18"/>
              </w:rPr>
              <w:t>Office Personal 2013</w:t>
            </w:r>
          </w:p>
        </w:tc>
        <w:tc>
          <w:tcPr>
            <w:tcW w:w="124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A75DF9" w:rsidRDefault="000B0A08" w:rsidP="00AD69BD">
            <w:pPr>
              <w:rPr>
                <w:rFonts w:eastAsia="Times New Roman" w:cs="Tahoma"/>
                <w:szCs w:val="18"/>
              </w:rPr>
            </w:pPr>
          </w:p>
        </w:tc>
        <w:tc>
          <w:tcPr>
            <w:tcW w:w="1355" w:type="dxa"/>
            <w:tcBorders>
              <w:top w:val="nil"/>
              <w:left w:val="nil"/>
              <w:bottom w:val="single" w:sz="8" w:space="0" w:color="auto"/>
              <w:right w:val="single" w:sz="8" w:space="0" w:color="auto"/>
            </w:tcBorders>
            <w:vAlign w:val="bottom"/>
            <w:hideMark/>
          </w:tcPr>
          <w:p w:rsidR="000B0A08" w:rsidRPr="00A75DF9" w:rsidRDefault="000B0A08" w:rsidP="00AD69BD">
            <w:pPr>
              <w:jc w:val="center"/>
              <w:rPr>
                <w:rFonts w:eastAsia="MS PGothic" w:cs="Tahoma"/>
                <w:color w:val="000000"/>
                <w:szCs w:val="18"/>
              </w:rPr>
            </w:pPr>
            <w:r w:rsidRPr="00A75DF9">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A75DF9" w:rsidRDefault="000B0A08" w:rsidP="00AD69BD">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A75DF9" w:rsidRDefault="000B0A08" w:rsidP="00AD69BD">
            <w:pPr>
              <w:rPr>
                <w:rFonts w:eastAsia="Times New Roman" w:cs="Tahoma"/>
                <w:szCs w:val="18"/>
              </w:rPr>
            </w:pPr>
          </w:p>
        </w:tc>
      </w:tr>
      <w:tr w:rsidR="000B0A08" w:rsidRPr="00A75DF9" w:rsidTr="00C70D7D">
        <w:trPr>
          <w:trHeight w:val="255"/>
        </w:trPr>
        <w:tc>
          <w:tcPr>
            <w:tcW w:w="3083"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A75DF9" w:rsidRDefault="000B0A08" w:rsidP="00257298">
            <w:pPr>
              <w:rPr>
                <w:rFonts w:cs="Tahoma"/>
                <w:b/>
                <w:bCs/>
                <w:szCs w:val="18"/>
              </w:rPr>
            </w:pPr>
            <w:r w:rsidRPr="00A75DF9">
              <w:rPr>
                <w:rFonts w:cs="Tahoma"/>
                <w:b/>
                <w:bCs/>
                <w:szCs w:val="18"/>
              </w:rPr>
              <w:t>Office Home &amp; Business 2013</w:t>
            </w:r>
          </w:p>
        </w:tc>
        <w:tc>
          <w:tcPr>
            <w:tcW w:w="124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A75DF9" w:rsidRDefault="000B0A08" w:rsidP="00AD69BD">
            <w:pPr>
              <w:rPr>
                <w:rFonts w:eastAsia="Times New Roman" w:cs="Tahoma"/>
                <w:szCs w:val="18"/>
              </w:rPr>
            </w:pPr>
          </w:p>
        </w:tc>
        <w:tc>
          <w:tcPr>
            <w:tcW w:w="1355" w:type="dxa"/>
            <w:tcBorders>
              <w:top w:val="nil"/>
              <w:left w:val="nil"/>
              <w:bottom w:val="single" w:sz="8" w:space="0" w:color="auto"/>
              <w:right w:val="single" w:sz="8" w:space="0" w:color="auto"/>
            </w:tcBorders>
            <w:vAlign w:val="bottom"/>
            <w:hideMark/>
          </w:tcPr>
          <w:p w:rsidR="000B0A08" w:rsidRPr="00A75DF9" w:rsidRDefault="000B0A08" w:rsidP="00AD69BD">
            <w:pPr>
              <w:jc w:val="center"/>
              <w:rPr>
                <w:rFonts w:eastAsia="MS PGothic" w:cs="Tahoma"/>
                <w:color w:val="000000"/>
                <w:szCs w:val="18"/>
              </w:rPr>
            </w:pPr>
            <w:r w:rsidRPr="00A75DF9">
              <w:rPr>
                <w:rFonts w:cs="Tahoma"/>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A75DF9" w:rsidRDefault="000B0A08" w:rsidP="00AD69BD">
            <w:pPr>
              <w:rPr>
                <w:rFonts w:eastAsia="Times New Roman" w:cs="Tahoma"/>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A75DF9" w:rsidRDefault="000B0A08" w:rsidP="00AD69BD">
            <w:pPr>
              <w:rPr>
                <w:rFonts w:eastAsia="Times New Roman" w:cs="Tahoma"/>
                <w:szCs w:val="18"/>
              </w:rPr>
            </w:pPr>
          </w:p>
        </w:tc>
      </w:tr>
      <w:tr w:rsidR="000B0A08" w:rsidRPr="00A75DF9" w:rsidTr="00C70D7D">
        <w:trPr>
          <w:trHeight w:val="255"/>
        </w:trPr>
        <w:tc>
          <w:tcPr>
            <w:tcW w:w="3083"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bottom"/>
            <w:hideMark/>
          </w:tcPr>
          <w:p w:rsidR="000B0A08" w:rsidRPr="00A75DF9" w:rsidRDefault="000B0A08" w:rsidP="00257298">
            <w:pPr>
              <w:rPr>
                <w:rFonts w:cs="Tahoma"/>
                <w:b/>
                <w:bCs/>
                <w:szCs w:val="18"/>
              </w:rPr>
            </w:pPr>
            <w:r w:rsidRPr="00A75DF9">
              <w:rPr>
                <w:rFonts w:cs="Tahoma"/>
                <w:b/>
                <w:bCs/>
                <w:szCs w:val="18"/>
              </w:rPr>
              <w:t>Office Professional 2013</w:t>
            </w:r>
          </w:p>
        </w:tc>
        <w:tc>
          <w:tcPr>
            <w:tcW w:w="1242" w:type="dxa"/>
            <w:tcBorders>
              <w:top w:val="nil"/>
              <w:left w:val="single" w:sz="4" w:space="0" w:color="auto"/>
              <w:bottom w:val="single" w:sz="8" w:space="0" w:color="auto"/>
              <w:right w:val="single" w:sz="8" w:space="0" w:color="auto"/>
            </w:tcBorders>
            <w:noWrap/>
            <w:tcMar>
              <w:top w:w="0" w:type="dxa"/>
              <w:left w:w="108" w:type="dxa"/>
              <w:bottom w:w="0" w:type="dxa"/>
              <w:right w:w="108" w:type="dxa"/>
            </w:tcMar>
            <w:vAlign w:val="bottom"/>
            <w:hideMark/>
          </w:tcPr>
          <w:p w:rsidR="000B0A08" w:rsidRPr="00A75DF9" w:rsidRDefault="000B0A08" w:rsidP="00AD69BD">
            <w:pPr>
              <w:rPr>
                <w:rFonts w:eastAsia="Times New Roman" w:cs="Tahoma"/>
                <w:color w:val="000000" w:themeColor="text1"/>
                <w:szCs w:val="18"/>
              </w:rPr>
            </w:pPr>
          </w:p>
        </w:tc>
        <w:tc>
          <w:tcPr>
            <w:tcW w:w="1355" w:type="dxa"/>
            <w:tcBorders>
              <w:top w:val="nil"/>
              <w:left w:val="nil"/>
              <w:bottom w:val="single" w:sz="8" w:space="0" w:color="auto"/>
              <w:right w:val="single" w:sz="8" w:space="0" w:color="auto"/>
            </w:tcBorders>
            <w:vAlign w:val="bottom"/>
            <w:hideMark/>
          </w:tcPr>
          <w:p w:rsidR="000B0A08" w:rsidRPr="00A75DF9" w:rsidRDefault="000B0A08" w:rsidP="00AD69BD">
            <w:pPr>
              <w:jc w:val="center"/>
              <w:rPr>
                <w:rFonts w:eastAsia="MS PGothic" w:cs="Tahoma"/>
                <w:color w:val="000000" w:themeColor="text1"/>
                <w:szCs w:val="18"/>
              </w:rPr>
            </w:pPr>
            <w:r w:rsidRPr="00A75DF9">
              <w:rPr>
                <w:rFonts w:cs="Tahoma"/>
                <w:color w:val="000000" w:themeColor="text1"/>
                <w:szCs w:val="18"/>
              </w:rPr>
              <w:t>x</w:t>
            </w:r>
          </w:p>
        </w:tc>
        <w:tc>
          <w:tcPr>
            <w:tcW w:w="145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A75DF9" w:rsidRDefault="000B0A08" w:rsidP="00AD69BD">
            <w:pPr>
              <w:rPr>
                <w:rFonts w:eastAsia="Times New Roman" w:cs="Tahoma"/>
                <w:color w:val="000000" w:themeColor="text1"/>
                <w:szCs w:val="18"/>
              </w:rPr>
            </w:pP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0B0A08" w:rsidRPr="00A75DF9" w:rsidRDefault="000B0A08" w:rsidP="00AD69BD">
            <w:pPr>
              <w:rPr>
                <w:rFonts w:eastAsia="Times New Roman" w:cs="Tahoma"/>
                <w:color w:val="000000" w:themeColor="text1"/>
                <w:szCs w:val="18"/>
              </w:rPr>
            </w:pPr>
          </w:p>
        </w:tc>
      </w:tr>
    </w:tbl>
    <w:p w:rsidR="000B0A08" w:rsidRPr="00A75DF9" w:rsidRDefault="000B0A08" w:rsidP="00980240">
      <w:pPr>
        <w:rPr>
          <w:rFonts w:cs="Tahoma"/>
        </w:rPr>
      </w:pPr>
    </w:p>
    <w:p w:rsidR="000B0A08" w:rsidRPr="00A75DF9" w:rsidRDefault="000B0A08" w:rsidP="005C382A">
      <w:pPr>
        <w:ind w:left="720"/>
        <w:rPr>
          <w:rFonts w:cs="Tahoma"/>
        </w:rPr>
      </w:pPr>
      <w:r w:rsidRPr="00A75DF9">
        <w:rPr>
          <w:rFonts w:cs="Tahoma"/>
          <w:color w:val="000000"/>
          <w:szCs w:val="18"/>
        </w:rPr>
        <w:t>Le società che acquistano la licenza relativa ai diritti di noleggio in aggiunta alla licenza per l</w:t>
      </w:r>
      <w:r w:rsidR="00F2643E">
        <w:rPr>
          <w:rFonts w:cs="Tahoma"/>
          <w:color w:val="000000"/>
          <w:szCs w:val="18"/>
        </w:rPr>
        <w:t>’</w:t>
      </w:r>
      <w:r w:rsidRPr="00A75DF9">
        <w:rPr>
          <w:rFonts w:cs="Tahoma"/>
          <w:color w:val="000000"/>
          <w:szCs w:val="18"/>
        </w:rPr>
        <w:t>applicazione qualificante beneficeranno di un</w:t>
      </w:r>
      <w:r w:rsidR="00F2643E">
        <w:rPr>
          <w:rFonts w:cs="Tahoma"/>
          <w:color w:val="000000"/>
          <w:szCs w:val="18"/>
        </w:rPr>
        <w:t>’</w:t>
      </w:r>
      <w:r w:rsidRPr="00A75DF9">
        <w:rPr>
          <w:rFonts w:cs="Tahoma"/>
          <w:color w:val="000000"/>
          <w:szCs w:val="18"/>
        </w:rPr>
        <w:t>estensione dei diritti contemplati dalla licenza dell</w:t>
      </w:r>
      <w:r w:rsidR="00F2643E">
        <w:rPr>
          <w:rFonts w:cs="Tahoma"/>
          <w:color w:val="000000"/>
          <w:szCs w:val="18"/>
        </w:rPr>
        <w:t>’</w:t>
      </w:r>
      <w:r w:rsidRPr="00A75DF9">
        <w:rPr>
          <w:rFonts w:cs="Tahoma"/>
          <w:color w:val="000000"/>
          <w:szCs w:val="18"/>
        </w:rPr>
        <w:t>applicazione qualificante per consentire l</w:t>
      </w:r>
      <w:r w:rsidR="00F2643E">
        <w:rPr>
          <w:rFonts w:cs="Tahoma"/>
          <w:color w:val="000000"/>
          <w:szCs w:val="18"/>
        </w:rPr>
        <w:t>’</w:t>
      </w:r>
      <w:r w:rsidRPr="00A75DF9">
        <w:rPr>
          <w:rFonts w:cs="Tahoma"/>
          <w:color w:val="000000"/>
          <w:szCs w:val="18"/>
        </w:rPr>
        <w:t xml:space="preserve">utilizzo da parte di terzi dello stesso software. La licenza di noleggio non è una licenza </w:t>
      </w:r>
      <w:r w:rsidR="00C70D7D">
        <w:rPr>
          <w:rFonts w:cs="Tahoma"/>
          <w:color w:val="000000"/>
          <w:szCs w:val="18"/>
        </w:rPr>
        <w:br/>
      </w:r>
      <w:r w:rsidRPr="00A75DF9">
        <w:rPr>
          <w:rFonts w:cs="Tahoma"/>
          <w:color w:val="000000"/>
          <w:szCs w:val="18"/>
        </w:rPr>
        <w:t>step-up per una versione superiore del prodotto.</w:t>
      </w:r>
    </w:p>
    <w:p w:rsidR="00223A77" w:rsidRPr="00A75DF9" w:rsidRDefault="00223A77" w:rsidP="005C382A">
      <w:pPr>
        <w:ind w:left="720"/>
        <w:rPr>
          <w:rFonts w:cs="Tahoma"/>
        </w:rPr>
      </w:pPr>
    </w:p>
    <w:p w:rsidR="00223A77" w:rsidRPr="00A75DF9" w:rsidRDefault="00223A77" w:rsidP="00864B8A">
      <w:pPr>
        <w:spacing w:after="60"/>
        <w:ind w:left="720"/>
        <w:rPr>
          <w:rFonts w:cs="Tahoma"/>
        </w:rPr>
      </w:pPr>
      <w:r w:rsidRPr="00A75DF9">
        <w:rPr>
          <w:rFonts w:cs="Tahoma"/>
          <w:b/>
        </w:rPr>
        <w:t>Eccezione per Software Assurance</w:t>
      </w:r>
    </w:p>
    <w:p w:rsidR="009504CA" w:rsidRPr="00A75DF9" w:rsidRDefault="00223A77" w:rsidP="00C70D7D">
      <w:pPr>
        <w:ind w:left="720"/>
        <w:rPr>
          <w:rFonts w:cs="Tahoma"/>
        </w:rPr>
      </w:pPr>
      <w:r w:rsidRPr="00A75DF9">
        <w:rPr>
          <w:rFonts w:cs="Tahoma"/>
          <w:color w:val="000000"/>
          <w:szCs w:val="18"/>
        </w:rPr>
        <w:t>Le società che acquistano licenze per i diritti di noleggio non sono idonee a ricevere Software Assurance per</w:t>
      </w:r>
      <w:r w:rsidR="00C70D7D">
        <w:rPr>
          <w:rFonts w:cs="Tahoma"/>
          <w:color w:val="000000"/>
          <w:szCs w:val="18"/>
        </w:rPr>
        <w:t> </w:t>
      </w:r>
      <w:r w:rsidRPr="00A75DF9">
        <w:rPr>
          <w:rFonts w:cs="Tahoma"/>
          <w:color w:val="000000"/>
          <w:szCs w:val="18"/>
        </w:rPr>
        <w:t>le licenze per i diritti di noleggio, né per le licenze software qualificanti sottostanti.</w:t>
      </w:r>
    </w:p>
    <w:p w:rsidR="00413D8A" w:rsidRPr="00A75DF9" w:rsidRDefault="00413D8A">
      <w:pPr>
        <w:rPr>
          <w:rFonts w:cs="Tahoma"/>
        </w:rPr>
      </w:pPr>
    </w:p>
    <w:p w:rsidR="00980240" w:rsidRPr="00A75DF9" w:rsidRDefault="00980240" w:rsidP="00980240">
      <w:pPr>
        <w:rPr>
          <w:rFonts w:cs="Tahoma"/>
        </w:rPr>
      </w:pPr>
    </w:p>
    <w:p w:rsidR="00257298" w:rsidRPr="00A75DF9" w:rsidRDefault="00A560B6" w:rsidP="005C382A">
      <w:pPr>
        <w:pStyle w:val="Heading3"/>
        <w:rPr>
          <w:rFonts w:ascii="Tahoma" w:hAnsi="Tahoma" w:cs="Tahoma"/>
        </w:rPr>
      </w:pPr>
      <w:bookmarkStart w:id="1052" w:name="_15_Visio_Professional"/>
      <w:bookmarkStart w:id="1053" w:name="_17_Visio_Professional"/>
      <w:bookmarkStart w:id="1054" w:name="_Toc368310266"/>
      <w:bookmarkEnd w:id="1052"/>
      <w:bookmarkEnd w:id="1053"/>
      <w:r w:rsidRPr="00A75DF9">
        <w:rPr>
          <w:rFonts w:ascii="Tahoma" w:hAnsi="Tahoma" w:cs="Tahoma"/>
          <w:caps/>
          <w:color w:val="F66400"/>
          <w:sz w:val="22"/>
          <w:vertAlign w:val="superscript"/>
        </w:rPr>
        <w:t>18</w:t>
      </w:r>
      <w:r w:rsidRPr="00A75DF9">
        <w:rPr>
          <w:rFonts w:ascii="Tahoma" w:hAnsi="Tahoma" w:cs="Tahoma"/>
          <w:color w:val="F66400"/>
          <w:sz w:val="22"/>
        </w:rPr>
        <w:t xml:space="preserve"> Visio Professional 2013</w:t>
      </w:r>
      <w:bookmarkEnd w:id="1054"/>
    </w:p>
    <w:p w:rsidR="005C382A" w:rsidRPr="00A75DF9" w:rsidRDefault="005C382A" w:rsidP="005C382A">
      <w:pPr>
        <w:rPr>
          <w:rFonts w:cs="Tahoma"/>
        </w:rPr>
      </w:pPr>
    </w:p>
    <w:p w:rsidR="00257298" w:rsidRPr="00A75DF9" w:rsidRDefault="00257298" w:rsidP="00864B8A">
      <w:pPr>
        <w:spacing w:after="60"/>
        <w:ind w:left="720"/>
        <w:rPr>
          <w:rFonts w:cs="Tahoma"/>
        </w:rPr>
      </w:pPr>
      <w:r w:rsidRPr="00A75DF9">
        <w:rPr>
          <w:rFonts w:cs="Tahoma"/>
          <w:b/>
        </w:rPr>
        <w:t xml:space="preserve">Percorso di Migrazione di Software Assurance per </w:t>
      </w:r>
      <w:bookmarkStart w:id="1055" w:name="Srv_11VisioPremium2010"/>
      <w:bookmarkStart w:id="1056" w:name="Aps_11VisioPremium2010"/>
      <w:bookmarkStart w:id="1057" w:name="_Toc336338274"/>
      <w:bookmarkStart w:id="1058" w:name="Srv_VisioPremium2010"/>
      <w:r w:rsidRPr="00A75DF9">
        <w:rPr>
          <w:rFonts w:cs="Tahoma"/>
          <w:b/>
        </w:rPr>
        <w:t>Visio Premium 2010</w:t>
      </w:r>
      <w:bookmarkEnd w:id="1055"/>
      <w:bookmarkEnd w:id="1056"/>
      <w:bookmarkEnd w:id="1057"/>
    </w:p>
    <w:bookmarkEnd w:id="1058"/>
    <w:p w:rsidR="00257298" w:rsidRPr="00C70D7D" w:rsidRDefault="00257298" w:rsidP="005C382A">
      <w:pPr>
        <w:pStyle w:val="FootnoteBulletLevel1"/>
        <w:spacing w:before="0" w:after="0"/>
        <w:ind w:left="720" w:firstLine="0"/>
        <w:rPr>
          <w:rFonts w:ascii="Tahoma" w:hAnsi="Tahoma" w:cs="Tahoma"/>
          <w:sz w:val="18"/>
          <w:szCs w:val="18"/>
        </w:rPr>
      </w:pPr>
      <w:r w:rsidRPr="00C70D7D">
        <w:rPr>
          <w:rFonts w:ascii="Tahoma" w:hAnsi="Tahoma" w:cs="Tahoma"/>
          <w:sz w:val="18"/>
          <w:szCs w:val="18"/>
        </w:rPr>
        <w:t>Le società con una copertura Software Assurance attiva per Visio Premium 2010 alla data di disponibilità del download di Visio Professional 2013 sono idonee a utilizzare Visio Professional 2013 anziché Visio Premium 2010. Il diritto di utilizzo di Visio Professional 2013 ai sensi di tale offerta cesserà alla cessazione dei diritti di utilizzo di Visio Premium 2010 ai sensi della relativa licenza qualificante.</w:t>
      </w:r>
      <w:r w:rsidR="009D3B41" w:rsidRPr="00C70D7D">
        <w:rPr>
          <w:rFonts w:ascii="Tahoma" w:hAnsi="Tahoma" w:cs="Tahoma"/>
          <w:sz w:val="18"/>
          <w:szCs w:val="18"/>
        </w:rPr>
        <w:t xml:space="preserve"> </w:t>
      </w:r>
      <w:r w:rsidRPr="00C70D7D">
        <w:rPr>
          <w:rFonts w:ascii="Tahoma" w:hAnsi="Tahoma" w:cs="Tahoma"/>
          <w:sz w:val="18"/>
          <w:szCs w:val="18"/>
        </w:rPr>
        <w:t>L</w:t>
      </w:r>
      <w:r w:rsidR="00F2643E">
        <w:rPr>
          <w:rFonts w:ascii="Tahoma" w:hAnsi="Tahoma" w:cs="Tahoma"/>
          <w:sz w:val="18"/>
          <w:szCs w:val="18"/>
        </w:rPr>
        <w:t>’</w:t>
      </w:r>
      <w:r w:rsidRPr="00C70D7D">
        <w:rPr>
          <w:rFonts w:ascii="Tahoma" w:hAnsi="Tahoma" w:cs="Tahoma"/>
          <w:sz w:val="18"/>
          <w:szCs w:val="18"/>
        </w:rPr>
        <w:t>utilizzo di Visio Professional 2013 è disciplinato dai diritti sull</w:t>
      </w:r>
      <w:r w:rsidR="00F2643E">
        <w:rPr>
          <w:rFonts w:ascii="Tahoma" w:hAnsi="Tahoma" w:cs="Tahoma"/>
          <w:sz w:val="18"/>
          <w:szCs w:val="18"/>
        </w:rPr>
        <w:t>’</w:t>
      </w:r>
      <w:r w:rsidRPr="00C70D7D">
        <w:rPr>
          <w:rFonts w:ascii="Tahoma" w:hAnsi="Tahoma" w:cs="Tahoma"/>
          <w:sz w:val="18"/>
          <w:szCs w:val="18"/>
        </w:rPr>
        <w:t>utilizzo di Visio Professional 2013 e dalle condizioni del Contratto Multilicenza della società.</w:t>
      </w:r>
      <w:r w:rsidR="009D3B41" w:rsidRPr="00C70D7D">
        <w:rPr>
          <w:rFonts w:ascii="Tahoma" w:hAnsi="Tahoma" w:cs="Tahoma"/>
          <w:sz w:val="18"/>
          <w:szCs w:val="18"/>
        </w:rPr>
        <w:t xml:space="preserve"> </w:t>
      </w:r>
      <w:r w:rsidRPr="00C70D7D">
        <w:rPr>
          <w:rFonts w:ascii="Tahoma" w:hAnsi="Tahoma" w:cs="Tahoma"/>
          <w:sz w:val="18"/>
          <w:szCs w:val="18"/>
        </w:rPr>
        <w:t>La presente nota relativa alle condizioni del prodotto e la prova da parte della società della corrispondente licenza qualificante costituiscono insieme la prova del diritto di utilizzo di Visio Professional 2013 ai sensi della presente offerta.</w:t>
      </w:r>
      <w:r w:rsidR="009D3B41" w:rsidRPr="00C70D7D">
        <w:rPr>
          <w:rFonts w:ascii="Tahoma" w:hAnsi="Tahoma" w:cs="Tahoma"/>
          <w:sz w:val="18"/>
          <w:szCs w:val="18"/>
        </w:rPr>
        <w:t xml:space="preserve"> </w:t>
      </w:r>
      <w:r w:rsidRPr="00C70D7D">
        <w:rPr>
          <w:rFonts w:ascii="Tahoma" w:hAnsi="Tahoma" w:cs="Tahoma"/>
          <w:sz w:val="18"/>
          <w:szCs w:val="18"/>
        </w:rPr>
        <w:t>Alla scadenza della copertura Software Assurance per Visio Premium 2010, la società potrà acquistare Software Assurance per Visio Professional 2013 senza dover acquistare separatamente una nuova licenza.</w:t>
      </w:r>
    </w:p>
    <w:p w:rsidR="005C382A" w:rsidRPr="00C70D7D" w:rsidRDefault="005C382A" w:rsidP="005C382A">
      <w:pPr>
        <w:pStyle w:val="FootnoteBulletLevel1"/>
        <w:spacing w:before="0" w:after="0"/>
        <w:ind w:left="720" w:firstLine="0"/>
        <w:rPr>
          <w:rFonts w:ascii="Tahoma" w:hAnsi="Tahoma" w:cs="Tahoma"/>
          <w:sz w:val="18"/>
          <w:szCs w:val="18"/>
        </w:rPr>
      </w:pPr>
    </w:p>
    <w:p w:rsidR="00DF3CEE" w:rsidRPr="00A75DF9" w:rsidRDefault="00DF3CEE" w:rsidP="00864B8A">
      <w:pPr>
        <w:spacing w:after="60"/>
        <w:ind w:left="720"/>
        <w:rPr>
          <w:rFonts w:cs="Tahoma"/>
        </w:rPr>
      </w:pPr>
      <w:r w:rsidRPr="00A75DF9">
        <w:rPr>
          <w:rFonts w:cs="Tahoma"/>
          <w:b/>
        </w:rPr>
        <w:t>Diritti di Downgrade per Visio Professional 2013</w:t>
      </w:r>
    </w:p>
    <w:p w:rsidR="00DF3CEE" w:rsidRPr="00C70D7D" w:rsidRDefault="00DF3CEE" w:rsidP="005C382A">
      <w:pPr>
        <w:pStyle w:val="FootnoteBulletLevel1"/>
        <w:spacing w:before="0" w:after="0"/>
        <w:ind w:left="720" w:firstLine="0"/>
        <w:rPr>
          <w:rFonts w:ascii="Tahoma" w:hAnsi="Tahoma" w:cs="Tahoma"/>
          <w:sz w:val="18"/>
          <w:szCs w:val="18"/>
        </w:rPr>
      </w:pPr>
      <w:r w:rsidRPr="00C70D7D">
        <w:rPr>
          <w:rFonts w:ascii="Tahoma" w:hAnsi="Tahoma" w:cs="Tahoma"/>
          <w:sz w:val="18"/>
          <w:szCs w:val="18"/>
        </w:rPr>
        <w:t>Le società con Software Assurance che hanno distribuito solo Visio Premium 2010 (ad esempio quelle che non utilizzano altre edizioni di Visio nella loro organizzazione) e necessitano di ulteriori postazioni di Visio Premium 2010 potranno acquistare licenze per Visio Professional 2013 ed effettuare il downgrade a Visio Premium 2010. Non sono consentiti altri downgrade da Visio Professional 2013 a Visio Premium 2010.</w:t>
      </w:r>
    </w:p>
    <w:p w:rsidR="005C382A" w:rsidRPr="00A75DF9" w:rsidRDefault="005C382A" w:rsidP="005C382A">
      <w:pPr>
        <w:rPr>
          <w:rFonts w:cs="Tahoma"/>
        </w:rPr>
      </w:pPr>
    </w:p>
    <w:p w:rsidR="00676723" w:rsidRPr="00A75DF9" w:rsidRDefault="00676723" w:rsidP="005C382A">
      <w:pPr>
        <w:rPr>
          <w:rFonts w:cs="Tahoma"/>
        </w:rPr>
      </w:pPr>
    </w:p>
    <w:p w:rsidR="00BE4D27" w:rsidRDefault="00A560B6" w:rsidP="00BE4D27">
      <w:pPr>
        <w:pStyle w:val="Heading3"/>
        <w:rPr>
          <w:rFonts w:ascii="Tahoma" w:hAnsi="Tahoma" w:cs="Tahoma"/>
          <w:color w:val="F66400"/>
          <w:sz w:val="22"/>
        </w:rPr>
      </w:pPr>
      <w:bookmarkStart w:id="1059" w:name="_18_Visio_Pro"/>
      <w:bookmarkStart w:id="1060" w:name="_Toc368310267"/>
      <w:bookmarkEnd w:id="1059"/>
      <w:r w:rsidRPr="00A75DF9">
        <w:rPr>
          <w:rFonts w:ascii="Tahoma" w:hAnsi="Tahoma" w:cs="Tahoma"/>
          <w:caps/>
          <w:color w:val="F66400"/>
          <w:sz w:val="22"/>
          <w:vertAlign w:val="superscript"/>
        </w:rPr>
        <w:t>19</w:t>
      </w:r>
      <w:r w:rsidRPr="00A75DF9">
        <w:rPr>
          <w:rFonts w:ascii="Tahoma" w:hAnsi="Tahoma" w:cs="Tahoma"/>
          <w:color w:val="F66400"/>
          <w:sz w:val="22"/>
        </w:rPr>
        <w:t xml:space="preserve"> Visio Pro per Office 365</w:t>
      </w:r>
      <w:bookmarkEnd w:id="1060"/>
      <w:r w:rsidRPr="00A75DF9">
        <w:rPr>
          <w:rFonts w:ascii="Tahoma" w:hAnsi="Tahoma" w:cs="Tahoma"/>
          <w:color w:val="F66400"/>
          <w:sz w:val="22"/>
        </w:rPr>
        <w:t xml:space="preserve"> </w:t>
      </w:r>
    </w:p>
    <w:p w:rsidR="00F5527B" w:rsidRPr="00F5527B" w:rsidRDefault="00F5527B" w:rsidP="00F5527B"/>
    <w:p w:rsidR="00BE4D27" w:rsidRPr="00A75DF9" w:rsidRDefault="00BE4D27" w:rsidP="00BE4D27">
      <w:pPr>
        <w:spacing w:after="60"/>
        <w:ind w:left="720"/>
        <w:rPr>
          <w:rFonts w:cs="Tahoma"/>
        </w:rPr>
      </w:pPr>
      <w:r w:rsidRPr="00A75DF9">
        <w:rPr>
          <w:rFonts w:cs="Tahoma"/>
          <w:b/>
        </w:rPr>
        <w:t>Idoneità dei Supporti di Memorizzazione con i Servizi Desktop Remoto (RDS)</w:t>
      </w:r>
    </w:p>
    <w:p w:rsidR="00BE4D27" w:rsidRPr="00C70D7D" w:rsidRDefault="00BE4D27" w:rsidP="00BE4D27">
      <w:pPr>
        <w:ind w:left="720"/>
        <w:rPr>
          <w:rFonts w:cs="Tahoma"/>
          <w:szCs w:val="18"/>
        </w:rPr>
      </w:pPr>
      <w:r w:rsidRPr="00C70D7D">
        <w:rPr>
          <w:rFonts w:cs="Tahoma"/>
          <w:szCs w:val="18"/>
        </w:rPr>
        <w:t>Qualora l</w:t>
      </w:r>
      <w:r w:rsidR="00F2643E">
        <w:rPr>
          <w:rFonts w:cs="Tahoma"/>
          <w:szCs w:val="18"/>
        </w:rPr>
        <w:t>’</w:t>
      </w:r>
      <w:r w:rsidRPr="00C70D7D">
        <w:rPr>
          <w:rFonts w:cs="Tahoma"/>
          <w:szCs w:val="18"/>
        </w:rPr>
        <w:t>utente al quale è stata ceduta una licenza per Visio Pro per Office 365 utilizzi il software su un server di rete con il ruolo RDS attivato anziché installare una copia del software fornito con Visio Pro per Office 365 su uno dei cinque dispositivi autorizzati in conformità ai Diritti di Utilizzo del Prodotto per Visio Pro per Office 365, tale utente potrà 1) installare una copia del software Visio 2013 Professional su un server di rete e 2) accedere al software Visio 2013 Professional da qualsiasi dispositivo.</w:t>
      </w:r>
      <w:r w:rsidR="009D3B41" w:rsidRPr="00C70D7D">
        <w:rPr>
          <w:rFonts w:cs="Tahoma"/>
          <w:szCs w:val="18"/>
        </w:rPr>
        <w:t xml:space="preserve"> </w:t>
      </w:r>
      <w:r w:rsidRPr="00C70D7D">
        <w:rPr>
          <w:rFonts w:cs="Tahoma"/>
          <w:szCs w:val="18"/>
        </w:rPr>
        <w:t xml:space="preserve">Alla scadenza della sottoscrizione di Visio Pro per Office 365 la società dovrà disinstallare il software Visio 2013 Professional dal server di rete. </w:t>
      </w:r>
    </w:p>
    <w:p w:rsidR="00BE4D27" w:rsidRPr="00A75DF9" w:rsidRDefault="00BE4D27" w:rsidP="00BE4D27">
      <w:pPr>
        <w:ind w:left="720"/>
        <w:rPr>
          <w:rFonts w:cs="Tahoma"/>
        </w:rPr>
      </w:pPr>
    </w:p>
    <w:p w:rsidR="00BE4D27" w:rsidRPr="00A75DF9" w:rsidRDefault="00BE4D27" w:rsidP="00BE4D27">
      <w:pPr>
        <w:spacing w:after="60"/>
        <w:ind w:left="720"/>
        <w:rPr>
          <w:rFonts w:cs="Tahoma"/>
        </w:rPr>
      </w:pPr>
      <w:r w:rsidRPr="00A75DF9">
        <w:rPr>
          <w:rFonts w:cs="Tahoma"/>
          <w:b/>
        </w:rPr>
        <w:t>Diritti di Downgrade</w:t>
      </w:r>
    </w:p>
    <w:p w:rsidR="00BE4D27" w:rsidRPr="00F5527B" w:rsidRDefault="00BE4D27" w:rsidP="00C70D7D">
      <w:pPr>
        <w:ind w:left="720"/>
        <w:rPr>
          <w:rFonts w:cs="Tahoma"/>
          <w:spacing w:val="-2"/>
        </w:rPr>
      </w:pPr>
      <w:r w:rsidRPr="00F5527B">
        <w:rPr>
          <w:rFonts w:cs="Tahoma"/>
          <w:bCs/>
          <w:spacing w:val="-2"/>
          <w:szCs w:val="18"/>
        </w:rPr>
        <w:t>Per il servizio Visio Pro per Office 365 non sono previsti diritti di downgrade. Per ulteriori informazioni in merito ai requisiti per l</w:t>
      </w:r>
      <w:r w:rsidR="00F2643E">
        <w:rPr>
          <w:rFonts w:cs="Tahoma"/>
          <w:bCs/>
          <w:spacing w:val="-2"/>
          <w:szCs w:val="18"/>
        </w:rPr>
        <w:t>’</w:t>
      </w:r>
      <w:r w:rsidRPr="00F5527B">
        <w:rPr>
          <w:rFonts w:cs="Tahoma"/>
          <w:bCs/>
          <w:spacing w:val="-2"/>
          <w:szCs w:val="18"/>
        </w:rPr>
        <w:t xml:space="preserve">aggiornamento dei Servizi Online, consultare il documento Diritti di Utilizzo del Prodotto (Product Use Rights o PUR) alla pagina </w:t>
      </w:r>
      <w:hyperlink r:id="rId39" w:history="1">
        <w:r w:rsidR="00C70D7D" w:rsidRPr="00F5527B">
          <w:rPr>
            <w:rStyle w:val="Hyperlink"/>
            <w:rFonts w:cs="Tahoma"/>
            <w:bCs/>
            <w:spacing w:val="-2"/>
            <w:szCs w:val="18"/>
          </w:rPr>
          <w:t>http://www.microsoftvolumelicensing.com/userights/PUR.aspx</w:t>
        </w:r>
      </w:hyperlink>
    </w:p>
    <w:p w:rsidR="00223A77" w:rsidRPr="00A75DF9" w:rsidRDefault="00A560B6" w:rsidP="00223A77">
      <w:pPr>
        <w:pStyle w:val="Heading3"/>
        <w:rPr>
          <w:rFonts w:ascii="Tahoma" w:hAnsi="Tahoma" w:cs="Tahoma"/>
        </w:rPr>
      </w:pPr>
      <w:bookmarkStart w:id="1061" w:name="_19_Visual_Studio"/>
      <w:bookmarkStart w:id="1062" w:name="_Toc336338275"/>
      <w:bookmarkStart w:id="1063" w:name="Aps_12VS2010Professional"/>
      <w:bookmarkStart w:id="1064" w:name="_Toc252341836"/>
      <w:bookmarkStart w:id="1065" w:name="_Toc368310268"/>
      <w:bookmarkEnd w:id="1061"/>
      <w:r w:rsidRPr="00A75DF9">
        <w:rPr>
          <w:rFonts w:ascii="Tahoma" w:hAnsi="Tahoma" w:cs="Tahoma"/>
          <w:caps/>
          <w:color w:val="F66400"/>
          <w:sz w:val="22"/>
          <w:vertAlign w:val="superscript"/>
        </w:rPr>
        <w:lastRenderedPageBreak/>
        <w:t>20</w:t>
      </w:r>
      <w:r w:rsidRPr="00A75DF9">
        <w:rPr>
          <w:rFonts w:ascii="Tahoma" w:hAnsi="Tahoma" w:cs="Tahoma"/>
          <w:color w:val="F66400"/>
          <w:sz w:val="22"/>
        </w:rPr>
        <w:t xml:space="preserve"> Visual Studio Professional 2012</w:t>
      </w:r>
      <w:bookmarkEnd w:id="1062"/>
      <w:bookmarkEnd w:id="1065"/>
    </w:p>
    <w:bookmarkEnd w:id="1063"/>
    <w:p w:rsidR="009275A3" w:rsidRPr="00A75DF9" w:rsidRDefault="009275A3" w:rsidP="009275A3">
      <w:pPr>
        <w:pStyle w:val="FootnoteBulletLevel1"/>
        <w:tabs>
          <w:tab w:val="clear" w:pos="900"/>
        </w:tabs>
        <w:spacing w:before="0" w:after="0"/>
        <w:ind w:left="0" w:firstLine="0"/>
        <w:rPr>
          <w:rFonts w:ascii="Tahoma" w:hAnsi="Tahoma" w:cs="Tahoma"/>
        </w:rPr>
      </w:pPr>
    </w:p>
    <w:p w:rsidR="006D58DB" w:rsidRPr="00A75DF9" w:rsidRDefault="006D58DB" w:rsidP="00864B8A">
      <w:pPr>
        <w:spacing w:after="60"/>
        <w:ind w:left="720"/>
        <w:rPr>
          <w:rFonts w:cs="Tahoma"/>
        </w:rPr>
      </w:pPr>
      <w:r w:rsidRPr="00A75DF9">
        <w:rPr>
          <w:rFonts w:cs="Tahoma"/>
          <w:b/>
        </w:rPr>
        <w:t>Percorso di Migrazione di Software Assurance per Visual Studio LightSwitch 2011</w:t>
      </w:r>
    </w:p>
    <w:p w:rsidR="006D58DB" w:rsidRPr="00A75DF9" w:rsidRDefault="006D58DB" w:rsidP="00C70D7D">
      <w:pPr>
        <w:pStyle w:val="FootnoteBulletLevel1"/>
        <w:tabs>
          <w:tab w:val="clear" w:pos="900"/>
        </w:tabs>
        <w:spacing w:before="0" w:after="0"/>
        <w:ind w:left="720" w:firstLine="0"/>
        <w:rPr>
          <w:rFonts w:ascii="Tahoma" w:hAnsi="Tahoma" w:cs="Tahoma"/>
        </w:rPr>
      </w:pPr>
      <w:r w:rsidRPr="00A75DF9">
        <w:rPr>
          <w:rFonts w:ascii="Tahoma" w:hAnsi="Tahoma" w:cs="Tahoma"/>
          <w:sz w:val="18"/>
        </w:rPr>
        <w:t>Le società con una copertura Software Assurance attiva per Visual Studio LightSwitch 2011 alla data di disponibilità del download di Visual Studio Professional 2012 potranno utilizzare Visual Studio Professional 2012. Il diritto di utilizzo di Visual Studio Professional 2012 ai sensi di tale offerta cesserà alla cessazione del diritto di utilizzo di Visual Studio LightSwitch 2011 in virtù delle relative licenze qualificanti.</w:t>
      </w:r>
      <w:r w:rsidR="009D3B41" w:rsidRPr="00A75DF9">
        <w:rPr>
          <w:rFonts w:ascii="Tahoma" w:hAnsi="Tahoma" w:cs="Tahoma"/>
          <w:sz w:val="18"/>
        </w:rPr>
        <w:t xml:space="preserve"> </w:t>
      </w:r>
      <w:r w:rsidRPr="00A75DF9">
        <w:rPr>
          <w:rFonts w:ascii="Tahoma" w:hAnsi="Tahoma" w:cs="Tahoma"/>
          <w:sz w:val="18"/>
        </w:rPr>
        <w:t>L</w:t>
      </w:r>
      <w:r w:rsidR="00F2643E">
        <w:rPr>
          <w:rFonts w:ascii="Tahoma" w:hAnsi="Tahoma" w:cs="Tahoma"/>
          <w:sz w:val="18"/>
        </w:rPr>
        <w:t>’</w:t>
      </w:r>
      <w:r w:rsidRPr="00A75DF9">
        <w:rPr>
          <w:rFonts w:ascii="Tahoma" w:hAnsi="Tahoma" w:cs="Tahoma"/>
          <w:sz w:val="18"/>
        </w:rPr>
        <w:t>utilizzo di Visual Studio Professional 2012 è regolato dai diritti di utilizzo di Visual Studio Professional 2012 e dalle condizioni del contratto multilicenza della società.</w:t>
      </w:r>
      <w:r w:rsidR="009D3B41" w:rsidRPr="00A75DF9">
        <w:rPr>
          <w:rFonts w:ascii="Tahoma" w:hAnsi="Tahoma" w:cs="Tahoma"/>
          <w:sz w:val="18"/>
        </w:rPr>
        <w:t xml:space="preserve"> </w:t>
      </w:r>
      <w:r w:rsidRPr="00A75DF9">
        <w:rPr>
          <w:rFonts w:ascii="Tahoma" w:hAnsi="Tahoma" w:cs="Tahoma"/>
          <w:sz w:val="18"/>
        </w:rPr>
        <w:t>La presente nota relativa alle condizioni del prodotto e la prova da</w:t>
      </w:r>
      <w:r w:rsidR="00C70D7D">
        <w:rPr>
          <w:rFonts w:ascii="Tahoma" w:hAnsi="Tahoma" w:cs="Tahoma"/>
          <w:sz w:val="18"/>
        </w:rPr>
        <w:t> </w:t>
      </w:r>
      <w:r w:rsidRPr="00A75DF9">
        <w:rPr>
          <w:rFonts w:ascii="Tahoma" w:hAnsi="Tahoma" w:cs="Tahoma"/>
          <w:sz w:val="18"/>
        </w:rPr>
        <w:t>parte della società della corrispondente licenza qualificante costituiscono insieme la prova del diritto di</w:t>
      </w:r>
      <w:r w:rsidR="00C70D7D">
        <w:rPr>
          <w:rFonts w:ascii="Tahoma" w:hAnsi="Tahoma" w:cs="Tahoma"/>
          <w:sz w:val="18"/>
        </w:rPr>
        <w:t> </w:t>
      </w:r>
      <w:r w:rsidRPr="00A75DF9">
        <w:rPr>
          <w:rFonts w:ascii="Tahoma" w:hAnsi="Tahoma" w:cs="Tahoma"/>
          <w:sz w:val="18"/>
        </w:rPr>
        <w:t>utilizzo di Visual Studio Professional 2012 ai sensi della presente offerta.</w:t>
      </w:r>
      <w:r w:rsidR="009D3B41" w:rsidRPr="00A75DF9">
        <w:rPr>
          <w:rFonts w:ascii="Tahoma" w:hAnsi="Tahoma" w:cs="Tahoma"/>
          <w:sz w:val="18"/>
        </w:rPr>
        <w:t xml:space="preserve"> </w:t>
      </w:r>
    </w:p>
    <w:p w:rsidR="00223A77" w:rsidRPr="00A75DF9" w:rsidRDefault="00223A77" w:rsidP="009275A3">
      <w:pPr>
        <w:rPr>
          <w:rFonts w:cs="Tahoma"/>
        </w:rPr>
      </w:pPr>
    </w:p>
    <w:p w:rsidR="00691648" w:rsidRPr="00A75DF9" w:rsidRDefault="00691648" w:rsidP="00691648">
      <w:pPr>
        <w:spacing w:after="60"/>
        <w:ind w:left="720"/>
        <w:rPr>
          <w:rFonts w:cs="Tahoma"/>
        </w:rPr>
      </w:pPr>
      <w:r w:rsidRPr="00A75DF9">
        <w:rPr>
          <w:rFonts w:cs="Tahoma"/>
          <w:b/>
          <w:bCs/>
        </w:rPr>
        <w:t>Percorso di Migrazione di Software Assurance per Expression Studio Ultimate 4</w:t>
      </w:r>
    </w:p>
    <w:p w:rsidR="00691648" w:rsidRPr="00A75DF9" w:rsidRDefault="00691648" w:rsidP="00691648">
      <w:pPr>
        <w:ind w:left="720"/>
        <w:rPr>
          <w:rFonts w:cs="Tahoma"/>
        </w:rPr>
      </w:pPr>
      <w:r w:rsidRPr="00A75DF9">
        <w:rPr>
          <w:rFonts w:cs="Tahoma"/>
        </w:rPr>
        <w:t>Le società con una copertura Software Assurance attiva per Expression Studio Ultimate 4 al 1 marzo 2013 sono idonee a utilizzare Visual Studio Professional 2012. Il diritto di utilizzo di Visual Studio Professional 2012 scadrà alla scadenza del diritto di utilizzo di Expression Studio Ultimate 4 ai sensi delle corrispondenti licenze qualificanti. L</w:t>
      </w:r>
      <w:r w:rsidR="00F2643E">
        <w:rPr>
          <w:rFonts w:cs="Tahoma"/>
        </w:rPr>
        <w:t>’</w:t>
      </w:r>
      <w:r w:rsidRPr="00A75DF9">
        <w:rPr>
          <w:rFonts w:cs="Tahoma"/>
        </w:rPr>
        <w:t>utilizzo di Visual Studio Professional 2012 è disciplinato dai diritti sull</w:t>
      </w:r>
      <w:r w:rsidR="00F2643E">
        <w:rPr>
          <w:rFonts w:cs="Tahoma"/>
        </w:rPr>
        <w:t>’</w:t>
      </w:r>
      <w:r w:rsidRPr="00A75DF9">
        <w:rPr>
          <w:rFonts w:cs="Tahoma"/>
        </w:rPr>
        <w:t>utilizzo per il software Visual Studio Professional 2012 e dalle condizioni del contratto multilicenza della società. La presente nota relativa alle condizioni del prodotto e la prova delle corrispondenti licenze qualificanti attestano il diritto di utilizzo di Visual Studio Professional 2012 ai sensi della presente offerta.</w:t>
      </w:r>
      <w:r w:rsidR="009D3B41" w:rsidRPr="00A75DF9">
        <w:rPr>
          <w:rFonts w:cs="Tahoma"/>
        </w:rPr>
        <w:t xml:space="preserve"> </w:t>
      </w:r>
    </w:p>
    <w:p w:rsidR="009275A3" w:rsidRPr="00A75DF9" w:rsidRDefault="009275A3" w:rsidP="009275A3">
      <w:pPr>
        <w:rPr>
          <w:rFonts w:cs="Tahoma"/>
        </w:rPr>
      </w:pPr>
    </w:p>
    <w:p w:rsidR="00F73587" w:rsidRPr="00A75DF9" w:rsidRDefault="00F73587" w:rsidP="009275A3">
      <w:pPr>
        <w:rPr>
          <w:rFonts w:cs="Tahoma"/>
        </w:rPr>
      </w:pPr>
    </w:p>
    <w:p w:rsidR="00223A77" w:rsidRPr="00A75DF9" w:rsidRDefault="00A560B6" w:rsidP="00223A77">
      <w:pPr>
        <w:pStyle w:val="Heading3"/>
        <w:rPr>
          <w:rFonts w:ascii="Tahoma" w:hAnsi="Tahoma" w:cs="Tahoma"/>
        </w:rPr>
      </w:pPr>
      <w:bookmarkStart w:id="1066" w:name="_20_Visual_Studio"/>
      <w:bookmarkStart w:id="1067" w:name="_Toc336338276"/>
      <w:bookmarkStart w:id="1068" w:name="Aps_13VS2010ProfessionalMSDN"/>
      <w:bookmarkStart w:id="1069" w:name="_Toc368310269"/>
      <w:bookmarkEnd w:id="1066"/>
      <w:r w:rsidRPr="00A75DF9">
        <w:rPr>
          <w:rFonts w:ascii="Tahoma" w:hAnsi="Tahoma" w:cs="Tahoma"/>
          <w:caps/>
          <w:color w:val="F66400"/>
          <w:sz w:val="22"/>
          <w:vertAlign w:val="superscript"/>
        </w:rPr>
        <w:t>21</w:t>
      </w:r>
      <w:r w:rsidRPr="00A75DF9">
        <w:rPr>
          <w:rFonts w:ascii="Tahoma" w:hAnsi="Tahoma" w:cs="Tahoma"/>
          <w:color w:val="F66400"/>
          <w:sz w:val="22"/>
        </w:rPr>
        <w:t xml:space="preserve"> Visual Studio Professional 2012 con MSDN</w:t>
      </w:r>
      <w:bookmarkEnd w:id="1067"/>
      <w:bookmarkEnd w:id="1069"/>
      <w:r w:rsidRPr="00A75DF9">
        <w:rPr>
          <w:rFonts w:ascii="Tahoma" w:hAnsi="Tahoma" w:cs="Tahoma"/>
          <w:color w:val="F66400"/>
          <w:sz w:val="22"/>
        </w:rPr>
        <w:t xml:space="preserve"> </w:t>
      </w:r>
      <w:bookmarkEnd w:id="1064"/>
    </w:p>
    <w:p w:rsidR="00F6352F" w:rsidRPr="00A75DF9" w:rsidRDefault="00F6352F" w:rsidP="005B0791">
      <w:pPr>
        <w:ind w:left="720"/>
        <w:rPr>
          <w:rFonts w:cs="Tahoma"/>
        </w:rPr>
      </w:pPr>
    </w:p>
    <w:bookmarkEnd w:id="1068"/>
    <w:p w:rsidR="001026FD" w:rsidRPr="00A75DF9" w:rsidRDefault="001026FD" w:rsidP="00864B8A">
      <w:pPr>
        <w:spacing w:after="60"/>
        <w:ind w:left="720"/>
        <w:rPr>
          <w:rFonts w:cs="Tahoma"/>
        </w:rPr>
      </w:pPr>
      <w:r w:rsidRPr="00A75DF9">
        <w:rPr>
          <w:rFonts w:cs="Tahoma"/>
          <w:b/>
        </w:rPr>
        <w:t>Visual Studio Team Foundation Server 2012</w:t>
      </w:r>
    </w:p>
    <w:p w:rsidR="001026FD" w:rsidRPr="00C70D7D" w:rsidRDefault="001026FD" w:rsidP="005B0791">
      <w:pPr>
        <w:pStyle w:val="EndnoteText"/>
        <w:tabs>
          <w:tab w:val="num" w:pos="1350"/>
        </w:tabs>
        <w:ind w:left="720"/>
        <w:rPr>
          <w:rFonts w:ascii="Tahoma" w:hAnsi="Tahoma" w:cs="Tahoma"/>
          <w:sz w:val="18"/>
          <w:szCs w:val="18"/>
        </w:rPr>
      </w:pPr>
      <w:r w:rsidRPr="00C70D7D">
        <w:rPr>
          <w:rFonts w:ascii="Tahoma" w:hAnsi="Tahoma" w:cs="Tahoma"/>
          <w:sz w:val="18"/>
          <w:szCs w:val="18"/>
        </w:rPr>
        <w:t>Il sottoscrittore è autorizzato a ricevere una licenza server per Visual Studio Team Foundation Server 2012 e una User CAL per Team Foundation Server. La licenza CAL può essere utilizzata esclusivamente dal sottoscrittore.</w:t>
      </w:r>
    </w:p>
    <w:p w:rsidR="001026FD" w:rsidRPr="00C70D7D" w:rsidRDefault="001026FD" w:rsidP="005B0791">
      <w:pPr>
        <w:pStyle w:val="EndnoteText"/>
        <w:tabs>
          <w:tab w:val="num" w:pos="1350"/>
        </w:tabs>
        <w:ind w:left="720"/>
        <w:rPr>
          <w:rFonts w:ascii="Tahoma" w:hAnsi="Tahoma" w:cs="Tahoma"/>
          <w:sz w:val="18"/>
          <w:szCs w:val="18"/>
        </w:rPr>
      </w:pPr>
    </w:p>
    <w:p w:rsidR="001026FD" w:rsidRPr="00C70D7D" w:rsidRDefault="001026FD" w:rsidP="00864B8A">
      <w:pPr>
        <w:spacing w:after="60"/>
        <w:ind w:left="720"/>
        <w:rPr>
          <w:rFonts w:cs="Tahoma"/>
          <w:szCs w:val="18"/>
        </w:rPr>
      </w:pPr>
      <w:r w:rsidRPr="00C70D7D">
        <w:rPr>
          <w:rFonts w:cs="Tahoma"/>
          <w:b/>
          <w:szCs w:val="18"/>
        </w:rPr>
        <w:t>SQL Server Parallel Data Warehouse Developer</w:t>
      </w:r>
    </w:p>
    <w:p w:rsidR="001026FD" w:rsidRPr="00C70D7D" w:rsidRDefault="001026FD" w:rsidP="005B0791">
      <w:pPr>
        <w:pStyle w:val="EndnoteText"/>
        <w:tabs>
          <w:tab w:val="num" w:pos="1350"/>
        </w:tabs>
        <w:ind w:left="720"/>
        <w:rPr>
          <w:rFonts w:ascii="Tahoma" w:hAnsi="Tahoma" w:cs="Tahoma"/>
          <w:sz w:val="18"/>
          <w:szCs w:val="18"/>
        </w:rPr>
      </w:pPr>
      <w:r w:rsidRPr="00C70D7D">
        <w:rPr>
          <w:rFonts w:ascii="Tahoma" w:hAnsi="Tahoma" w:cs="Tahoma"/>
          <w:sz w:val="18"/>
          <w:szCs w:val="18"/>
        </w:rPr>
        <w:t>Il sottoscrittore è idoneo a ricevere una licenza per SQL Server 2008 R2 Parallel Data Warehouse Developer.</w:t>
      </w:r>
    </w:p>
    <w:p w:rsidR="005B0791" w:rsidRPr="00C70D7D" w:rsidRDefault="005B0791" w:rsidP="005B0791">
      <w:pPr>
        <w:pStyle w:val="FootnoteBulletLevel1"/>
        <w:tabs>
          <w:tab w:val="clear" w:pos="900"/>
          <w:tab w:val="num" w:pos="1350"/>
        </w:tabs>
        <w:spacing w:before="0" w:after="0"/>
        <w:ind w:left="720" w:firstLine="0"/>
        <w:rPr>
          <w:rFonts w:ascii="Tahoma" w:hAnsi="Tahoma" w:cs="Tahoma"/>
          <w:sz w:val="18"/>
          <w:szCs w:val="18"/>
        </w:rPr>
      </w:pPr>
    </w:p>
    <w:p w:rsidR="00223A77" w:rsidRPr="00C70D7D" w:rsidRDefault="00223A77" w:rsidP="00864B8A">
      <w:pPr>
        <w:spacing w:after="60"/>
        <w:ind w:left="720"/>
        <w:rPr>
          <w:rFonts w:cs="Tahoma"/>
          <w:szCs w:val="18"/>
        </w:rPr>
      </w:pPr>
      <w:r w:rsidRPr="00C70D7D">
        <w:rPr>
          <w:rFonts w:cs="Tahoma"/>
          <w:b/>
          <w:szCs w:val="18"/>
        </w:rPr>
        <w:t>Percorso di Migrazione di Software Assurance per Visual Studio 2010 Professional con MSDN Integrato</w:t>
      </w:r>
    </w:p>
    <w:p w:rsidR="00223A77" w:rsidRPr="00C70D7D" w:rsidRDefault="00223A77" w:rsidP="005B0791">
      <w:pPr>
        <w:pStyle w:val="FootnoteBulletLevel1"/>
        <w:tabs>
          <w:tab w:val="clear" w:pos="900"/>
          <w:tab w:val="num" w:pos="1350"/>
        </w:tabs>
        <w:spacing w:before="0" w:after="0"/>
        <w:ind w:left="720" w:firstLine="0"/>
        <w:rPr>
          <w:rFonts w:ascii="Tahoma" w:hAnsi="Tahoma" w:cs="Tahoma"/>
          <w:sz w:val="18"/>
          <w:szCs w:val="18"/>
        </w:rPr>
      </w:pPr>
      <w:r w:rsidRPr="00C70D7D">
        <w:rPr>
          <w:rFonts w:ascii="Tahoma" w:hAnsi="Tahoma" w:cs="Tahoma"/>
          <w:sz w:val="18"/>
          <w:szCs w:val="18"/>
        </w:rPr>
        <w:t xml:space="preserve">La versione sostitutiva di Visual Studio 2010 Professional con MSDN Integrato è Visual Studio Professional 2012 con MSDN. </w:t>
      </w:r>
    </w:p>
    <w:p w:rsidR="005B0791" w:rsidRPr="00C70D7D" w:rsidRDefault="005B0791" w:rsidP="005B0791">
      <w:pPr>
        <w:pStyle w:val="FootnoteBulletLevel1"/>
        <w:tabs>
          <w:tab w:val="clear" w:pos="900"/>
          <w:tab w:val="num" w:pos="1350"/>
        </w:tabs>
        <w:spacing w:before="0" w:after="0"/>
        <w:ind w:left="720" w:firstLine="0"/>
        <w:rPr>
          <w:rFonts w:ascii="Tahoma" w:hAnsi="Tahoma" w:cs="Tahoma"/>
          <w:sz w:val="18"/>
          <w:szCs w:val="18"/>
        </w:rPr>
      </w:pPr>
    </w:p>
    <w:p w:rsidR="00223A77" w:rsidRPr="00C70D7D" w:rsidRDefault="00223A77" w:rsidP="00864B8A">
      <w:pPr>
        <w:spacing w:after="60"/>
        <w:ind w:left="720"/>
        <w:rPr>
          <w:rFonts w:cs="Tahoma"/>
          <w:szCs w:val="18"/>
        </w:rPr>
      </w:pPr>
      <w:r w:rsidRPr="00C70D7D">
        <w:rPr>
          <w:rFonts w:cs="Tahoma"/>
          <w:b/>
          <w:szCs w:val="18"/>
        </w:rPr>
        <w:t>Requisiti di Idoneità per Software Assurance</w:t>
      </w:r>
    </w:p>
    <w:p w:rsidR="00BE4D27" w:rsidRPr="00C70D7D" w:rsidRDefault="00223A77" w:rsidP="000C6DBC">
      <w:pPr>
        <w:pStyle w:val="EndnoteText"/>
        <w:tabs>
          <w:tab w:val="left" w:pos="1170"/>
        </w:tabs>
        <w:ind w:left="720"/>
        <w:rPr>
          <w:rFonts w:ascii="Tahoma" w:hAnsi="Tahoma" w:cs="Tahoma"/>
          <w:sz w:val="18"/>
          <w:szCs w:val="18"/>
        </w:rPr>
      </w:pPr>
      <w:r w:rsidRPr="00C70D7D">
        <w:rPr>
          <w:rFonts w:ascii="Tahoma" w:hAnsi="Tahoma" w:cs="Tahoma"/>
          <w:sz w:val="18"/>
          <w:szCs w:val="18"/>
        </w:rPr>
        <w:t>Le società con copertura Software Assurance in scadenza per le licenze dei seguenti prodotti sono idonee a rinnovare la copertura come Visual Studio Professional 2012 con MSDN. Quando viene effettuato il rinnovo a un livello di abbonamento MSDN diverso, le nuove condizioni per l</w:t>
      </w:r>
      <w:r w:rsidR="00F2643E">
        <w:rPr>
          <w:rFonts w:ascii="Tahoma" w:hAnsi="Tahoma" w:cs="Tahoma"/>
          <w:sz w:val="18"/>
          <w:szCs w:val="18"/>
        </w:rPr>
        <w:t>’</w:t>
      </w:r>
      <w:r w:rsidRPr="00C70D7D">
        <w:rPr>
          <w:rFonts w:ascii="Tahoma" w:hAnsi="Tahoma" w:cs="Tahoma"/>
          <w:sz w:val="18"/>
          <w:szCs w:val="18"/>
        </w:rPr>
        <w:t>utilizzo sostituiscono quelle precedenti e qualsiasi prodotto software non incluso nel nuovo abbonamento MSDN dovrà essere rimosso.</w:t>
      </w:r>
    </w:p>
    <w:p w:rsidR="00223A77" w:rsidRPr="00C70D7D" w:rsidRDefault="00223A77" w:rsidP="00223A77">
      <w:pPr>
        <w:pStyle w:val="EndnoteText"/>
        <w:rPr>
          <w:rFonts w:ascii="Tahoma" w:hAnsi="Tahoma" w:cs="Tahoma"/>
          <w:sz w:val="18"/>
          <w:szCs w:val="18"/>
        </w:rPr>
      </w:pPr>
    </w:p>
    <w:p w:rsidR="00223A77" w:rsidRPr="00C70D7D" w:rsidRDefault="00223A77" w:rsidP="005B0791">
      <w:pPr>
        <w:pStyle w:val="FootnoteBulletLevel2"/>
        <w:numPr>
          <w:ilvl w:val="0"/>
          <w:numId w:val="4"/>
        </w:numPr>
        <w:spacing w:before="0" w:after="60"/>
        <w:ind w:left="1440"/>
        <w:rPr>
          <w:rFonts w:ascii="Tahoma" w:hAnsi="Tahoma" w:cs="Tahoma"/>
          <w:sz w:val="18"/>
          <w:szCs w:val="18"/>
        </w:rPr>
      </w:pPr>
      <w:r w:rsidRPr="00C70D7D">
        <w:rPr>
          <w:rFonts w:ascii="Tahoma" w:hAnsi="Tahoma" w:cs="Tahoma"/>
          <w:sz w:val="18"/>
          <w:szCs w:val="18"/>
        </w:rPr>
        <w:t>Visual Studio Ultimate con MSDN</w:t>
      </w:r>
    </w:p>
    <w:p w:rsidR="00223A77" w:rsidRPr="00C70D7D" w:rsidRDefault="00223A77" w:rsidP="005B0791">
      <w:pPr>
        <w:pStyle w:val="FootnoteBulletLevel2"/>
        <w:numPr>
          <w:ilvl w:val="0"/>
          <w:numId w:val="4"/>
        </w:numPr>
        <w:spacing w:before="0" w:after="60"/>
        <w:ind w:left="1440"/>
        <w:rPr>
          <w:rFonts w:ascii="Tahoma" w:hAnsi="Tahoma" w:cs="Tahoma"/>
          <w:sz w:val="18"/>
          <w:szCs w:val="18"/>
        </w:rPr>
      </w:pPr>
      <w:r w:rsidRPr="00C70D7D">
        <w:rPr>
          <w:rFonts w:ascii="Tahoma" w:hAnsi="Tahoma" w:cs="Tahoma"/>
          <w:sz w:val="18"/>
          <w:szCs w:val="18"/>
        </w:rPr>
        <w:t>Visual Studio Premium con MSDN</w:t>
      </w:r>
    </w:p>
    <w:p w:rsidR="00223A77" w:rsidRPr="00C70D7D" w:rsidRDefault="00223A77" w:rsidP="005B0791">
      <w:pPr>
        <w:pStyle w:val="FootnoteBulletLevel2"/>
        <w:numPr>
          <w:ilvl w:val="0"/>
          <w:numId w:val="4"/>
        </w:numPr>
        <w:spacing w:before="0" w:after="60"/>
        <w:ind w:left="1440"/>
        <w:rPr>
          <w:rFonts w:ascii="Tahoma" w:hAnsi="Tahoma" w:cs="Tahoma"/>
          <w:sz w:val="18"/>
          <w:szCs w:val="18"/>
        </w:rPr>
      </w:pPr>
      <w:r w:rsidRPr="00C70D7D">
        <w:rPr>
          <w:rFonts w:ascii="Tahoma" w:hAnsi="Tahoma" w:cs="Tahoma"/>
          <w:sz w:val="18"/>
          <w:szCs w:val="18"/>
        </w:rPr>
        <w:t>Visual Studio Professional con MSDN</w:t>
      </w:r>
    </w:p>
    <w:p w:rsidR="00223A77" w:rsidRPr="00C70D7D" w:rsidRDefault="00223A77" w:rsidP="005B0791">
      <w:pPr>
        <w:pStyle w:val="FootnoteBulletLevel2"/>
        <w:numPr>
          <w:ilvl w:val="0"/>
          <w:numId w:val="4"/>
        </w:numPr>
        <w:spacing w:before="0" w:after="60"/>
        <w:ind w:left="1440"/>
        <w:rPr>
          <w:rFonts w:ascii="Tahoma" w:hAnsi="Tahoma" w:cs="Tahoma"/>
          <w:sz w:val="18"/>
          <w:szCs w:val="18"/>
        </w:rPr>
      </w:pPr>
      <w:r w:rsidRPr="00C70D7D">
        <w:rPr>
          <w:rFonts w:ascii="Tahoma" w:hAnsi="Tahoma" w:cs="Tahoma"/>
          <w:sz w:val="18"/>
          <w:szCs w:val="18"/>
        </w:rPr>
        <w:t>Visual Studio Professional con MSDN Embedded</w:t>
      </w:r>
    </w:p>
    <w:p w:rsidR="00223A77" w:rsidRPr="00C70D7D" w:rsidRDefault="00223A77" w:rsidP="005B0791">
      <w:pPr>
        <w:pStyle w:val="FootnoteBulletLevel2"/>
        <w:numPr>
          <w:ilvl w:val="0"/>
          <w:numId w:val="4"/>
        </w:numPr>
        <w:spacing w:before="0" w:after="60"/>
        <w:ind w:left="1440"/>
        <w:rPr>
          <w:rFonts w:ascii="Tahoma" w:hAnsi="Tahoma" w:cs="Tahoma"/>
          <w:sz w:val="18"/>
          <w:szCs w:val="18"/>
        </w:rPr>
      </w:pPr>
      <w:r w:rsidRPr="00C70D7D">
        <w:rPr>
          <w:rFonts w:ascii="Tahoma" w:hAnsi="Tahoma" w:cs="Tahoma"/>
          <w:sz w:val="18"/>
          <w:szCs w:val="18"/>
        </w:rPr>
        <w:t>Visual Studio Professional con MSDN Professional</w:t>
      </w:r>
    </w:p>
    <w:p w:rsidR="00223A77" w:rsidRPr="00C70D7D" w:rsidRDefault="00223A77" w:rsidP="005B0791">
      <w:pPr>
        <w:pStyle w:val="FootnoteBulletLevel2"/>
        <w:numPr>
          <w:ilvl w:val="0"/>
          <w:numId w:val="4"/>
        </w:numPr>
        <w:spacing w:before="0" w:after="60"/>
        <w:ind w:left="1440"/>
        <w:rPr>
          <w:rFonts w:ascii="Tahoma" w:hAnsi="Tahoma" w:cs="Tahoma"/>
          <w:sz w:val="18"/>
          <w:szCs w:val="18"/>
        </w:rPr>
      </w:pPr>
      <w:r w:rsidRPr="00C70D7D">
        <w:rPr>
          <w:rFonts w:ascii="Tahoma" w:hAnsi="Tahoma" w:cs="Tahoma"/>
          <w:sz w:val="18"/>
          <w:szCs w:val="18"/>
        </w:rPr>
        <w:t>Visual Studio Professional con MSDN Premium</w:t>
      </w:r>
    </w:p>
    <w:p w:rsidR="00223A77" w:rsidRPr="00C70D7D" w:rsidRDefault="00223A77" w:rsidP="005B0791">
      <w:pPr>
        <w:pStyle w:val="FootnoteBulletLevel2"/>
        <w:numPr>
          <w:ilvl w:val="0"/>
          <w:numId w:val="4"/>
        </w:numPr>
        <w:spacing w:before="0" w:after="60"/>
        <w:ind w:left="1440"/>
        <w:rPr>
          <w:rFonts w:ascii="Tahoma" w:hAnsi="Tahoma" w:cs="Tahoma"/>
          <w:sz w:val="18"/>
          <w:szCs w:val="18"/>
        </w:rPr>
      </w:pPr>
      <w:r w:rsidRPr="00C70D7D">
        <w:rPr>
          <w:rFonts w:ascii="Tahoma" w:hAnsi="Tahoma" w:cs="Tahoma"/>
          <w:sz w:val="18"/>
          <w:szCs w:val="18"/>
        </w:rPr>
        <w:t>Visual Studio Team System Team Suite con MSDN Premium</w:t>
      </w:r>
    </w:p>
    <w:p w:rsidR="00223A77" w:rsidRPr="00C70D7D" w:rsidRDefault="00223A77" w:rsidP="005B0791">
      <w:pPr>
        <w:pStyle w:val="FootnoteBulletLevel2"/>
        <w:numPr>
          <w:ilvl w:val="0"/>
          <w:numId w:val="4"/>
        </w:numPr>
        <w:spacing w:before="0" w:after="60"/>
        <w:ind w:left="1440"/>
        <w:rPr>
          <w:rFonts w:ascii="Tahoma" w:hAnsi="Tahoma" w:cs="Tahoma"/>
          <w:sz w:val="18"/>
          <w:szCs w:val="18"/>
        </w:rPr>
      </w:pPr>
      <w:r w:rsidRPr="00C70D7D">
        <w:rPr>
          <w:rFonts w:ascii="Tahoma" w:hAnsi="Tahoma" w:cs="Tahoma"/>
          <w:sz w:val="18"/>
          <w:szCs w:val="18"/>
        </w:rPr>
        <w:t>Visual Studio Team System Test Edition con MSDN Premium</w:t>
      </w:r>
    </w:p>
    <w:p w:rsidR="00223A77" w:rsidRPr="00C70D7D" w:rsidRDefault="00223A77" w:rsidP="005B0791">
      <w:pPr>
        <w:pStyle w:val="FootnoteBulletLevel2"/>
        <w:numPr>
          <w:ilvl w:val="0"/>
          <w:numId w:val="4"/>
        </w:numPr>
        <w:spacing w:before="0" w:after="60"/>
        <w:ind w:left="1440"/>
        <w:rPr>
          <w:rFonts w:ascii="Tahoma" w:hAnsi="Tahoma" w:cs="Tahoma"/>
          <w:sz w:val="18"/>
          <w:szCs w:val="18"/>
        </w:rPr>
      </w:pPr>
      <w:r w:rsidRPr="00C70D7D">
        <w:rPr>
          <w:rFonts w:ascii="Tahoma" w:hAnsi="Tahoma" w:cs="Tahoma"/>
          <w:sz w:val="18"/>
          <w:szCs w:val="18"/>
        </w:rPr>
        <w:t>Visual Studio Team System Development Edition con MSDN Premium</w:t>
      </w:r>
    </w:p>
    <w:p w:rsidR="00223A77" w:rsidRPr="00C70D7D" w:rsidRDefault="00223A77" w:rsidP="005B0791">
      <w:pPr>
        <w:pStyle w:val="FootnoteBulletLevel2"/>
        <w:numPr>
          <w:ilvl w:val="0"/>
          <w:numId w:val="4"/>
        </w:numPr>
        <w:spacing w:before="0" w:after="60"/>
        <w:ind w:left="1440"/>
        <w:rPr>
          <w:rFonts w:ascii="Tahoma" w:hAnsi="Tahoma" w:cs="Tahoma"/>
          <w:sz w:val="18"/>
          <w:szCs w:val="18"/>
        </w:rPr>
      </w:pPr>
      <w:r w:rsidRPr="00C70D7D">
        <w:rPr>
          <w:rFonts w:ascii="Tahoma" w:hAnsi="Tahoma" w:cs="Tahoma"/>
          <w:sz w:val="18"/>
          <w:szCs w:val="18"/>
        </w:rPr>
        <w:t xml:space="preserve">Visual Studio Team System Architecture Edition con MSDN Premium </w:t>
      </w:r>
    </w:p>
    <w:p w:rsidR="00223A77" w:rsidRPr="00C70D7D" w:rsidRDefault="00223A77" w:rsidP="005B0791">
      <w:pPr>
        <w:pStyle w:val="FootnoteBulletLevel2"/>
        <w:numPr>
          <w:ilvl w:val="0"/>
          <w:numId w:val="4"/>
        </w:numPr>
        <w:spacing w:before="0" w:after="60"/>
        <w:ind w:left="1440"/>
        <w:rPr>
          <w:rFonts w:ascii="Tahoma" w:hAnsi="Tahoma" w:cs="Tahoma"/>
          <w:sz w:val="18"/>
          <w:szCs w:val="18"/>
        </w:rPr>
      </w:pPr>
      <w:r w:rsidRPr="00A75DF9">
        <w:rPr>
          <w:rFonts w:ascii="Tahoma" w:hAnsi="Tahoma" w:cs="Tahoma"/>
          <w:sz w:val="18"/>
        </w:rPr>
        <w:lastRenderedPageBreak/>
        <w:t>V</w:t>
      </w:r>
      <w:r w:rsidRPr="00C70D7D">
        <w:rPr>
          <w:rFonts w:ascii="Tahoma" w:hAnsi="Tahoma" w:cs="Tahoma"/>
          <w:sz w:val="18"/>
          <w:szCs w:val="18"/>
        </w:rPr>
        <w:t>isual Studio Team System Database Edition con MSDN Premium</w:t>
      </w:r>
    </w:p>
    <w:p w:rsidR="00223A77" w:rsidRPr="00C70D7D" w:rsidRDefault="00223A77" w:rsidP="005B0791">
      <w:pPr>
        <w:pStyle w:val="FootnoteBulletLevel2"/>
        <w:numPr>
          <w:ilvl w:val="0"/>
          <w:numId w:val="4"/>
        </w:numPr>
        <w:spacing w:before="0" w:after="60"/>
        <w:ind w:left="1440"/>
        <w:rPr>
          <w:rFonts w:ascii="Tahoma" w:hAnsi="Tahoma" w:cs="Tahoma"/>
          <w:sz w:val="18"/>
          <w:szCs w:val="18"/>
        </w:rPr>
      </w:pPr>
      <w:r w:rsidRPr="00C70D7D">
        <w:rPr>
          <w:rFonts w:ascii="Tahoma" w:hAnsi="Tahoma" w:cs="Tahoma"/>
          <w:sz w:val="18"/>
          <w:szCs w:val="18"/>
        </w:rPr>
        <w:t>Società titolari di un abbonamento retail attivo per qualsiasi prodotto software indicato nel precedente elenco.</w:t>
      </w:r>
    </w:p>
    <w:p w:rsidR="00223A77" w:rsidRPr="00C70D7D" w:rsidRDefault="00223A77" w:rsidP="005B0791">
      <w:pPr>
        <w:pStyle w:val="FootnoteBulletLevel2"/>
        <w:numPr>
          <w:ilvl w:val="0"/>
          <w:numId w:val="4"/>
        </w:numPr>
        <w:spacing w:before="0" w:after="60"/>
        <w:ind w:left="1440"/>
        <w:rPr>
          <w:rFonts w:ascii="Tahoma" w:hAnsi="Tahoma" w:cs="Tahoma"/>
          <w:sz w:val="18"/>
          <w:szCs w:val="18"/>
        </w:rPr>
      </w:pPr>
      <w:r w:rsidRPr="00C70D7D">
        <w:rPr>
          <w:rFonts w:ascii="Tahoma" w:hAnsi="Tahoma" w:cs="Tahoma"/>
          <w:sz w:val="18"/>
          <w:szCs w:val="18"/>
        </w:rPr>
        <w:t>MSDN Essentials (acquisto con la licenza retail di Visual Studio 2010 Professional)</w:t>
      </w:r>
    </w:p>
    <w:p w:rsidR="00223A77" w:rsidRPr="00C70D7D" w:rsidRDefault="00223A77" w:rsidP="005B0791">
      <w:pPr>
        <w:pStyle w:val="FootnoteBulletLevel1"/>
        <w:spacing w:before="0" w:after="0"/>
        <w:ind w:left="0" w:firstLine="0"/>
        <w:rPr>
          <w:rFonts w:ascii="Tahoma" w:hAnsi="Tahoma" w:cs="Tahoma"/>
          <w:sz w:val="18"/>
          <w:szCs w:val="18"/>
        </w:rPr>
      </w:pPr>
    </w:p>
    <w:p w:rsidR="00223A77" w:rsidRPr="00C70D7D" w:rsidRDefault="00223A77" w:rsidP="005B0791">
      <w:pPr>
        <w:pStyle w:val="FootnoteBulletLevel1"/>
        <w:tabs>
          <w:tab w:val="clear" w:pos="900"/>
        </w:tabs>
        <w:spacing w:before="0" w:after="0"/>
        <w:ind w:left="720" w:firstLine="0"/>
        <w:rPr>
          <w:rFonts w:ascii="Tahoma" w:hAnsi="Tahoma" w:cs="Tahoma"/>
          <w:sz w:val="18"/>
          <w:szCs w:val="18"/>
        </w:rPr>
      </w:pPr>
      <w:r w:rsidRPr="00C70D7D">
        <w:rPr>
          <w:rFonts w:ascii="Tahoma" w:hAnsi="Tahoma" w:cs="Tahoma"/>
          <w:sz w:val="18"/>
          <w:szCs w:val="18"/>
        </w:rPr>
        <w:t>Le società che hanno stipulato contratti Enterprise, Select o Open Value e con copertura Software Assurance attiva su Visual Studio Professional 2012 con MSDN potranno anch</w:t>
      </w:r>
      <w:r w:rsidR="00F2643E">
        <w:rPr>
          <w:rFonts w:ascii="Tahoma" w:hAnsi="Tahoma" w:cs="Tahoma"/>
          <w:sz w:val="18"/>
          <w:szCs w:val="18"/>
        </w:rPr>
        <w:t>’</w:t>
      </w:r>
      <w:r w:rsidRPr="00C70D7D">
        <w:rPr>
          <w:rFonts w:ascii="Tahoma" w:hAnsi="Tahoma" w:cs="Tahoma"/>
          <w:sz w:val="18"/>
          <w:szCs w:val="18"/>
        </w:rPr>
        <w:t xml:space="preserve">esse effettuare lo step-up a Visual Studio Premium 2012 con MSDN o a Visual Studio Ultimate 2012 con MSDN dopo aver acquistato gli </w:t>
      </w:r>
      <w:hyperlink w:anchor="Step_Up" w:history="1">
        <w:r w:rsidRPr="00C70D7D">
          <w:rPr>
            <w:rFonts w:ascii="Tahoma" w:hAnsi="Tahoma" w:cs="Tahoma"/>
            <w:sz w:val="18"/>
            <w:szCs w:val="18"/>
          </w:rPr>
          <w:t>SKU di Step-Up</w:t>
        </w:r>
      </w:hyperlink>
      <w:r w:rsidRPr="00C70D7D">
        <w:rPr>
          <w:rFonts w:ascii="Tahoma" w:hAnsi="Tahoma" w:cs="Tahoma"/>
          <w:sz w:val="18"/>
          <w:szCs w:val="18"/>
        </w:rPr>
        <w:t xml:space="preserve"> idonei.</w:t>
      </w:r>
    </w:p>
    <w:p w:rsidR="005B0791" w:rsidRPr="00C70D7D" w:rsidRDefault="005B0791" w:rsidP="005B0791">
      <w:pPr>
        <w:pStyle w:val="FootnoteBulletLevel2"/>
        <w:tabs>
          <w:tab w:val="clear" w:pos="1260"/>
        </w:tabs>
        <w:spacing w:before="0"/>
        <w:ind w:left="720" w:firstLine="0"/>
        <w:rPr>
          <w:rFonts w:ascii="Tahoma" w:hAnsi="Tahoma" w:cs="Tahoma"/>
          <w:sz w:val="18"/>
          <w:szCs w:val="18"/>
        </w:rPr>
      </w:pPr>
    </w:p>
    <w:p w:rsidR="0055611F" w:rsidRPr="00A75DF9" w:rsidRDefault="009B2474" w:rsidP="001760D6">
      <w:pPr>
        <w:keepNext/>
        <w:spacing w:after="60"/>
        <w:ind w:left="720"/>
        <w:rPr>
          <w:rFonts w:cs="Tahoma"/>
        </w:rPr>
      </w:pPr>
      <w:r w:rsidRPr="00A75DF9">
        <w:rPr>
          <w:rFonts w:cs="Tahoma"/>
          <w:b/>
        </w:rPr>
        <w:t>Servizi “Subscription”</w:t>
      </w:r>
    </w:p>
    <w:p w:rsidR="0055611F" w:rsidRPr="00C70D7D" w:rsidRDefault="0055611F" w:rsidP="005B0791">
      <w:pPr>
        <w:pStyle w:val="FootnoteBulletLevel2"/>
        <w:tabs>
          <w:tab w:val="clear" w:pos="1260"/>
        </w:tabs>
        <w:spacing w:before="0"/>
        <w:ind w:left="720" w:firstLine="0"/>
        <w:rPr>
          <w:rFonts w:ascii="Tahoma" w:hAnsi="Tahoma" w:cs="Tahoma"/>
          <w:sz w:val="18"/>
          <w:szCs w:val="18"/>
        </w:rPr>
      </w:pPr>
      <w:r w:rsidRPr="00C70D7D">
        <w:rPr>
          <w:rFonts w:ascii="Tahoma" w:hAnsi="Tahoma" w:cs="Tahoma"/>
          <w:sz w:val="18"/>
          <w:szCs w:val="18"/>
        </w:rPr>
        <w:t>I servizi MSDN in abbonamento, che potranno includere download, codici Product Key, vantaggi di Windows Azure, vantaggi di Office 365 Developer, e-learning, supporto tecnico, vantaggi di Windows Store e altri servizi, sono disponibili solo durante il periodo di validità dell</w:t>
      </w:r>
      <w:r w:rsidR="00F2643E">
        <w:rPr>
          <w:rFonts w:ascii="Tahoma" w:hAnsi="Tahoma" w:cs="Tahoma"/>
          <w:sz w:val="18"/>
          <w:szCs w:val="18"/>
        </w:rPr>
        <w:t>’</w:t>
      </w:r>
      <w:r w:rsidRPr="00C70D7D">
        <w:rPr>
          <w:rFonts w:ascii="Tahoma" w:hAnsi="Tahoma" w:cs="Tahoma"/>
          <w:sz w:val="18"/>
          <w:szCs w:val="18"/>
        </w:rPr>
        <w:t>abbonamento.</w:t>
      </w:r>
    </w:p>
    <w:p w:rsidR="0055611F" w:rsidRPr="00C70D7D" w:rsidRDefault="0055611F" w:rsidP="005B0791">
      <w:pPr>
        <w:pStyle w:val="FootnoteBulletLevel1"/>
        <w:tabs>
          <w:tab w:val="clear" w:pos="900"/>
        </w:tabs>
        <w:spacing w:before="0" w:after="0"/>
        <w:ind w:left="720" w:firstLine="0"/>
        <w:rPr>
          <w:rFonts w:ascii="Tahoma" w:hAnsi="Tahoma" w:cs="Tahoma"/>
          <w:sz w:val="18"/>
          <w:szCs w:val="18"/>
        </w:rPr>
      </w:pPr>
    </w:p>
    <w:p w:rsidR="0055611F" w:rsidRPr="00A75DF9" w:rsidRDefault="009B2474" w:rsidP="00864B8A">
      <w:pPr>
        <w:spacing w:after="60"/>
        <w:ind w:left="720"/>
        <w:rPr>
          <w:rFonts w:cs="Tahoma"/>
        </w:rPr>
      </w:pPr>
      <w:r w:rsidRPr="00A75DF9">
        <w:rPr>
          <w:rFonts w:cs="Tahoma"/>
          <w:b/>
        </w:rPr>
        <w:t>Servizi della Piattaforma Windows Azure</w:t>
      </w:r>
    </w:p>
    <w:p w:rsidR="0055611F" w:rsidRPr="00C70D7D" w:rsidRDefault="0055611F" w:rsidP="005B0791">
      <w:pPr>
        <w:pStyle w:val="FootnoteBulletLevel2"/>
        <w:tabs>
          <w:tab w:val="clear" w:pos="1260"/>
        </w:tabs>
        <w:spacing w:before="0"/>
        <w:ind w:left="720" w:firstLine="0"/>
        <w:rPr>
          <w:rFonts w:ascii="Tahoma" w:hAnsi="Tahoma" w:cs="Tahoma"/>
          <w:sz w:val="18"/>
          <w:szCs w:val="18"/>
        </w:rPr>
      </w:pPr>
      <w:r w:rsidRPr="00C70D7D">
        <w:rPr>
          <w:rFonts w:ascii="Tahoma" w:hAnsi="Tahoma" w:cs="Tahoma"/>
          <w:sz w:val="18"/>
          <w:szCs w:val="18"/>
        </w:rPr>
        <w:t>I vantaggi di Windows Azure non possono essere una combinazione di più abbonamenti a MSDN su un singolo account di Windows Azure. L</w:t>
      </w:r>
      <w:r w:rsidR="00F2643E">
        <w:rPr>
          <w:rFonts w:ascii="Tahoma" w:hAnsi="Tahoma" w:cs="Tahoma"/>
          <w:sz w:val="18"/>
          <w:szCs w:val="18"/>
        </w:rPr>
        <w:t>’</w:t>
      </w:r>
      <w:r w:rsidRPr="00C70D7D">
        <w:rPr>
          <w:rFonts w:ascii="Tahoma" w:hAnsi="Tahoma" w:cs="Tahoma"/>
          <w:sz w:val="18"/>
          <w:szCs w:val="18"/>
        </w:rPr>
        <w:t>uso di Windows Azure è soggetto alle relative condizioni per l</w:t>
      </w:r>
      <w:r w:rsidR="00F2643E">
        <w:rPr>
          <w:rFonts w:ascii="Tahoma" w:hAnsi="Tahoma" w:cs="Tahoma"/>
          <w:sz w:val="18"/>
          <w:szCs w:val="18"/>
        </w:rPr>
        <w:t>’</w:t>
      </w:r>
      <w:r w:rsidRPr="00C70D7D">
        <w:rPr>
          <w:rFonts w:ascii="Tahoma" w:hAnsi="Tahoma" w:cs="Tahoma"/>
          <w:sz w:val="18"/>
          <w:szCs w:val="18"/>
        </w:rPr>
        <w:t>utilizzo.</w:t>
      </w:r>
    </w:p>
    <w:p w:rsidR="005B0791" w:rsidRPr="00C70D7D" w:rsidRDefault="005B0791" w:rsidP="005B0791">
      <w:pPr>
        <w:pStyle w:val="FootnoteBulletLevel2"/>
        <w:tabs>
          <w:tab w:val="clear" w:pos="1260"/>
        </w:tabs>
        <w:spacing w:before="0"/>
        <w:ind w:left="0" w:firstLine="0"/>
        <w:rPr>
          <w:rFonts w:ascii="Tahoma" w:hAnsi="Tahoma" w:cs="Tahoma"/>
          <w:sz w:val="18"/>
          <w:szCs w:val="18"/>
        </w:rPr>
      </w:pPr>
    </w:p>
    <w:p w:rsidR="005B0791" w:rsidRPr="00C70D7D" w:rsidRDefault="005B0791" w:rsidP="005B0791">
      <w:pPr>
        <w:pStyle w:val="FootnoteBulletLevel2"/>
        <w:tabs>
          <w:tab w:val="clear" w:pos="1260"/>
        </w:tabs>
        <w:spacing w:before="0"/>
        <w:ind w:left="0" w:firstLine="0"/>
        <w:rPr>
          <w:rFonts w:ascii="Tahoma" w:hAnsi="Tahoma" w:cs="Tahoma"/>
          <w:sz w:val="18"/>
          <w:szCs w:val="18"/>
        </w:rPr>
      </w:pPr>
    </w:p>
    <w:p w:rsidR="00223A77" w:rsidRPr="00A75DF9" w:rsidRDefault="00A560B6" w:rsidP="00223A77">
      <w:pPr>
        <w:pStyle w:val="Heading3"/>
        <w:rPr>
          <w:rFonts w:ascii="Tahoma" w:hAnsi="Tahoma" w:cs="Tahoma"/>
        </w:rPr>
      </w:pPr>
      <w:bookmarkStart w:id="1070" w:name="_21_Visual_Studio"/>
      <w:bookmarkStart w:id="1071" w:name="_Toc336338277"/>
      <w:bookmarkStart w:id="1072" w:name="_Toc252341837"/>
      <w:bookmarkStart w:id="1073" w:name="Aps_16VS2010PremiumMSDN"/>
      <w:bookmarkStart w:id="1074" w:name="_Toc368310270"/>
      <w:bookmarkEnd w:id="1070"/>
      <w:r w:rsidRPr="00A75DF9">
        <w:rPr>
          <w:rFonts w:ascii="Tahoma" w:hAnsi="Tahoma" w:cs="Tahoma"/>
          <w:caps/>
          <w:color w:val="F66400"/>
          <w:sz w:val="22"/>
          <w:vertAlign w:val="superscript"/>
        </w:rPr>
        <w:t>22</w:t>
      </w:r>
      <w:r w:rsidRPr="00A75DF9">
        <w:rPr>
          <w:rFonts w:ascii="Tahoma" w:hAnsi="Tahoma" w:cs="Tahoma"/>
          <w:color w:val="F66400"/>
          <w:sz w:val="22"/>
        </w:rPr>
        <w:t xml:space="preserve"> Visual Studio Premium 2012 con MSDN</w:t>
      </w:r>
      <w:bookmarkEnd w:id="1071"/>
      <w:bookmarkEnd w:id="1074"/>
      <w:r w:rsidRPr="00A75DF9">
        <w:rPr>
          <w:rFonts w:ascii="Tahoma" w:hAnsi="Tahoma" w:cs="Tahoma"/>
          <w:color w:val="F66400"/>
          <w:sz w:val="22"/>
        </w:rPr>
        <w:t xml:space="preserve"> </w:t>
      </w:r>
      <w:bookmarkEnd w:id="1072"/>
    </w:p>
    <w:bookmarkEnd w:id="1073"/>
    <w:p w:rsidR="00CB436E" w:rsidRPr="00C70D7D" w:rsidRDefault="00CB436E" w:rsidP="00CB436E">
      <w:pPr>
        <w:pStyle w:val="FootnoteBulletLevel1"/>
        <w:tabs>
          <w:tab w:val="clear" w:pos="900"/>
        </w:tabs>
        <w:spacing w:before="0" w:after="0"/>
        <w:ind w:left="720" w:firstLine="0"/>
        <w:rPr>
          <w:rFonts w:ascii="Tahoma" w:hAnsi="Tahoma" w:cs="Tahoma"/>
          <w:sz w:val="18"/>
          <w:szCs w:val="18"/>
        </w:rPr>
      </w:pPr>
    </w:p>
    <w:p w:rsidR="001026FD" w:rsidRPr="00C70D7D" w:rsidRDefault="001026FD" w:rsidP="00864B8A">
      <w:pPr>
        <w:spacing w:after="60"/>
        <w:ind w:left="720"/>
        <w:rPr>
          <w:rFonts w:cs="Tahoma"/>
          <w:szCs w:val="18"/>
        </w:rPr>
      </w:pPr>
      <w:r w:rsidRPr="00C70D7D">
        <w:rPr>
          <w:rFonts w:cs="Tahoma"/>
          <w:b/>
          <w:szCs w:val="18"/>
        </w:rPr>
        <w:t>Visual Studio Team Foundation Server 2012</w:t>
      </w:r>
    </w:p>
    <w:p w:rsidR="001026FD" w:rsidRPr="00C70D7D" w:rsidRDefault="001026FD" w:rsidP="00C70D7D">
      <w:pPr>
        <w:pStyle w:val="EndnoteText"/>
        <w:ind w:left="720"/>
        <w:rPr>
          <w:rFonts w:ascii="Tahoma" w:hAnsi="Tahoma" w:cs="Tahoma"/>
          <w:sz w:val="18"/>
          <w:szCs w:val="18"/>
        </w:rPr>
      </w:pPr>
      <w:r w:rsidRPr="00C70D7D">
        <w:rPr>
          <w:rFonts w:ascii="Tahoma" w:hAnsi="Tahoma" w:cs="Tahoma"/>
          <w:sz w:val="18"/>
          <w:szCs w:val="18"/>
        </w:rPr>
        <w:t>Il sottoscrittore è autorizzato a ricevere una licenza server per Visual Studio Team Foundation Server 2012 e</w:t>
      </w:r>
      <w:r w:rsidR="00C70D7D">
        <w:rPr>
          <w:rFonts w:ascii="Tahoma" w:hAnsi="Tahoma" w:cs="Tahoma"/>
          <w:sz w:val="18"/>
          <w:szCs w:val="18"/>
        </w:rPr>
        <w:t> </w:t>
      </w:r>
      <w:r w:rsidRPr="00C70D7D">
        <w:rPr>
          <w:rFonts w:ascii="Tahoma" w:hAnsi="Tahoma" w:cs="Tahoma"/>
          <w:sz w:val="18"/>
          <w:szCs w:val="18"/>
        </w:rPr>
        <w:t>una User CAL per Team Foundation Server. La licenza CAL può essere utilizzata esclusivamente dal sottoscrittore.</w:t>
      </w:r>
    </w:p>
    <w:p w:rsidR="001026FD" w:rsidRPr="00C70D7D" w:rsidRDefault="001026FD" w:rsidP="00CB436E">
      <w:pPr>
        <w:pStyle w:val="EndnoteText"/>
        <w:ind w:left="720"/>
        <w:rPr>
          <w:rFonts w:ascii="Tahoma" w:hAnsi="Tahoma" w:cs="Tahoma"/>
          <w:sz w:val="18"/>
          <w:szCs w:val="18"/>
        </w:rPr>
      </w:pPr>
    </w:p>
    <w:p w:rsidR="001026FD" w:rsidRPr="00C70D7D" w:rsidRDefault="001026FD" w:rsidP="00864B8A">
      <w:pPr>
        <w:spacing w:after="60"/>
        <w:ind w:left="720"/>
        <w:rPr>
          <w:rFonts w:cs="Tahoma"/>
          <w:szCs w:val="18"/>
        </w:rPr>
      </w:pPr>
      <w:r w:rsidRPr="00C70D7D">
        <w:rPr>
          <w:rFonts w:cs="Tahoma"/>
          <w:b/>
          <w:szCs w:val="18"/>
        </w:rPr>
        <w:t>SQL Server Parallel Data Warehouse Developer</w:t>
      </w:r>
    </w:p>
    <w:p w:rsidR="001026FD" w:rsidRPr="00C70D7D" w:rsidRDefault="001026FD" w:rsidP="00CB436E">
      <w:pPr>
        <w:pStyle w:val="EndnoteText"/>
        <w:ind w:left="720"/>
        <w:rPr>
          <w:rFonts w:ascii="Tahoma" w:hAnsi="Tahoma" w:cs="Tahoma"/>
          <w:sz w:val="18"/>
          <w:szCs w:val="18"/>
        </w:rPr>
      </w:pPr>
      <w:r w:rsidRPr="00C70D7D">
        <w:rPr>
          <w:rFonts w:ascii="Tahoma" w:hAnsi="Tahoma" w:cs="Tahoma"/>
          <w:sz w:val="18"/>
          <w:szCs w:val="18"/>
        </w:rPr>
        <w:t>Il sottoscrittore è idoneo a ricevere una licenza per SQL Server 2008 R2 Parallel Data Warehouse Developer.</w:t>
      </w:r>
    </w:p>
    <w:p w:rsidR="00CB436E" w:rsidRPr="00C70D7D" w:rsidRDefault="00CB436E" w:rsidP="00CB436E">
      <w:pPr>
        <w:pStyle w:val="FootnoteBulletLevel1"/>
        <w:tabs>
          <w:tab w:val="clear" w:pos="900"/>
        </w:tabs>
        <w:spacing w:before="0" w:after="0"/>
        <w:ind w:left="720" w:firstLine="0"/>
        <w:rPr>
          <w:rFonts w:ascii="Tahoma" w:hAnsi="Tahoma" w:cs="Tahoma"/>
          <w:sz w:val="18"/>
          <w:szCs w:val="18"/>
        </w:rPr>
      </w:pPr>
    </w:p>
    <w:p w:rsidR="00223A77" w:rsidRPr="00C70D7D" w:rsidRDefault="009B2474" w:rsidP="00864B8A">
      <w:pPr>
        <w:spacing w:after="60"/>
        <w:ind w:left="720"/>
        <w:rPr>
          <w:rFonts w:cs="Tahoma"/>
          <w:szCs w:val="18"/>
        </w:rPr>
      </w:pPr>
      <w:r w:rsidRPr="00C70D7D">
        <w:rPr>
          <w:rFonts w:cs="Tahoma"/>
          <w:b/>
          <w:szCs w:val="18"/>
        </w:rPr>
        <w:t>Requisiti di Idoneità per Software Assurance</w:t>
      </w:r>
    </w:p>
    <w:p w:rsidR="00BE4D27" w:rsidRPr="00C70D7D" w:rsidRDefault="00223A77" w:rsidP="000C6DBC">
      <w:pPr>
        <w:pStyle w:val="EndnoteText"/>
        <w:tabs>
          <w:tab w:val="left" w:pos="1080"/>
        </w:tabs>
        <w:ind w:left="720"/>
        <w:rPr>
          <w:rFonts w:ascii="Tahoma" w:hAnsi="Tahoma" w:cs="Tahoma"/>
          <w:sz w:val="18"/>
          <w:szCs w:val="18"/>
        </w:rPr>
      </w:pPr>
      <w:r w:rsidRPr="00C70D7D">
        <w:rPr>
          <w:rFonts w:ascii="Tahoma" w:hAnsi="Tahoma" w:cs="Tahoma"/>
          <w:sz w:val="18"/>
          <w:szCs w:val="18"/>
        </w:rPr>
        <w:t>Le società con copertura Software Assurance in scadenza per i seguenti prodotti sono idonee a rinnovare la copertura come Visual Studio Premium 2012 con MSDN. Quando viene effettuato il rinnovo a un livello di abbonamento MSDN diverso, le nuove condizioni per l</w:t>
      </w:r>
      <w:r w:rsidR="00F2643E">
        <w:rPr>
          <w:rFonts w:ascii="Tahoma" w:hAnsi="Tahoma" w:cs="Tahoma"/>
          <w:sz w:val="18"/>
          <w:szCs w:val="18"/>
        </w:rPr>
        <w:t>’</w:t>
      </w:r>
      <w:r w:rsidRPr="00C70D7D">
        <w:rPr>
          <w:rFonts w:ascii="Tahoma" w:hAnsi="Tahoma" w:cs="Tahoma"/>
          <w:sz w:val="18"/>
          <w:szCs w:val="18"/>
        </w:rPr>
        <w:t>utilizzo sostituiscono quelle precedenti e qualsiasi prodotto software non incluso nel nuovo abbonamento MSDN dovrà essere rimosso.</w:t>
      </w:r>
    </w:p>
    <w:p w:rsidR="00223A77" w:rsidRPr="00C70D7D" w:rsidRDefault="00223A77" w:rsidP="007E466C">
      <w:pPr>
        <w:pStyle w:val="EndnoteText"/>
        <w:ind w:left="720"/>
        <w:rPr>
          <w:rFonts w:ascii="Tahoma" w:hAnsi="Tahoma" w:cs="Tahoma"/>
          <w:sz w:val="18"/>
          <w:szCs w:val="18"/>
        </w:rPr>
      </w:pPr>
    </w:p>
    <w:p w:rsidR="00223A77" w:rsidRPr="00C70D7D" w:rsidRDefault="00223A77" w:rsidP="00CB436E">
      <w:pPr>
        <w:pStyle w:val="FootnoteBulletLevel2"/>
        <w:numPr>
          <w:ilvl w:val="0"/>
          <w:numId w:val="6"/>
        </w:numPr>
        <w:spacing w:before="0" w:after="60"/>
        <w:ind w:left="1440"/>
        <w:rPr>
          <w:rFonts w:ascii="Tahoma" w:hAnsi="Tahoma" w:cs="Tahoma"/>
          <w:sz w:val="18"/>
          <w:szCs w:val="18"/>
        </w:rPr>
      </w:pPr>
      <w:r w:rsidRPr="00C70D7D">
        <w:rPr>
          <w:rFonts w:ascii="Tahoma" w:hAnsi="Tahoma" w:cs="Tahoma"/>
          <w:sz w:val="18"/>
          <w:szCs w:val="18"/>
        </w:rPr>
        <w:t>Visual Studio Ultimate con MSDN</w:t>
      </w:r>
    </w:p>
    <w:p w:rsidR="00223A77" w:rsidRPr="00C70D7D" w:rsidRDefault="00223A77" w:rsidP="00CB436E">
      <w:pPr>
        <w:pStyle w:val="FootnoteBulletLevel2"/>
        <w:numPr>
          <w:ilvl w:val="0"/>
          <w:numId w:val="6"/>
        </w:numPr>
        <w:spacing w:before="0" w:after="60"/>
        <w:ind w:left="1440"/>
        <w:rPr>
          <w:rFonts w:ascii="Tahoma" w:hAnsi="Tahoma" w:cs="Tahoma"/>
          <w:sz w:val="18"/>
          <w:szCs w:val="18"/>
        </w:rPr>
      </w:pPr>
      <w:r w:rsidRPr="00C70D7D">
        <w:rPr>
          <w:rFonts w:ascii="Tahoma" w:hAnsi="Tahoma" w:cs="Tahoma"/>
          <w:sz w:val="18"/>
          <w:szCs w:val="18"/>
        </w:rPr>
        <w:t>Visual Studio Premium con MSDN</w:t>
      </w:r>
    </w:p>
    <w:p w:rsidR="00223A77" w:rsidRPr="00C70D7D" w:rsidRDefault="00223A77" w:rsidP="00CB436E">
      <w:pPr>
        <w:pStyle w:val="FootnoteBulletLevel2"/>
        <w:numPr>
          <w:ilvl w:val="0"/>
          <w:numId w:val="6"/>
        </w:numPr>
        <w:spacing w:before="0" w:after="60"/>
        <w:ind w:left="1440"/>
        <w:rPr>
          <w:rFonts w:ascii="Tahoma" w:hAnsi="Tahoma" w:cs="Tahoma"/>
          <w:sz w:val="18"/>
          <w:szCs w:val="18"/>
        </w:rPr>
      </w:pPr>
      <w:r w:rsidRPr="00C70D7D">
        <w:rPr>
          <w:rFonts w:ascii="Tahoma" w:hAnsi="Tahoma" w:cs="Tahoma"/>
          <w:sz w:val="18"/>
          <w:szCs w:val="18"/>
        </w:rPr>
        <w:t>Visual Studio Professional con MSDN Premium</w:t>
      </w:r>
    </w:p>
    <w:p w:rsidR="00223A77" w:rsidRPr="00C70D7D" w:rsidRDefault="00223A77" w:rsidP="00CB436E">
      <w:pPr>
        <w:pStyle w:val="FootnoteBulletLevel2"/>
        <w:numPr>
          <w:ilvl w:val="0"/>
          <w:numId w:val="6"/>
        </w:numPr>
        <w:spacing w:before="0" w:after="60"/>
        <w:ind w:left="1440"/>
        <w:rPr>
          <w:rFonts w:ascii="Tahoma" w:hAnsi="Tahoma" w:cs="Tahoma"/>
          <w:sz w:val="18"/>
          <w:szCs w:val="18"/>
        </w:rPr>
      </w:pPr>
      <w:r w:rsidRPr="00C70D7D">
        <w:rPr>
          <w:rFonts w:ascii="Tahoma" w:hAnsi="Tahoma" w:cs="Tahoma"/>
          <w:sz w:val="18"/>
          <w:szCs w:val="18"/>
        </w:rPr>
        <w:t>Visual Studio Team System Team Suite con MSDN Premium</w:t>
      </w:r>
    </w:p>
    <w:p w:rsidR="00223A77" w:rsidRPr="00C70D7D" w:rsidRDefault="00223A77" w:rsidP="00CB436E">
      <w:pPr>
        <w:pStyle w:val="FootnoteBulletLevel2"/>
        <w:numPr>
          <w:ilvl w:val="0"/>
          <w:numId w:val="6"/>
        </w:numPr>
        <w:spacing w:before="0" w:after="60"/>
        <w:ind w:left="1440"/>
        <w:rPr>
          <w:rFonts w:ascii="Tahoma" w:hAnsi="Tahoma" w:cs="Tahoma"/>
          <w:sz w:val="18"/>
          <w:szCs w:val="18"/>
        </w:rPr>
      </w:pPr>
      <w:r w:rsidRPr="00C70D7D">
        <w:rPr>
          <w:rFonts w:ascii="Tahoma" w:hAnsi="Tahoma" w:cs="Tahoma"/>
          <w:sz w:val="18"/>
          <w:szCs w:val="18"/>
        </w:rPr>
        <w:t>Visual Studio Team System Test Edition con MSDN Premium</w:t>
      </w:r>
    </w:p>
    <w:p w:rsidR="00223A77" w:rsidRPr="00C70D7D" w:rsidRDefault="00223A77" w:rsidP="00CB436E">
      <w:pPr>
        <w:pStyle w:val="FootnoteBulletLevel2"/>
        <w:numPr>
          <w:ilvl w:val="0"/>
          <w:numId w:val="6"/>
        </w:numPr>
        <w:spacing w:before="0" w:after="60"/>
        <w:ind w:left="1440"/>
        <w:rPr>
          <w:rFonts w:ascii="Tahoma" w:hAnsi="Tahoma" w:cs="Tahoma"/>
          <w:sz w:val="18"/>
          <w:szCs w:val="18"/>
        </w:rPr>
      </w:pPr>
      <w:r w:rsidRPr="00C70D7D">
        <w:rPr>
          <w:rFonts w:ascii="Tahoma" w:hAnsi="Tahoma" w:cs="Tahoma"/>
          <w:sz w:val="18"/>
          <w:szCs w:val="18"/>
        </w:rPr>
        <w:t>Visual Studio Team System Development Edition con MSDN Premium</w:t>
      </w:r>
    </w:p>
    <w:p w:rsidR="00223A77" w:rsidRPr="00C70D7D" w:rsidRDefault="00223A77" w:rsidP="00CB436E">
      <w:pPr>
        <w:pStyle w:val="FootnoteBulletLevel2"/>
        <w:numPr>
          <w:ilvl w:val="0"/>
          <w:numId w:val="6"/>
        </w:numPr>
        <w:spacing w:before="0" w:after="60"/>
        <w:ind w:left="1440"/>
        <w:rPr>
          <w:rFonts w:ascii="Tahoma" w:hAnsi="Tahoma" w:cs="Tahoma"/>
          <w:sz w:val="18"/>
          <w:szCs w:val="18"/>
        </w:rPr>
      </w:pPr>
      <w:r w:rsidRPr="00C70D7D">
        <w:rPr>
          <w:rFonts w:ascii="Tahoma" w:hAnsi="Tahoma" w:cs="Tahoma"/>
          <w:sz w:val="18"/>
          <w:szCs w:val="18"/>
        </w:rPr>
        <w:t xml:space="preserve">Visual Studio Team System Architecture Edition con MSDN Premium </w:t>
      </w:r>
    </w:p>
    <w:p w:rsidR="00223A77" w:rsidRPr="00C70D7D" w:rsidRDefault="00223A77" w:rsidP="00CB436E">
      <w:pPr>
        <w:pStyle w:val="FootnoteBulletLevel2"/>
        <w:numPr>
          <w:ilvl w:val="0"/>
          <w:numId w:val="6"/>
        </w:numPr>
        <w:spacing w:before="0" w:after="60"/>
        <w:ind w:left="1440"/>
        <w:rPr>
          <w:rFonts w:ascii="Tahoma" w:hAnsi="Tahoma" w:cs="Tahoma"/>
          <w:sz w:val="18"/>
          <w:szCs w:val="18"/>
        </w:rPr>
      </w:pPr>
      <w:r w:rsidRPr="00C70D7D">
        <w:rPr>
          <w:rFonts w:ascii="Tahoma" w:hAnsi="Tahoma" w:cs="Tahoma"/>
          <w:sz w:val="18"/>
          <w:szCs w:val="18"/>
        </w:rPr>
        <w:t>Visual Studio Team System Database Edition con MSDN Premium</w:t>
      </w:r>
    </w:p>
    <w:p w:rsidR="00223A77" w:rsidRPr="00C70D7D" w:rsidRDefault="00223A77" w:rsidP="00CB436E">
      <w:pPr>
        <w:pStyle w:val="FootnoteBulletLevel2"/>
        <w:numPr>
          <w:ilvl w:val="0"/>
          <w:numId w:val="6"/>
        </w:numPr>
        <w:spacing w:before="0" w:after="60"/>
        <w:ind w:left="1440"/>
        <w:rPr>
          <w:rFonts w:ascii="Tahoma" w:hAnsi="Tahoma" w:cs="Tahoma"/>
          <w:sz w:val="18"/>
          <w:szCs w:val="18"/>
        </w:rPr>
      </w:pPr>
      <w:r w:rsidRPr="00C70D7D">
        <w:rPr>
          <w:rFonts w:ascii="Tahoma" w:hAnsi="Tahoma" w:cs="Tahoma"/>
          <w:sz w:val="18"/>
          <w:szCs w:val="18"/>
        </w:rPr>
        <w:t>Società titolari di un abbonamento retail attivo per qualsiasi prodotto software indicato nel precedente elenco.</w:t>
      </w:r>
    </w:p>
    <w:p w:rsidR="00413D8A" w:rsidRPr="00A75DF9" w:rsidRDefault="00413D8A">
      <w:pPr>
        <w:rPr>
          <w:rFonts w:cs="Tahoma"/>
        </w:rPr>
      </w:pPr>
    </w:p>
    <w:p w:rsidR="00223A77" w:rsidRPr="00C70D7D" w:rsidRDefault="00223A77" w:rsidP="00AF1D88">
      <w:pPr>
        <w:pStyle w:val="FootnoteBulletLevel1"/>
        <w:keepNext/>
        <w:tabs>
          <w:tab w:val="clear" w:pos="900"/>
        </w:tabs>
        <w:spacing w:before="0" w:after="0"/>
        <w:ind w:left="720" w:firstLine="0"/>
        <w:rPr>
          <w:rFonts w:ascii="Tahoma" w:hAnsi="Tahoma" w:cs="Tahoma"/>
          <w:sz w:val="18"/>
          <w:szCs w:val="18"/>
        </w:rPr>
      </w:pPr>
      <w:r w:rsidRPr="00C70D7D">
        <w:rPr>
          <w:rFonts w:ascii="Tahoma" w:hAnsi="Tahoma" w:cs="Tahoma"/>
          <w:sz w:val="18"/>
          <w:szCs w:val="18"/>
        </w:rPr>
        <w:t xml:space="preserve">Le società con copertura Software Assurance in scadenza per Visual Studio Premium 2012 con MSDN sono idonee a rinnovare la copertura come: </w:t>
      </w:r>
    </w:p>
    <w:p w:rsidR="00CB436E" w:rsidRPr="00C70D7D" w:rsidRDefault="00CB436E" w:rsidP="00AF1D88">
      <w:pPr>
        <w:pStyle w:val="FootnoteBulletLevel1"/>
        <w:keepNext/>
        <w:spacing w:before="0" w:after="0"/>
        <w:ind w:left="907" w:firstLine="0"/>
        <w:rPr>
          <w:rFonts w:ascii="Tahoma" w:hAnsi="Tahoma" w:cs="Tahoma"/>
          <w:sz w:val="18"/>
          <w:szCs w:val="18"/>
        </w:rPr>
      </w:pPr>
    </w:p>
    <w:p w:rsidR="00223A77" w:rsidRPr="00C70D7D" w:rsidRDefault="00223A77" w:rsidP="00AF1D88">
      <w:pPr>
        <w:pStyle w:val="FootnoteBulletLevel2"/>
        <w:keepNext/>
        <w:numPr>
          <w:ilvl w:val="0"/>
          <w:numId w:val="6"/>
        </w:numPr>
        <w:spacing w:before="0" w:after="60"/>
        <w:ind w:left="1440"/>
        <w:rPr>
          <w:rFonts w:ascii="Tahoma" w:hAnsi="Tahoma" w:cs="Tahoma"/>
          <w:sz w:val="18"/>
          <w:szCs w:val="18"/>
        </w:rPr>
      </w:pPr>
      <w:r w:rsidRPr="00C70D7D">
        <w:rPr>
          <w:rFonts w:ascii="Tahoma" w:hAnsi="Tahoma" w:cs="Tahoma"/>
          <w:sz w:val="18"/>
          <w:szCs w:val="18"/>
        </w:rPr>
        <w:t>Visual Studio Professional con MSDN</w:t>
      </w:r>
    </w:p>
    <w:p w:rsidR="006771C8" w:rsidRPr="00C70D7D" w:rsidRDefault="006771C8" w:rsidP="00CB436E">
      <w:pPr>
        <w:pStyle w:val="FootnoteBulletLevel2"/>
        <w:numPr>
          <w:ilvl w:val="0"/>
          <w:numId w:val="6"/>
        </w:numPr>
        <w:spacing w:before="0" w:after="60"/>
        <w:ind w:left="1440"/>
        <w:rPr>
          <w:rFonts w:ascii="Tahoma" w:hAnsi="Tahoma" w:cs="Tahoma"/>
          <w:sz w:val="18"/>
          <w:szCs w:val="18"/>
        </w:rPr>
      </w:pPr>
      <w:r w:rsidRPr="00C70D7D">
        <w:rPr>
          <w:rFonts w:ascii="Tahoma" w:hAnsi="Tahoma" w:cs="Tahoma"/>
          <w:sz w:val="18"/>
          <w:szCs w:val="18"/>
        </w:rPr>
        <w:t>Visual Studio Test Professional con MSDN</w:t>
      </w:r>
    </w:p>
    <w:p w:rsidR="00223A77" w:rsidRPr="00C70D7D" w:rsidRDefault="00223A77" w:rsidP="00CB436E">
      <w:pPr>
        <w:pStyle w:val="FootnoteBulletLevel2"/>
        <w:numPr>
          <w:ilvl w:val="0"/>
          <w:numId w:val="6"/>
        </w:numPr>
        <w:spacing w:before="0" w:after="60"/>
        <w:ind w:left="1440"/>
        <w:rPr>
          <w:rFonts w:ascii="Tahoma" w:hAnsi="Tahoma" w:cs="Tahoma"/>
          <w:sz w:val="18"/>
          <w:szCs w:val="18"/>
        </w:rPr>
      </w:pPr>
      <w:r w:rsidRPr="00C70D7D">
        <w:rPr>
          <w:rFonts w:ascii="Tahoma" w:hAnsi="Tahoma" w:cs="Tahoma"/>
          <w:sz w:val="18"/>
          <w:szCs w:val="18"/>
        </w:rPr>
        <w:t>Sistemi Operativi MSDN</w:t>
      </w:r>
    </w:p>
    <w:p w:rsidR="0055611F" w:rsidRPr="00C70D7D" w:rsidRDefault="00223A77" w:rsidP="00076CB4">
      <w:pPr>
        <w:pStyle w:val="FootnoteBulletLevel1"/>
        <w:tabs>
          <w:tab w:val="clear" w:pos="900"/>
        </w:tabs>
        <w:spacing w:before="0" w:after="0"/>
        <w:ind w:left="720" w:firstLine="0"/>
        <w:rPr>
          <w:rFonts w:ascii="Tahoma" w:hAnsi="Tahoma" w:cs="Tahoma"/>
          <w:sz w:val="18"/>
          <w:szCs w:val="18"/>
        </w:rPr>
      </w:pPr>
      <w:r w:rsidRPr="00C70D7D">
        <w:rPr>
          <w:rFonts w:ascii="Tahoma" w:hAnsi="Tahoma" w:cs="Tahoma"/>
          <w:sz w:val="18"/>
          <w:szCs w:val="18"/>
        </w:rPr>
        <w:lastRenderedPageBreak/>
        <w:t>Le società che hanno stipulato contratti Enterprise, Select o Open Value e con copertura Software Assurance attiva per Visual Studio Premium 2012 con MSDN potranno anch</w:t>
      </w:r>
      <w:r w:rsidR="00F2643E">
        <w:rPr>
          <w:rFonts w:ascii="Tahoma" w:hAnsi="Tahoma" w:cs="Tahoma"/>
          <w:sz w:val="18"/>
          <w:szCs w:val="18"/>
        </w:rPr>
        <w:t>’</w:t>
      </w:r>
      <w:r w:rsidRPr="00C70D7D">
        <w:rPr>
          <w:rFonts w:ascii="Tahoma" w:hAnsi="Tahoma" w:cs="Tahoma"/>
          <w:sz w:val="18"/>
          <w:szCs w:val="18"/>
        </w:rPr>
        <w:t xml:space="preserve">esse effettuare lo step-up a Visual Studio Ultimate 2012 con MSDN dopo aver acquistato lo </w:t>
      </w:r>
      <w:hyperlink w:anchor="Step_Up" w:history="1">
        <w:r w:rsidRPr="00C70D7D">
          <w:rPr>
            <w:rFonts w:ascii="Tahoma" w:hAnsi="Tahoma" w:cs="Tahoma"/>
            <w:sz w:val="18"/>
            <w:szCs w:val="18"/>
          </w:rPr>
          <w:t>SKU di Step-Up</w:t>
        </w:r>
      </w:hyperlink>
      <w:r w:rsidRPr="00C70D7D">
        <w:rPr>
          <w:rFonts w:ascii="Tahoma" w:hAnsi="Tahoma" w:cs="Tahoma"/>
          <w:sz w:val="18"/>
          <w:szCs w:val="18"/>
        </w:rPr>
        <w:t>idoneo.</w:t>
      </w:r>
    </w:p>
    <w:p w:rsidR="00CB436E" w:rsidRPr="00C70D7D" w:rsidRDefault="00CB436E" w:rsidP="00076CB4">
      <w:pPr>
        <w:pStyle w:val="FootnoteBulletLevel2"/>
        <w:tabs>
          <w:tab w:val="clear" w:pos="1260"/>
        </w:tabs>
        <w:spacing w:before="0"/>
        <w:ind w:left="720" w:firstLine="0"/>
        <w:rPr>
          <w:rFonts w:ascii="Tahoma" w:hAnsi="Tahoma" w:cs="Tahoma"/>
          <w:sz w:val="18"/>
          <w:szCs w:val="18"/>
        </w:rPr>
      </w:pPr>
    </w:p>
    <w:p w:rsidR="0055611F" w:rsidRPr="00C70D7D" w:rsidRDefault="0055611F" w:rsidP="00864B8A">
      <w:pPr>
        <w:spacing w:after="60"/>
        <w:ind w:left="720"/>
        <w:rPr>
          <w:rFonts w:cs="Tahoma"/>
          <w:szCs w:val="18"/>
        </w:rPr>
      </w:pPr>
      <w:r w:rsidRPr="00C70D7D">
        <w:rPr>
          <w:rFonts w:cs="Tahoma"/>
          <w:b/>
          <w:szCs w:val="18"/>
        </w:rPr>
        <w:t>Servizi “Subscription”</w:t>
      </w:r>
    </w:p>
    <w:p w:rsidR="0055611F" w:rsidRPr="00C70D7D" w:rsidRDefault="0055611F" w:rsidP="00076CB4">
      <w:pPr>
        <w:pStyle w:val="FootnoteBulletLevel2"/>
        <w:tabs>
          <w:tab w:val="clear" w:pos="1260"/>
        </w:tabs>
        <w:spacing w:before="0"/>
        <w:ind w:left="720" w:firstLine="0"/>
        <w:rPr>
          <w:rFonts w:ascii="Tahoma" w:hAnsi="Tahoma" w:cs="Tahoma"/>
          <w:sz w:val="18"/>
          <w:szCs w:val="18"/>
        </w:rPr>
      </w:pPr>
      <w:r w:rsidRPr="00C70D7D">
        <w:rPr>
          <w:rFonts w:ascii="Tahoma" w:hAnsi="Tahoma" w:cs="Tahoma"/>
          <w:sz w:val="18"/>
          <w:szCs w:val="18"/>
        </w:rPr>
        <w:t>I servizi MSDN in abbonamento, che potranno includere download, codici Product Key, vantaggi di Windows Azure, vantaggi di Office 365 Developer, e-learning, supporto tecnico, vantaggi di Windows Store e altri servizi, sono disponibili solo durante il periodo di validità dell</w:t>
      </w:r>
      <w:r w:rsidR="00F2643E">
        <w:rPr>
          <w:rFonts w:ascii="Tahoma" w:hAnsi="Tahoma" w:cs="Tahoma"/>
          <w:sz w:val="18"/>
          <w:szCs w:val="18"/>
        </w:rPr>
        <w:t>’</w:t>
      </w:r>
      <w:r w:rsidRPr="00C70D7D">
        <w:rPr>
          <w:rFonts w:ascii="Tahoma" w:hAnsi="Tahoma" w:cs="Tahoma"/>
          <w:sz w:val="18"/>
          <w:szCs w:val="18"/>
        </w:rPr>
        <w:t>abbonamento.</w:t>
      </w:r>
    </w:p>
    <w:p w:rsidR="0055611F" w:rsidRPr="00C70D7D" w:rsidRDefault="0055611F" w:rsidP="00076CB4">
      <w:pPr>
        <w:pStyle w:val="FootnoteBulletLevel1"/>
        <w:tabs>
          <w:tab w:val="clear" w:pos="900"/>
        </w:tabs>
        <w:spacing w:before="0" w:after="0"/>
        <w:ind w:left="720" w:firstLine="0"/>
        <w:rPr>
          <w:rFonts w:ascii="Tahoma" w:hAnsi="Tahoma" w:cs="Tahoma"/>
          <w:sz w:val="18"/>
          <w:szCs w:val="18"/>
        </w:rPr>
      </w:pPr>
    </w:p>
    <w:p w:rsidR="0055611F" w:rsidRPr="00C70D7D" w:rsidRDefault="009B2474" w:rsidP="00864B8A">
      <w:pPr>
        <w:spacing w:after="60"/>
        <w:ind w:left="720"/>
        <w:rPr>
          <w:rFonts w:cs="Tahoma"/>
          <w:szCs w:val="18"/>
        </w:rPr>
      </w:pPr>
      <w:r w:rsidRPr="00C70D7D">
        <w:rPr>
          <w:rFonts w:cs="Tahoma"/>
          <w:b/>
          <w:szCs w:val="18"/>
        </w:rPr>
        <w:t>Servizi della Piattaforma Windows Azure</w:t>
      </w:r>
    </w:p>
    <w:p w:rsidR="00DB3ECB" w:rsidRPr="00C70D7D" w:rsidRDefault="0055611F" w:rsidP="001760D6">
      <w:pPr>
        <w:pStyle w:val="FootnoteBulletLevel2"/>
        <w:tabs>
          <w:tab w:val="clear" w:pos="1260"/>
        </w:tabs>
        <w:spacing w:before="0"/>
        <w:ind w:left="720" w:firstLine="0"/>
        <w:rPr>
          <w:rFonts w:ascii="Tahoma" w:hAnsi="Tahoma" w:cs="Tahoma"/>
          <w:sz w:val="18"/>
          <w:szCs w:val="18"/>
        </w:rPr>
      </w:pPr>
      <w:r w:rsidRPr="00C70D7D">
        <w:rPr>
          <w:rFonts w:ascii="Tahoma" w:hAnsi="Tahoma" w:cs="Tahoma"/>
          <w:sz w:val="18"/>
          <w:szCs w:val="18"/>
        </w:rPr>
        <w:t>I vantaggi di Windows Azure non possono essere una combinazione di più abbonamenti a MSDN su un singolo account di Windows Azure. L</w:t>
      </w:r>
      <w:r w:rsidR="00F2643E">
        <w:rPr>
          <w:rFonts w:ascii="Tahoma" w:hAnsi="Tahoma" w:cs="Tahoma"/>
          <w:sz w:val="18"/>
          <w:szCs w:val="18"/>
        </w:rPr>
        <w:t>’</w:t>
      </w:r>
      <w:r w:rsidRPr="00C70D7D">
        <w:rPr>
          <w:rFonts w:ascii="Tahoma" w:hAnsi="Tahoma" w:cs="Tahoma"/>
          <w:sz w:val="18"/>
          <w:szCs w:val="18"/>
        </w:rPr>
        <w:t>uso di Windows Azure è soggetto alle relative condizioni per l</w:t>
      </w:r>
      <w:r w:rsidR="00F2643E">
        <w:rPr>
          <w:rFonts w:ascii="Tahoma" w:hAnsi="Tahoma" w:cs="Tahoma"/>
          <w:sz w:val="18"/>
          <w:szCs w:val="18"/>
        </w:rPr>
        <w:t>’</w:t>
      </w:r>
      <w:r w:rsidRPr="00C70D7D">
        <w:rPr>
          <w:rFonts w:ascii="Tahoma" w:hAnsi="Tahoma" w:cs="Tahoma"/>
          <w:sz w:val="18"/>
          <w:szCs w:val="18"/>
        </w:rPr>
        <w:t>utilizzo.</w:t>
      </w:r>
    </w:p>
    <w:p w:rsidR="0055611F" w:rsidRPr="00C70D7D" w:rsidRDefault="0055611F" w:rsidP="00CB436E">
      <w:pPr>
        <w:pStyle w:val="FootnoteBulletLevel2"/>
        <w:tabs>
          <w:tab w:val="clear" w:pos="1260"/>
        </w:tabs>
        <w:spacing w:before="0"/>
        <w:ind w:left="0" w:firstLine="0"/>
        <w:rPr>
          <w:rFonts w:ascii="Tahoma" w:hAnsi="Tahoma" w:cs="Tahoma"/>
          <w:sz w:val="18"/>
          <w:szCs w:val="18"/>
        </w:rPr>
      </w:pPr>
    </w:p>
    <w:p w:rsidR="00E03856" w:rsidRPr="00C70D7D" w:rsidRDefault="00E03856" w:rsidP="00CB436E">
      <w:pPr>
        <w:pStyle w:val="FootnoteBulletLevel2"/>
        <w:tabs>
          <w:tab w:val="clear" w:pos="1260"/>
        </w:tabs>
        <w:spacing w:before="0"/>
        <w:ind w:left="0" w:firstLine="0"/>
        <w:rPr>
          <w:rFonts w:ascii="Tahoma" w:hAnsi="Tahoma" w:cs="Tahoma"/>
          <w:sz w:val="18"/>
          <w:szCs w:val="18"/>
        </w:rPr>
      </w:pPr>
    </w:p>
    <w:p w:rsidR="00223A77" w:rsidRPr="00A75DF9" w:rsidRDefault="00A560B6" w:rsidP="00223A77">
      <w:pPr>
        <w:pStyle w:val="Heading3"/>
        <w:rPr>
          <w:rFonts w:ascii="Tahoma" w:hAnsi="Tahoma" w:cs="Tahoma"/>
        </w:rPr>
      </w:pPr>
      <w:bookmarkStart w:id="1075" w:name="_22_Visual_Studio"/>
      <w:bookmarkStart w:id="1076" w:name="_Toc336338278"/>
      <w:bookmarkStart w:id="1077" w:name="Aps_18VS2010UltimateMSDN"/>
      <w:bookmarkStart w:id="1078" w:name="_Toc368310271"/>
      <w:bookmarkEnd w:id="1075"/>
      <w:r w:rsidRPr="00A75DF9">
        <w:rPr>
          <w:rFonts w:ascii="Tahoma" w:hAnsi="Tahoma" w:cs="Tahoma"/>
          <w:caps/>
          <w:color w:val="F66400"/>
          <w:sz w:val="22"/>
          <w:vertAlign w:val="superscript"/>
        </w:rPr>
        <w:t>23</w:t>
      </w:r>
      <w:r w:rsidRPr="00A75DF9">
        <w:rPr>
          <w:rFonts w:ascii="Tahoma" w:hAnsi="Tahoma" w:cs="Tahoma"/>
          <w:color w:val="F66400"/>
          <w:sz w:val="22"/>
        </w:rPr>
        <w:t xml:space="preserve"> Visual Studio Ultimate 2012 con MSDN</w:t>
      </w:r>
      <w:bookmarkEnd w:id="1076"/>
      <w:bookmarkEnd w:id="1078"/>
      <w:r w:rsidRPr="00A75DF9">
        <w:rPr>
          <w:rFonts w:ascii="Tahoma" w:hAnsi="Tahoma" w:cs="Tahoma"/>
          <w:color w:val="F66400"/>
          <w:sz w:val="22"/>
        </w:rPr>
        <w:t xml:space="preserve"> </w:t>
      </w:r>
    </w:p>
    <w:bookmarkEnd w:id="1077"/>
    <w:p w:rsidR="0032113C" w:rsidRPr="00A75DF9" w:rsidRDefault="0032113C" w:rsidP="007A4659">
      <w:pPr>
        <w:adjustRightInd w:val="0"/>
        <w:ind w:left="540"/>
        <w:textAlignment w:val="baseline"/>
        <w:rPr>
          <w:rFonts w:cs="Tahoma"/>
        </w:rPr>
      </w:pPr>
    </w:p>
    <w:p w:rsidR="001026FD" w:rsidRPr="00A75DF9" w:rsidRDefault="001026FD" w:rsidP="00864B8A">
      <w:pPr>
        <w:spacing w:after="60"/>
        <w:ind w:left="720"/>
        <w:rPr>
          <w:rFonts w:cs="Tahoma"/>
        </w:rPr>
      </w:pPr>
      <w:r w:rsidRPr="00A75DF9">
        <w:rPr>
          <w:rFonts w:cs="Tahoma"/>
          <w:b/>
        </w:rPr>
        <w:t>Visual Studio Team Foundation Server 2012</w:t>
      </w:r>
    </w:p>
    <w:p w:rsidR="001026FD" w:rsidRPr="00C70D7D" w:rsidRDefault="001026FD" w:rsidP="00791108">
      <w:pPr>
        <w:pStyle w:val="EndnoteText"/>
        <w:ind w:left="720"/>
        <w:rPr>
          <w:rFonts w:ascii="Tahoma" w:hAnsi="Tahoma" w:cs="Tahoma"/>
          <w:sz w:val="18"/>
          <w:szCs w:val="18"/>
        </w:rPr>
      </w:pPr>
      <w:r w:rsidRPr="00C70D7D">
        <w:rPr>
          <w:rFonts w:ascii="Tahoma" w:hAnsi="Tahoma" w:cs="Tahoma"/>
          <w:sz w:val="18"/>
          <w:szCs w:val="18"/>
        </w:rPr>
        <w:t>Il sottoscrittore è autorizzato a ricevere una licenza server per Visual Studio Team Foundation Server 2012 e</w:t>
      </w:r>
      <w:r w:rsidR="00791108">
        <w:rPr>
          <w:rFonts w:ascii="Tahoma" w:hAnsi="Tahoma" w:cs="Tahoma"/>
          <w:sz w:val="18"/>
          <w:szCs w:val="18"/>
        </w:rPr>
        <w:t> </w:t>
      </w:r>
      <w:r w:rsidRPr="00C70D7D">
        <w:rPr>
          <w:rFonts w:ascii="Tahoma" w:hAnsi="Tahoma" w:cs="Tahoma"/>
          <w:sz w:val="18"/>
          <w:szCs w:val="18"/>
        </w:rPr>
        <w:t>una User CAL per Team Foundation Server. La licenza CAL può essere utilizzata esclusivamente dal sottoscrittore.</w:t>
      </w:r>
    </w:p>
    <w:p w:rsidR="001026FD" w:rsidRPr="00C70D7D" w:rsidRDefault="001026FD" w:rsidP="007A4659">
      <w:pPr>
        <w:pStyle w:val="EndnoteText"/>
        <w:ind w:left="720"/>
        <w:rPr>
          <w:rFonts w:ascii="Tahoma" w:hAnsi="Tahoma" w:cs="Tahoma"/>
          <w:sz w:val="18"/>
          <w:szCs w:val="18"/>
        </w:rPr>
      </w:pPr>
    </w:p>
    <w:p w:rsidR="001026FD" w:rsidRPr="00A75DF9" w:rsidRDefault="001026FD" w:rsidP="00864B8A">
      <w:pPr>
        <w:spacing w:after="60"/>
        <w:ind w:left="720"/>
        <w:rPr>
          <w:rFonts w:cs="Tahoma"/>
        </w:rPr>
      </w:pPr>
      <w:r w:rsidRPr="00A75DF9">
        <w:rPr>
          <w:rFonts w:cs="Tahoma"/>
          <w:b/>
        </w:rPr>
        <w:t>SQL Server Parallel Data Warehouse Developer</w:t>
      </w:r>
    </w:p>
    <w:p w:rsidR="001026FD" w:rsidRPr="00C70D7D" w:rsidRDefault="001026FD" w:rsidP="007A4659">
      <w:pPr>
        <w:pStyle w:val="EndnoteText"/>
        <w:ind w:left="720"/>
        <w:rPr>
          <w:rFonts w:ascii="Tahoma" w:hAnsi="Tahoma" w:cs="Tahoma"/>
          <w:sz w:val="18"/>
          <w:szCs w:val="18"/>
        </w:rPr>
      </w:pPr>
      <w:r w:rsidRPr="00C70D7D">
        <w:rPr>
          <w:rFonts w:ascii="Tahoma" w:hAnsi="Tahoma" w:cs="Tahoma"/>
          <w:sz w:val="18"/>
          <w:szCs w:val="18"/>
        </w:rPr>
        <w:t>Il sottoscrittore è idoneo a ricevere una licenza per SQL Server 2008 R2 Parallel Data Warehouse Developer.</w:t>
      </w:r>
    </w:p>
    <w:p w:rsidR="007A4659" w:rsidRPr="00A75DF9" w:rsidRDefault="007A4659" w:rsidP="007A4659">
      <w:pPr>
        <w:adjustRightInd w:val="0"/>
        <w:ind w:left="720"/>
        <w:textAlignment w:val="baseline"/>
        <w:rPr>
          <w:rFonts w:cs="Tahoma"/>
        </w:rPr>
      </w:pPr>
    </w:p>
    <w:p w:rsidR="0032113C" w:rsidRPr="00A75DF9" w:rsidRDefault="0032113C" w:rsidP="00864B8A">
      <w:pPr>
        <w:spacing w:after="60"/>
        <w:ind w:left="720"/>
        <w:rPr>
          <w:rFonts w:cs="Tahoma"/>
        </w:rPr>
      </w:pPr>
      <w:r w:rsidRPr="00A75DF9">
        <w:rPr>
          <w:rFonts w:cs="Tahoma"/>
          <w:b/>
        </w:rPr>
        <w:t>Requisiti di Idoneità per Software Assurance</w:t>
      </w:r>
    </w:p>
    <w:p w:rsidR="0032113C" w:rsidRPr="00C70D7D" w:rsidRDefault="0032113C" w:rsidP="00791108">
      <w:pPr>
        <w:pStyle w:val="EndnoteText"/>
        <w:ind w:left="720"/>
        <w:rPr>
          <w:rFonts w:ascii="Tahoma" w:hAnsi="Tahoma" w:cs="Tahoma"/>
          <w:sz w:val="18"/>
          <w:szCs w:val="18"/>
        </w:rPr>
      </w:pPr>
      <w:r w:rsidRPr="00C70D7D">
        <w:rPr>
          <w:rFonts w:ascii="Tahoma" w:hAnsi="Tahoma" w:cs="Tahoma"/>
          <w:sz w:val="18"/>
          <w:szCs w:val="18"/>
        </w:rPr>
        <w:t>Le società con copertura Software Assurance in scadenza per i prodotti che seguono sono idonee a rinnovare la copertura come Visual Studio Ultimate 2012 con MSDN. Quando viene effettuato il rinnovo a</w:t>
      </w:r>
      <w:r w:rsidR="00791108">
        <w:rPr>
          <w:rFonts w:ascii="Tahoma" w:hAnsi="Tahoma" w:cs="Tahoma"/>
          <w:sz w:val="18"/>
          <w:szCs w:val="18"/>
        </w:rPr>
        <w:t> </w:t>
      </w:r>
      <w:r w:rsidRPr="00C70D7D">
        <w:rPr>
          <w:rFonts w:ascii="Tahoma" w:hAnsi="Tahoma" w:cs="Tahoma"/>
          <w:sz w:val="18"/>
          <w:szCs w:val="18"/>
        </w:rPr>
        <w:t>un</w:t>
      </w:r>
      <w:r w:rsidR="00791108">
        <w:rPr>
          <w:rFonts w:ascii="Tahoma" w:hAnsi="Tahoma" w:cs="Tahoma"/>
          <w:sz w:val="18"/>
          <w:szCs w:val="18"/>
        </w:rPr>
        <w:t> </w:t>
      </w:r>
      <w:r w:rsidRPr="00C70D7D">
        <w:rPr>
          <w:rFonts w:ascii="Tahoma" w:hAnsi="Tahoma" w:cs="Tahoma"/>
          <w:sz w:val="18"/>
          <w:szCs w:val="18"/>
        </w:rPr>
        <w:t>livello di abbonamento MSDN diverso, le nuove condizioni per l</w:t>
      </w:r>
      <w:r w:rsidR="00F2643E">
        <w:rPr>
          <w:rFonts w:ascii="Tahoma" w:hAnsi="Tahoma" w:cs="Tahoma"/>
          <w:sz w:val="18"/>
          <w:szCs w:val="18"/>
        </w:rPr>
        <w:t>’</w:t>
      </w:r>
      <w:r w:rsidRPr="00C70D7D">
        <w:rPr>
          <w:rFonts w:ascii="Tahoma" w:hAnsi="Tahoma" w:cs="Tahoma"/>
          <w:sz w:val="18"/>
          <w:szCs w:val="18"/>
        </w:rPr>
        <w:t>utilizzo sostituiscono quelle precedenti e</w:t>
      </w:r>
      <w:r w:rsidR="00791108">
        <w:rPr>
          <w:rFonts w:ascii="Tahoma" w:hAnsi="Tahoma" w:cs="Tahoma"/>
          <w:sz w:val="18"/>
          <w:szCs w:val="18"/>
        </w:rPr>
        <w:t> </w:t>
      </w:r>
      <w:r w:rsidRPr="00C70D7D">
        <w:rPr>
          <w:rFonts w:ascii="Tahoma" w:hAnsi="Tahoma" w:cs="Tahoma"/>
          <w:sz w:val="18"/>
          <w:szCs w:val="18"/>
        </w:rPr>
        <w:t>qualsiasi prodotto software non incluso nel nuovo abbonamento MSDN dovrà essere rimosso.</w:t>
      </w:r>
    </w:p>
    <w:p w:rsidR="0032113C" w:rsidRPr="00A75DF9" w:rsidRDefault="0032113C" w:rsidP="0032113C">
      <w:pPr>
        <w:ind w:left="900"/>
        <w:rPr>
          <w:rFonts w:cs="Tahoma"/>
        </w:rPr>
      </w:pPr>
    </w:p>
    <w:p w:rsidR="0032113C" w:rsidRPr="00A75DF9" w:rsidRDefault="0032113C" w:rsidP="007A4659">
      <w:pPr>
        <w:numPr>
          <w:ilvl w:val="0"/>
          <w:numId w:val="6"/>
        </w:numPr>
        <w:adjustRightInd w:val="0"/>
        <w:snapToGrid w:val="0"/>
        <w:spacing w:after="60"/>
        <w:ind w:left="1440"/>
        <w:textAlignment w:val="baseline"/>
        <w:rPr>
          <w:rFonts w:cs="Tahoma"/>
        </w:rPr>
      </w:pPr>
      <w:r w:rsidRPr="00A75DF9">
        <w:rPr>
          <w:rFonts w:cs="Tahoma"/>
          <w:szCs w:val="24"/>
        </w:rPr>
        <w:t>Visual Studio Ultimate con MSDN</w:t>
      </w:r>
    </w:p>
    <w:p w:rsidR="0032113C" w:rsidRPr="00A75DF9" w:rsidRDefault="0032113C" w:rsidP="007A4659">
      <w:pPr>
        <w:numPr>
          <w:ilvl w:val="0"/>
          <w:numId w:val="6"/>
        </w:numPr>
        <w:adjustRightInd w:val="0"/>
        <w:snapToGrid w:val="0"/>
        <w:spacing w:after="60"/>
        <w:ind w:left="1440"/>
        <w:textAlignment w:val="baseline"/>
        <w:rPr>
          <w:rFonts w:cs="Tahoma"/>
        </w:rPr>
      </w:pPr>
      <w:r w:rsidRPr="00A75DF9">
        <w:rPr>
          <w:rFonts w:cs="Tahoma"/>
          <w:szCs w:val="24"/>
        </w:rPr>
        <w:t>Visual Studio Team System Team Suite con MSDN Premium</w:t>
      </w:r>
    </w:p>
    <w:p w:rsidR="0032113C" w:rsidRPr="00A75DF9" w:rsidRDefault="0032113C" w:rsidP="007A4659">
      <w:pPr>
        <w:numPr>
          <w:ilvl w:val="0"/>
          <w:numId w:val="6"/>
        </w:numPr>
        <w:adjustRightInd w:val="0"/>
        <w:snapToGrid w:val="0"/>
        <w:spacing w:after="60"/>
        <w:ind w:left="1440"/>
        <w:textAlignment w:val="baseline"/>
        <w:rPr>
          <w:rFonts w:cs="Tahoma"/>
        </w:rPr>
      </w:pPr>
      <w:r w:rsidRPr="00A75DF9">
        <w:rPr>
          <w:rFonts w:cs="Tahoma"/>
          <w:szCs w:val="24"/>
        </w:rPr>
        <w:t>Visual Studio Team System Test Edition con MSDN Premium</w:t>
      </w:r>
    </w:p>
    <w:p w:rsidR="0032113C" w:rsidRPr="00A75DF9" w:rsidRDefault="0032113C" w:rsidP="007A4659">
      <w:pPr>
        <w:numPr>
          <w:ilvl w:val="0"/>
          <w:numId w:val="6"/>
        </w:numPr>
        <w:adjustRightInd w:val="0"/>
        <w:snapToGrid w:val="0"/>
        <w:spacing w:after="60"/>
        <w:ind w:left="1440"/>
        <w:textAlignment w:val="baseline"/>
        <w:rPr>
          <w:rFonts w:cs="Tahoma"/>
        </w:rPr>
      </w:pPr>
      <w:r w:rsidRPr="00A75DF9">
        <w:rPr>
          <w:rFonts w:cs="Tahoma"/>
          <w:szCs w:val="24"/>
        </w:rPr>
        <w:t>Visual Studio Team System Development Edition con MSDN Premium</w:t>
      </w:r>
    </w:p>
    <w:p w:rsidR="0032113C" w:rsidRPr="00A75DF9" w:rsidRDefault="0032113C" w:rsidP="007A4659">
      <w:pPr>
        <w:numPr>
          <w:ilvl w:val="0"/>
          <w:numId w:val="6"/>
        </w:numPr>
        <w:adjustRightInd w:val="0"/>
        <w:snapToGrid w:val="0"/>
        <w:spacing w:after="60"/>
        <w:ind w:left="1440"/>
        <w:textAlignment w:val="baseline"/>
        <w:rPr>
          <w:rFonts w:cs="Tahoma"/>
        </w:rPr>
      </w:pPr>
      <w:r w:rsidRPr="00A75DF9">
        <w:rPr>
          <w:rFonts w:cs="Tahoma"/>
          <w:szCs w:val="24"/>
        </w:rPr>
        <w:t xml:space="preserve">Visual Studio Team System Architecture Edition con MSDN Premium </w:t>
      </w:r>
    </w:p>
    <w:p w:rsidR="0032113C" w:rsidRPr="00A75DF9" w:rsidRDefault="0032113C" w:rsidP="007A4659">
      <w:pPr>
        <w:numPr>
          <w:ilvl w:val="0"/>
          <w:numId w:val="6"/>
        </w:numPr>
        <w:adjustRightInd w:val="0"/>
        <w:snapToGrid w:val="0"/>
        <w:spacing w:after="60"/>
        <w:ind w:left="1440"/>
        <w:textAlignment w:val="baseline"/>
        <w:rPr>
          <w:rFonts w:cs="Tahoma"/>
        </w:rPr>
      </w:pPr>
      <w:r w:rsidRPr="00A75DF9">
        <w:rPr>
          <w:rFonts w:cs="Tahoma"/>
          <w:szCs w:val="24"/>
        </w:rPr>
        <w:t>Visual Studio Team System Database Edition con MSDN Premium</w:t>
      </w:r>
    </w:p>
    <w:p w:rsidR="0032113C" w:rsidRPr="00A75DF9" w:rsidRDefault="0032113C" w:rsidP="007A4659">
      <w:pPr>
        <w:numPr>
          <w:ilvl w:val="0"/>
          <w:numId w:val="6"/>
        </w:numPr>
        <w:adjustRightInd w:val="0"/>
        <w:snapToGrid w:val="0"/>
        <w:spacing w:after="60"/>
        <w:ind w:left="1440"/>
        <w:textAlignment w:val="baseline"/>
        <w:rPr>
          <w:rFonts w:cs="Tahoma"/>
        </w:rPr>
      </w:pPr>
      <w:r w:rsidRPr="00A75DF9">
        <w:rPr>
          <w:rFonts w:cs="Tahoma"/>
          <w:szCs w:val="24"/>
        </w:rPr>
        <w:t>Società titolari di un abbonamento retail attivo per qualsiasi prodotto software indicato nel precedente elenco.</w:t>
      </w:r>
    </w:p>
    <w:p w:rsidR="0032113C" w:rsidRPr="00A75DF9" w:rsidRDefault="0032113C" w:rsidP="007A4659">
      <w:pPr>
        <w:tabs>
          <w:tab w:val="num" w:pos="900"/>
        </w:tabs>
        <w:adjustRightInd w:val="0"/>
        <w:ind w:left="1440"/>
        <w:textAlignment w:val="baseline"/>
        <w:rPr>
          <w:rFonts w:cs="Tahoma"/>
        </w:rPr>
      </w:pPr>
    </w:p>
    <w:p w:rsidR="0032113C" w:rsidRPr="00A75DF9" w:rsidRDefault="0032113C" w:rsidP="007A4659">
      <w:pPr>
        <w:adjustRightInd w:val="0"/>
        <w:ind w:left="720"/>
        <w:textAlignment w:val="baseline"/>
        <w:rPr>
          <w:rFonts w:cs="Tahoma"/>
        </w:rPr>
      </w:pPr>
      <w:r w:rsidRPr="00A75DF9">
        <w:rPr>
          <w:rFonts w:cs="Tahoma"/>
          <w:szCs w:val="20"/>
        </w:rPr>
        <w:t xml:space="preserve">Le società con copertura Software Assurance in scadenza per Visual Studio Ultimate 2012 con MSDN sono idonee a rinnovare la copertura come: </w:t>
      </w:r>
    </w:p>
    <w:p w:rsidR="007A4659" w:rsidRPr="00A75DF9" w:rsidRDefault="007A4659" w:rsidP="007A4659">
      <w:pPr>
        <w:adjustRightInd w:val="0"/>
        <w:ind w:left="720"/>
        <w:textAlignment w:val="baseline"/>
        <w:rPr>
          <w:rFonts w:cs="Tahoma"/>
        </w:rPr>
      </w:pPr>
    </w:p>
    <w:p w:rsidR="0032113C" w:rsidRPr="00A75DF9" w:rsidRDefault="0032113C" w:rsidP="007A4659">
      <w:pPr>
        <w:numPr>
          <w:ilvl w:val="0"/>
          <w:numId w:val="6"/>
        </w:numPr>
        <w:adjustRightInd w:val="0"/>
        <w:snapToGrid w:val="0"/>
        <w:spacing w:after="60"/>
        <w:ind w:left="1440"/>
        <w:textAlignment w:val="baseline"/>
        <w:rPr>
          <w:rFonts w:cs="Tahoma"/>
        </w:rPr>
      </w:pPr>
      <w:r w:rsidRPr="00A75DF9">
        <w:rPr>
          <w:rFonts w:cs="Tahoma"/>
          <w:szCs w:val="24"/>
        </w:rPr>
        <w:t>Visual Studio Premium con MSDN</w:t>
      </w:r>
    </w:p>
    <w:p w:rsidR="0032113C" w:rsidRPr="00A75DF9" w:rsidRDefault="0032113C" w:rsidP="007A4659">
      <w:pPr>
        <w:numPr>
          <w:ilvl w:val="0"/>
          <w:numId w:val="6"/>
        </w:numPr>
        <w:adjustRightInd w:val="0"/>
        <w:snapToGrid w:val="0"/>
        <w:spacing w:after="60"/>
        <w:ind w:left="1440"/>
        <w:textAlignment w:val="baseline"/>
        <w:rPr>
          <w:rFonts w:cs="Tahoma"/>
        </w:rPr>
      </w:pPr>
      <w:r w:rsidRPr="00A75DF9">
        <w:rPr>
          <w:rFonts w:cs="Tahoma"/>
          <w:szCs w:val="24"/>
        </w:rPr>
        <w:t>Visual Studio Professional con MSDN</w:t>
      </w:r>
    </w:p>
    <w:p w:rsidR="0032113C" w:rsidRPr="00A75DF9" w:rsidRDefault="0032113C" w:rsidP="007A4659">
      <w:pPr>
        <w:numPr>
          <w:ilvl w:val="0"/>
          <w:numId w:val="6"/>
        </w:numPr>
        <w:adjustRightInd w:val="0"/>
        <w:snapToGrid w:val="0"/>
        <w:spacing w:after="60"/>
        <w:ind w:left="1440"/>
        <w:textAlignment w:val="baseline"/>
        <w:rPr>
          <w:rFonts w:cs="Tahoma"/>
        </w:rPr>
      </w:pPr>
      <w:r w:rsidRPr="00A75DF9">
        <w:rPr>
          <w:rFonts w:cs="Tahoma"/>
          <w:szCs w:val="24"/>
        </w:rPr>
        <w:t>Visual Studio Test Professional con MSDN</w:t>
      </w:r>
    </w:p>
    <w:p w:rsidR="0032113C" w:rsidRPr="00A75DF9" w:rsidRDefault="0032113C" w:rsidP="007A4659">
      <w:pPr>
        <w:numPr>
          <w:ilvl w:val="0"/>
          <w:numId w:val="6"/>
        </w:numPr>
        <w:adjustRightInd w:val="0"/>
        <w:snapToGrid w:val="0"/>
        <w:spacing w:after="60"/>
        <w:ind w:left="1440"/>
        <w:textAlignment w:val="baseline"/>
        <w:rPr>
          <w:rFonts w:cs="Tahoma"/>
        </w:rPr>
      </w:pPr>
      <w:r w:rsidRPr="00A75DF9">
        <w:rPr>
          <w:rFonts w:cs="Tahoma"/>
          <w:szCs w:val="24"/>
        </w:rPr>
        <w:t>Sistemi Operativi MSDN</w:t>
      </w:r>
    </w:p>
    <w:p w:rsidR="00413D8A" w:rsidRPr="00A75DF9" w:rsidRDefault="00413D8A">
      <w:pPr>
        <w:rPr>
          <w:rFonts w:cs="Tahoma"/>
        </w:rPr>
      </w:pPr>
    </w:p>
    <w:p w:rsidR="0055611F" w:rsidRPr="00A75DF9" w:rsidRDefault="009B2474" w:rsidP="007B35CE">
      <w:pPr>
        <w:keepNext/>
        <w:spacing w:after="60"/>
        <w:ind w:left="720"/>
        <w:rPr>
          <w:rFonts w:cs="Tahoma"/>
        </w:rPr>
      </w:pPr>
      <w:r w:rsidRPr="00A75DF9">
        <w:rPr>
          <w:rFonts w:cs="Tahoma"/>
          <w:b/>
        </w:rPr>
        <w:t>Servizi “Subscription”</w:t>
      </w:r>
    </w:p>
    <w:p w:rsidR="0055611F" w:rsidRPr="00C70D7D" w:rsidRDefault="0055611F" w:rsidP="007A4659">
      <w:pPr>
        <w:pStyle w:val="FootnoteBulletLevel2"/>
        <w:tabs>
          <w:tab w:val="clear" w:pos="1260"/>
        </w:tabs>
        <w:spacing w:before="0"/>
        <w:ind w:left="720" w:firstLine="0"/>
        <w:rPr>
          <w:rFonts w:ascii="Tahoma" w:hAnsi="Tahoma" w:cs="Tahoma"/>
          <w:sz w:val="18"/>
          <w:szCs w:val="18"/>
        </w:rPr>
      </w:pPr>
      <w:r w:rsidRPr="00C70D7D">
        <w:rPr>
          <w:rFonts w:ascii="Tahoma" w:hAnsi="Tahoma" w:cs="Tahoma"/>
          <w:sz w:val="18"/>
          <w:szCs w:val="18"/>
        </w:rPr>
        <w:t>I servizi MSDN in abbonamento, che potranno includere download, codici Product Key, vantaggi di Windows Azure, vantaggi di Office 365 Developer, e-learning, supporto tecnico, vantaggi di Windows Store e altri servizi, sono disponibili solo durante il periodo di validità dell</w:t>
      </w:r>
      <w:r w:rsidR="00F2643E">
        <w:rPr>
          <w:rFonts w:ascii="Tahoma" w:hAnsi="Tahoma" w:cs="Tahoma"/>
          <w:sz w:val="18"/>
          <w:szCs w:val="18"/>
        </w:rPr>
        <w:t>’</w:t>
      </w:r>
      <w:r w:rsidRPr="00C70D7D">
        <w:rPr>
          <w:rFonts w:ascii="Tahoma" w:hAnsi="Tahoma" w:cs="Tahoma"/>
          <w:sz w:val="18"/>
          <w:szCs w:val="18"/>
        </w:rPr>
        <w:t>abbonamento.</w:t>
      </w:r>
    </w:p>
    <w:p w:rsidR="0055611F" w:rsidRDefault="0055611F" w:rsidP="007A4659">
      <w:pPr>
        <w:pStyle w:val="FootnoteBulletLevel1"/>
        <w:spacing w:before="0" w:after="0"/>
        <w:ind w:left="720" w:firstLine="0"/>
        <w:rPr>
          <w:rFonts w:ascii="Tahoma" w:hAnsi="Tahoma" w:cs="Tahoma"/>
        </w:rPr>
      </w:pPr>
    </w:p>
    <w:p w:rsidR="00C70D7D" w:rsidRPr="00A75DF9" w:rsidRDefault="00C70D7D" w:rsidP="007A4659">
      <w:pPr>
        <w:pStyle w:val="FootnoteBulletLevel1"/>
        <w:spacing w:before="0" w:after="0"/>
        <w:ind w:left="720" w:firstLine="0"/>
        <w:rPr>
          <w:rFonts w:ascii="Tahoma" w:hAnsi="Tahoma" w:cs="Tahoma"/>
        </w:rPr>
      </w:pPr>
    </w:p>
    <w:p w:rsidR="0055611F" w:rsidRPr="00A75DF9" w:rsidRDefault="0055611F" w:rsidP="00864B8A">
      <w:pPr>
        <w:spacing w:after="60"/>
        <w:ind w:left="720"/>
        <w:rPr>
          <w:rFonts w:cs="Tahoma"/>
        </w:rPr>
      </w:pPr>
      <w:r w:rsidRPr="00A75DF9">
        <w:rPr>
          <w:rFonts w:cs="Tahoma"/>
          <w:b/>
        </w:rPr>
        <w:lastRenderedPageBreak/>
        <w:t>Servizi della Piattaforma Windows Azure</w:t>
      </w:r>
    </w:p>
    <w:p w:rsidR="007A4659" w:rsidRPr="00A75DF9" w:rsidRDefault="0055611F" w:rsidP="007B35CE">
      <w:pPr>
        <w:adjustRightInd w:val="0"/>
        <w:snapToGrid w:val="0"/>
        <w:ind w:left="720"/>
        <w:textAlignment w:val="baseline"/>
        <w:rPr>
          <w:rFonts w:cs="Tahoma"/>
        </w:rPr>
      </w:pPr>
      <w:r w:rsidRPr="00A75DF9">
        <w:rPr>
          <w:rFonts w:cs="Tahoma"/>
        </w:rPr>
        <w:t>I vantaggi di Windows Azure non possono essere una combinazione di più abbonamenti a MSDN su un singolo account di Windows Azure. L</w:t>
      </w:r>
      <w:r w:rsidR="00F2643E">
        <w:rPr>
          <w:rFonts w:cs="Tahoma"/>
        </w:rPr>
        <w:t>’</w:t>
      </w:r>
      <w:r w:rsidRPr="00A75DF9">
        <w:rPr>
          <w:rFonts w:cs="Tahoma"/>
        </w:rPr>
        <w:t>uso di Windows Azure è soggetto alle relative condizioni per l</w:t>
      </w:r>
      <w:r w:rsidR="00F2643E">
        <w:rPr>
          <w:rFonts w:cs="Tahoma"/>
        </w:rPr>
        <w:t>’</w:t>
      </w:r>
      <w:r w:rsidRPr="00A75DF9">
        <w:rPr>
          <w:rFonts w:cs="Tahoma"/>
        </w:rPr>
        <w:t>utilizzo.</w:t>
      </w:r>
      <w:bookmarkStart w:id="1079" w:name="Aps_19VS2010TestMSDN"/>
    </w:p>
    <w:p w:rsidR="00F40C90" w:rsidRPr="00A75DF9" w:rsidRDefault="00F40C90" w:rsidP="007A4659">
      <w:pPr>
        <w:adjustRightInd w:val="0"/>
        <w:snapToGrid w:val="0"/>
        <w:textAlignment w:val="baseline"/>
        <w:rPr>
          <w:rFonts w:cs="Tahoma"/>
        </w:rPr>
      </w:pPr>
    </w:p>
    <w:p w:rsidR="007A4659" w:rsidRPr="00A75DF9" w:rsidRDefault="007A4659" w:rsidP="007A4659">
      <w:pPr>
        <w:adjustRightInd w:val="0"/>
        <w:snapToGrid w:val="0"/>
        <w:textAlignment w:val="baseline"/>
        <w:rPr>
          <w:rFonts w:cs="Tahoma"/>
        </w:rPr>
      </w:pPr>
    </w:p>
    <w:p w:rsidR="00223A77" w:rsidRPr="00A75DF9" w:rsidRDefault="00A560B6" w:rsidP="00D824E9">
      <w:pPr>
        <w:pStyle w:val="Heading3"/>
        <w:keepNext/>
        <w:rPr>
          <w:rFonts w:ascii="Tahoma" w:hAnsi="Tahoma" w:cs="Tahoma"/>
        </w:rPr>
      </w:pPr>
      <w:bookmarkStart w:id="1080" w:name="_23_Visual_Studio"/>
      <w:bookmarkStart w:id="1081" w:name="_Toc336338279"/>
      <w:bookmarkStart w:id="1082" w:name="_Toc368310272"/>
      <w:bookmarkEnd w:id="1080"/>
      <w:r w:rsidRPr="00A75DF9">
        <w:rPr>
          <w:rFonts w:ascii="Tahoma" w:hAnsi="Tahoma" w:cs="Tahoma"/>
          <w:caps/>
          <w:color w:val="F66400"/>
          <w:sz w:val="22"/>
          <w:vertAlign w:val="superscript"/>
        </w:rPr>
        <w:t>24</w:t>
      </w:r>
      <w:r w:rsidRPr="00A75DF9">
        <w:rPr>
          <w:rFonts w:ascii="Tahoma" w:hAnsi="Tahoma" w:cs="Tahoma"/>
          <w:color w:val="F66400"/>
          <w:sz w:val="22"/>
        </w:rPr>
        <w:t xml:space="preserve"> Visual Studio Test Professional 2012 con </w:t>
      </w:r>
      <w:bookmarkEnd w:id="1079"/>
      <w:r w:rsidRPr="00A75DF9">
        <w:rPr>
          <w:rFonts w:ascii="Tahoma" w:hAnsi="Tahoma" w:cs="Tahoma"/>
          <w:color w:val="F66400"/>
          <w:sz w:val="22"/>
        </w:rPr>
        <w:t>MSDN</w:t>
      </w:r>
      <w:bookmarkEnd w:id="1081"/>
      <w:bookmarkEnd w:id="1082"/>
      <w:r w:rsidRPr="00A75DF9">
        <w:rPr>
          <w:rFonts w:ascii="Tahoma" w:hAnsi="Tahoma" w:cs="Tahoma"/>
          <w:color w:val="F66400"/>
          <w:sz w:val="22"/>
        </w:rPr>
        <w:t xml:space="preserve"> </w:t>
      </w:r>
    </w:p>
    <w:p w:rsidR="00AC4485" w:rsidRPr="00C70D7D" w:rsidRDefault="00AC4485" w:rsidP="00D824E9">
      <w:pPr>
        <w:pStyle w:val="FootnoteBulletLevel1"/>
        <w:keepNext/>
        <w:spacing w:before="0" w:after="0"/>
        <w:rPr>
          <w:rFonts w:ascii="Tahoma" w:hAnsi="Tahoma" w:cs="Tahoma"/>
          <w:sz w:val="18"/>
          <w:szCs w:val="18"/>
        </w:rPr>
      </w:pPr>
    </w:p>
    <w:p w:rsidR="001026FD" w:rsidRPr="00C70D7D" w:rsidRDefault="001026FD" w:rsidP="00D824E9">
      <w:pPr>
        <w:keepNext/>
        <w:spacing w:after="60"/>
        <w:ind w:left="720"/>
        <w:rPr>
          <w:rFonts w:cs="Tahoma"/>
          <w:szCs w:val="18"/>
        </w:rPr>
      </w:pPr>
      <w:r w:rsidRPr="00C70D7D">
        <w:rPr>
          <w:rFonts w:cs="Tahoma"/>
          <w:b/>
          <w:szCs w:val="18"/>
        </w:rPr>
        <w:t>Visual Studio Team Foundation Server 2012</w:t>
      </w:r>
    </w:p>
    <w:p w:rsidR="001026FD" w:rsidRPr="00C70D7D" w:rsidRDefault="001026FD" w:rsidP="00E7500D">
      <w:pPr>
        <w:pStyle w:val="EndnoteText"/>
        <w:ind w:left="720"/>
        <w:rPr>
          <w:rFonts w:ascii="Tahoma" w:hAnsi="Tahoma" w:cs="Tahoma"/>
          <w:sz w:val="18"/>
          <w:szCs w:val="18"/>
        </w:rPr>
      </w:pPr>
      <w:r w:rsidRPr="00C70D7D">
        <w:rPr>
          <w:rFonts w:ascii="Tahoma" w:hAnsi="Tahoma" w:cs="Tahoma"/>
          <w:sz w:val="18"/>
          <w:szCs w:val="18"/>
        </w:rPr>
        <w:t>Il sottoscrittore è autorizzato a ricevere una licenza server per Visual Studio Team Foundation Server 2012 e una User CAL per Team Foundation Server. La licenza CAL può essere utilizzata esclusivamente dal sottoscrittore.</w:t>
      </w:r>
    </w:p>
    <w:p w:rsidR="001026FD" w:rsidRPr="00C70D7D" w:rsidRDefault="001026FD" w:rsidP="00E7500D">
      <w:pPr>
        <w:pStyle w:val="EndnoteText"/>
        <w:ind w:left="720"/>
        <w:rPr>
          <w:rFonts w:ascii="Tahoma" w:hAnsi="Tahoma" w:cs="Tahoma"/>
          <w:sz w:val="18"/>
          <w:szCs w:val="18"/>
        </w:rPr>
      </w:pPr>
    </w:p>
    <w:p w:rsidR="001026FD" w:rsidRPr="00C70D7D" w:rsidRDefault="001026FD" w:rsidP="00864B8A">
      <w:pPr>
        <w:spacing w:after="60"/>
        <w:ind w:left="720"/>
        <w:rPr>
          <w:rFonts w:cs="Tahoma"/>
          <w:szCs w:val="18"/>
        </w:rPr>
      </w:pPr>
      <w:r w:rsidRPr="00C70D7D">
        <w:rPr>
          <w:rFonts w:cs="Tahoma"/>
          <w:b/>
          <w:szCs w:val="18"/>
        </w:rPr>
        <w:t>SQL Server Parallel Data Warehouse Developer</w:t>
      </w:r>
    </w:p>
    <w:p w:rsidR="001026FD" w:rsidRPr="00C70D7D" w:rsidRDefault="001026FD" w:rsidP="00E7500D">
      <w:pPr>
        <w:pStyle w:val="EndnoteText"/>
        <w:ind w:left="720"/>
        <w:rPr>
          <w:rFonts w:ascii="Tahoma" w:hAnsi="Tahoma" w:cs="Tahoma"/>
          <w:sz w:val="18"/>
          <w:szCs w:val="18"/>
        </w:rPr>
      </w:pPr>
      <w:r w:rsidRPr="00C70D7D">
        <w:rPr>
          <w:rFonts w:ascii="Tahoma" w:hAnsi="Tahoma" w:cs="Tahoma"/>
          <w:sz w:val="18"/>
          <w:szCs w:val="18"/>
        </w:rPr>
        <w:t>Il sottoscrittore è idoneo a ricevere una licenza per SQL Server 2008 R2 Parallel Data Warehouse Developer.</w:t>
      </w:r>
    </w:p>
    <w:p w:rsidR="00E7500D" w:rsidRPr="00C70D7D" w:rsidRDefault="00E7500D" w:rsidP="00E7500D">
      <w:pPr>
        <w:pStyle w:val="FootnoteBulletLevel1"/>
        <w:tabs>
          <w:tab w:val="clear" w:pos="900"/>
        </w:tabs>
        <w:spacing w:before="0" w:after="0"/>
        <w:ind w:left="720" w:firstLine="0"/>
        <w:rPr>
          <w:rFonts w:ascii="Tahoma" w:hAnsi="Tahoma" w:cs="Tahoma"/>
          <w:sz w:val="18"/>
          <w:szCs w:val="18"/>
        </w:rPr>
      </w:pPr>
    </w:p>
    <w:p w:rsidR="00223A77" w:rsidRPr="00C70D7D" w:rsidRDefault="00223A77" w:rsidP="001760D6">
      <w:pPr>
        <w:keepNext/>
        <w:spacing w:after="60"/>
        <w:ind w:left="720"/>
        <w:rPr>
          <w:rFonts w:cs="Tahoma"/>
          <w:szCs w:val="18"/>
        </w:rPr>
      </w:pPr>
      <w:r w:rsidRPr="00C70D7D">
        <w:rPr>
          <w:rFonts w:cs="Tahoma"/>
          <w:b/>
          <w:szCs w:val="18"/>
        </w:rPr>
        <w:t>Requisiti di Idoneità per Software Assurance</w:t>
      </w:r>
    </w:p>
    <w:p w:rsidR="00223A77" w:rsidRPr="00C70D7D" w:rsidRDefault="00223A77" w:rsidP="00F40C90">
      <w:pPr>
        <w:tabs>
          <w:tab w:val="num" w:pos="1170"/>
        </w:tabs>
        <w:ind w:left="720"/>
        <w:rPr>
          <w:rFonts w:cs="Tahoma"/>
          <w:szCs w:val="18"/>
        </w:rPr>
      </w:pPr>
      <w:r w:rsidRPr="00C70D7D">
        <w:rPr>
          <w:rFonts w:cs="Tahoma"/>
          <w:szCs w:val="18"/>
        </w:rPr>
        <w:t>Le società con copertura Software Assurance in scadenza sui prodotti che seguono sono idonee a rinnovare la copertura come Visual Studio Test Professional 2012 con MSDN. Quando viene effettuato il rinnovo a un livello di abbonamento MSDN diverso, le nuove condizioni per l</w:t>
      </w:r>
      <w:r w:rsidR="00F2643E">
        <w:rPr>
          <w:rFonts w:cs="Tahoma"/>
          <w:szCs w:val="18"/>
        </w:rPr>
        <w:t>’</w:t>
      </w:r>
      <w:r w:rsidRPr="00C70D7D">
        <w:rPr>
          <w:rFonts w:cs="Tahoma"/>
          <w:szCs w:val="18"/>
        </w:rPr>
        <w:t>utilizzo sostituiscono quelle precedenti e qualsiasi prodotto software non incluso nel nuovo abbonamento MSDN dovrà essere rimosso.</w:t>
      </w:r>
    </w:p>
    <w:p w:rsidR="00223A77" w:rsidRPr="00C70D7D" w:rsidRDefault="00223A77" w:rsidP="00E7500D">
      <w:pPr>
        <w:pStyle w:val="EndnoteText"/>
        <w:rPr>
          <w:rFonts w:ascii="Tahoma" w:hAnsi="Tahoma" w:cs="Tahoma"/>
          <w:sz w:val="18"/>
          <w:szCs w:val="18"/>
        </w:rPr>
      </w:pPr>
    </w:p>
    <w:p w:rsidR="00223A77" w:rsidRPr="00C70D7D" w:rsidRDefault="00223A77" w:rsidP="00E7500D">
      <w:pPr>
        <w:pStyle w:val="FootnoteBulletLevel2"/>
        <w:numPr>
          <w:ilvl w:val="0"/>
          <w:numId w:val="5"/>
        </w:numPr>
        <w:spacing w:before="0" w:after="60"/>
        <w:ind w:left="1440"/>
        <w:rPr>
          <w:rFonts w:ascii="Tahoma" w:hAnsi="Tahoma" w:cs="Tahoma"/>
          <w:sz w:val="18"/>
          <w:szCs w:val="18"/>
        </w:rPr>
      </w:pPr>
      <w:r w:rsidRPr="00C70D7D">
        <w:rPr>
          <w:rFonts w:ascii="Tahoma" w:hAnsi="Tahoma" w:cs="Tahoma"/>
          <w:sz w:val="18"/>
          <w:szCs w:val="18"/>
        </w:rPr>
        <w:t>Visual Studio Ultimate con MSDN</w:t>
      </w:r>
    </w:p>
    <w:p w:rsidR="00061A45" w:rsidRPr="00C70D7D" w:rsidRDefault="00BE4D27" w:rsidP="00E7500D">
      <w:pPr>
        <w:pStyle w:val="FootnoteBulletLevel2"/>
        <w:numPr>
          <w:ilvl w:val="0"/>
          <w:numId w:val="5"/>
        </w:numPr>
        <w:spacing w:before="0" w:after="60"/>
        <w:ind w:left="1440"/>
        <w:rPr>
          <w:rFonts w:ascii="Tahoma" w:hAnsi="Tahoma" w:cs="Tahoma"/>
          <w:sz w:val="18"/>
          <w:szCs w:val="18"/>
        </w:rPr>
      </w:pPr>
      <w:r w:rsidRPr="00C70D7D">
        <w:rPr>
          <w:rFonts w:ascii="Tahoma" w:hAnsi="Tahoma" w:cs="Tahoma"/>
          <w:sz w:val="18"/>
          <w:szCs w:val="18"/>
        </w:rPr>
        <w:t>Visual Studio Premium con MSDN</w:t>
      </w:r>
    </w:p>
    <w:p w:rsidR="00223A77" w:rsidRPr="00C70D7D" w:rsidRDefault="00223A77" w:rsidP="00E7500D">
      <w:pPr>
        <w:pStyle w:val="FootnoteBulletLevel2"/>
        <w:numPr>
          <w:ilvl w:val="0"/>
          <w:numId w:val="5"/>
        </w:numPr>
        <w:spacing w:before="0" w:after="60"/>
        <w:ind w:left="1440"/>
        <w:rPr>
          <w:rFonts w:ascii="Tahoma" w:hAnsi="Tahoma" w:cs="Tahoma"/>
          <w:sz w:val="18"/>
          <w:szCs w:val="18"/>
        </w:rPr>
      </w:pPr>
      <w:r w:rsidRPr="00C70D7D">
        <w:rPr>
          <w:rFonts w:ascii="Tahoma" w:hAnsi="Tahoma" w:cs="Tahoma"/>
          <w:sz w:val="18"/>
          <w:szCs w:val="18"/>
        </w:rPr>
        <w:t>Visual Studio Test Professional con MSDN</w:t>
      </w:r>
    </w:p>
    <w:p w:rsidR="00223A77" w:rsidRPr="00C70D7D" w:rsidRDefault="00223A77" w:rsidP="00E7500D">
      <w:pPr>
        <w:pStyle w:val="FootnoteBulletLevel2"/>
        <w:numPr>
          <w:ilvl w:val="0"/>
          <w:numId w:val="5"/>
        </w:numPr>
        <w:spacing w:before="0" w:after="60"/>
        <w:ind w:left="1440"/>
        <w:rPr>
          <w:rFonts w:ascii="Tahoma" w:hAnsi="Tahoma" w:cs="Tahoma"/>
          <w:sz w:val="18"/>
          <w:szCs w:val="18"/>
        </w:rPr>
      </w:pPr>
      <w:r w:rsidRPr="00C70D7D">
        <w:rPr>
          <w:rFonts w:ascii="Tahoma" w:hAnsi="Tahoma" w:cs="Tahoma"/>
          <w:sz w:val="18"/>
          <w:szCs w:val="18"/>
        </w:rPr>
        <w:t>Società titolari di un abbonamento retail attivo per qualsiasi prodotto software indicato nel precedente elenco.</w:t>
      </w:r>
    </w:p>
    <w:p w:rsidR="00223A77" w:rsidRPr="00C70D7D" w:rsidRDefault="00223A77" w:rsidP="00E7500D">
      <w:pPr>
        <w:pStyle w:val="FootnoteBulletLevel1"/>
        <w:spacing w:before="0" w:after="0"/>
        <w:ind w:firstLine="0"/>
        <w:rPr>
          <w:rFonts w:ascii="Tahoma" w:hAnsi="Tahoma" w:cs="Tahoma"/>
          <w:sz w:val="18"/>
          <w:szCs w:val="18"/>
        </w:rPr>
      </w:pPr>
    </w:p>
    <w:p w:rsidR="00E7500D" w:rsidRPr="00C70D7D" w:rsidRDefault="00223A77" w:rsidP="00E7500D">
      <w:pPr>
        <w:pStyle w:val="FootnoteBulletLevel2"/>
        <w:tabs>
          <w:tab w:val="clear" w:pos="1260"/>
        </w:tabs>
        <w:spacing w:before="0"/>
        <w:ind w:left="720" w:firstLine="0"/>
        <w:rPr>
          <w:rFonts w:ascii="Tahoma" w:hAnsi="Tahoma" w:cs="Tahoma"/>
          <w:sz w:val="18"/>
          <w:szCs w:val="18"/>
        </w:rPr>
      </w:pPr>
      <w:r w:rsidRPr="00C70D7D">
        <w:rPr>
          <w:rFonts w:ascii="Tahoma" w:hAnsi="Tahoma" w:cs="Tahoma"/>
          <w:sz w:val="18"/>
          <w:szCs w:val="18"/>
        </w:rPr>
        <w:t>Le società che hanno stipulato contratti Enterprise, Select o Open Value con copertura Software Assurance attiva per Visual Studio Test Professional 2012 con MSDN potranno anch</w:t>
      </w:r>
      <w:r w:rsidR="00F2643E">
        <w:rPr>
          <w:rFonts w:ascii="Tahoma" w:hAnsi="Tahoma" w:cs="Tahoma"/>
          <w:sz w:val="18"/>
          <w:szCs w:val="18"/>
        </w:rPr>
        <w:t>’</w:t>
      </w:r>
      <w:r w:rsidRPr="00C70D7D">
        <w:rPr>
          <w:rFonts w:ascii="Tahoma" w:hAnsi="Tahoma" w:cs="Tahoma"/>
          <w:sz w:val="18"/>
          <w:szCs w:val="18"/>
        </w:rPr>
        <w:t xml:space="preserve">esse effettuare lo step-up a Visual Studio Premium 2012 con MSDN acquistando lo </w:t>
      </w:r>
      <w:hyperlink w:anchor="Step_Up" w:history="1">
        <w:r w:rsidRPr="00C70D7D">
          <w:rPr>
            <w:rFonts w:ascii="Tahoma" w:hAnsi="Tahoma" w:cs="Tahoma"/>
            <w:sz w:val="18"/>
            <w:szCs w:val="18"/>
          </w:rPr>
          <w:t>SKU di Step-Up</w:t>
        </w:r>
      </w:hyperlink>
      <w:r w:rsidRPr="00C70D7D">
        <w:rPr>
          <w:rFonts w:ascii="Tahoma" w:hAnsi="Tahoma" w:cs="Tahoma"/>
          <w:sz w:val="18"/>
          <w:szCs w:val="18"/>
        </w:rPr>
        <w:t xml:space="preserve"> idoneo.</w:t>
      </w:r>
    </w:p>
    <w:p w:rsidR="00101859" w:rsidRPr="00A75DF9" w:rsidRDefault="00101859">
      <w:pPr>
        <w:rPr>
          <w:rFonts w:cs="Tahoma"/>
        </w:rPr>
      </w:pPr>
    </w:p>
    <w:p w:rsidR="005C11D1" w:rsidRPr="00A75DF9" w:rsidRDefault="009B2474" w:rsidP="00864B8A">
      <w:pPr>
        <w:spacing w:after="60"/>
        <w:ind w:left="720"/>
        <w:rPr>
          <w:rFonts w:cs="Tahoma"/>
        </w:rPr>
      </w:pPr>
      <w:r w:rsidRPr="00A75DF9">
        <w:rPr>
          <w:rFonts w:cs="Tahoma"/>
          <w:b/>
        </w:rPr>
        <w:t>Servizi “Subscription”</w:t>
      </w:r>
    </w:p>
    <w:p w:rsidR="001051D1" w:rsidRPr="00A75DF9" w:rsidRDefault="005C11D1" w:rsidP="00E7500D">
      <w:pPr>
        <w:ind w:left="720"/>
        <w:rPr>
          <w:rFonts w:cs="Tahoma"/>
        </w:rPr>
      </w:pPr>
      <w:r w:rsidRPr="00A75DF9">
        <w:rPr>
          <w:rFonts w:cs="Tahoma"/>
        </w:rPr>
        <w:t>I servizi MSDN in abbonamento, che potranno includere download, codici Product Key, vantaggi di Windows Azure, vantaggi di Office 365 Developer, e-learning, supporto tecnico, vantaggi di Windows Store e altri servizi, sono disponibili solo durante il periodo di validità dell</w:t>
      </w:r>
      <w:r w:rsidR="00F2643E">
        <w:rPr>
          <w:rFonts w:cs="Tahoma"/>
        </w:rPr>
        <w:t>’</w:t>
      </w:r>
      <w:r w:rsidRPr="00A75DF9">
        <w:rPr>
          <w:rFonts w:cs="Tahoma"/>
        </w:rPr>
        <w:t>abbonamento.</w:t>
      </w:r>
      <w:bookmarkStart w:id="1083" w:name="_14_Operating_System"/>
      <w:bookmarkEnd w:id="1083"/>
    </w:p>
    <w:p w:rsidR="00E03856" w:rsidRPr="00A75DF9" w:rsidRDefault="001051D1">
      <w:pPr>
        <w:rPr>
          <w:rFonts w:cs="Tahoma"/>
        </w:rPr>
      </w:pPr>
      <w:r w:rsidRPr="00A75DF9">
        <w:rPr>
          <w:rFonts w:cs="Tahoma"/>
        </w:rPr>
        <w:br w:type="page"/>
      </w:r>
      <w:bookmarkStart w:id="1084" w:name="_Toc336338280"/>
    </w:p>
    <w:p w:rsidR="00023FE7" w:rsidRPr="00A75DF9" w:rsidRDefault="00023FE7" w:rsidP="00C70D7D">
      <w:pPr>
        <w:pStyle w:val="Heading2"/>
        <w:spacing w:after="120"/>
        <w:ind w:left="0"/>
        <w:rPr>
          <w:rFonts w:ascii="Tahoma" w:hAnsi="Tahoma" w:cs="Tahoma"/>
        </w:rPr>
      </w:pPr>
      <w:bookmarkStart w:id="1085" w:name="_Toc368310273"/>
      <w:r w:rsidRPr="00A75DF9">
        <w:rPr>
          <w:rFonts w:ascii="Tahoma" w:hAnsi="Tahoma" w:cs="Tahoma"/>
          <w:sz w:val="28"/>
        </w:rPr>
        <w:lastRenderedPageBreak/>
        <w:t>Pool di Sistemi</w:t>
      </w:r>
      <w:bookmarkEnd w:id="1084"/>
      <w:bookmarkEnd w:id="1085"/>
    </w:p>
    <w:p w:rsidR="00023FE7" w:rsidRPr="00A75DF9" w:rsidRDefault="00023FE7">
      <w:pPr>
        <w:rPr>
          <w:rFonts w:cs="Tahoma"/>
        </w:rPr>
      </w:pPr>
    </w:p>
    <w:p w:rsidR="009C2B6B" w:rsidRPr="00A75DF9" w:rsidRDefault="009C2B6B">
      <w:pPr>
        <w:rPr>
          <w:rFonts w:cs="Tahoma"/>
        </w:rPr>
      </w:pPr>
    </w:p>
    <w:p w:rsidR="00E14FF2" w:rsidRPr="00A75DF9" w:rsidRDefault="00A560B6" w:rsidP="00A53269">
      <w:pPr>
        <w:pStyle w:val="Heading3"/>
        <w:rPr>
          <w:rFonts w:ascii="Tahoma" w:hAnsi="Tahoma" w:cs="Tahoma"/>
        </w:rPr>
      </w:pPr>
      <w:bookmarkStart w:id="1086" w:name="_24_Microsoft_Desktop"/>
      <w:bookmarkStart w:id="1087" w:name="_Toc336338283"/>
      <w:bookmarkStart w:id="1088" w:name="Sys_21MDOPforSA"/>
      <w:bookmarkStart w:id="1089" w:name="Sys_25MDOPforSA"/>
      <w:bookmarkStart w:id="1090" w:name="_Toc368310274"/>
      <w:bookmarkEnd w:id="1086"/>
      <w:r w:rsidRPr="00A75DF9">
        <w:rPr>
          <w:rFonts w:ascii="Tahoma" w:hAnsi="Tahoma" w:cs="Tahoma"/>
          <w:caps/>
          <w:color w:val="F66400"/>
          <w:sz w:val="22"/>
          <w:vertAlign w:val="superscript"/>
        </w:rPr>
        <w:t>25</w:t>
      </w:r>
      <w:r w:rsidRPr="00A75DF9">
        <w:rPr>
          <w:rFonts w:ascii="Tahoma" w:hAnsi="Tahoma" w:cs="Tahoma"/>
          <w:color w:val="F66400"/>
          <w:sz w:val="22"/>
        </w:rPr>
        <w:t xml:space="preserve"> Microsoft Desktop Optimization Pack per Software Assurance</w:t>
      </w:r>
      <w:bookmarkEnd w:id="1087"/>
      <w:bookmarkEnd w:id="1090"/>
    </w:p>
    <w:bookmarkEnd w:id="1088"/>
    <w:p w:rsidR="007A73DF" w:rsidRPr="00A75DF9" w:rsidRDefault="007A73DF" w:rsidP="00483B3D">
      <w:pPr>
        <w:rPr>
          <w:rFonts w:cs="Tahoma"/>
        </w:rPr>
      </w:pPr>
    </w:p>
    <w:p w:rsidR="00475147" w:rsidRPr="00A75DF9" w:rsidRDefault="0037362E" w:rsidP="00483B3D">
      <w:pPr>
        <w:ind w:left="720"/>
        <w:rPr>
          <w:rFonts w:cs="Tahoma"/>
        </w:rPr>
      </w:pPr>
      <w:r w:rsidRPr="00A75DF9">
        <w:rPr>
          <w:rFonts w:eastAsia="Calibri" w:cs="Tahoma"/>
          <w:color w:val="000000"/>
          <w:szCs w:val="18"/>
        </w:rPr>
        <w:t>Le società che desiderano acquistare Microsoft Desktop Optimization Pack per Software Assurance (MDOP) dovranno innanzitutto avere acquistato e ceduto al desktop uno dei seguenti elementi:</w:t>
      </w:r>
    </w:p>
    <w:p w:rsidR="00676723" w:rsidRPr="00A75DF9" w:rsidRDefault="00676723" w:rsidP="00483B3D">
      <w:pPr>
        <w:ind w:left="720"/>
        <w:rPr>
          <w:rFonts w:cs="Tahoma"/>
        </w:rPr>
      </w:pPr>
    </w:p>
    <w:p w:rsidR="00475147" w:rsidRPr="00A75DF9" w:rsidRDefault="00475147" w:rsidP="00346F4B">
      <w:pPr>
        <w:numPr>
          <w:ilvl w:val="0"/>
          <w:numId w:val="49"/>
        </w:numPr>
        <w:tabs>
          <w:tab w:val="left" w:pos="1440"/>
        </w:tabs>
        <w:ind w:left="1440" w:hanging="446"/>
        <w:rPr>
          <w:rFonts w:cs="Tahoma"/>
        </w:rPr>
      </w:pPr>
      <w:r w:rsidRPr="00A75DF9">
        <w:rPr>
          <w:rFonts w:eastAsia="Calibri" w:cs="Tahoma"/>
          <w:color w:val="000000"/>
          <w:szCs w:val="18"/>
        </w:rPr>
        <w:t>copertura Software Assurance attiva per il sistema operativo desktop Windows;</w:t>
      </w:r>
    </w:p>
    <w:p w:rsidR="00475147" w:rsidRPr="00A75DF9" w:rsidRDefault="00475147" w:rsidP="00F40C90">
      <w:pPr>
        <w:numPr>
          <w:ilvl w:val="0"/>
          <w:numId w:val="49"/>
        </w:numPr>
        <w:tabs>
          <w:tab w:val="left" w:pos="1440"/>
        </w:tabs>
        <w:ind w:left="1440" w:hanging="446"/>
        <w:rPr>
          <w:rFonts w:cs="Tahoma"/>
        </w:rPr>
      </w:pPr>
      <w:r w:rsidRPr="00A75DF9">
        <w:rPr>
          <w:rFonts w:eastAsia="Calibri" w:cs="Tahoma"/>
          <w:color w:val="000000"/>
          <w:szCs w:val="18"/>
        </w:rPr>
        <w:t>licenza per Windows Virtual Desktop Access o</w:t>
      </w:r>
    </w:p>
    <w:p w:rsidR="00475147" w:rsidRPr="00A75DF9" w:rsidRDefault="00475147" w:rsidP="00346F4B">
      <w:pPr>
        <w:numPr>
          <w:ilvl w:val="0"/>
          <w:numId w:val="49"/>
        </w:numPr>
        <w:tabs>
          <w:tab w:val="left" w:pos="1440"/>
        </w:tabs>
        <w:ind w:left="1440" w:hanging="446"/>
        <w:rPr>
          <w:rFonts w:cs="Tahoma"/>
        </w:rPr>
      </w:pPr>
      <w:r w:rsidRPr="00A75DF9">
        <w:rPr>
          <w:rFonts w:eastAsia="Calibri" w:cs="Tahoma"/>
          <w:color w:val="000000"/>
          <w:szCs w:val="18"/>
        </w:rPr>
        <w:t xml:space="preserve">sottoscrizione attiva di Windows Intune </w:t>
      </w:r>
      <w:r w:rsidRPr="00A75DF9">
        <w:rPr>
          <w:rFonts w:cs="Tahoma"/>
          <w:szCs w:val="18"/>
        </w:rPr>
        <w:t>(Per Dispositivo)</w:t>
      </w:r>
      <w:r w:rsidRPr="00A75DF9">
        <w:rPr>
          <w:rFonts w:eastAsia="Calibri" w:cs="Tahoma"/>
          <w:color w:val="000000"/>
          <w:szCs w:val="18"/>
        </w:rPr>
        <w:t>.</w:t>
      </w:r>
    </w:p>
    <w:p w:rsidR="00475147" w:rsidRPr="00A75DF9" w:rsidRDefault="00475147" w:rsidP="00483B3D">
      <w:pPr>
        <w:spacing w:before="120"/>
        <w:ind w:left="720"/>
        <w:rPr>
          <w:rFonts w:cs="Tahoma"/>
        </w:rPr>
      </w:pPr>
      <w:r w:rsidRPr="00A75DF9">
        <w:rPr>
          <w:rFonts w:eastAsia="Calibri" w:cs="Tahoma"/>
          <w:color w:val="000000"/>
          <w:szCs w:val="18"/>
        </w:rPr>
        <w:t>Sono inoltre consentiti i dispositivi coperti da una Licenza “Subscription” per Windows Companion attiva.</w:t>
      </w:r>
    </w:p>
    <w:p w:rsidR="007A73DF" w:rsidRPr="00A75DF9" w:rsidRDefault="007A73DF" w:rsidP="00483B3D">
      <w:pPr>
        <w:ind w:left="720"/>
        <w:rPr>
          <w:rFonts w:cs="Tahoma"/>
        </w:rPr>
      </w:pPr>
    </w:p>
    <w:p w:rsidR="00F7027D" w:rsidRPr="00A75DF9" w:rsidRDefault="00F7027D" w:rsidP="00483B3D">
      <w:pPr>
        <w:ind w:left="720"/>
        <w:rPr>
          <w:rFonts w:cs="Tahoma"/>
        </w:rPr>
      </w:pPr>
      <w:r w:rsidRPr="00A75DF9">
        <w:rPr>
          <w:rFonts w:eastAsia="Calibri" w:cs="Tahoma"/>
          <w:color w:val="000000"/>
          <w:szCs w:val="18"/>
        </w:rPr>
        <w:t>Le società con Contratti Multilicenza in possesso di licenze attive per MDOP riceveranno il seguente software (non appena verrà reso disponibile).</w:t>
      </w:r>
    </w:p>
    <w:p w:rsidR="007A73DF" w:rsidRPr="00A75DF9" w:rsidRDefault="007A73DF" w:rsidP="00483B3D">
      <w:pPr>
        <w:ind w:left="720"/>
        <w:rPr>
          <w:rFonts w:cs="Tahoma"/>
        </w:rPr>
      </w:pPr>
    </w:p>
    <w:p w:rsidR="00E52A26" w:rsidRPr="00A75DF9" w:rsidRDefault="00E52A26" w:rsidP="00346F4B">
      <w:pPr>
        <w:numPr>
          <w:ilvl w:val="0"/>
          <w:numId w:val="49"/>
        </w:numPr>
        <w:tabs>
          <w:tab w:val="left" w:pos="1440"/>
        </w:tabs>
        <w:spacing w:after="60"/>
        <w:ind w:left="1440" w:hanging="446"/>
        <w:rPr>
          <w:rFonts w:cs="Tahoma"/>
        </w:rPr>
      </w:pPr>
      <w:r w:rsidRPr="00A75DF9">
        <w:rPr>
          <w:rFonts w:eastAsia="Calibri" w:cs="Tahoma"/>
          <w:color w:val="000000"/>
          <w:szCs w:val="18"/>
        </w:rPr>
        <w:t>Microsoft Application Virtualization per Desktop Windows (App-V)</w:t>
      </w:r>
    </w:p>
    <w:p w:rsidR="00E52A26" w:rsidRPr="00A75DF9" w:rsidRDefault="00E52A26" w:rsidP="00346F4B">
      <w:pPr>
        <w:numPr>
          <w:ilvl w:val="0"/>
          <w:numId w:val="49"/>
        </w:numPr>
        <w:tabs>
          <w:tab w:val="left" w:pos="1440"/>
        </w:tabs>
        <w:spacing w:after="60"/>
        <w:ind w:left="1440" w:hanging="446"/>
        <w:rPr>
          <w:rFonts w:cs="Tahoma"/>
        </w:rPr>
      </w:pPr>
      <w:r w:rsidRPr="00A75DF9">
        <w:rPr>
          <w:rFonts w:eastAsia="Calibri" w:cs="Tahoma"/>
          <w:color w:val="000000"/>
          <w:szCs w:val="18"/>
        </w:rPr>
        <w:t>Gestione Avanzata Criteri di Gruppo Microsoft (AGPM)</w:t>
      </w:r>
    </w:p>
    <w:p w:rsidR="00E52A26" w:rsidRPr="00A75DF9" w:rsidRDefault="00E52A26" w:rsidP="00346F4B">
      <w:pPr>
        <w:numPr>
          <w:ilvl w:val="0"/>
          <w:numId w:val="49"/>
        </w:numPr>
        <w:tabs>
          <w:tab w:val="left" w:pos="1440"/>
        </w:tabs>
        <w:spacing w:after="60"/>
        <w:ind w:left="1440" w:hanging="446"/>
        <w:rPr>
          <w:rFonts w:cs="Tahoma"/>
        </w:rPr>
      </w:pPr>
      <w:r w:rsidRPr="00A75DF9">
        <w:rPr>
          <w:rFonts w:eastAsia="Calibri" w:cs="Tahoma"/>
          <w:color w:val="000000"/>
          <w:szCs w:val="18"/>
        </w:rPr>
        <w:t>Set di Strumenti Microsoft di Diagnostica e Ripristino (DART)</w:t>
      </w:r>
    </w:p>
    <w:p w:rsidR="00E52A26" w:rsidRPr="00A75DF9" w:rsidRDefault="00E52A26" w:rsidP="00346F4B">
      <w:pPr>
        <w:numPr>
          <w:ilvl w:val="0"/>
          <w:numId w:val="49"/>
        </w:numPr>
        <w:tabs>
          <w:tab w:val="left" w:pos="1440"/>
        </w:tabs>
        <w:spacing w:after="60"/>
        <w:ind w:left="1440" w:hanging="446"/>
        <w:rPr>
          <w:rFonts w:cs="Tahoma"/>
        </w:rPr>
      </w:pPr>
      <w:r w:rsidRPr="00A75DF9">
        <w:rPr>
          <w:rFonts w:eastAsia="Calibri" w:cs="Tahoma"/>
          <w:color w:val="000000"/>
          <w:szCs w:val="18"/>
        </w:rPr>
        <w:t>Microsoft Enterprise Desktop Virtualization (MED-V)</w:t>
      </w:r>
    </w:p>
    <w:p w:rsidR="00E52A26" w:rsidRPr="00A75DF9" w:rsidRDefault="00E52A26" w:rsidP="00346F4B">
      <w:pPr>
        <w:numPr>
          <w:ilvl w:val="0"/>
          <w:numId w:val="49"/>
        </w:numPr>
        <w:tabs>
          <w:tab w:val="left" w:pos="1440"/>
        </w:tabs>
        <w:spacing w:after="60"/>
        <w:ind w:left="1440" w:hanging="446"/>
        <w:rPr>
          <w:rFonts w:cs="Tahoma"/>
        </w:rPr>
      </w:pPr>
      <w:r w:rsidRPr="00A75DF9">
        <w:rPr>
          <w:rFonts w:eastAsia="Calibri" w:cs="Tahoma"/>
          <w:color w:val="000000"/>
          <w:szCs w:val="18"/>
        </w:rPr>
        <w:t>Microsoft BitLocker</w:t>
      </w:r>
      <w:r w:rsidR="009D5D7B" w:rsidRPr="00A75DF9">
        <w:rPr>
          <w:rFonts w:eastAsia="Calibri" w:cs="Tahoma"/>
          <w:color w:val="000000"/>
          <w:szCs w:val="18"/>
          <w:vertAlign w:val="superscript"/>
        </w:rPr>
        <w:t>®</w:t>
      </w:r>
      <w:r w:rsidRPr="00A75DF9">
        <w:rPr>
          <w:rFonts w:eastAsia="Calibri" w:cs="Tahoma"/>
          <w:color w:val="000000"/>
          <w:szCs w:val="18"/>
        </w:rPr>
        <w:t xml:space="preserve"> Administration and Monitoring (MBAM)</w:t>
      </w:r>
    </w:p>
    <w:p w:rsidR="00670296" w:rsidRPr="00A75DF9" w:rsidRDefault="00670296" w:rsidP="00346F4B">
      <w:pPr>
        <w:numPr>
          <w:ilvl w:val="0"/>
          <w:numId w:val="49"/>
        </w:numPr>
        <w:tabs>
          <w:tab w:val="left" w:pos="1440"/>
        </w:tabs>
        <w:spacing w:after="60"/>
        <w:ind w:left="1440" w:hanging="446"/>
        <w:rPr>
          <w:rFonts w:cs="Tahoma"/>
        </w:rPr>
      </w:pPr>
      <w:r w:rsidRPr="00A75DF9">
        <w:rPr>
          <w:rFonts w:eastAsia="Calibri" w:cs="Tahoma"/>
          <w:color w:val="000000"/>
          <w:szCs w:val="18"/>
        </w:rPr>
        <w:t>Microsoft User Experience Virtualization (UE-V)</w:t>
      </w:r>
    </w:p>
    <w:p w:rsidR="007A73DF" w:rsidRPr="00A75DF9" w:rsidRDefault="007A73DF" w:rsidP="00483B3D">
      <w:pPr>
        <w:tabs>
          <w:tab w:val="left" w:pos="1440"/>
        </w:tabs>
        <w:ind w:left="994"/>
        <w:rPr>
          <w:rFonts w:cs="Tahoma"/>
        </w:rPr>
      </w:pPr>
    </w:p>
    <w:p w:rsidR="007045C0" w:rsidRPr="00A75DF9" w:rsidRDefault="007045C0" w:rsidP="00483B3D">
      <w:pPr>
        <w:spacing w:after="60"/>
        <w:ind w:left="720"/>
        <w:rPr>
          <w:rFonts w:cs="Tahoma"/>
        </w:rPr>
      </w:pPr>
      <w:r w:rsidRPr="00A75DF9">
        <w:rPr>
          <w:rFonts w:eastAsia="Calibri" w:cs="Tahoma"/>
          <w:b/>
          <w:color w:val="000000"/>
          <w:szCs w:val="18"/>
        </w:rPr>
        <w:t>Licenza “Subscription” per Windows Companion (CSL) e MDOP</w:t>
      </w:r>
    </w:p>
    <w:p w:rsidR="007045C0" w:rsidRPr="00A75DF9" w:rsidRDefault="007045C0" w:rsidP="00483B3D">
      <w:pPr>
        <w:tabs>
          <w:tab w:val="left" w:pos="1440"/>
        </w:tabs>
        <w:ind w:left="720"/>
        <w:rPr>
          <w:rFonts w:cs="Tahoma"/>
        </w:rPr>
      </w:pPr>
      <w:r w:rsidRPr="00A75DF9">
        <w:rPr>
          <w:rFonts w:cs="Tahoma"/>
          <w:color w:val="000000"/>
          <w:szCs w:val="18"/>
        </w:rPr>
        <w:t>Gli Utenti Principali di un dispositivo coperto da una licenza MDOP attiva e da una CSL potranno accedere alla funzionalità MDOP tramite i loro dispositivi companion senza dover acquistare licenze MDOP aggiuntive per ciascun dispositivo companion.</w:t>
      </w:r>
    </w:p>
    <w:p w:rsidR="007045C0" w:rsidRPr="00A75DF9" w:rsidRDefault="007045C0" w:rsidP="00483B3D">
      <w:pPr>
        <w:tabs>
          <w:tab w:val="left" w:pos="1440"/>
        </w:tabs>
        <w:ind w:left="994"/>
        <w:rPr>
          <w:rFonts w:cs="Tahoma"/>
        </w:rPr>
      </w:pPr>
    </w:p>
    <w:p w:rsidR="0031394C" w:rsidRPr="00A75DF9" w:rsidRDefault="0031394C" w:rsidP="00483B3D">
      <w:pPr>
        <w:spacing w:after="60"/>
        <w:ind w:left="720"/>
        <w:rPr>
          <w:rFonts w:cs="Tahoma"/>
        </w:rPr>
      </w:pPr>
      <w:r w:rsidRPr="00A75DF9">
        <w:rPr>
          <w:rFonts w:eastAsia="Calibri" w:cs="Tahoma"/>
          <w:b/>
          <w:color w:val="000000"/>
          <w:szCs w:val="18"/>
        </w:rPr>
        <w:t>Offerta di Windows Intune (Per Dispositivo) per le Società in possesso di Microsoft Desktop Optimization Pack (MDOP) che utilizzano Asset Inventory Service</w:t>
      </w:r>
    </w:p>
    <w:p w:rsidR="00BB0250" w:rsidRPr="00A75DF9" w:rsidRDefault="00BB0250" w:rsidP="00350D2E">
      <w:pPr>
        <w:ind w:left="720"/>
        <w:rPr>
          <w:rFonts w:cs="Tahoma"/>
        </w:rPr>
      </w:pPr>
      <w:r w:rsidRPr="00A75DF9">
        <w:rPr>
          <w:rFonts w:cs="Tahoma"/>
          <w:color w:val="000000"/>
          <w:szCs w:val="18"/>
        </w:rPr>
        <w:t>L</w:t>
      </w:r>
      <w:r w:rsidR="00F2643E">
        <w:rPr>
          <w:rFonts w:cs="Tahoma"/>
          <w:color w:val="000000"/>
          <w:szCs w:val="18"/>
        </w:rPr>
        <w:t>’</w:t>
      </w:r>
      <w:r w:rsidRPr="00A75DF9">
        <w:rPr>
          <w:rFonts w:cs="Tahoma"/>
          <w:color w:val="000000"/>
          <w:szCs w:val="18"/>
        </w:rPr>
        <w:t>offerta di Asset Inventory Service (AIS) insieme a MDOP verrà interrotta il 3 aprile 2013. A partire da quella data le società non avranno più accesso al servizio.</w:t>
      </w:r>
      <w:r w:rsidR="009D3B41" w:rsidRPr="00A75DF9">
        <w:rPr>
          <w:rFonts w:cs="Tahoma"/>
          <w:color w:val="000000"/>
          <w:szCs w:val="18"/>
        </w:rPr>
        <w:t xml:space="preserve"> </w:t>
      </w:r>
      <w:r w:rsidRPr="00A75DF9">
        <w:rPr>
          <w:rFonts w:cs="Tahoma"/>
          <w:color w:val="000000"/>
          <w:szCs w:val="18"/>
        </w:rPr>
        <w:t>Le società in possesso di MDOP con account AIS operativi attivati sul sito Volume Licensing Service Center il 30 aprile 2012 o in data precedente avranno la</w:t>
      </w:r>
      <w:r w:rsidR="00350D2E">
        <w:rPr>
          <w:rFonts w:cs="Tahoma"/>
          <w:color w:val="000000"/>
          <w:szCs w:val="18"/>
        </w:rPr>
        <w:t> </w:t>
      </w:r>
      <w:r w:rsidRPr="00A75DF9">
        <w:rPr>
          <w:rFonts w:cs="Tahoma"/>
          <w:color w:val="000000"/>
          <w:szCs w:val="18"/>
        </w:rPr>
        <w:t xml:space="preserve">possibilità di passare al servizio online Windows Intune </w:t>
      </w:r>
      <w:r w:rsidRPr="00A75DF9">
        <w:rPr>
          <w:rFonts w:cs="Tahoma"/>
          <w:szCs w:val="18"/>
        </w:rPr>
        <w:t xml:space="preserve">(Per Dispositivo) </w:t>
      </w:r>
      <w:r w:rsidRPr="00A75DF9">
        <w:rPr>
          <w:rFonts w:cs="Tahoma"/>
          <w:color w:val="000000"/>
          <w:szCs w:val="18"/>
        </w:rPr>
        <w:t xml:space="preserve">e di utilizzarlo </w:t>
      </w:r>
      <w:r w:rsidRPr="00A75DF9">
        <w:rPr>
          <w:rFonts w:cs="Tahoma"/>
          <w:color w:val="000000"/>
        </w:rPr>
        <w:t xml:space="preserve">a condizione che </w:t>
      </w:r>
      <w:r w:rsidRPr="00A75DF9">
        <w:rPr>
          <w:rFonts w:cs="Tahoma"/>
          <w:color w:val="000000"/>
          <w:szCs w:val="18"/>
        </w:rPr>
        <w:t xml:space="preserve">Windows Intune </w:t>
      </w:r>
      <w:r w:rsidRPr="00A75DF9">
        <w:rPr>
          <w:rFonts w:cs="Tahoma"/>
          <w:szCs w:val="18"/>
        </w:rPr>
        <w:t xml:space="preserve">(Per Dispositivo) </w:t>
      </w:r>
      <w:r w:rsidRPr="00A75DF9">
        <w:rPr>
          <w:rFonts w:cs="Tahoma"/>
          <w:color w:val="000000"/>
        </w:rPr>
        <w:t>sia disponibile a livello commerciale nei loro paesi.</w:t>
      </w:r>
      <w:r w:rsidR="009D3B41" w:rsidRPr="00A75DF9">
        <w:rPr>
          <w:rFonts w:cs="Tahoma"/>
          <w:color w:val="000000"/>
        </w:rPr>
        <w:t xml:space="preserve"> </w:t>
      </w:r>
      <w:r w:rsidRPr="00A75DF9">
        <w:rPr>
          <w:rFonts w:cs="Tahoma"/>
          <w:color w:val="000000"/>
        </w:rPr>
        <w:t>Al seguente indirizzo è</w:t>
      </w:r>
      <w:r w:rsidR="00350D2E">
        <w:rPr>
          <w:rFonts w:cs="Tahoma"/>
          <w:color w:val="000000"/>
        </w:rPr>
        <w:t> </w:t>
      </w:r>
      <w:r w:rsidRPr="00A75DF9">
        <w:rPr>
          <w:rFonts w:cs="Tahoma"/>
          <w:color w:val="000000"/>
        </w:rPr>
        <w:t xml:space="preserve">reperibile un elenco dei paesi nei quali Windows Intune </w:t>
      </w:r>
      <w:r w:rsidRPr="00A75DF9">
        <w:rPr>
          <w:rFonts w:cs="Tahoma"/>
          <w:szCs w:val="18"/>
        </w:rPr>
        <w:t xml:space="preserve">(Per Dispositivo) </w:t>
      </w:r>
      <w:r w:rsidRPr="00A75DF9">
        <w:rPr>
          <w:rFonts w:cs="Tahoma"/>
          <w:color w:val="000000"/>
        </w:rPr>
        <w:t xml:space="preserve">è disponibile a livello commerciale: </w:t>
      </w:r>
      <w:hyperlink r:id="rId40" w:history="1">
        <w:r w:rsidR="00350D2E">
          <w:rPr>
            <w:color w:val="0000FF"/>
            <w:u w:val="single"/>
          </w:rPr>
          <w:t>www.microsoft.com/en-us/windows/windowsintune/faq/default.aspx</w:t>
        </w:r>
      </w:hyperlink>
      <w:r w:rsidRPr="00350D2E">
        <w:rPr>
          <w:rFonts w:cs="Tahoma"/>
        </w:rPr>
        <w:t>.</w:t>
      </w:r>
    </w:p>
    <w:p w:rsidR="007A73DF" w:rsidRPr="00A75DF9" w:rsidRDefault="007A73DF" w:rsidP="00483B3D">
      <w:pPr>
        <w:ind w:left="720"/>
        <w:rPr>
          <w:rFonts w:cs="Tahoma"/>
        </w:rPr>
      </w:pPr>
    </w:p>
    <w:p w:rsidR="007A73DF" w:rsidRPr="00A75DF9" w:rsidRDefault="0031394C" w:rsidP="00483B3D">
      <w:pPr>
        <w:spacing w:after="60"/>
        <w:ind w:left="720"/>
        <w:rPr>
          <w:rFonts w:cs="Tahoma"/>
        </w:rPr>
      </w:pPr>
      <w:r w:rsidRPr="00A75DF9">
        <w:rPr>
          <w:rFonts w:eastAsia="Calibri" w:cs="Tahoma"/>
          <w:b/>
          <w:color w:val="000000"/>
          <w:szCs w:val="18"/>
        </w:rPr>
        <w:t>Dettagli dell</w:t>
      </w:r>
      <w:r w:rsidR="00F2643E">
        <w:rPr>
          <w:rFonts w:eastAsia="Calibri" w:cs="Tahoma"/>
          <w:b/>
          <w:color w:val="000000"/>
          <w:szCs w:val="18"/>
        </w:rPr>
        <w:t>’</w:t>
      </w:r>
      <w:r w:rsidRPr="00A75DF9">
        <w:rPr>
          <w:rFonts w:eastAsia="Calibri" w:cs="Tahoma"/>
          <w:b/>
          <w:color w:val="000000"/>
          <w:szCs w:val="18"/>
        </w:rPr>
        <w:t>Offerta</w:t>
      </w:r>
    </w:p>
    <w:p w:rsidR="0031394C" w:rsidRPr="00A75DF9" w:rsidRDefault="0031394C" w:rsidP="00346F4B">
      <w:pPr>
        <w:numPr>
          <w:ilvl w:val="1"/>
          <w:numId w:val="82"/>
        </w:numPr>
        <w:spacing w:after="60"/>
        <w:rPr>
          <w:rFonts w:cs="Tahoma"/>
        </w:rPr>
      </w:pPr>
      <w:r w:rsidRPr="00A75DF9">
        <w:rPr>
          <w:rFonts w:eastAsia="Calibri" w:cs="Tahoma"/>
          <w:color w:val="000000"/>
          <w:szCs w:val="18"/>
        </w:rPr>
        <w:t>L</w:t>
      </w:r>
      <w:r w:rsidR="00F2643E">
        <w:rPr>
          <w:rFonts w:eastAsia="Calibri" w:cs="Tahoma"/>
          <w:color w:val="000000"/>
          <w:szCs w:val="18"/>
        </w:rPr>
        <w:t>’</w:t>
      </w:r>
      <w:r w:rsidRPr="00A75DF9">
        <w:rPr>
          <w:rFonts w:eastAsia="Calibri" w:cs="Tahoma"/>
          <w:color w:val="000000"/>
          <w:szCs w:val="18"/>
        </w:rPr>
        <w:t>offerta può essere accettata in qualsiasi momento compreso tra il 3 aprile 2012 e la data di scadenza della sottoscrizione MDOP corrente delle società.</w:t>
      </w:r>
    </w:p>
    <w:p w:rsidR="0031394C" w:rsidRPr="00A75DF9" w:rsidRDefault="0031394C" w:rsidP="00350D2E">
      <w:pPr>
        <w:numPr>
          <w:ilvl w:val="1"/>
          <w:numId w:val="82"/>
        </w:numPr>
        <w:spacing w:after="60"/>
        <w:rPr>
          <w:rFonts w:cs="Tahoma"/>
        </w:rPr>
      </w:pPr>
      <w:r w:rsidRPr="00A75DF9">
        <w:rPr>
          <w:rFonts w:eastAsia="Calibri" w:cs="Tahoma"/>
          <w:color w:val="000000"/>
          <w:szCs w:val="18"/>
        </w:rPr>
        <w:t>Per accettare l</w:t>
      </w:r>
      <w:r w:rsidR="00F2643E">
        <w:rPr>
          <w:rFonts w:eastAsia="Calibri" w:cs="Tahoma"/>
          <w:color w:val="000000"/>
          <w:szCs w:val="18"/>
        </w:rPr>
        <w:t>’</w:t>
      </w:r>
      <w:r w:rsidRPr="00A75DF9">
        <w:rPr>
          <w:rFonts w:eastAsia="Calibri" w:cs="Tahoma"/>
          <w:color w:val="000000"/>
          <w:szCs w:val="18"/>
        </w:rPr>
        <w:t xml:space="preserve">offerta, le società dovranno (1) creare un account di valutazione per Windows Intune </w:t>
      </w:r>
      <w:r w:rsidRPr="00A75DF9">
        <w:rPr>
          <w:rFonts w:cs="Tahoma"/>
          <w:szCs w:val="18"/>
        </w:rPr>
        <w:t xml:space="preserve">(Per Dispositivo) </w:t>
      </w:r>
      <w:r w:rsidRPr="00A75DF9">
        <w:rPr>
          <w:rFonts w:eastAsia="Calibri" w:cs="Tahoma"/>
          <w:color w:val="000000"/>
          <w:szCs w:val="18"/>
        </w:rPr>
        <w:t xml:space="preserve">sul sito </w:t>
      </w:r>
      <w:r w:rsidR="00350D2E" w:rsidRPr="00920402">
        <w:rPr>
          <w:rFonts w:eastAsia="Calibri" w:cs="Tahoma"/>
          <w:color w:val="000000"/>
          <w:szCs w:val="18"/>
        </w:rPr>
        <w:t>http://www.microsoft.com/en-us/windows/windowsintune/try-and-buy.aspx</w:t>
      </w:r>
      <w:r w:rsidRPr="00A75DF9">
        <w:rPr>
          <w:rFonts w:eastAsia="Calibri" w:cs="Tahoma"/>
          <w:color w:val="000000"/>
          <w:szCs w:val="18"/>
        </w:rPr>
        <w:t>, quindi (2) inviare il modulo di accettazione dell</w:t>
      </w:r>
      <w:r w:rsidR="00F2643E">
        <w:rPr>
          <w:rFonts w:eastAsia="Calibri" w:cs="Tahoma"/>
          <w:color w:val="000000"/>
          <w:szCs w:val="18"/>
        </w:rPr>
        <w:t>’</w:t>
      </w:r>
      <w:r w:rsidRPr="00A75DF9">
        <w:rPr>
          <w:rFonts w:eastAsia="Calibri" w:cs="Tahoma"/>
          <w:color w:val="000000"/>
          <w:szCs w:val="18"/>
        </w:rPr>
        <w:t>offerta all</w:t>
      </w:r>
      <w:r w:rsidR="00F2643E">
        <w:rPr>
          <w:rFonts w:eastAsia="Calibri" w:cs="Tahoma"/>
          <w:color w:val="000000"/>
          <w:szCs w:val="18"/>
        </w:rPr>
        <w:t>’</w:t>
      </w:r>
      <w:r w:rsidRPr="00A75DF9">
        <w:rPr>
          <w:rFonts w:eastAsia="Calibri" w:cs="Tahoma"/>
          <w:color w:val="000000"/>
          <w:szCs w:val="18"/>
        </w:rPr>
        <w:t xml:space="preserve">indirizzo </w:t>
      </w:r>
      <w:r w:rsidR="00350D2E" w:rsidRPr="00920402">
        <w:rPr>
          <w:rFonts w:eastAsia="Calibri" w:cs="Tahoma"/>
          <w:color w:val="000000"/>
          <w:szCs w:val="18"/>
        </w:rPr>
        <w:t>http://go.microsoft.com/fwlink/?LinkID=242876</w:t>
      </w:r>
      <w:r w:rsidRPr="00A75DF9">
        <w:rPr>
          <w:rFonts w:eastAsia="Calibri" w:cs="Tahoma"/>
          <w:color w:val="000000"/>
          <w:szCs w:val="18"/>
        </w:rPr>
        <w:t>.</w:t>
      </w:r>
    </w:p>
    <w:p w:rsidR="0031394C" w:rsidRPr="00A75DF9" w:rsidRDefault="0031394C" w:rsidP="00346F4B">
      <w:pPr>
        <w:numPr>
          <w:ilvl w:val="1"/>
          <w:numId w:val="82"/>
        </w:numPr>
        <w:spacing w:after="60"/>
        <w:rPr>
          <w:rFonts w:cs="Tahoma"/>
        </w:rPr>
      </w:pPr>
      <w:r w:rsidRPr="00A75DF9">
        <w:rPr>
          <w:rFonts w:eastAsia="Calibri" w:cs="Tahoma"/>
          <w:color w:val="000000"/>
          <w:szCs w:val="18"/>
        </w:rPr>
        <w:t>L</w:t>
      </w:r>
      <w:r w:rsidR="00F2643E">
        <w:rPr>
          <w:rFonts w:eastAsia="Calibri" w:cs="Tahoma"/>
          <w:color w:val="000000"/>
          <w:szCs w:val="18"/>
        </w:rPr>
        <w:t>’</w:t>
      </w:r>
      <w:r w:rsidRPr="00A75DF9">
        <w:rPr>
          <w:rFonts w:eastAsia="Calibri" w:cs="Tahoma"/>
          <w:color w:val="000000"/>
          <w:szCs w:val="18"/>
        </w:rPr>
        <w:t xml:space="preserve">accesso a Windows Intune </w:t>
      </w:r>
      <w:r w:rsidRPr="00A75DF9">
        <w:rPr>
          <w:rFonts w:cs="Tahoma"/>
          <w:szCs w:val="18"/>
        </w:rPr>
        <w:t xml:space="preserve">(Per Dispositivo) </w:t>
      </w:r>
      <w:r w:rsidRPr="00A75DF9">
        <w:rPr>
          <w:rFonts w:eastAsia="Calibri" w:cs="Tahoma"/>
          <w:color w:val="000000"/>
          <w:szCs w:val="18"/>
        </w:rPr>
        <w:t>e il relativo utilizzo ai sensi di tale offerta terminerà alla scadenza della sottoscrizione MDOP della società.</w:t>
      </w:r>
    </w:p>
    <w:p w:rsidR="0031394C" w:rsidRPr="00350D2E" w:rsidRDefault="0031394C" w:rsidP="00346F4B">
      <w:pPr>
        <w:numPr>
          <w:ilvl w:val="1"/>
          <w:numId w:val="82"/>
        </w:numPr>
        <w:spacing w:after="60"/>
        <w:rPr>
          <w:rFonts w:cs="Tahoma"/>
        </w:rPr>
      </w:pPr>
      <w:r w:rsidRPr="00A75DF9">
        <w:rPr>
          <w:rFonts w:eastAsia="Calibri" w:cs="Tahoma"/>
          <w:color w:val="000000"/>
          <w:szCs w:val="18"/>
        </w:rPr>
        <w:t>Le condizioni dei contratti delle società, le Condizioni Universali di Licenza dei Diritti di Utilizzo del Prodotto e le Condizioni Generali di Licenza della sezione Servizi Online dei Diritti di Utilizzo del Prodotto disciplinano l</w:t>
      </w:r>
      <w:r w:rsidR="00F2643E">
        <w:rPr>
          <w:rFonts w:eastAsia="Calibri" w:cs="Tahoma"/>
          <w:color w:val="000000"/>
          <w:szCs w:val="18"/>
        </w:rPr>
        <w:t>’</w:t>
      </w:r>
      <w:r w:rsidRPr="00A75DF9">
        <w:rPr>
          <w:rFonts w:eastAsia="Calibri" w:cs="Tahoma"/>
          <w:color w:val="000000"/>
          <w:szCs w:val="18"/>
        </w:rPr>
        <w:t>utilizzo del servizio.</w:t>
      </w:r>
    </w:p>
    <w:p w:rsidR="00350D2E" w:rsidRDefault="00350D2E" w:rsidP="00350D2E">
      <w:pPr>
        <w:spacing w:after="60"/>
        <w:ind w:left="1440"/>
        <w:rPr>
          <w:rFonts w:eastAsia="Calibri" w:cs="Tahoma"/>
          <w:color w:val="000000"/>
          <w:szCs w:val="18"/>
        </w:rPr>
      </w:pPr>
    </w:p>
    <w:p w:rsidR="00350D2E" w:rsidRPr="00A75DF9" w:rsidRDefault="00350D2E" w:rsidP="00350D2E">
      <w:pPr>
        <w:spacing w:after="60"/>
        <w:ind w:left="1440"/>
        <w:rPr>
          <w:rFonts w:cs="Tahoma"/>
        </w:rPr>
      </w:pPr>
    </w:p>
    <w:p w:rsidR="0031394C" w:rsidRPr="00A75DF9" w:rsidRDefault="0031394C" w:rsidP="00350D2E">
      <w:pPr>
        <w:numPr>
          <w:ilvl w:val="1"/>
          <w:numId w:val="82"/>
        </w:numPr>
        <w:spacing w:after="60"/>
        <w:rPr>
          <w:rFonts w:cs="Tahoma"/>
        </w:rPr>
      </w:pPr>
      <w:r w:rsidRPr="00A75DF9">
        <w:rPr>
          <w:rFonts w:eastAsia="Calibri" w:cs="Tahoma"/>
          <w:color w:val="000000"/>
          <w:szCs w:val="18"/>
        </w:rPr>
        <w:lastRenderedPageBreak/>
        <w:t xml:space="preserve">Il numero di dispositivi che rendono una società idonea ad accedere a Windows Intune </w:t>
      </w:r>
      <w:r w:rsidRPr="00A75DF9">
        <w:rPr>
          <w:rFonts w:cs="Tahoma"/>
          <w:szCs w:val="18"/>
        </w:rPr>
        <w:t>(Per</w:t>
      </w:r>
      <w:r w:rsidR="00350D2E">
        <w:rPr>
          <w:rFonts w:cs="Tahoma"/>
          <w:szCs w:val="18"/>
        </w:rPr>
        <w:t> </w:t>
      </w:r>
      <w:r w:rsidRPr="00A75DF9">
        <w:rPr>
          <w:rFonts w:cs="Tahoma"/>
          <w:szCs w:val="18"/>
        </w:rPr>
        <w:t>Dispositivo)</w:t>
      </w:r>
      <w:r w:rsidRPr="00A75DF9">
        <w:rPr>
          <w:rFonts w:eastAsia="Calibri" w:cs="Tahoma"/>
          <w:color w:val="000000"/>
          <w:szCs w:val="18"/>
        </w:rPr>
        <w:t xml:space="preserve"> in base alla presente offerta è uguale al numero totale di postazioni per la sottoscrizione AIS della società al momento in cui la società accetta l</w:t>
      </w:r>
      <w:r w:rsidR="00F2643E">
        <w:rPr>
          <w:rFonts w:eastAsia="Calibri" w:cs="Tahoma"/>
          <w:color w:val="000000"/>
          <w:szCs w:val="18"/>
        </w:rPr>
        <w:t>’</w:t>
      </w:r>
      <w:r w:rsidRPr="00A75DF9">
        <w:rPr>
          <w:rFonts w:eastAsia="Calibri" w:cs="Tahoma"/>
          <w:color w:val="000000"/>
          <w:szCs w:val="18"/>
        </w:rPr>
        <w:t xml:space="preserve">offerta di Windows Intune </w:t>
      </w:r>
      <w:r w:rsidRPr="00A75DF9">
        <w:rPr>
          <w:rFonts w:cs="Tahoma"/>
          <w:szCs w:val="18"/>
        </w:rPr>
        <w:t>(Per Dispositivo)</w:t>
      </w:r>
      <w:r w:rsidRPr="00A75DF9">
        <w:rPr>
          <w:rFonts w:eastAsia="Calibri" w:cs="Tahoma"/>
          <w:color w:val="000000"/>
          <w:szCs w:val="18"/>
        </w:rPr>
        <w:t>.</w:t>
      </w:r>
      <w:r w:rsidR="009D3B41" w:rsidRPr="00A75DF9">
        <w:rPr>
          <w:rFonts w:eastAsia="Calibri" w:cs="Tahoma"/>
          <w:color w:val="000000"/>
          <w:szCs w:val="18"/>
        </w:rPr>
        <w:t xml:space="preserve"> </w:t>
      </w:r>
      <w:r w:rsidRPr="00A75DF9">
        <w:rPr>
          <w:rFonts w:eastAsia="Calibri" w:cs="Tahoma"/>
          <w:color w:val="000000"/>
          <w:szCs w:val="18"/>
        </w:rPr>
        <w:t>Le postazioni AIS aggiunte a un account attivo in un momento qualsiasi che precede l</w:t>
      </w:r>
      <w:r w:rsidR="00F2643E">
        <w:rPr>
          <w:rFonts w:eastAsia="Calibri" w:cs="Tahoma"/>
          <w:color w:val="000000"/>
          <w:szCs w:val="18"/>
        </w:rPr>
        <w:t>’</w:t>
      </w:r>
      <w:r w:rsidRPr="00A75DF9">
        <w:rPr>
          <w:rFonts w:eastAsia="Calibri" w:cs="Tahoma"/>
          <w:color w:val="000000"/>
          <w:szCs w:val="18"/>
        </w:rPr>
        <w:t>accettazione da parte della società dell</w:t>
      </w:r>
      <w:r w:rsidR="00F2643E">
        <w:rPr>
          <w:rFonts w:eastAsia="Calibri" w:cs="Tahoma"/>
          <w:color w:val="000000"/>
          <w:szCs w:val="18"/>
        </w:rPr>
        <w:t>’</w:t>
      </w:r>
      <w:r w:rsidRPr="00A75DF9">
        <w:rPr>
          <w:rFonts w:eastAsia="Calibri" w:cs="Tahoma"/>
          <w:color w:val="000000"/>
          <w:szCs w:val="18"/>
        </w:rPr>
        <w:t>offerta di Windows</w:t>
      </w:r>
      <w:r w:rsidR="009D5D7B" w:rsidRPr="00A75DF9">
        <w:rPr>
          <w:rFonts w:eastAsia="Calibri" w:cs="Tahoma"/>
          <w:color w:val="000000"/>
          <w:szCs w:val="18"/>
          <w:vertAlign w:val="superscript"/>
        </w:rPr>
        <w:t>®</w:t>
      </w:r>
      <w:r w:rsidRPr="00A75DF9">
        <w:rPr>
          <w:rFonts w:eastAsia="Calibri" w:cs="Tahoma"/>
          <w:color w:val="000000"/>
          <w:szCs w:val="18"/>
        </w:rPr>
        <w:t xml:space="preserve"> Intune saranno incluse nel conteggio.</w:t>
      </w:r>
    </w:p>
    <w:p w:rsidR="0031394C" w:rsidRPr="00A75DF9" w:rsidRDefault="0031394C" w:rsidP="00350D2E">
      <w:pPr>
        <w:numPr>
          <w:ilvl w:val="1"/>
          <w:numId w:val="82"/>
        </w:numPr>
        <w:spacing w:after="60"/>
        <w:rPr>
          <w:rFonts w:cs="Tahoma"/>
        </w:rPr>
      </w:pPr>
      <w:r w:rsidRPr="00A75DF9">
        <w:rPr>
          <w:rFonts w:eastAsia="Calibri" w:cs="Tahoma"/>
          <w:color w:val="000000"/>
          <w:szCs w:val="18"/>
        </w:rPr>
        <w:t>Le postazioni MDOP acquistate dopo l</w:t>
      </w:r>
      <w:r w:rsidR="00F2643E">
        <w:rPr>
          <w:rFonts w:eastAsia="Calibri" w:cs="Tahoma"/>
          <w:color w:val="000000"/>
          <w:szCs w:val="18"/>
        </w:rPr>
        <w:t>’</w:t>
      </w:r>
      <w:r w:rsidRPr="00A75DF9">
        <w:rPr>
          <w:rFonts w:eastAsia="Calibri" w:cs="Tahoma"/>
          <w:color w:val="000000"/>
          <w:szCs w:val="18"/>
        </w:rPr>
        <w:t>accettazione da parte della società della presente offerta di</w:t>
      </w:r>
      <w:r w:rsidR="00350D2E">
        <w:rPr>
          <w:rFonts w:eastAsia="Calibri" w:cs="Tahoma"/>
          <w:color w:val="000000"/>
          <w:szCs w:val="18"/>
        </w:rPr>
        <w:t> </w:t>
      </w:r>
      <w:r w:rsidRPr="00A75DF9">
        <w:rPr>
          <w:rFonts w:eastAsia="Calibri" w:cs="Tahoma"/>
          <w:color w:val="000000"/>
          <w:szCs w:val="18"/>
        </w:rPr>
        <w:t xml:space="preserve">Windows Intune </w:t>
      </w:r>
      <w:r w:rsidRPr="00A75DF9">
        <w:rPr>
          <w:rFonts w:cs="Tahoma"/>
          <w:szCs w:val="18"/>
        </w:rPr>
        <w:t>(Per Dispositivo)</w:t>
      </w:r>
      <w:r w:rsidRPr="00A75DF9">
        <w:rPr>
          <w:rFonts w:eastAsia="Calibri" w:cs="Tahoma"/>
          <w:color w:val="000000"/>
          <w:szCs w:val="18"/>
        </w:rPr>
        <w:t xml:space="preserve">, incluse le licenze acquistate attraverso la procedura di true-up ai sensi del rispettivo contratto multilicenza, non saranno idonee ad accedere a Windows Intune </w:t>
      </w:r>
      <w:r w:rsidRPr="00A75DF9">
        <w:rPr>
          <w:rFonts w:cs="Tahoma"/>
          <w:szCs w:val="18"/>
        </w:rPr>
        <w:t>(Per</w:t>
      </w:r>
      <w:r w:rsidR="00350D2E">
        <w:rPr>
          <w:rFonts w:cs="Tahoma"/>
          <w:szCs w:val="18"/>
        </w:rPr>
        <w:t> </w:t>
      </w:r>
      <w:r w:rsidRPr="00A75DF9">
        <w:rPr>
          <w:rFonts w:cs="Tahoma"/>
          <w:szCs w:val="18"/>
        </w:rPr>
        <w:t xml:space="preserve">Dispositivo) </w:t>
      </w:r>
      <w:r w:rsidRPr="00A75DF9">
        <w:rPr>
          <w:rFonts w:eastAsia="Calibri" w:cs="Tahoma"/>
          <w:color w:val="000000"/>
          <w:szCs w:val="18"/>
        </w:rPr>
        <w:t>ai sensi dell</w:t>
      </w:r>
      <w:r w:rsidR="00F2643E">
        <w:rPr>
          <w:rFonts w:eastAsia="Calibri" w:cs="Tahoma"/>
          <w:color w:val="000000"/>
          <w:szCs w:val="18"/>
        </w:rPr>
        <w:t>’</w:t>
      </w:r>
      <w:r w:rsidRPr="00A75DF9">
        <w:rPr>
          <w:rFonts w:eastAsia="Calibri" w:cs="Tahoma"/>
          <w:color w:val="000000"/>
          <w:szCs w:val="18"/>
        </w:rPr>
        <w:t xml:space="preserve">offerta. Qualora una società desideri accedere a Windows Intune </w:t>
      </w:r>
      <w:r w:rsidRPr="00A75DF9">
        <w:rPr>
          <w:rFonts w:cs="Tahoma"/>
          <w:szCs w:val="18"/>
        </w:rPr>
        <w:t>(Per</w:t>
      </w:r>
      <w:r w:rsidR="00350D2E">
        <w:rPr>
          <w:rFonts w:cs="Tahoma"/>
          <w:szCs w:val="18"/>
        </w:rPr>
        <w:t> </w:t>
      </w:r>
      <w:r w:rsidRPr="00A75DF9">
        <w:rPr>
          <w:rFonts w:cs="Tahoma"/>
          <w:szCs w:val="18"/>
        </w:rPr>
        <w:t>Dispositivo)</w:t>
      </w:r>
      <w:r w:rsidRPr="00A75DF9">
        <w:rPr>
          <w:rFonts w:eastAsia="Calibri" w:cs="Tahoma"/>
          <w:color w:val="000000"/>
          <w:szCs w:val="18"/>
        </w:rPr>
        <w:t xml:space="preserve"> utilizzando un numero di dispositivi superiore al numero consentito dalla presente offerta, dovrà acquistare licenze aggiuntive separate.</w:t>
      </w:r>
    </w:p>
    <w:p w:rsidR="005403C8" w:rsidRPr="00A75DF9" w:rsidRDefault="0031394C" w:rsidP="00346F4B">
      <w:pPr>
        <w:numPr>
          <w:ilvl w:val="1"/>
          <w:numId w:val="82"/>
        </w:numPr>
        <w:spacing w:after="60"/>
        <w:rPr>
          <w:rFonts w:cs="Tahoma"/>
        </w:rPr>
      </w:pPr>
      <w:r w:rsidRPr="00A75DF9">
        <w:rPr>
          <w:rFonts w:eastAsia="Calibri" w:cs="Tahoma"/>
          <w:color w:val="000000"/>
          <w:szCs w:val="18"/>
        </w:rPr>
        <w:t xml:space="preserve">I diritti di accesso a Windows Intune </w:t>
      </w:r>
      <w:r w:rsidRPr="00A75DF9">
        <w:rPr>
          <w:rFonts w:cs="Tahoma"/>
          <w:szCs w:val="18"/>
        </w:rPr>
        <w:t>(Per Dispositivo)</w:t>
      </w:r>
      <w:r w:rsidRPr="00A75DF9">
        <w:rPr>
          <w:rFonts w:eastAsia="Calibri" w:cs="Tahoma"/>
          <w:color w:val="000000"/>
          <w:szCs w:val="18"/>
        </w:rPr>
        <w:t xml:space="preserve"> ai sensi della presente offerta non includono i diritti di utilizzo del sistema operativo desktop Windows.</w:t>
      </w:r>
      <w:r w:rsidR="009D3B41" w:rsidRPr="00A75DF9">
        <w:rPr>
          <w:rFonts w:eastAsia="Calibri" w:cs="Tahoma"/>
          <w:color w:val="000000"/>
          <w:szCs w:val="18"/>
        </w:rPr>
        <w:t xml:space="preserve"> </w:t>
      </w:r>
      <w:bookmarkStart w:id="1091" w:name="_24_Windows®_Companion"/>
      <w:bookmarkStart w:id="1092" w:name="_24_Windows®_8"/>
      <w:bookmarkStart w:id="1093" w:name="Sys_22WindowsPartnersLearning"/>
      <w:bookmarkEnd w:id="1089"/>
      <w:bookmarkEnd w:id="1091"/>
      <w:bookmarkEnd w:id="1092"/>
    </w:p>
    <w:p w:rsidR="006714D8" w:rsidRPr="00A75DF9" w:rsidRDefault="006714D8" w:rsidP="001760D6">
      <w:pPr>
        <w:rPr>
          <w:rFonts w:cs="Tahoma"/>
        </w:rPr>
      </w:pPr>
    </w:p>
    <w:p w:rsidR="006714D8" w:rsidRPr="00A75DF9" w:rsidRDefault="006714D8" w:rsidP="001760D6">
      <w:pPr>
        <w:rPr>
          <w:rFonts w:cs="Tahoma"/>
        </w:rPr>
      </w:pPr>
    </w:p>
    <w:p w:rsidR="006714D8" w:rsidRPr="00A75DF9" w:rsidRDefault="00A560B6" w:rsidP="006D5161">
      <w:pPr>
        <w:pStyle w:val="Heading3"/>
        <w:rPr>
          <w:rFonts w:ascii="Tahoma" w:hAnsi="Tahoma" w:cs="Tahoma"/>
        </w:rPr>
      </w:pPr>
      <w:bookmarkStart w:id="1094" w:name="_25_Windows_Embedded"/>
      <w:bookmarkStart w:id="1095" w:name="_Toc368310275"/>
      <w:bookmarkEnd w:id="1094"/>
      <w:r w:rsidRPr="00A75DF9">
        <w:rPr>
          <w:rFonts w:ascii="Tahoma" w:hAnsi="Tahoma" w:cs="Tahoma"/>
          <w:caps/>
          <w:color w:val="F66400"/>
          <w:sz w:val="22"/>
          <w:vertAlign w:val="superscript"/>
        </w:rPr>
        <w:t xml:space="preserve">26 </w:t>
      </w:r>
      <w:r w:rsidRPr="00A75DF9">
        <w:rPr>
          <w:rFonts w:ascii="Tahoma" w:hAnsi="Tahoma" w:cs="Tahoma"/>
          <w:color w:val="F66400"/>
          <w:sz w:val="22"/>
        </w:rPr>
        <w:t>Windows Embedded 8 Standard Enterprise Kit</w:t>
      </w:r>
      <w:bookmarkEnd w:id="1095"/>
    </w:p>
    <w:p w:rsidR="006714D8" w:rsidRPr="00350D2E" w:rsidRDefault="006714D8" w:rsidP="006714D8">
      <w:pPr>
        <w:pStyle w:val="FootnoteBulletLevel1"/>
        <w:tabs>
          <w:tab w:val="clear" w:pos="900"/>
        </w:tabs>
        <w:adjustRightInd/>
        <w:spacing w:before="0" w:after="0"/>
        <w:ind w:left="720" w:hanging="7"/>
        <w:textAlignment w:val="auto"/>
        <w:rPr>
          <w:rFonts w:ascii="Tahoma" w:hAnsi="Tahoma" w:cs="Tahoma"/>
          <w:sz w:val="18"/>
          <w:szCs w:val="18"/>
        </w:rPr>
      </w:pPr>
    </w:p>
    <w:p w:rsidR="006714D8" w:rsidRPr="00350D2E" w:rsidRDefault="006714D8" w:rsidP="00350D2E">
      <w:pPr>
        <w:pStyle w:val="FootnoteBulletLevel1"/>
        <w:tabs>
          <w:tab w:val="clear" w:pos="900"/>
        </w:tabs>
        <w:adjustRightInd/>
        <w:spacing w:before="0" w:after="0"/>
        <w:ind w:left="720" w:firstLine="0"/>
        <w:textAlignment w:val="auto"/>
        <w:rPr>
          <w:rFonts w:ascii="Tahoma" w:hAnsi="Tahoma" w:cs="Tahoma"/>
          <w:sz w:val="18"/>
          <w:szCs w:val="18"/>
        </w:rPr>
      </w:pPr>
      <w:r w:rsidRPr="00350D2E">
        <w:rPr>
          <w:rFonts w:ascii="Tahoma" w:hAnsi="Tahoma" w:cs="Tahoma"/>
          <w:sz w:val="18"/>
          <w:szCs w:val="18"/>
        </w:rPr>
        <w:t>Le società che acquistano un dispositivo OEM con preinstallato il software Windows Embedded 8 Standard potranno acquistare una Licenza per Windows Embedded 8 Standard Enterprise Kit per ottenere in licenza, sbloccare e attivare alcune funzionalità del software (incluse Windows DirectAccess, BranchCache e AppLocker). L</w:t>
      </w:r>
      <w:r w:rsidR="00F2643E">
        <w:rPr>
          <w:rFonts w:ascii="Tahoma" w:hAnsi="Tahoma" w:cs="Tahoma"/>
          <w:sz w:val="18"/>
          <w:szCs w:val="18"/>
        </w:rPr>
        <w:t>’</w:t>
      </w:r>
      <w:r w:rsidRPr="00350D2E">
        <w:rPr>
          <w:rFonts w:ascii="Tahoma" w:hAnsi="Tahoma" w:cs="Tahoma"/>
          <w:sz w:val="18"/>
          <w:szCs w:val="18"/>
        </w:rPr>
        <w:t>utilizzo delle funzionalità del software autorizzate dalla licenza ottenuta ai sensi della presente offerta è soggetto alle condizioni del contratto di licenza della società e alle condizioni di licenza software per</w:t>
      </w:r>
      <w:r w:rsidR="00350D2E">
        <w:rPr>
          <w:rFonts w:ascii="Tahoma" w:hAnsi="Tahoma" w:cs="Tahoma"/>
          <w:sz w:val="18"/>
          <w:szCs w:val="18"/>
        </w:rPr>
        <w:t> </w:t>
      </w:r>
      <w:r w:rsidRPr="00350D2E">
        <w:rPr>
          <w:rFonts w:ascii="Tahoma" w:hAnsi="Tahoma" w:cs="Tahoma"/>
          <w:sz w:val="18"/>
          <w:szCs w:val="18"/>
        </w:rPr>
        <w:t>il software Windows Embedded 8 Standard sottostante. Il diritto di utilizzo delle funzionalità del software termina alla scadenza del diritto di utilizzo del software Windows Embedded 8 Standard sottostante. La Licenza per Windows Embedded 8 Standard Enterprise Kit dovrà essere ceduta in modo definitivo a un solo</w:t>
      </w:r>
      <w:r w:rsidR="00350D2E">
        <w:rPr>
          <w:rFonts w:ascii="Tahoma" w:hAnsi="Tahoma" w:cs="Tahoma"/>
          <w:sz w:val="18"/>
          <w:szCs w:val="18"/>
        </w:rPr>
        <w:t> </w:t>
      </w:r>
      <w:r w:rsidRPr="00350D2E">
        <w:rPr>
          <w:rFonts w:ascii="Tahoma" w:hAnsi="Tahoma" w:cs="Tahoma"/>
          <w:sz w:val="18"/>
          <w:szCs w:val="18"/>
        </w:rPr>
        <w:t>dispositivo e non potrà essere trasferita ad altri dispositivi.</w:t>
      </w:r>
      <w:r w:rsidR="009D3B41" w:rsidRPr="00350D2E">
        <w:rPr>
          <w:rFonts w:ascii="Tahoma" w:hAnsi="Tahoma" w:cs="Tahoma"/>
          <w:sz w:val="18"/>
          <w:szCs w:val="18"/>
        </w:rPr>
        <w:t xml:space="preserve"> </w:t>
      </w:r>
    </w:p>
    <w:p w:rsidR="006714D8" w:rsidRPr="00A75DF9" w:rsidRDefault="006714D8" w:rsidP="006714D8">
      <w:pPr>
        <w:contextualSpacing/>
        <w:rPr>
          <w:rFonts w:cs="Tahoma"/>
        </w:rPr>
      </w:pPr>
    </w:p>
    <w:p w:rsidR="006714D8" w:rsidRPr="00A75DF9" w:rsidRDefault="006714D8" w:rsidP="006714D8">
      <w:pPr>
        <w:contextualSpacing/>
        <w:rPr>
          <w:rFonts w:cs="Tahoma"/>
        </w:rPr>
      </w:pPr>
    </w:p>
    <w:p w:rsidR="006714D8" w:rsidRPr="00A75DF9" w:rsidRDefault="00A560B6" w:rsidP="006D5161">
      <w:pPr>
        <w:pStyle w:val="Heading3"/>
        <w:rPr>
          <w:rFonts w:ascii="Tahoma" w:hAnsi="Tahoma" w:cs="Tahoma"/>
        </w:rPr>
      </w:pPr>
      <w:bookmarkStart w:id="1096" w:name="_26_Windows_Embedded"/>
      <w:bookmarkStart w:id="1097" w:name="_Toc368310276"/>
      <w:bookmarkEnd w:id="1096"/>
      <w:r w:rsidRPr="00A75DF9">
        <w:rPr>
          <w:rFonts w:ascii="Tahoma" w:hAnsi="Tahoma" w:cs="Tahoma"/>
          <w:caps/>
          <w:color w:val="F66400"/>
          <w:sz w:val="22"/>
          <w:vertAlign w:val="superscript"/>
        </w:rPr>
        <w:t xml:space="preserve">27 </w:t>
      </w:r>
      <w:r w:rsidRPr="00A75DF9">
        <w:rPr>
          <w:rFonts w:ascii="Tahoma" w:hAnsi="Tahoma" w:cs="Tahoma"/>
          <w:color w:val="F66400"/>
          <w:sz w:val="22"/>
        </w:rPr>
        <w:t>Windows Embedded 8 Industry Pro Sideloading</w:t>
      </w:r>
      <w:bookmarkEnd w:id="1097"/>
      <w:r w:rsidRPr="00A75DF9">
        <w:rPr>
          <w:rFonts w:ascii="Tahoma" w:hAnsi="Tahoma" w:cs="Tahoma"/>
          <w:caps/>
          <w:color w:val="F66400"/>
          <w:sz w:val="22"/>
          <w:vertAlign w:val="superscript"/>
        </w:rPr>
        <w:t xml:space="preserve"> </w:t>
      </w:r>
    </w:p>
    <w:p w:rsidR="006714D8" w:rsidRPr="00A75DF9" w:rsidRDefault="006714D8" w:rsidP="006714D8">
      <w:pPr>
        <w:spacing w:after="60"/>
        <w:ind w:left="720"/>
        <w:rPr>
          <w:rFonts w:cs="Tahoma"/>
        </w:rPr>
      </w:pPr>
    </w:p>
    <w:p w:rsidR="006714D8" w:rsidRPr="00A75DF9" w:rsidRDefault="006714D8" w:rsidP="006714D8">
      <w:pPr>
        <w:spacing w:after="60"/>
        <w:ind w:left="720"/>
        <w:rPr>
          <w:rFonts w:cs="Tahoma"/>
        </w:rPr>
      </w:pPr>
      <w:r w:rsidRPr="00A75DF9">
        <w:rPr>
          <w:rFonts w:cs="Tahoma"/>
          <w:b/>
          <w:szCs w:val="18"/>
        </w:rPr>
        <w:t>Licenza per Windows Embedded 8 Industry Pro Sideloadingg Disponibile per l</w:t>
      </w:r>
      <w:r w:rsidR="00F2643E">
        <w:rPr>
          <w:rFonts w:cs="Tahoma"/>
          <w:b/>
          <w:szCs w:val="18"/>
        </w:rPr>
        <w:t>’</w:t>
      </w:r>
      <w:r w:rsidRPr="00A75DF9">
        <w:rPr>
          <w:rFonts w:cs="Tahoma"/>
          <w:b/>
          <w:szCs w:val="18"/>
        </w:rPr>
        <w:t>Acquisto</w:t>
      </w:r>
    </w:p>
    <w:p w:rsidR="006714D8" w:rsidRPr="00A75DF9" w:rsidRDefault="006714D8" w:rsidP="00350D2E">
      <w:pPr>
        <w:ind w:left="720"/>
        <w:rPr>
          <w:rFonts w:cs="Tahoma"/>
        </w:rPr>
      </w:pPr>
      <w:r w:rsidRPr="00A75DF9">
        <w:rPr>
          <w:rFonts w:cs="Tahoma"/>
          <w:szCs w:val="18"/>
        </w:rPr>
        <w:t>Le società potranno acquistare licenze per Windows Embedded 8 Industry Pro Sideloading per dispositivi dotati di licenza per Windows Embedded 8 Industry Pro.</w:t>
      </w:r>
      <w:r w:rsidR="009D3B41" w:rsidRPr="00A75DF9">
        <w:rPr>
          <w:rFonts w:cs="Tahoma"/>
          <w:szCs w:val="18"/>
        </w:rPr>
        <w:t xml:space="preserve"> </w:t>
      </w:r>
      <w:r w:rsidRPr="00A75DF9">
        <w:rPr>
          <w:rFonts w:cs="Tahoma"/>
          <w:szCs w:val="18"/>
        </w:rPr>
        <w:t>Ciascuna di tali licenze dovrà essere ceduta in modo definitivo a un solo dispositivo.</w:t>
      </w:r>
      <w:r w:rsidR="009D3B41" w:rsidRPr="00A75DF9">
        <w:rPr>
          <w:rFonts w:cs="Tahoma"/>
          <w:szCs w:val="18"/>
        </w:rPr>
        <w:t xml:space="preserve"> </w:t>
      </w:r>
      <w:r w:rsidRPr="00A75DF9">
        <w:rPr>
          <w:rFonts w:cs="Tahoma"/>
          <w:szCs w:val="18"/>
        </w:rPr>
        <w:t>Nota: le società non potranno utilizzare licenze sideloading acquistate per Windows Embedded 8 Pro su dispositivi in cui è in esecuzione Windows Embedded 8 Industry Pro.</w:t>
      </w:r>
      <w:r w:rsidR="009D3B41" w:rsidRPr="00A75DF9">
        <w:rPr>
          <w:rFonts w:cs="Tahoma"/>
          <w:szCs w:val="18"/>
        </w:rPr>
        <w:t xml:space="preserve"> </w:t>
      </w:r>
      <w:r w:rsidRPr="00A75DF9">
        <w:rPr>
          <w:rFonts w:cs="Tahoma"/>
          <w:szCs w:val="18"/>
        </w:rPr>
        <w:t>Per</w:t>
      </w:r>
      <w:r w:rsidR="00350D2E">
        <w:rPr>
          <w:rFonts w:cs="Tahoma"/>
          <w:szCs w:val="18"/>
        </w:rPr>
        <w:t> I </w:t>
      </w:r>
      <w:r w:rsidRPr="00A75DF9">
        <w:rPr>
          <w:rFonts w:cs="Tahoma"/>
          <w:szCs w:val="18"/>
        </w:rPr>
        <w:t>dispositivi con Windows Embedded 8 Pro la società dovrà prendere visione della nota del prodotto “Windows 8 Enterprise Sideloading” del presente documento.</w:t>
      </w:r>
    </w:p>
    <w:p w:rsidR="006714D8" w:rsidRPr="00A75DF9" w:rsidRDefault="006714D8" w:rsidP="006714D8">
      <w:pPr>
        <w:rPr>
          <w:rFonts w:cs="Tahoma"/>
        </w:rPr>
      </w:pPr>
    </w:p>
    <w:p w:rsidR="006714D8" w:rsidRPr="00A75DF9" w:rsidRDefault="006714D8" w:rsidP="006714D8">
      <w:pPr>
        <w:contextualSpacing/>
        <w:rPr>
          <w:rFonts w:cs="Tahoma"/>
        </w:rPr>
      </w:pPr>
    </w:p>
    <w:p w:rsidR="006714D8" w:rsidRPr="00A75DF9" w:rsidRDefault="00A560B6" w:rsidP="006714D8">
      <w:pPr>
        <w:pStyle w:val="Heading3"/>
        <w:rPr>
          <w:rFonts w:ascii="Tahoma" w:hAnsi="Tahoma" w:cs="Tahoma"/>
        </w:rPr>
      </w:pPr>
      <w:bookmarkStart w:id="1098" w:name="_27_Windows®_Embedded"/>
      <w:bookmarkStart w:id="1099" w:name="_Toc368310277"/>
      <w:bookmarkEnd w:id="1098"/>
      <w:r w:rsidRPr="00A75DF9">
        <w:rPr>
          <w:rFonts w:ascii="Tahoma" w:hAnsi="Tahoma" w:cs="Tahoma"/>
          <w:caps/>
          <w:color w:val="F66400"/>
          <w:sz w:val="22"/>
          <w:vertAlign w:val="superscript"/>
        </w:rPr>
        <w:t xml:space="preserve">28 </w:t>
      </w:r>
      <w:r w:rsidRPr="00A75DF9">
        <w:rPr>
          <w:rFonts w:ascii="Tahoma" w:hAnsi="Tahoma" w:cs="Tahoma"/>
          <w:color w:val="F66400"/>
          <w:sz w:val="22"/>
        </w:rPr>
        <w:t>Windows</w:t>
      </w:r>
      <w:r w:rsidR="009D5D7B" w:rsidRPr="00A75DF9">
        <w:rPr>
          <w:rFonts w:ascii="Tahoma" w:hAnsi="Tahoma" w:cs="Tahoma"/>
          <w:color w:val="F66400"/>
          <w:sz w:val="22"/>
          <w:vertAlign w:val="superscript"/>
        </w:rPr>
        <w:t>®</w:t>
      </w:r>
      <w:r w:rsidRPr="00A75DF9">
        <w:rPr>
          <w:rFonts w:ascii="Tahoma" w:hAnsi="Tahoma" w:cs="Tahoma"/>
          <w:color w:val="F66400"/>
          <w:sz w:val="22"/>
        </w:rPr>
        <w:t xml:space="preserve"> Embedded 8 Industry Pro Upgrade</w:t>
      </w:r>
      <w:bookmarkEnd w:id="1099"/>
    </w:p>
    <w:p w:rsidR="006714D8" w:rsidRPr="00A75DF9" w:rsidRDefault="006714D8" w:rsidP="006714D8">
      <w:pPr>
        <w:rPr>
          <w:rFonts w:cs="Tahoma"/>
        </w:rPr>
      </w:pPr>
    </w:p>
    <w:p w:rsidR="006714D8" w:rsidRPr="00A75DF9" w:rsidRDefault="006714D8" w:rsidP="006714D8">
      <w:pPr>
        <w:pStyle w:val="FootnoteBulletLevel1"/>
        <w:tabs>
          <w:tab w:val="clear" w:pos="900"/>
        </w:tabs>
        <w:adjustRightInd/>
        <w:spacing w:before="0" w:after="60"/>
        <w:ind w:left="720" w:firstLine="0"/>
        <w:textAlignment w:val="auto"/>
        <w:rPr>
          <w:rFonts w:ascii="Tahoma" w:hAnsi="Tahoma" w:cs="Tahoma"/>
        </w:rPr>
      </w:pPr>
      <w:r w:rsidRPr="00A75DF9">
        <w:rPr>
          <w:rFonts w:ascii="Tahoma" w:hAnsi="Tahoma" w:cs="Tahoma"/>
          <w:b/>
          <w:bCs/>
          <w:sz w:val="18"/>
          <w:szCs w:val="18"/>
        </w:rPr>
        <w:t>Aggiornamento per Windows</w:t>
      </w:r>
      <w:r w:rsidR="009D5D7B" w:rsidRPr="00A75DF9">
        <w:rPr>
          <w:rFonts w:ascii="Tahoma" w:hAnsi="Tahoma" w:cs="Tahoma"/>
          <w:b/>
          <w:bCs/>
          <w:sz w:val="18"/>
          <w:szCs w:val="18"/>
          <w:vertAlign w:val="superscript"/>
        </w:rPr>
        <w:t>®</w:t>
      </w:r>
      <w:r w:rsidRPr="00A75DF9">
        <w:rPr>
          <w:rFonts w:ascii="Tahoma" w:hAnsi="Tahoma" w:cs="Tahoma"/>
          <w:b/>
          <w:bCs/>
          <w:sz w:val="18"/>
          <w:szCs w:val="18"/>
        </w:rPr>
        <w:t xml:space="preserve"> Embedded 8 Industry Pro e Software Assurance</w:t>
      </w:r>
      <w:r w:rsidRPr="00A75DF9">
        <w:rPr>
          <w:rFonts w:ascii="Tahoma" w:hAnsi="Tahoma" w:cs="Tahoma"/>
          <w:b/>
          <w:sz w:val="18"/>
          <w:szCs w:val="18"/>
          <w:u w:val="single"/>
        </w:rPr>
        <w:t xml:space="preserve"> </w:t>
      </w:r>
    </w:p>
    <w:p w:rsidR="006714D8" w:rsidRPr="00A75DF9" w:rsidRDefault="006714D8" w:rsidP="006714D8">
      <w:pPr>
        <w:ind w:left="720"/>
        <w:rPr>
          <w:rFonts w:cs="Tahoma"/>
        </w:rPr>
      </w:pPr>
      <w:r w:rsidRPr="00A75DF9">
        <w:rPr>
          <w:rFonts w:cs="Tahoma"/>
          <w:szCs w:val="18"/>
          <w:u w:val="single"/>
        </w:rPr>
        <w:t>Licenza di Aggiornamento del Sistema Operativo per Windows Embedded 8 Industry Pro</w:t>
      </w:r>
    </w:p>
    <w:p w:rsidR="006714D8" w:rsidRPr="00A75DF9" w:rsidRDefault="006714D8" w:rsidP="006714D8">
      <w:pPr>
        <w:pStyle w:val="FootnoteBulletLevel1"/>
        <w:tabs>
          <w:tab w:val="clear" w:pos="900"/>
        </w:tabs>
        <w:adjustRightInd/>
        <w:spacing w:before="0" w:after="0"/>
        <w:ind w:left="720" w:hanging="7"/>
        <w:textAlignment w:val="auto"/>
        <w:rPr>
          <w:rFonts w:ascii="Tahoma" w:hAnsi="Tahoma" w:cs="Tahoma"/>
        </w:rPr>
      </w:pPr>
      <w:r w:rsidRPr="00A75DF9">
        <w:rPr>
          <w:rFonts w:ascii="Tahoma" w:hAnsi="Tahoma" w:cs="Tahoma"/>
          <w:sz w:val="18"/>
          <w:szCs w:val="18"/>
        </w:rPr>
        <w:t>Le licenze per sistemi operativi desktop fornite per Windows Embedded 8 Industry Pro sono unicamente licenze di aggiornamento. Le licenze complete per sistemi operativi desktop non sono disponibili. Pertanto, ogni desktop per cui sia stato acquistato e su cui sia installato l</w:t>
      </w:r>
      <w:r w:rsidR="00F2643E">
        <w:rPr>
          <w:rFonts w:ascii="Tahoma" w:hAnsi="Tahoma" w:cs="Tahoma"/>
          <w:sz w:val="18"/>
          <w:szCs w:val="18"/>
        </w:rPr>
        <w:t>’</w:t>
      </w:r>
      <w:r w:rsidRPr="00A75DF9">
        <w:rPr>
          <w:rFonts w:ascii="Tahoma" w:hAnsi="Tahoma" w:cs="Tahoma"/>
          <w:sz w:val="18"/>
          <w:szCs w:val="18"/>
        </w:rPr>
        <w:t>Aggiornamento per Windows Embedded 8 Industry Pro dovrà avere la licenza per eseguire uno dei sistemi operativi qualificanti indicati sotto.</w:t>
      </w:r>
    </w:p>
    <w:p w:rsidR="006714D8" w:rsidRPr="00A75DF9" w:rsidRDefault="006714D8" w:rsidP="006714D8">
      <w:pPr>
        <w:ind w:left="720"/>
        <w:rPr>
          <w:rFonts w:cs="Tahoma"/>
        </w:rPr>
      </w:pPr>
    </w:p>
    <w:p w:rsidR="006714D8" w:rsidRPr="00A75DF9" w:rsidRDefault="006714D8" w:rsidP="006714D8">
      <w:pPr>
        <w:ind w:left="720"/>
        <w:rPr>
          <w:rFonts w:cs="Tahoma"/>
        </w:rPr>
      </w:pPr>
      <w:r w:rsidRPr="00A75DF9">
        <w:rPr>
          <w:rFonts w:cs="Tahoma"/>
          <w:szCs w:val="18"/>
          <w:u w:val="single"/>
        </w:rPr>
        <w:t>Regole per i Sistemi Operativi Qualificanti per Windows Embedded 8 Industry Pro</w:t>
      </w:r>
    </w:p>
    <w:p w:rsidR="006714D8" w:rsidRPr="00A75DF9" w:rsidRDefault="006714D8" w:rsidP="007015CC">
      <w:pPr>
        <w:numPr>
          <w:ilvl w:val="0"/>
          <w:numId w:val="84"/>
        </w:numPr>
        <w:spacing w:after="60"/>
        <w:ind w:left="1440"/>
        <w:rPr>
          <w:rFonts w:cs="Tahoma"/>
        </w:rPr>
      </w:pPr>
      <w:r w:rsidRPr="00A75DF9">
        <w:rPr>
          <w:rFonts w:cs="Tahoma"/>
          <w:szCs w:val="18"/>
        </w:rPr>
        <w:t>Il Sistema Operativo qualificante dovrà essere installato sul dispositivo al quale dovrà essere ceduta la licenza di Aggiornamento per Windows Embedded 8 Industry Pro.</w:t>
      </w:r>
    </w:p>
    <w:p w:rsidR="006714D8" w:rsidRPr="00A75DF9" w:rsidRDefault="006714D8" w:rsidP="007015CC">
      <w:pPr>
        <w:numPr>
          <w:ilvl w:val="1"/>
          <w:numId w:val="86"/>
        </w:numPr>
        <w:spacing w:after="60"/>
        <w:ind w:left="1440"/>
        <w:rPr>
          <w:rFonts w:cs="Tahoma"/>
        </w:rPr>
      </w:pPr>
      <w:r w:rsidRPr="00A75DF9">
        <w:rPr>
          <w:rFonts w:cs="Tahoma"/>
          <w:szCs w:val="18"/>
        </w:rPr>
        <w:t xml:space="preserve">Salvo quanto previsto di seguito, le società dovranno rimuovere il Sistema Operativo qualificante dal dispositivo per distribuire la licenza di Aggiornamento per Windows Embedded 8 Industry Pro. </w:t>
      </w:r>
    </w:p>
    <w:p w:rsidR="006714D8" w:rsidRPr="00A75DF9" w:rsidRDefault="006714D8" w:rsidP="007015CC">
      <w:pPr>
        <w:numPr>
          <w:ilvl w:val="1"/>
          <w:numId w:val="86"/>
        </w:numPr>
        <w:spacing w:after="60"/>
        <w:ind w:left="1440"/>
        <w:rPr>
          <w:rFonts w:cs="Tahoma"/>
        </w:rPr>
      </w:pPr>
      <w:r w:rsidRPr="00A75DF9">
        <w:rPr>
          <w:rFonts w:cs="Tahoma"/>
          <w:szCs w:val="18"/>
        </w:rPr>
        <w:lastRenderedPageBreak/>
        <w:t>Le società che intendono installare o eseguire più di un sistema operativo con licenza alla volta (compreso il sistema operativo qualificante) potranno acquistare Software Assurance per la licenza di Aggiornamento per Windows Embedded 8 Industry Pro.</w:t>
      </w:r>
    </w:p>
    <w:p w:rsidR="006714D8" w:rsidRPr="00A75DF9" w:rsidRDefault="006714D8" w:rsidP="00350D2E">
      <w:pPr>
        <w:numPr>
          <w:ilvl w:val="1"/>
          <w:numId w:val="86"/>
        </w:numPr>
        <w:ind w:left="1440"/>
        <w:rPr>
          <w:rFonts w:cs="Tahoma"/>
        </w:rPr>
      </w:pPr>
      <w:r w:rsidRPr="00A75DF9">
        <w:rPr>
          <w:rFonts w:cs="Tahoma"/>
          <w:szCs w:val="18"/>
        </w:rPr>
        <w:t>Le società che dispongono di una copertura Software Assurance attiva non hanno l</w:t>
      </w:r>
      <w:r w:rsidR="00F2643E">
        <w:rPr>
          <w:rFonts w:cs="Tahoma"/>
          <w:szCs w:val="18"/>
        </w:rPr>
        <w:t>’</w:t>
      </w:r>
      <w:r w:rsidRPr="00A75DF9">
        <w:rPr>
          <w:rFonts w:cs="Tahoma"/>
          <w:szCs w:val="18"/>
        </w:rPr>
        <w:t>obbligo di</w:t>
      </w:r>
      <w:r w:rsidR="00350D2E">
        <w:rPr>
          <w:rFonts w:cs="Tahoma"/>
          <w:szCs w:val="18"/>
        </w:rPr>
        <w:t> </w:t>
      </w:r>
      <w:r w:rsidRPr="00A75DF9">
        <w:rPr>
          <w:rFonts w:cs="Tahoma"/>
          <w:szCs w:val="18"/>
        </w:rPr>
        <w:t xml:space="preserve">disinstallare il Sistema Operativo qualificante e potranno installare ed eseguire contemporaneamente il Sistema Operativo qualificante e Windows Embedded 8 Industry Pro. </w:t>
      </w:r>
    </w:p>
    <w:p w:rsidR="007015CC" w:rsidRPr="00A75DF9" w:rsidRDefault="007015CC" w:rsidP="007015CC">
      <w:pPr>
        <w:spacing w:after="60"/>
        <w:rPr>
          <w:rFonts w:cs="Tahoma"/>
        </w:rPr>
      </w:pPr>
    </w:p>
    <w:p w:rsidR="006714D8" w:rsidRPr="00350D2E" w:rsidRDefault="006714D8" w:rsidP="007015CC">
      <w:pPr>
        <w:pStyle w:val="ListParagraph"/>
        <w:rPr>
          <w:rFonts w:ascii="Tahoma" w:hAnsi="Tahoma" w:cs="Tahoma"/>
        </w:rPr>
      </w:pPr>
      <w:r w:rsidRPr="00A75DF9">
        <w:rPr>
          <w:rFonts w:ascii="Tahoma" w:hAnsi="Tahoma" w:cs="Tahoma"/>
          <w:sz w:val="18"/>
          <w:szCs w:val="18"/>
          <w:u w:val="single"/>
        </w:rPr>
        <w:t>Sistemi Operativi Qualificanti (“Sistema Operativo Qualificante”)</w:t>
      </w:r>
      <w:r w:rsidRPr="00350D2E">
        <w:rPr>
          <w:rFonts w:ascii="Tahoma" w:hAnsi="Tahoma" w:cs="Tahoma"/>
          <w:sz w:val="18"/>
          <w:szCs w:val="18"/>
        </w:rPr>
        <w:t>:</w:t>
      </w:r>
    </w:p>
    <w:p w:rsidR="006714D8" w:rsidRPr="00A75DF9" w:rsidRDefault="006714D8" w:rsidP="007015CC">
      <w:pPr>
        <w:numPr>
          <w:ilvl w:val="1"/>
          <w:numId w:val="86"/>
        </w:numPr>
        <w:spacing w:after="60"/>
        <w:ind w:left="1440"/>
        <w:rPr>
          <w:rFonts w:cs="Tahoma"/>
        </w:rPr>
      </w:pPr>
      <w:r w:rsidRPr="00A75DF9">
        <w:rPr>
          <w:rFonts w:cs="Tahoma"/>
          <w:szCs w:val="18"/>
        </w:rPr>
        <w:t>Windows Embedded for Point of Service (WEPOS)</w:t>
      </w:r>
    </w:p>
    <w:p w:rsidR="006714D8" w:rsidRPr="00A75DF9" w:rsidRDefault="006714D8" w:rsidP="007015CC">
      <w:pPr>
        <w:numPr>
          <w:ilvl w:val="1"/>
          <w:numId w:val="86"/>
        </w:numPr>
        <w:spacing w:after="60"/>
        <w:ind w:left="1440"/>
        <w:rPr>
          <w:rFonts w:cs="Tahoma"/>
        </w:rPr>
      </w:pPr>
      <w:r w:rsidRPr="00A75DF9">
        <w:rPr>
          <w:rFonts w:cs="Tahoma"/>
          <w:szCs w:val="18"/>
        </w:rPr>
        <w:t>Windows Embedded POSReady 2009 e POSReady 7</w:t>
      </w:r>
    </w:p>
    <w:p w:rsidR="006714D8" w:rsidRPr="00A75DF9" w:rsidRDefault="006714D8" w:rsidP="007015CC">
      <w:pPr>
        <w:numPr>
          <w:ilvl w:val="1"/>
          <w:numId w:val="86"/>
        </w:numPr>
        <w:spacing w:after="60"/>
        <w:ind w:left="1440"/>
        <w:rPr>
          <w:rFonts w:cs="Tahoma"/>
        </w:rPr>
      </w:pPr>
      <w:r w:rsidRPr="00A75DF9">
        <w:rPr>
          <w:rFonts w:cs="Tahoma"/>
          <w:szCs w:val="18"/>
        </w:rPr>
        <w:t xml:space="preserve">Windows XP Professional for Embedded Systems </w:t>
      </w:r>
    </w:p>
    <w:p w:rsidR="006714D8" w:rsidRPr="00A75DF9" w:rsidRDefault="006714D8" w:rsidP="007015CC">
      <w:pPr>
        <w:numPr>
          <w:ilvl w:val="1"/>
          <w:numId w:val="86"/>
        </w:numPr>
        <w:spacing w:after="60"/>
        <w:ind w:left="1440"/>
        <w:rPr>
          <w:rFonts w:cs="Tahoma"/>
        </w:rPr>
      </w:pPr>
      <w:r w:rsidRPr="00A75DF9">
        <w:rPr>
          <w:rFonts w:cs="Tahoma"/>
          <w:szCs w:val="18"/>
        </w:rPr>
        <w:t>Windows Vista Business for Embedded Systems e Windows Vista Ultimate for Embedded Systems</w:t>
      </w:r>
    </w:p>
    <w:p w:rsidR="006714D8" w:rsidRPr="00A75DF9" w:rsidRDefault="006714D8" w:rsidP="007015CC">
      <w:pPr>
        <w:numPr>
          <w:ilvl w:val="1"/>
          <w:numId w:val="86"/>
        </w:numPr>
        <w:spacing w:after="60"/>
        <w:ind w:left="1440"/>
        <w:rPr>
          <w:rFonts w:cs="Tahoma"/>
        </w:rPr>
      </w:pPr>
      <w:r w:rsidRPr="00A75DF9">
        <w:rPr>
          <w:rFonts w:cs="Tahoma"/>
          <w:szCs w:val="18"/>
        </w:rPr>
        <w:t xml:space="preserve">Windows 2000 Professional for Embedded Systems </w:t>
      </w:r>
    </w:p>
    <w:p w:rsidR="006714D8" w:rsidRPr="00A75DF9" w:rsidRDefault="006714D8" w:rsidP="007015CC">
      <w:pPr>
        <w:numPr>
          <w:ilvl w:val="1"/>
          <w:numId w:val="86"/>
        </w:numPr>
        <w:spacing w:after="60"/>
        <w:ind w:left="1440"/>
        <w:rPr>
          <w:rFonts w:cs="Tahoma"/>
        </w:rPr>
      </w:pPr>
      <w:r w:rsidRPr="00A75DF9">
        <w:rPr>
          <w:rFonts w:cs="Tahoma"/>
          <w:szCs w:val="18"/>
        </w:rPr>
        <w:t>Windows NT Embedded for Embedded Systems</w:t>
      </w:r>
    </w:p>
    <w:p w:rsidR="006714D8" w:rsidRPr="00A75DF9" w:rsidRDefault="006714D8" w:rsidP="007015CC">
      <w:pPr>
        <w:numPr>
          <w:ilvl w:val="1"/>
          <w:numId w:val="86"/>
        </w:numPr>
        <w:spacing w:after="60"/>
        <w:ind w:left="1440"/>
        <w:rPr>
          <w:rFonts w:cs="Tahoma"/>
        </w:rPr>
      </w:pPr>
      <w:r w:rsidRPr="00A75DF9">
        <w:rPr>
          <w:rFonts w:cs="Tahoma"/>
          <w:szCs w:val="18"/>
        </w:rPr>
        <w:t>Windows 7 Professional for Embedded Systems</w:t>
      </w:r>
    </w:p>
    <w:p w:rsidR="006714D8" w:rsidRPr="00A75DF9" w:rsidRDefault="006714D8" w:rsidP="007015CC">
      <w:pPr>
        <w:numPr>
          <w:ilvl w:val="1"/>
          <w:numId w:val="86"/>
        </w:numPr>
        <w:spacing w:after="60"/>
        <w:ind w:left="1440"/>
        <w:rPr>
          <w:rFonts w:cs="Tahoma"/>
        </w:rPr>
      </w:pPr>
      <w:r w:rsidRPr="00A75DF9">
        <w:rPr>
          <w:rFonts w:cs="Tahoma"/>
          <w:szCs w:val="18"/>
        </w:rPr>
        <w:t>Windows 7 Ultimate for Embedded Systems</w:t>
      </w:r>
    </w:p>
    <w:p w:rsidR="006714D8" w:rsidRPr="00A75DF9" w:rsidRDefault="006714D8" w:rsidP="007015CC">
      <w:pPr>
        <w:numPr>
          <w:ilvl w:val="1"/>
          <w:numId w:val="86"/>
        </w:numPr>
        <w:spacing w:after="60"/>
        <w:ind w:left="1440"/>
        <w:rPr>
          <w:rFonts w:cs="Tahoma"/>
        </w:rPr>
      </w:pPr>
      <w:r w:rsidRPr="00A75DF9">
        <w:rPr>
          <w:rFonts w:cs="Tahoma"/>
          <w:szCs w:val="18"/>
        </w:rPr>
        <w:t>Windows XP Embedded</w:t>
      </w:r>
    </w:p>
    <w:p w:rsidR="006714D8" w:rsidRPr="00A75DF9" w:rsidRDefault="006714D8" w:rsidP="007015CC">
      <w:pPr>
        <w:numPr>
          <w:ilvl w:val="1"/>
          <w:numId w:val="86"/>
        </w:numPr>
        <w:spacing w:after="60"/>
        <w:ind w:left="1440"/>
        <w:rPr>
          <w:rFonts w:cs="Tahoma"/>
        </w:rPr>
      </w:pPr>
      <w:r w:rsidRPr="00A75DF9">
        <w:rPr>
          <w:rFonts w:cs="Tahoma"/>
          <w:szCs w:val="18"/>
        </w:rPr>
        <w:t>Windows Embedded Standard 7, 2009 e Windows Embedded 8 Standard</w:t>
      </w:r>
    </w:p>
    <w:p w:rsidR="006714D8" w:rsidRPr="00A75DF9" w:rsidRDefault="006714D8" w:rsidP="007015CC">
      <w:pPr>
        <w:numPr>
          <w:ilvl w:val="1"/>
          <w:numId w:val="86"/>
        </w:numPr>
        <w:spacing w:after="60"/>
        <w:ind w:left="1440"/>
        <w:rPr>
          <w:rFonts w:cs="Tahoma"/>
        </w:rPr>
      </w:pPr>
      <w:r w:rsidRPr="00A75DF9">
        <w:rPr>
          <w:rFonts w:cs="Tahoma"/>
          <w:szCs w:val="18"/>
        </w:rPr>
        <w:t>Windows Embedded 8 Pro</w:t>
      </w:r>
    </w:p>
    <w:p w:rsidR="006714D8" w:rsidRPr="002705FC" w:rsidRDefault="001C5829" w:rsidP="007015CC">
      <w:pPr>
        <w:numPr>
          <w:ilvl w:val="1"/>
          <w:numId w:val="86"/>
        </w:numPr>
        <w:spacing w:after="60"/>
        <w:ind w:left="1440"/>
        <w:rPr>
          <w:rFonts w:cs="Tahoma"/>
        </w:rPr>
      </w:pPr>
      <w:r>
        <w:rPr>
          <w:rFonts w:cs="Tahoma"/>
          <w:szCs w:val="18"/>
        </w:rPr>
        <w:t>Windows Embedded 8 Industry</w:t>
      </w:r>
      <w:r w:rsidR="006714D8" w:rsidRPr="002705FC">
        <w:rPr>
          <w:rFonts w:cs="Tahoma"/>
          <w:szCs w:val="18"/>
        </w:rPr>
        <w:t xml:space="preserve"> Pro: sia Standard che Retail</w:t>
      </w:r>
    </w:p>
    <w:p w:rsidR="006714D8" w:rsidRPr="00A75DF9" w:rsidRDefault="006714D8" w:rsidP="006714D8">
      <w:pPr>
        <w:rPr>
          <w:rFonts w:cs="Tahoma"/>
        </w:rPr>
      </w:pPr>
    </w:p>
    <w:p w:rsidR="006714D8" w:rsidRPr="00350D2E" w:rsidRDefault="006714D8" w:rsidP="007015CC">
      <w:pPr>
        <w:pStyle w:val="FootnoteBulletLevel1"/>
        <w:tabs>
          <w:tab w:val="clear" w:pos="900"/>
        </w:tabs>
        <w:spacing w:before="0" w:after="0"/>
        <w:ind w:left="0" w:firstLine="0"/>
        <w:rPr>
          <w:rFonts w:ascii="Tahoma" w:hAnsi="Tahoma" w:cs="Tahoma"/>
          <w:sz w:val="18"/>
          <w:szCs w:val="18"/>
        </w:rPr>
      </w:pPr>
      <w:r w:rsidRPr="00350D2E">
        <w:rPr>
          <w:rFonts w:ascii="Tahoma" w:hAnsi="Tahoma" w:cs="Tahoma"/>
          <w:sz w:val="18"/>
          <w:szCs w:val="18"/>
        </w:rPr>
        <w:t>I sistemi operativi non inclusi nel precedente elenco non sono Sistemi Operativi qualificanti.</w:t>
      </w:r>
      <w:r w:rsidR="009D3B41" w:rsidRPr="00350D2E">
        <w:rPr>
          <w:rFonts w:ascii="Tahoma" w:hAnsi="Tahoma" w:cs="Tahoma"/>
          <w:sz w:val="18"/>
          <w:szCs w:val="18"/>
        </w:rPr>
        <w:t xml:space="preserve"> </w:t>
      </w:r>
      <w:r w:rsidRPr="00350D2E">
        <w:rPr>
          <w:rFonts w:ascii="Tahoma" w:hAnsi="Tahoma" w:cs="Tahoma"/>
          <w:sz w:val="18"/>
          <w:szCs w:val="18"/>
        </w:rPr>
        <w:t>Ad esempio, una licenza per Windows 8 Pro non si qualifica per l</w:t>
      </w:r>
      <w:r w:rsidR="00F2643E">
        <w:rPr>
          <w:rFonts w:ascii="Tahoma" w:hAnsi="Tahoma" w:cs="Tahoma"/>
          <w:sz w:val="18"/>
          <w:szCs w:val="18"/>
        </w:rPr>
        <w:t>’</w:t>
      </w:r>
      <w:r w:rsidRPr="00350D2E">
        <w:rPr>
          <w:rFonts w:ascii="Tahoma" w:hAnsi="Tahoma" w:cs="Tahoma"/>
          <w:sz w:val="18"/>
          <w:szCs w:val="18"/>
        </w:rPr>
        <w:t>Aggiornamento per Windows Embedded 8 Industry.</w:t>
      </w:r>
    </w:p>
    <w:p w:rsidR="007015CC" w:rsidRPr="00350D2E" w:rsidRDefault="007015CC" w:rsidP="007015CC">
      <w:pPr>
        <w:pStyle w:val="FootnoteBulletLevel1"/>
        <w:tabs>
          <w:tab w:val="clear" w:pos="900"/>
        </w:tabs>
        <w:spacing w:before="0" w:after="0"/>
        <w:ind w:left="0" w:firstLine="0"/>
        <w:rPr>
          <w:rFonts w:ascii="Tahoma" w:hAnsi="Tahoma" w:cs="Tahoma"/>
          <w:sz w:val="18"/>
          <w:szCs w:val="18"/>
        </w:rPr>
      </w:pPr>
    </w:p>
    <w:p w:rsidR="006714D8" w:rsidRPr="00350D2E" w:rsidRDefault="006714D8" w:rsidP="006714D8">
      <w:pPr>
        <w:pStyle w:val="FootnoteBulletLevel2"/>
        <w:tabs>
          <w:tab w:val="clear" w:pos="1260"/>
        </w:tabs>
        <w:adjustRightInd/>
        <w:spacing w:before="0"/>
        <w:ind w:left="0" w:firstLine="0"/>
        <w:textAlignment w:val="auto"/>
        <w:rPr>
          <w:rFonts w:ascii="Tahoma" w:hAnsi="Tahoma" w:cs="Tahoma"/>
          <w:sz w:val="18"/>
          <w:szCs w:val="18"/>
        </w:rPr>
      </w:pPr>
      <w:r w:rsidRPr="00350D2E">
        <w:rPr>
          <w:rFonts w:ascii="Tahoma" w:hAnsi="Tahoma" w:cs="Tahoma"/>
          <w:sz w:val="18"/>
          <w:szCs w:val="18"/>
        </w:rPr>
        <w:t>Le società che intendono acquistare sia l</w:t>
      </w:r>
      <w:r w:rsidR="00F2643E">
        <w:rPr>
          <w:rFonts w:ascii="Tahoma" w:hAnsi="Tahoma" w:cs="Tahoma"/>
          <w:sz w:val="18"/>
          <w:szCs w:val="18"/>
        </w:rPr>
        <w:t>’</w:t>
      </w:r>
      <w:r w:rsidRPr="00350D2E">
        <w:rPr>
          <w:rFonts w:ascii="Tahoma" w:hAnsi="Tahoma" w:cs="Tahoma"/>
          <w:sz w:val="18"/>
          <w:szCs w:val="18"/>
        </w:rPr>
        <w:t>Aggiornamento per Windows Embedded 8 Industry Pro che Software Assurance dispongono delle seguenti opzioni:</w:t>
      </w:r>
    </w:p>
    <w:p w:rsidR="006714D8" w:rsidRPr="00350D2E" w:rsidRDefault="006714D8" w:rsidP="007015CC">
      <w:pPr>
        <w:pStyle w:val="FootnoteBulletLevel2"/>
        <w:numPr>
          <w:ilvl w:val="0"/>
          <w:numId w:val="25"/>
        </w:numPr>
        <w:adjustRightInd/>
        <w:spacing w:before="0" w:after="60"/>
        <w:ind w:left="1440"/>
        <w:textAlignment w:val="auto"/>
        <w:rPr>
          <w:rFonts w:ascii="Tahoma" w:hAnsi="Tahoma" w:cs="Tahoma"/>
          <w:sz w:val="18"/>
          <w:szCs w:val="18"/>
        </w:rPr>
      </w:pPr>
      <w:r w:rsidRPr="00350D2E">
        <w:rPr>
          <w:rFonts w:ascii="Tahoma" w:hAnsi="Tahoma" w:cs="Tahoma"/>
          <w:sz w:val="18"/>
          <w:szCs w:val="18"/>
        </w:rPr>
        <w:t>Programmi di Licenze Contratto Enterprise, Select Plus, Open Value (opzione non a livello aziendale) e Open:</w:t>
      </w:r>
    </w:p>
    <w:p w:rsidR="006714D8" w:rsidRPr="00350D2E" w:rsidRDefault="006714D8" w:rsidP="00350D2E">
      <w:pPr>
        <w:pStyle w:val="AppendixBodyText"/>
        <w:numPr>
          <w:ilvl w:val="0"/>
          <w:numId w:val="80"/>
        </w:numPr>
        <w:ind w:left="1800" w:right="720"/>
        <w:rPr>
          <w:rFonts w:ascii="Tahoma" w:hAnsi="Tahoma" w:cs="Tahoma"/>
          <w:sz w:val="18"/>
          <w:szCs w:val="18"/>
        </w:rPr>
      </w:pPr>
      <w:r w:rsidRPr="00350D2E">
        <w:rPr>
          <w:rFonts w:ascii="Tahoma" w:hAnsi="Tahoma" w:cs="Tahoma"/>
          <w:color w:val="000000"/>
          <w:sz w:val="18"/>
          <w:szCs w:val="18"/>
        </w:rPr>
        <w:t>Acquistare l</w:t>
      </w:r>
      <w:r w:rsidR="00F2643E">
        <w:rPr>
          <w:rFonts w:ascii="Tahoma" w:hAnsi="Tahoma" w:cs="Tahoma"/>
          <w:color w:val="000000"/>
          <w:sz w:val="18"/>
          <w:szCs w:val="18"/>
        </w:rPr>
        <w:t>’</w:t>
      </w:r>
      <w:r w:rsidRPr="00350D2E">
        <w:rPr>
          <w:rFonts w:ascii="Tahoma" w:hAnsi="Tahoma" w:cs="Tahoma"/>
          <w:color w:val="000000"/>
          <w:sz w:val="18"/>
          <w:szCs w:val="18"/>
        </w:rPr>
        <w:t>Aggiornamento per Windows Embedded 8 Industry Pro e Software Assurance per gli Industry Device per i quali la società ha ottenuto in licenza e</w:t>
      </w:r>
      <w:r w:rsidR="00350D2E">
        <w:rPr>
          <w:rFonts w:ascii="Tahoma" w:hAnsi="Tahoma" w:cs="Tahoma"/>
          <w:color w:val="000000"/>
          <w:sz w:val="18"/>
          <w:szCs w:val="18"/>
        </w:rPr>
        <w:t> </w:t>
      </w:r>
      <w:r w:rsidRPr="00350D2E">
        <w:rPr>
          <w:rFonts w:ascii="Tahoma" w:hAnsi="Tahoma" w:cs="Tahoma"/>
          <w:color w:val="000000"/>
          <w:sz w:val="18"/>
          <w:szCs w:val="18"/>
        </w:rPr>
        <w:t>installato uno dei sistemi operativi qualificanti riportati nel precedente elenco degli</w:t>
      </w:r>
      <w:r w:rsidR="00350D2E">
        <w:rPr>
          <w:rFonts w:ascii="Tahoma" w:hAnsi="Tahoma" w:cs="Tahoma"/>
          <w:color w:val="000000"/>
          <w:sz w:val="18"/>
          <w:szCs w:val="18"/>
        </w:rPr>
        <w:t> </w:t>
      </w:r>
      <w:r w:rsidRPr="00350D2E">
        <w:rPr>
          <w:rFonts w:ascii="Tahoma" w:hAnsi="Tahoma" w:cs="Tahoma"/>
          <w:color w:val="000000"/>
          <w:sz w:val="18"/>
          <w:szCs w:val="18"/>
        </w:rPr>
        <w:t>Aggiornamenti per Windows Embedded.</w:t>
      </w:r>
    </w:p>
    <w:p w:rsidR="006714D8" w:rsidRPr="00350D2E" w:rsidRDefault="006714D8" w:rsidP="00350D2E">
      <w:pPr>
        <w:pStyle w:val="AppendixBodyText"/>
        <w:numPr>
          <w:ilvl w:val="0"/>
          <w:numId w:val="80"/>
        </w:numPr>
        <w:ind w:left="1800" w:right="720"/>
        <w:rPr>
          <w:rFonts w:ascii="Tahoma" w:hAnsi="Tahoma" w:cs="Tahoma"/>
          <w:sz w:val="18"/>
          <w:szCs w:val="18"/>
        </w:rPr>
      </w:pPr>
      <w:r w:rsidRPr="00350D2E">
        <w:rPr>
          <w:rFonts w:ascii="Tahoma" w:hAnsi="Tahoma" w:cs="Tahoma"/>
          <w:color w:val="000000"/>
          <w:sz w:val="18"/>
          <w:szCs w:val="18"/>
        </w:rPr>
        <w:t>La società potrà riassegnare la copertura Software Assurance per Windows Embedded 8 Industry Pro dal dispositivo originale a un desktop sostitutivo, ma non a breve termine, ovvero non entro 90 giorni dall</w:t>
      </w:r>
      <w:r w:rsidR="00F2643E">
        <w:rPr>
          <w:rFonts w:ascii="Tahoma" w:hAnsi="Tahoma" w:cs="Tahoma"/>
          <w:color w:val="000000"/>
          <w:sz w:val="18"/>
          <w:szCs w:val="18"/>
        </w:rPr>
        <w:t>’</w:t>
      </w:r>
      <w:r w:rsidRPr="00350D2E">
        <w:rPr>
          <w:rFonts w:ascii="Tahoma" w:hAnsi="Tahoma" w:cs="Tahoma"/>
          <w:color w:val="000000"/>
          <w:sz w:val="18"/>
          <w:szCs w:val="18"/>
        </w:rPr>
        <w:t>ultima cessione, a condizione che (1)</w:t>
      </w:r>
      <w:r w:rsidR="00350D2E">
        <w:rPr>
          <w:rFonts w:ascii="Tahoma" w:hAnsi="Tahoma" w:cs="Tahoma"/>
          <w:color w:val="000000"/>
          <w:sz w:val="18"/>
          <w:szCs w:val="18"/>
        </w:rPr>
        <w:t> </w:t>
      </w:r>
      <w:r w:rsidRPr="00350D2E">
        <w:rPr>
          <w:rFonts w:ascii="Tahoma" w:hAnsi="Tahoma" w:cs="Tahoma"/>
          <w:color w:val="000000"/>
          <w:sz w:val="18"/>
          <w:szCs w:val="18"/>
        </w:rPr>
        <w:t>la</w:t>
      </w:r>
      <w:r w:rsidR="00350D2E">
        <w:rPr>
          <w:rFonts w:ascii="Tahoma" w:hAnsi="Tahoma" w:cs="Tahoma"/>
          <w:color w:val="000000"/>
          <w:sz w:val="18"/>
          <w:szCs w:val="18"/>
        </w:rPr>
        <w:t> </w:t>
      </w:r>
      <w:r w:rsidRPr="00350D2E">
        <w:rPr>
          <w:rFonts w:ascii="Tahoma" w:hAnsi="Tahoma" w:cs="Tahoma"/>
          <w:color w:val="000000"/>
          <w:sz w:val="18"/>
          <w:szCs w:val="18"/>
        </w:rPr>
        <w:t>società abbia ottenuto in licenza e installato sul dispositivo sostitutivo l</w:t>
      </w:r>
      <w:r w:rsidR="00F2643E">
        <w:rPr>
          <w:rFonts w:ascii="Tahoma" w:hAnsi="Tahoma" w:cs="Tahoma"/>
          <w:color w:val="000000"/>
          <w:sz w:val="18"/>
          <w:szCs w:val="18"/>
        </w:rPr>
        <w:t>’</w:t>
      </w:r>
      <w:r w:rsidRPr="00350D2E">
        <w:rPr>
          <w:rFonts w:ascii="Tahoma" w:hAnsi="Tahoma" w:cs="Tahoma"/>
          <w:color w:val="000000"/>
          <w:sz w:val="18"/>
          <w:szCs w:val="18"/>
        </w:rPr>
        <w:t>ultima versione del sistema operativo e (2) la società rimuova qualsiasi aggiornamento del sistema operativo desktop correlato dal dispositivo originale.</w:t>
      </w:r>
    </w:p>
    <w:p w:rsidR="006714D8" w:rsidRPr="00350D2E" w:rsidRDefault="006714D8" w:rsidP="006714D8">
      <w:pPr>
        <w:pStyle w:val="Footnotedash"/>
        <w:spacing w:before="0" w:after="0"/>
        <w:ind w:left="360"/>
        <w:rPr>
          <w:rFonts w:ascii="Tahoma" w:hAnsi="Tahoma" w:cs="Tahoma"/>
          <w:sz w:val="18"/>
          <w:szCs w:val="18"/>
        </w:rPr>
      </w:pPr>
      <w:r w:rsidRPr="00350D2E">
        <w:rPr>
          <w:rFonts w:ascii="Tahoma" w:hAnsi="Tahoma" w:cs="Tahoma"/>
          <w:sz w:val="18"/>
          <w:szCs w:val="18"/>
          <w:u w:val="single"/>
        </w:rPr>
        <w:t>Diritti di Downgrade</w:t>
      </w:r>
    </w:p>
    <w:p w:rsidR="006714D8" w:rsidRPr="00350D2E" w:rsidRDefault="006714D8" w:rsidP="00350D2E">
      <w:pPr>
        <w:pStyle w:val="ListParagraph"/>
        <w:ind w:left="0"/>
        <w:contextualSpacing w:val="0"/>
        <w:rPr>
          <w:rFonts w:ascii="Tahoma" w:hAnsi="Tahoma" w:cs="Tahoma"/>
          <w:sz w:val="18"/>
          <w:szCs w:val="18"/>
        </w:rPr>
      </w:pPr>
      <w:r w:rsidRPr="00350D2E">
        <w:rPr>
          <w:rFonts w:ascii="Tahoma" w:hAnsi="Tahoma" w:cs="Tahoma"/>
          <w:bCs/>
          <w:sz w:val="18"/>
          <w:szCs w:val="18"/>
        </w:rPr>
        <w:t>Microsoft Windows Embedded 8 Industry Pro:</w:t>
      </w:r>
      <w:r w:rsidRPr="00350D2E">
        <w:rPr>
          <w:rFonts w:ascii="Tahoma" w:hAnsi="Tahoma" w:cs="Tahoma"/>
          <w:b/>
          <w:bCs/>
          <w:sz w:val="18"/>
          <w:szCs w:val="18"/>
        </w:rPr>
        <w:t xml:space="preserve"> </w:t>
      </w:r>
      <w:r w:rsidRPr="00350D2E">
        <w:rPr>
          <w:rFonts w:ascii="Tahoma" w:hAnsi="Tahoma" w:cs="Tahoma"/>
          <w:sz w:val="18"/>
          <w:szCs w:val="18"/>
        </w:rPr>
        <w:t>Le società con contratti multilicenza che dispongono di una licenza valida per Embedded 8 Industry Pro ottenute tramite un programma per i contratti multilicenza per Windows Embedded 8 Industry sono idonee a utilizzare una versione precedente al posto della versione che hanno in licenza. Le versioni precedenti idonee di Windows Embedded 8 Industry includono Windows Embedded POSReady 7 e</w:t>
      </w:r>
      <w:r w:rsidR="00350D2E">
        <w:rPr>
          <w:rFonts w:ascii="Tahoma" w:hAnsi="Tahoma" w:cs="Tahoma"/>
          <w:sz w:val="18"/>
          <w:szCs w:val="18"/>
        </w:rPr>
        <w:t> </w:t>
      </w:r>
      <w:r w:rsidRPr="00350D2E">
        <w:rPr>
          <w:rFonts w:ascii="Tahoma" w:hAnsi="Tahoma" w:cs="Tahoma"/>
          <w:sz w:val="18"/>
          <w:szCs w:val="18"/>
        </w:rPr>
        <w:t>Windows Embedded POSReady 2009.</w:t>
      </w:r>
    </w:p>
    <w:p w:rsidR="006714D8" w:rsidRPr="00350D2E" w:rsidRDefault="006714D8" w:rsidP="006714D8">
      <w:pPr>
        <w:pStyle w:val="FootnoteBulletLevel2"/>
        <w:tabs>
          <w:tab w:val="clear" w:pos="1260"/>
        </w:tabs>
        <w:spacing w:before="0"/>
        <w:ind w:left="0" w:firstLine="0"/>
        <w:rPr>
          <w:rFonts w:ascii="Tahoma" w:hAnsi="Tahoma" w:cs="Tahoma"/>
          <w:sz w:val="18"/>
          <w:szCs w:val="18"/>
        </w:rPr>
      </w:pPr>
    </w:p>
    <w:p w:rsidR="006714D8" w:rsidRPr="00350D2E" w:rsidRDefault="006714D8" w:rsidP="006714D8">
      <w:pPr>
        <w:pStyle w:val="FootnoteBulletLevel2"/>
        <w:tabs>
          <w:tab w:val="clear" w:pos="1260"/>
        </w:tabs>
        <w:spacing w:before="0"/>
        <w:ind w:left="0" w:firstLine="0"/>
        <w:rPr>
          <w:rFonts w:ascii="Tahoma" w:hAnsi="Tahoma" w:cs="Tahoma"/>
          <w:sz w:val="18"/>
          <w:szCs w:val="18"/>
        </w:rPr>
      </w:pPr>
      <w:r w:rsidRPr="00350D2E">
        <w:rPr>
          <w:rFonts w:ascii="Tahoma" w:hAnsi="Tahoma" w:cs="Tahoma"/>
          <w:sz w:val="18"/>
          <w:szCs w:val="18"/>
          <w:u w:val="single"/>
        </w:rPr>
        <w:t>I seguenti requisiti sono applicabili al re-imaging di Windows Embedded</w:t>
      </w:r>
      <w:r w:rsidRPr="00350D2E">
        <w:rPr>
          <w:rFonts w:ascii="Tahoma" w:hAnsi="Tahoma" w:cs="Tahoma"/>
          <w:sz w:val="18"/>
          <w:szCs w:val="18"/>
        </w:rPr>
        <w:t>:</w:t>
      </w:r>
    </w:p>
    <w:p w:rsidR="006714D8" w:rsidRPr="00350D2E" w:rsidRDefault="006714D8" w:rsidP="00350D2E">
      <w:pPr>
        <w:pStyle w:val="FootnoteBulletLevel2"/>
        <w:tabs>
          <w:tab w:val="clear" w:pos="1260"/>
        </w:tabs>
        <w:spacing w:before="0"/>
        <w:ind w:left="0" w:firstLine="0"/>
        <w:rPr>
          <w:rFonts w:ascii="Tahoma" w:hAnsi="Tahoma" w:cs="Tahoma"/>
          <w:sz w:val="18"/>
          <w:szCs w:val="18"/>
        </w:rPr>
      </w:pPr>
      <w:r w:rsidRPr="00350D2E">
        <w:rPr>
          <w:rFonts w:ascii="Tahoma" w:hAnsi="Tahoma" w:cs="Tahoma"/>
          <w:sz w:val="18"/>
          <w:szCs w:val="18"/>
        </w:rPr>
        <w:t>Qualora un terzo effettui il re-imaging di Windows Embedded sul dispositivo di una società, la società dovrà prima di</w:t>
      </w:r>
      <w:r w:rsidR="00350D2E">
        <w:rPr>
          <w:rFonts w:ascii="Tahoma" w:hAnsi="Tahoma" w:cs="Tahoma"/>
          <w:sz w:val="18"/>
          <w:szCs w:val="18"/>
        </w:rPr>
        <w:t> </w:t>
      </w:r>
      <w:r w:rsidRPr="00350D2E">
        <w:rPr>
          <w:rFonts w:ascii="Tahoma" w:hAnsi="Tahoma" w:cs="Tahoma"/>
          <w:sz w:val="18"/>
          <w:szCs w:val="18"/>
        </w:rPr>
        <w:t>tutto fornire a tale terzo (a) un modulo compilato relativo alla Verifica della Licenza Microsoft della Società per i Servizi di Installazione degli Aggiornamenti per il Software del Sistema Operativo Microsoft Windows da Parte di Terzi</w:t>
      </w:r>
      <w:r w:rsidR="00350D2E">
        <w:rPr>
          <w:rFonts w:ascii="Tahoma" w:hAnsi="Tahoma" w:cs="Tahoma"/>
          <w:sz w:val="18"/>
          <w:szCs w:val="18"/>
        </w:rPr>
        <w:t> </w:t>
      </w:r>
      <w:r w:rsidRPr="00350D2E">
        <w:rPr>
          <w:rFonts w:ascii="Tahoma" w:hAnsi="Tahoma" w:cs="Tahoma"/>
          <w:sz w:val="18"/>
          <w:szCs w:val="18"/>
        </w:rPr>
        <w:t>oppure (b) copie del modulo per la sottoscrizione appartenenti al Contratto Multilicenza Microsoft applicabile al</w:t>
      </w:r>
      <w:r w:rsidR="00350D2E">
        <w:rPr>
          <w:rFonts w:ascii="Tahoma" w:hAnsi="Tahoma" w:cs="Tahoma"/>
          <w:sz w:val="18"/>
          <w:szCs w:val="18"/>
        </w:rPr>
        <w:t> </w:t>
      </w:r>
      <w:r w:rsidRPr="00350D2E">
        <w:rPr>
          <w:rFonts w:ascii="Tahoma" w:hAnsi="Tahoma" w:cs="Tahoma"/>
          <w:sz w:val="18"/>
          <w:szCs w:val="18"/>
        </w:rPr>
        <w:t>software di aggiornamento del sistema operativo Microsoft che viene installato. Il modulo per la “Verifica della Licenza Microsoft per l</w:t>
      </w:r>
      <w:r w:rsidR="00F2643E">
        <w:rPr>
          <w:rFonts w:ascii="Tahoma" w:hAnsi="Tahoma" w:cs="Tahoma"/>
          <w:sz w:val="18"/>
          <w:szCs w:val="18"/>
        </w:rPr>
        <w:t>’</w:t>
      </w:r>
      <w:r w:rsidRPr="00350D2E">
        <w:rPr>
          <w:rFonts w:ascii="Tahoma" w:hAnsi="Tahoma" w:cs="Tahoma"/>
          <w:sz w:val="18"/>
          <w:szCs w:val="18"/>
        </w:rPr>
        <w:t>Esecuzione dell</w:t>
      </w:r>
      <w:r w:rsidR="00F2643E">
        <w:rPr>
          <w:rFonts w:ascii="Tahoma" w:hAnsi="Tahoma" w:cs="Tahoma"/>
          <w:sz w:val="18"/>
          <w:szCs w:val="18"/>
        </w:rPr>
        <w:t>’</w:t>
      </w:r>
      <w:r w:rsidRPr="00350D2E">
        <w:rPr>
          <w:rFonts w:ascii="Tahoma" w:hAnsi="Tahoma" w:cs="Tahoma"/>
          <w:sz w:val="18"/>
          <w:szCs w:val="18"/>
        </w:rPr>
        <w:t>Imaging/Installazione da parte di Terzi del Software del Sistema Operativo Microsoft” è disponibile all</w:t>
      </w:r>
      <w:r w:rsidR="00F2643E">
        <w:rPr>
          <w:rFonts w:ascii="Tahoma" w:hAnsi="Tahoma" w:cs="Tahoma"/>
          <w:sz w:val="18"/>
          <w:szCs w:val="18"/>
        </w:rPr>
        <w:t>’</w:t>
      </w:r>
      <w:r w:rsidRPr="00350D2E">
        <w:rPr>
          <w:rFonts w:ascii="Tahoma" w:hAnsi="Tahoma" w:cs="Tahoma"/>
          <w:sz w:val="18"/>
          <w:szCs w:val="18"/>
        </w:rPr>
        <w:t xml:space="preserve">indirizzo </w:t>
      </w:r>
      <w:hyperlink r:id="rId41" w:history="1">
        <w:r w:rsidR="00350D2E" w:rsidRPr="006714D8">
          <w:rPr>
            <w:rFonts w:ascii="Tahoma" w:hAnsi="Tahoma" w:cs="Tahoma"/>
            <w:sz w:val="18"/>
            <w:szCs w:val="18"/>
          </w:rPr>
          <w:t>www.microsoft.com/licensing/contracts</w:t>
        </w:r>
      </w:hyperlink>
      <w:r w:rsidRPr="00350D2E">
        <w:rPr>
          <w:rFonts w:ascii="Tahoma" w:hAnsi="Tahoma" w:cs="Tahoma"/>
          <w:sz w:val="18"/>
          <w:szCs w:val="18"/>
        </w:rPr>
        <w:t>.</w:t>
      </w:r>
    </w:p>
    <w:p w:rsidR="00350D2E" w:rsidRDefault="00350D2E" w:rsidP="007015CC">
      <w:pPr>
        <w:pStyle w:val="Footnotedash"/>
        <w:tabs>
          <w:tab w:val="clear" w:pos="1620"/>
        </w:tabs>
        <w:spacing w:before="0" w:after="0"/>
        <w:ind w:left="360"/>
        <w:rPr>
          <w:rFonts w:ascii="Tahoma" w:eastAsia="Calibri" w:hAnsi="Tahoma" w:cs="Tahoma"/>
          <w:sz w:val="18"/>
          <w:szCs w:val="18"/>
          <w:u w:val="single"/>
        </w:rPr>
      </w:pPr>
    </w:p>
    <w:p w:rsidR="006714D8" w:rsidRPr="00350D2E" w:rsidRDefault="006714D8" w:rsidP="007015CC">
      <w:pPr>
        <w:pStyle w:val="Footnotedash"/>
        <w:tabs>
          <w:tab w:val="clear" w:pos="1620"/>
        </w:tabs>
        <w:spacing w:before="0" w:after="0"/>
        <w:ind w:left="360"/>
        <w:rPr>
          <w:rFonts w:ascii="Tahoma" w:hAnsi="Tahoma" w:cs="Tahoma"/>
          <w:sz w:val="18"/>
          <w:szCs w:val="18"/>
        </w:rPr>
      </w:pPr>
      <w:r w:rsidRPr="00350D2E">
        <w:rPr>
          <w:rFonts w:ascii="Tahoma" w:eastAsia="Calibri" w:hAnsi="Tahoma" w:cs="Tahoma"/>
          <w:sz w:val="18"/>
          <w:szCs w:val="18"/>
          <w:u w:val="single"/>
        </w:rPr>
        <w:lastRenderedPageBreak/>
        <w:t>Limitazione relativa agli Industry Device</w:t>
      </w:r>
    </w:p>
    <w:p w:rsidR="006714D8" w:rsidRPr="00350D2E" w:rsidRDefault="006714D8" w:rsidP="00350D2E">
      <w:pPr>
        <w:pStyle w:val="Footnotedash"/>
        <w:tabs>
          <w:tab w:val="clear" w:pos="1620"/>
        </w:tabs>
        <w:spacing w:before="0"/>
        <w:ind w:left="0" w:firstLine="0"/>
        <w:rPr>
          <w:rFonts w:ascii="Tahoma" w:hAnsi="Tahoma" w:cs="Tahoma"/>
          <w:sz w:val="18"/>
          <w:szCs w:val="18"/>
        </w:rPr>
      </w:pPr>
      <w:r w:rsidRPr="00350D2E">
        <w:rPr>
          <w:rFonts w:ascii="Tahoma" w:eastAsia="Calibri" w:hAnsi="Tahoma" w:cs="Tahoma"/>
          <w:sz w:val="18"/>
          <w:szCs w:val="18"/>
        </w:rPr>
        <w:t>Windows Embedded 8 Industry Pro potrà essere installato solo su dispositivi Industry Device.</w:t>
      </w:r>
      <w:r w:rsidR="009D3B41" w:rsidRPr="00350D2E">
        <w:rPr>
          <w:rFonts w:ascii="Tahoma" w:eastAsia="Calibri" w:hAnsi="Tahoma" w:cs="Tahoma"/>
          <w:sz w:val="18"/>
          <w:szCs w:val="18"/>
        </w:rPr>
        <w:t xml:space="preserve"> </w:t>
      </w:r>
      <w:r w:rsidRPr="00350D2E">
        <w:rPr>
          <w:rFonts w:ascii="Tahoma" w:eastAsia="Calibri" w:hAnsi="Tahoma" w:cs="Tahoma"/>
          <w:sz w:val="18"/>
          <w:szCs w:val="18"/>
        </w:rPr>
        <w:t>Nessun altro dispositivo è consentito.</w:t>
      </w:r>
      <w:r w:rsidR="009D3B41" w:rsidRPr="00350D2E">
        <w:rPr>
          <w:rFonts w:ascii="Tahoma" w:eastAsia="Calibri" w:hAnsi="Tahoma" w:cs="Tahoma"/>
          <w:sz w:val="18"/>
          <w:szCs w:val="18"/>
        </w:rPr>
        <w:t xml:space="preserve"> </w:t>
      </w:r>
      <w:r w:rsidRPr="00350D2E">
        <w:rPr>
          <w:rFonts w:ascii="Tahoma" w:hAnsi="Tahoma" w:cs="Tahoma"/>
          <w:sz w:val="18"/>
          <w:szCs w:val="18"/>
        </w:rPr>
        <w:t>“Industry Device” (o dispositivo line-of-business) indica un dispositivo che: (1) non è utilizzabile nella configurazione distribuita come dispositivo di elaborazione personale generico, ad esempio un personal computer, come server multifunzione o come sostituto commercialmente accettabile di uno di tali sistemi e (2) impiega solo un</w:t>
      </w:r>
      <w:r w:rsidR="00350D2E" w:rsidRPr="00350D2E">
        <w:rPr>
          <w:rFonts w:ascii="Tahoma" w:hAnsi="Tahoma" w:cs="Tahoma"/>
          <w:sz w:val="18"/>
          <w:szCs w:val="18"/>
        </w:rPr>
        <w:t> </w:t>
      </w:r>
      <w:r w:rsidRPr="00350D2E">
        <w:rPr>
          <w:rFonts w:ascii="Tahoma" w:hAnsi="Tahoma" w:cs="Tahoma"/>
          <w:sz w:val="18"/>
          <w:szCs w:val="18"/>
        </w:rPr>
        <w:t>programma software specifico di un settore o di un</w:t>
      </w:r>
      <w:r w:rsidR="00F2643E">
        <w:rPr>
          <w:rFonts w:ascii="Tahoma" w:hAnsi="Tahoma" w:cs="Tahoma"/>
          <w:sz w:val="18"/>
          <w:szCs w:val="18"/>
        </w:rPr>
        <w:t>’</w:t>
      </w:r>
      <w:r w:rsidRPr="00350D2E">
        <w:rPr>
          <w:rFonts w:ascii="Tahoma" w:hAnsi="Tahoma" w:cs="Tahoma"/>
          <w:sz w:val="18"/>
          <w:szCs w:val="18"/>
        </w:rPr>
        <w:t>attività, ad esempio un programma CAD utilizzato da un architetto o un programma per punti di vendita al dettaglio (“Programma di Settore”). Il dispositivo potrà includere funzionalità e funzioni derivate da software Microsoft o da software di terzi. Qualora il dispositivo venga utilizzato per</w:t>
      </w:r>
      <w:r w:rsidR="00350D2E" w:rsidRPr="00350D2E">
        <w:rPr>
          <w:rFonts w:ascii="Tahoma" w:hAnsi="Tahoma" w:cs="Tahoma"/>
          <w:sz w:val="18"/>
          <w:szCs w:val="18"/>
        </w:rPr>
        <w:t> </w:t>
      </w:r>
      <w:r w:rsidRPr="00350D2E">
        <w:rPr>
          <w:rFonts w:ascii="Tahoma" w:hAnsi="Tahoma" w:cs="Tahoma"/>
          <w:sz w:val="18"/>
          <w:szCs w:val="18"/>
        </w:rPr>
        <w:t>svolgere funzioni desktop, quali posta elettronica, elaborazione di testi, fogli di calcolo, database, browser Internet o di rete, pianificazione o finanza personale, tali funzioni desktop: (1) potranno essere utilizzate solo ai fini</w:t>
      </w:r>
      <w:r w:rsidR="00350D2E" w:rsidRPr="00350D2E">
        <w:rPr>
          <w:rFonts w:ascii="Tahoma" w:hAnsi="Tahoma" w:cs="Tahoma"/>
          <w:sz w:val="18"/>
          <w:szCs w:val="18"/>
        </w:rPr>
        <w:t> </w:t>
      </w:r>
      <w:r w:rsidRPr="00350D2E">
        <w:rPr>
          <w:rFonts w:ascii="Tahoma" w:hAnsi="Tahoma" w:cs="Tahoma"/>
          <w:sz w:val="18"/>
          <w:szCs w:val="18"/>
        </w:rPr>
        <w:t>del supporto della funzionalità del Programma di Settore e (2) dovranno essere integrate tecnicamente con il</w:t>
      </w:r>
      <w:r w:rsidR="00350D2E" w:rsidRPr="00350D2E">
        <w:rPr>
          <w:rFonts w:ascii="Tahoma" w:hAnsi="Tahoma" w:cs="Tahoma"/>
          <w:sz w:val="18"/>
          <w:szCs w:val="18"/>
        </w:rPr>
        <w:t> </w:t>
      </w:r>
      <w:r w:rsidRPr="00350D2E">
        <w:rPr>
          <w:rFonts w:ascii="Tahoma" w:hAnsi="Tahoma" w:cs="Tahoma"/>
          <w:sz w:val="18"/>
          <w:szCs w:val="18"/>
        </w:rPr>
        <w:t>Programma di Settore o utilizzare criteri o architetture tecniche che ne consentano l</w:t>
      </w:r>
      <w:r w:rsidR="00F2643E">
        <w:rPr>
          <w:rFonts w:ascii="Tahoma" w:hAnsi="Tahoma" w:cs="Tahoma"/>
          <w:sz w:val="18"/>
          <w:szCs w:val="18"/>
        </w:rPr>
        <w:t>’</w:t>
      </w:r>
      <w:r w:rsidRPr="00350D2E">
        <w:rPr>
          <w:rFonts w:ascii="Tahoma" w:hAnsi="Tahoma" w:cs="Tahoma"/>
          <w:sz w:val="18"/>
          <w:szCs w:val="18"/>
        </w:rPr>
        <w:t>applicazione solo in caso di</w:t>
      </w:r>
      <w:r w:rsidR="00350D2E" w:rsidRPr="00350D2E">
        <w:rPr>
          <w:rFonts w:ascii="Tahoma" w:hAnsi="Tahoma" w:cs="Tahoma"/>
          <w:sz w:val="18"/>
          <w:szCs w:val="18"/>
        </w:rPr>
        <w:t> </w:t>
      </w:r>
      <w:r w:rsidRPr="00350D2E">
        <w:rPr>
          <w:rFonts w:ascii="Tahoma" w:hAnsi="Tahoma" w:cs="Tahoma"/>
          <w:sz w:val="18"/>
          <w:szCs w:val="18"/>
        </w:rPr>
        <w:t>utilizzo con la funzionalità del Programma di Settore.</w:t>
      </w:r>
      <w:r w:rsidR="009D3B41" w:rsidRPr="00350D2E">
        <w:rPr>
          <w:rFonts w:ascii="Tahoma" w:hAnsi="Tahoma" w:cs="Tahoma"/>
          <w:sz w:val="18"/>
          <w:szCs w:val="18"/>
        </w:rPr>
        <w:t xml:space="preserve"> </w:t>
      </w:r>
    </w:p>
    <w:p w:rsidR="00810479" w:rsidRPr="00A75DF9" w:rsidRDefault="00810479" w:rsidP="007A73DF">
      <w:pPr>
        <w:contextualSpacing/>
        <w:rPr>
          <w:rFonts w:cs="Tahoma"/>
        </w:rPr>
      </w:pPr>
    </w:p>
    <w:p w:rsidR="00483B3D" w:rsidRPr="00A75DF9" w:rsidRDefault="00483B3D" w:rsidP="007A73DF">
      <w:pPr>
        <w:contextualSpacing/>
        <w:rPr>
          <w:rFonts w:cs="Tahoma"/>
        </w:rPr>
      </w:pPr>
    </w:p>
    <w:p w:rsidR="00483B3D" w:rsidRPr="00A75DF9" w:rsidRDefault="00A560B6" w:rsidP="007015CC">
      <w:pPr>
        <w:pStyle w:val="Heading3"/>
        <w:keepNext/>
        <w:rPr>
          <w:rFonts w:ascii="Tahoma" w:hAnsi="Tahoma" w:cs="Tahoma"/>
        </w:rPr>
      </w:pPr>
      <w:bookmarkStart w:id="1100" w:name="_25_Windows®_Companion"/>
      <w:bookmarkStart w:id="1101" w:name="_28_Windows®_Companion"/>
      <w:bookmarkStart w:id="1102" w:name="_Toc336338281"/>
      <w:bookmarkStart w:id="1103" w:name="_Toc368310278"/>
      <w:bookmarkEnd w:id="1100"/>
      <w:bookmarkEnd w:id="1101"/>
      <w:r w:rsidRPr="00A75DF9">
        <w:rPr>
          <w:rFonts w:ascii="Tahoma" w:hAnsi="Tahoma" w:cs="Tahoma"/>
          <w:caps/>
          <w:color w:val="F66400"/>
          <w:sz w:val="22"/>
          <w:vertAlign w:val="superscript"/>
        </w:rPr>
        <w:t xml:space="preserve">29 </w:t>
      </w:r>
      <w:r w:rsidRPr="00A75DF9">
        <w:rPr>
          <w:rFonts w:ascii="Tahoma" w:hAnsi="Tahoma" w:cs="Tahoma"/>
          <w:color w:val="F66400"/>
          <w:sz w:val="22"/>
        </w:rPr>
        <w:t>Licenza “Subscription” per Windows</w:t>
      </w:r>
      <w:r w:rsidR="009D5D7B" w:rsidRPr="00A75DF9">
        <w:rPr>
          <w:rFonts w:ascii="Tahoma" w:hAnsi="Tahoma" w:cs="Tahoma"/>
          <w:color w:val="F66400"/>
          <w:sz w:val="22"/>
          <w:vertAlign w:val="superscript"/>
        </w:rPr>
        <w:t>®</w:t>
      </w:r>
      <w:r w:rsidRPr="00A75DF9">
        <w:rPr>
          <w:rFonts w:ascii="Tahoma" w:hAnsi="Tahoma" w:cs="Tahoma"/>
          <w:color w:val="F66400"/>
          <w:sz w:val="22"/>
        </w:rPr>
        <w:t xml:space="preserve"> Companion</w:t>
      </w:r>
      <w:bookmarkEnd w:id="1102"/>
      <w:bookmarkEnd w:id="1103"/>
    </w:p>
    <w:p w:rsidR="00483B3D" w:rsidRPr="00A75DF9" w:rsidRDefault="00483B3D" w:rsidP="00483B3D">
      <w:pPr>
        <w:rPr>
          <w:rFonts w:cs="Tahoma"/>
        </w:rPr>
      </w:pPr>
    </w:p>
    <w:p w:rsidR="00483B3D" w:rsidRPr="00A75DF9" w:rsidRDefault="00483B3D" w:rsidP="00483B3D">
      <w:pPr>
        <w:spacing w:after="60"/>
        <w:ind w:left="720"/>
        <w:rPr>
          <w:rFonts w:cs="Tahoma"/>
        </w:rPr>
      </w:pPr>
      <w:r w:rsidRPr="00A75DF9">
        <w:rPr>
          <w:rFonts w:cs="Tahoma"/>
          <w:b/>
          <w:color w:val="000000"/>
        </w:rPr>
        <w:t>Istituti che hanno stipulato un Contratto School</w:t>
      </w:r>
    </w:p>
    <w:p w:rsidR="00483B3D" w:rsidRPr="00A75DF9" w:rsidRDefault="00483B3D" w:rsidP="00483B3D">
      <w:pPr>
        <w:ind w:left="720"/>
        <w:rPr>
          <w:rFonts w:cs="Tahoma"/>
        </w:rPr>
      </w:pPr>
      <w:r w:rsidRPr="00A75DF9">
        <w:rPr>
          <w:rFonts w:cs="Tahoma"/>
          <w:color w:val="000000"/>
        </w:rPr>
        <w:t>gli Istituti potranno acquistare la Licenza “Subscription” per Windows Companion (Companion Subscription License o “CSL”), qualora dispongano della copertura per i prodotti qualificanti.</w:t>
      </w:r>
      <w:r w:rsidR="009D3B41" w:rsidRPr="00A75DF9">
        <w:rPr>
          <w:rFonts w:cs="Tahoma"/>
          <w:color w:val="000000"/>
        </w:rPr>
        <w:t xml:space="preserve"> </w:t>
      </w:r>
      <w:r w:rsidRPr="00A75DF9">
        <w:rPr>
          <w:rFonts w:cs="Tahoma"/>
          <w:color w:val="000000"/>
        </w:rPr>
        <w:t>La quantità massima di CSL acquistabili è pari al numero di prodotti qualificanti per i PC Idonei dell</w:t>
      </w:r>
      <w:r w:rsidR="00F2643E">
        <w:rPr>
          <w:rFonts w:cs="Tahoma"/>
          <w:color w:val="000000"/>
        </w:rPr>
        <w:t>’</w:t>
      </w:r>
      <w:r w:rsidRPr="00A75DF9">
        <w:rPr>
          <w:rFonts w:cs="Tahoma"/>
          <w:color w:val="000000"/>
        </w:rPr>
        <w:t>istituto.</w:t>
      </w:r>
    </w:p>
    <w:p w:rsidR="00483B3D" w:rsidRPr="00A75DF9" w:rsidRDefault="00483B3D" w:rsidP="00483B3D">
      <w:pPr>
        <w:rPr>
          <w:rFonts w:cs="Tahoma"/>
        </w:rPr>
      </w:pPr>
    </w:p>
    <w:p w:rsidR="00483B3D" w:rsidRPr="00A75DF9" w:rsidRDefault="00483B3D" w:rsidP="00483B3D">
      <w:pPr>
        <w:spacing w:after="60"/>
        <w:ind w:left="720"/>
        <w:rPr>
          <w:rFonts w:cs="Tahoma"/>
        </w:rPr>
      </w:pPr>
      <w:r w:rsidRPr="00A75DF9">
        <w:rPr>
          <w:rFonts w:cs="Tahoma"/>
          <w:b/>
          <w:color w:val="000000"/>
        </w:rPr>
        <w:t>Dispositivi Companion e Dispositivi Qualificati</w:t>
      </w:r>
    </w:p>
    <w:p w:rsidR="00483B3D" w:rsidRPr="00A75DF9" w:rsidRDefault="00483B3D" w:rsidP="00350D2E">
      <w:pPr>
        <w:ind w:left="720"/>
        <w:rPr>
          <w:rFonts w:cs="Tahoma"/>
        </w:rPr>
      </w:pPr>
      <w:r w:rsidRPr="00A75DF9">
        <w:rPr>
          <w:rFonts w:cs="Tahoma"/>
          <w:color w:val="000000"/>
        </w:rPr>
        <w:t>I Dispositivi Companion che usano i diritti sull</w:t>
      </w:r>
      <w:r w:rsidR="00F2643E">
        <w:rPr>
          <w:rFonts w:cs="Tahoma"/>
          <w:color w:val="000000"/>
        </w:rPr>
        <w:t>’</w:t>
      </w:r>
      <w:r w:rsidRPr="00A75DF9">
        <w:rPr>
          <w:rFonts w:cs="Tahoma"/>
          <w:color w:val="000000"/>
        </w:rPr>
        <w:t>utilizzo forniti dalla CSL sono Dispositivi Qualificati.</w:t>
      </w:r>
      <w:r w:rsidR="009D3B41" w:rsidRPr="00A75DF9">
        <w:rPr>
          <w:rFonts w:cs="Tahoma"/>
          <w:color w:val="000000"/>
        </w:rPr>
        <w:t xml:space="preserve"> </w:t>
      </w:r>
      <w:r w:rsidRPr="00A75DF9">
        <w:rPr>
          <w:rFonts w:cs="Tahoma"/>
          <w:color w:val="000000"/>
        </w:rPr>
        <w:t>La CSL è</w:t>
      </w:r>
      <w:r w:rsidR="00350D2E">
        <w:rPr>
          <w:rFonts w:cs="Tahoma"/>
          <w:color w:val="000000"/>
        </w:rPr>
        <w:t> </w:t>
      </w:r>
      <w:r w:rsidRPr="00A75DF9">
        <w:rPr>
          <w:rFonts w:cs="Tahoma"/>
          <w:color w:val="000000"/>
        </w:rPr>
        <w:t>un Prodotto Enterprise e in tal modo completa la parte Sistemi di qualsiasi impegno di acquisto per i Dispositivi Qualificati.</w:t>
      </w:r>
      <w:r w:rsidR="009D3B41" w:rsidRPr="00A75DF9">
        <w:rPr>
          <w:rFonts w:cs="Tahoma"/>
          <w:color w:val="000000"/>
        </w:rPr>
        <w:t xml:space="preserve"> </w:t>
      </w:r>
      <w:r w:rsidRPr="00A75DF9">
        <w:rPr>
          <w:rFonts w:cs="Tahoma"/>
          <w:color w:val="000000"/>
        </w:rPr>
        <w:t>Non esiste una quantità specifica di CSL acquistabili e non occorre acquistare CSL per</w:t>
      </w:r>
      <w:r w:rsidR="00350D2E">
        <w:rPr>
          <w:rFonts w:cs="Tahoma"/>
          <w:color w:val="000000"/>
        </w:rPr>
        <w:t> </w:t>
      </w:r>
      <w:r w:rsidRPr="00A75DF9">
        <w:rPr>
          <w:rFonts w:cs="Tahoma"/>
          <w:color w:val="000000"/>
        </w:rPr>
        <w:t xml:space="preserve">tutti i Dispositivi </w:t>
      </w:r>
      <w:r w:rsidRPr="00A75DF9">
        <w:rPr>
          <w:rFonts w:cs="Tahoma"/>
        </w:rPr>
        <w:t>Qualificati di un</w:t>
      </w:r>
      <w:r w:rsidR="00F2643E">
        <w:rPr>
          <w:rFonts w:cs="Tahoma"/>
        </w:rPr>
        <w:t>’</w:t>
      </w:r>
      <w:r w:rsidRPr="00A75DF9">
        <w:rPr>
          <w:rFonts w:cs="Tahoma"/>
        </w:rPr>
        <w:t>organizzazione e in nessun caso il numero di CSL può superare la combinazione di tutte le Licenze per Windows Upgrade e VDA.</w:t>
      </w:r>
    </w:p>
    <w:p w:rsidR="00483B3D" w:rsidRPr="00A75DF9" w:rsidRDefault="00483B3D" w:rsidP="00483B3D">
      <w:pPr>
        <w:rPr>
          <w:rFonts w:cs="Tahoma"/>
        </w:rPr>
      </w:pPr>
    </w:p>
    <w:p w:rsidR="00483B3D" w:rsidRPr="00A75DF9" w:rsidRDefault="00483B3D" w:rsidP="00483B3D">
      <w:pPr>
        <w:rPr>
          <w:rFonts w:cs="Tahoma"/>
        </w:rPr>
      </w:pPr>
    </w:p>
    <w:p w:rsidR="00483B3D" w:rsidRPr="00A75DF9" w:rsidRDefault="00A560B6" w:rsidP="00483B3D">
      <w:pPr>
        <w:pStyle w:val="Heading3"/>
        <w:rPr>
          <w:rFonts w:ascii="Tahoma" w:hAnsi="Tahoma" w:cs="Tahoma"/>
        </w:rPr>
      </w:pPr>
      <w:bookmarkStart w:id="1104" w:name="_26_Windows_Vista"/>
      <w:bookmarkStart w:id="1105" w:name="_29_Windows_Vista"/>
      <w:bookmarkStart w:id="1106" w:name="_29_30_Windows"/>
      <w:bookmarkStart w:id="1107" w:name="_Toc336338282"/>
      <w:bookmarkStart w:id="1108" w:name="Sys_24WindowsVistaDVDPack"/>
      <w:bookmarkStart w:id="1109" w:name="_Toc368310279"/>
      <w:bookmarkEnd w:id="1104"/>
      <w:bookmarkEnd w:id="1105"/>
      <w:bookmarkEnd w:id="1106"/>
      <w:r w:rsidRPr="00A75DF9">
        <w:rPr>
          <w:rFonts w:ascii="Tahoma" w:hAnsi="Tahoma" w:cs="Tahoma"/>
          <w:caps/>
          <w:color w:val="F66400"/>
          <w:sz w:val="22"/>
          <w:vertAlign w:val="superscript"/>
        </w:rPr>
        <w:t>30</w:t>
      </w:r>
      <w:r w:rsidRPr="00A75DF9">
        <w:rPr>
          <w:rFonts w:ascii="Tahoma" w:eastAsia="Times New Roman" w:hAnsi="Tahoma" w:cs="Tahoma"/>
          <w:bCs/>
          <w:color w:val="F66400"/>
          <w:sz w:val="22"/>
          <w:szCs w:val="22"/>
        </w:rPr>
        <w:t xml:space="preserve"> Windows Vista DVD Playback Pack</w:t>
      </w:r>
      <w:bookmarkEnd w:id="1107"/>
      <w:bookmarkEnd w:id="1109"/>
    </w:p>
    <w:bookmarkEnd w:id="1108"/>
    <w:p w:rsidR="00483B3D" w:rsidRPr="00A75DF9" w:rsidRDefault="00483B3D" w:rsidP="00483B3D">
      <w:pPr>
        <w:rPr>
          <w:rFonts w:cs="Tahoma"/>
        </w:rPr>
      </w:pPr>
    </w:p>
    <w:p w:rsidR="00483B3D" w:rsidRPr="00A75DF9" w:rsidRDefault="00483B3D" w:rsidP="00483B3D">
      <w:pPr>
        <w:ind w:left="720"/>
        <w:rPr>
          <w:rFonts w:cs="Tahoma"/>
        </w:rPr>
      </w:pPr>
      <w:r w:rsidRPr="00A75DF9">
        <w:rPr>
          <w:rFonts w:eastAsia="Calibri" w:cs="Tahoma"/>
          <w:color w:val="000000"/>
          <w:szCs w:val="18"/>
        </w:rPr>
        <w:t>Le società con Contratti Multilicenza che installano o eseguono Windows Vista DVD Playback Pack dovranno prendere visione dei Diritti di Utilizzo del Prodotto Concessi in Licenza da Microsoft del mese di dicembre 2010 per conoscere le condizioni di licenza.</w:t>
      </w:r>
    </w:p>
    <w:p w:rsidR="00483B3D" w:rsidRPr="00A75DF9" w:rsidRDefault="00483B3D" w:rsidP="00483B3D">
      <w:pPr>
        <w:rPr>
          <w:rFonts w:cs="Tahoma"/>
        </w:rPr>
      </w:pPr>
    </w:p>
    <w:p w:rsidR="007A73DF" w:rsidRPr="00A75DF9" w:rsidRDefault="007A73DF" w:rsidP="007A73DF">
      <w:pPr>
        <w:contextualSpacing/>
        <w:rPr>
          <w:rFonts w:cs="Tahoma"/>
        </w:rPr>
      </w:pPr>
    </w:p>
    <w:p w:rsidR="00D513A8" w:rsidRPr="00A75DF9" w:rsidRDefault="00A560B6" w:rsidP="00D513A8">
      <w:pPr>
        <w:pStyle w:val="Heading3"/>
        <w:rPr>
          <w:rFonts w:ascii="Tahoma" w:hAnsi="Tahoma" w:cs="Tahoma"/>
        </w:rPr>
      </w:pPr>
      <w:bookmarkStart w:id="1110" w:name="_30_Windows®_7"/>
      <w:bookmarkStart w:id="1111" w:name="Sys_25WindowsPartnersLearning"/>
      <w:bookmarkStart w:id="1112" w:name="_Toc336338284"/>
      <w:bookmarkStart w:id="1113" w:name="_Toc368310280"/>
      <w:bookmarkEnd w:id="1110"/>
      <w:r w:rsidRPr="00A75DF9">
        <w:rPr>
          <w:rFonts w:ascii="Tahoma" w:hAnsi="Tahoma" w:cs="Tahoma"/>
          <w:caps/>
          <w:color w:val="F66400"/>
          <w:sz w:val="22"/>
          <w:vertAlign w:val="superscript"/>
        </w:rPr>
        <w:t>31</w:t>
      </w:r>
      <w:r w:rsidRPr="00A75DF9">
        <w:rPr>
          <w:rFonts w:ascii="Tahoma" w:hAnsi="Tahoma" w:cs="Tahoma"/>
          <w:color w:val="F66400"/>
          <w:sz w:val="22"/>
        </w:rPr>
        <w:t xml:space="preserve"> Windows</w:t>
      </w:r>
      <w:r w:rsidR="009D5D7B" w:rsidRPr="00A75DF9">
        <w:rPr>
          <w:rFonts w:ascii="Tahoma" w:hAnsi="Tahoma" w:cs="Tahoma"/>
          <w:color w:val="F66400"/>
          <w:sz w:val="22"/>
          <w:vertAlign w:val="superscript"/>
        </w:rPr>
        <w:t>®</w:t>
      </w:r>
      <w:r w:rsidRPr="00A75DF9">
        <w:rPr>
          <w:rFonts w:ascii="Tahoma" w:hAnsi="Tahoma" w:cs="Tahoma"/>
          <w:color w:val="F66400"/>
          <w:sz w:val="22"/>
        </w:rPr>
        <w:t xml:space="preserve"> 7 Partners in Learning</w:t>
      </w:r>
      <w:bookmarkEnd w:id="1111"/>
      <w:bookmarkEnd w:id="1113"/>
    </w:p>
    <w:p w:rsidR="00D513A8" w:rsidRPr="00A75DF9" w:rsidRDefault="00D513A8" w:rsidP="00D513A8">
      <w:pPr>
        <w:rPr>
          <w:rFonts w:cs="Tahoma"/>
        </w:rPr>
      </w:pPr>
    </w:p>
    <w:p w:rsidR="00D513A8" w:rsidRPr="00A75DF9" w:rsidRDefault="00D513A8" w:rsidP="00350D2E">
      <w:pPr>
        <w:ind w:left="720" w:right="-810"/>
        <w:rPr>
          <w:rFonts w:cs="Tahoma"/>
        </w:rPr>
      </w:pPr>
      <w:r w:rsidRPr="00A75DF9">
        <w:rPr>
          <w:rFonts w:cs="Tahoma"/>
          <w:color w:val="000000"/>
          <w:szCs w:val="18"/>
        </w:rPr>
        <w:t>Per i requisiti di idoneità e l</w:t>
      </w:r>
      <w:r w:rsidR="00F2643E">
        <w:rPr>
          <w:rFonts w:cs="Tahoma"/>
          <w:color w:val="000000"/>
          <w:szCs w:val="18"/>
        </w:rPr>
        <w:t>’</w:t>
      </w:r>
      <w:r w:rsidRPr="00A75DF9">
        <w:rPr>
          <w:rFonts w:cs="Tahoma"/>
          <w:color w:val="000000"/>
          <w:szCs w:val="18"/>
        </w:rPr>
        <w:t xml:space="preserve">iscrizione dei partner, la società dovrà fare riferimento alla pagina </w:t>
      </w:r>
      <w:hyperlink r:id="rId42" w:history="1">
        <w:r w:rsidR="00350D2E" w:rsidRPr="00FE5F1D">
          <w:rPr>
            <w:rStyle w:val="Hyperlink"/>
            <w:rFonts w:cs="Tahoma"/>
            <w:szCs w:val="18"/>
          </w:rPr>
          <w:t>http://www.microsoft.com/education/pil/partnersinlearning.aspx</w:t>
        </w:r>
      </w:hyperlink>
      <w:r w:rsidRPr="00A75DF9">
        <w:rPr>
          <w:rFonts w:cs="Tahoma"/>
          <w:color w:val="000000"/>
        </w:rPr>
        <w:t xml:space="preserve"> </w:t>
      </w:r>
    </w:p>
    <w:p w:rsidR="00D513A8" w:rsidRPr="00A75DF9" w:rsidRDefault="00D513A8" w:rsidP="00D513A8">
      <w:pPr>
        <w:ind w:right="-810"/>
        <w:rPr>
          <w:rFonts w:cs="Tahoma"/>
        </w:rPr>
      </w:pPr>
    </w:p>
    <w:p w:rsidR="00D513A8" w:rsidRPr="00A75DF9" w:rsidRDefault="00D513A8" w:rsidP="00D513A8">
      <w:pPr>
        <w:ind w:right="-810"/>
        <w:rPr>
          <w:rFonts w:cs="Tahoma"/>
        </w:rPr>
      </w:pPr>
    </w:p>
    <w:p w:rsidR="005D4DAB" w:rsidRPr="00A75DF9" w:rsidRDefault="00A560B6" w:rsidP="00C646B3">
      <w:pPr>
        <w:pStyle w:val="Heading3"/>
        <w:rPr>
          <w:rFonts w:ascii="Tahoma" w:hAnsi="Tahoma" w:cs="Tahoma"/>
        </w:rPr>
      </w:pPr>
      <w:bookmarkStart w:id="1114" w:name="_28_Windows®_8"/>
      <w:bookmarkStart w:id="1115" w:name="_31_Windows®_8"/>
      <w:bookmarkStart w:id="1116" w:name="_Toc368310281"/>
      <w:bookmarkEnd w:id="1114"/>
      <w:bookmarkEnd w:id="1115"/>
      <w:r w:rsidRPr="00A75DF9">
        <w:rPr>
          <w:rFonts w:ascii="Tahoma" w:hAnsi="Tahoma" w:cs="Tahoma"/>
          <w:caps/>
          <w:color w:val="F66400"/>
          <w:sz w:val="22"/>
          <w:vertAlign w:val="superscript"/>
        </w:rPr>
        <w:t>32</w:t>
      </w:r>
      <w:r w:rsidRPr="00A75DF9">
        <w:rPr>
          <w:rFonts w:ascii="Tahoma" w:hAnsi="Tahoma" w:cs="Tahoma"/>
          <w:color w:val="F66400"/>
          <w:sz w:val="22"/>
        </w:rPr>
        <w:t xml:space="preserve"> Windows</w:t>
      </w:r>
      <w:r w:rsidR="009D5D7B" w:rsidRPr="00A75DF9">
        <w:rPr>
          <w:rFonts w:ascii="Tahoma" w:hAnsi="Tahoma" w:cs="Tahoma"/>
          <w:color w:val="F66400"/>
          <w:sz w:val="22"/>
          <w:vertAlign w:val="superscript"/>
        </w:rPr>
        <w:t>®</w:t>
      </w:r>
      <w:r w:rsidRPr="00A75DF9">
        <w:rPr>
          <w:rFonts w:ascii="Tahoma" w:hAnsi="Tahoma" w:cs="Tahoma"/>
          <w:color w:val="F66400"/>
          <w:sz w:val="22"/>
        </w:rPr>
        <w:t xml:space="preserve"> 8 Enterprise Sideloading</w:t>
      </w:r>
      <w:bookmarkEnd w:id="1112"/>
      <w:bookmarkEnd w:id="1116"/>
    </w:p>
    <w:p w:rsidR="009B2474" w:rsidRPr="00A75DF9" w:rsidRDefault="009B2474" w:rsidP="009B2474">
      <w:pPr>
        <w:rPr>
          <w:rFonts w:cs="Tahoma"/>
        </w:rPr>
      </w:pPr>
    </w:p>
    <w:p w:rsidR="009B2474" w:rsidRPr="00A75DF9" w:rsidRDefault="009B2474" w:rsidP="009B2474">
      <w:pPr>
        <w:rPr>
          <w:rFonts w:cs="Tahoma"/>
        </w:rPr>
      </w:pPr>
    </w:p>
    <w:tbl>
      <w:tblPr>
        <w:tblW w:w="5838" w:type="dxa"/>
        <w:tblInd w:w="780" w:type="dxa"/>
        <w:tblCellMar>
          <w:left w:w="0" w:type="dxa"/>
          <w:right w:w="0" w:type="dxa"/>
        </w:tblCellMar>
        <w:tblLook w:val="04A0" w:firstRow="1" w:lastRow="0" w:firstColumn="1" w:lastColumn="0" w:noHBand="0" w:noVBand="1"/>
      </w:tblPr>
      <w:tblGrid>
        <w:gridCol w:w="2947"/>
        <w:gridCol w:w="1551"/>
        <w:gridCol w:w="1340"/>
      </w:tblGrid>
      <w:tr w:rsidR="005D4DAB" w:rsidRPr="00A75DF9" w:rsidTr="00350D2E">
        <w:trPr>
          <w:trHeight w:val="900"/>
          <w:tblHeader/>
        </w:trPr>
        <w:tc>
          <w:tcPr>
            <w:tcW w:w="2947" w:type="dxa"/>
            <w:tcBorders>
              <w:top w:val="single" w:sz="8" w:space="0" w:color="auto"/>
              <w:left w:val="single" w:sz="8" w:space="0" w:color="auto"/>
              <w:bottom w:val="single" w:sz="4" w:space="0" w:color="auto"/>
              <w:right w:val="single" w:sz="8" w:space="0" w:color="auto"/>
            </w:tcBorders>
            <w:shd w:val="clear" w:color="auto" w:fill="FABF8F"/>
            <w:vAlign w:val="center"/>
            <w:hideMark/>
          </w:tcPr>
          <w:p w:rsidR="005D4DAB" w:rsidRPr="00A75DF9" w:rsidRDefault="00433F5F" w:rsidP="005D4DAB">
            <w:pPr>
              <w:jc w:val="center"/>
              <w:rPr>
                <w:rFonts w:eastAsia="Calibri" w:cs="Tahoma"/>
                <w:b/>
                <w:bCs/>
                <w:szCs w:val="18"/>
              </w:rPr>
            </w:pPr>
            <w:r w:rsidRPr="00A75DF9">
              <w:rPr>
                <w:rFonts w:cs="Tahoma"/>
                <w:b/>
                <w:bCs/>
                <w:szCs w:val="18"/>
              </w:rPr>
              <w:t>Disponibilità del Programma</w:t>
            </w:r>
          </w:p>
        </w:tc>
        <w:tc>
          <w:tcPr>
            <w:tcW w:w="1551" w:type="dxa"/>
            <w:tcBorders>
              <w:top w:val="single" w:sz="4" w:space="0" w:color="auto"/>
              <w:left w:val="nil"/>
              <w:bottom w:val="single" w:sz="4" w:space="0" w:color="auto"/>
              <w:right w:val="single" w:sz="4" w:space="0" w:color="auto"/>
            </w:tcBorders>
            <w:shd w:val="clear" w:color="auto" w:fill="FABF8F"/>
            <w:vAlign w:val="bottom"/>
          </w:tcPr>
          <w:p w:rsidR="005D4DAB" w:rsidRPr="00A75DF9" w:rsidRDefault="005D4DAB" w:rsidP="005D4DAB">
            <w:pPr>
              <w:jc w:val="center"/>
              <w:rPr>
                <w:rFonts w:cs="Tahoma"/>
                <w:b/>
                <w:bCs/>
                <w:szCs w:val="18"/>
              </w:rPr>
            </w:pPr>
            <w:r w:rsidRPr="00A75DF9">
              <w:rPr>
                <w:rFonts w:cs="Tahoma"/>
                <w:b/>
                <w:bCs/>
                <w:szCs w:val="18"/>
              </w:rPr>
              <w:t>Licenze Disponibili per l</w:t>
            </w:r>
            <w:r w:rsidR="00F2643E">
              <w:rPr>
                <w:rFonts w:cs="Tahoma"/>
                <w:b/>
                <w:bCs/>
                <w:szCs w:val="18"/>
              </w:rPr>
              <w:t>’</w:t>
            </w:r>
            <w:r w:rsidRPr="00A75DF9">
              <w:rPr>
                <w:rFonts w:cs="Tahoma"/>
                <w:b/>
                <w:bCs/>
                <w:szCs w:val="18"/>
              </w:rPr>
              <w:t>Acquisto</w:t>
            </w:r>
          </w:p>
        </w:tc>
        <w:tc>
          <w:tcPr>
            <w:tcW w:w="1340" w:type="dxa"/>
            <w:tcBorders>
              <w:top w:val="single" w:sz="4" w:space="0" w:color="auto"/>
              <w:left w:val="single" w:sz="4" w:space="0" w:color="auto"/>
              <w:bottom w:val="single" w:sz="4" w:space="0" w:color="auto"/>
              <w:right w:val="single" w:sz="8" w:space="0" w:color="auto"/>
            </w:tcBorders>
            <w:shd w:val="clear" w:color="auto" w:fill="FABF8F"/>
            <w:tcMar>
              <w:top w:w="0" w:type="dxa"/>
              <w:left w:w="108" w:type="dxa"/>
              <w:bottom w:w="0" w:type="dxa"/>
              <w:right w:w="108" w:type="dxa"/>
            </w:tcMar>
            <w:vAlign w:val="bottom"/>
            <w:hideMark/>
          </w:tcPr>
          <w:p w:rsidR="005D4DAB" w:rsidRPr="00A75DF9" w:rsidRDefault="005D4DAB" w:rsidP="005D4DAB">
            <w:pPr>
              <w:jc w:val="center"/>
              <w:rPr>
                <w:rFonts w:eastAsia="Calibri" w:cs="Tahoma"/>
                <w:b/>
                <w:bCs/>
                <w:szCs w:val="18"/>
              </w:rPr>
            </w:pPr>
            <w:r w:rsidRPr="00A75DF9">
              <w:rPr>
                <w:rFonts w:cs="Tahoma"/>
                <w:b/>
                <w:bCs/>
                <w:szCs w:val="18"/>
              </w:rPr>
              <w:t>Disponibili come Vantaggio di Software Assurance</w:t>
            </w:r>
          </w:p>
        </w:tc>
      </w:tr>
      <w:tr w:rsidR="005D4DAB" w:rsidRPr="00A75DF9" w:rsidTr="00350D2E">
        <w:trPr>
          <w:trHeight w:val="337"/>
        </w:trPr>
        <w:tc>
          <w:tcPr>
            <w:tcW w:w="2947"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A75DF9" w:rsidRDefault="005D4DAB" w:rsidP="005D4DAB">
            <w:pPr>
              <w:jc w:val="center"/>
              <w:rPr>
                <w:rFonts w:eastAsia="Calibri" w:cs="Tahoma"/>
                <w:b/>
                <w:bCs/>
                <w:szCs w:val="18"/>
              </w:rPr>
            </w:pPr>
            <w:r w:rsidRPr="00A75DF9">
              <w:rPr>
                <w:rFonts w:cs="Tahoma"/>
                <w:b/>
                <w:bCs/>
                <w:szCs w:val="18"/>
              </w:rPr>
              <w:t>Licenza Open</w:t>
            </w:r>
          </w:p>
        </w:tc>
        <w:tc>
          <w:tcPr>
            <w:tcW w:w="1551" w:type="dxa"/>
            <w:tcBorders>
              <w:top w:val="single" w:sz="4" w:space="0" w:color="auto"/>
              <w:left w:val="single" w:sz="4" w:space="0" w:color="auto"/>
              <w:bottom w:val="single" w:sz="4" w:space="0" w:color="auto"/>
              <w:right w:val="single" w:sz="4" w:space="0" w:color="auto"/>
            </w:tcBorders>
            <w:vAlign w:val="center"/>
          </w:tcPr>
          <w:p w:rsidR="005D4DAB" w:rsidRPr="00A75DF9" w:rsidRDefault="005D4DAB" w:rsidP="005D4DAB">
            <w:pPr>
              <w:jc w:val="center"/>
              <w:rPr>
                <w:rFonts w:cs="Tahoma"/>
                <w:szCs w:val="18"/>
              </w:rPr>
            </w:pPr>
            <w:r w:rsidRPr="00A75DF9">
              <w:rPr>
                <w:rFonts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hideMark/>
          </w:tcPr>
          <w:p w:rsidR="005D4DAB" w:rsidRPr="00A75DF9" w:rsidRDefault="005D4DAB" w:rsidP="005D4DAB">
            <w:pPr>
              <w:jc w:val="center"/>
              <w:rPr>
                <w:rFonts w:eastAsia="Calibri" w:cs="Tahoma"/>
                <w:szCs w:val="18"/>
              </w:rPr>
            </w:pPr>
          </w:p>
        </w:tc>
      </w:tr>
      <w:tr w:rsidR="005D4DAB" w:rsidRPr="00A75DF9" w:rsidTr="00350D2E">
        <w:trPr>
          <w:trHeight w:val="337"/>
        </w:trPr>
        <w:tc>
          <w:tcPr>
            <w:tcW w:w="2947"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A75DF9" w:rsidRDefault="005D4DAB" w:rsidP="005D4DAB">
            <w:pPr>
              <w:jc w:val="center"/>
              <w:rPr>
                <w:rFonts w:cs="Tahoma"/>
                <w:b/>
                <w:bCs/>
                <w:szCs w:val="18"/>
              </w:rPr>
            </w:pPr>
            <w:r w:rsidRPr="00A75DF9">
              <w:rPr>
                <w:rFonts w:cs="Tahoma"/>
                <w:b/>
                <w:bCs/>
                <w:szCs w:val="18"/>
              </w:rPr>
              <w:t>Select/Select Plus</w:t>
            </w:r>
          </w:p>
        </w:tc>
        <w:tc>
          <w:tcPr>
            <w:tcW w:w="1551" w:type="dxa"/>
            <w:tcBorders>
              <w:top w:val="single" w:sz="4" w:space="0" w:color="auto"/>
              <w:left w:val="single" w:sz="4" w:space="0" w:color="auto"/>
              <w:bottom w:val="single" w:sz="4" w:space="0" w:color="auto"/>
              <w:right w:val="single" w:sz="4" w:space="0" w:color="auto"/>
            </w:tcBorders>
            <w:vAlign w:val="center"/>
          </w:tcPr>
          <w:p w:rsidR="005D4DAB" w:rsidRPr="00A75DF9" w:rsidRDefault="005D4DAB" w:rsidP="005D4DAB">
            <w:pPr>
              <w:jc w:val="center"/>
              <w:rPr>
                <w:rFonts w:cs="Tahoma"/>
                <w:szCs w:val="18"/>
              </w:rPr>
            </w:pPr>
            <w:r w:rsidRPr="00A75DF9">
              <w:rPr>
                <w:rFonts w:cs="Tahoma"/>
                <w:szCs w:val="18"/>
              </w:rPr>
              <w:t>x</w:t>
            </w: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A75DF9" w:rsidRDefault="005D4DAB" w:rsidP="005D4DAB">
            <w:pPr>
              <w:jc w:val="center"/>
              <w:rPr>
                <w:rFonts w:eastAsia="Calibri" w:cs="Tahoma"/>
                <w:szCs w:val="18"/>
              </w:rPr>
            </w:pPr>
            <w:r w:rsidRPr="00A75DF9">
              <w:rPr>
                <w:rFonts w:eastAsia="Calibri" w:cs="Tahoma"/>
                <w:szCs w:val="18"/>
              </w:rPr>
              <w:t>x</w:t>
            </w:r>
          </w:p>
        </w:tc>
      </w:tr>
      <w:tr w:rsidR="005D4DAB" w:rsidRPr="00A75DF9" w:rsidTr="00350D2E">
        <w:trPr>
          <w:trHeight w:val="337"/>
        </w:trPr>
        <w:tc>
          <w:tcPr>
            <w:tcW w:w="2947"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A75DF9" w:rsidRDefault="005D4DAB" w:rsidP="005D4DAB">
            <w:pPr>
              <w:jc w:val="center"/>
              <w:rPr>
                <w:rFonts w:cs="Tahoma"/>
                <w:b/>
                <w:bCs/>
                <w:szCs w:val="18"/>
              </w:rPr>
            </w:pPr>
            <w:r w:rsidRPr="00A75DF9">
              <w:rPr>
                <w:rFonts w:cs="Tahoma"/>
                <w:b/>
                <w:bCs/>
                <w:szCs w:val="18"/>
              </w:rPr>
              <w:t>Contratto Enterprise / EAS</w:t>
            </w:r>
          </w:p>
        </w:tc>
        <w:tc>
          <w:tcPr>
            <w:tcW w:w="1551" w:type="dxa"/>
            <w:tcBorders>
              <w:top w:val="single" w:sz="4" w:space="0" w:color="auto"/>
              <w:left w:val="single" w:sz="4" w:space="0" w:color="auto"/>
              <w:bottom w:val="single" w:sz="4" w:space="0" w:color="auto"/>
              <w:right w:val="single" w:sz="4" w:space="0" w:color="auto"/>
            </w:tcBorders>
            <w:vAlign w:val="center"/>
          </w:tcPr>
          <w:p w:rsidR="005D4DAB" w:rsidRPr="00A75DF9" w:rsidRDefault="005D4DAB" w:rsidP="005D4DAB">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5D4DAB" w:rsidRPr="00A75DF9" w:rsidRDefault="005D4DAB" w:rsidP="005D4DAB">
            <w:pPr>
              <w:jc w:val="center"/>
              <w:rPr>
                <w:rFonts w:eastAsia="Calibri" w:cs="Tahoma"/>
                <w:szCs w:val="18"/>
              </w:rPr>
            </w:pPr>
            <w:r w:rsidRPr="00A75DF9">
              <w:rPr>
                <w:rFonts w:eastAsia="Calibri" w:cs="Tahoma"/>
                <w:szCs w:val="18"/>
              </w:rPr>
              <w:t>x</w:t>
            </w:r>
          </w:p>
        </w:tc>
      </w:tr>
      <w:tr w:rsidR="00755633" w:rsidRPr="00A75DF9" w:rsidTr="00350D2E">
        <w:trPr>
          <w:trHeight w:val="337"/>
        </w:trPr>
        <w:tc>
          <w:tcPr>
            <w:tcW w:w="2947"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A75DF9" w:rsidRDefault="00755633" w:rsidP="005D4DAB">
            <w:pPr>
              <w:jc w:val="center"/>
              <w:rPr>
                <w:rFonts w:cs="Tahoma"/>
                <w:b/>
                <w:bCs/>
                <w:szCs w:val="18"/>
              </w:rPr>
            </w:pPr>
            <w:r w:rsidRPr="00A75DF9">
              <w:rPr>
                <w:rFonts w:cs="Tahoma"/>
                <w:b/>
                <w:bCs/>
                <w:szCs w:val="18"/>
              </w:rPr>
              <w:t>EES</w:t>
            </w:r>
          </w:p>
        </w:tc>
        <w:tc>
          <w:tcPr>
            <w:tcW w:w="1551" w:type="dxa"/>
            <w:tcBorders>
              <w:top w:val="single" w:sz="4" w:space="0" w:color="auto"/>
              <w:left w:val="single" w:sz="4" w:space="0" w:color="auto"/>
              <w:bottom w:val="single" w:sz="4" w:space="0" w:color="auto"/>
              <w:right w:val="single" w:sz="4" w:space="0" w:color="auto"/>
            </w:tcBorders>
            <w:vAlign w:val="center"/>
          </w:tcPr>
          <w:p w:rsidR="00755633" w:rsidRPr="00A75DF9" w:rsidRDefault="00755633" w:rsidP="005D4DAB">
            <w:pPr>
              <w:jc w:val="center"/>
              <w:rPr>
                <w:rFonts w:cs="Tahoma"/>
                <w:szCs w:val="18"/>
              </w:rPr>
            </w:pPr>
          </w:p>
        </w:tc>
        <w:tc>
          <w:tcPr>
            <w:tcW w:w="1340" w:type="dxa"/>
            <w:tcBorders>
              <w:top w:val="single" w:sz="4" w:space="0" w:color="auto"/>
              <w:left w:val="single" w:sz="4" w:space="0" w:color="auto"/>
              <w:bottom w:val="single" w:sz="4" w:space="0" w:color="auto"/>
              <w:right w:val="single" w:sz="4" w:space="0" w:color="auto"/>
            </w:tcBorders>
            <w:noWrap/>
            <w:tcMar>
              <w:top w:w="0" w:type="dxa"/>
              <w:left w:w="108" w:type="dxa"/>
              <w:bottom w:w="0" w:type="dxa"/>
              <w:right w:w="108" w:type="dxa"/>
            </w:tcMar>
            <w:vAlign w:val="center"/>
          </w:tcPr>
          <w:p w:rsidR="00755633" w:rsidRPr="00A75DF9" w:rsidRDefault="00755633" w:rsidP="005D4DAB">
            <w:pPr>
              <w:jc w:val="center"/>
              <w:rPr>
                <w:rFonts w:eastAsia="Calibri" w:cs="Tahoma"/>
                <w:szCs w:val="18"/>
              </w:rPr>
            </w:pPr>
            <w:r w:rsidRPr="00A75DF9">
              <w:rPr>
                <w:rFonts w:eastAsia="Calibri" w:cs="Tahoma"/>
                <w:szCs w:val="18"/>
              </w:rPr>
              <w:t>x</w:t>
            </w:r>
          </w:p>
        </w:tc>
      </w:tr>
    </w:tbl>
    <w:p w:rsidR="005D4DAB" w:rsidRPr="00A75DF9" w:rsidRDefault="005D4DAB" w:rsidP="00EE035D">
      <w:pPr>
        <w:ind w:left="720"/>
        <w:rPr>
          <w:rFonts w:cs="Tahoma"/>
        </w:rPr>
      </w:pPr>
      <w:r w:rsidRPr="00A75DF9">
        <w:rPr>
          <w:rFonts w:cs="Tahoma"/>
          <w:szCs w:val="18"/>
        </w:rPr>
        <w:lastRenderedPageBreak/>
        <w:t>Windows Enterprise Sideloading consente alla società di installare le nuove Applicazioni di Windows 8 direttamente su un dispositivo senza passare per Windows Store.</w:t>
      </w:r>
      <w:r w:rsidR="009D3B41" w:rsidRPr="00A75DF9">
        <w:rPr>
          <w:rFonts w:cs="Tahoma"/>
          <w:szCs w:val="18"/>
        </w:rPr>
        <w:t xml:space="preserve"> </w:t>
      </w:r>
      <w:r w:rsidRPr="00A75DF9">
        <w:rPr>
          <w:rFonts w:cs="Tahoma"/>
          <w:szCs w:val="18"/>
        </w:rPr>
        <w:t>I dispositivi aggiunti al dominio in cui è in esecuzione l</w:t>
      </w:r>
      <w:r w:rsidR="00F2643E">
        <w:rPr>
          <w:rFonts w:cs="Tahoma"/>
          <w:szCs w:val="18"/>
        </w:rPr>
        <w:t>’</w:t>
      </w:r>
      <w:r w:rsidRPr="00A75DF9">
        <w:rPr>
          <w:rFonts w:cs="Tahoma"/>
          <w:szCs w:val="18"/>
        </w:rPr>
        <w:t>edizione Windows 8 Enterprise, con qualsiasi Contratto Multilicenza, sono dotati di funzionalità abilitate per Windows Enterprise Sideloading.</w:t>
      </w:r>
      <w:r w:rsidR="009D3B41" w:rsidRPr="00A75DF9">
        <w:rPr>
          <w:rFonts w:cs="Tahoma"/>
          <w:szCs w:val="18"/>
        </w:rPr>
        <w:t xml:space="preserve"> </w:t>
      </w:r>
      <w:r w:rsidRPr="00A75DF9">
        <w:rPr>
          <w:rFonts w:cs="Tahoma"/>
          <w:szCs w:val="18"/>
        </w:rPr>
        <w:t>Windows Enterprise Sideloading può essere attivato anche su dispositivi in cui è in esecuzione Windows 8 Enterprise che non sono stati aggiunti al dominio e su dispositivi in cui si trova Windows 8 Pro o Windows RT mediante l</w:t>
      </w:r>
      <w:r w:rsidR="00F2643E">
        <w:rPr>
          <w:rFonts w:cs="Tahoma"/>
          <w:szCs w:val="18"/>
        </w:rPr>
        <w:t>’</w:t>
      </w:r>
      <w:r w:rsidRPr="00A75DF9">
        <w:rPr>
          <w:rFonts w:cs="Tahoma"/>
          <w:szCs w:val="18"/>
        </w:rPr>
        <w:t>utilizzo di un codice Product Key.</w:t>
      </w:r>
      <w:r w:rsidR="009D3B41" w:rsidRPr="00A75DF9">
        <w:rPr>
          <w:rFonts w:cs="Tahoma"/>
          <w:szCs w:val="18"/>
        </w:rPr>
        <w:t xml:space="preserve"> </w:t>
      </w:r>
      <w:r w:rsidRPr="00A75DF9">
        <w:rPr>
          <w:rFonts w:cs="Tahoma"/>
          <w:szCs w:val="18"/>
        </w:rPr>
        <w:t>In tutti i casi Windows Enterprise Sideloading potrà essere utilizzato esclusivamente per distribuire Applicazioni che apporteranno benefici alla società con Contratti Multilicenza.</w:t>
      </w:r>
      <w:r w:rsidR="009D3B41" w:rsidRPr="00A75DF9">
        <w:rPr>
          <w:rFonts w:cs="Tahoma"/>
          <w:szCs w:val="18"/>
        </w:rPr>
        <w:t xml:space="preserve"> </w:t>
      </w:r>
      <w:r w:rsidRPr="00A75DF9">
        <w:rPr>
          <w:rFonts w:cs="Tahoma"/>
          <w:szCs w:val="18"/>
        </w:rPr>
        <w:t>La funzionalità Windows Enterprise Sideloading integra il Sistema Operativo Desktop Windows e di conseguenza le condizioni di licenza per il Sistema Operativo Desktop Windows fornite qui si applicano all</w:t>
      </w:r>
      <w:r w:rsidR="00F2643E">
        <w:rPr>
          <w:rFonts w:cs="Tahoma"/>
          <w:szCs w:val="18"/>
        </w:rPr>
        <w:t>’</w:t>
      </w:r>
      <w:r w:rsidRPr="00A75DF9">
        <w:rPr>
          <w:rFonts w:cs="Tahoma"/>
          <w:szCs w:val="18"/>
        </w:rPr>
        <w:t>utilizzo di tale funzionalità da parte delle società.</w:t>
      </w:r>
    </w:p>
    <w:p w:rsidR="005D4DAB" w:rsidRPr="00350D2E" w:rsidRDefault="005D4DAB" w:rsidP="00572128">
      <w:pPr>
        <w:ind w:left="900"/>
        <w:rPr>
          <w:rFonts w:cs="Tahoma"/>
          <w:sz w:val="14"/>
          <w:szCs w:val="14"/>
        </w:rPr>
      </w:pPr>
    </w:p>
    <w:p w:rsidR="005D4DAB" w:rsidRPr="00A75DF9" w:rsidRDefault="005D4DAB" w:rsidP="009B2474">
      <w:pPr>
        <w:spacing w:after="60"/>
        <w:ind w:left="720"/>
        <w:rPr>
          <w:rFonts w:cs="Tahoma"/>
        </w:rPr>
      </w:pPr>
      <w:r w:rsidRPr="00A75DF9">
        <w:rPr>
          <w:rFonts w:cs="Tahoma"/>
          <w:b/>
          <w:szCs w:val="18"/>
        </w:rPr>
        <w:t>Vantaggi di Software Assurance</w:t>
      </w:r>
    </w:p>
    <w:p w:rsidR="005D4DAB" w:rsidRPr="00350D2E" w:rsidRDefault="005D4DAB" w:rsidP="00EE035D">
      <w:pPr>
        <w:ind w:left="720"/>
        <w:rPr>
          <w:rFonts w:cs="Tahoma"/>
        </w:rPr>
      </w:pPr>
      <w:r w:rsidRPr="00350D2E">
        <w:rPr>
          <w:rFonts w:cs="Tahoma"/>
          <w:szCs w:val="18"/>
        </w:rPr>
        <w:t>Per attivare Windows Enterprise Sideloading su uno dei seguenti dispositivi potrà essere utilizzato un codice Product Key:</w:t>
      </w:r>
    </w:p>
    <w:p w:rsidR="009B2474" w:rsidRPr="00350D2E" w:rsidRDefault="009B2474" w:rsidP="00EE035D">
      <w:pPr>
        <w:ind w:left="720"/>
        <w:rPr>
          <w:rFonts w:cs="Tahoma"/>
          <w:sz w:val="14"/>
          <w:szCs w:val="14"/>
        </w:rPr>
      </w:pPr>
    </w:p>
    <w:p w:rsidR="005D4DAB" w:rsidRPr="00350D2E" w:rsidRDefault="005D4DAB" w:rsidP="00346F4B">
      <w:pPr>
        <w:pStyle w:val="ListParagraph"/>
        <w:numPr>
          <w:ilvl w:val="0"/>
          <w:numId w:val="83"/>
        </w:numPr>
        <w:spacing w:after="60"/>
        <w:ind w:left="1440"/>
        <w:contextualSpacing w:val="0"/>
        <w:rPr>
          <w:rFonts w:ascii="Tahoma" w:hAnsi="Tahoma" w:cs="Tahoma"/>
          <w:sz w:val="18"/>
          <w:szCs w:val="18"/>
        </w:rPr>
      </w:pPr>
      <w:r w:rsidRPr="00350D2E">
        <w:rPr>
          <w:rFonts w:ascii="Tahoma" w:hAnsi="Tahoma" w:cs="Tahoma"/>
          <w:sz w:val="18"/>
          <w:szCs w:val="18"/>
        </w:rPr>
        <w:t>Dispositivi con copertura Windows Software Assurance attiva</w:t>
      </w:r>
    </w:p>
    <w:p w:rsidR="005D4DAB" w:rsidRPr="00350D2E" w:rsidRDefault="005D4DAB" w:rsidP="00346F4B">
      <w:pPr>
        <w:pStyle w:val="ListParagraph"/>
        <w:numPr>
          <w:ilvl w:val="0"/>
          <w:numId w:val="83"/>
        </w:numPr>
        <w:spacing w:after="60"/>
        <w:ind w:left="1440"/>
        <w:contextualSpacing w:val="0"/>
        <w:rPr>
          <w:rFonts w:ascii="Tahoma" w:hAnsi="Tahoma" w:cs="Tahoma"/>
          <w:sz w:val="18"/>
          <w:szCs w:val="18"/>
        </w:rPr>
      </w:pPr>
      <w:r w:rsidRPr="00350D2E">
        <w:rPr>
          <w:rFonts w:ascii="Tahoma" w:hAnsi="Tahoma" w:cs="Tahoma"/>
          <w:sz w:val="18"/>
          <w:szCs w:val="18"/>
        </w:rPr>
        <w:t>Dispositivi con una licenza “Subscription” per Windows Intune (Per Dispositivo) o VDA attiva</w:t>
      </w:r>
    </w:p>
    <w:p w:rsidR="005D4DAB" w:rsidRPr="00350D2E" w:rsidRDefault="005D4DAB" w:rsidP="00346F4B">
      <w:pPr>
        <w:pStyle w:val="ListParagraph"/>
        <w:numPr>
          <w:ilvl w:val="0"/>
          <w:numId w:val="83"/>
        </w:numPr>
        <w:spacing w:after="60"/>
        <w:ind w:left="1440"/>
        <w:contextualSpacing w:val="0"/>
        <w:rPr>
          <w:rFonts w:ascii="Tahoma" w:hAnsi="Tahoma" w:cs="Tahoma"/>
          <w:sz w:val="18"/>
          <w:szCs w:val="18"/>
        </w:rPr>
      </w:pPr>
      <w:r w:rsidRPr="00350D2E">
        <w:rPr>
          <w:rFonts w:ascii="Tahoma" w:hAnsi="Tahoma" w:cs="Tahoma"/>
          <w:sz w:val="18"/>
          <w:szCs w:val="18"/>
        </w:rPr>
        <w:t>Dispositivi con Windows RT</w:t>
      </w:r>
    </w:p>
    <w:p w:rsidR="00EB2B3F" w:rsidRPr="00350D2E" w:rsidRDefault="00EB2B3F" w:rsidP="00346F4B">
      <w:pPr>
        <w:pStyle w:val="ListParagraph"/>
        <w:numPr>
          <w:ilvl w:val="0"/>
          <w:numId w:val="83"/>
        </w:numPr>
        <w:spacing w:after="60"/>
        <w:ind w:left="1440"/>
        <w:contextualSpacing w:val="0"/>
        <w:rPr>
          <w:rFonts w:ascii="Tahoma" w:hAnsi="Tahoma" w:cs="Tahoma"/>
          <w:sz w:val="18"/>
          <w:szCs w:val="18"/>
        </w:rPr>
      </w:pPr>
      <w:r w:rsidRPr="00350D2E">
        <w:rPr>
          <w:rFonts w:ascii="Tahoma" w:hAnsi="Tahoma" w:cs="Tahoma"/>
          <w:sz w:val="18"/>
          <w:szCs w:val="18"/>
        </w:rPr>
        <w:t>Dispositivi coperti dalla Licenza “Subscription” per Windows Companion</w:t>
      </w:r>
    </w:p>
    <w:p w:rsidR="005D4DAB" w:rsidRPr="00350D2E" w:rsidRDefault="005D4DAB" w:rsidP="00572128">
      <w:pPr>
        <w:ind w:left="900"/>
        <w:rPr>
          <w:rFonts w:cs="Tahoma"/>
          <w:sz w:val="14"/>
          <w:szCs w:val="14"/>
        </w:rPr>
      </w:pPr>
    </w:p>
    <w:p w:rsidR="005D4DAB" w:rsidRPr="00A75DF9" w:rsidRDefault="005D4DAB" w:rsidP="00EE035D">
      <w:pPr>
        <w:ind w:left="720"/>
        <w:rPr>
          <w:rFonts w:cs="Tahoma"/>
        </w:rPr>
      </w:pPr>
      <w:r w:rsidRPr="00A75DF9">
        <w:rPr>
          <w:rFonts w:cs="Tahoma"/>
          <w:szCs w:val="18"/>
        </w:rPr>
        <w:t xml:space="preserve">Windows Enterprise Sideloading potrà essere attivato su un qualsiasi dispositivo autorizzato solo prima della scadenza della copertura Software Assurance o della Licenza “Subscription” corrispondente. </w:t>
      </w:r>
      <w:r w:rsidRPr="00A75DF9">
        <w:rPr>
          <w:rFonts w:cs="Tahoma"/>
        </w:rPr>
        <w:t>Nei programmi didattici Windows Enterprise Sideloading potrà essere attivato solo su dispositivi di proprietà di istituti</w:t>
      </w:r>
      <w:r w:rsidRPr="00A75DF9">
        <w:rPr>
          <w:rFonts w:cs="Tahoma"/>
          <w:szCs w:val="18"/>
        </w:rPr>
        <w:t>.</w:t>
      </w:r>
    </w:p>
    <w:p w:rsidR="005D4DAB" w:rsidRPr="00350D2E" w:rsidRDefault="005D4DAB" w:rsidP="00572128">
      <w:pPr>
        <w:ind w:left="900"/>
        <w:rPr>
          <w:rFonts w:cs="Tahoma"/>
          <w:sz w:val="14"/>
          <w:szCs w:val="14"/>
        </w:rPr>
      </w:pPr>
    </w:p>
    <w:p w:rsidR="005D4DAB" w:rsidRPr="00A75DF9" w:rsidRDefault="009B2474" w:rsidP="009B2474">
      <w:pPr>
        <w:spacing w:after="60"/>
        <w:ind w:left="720"/>
        <w:rPr>
          <w:rFonts w:cs="Tahoma"/>
        </w:rPr>
      </w:pPr>
      <w:r w:rsidRPr="00A75DF9">
        <w:rPr>
          <w:rFonts w:cs="Tahoma"/>
          <w:b/>
          <w:szCs w:val="18"/>
        </w:rPr>
        <w:t>Licenza per Enterprise Sideloading Disponibile per l</w:t>
      </w:r>
      <w:r w:rsidR="00F2643E">
        <w:rPr>
          <w:rFonts w:cs="Tahoma"/>
          <w:b/>
          <w:szCs w:val="18"/>
        </w:rPr>
        <w:t>’</w:t>
      </w:r>
      <w:r w:rsidRPr="00A75DF9">
        <w:rPr>
          <w:rFonts w:cs="Tahoma"/>
          <w:b/>
          <w:szCs w:val="18"/>
        </w:rPr>
        <w:t>Acquisto</w:t>
      </w:r>
    </w:p>
    <w:p w:rsidR="00697E59" w:rsidRPr="00A75DF9" w:rsidRDefault="005D4DAB" w:rsidP="00AF3B19">
      <w:pPr>
        <w:ind w:left="720"/>
        <w:rPr>
          <w:rFonts w:cs="Tahoma"/>
        </w:rPr>
      </w:pPr>
      <w:r w:rsidRPr="00A75DF9">
        <w:rPr>
          <w:rFonts w:cs="Tahoma"/>
          <w:szCs w:val="18"/>
        </w:rPr>
        <w:t>Le società potranno acquistare licenze per Enterprise Sideloading.</w:t>
      </w:r>
      <w:r w:rsidR="009D3B41" w:rsidRPr="00A75DF9">
        <w:rPr>
          <w:rFonts w:cs="Tahoma"/>
          <w:szCs w:val="18"/>
        </w:rPr>
        <w:t xml:space="preserve"> </w:t>
      </w:r>
      <w:r w:rsidRPr="00A75DF9">
        <w:rPr>
          <w:rFonts w:cs="Tahoma"/>
          <w:szCs w:val="18"/>
        </w:rPr>
        <w:t xml:space="preserve">Ciascuna di tali licenze per Enterprise Sideloading dovrà essere ceduta in modo definitivo a un dispositivo singolo. </w:t>
      </w:r>
      <w:r w:rsidRPr="00A75DF9">
        <w:rPr>
          <w:rFonts w:cs="Tahoma"/>
        </w:rPr>
        <w:t>Nei programmi didattici Windows Enterprise Sideloading potrà essere attivato solo su dispositivi di proprietà di istituti</w:t>
      </w:r>
      <w:r w:rsidRPr="00A75DF9">
        <w:rPr>
          <w:rFonts w:cs="Tahoma"/>
          <w:szCs w:val="18"/>
        </w:rPr>
        <w:t>.</w:t>
      </w:r>
      <w:bookmarkStart w:id="1117" w:name="_Toc336338285"/>
    </w:p>
    <w:p w:rsidR="00AF3B19" w:rsidRPr="00350D2E" w:rsidRDefault="00AF3B19" w:rsidP="00B50A5B">
      <w:pPr>
        <w:spacing w:after="60"/>
        <w:rPr>
          <w:rFonts w:cs="Tahoma"/>
          <w:sz w:val="14"/>
          <w:szCs w:val="14"/>
        </w:rPr>
      </w:pPr>
    </w:p>
    <w:p w:rsidR="005C55EB" w:rsidRPr="00A75DF9" w:rsidRDefault="005C55EB" w:rsidP="00B50A5B">
      <w:pPr>
        <w:spacing w:after="60"/>
        <w:ind w:left="720"/>
        <w:rPr>
          <w:rFonts w:cs="Tahoma"/>
        </w:rPr>
      </w:pPr>
      <w:r w:rsidRPr="00A75DF9">
        <w:rPr>
          <w:rFonts w:cs="Tahoma"/>
          <w:b/>
          <w:szCs w:val="18"/>
        </w:rPr>
        <w:t>Windows Embedded 8 Pro Sideloading</w:t>
      </w:r>
    </w:p>
    <w:p w:rsidR="005C55EB" w:rsidRPr="00A75DF9" w:rsidRDefault="005C55EB" w:rsidP="006714D8">
      <w:pPr>
        <w:ind w:left="720"/>
        <w:rPr>
          <w:rFonts w:cs="Tahoma"/>
        </w:rPr>
      </w:pPr>
      <w:r w:rsidRPr="00A75DF9">
        <w:rPr>
          <w:rFonts w:cs="Tahoma"/>
          <w:szCs w:val="18"/>
        </w:rPr>
        <w:t>Le società che acquistano licenze per Windows Embedded 8 Pro potranno acquistare licenze per Windows 8 Enterprise Sideloading per tali dispositivi. Nota: per i dispositivi con Windows Embedded 8 Industry Pro le società dovranno acquistare Windows Embedded 8 Industry Pro Sideloading.</w:t>
      </w:r>
    </w:p>
    <w:p w:rsidR="006714D8" w:rsidRPr="00350D2E" w:rsidRDefault="006714D8" w:rsidP="006714D8">
      <w:pPr>
        <w:ind w:left="720"/>
        <w:rPr>
          <w:rFonts w:cs="Tahoma"/>
          <w:sz w:val="16"/>
          <w:szCs w:val="16"/>
        </w:rPr>
      </w:pPr>
    </w:p>
    <w:p w:rsidR="00AF3B19" w:rsidRPr="00350D2E" w:rsidRDefault="00AF3B19" w:rsidP="00AF3B19">
      <w:pPr>
        <w:rPr>
          <w:rFonts w:cs="Tahoma"/>
          <w:sz w:val="16"/>
          <w:szCs w:val="16"/>
        </w:rPr>
      </w:pPr>
    </w:p>
    <w:p w:rsidR="00B73A46" w:rsidRPr="00A75DF9" w:rsidRDefault="00A560B6" w:rsidP="00B73A46">
      <w:pPr>
        <w:pStyle w:val="Heading3"/>
        <w:rPr>
          <w:rFonts w:ascii="Tahoma" w:hAnsi="Tahoma" w:cs="Tahoma"/>
        </w:rPr>
      </w:pPr>
      <w:bookmarkStart w:id="1118" w:name="_29_Windows®_8"/>
      <w:bookmarkStart w:id="1119" w:name="_32_Windows®_8"/>
      <w:bookmarkStart w:id="1120" w:name="_Toc336338286"/>
      <w:bookmarkStart w:id="1121" w:name="Sys_27Win7ProUpgradeWinIntune"/>
      <w:bookmarkStart w:id="1122" w:name="Sys_26WinVistaBizUpgrade"/>
      <w:bookmarkStart w:id="1123" w:name="Sys_23Windows7ProUpgrade"/>
      <w:bookmarkStart w:id="1124" w:name="Sys_27WindowsVistaProUpgrade"/>
      <w:bookmarkStart w:id="1125" w:name="_Toc368310282"/>
      <w:bookmarkEnd w:id="1093"/>
      <w:bookmarkEnd w:id="1117"/>
      <w:bookmarkEnd w:id="1118"/>
      <w:bookmarkEnd w:id="1119"/>
      <w:r w:rsidRPr="00A75DF9">
        <w:rPr>
          <w:rFonts w:ascii="Tahoma" w:hAnsi="Tahoma" w:cs="Tahoma"/>
          <w:caps/>
          <w:color w:val="F66400"/>
          <w:sz w:val="22"/>
          <w:vertAlign w:val="superscript"/>
        </w:rPr>
        <w:t>33</w:t>
      </w:r>
      <w:r w:rsidRPr="00A75DF9">
        <w:rPr>
          <w:rFonts w:ascii="Tahoma" w:hAnsi="Tahoma" w:cs="Tahoma"/>
          <w:color w:val="F66400"/>
          <w:sz w:val="22"/>
        </w:rPr>
        <w:t xml:space="preserve"> </w:t>
      </w:r>
      <w:r w:rsidRPr="00A75DF9">
        <w:rPr>
          <w:rFonts w:ascii="Tahoma" w:hAnsi="Tahoma" w:cs="Tahoma"/>
          <w:color w:val="FF6D09"/>
          <w:sz w:val="22"/>
        </w:rPr>
        <w:t>Aggiornamento per Windows</w:t>
      </w:r>
      <w:r w:rsidR="009D5D7B" w:rsidRPr="00A75DF9">
        <w:rPr>
          <w:rFonts w:ascii="Tahoma" w:hAnsi="Tahoma" w:cs="Tahoma"/>
          <w:color w:val="FF6D09"/>
          <w:sz w:val="22"/>
          <w:vertAlign w:val="superscript"/>
        </w:rPr>
        <w:t>®</w:t>
      </w:r>
      <w:r w:rsidRPr="00A75DF9">
        <w:rPr>
          <w:rFonts w:ascii="Tahoma" w:hAnsi="Tahoma" w:cs="Tahoma"/>
          <w:color w:val="FF6D09"/>
          <w:sz w:val="22"/>
        </w:rPr>
        <w:t xml:space="preserve"> 8 Pro e Windows Intune</w:t>
      </w:r>
      <w:bookmarkEnd w:id="1120"/>
      <w:r w:rsidRPr="00A75DF9">
        <w:rPr>
          <w:rFonts w:ascii="Tahoma" w:hAnsi="Tahoma" w:cs="Tahoma"/>
          <w:color w:val="FF6D09"/>
          <w:sz w:val="22"/>
        </w:rPr>
        <w:t xml:space="preserve"> (Per Dispositivo)</w:t>
      </w:r>
      <w:bookmarkEnd w:id="1125"/>
    </w:p>
    <w:bookmarkEnd w:id="1121"/>
    <w:p w:rsidR="003C65F4" w:rsidRPr="00350D2E" w:rsidRDefault="003C65F4" w:rsidP="003C65F4">
      <w:pPr>
        <w:rPr>
          <w:rFonts w:cs="Tahoma"/>
          <w:sz w:val="14"/>
          <w:szCs w:val="14"/>
        </w:rPr>
      </w:pPr>
    </w:p>
    <w:p w:rsidR="00B73A46" w:rsidRPr="00A75DF9" w:rsidRDefault="00B73A46" w:rsidP="00435C70">
      <w:pPr>
        <w:pStyle w:val="FootnoteBulletLevel1"/>
        <w:tabs>
          <w:tab w:val="clear" w:pos="900"/>
        </w:tabs>
        <w:adjustRightInd/>
        <w:spacing w:before="0" w:after="60"/>
        <w:ind w:left="720" w:firstLine="0"/>
        <w:textAlignment w:val="auto"/>
        <w:rPr>
          <w:rFonts w:ascii="Tahoma" w:hAnsi="Tahoma" w:cs="Tahoma"/>
        </w:rPr>
      </w:pPr>
      <w:r w:rsidRPr="00A75DF9">
        <w:rPr>
          <w:rFonts w:ascii="Tahoma" w:hAnsi="Tahoma" w:cs="Tahoma"/>
          <w:b/>
          <w:bCs/>
          <w:sz w:val="18"/>
          <w:szCs w:val="18"/>
        </w:rPr>
        <w:t>Aggiornamento per Windows 8 Pro</w:t>
      </w:r>
    </w:p>
    <w:p w:rsidR="00B73A46" w:rsidRPr="00A75DF9" w:rsidRDefault="00B73A46" w:rsidP="00435C70">
      <w:pPr>
        <w:ind w:left="720"/>
        <w:rPr>
          <w:rFonts w:cs="Tahoma"/>
        </w:rPr>
      </w:pPr>
      <w:r w:rsidRPr="00A75DF9">
        <w:rPr>
          <w:rFonts w:cs="Tahoma"/>
          <w:szCs w:val="18"/>
          <w:u w:val="single"/>
        </w:rPr>
        <w:t>Licenza di Aggiornamento per il Sistema Operativo (OS)</w:t>
      </w:r>
    </w:p>
    <w:p w:rsidR="00B73A46" w:rsidRPr="00350D2E" w:rsidRDefault="00B73A46" w:rsidP="00350D2E">
      <w:pPr>
        <w:pStyle w:val="FootnoteBulletLevel1"/>
        <w:tabs>
          <w:tab w:val="clear" w:pos="900"/>
        </w:tabs>
        <w:adjustRightInd/>
        <w:spacing w:before="0" w:after="0"/>
        <w:ind w:left="720" w:hanging="7"/>
        <w:textAlignment w:val="auto"/>
        <w:rPr>
          <w:rFonts w:ascii="Tahoma" w:hAnsi="Tahoma" w:cs="Tahoma"/>
          <w:sz w:val="18"/>
          <w:szCs w:val="18"/>
        </w:rPr>
      </w:pPr>
      <w:r w:rsidRPr="00350D2E">
        <w:rPr>
          <w:rFonts w:ascii="Tahoma" w:hAnsi="Tahoma" w:cs="Tahoma"/>
          <w:sz w:val="18"/>
          <w:szCs w:val="18"/>
        </w:rPr>
        <w:t>Le licenze per sistemi operativi desktop fornite sono unicamente licenze di aggiornamento. Le licenze complete per sistemi operativi desktop non sono disponibili. Pertanto, ogni desktop per cui sia stato acquistato e su cui sia installato l</w:t>
      </w:r>
      <w:r w:rsidR="00F2643E">
        <w:rPr>
          <w:rFonts w:ascii="Tahoma" w:hAnsi="Tahoma" w:cs="Tahoma"/>
          <w:sz w:val="18"/>
          <w:szCs w:val="18"/>
        </w:rPr>
        <w:t>’</w:t>
      </w:r>
      <w:r w:rsidRPr="00350D2E">
        <w:rPr>
          <w:rFonts w:ascii="Tahoma" w:hAnsi="Tahoma" w:cs="Tahoma"/>
          <w:sz w:val="18"/>
          <w:szCs w:val="18"/>
        </w:rPr>
        <w:t>Aggiornamento per Windows 8 Pro dovrà avere la licenza per eseguire uno</w:t>
      </w:r>
      <w:r w:rsidR="00350D2E" w:rsidRPr="00350D2E">
        <w:rPr>
          <w:rFonts w:ascii="Tahoma" w:hAnsi="Tahoma" w:cs="Tahoma"/>
          <w:sz w:val="18"/>
          <w:szCs w:val="18"/>
        </w:rPr>
        <w:t> </w:t>
      </w:r>
      <w:r w:rsidRPr="00350D2E">
        <w:rPr>
          <w:rFonts w:ascii="Tahoma" w:hAnsi="Tahoma" w:cs="Tahoma"/>
          <w:sz w:val="18"/>
          <w:szCs w:val="18"/>
        </w:rPr>
        <w:t>dei sistemi operativi qualificanti indicati sotto.</w:t>
      </w:r>
    </w:p>
    <w:p w:rsidR="00435C70" w:rsidRPr="00350D2E" w:rsidRDefault="00435C70" w:rsidP="00435C70">
      <w:pPr>
        <w:ind w:left="720"/>
        <w:rPr>
          <w:rFonts w:cs="Tahoma"/>
          <w:sz w:val="14"/>
          <w:szCs w:val="14"/>
        </w:rPr>
      </w:pPr>
    </w:p>
    <w:p w:rsidR="00B24C9D" w:rsidRPr="00A75DF9" w:rsidRDefault="00B73A46" w:rsidP="009C2B6B">
      <w:pPr>
        <w:ind w:left="720"/>
        <w:rPr>
          <w:rFonts w:cs="Tahoma"/>
        </w:rPr>
      </w:pPr>
      <w:r w:rsidRPr="00A75DF9">
        <w:rPr>
          <w:rFonts w:cs="Tahoma"/>
          <w:szCs w:val="18"/>
          <w:u w:val="single"/>
        </w:rPr>
        <w:t>Regole per i Sistemi Operativi Qualificanti</w:t>
      </w:r>
    </w:p>
    <w:p w:rsidR="00B73A46" w:rsidRPr="00A75DF9" w:rsidRDefault="00B73A46" w:rsidP="00346F4B">
      <w:pPr>
        <w:numPr>
          <w:ilvl w:val="1"/>
          <w:numId w:val="84"/>
        </w:numPr>
        <w:spacing w:after="60"/>
        <w:ind w:left="1440"/>
        <w:rPr>
          <w:rFonts w:cs="Tahoma"/>
        </w:rPr>
      </w:pPr>
      <w:r w:rsidRPr="00A75DF9">
        <w:rPr>
          <w:rFonts w:cs="Tahoma"/>
          <w:szCs w:val="18"/>
        </w:rPr>
        <w:t>L</w:t>
      </w:r>
      <w:r w:rsidR="00F2643E">
        <w:rPr>
          <w:rFonts w:cs="Tahoma"/>
          <w:szCs w:val="18"/>
        </w:rPr>
        <w:t>’</w:t>
      </w:r>
      <w:r w:rsidRPr="00A75DF9">
        <w:rPr>
          <w:rFonts w:cs="Tahoma"/>
          <w:szCs w:val="18"/>
        </w:rPr>
        <w:t>OS qualificante deve essere installato sul dispositivo a cui deve essere assegnata la licenza di Aggiornamento VL.</w:t>
      </w:r>
    </w:p>
    <w:p w:rsidR="00827F06" w:rsidRPr="00A75DF9" w:rsidRDefault="00827F06" w:rsidP="00346F4B">
      <w:pPr>
        <w:numPr>
          <w:ilvl w:val="2"/>
          <w:numId w:val="85"/>
        </w:numPr>
        <w:spacing w:after="60"/>
        <w:ind w:left="1980"/>
        <w:rPr>
          <w:rFonts w:cs="Tahoma"/>
        </w:rPr>
      </w:pPr>
      <w:r w:rsidRPr="00A75DF9">
        <w:rPr>
          <w:rFonts w:cs="Tahoma"/>
          <w:color w:val="000000"/>
        </w:rPr>
        <w:t>Apple Macintosh è solamente un Sistema Operativo qualificante qualora sia preinstallato dal produttore autorizzato prima della vendita iniziale del computer.</w:t>
      </w:r>
    </w:p>
    <w:p w:rsidR="00B73A46" w:rsidRPr="00A75DF9" w:rsidRDefault="00B73A46" w:rsidP="00346F4B">
      <w:pPr>
        <w:numPr>
          <w:ilvl w:val="1"/>
          <w:numId w:val="86"/>
        </w:numPr>
        <w:spacing w:after="60"/>
        <w:ind w:left="1440"/>
        <w:rPr>
          <w:rFonts w:cs="Tahoma"/>
        </w:rPr>
      </w:pPr>
      <w:r w:rsidRPr="00A75DF9">
        <w:rPr>
          <w:rFonts w:cs="Tahoma"/>
          <w:szCs w:val="18"/>
        </w:rPr>
        <w:t xml:space="preserve">Salvo quanto previsto di seguito, le società dovranno rimuovere il Sistema Operativo qualificante dal dispositivo per distribuire la licenza di Aggiornamento VL. </w:t>
      </w:r>
    </w:p>
    <w:p w:rsidR="00B31BB3" w:rsidRPr="00350D2E" w:rsidRDefault="00B73A46" w:rsidP="00346F4B">
      <w:pPr>
        <w:numPr>
          <w:ilvl w:val="1"/>
          <w:numId w:val="86"/>
        </w:numPr>
        <w:spacing w:after="60"/>
        <w:ind w:left="1440"/>
        <w:rPr>
          <w:rFonts w:cs="Tahoma"/>
        </w:rPr>
      </w:pPr>
      <w:r w:rsidRPr="00350D2E">
        <w:rPr>
          <w:rFonts w:cs="Tahoma"/>
          <w:szCs w:val="18"/>
        </w:rPr>
        <w:t>Le società che intendono installare o eseguire più di un sistema operativo con licenza alla volta (compreso il sistema operativo qualificante) potranno acquistare Software Assurance per la licenza di Aggiornamento VL.</w:t>
      </w:r>
    </w:p>
    <w:p w:rsidR="002512D3" w:rsidRPr="00350D2E" w:rsidRDefault="00B73A46" w:rsidP="00350D2E">
      <w:pPr>
        <w:numPr>
          <w:ilvl w:val="1"/>
          <w:numId w:val="86"/>
        </w:numPr>
        <w:spacing w:after="60"/>
        <w:ind w:left="1440"/>
        <w:rPr>
          <w:rFonts w:cs="Tahoma"/>
          <w:szCs w:val="18"/>
        </w:rPr>
      </w:pPr>
      <w:r w:rsidRPr="00350D2E">
        <w:rPr>
          <w:rFonts w:cs="Tahoma"/>
          <w:szCs w:val="18"/>
        </w:rPr>
        <w:t>Le società che dispongono di una copertura Software Assurance attiva non hanno l</w:t>
      </w:r>
      <w:r w:rsidR="00F2643E">
        <w:rPr>
          <w:rFonts w:cs="Tahoma"/>
          <w:szCs w:val="18"/>
        </w:rPr>
        <w:t>’</w:t>
      </w:r>
      <w:r w:rsidRPr="00350D2E">
        <w:rPr>
          <w:rFonts w:cs="Tahoma"/>
          <w:szCs w:val="18"/>
        </w:rPr>
        <w:t>obbligo di</w:t>
      </w:r>
      <w:r w:rsidR="00350D2E">
        <w:rPr>
          <w:rFonts w:cs="Tahoma"/>
          <w:szCs w:val="18"/>
        </w:rPr>
        <w:t> </w:t>
      </w:r>
      <w:r w:rsidRPr="00350D2E">
        <w:rPr>
          <w:rFonts w:cs="Tahoma"/>
          <w:szCs w:val="18"/>
        </w:rPr>
        <w:t>disinstallare l</w:t>
      </w:r>
      <w:r w:rsidR="00F2643E">
        <w:rPr>
          <w:rFonts w:cs="Tahoma"/>
          <w:szCs w:val="18"/>
        </w:rPr>
        <w:t>’</w:t>
      </w:r>
      <w:r w:rsidRPr="00350D2E">
        <w:rPr>
          <w:rFonts w:cs="Tahoma"/>
          <w:szCs w:val="18"/>
        </w:rPr>
        <w:t>OS qualificante e potranno installare ed eseguire contemporaneamente l</w:t>
      </w:r>
      <w:r w:rsidR="00F2643E">
        <w:rPr>
          <w:rFonts w:cs="Tahoma"/>
          <w:szCs w:val="18"/>
        </w:rPr>
        <w:t>’</w:t>
      </w:r>
      <w:r w:rsidRPr="00350D2E">
        <w:rPr>
          <w:rFonts w:cs="Tahoma"/>
          <w:szCs w:val="18"/>
        </w:rPr>
        <w:t xml:space="preserve">OS qualificante e Windows 8. </w:t>
      </w:r>
      <w:r w:rsidR="002512D3" w:rsidRPr="00350D2E">
        <w:rPr>
          <w:rFonts w:cs="Tahoma"/>
          <w:szCs w:val="18"/>
        </w:rPr>
        <w:br w:type="page"/>
      </w:r>
    </w:p>
    <w:p w:rsidR="00B73A46" w:rsidRPr="00350D2E" w:rsidRDefault="00B73A46" w:rsidP="002A6416">
      <w:pPr>
        <w:pStyle w:val="EndnoteText"/>
        <w:ind w:left="770"/>
        <w:rPr>
          <w:rFonts w:ascii="Tahoma" w:hAnsi="Tahoma" w:cs="Tahoma"/>
          <w:sz w:val="18"/>
          <w:szCs w:val="18"/>
        </w:rPr>
      </w:pPr>
      <w:r w:rsidRPr="00350D2E">
        <w:rPr>
          <w:rFonts w:ascii="Tahoma" w:hAnsi="Tahoma" w:cs="Tahoma"/>
          <w:sz w:val="18"/>
          <w:szCs w:val="18"/>
        </w:rPr>
        <w:lastRenderedPageBreak/>
        <w:t>I sistemi operativi qualificanti in base al tipo di Programma sono:</w:t>
      </w:r>
    </w:p>
    <w:p w:rsidR="00B73A46" w:rsidRPr="00350D2E" w:rsidRDefault="00B73A46" w:rsidP="00B73A46">
      <w:pPr>
        <w:pStyle w:val="EndnoteText"/>
        <w:rPr>
          <w:rFonts w:ascii="Tahoma" w:hAnsi="Tahoma" w:cs="Tahoma"/>
          <w:sz w:val="18"/>
          <w:szCs w:val="18"/>
        </w:rPr>
      </w:pPr>
    </w:p>
    <w:tbl>
      <w:tblPr>
        <w:tblW w:w="9055" w:type="dxa"/>
        <w:tblInd w:w="878" w:type="dxa"/>
        <w:tblCellMar>
          <w:left w:w="0" w:type="dxa"/>
          <w:right w:w="0" w:type="dxa"/>
        </w:tblCellMar>
        <w:tblLook w:val="04A0" w:firstRow="1" w:lastRow="0" w:firstColumn="1" w:lastColumn="0" w:noHBand="0" w:noVBand="1"/>
      </w:tblPr>
      <w:tblGrid>
        <w:gridCol w:w="3158"/>
        <w:gridCol w:w="1240"/>
        <w:gridCol w:w="1169"/>
        <w:gridCol w:w="1143"/>
        <w:gridCol w:w="1125"/>
        <w:gridCol w:w="1220"/>
      </w:tblGrid>
      <w:tr w:rsidR="00290BBF" w:rsidRPr="00A75DF9" w:rsidTr="00350D2E">
        <w:trPr>
          <w:trHeight w:val="900"/>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A75DF9" w:rsidRDefault="009B3FA2" w:rsidP="00026546">
            <w:pPr>
              <w:jc w:val="center"/>
              <w:rPr>
                <w:rFonts w:eastAsia="Calibri" w:cs="Tahoma"/>
                <w:b/>
                <w:bCs/>
                <w:szCs w:val="18"/>
              </w:rPr>
            </w:pPr>
            <w:r w:rsidRPr="00A75DF9">
              <w:rPr>
                <w:rFonts w:cs="Tahoma"/>
                <w:b/>
                <w:bCs/>
                <w:szCs w:val="18"/>
              </w:rPr>
              <w:t>Sistemi Operativi Qualificanti</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A75DF9" w:rsidRDefault="00B73A46" w:rsidP="009B3FA2">
            <w:pPr>
              <w:jc w:val="center"/>
              <w:rPr>
                <w:rFonts w:eastAsia="Calibri" w:cs="Tahoma"/>
                <w:b/>
                <w:bCs/>
                <w:sz w:val="16"/>
                <w:szCs w:val="18"/>
              </w:rPr>
            </w:pPr>
            <w:r w:rsidRPr="00A75DF9">
              <w:rPr>
                <w:rFonts w:cs="Tahoma"/>
                <w:b/>
                <w:bCs/>
                <w:sz w:val="16"/>
                <w:szCs w:val="18"/>
              </w:rPr>
              <w:t>Nuovo EA/</w:t>
            </w:r>
            <w:r w:rsidRPr="00A75DF9">
              <w:rPr>
                <w:rFonts w:cs="Tahoma"/>
                <w:b/>
                <w:bCs/>
                <w:sz w:val="16"/>
                <w:szCs w:val="18"/>
              </w:rPr>
              <w:br/>
              <w:t>OV-CW</w:t>
            </w:r>
          </w:p>
        </w:tc>
        <w:tc>
          <w:tcPr>
            <w:tcW w:w="1169"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A75DF9" w:rsidRDefault="00B73A46" w:rsidP="009B3FA2">
            <w:pPr>
              <w:jc w:val="center"/>
              <w:rPr>
                <w:rFonts w:eastAsia="Calibri" w:cs="Tahoma"/>
                <w:b/>
                <w:bCs/>
                <w:sz w:val="16"/>
                <w:szCs w:val="18"/>
              </w:rPr>
            </w:pPr>
            <w:r w:rsidRPr="00A75DF9">
              <w:rPr>
                <w:rFonts w:cs="Tahoma"/>
                <w:b/>
                <w:bCs/>
                <w:sz w:val="16"/>
                <w:szCs w:val="18"/>
              </w:rPr>
              <w:t>EA/OV-CW Esistente</w:t>
            </w:r>
          </w:p>
        </w:tc>
        <w:tc>
          <w:tcPr>
            <w:tcW w:w="1143"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A75DF9" w:rsidRDefault="00B73A46" w:rsidP="009B3FA2">
            <w:pPr>
              <w:jc w:val="center"/>
              <w:rPr>
                <w:rFonts w:eastAsia="Calibri" w:cs="Tahoma"/>
                <w:b/>
                <w:bCs/>
                <w:sz w:val="16"/>
                <w:szCs w:val="18"/>
              </w:rPr>
            </w:pPr>
            <w:r w:rsidRPr="00A75DF9">
              <w:rPr>
                <w:rFonts w:cs="Tahoma"/>
                <w:b/>
                <w:bCs/>
                <w:sz w:val="16"/>
                <w:szCs w:val="18"/>
              </w:rPr>
              <w:t>Select (Tutti tranne Academic)</w:t>
            </w:r>
          </w:p>
        </w:tc>
        <w:tc>
          <w:tcPr>
            <w:tcW w:w="1125"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A75DF9" w:rsidRDefault="00B73A46" w:rsidP="001B15A5">
            <w:pPr>
              <w:jc w:val="center"/>
              <w:rPr>
                <w:rFonts w:eastAsia="Calibri" w:cs="Tahoma"/>
                <w:b/>
                <w:bCs/>
                <w:sz w:val="16"/>
                <w:szCs w:val="18"/>
              </w:rPr>
            </w:pPr>
            <w:r w:rsidRPr="00A75DF9">
              <w:rPr>
                <w:rFonts w:cs="Tahoma"/>
                <w:b/>
                <w:bCs/>
                <w:sz w:val="16"/>
                <w:szCs w:val="18"/>
              </w:rPr>
              <w:t>Open (Tutti tranne Academic, Charity &amp; OV-CW)</w:t>
            </w:r>
          </w:p>
        </w:tc>
        <w:tc>
          <w:tcPr>
            <w:tcW w:w="122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A75DF9" w:rsidRDefault="00B73A46" w:rsidP="0050116B">
            <w:pPr>
              <w:jc w:val="center"/>
              <w:rPr>
                <w:rFonts w:eastAsia="Calibri" w:cs="Tahoma"/>
                <w:b/>
                <w:bCs/>
                <w:sz w:val="16"/>
                <w:szCs w:val="18"/>
              </w:rPr>
            </w:pPr>
            <w:r w:rsidRPr="00A75DF9">
              <w:rPr>
                <w:rFonts w:cs="Tahoma"/>
                <w:b/>
                <w:bCs/>
                <w:sz w:val="16"/>
                <w:szCs w:val="18"/>
              </w:rPr>
              <w:t>Academic &amp; Charity</w:t>
            </w:r>
          </w:p>
        </w:tc>
      </w:tr>
      <w:tr w:rsidR="008643A3" w:rsidRPr="00A75DF9" w:rsidTr="00350D2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A75DF9" w:rsidRDefault="008643A3" w:rsidP="00713A6C">
            <w:pPr>
              <w:rPr>
                <w:rFonts w:cs="Tahoma"/>
                <w:b/>
                <w:bCs/>
                <w:szCs w:val="18"/>
              </w:rPr>
            </w:pPr>
            <w:r w:rsidRPr="00A75DF9">
              <w:rPr>
                <w:rFonts w:cs="Tahoma"/>
                <w:b/>
                <w:bCs/>
                <w:szCs w:val="18"/>
              </w:rPr>
              <w:t>Windows 8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A75DF9" w:rsidRDefault="008643A3" w:rsidP="00713A6C">
            <w:pPr>
              <w:jc w:val="center"/>
              <w:rPr>
                <w:rFonts w:cs="Tahoma"/>
                <w:szCs w:val="18"/>
              </w:rPr>
            </w:pPr>
          </w:p>
        </w:tc>
        <w:tc>
          <w:tcPr>
            <w:tcW w:w="116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A75DF9" w:rsidRDefault="008643A3" w:rsidP="00713A6C">
            <w:pPr>
              <w:jc w:val="center"/>
              <w:rPr>
                <w:rFonts w:cs="Tahoma"/>
                <w:szCs w:val="18"/>
              </w:rPr>
            </w:pP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A75DF9" w:rsidRDefault="008643A3" w:rsidP="00713A6C">
            <w:pPr>
              <w:jc w:val="center"/>
              <w:rPr>
                <w:rFonts w:cs="Tahoma"/>
                <w:szCs w:val="18"/>
              </w:rPr>
            </w:pP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A75DF9" w:rsidRDefault="008643A3"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A75DF9" w:rsidRDefault="008643A3" w:rsidP="00713A6C">
            <w:pPr>
              <w:jc w:val="center"/>
              <w:rPr>
                <w:rFonts w:cs="Tahoma"/>
                <w:szCs w:val="18"/>
              </w:rPr>
            </w:pPr>
          </w:p>
        </w:tc>
      </w:tr>
      <w:tr w:rsidR="008643A3" w:rsidRPr="00A75DF9" w:rsidTr="00350D2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A75DF9" w:rsidRDefault="008643A3" w:rsidP="00EF7CDD">
            <w:pPr>
              <w:ind w:left="522"/>
              <w:rPr>
                <w:rFonts w:cs="Tahoma"/>
                <w:b/>
                <w:bCs/>
                <w:szCs w:val="18"/>
              </w:rPr>
            </w:pPr>
            <w:r w:rsidRPr="00A75DF9">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A75DF9" w:rsidRDefault="006C2A69" w:rsidP="00713A6C">
            <w:pPr>
              <w:jc w:val="center"/>
              <w:rPr>
                <w:rFonts w:cs="Tahoma"/>
                <w:szCs w:val="18"/>
              </w:rPr>
            </w:pPr>
            <w:r w:rsidRPr="00A75DF9">
              <w:rPr>
                <w:rFonts w:cs="Tahoma"/>
                <w:szCs w:val="18"/>
              </w:rPr>
              <w:t>x</w:t>
            </w:r>
          </w:p>
        </w:tc>
        <w:tc>
          <w:tcPr>
            <w:tcW w:w="116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A75DF9" w:rsidRDefault="006C2A69" w:rsidP="00713A6C">
            <w:pPr>
              <w:jc w:val="center"/>
              <w:rPr>
                <w:rFonts w:cs="Tahoma"/>
                <w:szCs w:val="18"/>
              </w:rPr>
            </w:pPr>
            <w:r w:rsidRPr="00A75DF9">
              <w:rPr>
                <w:rFonts w:cs="Tahoma"/>
                <w:szCs w:val="18"/>
              </w:rPr>
              <w:t>x</w:t>
            </w: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A75DF9" w:rsidRDefault="006C2A69" w:rsidP="00713A6C">
            <w:pPr>
              <w:jc w:val="center"/>
              <w:rPr>
                <w:rFonts w:cs="Tahoma"/>
                <w:szCs w:val="18"/>
              </w:rPr>
            </w:pPr>
            <w:r w:rsidRPr="00A75DF9">
              <w:rPr>
                <w:rFonts w:cs="Tahoma"/>
                <w:szCs w:val="18"/>
              </w:rPr>
              <w:t>x</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A75DF9" w:rsidRDefault="006C2A69" w:rsidP="00713A6C">
            <w:pPr>
              <w:jc w:val="center"/>
              <w:rPr>
                <w:rFonts w:cs="Tahoma"/>
                <w:szCs w:val="18"/>
              </w:rPr>
            </w:pPr>
            <w:r w:rsidRPr="00A75DF9">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A75DF9" w:rsidRDefault="008335B9" w:rsidP="00713A6C">
            <w:pPr>
              <w:jc w:val="center"/>
              <w:rPr>
                <w:rFonts w:cs="Tahoma"/>
                <w:szCs w:val="18"/>
              </w:rPr>
            </w:pPr>
            <w:r w:rsidRPr="00A75DF9">
              <w:rPr>
                <w:rFonts w:cs="Tahoma"/>
                <w:szCs w:val="18"/>
              </w:rPr>
              <w:t>x</w:t>
            </w:r>
          </w:p>
        </w:tc>
      </w:tr>
      <w:tr w:rsidR="008643A3" w:rsidRPr="00A75DF9" w:rsidTr="00350D2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A75DF9" w:rsidRDefault="006C2A69" w:rsidP="00394D71">
            <w:pPr>
              <w:ind w:left="522"/>
              <w:rPr>
                <w:rFonts w:cs="Tahoma"/>
                <w:b/>
                <w:bCs/>
                <w:szCs w:val="18"/>
              </w:rPr>
            </w:pPr>
            <w:r w:rsidRPr="00A75DF9">
              <w:rPr>
                <w:rFonts w:cs="Tahoma"/>
                <w:szCs w:val="18"/>
              </w:rPr>
              <w:t>Pro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A75DF9" w:rsidRDefault="006C2A69" w:rsidP="00713A6C">
            <w:pPr>
              <w:jc w:val="center"/>
              <w:rPr>
                <w:rFonts w:cs="Tahoma"/>
                <w:szCs w:val="18"/>
              </w:rPr>
            </w:pPr>
            <w:r w:rsidRPr="00A75DF9">
              <w:rPr>
                <w:rFonts w:cs="Tahoma"/>
                <w:szCs w:val="18"/>
              </w:rPr>
              <w:t>x</w:t>
            </w:r>
          </w:p>
        </w:tc>
        <w:tc>
          <w:tcPr>
            <w:tcW w:w="116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A75DF9" w:rsidRDefault="006C2A69" w:rsidP="00713A6C">
            <w:pPr>
              <w:jc w:val="center"/>
              <w:rPr>
                <w:rFonts w:cs="Tahoma"/>
                <w:szCs w:val="18"/>
              </w:rPr>
            </w:pPr>
            <w:r w:rsidRPr="00A75DF9">
              <w:rPr>
                <w:rFonts w:cs="Tahoma"/>
                <w:szCs w:val="18"/>
              </w:rPr>
              <w:t>x</w:t>
            </w: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A75DF9" w:rsidRDefault="006C2A69" w:rsidP="00713A6C">
            <w:pPr>
              <w:jc w:val="center"/>
              <w:rPr>
                <w:rFonts w:cs="Tahoma"/>
                <w:szCs w:val="18"/>
              </w:rPr>
            </w:pPr>
            <w:r w:rsidRPr="00A75DF9">
              <w:rPr>
                <w:rFonts w:cs="Tahoma"/>
                <w:szCs w:val="18"/>
              </w:rPr>
              <w:t>x</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A75DF9" w:rsidRDefault="006C2A69" w:rsidP="00713A6C">
            <w:pPr>
              <w:jc w:val="center"/>
              <w:rPr>
                <w:rFonts w:cs="Tahoma"/>
                <w:szCs w:val="18"/>
              </w:rPr>
            </w:pPr>
            <w:r w:rsidRPr="00A75DF9">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A75DF9" w:rsidRDefault="008335B9" w:rsidP="00713A6C">
            <w:pPr>
              <w:jc w:val="center"/>
              <w:rPr>
                <w:rFonts w:cs="Tahoma"/>
                <w:szCs w:val="18"/>
              </w:rPr>
            </w:pPr>
            <w:r w:rsidRPr="00A75DF9">
              <w:rPr>
                <w:rFonts w:cs="Tahoma"/>
                <w:szCs w:val="18"/>
              </w:rPr>
              <w:t>x</w:t>
            </w:r>
          </w:p>
        </w:tc>
      </w:tr>
      <w:tr w:rsidR="008643A3" w:rsidRPr="00A75DF9" w:rsidTr="00350D2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643A3" w:rsidRPr="00A75DF9" w:rsidRDefault="006C2A69" w:rsidP="00EF7CDD">
            <w:pPr>
              <w:ind w:left="522"/>
              <w:rPr>
                <w:rFonts w:cs="Tahoma"/>
                <w:b/>
                <w:bCs/>
                <w:szCs w:val="18"/>
              </w:rPr>
            </w:pPr>
            <w:r w:rsidRPr="00A75DF9">
              <w:rPr>
                <w:rFonts w:cs="Tahoma"/>
                <w:szCs w:val="18"/>
              </w:rPr>
              <w:t>Windows 8</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A75DF9" w:rsidRDefault="008643A3" w:rsidP="00713A6C">
            <w:pPr>
              <w:jc w:val="center"/>
              <w:rPr>
                <w:rFonts w:cs="Tahoma"/>
                <w:szCs w:val="18"/>
              </w:rPr>
            </w:pPr>
          </w:p>
        </w:tc>
        <w:tc>
          <w:tcPr>
            <w:tcW w:w="116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A75DF9" w:rsidRDefault="008643A3" w:rsidP="00713A6C">
            <w:pPr>
              <w:jc w:val="center"/>
              <w:rPr>
                <w:rFonts w:cs="Tahoma"/>
                <w:szCs w:val="18"/>
              </w:rPr>
            </w:pP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A75DF9" w:rsidRDefault="008643A3" w:rsidP="00713A6C">
            <w:pPr>
              <w:jc w:val="center"/>
              <w:rPr>
                <w:rFonts w:cs="Tahoma"/>
                <w:szCs w:val="18"/>
              </w:rPr>
            </w:pP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A75DF9" w:rsidRDefault="008643A3"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643A3" w:rsidRPr="00A75DF9" w:rsidRDefault="006C2A69" w:rsidP="00713A6C">
            <w:pPr>
              <w:jc w:val="center"/>
              <w:rPr>
                <w:rFonts w:cs="Tahoma"/>
                <w:szCs w:val="18"/>
              </w:rPr>
            </w:pPr>
            <w:r w:rsidRPr="00A75DF9">
              <w:rPr>
                <w:rFonts w:cs="Tahoma"/>
                <w:szCs w:val="18"/>
              </w:rPr>
              <w:t>x</w:t>
            </w:r>
          </w:p>
        </w:tc>
      </w:tr>
      <w:tr w:rsidR="00EF7CDD" w:rsidRPr="00A75DF9" w:rsidTr="00350D2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EF7CDD" w:rsidRPr="00A75DF9" w:rsidRDefault="00EF7CDD" w:rsidP="00EF7CDD">
            <w:pPr>
              <w:ind w:left="522"/>
              <w:rPr>
                <w:rFonts w:cs="Tahoma"/>
                <w:szCs w:val="18"/>
              </w:rPr>
            </w:pPr>
            <w:r w:rsidRPr="00A75DF9">
              <w:rPr>
                <w:rFonts w:cs="Tahoma"/>
                <w:szCs w:val="18"/>
              </w:rPr>
              <w:t>Windows 8 Single Language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A75DF9" w:rsidRDefault="00EF7CDD" w:rsidP="00713A6C">
            <w:pPr>
              <w:jc w:val="center"/>
              <w:rPr>
                <w:rFonts w:cs="Tahoma"/>
                <w:szCs w:val="18"/>
              </w:rPr>
            </w:pPr>
          </w:p>
        </w:tc>
        <w:tc>
          <w:tcPr>
            <w:tcW w:w="116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A75DF9" w:rsidRDefault="00EF7CDD" w:rsidP="00713A6C">
            <w:pPr>
              <w:jc w:val="center"/>
              <w:rPr>
                <w:rFonts w:cs="Tahoma"/>
                <w:szCs w:val="18"/>
              </w:rPr>
            </w:pP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A75DF9" w:rsidRDefault="00EF7CDD" w:rsidP="00713A6C">
            <w:pPr>
              <w:jc w:val="center"/>
              <w:rPr>
                <w:rFonts w:cs="Tahoma"/>
                <w:szCs w:val="18"/>
              </w:rPr>
            </w:pP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A75DF9" w:rsidRDefault="00EF7CDD" w:rsidP="00713A6C">
            <w:pPr>
              <w:jc w:val="center"/>
              <w:rPr>
                <w:rFonts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EF7CDD" w:rsidRPr="00A75DF9" w:rsidRDefault="00EF7CDD" w:rsidP="00713A6C">
            <w:pPr>
              <w:jc w:val="center"/>
              <w:rPr>
                <w:rFonts w:cs="Tahoma"/>
                <w:szCs w:val="18"/>
              </w:rPr>
            </w:pPr>
            <w:r w:rsidRPr="00A75DF9">
              <w:rPr>
                <w:rFonts w:cs="Tahoma"/>
                <w:szCs w:val="18"/>
              </w:rPr>
              <w:t>x</w:t>
            </w:r>
          </w:p>
        </w:tc>
      </w:tr>
      <w:tr w:rsidR="00290BBF" w:rsidRPr="00A75DF9" w:rsidTr="00350D2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rPr>
                <w:rFonts w:eastAsia="Calibri" w:cs="Tahoma"/>
                <w:b/>
                <w:bCs/>
                <w:szCs w:val="18"/>
              </w:rPr>
            </w:pPr>
            <w:r w:rsidRPr="00A75DF9">
              <w:rPr>
                <w:rFonts w:cs="Tahoma"/>
                <w:b/>
                <w:bCs/>
                <w:szCs w:val="18"/>
              </w:rPr>
              <w:t>Windows 7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 </w:t>
            </w:r>
          </w:p>
        </w:tc>
        <w:tc>
          <w:tcPr>
            <w:tcW w:w="116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 </w:t>
            </w: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 </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 </w:t>
            </w:r>
          </w:p>
        </w:tc>
      </w:tr>
      <w:tr w:rsidR="00290BBF" w:rsidRPr="00A75DF9" w:rsidTr="00350D2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ind w:firstLine="540"/>
              <w:rPr>
                <w:rFonts w:eastAsia="Calibri" w:cs="Tahoma"/>
                <w:szCs w:val="18"/>
              </w:rPr>
            </w:pPr>
            <w:r w:rsidRPr="00A75DF9">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x</w:t>
            </w:r>
          </w:p>
        </w:tc>
        <w:tc>
          <w:tcPr>
            <w:tcW w:w="116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x</w:t>
            </w: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x</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x</w:t>
            </w:r>
          </w:p>
        </w:tc>
      </w:tr>
      <w:tr w:rsidR="00290BBF" w:rsidRPr="00A75DF9" w:rsidTr="00350D2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D47417">
            <w:pPr>
              <w:ind w:left="522" w:firstLine="18"/>
              <w:rPr>
                <w:rFonts w:eastAsia="Calibri" w:cs="Tahoma"/>
                <w:szCs w:val="18"/>
              </w:rPr>
            </w:pPr>
            <w:r w:rsidRPr="00A75DF9">
              <w:rPr>
                <w:rFonts w:cs="Tahoma"/>
                <w:szCs w:val="18"/>
              </w:rPr>
              <w:t>Professional (N, K, KN, diskless)</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x</w:t>
            </w:r>
          </w:p>
        </w:tc>
        <w:tc>
          <w:tcPr>
            <w:tcW w:w="116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x</w:t>
            </w: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x</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x</w:t>
            </w:r>
          </w:p>
        </w:tc>
      </w:tr>
      <w:tr w:rsidR="00290BBF" w:rsidRPr="00A75DF9" w:rsidTr="00350D2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ind w:firstLine="540"/>
              <w:rPr>
                <w:rFonts w:eastAsia="Calibri" w:cs="Tahoma"/>
                <w:szCs w:val="18"/>
              </w:rPr>
            </w:pPr>
            <w:r w:rsidRPr="00A75DF9">
              <w:rPr>
                <w:rFonts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x</w:t>
            </w:r>
          </w:p>
        </w:tc>
        <w:tc>
          <w:tcPr>
            <w:tcW w:w="116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x</w:t>
            </w: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x</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x</w:t>
            </w:r>
          </w:p>
        </w:tc>
      </w:tr>
      <w:tr w:rsidR="00290BBF" w:rsidRPr="00A75DF9" w:rsidTr="00350D2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ind w:firstLine="540"/>
              <w:rPr>
                <w:rFonts w:eastAsia="Calibri" w:cs="Tahoma"/>
                <w:szCs w:val="18"/>
              </w:rPr>
            </w:pPr>
            <w:r w:rsidRPr="00A75DF9">
              <w:rPr>
                <w:rFonts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 </w:t>
            </w:r>
          </w:p>
        </w:tc>
        <w:tc>
          <w:tcPr>
            <w:tcW w:w="116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 </w:t>
            </w: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 </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x</w:t>
            </w:r>
          </w:p>
        </w:tc>
      </w:tr>
      <w:tr w:rsidR="00290BBF" w:rsidRPr="00A75DF9" w:rsidTr="00350D2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ind w:firstLine="540"/>
              <w:rPr>
                <w:rFonts w:eastAsia="Calibri" w:cs="Tahoma"/>
                <w:szCs w:val="18"/>
              </w:rPr>
            </w:pPr>
            <w:r w:rsidRPr="00A75DF9">
              <w:rPr>
                <w:rFonts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 </w:t>
            </w:r>
          </w:p>
        </w:tc>
        <w:tc>
          <w:tcPr>
            <w:tcW w:w="116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 </w:t>
            </w: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 </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x</w:t>
            </w:r>
          </w:p>
        </w:tc>
      </w:tr>
      <w:tr w:rsidR="00290BBF" w:rsidRPr="00A75DF9" w:rsidTr="00350D2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EF7CDD">
            <w:pPr>
              <w:ind w:left="522"/>
              <w:rPr>
                <w:rFonts w:eastAsia="Calibri" w:cs="Tahoma"/>
                <w:szCs w:val="18"/>
              </w:rPr>
            </w:pPr>
            <w:r w:rsidRPr="00A75DF9">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A75DF9" w:rsidRDefault="00B73A46" w:rsidP="00713A6C">
            <w:pPr>
              <w:jc w:val="center"/>
              <w:rPr>
                <w:rFonts w:eastAsia="Calibri" w:cs="Tahoma"/>
                <w:szCs w:val="18"/>
              </w:rPr>
            </w:pPr>
          </w:p>
        </w:tc>
        <w:tc>
          <w:tcPr>
            <w:tcW w:w="116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A75DF9" w:rsidRDefault="00B73A46" w:rsidP="00713A6C">
            <w:pPr>
              <w:jc w:val="center"/>
              <w:rPr>
                <w:rFonts w:eastAsia="Calibri" w:cs="Tahoma"/>
                <w:szCs w:val="18"/>
              </w:rPr>
            </w:pP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A75DF9" w:rsidRDefault="00B73A46" w:rsidP="00713A6C">
            <w:pPr>
              <w:jc w:val="center"/>
              <w:rPr>
                <w:rFonts w:eastAsia="Calibri" w:cs="Tahoma"/>
                <w:szCs w:val="18"/>
              </w:rPr>
            </w:pP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A75DF9" w:rsidRDefault="00B73A46" w:rsidP="00713A6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x</w:t>
            </w:r>
          </w:p>
        </w:tc>
      </w:tr>
      <w:tr w:rsidR="00290BBF" w:rsidRPr="00A75DF9" w:rsidTr="00350D2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rPr>
                <w:rFonts w:eastAsia="Calibri" w:cs="Tahoma"/>
                <w:b/>
                <w:bCs/>
                <w:szCs w:val="18"/>
              </w:rPr>
            </w:pPr>
            <w:r w:rsidRPr="00A75DF9">
              <w:rPr>
                <w:rFonts w:cs="Tahoma"/>
                <w:b/>
                <w:bCs/>
                <w:szCs w:val="18"/>
              </w:rPr>
              <w:t>Windows Vista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 </w:t>
            </w:r>
          </w:p>
        </w:tc>
        <w:tc>
          <w:tcPr>
            <w:tcW w:w="116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 </w:t>
            </w: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 </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 </w:t>
            </w:r>
          </w:p>
        </w:tc>
      </w:tr>
      <w:tr w:rsidR="00290BBF" w:rsidRPr="00A75DF9" w:rsidTr="00350D2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ind w:firstLine="540"/>
              <w:rPr>
                <w:rFonts w:eastAsia="Calibri" w:cs="Tahoma"/>
                <w:szCs w:val="18"/>
              </w:rPr>
            </w:pPr>
            <w:r w:rsidRPr="00A75DF9">
              <w:rPr>
                <w:rFonts w:cs="Tahoma"/>
                <w:szCs w:val="18"/>
              </w:rPr>
              <w:t>Enterprise (N,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x</w:t>
            </w:r>
          </w:p>
        </w:tc>
        <w:tc>
          <w:tcPr>
            <w:tcW w:w="116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A75DF9" w:rsidRDefault="00B73A46" w:rsidP="00713A6C">
            <w:pPr>
              <w:jc w:val="center"/>
              <w:rPr>
                <w:rFonts w:eastAsia="Calibri" w:cs="Tahoma"/>
                <w:szCs w:val="18"/>
              </w:rPr>
            </w:pP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x</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x</w:t>
            </w:r>
          </w:p>
        </w:tc>
      </w:tr>
      <w:tr w:rsidR="00290BBF" w:rsidRPr="00A75DF9" w:rsidTr="00350D2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ind w:firstLine="540"/>
              <w:rPr>
                <w:rFonts w:eastAsia="Calibri" w:cs="Tahoma"/>
                <w:szCs w:val="18"/>
              </w:rPr>
            </w:pPr>
            <w:r w:rsidRPr="00A75DF9">
              <w:rPr>
                <w:rFonts w:cs="Tahoma"/>
                <w:szCs w:val="18"/>
              </w:rPr>
              <w:t>Business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x</w:t>
            </w:r>
          </w:p>
        </w:tc>
        <w:tc>
          <w:tcPr>
            <w:tcW w:w="116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A75DF9" w:rsidRDefault="00B73A46" w:rsidP="00713A6C">
            <w:pPr>
              <w:jc w:val="center"/>
              <w:rPr>
                <w:rFonts w:eastAsia="Calibri" w:cs="Tahoma"/>
                <w:szCs w:val="18"/>
              </w:rPr>
            </w:pP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x</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x</w:t>
            </w:r>
          </w:p>
        </w:tc>
      </w:tr>
      <w:tr w:rsidR="00290BBF" w:rsidRPr="00A75DF9" w:rsidTr="00350D2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ind w:firstLine="540"/>
              <w:rPr>
                <w:rFonts w:eastAsia="Calibri" w:cs="Tahoma"/>
                <w:szCs w:val="18"/>
              </w:rPr>
            </w:pPr>
            <w:r w:rsidRPr="00A75DF9">
              <w:rPr>
                <w:rFonts w:cs="Tahoma"/>
                <w:szCs w:val="18"/>
              </w:rPr>
              <w:t>Ultimate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x</w:t>
            </w:r>
          </w:p>
        </w:tc>
        <w:tc>
          <w:tcPr>
            <w:tcW w:w="116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A75DF9" w:rsidRDefault="00B73A46" w:rsidP="00713A6C">
            <w:pPr>
              <w:jc w:val="center"/>
              <w:rPr>
                <w:rFonts w:eastAsia="Calibri" w:cs="Tahoma"/>
                <w:szCs w:val="18"/>
              </w:rPr>
            </w:pP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x</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x</w:t>
            </w:r>
          </w:p>
        </w:tc>
      </w:tr>
      <w:tr w:rsidR="00290BBF" w:rsidRPr="00A75DF9" w:rsidTr="00350D2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ind w:firstLine="540"/>
              <w:rPr>
                <w:rFonts w:eastAsia="Calibri" w:cs="Tahoma"/>
                <w:szCs w:val="18"/>
              </w:rPr>
            </w:pPr>
            <w:r w:rsidRPr="00A75DF9">
              <w:rPr>
                <w:rFonts w:cs="Tahoma"/>
                <w:szCs w:val="18"/>
              </w:rPr>
              <w:t>Home Premium</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A75DF9" w:rsidRDefault="00B73A46" w:rsidP="00713A6C">
            <w:pPr>
              <w:jc w:val="center"/>
              <w:rPr>
                <w:rFonts w:eastAsia="Calibri" w:cs="Tahoma"/>
                <w:szCs w:val="18"/>
              </w:rPr>
            </w:pPr>
          </w:p>
        </w:tc>
        <w:tc>
          <w:tcPr>
            <w:tcW w:w="116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A75DF9" w:rsidRDefault="00B73A46" w:rsidP="00713A6C">
            <w:pPr>
              <w:jc w:val="center"/>
              <w:rPr>
                <w:rFonts w:eastAsia="Calibri" w:cs="Tahoma"/>
                <w:szCs w:val="18"/>
              </w:rPr>
            </w:pP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A75DF9" w:rsidRDefault="00B73A46" w:rsidP="00713A6C">
            <w:pPr>
              <w:jc w:val="center"/>
              <w:rPr>
                <w:rFonts w:eastAsia="Calibri" w:cs="Tahoma"/>
                <w:szCs w:val="18"/>
              </w:rPr>
            </w:pP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A75DF9" w:rsidRDefault="00B73A46" w:rsidP="00713A6C">
            <w:pPr>
              <w:jc w:val="center"/>
              <w:rPr>
                <w:rFonts w:eastAsia="Calibri" w:cs="Tahoma"/>
                <w:szCs w:val="18"/>
              </w:rPr>
            </w:pP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x</w:t>
            </w:r>
          </w:p>
        </w:tc>
      </w:tr>
      <w:tr w:rsidR="00290BBF" w:rsidRPr="00A75DF9" w:rsidTr="00350D2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ind w:firstLine="540"/>
              <w:rPr>
                <w:rFonts w:eastAsia="Calibri" w:cs="Tahoma"/>
                <w:szCs w:val="18"/>
              </w:rPr>
            </w:pPr>
            <w:r w:rsidRPr="00A75DF9">
              <w:rPr>
                <w:rFonts w:cs="Tahoma"/>
                <w:szCs w:val="18"/>
              </w:rPr>
              <w:t>Home Basic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 </w:t>
            </w:r>
          </w:p>
        </w:tc>
        <w:tc>
          <w:tcPr>
            <w:tcW w:w="116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 </w:t>
            </w: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 </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x</w:t>
            </w:r>
          </w:p>
        </w:tc>
      </w:tr>
      <w:tr w:rsidR="00290BBF" w:rsidRPr="00A75DF9" w:rsidTr="00350D2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4C3222">
            <w:pPr>
              <w:ind w:left="522"/>
              <w:rPr>
                <w:rFonts w:eastAsia="Calibri" w:cs="Tahoma"/>
                <w:bCs/>
                <w:szCs w:val="18"/>
              </w:rPr>
            </w:pPr>
            <w:r w:rsidRPr="00A75DF9">
              <w:rPr>
                <w:rFonts w:cs="Tahoma"/>
                <w:szCs w:val="18"/>
              </w:rPr>
              <w:t>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 </w:t>
            </w:r>
          </w:p>
        </w:tc>
        <w:tc>
          <w:tcPr>
            <w:tcW w:w="116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 </w:t>
            </w: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 </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x</w:t>
            </w:r>
          </w:p>
        </w:tc>
      </w:tr>
      <w:tr w:rsidR="00290BBF" w:rsidRPr="00A75DF9" w:rsidTr="00350D2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rPr>
                <w:rFonts w:eastAsia="Calibri" w:cs="Tahoma"/>
                <w:b/>
                <w:szCs w:val="18"/>
              </w:rPr>
            </w:pPr>
            <w:r w:rsidRPr="00A75DF9">
              <w:rPr>
                <w:rFonts w:cs="Tahoma"/>
                <w:b/>
                <w:bCs/>
                <w:szCs w:val="18"/>
              </w:rPr>
              <w:t>Windows XP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 </w:t>
            </w:r>
          </w:p>
        </w:tc>
        <w:tc>
          <w:tcPr>
            <w:tcW w:w="116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 </w:t>
            </w: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 </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 </w:t>
            </w:r>
          </w:p>
        </w:tc>
      </w:tr>
      <w:tr w:rsidR="00290BBF" w:rsidRPr="00A75DF9" w:rsidTr="00350D2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ind w:left="564"/>
              <w:rPr>
                <w:rFonts w:eastAsia="Calibri" w:cs="Tahoma"/>
                <w:szCs w:val="18"/>
                <w:lang w:val="pt-BR"/>
              </w:rPr>
            </w:pPr>
            <w:r w:rsidRPr="00A75DF9">
              <w:rPr>
                <w:rFonts w:cs="Tahoma"/>
                <w:szCs w:val="18"/>
              </w:rPr>
              <w:t>Professional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x</w:t>
            </w:r>
          </w:p>
        </w:tc>
        <w:tc>
          <w:tcPr>
            <w:tcW w:w="116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A75DF9" w:rsidRDefault="00B73A46" w:rsidP="00713A6C">
            <w:pPr>
              <w:jc w:val="center"/>
              <w:rPr>
                <w:rFonts w:eastAsia="Calibri" w:cs="Tahoma"/>
                <w:szCs w:val="18"/>
              </w:rPr>
            </w:pP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x</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x</w:t>
            </w:r>
          </w:p>
        </w:tc>
      </w:tr>
      <w:tr w:rsidR="00290BBF" w:rsidRPr="00A75DF9" w:rsidTr="00350D2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ind w:left="564"/>
              <w:rPr>
                <w:rFonts w:eastAsia="Calibri" w:cs="Tahoma"/>
                <w:szCs w:val="18"/>
              </w:rPr>
            </w:pPr>
            <w:r w:rsidRPr="00A75DF9">
              <w:rPr>
                <w:rFonts w:cs="Tahoma"/>
                <w:szCs w:val="18"/>
              </w:rPr>
              <w:t>Tablet Edition (N, K, KN, Blade)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x</w:t>
            </w:r>
          </w:p>
        </w:tc>
        <w:tc>
          <w:tcPr>
            <w:tcW w:w="116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A75DF9" w:rsidRDefault="00B73A46" w:rsidP="00713A6C">
            <w:pPr>
              <w:jc w:val="center"/>
              <w:rPr>
                <w:rFonts w:eastAsia="Calibri" w:cs="Tahoma"/>
                <w:szCs w:val="18"/>
              </w:rPr>
            </w:pP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x</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x</w:t>
            </w:r>
          </w:p>
        </w:tc>
      </w:tr>
      <w:tr w:rsidR="00290BBF" w:rsidRPr="00A75DF9" w:rsidTr="00350D2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ind w:left="564"/>
              <w:rPr>
                <w:rFonts w:eastAsia="Calibri" w:cs="Tahoma"/>
                <w:szCs w:val="18"/>
              </w:rPr>
            </w:pPr>
            <w:r w:rsidRPr="00A75DF9">
              <w:rPr>
                <w:rFonts w:cs="Tahoma"/>
                <w:szCs w:val="18"/>
              </w:rPr>
              <w:t>XP Pro 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x</w:t>
            </w:r>
          </w:p>
        </w:tc>
        <w:tc>
          <w:tcPr>
            <w:tcW w:w="116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A75DF9" w:rsidRDefault="00B73A46" w:rsidP="00713A6C">
            <w:pPr>
              <w:jc w:val="center"/>
              <w:rPr>
                <w:rFonts w:eastAsia="Calibri" w:cs="Tahoma"/>
                <w:szCs w:val="18"/>
              </w:rPr>
            </w:pP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x</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x</w:t>
            </w:r>
          </w:p>
        </w:tc>
      </w:tr>
      <w:tr w:rsidR="00290BBF" w:rsidRPr="00A75DF9" w:rsidTr="00350D2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ind w:left="564"/>
              <w:rPr>
                <w:rFonts w:eastAsia="Calibri" w:cs="Tahoma"/>
                <w:szCs w:val="18"/>
              </w:rPr>
            </w:pPr>
            <w:r w:rsidRPr="00A75DF9">
              <w:rPr>
                <w:rFonts w:cs="Tahoma"/>
                <w:szCs w:val="18"/>
              </w:rPr>
              <w:t>XP Pro Blade PC</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x</w:t>
            </w:r>
          </w:p>
        </w:tc>
        <w:tc>
          <w:tcPr>
            <w:tcW w:w="1169"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73A46" w:rsidRPr="00A75DF9" w:rsidRDefault="00B73A46" w:rsidP="00713A6C">
            <w:pPr>
              <w:jc w:val="center"/>
              <w:rPr>
                <w:rFonts w:eastAsia="Calibri" w:cs="Tahoma"/>
                <w:szCs w:val="18"/>
              </w:rPr>
            </w:pP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x</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x</w:t>
            </w:r>
          </w:p>
        </w:tc>
      </w:tr>
      <w:tr w:rsidR="00290BBF" w:rsidRPr="00A75DF9" w:rsidTr="00350D2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ind w:left="564"/>
              <w:rPr>
                <w:rFonts w:eastAsia="Calibri" w:cs="Tahoma"/>
                <w:szCs w:val="18"/>
              </w:rPr>
            </w:pPr>
            <w:r w:rsidRPr="00A75DF9">
              <w:rPr>
                <w:rFonts w:cs="Tahoma"/>
                <w:szCs w:val="18"/>
              </w:rPr>
              <w:t>Home e Starter Edition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 </w:t>
            </w:r>
          </w:p>
        </w:tc>
        <w:tc>
          <w:tcPr>
            <w:tcW w:w="116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rPr>
                <w:rFonts w:eastAsia="Times New Roman" w:cs="Tahoma"/>
                <w:szCs w:val="18"/>
              </w:rPr>
            </w:pP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 </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 </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x</w:t>
            </w:r>
          </w:p>
        </w:tc>
      </w:tr>
      <w:tr w:rsidR="00290BBF" w:rsidRPr="00A75DF9" w:rsidTr="00350D2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A75DF9" w:rsidRDefault="00B73A46" w:rsidP="00713A6C">
            <w:pPr>
              <w:rPr>
                <w:rFonts w:eastAsia="Calibri" w:cs="Tahoma"/>
                <w:b/>
                <w:szCs w:val="18"/>
              </w:rPr>
            </w:pPr>
            <w:r w:rsidRPr="00A75DF9">
              <w:rPr>
                <w:rFonts w:cs="Tahoma"/>
                <w:b/>
                <w:bCs/>
                <w:szCs w:val="18"/>
              </w:rPr>
              <w:t>Windows 2000 Professional</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x</w:t>
            </w:r>
          </w:p>
        </w:tc>
        <w:tc>
          <w:tcPr>
            <w:tcW w:w="116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rPr>
                <w:rFonts w:eastAsia="Times New Roman" w:cs="Tahoma"/>
                <w:szCs w:val="18"/>
              </w:rPr>
            </w:pP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x</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x</w:t>
            </w:r>
          </w:p>
        </w:tc>
      </w:tr>
      <w:tr w:rsidR="00290BBF" w:rsidRPr="00A75DF9" w:rsidTr="00350D2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A75DF9" w:rsidRDefault="00B73A46" w:rsidP="00713A6C">
            <w:pPr>
              <w:rPr>
                <w:rFonts w:eastAsia="Calibri" w:cs="Tahoma"/>
                <w:b/>
                <w:bCs/>
                <w:szCs w:val="18"/>
              </w:rPr>
            </w:pPr>
            <w:r w:rsidRPr="00A75DF9">
              <w:rPr>
                <w:rFonts w:cs="Tahoma"/>
                <w:b/>
                <w:bCs/>
                <w:szCs w:val="18"/>
              </w:rPr>
              <w:t>Windows NT Workstation 4.0</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x</w:t>
            </w:r>
          </w:p>
        </w:tc>
        <w:tc>
          <w:tcPr>
            <w:tcW w:w="116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rPr>
                <w:rFonts w:eastAsia="Times New Roman" w:cs="Tahoma"/>
                <w:szCs w:val="18"/>
              </w:rPr>
            </w:pP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x</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x</w:t>
            </w:r>
          </w:p>
        </w:tc>
      </w:tr>
      <w:tr w:rsidR="00290BBF" w:rsidRPr="00A75DF9" w:rsidTr="00350D2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A75DF9" w:rsidRDefault="00B73A46" w:rsidP="00350D2E">
            <w:pPr>
              <w:rPr>
                <w:rFonts w:eastAsia="Calibri" w:cs="Tahoma"/>
                <w:b/>
                <w:bCs/>
                <w:szCs w:val="18"/>
              </w:rPr>
            </w:pPr>
            <w:r w:rsidRPr="00A75DF9">
              <w:rPr>
                <w:rFonts w:cs="Tahoma"/>
                <w:b/>
                <w:bCs/>
                <w:szCs w:val="18"/>
              </w:rPr>
              <w:t>Windows 98 (inclusa la seconda</w:t>
            </w:r>
            <w:r w:rsidR="00350D2E">
              <w:rPr>
                <w:rFonts w:cs="Tahoma"/>
                <w:b/>
                <w:bCs/>
                <w:szCs w:val="18"/>
              </w:rPr>
              <w:t> </w:t>
            </w:r>
            <w:r w:rsidRPr="00A75DF9">
              <w:rPr>
                <w:rFonts w:cs="Tahoma"/>
                <w:b/>
                <w:bCs/>
                <w:szCs w:val="18"/>
              </w:rPr>
              <w:t>versione)</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x</w:t>
            </w:r>
          </w:p>
        </w:tc>
        <w:tc>
          <w:tcPr>
            <w:tcW w:w="116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rPr>
                <w:rFonts w:eastAsia="Times New Roman" w:cs="Tahoma"/>
                <w:szCs w:val="18"/>
              </w:rPr>
            </w:pP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x</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x</w:t>
            </w:r>
          </w:p>
        </w:tc>
      </w:tr>
      <w:tr w:rsidR="00290BBF" w:rsidRPr="00A75DF9" w:rsidTr="00350D2E">
        <w:trPr>
          <w:trHeight w:val="255"/>
        </w:trPr>
        <w:tc>
          <w:tcPr>
            <w:tcW w:w="315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B73A46" w:rsidRPr="00A75DF9" w:rsidRDefault="00B73A46" w:rsidP="00713A6C">
            <w:pPr>
              <w:rPr>
                <w:rFonts w:eastAsia="Calibri" w:cs="Tahoma"/>
                <w:b/>
                <w:bCs/>
                <w:szCs w:val="18"/>
              </w:rPr>
            </w:pPr>
            <w:r w:rsidRPr="00A75DF9">
              <w:rPr>
                <w:rFonts w:cs="Tahoma"/>
                <w:b/>
                <w:bCs/>
                <w:szCs w:val="18"/>
              </w:rPr>
              <w:t>Apple Macintosh</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x</w:t>
            </w:r>
          </w:p>
        </w:tc>
        <w:tc>
          <w:tcPr>
            <w:tcW w:w="1169"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rPr>
                <w:rFonts w:eastAsia="Times New Roman" w:cs="Tahoma"/>
                <w:szCs w:val="18"/>
              </w:rPr>
            </w:pPr>
          </w:p>
        </w:tc>
        <w:tc>
          <w:tcPr>
            <w:tcW w:w="11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x</w:t>
            </w:r>
          </w:p>
        </w:tc>
        <w:tc>
          <w:tcPr>
            <w:tcW w:w="112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x</w:t>
            </w:r>
          </w:p>
        </w:tc>
        <w:tc>
          <w:tcPr>
            <w:tcW w:w="122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x</w:t>
            </w:r>
          </w:p>
        </w:tc>
      </w:tr>
    </w:tbl>
    <w:p w:rsidR="00B73A46" w:rsidRPr="00350D2E" w:rsidRDefault="00B73A46" w:rsidP="002A6416">
      <w:pPr>
        <w:ind w:left="770"/>
        <w:rPr>
          <w:rFonts w:cs="Tahoma"/>
          <w:sz w:val="14"/>
          <w:szCs w:val="14"/>
        </w:rPr>
      </w:pPr>
      <w:r w:rsidRPr="00350D2E">
        <w:rPr>
          <w:rFonts w:cs="Tahoma"/>
          <w:bCs/>
          <w:i/>
          <w:iCs/>
          <w:sz w:val="14"/>
          <w:szCs w:val="14"/>
          <w:u w:val="single"/>
        </w:rPr>
        <w:t>Nota</w:t>
      </w:r>
      <w:r w:rsidRPr="00350D2E">
        <w:rPr>
          <w:rFonts w:cs="Tahoma"/>
          <w:i/>
          <w:iCs/>
          <w:sz w:val="14"/>
          <w:szCs w:val="14"/>
        </w:rPr>
        <w:t xml:space="preserve">: </w:t>
      </w:r>
      <w:r w:rsidRPr="00350D2E">
        <w:rPr>
          <w:rFonts w:cs="Tahoma"/>
          <w:i/>
          <w:iCs/>
          <w:sz w:val="14"/>
          <w:szCs w:val="14"/>
        </w:rPr>
        <w:br/>
        <w:t>Academic include i Programmi Contratto Campus e School, Open Value Subscription - Education Solutions, Select - Academic e Open - Academic</w:t>
      </w:r>
      <w:r w:rsidRPr="00350D2E">
        <w:rPr>
          <w:rFonts w:cs="Tahoma"/>
          <w:i/>
          <w:iCs/>
          <w:sz w:val="14"/>
          <w:szCs w:val="14"/>
        </w:rPr>
        <w:br/>
        <w:t>EA = Contratto Enterprise</w:t>
      </w:r>
      <w:r w:rsidRPr="00350D2E">
        <w:rPr>
          <w:rFonts w:cs="Tahoma"/>
          <w:i/>
          <w:iCs/>
          <w:sz w:val="14"/>
          <w:szCs w:val="14"/>
        </w:rPr>
        <w:br/>
        <w:t>OV-CW = Open Value - Opzione a livello aziendale</w:t>
      </w:r>
    </w:p>
    <w:p w:rsidR="00B73A46" w:rsidRPr="00350D2E" w:rsidRDefault="00B73A46" w:rsidP="002A6416">
      <w:pPr>
        <w:ind w:left="770"/>
        <w:rPr>
          <w:rFonts w:cs="Tahoma"/>
          <w:sz w:val="14"/>
          <w:szCs w:val="14"/>
        </w:rPr>
      </w:pPr>
      <w:r w:rsidRPr="00350D2E">
        <w:rPr>
          <w:rFonts w:cs="Tahoma"/>
          <w:i/>
          <w:iCs/>
          <w:sz w:val="14"/>
          <w:szCs w:val="14"/>
        </w:rPr>
        <w:t>“N”, “K”</w:t>
      </w:r>
      <w:r w:rsidR="00F2643E">
        <w:rPr>
          <w:rFonts w:cs="Tahoma"/>
          <w:i/>
          <w:iCs/>
          <w:sz w:val="14"/>
          <w:szCs w:val="14"/>
        </w:rPr>
        <w:t>‘</w:t>
      </w:r>
      <w:r w:rsidRPr="00350D2E">
        <w:rPr>
          <w:rFonts w:cs="Tahoma"/>
          <w:i/>
          <w:iCs/>
          <w:sz w:val="14"/>
          <w:szCs w:val="14"/>
        </w:rPr>
        <w:t xml:space="preserve"> e “KN” sono edizioni specializzate disponibili su alcuni mercati.</w:t>
      </w:r>
    </w:p>
    <w:p w:rsidR="002512D3" w:rsidRPr="00A75DF9" w:rsidRDefault="002512D3">
      <w:pPr>
        <w:rPr>
          <w:rFonts w:cs="Tahoma"/>
        </w:rPr>
      </w:pPr>
    </w:p>
    <w:p w:rsidR="00B73A46" w:rsidRPr="00A75DF9" w:rsidRDefault="00B73A46" w:rsidP="00350D2E">
      <w:pPr>
        <w:ind w:left="720"/>
        <w:rPr>
          <w:rFonts w:cs="Tahoma"/>
        </w:rPr>
      </w:pPr>
      <w:r w:rsidRPr="00A75DF9">
        <w:rPr>
          <w:rFonts w:cs="Tahoma"/>
          <w:szCs w:val="18"/>
        </w:rPr>
        <w:t>Le seguenti condizioni si applicano a Windows XP Starter Edition (SE), Windows Vista Starter Edition (SE) e</w:t>
      </w:r>
      <w:r w:rsidR="00350D2E">
        <w:rPr>
          <w:rFonts w:cs="Tahoma"/>
          <w:szCs w:val="18"/>
        </w:rPr>
        <w:t> </w:t>
      </w:r>
      <w:r w:rsidRPr="00A75DF9">
        <w:rPr>
          <w:rFonts w:cs="Tahoma"/>
          <w:szCs w:val="18"/>
        </w:rPr>
        <w:t>Windows 7 Starter Edition:</w:t>
      </w:r>
    </w:p>
    <w:p w:rsidR="00B73A46" w:rsidRPr="00A75DF9" w:rsidRDefault="00B73A46" w:rsidP="00B24C9D">
      <w:pPr>
        <w:ind w:left="720"/>
        <w:rPr>
          <w:rFonts w:cs="Tahoma"/>
        </w:rPr>
      </w:pPr>
    </w:p>
    <w:p w:rsidR="00B73A46" w:rsidRPr="00350D2E" w:rsidRDefault="00B73A46" w:rsidP="00350D2E">
      <w:pPr>
        <w:pStyle w:val="ColorfulList-Accent11"/>
        <w:numPr>
          <w:ilvl w:val="0"/>
          <w:numId w:val="33"/>
        </w:numPr>
        <w:ind w:left="1440"/>
        <w:rPr>
          <w:rFonts w:ascii="Tahoma" w:hAnsi="Tahoma" w:cs="Tahoma"/>
          <w:sz w:val="18"/>
          <w:szCs w:val="18"/>
        </w:rPr>
      </w:pPr>
      <w:r w:rsidRPr="00350D2E">
        <w:rPr>
          <w:rFonts w:ascii="Tahoma" w:hAnsi="Tahoma" w:cs="Tahoma"/>
          <w:sz w:val="18"/>
          <w:szCs w:val="18"/>
        </w:rPr>
        <w:t>Le società che hanno stipulato un contratto Academic (Academic Select, Academic Open, CASA e</w:t>
      </w:r>
      <w:r w:rsidR="00350D2E">
        <w:rPr>
          <w:rFonts w:ascii="Tahoma" w:hAnsi="Tahoma" w:cs="Tahoma"/>
          <w:sz w:val="18"/>
          <w:szCs w:val="18"/>
        </w:rPr>
        <w:t> </w:t>
      </w:r>
      <w:r w:rsidRPr="00350D2E">
        <w:rPr>
          <w:rFonts w:ascii="Tahoma" w:hAnsi="Tahoma" w:cs="Tahoma"/>
          <w:sz w:val="18"/>
          <w:szCs w:val="18"/>
        </w:rPr>
        <w:t>Open Value Subscription - Education Solutions) sono autorizzate ad acquistare una licenza di Aggiornamento Windows utilizzando Windows XP Starter Edition, Windows Vista Starter Edition o</w:t>
      </w:r>
      <w:r w:rsidR="00350D2E">
        <w:rPr>
          <w:rFonts w:ascii="Tahoma" w:hAnsi="Tahoma" w:cs="Tahoma"/>
          <w:sz w:val="18"/>
          <w:szCs w:val="18"/>
        </w:rPr>
        <w:t> </w:t>
      </w:r>
      <w:r w:rsidRPr="00350D2E">
        <w:rPr>
          <w:rFonts w:ascii="Tahoma" w:hAnsi="Tahoma" w:cs="Tahoma"/>
          <w:sz w:val="18"/>
          <w:szCs w:val="18"/>
        </w:rPr>
        <w:t xml:space="preserve">Windows 7 Starter Edition come sistema operativo qualificante. </w:t>
      </w:r>
    </w:p>
    <w:p w:rsidR="00B73A46" w:rsidRPr="00350D2E" w:rsidRDefault="00B73A46" w:rsidP="00B24C9D">
      <w:pPr>
        <w:pStyle w:val="ColorfulList-Accent11"/>
        <w:rPr>
          <w:rFonts w:ascii="Tahoma" w:hAnsi="Tahoma" w:cs="Tahoma"/>
          <w:sz w:val="18"/>
          <w:szCs w:val="18"/>
        </w:rPr>
      </w:pPr>
      <w:r w:rsidRPr="00350D2E">
        <w:rPr>
          <w:rFonts w:ascii="Tahoma" w:hAnsi="Tahoma" w:cs="Tahoma"/>
          <w:sz w:val="18"/>
          <w:szCs w:val="18"/>
        </w:rPr>
        <w:lastRenderedPageBreak/>
        <w:t>Le società che acquistano l</w:t>
      </w:r>
      <w:r w:rsidR="00F2643E">
        <w:rPr>
          <w:rFonts w:ascii="Tahoma" w:hAnsi="Tahoma" w:cs="Tahoma"/>
          <w:sz w:val="18"/>
          <w:szCs w:val="18"/>
        </w:rPr>
        <w:t>’</w:t>
      </w:r>
      <w:r w:rsidRPr="00350D2E">
        <w:rPr>
          <w:rFonts w:ascii="Tahoma" w:hAnsi="Tahoma" w:cs="Tahoma"/>
          <w:sz w:val="18"/>
          <w:szCs w:val="18"/>
        </w:rPr>
        <w:t xml:space="preserve">aggiornamento su questa base rinunciano a qualunque diritto di trasferire la licenza al di fuori del paese in cui è stata acquistata. </w:t>
      </w:r>
    </w:p>
    <w:p w:rsidR="00B73A46" w:rsidRPr="00350D2E" w:rsidRDefault="00B73A46" w:rsidP="00B24C9D">
      <w:pPr>
        <w:pStyle w:val="EndnoteText"/>
        <w:ind w:left="360"/>
        <w:rPr>
          <w:rFonts w:ascii="Tahoma" w:hAnsi="Tahoma" w:cs="Tahoma"/>
          <w:sz w:val="18"/>
          <w:szCs w:val="18"/>
        </w:rPr>
      </w:pPr>
    </w:p>
    <w:p w:rsidR="00B73A46" w:rsidRPr="00350D2E" w:rsidRDefault="00B73A46" w:rsidP="00B24C9D">
      <w:pPr>
        <w:pStyle w:val="FootnoteBulletLevel1"/>
        <w:tabs>
          <w:tab w:val="clear" w:pos="900"/>
        </w:tabs>
        <w:spacing w:before="0" w:after="0"/>
        <w:ind w:left="720" w:firstLine="0"/>
        <w:rPr>
          <w:rFonts w:ascii="Tahoma" w:hAnsi="Tahoma" w:cs="Tahoma"/>
          <w:sz w:val="18"/>
          <w:szCs w:val="18"/>
        </w:rPr>
      </w:pPr>
      <w:r w:rsidRPr="00350D2E">
        <w:rPr>
          <w:rFonts w:ascii="Tahoma" w:hAnsi="Tahoma" w:cs="Tahoma"/>
          <w:sz w:val="18"/>
          <w:szCs w:val="18"/>
        </w:rPr>
        <w:t>I sistemi operativi non inclusi nel precedente elenco non sono OS qualificanti, ad esempio:</w:t>
      </w:r>
    </w:p>
    <w:p w:rsidR="00B24C9D" w:rsidRPr="00350D2E" w:rsidRDefault="00B24C9D" w:rsidP="00B24C9D">
      <w:pPr>
        <w:pStyle w:val="FootnoteBulletLevel1"/>
        <w:tabs>
          <w:tab w:val="clear" w:pos="900"/>
        </w:tabs>
        <w:spacing w:before="0" w:after="0"/>
        <w:ind w:left="720" w:firstLine="0"/>
        <w:rPr>
          <w:rFonts w:ascii="Tahoma" w:hAnsi="Tahoma" w:cs="Tahoma"/>
          <w:sz w:val="18"/>
          <w:szCs w:val="18"/>
        </w:rPr>
      </w:pPr>
    </w:p>
    <w:p w:rsidR="00B73A46" w:rsidRPr="00350D2E" w:rsidRDefault="00B73A46" w:rsidP="00346F4B">
      <w:pPr>
        <w:pStyle w:val="FootnoteBulletLevel2"/>
        <w:numPr>
          <w:ilvl w:val="0"/>
          <w:numId w:val="34"/>
        </w:numPr>
        <w:adjustRightInd/>
        <w:spacing w:before="0" w:after="60"/>
        <w:ind w:left="1440"/>
        <w:textAlignment w:val="auto"/>
        <w:rPr>
          <w:rFonts w:ascii="Tahoma" w:hAnsi="Tahoma" w:cs="Tahoma"/>
          <w:sz w:val="18"/>
          <w:szCs w:val="18"/>
        </w:rPr>
      </w:pPr>
      <w:r w:rsidRPr="00350D2E">
        <w:rPr>
          <w:rFonts w:ascii="Tahoma" w:hAnsi="Tahoma" w:cs="Tahoma"/>
          <w:sz w:val="18"/>
          <w:szCs w:val="18"/>
        </w:rPr>
        <w:t>I Sistemi Incorporati (ad esempio Windows 9.x for embedded, Windows XP embedded) non si qualificano per gli Aggiornamenti per Windows 8 Pro.</w:t>
      </w:r>
    </w:p>
    <w:p w:rsidR="00B73A46" w:rsidRPr="00350D2E" w:rsidRDefault="00B73A46" w:rsidP="00346F4B">
      <w:pPr>
        <w:pStyle w:val="FootnoteBulletLevel2"/>
        <w:numPr>
          <w:ilvl w:val="0"/>
          <w:numId w:val="34"/>
        </w:numPr>
        <w:adjustRightInd/>
        <w:spacing w:before="0" w:after="60"/>
        <w:ind w:left="1440"/>
        <w:textAlignment w:val="auto"/>
        <w:rPr>
          <w:rFonts w:ascii="Tahoma" w:hAnsi="Tahoma" w:cs="Tahoma"/>
          <w:sz w:val="18"/>
          <w:szCs w:val="18"/>
        </w:rPr>
      </w:pPr>
      <w:r w:rsidRPr="00350D2E">
        <w:rPr>
          <w:rFonts w:ascii="Tahoma" w:hAnsi="Tahoma" w:cs="Tahoma"/>
          <w:sz w:val="18"/>
          <w:szCs w:val="18"/>
        </w:rPr>
        <w:t>Linux o OS/2 non si qualifica per gli Aggiornamenti per Windows 8 Pro.</w:t>
      </w:r>
    </w:p>
    <w:p w:rsidR="00B73A46" w:rsidRPr="00350D2E" w:rsidRDefault="00B73A46" w:rsidP="00346F4B">
      <w:pPr>
        <w:pStyle w:val="FootnoteBulletLevel2"/>
        <w:numPr>
          <w:ilvl w:val="0"/>
          <w:numId w:val="34"/>
        </w:numPr>
        <w:adjustRightInd/>
        <w:spacing w:before="0" w:after="60"/>
        <w:ind w:left="1440"/>
        <w:textAlignment w:val="auto"/>
        <w:rPr>
          <w:rFonts w:ascii="Tahoma" w:hAnsi="Tahoma" w:cs="Tahoma"/>
          <w:sz w:val="18"/>
          <w:szCs w:val="18"/>
        </w:rPr>
      </w:pPr>
      <w:r w:rsidRPr="00350D2E">
        <w:rPr>
          <w:rFonts w:ascii="Tahoma" w:hAnsi="Tahoma" w:cs="Tahoma"/>
          <w:sz w:val="18"/>
          <w:szCs w:val="18"/>
        </w:rPr>
        <w:t>La Licenza CAL per i Servizi Terminal di Windows non si qualifica per gli Aggiornamenti per Windows 8 Pro.</w:t>
      </w:r>
    </w:p>
    <w:p w:rsidR="00B24C9D" w:rsidRPr="00350D2E" w:rsidRDefault="00B24C9D" w:rsidP="00B24C9D">
      <w:pPr>
        <w:pStyle w:val="FootnoteBulletLevel2"/>
        <w:tabs>
          <w:tab w:val="clear" w:pos="1260"/>
        </w:tabs>
        <w:adjustRightInd/>
        <w:spacing w:before="0"/>
        <w:ind w:left="1080" w:firstLine="0"/>
        <w:textAlignment w:val="auto"/>
        <w:rPr>
          <w:rFonts w:ascii="Tahoma" w:hAnsi="Tahoma" w:cs="Tahoma"/>
          <w:sz w:val="18"/>
          <w:szCs w:val="18"/>
        </w:rPr>
      </w:pPr>
    </w:p>
    <w:p w:rsidR="00B24C9D" w:rsidRPr="00350D2E" w:rsidRDefault="00B73A46" w:rsidP="00B24C9D">
      <w:pPr>
        <w:pStyle w:val="FootnoteBulletLevel2"/>
        <w:tabs>
          <w:tab w:val="clear" w:pos="1260"/>
        </w:tabs>
        <w:spacing w:before="0"/>
        <w:ind w:left="720" w:firstLine="0"/>
        <w:rPr>
          <w:rFonts w:ascii="Tahoma" w:hAnsi="Tahoma" w:cs="Tahoma"/>
          <w:sz w:val="18"/>
          <w:szCs w:val="18"/>
        </w:rPr>
      </w:pPr>
      <w:r w:rsidRPr="00350D2E">
        <w:rPr>
          <w:rFonts w:ascii="Tahoma" w:hAnsi="Tahoma" w:cs="Tahoma"/>
          <w:sz w:val="18"/>
          <w:szCs w:val="18"/>
        </w:rPr>
        <w:t>I seguenti requisiti sono applicabili al re-imaging di Windows:</w:t>
      </w:r>
    </w:p>
    <w:p w:rsidR="00B73A46" w:rsidRPr="00350D2E" w:rsidRDefault="00B73A46" w:rsidP="00B24C9D">
      <w:pPr>
        <w:pStyle w:val="FootnoteBulletLevel2"/>
        <w:tabs>
          <w:tab w:val="clear" w:pos="1260"/>
        </w:tabs>
        <w:spacing w:before="0"/>
        <w:ind w:left="720" w:firstLine="0"/>
        <w:rPr>
          <w:rFonts w:ascii="Tahoma" w:hAnsi="Tahoma" w:cs="Tahoma"/>
          <w:sz w:val="18"/>
          <w:szCs w:val="18"/>
        </w:rPr>
      </w:pPr>
    </w:p>
    <w:p w:rsidR="00B73A46" w:rsidRPr="00350D2E" w:rsidRDefault="00B73A46" w:rsidP="00350D2E">
      <w:pPr>
        <w:pStyle w:val="FootnoteBulletLevel2"/>
        <w:tabs>
          <w:tab w:val="clear" w:pos="1260"/>
        </w:tabs>
        <w:spacing w:before="0"/>
        <w:ind w:left="720" w:firstLine="0"/>
        <w:rPr>
          <w:rFonts w:ascii="Tahoma" w:hAnsi="Tahoma" w:cs="Tahoma"/>
          <w:sz w:val="18"/>
          <w:szCs w:val="18"/>
        </w:rPr>
      </w:pPr>
      <w:r w:rsidRPr="00350D2E">
        <w:rPr>
          <w:rFonts w:ascii="Tahoma" w:hAnsi="Tahoma" w:cs="Tahoma"/>
          <w:sz w:val="18"/>
          <w:szCs w:val="18"/>
        </w:rPr>
        <w:t xml:space="preserve">Qualora un terzo effettui il re-imaging di Windows sui PC di una società, la società dovrà prima di tutto fornire a tale terzo (a) un modulo compilato relativo alla Verifica della Licenza Microsoft della Società per </w:t>
      </w:r>
      <w:r w:rsidR="00350D2E">
        <w:rPr>
          <w:rFonts w:ascii="Tahoma" w:hAnsi="Tahoma" w:cs="Tahoma"/>
          <w:sz w:val="18"/>
          <w:szCs w:val="18"/>
        </w:rPr>
        <w:t>I </w:t>
      </w:r>
      <w:r w:rsidRPr="00350D2E">
        <w:rPr>
          <w:rFonts w:ascii="Tahoma" w:hAnsi="Tahoma" w:cs="Tahoma"/>
          <w:sz w:val="18"/>
          <w:szCs w:val="18"/>
        </w:rPr>
        <w:t>Servizi di Installazione degli Aggiornamenti per il Software del Sistema Operativo Microsoft Windows da Parte di Terzi oppure (b) copie del modulo per la sottoscrizione appartenenti al Contratto Multilicenza Microsoft applicabile al software di aggiornamento del sistema operativo Microsoft che viene installato. Il</w:t>
      </w:r>
      <w:r w:rsidR="00350D2E">
        <w:rPr>
          <w:rFonts w:ascii="Tahoma" w:hAnsi="Tahoma" w:cs="Tahoma"/>
          <w:sz w:val="18"/>
          <w:szCs w:val="18"/>
        </w:rPr>
        <w:t> </w:t>
      </w:r>
      <w:r w:rsidRPr="00350D2E">
        <w:rPr>
          <w:rFonts w:ascii="Tahoma" w:hAnsi="Tahoma" w:cs="Tahoma"/>
          <w:sz w:val="18"/>
          <w:szCs w:val="18"/>
        </w:rPr>
        <w:t>modulo per la “Verifica della Licenza Microsoft per l</w:t>
      </w:r>
      <w:r w:rsidR="00F2643E">
        <w:rPr>
          <w:rFonts w:ascii="Tahoma" w:hAnsi="Tahoma" w:cs="Tahoma"/>
          <w:sz w:val="18"/>
          <w:szCs w:val="18"/>
        </w:rPr>
        <w:t>’</w:t>
      </w:r>
      <w:r w:rsidRPr="00350D2E">
        <w:rPr>
          <w:rFonts w:ascii="Tahoma" w:hAnsi="Tahoma" w:cs="Tahoma"/>
          <w:sz w:val="18"/>
          <w:szCs w:val="18"/>
        </w:rPr>
        <w:t>Esecuzione dell</w:t>
      </w:r>
      <w:r w:rsidR="00F2643E">
        <w:rPr>
          <w:rFonts w:ascii="Tahoma" w:hAnsi="Tahoma" w:cs="Tahoma"/>
          <w:sz w:val="18"/>
          <w:szCs w:val="18"/>
        </w:rPr>
        <w:t>’</w:t>
      </w:r>
      <w:r w:rsidRPr="00350D2E">
        <w:rPr>
          <w:rFonts w:ascii="Tahoma" w:hAnsi="Tahoma" w:cs="Tahoma"/>
          <w:sz w:val="18"/>
          <w:szCs w:val="18"/>
        </w:rPr>
        <w:t>Imaging/Installazione da parte di</w:t>
      </w:r>
      <w:r w:rsidR="00350D2E">
        <w:rPr>
          <w:rFonts w:ascii="Tahoma" w:hAnsi="Tahoma" w:cs="Tahoma"/>
          <w:sz w:val="18"/>
          <w:szCs w:val="18"/>
        </w:rPr>
        <w:t> </w:t>
      </w:r>
      <w:r w:rsidRPr="00350D2E">
        <w:rPr>
          <w:rFonts w:ascii="Tahoma" w:hAnsi="Tahoma" w:cs="Tahoma"/>
          <w:sz w:val="18"/>
          <w:szCs w:val="18"/>
        </w:rPr>
        <w:t>Terzi</w:t>
      </w:r>
      <w:r w:rsidR="00350D2E">
        <w:rPr>
          <w:rFonts w:ascii="Tahoma" w:hAnsi="Tahoma" w:cs="Tahoma"/>
          <w:sz w:val="18"/>
          <w:szCs w:val="18"/>
        </w:rPr>
        <w:t> </w:t>
      </w:r>
      <w:r w:rsidRPr="00350D2E">
        <w:rPr>
          <w:rFonts w:ascii="Tahoma" w:hAnsi="Tahoma" w:cs="Tahoma"/>
          <w:sz w:val="18"/>
          <w:szCs w:val="18"/>
        </w:rPr>
        <w:t>del Software del Sistema Operativo Microsoft” è disponibile all</w:t>
      </w:r>
      <w:r w:rsidR="00F2643E">
        <w:rPr>
          <w:rFonts w:ascii="Tahoma" w:hAnsi="Tahoma" w:cs="Tahoma"/>
          <w:sz w:val="18"/>
          <w:szCs w:val="18"/>
        </w:rPr>
        <w:t>’</w:t>
      </w:r>
      <w:r w:rsidRPr="00350D2E">
        <w:rPr>
          <w:rFonts w:ascii="Tahoma" w:hAnsi="Tahoma" w:cs="Tahoma"/>
          <w:sz w:val="18"/>
          <w:szCs w:val="18"/>
        </w:rPr>
        <w:t xml:space="preserve">indirizzo </w:t>
      </w:r>
      <w:hyperlink r:id="rId43" w:history="1">
        <w:r w:rsidR="00350D2E" w:rsidRPr="0043735F">
          <w:rPr>
            <w:rStyle w:val="Hyperlink"/>
            <w:rFonts w:ascii="Tahoma" w:hAnsi="Tahoma" w:cs="Tahoma"/>
            <w:color w:val="auto"/>
            <w:sz w:val="18"/>
            <w:szCs w:val="18"/>
            <w:u w:val="none"/>
          </w:rPr>
          <w:t>www.microsoft.com/licensing/contracts</w:t>
        </w:r>
      </w:hyperlink>
      <w:r w:rsidRPr="00350D2E">
        <w:rPr>
          <w:rFonts w:ascii="Tahoma" w:hAnsi="Tahoma" w:cs="Tahoma"/>
          <w:sz w:val="18"/>
          <w:szCs w:val="18"/>
        </w:rPr>
        <w:t>.</w:t>
      </w:r>
    </w:p>
    <w:p w:rsidR="00B24C9D" w:rsidRPr="00350D2E" w:rsidRDefault="00B24C9D" w:rsidP="00B24C9D">
      <w:pPr>
        <w:pStyle w:val="FootnoteBulletLevel1"/>
        <w:tabs>
          <w:tab w:val="clear" w:pos="900"/>
        </w:tabs>
        <w:adjustRightInd/>
        <w:spacing w:before="0" w:after="0"/>
        <w:ind w:left="720" w:firstLine="0"/>
        <w:textAlignment w:val="auto"/>
        <w:rPr>
          <w:rFonts w:ascii="Tahoma" w:hAnsi="Tahoma" w:cs="Tahoma"/>
          <w:sz w:val="18"/>
          <w:szCs w:val="18"/>
        </w:rPr>
      </w:pPr>
    </w:p>
    <w:p w:rsidR="00B73A46" w:rsidRPr="00A75DF9" w:rsidRDefault="005D46BA" w:rsidP="00B24C9D">
      <w:pPr>
        <w:pStyle w:val="FootnoteBulletLevel1"/>
        <w:tabs>
          <w:tab w:val="clear" w:pos="900"/>
        </w:tabs>
        <w:adjustRightInd/>
        <w:spacing w:before="0" w:after="60"/>
        <w:ind w:left="720" w:firstLine="0"/>
        <w:textAlignment w:val="auto"/>
        <w:rPr>
          <w:rFonts w:ascii="Tahoma" w:hAnsi="Tahoma" w:cs="Tahoma"/>
        </w:rPr>
      </w:pPr>
      <w:r w:rsidRPr="00A75DF9">
        <w:rPr>
          <w:rFonts w:ascii="Tahoma" w:hAnsi="Tahoma" w:cs="Tahoma"/>
          <w:b/>
          <w:bCs/>
          <w:sz w:val="18"/>
          <w:szCs w:val="18"/>
        </w:rPr>
        <w:t>Windows Intune (Per Dispositivo)</w:t>
      </w:r>
    </w:p>
    <w:p w:rsidR="00B24C9D" w:rsidRPr="00A75DF9" w:rsidRDefault="0071258F" w:rsidP="00350D2E">
      <w:pPr>
        <w:ind w:left="720"/>
        <w:rPr>
          <w:rFonts w:cs="Tahoma"/>
        </w:rPr>
      </w:pPr>
      <w:r w:rsidRPr="00A75DF9">
        <w:rPr>
          <w:rFonts w:cs="Tahoma"/>
          <w:szCs w:val="18"/>
        </w:rPr>
        <w:t>Windows Intune (Per Dispositivo) è disponibile ai sensi di una licenza “Subscription”. Include i diritti per</w:t>
      </w:r>
      <w:r w:rsidR="00350D2E">
        <w:rPr>
          <w:rFonts w:cs="Tahoma"/>
          <w:szCs w:val="18"/>
        </w:rPr>
        <w:t> </w:t>
      </w:r>
      <w:r w:rsidRPr="00A75DF9">
        <w:rPr>
          <w:rFonts w:cs="Tahoma"/>
          <w:szCs w:val="18"/>
        </w:rPr>
        <w:t>eseguire l</w:t>
      </w:r>
      <w:r w:rsidR="00F2643E">
        <w:rPr>
          <w:rFonts w:cs="Tahoma"/>
          <w:szCs w:val="18"/>
        </w:rPr>
        <w:t>’</w:t>
      </w:r>
      <w:r w:rsidRPr="00A75DF9">
        <w:rPr>
          <w:rFonts w:cs="Tahoma"/>
          <w:szCs w:val="18"/>
        </w:rPr>
        <w:t>aggiornamento al sistema operativo desktop Windows e utilizzarlo. Pertanto, come con l</w:t>
      </w:r>
      <w:r w:rsidR="00F2643E">
        <w:rPr>
          <w:rFonts w:cs="Tahoma"/>
          <w:szCs w:val="18"/>
        </w:rPr>
        <w:t>’</w:t>
      </w:r>
      <w:r w:rsidRPr="00A75DF9">
        <w:rPr>
          <w:rFonts w:cs="Tahoma"/>
          <w:szCs w:val="18"/>
        </w:rPr>
        <w:t>Aggiornamento per Windows Pro, ogni desktop per il quale si acquista e sul quale si eseguirà Windows Intune (Per Dispositivo) dovrà avere la licenza per eseguire uno dei sistemi operativi qualificanti applicabili indicati sopra.</w:t>
      </w:r>
    </w:p>
    <w:p w:rsidR="00B73A46" w:rsidRPr="00A75DF9" w:rsidRDefault="00B73A46" w:rsidP="00B24C9D">
      <w:pPr>
        <w:ind w:left="720"/>
        <w:rPr>
          <w:rFonts w:cs="Tahoma"/>
        </w:rPr>
      </w:pPr>
      <w:r w:rsidRPr="00A75DF9">
        <w:rPr>
          <w:rFonts w:cs="Tahoma"/>
          <w:szCs w:val="18"/>
        </w:rPr>
        <w:t xml:space="preserve"> </w:t>
      </w:r>
    </w:p>
    <w:p w:rsidR="00B73A46" w:rsidRPr="00A75DF9" w:rsidRDefault="00B73A46" w:rsidP="00350D2E">
      <w:pPr>
        <w:ind w:left="720"/>
        <w:rPr>
          <w:rFonts w:cs="Tahoma"/>
        </w:rPr>
      </w:pPr>
      <w:r w:rsidRPr="00A75DF9">
        <w:rPr>
          <w:rFonts w:cs="Tahoma"/>
          <w:szCs w:val="18"/>
        </w:rPr>
        <w:t>Le condizioni valide per l</w:t>
      </w:r>
      <w:r w:rsidR="00F2643E">
        <w:rPr>
          <w:rFonts w:cs="Tahoma"/>
          <w:szCs w:val="18"/>
        </w:rPr>
        <w:t>’</w:t>
      </w:r>
      <w:r w:rsidRPr="00A75DF9">
        <w:rPr>
          <w:rFonts w:cs="Tahoma"/>
          <w:szCs w:val="18"/>
        </w:rPr>
        <w:t>acquisto della Licenza di Aggiornamento per Windows Pro descritte sopra in “Regole per i Sistemi Operativi Qualificanti” si applicano all</w:t>
      </w:r>
      <w:r w:rsidR="00F2643E">
        <w:rPr>
          <w:rFonts w:cs="Tahoma"/>
          <w:szCs w:val="18"/>
        </w:rPr>
        <w:t>’</w:t>
      </w:r>
      <w:r w:rsidRPr="00A75DF9">
        <w:rPr>
          <w:rFonts w:cs="Tahoma"/>
          <w:szCs w:val="18"/>
        </w:rPr>
        <w:t>acquisto delle licenze per Windows Intune (Per</w:t>
      </w:r>
      <w:r w:rsidR="00350D2E">
        <w:rPr>
          <w:rFonts w:cs="Tahoma"/>
          <w:szCs w:val="18"/>
        </w:rPr>
        <w:t> </w:t>
      </w:r>
      <w:r w:rsidRPr="00A75DF9">
        <w:rPr>
          <w:rFonts w:cs="Tahoma"/>
          <w:szCs w:val="18"/>
        </w:rPr>
        <w:t>Dispositivo).</w:t>
      </w:r>
    </w:p>
    <w:p w:rsidR="00B24C9D" w:rsidRPr="00A75DF9" w:rsidRDefault="00B24C9D" w:rsidP="00B24C9D">
      <w:pPr>
        <w:ind w:left="720"/>
        <w:rPr>
          <w:rFonts w:cs="Tahoma"/>
        </w:rPr>
      </w:pPr>
    </w:p>
    <w:p w:rsidR="00B24C9D" w:rsidRPr="00A75DF9" w:rsidRDefault="0085061F" w:rsidP="00B24C9D">
      <w:pPr>
        <w:keepNext/>
        <w:ind w:left="720"/>
        <w:rPr>
          <w:rFonts w:cs="Tahoma"/>
        </w:rPr>
      </w:pPr>
      <w:r w:rsidRPr="00A75DF9">
        <w:rPr>
          <w:rFonts w:eastAsia="Calibri" w:cs="Tahoma"/>
          <w:szCs w:val="18"/>
        </w:rPr>
        <w:t>Per quanto riguarda Windows Intune (Per Dispositivo) acquistato come Servizio Online Enterprise al fine di soddisfare i requisiti per i Prodotti Enterprise: fare riferimento alla colonna “Nuovo EA/OV-CW” nella tabella precedente per le licenze acquistate al momento della sottoscrizione e alla colonna “EA/OV-CW Esistente” nella tabella precedente per le licenze acquistate in qualsiasi altro momento o riassegnate secondo la modalità autorizzata nell</w:t>
      </w:r>
      <w:r w:rsidR="00F2643E">
        <w:rPr>
          <w:rFonts w:eastAsia="Calibri" w:cs="Tahoma"/>
          <w:szCs w:val="18"/>
        </w:rPr>
        <w:t>’</w:t>
      </w:r>
      <w:r w:rsidRPr="00A75DF9">
        <w:rPr>
          <w:rFonts w:eastAsia="Calibri" w:cs="Tahoma"/>
          <w:szCs w:val="18"/>
        </w:rPr>
        <w:t>Articolo “Riassegnazione delle Licenze” che segue.</w:t>
      </w:r>
    </w:p>
    <w:p w:rsidR="0085061F" w:rsidRPr="00A75DF9" w:rsidRDefault="0085061F" w:rsidP="00B24C9D">
      <w:pPr>
        <w:keepNext/>
        <w:ind w:left="720"/>
        <w:rPr>
          <w:rFonts w:cs="Tahoma"/>
        </w:rPr>
      </w:pPr>
      <w:r w:rsidRPr="00A75DF9">
        <w:rPr>
          <w:rFonts w:eastAsia="Calibri" w:cs="Tahoma"/>
          <w:szCs w:val="18"/>
        </w:rPr>
        <w:t xml:space="preserve"> </w:t>
      </w:r>
    </w:p>
    <w:p w:rsidR="0053437B" w:rsidRPr="00A75DF9" w:rsidRDefault="0053437B" w:rsidP="00B24C9D">
      <w:pPr>
        <w:ind w:left="720"/>
        <w:rPr>
          <w:rFonts w:cs="Tahoma"/>
        </w:rPr>
      </w:pPr>
      <w:r w:rsidRPr="00A75DF9">
        <w:rPr>
          <w:rFonts w:eastAsia="Calibri" w:cs="Tahoma"/>
          <w:szCs w:val="18"/>
        </w:rPr>
        <w:t>Come eccezione alla regole precedente, per quanto riguarda Windows Intune (Per Dispositivo) acquistato come Servizio Online Enterprise, ma non al fine di soddisfare i requisiti per i Prodotti Enterprise: fare riferimento alla colonna “Nuovo EA/OV-CW” nella tabella precedente per le nuove licenze.</w:t>
      </w:r>
    </w:p>
    <w:p w:rsidR="00B24C9D" w:rsidRPr="00A75DF9" w:rsidRDefault="00B24C9D" w:rsidP="00B24C9D">
      <w:pPr>
        <w:ind w:left="720"/>
        <w:rPr>
          <w:rFonts w:cs="Tahoma"/>
        </w:rPr>
      </w:pPr>
    </w:p>
    <w:p w:rsidR="00B73A46" w:rsidRPr="00350D2E" w:rsidRDefault="00B73A46" w:rsidP="00B24C9D">
      <w:pPr>
        <w:pStyle w:val="FootnoteBulletLevel2"/>
        <w:spacing w:before="0"/>
        <w:ind w:left="720" w:firstLine="0"/>
        <w:rPr>
          <w:rFonts w:ascii="Tahoma" w:hAnsi="Tahoma" w:cs="Tahoma"/>
          <w:sz w:val="18"/>
          <w:szCs w:val="18"/>
        </w:rPr>
      </w:pPr>
      <w:r w:rsidRPr="00350D2E">
        <w:rPr>
          <w:rFonts w:ascii="Tahoma" w:hAnsi="Tahoma" w:cs="Tahoma"/>
          <w:sz w:val="18"/>
          <w:szCs w:val="18"/>
        </w:rPr>
        <w:t xml:space="preserve">Le società che dispongono di licenze “Subscription”per Windows Intune (Per Dispositivo) non devono disinstallare il sistema operativo qualificante sul loro dispositivo con licenza e potranno installare ed eseguire contemporaneamente il sistema operativo qualificante e il sistema operativo desktop Windows. </w:t>
      </w:r>
    </w:p>
    <w:p w:rsidR="00B73A46" w:rsidRPr="00350D2E" w:rsidRDefault="00B73A46" w:rsidP="00B24C9D">
      <w:pPr>
        <w:pStyle w:val="FootnoteBulletLevel1"/>
        <w:spacing w:before="0" w:after="0"/>
        <w:ind w:left="720" w:firstLine="0"/>
        <w:rPr>
          <w:rFonts w:ascii="Tahoma" w:hAnsi="Tahoma" w:cs="Tahoma"/>
          <w:sz w:val="18"/>
          <w:szCs w:val="18"/>
        </w:rPr>
      </w:pPr>
    </w:p>
    <w:p w:rsidR="00B24C9D" w:rsidRPr="00A75DF9" w:rsidRDefault="00B24C9D" w:rsidP="00B24C9D">
      <w:pPr>
        <w:tabs>
          <w:tab w:val="left" w:pos="900"/>
        </w:tabs>
        <w:ind w:left="720"/>
        <w:rPr>
          <w:rFonts w:cs="Tahoma"/>
        </w:rPr>
      </w:pPr>
      <w:r w:rsidRPr="00A75DF9">
        <w:rPr>
          <w:rFonts w:cs="Tahoma"/>
          <w:szCs w:val="18"/>
          <w:u w:val="single"/>
        </w:rPr>
        <w:t>Cessione della Licenza</w:t>
      </w:r>
      <w:r w:rsidRPr="00A75DF9">
        <w:rPr>
          <w:rFonts w:cs="Tahoma"/>
          <w:szCs w:val="18"/>
        </w:rPr>
        <w:t> </w:t>
      </w:r>
    </w:p>
    <w:p w:rsidR="00B73A46" w:rsidRPr="00A75DF9" w:rsidRDefault="00B73A46" w:rsidP="00B24C9D">
      <w:pPr>
        <w:tabs>
          <w:tab w:val="left" w:pos="900"/>
        </w:tabs>
        <w:ind w:left="720"/>
        <w:rPr>
          <w:rFonts w:cs="Tahoma"/>
        </w:rPr>
      </w:pPr>
      <w:r w:rsidRPr="00A75DF9">
        <w:rPr>
          <w:rFonts w:cs="Tahoma"/>
          <w:szCs w:val="18"/>
        </w:rPr>
        <w:t xml:space="preserve">Le società dovranno cedere la loro licenza “subscription” per Windows Intune (Per Dispositivo) al dispositivo sul quale è installato il sistema operativo qualificante. </w:t>
      </w:r>
    </w:p>
    <w:p w:rsidR="00B73A46" w:rsidRDefault="00B73A46" w:rsidP="00B24C9D">
      <w:pPr>
        <w:pStyle w:val="FootnoteBulletLevel2"/>
        <w:spacing w:before="0"/>
        <w:ind w:left="907" w:firstLine="0"/>
        <w:rPr>
          <w:rFonts w:ascii="Tahoma" w:hAnsi="Tahoma" w:cs="Tahoma"/>
          <w:sz w:val="18"/>
          <w:szCs w:val="18"/>
        </w:rPr>
      </w:pPr>
    </w:p>
    <w:p w:rsidR="00350D2E" w:rsidRDefault="00350D2E" w:rsidP="00B24C9D">
      <w:pPr>
        <w:pStyle w:val="FootnoteBulletLevel2"/>
        <w:spacing w:before="0"/>
        <w:ind w:left="907" w:firstLine="0"/>
        <w:rPr>
          <w:rFonts w:ascii="Tahoma" w:hAnsi="Tahoma" w:cs="Tahoma"/>
          <w:sz w:val="18"/>
          <w:szCs w:val="18"/>
        </w:rPr>
      </w:pPr>
    </w:p>
    <w:p w:rsidR="00350D2E" w:rsidRDefault="00350D2E" w:rsidP="00B24C9D">
      <w:pPr>
        <w:pStyle w:val="FootnoteBulletLevel2"/>
        <w:spacing w:before="0"/>
        <w:ind w:left="907" w:firstLine="0"/>
        <w:rPr>
          <w:rFonts w:ascii="Tahoma" w:hAnsi="Tahoma" w:cs="Tahoma"/>
          <w:sz w:val="18"/>
          <w:szCs w:val="18"/>
        </w:rPr>
      </w:pPr>
    </w:p>
    <w:p w:rsidR="00350D2E" w:rsidRDefault="00350D2E" w:rsidP="00B24C9D">
      <w:pPr>
        <w:pStyle w:val="FootnoteBulletLevel2"/>
        <w:spacing w:before="0"/>
        <w:ind w:left="907" w:firstLine="0"/>
        <w:rPr>
          <w:rFonts w:ascii="Tahoma" w:hAnsi="Tahoma" w:cs="Tahoma"/>
          <w:sz w:val="18"/>
          <w:szCs w:val="18"/>
        </w:rPr>
      </w:pPr>
    </w:p>
    <w:p w:rsidR="00350D2E" w:rsidRDefault="00350D2E" w:rsidP="00B24C9D">
      <w:pPr>
        <w:pStyle w:val="FootnoteBulletLevel2"/>
        <w:spacing w:before="0"/>
        <w:ind w:left="907" w:firstLine="0"/>
        <w:rPr>
          <w:rFonts w:ascii="Tahoma" w:hAnsi="Tahoma" w:cs="Tahoma"/>
          <w:sz w:val="18"/>
          <w:szCs w:val="18"/>
        </w:rPr>
      </w:pPr>
    </w:p>
    <w:p w:rsidR="00350D2E" w:rsidRDefault="00350D2E" w:rsidP="00B24C9D">
      <w:pPr>
        <w:pStyle w:val="FootnoteBulletLevel2"/>
        <w:spacing w:before="0"/>
        <w:ind w:left="907" w:firstLine="0"/>
        <w:rPr>
          <w:rFonts w:ascii="Tahoma" w:hAnsi="Tahoma" w:cs="Tahoma"/>
          <w:sz w:val="18"/>
          <w:szCs w:val="18"/>
        </w:rPr>
      </w:pPr>
    </w:p>
    <w:p w:rsidR="00350D2E" w:rsidRDefault="00350D2E" w:rsidP="00B24C9D">
      <w:pPr>
        <w:pStyle w:val="FootnoteBulletLevel2"/>
        <w:spacing w:before="0"/>
        <w:ind w:left="907" w:firstLine="0"/>
        <w:rPr>
          <w:rFonts w:ascii="Tahoma" w:hAnsi="Tahoma" w:cs="Tahoma"/>
          <w:sz w:val="18"/>
          <w:szCs w:val="18"/>
        </w:rPr>
      </w:pPr>
    </w:p>
    <w:p w:rsidR="00350D2E" w:rsidRPr="00350D2E" w:rsidRDefault="00350D2E" w:rsidP="00B24C9D">
      <w:pPr>
        <w:pStyle w:val="FootnoteBulletLevel2"/>
        <w:spacing w:before="0"/>
        <w:ind w:left="907" w:firstLine="0"/>
        <w:rPr>
          <w:rFonts w:ascii="Tahoma" w:hAnsi="Tahoma" w:cs="Tahoma"/>
          <w:sz w:val="18"/>
          <w:szCs w:val="18"/>
        </w:rPr>
      </w:pPr>
    </w:p>
    <w:p w:rsidR="00B73A46" w:rsidRPr="00A75DF9" w:rsidRDefault="00B73A46" w:rsidP="00B24C9D">
      <w:pPr>
        <w:pStyle w:val="FootnoteBulletLevel1"/>
        <w:tabs>
          <w:tab w:val="clear" w:pos="900"/>
        </w:tabs>
        <w:spacing w:before="0" w:after="60"/>
        <w:ind w:left="720" w:firstLine="0"/>
        <w:rPr>
          <w:rFonts w:ascii="Tahoma" w:hAnsi="Tahoma" w:cs="Tahoma"/>
        </w:rPr>
      </w:pPr>
      <w:r w:rsidRPr="00A75DF9">
        <w:rPr>
          <w:rFonts w:ascii="Tahoma" w:hAnsi="Tahoma" w:cs="Tahoma"/>
          <w:b/>
          <w:sz w:val="18"/>
          <w:szCs w:val="18"/>
        </w:rPr>
        <w:lastRenderedPageBreak/>
        <w:t>Riassegnazione della Licenza</w:t>
      </w:r>
      <w:r w:rsidRPr="00A75DF9">
        <w:rPr>
          <w:rFonts w:ascii="Tahoma" w:hAnsi="Tahoma" w:cs="Tahoma"/>
          <w:b/>
          <w:bCs/>
          <w:sz w:val="18"/>
          <w:szCs w:val="18"/>
        </w:rPr>
        <w:t xml:space="preserve"> per Windows Intune (Per Dispositivo)</w:t>
      </w:r>
    </w:p>
    <w:p w:rsidR="00B73A46" w:rsidRPr="00350D2E" w:rsidRDefault="00B73A46" w:rsidP="00350D2E">
      <w:pPr>
        <w:pStyle w:val="BodyText"/>
        <w:spacing w:before="0" w:after="0" w:line="240" w:lineRule="auto"/>
        <w:ind w:left="720"/>
        <w:rPr>
          <w:rFonts w:ascii="Tahoma" w:hAnsi="Tahoma" w:cs="Tahoma"/>
          <w:sz w:val="18"/>
          <w:szCs w:val="18"/>
        </w:rPr>
      </w:pPr>
      <w:r w:rsidRPr="00350D2E">
        <w:rPr>
          <w:rFonts w:ascii="Tahoma" w:hAnsi="Tahoma" w:cs="Tahoma"/>
          <w:color w:val="auto"/>
          <w:sz w:val="18"/>
          <w:szCs w:val="18"/>
        </w:rPr>
        <w:t>Le società potranno riassegnare le licenze per Windows Intune (Per Dispositivo), ma non a breve termine, vale a dire non prima di 90 giorni dall</w:t>
      </w:r>
      <w:r w:rsidR="00F2643E">
        <w:rPr>
          <w:rFonts w:ascii="Tahoma" w:hAnsi="Tahoma" w:cs="Tahoma"/>
          <w:color w:val="auto"/>
          <w:sz w:val="18"/>
          <w:szCs w:val="18"/>
        </w:rPr>
        <w:t>’</w:t>
      </w:r>
      <w:r w:rsidRPr="00350D2E">
        <w:rPr>
          <w:rFonts w:ascii="Tahoma" w:hAnsi="Tahoma" w:cs="Tahoma"/>
          <w:color w:val="auto"/>
          <w:sz w:val="18"/>
          <w:szCs w:val="18"/>
        </w:rPr>
        <w:t>ultima cessione. Le società potranno riassegnare prima una licenza per</w:t>
      </w:r>
      <w:r w:rsidR="00350D2E">
        <w:rPr>
          <w:rFonts w:ascii="Tahoma" w:hAnsi="Tahoma" w:cs="Tahoma"/>
          <w:color w:val="auto"/>
          <w:sz w:val="18"/>
          <w:szCs w:val="18"/>
        </w:rPr>
        <w:t> </w:t>
      </w:r>
      <w:r w:rsidRPr="00350D2E">
        <w:rPr>
          <w:rFonts w:ascii="Tahoma" w:hAnsi="Tahoma" w:cs="Tahoma"/>
          <w:color w:val="auto"/>
          <w:sz w:val="18"/>
          <w:szCs w:val="18"/>
        </w:rPr>
        <w:t>Windows Intune (Per Dispositivo) nel caso in cui ritirino il dispositivo con licenza esistente a causa di un problema hardware permanente. Il dispositivo al quale viene riassegnata una licenza per Windows Intune (Per Dispositivo) dovrà soddisfare i requisiti del sistema operativo qualificante descritti sopra. Il software dovrà essere rimosso e l</w:t>
      </w:r>
      <w:r w:rsidR="00F2643E">
        <w:rPr>
          <w:rFonts w:ascii="Tahoma" w:hAnsi="Tahoma" w:cs="Tahoma"/>
          <w:color w:val="auto"/>
          <w:sz w:val="18"/>
          <w:szCs w:val="18"/>
        </w:rPr>
        <w:t>’</w:t>
      </w:r>
      <w:r w:rsidRPr="00350D2E">
        <w:rPr>
          <w:rFonts w:ascii="Tahoma" w:hAnsi="Tahoma" w:cs="Tahoma"/>
          <w:color w:val="auto"/>
          <w:sz w:val="18"/>
          <w:szCs w:val="18"/>
        </w:rPr>
        <w:t>utilizzo del servizio Windows Intune (Per Dispositivo) o l</w:t>
      </w:r>
      <w:r w:rsidR="00F2643E">
        <w:rPr>
          <w:rFonts w:ascii="Tahoma" w:hAnsi="Tahoma" w:cs="Tahoma"/>
          <w:color w:val="auto"/>
          <w:sz w:val="18"/>
          <w:szCs w:val="18"/>
        </w:rPr>
        <w:t>’</w:t>
      </w:r>
      <w:r w:rsidRPr="00350D2E">
        <w:rPr>
          <w:rFonts w:ascii="Tahoma" w:hAnsi="Tahoma" w:cs="Tahoma"/>
          <w:color w:val="auto"/>
          <w:sz w:val="18"/>
          <w:szCs w:val="18"/>
        </w:rPr>
        <w:t>accesso ad esso dovrà essere interrotto dal dispositivo dal quale viene riassegnata la licenza.</w:t>
      </w:r>
    </w:p>
    <w:p w:rsidR="00B24C9D" w:rsidRPr="00350D2E" w:rsidRDefault="00B24C9D" w:rsidP="00B24C9D">
      <w:pPr>
        <w:pStyle w:val="BodyText"/>
        <w:spacing w:before="0" w:after="0" w:line="240" w:lineRule="auto"/>
        <w:ind w:left="720"/>
        <w:rPr>
          <w:rFonts w:ascii="Tahoma" w:hAnsi="Tahoma" w:cs="Tahoma"/>
          <w:sz w:val="18"/>
          <w:szCs w:val="18"/>
        </w:rPr>
      </w:pPr>
    </w:p>
    <w:p w:rsidR="00B73A46" w:rsidRPr="00A75DF9" w:rsidRDefault="00B73A46" w:rsidP="00B24C9D">
      <w:pPr>
        <w:autoSpaceDN w:val="0"/>
        <w:ind w:left="720"/>
        <w:rPr>
          <w:rFonts w:cs="Tahoma"/>
        </w:rPr>
      </w:pPr>
      <w:r w:rsidRPr="00A75DF9">
        <w:rPr>
          <w:rFonts w:cs="Tahoma"/>
          <w:szCs w:val="18"/>
        </w:rPr>
        <w:t xml:space="preserve">Come eccezione ai requisiti del sistema operativo qualificante per Windows Intune (Per Dispositivo) concesso in licenza come </w:t>
      </w:r>
      <w:r w:rsidRPr="00A75DF9">
        <w:rPr>
          <w:rFonts w:cs="Tahoma"/>
        </w:rPr>
        <w:t xml:space="preserve">Servizio Online Enterprise per soddisfare i requisiti per i Prodotti, </w:t>
      </w:r>
      <w:r w:rsidRPr="00A75DF9">
        <w:rPr>
          <w:rFonts w:cs="Tahoma"/>
          <w:szCs w:val="18"/>
        </w:rPr>
        <w:t>le società</w:t>
      </w:r>
      <w:r w:rsidRPr="00A75DF9">
        <w:rPr>
          <w:rFonts w:cs="Tahoma"/>
          <w:strike/>
          <w:szCs w:val="18"/>
        </w:rPr>
        <w:t xml:space="preserve"> </w:t>
      </w:r>
      <w:r w:rsidRPr="00A75DF9">
        <w:rPr>
          <w:rFonts w:cs="Tahoma"/>
          <w:szCs w:val="18"/>
        </w:rPr>
        <w:t xml:space="preserve">potranno riassegnare le licenze per Windows Intune (Per Dispositivo) a uno dei seguenti dispositivi, purché abbiano la licenza per uno dei sistemi operativi qualificanti identificati nella colonna “Nuovo EA/OV-CW” della tabella precedente e tale sistema operativo qualificante sia installato su di essi: </w:t>
      </w:r>
    </w:p>
    <w:p w:rsidR="00B24C9D" w:rsidRPr="00A75DF9" w:rsidRDefault="00B24C9D" w:rsidP="00B24C9D">
      <w:pPr>
        <w:autoSpaceDN w:val="0"/>
        <w:ind w:left="720"/>
        <w:rPr>
          <w:rFonts w:cs="Tahoma"/>
        </w:rPr>
      </w:pPr>
    </w:p>
    <w:p w:rsidR="00B73A46" w:rsidRPr="00A75DF9" w:rsidRDefault="00B73A46" w:rsidP="00346F4B">
      <w:pPr>
        <w:numPr>
          <w:ilvl w:val="3"/>
          <w:numId w:val="27"/>
        </w:numPr>
        <w:autoSpaceDN w:val="0"/>
        <w:spacing w:after="60"/>
        <w:ind w:left="1440"/>
        <w:rPr>
          <w:rFonts w:cs="Tahoma"/>
        </w:rPr>
      </w:pPr>
      <w:r w:rsidRPr="00A75DF9">
        <w:rPr>
          <w:rFonts w:cs="Tahoma"/>
          <w:szCs w:val="18"/>
        </w:rPr>
        <w:t xml:space="preserve">dispositivi che il licenziatario acquista in seguito a una fusione o acquisizione e </w:t>
      </w:r>
    </w:p>
    <w:p w:rsidR="00DA7284" w:rsidRPr="00A75DF9" w:rsidRDefault="00B73A46" w:rsidP="00346F4B">
      <w:pPr>
        <w:numPr>
          <w:ilvl w:val="3"/>
          <w:numId w:val="27"/>
        </w:numPr>
        <w:autoSpaceDN w:val="0"/>
        <w:spacing w:after="60"/>
        <w:ind w:left="1440"/>
        <w:rPr>
          <w:rFonts w:cs="Tahoma"/>
        </w:rPr>
      </w:pPr>
      <w:r w:rsidRPr="00A75DF9">
        <w:rPr>
          <w:rFonts w:cs="Tahoma"/>
          <w:szCs w:val="18"/>
        </w:rPr>
        <w:t>dispositivi di proprietà dei collaboratori e dei dipendenti.</w:t>
      </w:r>
    </w:p>
    <w:p w:rsidR="00A84DF7" w:rsidRPr="00A75DF9" w:rsidRDefault="00A84DF7" w:rsidP="00A84DF7">
      <w:pPr>
        <w:autoSpaceDN w:val="0"/>
        <w:spacing w:after="60"/>
        <w:rPr>
          <w:rFonts w:cs="Tahoma"/>
        </w:rPr>
      </w:pPr>
    </w:p>
    <w:p w:rsidR="00B73A46" w:rsidRPr="00A75DF9" w:rsidRDefault="00B73A46" w:rsidP="00A84DF7">
      <w:pPr>
        <w:pStyle w:val="FootnoteBulletLevel1"/>
        <w:tabs>
          <w:tab w:val="clear" w:pos="900"/>
        </w:tabs>
        <w:adjustRightInd/>
        <w:spacing w:before="0" w:after="60"/>
        <w:ind w:left="720" w:firstLine="0"/>
        <w:textAlignment w:val="auto"/>
        <w:rPr>
          <w:rFonts w:ascii="Tahoma" w:hAnsi="Tahoma" w:cs="Tahoma"/>
        </w:rPr>
      </w:pPr>
      <w:r w:rsidRPr="00A75DF9">
        <w:rPr>
          <w:rFonts w:ascii="Tahoma" w:hAnsi="Tahoma" w:cs="Tahoma"/>
          <w:b/>
          <w:bCs/>
          <w:sz w:val="18"/>
          <w:szCs w:val="18"/>
        </w:rPr>
        <w:t>Software Assurance per</w:t>
      </w:r>
      <w:r w:rsidRPr="00A75DF9">
        <w:rPr>
          <w:rFonts w:ascii="Tahoma" w:hAnsi="Tahoma" w:cs="Tahoma"/>
          <w:b/>
          <w:bCs/>
          <w:i/>
          <w:iCs/>
          <w:sz w:val="18"/>
          <w:szCs w:val="18"/>
        </w:rPr>
        <w:t xml:space="preserve"> </w:t>
      </w:r>
      <w:r w:rsidRPr="00A75DF9">
        <w:rPr>
          <w:rFonts w:ascii="Tahoma" w:hAnsi="Tahoma" w:cs="Tahoma"/>
          <w:b/>
          <w:bCs/>
          <w:sz w:val="18"/>
          <w:szCs w:val="18"/>
        </w:rPr>
        <w:t>Windows 8 Pro</w:t>
      </w:r>
      <w:r w:rsidRPr="00A75DF9">
        <w:rPr>
          <w:rFonts w:ascii="Tahoma" w:hAnsi="Tahoma" w:cs="Tahoma"/>
          <w:b/>
          <w:sz w:val="18"/>
          <w:szCs w:val="18"/>
          <w:u w:val="single"/>
        </w:rPr>
        <w:t xml:space="preserve"> </w:t>
      </w:r>
    </w:p>
    <w:p w:rsidR="00B73A46" w:rsidRPr="00350D2E" w:rsidRDefault="00B73A46" w:rsidP="00A84DF7">
      <w:pPr>
        <w:pStyle w:val="FootnoteBulletLevel1"/>
        <w:spacing w:before="0" w:after="0"/>
        <w:ind w:left="720" w:firstLine="0"/>
        <w:rPr>
          <w:rFonts w:ascii="Tahoma" w:hAnsi="Tahoma" w:cs="Tahoma"/>
          <w:sz w:val="18"/>
          <w:szCs w:val="18"/>
        </w:rPr>
      </w:pPr>
      <w:r w:rsidRPr="00350D2E">
        <w:rPr>
          <w:rFonts w:ascii="Tahoma" w:hAnsi="Tahoma" w:cs="Tahoma"/>
          <w:sz w:val="18"/>
          <w:szCs w:val="18"/>
        </w:rPr>
        <w:t>Le società che intendono iscriversi a Software Assurance per Windows 8 Pro dispongono delle seguenti opzioni:</w:t>
      </w:r>
    </w:p>
    <w:p w:rsidR="00A84DF7" w:rsidRPr="00350D2E" w:rsidRDefault="00A84DF7" w:rsidP="00A84DF7">
      <w:pPr>
        <w:pStyle w:val="FootnoteBulletLevel1"/>
        <w:spacing w:before="0" w:after="0"/>
        <w:ind w:left="720" w:firstLine="0"/>
        <w:rPr>
          <w:rFonts w:ascii="Tahoma" w:hAnsi="Tahoma" w:cs="Tahoma"/>
          <w:sz w:val="18"/>
          <w:szCs w:val="18"/>
        </w:rPr>
      </w:pPr>
    </w:p>
    <w:p w:rsidR="00A84DF7" w:rsidRPr="00350D2E" w:rsidRDefault="00B73A46" w:rsidP="00346F4B">
      <w:pPr>
        <w:pStyle w:val="FootnoteBulletLevel1"/>
        <w:numPr>
          <w:ilvl w:val="0"/>
          <w:numId w:val="29"/>
        </w:numPr>
        <w:adjustRightInd/>
        <w:spacing w:before="0" w:after="60"/>
        <w:textAlignment w:val="auto"/>
        <w:rPr>
          <w:rFonts w:ascii="Tahoma" w:hAnsi="Tahoma" w:cs="Tahoma"/>
          <w:sz w:val="18"/>
          <w:szCs w:val="18"/>
        </w:rPr>
      </w:pPr>
      <w:r w:rsidRPr="00350D2E">
        <w:rPr>
          <w:rFonts w:ascii="Tahoma" w:hAnsi="Tahoma" w:cs="Tahoma"/>
          <w:sz w:val="18"/>
          <w:szCs w:val="18"/>
        </w:rPr>
        <w:t>Programmi Select, Open Value (opzione non per l</w:t>
      </w:r>
      <w:r w:rsidR="00F2643E">
        <w:rPr>
          <w:rFonts w:ascii="Tahoma" w:hAnsi="Tahoma" w:cs="Tahoma"/>
          <w:sz w:val="18"/>
          <w:szCs w:val="18"/>
        </w:rPr>
        <w:t>’</w:t>
      </w:r>
      <w:r w:rsidRPr="00350D2E">
        <w:rPr>
          <w:rFonts w:ascii="Tahoma" w:hAnsi="Tahoma" w:cs="Tahoma"/>
          <w:sz w:val="18"/>
          <w:szCs w:val="18"/>
        </w:rPr>
        <w:t xml:space="preserve">intera azienda) e Open License </w:t>
      </w:r>
    </w:p>
    <w:p w:rsidR="00B73A46" w:rsidRPr="00350D2E" w:rsidRDefault="00B73A46" w:rsidP="00346F4B">
      <w:pPr>
        <w:numPr>
          <w:ilvl w:val="0"/>
          <w:numId w:val="30"/>
        </w:numPr>
        <w:spacing w:after="60"/>
        <w:ind w:left="1800"/>
        <w:rPr>
          <w:rFonts w:cs="Tahoma"/>
          <w:szCs w:val="18"/>
        </w:rPr>
      </w:pPr>
      <w:r w:rsidRPr="00350D2E">
        <w:rPr>
          <w:rFonts w:cs="Tahoma"/>
          <w:szCs w:val="18"/>
          <w:bdr w:val="none" w:sz="0" w:space="0" w:color="auto" w:frame="1"/>
        </w:rPr>
        <w:t>Acquistare la copertura Software Assurance per Windows 8 Pro o Windows 7 Professional (32 bit o 64 bit o edizioni N, K o KN) tramite licenza OEM, Retail Get Genuine Windows Agreement (GGWA) (anche conosciuta, in alcuni paesi, come “Get Genuine Solution”) entro 90 giorni dalla data di acquisto della licenza OEM, Retail o GGWA (a partire dal 1 settembre 2009).</w:t>
      </w:r>
    </w:p>
    <w:p w:rsidR="00B73A46" w:rsidRPr="00350D2E" w:rsidRDefault="00B73A46" w:rsidP="00346F4B">
      <w:pPr>
        <w:pStyle w:val="Footnotedash"/>
        <w:numPr>
          <w:ilvl w:val="0"/>
          <w:numId w:val="30"/>
        </w:numPr>
        <w:adjustRightInd/>
        <w:spacing w:before="0"/>
        <w:ind w:left="1800"/>
        <w:textAlignment w:val="auto"/>
        <w:rPr>
          <w:rFonts w:ascii="Tahoma" w:hAnsi="Tahoma" w:cs="Tahoma"/>
          <w:sz w:val="18"/>
          <w:szCs w:val="18"/>
        </w:rPr>
      </w:pPr>
      <w:r w:rsidRPr="00350D2E">
        <w:rPr>
          <w:rFonts w:ascii="Tahoma" w:hAnsi="Tahoma" w:cs="Tahoma"/>
          <w:sz w:val="18"/>
          <w:szCs w:val="18"/>
        </w:rPr>
        <w:t xml:space="preserve">Rinnovare Software Assurance per il sistema operativo desktop alla scadenza della copertura Software Assurance per Windows 8 Pro o Windows 7 Professional. </w:t>
      </w:r>
    </w:p>
    <w:p w:rsidR="00B73A46" w:rsidRPr="00350D2E" w:rsidRDefault="00B73A46" w:rsidP="00A84DF7">
      <w:pPr>
        <w:pStyle w:val="Footnotedash"/>
        <w:spacing w:before="0" w:after="0"/>
        <w:ind w:left="720" w:firstLine="0"/>
        <w:rPr>
          <w:rFonts w:ascii="Tahoma" w:hAnsi="Tahoma" w:cs="Tahoma"/>
          <w:sz w:val="18"/>
          <w:szCs w:val="18"/>
        </w:rPr>
      </w:pPr>
      <w:r w:rsidRPr="00350D2E">
        <w:rPr>
          <w:rFonts w:ascii="Tahoma" w:hAnsi="Tahoma" w:cs="Tahoma"/>
          <w:sz w:val="18"/>
          <w:szCs w:val="18"/>
        </w:rPr>
        <w:t>Il periodo di tempo indicato in precedenza potrebbe essere prorogato per finalità promozionali per un tempo limitato. Per ulteriori dettagli, consultare l</w:t>
      </w:r>
      <w:r w:rsidR="00F2643E">
        <w:rPr>
          <w:rFonts w:ascii="Tahoma" w:hAnsi="Tahoma" w:cs="Tahoma"/>
          <w:sz w:val="18"/>
          <w:szCs w:val="18"/>
        </w:rPr>
        <w:t>’</w:t>
      </w:r>
      <w:hyperlink w:anchor="_SECTION_3_–" w:history="1">
        <w:r w:rsidRPr="00350D2E">
          <w:rPr>
            <w:rStyle w:val="Hyperlink"/>
            <w:rFonts w:ascii="Tahoma" w:hAnsi="Tahoma" w:cs="Tahoma"/>
            <w:color w:val="auto"/>
            <w:sz w:val="18"/>
            <w:szCs w:val="18"/>
            <w:u w:val="none"/>
          </w:rPr>
          <w:t>Articolo 3</w:t>
        </w:r>
      </w:hyperlink>
      <w:r w:rsidRPr="00350D2E">
        <w:rPr>
          <w:rFonts w:ascii="Tahoma" w:hAnsi="Tahoma" w:cs="Tahoma"/>
          <w:sz w:val="18"/>
          <w:szCs w:val="18"/>
        </w:rPr>
        <w:t>.</w:t>
      </w:r>
    </w:p>
    <w:p w:rsidR="00A84DF7" w:rsidRPr="00350D2E" w:rsidRDefault="00A84DF7" w:rsidP="00A84DF7">
      <w:pPr>
        <w:pStyle w:val="Footnotedash"/>
        <w:spacing w:before="0" w:after="0"/>
        <w:ind w:left="720" w:firstLine="0"/>
        <w:rPr>
          <w:rFonts w:ascii="Tahoma" w:hAnsi="Tahoma" w:cs="Tahoma"/>
          <w:sz w:val="18"/>
          <w:szCs w:val="18"/>
        </w:rPr>
      </w:pPr>
    </w:p>
    <w:p w:rsidR="00B73A46" w:rsidRPr="00350D2E" w:rsidRDefault="00B73A46" w:rsidP="00346F4B">
      <w:pPr>
        <w:pStyle w:val="FootnoteBulletLevel2"/>
        <w:numPr>
          <w:ilvl w:val="0"/>
          <w:numId w:val="25"/>
        </w:numPr>
        <w:adjustRightInd/>
        <w:spacing w:before="0"/>
        <w:ind w:left="1440"/>
        <w:textAlignment w:val="auto"/>
        <w:rPr>
          <w:rFonts w:ascii="Tahoma" w:hAnsi="Tahoma" w:cs="Tahoma"/>
          <w:sz w:val="18"/>
          <w:szCs w:val="18"/>
        </w:rPr>
      </w:pPr>
      <w:r w:rsidRPr="00350D2E">
        <w:rPr>
          <w:rFonts w:ascii="Tahoma" w:hAnsi="Tahoma" w:cs="Tahoma"/>
          <w:sz w:val="18"/>
          <w:szCs w:val="18"/>
        </w:rPr>
        <w:t>Iscrizioni Enterprise: alla scadenza di un</w:t>
      </w:r>
      <w:r w:rsidR="00F2643E">
        <w:rPr>
          <w:rFonts w:ascii="Tahoma" w:hAnsi="Tahoma" w:cs="Tahoma"/>
          <w:sz w:val="18"/>
          <w:szCs w:val="18"/>
        </w:rPr>
        <w:t>’</w:t>
      </w:r>
      <w:r w:rsidRPr="00350D2E">
        <w:rPr>
          <w:rFonts w:ascii="Tahoma" w:hAnsi="Tahoma" w:cs="Tahoma"/>
          <w:sz w:val="18"/>
          <w:szCs w:val="18"/>
        </w:rPr>
        <w:t>Iscrizione Enterprise già esistente relativa al Sistema Operativo Windows Desktop, è possibile rinnovare tale copertura con una nuova Iscrizione Enterprise per il Sistema Operativo Windows Desktop.</w:t>
      </w:r>
    </w:p>
    <w:p w:rsidR="00A84DF7" w:rsidRPr="00350D2E" w:rsidRDefault="00A84DF7" w:rsidP="00A84DF7">
      <w:pPr>
        <w:pStyle w:val="FootnoteBulletLevel2"/>
        <w:tabs>
          <w:tab w:val="clear" w:pos="1260"/>
        </w:tabs>
        <w:adjustRightInd/>
        <w:spacing w:before="0"/>
        <w:ind w:left="0" w:firstLine="0"/>
        <w:textAlignment w:val="auto"/>
        <w:rPr>
          <w:rFonts w:ascii="Tahoma" w:hAnsi="Tahoma" w:cs="Tahoma"/>
          <w:sz w:val="18"/>
          <w:szCs w:val="18"/>
        </w:rPr>
      </w:pPr>
    </w:p>
    <w:p w:rsidR="002F7FB8" w:rsidRPr="00A75DF9" w:rsidRDefault="002F7FB8" w:rsidP="00846611">
      <w:pPr>
        <w:pStyle w:val="FootnoteBulletLevel1"/>
        <w:tabs>
          <w:tab w:val="clear" w:pos="900"/>
        </w:tabs>
        <w:adjustRightInd/>
        <w:spacing w:before="0" w:after="60"/>
        <w:ind w:left="720" w:firstLine="0"/>
        <w:textAlignment w:val="auto"/>
        <w:rPr>
          <w:rFonts w:ascii="Tahoma" w:hAnsi="Tahoma" w:cs="Tahoma"/>
        </w:rPr>
      </w:pPr>
      <w:r w:rsidRPr="00A75DF9">
        <w:rPr>
          <w:rFonts w:ascii="Tahoma" w:hAnsi="Tahoma" w:cs="Tahoma"/>
          <w:b/>
          <w:bCs/>
          <w:sz w:val="18"/>
          <w:szCs w:val="18"/>
        </w:rPr>
        <w:t>Aggiornamento per Windows 8 Pro e Software Assurance</w:t>
      </w:r>
    </w:p>
    <w:p w:rsidR="002F7FB8" w:rsidRPr="00A75DF9" w:rsidRDefault="002F7FB8" w:rsidP="00846611">
      <w:pPr>
        <w:pStyle w:val="FootnoteBulletLevel1"/>
        <w:spacing w:before="0" w:after="0"/>
        <w:ind w:left="720" w:firstLine="0"/>
        <w:rPr>
          <w:rFonts w:ascii="Tahoma" w:hAnsi="Tahoma" w:cs="Tahoma"/>
        </w:rPr>
      </w:pPr>
      <w:r w:rsidRPr="00A75DF9">
        <w:rPr>
          <w:rFonts w:ascii="Tahoma" w:hAnsi="Tahoma" w:cs="Tahoma"/>
          <w:sz w:val="18"/>
          <w:szCs w:val="18"/>
          <w:u w:val="single"/>
        </w:rPr>
        <w:t>Licenza di Aggiornamento per il Sistema Operativo (OS)</w:t>
      </w:r>
    </w:p>
    <w:p w:rsidR="002F7FB8" w:rsidRPr="00350D2E" w:rsidRDefault="002F7FB8" w:rsidP="00350D2E">
      <w:pPr>
        <w:pStyle w:val="FootnoteBulletLevel2"/>
        <w:tabs>
          <w:tab w:val="clear" w:pos="1260"/>
        </w:tabs>
        <w:adjustRightInd/>
        <w:spacing w:before="0"/>
        <w:ind w:left="720" w:firstLine="0"/>
        <w:textAlignment w:val="auto"/>
        <w:rPr>
          <w:rFonts w:ascii="Tahoma" w:hAnsi="Tahoma" w:cs="Tahoma"/>
          <w:sz w:val="18"/>
          <w:szCs w:val="18"/>
        </w:rPr>
      </w:pPr>
      <w:r w:rsidRPr="00350D2E">
        <w:rPr>
          <w:rFonts w:ascii="Tahoma" w:hAnsi="Tahoma" w:cs="Tahoma"/>
          <w:sz w:val="18"/>
          <w:szCs w:val="18"/>
        </w:rPr>
        <w:t>Le licenze per sistemi operativi desktop fornite in base ai presenti programmi sono unicamente licenze di</w:t>
      </w:r>
      <w:r w:rsidR="00350D2E">
        <w:rPr>
          <w:rFonts w:ascii="Tahoma" w:hAnsi="Tahoma" w:cs="Tahoma"/>
          <w:sz w:val="18"/>
          <w:szCs w:val="18"/>
        </w:rPr>
        <w:t> </w:t>
      </w:r>
      <w:r w:rsidRPr="00350D2E">
        <w:rPr>
          <w:rFonts w:ascii="Tahoma" w:hAnsi="Tahoma" w:cs="Tahoma"/>
          <w:sz w:val="18"/>
          <w:szCs w:val="18"/>
        </w:rPr>
        <w:t>aggiornamento. I presenti programmi non prevedono licenze complete per sistemi operativi desktop. Pertanto, la società dovrà avere ottenuto in licenza e installato su ogni desktop per il quale acquista e sul quale eseguirà l</w:t>
      </w:r>
      <w:r w:rsidR="00F2643E">
        <w:rPr>
          <w:rFonts w:ascii="Tahoma" w:hAnsi="Tahoma" w:cs="Tahoma"/>
          <w:sz w:val="18"/>
          <w:szCs w:val="18"/>
        </w:rPr>
        <w:t>’</w:t>
      </w:r>
      <w:r w:rsidRPr="00350D2E">
        <w:rPr>
          <w:rFonts w:ascii="Tahoma" w:hAnsi="Tahoma" w:cs="Tahoma"/>
          <w:sz w:val="18"/>
          <w:szCs w:val="18"/>
        </w:rPr>
        <w:t>Aggiornamento per Windows 8 Pro uno dei sistemi operativi qualificanti applicabili indicati nella precedente tabella.</w:t>
      </w:r>
    </w:p>
    <w:p w:rsidR="00846611" w:rsidRPr="00350D2E" w:rsidRDefault="00846611" w:rsidP="00846611">
      <w:pPr>
        <w:pStyle w:val="FootnoteBulletLevel2"/>
        <w:tabs>
          <w:tab w:val="clear" w:pos="1260"/>
        </w:tabs>
        <w:adjustRightInd/>
        <w:spacing w:before="0"/>
        <w:ind w:left="720" w:firstLine="0"/>
        <w:textAlignment w:val="auto"/>
        <w:rPr>
          <w:rFonts w:ascii="Tahoma" w:hAnsi="Tahoma" w:cs="Tahoma"/>
          <w:sz w:val="18"/>
          <w:szCs w:val="18"/>
        </w:rPr>
      </w:pPr>
    </w:p>
    <w:p w:rsidR="002F7FB8" w:rsidRPr="00350D2E" w:rsidRDefault="002F7FB8" w:rsidP="00846611">
      <w:pPr>
        <w:pStyle w:val="FootnoteBulletLevel2"/>
        <w:tabs>
          <w:tab w:val="clear" w:pos="1260"/>
        </w:tabs>
        <w:adjustRightInd/>
        <w:spacing w:before="0"/>
        <w:ind w:left="720" w:firstLine="0"/>
        <w:textAlignment w:val="auto"/>
        <w:rPr>
          <w:rFonts w:ascii="Tahoma" w:hAnsi="Tahoma" w:cs="Tahoma"/>
          <w:sz w:val="18"/>
          <w:szCs w:val="18"/>
        </w:rPr>
      </w:pPr>
      <w:r w:rsidRPr="00350D2E">
        <w:rPr>
          <w:rFonts w:ascii="Tahoma" w:hAnsi="Tahoma" w:cs="Tahoma"/>
          <w:sz w:val="18"/>
          <w:szCs w:val="18"/>
        </w:rPr>
        <w:t>Le società che intendono acquistare l</w:t>
      </w:r>
      <w:r w:rsidR="00F2643E">
        <w:rPr>
          <w:rFonts w:ascii="Tahoma" w:hAnsi="Tahoma" w:cs="Tahoma"/>
          <w:sz w:val="18"/>
          <w:szCs w:val="18"/>
        </w:rPr>
        <w:t>’</w:t>
      </w:r>
      <w:r w:rsidRPr="00350D2E">
        <w:rPr>
          <w:rFonts w:ascii="Tahoma" w:hAnsi="Tahoma" w:cs="Tahoma"/>
          <w:sz w:val="18"/>
          <w:szCs w:val="18"/>
        </w:rPr>
        <w:t>Aggiornamento e Software Assurance per Windows 8 Pro dispongono delle seguenti opzioni:</w:t>
      </w:r>
    </w:p>
    <w:p w:rsidR="00B04B81" w:rsidRPr="00350D2E" w:rsidRDefault="00B04B81" w:rsidP="00846611">
      <w:pPr>
        <w:pStyle w:val="FootnoteBulletLevel2"/>
        <w:tabs>
          <w:tab w:val="clear" w:pos="1260"/>
        </w:tabs>
        <w:adjustRightInd/>
        <w:spacing w:before="0"/>
        <w:ind w:left="720" w:firstLine="0"/>
        <w:textAlignment w:val="auto"/>
        <w:rPr>
          <w:rFonts w:ascii="Tahoma" w:hAnsi="Tahoma" w:cs="Tahoma"/>
          <w:sz w:val="18"/>
          <w:szCs w:val="18"/>
        </w:rPr>
      </w:pPr>
    </w:p>
    <w:p w:rsidR="002F7FB8" w:rsidRPr="00350D2E" w:rsidRDefault="002F7FB8" w:rsidP="00346F4B">
      <w:pPr>
        <w:pStyle w:val="FootnoteBulletLevel2"/>
        <w:numPr>
          <w:ilvl w:val="0"/>
          <w:numId w:val="25"/>
        </w:numPr>
        <w:adjustRightInd/>
        <w:spacing w:before="0" w:after="60"/>
        <w:ind w:left="1440"/>
        <w:textAlignment w:val="auto"/>
        <w:rPr>
          <w:rFonts w:ascii="Tahoma" w:hAnsi="Tahoma" w:cs="Tahoma"/>
          <w:sz w:val="18"/>
          <w:szCs w:val="18"/>
        </w:rPr>
      </w:pPr>
      <w:r w:rsidRPr="00350D2E">
        <w:rPr>
          <w:rFonts w:ascii="Tahoma" w:hAnsi="Tahoma" w:cs="Tahoma"/>
          <w:sz w:val="18"/>
          <w:szCs w:val="18"/>
        </w:rPr>
        <w:t>Programmi Select, Open Value (opzione non per l</w:t>
      </w:r>
      <w:r w:rsidR="00F2643E">
        <w:rPr>
          <w:rFonts w:ascii="Tahoma" w:hAnsi="Tahoma" w:cs="Tahoma"/>
          <w:sz w:val="18"/>
          <w:szCs w:val="18"/>
        </w:rPr>
        <w:t>’</w:t>
      </w:r>
      <w:r w:rsidRPr="00350D2E">
        <w:rPr>
          <w:rFonts w:ascii="Tahoma" w:hAnsi="Tahoma" w:cs="Tahoma"/>
          <w:sz w:val="18"/>
          <w:szCs w:val="18"/>
        </w:rPr>
        <w:t>intera azienda) e Open License:</w:t>
      </w:r>
    </w:p>
    <w:p w:rsidR="002F7FB8" w:rsidRPr="00350D2E" w:rsidRDefault="002F7FB8" w:rsidP="00346F4B">
      <w:pPr>
        <w:pStyle w:val="Footnotedash"/>
        <w:numPr>
          <w:ilvl w:val="1"/>
          <w:numId w:val="31"/>
        </w:numPr>
        <w:spacing w:before="0"/>
        <w:ind w:left="1800"/>
        <w:rPr>
          <w:rFonts w:ascii="Tahoma" w:hAnsi="Tahoma" w:cs="Tahoma"/>
          <w:sz w:val="18"/>
          <w:szCs w:val="18"/>
        </w:rPr>
      </w:pPr>
      <w:r w:rsidRPr="00350D2E">
        <w:rPr>
          <w:rFonts w:ascii="Tahoma" w:eastAsia="Calibri" w:hAnsi="Tahoma" w:cs="Tahoma"/>
          <w:color w:val="000000"/>
          <w:sz w:val="18"/>
          <w:szCs w:val="18"/>
        </w:rPr>
        <w:t>Acquistare l</w:t>
      </w:r>
      <w:r w:rsidR="00F2643E">
        <w:rPr>
          <w:rFonts w:ascii="Tahoma" w:eastAsia="Calibri" w:hAnsi="Tahoma" w:cs="Tahoma"/>
          <w:color w:val="000000"/>
          <w:sz w:val="18"/>
          <w:szCs w:val="18"/>
        </w:rPr>
        <w:t>’</w:t>
      </w:r>
      <w:r w:rsidRPr="00350D2E">
        <w:rPr>
          <w:rFonts w:ascii="Tahoma" w:eastAsia="Calibri" w:hAnsi="Tahoma" w:cs="Tahoma"/>
          <w:color w:val="000000"/>
          <w:sz w:val="18"/>
          <w:szCs w:val="18"/>
        </w:rPr>
        <w:t>Aggiornamento e Software Assurance per Windows 8 Pro per i desktop per i quali la società ha ottenuto in licenza e installato uno dei sistemi operativi qualificanti elencati nella precedente tabella degli Aggiornamenti per Windows.</w:t>
      </w:r>
    </w:p>
    <w:p w:rsidR="002F7FB8" w:rsidRPr="00350D2E" w:rsidRDefault="002F7FB8" w:rsidP="00346F4B">
      <w:pPr>
        <w:pStyle w:val="Footnotedash"/>
        <w:numPr>
          <w:ilvl w:val="2"/>
          <w:numId w:val="85"/>
        </w:numPr>
        <w:spacing w:before="0"/>
        <w:ind w:left="1800"/>
        <w:rPr>
          <w:rFonts w:ascii="Tahoma" w:hAnsi="Tahoma" w:cs="Tahoma"/>
          <w:sz w:val="18"/>
          <w:szCs w:val="18"/>
        </w:rPr>
      </w:pPr>
      <w:r w:rsidRPr="00350D2E">
        <w:rPr>
          <w:rFonts w:ascii="Tahoma" w:eastAsia="Calibri" w:hAnsi="Tahoma" w:cs="Tahoma"/>
          <w:color w:val="000000"/>
          <w:sz w:val="18"/>
          <w:szCs w:val="18"/>
        </w:rPr>
        <w:t>La società potrà riassegnare la copertura Software Assurance per i sistemi operativi desktop dal desktop originale a un desktop sostitutivo, ma non a breve termine, ovvero non entro 90 giorni dall</w:t>
      </w:r>
      <w:r w:rsidR="00F2643E">
        <w:rPr>
          <w:rFonts w:ascii="Tahoma" w:eastAsia="Calibri" w:hAnsi="Tahoma" w:cs="Tahoma"/>
          <w:color w:val="000000"/>
          <w:sz w:val="18"/>
          <w:szCs w:val="18"/>
        </w:rPr>
        <w:t>’</w:t>
      </w:r>
      <w:r w:rsidRPr="00350D2E">
        <w:rPr>
          <w:rFonts w:ascii="Tahoma" w:eastAsia="Calibri" w:hAnsi="Tahoma" w:cs="Tahoma"/>
          <w:color w:val="000000"/>
          <w:sz w:val="18"/>
          <w:szCs w:val="18"/>
        </w:rPr>
        <w:t>ultima cessione, a condizione che (1) la società abbia ottenuto in licenza e installato sul desktop sostitutivo l</w:t>
      </w:r>
      <w:r w:rsidR="00F2643E">
        <w:rPr>
          <w:rFonts w:ascii="Tahoma" w:eastAsia="Calibri" w:hAnsi="Tahoma" w:cs="Tahoma"/>
          <w:color w:val="000000"/>
          <w:sz w:val="18"/>
          <w:szCs w:val="18"/>
        </w:rPr>
        <w:t>’</w:t>
      </w:r>
      <w:r w:rsidRPr="00350D2E">
        <w:rPr>
          <w:rFonts w:ascii="Tahoma" w:eastAsia="Calibri" w:hAnsi="Tahoma" w:cs="Tahoma"/>
          <w:color w:val="000000"/>
          <w:sz w:val="18"/>
          <w:szCs w:val="18"/>
        </w:rPr>
        <w:t>ultima versione del sistema operativo e (2) la società rimuova qualsiasi aggiornamento del sistema operativo desktop correlato dal desktop originale.</w:t>
      </w:r>
    </w:p>
    <w:p w:rsidR="00A84DF7" w:rsidRPr="00350D2E" w:rsidRDefault="002F7FB8" w:rsidP="00346F4B">
      <w:pPr>
        <w:pStyle w:val="FootnoteBulletLevel2"/>
        <w:numPr>
          <w:ilvl w:val="0"/>
          <w:numId w:val="25"/>
        </w:numPr>
        <w:adjustRightInd/>
        <w:spacing w:before="0" w:after="60"/>
        <w:ind w:left="1440"/>
        <w:textAlignment w:val="auto"/>
        <w:rPr>
          <w:rFonts w:ascii="Tahoma" w:hAnsi="Tahoma" w:cs="Tahoma"/>
          <w:sz w:val="18"/>
          <w:szCs w:val="18"/>
        </w:rPr>
      </w:pPr>
      <w:r w:rsidRPr="00350D2E">
        <w:rPr>
          <w:rFonts w:ascii="Tahoma" w:hAnsi="Tahoma" w:cs="Tahoma"/>
          <w:sz w:val="18"/>
          <w:szCs w:val="18"/>
        </w:rPr>
        <w:lastRenderedPageBreak/>
        <w:t>Iscrizioni Enterprise e Contratti Open Value per l</w:t>
      </w:r>
      <w:r w:rsidR="00F2643E">
        <w:rPr>
          <w:rFonts w:ascii="Tahoma" w:hAnsi="Tahoma" w:cs="Tahoma"/>
          <w:sz w:val="18"/>
          <w:szCs w:val="18"/>
        </w:rPr>
        <w:t>’</w:t>
      </w:r>
      <w:r w:rsidRPr="00350D2E">
        <w:rPr>
          <w:rFonts w:ascii="Tahoma" w:hAnsi="Tahoma" w:cs="Tahoma"/>
          <w:sz w:val="18"/>
          <w:szCs w:val="18"/>
        </w:rPr>
        <w:t>intera organizzazione (perpetui e subscription):</w:t>
      </w:r>
    </w:p>
    <w:p w:rsidR="00A84DF7" w:rsidRPr="00350D2E" w:rsidRDefault="002F7FB8" w:rsidP="00346F4B">
      <w:pPr>
        <w:pStyle w:val="Footnotedash"/>
        <w:numPr>
          <w:ilvl w:val="1"/>
          <w:numId w:val="31"/>
        </w:numPr>
        <w:spacing w:before="0"/>
        <w:ind w:left="1800"/>
        <w:rPr>
          <w:rFonts w:ascii="Tahoma" w:hAnsi="Tahoma" w:cs="Tahoma"/>
          <w:sz w:val="18"/>
          <w:szCs w:val="18"/>
        </w:rPr>
      </w:pPr>
      <w:r w:rsidRPr="00350D2E">
        <w:rPr>
          <w:rFonts w:ascii="Tahoma" w:eastAsia="Calibri" w:hAnsi="Tahoma" w:cs="Tahoma"/>
          <w:color w:val="000000"/>
          <w:sz w:val="18"/>
          <w:szCs w:val="18"/>
        </w:rPr>
        <w:t xml:space="preserve">Iscrizioni Enterprise Iniziali o Contratti Open Value (base installata): </w:t>
      </w:r>
    </w:p>
    <w:p w:rsidR="00A84DF7" w:rsidRPr="00350D2E" w:rsidRDefault="002F7FB8" w:rsidP="00A932BB">
      <w:pPr>
        <w:pStyle w:val="Footnotedash"/>
        <w:numPr>
          <w:ilvl w:val="1"/>
          <w:numId w:val="31"/>
        </w:numPr>
        <w:spacing w:before="0"/>
        <w:ind w:left="1800"/>
        <w:rPr>
          <w:rFonts w:ascii="Tahoma" w:hAnsi="Tahoma" w:cs="Tahoma"/>
          <w:sz w:val="18"/>
          <w:szCs w:val="18"/>
        </w:rPr>
      </w:pPr>
      <w:r w:rsidRPr="00350D2E">
        <w:rPr>
          <w:rFonts w:ascii="Tahoma" w:eastAsia="Calibri" w:hAnsi="Tahoma" w:cs="Tahoma"/>
          <w:color w:val="000000"/>
          <w:sz w:val="18"/>
          <w:szCs w:val="18"/>
        </w:rPr>
        <w:t>Acquistare l</w:t>
      </w:r>
      <w:r w:rsidR="00F2643E">
        <w:rPr>
          <w:rFonts w:ascii="Tahoma" w:eastAsia="Calibri" w:hAnsi="Tahoma" w:cs="Tahoma"/>
          <w:color w:val="000000"/>
          <w:sz w:val="18"/>
          <w:szCs w:val="18"/>
        </w:rPr>
        <w:t>’</w:t>
      </w:r>
      <w:r w:rsidRPr="00350D2E">
        <w:rPr>
          <w:rFonts w:ascii="Tahoma" w:eastAsia="Calibri" w:hAnsi="Tahoma" w:cs="Tahoma"/>
          <w:color w:val="000000"/>
          <w:sz w:val="18"/>
          <w:szCs w:val="18"/>
        </w:rPr>
        <w:t>Aggiornamento per Windows 8 Pro e Software Assurance per tutti i desktop qualificati della base installata. La “base installata” è costituita da tutti i desktop qualificati della società e delle consociate della società alla data di entrata in vigore dell</w:t>
      </w:r>
      <w:r w:rsidR="00F2643E">
        <w:rPr>
          <w:rFonts w:ascii="Tahoma" w:eastAsia="Calibri" w:hAnsi="Tahoma" w:cs="Tahoma"/>
          <w:color w:val="000000"/>
          <w:sz w:val="18"/>
          <w:szCs w:val="18"/>
        </w:rPr>
        <w:t>’</w:t>
      </w:r>
      <w:r w:rsidRPr="00350D2E">
        <w:rPr>
          <w:rFonts w:ascii="Tahoma" w:eastAsia="Calibri" w:hAnsi="Tahoma" w:cs="Tahoma"/>
          <w:color w:val="000000"/>
          <w:sz w:val="18"/>
          <w:szCs w:val="18"/>
        </w:rPr>
        <w:t>iscrizione o</w:t>
      </w:r>
      <w:r w:rsidR="00A932BB">
        <w:rPr>
          <w:rFonts w:ascii="Tahoma" w:eastAsia="Calibri" w:hAnsi="Tahoma" w:cs="Tahoma"/>
          <w:color w:val="000000"/>
          <w:sz w:val="18"/>
          <w:szCs w:val="18"/>
        </w:rPr>
        <w:t> </w:t>
      </w:r>
      <w:r w:rsidRPr="00350D2E">
        <w:rPr>
          <w:rFonts w:ascii="Tahoma" w:eastAsia="Calibri" w:hAnsi="Tahoma" w:cs="Tahoma"/>
          <w:color w:val="000000"/>
          <w:sz w:val="18"/>
          <w:szCs w:val="18"/>
        </w:rPr>
        <w:t>del</w:t>
      </w:r>
      <w:r w:rsidR="00A932BB">
        <w:rPr>
          <w:rFonts w:ascii="Tahoma" w:eastAsia="Calibri" w:hAnsi="Tahoma" w:cs="Tahoma"/>
          <w:color w:val="000000"/>
          <w:sz w:val="18"/>
          <w:szCs w:val="18"/>
        </w:rPr>
        <w:t> </w:t>
      </w:r>
      <w:r w:rsidRPr="00350D2E">
        <w:rPr>
          <w:rFonts w:ascii="Tahoma" w:eastAsia="Calibri" w:hAnsi="Tahoma" w:cs="Tahoma"/>
          <w:color w:val="000000"/>
          <w:sz w:val="18"/>
          <w:szCs w:val="18"/>
        </w:rPr>
        <w:t>contratto.</w:t>
      </w:r>
      <w:r w:rsidR="009D3B41" w:rsidRPr="00350D2E">
        <w:rPr>
          <w:rFonts w:ascii="Tahoma" w:eastAsia="Calibri" w:hAnsi="Tahoma" w:cs="Tahoma"/>
          <w:color w:val="000000"/>
          <w:sz w:val="18"/>
          <w:szCs w:val="18"/>
        </w:rPr>
        <w:t xml:space="preserve"> </w:t>
      </w:r>
      <w:r w:rsidRPr="00350D2E">
        <w:rPr>
          <w:rFonts w:ascii="Tahoma" w:eastAsia="Calibri" w:hAnsi="Tahoma" w:cs="Tahoma"/>
          <w:color w:val="000000"/>
          <w:sz w:val="18"/>
          <w:szCs w:val="18"/>
        </w:rPr>
        <w:t>La società dovrà disporre della licenza per e avere installato uno dei sistemi operativi qualificanti indicati nella precedente tabella degli Aggiornamenti di Windows, nella colonna “Nuovo EA/OV-CW” su tutti i desktop qualificati della base installata su cui sarà eseguito il sistema operativo Windows.</w:t>
      </w:r>
    </w:p>
    <w:p w:rsidR="002F7FB8" w:rsidRPr="00350D2E" w:rsidRDefault="002F7FB8" w:rsidP="00346F4B">
      <w:pPr>
        <w:pStyle w:val="Footnotedash"/>
        <w:numPr>
          <w:ilvl w:val="1"/>
          <w:numId w:val="31"/>
        </w:numPr>
        <w:spacing w:before="0"/>
        <w:ind w:left="1800"/>
        <w:rPr>
          <w:rFonts w:ascii="Tahoma" w:hAnsi="Tahoma" w:cs="Tahoma"/>
          <w:sz w:val="18"/>
          <w:szCs w:val="18"/>
        </w:rPr>
      </w:pPr>
      <w:r w:rsidRPr="00350D2E">
        <w:rPr>
          <w:rFonts w:ascii="Tahoma" w:eastAsia="Calibri" w:hAnsi="Tahoma" w:cs="Tahoma"/>
          <w:color w:val="000000"/>
          <w:sz w:val="18"/>
          <w:szCs w:val="18"/>
        </w:rPr>
        <w:t>Iscrizioni Enterprise Esistenti o Contratti Open Value (true-up e sostituzioni):</w:t>
      </w:r>
    </w:p>
    <w:p w:rsidR="002F7FB8" w:rsidRPr="00350D2E" w:rsidRDefault="002F7FB8" w:rsidP="00346F4B">
      <w:pPr>
        <w:pStyle w:val="Footnotedash"/>
        <w:numPr>
          <w:ilvl w:val="1"/>
          <w:numId w:val="31"/>
        </w:numPr>
        <w:spacing w:before="0"/>
        <w:ind w:left="1800"/>
        <w:rPr>
          <w:rFonts w:ascii="Tahoma" w:hAnsi="Tahoma" w:cs="Tahoma"/>
          <w:sz w:val="18"/>
          <w:szCs w:val="18"/>
        </w:rPr>
      </w:pPr>
      <w:r w:rsidRPr="00350D2E">
        <w:rPr>
          <w:rFonts w:ascii="Tahoma" w:eastAsia="Calibri" w:hAnsi="Tahoma" w:cs="Tahoma"/>
          <w:color w:val="000000"/>
          <w:sz w:val="18"/>
          <w:szCs w:val="18"/>
        </w:rPr>
        <w:t>Acquistare l</w:t>
      </w:r>
      <w:r w:rsidR="00F2643E">
        <w:rPr>
          <w:rFonts w:ascii="Tahoma" w:eastAsia="Calibri" w:hAnsi="Tahoma" w:cs="Tahoma"/>
          <w:color w:val="000000"/>
          <w:sz w:val="18"/>
          <w:szCs w:val="18"/>
        </w:rPr>
        <w:t>’</w:t>
      </w:r>
      <w:r w:rsidRPr="00350D2E">
        <w:rPr>
          <w:rFonts w:ascii="Tahoma" w:eastAsia="Calibri" w:hAnsi="Tahoma" w:cs="Tahoma"/>
          <w:color w:val="000000"/>
          <w:sz w:val="18"/>
          <w:szCs w:val="18"/>
        </w:rPr>
        <w:t>Aggiornamento per Windows 8 Pro e Software Assurance per tutti i nuovi desktop o dispositivi qualificati su cui verrà eseguito il sistema operativo Windows. La società dovrà avere ottenuto in licenza e installato su tali desktop e dispositivi qualificati, sia nuovi che sostitutivi, acquisiti da una fonte qualsiasi, tranne una fusione o acquisizione, uno dei sistemi operativi qualificanti indicati nella precedente tabella degli Aggiornamenti di Windows, nella colonna “EA/OV-CW Esistente”. La società dovrà avere ottenuto in licenza e installato su tali desktop qualificati, sia nuovi che sostitutivi, acquisiti tramite una fusione o acquisizione, uno dei sistemi operativi qualificanti indicati nella precedente tabella degli Aggiornamenti di Windows, nella colonna “Nuovo EA/OV-CW”.</w:t>
      </w:r>
    </w:p>
    <w:p w:rsidR="002F7FB8" w:rsidRPr="00350D2E" w:rsidRDefault="002F7FB8" w:rsidP="00346F4B">
      <w:pPr>
        <w:pStyle w:val="FootnoteBulletLevel2"/>
        <w:numPr>
          <w:ilvl w:val="0"/>
          <w:numId w:val="25"/>
        </w:numPr>
        <w:adjustRightInd/>
        <w:spacing w:before="0" w:after="60"/>
        <w:ind w:left="1440"/>
        <w:textAlignment w:val="auto"/>
        <w:rPr>
          <w:rFonts w:ascii="Tahoma" w:hAnsi="Tahoma" w:cs="Tahoma"/>
          <w:sz w:val="18"/>
          <w:szCs w:val="18"/>
        </w:rPr>
      </w:pPr>
      <w:r w:rsidRPr="00350D2E">
        <w:rPr>
          <w:rFonts w:ascii="Tahoma" w:hAnsi="Tahoma" w:cs="Tahoma"/>
          <w:sz w:val="18"/>
          <w:szCs w:val="18"/>
        </w:rPr>
        <w:t xml:space="preserve">Le società con Contratti Campus e School e Open Value Subscription - Education Solutions: </w:t>
      </w:r>
    </w:p>
    <w:p w:rsidR="002F7FB8" w:rsidRPr="00350D2E" w:rsidRDefault="002F7FB8" w:rsidP="002705FC">
      <w:pPr>
        <w:pStyle w:val="Footnotedash"/>
        <w:numPr>
          <w:ilvl w:val="1"/>
          <w:numId w:val="31"/>
        </w:numPr>
        <w:spacing w:before="0"/>
        <w:ind w:left="1800"/>
        <w:rPr>
          <w:rFonts w:ascii="Tahoma" w:hAnsi="Tahoma" w:cs="Tahoma"/>
          <w:sz w:val="18"/>
          <w:szCs w:val="18"/>
        </w:rPr>
      </w:pPr>
      <w:r w:rsidRPr="00350D2E">
        <w:rPr>
          <w:rFonts w:ascii="Tahoma" w:eastAsia="Calibri" w:hAnsi="Tahoma" w:cs="Tahoma"/>
          <w:color w:val="000000"/>
          <w:sz w:val="18"/>
          <w:szCs w:val="18"/>
        </w:rPr>
        <w:t>Il sistema operativo Windows è concesso in licenza esclusivamente come aggiornamento. Di</w:t>
      </w:r>
      <w:r w:rsidR="002705FC">
        <w:rPr>
          <w:rFonts w:ascii="Tahoma" w:eastAsia="Calibri" w:hAnsi="Tahoma" w:cs="Tahoma"/>
          <w:color w:val="000000"/>
          <w:sz w:val="18"/>
          <w:szCs w:val="18"/>
        </w:rPr>
        <w:t> </w:t>
      </w:r>
      <w:r w:rsidRPr="00350D2E">
        <w:rPr>
          <w:rFonts w:ascii="Tahoma" w:eastAsia="Calibri" w:hAnsi="Tahoma" w:cs="Tahoma"/>
          <w:color w:val="000000"/>
          <w:sz w:val="18"/>
          <w:szCs w:val="18"/>
        </w:rPr>
        <w:t>conseguenza, le società che intendono eseguire il sistema operativo Windows devono prima avere ottenuto in licenza e installato un sistema operativo qualificante sul loro desktop. Per essere qualificante, il sistema operativo deve essere inserito nell</w:t>
      </w:r>
      <w:r w:rsidR="00F2643E">
        <w:rPr>
          <w:rFonts w:ascii="Tahoma" w:eastAsia="Calibri" w:hAnsi="Tahoma" w:cs="Tahoma"/>
          <w:color w:val="000000"/>
          <w:sz w:val="18"/>
          <w:szCs w:val="18"/>
        </w:rPr>
        <w:t>’</w:t>
      </w:r>
      <w:r w:rsidRPr="00350D2E">
        <w:rPr>
          <w:rFonts w:ascii="Tahoma" w:eastAsia="Calibri" w:hAnsi="Tahoma" w:cs="Tahoma"/>
          <w:color w:val="000000"/>
          <w:sz w:val="18"/>
          <w:szCs w:val="18"/>
        </w:rPr>
        <w:t xml:space="preserve">elenco dei sistemi operativi qualificanti indicati nella tabella degli Aggiornamenti di Windows nella colonna “Academic”. </w:t>
      </w:r>
    </w:p>
    <w:p w:rsidR="00B47893" w:rsidRPr="00350D2E" w:rsidRDefault="002F7FB8" w:rsidP="00A932BB">
      <w:pPr>
        <w:pStyle w:val="Footnotedash"/>
        <w:numPr>
          <w:ilvl w:val="1"/>
          <w:numId w:val="31"/>
        </w:numPr>
        <w:spacing w:before="0" w:after="0"/>
        <w:ind w:left="1800"/>
        <w:rPr>
          <w:rFonts w:ascii="Tahoma" w:hAnsi="Tahoma" w:cs="Tahoma"/>
          <w:sz w:val="18"/>
          <w:szCs w:val="18"/>
        </w:rPr>
      </w:pPr>
      <w:r w:rsidRPr="00350D2E">
        <w:rPr>
          <w:rFonts w:ascii="Tahoma" w:eastAsia="Calibri" w:hAnsi="Tahoma" w:cs="Tahoma"/>
          <w:color w:val="000000"/>
          <w:sz w:val="18"/>
          <w:szCs w:val="18"/>
        </w:rPr>
        <w:t>Nonostante eventuali disposizioni contrarie dei Diritti di Utilizzo del Prodotto, agli istituti che scelgono l</w:t>
      </w:r>
      <w:r w:rsidR="00F2643E">
        <w:rPr>
          <w:rFonts w:ascii="Tahoma" w:eastAsia="Calibri" w:hAnsi="Tahoma" w:cs="Tahoma"/>
          <w:color w:val="000000"/>
          <w:sz w:val="18"/>
          <w:szCs w:val="18"/>
        </w:rPr>
        <w:t>’</w:t>
      </w:r>
      <w:r w:rsidRPr="00350D2E">
        <w:rPr>
          <w:rFonts w:ascii="Tahoma" w:eastAsia="Calibri" w:hAnsi="Tahoma" w:cs="Tahoma"/>
          <w:color w:val="000000"/>
          <w:sz w:val="18"/>
          <w:szCs w:val="18"/>
        </w:rPr>
        <w:t>Opzione per Studente viene concessa una sola istanza di Windows To Go per ogni dispositivo con licenza in dotazione a uno studente.</w:t>
      </w:r>
      <w:r w:rsidR="009D3B41" w:rsidRPr="00350D2E">
        <w:rPr>
          <w:rFonts w:ascii="Tahoma" w:eastAsia="Calibri" w:hAnsi="Tahoma" w:cs="Tahoma"/>
          <w:color w:val="000000"/>
          <w:sz w:val="18"/>
          <w:szCs w:val="18"/>
        </w:rPr>
        <w:t xml:space="preserve"> </w:t>
      </w:r>
      <w:r w:rsidRPr="00350D2E">
        <w:rPr>
          <w:rFonts w:ascii="Tahoma" w:eastAsia="Calibri" w:hAnsi="Tahoma" w:cs="Tahoma"/>
          <w:color w:val="000000"/>
          <w:sz w:val="18"/>
          <w:szCs w:val="18"/>
        </w:rPr>
        <w:t>Gli istituti dovranno verificare che gli studenti che non sono più iscritti all</w:t>
      </w:r>
      <w:r w:rsidR="00F2643E">
        <w:rPr>
          <w:rFonts w:ascii="Tahoma" w:eastAsia="Calibri" w:hAnsi="Tahoma" w:cs="Tahoma"/>
          <w:color w:val="000000"/>
          <w:sz w:val="18"/>
          <w:szCs w:val="18"/>
        </w:rPr>
        <w:t>’</w:t>
      </w:r>
      <w:r w:rsidRPr="00350D2E">
        <w:rPr>
          <w:rFonts w:ascii="Tahoma" w:eastAsia="Calibri" w:hAnsi="Tahoma" w:cs="Tahoma"/>
          <w:color w:val="000000"/>
          <w:sz w:val="18"/>
          <w:szCs w:val="18"/>
        </w:rPr>
        <w:t>istituto cessino di utilizzare Windows To Go e restituiscano all</w:t>
      </w:r>
      <w:r w:rsidR="00F2643E">
        <w:rPr>
          <w:rFonts w:ascii="Tahoma" w:eastAsia="Calibri" w:hAnsi="Tahoma" w:cs="Tahoma"/>
          <w:color w:val="000000"/>
          <w:sz w:val="18"/>
          <w:szCs w:val="18"/>
        </w:rPr>
        <w:t>’</w:t>
      </w:r>
      <w:r w:rsidRPr="00350D2E">
        <w:rPr>
          <w:rFonts w:ascii="Tahoma" w:eastAsia="Calibri" w:hAnsi="Tahoma" w:cs="Tahoma"/>
          <w:color w:val="000000"/>
          <w:sz w:val="18"/>
          <w:szCs w:val="18"/>
        </w:rPr>
        <w:t>istituto i dispositivi USB in cui è installata un</w:t>
      </w:r>
      <w:r w:rsidR="00F2643E">
        <w:rPr>
          <w:rFonts w:ascii="Tahoma" w:eastAsia="Calibri" w:hAnsi="Tahoma" w:cs="Tahoma"/>
          <w:color w:val="000000"/>
          <w:sz w:val="18"/>
          <w:szCs w:val="18"/>
        </w:rPr>
        <w:t>’</w:t>
      </w:r>
      <w:r w:rsidRPr="00350D2E">
        <w:rPr>
          <w:rFonts w:ascii="Tahoma" w:eastAsia="Calibri" w:hAnsi="Tahoma" w:cs="Tahoma"/>
          <w:color w:val="000000"/>
          <w:sz w:val="18"/>
          <w:szCs w:val="18"/>
        </w:rPr>
        <w:t xml:space="preserve">istanza di Windows To Go. </w:t>
      </w:r>
      <w:r w:rsidRPr="00350D2E">
        <w:rPr>
          <w:rFonts w:ascii="Tahoma" w:hAnsi="Tahoma" w:cs="Tahoma"/>
          <w:sz w:val="18"/>
          <w:szCs w:val="18"/>
        </w:rPr>
        <w:t>Gli istituti che scelgono l</w:t>
      </w:r>
      <w:r w:rsidR="00F2643E">
        <w:rPr>
          <w:rFonts w:ascii="Tahoma" w:hAnsi="Tahoma" w:cs="Tahoma"/>
          <w:sz w:val="18"/>
          <w:szCs w:val="18"/>
        </w:rPr>
        <w:t>’</w:t>
      </w:r>
      <w:r w:rsidRPr="00350D2E">
        <w:rPr>
          <w:rFonts w:ascii="Tahoma" w:hAnsi="Tahoma" w:cs="Tahoma"/>
          <w:sz w:val="18"/>
          <w:szCs w:val="18"/>
        </w:rPr>
        <w:t>Opzione per Studente non potranno installare Windows Enterprise sui dispositivi di</w:t>
      </w:r>
      <w:r w:rsidR="00A932BB">
        <w:rPr>
          <w:rFonts w:ascii="Tahoma" w:hAnsi="Tahoma" w:cs="Tahoma"/>
          <w:sz w:val="18"/>
          <w:szCs w:val="18"/>
        </w:rPr>
        <w:t> </w:t>
      </w:r>
      <w:r w:rsidRPr="00350D2E">
        <w:rPr>
          <w:rFonts w:ascii="Tahoma" w:hAnsi="Tahoma" w:cs="Tahoma"/>
          <w:sz w:val="18"/>
          <w:szCs w:val="18"/>
        </w:rPr>
        <w:t>proprietà degli studenti.</w:t>
      </w:r>
    </w:p>
    <w:p w:rsidR="00973A93" w:rsidRPr="00A75DF9" w:rsidRDefault="00973A93" w:rsidP="00AF3B19">
      <w:pPr>
        <w:rPr>
          <w:rFonts w:cs="Tahoma"/>
        </w:rPr>
      </w:pPr>
    </w:p>
    <w:p w:rsidR="00B73A46" w:rsidRPr="00A75DF9" w:rsidRDefault="00B73A46" w:rsidP="00F64DEA">
      <w:pPr>
        <w:pStyle w:val="FootnoteBulletLevel1"/>
        <w:tabs>
          <w:tab w:val="clear" w:pos="900"/>
        </w:tabs>
        <w:adjustRightInd/>
        <w:spacing w:before="0" w:after="60"/>
        <w:ind w:left="720" w:firstLine="0"/>
        <w:textAlignment w:val="auto"/>
        <w:rPr>
          <w:rFonts w:ascii="Tahoma" w:hAnsi="Tahoma" w:cs="Tahoma"/>
        </w:rPr>
      </w:pPr>
      <w:r w:rsidRPr="00A75DF9">
        <w:rPr>
          <w:rFonts w:ascii="Tahoma" w:hAnsi="Tahoma" w:cs="Tahoma"/>
          <w:b/>
          <w:bCs/>
          <w:sz w:val="18"/>
          <w:szCs w:val="18"/>
        </w:rPr>
        <w:t>Microsoft Windows XP Professional N (non contiene Windows Media Player)</w:t>
      </w:r>
    </w:p>
    <w:p w:rsidR="00B73A46" w:rsidRPr="00A932BB" w:rsidRDefault="00B73A46" w:rsidP="00F64DEA">
      <w:pPr>
        <w:pStyle w:val="FootnoteBulletLevel2"/>
        <w:tabs>
          <w:tab w:val="clear" w:pos="1260"/>
          <w:tab w:val="num" w:pos="900"/>
        </w:tabs>
        <w:spacing w:before="0"/>
        <w:ind w:left="720" w:firstLine="0"/>
        <w:rPr>
          <w:rFonts w:ascii="Tahoma" w:hAnsi="Tahoma" w:cs="Tahoma"/>
          <w:sz w:val="18"/>
          <w:szCs w:val="18"/>
        </w:rPr>
      </w:pPr>
      <w:r w:rsidRPr="00A932BB">
        <w:rPr>
          <w:rFonts w:ascii="Tahoma" w:hAnsi="Tahoma" w:cs="Tahoma"/>
          <w:sz w:val="18"/>
          <w:szCs w:val="18"/>
          <w:u w:val="single"/>
        </w:rPr>
        <w:t>Requisiti di Idoneità</w:t>
      </w:r>
      <w:r w:rsidRPr="00A932BB">
        <w:rPr>
          <w:rFonts w:ascii="Tahoma" w:hAnsi="Tahoma" w:cs="Tahoma"/>
          <w:sz w:val="18"/>
          <w:szCs w:val="18"/>
        </w:rPr>
        <w:br/>
        <w:t>Le società che hanno stipulato un Contratto Multilicenza e che soddisfano tutti i criteri che seguono sono idonee ad acquistare i supporti di memorizzazione per Microsoft Windows XP Professional N.</w:t>
      </w:r>
    </w:p>
    <w:p w:rsidR="00F64DEA" w:rsidRPr="00A932BB" w:rsidRDefault="00F64DEA" w:rsidP="00F64DEA">
      <w:pPr>
        <w:pStyle w:val="FootnoteBulletLevel2"/>
        <w:tabs>
          <w:tab w:val="clear" w:pos="1260"/>
          <w:tab w:val="num" w:pos="900"/>
        </w:tabs>
        <w:spacing w:before="0"/>
        <w:ind w:left="720" w:firstLine="0"/>
        <w:rPr>
          <w:rFonts w:ascii="Tahoma" w:hAnsi="Tahoma" w:cs="Tahoma"/>
          <w:sz w:val="18"/>
          <w:szCs w:val="18"/>
        </w:rPr>
      </w:pPr>
    </w:p>
    <w:p w:rsidR="00B73A46" w:rsidRPr="00A932BB" w:rsidRDefault="00B73A46" w:rsidP="00F64DEA">
      <w:pPr>
        <w:pStyle w:val="Footnotedash"/>
        <w:tabs>
          <w:tab w:val="clear" w:pos="1620"/>
          <w:tab w:val="num" w:pos="2160"/>
        </w:tabs>
        <w:spacing w:before="0" w:after="0"/>
        <w:ind w:left="720" w:firstLine="7"/>
        <w:rPr>
          <w:rFonts w:ascii="Tahoma" w:hAnsi="Tahoma" w:cs="Tahoma"/>
          <w:sz w:val="18"/>
          <w:szCs w:val="18"/>
        </w:rPr>
      </w:pPr>
      <w:r w:rsidRPr="00A932BB">
        <w:rPr>
          <w:rFonts w:ascii="Tahoma" w:hAnsi="Tahoma" w:cs="Tahoma"/>
          <w:sz w:val="18"/>
          <w:szCs w:val="18"/>
        </w:rPr>
        <w:t xml:space="preserve">Devono disporre di almeno uno dei seguenti contratti o iscrizioni attivi con Microsoft Ireland Operations Ltd: </w:t>
      </w:r>
    </w:p>
    <w:p w:rsidR="00F64DEA" w:rsidRPr="00A932BB" w:rsidRDefault="00F64DEA" w:rsidP="00F64DEA">
      <w:pPr>
        <w:pStyle w:val="Footnotedash"/>
        <w:tabs>
          <w:tab w:val="clear" w:pos="1620"/>
          <w:tab w:val="num" w:pos="2160"/>
        </w:tabs>
        <w:spacing w:before="0" w:after="0"/>
        <w:ind w:left="720" w:firstLine="7"/>
        <w:rPr>
          <w:rFonts w:ascii="Tahoma" w:hAnsi="Tahoma" w:cs="Tahoma"/>
          <w:sz w:val="18"/>
          <w:szCs w:val="18"/>
        </w:rPr>
      </w:pPr>
    </w:p>
    <w:p w:rsidR="00B73A46" w:rsidRPr="00A932BB" w:rsidRDefault="00B73A46" w:rsidP="00346F4B">
      <w:pPr>
        <w:pStyle w:val="Footnotedash"/>
        <w:numPr>
          <w:ilvl w:val="0"/>
          <w:numId w:val="32"/>
        </w:numPr>
        <w:adjustRightInd/>
        <w:spacing w:before="0"/>
        <w:ind w:left="1440"/>
        <w:textAlignment w:val="auto"/>
        <w:rPr>
          <w:rFonts w:ascii="Tahoma" w:hAnsi="Tahoma" w:cs="Tahoma"/>
          <w:sz w:val="18"/>
          <w:szCs w:val="18"/>
        </w:rPr>
      </w:pPr>
      <w:r w:rsidRPr="00A932BB">
        <w:rPr>
          <w:rFonts w:ascii="Tahoma" w:hAnsi="Tahoma" w:cs="Tahoma"/>
          <w:sz w:val="18"/>
          <w:szCs w:val="18"/>
        </w:rPr>
        <w:t>Iscrizione Select, Enterprise o Enterprise Subscription</w:t>
      </w:r>
    </w:p>
    <w:p w:rsidR="00B73A46" w:rsidRPr="00A932BB" w:rsidRDefault="00B73A46" w:rsidP="00346F4B">
      <w:pPr>
        <w:pStyle w:val="Footnotedash"/>
        <w:numPr>
          <w:ilvl w:val="0"/>
          <w:numId w:val="32"/>
        </w:numPr>
        <w:adjustRightInd/>
        <w:spacing w:before="0"/>
        <w:ind w:left="1440"/>
        <w:textAlignment w:val="auto"/>
        <w:rPr>
          <w:rFonts w:ascii="Tahoma" w:hAnsi="Tahoma" w:cs="Tahoma"/>
          <w:sz w:val="18"/>
          <w:szCs w:val="18"/>
        </w:rPr>
      </w:pPr>
      <w:r w:rsidRPr="00A932BB">
        <w:rPr>
          <w:rFonts w:ascii="Tahoma" w:hAnsi="Tahoma" w:cs="Tahoma"/>
          <w:sz w:val="18"/>
          <w:szCs w:val="18"/>
        </w:rPr>
        <w:t xml:space="preserve">Contratti Open License*, Open Value, Campus e School, Open Value Subscription - Education Solutions </w:t>
      </w:r>
    </w:p>
    <w:p w:rsidR="00B73A46" w:rsidRPr="00A932BB" w:rsidRDefault="00B73A46" w:rsidP="00A932BB">
      <w:pPr>
        <w:pStyle w:val="Footnotedash"/>
        <w:spacing w:before="0"/>
        <w:ind w:left="1440" w:firstLine="0"/>
        <w:rPr>
          <w:rFonts w:ascii="Tahoma" w:hAnsi="Tahoma" w:cs="Tahoma"/>
          <w:sz w:val="18"/>
          <w:szCs w:val="18"/>
        </w:rPr>
      </w:pPr>
      <w:r w:rsidRPr="00A932BB">
        <w:rPr>
          <w:rFonts w:ascii="Tahoma" w:hAnsi="Tahoma" w:cs="Tahoma"/>
          <w:sz w:val="18"/>
          <w:szCs w:val="18"/>
        </w:rPr>
        <w:t>(*Ai fini del Contratto Open License, un “contratto attivo” è un contratto associato a un Numero di</w:t>
      </w:r>
      <w:r w:rsidR="00A932BB">
        <w:rPr>
          <w:rFonts w:ascii="Tahoma" w:hAnsi="Tahoma" w:cs="Tahoma"/>
          <w:sz w:val="18"/>
          <w:szCs w:val="18"/>
        </w:rPr>
        <w:t> </w:t>
      </w:r>
      <w:r w:rsidRPr="00A932BB">
        <w:rPr>
          <w:rFonts w:ascii="Tahoma" w:hAnsi="Tahoma" w:cs="Tahoma"/>
          <w:sz w:val="18"/>
          <w:szCs w:val="18"/>
        </w:rPr>
        <w:t>Autorizzazione Open License attivo).</w:t>
      </w:r>
    </w:p>
    <w:p w:rsidR="00F64DEA" w:rsidRPr="00A932BB" w:rsidRDefault="00F64DEA" w:rsidP="00F64DEA">
      <w:pPr>
        <w:pStyle w:val="Footnotedash"/>
        <w:spacing w:before="0" w:after="0"/>
        <w:ind w:left="1440" w:firstLine="0"/>
        <w:rPr>
          <w:rFonts w:ascii="Tahoma" w:hAnsi="Tahoma" w:cs="Tahoma"/>
          <w:sz w:val="18"/>
          <w:szCs w:val="18"/>
        </w:rPr>
      </w:pPr>
    </w:p>
    <w:p w:rsidR="00B73A46" w:rsidRPr="00A932BB" w:rsidRDefault="00B73A46" w:rsidP="00A932BB">
      <w:pPr>
        <w:pStyle w:val="Footnotedash"/>
        <w:tabs>
          <w:tab w:val="left" w:pos="1620"/>
        </w:tabs>
        <w:spacing w:before="0" w:after="0"/>
        <w:ind w:left="720" w:firstLine="7"/>
        <w:rPr>
          <w:rFonts w:ascii="Tahoma" w:hAnsi="Tahoma" w:cs="Tahoma"/>
          <w:sz w:val="18"/>
          <w:szCs w:val="18"/>
        </w:rPr>
      </w:pPr>
      <w:r w:rsidRPr="00A932BB">
        <w:rPr>
          <w:rFonts w:ascii="Tahoma" w:hAnsi="Tahoma" w:cs="Tahoma"/>
          <w:sz w:val="18"/>
          <w:szCs w:val="18"/>
        </w:rPr>
        <w:t>Devono disporre di una copertura Software Assurance attiva per le licenze di Aggiornamento per il Sistema</w:t>
      </w:r>
      <w:r w:rsidR="00A932BB">
        <w:rPr>
          <w:rFonts w:ascii="Tahoma" w:hAnsi="Tahoma" w:cs="Tahoma"/>
          <w:sz w:val="18"/>
          <w:szCs w:val="18"/>
        </w:rPr>
        <w:t> </w:t>
      </w:r>
      <w:r w:rsidRPr="00A932BB">
        <w:rPr>
          <w:rFonts w:ascii="Tahoma" w:hAnsi="Tahoma" w:cs="Tahoma"/>
          <w:sz w:val="18"/>
          <w:szCs w:val="18"/>
        </w:rPr>
        <w:t>Operativo Desktop Windows o per Windows XP Professional acquistate a partire dalla data del</w:t>
      </w:r>
      <w:r w:rsidR="00A932BB">
        <w:rPr>
          <w:rFonts w:ascii="Tahoma" w:hAnsi="Tahoma" w:cs="Tahoma"/>
          <w:sz w:val="18"/>
          <w:szCs w:val="18"/>
        </w:rPr>
        <w:t> </w:t>
      </w:r>
      <w:r w:rsidRPr="00A932BB">
        <w:rPr>
          <w:rFonts w:ascii="Tahoma" w:hAnsi="Tahoma" w:cs="Tahoma"/>
          <w:sz w:val="18"/>
          <w:szCs w:val="18"/>
        </w:rPr>
        <w:t>2</w:t>
      </w:r>
      <w:r w:rsidR="00A932BB">
        <w:rPr>
          <w:rFonts w:ascii="Tahoma" w:hAnsi="Tahoma" w:cs="Tahoma"/>
          <w:sz w:val="18"/>
          <w:szCs w:val="18"/>
        </w:rPr>
        <w:t> </w:t>
      </w:r>
      <w:r w:rsidRPr="00A932BB">
        <w:rPr>
          <w:rFonts w:ascii="Tahoma" w:hAnsi="Tahoma" w:cs="Tahoma"/>
          <w:sz w:val="18"/>
          <w:szCs w:val="18"/>
        </w:rPr>
        <w:t>febbraio 2005.</w:t>
      </w:r>
    </w:p>
    <w:p w:rsidR="00F64DEA" w:rsidRPr="00A932BB" w:rsidRDefault="00F64DEA" w:rsidP="00F64DEA">
      <w:pPr>
        <w:pStyle w:val="Footnotedash"/>
        <w:tabs>
          <w:tab w:val="left" w:pos="1620"/>
        </w:tabs>
        <w:spacing w:before="0" w:after="0"/>
        <w:ind w:left="720" w:firstLine="7"/>
        <w:rPr>
          <w:rFonts w:ascii="Tahoma" w:hAnsi="Tahoma" w:cs="Tahoma"/>
          <w:sz w:val="18"/>
          <w:szCs w:val="18"/>
        </w:rPr>
      </w:pPr>
    </w:p>
    <w:p w:rsidR="00766C40" w:rsidRPr="00A932BB" w:rsidRDefault="00B73A46" w:rsidP="00F64DEA">
      <w:pPr>
        <w:pStyle w:val="Footnotedash"/>
        <w:tabs>
          <w:tab w:val="left" w:pos="1620"/>
        </w:tabs>
        <w:spacing w:before="0" w:after="0"/>
        <w:ind w:left="720" w:firstLine="7"/>
        <w:rPr>
          <w:rFonts w:ascii="Tahoma" w:hAnsi="Tahoma" w:cs="Tahoma"/>
          <w:sz w:val="18"/>
          <w:szCs w:val="18"/>
        </w:rPr>
      </w:pPr>
      <w:r w:rsidRPr="00A932BB">
        <w:rPr>
          <w:rFonts w:ascii="Tahoma" w:hAnsi="Tahoma" w:cs="Tahoma"/>
          <w:sz w:val="18"/>
          <w:szCs w:val="18"/>
        </w:rPr>
        <w:t>Devono avere sede in a) uno dei paesi dell</w:t>
      </w:r>
      <w:r w:rsidR="00F2643E">
        <w:rPr>
          <w:rFonts w:ascii="Tahoma" w:hAnsi="Tahoma" w:cs="Tahoma"/>
          <w:sz w:val="18"/>
          <w:szCs w:val="18"/>
        </w:rPr>
        <w:t>’</w:t>
      </w:r>
      <w:r w:rsidRPr="00A932BB">
        <w:rPr>
          <w:rFonts w:ascii="Tahoma" w:hAnsi="Tahoma" w:cs="Tahoma"/>
          <w:sz w:val="18"/>
          <w:szCs w:val="18"/>
        </w:rPr>
        <w:t>Unione Europea (UE), b) in uno stato membro dell</w:t>
      </w:r>
      <w:r w:rsidR="00F2643E">
        <w:rPr>
          <w:rFonts w:ascii="Tahoma" w:hAnsi="Tahoma" w:cs="Tahoma"/>
          <w:sz w:val="18"/>
          <w:szCs w:val="18"/>
        </w:rPr>
        <w:t>’</w:t>
      </w:r>
      <w:r w:rsidRPr="00A932BB">
        <w:rPr>
          <w:rFonts w:ascii="Tahoma" w:hAnsi="Tahoma" w:cs="Tahoma"/>
          <w:sz w:val="18"/>
          <w:szCs w:val="18"/>
        </w:rPr>
        <w:t xml:space="preserve">Associazione Europea per il Libero Scambio (EFTA), c) in Bulgaria, in Croazia, in Romania o in Svizzera. </w:t>
      </w:r>
    </w:p>
    <w:p w:rsidR="00F64DEA" w:rsidRDefault="00F64DEA" w:rsidP="00F64DEA">
      <w:pPr>
        <w:pStyle w:val="FootnoteBulletLevel1"/>
        <w:tabs>
          <w:tab w:val="clear" w:pos="900"/>
        </w:tabs>
        <w:adjustRightInd/>
        <w:spacing w:before="0" w:after="0"/>
        <w:ind w:left="720" w:firstLine="0"/>
        <w:textAlignment w:val="auto"/>
        <w:rPr>
          <w:rFonts w:ascii="Tahoma" w:hAnsi="Tahoma" w:cs="Tahoma"/>
          <w:sz w:val="18"/>
          <w:szCs w:val="18"/>
        </w:rPr>
      </w:pPr>
    </w:p>
    <w:p w:rsidR="00A932BB" w:rsidRDefault="00A932BB" w:rsidP="00F64DEA">
      <w:pPr>
        <w:pStyle w:val="FootnoteBulletLevel1"/>
        <w:tabs>
          <w:tab w:val="clear" w:pos="900"/>
        </w:tabs>
        <w:adjustRightInd/>
        <w:spacing w:before="0" w:after="0"/>
        <w:ind w:left="720" w:firstLine="0"/>
        <w:textAlignment w:val="auto"/>
        <w:rPr>
          <w:rFonts w:ascii="Tahoma" w:hAnsi="Tahoma" w:cs="Tahoma"/>
          <w:sz w:val="18"/>
          <w:szCs w:val="18"/>
        </w:rPr>
      </w:pPr>
    </w:p>
    <w:p w:rsidR="00A932BB" w:rsidRDefault="00A932BB" w:rsidP="00F64DEA">
      <w:pPr>
        <w:pStyle w:val="FootnoteBulletLevel1"/>
        <w:tabs>
          <w:tab w:val="clear" w:pos="900"/>
        </w:tabs>
        <w:adjustRightInd/>
        <w:spacing w:before="0" w:after="0"/>
        <w:ind w:left="720" w:firstLine="0"/>
        <w:textAlignment w:val="auto"/>
        <w:rPr>
          <w:rFonts w:ascii="Tahoma" w:hAnsi="Tahoma" w:cs="Tahoma"/>
          <w:sz w:val="18"/>
          <w:szCs w:val="18"/>
        </w:rPr>
      </w:pPr>
    </w:p>
    <w:p w:rsidR="00A932BB" w:rsidRPr="00A932BB" w:rsidRDefault="00A932BB" w:rsidP="00F64DEA">
      <w:pPr>
        <w:pStyle w:val="FootnoteBulletLevel1"/>
        <w:tabs>
          <w:tab w:val="clear" w:pos="900"/>
        </w:tabs>
        <w:adjustRightInd/>
        <w:spacing w:before="0" w:after="0"/>
        <w:ind w:left="720" w:firstLine="0"/>
        <w:textAlignment w:val="auto"/>
        <w:rPr>
          <w:rFonts w:ascii="Tahoma" w:hAnsi="Tahoma" w:cs="Tahoma"/>
          <w:sz w:val="18"/>
          <w:szCs w:val="18"/>
        </w:rPr>
      </w:pPr>
    </w:p>
    <w:p w:rsidR="00B73A46" w:rsidRPr="00A932BB" w:rsidRDefault="00B73A46" w:rsidP="00F64DEA">
      <w:pPr>
        <w:pStyle w:val="FootnoteBulletLevel1"/>
        <w:tabs>
          <w:tab w:val="clear" w:pos="900"/>
        </w:tabs>
        <w:adjustRightInd/>
        <w:spacing w:before="0" w:after="60"/>
        <w:ind w:left="720" w:firstLine="0"/>
        <w:textAlignment w:val="auto"/>
        <w:rPr>
          <w:rFonts w:ascii="Tahoma" w:hAnsi="Tahoma" w:cs="Tahoma"/>
          <w:sz w:val="18"/>
          <w:szCs w:val="18"/>
        </w:rPr>
      </w:pPr>
      <w:r w:rsidRPr="00A932BB">
        <w:rPr>
          <w:rFonts w:ascii="Tahoma" w:hAnsi="Tahoma" w:cs="Tahoma"/>
          <w:b/>
          <w:bCs/>
          <w:sz w:val="18"/>
          <w:szCs w:val="18"/>
        </w:rPr>
        <w:lastRenderedPageBreak/>
        <w:t>Windows XP Professional</w:t>
      </w:r>
    </w:p>
    <w:p w:rsidR="00B73A46" w:rsidRPr="00A932BB" w:rsidRDefault="00B73A46" w:rsidP="00F64DEA">
      <w:pPr>
        <w:pStyle w:val="FootnoteBulletLevel2"/>
        <w:spacing w:before="0"/>
        <w:ind w:left="720" w:firstLine="0"/>
        <w:rPr>
          <w:rFonts w:ascii="Tahoma" w:hAnsi="Tahoma" w:cs="Tahoma"/>
          <w:sz w:val="18"/>
          <w:szCs w:val="18"/>
        </w:rPr>
      </w:pPr>
      <w:r w:rsidRPr="00A932BB">
        <w:rPr>
          <w:rFonts w:ascii="Tahoma" w:hAnsi="Tahoma" w:cs="Tahoma"/>
          <w:sz w:val="18"/>
          <w:szCs w:val="18"/>
        </w:rPr>
        <w:t>Limitazioni all</w:t>
      </w:r>
      <w:r w:rsidR="00F2643E">
        <w:rPr>
          <w:rFonts w:ascii="Tahoma" w:hAnsi="Tahoma" w:cs="Tahoma"/>
          <w:sz w:val="18"/>
          <w:szCs w:val="18"/>
        </w:rPr>
        <w:t>’</w:t>
      </w:r>
      <w:r w:rsidRPr="00A932BB">
        <w:rPr>
          <w:rFonts w:ascii="Tahoma" w:hAnsi="Tahoma" w:cs="Tahoma"/>
          <w:sz w:val="18"/>
          <w:szCs w:val="18"/>
        </w:rPr>
        <w:t>utilizzo di Windows XP Professional in Corea.</w:t>
      </w:r>
    </w:p>
    <w:p w:rsidR="00B73A46" w:rsidRPr="00A932BB" w:rsidRDefault="00B73A46" w:rsidP="00F64DEA">
      <w:pPr>
        <w:pStyle w:val="FootnoteBulletLevel2"/>
        <w:spacing w:before="0"/>
        <w:ind w:left="720" w:firstLine="0"/>
        <w:rPr>
          <w:rFonts w:ascii="Tahoma" w:hAnsi="Tahoma" w:cs="Tahoma"/>
          <w:sz w:val="18"/>
          <w:szCs w:val="18"/>
        </w:rPr>
      </w:pPr>
      <w:r w:rsidRPr="00A932BB">
        <w:rPr>
          <w:rFonts w:ascii="Tahoma" w:hAnsi="Tahoma" w:cs="Tahoma"/>
          <w:sz w:val="18"/>
          <w:szCs w:val="18"/>
        </w:rPr>
        <w:t>Tali limitazioni si applicano anche all</w:t>
      </w:r>
      <w:r w:rsidR="00F2643E">
        <w:rPr>
          <w:rFonts w:ascii="Tahoma" w:hAnsi="Tahoma" w:cs="Tahoma"/>
          <w:sz w:val="18"/>
          <w:szCs w:val="18"/>
        </w:rPr>
        <w:t>’</w:t>
      </w:r>
      <w:r w:rsidRPr="00A932BB">
        <w:rPr>
          <w:rFonts w:ascii="Tahoma" w:hAnsi="Tahoma" w:cs="Tahoma"/>
          <w:sz w:val="18"/>
          <w:szCs w:val="18"/>
        </w:rPr>
        <w:t>utilizzo di Windows XP Professional in conformità ai diritti di downgrade.</w:t>
      </w:r>
    </w:p>
    <w:p w:rsidR="00F64DEA" w:rsidRPr="00A932BB" w:rsidRDefault="00F64DEA" w:rsidP="00F64DEA">
      <w:pPr>
        <w:pStyle w:val="FootnoteBulletLevel2"/>
        <w:spacing w:before="0"/>
        <w:ind w:left="720" w:firstLine="0"/>
        <w:rPr>
          <w:rFonts w:ascii="Tahoma" w:hAnsi="Tahoma" w:cs="Tahoma"/>
          <w:sz w:val="18"/>
          <w:szCs w:val="18"/>
        </w:rPr>
      </w:pPr>
    </w:p>
    <w:p w:rsidR="00B73A46" w:rsidRPr="00A932BB" w:rsidRDefault="00B73A46" w:rsidP="00346F4B">
      <w:pPr>
        <w:pStyle w:val="Footnotedash"/>
        <w:numPr>
          <w:ilvl w:val="0"/>
          <w:numId w:val="32"/>
        </w:numPr>
        <w:adjustRightInd/>
        <w:spacing w:before="0"/>
        <w:ind w:left="1440"/>
        <w:textAlignment w:val="auto"/>
        <w:rPr>
          <w:rFonts w:ascii="Tahoma" w:hAnsi="Tahoma" w:cs="Tahoma"/>
          <w:sz w:val="18"/>
          <w:szCs w:val="18"/>
        </w:rPr>
      </w:pPr>
      <w:r w:rsidRPr="00A932BB">
        <w:rPr>
          <w:rFonts w:ascii="Tahoma" w:hAnsi="Tahoma" w:cs="Tahoma"/>
          <w:sz w:val="18"/>
          <w:szCs w:val="18"/>
        </w:rPr>
        <w:t xml:space="preserve">La KFTC (Korean Fair Trade Commission) prevede alcune limitazioni relative alla possibilità per le società che abbiano stipulato Contratti Multilicenza e le loro consociate di distribuire la versione in lingua coreana di Windows XP Professional per utilizzarla in Corea. </w:t>
      </w:r>
    </w:p>
    <w:p w:rsidR="00B73A46" w:rsidRPr="00A932BB" w:rsidRDefault="00B73A46" w:rsidP="00346F4B">
      <w:pPr>
        <w:pStyle w:val="Footnotedash"/>
        <w:numPr>
          <w:ilvl w:val="0"/>
          <w:numId w:val="32"/>
        </w:numPr>
        <w:adjustRightInd/>
        <w:spacing w:before="0"/>
        <w:ind w:left="1440"/>
        <w:textAlignment w:val="auto"/>
        <w:rPr>
          <w:rFonts w:ascii="Tahoma" w:hAnsi="Tahoma" w:cs="Tahoma"/>
          <w:sz w:val="18"/>
          <w:szCs w:val="18"/>
        </w:rPr>
      </w:pPr>
      <w:r w:rsidRPr="00A932BB">
        <w:rPr>
          <w:rFonts w:ascii="Tahoma" w:hAnsi="Tahoma" w:cs="Tahoma"/>
          <w:sz w:val="18"/>
          <w:szCs w:val="18"/>
        </w:rPr>
        <w:t xml:space="preserve">Tali limitazioni non si applicano alle licenze acquistate dalle società nella versione in lingua coreana di Windows XP Professional prima del 24 agosto 2006. </w:t>
      </w:r>
    </w:p>
    <w:p w:rsidR="00B73A46" w:rsidRPr="00A932BB" w:rsidRDefault="00B73A46" w:rsidP="00346F4B">
      <w:pPr>
        <w:pStyle w:val="Footnotedash"/>
        <w:numPr>
          <w:ilvl w:val="0"/>
          <w:numId w:val="32"/>
        </w:numPr>
        <w:adjustRightInd/>
        <w:spacing w:before="0"/>
        <w:ind w:left="1440"/>
        <w:textAlignment w:val="auto"/>
        <w:rPr>
          <w:rFonts w:ascii="Tahoma" w:hAnsi="Tahoma" w:cs="Tahoma"/>
          <w:sz w:val="18"/>
          <w:szCs w:val="18"/>
        </w:rPr>
      </w:pPr>
      <w:r w:rsidRPr="00A932BB">
        <w:rPr>
          <w:rFonts w:ascii="Tahoma" w:hAnsi="Tahoma" w:cs="Tahoma"/>
          <w:sz w:val="18"/>
          <w:szCs w:val="18"/>
        </w:rPr>
        <w:t>Tali limitazioni non si applicano neppure alle società multinazionali la cui sede sia al di fuori della Corea e che utilizzano un</w:t>
      </w:r>
      <w:r w:rsidR="00F2643E">
        <w:rPr>
          <w:rFonts w:ascii="Tahoma" w:hAnsi="Tahoma" w:cs="Tahoma"/>
          <w:sz w:val="18"/>
          <w:szCs w:val="18"/>
        </w:rPr>
        <w:t>’</w:t>
      </w:r>
      <w:r w:rsidRPr="00A932BB">
        <w:rPr>
          <w:rFonts w:ascii="Tahoma" w:hAnsi="Tahoma" w:cs="Tahoma"/>
          <w:sz w:val="18"/>
          <w:szCs w:val="18"/>
        </w:rPr>
        <w:t>unica immagine del software.</w:t>
      </w:r>
    </w:p>
    <w:p w:rsidR="00B73A46" w:rsidRPr="00A932BB" w:rsidRDefault="00B73A46" w:rsidP="00346F4B">
      <w:pPr>
        <w:pStyle w:val="Footnotedash"/>
        <w:numPr>
          <w:ilvl w:val="0"/>
          <w:numId w:val="32"/>
        </w:numPr>
        <w:adjustRightInd/>
        <w:spacing w:before="0"/>
        <w:ind w:left="1440"/>
        <w:textAlignment w:val="auto"/>
        <w:rPr>
          <w:rFonts w:ascii="Tahoma" w:hAnsi="Tahoma" w:cs="Tahoma"/>
          <w:sz w:val="18"/>
          <w:szCs w:val="18"/>
        </w:rPr>
      </w:pPr>
      <w:r w:rsidRPr="00A932BB">
        <w:rPr>
          <w:rFonts w:ascii="Tahoma" w:hAnsi="Tahoma" w:cs="Tahoma"/>
          <w:sz w:val="18"/>
          <w:szCs w:val="18"/>
        </w:rPr>
        <w:t>Tali limitazioni non si applicano alle società che abbiano stipulato contratti in vigore al 23 agosto 2006 e che, in circostanze eccezionali, utilizzino un</w:t>
      </w:r>
      <w:r w:rsidR="00F2643E">
        <w:rPr>
          <w:rFonts w:ascii="Tahoma" w:hAnsi="Tahoma" w:cs="Tahoma"/>
          <w:sz w:val="18"/>
          <w:szCs w:val="18"/>
        </w:rPr>
        <w:t>’</w:t>
      </w:r>
      <w:r w:rsidRPr="00A932BB">
        <w:rPr>
          <w:rFonts w:ascii="Tahoma" w:hAnsi="Tahoma" w:cs="Tahoma"/>
          <w:sz w:val="18"/>
          <w:szCs w:val="18"/>
        </w:rPr>
        <w:t>unica immagine del software in via continuativa.</w:t>
      </w:r>
    </w:p>
    <w:p w:rsidR="00B73A46" w:rsidRPr="00A932BB" w:rsidRDefault="00B73A46" w:rsidP="00346F4B">
      <w:pPr>
        <w:pStyle w:val="Footnotedash"/>
        <w:numPr>
          <w:ilvl w:val="0"/>
          <w:numId w:val="32"/>
        </w:numPr>
        <w:adjustRightInd/>
        <w:spacing w:before="0"/>
        <w:ind w:left="1440"/>
        <w:textAlignment w:val="auto"/>
        <w:rPr>
          <w:rFonts w:ascii="Tahoma" w:hAnsi="Tahoma" w:cs="Tahoma"/>
          <w:sz w:val="18"/>
          <w:szCs w:val="18"/>
        </w:rPr>
      </w:pPr>
      <w:r w:rsidRPr="00A932BB">
        <w:rPr>
          <w:rFonts w:ascii="Tahoma" w:hAnsi="Tahoma" w:cs="Tahoma"/>
          <w:sz w:val="18"/>
          <w:szCs w:val="18"/>
        </w:rPr>
        <w:t>La KFTC non ha imposto limitazioni relative all</w:t>
      </w:r>
      <w:r w:rsidR="00F2643E">
        <w:rPr>
          <w:rFonts w:ascii="Tahoma" w:hAnsi="Tahoma" w:cs="Tahoma"/>
          <w:sz w:val="18"/>
          <w:szCs w:val="18"/>
        </w:rPr>
        <w:t>’</w:t>
      </w:r>
      <w:r w:rsidRPr="00A932BB">
        <w:rPr>
          <w:rFonts w:ascii="Tahoma" w:hAnsi="Tahoma" w:cs="Tahoma"/>
          <w:sz w:val="18"/>
          <w:szCs w:val="18"/>
        </w:rPr>
        <w:t xml:space="preserve">utilizzo delle versioni in lingue diverse dal coreano. </w:t>
      </w:r>
    </w:p>
    <w:p w:rsidR="00B73A46" w:rsidRPr="00A932BB" w:rsidRDefault="00B73A46" w:rsidP="00346F4B">
      <w:pPr>
        <w:pStyle w:val="Footnotedash"/>
        <w:numPr>
          <w:ilvl w:val="0"/>
          <w:numId w:val="32"/>
        </w:numPr>
        <w:adjustRightInd/>
        <w:spacing w:before="0"/>
        <w:ind w:left="1440"/>
        <w:textAlignment w:val="auto"/>
        <w:rPr>
          <w:rFonts w:ascii="Tahoma" w:hAnsi="Tahoma" w:cs="Tahoma"/>
          <w:sz w:val="18"/>
          <w:szCs w:val="18"/>
        </w:rPr>
      </w:pPr>
      <w:r w:rsidRPr="00A932BB">
        <w:rPr>
          <w:rFonts w:ascii="Tahoma" w:hAnsi="Tahoma" w:cs="Tahoma"/>
          <w:sz w:val="18"/>
          <w:szCs w:val="18"/>
        </w:rPr>
        <w:t>La KFTC non ha imposto limitazioni relative alle edizioni Tablet PC o 64-bit in qualunque versione linguistica.</w:t>
      </w:r>
    </w:p>
    <w:p w:rsidR="00F64DEA" w:rsidRPr="00A932BB" w:rsidRDefault="00F64DEA" w:rsidP="00AF3B19">
      <w:pPr>
        <w:pStyle w:val="Footnotedash"/>
        <w:tabs>
          <w:tab w:val="clear" w:pos="1620"/>
        </w:tabs>
        <w:adjustRightInd/>
        <w:spacing w:before="0" w:after="0"/>
        <w:ind w:left="1440" w:firstLine="0"/>
        <w:textAlignment w:val="auto"/>
        <w:rPr>
          <w:rFonts w:ascii="Tahoma" w:hAnsi="Tahoma" w:cs="Tahoma"/>
          <w:sz w:val="18"/>
          <w:szCs w:val="18"/>
        </w:rPr>
      </w:pPr>
    </w:p>
    <w:p w:rsidR="00B73A46" w:rsidRPr="00A932BB" w:rsidRDefault="00B73A46" w:rsidP="00F64DEA">
      <w:pPr>
        <w:pStyle w:val="FootnoteBulletLevel2"/>
        <w:spacing w:before="0"/>
        <w:ind w:left="720" w:hanging="7"/>
        <w:rPr>
          <w:rFonts w:ascii="Tahoma" w:hAnsi="Tahoma" w:cs="Tahoma"/>
          <w:sz w:val="18"/>
          <w:szCs w:val="18"/>
        </w:rPr>
      </w:pPr>
      <w:r w:rsidRPr="00A932BB">
        <w:rPr>
          <w:rFonts w:ascii="Tahoma" w:hAnsi="Tahoma" w:cs="Tahoma"/>
          <w:sz w:val="18"/>
          <w:szCs w:val="18"/>
          <w:u w:val="single"/>
        </w:rPr>
        <w:t>Limitazioni</w:t>
      </w:r>
      <w:r w:rsidRPr="00A932BB">
        <w:rPr>
          <w:rFonts w:ascii="Tahoma" w:hAnsi="Tahoma" w:cs="Tahoma"/>
          <w:sz w:val="18"/>
          <w:szCs w:val="18"/>
        </w:rPr>
        <w:t>:</w:t>
      </w:r>
    </w:p>
    <w:p w:rsidR="00B73A46" w:rsidRPr="00A932BB" w:rsidRDefault="00B73A46" w:rsidP="00A932BB">
      <w:pPr>
        <w:pStyle w:val="FootnoteBulletLevel2"/>
        <w:spacing w:before="0"/>
        <w:ind w:left="720" w:hanging="7"/>
        <w:rPr>
          <w:rFonts w:ascii="Tahoma" w:hAnsi="Tahoma" w:cs="Tahoma"/>
          <w:sz w:val="18"/>
          <w:szCs w:val="18"/>
        </w:rPr>
      </w:pPr>
      <w:r w:rsidRPr="00A932BB">
        <w:rPr>
          <w:rFonts w:ascii="Tahoma" w:hAnsi="Tahoma" w:cs="Tahoma"/>
          <w:sz w:val="18"/>
          <w:szCs w:val="18"/>
        </w:rPr>
        <w:t>A partire dal 24 agosto 2006 le società che hanno stipulato Contratti Multilicenza in Corea, che non soddisfano i criteri previsti per le eccezioni e che intendono utilizzare le versioni in lingua coreana, devono</w:t>
      </w:r>
      <w:r w:rsidR="00A932BB">
        <w:rPr>
          <w:rFonts w:ascii="Tahoma" w:hAnsi="Tahoma" w:cs="Tahoma"/>
          <w:sz w:val="18"/>
          <w:szCs w:val="18"/>
        </w:rPr>
        <w:t> </w:t>
      </w:r>
      <w:r w:rsidRPr="00A932BB">
        <w:rPr>
          <w:rFonts w:ascii="Tahoma" w:hAnsi="Tahoma" w:cs="Tahoma"/>
          <w:sz w:val="18"/>
          <w:szCs w:val="18"/>
        </w:rPr>
        <w:t>distribuire Windows XP Professional K o Windows XP Professional KN.</w:t>
      </w:r>
    </w:p>
    <w:p w:rsidR="00676723" w:rsidRPr="00A75DF9" w:rsidRDefault="00676723">
      <w:pPr>
        <w:rPr>
          <w:rFonts w:cs="Tahoma"/>
        </w:rPr>
      </w:pPr>
    </w:p>
    <w:p w:rsidR="00B73A46" w:rsidRPr="00A75DF9" w:rsidRDefault="00B73A46" w:rsidP="00F64DEA">
      <w:pPr>
        <w:pStyle w:val="FootnoteBulletLevel1"/>
        <w:tabs>
          <w:tab w:val="clear" w:pos="900"/>
        </w:tabs>
        <w:adjustRightInd/>
        <w:spacing w:before="0" w:after="60"/>
        <w:ind w:left="720" w:firstLine="0"/>
        <w:textAlignment w:val="auto"/>
        <w:rPr>
          <w:rFonts w:ascii="Tahoma" w:hAnsi="Tahoma" w:cs="Tahoma"/>
        </w:rPr>
      </w:pPr>
      <w:r w:rsidRPr="00A75DF9">
        <w:rPr>
          <w:rFonts w:ascii="Tahoma" w:hAnsi="Tahoma" w:cs="Tahoma"/>
          <w:b/>
          <w:bCs/>
          <w:sz w:val="18"/>
          <w:szCs w:val="18"/>
        </w:rPr>
        <w:t>Windows XP Professional K e KN</w:t>
      </w:r>
    </w:p>
    <w:p w:rsidR="00B73A46" w:rsidRPr="00A932BB" w:rsidRDefault="00B73A46" w:rsidP="00F64DEA">
      <w:pPr>
        <w:pStyle w:val="FootnoteBulletLevel2"/>
        <w:spacing w:before="0"/>
        <w:ind w:left="720" w:hanging="7"/>
        <w:rPr>
          <w:rFonts w:ascii="Tahoma" w:hAnsi="Tahoma" w:cs="Tahoma"/>
          <w:sz w:val="18"/>
          <w:szCs w:val="18"/>
        </w:rPr>
      </w:pPr>
      <w:r w:rsidRPr="00A932BB">
        <w:rPr>
          <w:rFonts w:ascii="Tahoma" w:hAnsi="Tahoma" w:cs="Tahoma"/>
          <w:sz w:val="18"/>
          <w:szCs w:val="18"/>
        </w:rPr>
        <w:t>Le società che hanno stipulato Contratti Multilicenza e le loro consociate potranno distribuire Windows XP Professional K o KN esclusivamente per l</w:t>
      </w:r>
      <w:r w:rsidR="00F2643E">
        <w:rPr>
          <w:rFonts w:ascii="Tahoma" w:hAnsi="Tahoma" w:cs="Tahoma"/>
          <w:sz w:val="18"/>
          <w:szCs w:val="18"/>
        </w:rPr>
        <w:t>’</w:t>
      </w:r>
      <w:r w:rsidRPr="00A932BB">
        <w:rPr>
          <w:rFonts w:ascii="Tahoma" w:hAnsi="Tahoma" w:cs="Tahoma"/>
          <w:sz w:val="18"/>
          <w:szCs w:val="18"/>
        </w:rPr>
        <w:t xml:space="preserve">utilizzo in Corea. </w:t>
      </w:r>
    </w:p>
    <w:p w:rsidR="00F64DEA" w:rsidRPr="00A932BB" w:rsidRDefault="00F64DEA" w:rsidP="00F64DEA">
      <w:pPr>
        <w:pStyle w:val="FootnoteBulletLevel2"/>
        <w:spacing w:before="0"/>
        <w:ind w:left="720" w:hanging="7"/>
        <w:rPr>
          <w:rFonts w:ascii="Tahoma" w:hAnsi="Tahoma" w:cs="Tahoma"/>
          <w:sz w:val="18"/>
          <w:szCs w:val="18"/>
        </w:rPr>
      </w:pPr>
    </w:p>
    <w:p w:rsidR="00B73A46" w:rsidRPr="00A75DF9" w:rsidRDefault="00B73A46" w:rsidP="00F64DEA">
      <w:pPr>
        <w:pStyle w:val="FootnoteBulletLevel1"/>
        <w:tabs>
          <w:tab w:val="clear" w:pos="900"/>
        </w:tabs>
        <w:adjustRightInd/>
        <w:spacing w:before="0" w:after="60"/>
        <w:ind w:left="720" w:firstLine="0"/>
        <w:textAlignment w:val="auto"/>
        <w:rPr>
          <w:rFonts w:ascii="Tahoma" w:hAnsi="Tahoma" w:cs="Tahoma"/>
        </w:rPr>
      </w:pPr>
      <w:r w:rsidRPr="00A75DF9">
        <w:rPr>
          <w:rFonts w:ascii="Tahoma" w:hAnsi="Tahoma" w:cs="Tahoma"/>
          <w:b/>
          <w:bCs/>
          <w:sz w:val="18"/>
          <w:szCs w:val="18"/>
        </w:rPr>
        <w:t>Windows Vista Business KN</w:t>
      </w:r>
    </w:p>
    <w:p w:rsidR="00B73A46" w:rsidRPr="00A932BB" w:rsidRDefault="00B73A46" w:rsidP="00A932BB">
      <w:pPr>
        <w:pStyle w:val="FootnoteBulletLevel2"/>
        <w:spacing w:before="0"/>
        <w:ind w:left="720" w:hanging="7"/>
        <w:rPr>
          <w:rFonts w:ascii="Tahoma" w:hAnsi="Tahoma" w:cs="Tahoma"/>
          <w:sz w:val="18"/>
          <w:szCs w:val="18"/>
        </w:rPr>
      </w:pPr>
      <w:r w:rsidRPr="00A932BB">
        <w:rPr>
          <w:rFonts w:ascii="Tahoma" w:hAnsi="Tahoma" w:cs="Tahoma"/>
          <w:sz w:val="18"/>
          <w:szCs w:val="18"/>
          <w:u w:val="single"/>
        </w:rPr>
        <w:t>Requisiti di Idoneità</w:t>
      </w:r>
      <w:r w:rsidRPr="00A932BB">
        <w:rPr>
          <w:rFonts w:ascii="Tahoma" w:hAnsi="Tahoma" w:cs="Tahoma"/>
          <w:sz w:val="18"/>
          <w:szCs w:val="18"/>
        </w:rPr>
        <w:t>:</w:t>
      </w:r>
      <w:r w:rsidRPr="00A932BB">
        <w:rPr>
          <w:rFonts w:ascii="Tahoma" w:hAnsi="Tahoma" w:cs="Tahoma"/>
          <w:sz w:val="18"/>
          <w:szCs w:val="18"/>
          <w:u w:val="single"/>
        </w:rPr>
        <w:br/>
      </w:r>
      <w:r w:rsidRPr="00A932BB">
        <w:rPr>
          <w:rFonts w:ascii="Tahoma" w:hAnsi="Tahoma" w:cs="Tahoma"/>
          <w:sz w:val="18"/>
          <w:szCs w:val="18"/>
        </w:rPr>
        <w:t>le società con sede in Corea, che hanno stipulato Contratti Multilicenza e che dispongono di un</w:t>
      </w:r>
      <w:r w:rsidR="00F2643E">
        <w:rPr>
          <w:rFonts w:ascii="Tahoma" w:hAnsi="Tahoma" w:cs="Tahoma"/>
          <w:sz w:val="18"/>
          <w:szCs w:val="18"/>
        </w:rPr>
        <w:t>’</w:t>
      </w:r>
      <w:r w:rsidRPr="00A932BB">
        <w:rPr>
          <w:rFonts w:ascii="Tahoma" w:hAnsi="Tahoma" w:cs="Tahoma"/>
          <w:sz w:val="18"/>
          <w:szCs w:val="18"/>
        </w:rPr>
        <w:t>iscrizione o</w:t>
      </w:r>
      <w:r w:rsidR="00A932BB" w:rsidRPr="00A932BB">
        <w:rPr>
          <w:rFonts w:ascii="Tahoma" w:hAnsi="Tahoma" w:cs="Tahoma"/>
          <w:sz w:val="18"/>
          <w:szCs w:val="18"/>
        </w:rPr>
        <w:t> </w:t>
      </w:r>
      <w:r w:rsidRPr="00A932BB">
        <w:rPr>
          <w:rFonts w:ascii="Tahoma" w:hAnsi="Tahoma" w:cs="Tahoma"/>
          <w:sz w:val="18"/>
          <w:szCs w:val="18"/>
        </w:rPr>
        <w:t>di</w:t>
      </w:r>
      <w:r w:rsidR="00A932BB" w:rsidRPr="00A932BB">
        <w:rPr>
          <w:rFonts w:ascii="Tahoma" w:hAnsi="Tahoma" w:cs="Tahoma"/>
          <w:sz w:val="18"/>
          <w:szCs w:val="18"/>
        </w:rPr>
        <w:t> </w:t>
      </w:r>
      <w:r w:rsidRPr="00A932BB">
        <w:rPr>
          <w:rFonts w:ascii="Tahoma" w:hAnsi="Tahoma" w:cs="Tahoma"/>
          <w:sz w:val="18"/>
          <w:szCs w:val="18"/>
        </w:rPr>
        <w:t>un Contratto Multilicenza attivo con Microsoft Operations Pte Ltd, sono idonee ad acquistare i supporti di memorizzazione per Windows Vista Business KN per la distribuzione e l</w:t>
      </w:r>
      <w:r w:rsidR="00F2643E">
        <w:rPr>
          <w:rFonts w:ascii="Tahoma" w:hAnsi="Tahoma" w:cs="Tahoma"/>
          <w:sz w:val="18"/>
          <w:szCs w:val="18"/>
        </w:rPr>
        <w:t>’</w:t>
      </w:r>
      <w:r w:rsidRPr="00A932BB">
        <w:rPr>
          <w:rFonts w:ascii="Tahoma" w:hAnsi="Tahoma" w:cs="Tahoma"/>
          <w:sz w:val="18"/>
          <w:szCs w:val="18"/>
        </w:rPr>
        <w:t>utilizzo in Corea. Nessun altro utilizzo è consentito.</w:t>
      </w:r>
    </w:p>
    <w:p w:rsidR="00F64DEA" w:rsidRPr="00A932BB" w:rsidRDefault="00F64DEA" w:rsidP="00F64DEA">
      <w:pPr>
        <w:pStyle w:val="FootnoteBulletLevel2"/>
        <w:spacing w:before="0"/>
        <w:ind w:left="720" w:hanging="7"/>
        <w:rPr>
          <w:rFonts w:ascii="Tahoma" w:hAnsi="Tahoma" w:cs="Tahoma"/>
          <w:sz w:val="18"/>
          <w:szCs w:val="18"/>
        </w:rPr>
      </w:pPr>
    </w:p>
    <w:p w:rsidR="00B73A46" w:rsidRPr="00A75DF9" w:rsidRDefault="00B73A46" w:rsidP="00F64DEA">
      <w:pPr>
        <w:pStyle w:val="FootnoteBulletLevel1"/>
        <w:tabs>
          <w:tab w:val="clear" w:pos="900"/>
        </w:tabs>
        <w:adjustRightInd/>
        <w:spacing w:before="0" w:after="60"/>
        <w:ind w:left="720" w:firstLine="0"/>
        <w:textAlignment w:val="auto"/>
        <w:rPr>
          <w:rFonts w:ascii="Tahoma" w:hAnsi="Tahoma" w:cs="Tahoma"/>
        </w:rPr>
      </w:pPr>
      <w:r w:rsidRPr="00A75DF9">
        <w:rPr>
          <w:rFonts w:ascii="Tahoma" w:hAnsi="Tahoma" w:cs="Tahoma"/>
          <w:b/>
          <w:bCs/>
          <w:sz w:val="18"/>
          <w:szCs w:val="18"/>
        </w:rPr>
        <w:t>Windows 7 Professional KN</w:t>
      </w:r>
    </w:p>
    <w:p w:rsidR="00B47893" w:rsidRPr="00A932BB" w:rsidRDefault="00B73A46" w:rsidP="00A932BB">
      <w:pPr>
        <w:pStyle w:val="FootnoteBulletLevel2"/>
        <w:spacing w:before="0"/>
        <w:ind w:left="720" w:hanging="7"/>
        <w:rPr>
          <w:rFonts w:ascii="Tahoma" w:hAnsi="Tahoma" w:cs="Tahoma"/>
          <w:sz w:val="18"/>
          <w:szCs w:val="18"/>
        </w:rPr>
      </w:pPr>
      <w:r w:rsidRPr="00A932BB">
        <w:rPr>
          <w:rFonts w:ascii="Tahoma" w:hAnsi="Tahoma" w:cs="Tahoma"/>
          <w:sz w:val="18"/>
          <w:szCs w:val="18"/>
          <w:u w:val="single"/>
        </w:rPr>
        <w:t>Requisiti di Idoneità</w:t>
      </w:r>
      <w:r w:rsidRPr="00A932BB">
        <w:rPr>
          <w:rFonts w:ascii="Tahoma" w:hAnsi="Tahoma" w:cs="Tahoma"/>
          <w:sz w:val="18"/>
          <w:szCs w:val="18"/>
        </w:rPr>
        <w:t>:</w:t>
      </w:r>
      <w:r w:rsidRPr="00A932BB">
        <w:rPr>
          <w:rFonts w:ascii="Tahoma" w:hAnsi="Tahoma" w:cs="Tahoma"/>
          <w:sz w:val="18"/>
          <w:szCs w:val="18"/>
          <w:u w:val="single"/>
        </w:rPr>
        <w:br/>
      </w:r>
      <w:r w:rsidRPr="00A932BB">
        <w:rPr>
          <w:rFonts w:ascii="Tahoma" w:hAnsi="Tahoma" w:cs="Tahoma"/>
          <w:sz w:val="18"/>
          <w:szCs w:val="18"/>
        </w:rPr>
        <w:t>le società con sede in Corea, che hanno stipulato Contratti Multilicenza e che dispongono di un</w:t>
      </w:r>
      <w:r w:rsidR="00F2643E">
        <w:rPr>
          <w:rFonts w:ascii="Tahoma" w:hAnsi="Tahoma" w:cs="Tahoma"/>
          <w:sz w:val="18"/>
          <w:szCs w:val="18"/>
        </w:rPr>
        <w:t>’</w:t>
      </w:r>
      <w:r w:rsidRPr="00A932BB">
        <w:rPr>
          <w:rFonts w:ascii="Tahoma" w:hAnsi="Tahoma" w:cs="Tahoma"/>
          <w:sz w:val="18"/>
          <w:szCs w:val="18"/>
        </w:rPr>
        <w:t>iscrizione o</w:t>
      </w:r>
      <w:r w:rsidR="00A932BB" w:rsidRPr="00A932BB">
        <w:rPr>
          <w:rFonts w:ascii="Tahoma" w:hAnsi="Tahoma" w:cs="Tahoma"/>
          <w:sz w:val="18"/>
          <w:szCs w:val="18"/>
        </w:rPr>
        <w:t> </w:t>
      </w:r>
      <w:r w:rsidRPr="00A932BB">
        <w:rPr>
          <w:rFonts w:ascii="Tahoma" w:hAnsi="Tahoma" w:cs="Tahoma"/>
          <w:sz w:val="18"/>
          <w:szCs w:val="18"/>
        </w:rPr>
        <w:t>di</w:t>
      </w:r>
      <w:r w:rsidR="00A932BB" w:rsidRPr="00A932BB">
        <w:rPr>
          <w:rFonts w:ascii="Tahoma" w:hAnsi="Tahoma" w:cs="Tahoma"/>
          <w:sz w:val="18"/>
          <w:szCs w:val="18"/>
        </w:rPr>
        <w:t> </w:t>
      </w:r>
      <w:r w:rsidRPr="00A932BB">
        <w:rPr>
          <w:rFonts w:ascii="Tahoma" w:hAnsi="Tahoma" w:cs="Tahoma"/>
          <w:sz w:val="18"/>
          <w:szCs w:val="18"/>
        </w:rPr>
        <w:t>un Contratto Multilicenza attivo con Microsoft Operations Pte Ltd, sono idonee ad acquistare i supporti di memorizzazione per Windows 7 Professional KN per la distribuzione e l</w:t>
      </w:r>
      <w:r w:rsidR="00F2643E">
        <w:rPr>
          <w:rFonts w:ascii="Tahoma" w:hAnsi="Tahoma" w:cs="Tahoma"/>
          <w:sz w:val="18"/>
          <w:szCs w:val="18"/>
        </w:rPr>
        <w:t>’</w:t>
      </w:r>
      <w:r w:rsidRPr="00A932BB">
        <w:rPr>
          <w:rFonts w:ascii="Tahoma" w:hAnsi="Tahoma" w:cs="Tahoma"/>
          <w:sz w:val="18"/>
          <w:szCs w:val="18"/>
        </w:rPr>
        <w:t>utilizzo in Corea. Nessun altro utilizzo è consentito.</w:t>
      </w:r>
    </w:p>
    <w:p w:rsidR="00F64DEA" w:rsidRPr="00A932BB" w:rsidRDefault="00F64DEA" w:rsidP="00F64DEA">
      <w:pPr>
        <w:pStyle w:val="FootnoteBulletLevel2"/>
        <w:spacing w:before="0"/>
        <w:ind w:left="720" w:hanging="7"/>
        <w:rPr>
          <w:rFonts w:ascii="Tahoma" w:hAnsi="Tahoma" w:cs="Tahoma"/>
          <w:sz w:val="18"/>
          <w:szCs w:val="18"/>
        </w:rPr>
      </w:pPr>
    </w:p>
    <w:p w:rsidR="00B73A46" w:rsidRPr="00A75DF9" w:rsidRDefault="00B73A46" w:rsidP="00F64DEA">
      <w:pPr>
        <w:pStyle w:val="FootnoteBulletLevel1"/>
        <w:tabs>
          <w:tab w:val="clear" w:pos="900"/>
        </w:tabs>
        <w:adjustRightInd/>
        <w:spacing w:before="0" w:after="60"/>
        <w:ind w:left="720" w:firstLine="0"/>
        <w:textAlignment w:val="auto"/>
        <w:rPr>
          <w:rFonts w:ascii="Tahoma" w:hAnsi="Tahoma" w:cs="Tahoma"/>
        </w:rPr>
      </w:pPr>
      <w:r w:rsidRPr="00A75DF9">
        <w:rPr>
          <w:rFonts w:ascii="Tahoma" w:hAnsi="Tahoma" w:cs="Tahoma"/>
          <w:b/>
          <w:bCs/>
          <w:sz w:val="18"/>
          <w:szCs w:val="18"/>
        </w:rPr>
        <w:t>Windows Vista Business N (non contiene Windows Media Player)</w:t>
      </w:r>
    </w:p>
    <w:p w:rsidR="00B73A46" w:rsidRPr="00A932BB" w:rsidRDefault="00B73A46" w:rsidP="00F64DEA">
      <w:pPr>
        <w:pStyle w:val="FootnoteBulletLevel2"/>
        <w:spacing w:before="0"/>
        <w:ind w:left="720" w:hanging="7"/>
        <w:rPr>
          <w:rFonts w:ascii="Tahoma" w:hAnsi="Tahoma" w:cs="Tahoma"/>
          <w:sz w:val="18"/>
          <w:szCs w:val="18"/>
        </w:rPr>
      </w:pPr>
      <w:r w:rsidRPr="00A932BB">
        <w:rPr>
          <w:rFonts w:ascii="Tahoma" w:hAnsi="Tahoma" w:cs="Tahoma"/>
          <w:sz w:val="18"/>
          <w:szCs w:val="18"/>
          <w:u w:val="single"/>
        </w:rPr>
        <w:t>Requisiti di Idoneità</w:t>
      </w:r>
      <w:r w:rsidRPr="00A932BB">
        <w:rPr>
          <w:rFonts w:ascii="Tahoma" w:hAnsi="Tahoma" w:cs="Tahoma"/>
          <w:sz w:val="18"/>
          <w:szCs w:val="18"/>
        </w:rPr>
        <w:t>:</w:t>
      </w:r>
      <w:r w:rsidRPr="00A932BB">
        <w:rPr>
          <w:rFonts w:ascii="Tahoma" w:hAnsi="Tahoma" w:cs="Tahoma"/>
          <w:sz w:val="18"/>
          <w:szCs w:val="18"/>
          <w:u w:val="single"/>
        </w:rPr>
        <w:br/>
      </w:r>
      <w:r w:rsidRPr="00A932BB">
        <w:rPr>
          <w:rFonts w:ascii="Tahoma" w:hAnsi="Tahoma" w:cs="Tahoma"/>
          <w:sz w:val="18"/>
          <w:szCs w:val="18"/>
        </w:rPr>
        <w:t>le società che hanno stipulato Contratti Multilicenza e che soddisfano tutti i criteri che seguono sono idonee ad acquistare i supporti di memorizzazione per Microsoft Windows Vista Business N esclusivamente per la distribuzione e l</w:t>
      </w:r>
      <w:r w:rsidR="00F2643E">
        <w:rPr>
          <w:rFonts w:ascii="Tahoma" w:hAnsi="Tahoma" w:cs="Tahoma"/>
          <w:sz w:val="18"/>
          <w:szCs w:val="18"/>
        </w:rPr>
        <w:t>’</w:t>
      </w:r>
      <w:r w:rsidRPr="00A932BB">
        <w:rPr>
          <w:rFonts w:ascii="Tahoma" w:hAnsi="Tahoma" w:cs="Tahoma"/>
          <w:sz w:val="18"/>
          <w:szCs w:val="18"/>
        </w:rPr>
        <w:t>utilizzo nell</w:t>
      </w:r>
      <w:r w:rsidR="00F2643E">
        <w:rPr>
          <w:rFonts w:ascii="Tahoma" w:hAnsi="Tahoma" w:cs="Tahoma"/>
          <w:sz w:val="18"/>
          <w:szCs w:val="18"/>
        </w:rPr>
        <w:t>’</w:t>
      </w:r>
      <w:r w:rsidRPr="00A932BB">
        <w:rPr>
          <w:rFonts w:ascii="Tahoma" w:hAnsi="Tahoma" w:cs="Tahoma"/>
          <w:sz w:val="18"/>
          <w:szCs w:val="18"/>
        </w:rPr>
        <w:t>Unione Europea (UE), in uno stato membro dell</w:t>
      </w:r>
      <w:r w:rsidR="00F2643E">
        <w:rPr>
          <w:rFonts w:ascii="Tahoma" w:hAnsi="Tahoma" w:cs="Tahoma"/>
          <w:sz w:val="18"/>
          <w:szCs w:val="18"/>
        </w:rPr>
        <w:t>’</w:t>
      </w:r>
      <w:r w:rsidRPr="00A932BB">
        <w:rPr>
          <w:rFonts w:ascii="Tahoma" w:hAnsi="Tahoma" w:cs="Tahoma"/>
          <w:sz w:val="18"/>
          <w:szCs w:val="18"/>
        </w:rPr>
        <w:t>Associazione Europea per il Libero Scambio (EFTA), in Bulgaria, in Croazia, in Romania o in Svizzera.</w:t>
      </w:r>
    </w:p>
    <w:p w:rsidR="00F64DEA" w:rsidRPr="00A932BB" w:rsidRDefault="00F64DEA" w:rsidP="00F64DEA">
      <w:pPr>
        <w:pStyle w:val="FootnoteBulletLevel2"/>
        <w:spacing w:before="0"/>
        <w:ind w:left="720" w:hanging="7"/>
        <w:rPr>
          <w:rFonts w:ascii="Tahoma" w:hAnsi="Tahoma" w:cs="Tahoma"/>
          <w:sz w:val="18"/>
          <w:szCs w:val="18"/>
        </w:rPr>
      </w:pPr>
    </w:p>
    <w:p w:rsidR="00B73A46" w:rsidRPr="00A932BB" w:rsidRDefault="00B73A46" w:rsidP="00F64DEA">
      <w:pPr>
        <w:pStyle w:val="Footnotedash"/>
        <w:spacing w:before="0" w:after="0"/>
        <w:ind w:left="720" w:hanging="7"/>
        <w:rPr>
          <w:rFonts w:ascii="Tahoma" w:hAnsi="Tahoma" w:cs="Tahoma"/>
          <w:sz w:val="18"/>
          <w:szCs w:val="18"/>
        </w:rPr>
      </w:pPr>
      <w:r w:rsidRPr="00A932BB">
        <w:rPr>
          <w:rFonts w:ascii="Tahoma" w:hAnsi="Tahoma" w:cs="Tahoma"/>
          <w:sz w:val="18"/>
          <w:szCs w:val="18"/>
        </w:rPr>
        <w:t xml:space="preserve">Devono disporre di almeno uno dei seguenti contratti o iscrizioni attivi con Microsoft Ireland Operations Ltd: </w:t>
      </w:r>
    </w:p>
    <w:p w:rsidR="00F64DEA" w:rsidRPr="00A932BB" w:rsidRDefault="00F64DEA" w:rsidP="00F64DEA">
      <w:pPr>
        <w:pStyle w:val="Footnotedash"/>
        <w:spacing w:before="0" w:after="0"/>
        <w:ind w:left="720" w:hanging="7"/>
        <w:rPr>
          <w:rFonts w:ascii="Tahoma" w:hAnsi="Tahoma" w:cs="Tahoma"/>
          <w:sz w:val="18"/>
          <w:szCs w:val="18"/>
        </w:rPr>
      </w:pPr>
    </w:p>
    <w:p w:rsidR="00B73A46" w:rsidRPr="00A932BB" w:rsidRDefault="00B73A46" w:rsidP="00346F4B">
      <w:pPr>
        <w:pStyle w:val="Footnotedash"/>
        <w:numPr>
          <w:ilvl w:val="0"/>
          <w:numId w:val="32"/>
        </w:numPr>
        <w:adjustRightInd/>
        <w:spacing w:before="0"/>
        <w:ind w:left="1440"/>
        <w:textAlignment w:val="auto"/>
        <w:rPr>
          <w:rFonts w:ascii="Tahoma" w:hAnsi="Tahoma" w:cs="Tahoma"/>
          <w:sz w:val="18"/>
          <w:szCs w:val="18"/>
        </w:rPr>
      </w:pPr>
      <w:r w:rsidRPr="00A932BB">
        <w:rPr>
          <w:rFonts w:ascii="Tahoma" w:hAnsi="Tahoma" w:cs="Tahoma"/>
          <w:sz w:val="18"/>
          <w:szCs w:val="18"/>
        </w:rPr>
        <w:t>Iscrizione Select, Enterprise o Enterprise Subscription</w:t>
      </w:r>
    </w:p>
    <w:p w:rsidR="00B73A46" w:rsidRPr="00A932BB" w:rsidRDefault="00B73A46" w:rsidP="00346F4B">
      <w:pPr>
        <w:pStyle w:val="Footnotedash"/>
        <w:numPr>
          <w:ilvl w:val="0"/>
          <w:numId w:val="32"/>
        </w:numPr>
        <w:adjustRightInd/>
        <w:spacing w:before="0"/>
        <w:ind w:left="1440"/>
        <w:textAlignment w:val="auto"/>
        <w:rPr>
          <w:rFonts w:ascii="Tahoma" w:hAnsi="Tahoma" w:cs="Tahoma"/>
          <w:sz w:val="18"/>
          <w:szCs w:val="18"/>
        </w:rPr>
      </w:pPr>
      <w:r w:rsidRPr="00A932BB">
        <w:rPr>
          <w:rFonts w:ascii="Tahoma" w:hAnsi="Tahoma" w:cs="Tahoma"/>
          <w:sz w:val="18"/>
          <w:szCs w:val="18"/>
        </w:rPr>
        <w:t xml:space="preserve">Contratti Open License*, Open Value, Campus e School, Open Value Subscription - Education Solutions </w:t>
      </w:r>
    </w:p>
    <w:p w:rsidR="00B73A46" w:rsidRPr="00A932BB" w:rsidRDefault="00B73A46" w:rsidP="00A932BB">
      <w:pPr>
        <w:pStyle w:val="Footnotedash"/>
        <w:tabs>
          <w:tab w:val="clear" w:pos="1620"/>
        </w:tabs>
        <w:adjustRightInd/>
        <w:spacing w:before="0"/>
        <w:ind w:left="1440" w:firstLine="0"/>
        <w:textAlignment w:val="auto"/>
        <w:rPr>
          <w:rFonts w:ascii="Tahoma" w:hAnsi="Tahoma" w:cs="Tahoma"/>
          <w:sz w:val="18"/>
          <w:szCs w:val="18"/>
        </w:rPr>
      </w:pPr>
      <w:r w:rsidRPr="00A932BB">
        <w:rPr>
          <w:rFonts w:ascii="Tahoma" w:hAnsi="Tahoma" w:cs="Tahoma"/>
          <w:sz w:val="18"/>
          <w:szCs w:val="18"/>
        </w:rPr>
        <w:t>(*Ai fini del Contratto Open License, un “contratto attivo” è un contratto associato a un Numero di</w:t>
      </w:r>
      <w:r w:rsidR="00A932BB">
        <w:rPr>
          <w:rFonts w:ascii="Tahoma" w:hAnsi="Tahoma" w:cs="Tahoma"/>
          <w:sz w:val="18"/>
          <w:szCs w:val="18"/>
        </w:rPr>
        <w:t> </w:t>
      </w:r>
      <w:r w:rsidRPr="00A932BB">
        <w:rPr>
          <w:rFonts w:ascii="Tahoma" w:hAnsi="Tahoma" w:cs="Tahoma"/>
          <w:sz w:val="18"/>
          <w:szCs w:val="18"/>
        </w:rPr>
        <w:t>Autorizzazione Open License attivo).</w:t>
      </w:r>
    </w:p>
    <w:p w:rsidR="00F64DEA" w:rsidRPr="00A75DF9" w:rsidRDefault="00F64DEA" w:rsidP="00AF3B19">
      <w:pPr>
        <w:pStyle w:val="Footnotedash"/>
        <w:tabs>
          <w:tab w:val="clear" w:pos="1620"/>
        </w:tabs>
        <w:adjustRightInd/>
        <w:spacing w:before="0" w:after="0"/>
        <w:ind w:left="0" w:firstLine="0"/>
        <w:textAlignment w:val="auto"/>
        <w:rPr>
          <w:rFonts w:ascii="Tahoma" w:hAnsi="Tahoma" w:cs="Tahoma"/>
        </w:rPr>
      </w:pPr>
    </w:p>
    <w:p w:rsidR="00B73A46" w:rsidRPr="00A932BB" w:rsidRDefault="00B73A46" w:rsidP="00F64DEA">
      <w:pPr>
        <w:pStyle w:val="Footnotedash"/>
        <w:spacing w:before="0" w:after="0"/>
        <w:ind w:left="720" w:hanging="7"/>
        <w:rPr>
          <w:rFonts w:ascii="Tahoma" w:hAnsi="Tahoma" w:cs="Tahoma"/>
          <w:sz w:val="18"/>
          <w:szCs w:val="18"/>
        </w:rPr>
      </w:pPr>
      <w:r w:rsidRPr="00A932BB">
        <w:rPr>
          <w:rFonts w:ascii="Tahoma" w:hAnsi="Tahoma" w:cs="Tahoma"/>
          <w:sz w:val="18"/>
          <w:szCs w:val="18"/>
        </w:rPr>
        <w:lastRenderedPageBreak/>
        <w:t>Devono disporre di una copertura Software Assurance attiva per le licenze di Aggiornamento per il Sistema Operativo Desktop Windows o per Windows Vista Business.</w:t>
      </w:r>
    </w:p>
    <w:p w:rsidR="00F64DEA" w:rsidRPr="00A932BB" w:rsidRDefault="00F64DEA" w:rsidP="00F64DEA">
      <w:pPr>
        <w:pStyle w:val="Footnotedash"/>
        <w:spacing w:before="0" w:after="0"/>
        <w:ind w:left="720" w:hanging="7"/>
        <w:rPr>
          <w:rFonts w:ascii="Tahoma" w:hAnsi="Tahoma" w:cs="Tahoma"/>
          <w:sz w:val="18"/>
          <w:szCs w:val="18"/>
        </w:rPr>
      </w:pPr>
    </w:p>
    <w:p w:rsidR="00B73A46" w:rsidRPr="00A932BB" w:rsidRDefault="00B73A46" w:rsidP="00F64DEA">
      <w:pPr>
        <w:pStyle w:val="Footnotedash"/>
        <w:spacing w:before="0" w:after="0"/>
        <w:ind w:left="720" w:hanging="7"/>
        <w:rPr>
          <w:rFonts w:ascii="Tahoma" w:hAnsi="Tahoma" w:cs="Tahoma"/>
          <w:sz w:val="18"/>
          <w:szCs w:val="18"/>
        </w:rPr>
      </w:pPr>
      <w:r w:rsidRPr="00A932BB">
        <w:rPr>
          <w:rFonts w:ascii="Tahoma" w:hAnsi="Tahoma" w:cs="Tahoma"/>
          <w:sz w:val="18"/>
          <w:szCs w:val="18"/>
        </w:rPr>
        <w:t>Devono avere sede in uno dei paesi dell</w:t>
      </w:r>
      <w:r w:rsidR="00F2643E">
        <w:rPr>
          <w:rFonts w:ascii="Tahoma" w:hAnsi="Tahoma" w:cs="Tahoma"/>
          <w:sz w:val="18"/>
          <w:szCs w:val="18"/>
        </w:rPr>
        <w:t>’</w:t>
      </w:r>
      <w:r w:rsidRPr="00A932BB">
        <w:rPr>
          <w:rFonts w:ascii="Tahoma" w:hAnsi="Tahoma" w:cs="Tahoma"/>
          <w:sz w:val="18"/>
          <w:szCs w:val="18"/>
        </w:rPr>
        <w:t>Unione Europea (UE), in uno stato membro dell</w:t>
      </w:r>
      <w:r w:rsidR="00F2643E">
        <w:rPr>
          <w:rFonts w:ascii="Tahoma" w:hAnsi="Tahoma" w:cs="Tahoma"/>
          <w:sz w:val="18"/>
          <w:szCs w:val="18"/>
        </w:rPr>
        <w:t>’</w:t>
      </w:r>
      <w:r w:rsidRPr="00A932BB">
        <w:rPr>
          <w:rFonts w:ascii="Tahoma" w:hAnsi="Tahoma" w:cs="Tahoma"/>
          <w:sz w:val="18"/>
          <w:szCs w:val="18"/>
        </w:rPr>
        <w:t xml:space="preserve">Associazione Europea per il Libero Scambio (EFTA), in Bulgaria, in Croazia, in Romania o in Svizzera. </w:t>
      </w:r>
    </w:p>
    <w:p w:rsidR="00EB3E62" w:rsidRPr="00A932BB" w:rsidRDefault="00EB3E62" w:rsidP="00F64DEA">
      <w:pPr>
        <w:pStyle w:val="Footnotedash"/>
        <w:spacing w:before="0" w:after="0"/>
        <w:ind w:left="720" w:hanging="7"/>
        <w:rPr>
          <w:rFonts w:ascii="Tahoma" w:hAnsi="Tahoma" w:cs="Tahoma"/>
          <w:sz w:val="18"/>
          <w:szCs w:val="18"/>
        </w:rPr>
      </w:pPr>
    </w:p>
    <w:p w:rsidR="00B73A46" w:rsidRPr="00A932BB" w:rsidRDefault="00B73A46" w:rsidP="00EB3E62">
      <w:pPr>
        <w:pStyle w:val="FootnoteBulletLevel1"/>
        <w:tabs>
          <w:tab w:val="clear" w:pos="900"/>
        </w:tabs>
        <w:adjustRightInd/>
        <w:spacing w:before="0" w:after="60"/>
        <w:ind w:left="720" w:firstLine="0"/>
        <w:textAlignment w:val="auto"/>
        <w:rPr>
          <w:rFonts w:ascii="Tahoma" w:hAnsi="Tahoma" w:cs="Tahoma"/>
          <w:sz w:val="18"/>
          <w:szCs w:val="18"/>
        </w:rPr>
      </w:pPr>
      <w:r w:rsidRPr="00A932BB">
        <w:rPr>
          <w:rFonts w:ascii="Tahoma" w:hAnsi="Tahoma" w:cs="Tahoma"/>
          <w:b/>
          <w:bCs/>
          <w:sz w:val="18"/>
          <w:szCs w:val="18"/>
        </w:rPr>
        <w:t>Windows 7 Professional N (non contiene Windows Media Player)</w:t>
      </w:r>
    </w:p>
    <w:p w:rsidR="00B73A46" w:rsidRPr="00A932BB" w:rsidRDefault="00B73A46" w:rsidP="00EB3E62">
      <w:pPr>
        <w:pStyle w:val="FootnoteBulletLevel2"/>
        <w:spacing w:before="0"/>
        <w:ind w:left="720" w:firstLine="0"/>
        <w:rPr>
          <w:rFonts w:ascii="Tahoma" w:hAnsi="Tahoma" w:cs="Tahoma"/>
          <w:sz w:val="18"/>
          <w:szCs w:val="18"/>
        </w:rPr>
      </w:pPr>
      <w:r w:rsidRPr="00A932BB">
        <w:rPr>
          <w:rFonts w:ascii="Tahoma" w:hAnsi="Tahoma" w:cs="Tahoma"/>
          <w:sz w:val="18"/>
          <w:szCs w:val="18"/>
          <w:u w:val="single"/>
        </w:rPr>
        <w:t>Requisiti di Idoneità</w:t>
      </w:r>
      <w:r w:rsidRPr="00A932BB">
        <w:rPr>
          <w:rFonts w:ascii="Tahoma" w:hAnsi="Tahoma" w:cs="Tahoma"/>
          <w:sz w:val="18"/>
          <w:szCs w:val="18"/>
        </w:rPr>
        <w:t>:</w:t>
      </w:r>
      <w:r w:rsidRPr="00A932BB">
        <w:rPr>
          <w:rFonts w:ascii="Tahoma" w:hAnsi="Tahoma" w:cs="Tahoma"/>
          <w:sz w:val="18"/>
          <w:szCs w:val="18"/>
          <w:u w:val="single"/>
        </w:rPr>
        <w:br/>
      </w:r>
      <w:r w:rsidRPr="00A932BB">
        <w:rPr>
          <w:rFonts w:ascii="Tahoma" w:hAnsi="Tahoma" w:cs="Tahoma"/>
          <w:sz w:val="18"/>
          <w:szCs w:val="18"/>
        </w:rPr>
        <w:t>le società che hanno stipulato Contratti Multilicenza e che soddisfano tutti i criteri che seguono sono idonee ad acquistare i supporti di memorizzazione per Microsoft Windows 7 Professional N esclusivamente per la distribuzione e l</w:t>
      </w:r>
      <w:r w:rsidR="00F2643E">
        <w:rPr>
          <w:rFonts w:ascii="Tahoma" w:hAnsi="Tahoma" w:cs="Tahoma"/>
          <w:sz w:val="18"/>
          <w:szCs w:val="18"/>
        </w:rPr>
        <w:t>’</w:t>
      </w:r>
      <w:r w:rsidRPr="00A932BB">
        <w:rPr>
          <w:rFonts w:ascii="Tahoma" w:hAnsi="Tahoma" w:cs="Tahoma"/>
          <w:sz w:val="18"/>
          <w:szCs w:val="18"/>
        </w:rPr>
        <w:t>utilizzo nell</w:t>
      </w:r>
      <w:r w:rsidR="00F2643E">
        <w:rPr>
          <w:rFonts w:ascii="Tahoma" w:hAnsi="Tahoma" w:cs="Tahoma"/>
          <w:sz w:val="18"/>
          <w:szCs w:val="18"/>
        </w:rPr>
        <w:t>’</w:t>
      </w:r>
      <w:r w:rsidRPr="00A932BB">
        <w:rPr>
          <w:rFonts w:ascii="Tahoma" w:hAnsi="Tahoma" w:cs="Tahoma"/>
          <w:sz w:val="18"/>
          <w:szCs w:val="18"/>
        </w:rPr>
        <w:t>Unione Europea (UE), in uno stato membro dell</w:t>
      </w:r>
      <w:r w:rsidR="00F2643E">
        <w:rPr>
          <w:rFonts w:ascii="Tahoma" w:hAnsi="Tahoma" w:cs="Tahoma"/>
          <w:sz w:val="18"/>
          <w:szCs w:val="18"/>
        </w:rPr>
        <w:t>’</w:t>
      </w:r>
      <w:r w:rsidRPr="00A932BB">
        <w:rPr>
          <w:rFonts w:ascii="Tahoma" w:hAnsi="Tahoma" w:cs="Tahoma"/>
          <w:sz w:val="18"/>
          <w:szCs w:val="18"/>
        </w:rPr>
        <w:t>Associazione Europea per il Libero Scambio (EFTA), in Bulgaria, in Croazia, in Romania o in Svizzera.</w:t>
      </w:r>
    </w:p>
    <w:p w:rsidR="00B73A46" w:rsidRPr="00A932BB" w:rsidRDefault="00B73A46" w:rsidP="00EB3E62">
      <w:pPr>
        <w:pStyle w:val="Footnotedash"/>
        <w:spacing w:before="0" w:after="0"/>
        <w:ind w:left="720" w:firstLine="0"/>
        <w:rPr>
          <w:rFonts w:ascii="Tahoma" w:hAnsi="Tahoma" w:cs="Tahoma"/>
          <w:sz w:val="18"/>
          <w:szCs w:val="18"/>
        </w:rPr>
      </w:pPr>
      <w:r w:rsidRPr="00A932BB">
        <w:rPr>
          <w:rFonts w:ascii="Tahoma" w:hAnsi="Tahoma" w:cs="Tahoma"/>
          <w:sz w:val="18"/>
          <w:szCs w:val="18"/>
        </w:rPr>
        <w:t xml:space="preserve">Devono disporre di almeno uno dei seguenti contratti o iscrizioni attivi con Microsoft Ireland Operations Ltd: </w:t>
      </w:r>
    </w:p>
    <w:p w:rsidR="00B73A46" w:rsidRPr="00A932BB" w:rsidRDefault="00B73A46" w:rsidP="00346F4B">
      <w:pPr>
        <w:pStyle w:val="Footnotedash"/>
        <w:numPr>
          <w:ilvl w:val="0"/>
          <w:numId w:val="32"/>
        </w:numPr>
        <w:adjustRightInd/>
        <w:spacing w:before="0"/>
        <w:ind w:left="1440"/>
        <w:textAlignment w:val="auto"/>
        <w:rPr>
          <w:rFonts w:ascii="Tahoma" w:hAnsi="Tahoma" w:cs="Tahoma"/>
          <w:sz w:val="18"/>
          <w:szCs w:val="18"/>
        </w:rPr>
      </w:pPr>
      <w:r w:rsidRPr="00A932BB">
        <w:rPr>
          <w:rFonts w:ascii="Tahoma" w:hAnsi="Tahoma" w:cs="Tahoma"/>
          <w:sz w:val="18"/>
          <w:szCs w:val="18"/>
        </w:rPr>
        <w:t>Iscrizione Select, Enterprise o Enterprise Subscription</w:t>
      </w:r>
    </w:p>
    <w:p w:rsidR="00B73A46" w:rsidRPr="00A932BB" w:rsidRDefault="00B73A46" w:rsidP="00346F4B">
      <w:pPr>
        <w:pStyle w:val="Footnotedash"/>
        <w:numPr>
          <w:ilvl w:val="0"/>
          <w:numId w:val="32"/>
        </w:numPr>
        <w:adjustRightInd/>
        <w:spacing w:before="0"/>
        <w:ind w:left="1440"/>
        <w:textAlignment w:val="auto"/>
        <w:rPr>
          <w:rFonts w:ascii="Tahoma" w:hAnsi="Tahoma" w:cs="Tahoma"/>
          <w:sz w:val="18"/>
          <w:szCs w:val="18"/>
        </w:rPr>
      </w:pPr>
      <w:r w:rsidRPr="00A932BB">
        <w:rPr>
          <w:rFonts w:ascii="Tahoma" w:hAnsi="Tahoma" w:cs="Tahoma"/>
          <w:sz w:val="18"/>
          <w:szCs w:val="18"/>
        </w:rPr>
        <w:t xml:space="preserve">Contratti Open License*, Open Value, Campus e School, Open Value Subscription - Education Solutions </w:t>
      </w:r>
    </w:p>
    <w:p w:rsidR="00B73A46" w:rsidRPr="00A932BB" w:rsidRDefault="00B73A46" w:rsidP="00A932BB">
      <w:pPr>
        <w:pStyle w:val="Footnotedash"/>
        <w:tabs>
          <w:tab w:val="clear" w:pos="1620"/>
        </w:tabs>
        <w:adjustRightInd/>
        <w:spacing w:before="0"/>
        <w:ind w:left="1440" w:firstLine="0"/>
        <w:textAlignment w:val="auto"/>
        <w:rPr>
          <w:rFonts w:ascii="Tahoma" w:hAnsi="Tahoma" w:cs="Tahoma"/>
          <w:sz w:val="18"/>
          <w:szCs w:val="18"/>
        </w:rPr>
      </w:pPr>
      <w:r w:rsidRPr="00A932BB">
        <w:rPr>
          <w:rFonts w:ascii="Tahoma" w:hAnsi="Tahoma" w:cs="Tahoma"/>
          <w:sz w:val="18"/>
          <w:szCs w:val="18"/>
        </w:rPr>
        <w:t>(*Ai fini del Contratto Open License, un “contratto attivo” è un contratto associato a un Numero di</w:t>
      </w:r>
      <w:r w:rsidR="00A932BB">
        <w:rPr>
          <w:rFonts w:ascii="Tahoma" w:hAnsi="Tahoma" w:cs="Tahoma"/>
          <w:sz w:val="18"/>
          <w:szCs w:val="18"/>
        </w:rPr>
        <w:t> </w:t>
      </w:r>
      <w:r w:rsidRPr="00A932BB">
        <w:rPr>
          <w:rFonts w:ascii="Tahoma" w:hAnsi="Tahoma" w:cs="Tahoma"/>
          <w:sz w:val="18"/>
          <w:szCs w:val="18"/>
        </w:rPr>
        <w:t>Autorizzazione Open License attivo).</w:t>
      </w:r>
    </w:p>
    <w:p w:rsidR="00B73A46" w:rsidRPr="00A932BB" w:rsidRDefault="00B73A46" w:rsidP="00EB3E62">
      <w:pPr>
        <w:pStyle w:val="Footnotedash"/>
        <w:spacing w:before="0" w:after="0"/>
        <w:ind w:left="720" w:firstLine="0"/>
        <w:rPr>
          <w:rFonts w:ascii="Tahoma" w:hAnsi="Tahoma" w:cs="Tahoma"/>
          <w:sz w:val="18"/>
          <w:szCs w:val="18"/>
        </w:rPr>
      </w:pPr>
      <w:r w:rsidRPr="00A932BB">
        <w:rPr>
          <w:rFonts w:ascii="Tahoma" w:hAnsi="Tahoma" w:cs="Tahoma"/>
          <w:sz w:val="18"/>
          <w:szCs w:val="18"/>
        </w:rPr>
        <w:t>Devono disporre di una copertura Software Assurance attiva per le licenze di aggiornamento per il Sistema Operativo Desktop Windows o per Windows 8 Pro.</w:t>
      </w:r>
    </w:p>
    <w:p w:rsidR="00EB3E62" w:rsidRPr="00A932BB" w:rsidRDefault="00EB3E62" w:rsidP="00EB3E62">
      <w:pPr>
        <w:pStyle w:val="Footnotedash"/>
        <w:spacing w:before="0" w:after="0"/>
        <w:ind w:left="720" w:firstLine="0"/>
        <w:rPr>
          <w:rFonts w:ascii="Tahoma" w:hAnsi="Tahoma" w:cs="Tahoma"/>
          <w:sz w:val="18"/>
          <w:szCs w:val="18"/>
        </w:rPr>
      </w:pPr>
    </w:p>
    <w:p w:rsidR="00B73A46" w:rsidRPr="00A932BB" w:rsidRDefault="00B73A46" w:rsidP="00EB3E62">
      <w:pPr>
        <w:pStyle w:val="Footnotedash"/>
        <w:spacing w:before="0" w:after="0"/>
        <w:ind w:left="720" w:firstLine="0"/>
        <w:rPr>
          <w:rFonts w:ascii="Tahoma" w:hAnsi="Tahoma" w:cs="Tahoma"/>
          <w:sz w:val="18"/>
          <w:szCs w:val="18"/>
        </w:rPr>
      </w:pPr>
      <w:r w:rsidRPr="00A932BB">
        <w:rPr>
          <w:rFonts w:ascii="Tahoma" w:hAnsi="Tahoma" w:cs="Tahoma"/>
          <w:sz w:val="18"/>
          <w:szCs w:val="18"/>
        </w:rPr>
        <w:t>Devono avere sede in uno dei paesi dell</w:t>
      </w:r>
      <w:r w:rsidR="00F2643E">
        <w:rPr>
          <w:rFonts w:ascii="Tahoma" w:hAnsi="Tahoma" w:cs="Tahoma"/>
          <w:sz w:val="18"/>
          <w:szCs w:val="18"/>
        </w:rPr>
        <w:t>’</w:t>
      </w:r>
      <w:r w:rsidRPr="00A932BB">
        <w:rPr>
          <w:rFonts w:ascii="Tahoma" w:hAnsi="Tahoma" w:cs="Tahoma"/>
          <w:sz w:val="18"/>
          <w:szCs w:val="18"/>
        </w:rPr>
        <w:t>Unione Europea (UE), in uno stato membro dell</w:t>
      </w:r>
      <w:r w:rsidR="00F2643E">
        <w:rPr>
          <w:rFonts w:ascii="Tahoma" w:hAnsi="Tahoma" w:cs="Tahoma"/>
          <w:sz w:val="18"/>
          <w:szCs w:val="18"/>
        </w:rPr>
        <w:t>’</w:t>
      </w:r>
      <w:r w:rsidRPr="00A932BB">
        <w:rPr>
          <w:rFonts w:ascii="Tahoma" w:hAnsi="Tahoma" w:cs="Tahoma"/>
          <w:sz w:val="18"/>
          <w:szCs w:val="18"/>
        </w:rPr>
        <w:t xml:space="preserve">Associazione Europea per il Libero Scambio (EFTA), in Bulgaria, in Croazia, in Romania o in Svizzera. </w:t>
      </w:r>
    </w:p>
    <w:p w:rsidR="00EB3E62" w:rsidRPr="00A932BB" w:rsidRDefault="00EB3E62" w:rsidP="00EB3E62">
      <w:pPr>
        <w:pStyle w:val="Footnotedash"/>
        <w:spacing w:before="0" w:after="0"/>
        <w:ind w:left="720" w:firstLine="0"/>
        <w:rPr>
          <w:rFonts w:ascii="Tahoma" w:hAnsi="Tahoma" w:cs="Tahoma"/>
          <w:sz w:val="18"/>
          <w:szCs w:val="18"/>
        </w:rPr>
      </w:pPr>
    </w:p>
    <w:p w:rsidR="00697E59" w:rsidRPr="00A932BB" w:rsidRDefault="00B73A46" w:rsidP="00EB3E62">
      <w:pPr>
        <w:pStyle w:val="Footnotedash"/>
        <w:spacing w:before="0" w:after="0"/>
        <w:ind w:left="720" w:firstLine="0"/>
        <w:rPr>
          <w:rFonts w:ascii="Tahoma" w:hAnsi="Tahoma" w:cs="Tahoma"/>
          <w:sz w:val="18"/>
          <w:szCs w:val="18"/>
        </w:rPr>
      </w:pPr>
      <w:r w:rsidRPr="00A932BB">
        <w:rPr>
          <w:rFonts w:ascii="Tahoma" w:hAnsi="Tahoma" w:cs="Tahoma"/>
          <w:sz w:val="18"/>
          <w:szCs w:val="18"/>
        </w:rPr>
        <w:t>Le società possono ignorare la comunicazione contenuta nei Diritti di Utilizzo del Prodotto di luglio 2009 e relativa all</w:t>
      </w:r>
      <w:r w:rsidR="00F2643E">
        <w:rPr>
          <w:rFonts w:ascii="Tahoma" w:hAnsi="Tahoma" w:cs="Tahoma"/>
          <w:sz w:val="18"/>
          <w:szCs w:val="18"/>
        </w:rPr>
        <w:t>’</w:t>
      </w:r>
      <w:r w:rsidRPr="00A932BB">
        <w:rPr>
          <w:rFonts w:ascii="Tahoma" w:hAnsi="Tahoma" w:cs="Tahoma"/>
          <w:sz w:val="18"/>
          <w:szCs w:val="18"/>
        </w:rPr>
        <w:t xml:space="preserve">assenza della funzionalità Internet Explorer 8 e la relativa esclusione di garanzie. </w:t>
      </w:r>
    </w:p>
    <w:p w:rsidR="00804794" w:rsidRPr="00A932BB" w:rsidRDefault="00804794" w:rsidP="00804794">
      <w:pPr>
        <w:pStyle w:val="FootnoteBulletLevel1"/>
        <w:tabs>
          <w:tab w:val="clear" w:pos="900"/>
        </w:tabs>
        <w:adjustRightInd/>
        <w:spacing w:before="0" w:after="0"/>
        <w:ind w:left="720" w:firstLine="0"/>
        <w:textAlignment w:val="auto"/>
        <w:rPr>
          <w:rFonts w:ascii="Tahoma" w:hAnsi="Tahoma" w:cs="Tahoma"/>
          <w:sz w:val="18"/>
          <w:szCs w:val="18"/>
        </w:rPr>
      </w:pPr>
    </w:p>
    <w:p w:rsidR="008A5D64" w:rsidRPr="00A75DF9" w:rsidRDefault="008A5D64" w:rsidP="007B35CE">
      <w:pPr>
        <w:pStyle w:val="FootnoteBulletLevel1"/>
        <w:keepNext/>
        <w:tabs>
          <w:tab w:val="clear" w:pos="900"/>
        </w:tabs>
        <w:adjustRightInd/>
        <w:spacing w:before="0" w:after="60"/>
        <w:ind w:left="720" w:firstLine="0"/>
        <w:textAlignment w:val="auto"/>
        <w:rPr>
          <w:rFonts w:ascii="Tahoma" w:hAnsi="Tahoma" w:cs="Tahoma"/>
        </w:rPr>
      </w:pPr>
      <w:r w:rsidRPr="00A75DF9">
        <w:rPr>
          <w:rFonts w:ascii="Tahoma" w:hAnsi="Tahoma" w:cs="Tahoma"/>
          <w:b/>
          <w:bCs/>
          <w:sz w:val="18"/>
          <w:szCs w:val="18"/>
        </w:rPr>
        <w:t>Windows 8 Pro KN</w:t>
      </w:r>
    </w:p>
    <w:p w:rsidR="008A5D64" w:rsidRPr="00A932BB" w:rsidRDefault="008A5D64" w:rsidP="00A932BB">
      <w:pPr>
        <w:pStyle w:val="FootnoteBulletLevel2"/>
        <w:spacing w:before="0"/>
        <w:ind w:left="720" w:hanging="7"/>
        <w:rPr>
          <w:rFonts w:ascii="Tahoma" w:hAnsi="Tahoma" w:cs="Tahoma"/>
          <w:sz w:val="18"/>
          <w:szCs w:val="18"/>
        </w:rPr>
      </w:pPr>
      <w:r w:rsidRPr="00A932BB">
        <w:rPr>
          <w:rFonts w:ascii="Tahoma" w:hAnsi="Tahoma" w:cs="Tahoma"/>
          <w:sz w:val="18"/>
          <w:szCs w:val="18"/>
          <w:u w:val="single"/>
        </w:rPr>
        <w:t>Requisiti di Idoneità</w:t>
      </w:r>
      <w:r w:rsidRPr="00A932BB">
        <w:rPr>
          <w:rFonts w:ascii="Tahoma" w:hAnsi="Tahoma" w:cs="Tahoma"/>
          <w:sz w:val="18"/>
          <w:szCs w:val="18"/>
        </w:rPr>
        <w:t>:</w:t>
      </w:r>
      <w:r w:rsidRPr="00A932BB">
        <w:rPr>
          <w:rFonts w:ascii="Tahoma" w:hAnsi="Tahoma" w:cs="Tahoma"/>
          <w:sz w:val="18"/>
          <w:szCs w:val="18"/>
        </w:rPr>
        <w:br/>
        <w:t>le società con sede in Corea che hanno stipulato Contratti Multilicenza e che dispongono di un</w:t>
      </w:r>
      <w:r w:rsidR="00F2643E">
        <w:rPr>
          <w:rFonts w:ascii="Tahoma" w:hAnsi="Tahoma" w:cs="Tahoma"/>
          <w:sz w:val="18"/>
          <w:szCs w:val="18"/>
        </w:rPr>
        <w:t>’</w:t>
      </w:r>
      <w:r w:rsidRPr="00A932BB">
        <w:rPr>
          <w:rFonts w:ascii="Tahoma" w:hAnsi="Tahoma" w:cs="Tahoma"/>
          <w:sz w:val="18"/>
          <w:szCs w:val="18"/>
        </w:rPr>
        <w:t>iscrizione o</w:t>
      </w:r>
      <w:r w:rsidR="00A932BB">
        <w:rPr>
          <w:rFonts w:ascii="Tahoma" w:hAnsi="Tahoma" w:cs="Tahoma"/>
          <w:sz w:val="18"/>
          <w:szCs w:val="18"/>
        </w:rPr>
        <w:t> </w:t>
      </w:r>
      <w:r w:rsidRPr="00A932BB">
        <w:rPr>
          <w:rFonts w:ascii="Tahoma" w:hAnsi="Tahoma" w:cs="Tahoma"/>
          <w:sz w:val="18"/>
          <w:szCs w:val="18"/>
        </w:rPr>
        <w:t>di</w:t>
      </w:r>
      <w:r w:rsidR="00A932BB">
        <w:rPr>
          <w:rFonts w:ascii="Tahoma" w:hAnsi="Tahoma" w:cs="Tahoma"/>
          <w:sz w:val="18"/>
          <w:szCs w:val="18"/>
        </w:rPr>
        <w:t> </w:t>
      </w:r>
      <w:r w:rsidRPr="00A932BB">
        <w:rPr>
          <w:rFonts w:ascii="Tahoma" w:hAnsi="Tahoma" w:cs="Tahoma"/>
          <w:sz w:val="18"/>
          <w:szCs w:val="18"/>
        </w:rPr>
        <w:t>un Contratto Multilicenza attivo con Microsoft Operations Pte Ltd sono idonee ad acquistare i supporti di</w:t>
      </w:r>
      <w:r w:rsidR="00A932BB">
        <w:rPr>
          <w:rFonts w:ascii="Tahoma" w:hAnsi="Tahoma" w:cs="Tahoma"/>
          <w:sz w:val="18"/>
          <w:szCs w:val="18"/>
        </w:rPr>
        <w:t> </w:t>
      </w:r>
      <w:r w:rsidRPr="00A932BB">
        <w:rPr>
          <w:rFonts w:ascii="Tahoma" w:hAnsi="Tahoma" w:cs="Tahoma"/>
          <w:sz w:val="18"/>
          <w:szCs w:val="18"/>
        </w:rPr>
        <w:t>memorizzazione per Windows 8 Pro KN per la distribuzione e l</w:t>
      </w:r>
      <w:r w:rsidR="00F2643E">
        <w:rPr>
          <w:rFonts w:ascii="Tahoma" w:hAnsi="Tahoma" w:cs="Tahoma"/>
          <w:sz w:val="18"/>
          <w:szCs w:val="18"/>
        </w:rPr>
        <w:t>’</w:t>
      </w:r>
      <w:r w:rsidRPr="00A932BB">
        <w:rPr>
          <w:rFonts w:ascii="Tahoma" w:hAnsi="Tahoma" w:cs="Tahoma"/>
          <w:sz w:val="18"/>
          <w:szCs w:val="18"/>
        </w:rPr>
        <w:t>utilizzo in Corea. Nessun altro utilizzo è</w:t>
      </w:r>
      <w:r w:rsidR="00A932BB">
        <w:rPr>
          <w:rFonts w:ascii="Tahoma" w:hAnsi="Tahoma" w:cs="Tahoma"/>
          <w:sz w:val="18"/>
          <w:szCs w:val="18"/>
        </w:rPr>
        <w:t> </w:t>
      </w:r>
      <w:r w:rsidRPr="00A932BB">
        <w:rPr>
          <w:rFonts w:ascii="Tahoma" w:hAnsi="Tahoma" w:cs="Tahoma"/>
          <w:sz w:val="18"/>
          <w:szCs w:val="18"/>
        </w:rPr>
        <w:t>consentito.</w:t>
      </w:r>
    </w:p>
    <w:p w:rsidR="00804794" w:rsidRPr="00A932BB" w:rsidRDefault="00804794" w:rsidP="00804794">
      <w:pPr>
        <w:pStyle w:val="FootnoteBulletLevel1"/>
        <w:tabs>
          <w:tab w:val="clear" w:pos="900"/>
        </w:tabs>
        <w:adjustRightInd/>
        <w:spacing w:before="0" w:after="0"/>
        <w:ind w:left="720" w:firstLine="0"/>
        <w:textAlignment w:val="auto"/>
        <w:rPr>
          <w:rFonts w:ascii="Tahoma" w:hAnsi="Tahoma" w:cs="Tahoma"/>
          <w:sz w:val="18"/>
          <w:szCs w:val="18"/>
        </w:rPr>
      </w:pPr>
    </w:p>
    <w:p w:rsidR="008A5D64" w:rsidRPr="00A75DF9" w:rsidRDefault="008A5D64" w:rsidP="00804794">
      <w:pPr>
        <w:pStyle w:val="FootnoteBulletLevel1"/>
        <w:tabs>
          <w:tab w:val="clear" w:pos="900"/>
        </w:tabs>
        <w:adjustRightInd/>
        <w:spacing w:before="0" w:after="60"/>
        <w:ind w:left="720" w:firstLine="0"/>
        <w:textAlignment w:val="auto"/>
        <w:rPr>
          <w:rFonts w:ascii="Tahoma" w:hAnsi="Tahoma" w:cs="Tahoma"/>
        </w:rPr>
      </w:pPr>
      <w:r w:rsidRPr="00A75DF9">
        <w:rPr>
          <w:rFonts w:ascii="Tahoma" w:hAnsi="Tahoma" w:cs="Tahoma"/>
          <w:b/>
          <w:bCs/>
          <w:sz w:val="18"/>
          <w:szCs w:val="18"/>
        </w:rPr>
        <w:t>Windows 8 Pro N (non contiene Windows Media Player)</w:t>
      </w:r>
    </w:p>
    <w:p w:rsidR="008A5D64" w:rsidRPr="00A932BB" w:rsidRDefault="008A5D64" w:rsidP="002705FC">
      <w:pPr>
        <w:pStyle w:val="FootnoteBulletLevel2"/>
        <w:spacing w:before="0"/>
        <w:ind w:left="720" w:firstLine="0"/>
        <w:rPr>
          <w:rFonts w:ascii="Tahoma" w:hAnsi="Tahoma" w:cs="Tahoma"/>
          <w:sz w:val="18"/>
          <w:szCs w:val="18"/>
        </w:rPr>
      </w:pPr>
      <w:r w:rsidRPr="00A932BB">
        <w:rPr>
          <w:rFonts w:ascii="Tahoma" w:hAnsi="Tahoma" w:cs="Tahoma"/>
          <w:sz w:val="18"/>
          <w:szCs w:val="18"/>
          <w:u w:val="single"/>
        </w:rPr>
        <w:t>Requisiti di Idoneità</w:t>
      </w:r>
      <w:r w:rsidRPr="00A932BB">
        <w:rPr>
          <w:rFonts w:ascii="Tahoma" w:hAnsi="Tahoma" w:cs="Tahoma"/>
          <w:sz w:val="18"/>
          <w:szCs w:val="18"/>
        </w:rPr>
        <w:t>:</w:t>
      </w:r>
      <w:r w:rsidRPr="00A932BB">
        <w:rPr>
          <w:rFonts w:ascii="Tahoma" w:hAnsi="Tahoma" w:cs="Tahoma"/>
          <w:sz w:val="18"/>
          <w:szCs w:val="18"/>
        </w:rPr>
        <w:br/>
        <w:t>le società che hanno stipulato Contratti Multilicenza e che soddisfano tutti i criteri che seguono sono idonee</w:t>
      </w:r>
      <w:r w:rsidR="002705FC">
        <w:rPr>
          <w:rFonts w:ascii="Tahoma" w:hAnsi="Tahoma" w:cs="Tahoma"/>
          <w:sz w:val="18"/>
          <w:szCs w:val="18"/>
        </w:rPr>
        <w:t> </w:t>
      </w:r>
      <w:r w:rsidRPr="00A932BB">
        <w:rPr>
          <w:rFonts w:ascii="Tahoma" w:hAnsi="Tahoma" w:cs="Tahoma"/>
          <w:sz w:val="18"/>
          <w:szCs w:val="18"/>
        </w:rPr>
        <w:t>ad acquistare i supporti di memorizzazione per Microsoft Windows 8 Pro N esclusivamente per la distribuzione e l</w:t>
      </w:r>
      <w:r w:rsidR="00F2643E">
        <w:rPr>
          <w:rFonts w:ascii="Tahoma" w:hAnsi="Tahoma" w:cs="Tahoma"/>
          <w:sz w:val="18"/>
          <w:szCs w:val="18"/>
        </w:rPr>
        <w:t>’</w:t>
      </w:r>
      <w:r w:rsidRPr="00A932BB">
        <w:rPr>
          <w:rFonts w:ascii="Tahoma" w:hAnsi="Tahoma" w:cs="Tahoma"/>
          <w:sz w:val="18"/>
          <w:szCs w:val="18"/>
        </w:rPr>
        <w:t>utilizzo nell</w:t>
      </w:r>
      <w:r w:rsidR="00F2643E">
        <w:rPr>
          <w:rFonts w:ascii="Tahoma" w:hAnsi="Tahoma" w:cs="Tahoma"/>
          <w:sz w:val="18"/>
          <w:szCs w:val="18"/>
        </w:rPr>
        <w:t>’</w:t>
      </w:r>
      <w:r w:rsidRPr="00A932BB">
        <w:rPr>
          <w:rFonts w:ascii="Tahoma" w:hAnsi="Tahoma" w:cs="Tahoma"/>
          <w:sz w:val="18"/>
          <w:szCs w:val="18"/>
        </w:rPr>
        <w:t>Unione Europea (UE), in uno stato membro dell</w:t>
      </w:r>
      <w:r w:rsidR="00F2643E">
        <w:rPr>
          <w:rFonts w:ascii="Tahoma" w:hAnsi="Tahoma" w:cs="Tahoma"/>
          <w:sz w:val="18"/>
          <w:szCs w:val="18"/>
        </w:rPr>
        <w:t>’</w:t>
      </w:r>
      <w:r w:rsidRPr="00A932BB">
        <w:rPr>
          <w:rFonts w:ascii="Tahoma" w:hAnsi="Tahoma" w:cs="Tahoma"/>
          <w:sz w:val="18"/>
          <w:szCs w:val="18"/>
        </w:rPr>
        <w:t>Associazione Europea per il Libero Scambio (EFTA), in Bulgaria, in Croazia, in Romania o in Svizzera.</w:t>
      </w:r>
    </w:p>
    <w:p w:rsidR="008A5D64" w:rsidRPr="00A932BB" w:rsidRDefault="008A5D64" w:rsidP="00804794">
      <w:pPr>
        <w:pStyle w:val="Footnotedash"/>
        <w:spacing w:before="0" w:after="0"/>
        <w:ind w:left="720" w:hanging="7"/>
        <w:rPr>
          <w:rFonts w:ascii="Tahoma" w:hAnsi="Tahoma" w:cs="Tahoma"/>
          <w:sz w:val="18"/>
          <w:szCs w:val="18"/>
        </w:rPr>
      </w:pPr>
      <w:r w:rsidRPr="00A932BB">
        <w:rPr>
          <w:rFonts w:ascii="Tahoma" w:hAnsi="Tahoma" w:cs="Tahoma"/>
          <w:sz w:val="18"/>
          <w:szCs w:val="18"/>
        </w:rPr>
        <w:t xml:space="preserve">Devono disporre di almeno uno dei seguenti contratti o iscrizioni attivi con Microsoft Ireland Operations Ltd: </w:t>
      </w:r>
    </w:p>
    <w:p w:rsidR="00804794" w:rsidRPr="00A932BB" w:rsidRDefault="00804794" w:rsidP="00804794">
      <w:pPr>
        <w:pStyle w:val="Footnotedash"/>
        <w:spacing w:before="0" w:after="0"/>
        <w:ind w:left="720" w:hanging="7"/>
        <w:rPr>
          <w:rFonts w:ascii="Tahoma" w:hAnsi="Tahoma" w:cs="Tahoma"/>
          <w:sz w:val="18"/>
          <w:szCs w:val="18"/>
        </w:rPr>
      </w:pPr>
    </w:p>
    <w:p w:rsidR="008A5D64" w:rsidRPr="00A932BB" w:rsidRDefault="008A5D64" w:rsidP="00346F4B">
      <w:pPr>
        <w:pStyle w:val="Footnotedash"/>
        <w:numPr>
          <w:ilvl w:val="0"/>
          <w:numId w:val="32"/>
        </w:numPr>
        <w:adjustRightInd/>
        <w:spacing w:before="0"/>
        <w:ind w:left="1440"/>
        <w:textAlignment w:val="auto"/>
        <w:rPr>
          <w:rFonts w:ascii="Tahoma" w:hAnsi="Tahoma" w:cs="Tahoma"/>
          <w:sz w:val="18"/>
          <w:szCs w:val="18"/>
        </w:rPr>
      </w:pPr>
      <w:r w:rsidRPr="00A932BB">
        <w:rPr>
          <w:rFonts w:ascii="Tahoma" w:hAnsi="Tahoma" w:cs="Tahoma"/>
          <w:sz w:val="18"/>
          <w:szCs w:val="18"/>
        </w:rPr>
        <w:t>Iscrizione Select, Enterprise o Enterprise Subscription</w:t>
      </w:r>
    </w:p>
    <w:p w:rsidR="008A5D64" w:rsidRPr="00A932BB" w:rsidRDefault="008A5D64" w:rsidP="00346F4B">
      <w:pPr>
        <w:pStyle w:val="Footnotedash"/>
        <w:numPr>
          <w:ilvl w:val="0"/>
          <w:numId w:val="32"/>
        </w:numPr>
        <w:adjustRightInd/>
        <w:spacing w:before="0"/>
        <w:ind w:left="1440"/>
        <w:textAlignment w:val="auto"/>
        <w:rPr>
          <w:rFonts w:ascii="Tahoma" w:hAnsi="Tahoma" w:cs="Tahoma"/>
          <w:sz w:val="18"/>
          <w:szCs w:val="18"/>
        </w:rPr>
      </w:pPr>
      <w:r w:rsidRPr="00A932BB">
        <w:rPr>
          <w:rFonts w:ascii="Tahoma" w:hAnsi="Tahoma" w:cs="Tahoma"/>
          <w:sz w:val="18"/>
          <w:szCs w:val="18"/>
        </w:rPr>
        <w:t xml:space="preserve">Contratti Open License*, Open Value, Campus e School, Open Value Subscription - Education Solutions </w:t>
      </w:r>
    </w:p>
    <w:p w:rsidR="008A5D64" w:rsidRPr="00A932BB" w:rsidRDefault="008A5D64" w:rsidP="00804794">
      <w:pPr>
        <w:pStyle w:val="Footnotedash"/>
        <w:tabs>
          <w:tab w:val="clear" w:pos="1620"/>
        </w:tabs>
        <w:adjustRightInd/>
        <w:spacing w:before="0"/>
        <w:ind w:left="1440" w:firstLine="0"/>
        <w:textAlignment w:val="auto"/>
        <w:rPr>
          <w:rFonts w:ascii="Tahoma" w:hAnsi="Tahoma" w:cs="Tahoma"/>
          <w:sz w:val="18"/>
          <w:szCs w:val="18"/>
        </w:rPr>
      </w:pPr>
      <w:r w:rsidRPr="00A932BB">
        <w:rPr>
          <w:rFonts w:ascii="Tahoma" w:hAnsi="Tahoma" w:cs="Tahoma"/>
          <w:sz w:val="18"/>
          <w:szCs w:val="18"/>
        </w:rPr>
        <w:t>(*Ai fini del Contratto Open License, un “contratto attivo” è un contratto associato a un Numero di Autorizzazione Open License attivo).</w:t>
      </w:r>
    </w:p>
    <w:p w:rsidR="00804794" w:rsidRPr="00A932BB" w:rsidRDefault="00804794" w:rsidP="00804794">
      <w:pPr>
        <w:pStyle w:val="Footnotedash"/>
        <w:tabs>
          <w:tab w:val="clear" w:pos="1620"/>
        </w:tabs>
        <w:adjustRightInd/>
        <w:spacing w:before="0" w:after="0"/>
        <w:ind w:left="1440" w:firstLine="0"/>
        <w:textAlignment w:val="auto"/>
        <w:rPr>
          <w:rFonts w:ascii="Tahoma" w:hAnsi="Tahoma" w:cs="Tahoma"/>
          <w:sz w:val="18"/>
          <w:szCs w:val="18"/>
        </w:rPr>
      </w:pPr>
    </w:p>
    <w:p w:rsidR="008A5D64" w:rsidRPr="00A932BB" w:rsidRDefault="008A5D64" w:rsidP="00804794">
      <w:pPr>
        <w:pStyle w:val="Footnotedash"/>
        <w:spacing w:before="0" w:after="0"/>
        <w:ind w:left="720" w:hanging="7"/>
        <w:rPr>
          <w:rFonts w:ascii="Tahoma" w:hAnsi="Tahoma" w:cs="Tahoma"/>
          <w:sz w:val="18"/>
          <w:szCs w:val="18"/>
        </w:rPr>
      </w:pPr>
      <w:r w:rsidRPr="00A932BB">
        <w:rPr>
          <w:rFonts w:ascii="Tahoma" w:hAnsi="Tahoma" w:cs="Tahoma"/>
          <w:sz w:val="18"/>
          <w:szCs w:val="18"/>
        </w:rPr>
        <w:t>Devono disporre di una copertura Software Assurance attiva per le licenze di Aggiornamento per il Sistema Operativo Desktop Windows o per Windows 8 Pro.</w:t>
      </w:r>
    </w:p>
    <w:p w:rsidR="00804794" w:rsidRPr="00A932BB" w:rsidRDefault="00804794" w:rsidP="00804794">
      <w:pPr>
        <w:pStyle w:val="Footnotedash"/>
        <w:spacing w:before="0" w:after="0"/>
        <w:ind w:left="720" w:hanging="7"/>
        <w:rPr>
          <w:rFonts w:ascii="Tahoma" w:hAnsi="Tahoma" w:cs="Tahoma"/>
          <w:sz w:val="18"/>
          <w:szCs w:val="18"/>
        </w:rPr>
      </w:pPr>
    </w:p>
    <w:p w:rsidR="008A5D64" w:rsidRPr="00A932BB" w:rsidRDefault="008A5D64" w:rsidP="00804794">
      <w:pPr>
        <w:pStyle w:val="Footnotedash"/>
        <w:spacing w:before="0" w:after="0"/>
        <w:ind w:left="720" w:hanging="7"/>
        <w:rPr>
          <w:rFonts w:ascii="Tahoma" w:hAnsi="Tahoma" w:cs="Tahoma"/>
          <w:sz w:val="18"/>
          <w:szCs w:val="18"/>
        </w:rPr>
      </w:pPr>
      <w:r w:rsidRPr="00A932BB">
        <w:rPr>
          <w:rFonts w:ascii="Tahoma" w:hAnsi="Tahoma" w:cs="Tahoma"/>
          <w:sz w:val="18"/>
          <w:szCs w:val="18"/>
        </w:rPr>
        <w:t>Devono avere sede in uno dei paesi dell</w:t>
      </w:r>
      <w:r w:rsidR="00F2643E">
        <w:rPr>
          <w:rFonts w:ascii="Tahoma" w:hAnsi="Tahoma" w:cs="Tahoma"/>
          <w:sz w:val="18"/>
          <w:szCs w:val="18"/>
        </w:rPr>
        <w:t>’</w:t>
      </w:r>
      <w:r w:rsidRPr="00A932BB">
        <w:rPr>
          <w:rFonts w:ascii="Tahoma" w:hAnsi="Tahoma" w:cs="Tahoma"/>
          <w:sz w:val="18"/>
          <w:szCs w:val="18"/>
        </w:rPr>
        <w:t>Unione Europea (UE), in uno stato membro dell</w:t>
      </w:r>
      <w:r w:rsidR="00F2643E">
        <w:rPr>
          <w:rFonts w:ascii="Tahoma" w:hAnsi="Tahoma" w:cs="Tahoma"/>
          <w:sz w:val="18"/>
          <w:szCs w:val="18"/>
        </w:rPr>
        <w:t>’</w:t>
      </w:r>
      <w:r w:rsidRPr="00A932BB">
        <w:rPr>
          <w:rFonts w:ascii="Tahoma" w:hAnsi="Tahoma" w:cs="Tahoma"/>
          <w:sz w:val="18"/>
          <w:szCs w:val="18"/>
        </w:rPr>
        <w:t>Associazione Europea per il Libero Scambio (EFTA), in Bulgaria, in Croazia, in Romania o in Svizzera.</w:t>
      </w:r>
    </w:p>
    <w:p w:rsidR="00804794" w:rsidRDefault="00804794" w:rsidP="00804794">
      <w:pPr>
        <w:pStyle w:val="FootnoteBulletLevel1"/>
        <w:tabs>
          <w:tab w:val="clear" w:pos="900"/>
        </w:tabs>
        <w:adjustRightInd/>
        <w:spacing w:before="0" w:after="0"/>
        <w:ind w:left="720" w:firstLine="0"/>
        <w:textAlignment w:val="auto"/>
        <w:rPr>
          <w:rFonts w:ascii="Tahoma" w:hAnsi="Tahoma" w:cs="Tahoma"/>
          <w:sz w:val="18"/>
          <w:szCs w:val="18"/>
        </w:rPr>
      </w:pPr>
    </w:p>
    <w:p w:rsidR="00A932BB" w:rsidRDefault="00A932BB" w:rsidP="00804794">
      <w:pPr>
        <w:pStyle w:val="FootnoteBulletLevel1"/>
        <w:tabs>
          <w:tab w:val="clear" w:pos="900"/>
        </w:tabs>
        <w:adjustRightInd/>
        <w:spacing w:before="0" w:after="0"/>
        <w:ind w:left="720" w:firstLine="0"/>
        <w:textAlignment w:val="auto"/>
        <w:rPr>
          <w:rFonts w:ascii="Tahoma" w:hAnsi="Tahoma" w:cs="Tahoma"/>
          <w:sz w:val="18"/>
          <w:szCs w:val="18"/>
        </w:rPr>
      </w:pPr>
    </w:p>
    <w:p w:rsidR="00A932BB" w:rsidRPr="00A932BB" w:rsidRDefault="00A932BB" w:rsidP="00804794">
      <w:pPr>
        <w:pStyle w:val="FootnoteBulletLevel1"/>
        <w:tabs>
          <w:tab w:val="clear" w:pos="900"/>
        </w:tabs>
        <w:adjustRightInd/>
        <w:spacing w:before="0" w:after="0"/>
        <w:ind w:left="720" w:firstLine="0"/>
        <w:textAlignment w:val="auto"/>
        <w:rPr>
          <w:rFonts w:ascii="Tahoma" w:hAnsi="Tahoma" w:cs="Tahoma"/>
          <w:sz w:val="18"/>
          <w:szCs w:val="18"/>
        </w:rPr>
      </w:pPr>
    </w:p>
    <w:p w:rsidR="00B73A46" w:rsidRPr="00A75DF9" w:rsidRDefault="00B73A46" w:rsidP="00804794">
      <w:pPr>
        <w:pStyle w:val="FootnoteBulletLevel1"/>
        <w:tabs>
          <w:tab w:val="clear" w:pos="900"/>
        </w:tabs>
        <w:adjustRightInd/>
        <w:spacing w:before="0" w:after="60"/>
        <w:ind w:left="720" w:firstLine="0"/>
        <w:textAlignment w:val="auto"/>
        <w:rPr>
          <w:rFonts w:ascii="Tahoma" w:hAnsi="Tahoma" w:cs="Tahoma"/>
        </w:rPr>
      </w:pPr>
      <w:r w:rsidRPr="00A75DF9">
        <w:rPr>
          <w:rFonts w:ascii="Tahoma" w:hAnsi="Tahoma" w:cs="Tahoma"/>
          <w:b/>
          <w:bCs/>
          <w:sz w:val="18"/>
          <w:szCs w:val="18"/>
        </w:rPr>
        <w:lastRenderedPageBreak/>
        <w:t>Diritti di Noleggio per Windows</w:t>
      </w:r>
    </w:p>
    <w:p w:rsidR="00B73A46" w:rsidRPr="00A932BB" w:rsidRDefault="00B73A46" w:rsidP="00804794">
      <w:pPr>
        <w:pStyle w:val="FootnoteBulletLevel1"/>
        <w:tabs>
          <w:tab w:val="clear" w:pos="900"/>
        </w:tabs>
        <w:adjustRightInd/>
        <w:spacing w:before="0" w:after="0"/>
        <w:ind w:left="720" w:firstLine="0"/>
        <w:textAlignment w:val="auto"/>
        <w:rPr>
          <w:rFonts w:ascii="Tahoma" w:hAnsi="Tahoma" w:cs="Tahoma"/>
          <w:sz w:val="18"/>
          <w:szCs w:val="18"/>
        </w:rPr>
      </w:pPr>
      <w:r w:rsidRPr="00A932BB">
        <w:rPr>
          <w:rFonts w:ascii="Tahoma" w:hAnsi="Tahoma" w:cs="Tahoma"/>
          <w:sz w:val="18"/>
          <w:szCs w:val="18"/>
          <w:u w:val="single"/>
        </w:rPr>
        <w:t>Licenze per i Diritti di Noleggio</w:t>
      </w:r>
      <w:r w:rsidRPr="00A932BB">
        <w:rPr>
          <w:rFonts w:ascii="Tahoma" w:hAnsi="Tahoma" w:cs="Tahoma"/>
          <w:sz w:val="18"/>
          <w:szCs w:val="18"/>
        </w:rPr>
        <w:t>:</w:t>
      </w:r>
      <w:r w:rsidRPr="00A932BB">
        <w:rPr>
          <w:rFonts w:ascii="Tahoma" w:hAnsi="Tahoma" w:cs="Tahoma"/>
          <w:sz w:val="18"/>
          <w:szCs w:val="18"/>
        </w:rPr>
        <w:br/>
        <w:t>le licenze per i diritti di noleggio concesse in base ai presenti programmi sono unicamente licenze add-on. Tali licenze non costituiscono né un sistema operativo completo, né una sostituzione per l</w:t>
      </w:r>
      <w:r w:rsidR="00F2643E">
        <w:rPr>
          <w:rFonts w:ascii="Tahoma" w:hAnsi="Tahoma" w:cs="Tahoma"/>
          <w:sz w:val="18"/>
          <w:szCs w:val="18"/>
        </w:rPr>
        <w:t>’</w:t>
      </w:r>
      <w:r w:rsidRPr="00A932BB">
        <w:rPr>
          <w:rFonts w:ascii="Tahoma" w:hAnsi="Tahoma" w:cs="Tahoma"/>
          <w:sz w:val="18"/>
          <w:szCs w:val="18"/>
        </w:rPr>
        <w:t>aggiornamento Volume License. Pertanto, ogni desktop a cui la società assegni una licenza per i diritti di noleggio dovrà avere la licenza per eseguire uno dei sistemi operativi qualificanti indicati di seguito.</w:t>
      </w:r>
    </w:p>
    <w:p w:rsidR="00804794" w:rsidRPr="00A932BB" w:rsidRDefault="00804794" w:rsidP="00804794">
      <w:pPr>
        <w:pStyle w:val="FootnoteBulletLevel1"/>
        <w:tabs>
          <w:tab w:val="clear" w:pos="900"/>
        </w:tabs>
        <w:adjustRightInd/>
        <w:spacing w:before="0" w:after="0"/>
        <w:ind w:left="720" w:firstLine="0"/>
        <w:textAlignment w:val="auto"/>
        <w:rPr>
          <w:rFonts w:ascii="Tahoma" w:hAnsi="Tahoma" w:cs="Tahoma"/>
          <w:sz w:val="18"/>
          <w:szCs w:val="18"/>
        </w:rPr>
      </w:pPr>
    </w:p>
    <w:p w:rsidR="005F52C6" w:rsidRPr="00A932BB" w:rsidRDefault="00B73A46" w:rsidP="00804794">
      <w:pPr>
        <w:pStyle w:val="FootnoteBulletLevel1"/>
        <w:tabs>
          <w:tab w:val="clear" w:pos="900"/>
        </w:tabs>
        <w:adjustRightInd/>
        <w:spacing w:before="0" w:after="0"/>
        <w:ind w:left="720" w:firstLine="0"/>
        <w:textAlignment w:val="auto"/>
        <w:rPr>
          <w:rFonts w:ascii="Tahoma" w:hAnsi="Tahoma" w:cs="Tahoma"/>
          <w:sz w:val="18"/>
          <w:szCs w:val="18"/>
        </w:rPr>
      </w:pPr>
      <w:r w:rsidRPr="00A932BB">
        <w:rPr>
          <w:rFonts w:ascii="Tahoma" w:hAnsi="Tahoma" w:cs="Tahoma"/>
          <w:sz w:val="18"/>
          <w:szCs w:val="18"/>
          <w:u w:val="single"/>
        </w:rPr>
        <w:t>Windows Vista, Windows 7 Professional e Windows 8 Pro</w:t>
      </w:r>
      <w:r w:rsidRPr="00A932BB">
        <w:rPr>
          <w:rFonts w:ascii="Tahoma" w:hAnsi="Tahoma" w:cs="Tahoma"/>
          <w:sz w:val="18"/>
          <w:szCs w:val="18"/>
        </w:rPr>
        <w:t>:</w:t>
      </w:r>
    </w:p>
    <w:p w:rsidR="00B73A46" w:rsidRPr="00A932BB" w:rsidRDefault="00B73A46" w:rsidP="00804794">
      <w:pPr>
        <w:pStyle w:val="FootnoteBulletLevel1"/>
        <w:tabs>
          <w:tab w:val="clear" w:pos="900"/>
        </w:tabs>
        <w:adjustRightInd/>
        <w:spacing w:before="0" w:after="0"/>
        <w:ind w:left="720" w:firstLine="0"/>
        <w:textAlignment w:val="auto"/>
        <w:rPr>
          <w:rFonts w:ascii="Tahoma" w:hAnsi="Tahoma" w:cs="Tahoma"/>
          <w:sz w:val="18"/>
          <w:szCs w:val="18"/>
        </w:rPr>
      </w:pPr>
      <w:r w:rsidRPr="00A932BB">
        <w:rPr>
          <w:rFonts w:ascii="Tahoma" w:hAnsi="Tahoma" w:cs="Tahoma"/>
          <w:sz w:val="18"/>
          <w:szCs w:val="18"/>
        </w:rPr>
        <w:t>Le società che intendono acquistare licenze per i diritti di noleggio attraverso i programmi Select o Open License devono prima disporre della licenza relativa a un sistema operativo qualificante e installarlo sul loro desktop</w:t>
      </w:r>
      <w:r w:rsidRPr="00A932BB">
        <w:rPr>
          <w:rFonts w:ascii="Tahoma" w:hAnsi="Tahoma" w:cs="Tahoma"/>
          <w:i/>
          <w:iCs/>
          <w:sz w:val="18"/>
          <w:szCs w:val="18"/>
        </w:rPr>
        <w:t>.</w:t>
      </w:r>
      <w:r w:rsidRPr="00A932BB">
        <w:rPr>
          <w:rFonts w:ascii="Tahoma" w:hAnsi="Tahoma" w:cs="Tahoma"/>
          <w:sz w:val="18"/>
          <w:szCs w:val="18"/>
        </w:rPr>
        <w:t xml:space="preserve"> I sistemi operativi con licenza qualificanti includono anche licenze acquistate tramite il Contratto Get Genuine Windows nell</w:t>
      </w:r>
      <w:r w:rsidR="00F2643E">
        <w:rPr>
          <w:rFonts w:ascii="Tahoma" w:hAnsi="Tahoma" w:cs="Tahoma"/>
          <w:sz w:val="18"/>
          <w:szCs w:val="18"/>
        </w:rPr>
        <w:t>’</w:t>
      </w:r>
      <w:r w:rsidRPr="00A932BB">
        <w:rPr>
          <w:rFonts w:ascii="Tahoma" w:hAnsi="Tahoma" w:cs="Tahoma"/>
          <w:sz w:val="18"/>
          <w:szCs w:val="18"/>
        </w:rPr>
        <w:t>ambito di tali programmi.</w:t>
      </w:r>
    </w:p>
    <w:p w:rsidR="00B73A46" w:rsidRPr="00A932BB" w:rsidRDefault="00B73A46" w:rsidP="00804794">
      <w:pPr>
        <w:ind w:left="720"/>
        <w:rPr>
          <w:rFonts w:cs="Tahoma"/>
          <w:szCs w:val="18"/>
        </w:rPr>
      </w:pPr>
    </w:p>
    <w:p w:rsidR="00B73A46" w:rsidRPr="00A75DF9" w:rsidRDefault="00B73A46" w:rsidP="00804794">
      <w:pPr>
        <w:ind w:left="720"/>
        <w:rPr>
          <w:rFonts w:cs="Tahoma"/>
        </w:rPr>
      </w:pPr>
      <w:r w:rsidRPr="00A75DF9">
        <w:rPr>
          <w:rFonts w:cs="Tahoma"/>
          <w:szCs w:val="18"/>
          <w:u w:val="single"/>
        </w:rPr>
        <w:t>Regole per i Sistemi Operativi Qualificanti</w:t>
      </w:r>
      <w:r w:rsidRPr="00A932BB">
        <w:rPr>
          <w:rFonts w:cs="Tahoma"/>
          <w:szCs w:val="18"/>
        </w:rPr>
        <w:t>:</w:t>
      </w:r>
      <w:r w:rsidRPr="00A75DF9">
        <w:rPr>
          <w:rFonts w:cs="Tahoma"/>
          <w:szCs w:val="18"/>
        </w:rPr>
        <w:t xml:space="preserve"> (ciascuna di queste condizioni deve essere soddisfatta affinché il Sistema Operativo qualifichi la società per ottenere la licenza relativa ai Diritti di Noleggio): </w:t>
      </w:r>
    </w:p>
    <w:p w:rsidR="00B73A46" w:rsidRPr="00A75DF9" w:rsidRDefault="00B73A46" w:rsidP="00F02E9F">
      <w:pPr>
        <w:ind w:left="1440"/>
        <w:rPr>
          <w:rFonts w:cs="Tahoma"/>
        </w:rPr>
      </w:pPr>
    </w:p>
    <w:p w:rsidR="00B73A46" w:rsidRPr="00A932BB" w:rsidRDefault="00B73A46" w:rsidP="00346F4B">
      <w:pPr>
        <w:numPr>
          <w:ilvl w:val="0"/>
          <w:numId w:val="28"/>
        </w:numPr>
        <w:ind w:left="1440"/>
        <w:rPr>
          <w:rFonts w:cs="Tahoma"/>
          <w:szCs w:val="18"/>
        </w:rPr>
      </w:pPr>
      <w:r w:rsidRPr="00A932BB">
        <w:rPr>
          <w:rFonts w:cs="Tahoma"/>
          <w:szCs w:val="18"/>
        </w:rPr>
        <w:t>La licenza per l</w:t>
      </w:r>
      <w:r w:rsidR="00F2643E">
        <w:rPr>
          <w:rFonts w:cs="Tahoma"/>
          <w:szCs w:val="18"/>
        </w:rPr>
        <w:t>’</w:t>
      </w:r>
      <w:r w:rsidRPr="00A932BB">
        <w:rPr>
          <w:rFonts w:cs="Tahoma"/>
          <w:szCs w:val="18"/>
        </w:rPr>
        <w:t>OS qualificante deve essere assegnata allo stesso dispositivo a cui deve essere assegnata la licenza per i Diritti di Noleggio VL.</w:t>
      </w:r>
    </w:p>
    <w:p w:rsidR="00B73A46" w:rsidRPr="00A932BB" w:rsidRDefault="00B73A46" w:rsidP="00346F4B">
      <w:pPr>
        <w:numPr>
          <w:ilvl w:val="0"/>
          <w:numId w:val="28"/>
        </w:numPr>
        <w:ind w:left="1440"/>
        <w:rPr>
          <w:rFonts w:cs="Tahoma"/>
          <w:szCs w:val="18"/>
        </w:rPr>
      </w:pPr>
      <w:r w:rsidRPr="00A932BB">
        <w:rPr>
          <w:rFonts w:cs="Tahoma"/>
          <w:szCs w:val="18"/>
        </w:rPr>
        <w:t>L</w:t>
      </w:r>
      <w:r w:rsidR="00F2643E">
        <w:rPr>
          <w:rFonts w:cs="Tahoma"/>
          <w:szCs w:val="18"/>
        </w:rPr>
        <w:t>’</w:t>
      </w:r>
      <w:r w:rsidRPr="00A932BB">
        <w:rPr>
          <w:rFonts w:cs="Tahoma"/>
          <w:szCs w:val="18"/>
        </w:rPr>
        <w:t>OS qualificante deve essere installata su tale dispositivo.</w:t>
      </w:r>
    </w:p>
    <w:p w:rsidR="00E31CC0" w:rsidRPr="00A932BB" w:rsidRDefault="00E31CC0" w:rsidP="00997D81">
      <w:pPr>
        <w:rPr>
          <w:rFonts w:cs="Tahoma"/>
          <w:szCs w:val="18"/>
        </w:rPr>
      </w:pPr>
    </w:p>
    <w:p w:rsidR="00B73A46" w:rsidRPr="00A932BB" w:rsidRDefault="00B73A46" w:rsidP="00EE035D">
      <w:pPr>
        <w:pStyle w:val="EndnoteText"/>
        <w:ind w:left="720"/>
        <w:rPr>
          <w:rFonts w:ascii="Tahoma" w:hAnsi="Tahoma" w:cs="Tahoma"/>
          <w:sz w:val="18"/>
          <w:szCs w:val="18"/>
        </w:rPr>
      </w:pPr>
      <w:r w:rsidRPr="00A932BB">
        <w:rPr>
          <w:rFonts w:ascii="Tahoma" w:hAnsi="Tahoma" w:cs="Tahoma"/>
          <w:sz w:val="18"/>
          <w:szCs w:val="18"/>
        </w:rPr>
        <w:t>I sistemi operativi qualificanti in base al tipo di Programma sono:</w:t>
      </w:r>
    </w:p>
    <w:p w:rsidR="00B73A46" w:rsidRPr="00A932BB" w:rsidRDefault="00B73A46" w:rsidP="00B73A46">
      <w:pPr>
        <w:pStyle w:val="EndnoteText"/>
        <w:rPr>
          <w:rFonts w:ascii="Tahoma" w:hAnsi="Tahoma" w:cs="Tahoma"/>
          <w:sz w:val="18"/>
          <w:szCs w:val="18"/>
        </w:rPr>
      </w:pPr>
    </w:p>
    <w:tbl>
      <w:tblPr>
        <w:tblW w:w="8379" w:type="dxa"/>
        <w:tblInd w:w="878" w:type="dxa"/>
        <w:tblCellMar>
          <w:left w:w="0" w:type="dxa"/>
          <w:right w:w="0" w:type="dxa"/>
        </w:tblCellMar>
        <w:tblLook w:val="04A0" w:firstRow="1" w:lastRow="0" w:firstColumn="1" w:lastColumn="0" w:noHBand="0" w:noVBand="1"/>
      </w:tblPr>
      <w:tblGrid>
        <w:gridCol w:w="3627"/>
        <w:gridCol w:w="1240"/>
        <w:gridCol w:w="1340"/>
        <w:gridCol w:w="1156"/>
        <w:gridCol w:w="1000"/>
        <w:gridCol w:w="16"/>
      </w:tblGrid>
      <w:tr w:rsidR="00B73A46" w:rsidRPr="00A75DF9" w:rsidTr="007E466C">
        <w:trPr>
          <w:trHeight w:val="864"/>
          <w:tblHeader/>
        </w:trPr>
        <w:tc>
          <w:tcPr>
            <w:tcW w:w="0" w:type="auto"/>
            <w:tcBorders>
              <w:top w:val="single" w:sz="8" w:space="0" w:color="auto"/>
              <w:left w:val="single" w:sz="8" w:space="0" w:color="auto"/>
              <w:bottom w:val="single" w:sz="8" w:space="0" w:color="000000"/>
              <w:right w:val="single" w:sz="8" w:space="0" w:color="auto"/>
            </w:tcBorders>
            <w:shd w:val="clear" w:color="auto" w:fill="FABF8F"/>
            <w:vAlign w:val="center"/>
            <w:hideMark/>
          </w:tcPr>
          <w:p w:rsidR="00B73A46" w:rsidRPr="00A75DF9" w:rsidRDefault="009B3FA2" w:rsidP="00A932BB">
            <w:pPr>
              <w:ind w:left="122"/>
              <w:rPr>
                <w:rFonts w:eastAsia="Calibri" w:cs="Tahoma"/>
                <w:bCs/>
                <w:szCs w:val="18"/>
              </w:rPr>
            </w:pPr>
            <w:r w:rsidRPr="00A75DF9">
              <w:rPr>
                <w:rFonts w:cs="Tahoma"/>
                <w:b/>
                <w:bCs/>
                <w:szCs w:val="18"/>
              </w:rPr>
              <w:t>Sistemi Operativi Qualificanti per l</w:t>
            </w:r>
            <w:r w:rsidR="00F2643E">
              <w:rPr>
                <w:rFonts w:cs="Tahoma"/>
                <w:b/>
                <w:bCs/>
                <w:szCs w:val="18"/>
              </w:rPr>
              <w:t>’</w:t>
            </w:r>
            <w:r w:rsidRPr="00A75DF9">
              <w:rPr>
                <w:rFonts w:cs="Tahoma"/>
                <w:b/>
                <w:bCs/>
                <w:szCs w:val="18"/>
              </w:rPr>
              <w:t>acquisto dei Diritti di Noleggio per</w:t>
            </w:r>
            <w:r w:rsidR="00A932BB">
              <w:rPr>
                <w:rFonts w:cs="Tahoma"/>
                <w:b/>
                <w:bCs/>
                <w:szCs w:val="18"/>
              </w:rPr>
              <w:t> </w:t>
            </w:r>
            <w:r w:rsidRPr="00A75DF9">
              <w:rPr>
                <w:rFonts w:cs="Tahoma"/>
                <w:b/>
                <w:bCs/>
                <w:szCs w:val="18"/>
              </w:rPr>
              <w:t>Windows</w:t>
            </w:r>
          </w:p>
        </w:tc>
        <w:tc>
          <w:tcPr>
            <w:tcW w:w="12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A75DF9" w:rsidRDefault="00B73A46" w:rsidP="009B3FA2">
            <w:pPr>
              <w:jc w:val="center"/>
              <w:rPr>
                <w:rFonts w:eastAsia="Calibri" w:cs="Tahoma"/>
                <w:b/>
                <w:bCs/>
                <w:sz w:val="14"/>
                <w:szCs w:val="18"/>
              </w:rPr>
            </w:pPr>
            <w:r w:rsidRPr="00A75DF9">
              <w:rPr>
                <w:rFonts w:cs="Tahoma"/>
                <w:b/>
                <w:bCs/>
                <w:sz w:val="14"/>
                <w:szCs w:val="18"/>
              </w:rPr>
              <w:t>OEM</w:t>
            </w:r>
          </w:p>
        </w:tc>
        <w:tc>
          <w:tcPr>
            <w:tcW w:w="134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A75DF9" w:rsidRDefault="00B73A46" w:rsidP="001B15A5">
            <w:pPr>
              <w:jc w:val="center"/>
              <w:rPr>
                <w:rFonts w:eastAsia="Calibri" w:cs="Tahoma"/>
                <w:b/>
                <w:bCs/>
                <w:sz w:val="14"/>
                <w:szCs w:val="18"/>
              </w:rPr>
            </w:pPr>
            <w:r w:rsidRPr="00A75DF9">
              <w:rPr>
                <w:rFonts w:cs="Tahoma"/>
                <w:b/>
                <w:bCs/>
                <w:sz w:val="14"/>
                <w:szCs w:val="18"/>
              </w:rPr>
              <w:t>FPP</w:t>
            </w:r>
          </w:p>
        </w:tc>
        <w:tc>
          <w:tcPr>
            <w:tcW w:w="1156"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A75DF9" w:rsidRDefault="00B73A46" w:rsidP="0050116B">
            <w:pPr>
              <w:jc w:val="center"/>
              <w:rPr>
                <w:rFonts w:eastAsia="Calibri" w:cs="Tahoma"/>
                <w:b/>
                <w:bCs/>
                <w:sz w:val="14"/>
                <w:szCs w:val="18"/>
              </w:rPr>
            </w:pPr>
            <w:r w:rsidRPr="00A75DF9">
              <w:rPr>
                <w:rFonts w:cs="Tahoma"/>
                <w:b/>
                <w:bCs/>
                <w:sz w:val="14"/>
                <w:szCs w:val="18"/>
              </w:rPr>
              <w:t>Select/Select Plus</w:t>
            </w:r>
          </w:p>
        </w:tc>
        <w:tc>
          <w:tcPr>
            <w:tcW w:w="1000" w:type="dxa"/>
            <w:tcBorders>
              <w:top w:val="single" w:sz="4" w:space="0" w:color="auto"/>
              <w:left w:val="nil"/>
              <w:bottom w:val="single" w:sz="8" w:space="0" w:color="auto"/>
              <w:right w:val="single" w:sz="8" w:space="0" w:color="auto"/>
            </w:tcBorders>
            <w:shd w:val="clear" w:color="auto" w:fill="FABF8F"/>
            <w:tcMar>
              <w:top w:w="0" w:type="dxa"/>
              <w:left w:w="108" w:type="dxa"/>
              <w:bottom w:w="0" w:type="dxa"/>
              <w:right w:w="108" w:type="dxa"/>
            </w:tcMar>
            <w:vAlign w:val="center"/>
            <w:hideMark/>
          </w:tcPr>
          <w:p w:rsidR="00B73A46" w:rsidRPr="00A75DF9" w:rsidRDefault="00B73A46" w:rsidP="005F0406">
            <w:pPr>
              <w:jc w:val="center"/>
              <w:rPr>
                <w:rFonts w:eastAsia="Calibri" w:cs="Tahoma"/>
                <w:b/>
                <w:bCs/>
                <w:sz w:val="14"/>
                <w:szCs w:val="18"/>
              </w:rPr>
            </w:pPr>
            <w:r w:rsidRPr="00A75DF9">
              <w:rPr>
                <w:rFonts w:cs="Tahoma"/>
                <w:b/>
                <w:bCs/>
                <w:sz w:val="14"/>
                <w:szCs w:val="18"/>
              </w:rPr>
              <w:t>Licenza Open</w:t>
            </w:r>
          </w:p>
        </w:tc>
        <w:tc>
          <w:tcPr>
            <w:tcW w:w="16" w:type="dxa"/>
            <w:vAlign w:val="center"/>
          </w:tcPr>
          <w:p w:rsidR="00B73A46" w:rsidRPr="00A75DF9" w:rsidRDefault="00B73A46" w:rsidP="00713A6C">
            <w:pPr>
              <w:rPr>
                <w:rFonts w:eastAsia="Calibri" w:cs="Tahoma"/>
                <w:szCs w:val="18"/>
              </w:rPr>
            </w:pPr>
          </w:p>
        </w:tc>
      </w:tr>
      <w:tr w:rsidR="00BF7A97" w:rsidRPr="00A75DF9"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A75DF9" w:rsidRDefault="00BF7A97" w:rsidP="00713A6C">
            <w:pPr>
              <w:rPr>
                <w:rFonts w:cs="Tahoma"/>
                <w:b/>
                <w:bCs/>
                <w:szCs w:val="18"/>
              </w:rPr>
            </w:pPr>
            <w:r w:rsidRPr="00A75DF9">
              <w:rPr>
                <w:rFonts w:cs="Tahoma"/>
                <w:b/>
                <w:bCs/>
                <w:szCs w:val="18"/>
              </w:rPr>
              <w:t>Windows 8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A75DF9" w:rsidRDefault="00BF7A97"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A75DF9"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A75DF9" w:rsidRDefault="00BF7A97"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A75DF9" w:rsidRDefault="00BF7A97" w:rsidP="00BF7A97">
            <w:pPr>
              <w:jc w:val="center"/>
              <w:rPr>
                <w:rFonts w:eastAsia="Times New Roman" w:cs="Tahoma"/>
                <w:szCs w:val="18"/>
              </w:rPr>
            </w:pPr>
          </w:p>
        </w:tc>
        <w:tc>
          <w:tcPr>
            <w:tcW w:w="16" w:type="dxa"/>
            <w:vAlign w:val="center"/>
          </w:tcPr>
          <w:p w:rsidR="00BF7A97" w:rsidRPr="00A75DF9" w:rsidRDefault="00BF7A97" w:rsidP="00713A6C">
            <w:pPr>
              <w:rPr>
                <w:rFonts w:eastAsia="Calibri" w:cs="Tahoma"/>
                <w:szCs w:val="18"/>
              </w:rPr>
            </w:pPr>
          </w:p>
        </w:tc>
      </w:tr>
      <w:tr w:rsidR="00BF7A97" w:rsidRPr="00A75DF9"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BF7A97" w:rsidRPr="00A75DF9" w:rsidRDefault="00BF7A97" w:rsidP="00BF7A97">
            <w:pPr>
              <w:ind w:left="522"/>
              <w:rPr>
                <w:rFonts w:cs="Tahoma"/>
                <w:b/>
                <w:bCs/>
                <w:szCs w:val="18"/>
              </w:rPr>
            </w:pPr>
            <w:r w:rsidRPr="00A75DF9">
              <w:rPr>
                <w:rFonts w:cs="Tahoma"/>
                <w:szCs w:val="18"/>
              </w:rPr>
              <w:t>Pro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A75DF9" w:rsidRDefault="00BF7A97" w:rsidP="00BF7A97">
            <w:pPr>
              <w:jc w:val="center"/>
              <w:rPr>
                <w:rFonts w:eastAsia="Times New Roman" w:cs="Tahoma"/>
                <w:szCs w:val="18"/>
              </w:rPr>
            </w:pPr>
            <w:r w:rsidRPr="00A75DF9">
              <w:rPr>
                <w:rFonts w:eastAsia="Times New Roman"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A75DF9" w:rsidRDefault="00BF7A97"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A75DF9" w:rsidRDefault="00BF7A97" w:rsidP="00BF7A97">
            <w:pPr>
              <w:jc w:val="center"/>
              <w:rPr>
                <w:rFonts w:eastAsia="Times New Roman" w:cs="Tahoma"/>
                <w:szCs w:val="18"/>
              </w:rPr>
            </w:pPr>
            <w:r w:rsidRPr="00A75DF9">
              <w:rPr>
                <w:rFonts w:eastAsia="Times New Roman"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BF7A97" w:rsidRPr="00A75DF9" w:rsidRDefault="00BF7A97" w:rsidP="00BF7A97">
            <w:pPr>
              <w:jc w:val="center"/>
              <w:rPr>
                <w:rFonts w:eastAsia="Times New Roman" w:cs="Tahoma"/>
                <w:szCs w:val="18"/>
              </w:rPr>
            </w:pPr>
            <w:r w:rsidRPr="00A75DF9">
              <w:rPr>
                <w:rFonts w:eastAsia="Times New Roman" w:cs="Tahoma"/>
                <w:szCs w:val="18"/>
              </w:rPr>
              <w:t>x</w:t>
            </w:r>
          </w:p>
        </w:tc>
        <w:tc>
          <w:tcPr>
            <w:tcW w:w="16" w:type="dxa"/>
            <w:vAlign w:val="center"/>
          </w:tcPr>
          <w:p w:rsidR="00BF7A97" w:rsidRPr="00A75DF9" w:rsidRDefault="00BF7A97" w:rsidP="00713A6C">
            <w:pPr>
              <w:rPr>
                <w:rFonts w:eastAsia="Calibri" w:cs="Tahoma"/>
                <w:szCs w:val="18"/>
              </w:rPr>
            </w:pPr>
          </w:p>
        </w:tc>
      </w:tr>
      <w:tr w:rsidR="00B73A46" w:rsidRPr="00A75DF9"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rPr>
                <w:rFonts w:eastAsia="Calibri" w:cs="Tahoma"/>
                <w:b/>
                <w:bCs/>
                <w:szCs w:val="18"/>
              </w:rPr>
            </w:pPr>
            <w:r w:rsidRPr="00A75DF9">
              <w:rPr>
                <w:rFonts w:cs="Tahoma"/>
                <w:b/>
                <w:bCs/>
                <w:szCs w:val="18"/>
              </w:rPr>
              <w:t>Windows 7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BF7A97">
            <w:pPr>
              <w:jc w:val="center"/>
              <w:rPr>
                <w:rFonts w:eastAsia="Times New Roman" w:cs="Tahoma"/>
                <w:szCs w:val="18"/>
              </w:rPr>
            </w:pP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BF7A97">
            <w:pPr>
              <w:jc w:val="center"/>
              <w:rPr>
                <w:rFonts w:eastAsia="Times New Roman" w:cs="Tahoma"/>
                <w:szCs w:val="18"/>
              </w:rPr>
            </w:pP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BF7A97">
            <w:pPr>
              <w:jc w:val="center"/>
              <w:rPr>
                <w:rFonts w:eastAsia="Times New Roman" w:cs="Tahoma"/>
                <w:szCs w:val="18"/>
              </w:rPr>
            </w:pP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BF7A97">
            <w:pPr>
              <w:jc w:val="center"/>
              <w:rPr>
                <w:rFonts w:eastAsia="Times New Roman" w:cs="Tahoma"/>
                <w:szCs w:val="18"/>
              </w:rPr>
            </w:pPr>
          </w:p>
        </w:tc>
        <w:tc>
          <w:tcPr>
            <w:tcW w:w="16" w:type="dxa"/>
            <w:vAlign w:val="center"/>
          </w:tcPr>
          <w:p w:rsidR="00B73A46" w:rsidRPr="00A75DF9" w:rsidRDefault="00B73A46" w:rsidP="00713A6C">
            <w:pPr>
              <w:rPr>
                <w:rFonts w:eastAsia="Calibri" w:cs="Tahoma"/>
                <w:szCs w:val="18"/>
              </w:rPr>
            </w:pPr>
          </w:p>
        </w:tc>
      </w:tr>
      <w:tr w:rsidR="00B73A46" w:rsidRPr="00A75DF9"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BF7A97">
            <w:pPr>
              <w:ind w:left="522"/>
              <w:rPr>
                <w:rFonts w:eastAsia="Calibri" w:cs="Tahoma"/>
                <w:bCs/>
                <w:szCs w:val="18"/>
              </w:rPr>
            </w:pPr>
            <w:r w:rsidRPr="00A75DF9">
              <w:rPr>
                <w:rFonts w:cs="Tahoma"/>
                <w:szCs w:val="18"/>
              </w:rPr>
              <w:t>Professional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x</w:t>
            </w:r>
          </w:p>
        </w:tc>
        <w:tc>
          <w:tcPr>
            <w:tcW w:w="16" w:type="dxa"/>
            <w:vAlign w:val="center"/>
          </w:tcPr>
          <w:p w:rsidR="00B73A46" w:rsidRPr="00A75DF9" w:rsidRDefault="00B73A46" w:rsidP="00713A6C">
            <w:pPr>
              <w:rPr>
                <w:rFonts w:eastAsia="Calibri" w:cs="Tahoma"/>
                <w:szCs w:val="18"/>
              </w:rPr>
            </w:pPr>
          </w:p>
        </w:tc>
      </w:tr>
      <w:tr w:rsidR="00B73A46" w:rsidRPr="00A75DF9"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A932BB">
            <w:pPr>
              <w:rPr>
                <w:rFonts w:eastAsia="Calibri" w:cs="Tahoma"/>
                <w:b/>
                <w:bCs/>
                <w:szCs w:val="18"/>
              </w:rPr>
            </w:pPr>
            <w:r w:rsidRPr="00A75DF9">
              <w:rPr>
                <w:rFonts w:cs="Tahoma"/>
                <w:b/>
                <w:bCs/>
                <w:szCs w:val="18"/>
              </w:rPr>
              <w:t>Windows Vista (32-bit o 64-bit)</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 </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 </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 </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 </w:t>
            </w:r>
          </w:p>
        </w:tc>
        <w:tc>
          <w:tcPr>
            <w:tcW w:w="16" w:type="dxa"/>
            <w:vAlign w:val="center"/>
          </w:tcPr>
          <w:p w:rsidR="00B73A46" w:rsidRPr="00A75DF9" w:rsidRDefault="00B73A46" w:rsidP="00713A6C">
            <w:pPr>
              <w:rPr>
                <w:rFonts w:eastAsia="Calibri" w:cs="Tahoma"/>
                <w:szCs w:val="18"/>
              </w:rPr>
            </w:pPr>
          </w:p>
        </w:tc>
      </w:tr>
      <w:tr w:rsidR="00B73A46" w:rsidRPr="00A75DF9" w:rsidTr="002A6416">
        <w:trPr>
          <w:trHeight w:val="255"/>
        </w:trPr>
        <w:tc>
          <w:tcPr>
            <w:tcW w:w="3627"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ind w:firstLine="540"/>
              <w:rPr>
                <w:rFonts w:eastAsia="Calibri" w:cs="Tahoma"/>
                <w:szCs w:val="18"/>
              </w:rPr>
            </w:pPr>
            <w:r w:rsidRPr="00A75DF9">
              <w:rPr>
                <w:rFonts w:cs="Tahoma"/>
                <w:szCs w:val="18"/>
              </w:rPr>
              <w:t>Business (K, KN)</w:t>
            </w:r>
          </w:p>
        </w:tc>
        <w:tc>
          <w:tcPr>
            <w:tcW w:w="12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x</w:t>
            </w:r>
          </w:p>
        </w:tc>
        <w:tc>
          <w:tcPr>
            <w:tcW w:w="134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x</w:t>
            </w:r>
          </w:p>
        </w:tc>
        <w:tc>
          <w:tcPr>
            <w:tcW w:w="1156"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x</w:t>
            </w:r>
          </w:p>
        </w:tc>
        <w:tc>
          <w:tcPr>
            <w:tcW w:w="100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B73A46" w:rsidRPr="00A75DF9" w:rsidRDefault="00B73A46" w:rsidP="00713A6C">
            <w:pPr>
              <w:jc w:val="center"/>
              <w:rPr>
                <w:rFonts w:eastAsia="Calibri" w:cs="Tahoma"/>
                <w:szCs w:val="18"/>
              </w:rPr>
            </w:pPr>
            <w:r w:rsidRPr="00A75DF9">
              <w:rPr>
                <w:rFonts w:cs="Tahoma"/>
                <w:szCs w:val="18"/>
              </w:rPr>
              <w:t>x</w:t>
            </w:r>
          </w:p>
        </w:tc>
        <w:tc>
          <w:tcPr>
            <w:tcW w:w="16" w:type="dxa"/>
            <w:vAlign w:val="center"/>
          </w:tcPr>
          <w:p w:rsidR="00B73A46" w:rsidRPr="00A75DF9" w:rsidRDefault="00B73A46" w:rsidP="00713A6C">
            <w:pPr>
              <w:rPr>
                <w:rFonts w:eastAsia="Calibri" w:cs="Tahoma"/>
                <w:szCs w:val="18"/>
              </w:rPr>
            </w:pPr>
          </w:p>
        </w:tc>
      </w:tr>
    </w:tbl>
    <w:p w:rsidR="00B73A46" w:rsidRPr="00A75DF9" w:rsidRDefault="00B73A46" w:rsidP="00B73A46">
      <w:pPr>
        <w:rPr>
          <w:rFonts w:cs="Tahoma"/>
        </w:rPr>
      </w:pPr>
    </w:p>
    <w:p w:rsidR="00B73A46" w:rsidRPr="00A75DF9" w:rsidRDefault="00B73A46" w:rsidP="00A932BB">
      <w:pPr>
        <w:ind w:left="720"/>
        <w:rPr>
          <w:rFonts w:cs="Tahoma"/>
        </w:rPr>
      </w:pPr>
      <w:r w:rsidRPr="00A75DF9">
        <w:rPr>
          <w:rFonts w:cs="Tahoma"/>
          <w:szCs w:val="18"/>
        </w:rPr>
        <w:t>Le società che acquistano la licenza relativa ai diritti di noleggio in aggiunta alla licenza per il sistema operativo qualificante</w:t>
      </w:r>
      <w:r w:rsidRPr="00A75DF9">
        <w:rPr>
          <w:rStyle w:val="CommentReference"/>
          <w:rFonts w:cs="Tahoma"/>
          <w:sz w:val="18"/>
          <w:szCs w:val="18"/>
        </w:rPr>
        <w:t> </w:t>
      </w:r>
      <w:r w:rsidRPr="00A75DF9">
        <w:rPr>
          <w:rFonts w:cs="Tahoma"/>
          <w:szCs w:val="18"/>
        </w:rPr>
        <w:t>beneficeranno di un</w:t>
      </w:r>
      <w:r w:rsidR="00F2643E">
        <w:rPr>
          <w:rFonts w:cs="Tahoma"/>
          <w:szCs w:val="18"/>
        </w:rPr>
        <w:t>’</w:t>
      </w:r>
      <w:r w:rsidRPr="00A75DF9">
        <w:rPr>
          <w:rFonts w:cs="Tahoma"/>
          <w:szCs w:val="18"/>
        </w:rPr>
        <w:t>estensione dei diritti contemplati dalla licenza</w:t>
      </w:r>
      <w:r w:rsidRPr="00A75DF9">
        <w:rPr>
          <w:rStyle w:val="CommentReference"/>
          <w:rFonts w:cs="Tahoma"/>
          <w:sz w:val="18"/>
          <w:szCs w:val="18"/>
        </w:rPr>
        <w:t> </w:t>
      </w:r>
      <w:r w:rsidRPr="00A75DF9">
        <w:rPr>
          <w:rFonts w:cs="Tahoma"/>
          <w:szCs w:val="18"/>
        </w:rPr>
        <w:t>del sistema operativo qualificante per consentire l</w:t>
      </w:r>
      <w:r w:rsidR="00F2643E">
        <w:rPr>
          <w:rFonts w:cs="Tahoma"/>
          <w:szCs w:val="18"/>
        </w:rPr>
        <w:t>’</w:t>
      </w:r>
      <w:r w:rsidRPr="00A75DF9">
        <w:rPr>
          <w:rFonts w:cs="Tahoma"/>
          <w:szCs w:val="18"/>
        </w:rPr>
        <w:t>utilizzo da parte di terzi dello stesso software. La licenza di noleggio</w:t>
      </w:r>
      <w:r w:rsidR="00A932BB">
        <w:rPr>
          <w:rFonts w:cs="Tahoma"/>
          <w:szCs w:val="18"/>
        </w:rPr>
        <w:t> </w:t>
      </w:r>
      <w:r w:rsidRPr="00A75DF9">
        <w:rPr>
          <w:rFonts w:cs="Tahoma"/>
          <w:szCs w:val="18"/>
        </w:rPr>
        <w:t xml:space="preserve">non costituisce una concessione per un aggiornamento della versione. </w:t>
      </w:r>
    </w:p>
    <w:p w:rsidR="00B73A46" w:rsidRPr="00A75DF9" w:rsidRDefault="00B73A46" w:rsidP="00804794">
      <w:pPr>
        <w:ind w:left="720"/>
        <w:rPr>
          <w:rFonts w:cs="Tahoma"/>
        </w:rPr>
      </w:pPr>
    </w:p>
    <w:p w:rsidR="00B73A46" w:rsidRPr="00A75DF9" w:rsidRDefault="00B73A46" w:rsidP="00804794">
      <w:pPr>
        <w:ind w:left="720"/>
        <w:rPr>
          <w:rFonts w:cs="Tahoma"/>
        </w:rPr>
      </w:pPr>
      <w:r w:rsidRPr="00A75DF9">
        <w:rPr>
          <w:rFonts w:cs="Tahoma"/>
          <w:szCs w:val="18"/>
          <w:u w:val="single"/>
        </w:rPr>
        <w:t>Eccezione per Software Assurance</w:t>
      </w:r>
    </w:p>
    <w:p w:rsidR="00B73A46" w:rsidRPr="00A75DF9" w:rsidRDefault="00B73A46" w:rsidP="00A932BB">
      <w:pPr>
        <w:ind w:left="720"/>
        <w:rPr>
          <w:rFonts w:cs="Tahoma"/>
        </w:rPr>
      </w:pPr>
      <w:r w:rsidRPr="00A75DF9">
        <w:rPr>
          <w:rFonts w:cs="Tahoma"/>
          <w:szCs w:val="18"/>
        </w:rPr>
        <w:t>Le società che acquistano licenze per i diritti di noleggio non sono idonee a ricevere Software Assurance per</w:t>
      </w:r>
      <w:r w:rsidR="00A932BB">
        <w:rPr>
          <w:rFonts w:cs="Tahoma"/>
          <w:szCs w:val="18"/>
        </w:rPr>
        <w:t> </w:t>
      </w:r>
      <w:r w:rsidRPr="00A75DF9">
        <w:rPr>
          <w:rFonts w:cs="Tahoma"/>
          <w:szCs w:val="18"/>
        </w:rPr>
        <w:t>le stesse licenze software sottostanti. Tuttavia, gli utenti che noleggiano/prendono in leasing e utilizzano dispositivi cui sono cedute licenze per i diritti di noleggio potranno acquistare aggiornamenti o</w:t>
      </w:r>
      <w:r w:rsidR="00A932BB">
        <w:rPr>
          <w:rFonts w:cs="Tahoma"/>
          <w:szCs w:val="18"/>
        </w:rPr>
        <w:t> </w:t>
      </w:r>
      <w:r w:rsidRPr="00A75DF9">
        <w:rPr>
          <w:rFonts w:cs="Tahoma"/>
          <w:szCs w:val="18"/>
        </w:rPr>
        <w:t>Aggiornamento e Software Assurance per le licenze software sottostanti ai sensi dei propri Contratti Multilicenza, conformemente alle condizioni del contratto che disciplina l</w:t>
      </w:r>
      <w:r w:rsidR="00F2643E">
        <w:rPr>
          <w:rFonts w:cs="Tahoma"/>
          <w:szCs w:val="18"/>
        </w:rPr>
        <w:t>’</w:t>
      </w:r>
      <w:r w:rsidRPr="00A75DF9">
        <w:rPr>
          <w:rFonts w:cs="Tahoma"/>
          <w:szCs w:val="18"/>
        </w:rPr>
        <w:t>acquisto dell</w:t>
      </w:r>
      <w:r w:rsidR="00F2643E">
        <w:rPr>
          <w:rFonts w:cs="Tahoma"/>
          <w:szCs w:val="18"/>
        </w:rPr>
        <w:t>’</w:t>
      </w:r>
      <w:r w:rsidRPr="00A75DF9">
        <w:rPr>
          <w:rFonts w:cs="Tahoma"/>
          <w:szCs w:val="18"/>
        </w:rPr>
        <w:t>Aggiornamento e Software Assurance. Nonostante quanto diversamente stabilito nel contratto della società relativamente alla</w:t>
      </w:r>
      <w:r w:rsidR="00A932BB">
        <w:rPr>
          <w:rFonts w:cs="Tahoma"/>
          <w:szCs w:val="18"/>
        </w:rPr>
        <w:t> </w:t>
      </w:r>
      <w:r w:rsidRPr="00A75DF9">
        <w:rPr>
          <w:rFonts w:cs="Tahoma"/>
          <w:szCs w:val="18"/>
        </w:rPr>
        <w:t xml:space="preserve">maturazione di diritti perpetui, il diritto di utilizzo del software ai sensi di tale copertura cesserà alla scadenza delle relative licenze per i diritti di noleggio. </w:t>
      </w:r>
    </w:p>
    <w:p w:rsidR="00B73A46" w:rsidRPr="00A75DF9" w:rsidRDefault="00B73A46" w:rsidP="00B73A46">
      <w:pPr>
        <w:rPr>
          <w:rFonts w:cs="Tahoma"/>
        </w:rPr>
      </w:pPr>
    </w:p>
    <w:bookmarkEnd w:id="1122"/>
    <w:bookmarkEnd w:id="1123"/>
    <w:bookmarkEnd w:id="1124"/>
    <w:p w:rsidR="00104195" w:rsidRDefault="00104195" w:rsidP="00311733">
      <w:pPr>
        <w:tabs>
          <w:tab w:val="left" w:pos="1440"/>
        </w:tabs>
        <w:contextualSpacing/>
        <w:rPr>
          <w:rFonts w:cs="Tahoma"/>
        </w:rPr>
      </w:pPr>
    </w:p>
    <w:p w:rsidR="00104195" w:rsidRPr="00A75DF9" w:rsidRDefault="00A560B6" w:rsidP="00104195">
      <w:pPr>
        <w:pStyle w:val="Heading2"/>
        <w:ind w:hanging="720"/>
        <w:rPr>
          <w:rFonts w:ascii="Tahoma" w:hAnsi="Tahoma" w:cs="Tahoma"/>
        </w:rPr>
      </w:pPr>
      <w:bookmarkStart w:id="1126" w:name="_98_Windows_Multipoint"/>
      <w:bookmarkStart w:id="1127" w:name="_98Windows_Intune_Add-on"/>
      <w:bookmarkStart w:id="1128" w:name="_97_Windows_Intune"/>
      <w:bookmarkStart w:id="1129" w:name="_33_Windows_Intune"/>
      <w:bookmarkStart w:id="1130" w:name="Srv_110WindowsIntuneAddOn"/>
      <w:bookmarkStart w:id="1131" w:name="_Toc336338366"/>
      <w:bookmarkStart w:id="1132" w:name="Srv_104WindowsIntuneAddOn"/>
      <w:bookmarkStart w:id="1133" w:name="_Toc368310283"/>
      <w:bookmarkEnd w:id="1126"/>
      <w:bookmarkEnd w:id="1127"/>
      <w:bookmarkEnd w:id="1128"/>
      <w:bookmarkEnd w:id="1129"/>
      <w:r w:rsidRPr="00A75DF9">
        <w:rPr>
          <w:rFonts w:ascii="Tahoma" w:hAnsi="Tahoma" w:cs="Tahoma"/>
          <w:caps/>
          <w:color w:val="EE6000"/>
          <w:sz w:val="22"/>
          <w:szCs w:val="18"/>
          <w:vertAlign w:val="superscript"/>
        </w:rPr>
        <w:t xml:space="preserve">34 </w:t>
      </w:r>
      <w:r w:rsidRPr="00A75DF9">
        <w:rPr>
          <w:rFonts w:ascii="Tahoma" w:hAnsi="Tahoma" w:cs="Tahoma"/>
          <w:color w:val="EE6000"/>
          <w:sz w:val="22"/>
          <w:szCs w:val="18"/>
        </w:rPr>
        <w:t>Componente Aggiuntivo per Windows Intune</w:t>
      </w:r>
      <w:bookmarkEnd w:id="1130"/>
      <w:bookmarkEnd w:id="1131"/>
      <w:r w:rsidRPr="00A75DF9">
        <w:rPr>
          <w:rFonts w:ascii="Tahoma" w:hAnsi="Tahoma" w:cs="Tahoma"/>
          <w:color w:val="EE6000"/>
          <w:sz w:val="22"/>
          <w:szCs w:val="18"/>
        </w:rPr>
        <w:t xml:space="preserve"> (Per Dispositivo)</w:t>
      </w:r>
      <w:bookmarkEnd w:id="1133"/>
    </w:p>
    <w:bookmarkEnd w:id="1132"/>
    <w:p w:rsidR="00104195" w:rsidRPr="00A75DF9" w:rsidRDefault="00104195" w:rsidP="00104195">
      <w:pPr>
        <w:ind w:left="720"/>
        <w:rPr>
          <w:rFonts w:cs="Tahoma"/>
        </w:rPr>
      </w:pPr>
    </w:p>
    <w:p w:rsidR="00104195" w:rsidRPr="00A75DF9" w:rsidRDefault="00104195" w:rsidP="00104195">
      <w:pPr>
        <w:ind w:left="720"/>
        <w:rPr>
          <w:rFonts w:cs="Tahoma"/>
        </w:rPr>
      </w:pPr>
      <w:r w:rsidRPr="00A75DF9">
        <w:rPr>
          <w:rFonts w:cs="Tahoma"/>
        </w:rPr>
        <w:t>Le società Enterprise che desiderano acquistare licenze Add-on per Windows Intune (Per Dispositivo) aggiuntive dovranno innanzitutto avere acquistato e ceduto al proprio desktop, per il quale stanno acquistando le licenze Add-on per Windows Intune, la copertura Windows Software Assurance attiva o una licenza attiva per Windows Virtual Desktop Access (Windows VDA).</w:t>
      </w:r>
      <w:r w:rsidR="009D3B41" w:rsidRPr="00A75DF9">
        <w:rPr>
          <w:rFonts w:cs="Tahoma"/>
        </w:rPr>
        <w:t xml:space="preserve"> </w:t>
      </w:r>
      <w:r w:rsidRPr="00A75DF9">
        <w:rPr>
          <w:rFonts w:cs="Tahoma"/>
        </w:rPr>
        <w:t xml:space="preserve">Le licenze Add-on per Windows Intune (Per Dispositivo) dovranno essere acquistate ai sensi della stessa iscrizione della copertura Software Assurance o della licenza per Windows VDA corrispondente. </w:t>
      </w:r>
    </w:p>
    <w:p w:rsidR="00104195" w:rsidRPr="00A75DF9" w:rsidRDefault="00104195" w:rsidP="00104195">
      <w:pPr>
        <w:spacing w:after="60"/>
        <w:ind w:left="720"/>
        <w:rPr>
          <w:rFonts w:cs="Tahoma"/>
        </w:rPr>
      </w:pPr>
      <w:r w:rsidRPr="00A75DF9">
        <w:rPr>
          <w:rFonts w:cs="Tahoma"/>
          <w:b/>
        </w:rPr>
        <w:lastRenderedPageBreak/>
        <w:t>Riassegnazione delle Licenze</w:t>
      </w:r>
    </w:p>
    <w:p w:rsidR="00104195" w:rsidRPr="00A75DF9" w:rsidRDefault="00104195" w:rsidP="00104195">
      <w:pPr>
        <w:ind w:left="720"/>
        <w:rPr>
          <w:rFonts w:cs="Tahoma"/>
        </w:rPr>
      </w:pPr>
      <w:r w:rsidRPr="00A75DF9">
        <w:rPr>
          <w:rFonts w:cs="Tahoma"/>
        </w:rPr>
        <w:t>Le società potranno riassegnare le licenze Add-on per Windows Intune (Per Dispositivo), ma non a breve termine, vale a dire non prima di 90 giorni dall</w:t>
      </w:r>
      <w:r w:rsidR="00F2643E">
        <w:rPr>
          <w:rFonts w:cs="Tahoma"/>
        </w:rPr>
        <w:t>’</w:t>
      </w:r>
      <w:r w:rsidRPr="00A75DF9">
        <w:rPr>
          <w:rFonts w:cs="Tahoma"/>
        </w:rPr>
        <w:t>ultima cessione.</w:t>
      </w:r>
      <w:r w:rsidR="009D3B41" w:rsidRPr="00A75DF9">
        <w:rPr>
          <w:rFonts w:cs="Tahoma"/>
        </w:rPr>
        <w:t xml:space="preserve"> </w:t>
      </w:r>
      <w:r w:rsidRPr="00A75DF9">
        <w:rPr>
          <w:rFonts w:cs="Tahoma"/>
        </w:rPr>
        <w:t>Le società potranno riassegnare prima una licenza Add-on per Windows Intune (Per Dispositivo), nel caso in cui ritirino il dispositivo con licenza esistente a causa di un problema hardware permanente.</w:t>
      </w:r>
      <w:r w:rsidR="009D3B41" w:rsidRPr="00A75DF9">
        <w:rPr>
          <w:rFonts w:cs="Tahoma"/>
        </w:rPr>
        <w:t xml:space="preserve"> </w:t>
      </w:r>
      <w:r w:rsidRPr="00A75DF9">
        <w:rPr>
          <w:rFonts w:cs="Tahoma"/>
        </w:rPr>
        <w:t xml:space="preserve">Il dispositivo al quale è stata riassegnata una licenza Add-on per Windows Intune (Per Dispositivo) dovrà disporre di una copertura Windows Software Assurance attiva o di una licenza per Windows VDA attiva acquistata ai sensi della stessa iscrizione della licenza Add-on per Windows Intune (Per Dispositivo). </w:t>
      </w:r>
    </w:p>
    <w:p w:rsidR="00023FE7" w:rsidRPr="00A75DF9" w:rsidRDefault="00113665" w:rsidP="00A932BB">
      <w:pPr>
        <w:pStyle w:val="Heading2"/>
        <w:spacing w:after="120"/>
        <w:ind w:left="0"/>
        <w:rPr>
          <w:rFonts w:ascii="Tahoma" w:hAnsi="Tahoma" w:cs="Tahoma"/>
        </w:rPr>
      </w:pPr>
      <w:r w:rsidRPr="00A75DF9">
        <w:rPr>
          <w:rFonts w:ascii="Tahoma" w:hAnsi="Tahoma" w:cs="Tahoma"/>
          <w:sz w:val="28"/>
        </w:rPr>
        <w:br w:type="page"/>
      </w:r>
      <w:bookmarkStart w:id="1134" w:name="_Toc336338287"/>
      <w:bookmarkStart w:id="1135" w:name="_Toc368310284"/>
      <w:r w:rsidRPr="00A75DF9">
        <w:rPr>
          <w:rFonts w:ascii="Tahoma" w:hAnsi="Tahoma" w:cs="Tahoma"/>
          <w:sz w:val="28"/>
        </w:rPr>
        <w:lastRenderedPageBreak/>
        <w:t>Pool di Server</w:t>
      </w:r>
      <w:bookmarkEnd w:id="1134"/>
      <w:bookmarkEnd w:id="1135"/>
    </w:p>
    <w:p w:rsidR="00A932BB" w:rsidRPr="00AA6903" w:rsidRDefault="00A932BB" w:rsidP="00A932BB">
      <w:pPr>
        <w:pStyle w:val="EndnoteText"/>
        <w:rPr>
          <w:rFonts w:ascii="Tahoma" w:hAnsi="Tahoma" w:cs="Tahoma"/>
          <w:sz w:val="18"/>
          <w:szCs w:val="18"/>
        </w:rPr>
      </w:pPr>
      <w:bookmarkStart w:id="1136" w:name="_34_Bing_Maps"/>
      <w:bookmarkStart w:id="1137" w:name="Srv_27BingMapsSvrandContentPack"/>
      <w:bookmarkStart w:id="1138" w:name="_Toc336338288"/>
      <w:bookmarkStart w:id="1139" w:name="Srv_25BingMapsandAddons"/>
      <w:bookmarkEnd w:id="1136"/>
    </w:p>
    <w:p w:rsidR="00A932BB" w:rsidRDefault="00A932BB" w:rsidP="00A932BB">
      <w:pPr>
        <w:pStyle w:val="EndnoteText"/>
        <w:rPr>
          <w:sz w:val="18"/>
        </w:rPr>
      </w:pPr>
    </w:p>
    <w:p w:rsidR="004640EC" w:rsidRPr="00A75DF9" w:rsidRDefault="00A560B6" w:rsidP="00A932BB">
      <w:pPr>
        <w:pStyle w:val="Heading2"/>
        <w:ind w:left="245" w:hanging="245"/>
        <w:rPr>
          <w:rFonts w:ascii="Tahoma" w:hAnsi="Tahoma" w:cs="Tahoma"/>
        </w:rPr>
      </w:pPr>
      <w:bookmarkStart w:id="1140" w:name="_35_SL_Add-On"/>
      <w:bookmarkStart w:id="1141" w:name="_Toc368310285"/>
      <w:bookmarkEnd w:id="1140"/>
      <w:r w:rsidRPr="00A75DF9">
        <w:rPr>
          <w:rFonts w:ascii="Tahoma" w:hAnsi="Tahoma" w:cs="Tahoma"/>
          <w:caps/>
          <w:color w:val="EE6000"/>
          <w:sz w:val="22"/>
          <w:vertAlign w:val="superscript"/>
        </w:rPr>
        <w:t>35</w:t>
      </w:r>
      <w:r w:rsidRPr="00A75DF9">
        <w:rPr>
          <w:rFonts w:ascii="Tahoma" w:hAnsi="Tahoma" w:cs="Tahoma"/>
          <w:color w:val="EE6000"/>
          <w:sz w:val="22"/>
        </w:rPr>
        <w:t xml:space="preserve"> SL Add-On per Bing Maps Public Website Usage e SL Add-On per Bing Maps Internal Website Usage</w:t>
      </w:r>
      <w:bookmarkEnd w:id="1137"/>
      <w:bookmarkEnd w:id="1138"/>
      <w:bookmarkEnd w:id="1141"/>
    </w:p>
    <w:p w:rsidR="004668D9" w:rsidRPr="00A932BB" w:rsidRDefault="004668D9" w:rsidP="004640EC">
      <w:pPr>
        <w:pStyle w:val="NormalWeb"/>
        <w:spacing w:before="0" w:beforeAutospacing="0" w:after="0" w:afterAutospacing="0"/>
        <w:ind w:left="720"/>
        <w:rPr>
          <w:rFonts w:ascii="Tahoma" w:hAnsi="Tahoma" w:cs="Tahoma"/>
          <w:sz w:val="18"/>
          <w:szCs w:val="18"/>
        </w:rPr>
      </w:pPr>
    </w:p>
    <w:p w:rsidR="004640EC" w:rsidRPr="00A932BB" w:rsidRDefault="004640EC" w:rsidP="00A932BB">
      <w:pPr>
        <w:pStyle w:val="NormalWeb"/>
        <w:spacing w:before="0" w:beforeAutospacing="0" w:after="0" w:afterAutospacing="0"/>
        <w:ind w:left="720"/>
        <w:rPr>
          <w:rFonts w:ascii="Tahoma" w:hAnsi="Tahoma" w:cs="Tahoma"/>
          <w:sz w:val="18"/>
          <w:szCs w:val="18"/>
        </w:rPr>
      </w:pPr>
      <w:r w:rsidRPr="00A932BB">
        <w:rPr>
          <w:rFonts w:ascii="Tahoma" w:hAnsi="Tahoma" w:cs="Tahoma"/>
          <w:sz w:val="18"/>
          <w:szCs w:val="18"/>
        </w:rPr>
        <w:t>Ciascuna offerta di SL Add-on per Bing Maps Public Website Usage e per Bing Maps Internal Website Usage</w:t>
      </w:r>
      <w:r w:rsidR="00A932BB">
        <w:rPr>
          <w:rFonts w:ascii="Tahoma" w:hAnsi="Tahoma" w:cs="Tahoma"/>
          <w:sz w:val="18"/>
          <w:szCs w:val="18"/>
        </w:rPr>
        <w:t> </w:t>
      </w:r>
      <w:r w:rsidRPr="00A932BB">
        <w:rPr>
          <w:rFonts w:ascii="Tahoma" w:hAnsi="Tahoma" w:cs="Tahoma"/>
          <w:sz w:val="18"/>
          <w:szCs w:val="18"/>
        </w:rPr>
        <w:t>è composta da un numero variabile di Transazione Fatturabili (definite nel presente documento).</w:t>
      </w:r>
      <w:r w:rsidR="009D3B41" w:rsidRPr="00A932BB">
        <w:rPr>
          <w:rFonts w:ascii="Tahoma" w:hAnsi="Tahoma" w:cs="Tahoma"/>
          <w:sz w:val="18"/>
          <w:szCs w:val="18"/>
        </w:rPr>
        <w:t xml:space="preserve"> </w:t>
      </w:r>
      <w:r w:rsidRPr="00A932BB">
        <w:rPr>
          <w:rFonts w:ascii="Tahoma" w:hAnsi="Tahoma" w:cs="Tahoma"/>
          <w:sz w:val="18"/>
          <w:szCs w:val="18"/>
        </w:rPr>
        <w:t>“Transazioni Fatturabili” indica quanto segue (con tutti i termini in maiuscolo come definiti negli SDK della Piattaforma Bing Maps o nelle Condizioni per l</w:t>
      </w:r>
      <w:r w:rsidR="00F2643E">
        <w:rPr>
          <w:rFonts w:ascii="Tahoma" w:hAnsi="Tahoma" w:cs="Tahoma"/>
          <w:sz w:val="18"/>
          <w:szCs w:val="18"/>
        </w:rPr>
        <w:t>’</w:t>
      </w:r>
      <w:r w:rsidRPr="00A932BB">
        <w:rPr>
          <w:rFonts w:ascii="Tahoma" w:hAnsi="Tahoma" w:cs="Tahoma"/>
          <w:sz w:val="18"/>
          <w:szCs w:val="18"/>
        </w:rPr>
        <w:t>Utilizzo delle API della Piattaforma Microsoft Bing Maps): (a)</w:t>
      </w:r>
      <w:r w:rsidR="00A932BB">
        <w:rPr>
          <w:rFonts w:ascii="Tahoma" w:hAnsi="Tahoma" w:cs="Tahoma"/>
          <w:sz w:val="18"/>
          <w:szCs w:val="18"/>
        </w:rPr>
        <w:t> </w:t>
      </w:r>
      <w:r w:rsidRPr="00A932BB">
        <w:rPr>
          <w:rFonts w:ascii="Tahoma" w:hAnsi="Tahoma" w:cs="Tahoma"/>
          <w:sz w:val="18"/>
          <w:szCs w:val="18"/>
        </w:rPr>
        <w:t>metodi dei servizi Web, inclusi, a titolo esemplificativo, Imagery, Route, Geocode, Spatial e Search nei</w:t>
      </w:r>
      <w:r w:rsidR="00A932BB">
        <w:rPr>
          <w:rFonts w:ascii="Tahoma" w:hAnsi="Tahoma" w:cs="Tahoma"/>
          <w:sz w:val="18"/>
          <w:szCs w:val="18"/>
        </w:rPr>
        <w:t> </w:t>
      </w:r>
      <w:r w:rsidRPr="00A932BB">
        <w:rPr>
          <w:rFonts w:ascii="Tahoma" w:hAnsi="Tahoma" w:cs="Tahoma"/>
          <w:sz w:val="18"/>
          <w:szCs w:val="18"/>
        </w:rPr>
        <w:t>Servizi, (b) una sessione nell</w:t>
      </w:r>
      <w:r w:rsidR="00F2643E">
        <w:rPr>
          <w:rFonts w:ascii="Tahoma" w:hAnsi="Tahoma" w:cs="Tahoma"/>
          <w:sz w:val="18"/>
          <w:szCs w:val="18"/>
        </w:rPr>
        <w:t>’</w:t>
      </w:r>
      <w:r w:rsidRPr="00A932BB">
        <w:rPr>
          <w:rFonts w:ascii="Tahoma" w:hAnsi="Tahoma" w:cs="Tahoma"/>
          <w:sz w:val="18"/>
          <w:szCs w:val="18"/>
        </w:rPr>
        <w:t>API di Bing Maps AJAX Control, nella versione beta dell</w:t>
      </w:r>
      <w:r w:rsidR="00F2643E">
        <w:rPr>
          <w:rFonts w:ascii="Tahoma" w:hAnsi="Tahoma" w:cs="Tahoma"/>
          <w:sz w:val="18"/>
          <w:szCs w:val="18"/>
        </w:rPr>
        <w:t>’</w:t>
      </w:r>
      <w:r w:rsidRPr="00A932BB">
        <w:rPr>
          <w:rFonts w:ascii="Tahoma" w:hAnsi="Tahoma" w:cs="Tahoma"/>
          <w:sz w:val="18"/>
          <w:szCs w:val="18"/>
        </w:rPr>
        <w:t>API di Bing Maps Windows Presentation Foundation o nell</w:t>
      </w:r>
      <w:r w:rsidR="00F2643E">
        <w:rPr>
          <w:rFonts w:ascii="Tahoma" w:hAnsi="Tahoma" w:cs="Tahoma"/>
          <w:sz w:val="18"/>
          <w:szCs w:val="18"/>
        </w:rPr>
        <w:t>’</w:t>
      </w:r>
      <w:r w:rsidRPr="00A932BB">
        <w:rPr>
          <w:rFonts w:ascii="Tahoma" w:hAnsi="Tahoma" w:cs="Tahoma"/>
          <w:sz w:val="18"/>
          <w:szCs w:val="18"/>
        </w:rPr>
        <w:t>API di Bing Maps Silverlight Control, dove la sessione ha inizio con il</w:t>
      </w:r>
      <w:r w:rsidR="00A932BB">
        <w:rPr>
          <w:rFonts w:ascii="Tahoma" w:hAnsi="Tahoma" w:cs="Tahoma"/>
          <w:sz w:val="18"/>
          <w:szCs w:val="18"/>
        </w:rPr>
        <w:t> </w:t>
      </w:r>
      <w:r w:rsidRPr="00A932BB">
        <w:rPr>
          <w:rFonts w:ascii="Tahoma" w:hAnsi="Tahoma" w:cs="Tahoma"/>
          <w:sz w:val="18"/>
          <w:szCs w:val="18"/>
        </w:rPr>
        <w:t>caricamento di uno dei suddetti controlli in un browser dell</w:t>
      </w:r>
      <w:r w:rsidR="00F2643E">
        <w:rPr>
          <w:rFonts w:ascii="Tahoma" w:hAnsi="Tahoma" w:cs="Tahoma"/>
          <w:sz w:val="18"/>
          <w:szCs w:val="18"/>
        </w:rPr>
        <w:t>’</w:t>
      </w:r>
      <w:r w:rsidRPr="00A932BB">
        <w:rPr>
          <w:rFonts w:ascii="Tahoma" w:hAnsi="Tahoma" w:cs="Tahoma"/>
          <w:sz w:val="18"/>
          <w:szCs w:val="18"/>
        </w:rPr>
        <w:t>utente e include tutte le transazioni fino alla chiusura del browser o allo spostamento dell</w:t>
      </w:r>
      <w:r w:rsidR="00F2643E">
        <w:rPr>
          <w:rFonts w:ascii="Tahoma" w:hAnsi="Tahoma" w:cs="Tahoma"/>
          <w:sz w:val="18"/>
          <w:szCs w:val="18"/>
        </w:rPr>
        <w:t>’</w:t>
      </w:r>
      <w:r w:rsidRPr="00A932BB">
        <w:rPr>
          <w:rFonts w:ascii="Tahoma" w:hAnsi="Tahoma" w:cs="Tahoma"/>
          <w:sz w:val="18"/>
          <w:szCs w:val="18"/>
        </w:rPr>
        <w:t xml:space="preserve">utente su una pagina diversa e (c) eventuali nuove funzionalità dei Servizi potranno costituire una Transazione Fatturabile come descritto negli SDK. </w:t>
      </w:r>
    </w:p>
    <w:p w:rsidR="004640EC" w:rsidRPr="00A75DF9" w:rsidRDefault="004640EC" w:rsidP="004640EC">
      <w:pPr>
        <w:ind w:left="720"/>
        <w:rPr>
          <w:rFonts w:cs="Tahoma"/>
        </w:rPr>
      </w:pPr>
    </w:p>
    <w:p w:rsidR="004640EC" w:rsidRPr="00A75DF9" w:rsidRDefault="004640EC" w:rsidP="00A932BB">
      <w:pPr>
        <w:ind w:left="720"/>
        <w:rPr>
          <w:rFonts w:cs="Tahoma"/>
        </w:rPr>
      </w:pPr>
      <w:r w:rsidRPr="00A75DF9">
        <w:rPr>
          <w:rFonts w:cs="Tahoma"/>
          <w:szCs w:val="18"/>
        </w:rPr>
        <w:t>Le società potranno acquistare più offerte di SL Add-on per Bing Maps Public Website Usage e di SL Add-on per Bing Maps Internal Website Usage allo scopo di comprare ogni mese più Transazione Fatturabili, ad</w:t>
      </w:r>
      <w:r w:rsidR="00A932BB">
        <w:rPr>
          <w:rFonts w:cs="Tahoma"/>
          <w:szCs w:val="18"/>
        </w:rPr>
        <w:t> </w:t>
      </w:r>
      <w:r w:rsidRPr="00A75DF9">
        <w:rPr>
          <w:rFonts w:cs="Tahoma"/>
          <w:szCs w:val="18"/>
        </w:rPr>
        <w:t>eccezione della SL Add-on per Bing Maps Platinum che potrà essere acquistata una sola volta.</w:t>
      </w:r>
      <w:r w:rsidR="009D3B41" w:rsidRPr="00A75DF9">
        <w:rPr>
          <w:rFonts w:cs="Tahoma"/>
          <w:szCs w:val="18"/>
        </w:rPr>
        <w:t xml:space="preserve"> </w:t>
      </w:r>
      <w:r w:rsidRPr="00A75DF9">
        <w:rPr>
          <w:rFonts w:cs="Tahoma"/>
          <w:szCs w:val="18"/>
        </w:rPr>
        <w:t>Le Transazioni Fatturabili mensili non utilizzate potranno essere cumulate su base mensile fino alla data di scadenza dell</w:t>
      </w:r>
      <w:r w:rsidR="00F2643E">
        <w:rPr>
          <w:rFonts w:cs="Tahoma"/>
          <w:szCs w:val="18"/>
        </w:rPr>
        <w:t>’</w:t>
      </w:r>
      <w:r w:rsidRPr="00A75DF9">
        <w:rPr>
          <w:rFonts w:cs="Tahoma"/>
          <w:szCs w:val="18"/>
        </w:rPr>
        <w:t>iscrizione.</w:t>
      </w:r>
      <w:r w:rsidR="009D3B41" w:rsidRPr="00A75DF9">
        <w:rPr>
          <w:rFonts w:cs="Tahoma"/>
          <w:szCs w:val="18"/>
        </w:rPr>
        <w:t xml:space="preserve"> </w:t>
      </w:r>
      <w:r w:rsidRPr="00A75DF9">
        <w:rPr>
          <w:rFonts w:cs="Tahoma"/>
          <w:szCs w:val="18"/>
        </w:rPr>
        <w:t>In tale data tutte le Transazioni Fatturabili non utilizzate acquistate andranno perse. Le società potranno superare il numero di Transazioni Fatturabili acquistate in un mese, purché il numero totale di Transazioni Fatturabili utilizzate non superi il numero totale di Transazioni Fatturabili acquistate durante il periodo di validità dell</w:t>
      </w:r>
      <w:r w:rsidR="00F2643E">
        <w:rPr>
          <w:rFonts w:cs="Tahoma"/>
          <w:szCs w:val="18"/>
        </w:rPr>
        <w:t>’</w:t>
      </w:r>
      <w:r w:rsidRPr="00A75DF9">
        <w:rPr>
          <w:rFonts w:cs="Tahoma"/>
          <w:szCs w:val="18"/>
        </w:rPr>
        <w:t>iscrizione.</w:t>
      </w:r>
      <w:r w:rsidR="009D3B41" w:rsidRPr="00A75DF9">
        <w:rPr>
          <w:rFonts w:cs="Tahoma"/>
          <w:szCs w:val="18"/>
        </w:rPr>
        <w:t xml:space="preserve"> </w:t>
      </w:r>
      <w:r w:rsidRPr="00A75DF9">
        <w:rPr>
          <w:rFonts w:cs="Tahoma"/>
          <w:szCs w:val="18"/>
        </w:rPr>
        <w:t>Qualora una società superi il numero totale di Transazioni Fatturabili acquistate, entro 30 giorni dalla comunicazione di Microsoft la società dovrà acquistare offerte aggiuntive di SL Add-on per Bing Maps Public Website Usage o per Bing Maps Internal Website Usage per coprire le Transazioni Fatturabili in eccesso e le Transazioni Fatturabili future previste per il tempo residuo del periodo di validità dell</w:t>
      </w:r>
      <w:r w:rsidR="00F2643E">
        <w:rPr>
          <w:rFonts w:cs="Tahoma"/>
          <w:szCs w:val="18"/>
        </w:rPr>
        <w:t>’</w:t>
      </w:r>
      <w:r w:rsidRPr="00A75DF9">
        <w:rPr>
          <w:rFonts w:cs="Tahoma"/>
          <w:szCs w:val="18"/>
        </w:rPr>
        <w:t>iscrizione. In alternativa, Microsoft potrà interrompere l</w:t>
      </w:r>
      <w:r w:rsidR="00F2643E">
        <w:rPr>
          <w:rFonts w:cs="Tahoma"/>
          <w:szCs w:val="18"/>
        </w:rPr>
        <w:t>’</w:t>
      </w:r>
      <w:r w:rsidRPr="00A75DF9">
        <w:rPr>
          <w:rFonts w:cs="Tahoma"/>
          <w:szCs w:val="18"/>
        </w:rPr>
        <w:t>accesso a Bing Maps da parte del cliente.</w:t>
      </w:r>
    </w:p>
    <w:p w:rsidR="004640EC" w:rsidRPr="00A75DF9" w:rsidRDefault="004640EC" w:rsidP="004640EC">
      <w:pPr>
        <w:ind w:left="720"/>
        <w:rPr>
          <w:rFonts w:cs="Tahoma"/>
        </w:rPr>
      </w:pPr>
    </w:p>
    <w:p w:rsidR="004640EC" w:rsidRPr="00A75DF9" w:rsidRDefault="004640EC" w:rsidP="004640EC">
      <w:pPr>
        <w:spacing w:after="60"/>
        <w:ind w:left="720"/>
        <w:rPr>
          <w:rFonts w:cs="Tahoma"/>
        </w:rPr>
      </w:pPr>
      <w:r w:rsidRPr="00A75DF9">
        <w:rPr>
          <w:rFonts w:cs="Tahoma"/>
          <w:b/>
          <w:color w:val="000000" w:themeColor="text1"/>
          <w:szCs w:val="18"/>
        </w:rPr>
        <w:t>SL Add-on per Bing Maps Platinum</w:t>
      </w:r>
    </w:p>
    <w:p w:rsidR="004640EC" w:rsidRPr="00A932BB" w:rsidRDefault="004640EC" w:rsidP="00A932BB">
      <w:pPr>
        <w:pStyle w:val="NormalWeb"/>
        <w:spacing w:before="0" w:beforeAutospacing="0" w:after="0" w:afterAutospacing="0"/>
        <w:ind w:left="720"/>
        <w:rPr>
          <w:rFonts w:ascii="Tahoma" w:hAnsi="Tahoma" w:cs="Tahoma"/>
          <w:sz w:val="18"/>
          <w:szCs w:val="18"/>
        </w:rPr>
      </w:pPr>
      <w:r w:rsidRPr="00A932BB">
        <w:rPr>
          <w:rFonts w:ascii="Tahoma" w:hAnsi="Tahoma" w:cs="Tahoma"/>
          <w:sz w:val="18"/>
          <w:szCs w:val="18"/>
        </w:rPr>
        <w:t>L</w:t>
      </w:r>
      <w:r w:rsidR="00F2643E">
        <w:rPr>
          <w:rFonts w:ascii="Tahoma" w:hAnsi="Tahoma" w:cs="Tahoma"/>
          <w:sz w:val="18"/>
          <w:szCs w:val="18"/>
        </w:rPr>
        <w:t>’</w:t>
      </w:r>
      <w:r w:rsidRPr="00A932BB">
        <w:rPr>
          <w:rFonts w:ascii="Tahoma" w:hAnsi="Tahoma" w:cs="Tahoma"/>
          <w:sz w:val="18"/>
          <w:szCs w:val="18"/>
        </w:rPr>
        <w:t>offerta di SL Add-on per Bing Maps Platinum presenta un limite di utilizzo di 400 milioni di Transazioni Fatturabili all</w:t>
      </w:r>
      <w:r w:rsidR="00F2643E">
        <w:rPr>
          <w:rFonts w:ascii="Tahoma" w:hAnsi="Tahoma" w:cs="Tahoma"/>
          <w:sz w:val="18"/>
          <w:szCs w:val="18"/>
        </w:rPr>
        <w:t>’</w:t>
      </w:r>
      <w:r w:rsidRPr="00A932BB">
        <w:rPr>
          <w:rFonts w:ascii="Tahoma" w:hAnsi="Tahoma" w:cs="Tahoma"/>
          <w:sz w:val="18"/>
          <w:szCs w:val="18"/>
        </w:rPr>
        <w:t>anno.</w:t>
      </w:r>
      <w:r w:rsidR="009D3B41" w:rsidRPr="00A932BB">
        <w:rPr>
          <w:rFonts w:ascii="Tahoma" w:hAnsi="Tahoma" w:cs="Tahoma"/>
          <w:sz w:val="18"/>
          <w:szCs w:val="18"/>
        </w:rPr>
        <w:t xml:space="preserve"> </w:t>
      </w:r>
      <w:r w:rsidRPr="00A932BB">
        <w:rPr>
          <w:rFonts w:ascii="Tahoma" w:hAnsi="Tahoma" w:cs="Tahoma"/>
          <w:sz w:val="18"/>
          <w:szCs w:val="18"/>
        </w:rPr>
        <w:t>Qualora durante un qualsiasi anno del periodo di validità dell</w:t>
      </w:r>
      <w:r w:rsidR="00F2643E">
        <w:rPr>
          <w:rFonts w:ascii="Tahoma" w:hAnsi="Tahoma" w:cs="Tahoma"/>
          <w:sz w:val="18"/>
          <w:szCs w:val="18"/>
        </w:rPr>
        <w:t>’</w:t>
      </w:r>
      <w:r w:rsidRPr="00A932BB">
        <w:rPr>
          <w:rFonts w:ascii="Tahoma" w:hAnsi="Tahoma" w:cs="Tahoma"/>
          <w:sz w:val="18"/>
          <w:szCs w:val="18"/>
        </w:rPr>
        <w:t>iscrizione una società superi il limite di utilizzo di 400 milioni di Transazioni Fatturabili, entro 60 giorni dalla comunicazione di Microsoft la società dovrà acquistare offerte aggiuntive di SL Add-on per Bing Maps Public Website Usage o</w:t>
      </w:r>
      <w:r w:rsidR="00A932BB">
        <w:rPr>
          <w:rFonts w:ascii="Tahoma" w:hAnsi="Tahoma" w:cs="Tahoma"/>
          <w:sz w:val="18"/>
          <w:szCs w:val="18"/>
        </w:rPr>
        <w:t> </w:t>
      </w:r>
      <w:r w:rsidRPr="00A932BB">
        <w:rPr>
          <w:rFonts w:ascii="Tahoma" w:hAnsi="Tahoma" w:cs="Tahoma"/>
          <w:sz w:val="18"/>
          <w:szCs w:val="18"/>
        </w:rPr>
        <w:t>per Bing Maps Internal Website Usage per coprire le Transazioni Fatturabili in eccesso e le Transazioni Fatturabili future previste per il tempo residuo del periodo di validità dell</w:t>
      </w:r>
      <w:r w:rsidR="00F2643E">
        <w:rPr>
          <w:rFonts w:ascii="Tahoma" w:hAnsi="Tahoma" w:cs="Tahoma"/>
          <w:sz w:val="18"/>
          <w:szCs w:val="18"/>
        </w:rPr>
        <w:t>’</w:t>
      </w:r>
      <w:r w:rsidRPr="00A932BB">
        <w:rPr>
          <w:rFonts w:ascii="Tahoma" w:hAnsi="Tahoma" w:cs="Tahoma"/>
          <w:sz w:val="18"/>
          <w:szCs w:val="18"/>
        </w:rPr>
        <w:t>iscrizione. In alternativa, Microsoft potrà interrompere l</w:t>
      </w:r>
      <w:r w:rsidR="00F2643E">
        <w:rPr>
          <w:rFonts w:ascii="Tahoma" w:hAnsi="Tahoma" w:cs="Tahoma"/>
          <w:sz w:val="18"/>
          <w:szCs w:val="18"/>
        </w:rPr>
        <w:t>’</w:t>
      </w:r>
      <w:r w:rsidRPr="00A932BB">
        <w:rPr>
          <w:rFonts w:ascii="Tahoma" w:hAnsi="Tahoma" w:cs="Tahoma"/>
          <w:sz w:val="18"/>
          <w:szCs w:val="18"/>
        </w:rPr>
        <w:t>accesso a Bing Maps da parte del cliente.</w:t>
      </w:r>
    </w:p>
    <w:p w:rsidR="004640EC" w:rsidRPr="00A932BB" w:rsidRDefault="004640EC" w:rsidP="004640EC">
      <w:pPr>
        <w:pStyle w:val="NormalWeb"/>
        <w:spacing w:before="0" w:beforeAutospacing="0" w:after="0" w:afterAutospacing="0"/>
        <w:ind w:left="720"/>
        <w:rPr>
          <w:rFonts w:ascii="Tahoma" w:hAnsi="Tahoma" w:cs="Tahoma"/>
          <w:sz w:val="18"/>
          <w:szCs w:val="18"/>
        </w:rPr>
      </w:pPr>
    </w:p>
    <w:p w:rsidR="004640EC" w:rsidRPr="00A75DF9" w:rsidRDefault="004640EC" w:rsidP="004640EC">
      <w:pPr>
        <w:spacing w:after="60"/>
        <w:ind w:left="720"/>
        <w:rPr>
          <w:rFonts w:cs="Tahoma"/>
        </w:rPr>
      </w:pPr>
      <w:r w:rsidRPr="00A75DF9">
        <w:rPr>
          <w:rFonts w:cs="Tahoma"/>
          <w:b/>
          <w:color w:val="000000" w:themeColor="text1"/>
          <w:szCs w:val="18"/>
        </w:rPr>
        <w:t>Supporto Tecnico per Bing Maps</w:t>
      </w:r>
    </w:p>
    <w:p w:rsidR="004640EC" w:rsidRPr="00A932BB" w:rsidRDefault="004640EC" w:rsidP="004640EC">
      <w:pPr>
        <w:pStyle w:val="NormalWeb"/>
        <w:spacing w:before="0" w:beforeAutospacing="0" w:after="0" w:afterAutospacing="0"/>
        <w:ind w:left="720"/>
        <w:rPr>
          <w:rFonts w:ascii="Tahoma" w:hAnsi="Tahoma" w:cs="Tahoma"/>
          <w:sz w:val="18"/>
          <w:szCs w:val="18"/>
        </w:rPr>
      </w:pPr>
      <w:r w:rsidRPr="00A932BB">
        <w:rPr>
          <w:rFonts w:ascii="Tahoma" w:hAnsi="Tahoma" w:cs="Tahoma"/>
          <w:sz w:val="18"/>
          <w:szCs w:val="18"/>
        </w:rPr>
        <w:t>Il Supporto Tecnico per Bing Maps è disponibile per tutte le società che hanno acquistato Bing Maps nella modalità definita di seguito.</w:t>
      </w:r>
    </w:p>
    <w:p w:rsidR="004640EC" w:rsidRPr="00A932BB" w:rsidRDefault="004640EC" w:rsidP="004640EC">
      <w:pPr>
        <w:pStyle w:val="NormalWeb"/>
        <w:spacing w:before="0" w:beforeAutospacing="0" w:after="0" w:afterAutospacing="0"/>
        <w:ind w:left="720"/>
        <w:rPr>
          <w:rFonts w:ascii="Tahoma" w:hAnsi="Tahoma" w:cs="Tahoma"/>
          <w:sz w:val="18"/>
          <w:szCs w:val="18"/>
        </w:rPr>
      </w:pPr>
    </w:p>
    <w:p w:rsidR="004640EC" w:rsidRPr="00A75DF9" w:rsidRDefault="004640EC" w:rsidP="004640EC">
      <w:pPr>
        <w:spacing w:after="60"/>
        <w:ind w:left="720"/>
        <w:rPr>
          <w:rFonts w:cs="Tahoma"/>
        </w:rPr>
      </w:pPr>
      <w:r w:rsidRPr="00A75DF9">
        <w:rPr>
          <w:rFonts w:cs="Tahoma"/>
          <w:b/>
          <w:bCs/>
          <w:color w:val="000000"/>
          <w:szCs w:val="18"/>
        </w:rPr>
        <w:t>Il Supporto tecnico per Bing Maps Include:</w:t>
      </w:r>
    </w:p>
    <w:p w:rsidR="004640EC" w:rsidRPr="00A932BB" w:rsidRDefault="004640EC" w:rsidP="00A932BB">
      <w:pPr>
        <w:ind w:left="720"/>
        <w:rPr>
          <w:rFonts w:cs="Tahoma"/>
          <w:szCs w:val="18"/>
        </w:rPr>
      </w:pPr>
      <w:r w:rsidRPr="00A932BB">
        <w:rPr>
          <w:rFonts w:cs="Tahoma"/>
          <w:color w:val="000000"/>
          <w:szCs w:val="18"/>
        </w:rPr>
        <w:t>Accesso diretto al Team del Supporto Tecnico di Bing Maps tramite posta elettronica, telefono e Web durante l</w:t>
      </w:r>
      <w:r w:rsidR="00F2643E">
        <w:rPr>
          <w:rFonts w:cs="Tahoma"/>
          <w:color w:val="000000"/>
          <w:szCs w:val="18"/>
        </w:rPr>
        <w:t>’</w:t>
      </w:r>
      <w:r w:rsidRPr="00A932BB">
        <w:rPr>
          <w:rFonts w:cs="Tahoma"/>
          <w:color w:val="000000"/>
          <w:szCs w:val="18"/>
        </w:rPr>
        <w:t>orario di lavoro 8 - 2 GMT, da lunedì a venerdì, escluse le festività pubbliche statunitensi. La società può inoltre accedere al Team di Supporto per i problemi correlati al servizio di emergenza anche al di</w:t>
      </w:r>
      <w:r w:rsidR="00A932BB">
        <w:rPr>
          <w:rFonts w:cs="Tahoma"/>
          <w:color w:val="000000"/>
          <w:szCs w:val="18"/>
        </w:rPr>
        <w:t> </w:t>
      </w:r>
      <w:r w:rsidRPr="00A932BB">
        <w:rPr>
          <w:rFonts w:cs="Tahoma"/>
          <w:color w:val="000000"/>
          <w:szCs w:val="18"/>
        </w:rPr>
        <w:t>fuori dell</w:t>
      </w:r>
      <w:r w:rsidR="00F2643E">
        <w:rPr>
          <w:rFonts w:cs="Tahoma"/>
          <w:color w:val="000000"/>
          <w:szCs w:val="18"/>
        </w:rPr>
        <w:t>’</w:t>
      </w:r>
      <w:r w:rsidRPr="00A932BB">
        <w:rPr>
          <w:rFonts w:cs="Tahoma"/>
          <w:color w:val="000000"/>
          <w:szCs w:val="18"/>
        </w:rPr>
        <w:t>orario apposito (2 - 8 GMT) solo telefonicamente al numero riportato di seguito. Tutti gli altri problemi segnalati al di fuori di tale orario verranno trattati durante il normale orario di lavoro. Il Team di Supporto può essere contattato nei seguenti modi o in eventuali altri modi che verranno comunicati:</w:t>
      </w:r>
    </w:p>
    <w:p w:rsidR="004640EC" w:rsidRDefault="004640EC" w:rsidP="004640EC">
      <w:pPr>
        <w:ind w:left="720"/>
        <w:rPr>
          <w:rFonts w:cs="Tahoma"/>
        </w:rPr>
      </w:pPr>
    </w:p>
    <w:p w:rsidR="009C535B" w:rsidRDefault="009C535B" w:rsidP="004640EC">
      <w:pPr>
        <w:ind w:left="720"/>
        <w:rPr>
          <w:rFonts w:cs="Tahoma"/>
        </w:rPr>
      </w:pPr>
    </w:p>
    <w:p w:rsidR="009C535B" w:rsidRDefault="009C535B" w:rsidP="004640EC">
      <w:pPr>
        <w:ind w:left="720"/>
        <w:rPr>
          <w:rFonts w:cs="Tahoma"/>
        </w:rPr>
      </w:pPr>
    </w:p>
    <w:p w:rsidR="009C535B" w:rsidRDefault="009C535B" w:rsidP="004640EC">
      <w:pPr>
        <w:ind w:left="720"/>
        <w:rPr>
          <w:rFonts w:cs="Tahoma"/>
        </w:rPr>
      </w:pPr>
    </w:p>
    <w:p w:rsidR="009C535B" w:rsidRDefault="009C535B" w:rsidP="004640EC">
      <w:pPr>
        <w:ind w:left="720"/>
        <w:rPr>
          <w:rFonts w:cs="Tahoma"/>
        </w:rPr>
      </w:pPr>
    </w:p>
    <w:p w:rsidR="009C535B" w:rsidRPr="00A75DF9" w:rsidRDefault="009C535B" w:rsidP="004640EC">
      <w:pPr>
        <w:ind w:left="720"/>
        <w:rPr>
          <w:rFonts w:cs="Tahoma"/>
        </w:rPr>
      </w:pPr>
    </w:p>
    <w:p w:rsidR="004640EC" w:rsidRPr="00A75DF9" w:rsidRDefault="004640EC" w:rsidP="004640EC">
      <w:pPr>
        <w:ind w:left="720"/>
        <w:rPr>
          <w:rFonts w:cs="Tahoma"/>
        </w:rPr>
      </w:pPr>
      <w:r w:rsidRPr="00A75DF9">
        <w:rPr>
          <w:rFonts w:cs="Tahoma"/>
          <w:color w:val="000000"/>
          <w:szCs w:val="18"/>
        </w:rPr>
        <w:lastRenderedPageBreak/>
        <w:t>Indirizzo di posta elettronica:</w:t>
      </w:r>
    </w:p>
    <w:p w:rsidR="004640EC" w:rsidRPr="00A75DF9" w:rsidRDefault="00B54770" w:rsidP="004640EC">
      <w:pPr>
        <w:ind w:left="720"/>
        <w:rPr>
          <w:rFonts w:cs="Tahoma"/>
        </w:rPr>
      </w:pPr>
      <w:hyperlink r:id="rId44" w:history="1">
        <w:r w:rsidR="00A932BB" w:rsidRPr="004640EC">
          <w:rPr>
            <w:rStyle w:val="Hyperlink"/>
            <w:rFonts w:cs="Tahoma"/>
            <w:szCs w:val="18"/>
          </w:rPr>
          <w:t>bmesupp@microsoft.com</w:t>
        </w:r>
      </w:hyperlink>
    </w:p>
    <w:p w:rsidR="00A932BB" w:rsidRPr="00A75DF9" w:rsidRDefault="00A932BB" w:rsidP="004640EC">
      <w:pPr>
        <w:ind w:left="720"/>
        <w:rPr>
          <w:rFonts w:cs="Tahoma"/>
        </w:rPr>
      </w:pPr>
    </w:p>
    <w:p w:rsidR="004640EC" w:rsidRPr="00A75DF9" w:rsidRDefault="004640EC" w:rsidP="004640EC">
      <w:pPr>
        <w:ind w:left="720"/>
        <w:rPr>
          <w:rFonts w:cs="Tahoma"/>
        </w:rPr>
      </w:pPr>
      <w:r w:rsidRPr="00A75DF9">
        <w:rPr>
          <w:rFonts w:cs="Tahoma"/>
          <w:color w:val="000000"/>
          <w:szCs w:val="18"/>
        </w:rPr>
        <w:t>Telefono:</w:t>
      </w:r>
    </w:p>
    <w:p w:rsidR="004640EC" w:rsidRPr="00A75DF9" w:rsidRDefault="004640EC" w:rsidP="004640EC">
      <w:pPr>
        <w:ind w:left="720"/>
        <w:rPr>
          <w:rFonts w:cs="Tahoma"/>
        </w:rPr>
      </w:pPr>
      <w:r w:rsidRPr="00A75DF9">
        <w:rPr>
          <w:rFonts w:cs="Tahoma"/>
          <w:color w:val="000000"/>
          <w:szCs w:val="18"/>
        </w:rPr>
        <w:t>+1 (800) 552-8872 (se all</w:t>
      </w:r>
      <w:r w:rsidR="00F2643E">
        <w:rPr>
          <w:rFonts w:cs="Tahoma"/>
          <w:color w:val="000000"/>
          <w:szCs w:val="18"/>
        </w:rPr>
        <w:t>’</w:t>
      </w:r>
      <w:r w:rsidRPr="00A75DF9">
        <w:rPr>
          <w:rFonts w:cs="Tahoma"/>
          <w:color w:val="000000"/>
          <w:szCs w:val="18"/>
        </w:rPr>
        <w:t>interno degli Stati Uniti e del Canada)</w:t>
      </w:r>
    </w:p>
    <w:p w:rsidR="004640EC" w:rsidRPr="00A75DF9" w:rsidRDefault="004640EC" w:rsidP="004640EC">
      <w:pPr>
        <w:ind w:left="720"/>
        <w:rPr>
          <w:rFonts w:cs="Tahoma"/>
        </w:rPr>
      </w:pPr>
      <w:r w:rsidRPr="00A75DF9">
        <w:rPr>
          <w:rFonts w:cs="Tahoma"/>
          <w:color w:val="000000"/>
          <w:szCs w:val="18"/>
        </w:rPr>
        <w:t>+1 (425) 705-2737 (se al di fuori degli Stati Uniti e del Canada)</w:t>
      </w:r>
    </w:p>
    <w:p w:rsidR="004640EC" w:rsidRPr="00A75DF9" w:rsidRDefault="004640EC" w:rsidP="004640EC">
      <w:pPr>
        <w:ind w:left="720"/>
        <w:rPr>
          <w:rFonts w:cs="Tahoma"/>
        </w:rPr>
      </w:pPr>
    </w:p>
    <w:p w:rsidR="004640EC" w:rsidRPr="00A75DF9" w:rsidRDefault="004640EC" w:rsidP="004640EC">
      <w:pPr>
        <w:ind w:left="720"/>
        <w:rPr>
          <w:rFonts w:cs="Tahoma"/>
        </w:rPr>
      </w:pPr>
      <w:r w:rsidRPr="00A75DF9">
        <w:rPr>
          <w:rFonts w:cs="Tahoma"/>
          <w:color w:val="000000"/>
          <w:szCs w:val="18"/>
        </w:rPr>
        <w:t>Modulo Web</w:t>
      </w:r>
    </w:p>
    <w:p w:rsidR="004640EC" w:rsidRPr="00A75DF9" w:rsidRDefault="00B54770" w:rsidP="004640EC">
      <w:pPr>
        <w:ind w:left="720"/>
        <w:rPr>
          <w:rFonts w:cs="Tahoma"/>
        </w:rPr>
      </w:pPr>
      <w:hyperlink r:id="rId45" w:history="1">
        <w:r w:rsidR="00A932BB" w:rsidRPr="004640EC">
          <w:rPr>
            <w:rStyle w:val="Hyperlink"/>
            <w:rFonts w:cs="Tahoma"/>
            <w:szCs w:val="18"/>
          </w:rPr>
          <w:t>https://support.microsoft.com/oas/default.aspx?prid=13766&amp;st=1</w:t>
        </w:r>
      </w:hyperlink>
    </w:p>
    <w:p w:rsidR="004640EC" w:rsidRPr="00A75DF9" w:rsidRDefault="004640EC" w:rsidP="004640EC">
      <w:pPr>
        <w:ind w:left="720"/>
        <w:rPr>
          <w:rFonts w:cs="Tahoma"/>
        </w:rPr>
      </w:pPr>
    </w:p>
    <w:p w:rsidR="004640EC" w:rsidRPr="00A75DF9" w:rsidRDefault="004640EC" w:rsidP="004640EC">
      <w:pPr>
        <w:ind w:left="720"/>
        <w:rPr>
          <w:rFonts w:cs="Tahoma"/>
        </w:rPr>
      </w:pPr>
      <w:r w:rsidRPr="00A75DF9">
        <w:rPr>
          <w:rFonts w:cs="Tahoma"/>
          <w:b/>
          <w:bCs/>
          <w:color w:val="000000"/>
          <w:szCs w:val="18"/>
        </w:rPr>
        <w:t>Priorità</w:t>
      </w:r>
      <w:r w:rsidRPr="00A75DF9">
        <w:rPr>
          <w:rFonts w:cs="Tahoma"/>
          <w:color w:val="000000"/>
          <w:szCs w:val="18"/>
        </w:rPr>
        <w:t>. Tutte le richieste di supporto tecnico per Bing Maps effettuate al Team del Supporto Tecnico verranno designate come Livello di Gravità A, B, C o D secondo quanto descritto nel grafico dei Livelli di Gravità e dei Tempi di Risposta Prefissati che segue. Un Tecnico del Supporto interverrà in conformità ai Tempi di Risposta Prefissati dichiarati nel grafico che segue e in base alla Descrizione dei Problemi del Servizio riportati determinerà il livello di gravità finale.</w:t>
      </w:r>
    </w:p>
    <w:p w:rsidR="004640EC" w:rsidRPr="00A75DF9" w:rsidRDefault="004640EC" w:rsidP="004640EC">
      <w:pPr>
        <w:ind w:left="720"/>
        <w:rPr>
          <w:rFonts w:cs="Tahoma"/>
        </w:rPr>
      </w:pPr>
      <w:r w:rsidRPr="00A75DF9">
        <w:rPr>
          <w:rFonts w:cs="Tahoma"/>
          <w:b/>
          <w:bCs/>
          <w:color w:val="000000"/>
          <w:szCs w:val="18"/>
        </w:rPr>
        <w:t xml:space="preserve">Livelli di Gravità durante il Normale Orario di Lavoro e Tempi di Risposta Prefissati: </w:t>
      </w:r>
    </w:p>
    <w:p w:rsidR="004640EC" w:rsidRPr="00A75DF9" w:rsidRDefault="004640EC" w:rsidP="004640EC">
      <w:pPr>
        <w:ind w:left="720"/>
        <w:rPr>
          <w:rFonts w:cs="Tahoma"/>
        </w:rPr>
      </w:pPr>
    </w:p>
    <w:p w:rsidR="004640EC" w:rsidRPr="00A75DF9" w:rsidRDefault="004640EC" w:rsidP="004640EC">
      <w:pPr>
        <w:ind w:left="720"/>
        <w:rPr>
          <w:rFonts w:cs="Tahoma"/>
        </w:rPr>
      </w:pPr>
    </w:p>
    <w:tbl>
      <w:tblPr>
        <w:tblW w:w="9225" w:type="dxa"/>
        <w:tblInd w:w="738" w:type="dxa"/>
        <w:tblCellMar>
          <w:left w:w="0" w:type="dxa"/>
          <w:right w:w="0" w:type="dxa"/>
        </w:tblCellMar>
        <w:tblLook w:val="04A0" w:firstRow="1" w:lastRow="0" w:firstColumn="1" w:lastColumn="0" w:noHBand="0" w:noVBand="1"/>
      </w:tblPr>
      <w:tblGrid>
        <w:gridCol w:w="1576"/>
        <w:gridCol w:w="2052"/>
        <w:gridCol w:w="5597"/>
      </w:tblGrid>
      <w:tr w:rsidR="004640EC" w:rsidRPr="00A75DF9" w:rsidTr="00136585">
        <w:trPr>
          <w:trHeight w:val="549"/>
        </w:trPr>
        <w:tc>
          <w:tcPr>
            <w:tcW w:w="1576"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A75DF9" w:rsidRDefault="004640EC" w:rsidP="00136585">
            <w:pPr>
              <w:rPr>
                <w:rFonts w:cs="Tahoma"/>
                <w:color w:val="000000"/>
                <w:szCs w:val="18"/>
              </w:rPr>
            </w:pPr>
            <w:r w:rsidRPr="00A75DF9">
              <w:rPr>
                <w:rFonts w:cs="Tahoma"/>
                <w:b/>
                <w:bCs/>
                <w:color w:val="000000"/>
                <w:szCs w:val="18"/>
              </w:rPr>
              <w:t>Livello di Gravità del Problema</w:t>
            </w:r>
          </w:p>
        </w:tc>
        <w:tc>
          <w:tcPr>
            <w:tcW w:w="2052"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A75DF9" w:rsidRDefault="004640EC" w:rsidP="00136585">
            <w:pPr>
              <w:rPr>
                <w:rFonts w:cs="Tahoma"/>
                <w:color w:val="000000"/>
                <w:szCs w:val="18"/>
              </w:rPr>
            </w:pPr>
            <w:r w:rsidRPr="00A75DF9">
              <w:rPr>
                <w:rFonts w:cs="Tahoma"/>
                <w:b/>
                <w:bCs/>
                <w:color w:val="000000"/>
                <w:szCs w:val="18"/>
              </w:rPr>
              <w:t>Tempo di Risposta Prefissato</w:t>
            </w:r>
          </w:p>
        </w:tc>
        <w:tc>
          <w:tcPr>
            <w:tcW w:w="5597"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A75DF9" w:rsidRDefault="004640EC" w:rsidP="00136585">
            <w:pPr>
              <w:rPr>
                <w:rFonts w:cs="Tahoma"/>
                <w:color w:val="000000"/>
                <w:szCs w:val="18"/>
              </w:rPr>
            </w:pPr>
            <w:r w:rsidRPr="00A75DF9">
              <w:rPr>
                <w:rFonts w:cs="Tahoma"/>
                <w:b/>
                <w:bCs/>
                <w:color w:val="000000"/>
                <w:szCs w:val="18"/>
              </w:rPr>
              <w:t>Descrizione dei Problemi del Servizio</w:t>
            </w:r>
          </w:p>
        </w:tc>
      </w:tr>
      <w:tr w:rsidR="004640EC" w:rsidRPr="00A75DF9"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A75DF9" w:rsidRDefault="004640EC" w:rsidP="00136585">
            <w:pPr>
              <w:rPr>
                <w:rFonts w:cs="Tahoma"/>
                <w:color w:val="000000"/>
                <w:szCs w:val="18"/>
              </w:rPr>
            </w:pPr>
            <w:r w:rsidRPr="00A75DF9">
              <w:rPr>
                <w:rFonts w:cs="Tahoma"/>
                <w:color w:val="000000"/>
                <w:szCs w:val="18"/>
              </w:rPr>
              <w:t>Gravità A</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A75DF9" w:rsidRDefault="004640EC" w:rsidP="00136585">
            <w:pPr>
              <w:rPr>
                <w:rFonts w:cs="Tahoma"/>
                <w:color w:val="000000"/>
                <w:szCs w:val="18"/>
              </w:rPr>
            </w:pPr>
            <w:r w:rsidRPr="00A75DF9">
              <w:rPr>
                <w:rFonts w:cs="Tahoma"/>
                <w:color w:val="000000"/>
                <w:szCs w:val="18"/>
              </w:rPr>
              <w:t>1 Ora Lavorativa</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A75DF9" w:rsidRDefault="004640EC" w:rsidP="00136585">
            <w:pPr>
              <w:rPr>
                <w:rFonts w:cs="Tahoma"/>
                <w:color w:val="000000"/>
                <w:szCs w:val="18"/>
              </w:rPr>
            </w:pPr>
            <w:r w:rsidRPr="00A75DF9">
              <w:rPr>
                <w:rFonts w:cs="Tahoma"/>
                <w:color w:val="000000"/>
                <w:szCs w:val="18"/>
              </w:rPr>
              <w:t>La società segnala un</w:t>
            </w:r>
            <w:r w:rsidR="00F2643E">
              <w:rPr>
                <w:rFonts w:cs="Tahoma"/>
                <w:color w:val="000000"/>
                <w:szCs w:val="18"/>
              </w:rPr>
              <w:t>’</w:t>
            </w:r>
            <w:r w:rsidRPr="00A75DF9">
              <w:rPr>
                <w:rFonts w:cs="Tahoma"/>
                <w:color w:val="000000"/>
                <w:szCs w:val="18"/>
              </w:rPr>
              <w:t>interruzione dei Servizi o altro problema critico per le applicazioni produttive.</w:t>
            </w:r>
          </w:p>
        </w:tc>
      </w:tr>
      <w:tr w:rsidR="004640EC" w:rsidRPr="00A75DF9"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A75DF9" w:rsidRDefault="004640EC" w:rsidP="00136585">
            <w:pPr>
              <w:rPr>
                <w:rFonts w:cs="Tahoma"/>
                <w:color w:val="000000"/>
                <w:szCs w:val="18"/>
              </w:rPr>
            </w:pPr>
            <w:r w:rsidRPr="00A75DF9">
              <w:rPr>
                <w:rFonts w:cs="Tahoma"/>
                <w:color w:val="000000"/>
                <w:szCs w:val="18"/>
              </w:rPr>
              <w:t>Gravità B</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A75DF9" w:rsidRDefault="004640EC" w:rsidP="00136585">
            <w:pPr>
              <w:rPr>
                <w:rFonts w:cs="Tahoma"/>
                <w:color w:val="000000"/>
                <w:szCs w:val="18"/>
              </w:rPr>
            </w:pPr>
            <w:r w:rsidRPr="00A75DF9">
              <w:rPr>
                <w:rFonts w:cs="Tahoma"/>
                <w:color w:val="000000"/>
                <w:szCs w:val="18"/>
              </w:rPr>
              <w:t>4 Ore Lavorative</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A75DF9" w:rsidRDefault="004640EC" w:rsidP="00136585">
            <w:pPr>
              <w:rPr>
                <w:rFonts w:cs="Tahoma"/>
                <w:color w:val="000000"/>
                <w:szCs w:val="18"/>
              </w:rPr>
            </w:pPr>
            <w:r w:rsidRPr="00A75DF9">
              <w:rPr>
                <w:rFonts w:cs="Tahoma"/>
                <w:color w:val="000000"/>
                <w:szCs w:val="18"/>
              </w:rPr>
              <w:t>La società segnala un problema più grave che provoca un effettivo malfunzionamento delle applicazioni produttive.</w:t>
            </w:r>
          </w:p>
        </w:tc>
      </w:tr>
      <w:tr w:rsidR="004640EC" w:rsidRPr="00A75DF9"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A75DF9" w:rsidRDefault="004640EC" w:rsidP="00136585">
            <w:pPr>
              <w:rPr>
                <w:rFonts w:cs="Tahoma"/>
                <w:color w:val="000000"/>
                <w:szCs w:val="18"/>
              </w:rPr>
            </w:pPr>
            <w:r w:rsidRPr="00A75DF9">
              <w:rPr>
                <w:rFonts w:cs="Tahoma"/>
                <w:color w:val="000000"/>
                <w:szCs w:val="18"/>
              </w:rPr>
              <w:t>Gravità C</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A75DF9" w:rsidRDefault="004640EC" w:rsidP="00136585">
            <w:pPr>
              <w:rPr>
                <w:rFonts w:cs="Tahoma"/>
                <w:color w:val="000000"/>
                <w:szCs w:val="18"/>
              </w:rPr>
            </w:pPr>
            <w:r w:rsidRPr="00A75DF9">
              <w:rPr>
                <w:rFonts w:cs="Tahoma"/>
                <w:color w:val="000000"/>
                <w:szCs w:val="18"/>
              </w:rPr>
              <w:t>1 Giorno Lavorativo</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A75DF9" w:rsidRDefault="004640EC" w:rsidP="00136585">
            <w:pPr>
              <w:rPr>
                <w:rFonts w:cs="Tahoma"/>
                <w:color w:val="000000"/>
                <w:szCs w:val="18"/>
              </w:rPr>
            </w:pPr>
            <w:r w:rsidRPr="00A75DF9">
              <w:rPr>
                <w:rFonts w:cs="Tahoma"/>
                <w:color w:val="000000"/>
                <w:szCs w:val="18"/>
              </w:rPr>
              <w:t>La società segnala problemi non critici, ad esempio questioni riguardanti la produzione o lo sviluppo generale.</w:t>
            </w:r>
          </w:p>
        </w:tc>
      </w:tr>
      <w:tr w:rsidR="004640EC" w:rsidRPr="00A75DF9" w:rsidTr="00136585">
        <w:trPr>
          <w:trHeight w:val="549"/>
        </w:trPr>
        <w:tc>
          <w:tcPr>
            <w:tcW w:w="157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A75DF9" w:rsidRDefault="004640EC" w:rsidP="00136585">
            <w:pPr>
              <w:rPr>
                <w:rFonts w:cs="Tahoma"/>
                <w:color w:val="000000"/>
                <w:szCs w:val="18"/>
              </w:rPr>
            </w:pPr>
            <w:r w:rsidRPr="00A75DF9">
              <w:rPr>
                <w:rFonts w:cs="Tahoma"/>
                <w:color w:val="000000"/>
                <w:szCs w:val="18"/>
              </w:rPr>
              <w:t>Gravità D</w:t>
            </w:r>
          </w:p>
        </w:tc>
        <w:tc>
          <w:tcPr>
            <w:tcW w:w="20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A75DF9" w:rsidRDefault="004640EC" w:rsidP="00136585">
            <w:pPr>
              <w:rPr>
                <w:rFonts w:cs="Tahoma"/>
                <w:color w:val="000000"/>
                <w:szCs w:val="18"/>
              </w:rPr>
            </w:pPr>
            <w:r w:rsidRPr="00A75DF9">
              <w:rPr>
                <w:rFonts w:cs="Tahoma"/>
                <w:color w:val="000000"/>
                <w:szCs w:val="18"/>
              </w:rPr>
              <w:t>3 Giorni Lavorativi</w:t>
            </w:r>
          </w:p>
        </w:tc>
        <w:tc>
          <w:tcPr>
            <w:tcW w:w="559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A75DF9" w:rsidRDefault="004640EC" w:rsidP="00A932BB">
            <w:pPr>
              <w:rPr>
                <w:rFonts w:cs="Tahoma"/>
                <w:color w:val="000000"/>
                <w:szCs w:val="18"/>
              </w:rPr>
            </w:pPr>
            <w:r w:rsidRPr="00A75DF9">
              <w:rPr>
                <w:rFonts w:cs="Tahoma"/>
                <w:color w:val="000000"/>
                <w:szCs w:val="18"/>
              </w:rPr>
              <w:t>La società fornisce commenti riguardo a problemi con le mappe, le</w:t>
            </w:r>
            <w:r w:rsidR="00A932BB">
              <w:rPr>
                <w:rFonts w:cs="Tahoma"/>
                <w:color w:val="000000"/>
                <w:szCs w:val="18"/>
              </w:rPr>
              <w:t> </w:t>
            </w:r>
            <w:r w:rsidRPr="00A75DF9">
              <w:rPr>
                <w:rFonts w:cs="Tahoma"/>
                <w:color w:val="000000"/>
                <w:szCs w:val="18"/>
              </w:rPr>
              <w:t>indicazioni stradali o il geocoding.</w:t>
            </w:r>
          </w:p>
        </w:tc>
      </w:tr>
    </w:tbl>
    <w:p w:rsidR="004640EC" w:rsidRPr="00A75DF9" w:rsidRDefault="004640EC" w:rsidP="004640EC">
      <w:pPr>
        <w:ind w:left="720"/>
        <w:rPr>
          <w:rFonts w:cs="Tahoma"/>
        </w:rPr>
      </w:pPr>
    </w:p>
    <w:p w:rsidR="004640EC" w:rsidRPr="00A75DF9" w:rsidRDefault="004640EC" w:rsidP="00A932BB">
      <w:pPr>
        <w:ind w:left="720"/>
        <w:rPr>
          <w:rFonts w:cs="Tahoma"/>
        </w:rPr>
      </w:pPr>
      <w:r w:rsidRPr="00A75DF9">
        <w:rPr>
          <w:rFonts w:cs="Tahoma"/>
          <w:b/>
          <w:bCs/>
          <w:color w:val="000000"/>
          <w:szCs w:val="18"/>
        </w:rPr>
        <w:t>Informazioni di Contatto 24x7 per il Supporto di Emergenza in caso di Interruzione di</w:t>
      </w:r>
      <w:r w:rsidR="00A932BB">
        <w:rPr>
          <w:rFonts w:cs="Tahoma"/>
          <w:b/>
          <w:bCs/>
          <w:color w:val="000000"/>
          <w:szCs w:val="18"/>
        </w:rPr>
        <w:t> </w:t>
      </w:r>
      <w:r w:rsidRPr="00A75DF9">
        <w:rPr>
          <w:rFonts w:cs="Tahoma"/>
          <w:b/>
          <w:bCs/>
          <w:color w:val="000000"/>
          <w:szCs w:val="18"/>
        </w:rPr>
        <w:t>Bing</w:t>
      </w:r>
      <w:r w:rsidR="00A932BB">
        <w:rPr>
          <w:rFonts w:cs="Tahoma"/>
          <w:b/>
          <w:bCs/>
          <w:color w:val="000000"/>
          <w:szCs w:val="18"/>
        </w:rPr>
        <w:t> </w:t>
      </w:r>
      <w:r w:rsidRPr="00A75DF9">
        <w:rPr>
          <w:rFonts w:cs="Tahoma"/>
          <w:b/>
          <w:bCs/>
          <w:color w:val="000000"/>
          <w:szCs w:val="18"/>
        </w:rPr>
        <w:t xml:space="preserve">Maps: </w:t>
      </w:r>
    </w:p>
    <w:p w:rsidR="004640EC" w:rsidRPr="00A75DF9" w:rsidRDefault="004640EC" w:rsidP="004640EC">
      <w:pPr>
        <w:ind w:left="720"/>
        <w:rPr>
          <w:rFonts w:cs="Tahoma"/>
        </w:rPr>
      </w:pPr>
    </w:p>
    <w:p w:rsidR="004640EC" w:rsidRPr="00A75DF9" w:rsidRDefault="004640EC" w:rsidP="004640EC">
      <w:pPr>
        <w:ind w:left="720"/>
        <w:rPr>
          <w:rFonts w:cs="Tahoma"/>
        </w:rPr>
      </w:pPr>
      <w:r w:rsidRPr="00A75DF9">
        <w:rPr>
          <w:rFonts w:cs="Tahoma"/>
          <w:szCs w:val="18"/>
        </w:rPr>
        <w:t>Telefono:</w:t>
      </w:r>
    </w:p>
    <w:p w:rsidR="004640EC" w:rsidRPr="00A75DF9" w:rsidRDefault="004640EC" w:rsidP="004640EC">
      <w:pPr>
        <w:ind w:left="720"/>
        <w:rPr>
          <w:rFonts w:cs="Tahoma"/>
        </w:rPr>
      </w:pPr>
      <w:r w:rsidRPr="00A75DF9">
        <w:rPr>
          <w:rFonts w:cs="Tahoma"/>
          <w:color w:val="000000"/>
          <w:szCs w:val="18"/>
        </w:rPr>
        <w:t>+1 (800) 552-8872 (se all</w:t>
      </w:r>
      <w:r w:rsidR="00F2643E">
        <w:rPr>
          <w:rFonts w:cs="Tahoma"/>
          <w:color w:val="000000"/>
          <w:szCs w:val="18"/>
        </w:rPr>
        <w:t>’</w:t>
      </w:r>
      <w:r w:rsidRPr="00A75DF9">
        <w:rPr>
          <w:rFonts w:cs="Tahoma"/>
          <w:color w:val="000000"/>
          <w:szCs w:val="18"/>
        </w:rPr>
        <w:t xml:space="preserve">interno degli Stati Uniti e del Canada) </w:t>
      </w:r>
    </w:p>
    <w:p w:rsidR="004640EC" w:rsidRPr="00A75DF9" w:rsidRDefault="004640EC" w:rsidP="004640EC">
      <w:pPr>
        <w:ind w:left="720"/>
        <w:rPr>
          <w:rFonts w:cs="Tahoma"/>
        </w:rPr>
      </w:pPr>
      <w:r w:rsidRPr="00A75DF9">
        <w:rPr>
          <w:rFonts w:cs="Tahoma"/>
          <w:color w:val="000000"/>
          <w:szCs w:val="18"/>
        </w:rPr>
        <w:t xml:space="preserve">+1 (425) 705-2737 (se al di fuori degli Stati Uniti e del Canada) </w:t>
      </w:r>
    </w:p>
    <w:p w:rsidR="004640EC" w:rsidRPr="00A75DF9" w:rsidRDefault="004640EC" w:rsidP="004640EC">
      <w:pPr>
        <w:ind w:left="720"/>
        <w:rPr>
          <w:rFonts w:cs="Tahoma"/>
        </w:rPr>
      </w:pPr>
    </w:p>
    <w:p w:rsidR="004640EC" w:rsidRPr="00A75DF9" w:rsidRDefault="004640EC" w:rsidP="00A932BB">
      <w:pPr>
        <w:ind w:left="720"/>
        <w:rPr>
          <w:rFonts w:cs="Tahoma"/>
        </w:rPr>
      </w:pPr>
      <w:r w:rsidRPr="00A75DF9">
        <w:rPr>
          <w:rFonts w:cs="Tahoma"/>
          <w:color w:val="000000"/>
          <w:szCs w:val="18"/>
        </w:rPr>
        <w:t>Comunicazione Importante: il supporto tecnico in caso di emergenza 24x7 (al di fuori dell</w:t>
      </w:r>
      <w:r w:rsidR="00F2643E">
        <w:rPr>
          <w:rFonts w:cs="Tahoma"/>
          <w:color w:val="000000"/>
          <w:szCs w:val="18"/>
        </w:rPr>
        <w:t>’</w:t>
      </w:r>
      <w:r w:rsidRPr="00A75DF9">
        <w:rPr>
          <w:rFonts w:cs="Tahoma"/>
          <w:color w:val="000000"/>
          <w:szCs w:val="18"/>
        </w:rPr>
        <w:t>orario) è disponibile solo per i problemi che rientrano nel Livello di Gravità A (interruzione dei Servizi o deterioramento dei Servizi con conseguenze sulle applicazioni produttive della Società). Il giorno lavorativo successivo Microsoft si farà carico di tutti gli altri problemi che si verificano al di fuori dell</w:t>
      </w:r>
      <w:r w:rsidR="00F2643E">
        <w:rPr>
          <w:rFonts w:cs="Tahoma"/>
          <w:color w:val="000000"/>
          <w:szCs w:val="18"/>
        </w:rPr>
        <w:t>’</w:t>
      </w:r>
      <w:r w:rsidRPr="00A75DF9">
        <w:rPr>
          <w:rFonts w:cs="Tahoma"/>
          <w:color w:val="000000"/>
          <w:szCs w:val="18"/>
        </w:rPr>
        <w:t>orario e che non rientrano nel Livello di Gravità A, sulla base del Tempo di Risposta Prefissato delineato sopra. Le richieste di</w:t>
      </w:r>
      <w:r w:rsidR="00A932BB">
        <w:rPr>
          <w:rFonts w:cs="Tahoma"/>
          <w:color w:val="000000"/>
          <w:szCs w:val="18"/>
        </w:rPr>
        <w:t> </w:t>
      </w:r>
      <w:r w:rsidRPr="00A75DF9">
        <w:rPr>
          <w:rFonts w:cs="Tahoma"/>
          <w:color w:val="000000"/>
          <w:szCs w:val="18"/>
        </w:rPr>
        <w:t>assistenza presentate tramite posta elettronica (</w:t>
      </w:r>
      <w:hyperlink r:id="rId46" w:history="1">
        <w:r w:rsidR="00A932BB" w:rsidRPr="004640EC">
          <w:rPr>
            <w:rStyle w:val="Hyperlink"/>
            <w:rFonts w:cs="Tahoma"/>
            <w:szCs w:val="18"/>
          </w:rPr>
          <w:t>bmesupp@microsoft.com</w:t>
        </w:r>
      </w:hyperlink>
      <w:r w:rsidRPr="00A75DF9">
        <w:rPr>
          <w:rFonts w:cs="Tahoma"/>
          <w:color w:val="000000"/>
          <w:szCs w:val="18"/>
        </w:rPr>
        <w:t xml:space="preserve">) o modulo Web non vengono monitorate al di fuori del normale orario di lavoro del Team di Supporto di Bing Maps. </w:t>
      </w:r>
    </w:p>
    <w:p w:rsidR="004640EC" w:rsidRPr="00A75DF9" w:rsidRDefault="004640EC" w:rsidP="004640EC">
      <w:pPr>
        <w:ind w:left="720"/>
        <w:rPr>
          <w:rFonts w:cs="Tahoma"/>
        </w:rPr>
      </w:pPr>
    </w:p>
    <w:p w:rsidR="004640EC" w:rsidRPr="00A75DF9" w:rsidRDefault="004640EC" w:rsidP="004640EC">
      <w:pPr>
        <w:ind w:left="720"/>
        <w:rPr>
          <w:rFonts w:cs="Tahoma"/>
        </w:rPr>
      </w:pPr>
      <w:r w:rsidRPr="00A75DF9">
        <w:rPr>
          <w:rFonts w:cs="Tahoma"/>
          <w:b/>
          <w:bCs/>
          <w:color w:val="000000"/>
          <w:szCs w:val="18"/>
        </w:rPr>
        <w:t>Livelli di Gravità al di fuori dell</w:t>
      </w:r>
      <w:r w:rsidR="00F2643E">
        <w:rPr>
          <w:rFonts w:cs="Tahoma"/>
          <w:b/>
          <w:bCs/>
          <w:color w:val="000000"/>
          <w:szCs w:val="18"/>
        </w:rPr>
        <w:t>’</w:t>
      </w:r>
      <w:r w:rsidRPr="00A75DF9">
        <w:rPr>
          <w:rFonts w:cs="Tahoma"/>
          <w:b/>
          <w:bCs/>
          <w:color w:val="000000"/>
          <w:szCs w:val="18"/>
        </w:rPr>
        <w:t>Orario di Emergenza e Tempi di Risposta Prefissati:</w:t>
      </w:r>
    </w:p>
    <w:p w:rsidR="004640EC" w:rsidRPr="00A75DF9" w:rsidRDefault="004640EC" w:rsidP="004640EC">
      <w:pPr>
        <w:ind w:left="720"/>
        <w:rPr>
          <w:rFonts w:cs="Tahoma"/>
        </w:rPr>
      </w:pPr>
    </w:p>
    <w:tbl>
      <w:tblPr>
        <w:tblW w:w="9225" w:type="dxa"/>
        <w:tblInd w:w="738" w:type="dxa"/>
        <w:tblCellMar>
          <w:left w:w="0" w:type="dxa"/>
          <w:right w:w="0" w:type="dxa"/>
        </w:tblCellMar>
        <w:tblLook w:val="04A0" w:firstRow="1" w:lastRow="0" w:firstColumn="1" w:lastColumn="0" w:noHBand="0" w:noVBand="1"/>
      </w:tblPr>
      <w:tblGrid>
        <w:gridCol w:w="1577"/>
        <w:gridCol w:w="2053"/>
        <w:gridCol w:w="5595"/>
      </w:tblGrid>
      <w:tr w:rsidR="004640EC" w:rsidRPr="00A75DF9" w:rsidTr="00136585">
        <w:trPr>
          <w:trHeight w:val="549"/>
        </w:trPr>
        <w:tc>
          <w:tcPr>
            <w:tcW w:w="1577" w:type="dxa"/>
            <w:tcBorders>
              <w:top w:val="single" w:sz="8" w:space="0" w:color="auto"/>
              <w:left w:val="single" w:sz="8" w:space="0" w:color="auto"/>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A75DF9" w:rsidRDefault="004640EC" w:rsidP="00136585">
            <w:pPr>
              <w:rPr>
                <w:rFonts w:cs="Tahoma"/>
                <w:color w:val="000000"/>
                <w:szCs w:val="18"/>
              </w:rPr>
            </w:pPr>
            <w:r w:rsidRPr="00A75DF9">
              <w:rPr>
                <w:rFonts w:cs="Tahoma"/>
                <w:b/>
                <w:bCs/>
                <w:color w:val="000000"/>
                <w:szCs w:val="18"/>
              </w:rPr>
              <w:t>Livello di Gravità del Problema</w:t>
            </w:r>
          </w:p>
        </w:tc>
        <w:tc>
          <w:tcPr>
            <w:tcW w:w="2053"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A75DF9" w:rsidRDefault="004640EC" w:rsidP="00136585">
            <w:pPr>
              <w:rPr>
                <w:rFonts w:cs="Tahoma"/>
                <w:color w:val="000000"/>
                <w:szCs w:val="18"/>
              </w:rPr>
            </w:pPr>
            <w:r w:rsidRPr="00A75DF9">
              <w:rPr>
                <w:rFonts w:cs="Tahoma"/>
                <w:b/>
                <w:bCs/>
                <w:color w:val="000000"/>
                <w:szCs w:val="18"/>
              </w:rPr>
              <w:t>Tempo di Risposta Prefissato</w:t>
            </w:r>
          </w:p>
        </w:tc>
        <w:tc>
          <w:tcPr>
            <w:tcW w:w="5595" w:type="dxa"/>
            <w:tcBorders>
              <w:top w:val="single" w:sz="8" w:space="0" w:color="auto"/>
              <w:left w:val="nil"/>
              <w:bottom w:val="single" w:sz="8" w:space="0" w:color="auto"/>
              <w:right w:val="single" w:sz="8" w:space="0" w:color="auto"/>
            </w:tcBorders>
            <w:shd w:val="clear" w:color="auto" w:fill="E0E0E0"/>
            <w:tcMar>
              <w:top w:w="0" w:type="dxa"/>
              <w:left w:w="108" w:type="dxa"/>
              <w:bottom w:w="0" w:type="dxa"/>
              <w:right w:w="108" w:type="dxa"/>
            </w:tcMar>
            <w:vAlign w:val="center"/>
            <w:hideMark/>
          </w:tcPr>
          <w:p w:rsidR="004640EC" w:rsidRPr="00A75DF9" w:rsidRDefault="004640EC" w:rsidP="00136585">
            <w:pPr>
              <w:rPr>
                <w:rFonts w:cs="Tahoma"/>
                <w:color w:val="000000"/>
                <w:szCs w:val="18"/>
              </w:rPr>
            </w:pPr>
            <w:r w:rsidRPr="00A75DF9">
              <w:rPr>
                <w:rFonts w:cs="Tahoma"/>
                <w:b/>
                <w:bCs/>
                <w:color w:val="000000"/>
                <w:szCs w:val="18"/>
              </w:rPr>
              <w:t>Descrizione dei Problemi del Servizio</w:t>
            </w:r>
          </w:p>
        </w:tc>
      </w:tr>
      <w:tr w:rsidR="004640EC" w:rsidRPr="00A75DF9" w:rsidTr="00136585">
        <w:trPr>
          <w:trHeight w:val="549"/>
        </w:trPr>
        <w:tc>
          <w:tcPr>
            <w:tcW w:w="157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4640EC" w:rsidRPr="00A75DF9" w:rsidRDefault="004640EC" w:rsidP="00136585">
            <w:pPr>
              <w:rPr>
                <w:rFonts w:cs="Tahoma"/>
                <w:color w:val="000000"/>
                <w:szCs w:val="18"/>
              </w:rPr>
            </w:pPr>
            <w:r w:rsidRPr="00A75DF9">
              <w:rPr>
                <w:rFonts w:cs="Tahoma"/>
                <w:color w:val="000000"/>
                <w:szCs w:val="18"/>
              </w:rPr>
              <w:t>Gravità A</w:t>
            </w:r>
          </w:p>
        </w:tc>
        <w:tc>
          <w:tcPr>
            <w:tcW w:w="205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A75DF9" w:rsidRDefault="004640EC" w:rsidP="00136585">
            <w:pPr>
              <w:rPr>
                <w:rFonts w:cs="Tahoma"/>
                <w:color w:val="000000"/>
                <w:szCs w:val="18"/>
              </w:rPr>
            </w:pPr>
            <w:r w:rsidRPr="00A75DF9">
              <w:rPr>
                <w:rFonts w:cs="Tahoma"/>
                <w:color w:val="000000"/>
                <w:szCs w:val="18"/>
              </w:rPr>
              <w:t>1 Ora Lavorativa</w:t>
            </w:r>
          </w:p>
        </w:tc>
        <w:tc>
          <w:tcPr>
            <w:tcW w:w="55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4640EC" w:rsidRPr="00A75DF9" w:rsidRDefault="004640EC" w:rsidP="00136585">
            <w:pPr>
              <w:rPr>
                <w:rFonts w:cs="Tahoma"/>
                <w:color w:val="000000"/>
                <w:szCs w:val="18"/>
              </w:rPr>
            </w:pPr>
            <w:r w:rsidRPr="00A75DF9">
              <w:rPr>
                <w:rFonts w:cs="Tahoma"/>
                <w:color w:val="000000"/>
                <w:szCs w:val="18"/>
              </w:rPr>
              <w:t>La società segnala un</w:t>
            </w:r>
            <w:r w:rsidR="00F2643E">
              <w:rPr>
                <w:rFonts w:cs="Tahoma"/>
                <w:color w:val="000000"/>
                <w:szCs w:val="18"/>
              </w:rPr>
              <w:t>’</w:t>
            </w:r>
            <w:r w:rsidRPr="00A75DF9">
              <w:rPr>
                <w:rFonts w:cs="Tahoma"/>
                <w:color w:val="000000"/>
                <w:szCs w:val="18"/>
              </w:rPr>
              <w:t>interruzione dei Servizi o altro problema critico per le applicazioni produttive.</w:t>
            </w:r>
          </w:p>
        </w:tc>
      </w:tr>
    </w:tbl>
    <w:p w:rsidR="004640EC" w:rsidRDefault="004640EC" w:rsidP="004640EC">
      <w:pPr>
        <w:ind w:left="720"/>
        <w:rPr>
          <w:rFonts w:cs="Tahoma"/>
        </w:rPr>
      </w:pPr>
    </w:p>
    <w:p w:rsidR="00A932BB" w:rsidRDefault="00A932BB" w:rsidP="004640EC">
      <w:pPr>
        <w:ind w:left="720"/>
        <w:rPr>
          <w:rFonts w:cs="Tahoma"/>
        </w:rPr>
      </w:pPr>
    </w:p>
    <w:p w:rsidR="00A932BB" w:rsidRDefault="00A932BB" w:rsidP="004640EC">
      <w:pPr>
        <w:ind w:left="720"/>
        <w:rPr>
          <w:rFonts w:cs="Tahoma"/>
        </w:rPr>
      </w:pPr>
    </w:p>
    <w:p w:rsidR="00A932BB" w:rsidRDefault="00A932BB" w:rsidP="004640EC">
      <w:pPr>
        <w:ind w:left="720"/>
        <w:rPr>
          <w:rFonts w:cs="Tahoma"/>
        </w:rPr>
      </w:pPr>
    </w:p>
    <w:bookmarkEnd w:id="1139"/>
    <w:p w:rsidR="00AD481C" w:rsidRPr="00A75DF9" w:rsidRDefault="00AD481C" w:rsidP="00AD481C">
      <w:pPr>
        <w:ind w:left="720"/>
        <w:rPr>
          <w:rFonts w:cs="Tahoma"/>
        </w:rPr>
      </w:pPr>
      <w:r w:rsidRPr="00A75DF9">
        <w:rPr>
          <w:rFonts w:cs="Tahoma"/>
          <w:b/>
          <w:bCs/>
          <w:color w:val="000000"/>
          <w:szCs w:val="18"/>
        </w:rPr>
        <w:lastRenderedPageBreak/>
        <w:t>Modalità di accesso al Servizio Bing Maps:</w:t>
      </w:r>
    </w:p>
    <w:p w:rsidR="00AD481C" w:rsidRPr="00A75DF9" w:rsidRDefault="00AD481C" w:rsidP="00AD481C">
      <w:pPr>
        <w:ind w:left="720"/>
        <w:rPr>
          <w:rFonts w:cs="Tahoma"/>
        </w:rPr>
      </w:pPr>
    </w:p>
    <w:p w:rsidR="00B17BCD" w:rsidRPr="00A75DF9" w:rsidRDefault="00B17BCD" w:rsidP="00A932BB">
      <w:pPr>
        <w:ind w:left="720"/>
        <w:rPr>
          <w:rFonts w:cs="Tahoma"/>
        </w:rPr>
      </w:pPr>
      <w:r w:rsidRPr="00A75DF9">
        <w:rPr>
          <w:rFonts w:cs="Tahoma"/>
          <w:color w:val="000000"/>
          <w:szCs w:val="18"/>
        </w:rPr>
        <w:t>Il licenziatario può effettuare il provisioning degli ID Account Bing Maps previsti dal Contratto Multilicenza tramite l</w:t>
      </w:r>
      <w:r w:rsidR="00F2643E">
        <w:rPr>
          <w:rFonts w:cs="Tahoma"/>
          <w:color w:val="000000"/>
          <w:szCs w:val="18"/>
        </w:rPr>
        <w:t>’</w:t>
      </w:r>
      <w:r w:rsidRPr="00A75DF9">
        <w:rPr>
          <w:rFonts w:cs="Tahoma"/>
          <w:color w:val="000000"/>
          <w:szCs w:val="18"/>
        </w:rPr>
        <w:t>apposito modulo per l</w:t>
      </w:r>
      <w:r w:rsidR="00F2643E">
        <w:rPr>
          <w:rFonts w:cs="Tahoma"/>
          <w:color w:val="000000"/>
          <w:szCs w:val="18"/>
        </w:rPr>
        <w:t>’</w:t>
      </w:r>
      <w:r w:rsidRPr="00A75DF9">
        <w:rPr>
          <w:rFonts w:cs="Tahoma"/>
          <w:color w:val="000000"/>
          <w:szCs w:val="18"/>
        </w:rPr>
        <w:t>accesso alla produzione disponibile presso il Bing Maps Account Center (</w:t>
      </w:r>
      <w:hyperlink r:id="rId47" w:history="1">
        <w:r w:rsidR="00A932BB" w:rsidRPr="009D42D5">
          <w:rPr>
            <w:rFonts w:cs="Tahoma"/>
            <w:color w:val="000000"/>
            <w:szCs w:val="18"/>
          </w:rPr>
          <w:t>https://www.bingmapsportal.com/</w:t>
        </w:r>
      </w:hyperlink>
      <w:r w:rsidRPr="00A75DF9">
        <w:rPr>
          <w:rFonts w:cs="Tahoma"/>
          <w:color w:val="000000"/>
          <w:szCs w:val="18"/>
        </w:rPr>
        <w:t>).</w:t>
      </w:r>
      <w:r w:rsidR="009D3B41" w:rsidRPr="00A75DF9">
        <w:rPr>
          <w:rFonts w:cs="Tahoma"/>
          <w:color w:val="000000"/>
          <w:szCs w:val="18"/>
        </w:rPr>
        <w:t xml:space="preserve"> </w:t>
      </w:r>
      <w:r w:rsidRPr="00A75DF9">
        <w:rPr>
          <w:rFonts w:cs="Tahoma"/>
          <w:color w:val="000000"/>
          <w:szCs w:val="18"/>
        </w:rPr>
        <w:t>L</w:t>
      </w:r>
      <w:r w:rsidR="00F2643E">
        <w:rPr>
          <w:rFonts w:cs="Tahoma"/>
          <w:color w:val="000000"/>
          <w:szCs w:val="18"/>
        </w:rPr>
        <w:t>’</w:t>
      </w:r>
      <w:r w:rsidRPr="00A75DF9">
        <w:rPr>
          <w:rFonts w:cs="Tahoma"/>
          <w:color w:val="000000"/>
          <w:szCs w:val="18"/>
        </w:rPr>
        <w:t>accesso alla produzione per gli ID Account Bing Maps verrà concesso dopo che il licenziatario avrà fornito il numero del Contratto Multilicenza/dell</w:t>
      </w:r>
      <w:r w:rsidR="00F2643E">
        <w:rPr>
          <w:rFonts w:cs="Tahoma"/>
          <w:color w:val="000000"/>
          <w:szCs w:val="18"/>
        </w:rPr>
        <w:t>’</w:t>
      </w:r>
      <w:r w:rsidRPr="00A75DF9">
        <w:rPr>
          <w:rFonts w:cs="Tahoma"/>
          <w:color w:val="000000"/>
          <w:szCs w:val="18"/>
        </w:rPr>
        <w:t>Iscrizione e selezionato la famiglia di prodotti associata all</w:t>
      </w:r>
      <w:r w:rsidR="00F2643E">
        <w:rPr>
          <w:rFonts w:cs="Tahoma"/>
          <w:color w:val="000000"/>
          <w:szCs w:val="18"/>
        </w:rPr>
        <w:t>’</w:t>
      </w:r>
      <w:r w:rsidRPr="00A75DF9">
        <w:rPr>
          <w:rFonts w:cs="Tahoma"/>
          <w:color w:val="000000"/>
          <w:szCs w:val="18"/>
        </w:rPr>
        <w:t>acquisto.</w:t>
      </w:r>
    </w:p>
    <w:p w:rsidR="00B17BCD" w:rsidRPr="00A932BB" w:rsidRDefault="00B17BCD" w:rsidP="00B17BCD">
      <w:pPr>
        <w:pStyle w:val="EndnoteText"/>
        <w:ind w:left="0"/>
        <w:rPr>
          <w:rFonts w:ascii="Tahoma" w:hAnsi="Tahoma" w:cs="Tahoma"/>
          <w:sz w:val="18"/>
          <w:szCs w:val="18"/>
        </w:rPr>
      </w:pPr>
    </w:p>
    <w:p w:rsidR="00B17BCD" w:rsidRPr="00A932BB" w:rsidRDefault="00B17BCD" w:rsidP="00B17BCD">
      <w:pPr>
        <w:pStyle w:val="NormalWeb"/>
        <w:spacing w:before="0" w:beforeAutospacing="0" w:after="0" w:afterAutospacing="0"/>
        <w:ind w:left="720"/>
        <w:rPr>
          <w:rFonts w:ascii="Tahoma" w:hAnsi="Tahoma" w:cs="Tahoma"/>
          <w:sz w:val="18"/>
          <w:szCs w:val="18"/>
        </w:rPr>
      </w:pPr>
      <w:r w:rsidRPr="00A932BB">
        <w:rPr>
          <w:rFonts w:ascii="Tahoma" w:hAnsi="Tahoma" w:cs="Tahoma"/>
          <w:sz w:val="18"/>
          <w:szCs w:val="18"/>
        </w:rPr>
        <w:t>Per ciascuna offerta acquistata tramite una famiglia di prodotti differente è necessario almeno un ID Account Bing Maps. Le diverse famiglie di prodotti sono Bing Maps Public Website, Bing Maps Internal Website, Bing Maps Known User, Bing Maps Light Known User e Bing Maps Mobile Asset Management.</w:t>
      </w:r>
    </w:p>
    <w:p w:rsidR="00B17BCD" w:rsidRPr="00A932BB" w:rsidRDefault="00B17BCD" w:rsidP="00B17BCD">
      <w:pPr>
        <w:pStyle w:val="NormalWeb"/>
        <w:spacing w:before="0" w:beforeAutospacing="0" w:after="0" w:afterAutospacing="0"/>
        <w:ind w:left="720"/>
        <w:rPr>
          <w:rFonts w:ascii="Tahoma" w:hAnsi="Tahoma" w:cs="Tahoma"/>
          <w:sz w:val="18"/>
          <w:szCs w:val="18"/>
        </w:rPr>
      </w:pPr>
    </w:p>
    <w:p w:rsidR="00B17BCD" w:rsidRPr="00A75DF9" w:rsidRDefault="00B17BCD" w:rsidP="00B17BCD">
      <w:pPr>
        <w:spacing w:after="60"/>
        <w:ind w:left="720"/>
        <w:rPr>
          <w:rFonts w:cs="Tahoma"/>
        </w:rPr>
      </w:pPr>
      <w:r w:rsidRPr="00A75DF9">
        <w:rPr>
          <w:rFonts w:cs="Tahoma"/>
        </w:rPr>
        <w:t xml:space="preserve">Condizioni speciali si applicano alla famiglia di prodotti Mobile Asset Management. Quando viene acquistato un prodotto di questa famiglia, il licenziatario richiederà un ID Account Bing Maps specifico per ciascuna combinazione di regione (ad esempio Europa o Nord America) e opzione di routing (con routing o senza routing). Ad esempio: una società che ordina </w:t>
      </w:r>
      <w:r w:rsidRPr="00A75DF9">
        <w:rPr>
          <w:rFonts w:eastAsia="Calibri" w:cs="Tahoma"/>
          <w:color w:val="000000"/>
          <w:szCs w:val="18"/>
        </w:rPr>
        <w:t>Bing Maps Mobile Asset Management per il Nord America senza Routing, Bing Maps Mobile Asset Management per l</w:t>
      </w:r>
      <w:r w:rsidR="00F2643E">
        <w:rPr>
          <w:rFonts w:eastAsia="Calibri" w:cs="Tahoma"/>
          <w:color w:val="000000"/>
          <w:szCs w:val="18"/>
        </w:rPr>
        <w:t>’</w:t>
      </w:r>
      <w:r w:rsidRPr="00A75DF9">
        <w:rPr>
          <w:rFonts w:eastAsia="Calibri" w:cs="Tahoma"/>
          <w:color w:val="000000"/>
          <w:szCs w:val="18"/>
        </w:rPr>
        <w:t>Europa senza Routing e Bing Maps Mobile Asset Management per l</w:t>
      </w:r>
      <w:r w:rsidR="00F2643E">
        <w:rPr>
          <w:rFonts w:eastAsia="Calibri" w:cs="Tahoma"/>
          <w:color w:val="000000"/>
          <w:szCs w:val="18"/>
        </w:rPr>
        <w:t>’</w:t>
      </w:r>
      <w:r w:rsidRPr="00A75DF9">
        <w:rPr>
          <w:rFonts w:eastAsia="Calibri" w:cs="Tahoma"/>
          <w:color w:val="000000"/>
          <w:szCs w:val="18"/>
        </w:rPr>
        <w:t xml:space="preserve">Europa con Routing richiederanno almeno tre ID Account Bing Maps a causa delle diverse scelte geografiche e di routing. </w:t>
      </w:r>
    </w:p>
    <w:p w:rsidR="00AD481C" w:rsidRPr="00A75DF9" w:rsidRDefault="00AD481C" w:rsidP="00AC57DC">
      <w:pPr>
        <w:rPr>
          <w:rFonts w:cs="Tahoma"/>
        </w:rPr>
      </w:pPr>
    </w:p>
    <w:p w:rsidR="00E03856" w:rsidRPr="00A932BB" w:rsidRDefault="00E03856" w:rsidP="00AC57DC">
      <w:pPr>
        <w:pStyle w:val="EndnoteText"/>
        <w:ind w:left="0"/>
        <w:rPr>
          <w:rFonts w:ascii="Tahoma" w:hAnsi="Tahoma" w:cs="Tahoma"/>
          <w:sz w:val="18"/>
          <w:szCs w:val="18"/>
        </w:rPr>
      </w:pPr>
    </w:p>
    <w:p w:rsidR="008233B3" w:rsidRPr="00A75DF9" w:rsidRDefault="00A560B6" w:rsidP="008233B3">
      <w:pPr>
        <w:pStyle w:val="Heading3"/>
        <w:rPr>
          <w:rFonts w:ascii="Tahoma" w:hAnsi="Tahoma" w:cs="Tahoma"/>
        </w:rPr>
      </w:pPr>
      <w:bookmarkStart w:id="1142" w:name="_29_BizTalk®_Server"/>
      <w:bookmarkStart w:id="1143" w:name="_32_BizTalk_Server®"/>
      <w:bookmarkStart w:id="1144" w:name="_35_BizTalk_Server®"/>
      <w:bookmarkStart w:id="1145" w:name="_Toc368310286"/>
      <w:bookmarkEnd w:id="1142"/>
      <w:bookmarkEnd w:id="1143"/>
      <w:bookmarkEnd w:id="1144"/>
      <w:r w:rsidRPr="00A75DF9">
        <w:rPr>
          <w:rFonts w:ascii="Tahoma" w:hAnsi="Tahoma" w:cs="Tahoma"/>
          <w:caps/>
          <w:color w:val="F66400"/>
          <w:sz w:val="22"/>
          <w:vertAlign w:val="superscript"/>
        </w:rPr>
        <w:t xml:space="preserve">36 </w:t>
      </w:r>
      <w:r w:rsidRPr="00A75DF9">
        <w:rPr>
          <w:rFonts w:ascii="Tahoma" w:hAnsi="Tahoma" w:cs="Tahoma"/>
          <w:color w:val="F66400"/>
          <w:sz w:val="22"/>
        </w:rPr>
        <w:t>BizTalk Server</w:t>
      </w:r>
      <w:r w:rsidR="009D5D7B" w:rsidRPr="00A75DF9">
        <w:rPr>
          <w:rFonts w:ascii="Tahoma" w:hAnsi="Tahoma" w:cs="Tahoma"/>
          <w:color w:val="F66400"/>
          <w:sz w:val="22"/>
          <w:vertAlign w:val="superscript"/>
        </w:rPr>
        <w:t>®</w:t>
      </w:r>
      <w:r w:rsidRPr="00A75DF9">
        <w:rPr>
          <w:rFonts w:ascii="Tahoma" w:hAnsi="Tahoma" w:cs="Tahoma"/>
          <w:color w:val="F66400"/>
          <w:sz w:val="22"/>
        </w:rPr>
        <w:t xml:space="preserve"> 2013 Branch</w:t>
      </w:r>
      <w:bookmarkEnd w:id="1145"/>
    </w:p>
    <w:p w:rsidR="008233B3" w:rsidRPr="00A75DF9" w:rsidRDefault="008233B3" w:rsidP="008233B3">
      <w:pPr>
        <w:rPr>
          <w:rFonts w:cs="Tahoma"/>
        </w:rPr>
      </w:pPr>
    </w:p>
    <w:p w:rsidR="008233B3" w:rsidRPr="00A75DF9" w:rsidRDefault="008233B3" w:rsidP="008233B3">
      <w:pPr>
        <w:spacing w:after="60"/>
        <w:ind w:left="720"/>
        <w:rPr>
          <w:rFonts w:cs="Tahoma"/>
        </w:rPr>
      </w:pPr>
      <w:r w:rsidRPr="00A75DF9">
        <w:rPr>
          <w:rFonts w:eastAsia="Calibri" w:cs="Tahoma"/>
          <w:b/>
          <w:color w:val="000000"/>
          <w:szCs w:val="18"/>
        </w:rPr>
        <w:t>Concessioni di Licenza Associate alla Variazione del Modello di Licenza</w:t>
      </w:r>
    </w:p>
    <w:p w:rsidR="008233B3" w:rsidRPr="00A75DF9" w:rsidRDefault="008233B3" w:rsidP="008233B3">
      <w:pPr>
        <w:ind w:left="720"/>
        <w:rPr>
          <w:rFonts w:cs="Tahoma"/>
        </w:rPr>
      </w:pPr>
      <w:r w:rsidRPr="00A75DF9">
        <w:rPr>
          <w:rFonts w:eastAsia="Calibri" w:cs="Tahoma"/>
          <w:color w:val="000000"/>
          <w:szCs w:val="18"/>
        </w:rPr>
        <w:t>BizTalk Server 2010 sarà l</w:t>
      </w:r>
      <w:r w:rsidR="00F2643E">
        <w:rPr>
          <w:rFonts w:eastAsia="Calibri" w:cs="Tahoma"/>
          <w:color w:val="000000"/>
          <w:szCs w:val="18"/>
        </w:rPr>
        <w:t>’</w:t>
      </w:r>
      <w:r w:rsidRPr="00A75DF9">
        <w:rPr>
          <w:rFonts w:eastAsia="Calibri" w:cs="Tahoma"/>
          <w:color w:val="000000"/>
          <w:szCs w:val="18"/>
        </w:rPr>
        <w:t>ultima versione di BizTalk Server concessa in licenza ai sensi del modello di licenza per processore.</w:t>
      </w:r>
      <w:r w:rsidR="009D3B41" w:rsidRPr="00A75DF9">
        <w:rPr>
          <w:rFonts w:eastAsia="Calibri" w:cs="Tahoma"/>
          <w:color w:val="000000"/>
          <w:szCs w:val="18"/>
        </w:rPr>
        <w:t xml:space="preserve"> </w:t>
      </w:r>
      <w:r w:rsidRPr="00A75DF9">
        <w:rPr>
          <w:rFonts w:eastAsia="Calibri" w:cs="Tahoma"/>
          <w:color w:val="000000"/>
          <w:szCs w:val="18"/>
        </w:rPr>
        <w:t xml:space="preserve">In via eccezionale, alle società con Contratti Multilicenza e copertura Software Assurance attiva per le licenze per processore per BizTalk Server 2010 Branch alla data di pubblicazione della presente Lista dei Prodotti (“licenze qualificanti”) vengono offerte le opzioni che seguono. </w:t>
      </w:r>
    </w:p>
    <w:p w:rsidR="008233B3" w:rsidRPr="00A75DF9" w:rsidRDefault="008233B3" w:rsidP="008233B3">
      <w:pPr>
        <w:ind w:left="720"/>
        <w:rPr>
          <w:rFonts w:cs="Tahoma"/>
        </w:rPr>
      </w:pPr>
    </w:p>
    <w:p w:rsidR="008233B3" w:rsidRPr="00A75DF9" w:rsidRDefault="008233B3" w:rsidP="008233B3">
      <w:pPr>
        <w:spacing w:after="60"/>
        <w:ind w:left="720"/>
        <w:rPr>
          <w:rFonts w:cs="Tahoma"/>
        </w:rPr>
      </w:pPr>
      <w:r w:rsidRPr="00A75DF9">
        <w:rPr>
          <w:rFonts w:eastAsia="Calibri" w:cs="Tahoma"/>
          <w:b/>
          <w:color w:val="000000"/>
          <w:szCs w:val="18"/>
        </w:rPr>
        <w:t>Periodo di Validità Corrente</w:t>
      </w:r>
    </w:p>
    <w:p w:rsidR="008233B3" w:rsidRPr="00A75DF9" w:rsidRDefault="008233B3" w:rsidP="008233B3">
      <w:pPr>
        <w:ind w:left="720"/>
        <w:rPr>
          <w:rFonts w:cs="Tahoma"/>
        </w:rPr>
      </w:pPr>
      <w:r w:rsidRPr="00A75DF9">
        <w:rPr>
          <w:rFonts w:eastAsia="Calibri" w:cs="Tahoma"/>
          <w:color w:val="000000"/>
          <w:szCs w:val="18"/>
        </w:rPr>
        <w:t>Durante il periodo di validità corrente della copertura Software Assurance le società (incluse le società titolari di contratti “subscription”) potranno, ai sensi di una licenza qualificante, effettuare l</w:t>
      </w:r>
      <w:r w:rsidR="00F2643E">
        <w:rPr>
          <w:rFonts w:eastAsia="Calibri" w:cs="Tahoma"/>
          <w:color w:val="000000"/>
          <w:szCs w:val="18"/>
        </w:rPr>
        <w:t>’</w:t>
      </w:r>
      <w:r w:rsidRPr="00A75DF9">
        <w:rPr>
          <w:rFonts w:eastAsia="Calibri" w:cs="Tahoma"/>
          <w:color w:val="000000"/>
          <w:szCs w:val="18"/>
        </w:rPr>
        <w:t>aggiornamento all</w:t>
      </w:r>
      <w:r w:rsidR="00F2643E">
        <w:rPr>
          <w:rFonts w:eastAsia="Calibri" w:cs="Tahoma"/>
          <w:color w:val="000000"/>
          <w:szCs w:val="18"/>
        </w:rPr>
        <w:t>’</w:t>
      </w:r>
      <w:r w:rsidRPr="00A75DF9">
        <w:rPr>
          <w:rFonts w:eastAsia="Calibri" w:cs="Tahoma"/>
          <w:color w:val="000000"/>
          <w:szCs w:val="18"/>
        </w:rPr>
        <w:t xml:space="preserve">ultima versione del software BizTalk Server Branch e utilizzarlo al posto di BizTalk Server 2010 Branch in conformità ai diritti di utilizzo del prodotto previsti dalla licenza per processore BizTalk Server 2010 Branch (come indicato nei Diritti di Utilizzo del Prodotto del mese di gennaio 2013). </w:t>
      </w:r>
    </w:p>
    <w:p w:rsidR="00D57009" w:rsidRPr="00A75DF9" w:rsidRDefault="00D57009">
      <w:pPr>
        <w:rPr>
          <w:rFonts w:cs="Tahoma"/>
        </w:rPr>
      </w:pPr>
    </w:p>
    <w:p w:rsidR="008233B3" w:rsidRPr="00A75DF9" w:rsidRDefault="008233B3" w:rsidP="008233B3">
      <w:pPr>
        <w:spacing w:after="60"/>
        <w:ind w:left="720"/>
        <w:rPr>
          <w:rFonts w:cs="Tahoma"/>
        </w:rPr>
      </w:pPr>
      <w:r w:rsidRPr="00A75DF9">
        <w:rPr>
          <w:rFonts w:eastAsia="Calibri" w:cs="Tahoma"/>
          <w:b/>
          <w:color w:val="000000"/>
          <w:szCs w:val="18"/>
        </w:rPr>
        <w:t>Primo Periodo di Rinnovo</w:t>
      </w:r>
    </w:p>
    <w:p w:rsidR="008233B3" w:rsidRPr="00A75DF9" w:rsidRDefault="008233B3" w:rsidP="008233B3">
      <w:pPr>
        <w:tabs>
          <w:tab w:val="left" w:pos="1800"/>
        </w:tabs>
        <w:spacing w:after="60"/>
        <w:ind w:left="720"/>
        <w:rPr>
          <w:rFonts w:cs="Tahoma"/>
        </w:rPr>
      </w:pPr>
      <w:r w:rsidRPr="00A75DF9">
        <w:rPr>
          <w:rFonts w:eastAsia="Calibri" w:cs="Tahoma"/>
          <w:color w:val="000000"/>
          <w:szCs w:val="18"/>
        </w:rPr>
        <w:t xml:space="preserve">In occasione del primo rinnovo di Software Assurance in data 1 aprile 2013 o successiva, per ogni server che una società ha ricevuto validamente in licenza in conformità ai diritti di utilizzo del prodotto previsti dalla licenza per processore BizTalk Server 2010, la società potrà acquistare la copertura Software Assurance per le licenze core per BizTalk Server Branch senza dovere acquistare le licenze core sottostanti per un numero di licenze core pari al numero di licenze per processore qualificanti cedute al server moltiplicato per il maggiore tra: </w:t>
      </w:r>
    </w:p>
    <w:p w:rsidR="008233B3" w:rsidRPr="00A75DF9" w:rsidRDefault="008233B3" w:rsidP="00346F4B">
      <w:pPr>
        <w:numPr>
          <w:ilvl w:val="3"/>
          <w:numId w:val="93"/>
        </w:numPr>
        <w:tabs>
          <w:tab w:val="left" w:pos="2160"/>
        </w:tabs>
        <w:spacing w:after="60"/>
        <w:ind w:left="2160"/>
        <w:rPr>
          <w:rFonts w:cs="Tahoma"/>
        </w:rPr>
      </w:pPr>
      <w:r w:rsidRPr="00A75DF9">
        <w:rPr>
          <w:rFonts w:eastAsia="Calibri" w:cs="Tahoma"/>
          <w:color w:val="000000"/>
          <w:szCs w:val="18"/>
        </w:rPr>
        <w:t>quattro O</w:t>
      </w:r>
    </w:p>
    <w:p w:rsidR="008233B3" w:rsidRPr="00A75DF9" w:rsidRDefault="008233B3" w:rsidP="00346F4B">
      <w:pPr>
        <w:numPr>
          <w:ilvl w:val="3"/>
          <w:numId w:val="93"/>
        </w:numPr>
        <w:tabs>
          <w:tab w:val="left" w:pos="2160"/>
        </w:tabs>
        <w:spacing w:after="60"/>
        <w:ind w:left="2160"/>
        <w:rPr>
          <w:rFonts w:cs="Tahoma"/>
        </w:rPr>
      </w:pPr>
      <w:r w:rsidRPr="00A75DF9">
        <w:rPr>
          <w:rFonts w:eastAsia="Calibri" w:cs="Tahoma"/>
          <w:color w:val="000000"/>
          <w:szCs w:val="18"/>
        </w:rPr>
        <w:t>il numero effettivo di core per processore fisico moltiplicato per il fattore core appropriato.</w:t>
      </w:r>
      <w:r w:rsidR="009D3B41" w:rsidRPr="00A75DF9">
        <w:rPr>
          <w:rFonts w:eastAsia="Calibri" w:cs="Tahoma"/>
          <w:color w:val="000000"/>
          <w:szCs w:val="18"/>
        </w:rPr>
        <w:t xml:space="preserve"> </w:t>
      </w:r>
      <w:r w:rsidRPr="00A75DF9">
        <w:rPr>
          <w:rFonts w:eastAsia="Calibri" w:cs="Tahoma"/>
          <w:color w:val="000000"/>
          <w:szCs w:val="18"/>
        </w:rPr>
        <w:t>(Nei casi in cui il numero effettivo di core per processore fisico superi quattro, le società dovranno conservare un record della configurazione del software BizTalk Server in esecuzione sul server (istanze con licenza in esecuzione negli ambienti del sistema operativo sul server con licenza) e l</w:t>
      </w:r>
      <w:r w:rsidR="00F2643E">
        <w:rPr>
          <w:rFonts w:eastAsia="Calibri" w:cs="Tahoma"/>
          <w:color w:val="000000"/>
          <w:szCs w:val="18"/>
        </w:rPr>
        <w:t>’</w:t>
      </w:r>
      <w:r w:rsidRPr="00A75DF9">
        <w:rPr>
          <w:rFonts w:eastAsia="Calibri" w:cs="Tahoma"/>
          <w:color w:val="000000"/>
          <w:szCs w:val="18"/>
        </w:rPr>
        <w:t xml:space="preserve">hardware fisico che supporta tale software appena prima del rinnovo di Software Assurance utilizzando lo strumento MAP di Microsoft o un software equivalente). </w:t>
      </w:r>
    </w:p>
    <w:p w:rsidR="008233B3" w:rsidRPr="00A75DF9" w:rsidRDefault="008233B3" w:rsidP="008233B3">
      <w:pPr>
        <w:tabs>
          <w:tab w:val="left" w:pos="1800"/>
        </w:tabs>
        <w:ind w:left="1080"/>
        <w:rPr>
          <w:rFonts w:cs="Tahoma"/>
        </w:rPr>
      </w:pPr>
    </w:p>
    <w:p w:rsidR="008233B3" w:rsidRPr="00A75DF9" w:rsidRDefault="008233B3" w:rsidP="008233B3">
      <w:pPr>
        <w:spacing w:after="60"/>
        <w:ind w:left="720"/>
        <w:rPr>
          <w:rFonts w:cs="Tahoma"/>
        </w:rPr>
      </w:pPr>
      <w:r w:rsidRPr="00A75DF9">
        <w:rPr>
          <w:rFonts w:eastAsia="Calibri" w:cs="Tahoma"/>
          <w:color w:val="000000"/>
          <w:szCs w:val="18"/>
        </w:rPr>
        <w:t xml:space="preserve">Le licenze per processore delle società non sono più valide se si acquista la copertura Software Assurance per licenze core ai sensi della presente offerta. </w:t>
      </w:r>
      <w:r w:rsidRPr="00A75DF9">
        <w:rPr>
          <w:rFonts w:eastAsia="Calibri" w:cs="Tahoma"/>
          <w:szCs w:val="18"/>
        </w:rPr>
        <w:t>L</w:t>
      </w:r>
      <w:r w:rsidR="00F2643E">
        <w:rPr>
          <w:rFonts w:eastAsia="Calibri" w:cs="Tahoma"/>
          <w:szCs w:val="18"/>
        </w:rPr>
        <w:t>’</w:t>
      </w:r>
      <w:r w:rsidRPr="00A75DF9">
        <w:rPr>
          <w:rFonts w:eastAsia="Calibri" w:cs="Tahoma"/>
          <w:szCs w:val="18"/>
        </w:rPr>
        <w:t>opzione di acquistare Software Assurance per le licenze core per BizTalk Server non è applicabile al rinnovo della copertura ai sensi dei programmi di sottoscrizione.</w:t>
      </w:r>
      <w:r w:rsidR="009D3B41" w:rsidRPr="00A75DF9">
        <w:rPr>
          <w:rFonts w:eastAsia="Calibri" w:cs="Tahoma"/>
          <w:szCs w:val="18"/>
        </w:rPr>
        <w:t xml:space="preserve"> </w:t>
      </w:r>
    </w:p>
    <w:p w:rsidR="008233B3" w:rsidRDefault="008233B3" w:rsidP="008233B3">
      <w:pPr>
        <w:ind w:left="1440"/>
        <w:rPr>
          <w:rFonts w:cs="Tahoma"/>
        </w:rPr>
      </w:pPr>
    </w:p>
    <w:p w:rsidR="00AC57DC" w:rsidRPr="00A75DF9" w:rsidRDefault="00AC57DC" w:rsidP="008233B3">
      <w:pPr>
        <w:ind w:left="1440"/>
        <w:rPr>
          <w:rFonts w:cs="Tahoma"/>
        </w:rPr>
      </w:pPr>
    </w:p>
    <w:p w:rsidR="008233B3" w:rsidRPr="00A75DF9" w:rsidRDefault="008233B3" w:rsidP="008233B3">
      <w:pPr>
        <w:tabs>
          <w:tab w:val="left" w:pos="1440"/>
        </w:tabs>
        <w:spacing w:after="60"/>
        <w:ind w:left="720"/>
        <w:rPr>
          <w:rFonts w:cs="Tahoma"/>
        </w:rPr>
      </w:pPr>
      <w:r w:rsidRPr="00A75DF9">
        <w:rPr>
          <w:rFonts w:eastAsia="Calibri" w:cs="Tahoma"/>
          <w:b/>
          <w:color w:val="000000"/>
          <w:szCs w:val="18"/>
        </w:rPr>
        <w:lastRenderedPageBreak/>
        <w:t>Per le Società con copertura Software Assurance che scelgono di non effettuare il rinnovo</w:t>
      </w:r>
    </w:p>
    <w:p w:rsidR="008233B3" w:rsidRPr="00A75DF9" w:rsidRDefault="008233B3" w:rsidP="00CA60ED">
      <w:pPr>
        <w:tabs>
          <w:tab w:val="left" w:pos="1440"/>
        </w:tabs>
        <w:ind w:left="720"/>
        <w:rPr>
          <w:rFonts w:cs="Tahoma"/>
        </w:rPr>
      </w:pPr>
      <w:r w:rsidRPr="00A75DF9">
        <w:rPr>
          <w:rFonts w:eastAsia="Calibri" w:cs="Tahoma"/>
          <w:color w:val="000000"/>
          <w:szCs w:val="18"/>
        </w:rPr>
        <w:t xml:space="preserve">Le società titolari di contratti Enterprise Subscription </w:t>
      </w:r>
      <w:r w:rsidRPr="00A75DF9">
        <w:rPr>
          <w:rFonts w:cs="Tahoma"/>
          <w:bCs/>
          <w:color w:val="000000"/>
          <w:szCs w:val="18"/>
        </w:rPr>
        <w:t xml:space="preserve">e Open Value Subscription </w:t>
      </w:r>
      <w:r w:rsidRPr="00A75DF9">
        <w:rPr>
          <w:rFonts w:eastAsia="Calibri" w:cs="Tahoma"/>
          <w:color w:val="000000"/>
          <w:szCs w:val="18"/>
        </w:rPr>
        <w:t>che scelgono di effettuare il</w:t>
      </w:r>
      <w:r w:rsidR="00CA60ED">
        <w:rPr>
          <w:rFonts w:eastAsia="Calibri" w:cs="Tahoma"/>
          <w:color w:val="000000"/>
          <w:szCs w:val="18"/>
        </w:rPr>
        <w:t> </w:t>
      </w:r>
      <w:r w:rsidRPr="00A75DF9">
        <w:rPr>
          <w:rFonts w:eastAsia="Calibri" w:cs="Tahoma"/>
          <w:color w:val="000000"/>
          <w:szCs w:val="18"/>
        </w:rPr>
        <w:t>buy-out delle licenze per processore e le altre società che acquistano licenze perpetue ai sensi del loro contratto e scelgono di non rinnovare la copertura Software Assurance in scadenza potranno eseguire BizTalk Server 2010 o l</w:t>
      </w:r>
      <w:r w:rsidR="00F2643E">
        <w:rPr>
          <w:rFonts w:eastAsia="Calibri" w:cs="Tahoma"/>
          <w:color w:val="000000"/>
          <w:szCs w:val="18"/>
        </w:rPr>
        <w:t>’</w:t>
      </w:r>
      <w:r w:rsidRPr="00A75DF9">
        <w:rPr>
          <w:rFonts w:eastAsia="Calibri" w:cs="Tahoma"/>
          <w:color w:val="000000"/>
          <w:szCs w:val="18"/>
        </w:rPr>
        <w:t>ultima versione di BizTalk Server disponibile ai sensi di tali licenze come indicato</w:t>
      </w:r>
      <w:r w:rsidR="00CA60ED">
        <w:rPr>
          <w:rFonts w:eastAsia="Calibri" w:cs="Tahoma"/>
          <w:color w:val="000000"/>
          <w:szCs w:val="18"/>
        </w:rPr>
        <w:t> </w:t>
      </w:r>
      <w:r w:rsidRPr="00A75DF9">
        <w:rPr>
          <w:rFonts w:eastAsia="Calibri" w:cs="Tahoma"/>
          <w:color w:val="000000"/>
          <w:szCs w:val="18"/>
        </w:rPr>
        <w:t>sotto:</w:t>
      </w:r>
    </w:p>
    <w:p w:rsidR="008233B3" w:rsidRPr="00A75DF9" w:rsidRDefault="008233B3" w:rsidP="008233B3">
      <w:pPr>
        <w:tabs>
          <w:tab w:val="left" w:pos="1440"/>
        </w:tabs>
        <w:ind w:left="720"/>
        <w:rPr>
          <w:rFonts w:cs="Tahoma"/>
        </w:rPr>
      </w:pPr>
    </w:p>
    <w:p w:rsidR="008233B3" w:rsidRPr="00A75DF9" w:rsidRDefault="008233B3" w:rsidP="00346F4B">
      <w:pPr>
        <w:numPr>
          <w:ilvl w:val="0"/>
          <w:numId w:val="53"/>
        </w:numPr>
        <w:spacing w:after="60"/>
        <w:ind w:left="1440"/>
        <w:rPr>
          <w:rFonts w:cs="Tahoma"/>
        </w:rPr>
      </w:pPr>
      <w:r w:rsidRPr="00A75DF9">
        <w:rPr>
          <w:rFonts w:eastAsia="Calibri" w:cs="Tahoma"/>
          <w:b/>
          <w:color w:val="000000"/>
          <w:szCs w:val="18"/>
        </w:rPr>
        <w:t>BizTalk Server 2010 Branch:</w:t>
      </w:r>
      <w:r w:rsidRPr="00A75DF9">
        <w:rPr>
          <w:rFonts w:eastAsia="Calibri" w:cs="Tahoma"/>
          <w:color w:val="000000"/>
          <w:szCs w:val="18"/>
        </w:rPr>
        <w:t xml:space="preserve"> L</w:t>
      </w:r>
      <w:r w:rsidR="00F2643E">
        <w:rPr>
          <w:rFonts w:eastAsia="Calibri" w:cs="Tahoma"/>
          <w:color w:val="000000"/>
          <w:szCs w:val="18"/>
        </w:rPr>
        <w:t>’</w:t>
      </w:r>
      <w:r w:rsidRPr="00A75DF9">
        <w:rPr>
          <w:rFonts w:eastAsia="Calibri" w:cs="Tahoma"/>
          <w:color w:val="000000"/>
          <w:szCs w:val="18"/>
        </w:rPr>
        <w:t>utilizzo continuativo di questo software è soggetto ai diritti di utilizzo del prodotto previsti dalla licenza per processore per BizTalk Server 2010 Branch; tuttavia, le società non disporranno più di Mobilità delle Licenze tramite Software Assurance.</w:t>
      </w:r>
    </w:p>
    <w:p w:rsidR="008233B3" w:rsidRPr="00A75DF9" w:rsidRDefault="00AF7294" w:rsidP="00346F4B">
      <w:pPr>
        <w:numPr>
          <w:ilvl w:val="0"/>
          <w:numId w:val="53"/>
        </w:numPr>
        <w:tabs>
          <w:tab w:val="left" w:pos="1800"/>
        </w:tabs>
        <w:spacing w:after="60"/>
        <w:ind w:left="1440"/>
        <w:rPr>
          <w:rFonts w:cs="Tahoma"/>
        </w:rPr>
      </w:pPr>
      <w:r w:rsidRPr="00A75DF9">
        <w:rPr>
          <w:rFonts w:eastAsia="Calibri" w:cs="Tahoma"/>
          <w:b/>
          <w:color w:val="000000"/>
          <w:szCs w:val="18"/>
        </w:rPr>
        <w:t xml:space="preserve">Ultima versione di BizTalk Server Branch: </w:t>
      </w:r>
      <w:r w:rsidRPr="00A75DF9">
        <w:rPr>
          <w:rFonts w:eastAsia="Calibri" w:cs="Tahoma"/>
          <w:color w:val="000000"/>
          <w:szCs w:val="18"/>
        </w:rPr>
        <w:t>l</w:t>
      </w:r>
      <w:r w:rsidR="00F2643E">
        <w:rPr>
          <w:rFonts w:eastAsia="Calibri" w:cs="Tahoma"/>
          <w:color w:val="000000"/>
          <w:szCs w:val="18"/>
        </w:rPr>
        <w:t>’</w:t>
      </w:r>
      <w:r w:rsidRPr="00A75DF9">
        <w:rPr>
          <w:rFonts w:eastAsia="Calibri" w:cs="Tahoma"/>
          <w:color w:val="000000"/>
          <w:szCs w:val="18"/>
        </w:rPr>
        <w:t xml:space="preserve">utilizzo di tale versione del software è soggetto ai diritti di utilizzo del prodotto previsti dalla licenza per processore per BizTalk Server 2010 Branch, tuttavia: </w:t>
      </w:r>
    </w:p>
    <w:p w:rsidR="008233B3" w:rsidRPr="00A75DF9" w:rsidRDefault="008233B3" w:rsidP="00346F4B">
      <w:pPr>
        <w:numPr>
          <w:ilvl w:val="1"/>
          <w:numId w:val="53"/>
        </w:numPr>
        <w:tabs>
          <w:tab w:val="left" w:pos="2160"/>
        </w:tabs>
        <w:spacing w:after="60"/>
        <w:ind w:left="2160"/>
        <w:rPr>
          <w:rFonts w:cs="Tahoma"/>
        </w:rPr>
      </w:pPr>
      <w:r w:rsidRPr="00A75DF9">
        <w:rPr>
          <w:rFonts w:eastAsia="Calibri" w:cs="Tahoma"/>
          <w:color w:val="000000"/>
          <w:szCs w:val="18"/>
        </w:rPr>
        <w:t>le società non disporranno più della Mobilità delle Licenze all</w:t>
      </w:r>
      <w:r w:rsidR="00F2643E">
        <w:rPr>
          <w:rFonts w:eastAsia="Calibri" w:cs="Tahoma"/>
          <w:color w:val="000000"/>
          <w:szCs w:val="18"/>
        </w:rPr>
        <w:t>’</w:t>
      </w:r>
      <w:r w:rsidRPr="00A75DF9">
        <w:rPr>
          <w:rFonts w:eastAsia="Calibri" w:cs="Tahoma"/>
          <w:color w:val="000000"/>
          <w:szCs w:val="18"/>
        </w:rPr>
        <w:t xml:space="preserve">interno di Server Farm o della Mobilità delle Licenze tramite Software Assurance e </w:t>
      </w:r>
    </w:p>
    <w:p w:rsidR="008233B3" w:rsidRPr="00A75DF9" w:rsidRDefault="008233B3" w:rsidP="00346F4B">
      <w:pPr>
        <w:numPr>
          <w:ilvl w:val="1"/>
          <w:numId w:val="53"/>
        </w:numPr>
        <w:tabs>
          <w:tab w:val="left" w:pos="2160"/>
          <w:tab w:val="left" w:pos="2970"/>
        </w:tabs>
        <w:spacing w:after="60"/>
        <w:ind w:left="2160"/>
        <w:rPr>
          <w:rFonts w:cs="Tahoma"/>
        </w:rPr>
      </w:pPr>
      <w:r w:rsidRPr="00A75DF9">
        <w:rPr>
          <w:rFonts w:eastAsia="Calibri" w:cs="Tahoma"/>
          <w:color w:val="000000"/>
          <w:szCs w:val="18"/>
        </w:rPr>
        <w:t>l</w:t>
      </w:r>
      <w:r w:rsidR="00F2643E">
        <w:rPr>
          <w:rFonts w:eastAsia="Calibri" w:cs="Tahoma"/>
          <w:color w:val="000000"/>
          <w:szCs w:val="18"/>
        </w:rPr>
        <w:t>’</w:t>
      </w:r>
      <w:r w:rsidRPr="00A75DF9">
        <w:rPr>
          <w:rFonts w:eastAsia="Calibri" w:cs="Tahoma"/>
          <w:color w:val="000000"/>
          <w:szCs w:val="18"/>
        </w:rPr>
        <w:t>eventuale riassegnazione di licenze è soggetta ai limiti che seguono relativi alla loro “equivalenza di licenze core”. L</w:t>
      </w:r>
      <w:r w:rsidR="00F2643E">
        <w:rPr>
          <w:rFonts w:eastAsia="Calibri" w:cs="Tahoma"/>
          <w:color w:val="000000"/>
          <w:szCs w:val="18"/>
        </w:rPr>
        <w:t>’</w:t>
      </w:r>
      <w:r w:rsidRPr="00A75DF9">
        <w:rPr>
          <w:rFonts w:eastAsia="Calibri" w:cs="Tahoma"/>
          <w:color w:val="000000"/>
          <w:szCs w:val="18"/>
        </w:rPr>
        <w:t xml:space="preserve">equivalenza di licenze core è determinata come di seguito riportato. </w:t>
      </w:r>
    </w:p>
    <w:p w:rsidR="008233B3" w:rsidRPr="00A75DF9" w:rsidRDefault="008233B3" w:rsidP="00346F4B">
      <w:pPr>
        <w:numPr>
          <w:ilvl w:val="2"/>
          <w:numId w:val="53"/>
        </w:numPr>
        <w:tabs>
          <w:tab w:val="left" w:pos="2520"/>
        </w:tabs>
        <w:spacing w:after="60"/>
        <w:ind w:left="2520"/>
        <w:rPr>
          <w:rFonts w:cs="Tahoma"/>
        </w:rPr>
      </w:pPr>
      <w:r w:rsidRPr="00A75DF9">
        <w:rPr>
          <w:rFonts w:eastAsia="Calibri" w:cs="Tahoma"/>
          <w:color w:val="000000"/>
          <w:szCs w:val="18"/>
        </w:rPr>
        <w:t>Per ogni licenza qualificante ceduta al server, l</w:t>
      </w:r>
      <w:r w:rsidR="00F2643E">
        <w:rPr>
          <w:rFonts w:eastAsia="Calibri" w:cs="Tahoma"/>
          <w:color w:val="000000"/>
          <w:szCs w:val="18"/>
        </w:rPr>
        <w:t>’</w:t>
      </w:r>
      <w:r w:rsidRPr="00A75DF9">
        <w:rPr>
          <w:rFonts w:eastAsia="Calibri" w:cs="Tahoma"/>
          <w:color w:val="000000"/>
          <w:szCs w:val="18"/>
        </w:rPr>
        <w:t xml:space="preserve">equivalenza di licenze core è il numero maggiore tra: </w:t>
      </w:r>
    </w:p>
    <w:p w:rsidR="008233B3" w:rsidRPr="00A75DF9" w:rsidRDefault="008233B3" w:rsidP="00346F4B">
      <w:pPr>
        <w:numPr>
          <w:ilvl w:val="4"/>
          <w:numId w:val="126"/>
        </w:numPr>
        <w:tabs>
          <w:tab w:val="left" w:pos="2880"/>
        </w:tabs>
        <w:spacing w:after="60"/>
        <w:ind w:left="2880"/>
        <w:rPr>
          <w:rFonts w:cs="Tahoma"/>
        </w:rPr>
      </w:pPr>
      <w:r w:rsidRPr="00A75DF9">
        <w:rPr>
          <w:rFonts w:eastAsia="Calibri" w:cs="Tahoma"/>
          <w:color w:val="000000"/>
          <w:szCs w:val="18"/>
        </w:rPr>
        <w:t xml:space="preserve">quattro core per licenza per processore O </w:t>
      </w:r>
    </w:p>
    <w:p w:rsidR="008233B3" w:rsidRPr="00A75DF9" w:rsidRDefault="008233B3" w:rsidP="00346F4B">
      <w:pPr>
        <w:numPr>
          <w:ilvl w:val="4"/>
          <w:numId w:val="126"/>
        </w:numPr>
        <w:tabs>
          <w:tab w:val="left" w:pos="2880"/>
        </w:tabs>
        <w:spacing w:after="60"/>
        <w:ind w:left="2880"/>
        <w:rPr>
          <w:rFonts w:cs="Tahoma"/>
        </w:rPr>
      </w:pPr>
      <w:r w:rsidRPr="00A75DF9">
        <w:rPr>
          <w:rFonts w:eastAsia="Calibri" w:cs="Tahoma"/>
          <w:color w:val="000000"/>
          <w:szCs w:val="18"/>
        </w:rPr>
        <w:t>un numero di core per licenza per processore basato sul numero effettivo di core per processore fisico moltiplicato per il fattore core appropriato. (Nei casi in cui il numero effettivo di core per processore fisico superi quattro, le società dovranno conservare un record della configurazione del software BizTalk Server in esecuzione sul server (istanze con licenza in esecuzione negli ambienti del sistema operativo sul server con licenza) e l</w:t>
      </w:r>
      <w:r w:rsidR="00F2643E">
        <w:rPr>
          <w:rFonts w:eastAsia="Calibri" w:cs="Tahoma"/>
          <w:color w:val="000000"/>
          <w:szCs w:val="18"/>
        </w:rPr>
        <w:t>’</w:t>
      </w:r>
      <w:r w:rsidRPr="00A75DF9">
        <w:rPr>
          <w:rFonts w:eastAsia="Calibri" w:cs="Tahoma"/>
          <w:color w:val="000000"/>
          <w:szCs w:val="18"/>
        </w:rPr>
        <w:t xml:space="preserve">hardware fisico che supporta tale software appena prima della scadenza di Software Assurance utilizzando lo strumento MAP di Microsoft o un software equivalente). </w:t>
      </w:r>
    </w:p>
    <w:p w:rsidR="008233B3" w:rsidRPr="00A75DF9" w:rsidRDefault="008233B3" w:rsidP="00346F4B">
      <w:pPr>
        <w:numPr>
          <w:ilvl w:val="1"/>
          <w:numId w:val="128"/>
        </w:numPr>
        <w:tabs>
          <w:tab w:val="left" w:pos="1800"/>
        </w:tabs>
        <w:spacing w:after="60"/>
        <w:rPr>
          <w:rFonts w:cs="Tahoma"/>
        </w:rPr>
      </w:pPr>
      <w:r w:rsidRPr="00A75DF9">
        <w:rPr>
          <w:rFonts w:eastAsia="Calibri" w:cs="Tahoma"/>
          <w:color w:val="000000"/>
          <w:szCs w:val="18"/>
        </w:rPr>
        <w:t xml:space="preserve">Le società </w:t>
      </w:r>
      <w:r w:rsidRPr="00A75DF9">
        <w:rPr>
          <w:rFonts w:eastAsia="Calibri" w:cs="Tahoma"/>
          <w:szCs w:val="18"/>
        </w:rPr>
        <w:t>potranno riassegnare le licenze a un altro server. Tuttavia, qualora la società riassegni una licenza a un altro server, dovrà attenersi ai diritti sull</w:t>
      </w:r>
      <w:r w:rsidR="00F2643E">
        <w:rPr>
          <w:rFonts w:eastAsia="Calibri" w:cs="Tahoma"/>
          <w:szCs w:val="18"/>
        </w:rPr>
        <w:t>’</w:t>
      </w:r>
      <w:r w:rsidRPr="00A75DF9">
        <w:rPr>
          <w:rFonts w:eastAsia="Calibri" w:cs="Tahoma"/>
          <w:szCs w:val="18"/>
        </w:rPr>
        <w:t>utilizzo della versione del software in uso. Quando cede licenze core a server nei modi descritti, la società potrà combinare l</w:t>
      </w:r>
      <w:r w:rsidR="00F2643E">
        <w:rPr>
          <w:rFonts w:eastAsia="Calibri" w:cs="Tahoma"/>
          <w:szCs w:val="18"/>
        </w:rPr>
        <w:t>’</w:t>
      </w:r>
      <w:r w:rsidRPr="00A75DF9">
        <w:rPr>
          <w:rFonts w:eastAsia="Calibri" w:cs="Tahoma"/>
          <w:szCs w:val="18"/>
        </w:rPr>
        <w:t>equivalenza core delle licenze esistenti con le licenze core per BizTalk Server aggiuntive.</w:t>
      </w:r>
    </w:p>
    <w:p w:rsidR="008233B3" w:rsidRPr="00A75DF9" w:rsidRDefault="008233B3" w:rsidP="00346F4B">
      <w:pPr>
        <w:numPr>
          <w:ilvl w:val="1"/>
          <w:numId w:val="128"/>
        </w:numPr>
        <w:tabs>
          <w:tab w:val="left" w:pos="1800"/>
          <w:tab w:val="left" w:pos="2970"/>
        </w:tabs>
        <w:spacing w:after="60"/>
        <w:rPr>
          <w:rFonts w:cs="Tahoma"/>
        </w:rPr>
      </w:pPr>
      <w:r w:rsidRPr="00A75DF9">
        <w:rPr>
          <w:rFonts w:eastAsia="Calibri" w:cs="Tahoma"/>
          <w:color w:val="000000"/>
          <w:szCs w:val="18"/>
        </w:rPr>
        <w:t>L</w:t>
      </w:r>
      <w:r w:rsidR="00F2643E">
        <w:rPr>
          <w:rFonts w:eastAsia="Calibri" w:cs="Tahoma"/>
          <w:color w:val="000000"/>
          <w:szCs w:val="18"/>
        </w:rPr>
        <w:t>’</w:t>
      </w:r>
      <w:r w:rsidRPr="00A75DF9">
        <w:rPr>
          <w:rFonts w:eastAsia="Calibri" w:cs="Tahoma"/>
          <w:color w:val="000000"/>
          <w:szCs w:val="18"/>
        </w:rPr>
        <w:t>equivalenza di licenze core stimata delle società non implica che esse possano cedere una licenza singola per processore a core attraverso due o più processori.</w:t>
      </w:r>
    </w:p>
    <w:p w:rsidR="008233B3" w:rsidRPr="00A75DF9" w:rsidRDefault="008233B3" w:rsidP="008233B3">
      <w:pPr>
        <w:ind w:left="1440"/>
        <w:rPr>
          <w:rFonts w:cs="Tahoma"/>
        </w:rPr>
      </w:pPr>
    </w:p>
    <w:p w:rsidR="008233B3" w:rsidRPr="00A75DF9" w:rsidRDefault="008233B3" w:rsidP="008233B3">
      <w:pPr>
        <w:rPr>
          <w:rFonts w:cs="Tahoma"/>
        </w:rPr>
      </w:pPr>
    </w:p>
    <w:p w:rsidR="008233B3" w:rsidRPr="00A75DF9" w:rsidRDefault="00A560B6" w:rsidP="008233B3">
      <w:pPr>
        <w:pStyle w:val="Heading3"/>
        <w:rPr>
          <w:rFonts w:ascii="Tahoma" w:hAnsi="Tahoma" w:cs="Tahoma"/>
        </w:rPr>
      </w:pPr>
      <w:bookmarkStart w:id="1146" w:name="_36_BizTalk_Server®"/>
      <w:bookmarkStart w:id="1147" w:name="_Toc343596567"/>
      <w:bookmarkStart w:id="1148" w:name="_Toc368310287"/>
      <w:bookmarkEnd w:id="1146"/>
      <w:r w:rsidRPr="00A75DF9">
        <w:rPr>
          <w:rFonts w:ascii="Tahoma" w:hAnsi="Tahoma" w:cs="Tahoma"/>
          <w:caps/>
          <w:color w:val="F66400"/>
          <w:sz w:val="22"/>
          <w:vertAlign w:val="superscript"/>
        </w:rPr>
        <w:t xml:space="preserve">37 </w:t>
      </w:r>
      <w:r w:rsidRPr="00A75DF9">
        <w:rPr>
          <w:rFonts w:ascii="Tahoma" w:hAnsi="Tahoma" w:cs="Tahoma"/>
          <w:color w:val="F66400"/>
          <w:sz w:val="22"/>
        </w:rPr>
        <w:t>BizTalk Server</w:t>
      </w:r>
      <w:r w:rsidR="009D5D7B" w:rsidRPr="00A75DF9">
        <w:rPr>
          <w:rFonts w:ascii="Tahoma" w:hAnsi="Tahoma" w:cs="Tahoma"/>
          <w:color w:val="F66400"/>
          <w:sz w:val="22"/>
          <w:vertAlign w:val="superscript"/>
        </w:rPr>
        <w:t>®</w:t>
      </w:r>
      <w:r w:rsidRPr="00A75DF9">
        <w:rPr>
          <w:rFonts w:ascii="Tahoma" w:hAnsi="Tahoma" w:cs="Tahoma"/>
          <w:color w:val="F66400"/>
          <w:sz w:val="22"/>
        </w:rPr>
        <w:t xml:space="preserve"> 2013 Enterprise</w:t>
      </w:r>
      <w:bookmarkEnd w:id="1148"/>
      <w:r w:rsidRPr="00A75DF9">
        <w:rPr>
          <w:rFonts w:ascii="Tahoma" w:hAnsi="Tahoma" w:cs="Tahoma"/>
          <w:color w:val="F66400"/>
          <w:sz w:val="22"/>
        </w:rPr>
        <w:t xml:space="preserve"> </w:t>
      </w:r>
      <w:bookmarkEnd w:id="1147"/>
    </w:p>
    <w:p w:rsidR="008233B3" w:rsidRPr="00A75DF9" w:rsidRDefault="008233B3" w:rsidP="008233B3">
      <w:pPr>
        <w:ind w:left="720"/>
        <w:rPr>
          <w:rFonts w:cs="Tahoma"/>
        </w:rPr>
      </w:pPr>
    </w:p>
    <w:p w:rsidR="008233B3" w:rsidRPr="00A75DF9" w:rsidRDefault="008233B3" w:rsidP="008233B3">
      <w:pPr>
        <w:spacing w:after="60"/>
        <w:ind w:left="720"/>
        <w:rPr>
          <w:rFonts w:cs="Tahoma"/>
        </w:rPr>
      </w:pPr>
      <w:r w:rsidRPr="00A75DF9">
        <w:rPr>
          <w:rFonts w:eastAsia="Calibri" w:cs="Tahoma"/>
          <w:b/>
          <w:color w:val="000000"/>
          <w:szCs w:val="18"/>
        </w:rPr>
        <w:t>Concessioni di Licenza Associate alla Variazione del Modello di Licenza</w:t>
      </w:r>
    </w:p>
    <w:p w:rsidR="008233B3" w:rsidRPr="00A75DF9" w:rsidRDefault="008233B3" w:rsidP="008233B3">
      <w:pPr>
        <w:ind w:left="720"/>
        <w:rPr>
          <w:rFonts w:cs="Tahoma"/>
        </w:rPr>
      </w:pPr>
      <w:r w:rsidRPr="00A75DF9">
        <w:rPr>
          <w:rFonts w:eastAsia="Calibri" w:cs="Tahoma"/>
          <w:color w:val="000000"/>
          <w:szCs w:val="18"/>
        </w:rPr>
        <w:t>BizTalk Server 2010 sarà l</w:t>
      </w:r>
      <w:r w:rsidR="00F2643E">
        <w:rPr>
          <w:rFonts w:eastAsia="Calibri" w:cs="Tahoma"/>
          <w:color w:val="000000"/>
          <w:szCs w:val="18"/>
        </w:rPr>
        <w:t>’</w:t>
      </w:r>
      <w:r w:rsidRPr="00A75DF9">
        <w:rPr>
          <w:rFonts w:eastAsia="Calibri" w:cs="Tahoma"/>
          <w:color w:val="000000"/>
          <w:szCs w:val="18"/>
        </w:rPr>
        <w:t>ultima versione di BizTalk Server concessa in licenza ai sensi del modello di licenza per processore.</w:t>
      </w:r>
      <w:r w:rsidR="009D3B41" w:rsidRPr="00A75DF9">
        <w:rPr>
          <w:rFonts w:eastAsia="Calibri" w:cs="Tahoma"/>
          <w:color w:val="000000"/>
          <w:szCs w:val="18"/>
        </w:rPr>
        <w:t xml:space="preserve"> </w:t>
      </w:r>
      <w:r w:rsidRPr="00A75DF9">
        <w:rPr>
          <w:rFonts w:eastAsia="Calibri" w:cs="Tahoma"/>
          <w:color w:val="000000"/>
          <w:szCs w:val="18"/>
        </w:rPr>
        <w:t>In via eccezionale, alle società con Contratti Multilicenza e copertura Software Assurance attiva per le licenze per processore per BizTalk Server 2010 Enterprise alla data di pubblicazione della presente Lista dei Prodotti (“licenze qualificanti”) vengono offerte le opzioni che seguono</w:t>
      </w:r>
      <w:r w:rsidRPr="00A75DF9">
        <w:rPr>
          <w:rFonts w:cs="Tahoma"/>
          <w:bCs/>
          <w:color w:val="000000"/>
          <w:szCs w:val="18"/>
        </w:rPr>
        <w:t>.</w:t>
      </w:r>
    </w:p>
    <w:p w:rsidR="008233B3" w:rsidRPr="00A75DF9" w:rsidRDefault="008233B3" w:rsidP="008233B3">
      <w:pPr>
        <w:ind w:left="720"/>
        <w:rPr>
          <w:rFonts w:cs="Tahoma"/>
        </w:rPr>
      </w:pPr>
    </w:p>
    <w:p w:rsidR="008233B3" w:rsidRPr="00A75DF9" w:rsidRDefault="008233B3" w:rsidP="008233B3">
      <w:pPr>
        <w:spacing w:after="60"/>
        <w:ind w:left="720"/>
        <w:rPr>
          <w:rFonts w:cs="Tahoma"/>
        </w:rPr>
      </w:pPr>
      <w:r w:rsidRPr="00A75DF9">
        <w:rPr>
          <w:rFonts w:eastAsia="Calibri" w:cs="Tahoma"/>
          <w:b/>
          <w:color w:val="000000"/>
          <w:szCs w:val="18"/>
        </w:rPr>
        <w:t>Periodo di Validità Corrente</w:t>
      </w:r>
    </w:p>
    <w:p w:rsidR="008233B3" w:rsidRPr="00A75DF9" w:rsidRDefault="008233B3" w:rsidP="008233B3">
      <w:pPr>
        <w:ind w:left="720"/>
        <w:rPr>
          <w:rFonts w:cs="Tahoma"/>
        </w:rPr>
      </w:pPr>
      <w:r w:rsidRPr="00A75DF9">
        <w:rPr>
          <w:rFonts w:eastAsia="Calibri" w:cs="Tahoma"/>
          <w:color w:val="000000"/>
          <w:szCs w:val="18"/>
        </w:rPr>
        <w:t>Durante il periodo di validità corrente della copertura Software Assurance le società (incluse le società titolari di contratti “subscription”) potranno, ai sensi di una licenza qualificante, effettuare l</w:t>
      </w:r>
      <w:r w:rsidR="00F2643E">
        <w:rPr>
          <w:rFonts w:eastAsia="Calibri" w:cs="Tahoma"/>
          <w:color w:val="000000"/>
          <w:szCs w:val="18"/>
        </w:rPr>
        <w:t>’</w:t>
      </w:r>
      <w:r w:rsidRPr="00A75DF9">
        <w:rPr>
          <w:rFonts w:eastAsia="Calibri" w:cs="Tahoma"/>
          <w:color w:val="000000"/>
          <w:szCs w:val="18"/>
        </w:rPr>
        <w:t>aggiornamento all</w:t>
      </w:r>
      <w:r w:rsidR="00F2643E">
        <w:rPr>
          <w:rFonts w:eastAsia="Calibri" w:cs="Tahoma"/>
          <w:color w:val="000000"/>
          <w:szCs w:val="18"/>
        </w:rPr>
        <w:t>’</w:t>
      </w:r>
      <w:r w:rsidRPr="00A75DF9">
        <w:rPr>
          <w:rFonts w:eastAsia="Calibri" w:cs="Tahoma"/>
          <w:color w:val="000000"/>
          <w:szCs w:val="18"/>
        </w:rPr>
        <w:t xml:space="preserve">ultima versione del software BizTalk Server Enterprise e utilizzarlo al posto di BizTalk Server 2010 Enterprise in conformità ai diritti di utilizzo del prodotto previsti dalla licenza per processore per BizTalk Server 2010 Enterprise (come indicato nei Diritti di Utilizzo del Prodotto del mese di gennaio 2013). </w:t>
      </w:r>
    </w:p>
    <w:p w:rsidR="008233B3" w:rsidRDefault="008233B3" w:rsidP="008233B3">
      <w:pPr>
        <w:ind w:left="720"/>
        <w:rPr>
          <w:rFonts w:cs="Tahoma"/>
        </w:rPr>
      </w:pPr>
    </w:p>
    <w:p w:rsidR="00CA60ED" w:rsidRDefault="00CA60ED" w:rsidP="008233B3">
      <w:pPr>
        <w:ind w:left="720"/>
        <w:rPr>
          <w:rFonts w:cs="Tahoma"/>
        </w:rPr>
      </w:pPr>
    </w:p>
    <w:p w:rsidR="00CA60ED" w:rsidRDefault="00CA60ED" w:rsidP="008233B3">
      <w:pPr>
        <w:ind w:left="720"/>
        <w:rPr>
          <w:rFonts w:cs="Tahoma"/>
        </w:rPr>
      </w:pPr>
    </w:p>
    <w:p w:rsidR="00CA60ED" w:rsidRPr="00A75DF9" w:rsidRDefault="00CA60ED" w:rsidP="008233B3">
      <w:pPr>
        <w:ind w:left="720"/>
        <w:rPr>
          <w:rFonts w:cs="Tahoma"/>
        </w:rPr>
      </w:pPr>
    </w:p>
    <w:p w:rsidR="008233B3" w:rsidRPr="00A75DF9" w:rsidRDefault="008233B3" w:rsidP="008233B3">
      <w:pPr>
        <w:spacing w:after="60"/>
        <w:ind w:left="720"/>
        <w:rPr>
          <w:rFonts w:cs="Tahoma"/>
        </w:rPr>
      </w:pPr>
      <w:r w:rsidRPr="00A75DF9">
        <w:rPr>
          <w:rFonts w:eastAsia="Calibri" w:cs="Tahoma"/>
          <w:b/>
          <w:color w:val="000000"/>
          <w:szCs w:val="18"/>
        </w:rPr>
        <w:lastRenderedPageBreak/>
        <w:t>Primo Periodo di Rinnovo</w:t>
      </w:r>
    </w:p>
    <w:p w:rsidR="008233B3" w:rsidRPr="00A75DF9" w:rsidRDefault="008233B3" w:rsidP="00CA60ED">
      <w:pPr>
        <w:tabs>
          <w:tab w:val="left" w:pos="1800"/>
        </w:tabs>
        <w:spacing w:after="60"/>
        <w:ind w:left="720"/>
        <w:rPr>
          <w:rFonts w:cs="Tahoma"/>
        </w:rPr>
      </w:pPr>
      <w:r w:rsidRPr="00A75DF9">
        <w:rPr>
          <w:rFonts w:eastAsia="Calibri" w:cs="Tahoma"/>
          <w:color w:val="000000"/>
          <w:szCs w:val="18"/>
        </w:rPr>
        <w:t>In occasione del primo rinnovo di Software Assurance in data 1 aprile 2013 o successiva, per ogni server che una società ha ricevuto validamente in licenza in conformità ai diritti di utilizzo del prodotto previsti dalla licenza per processore BizTalk Server 2010, la società potrà acquistare la copertura Software Assurance per</w:t>
      </w:r>
      <w:r w:rsidR="00CA60ED">
        <w:rPr>
          <w:rFonts w:eastAsia="Calibri" w:cs="Tahoma"/>
          <w:color w:val="000000"/>
          <w:szCs w:val="18"/>
        </w:rPr>
        <w:t> </w:t>
      </w:r>
      <w:r w:rsidRPr="00A75DF9">
        <w:rPr>
          <w:rFonts w:eastAsia="Calibri" w:cs="Tahoma"/>
          <w:color w:val="000000"/>
          <w:szCs w:val="18"/>
        </w:rPr>
        <w:t>le licenze core per BizTalk Server Enterprise senza dovere acquistare le licenze core sottostanti per un numero di licenze core pari al numero di licenze per processore qualificanti cedute al server moltiplicato per</w:t>
      </w:r>
      <w:r w:rsidR="00CA60ED">
        <w:rPr>
          <w:rFonts w:eastAsia="Calibri" w:cs="Tahoma"/>
          <w:color w:val="000000"/>
          <w:szCs w:val="18"/>
        </w:rPr>
        <w:t> </w:t>
      </w:r>
      <w:r w:rsidRPr="00A75DF9">
        <w:rPr>
          <w:rFonts w:eastAsia="Calibri" w:cs="Tahoma"/>
          <w:color w:val="000000"/>
          <w:szCs w:val="18"/>
        </w:rPr>
        <w:t xml:space="preserve">il maggiore tra: </w:t>
      </w:r>
    </w:p>
    <w:p w:rsidR="008233B3" w:rsidRPr="00A75DF9" w:rsidRDefault="008233B3" w:rsidP="00346F4B">
      <w:pPr>
        <w:numPr>
          <w:ilvl w:val="3"/>
          <w:numId w:val="93"/>
        </w:numPr>
        <w:tabs>
          <w:tab w:val="left" w:pos="2160"/>
        </w:tabs>
        <w:spacing w:after="60"/>
        <w:ind w:left="2160"/>
        <w:rPr>
          <w:rFonts w:cs="Tahoma"/>
        </w:rPr>
      </w:pPr>
      <w:r w:rsidRPr="00A75DF9">
        <w:rPr>
          <w:rFonts w:eastAsia="Calibri" w:cs="Tahoma"/>
          <w:color w:val="000000"/>
          <w:szCs w:val="18"/>
        </w:rPr>
        <w:t>quattro O</w:t>
      </w:r>
    </w:p>
    <w:p w:rsidR="008233B3" w:rsidRPr="00A75DF9" w:rsidRDefault="008233B3" w:rsidP="00346F4B">
      <w:pPr>
        <w:numPr>
          <w:ilvl w:val="3"/>
          <w:numId w:val="93"/>
        </w:numPr>
        <w:tabs>
          <w:tab w:val="left" w:pos="2160"/>
        </w:tabs>
        <w:spacing w:after="60"/>
        <w:ind w:left="2160"/>
        <w:rPr>
          <w:rFonts w:cs="Tahoma"/>
        </w:rPr>
      </w:pPr>
      <w:r w:rsidRPr="00A75DF9">
        <w:rPr>
          <w:rFonts w:eastAsia="Calibri" w:cs="Tahoma"/>
          <w:color w:val="000000"/>
          <w:szCs w:val="18"/>
        </w:rPr>
        <w:t>il numero effettivo di core per processore fisico moltiplicato per il fattore core appropriato.</w:t>
      </w:r>
      <w:r w:rsidR="009D3B41" w:rsidRPr="00A75DF9">
        <w:rPr>
          <w:rFonts w:eastAsia="Calibri" w:cs="Tahoma"/>
          <w:color w:val="000000"/>
          <w:szCs w:val="18"/>
        </w:rPr>
        <w:t xml:space="preserve"> </w:t>
      </w:r>
      <w:r w:rsidRPr="00A75DF9">
        <w:rPr>
          <w:rFonts w:eastAsia="Calibri" w:cs="Tahoma"/>
          <w:color w:val="000000"/>
          <w:szCs w:val="18"/>
        </w:rPr>
        <w:t>(Nei casi in cui il numero effettivo di core per processore fisico superi quattro, le società dovranno conservare un record della configurazione del software BizTalk Server in esecuzione sul server (istanze con licenza in esecuzione negli ambienti del sistema operativo sul server con licenza) e l</w:t>
      </w:r>
      <w:r w:rsidR="00F2643E">
        <w:rPr>
          <w:rFonts w:eastAsia="Calibri" w:cs="Tahoma"/>
          <w:color w:val="000000"/>
          <w:szCs w:val="18"/>
        </w:rPr>
        <w:t>’</w:t>
      </w:r>
      <w:r w:rsidRPr="00A75DF9">
        <w:rPr>
          <w:rFonts w:eastAsia="Calibri" w:cs="Tahoma"/>
          <w:color w:val="000000"/>
          <w:szCs w:val="18"/>
        </w:rPr>
        <w:t xml:space="preserve">hardware fisico che supporta tale software appena prima del rinnovo di Software Assurance utilizzando lo strumento MAP di Microsoft o un software equivalente). </w:t>
      </w:r>
    </w:p>
    <w:p w:rsidR="008233B3" w:rsidRPr="00A75DF9" w:rsidRDefault="008233B3" w:rsidP="008233B3">
      <w:pPr>
        <w:tabs>
          <w:tab w:val="left" w:pos="1800"/>
        </w:tabs>
        <w:ind w:left="1080"/>
        <w:rPr>
          <w:rFonts w:cs="Tahoma"/>
        </w:rPr>
      </w:pPr>
    </w:p>
    <w:p w:rsidR="008233B3" w:rsidRPr="00A75DF9" w:rsidRDefault="008233B3" w:rsidP="008233B3">
      <w:pPr>
        <w:spacing w:after="60"/>
        <w:ind w:left="720"/>
        <w:rPr>
          <w:rFonts w:cs="Tahoma"/>
        </w:rPr>
      </w:pPr>
      <w:r w:rsidRPr="00A75DF9">
        <w:rPr>
          <w:rFonts w:eastAsia="Calibri" w:cs="Tahoma"/>
          <w:color w:val="000000"/>
          <w:szCs w:val="18"/>
        </w:rPr>
        <w:t xml:space="preserve">Le licenze per processore delle società non sono più valide se si acquista la copertura Software Assurance per licenze core ai sensi della presente offerta. </w:t>
      </w:r>
      <w:r w:rsidRPr="00A75DF9">
        <w:rPr>
          <w:rFonts w:eastAsia="Calibri" w:cs="Tahoma"/>
          <w:szCs w:val="18"/>
        </w:rPr>
        <w:t>L</w:t>
      </w:r>
      <w:r w:rsidR="00F2643E">
        <w:rPr>
          <w:rFonts w:eastAsia="Calibri" w:cs="Tahoma"/>
          <w:szCs w:val="18"/>
        </w:rPr>
        <w:t>’</w:t>
      </w:r>
      <w:r w:rsidRPr="00A75DF9">
        <w:rPr>
          <w:rFonts w:eastAsia="Calibri" w:cs="Tahoma"/>
          <w:szCs w:val="18"/>
        </w:rPr>
        <w:t>opzione di acquistare Software Assurance per le licenze core per BizTalk Server non è applicabile al rinnovo della copertura ai sensi dei programmi di sottoscrizione.</w:t>
      </w:r>
      <w:r w:rsidR="009D3B41" w:rsidRPr="00A75DF9">
        <w:rPr>
          <w:rFonts w:eastAsia="Calibri" w:cs="Tahoma"/>
          <w:szCs w:val="18"/>
        </w:rPr>
        <w:t xml:space="preserve"> </w:t>
      </w:r>
    </w:p>
    <w:p w:rsidR="008233B3" w:rsidRPr="00A75DF9" w:rsidRDefault="008233B3" w:rsidP="008233B3">
      <w:pPr>
        <w:ind w:left="1440"/>
        <w:rPr>
          <w:rFonts w:cs="Tahoma"/>
        </w:rPr>
      </w:pPr>
    </w:p>
    <w:p w:rsidR="008233B3" w:rsidRPr="00A75DF9" w:rsidRDefault="008233B3" w:rsidP="008233B3">
      <w:pPr>
        <w:tabs>
          <w:tab w:val="left" w:pos="1440"/>
        </w:tabs>
        <w:spacing w:after="60"/>
        <w:ind w:left="720"/>
        <w:rPr>
          <w:rFonts w:cs="Tahoma"/>
        </w:rPr>
      </w:pPr>
      <w:r w:rsidRPr="00A75DF9">
        <w:rPr>
          <w:rFonts w:eastAsia="Calibri" w:cs="Tahoma"/>
          <w:b/>
          <w:color w:val="000000"/>
          <w:szCs w:val="18"/>
        </w:rPr>
        <w:t>Per le Società con copertura Software Assurance che scelgono di non effettuare il rinnovo</w:t>
      </w:r>
    </w:p>
    <w:p w:rsidR="008233B3" w:rsidRPr="00A75DF9" w:rsidRDefault="008233B3" w:rsidP="00CA60ED">
      <w:pPr>
        <w:tabs>
          <w:tab w:val="left" w:pos="1440"/>
        </w:tabs>
        <w:ind w:left="720"/>
        <w:rPr>
          <w:rFonts w:cs="Tahoma"/>
        </w:rPr>
      </w:pPr>
      <w:r w:rsidRPr="00A75DF9">
        <w:rPr>
          <w:rFonts w:eastAsia="Calibri" w:cs="Tahoma"/>
          <w:color w:val="000000"/>
          <w:szCs w:val="18"/>
        </w:rPr>
        <w:t xml:space="preserve">Le società titolari di contratti Enterprise Subscription </w:t>
      </w:r>
      <w:r w:rsidRPr="00A75DF9">
        <w:rPr>
          <w:rFonts w:cs="Tahoma"/>
          <w:bCs/>
          <w:color w:val="000000"/>
          <w:szCs w:val="18"/>
        </w:rPr>
        <w:t xml:space="preserve">e Open Value Subscription </w:t>
      </w:r>
      <w:r w:rsidRPr="00A75DF9">
        <w:rPr>
          <w:rFonts w:eastAsia="Calibri" w:cs="Tahoma"/>
          <w:color w:val="000000"/>
          <w:szCs w:val="18"/>
        </w:rPr>
        <w:t>che scelgono di effettuare il</w:t>
      </w:r>
      <w:r w:rsidR="00CA60ED">
        <w:rPr>
          <w:rFonts w:eastAsia="Calibri" w:cs="Tahoma"/>
          <w:color w:val="000000"/>
          <w:szCs w:val="18"/>
        </w:rPr>
        <w:t> </w:t>
      </w:r>
      <w:r w:rsidRPr="00A75DF9">
        <w:rPr>
          <w:rFonts w:eastAsia="Calibri" w:cs="Tahoma"/>
          <w:color w:val="000000"/>
          <w:szCs w:val="18"/>
        </w:rPr>
        <w:t>buy-out delle licenze per processore e le altre società che acquistano licenze perpetue ai sensi del loro contratto e scelgono di non rinnovare la copertura Software Assurance in scadenza potranno eseguire BizTalk Server 2010 o l</w:t>
      </w:r>
      <w:r w:rsidR="00F2643E">
        <w:rPr>
          <w:rFonts w:eastAsia="Calibri" w:cs="Tahoma"/>
          <w:color w:val="000000"/>
          <w:szCs w:val="18"/>
        </w:rPr>
        <w:t>’</w:t>
      </w:r>
      <w:r w:rsidRPr="00A75DF9">
        <w:rPr>
          <w:rFonts w:eastAsia="Calibri" w:cs="Tahoma"/>
          <w:color w:val="000000"/>
          <w:szCs w:val="18"/>
        </w:rPr>
        <w:t>ultima versione di BizTalk Server disponibile ai sensi di tali licenze come indicato</w:t>
      </w:r>
      <w:r w:rsidR="00CA60ED">
        <w:rPr>
          <w:rFonts w:eastAsia="Calibri" w:cs="Tahoma"/>
          <w:color w:val="000000"/>
          <w:szCs w:val="18"/>
        </w:rPr>
        <w:t> </w:t>
      </w:r>
      <w:r w:rsidRPr="00A75DF9">
        <w:rPr>
          <w:rFonts w:eastAsia="Calibri" w:cs="Tahoma"/>
          <w:color w:val="000000"/>
          <w:szCs w:val="18"/>
        </w:rPr>
        <w:t>sotto:</w:t>
      </w:r>
    </w:p>
    <w:p w:rsidR="008233B3" w:rsidRPr="00A75DF9" w:rsidRDefault="008233B3" w:rsidP="008233B3">
      <w:pPr>
        <w:tabs>
          <w:tab w:val="left" w:pos="1440"/>
        </w:tabs>
        <w:ind w:left="720"/>
        <w:rPr>
          <w:rFonts w:cs="Tahoma"/>
        </w:rPr>
      </w:pPr>
    </w:p>
    <w:p w:rsidR="008233B3" w:rsidRPr="00A75DF9" w:rsidRDefault="008233B3" w:rsidP="00CA60ED">
      <w:pPr>
        <w:numPr>
          <w:ilvl w:val="0"/>
          <w:numId w:val="53"/>
        </w:numPr>
        <w:spacing w:after="60"/>
        <w:ind w:left="1440"/>
        <w:rPr>
          <w:rFonts w:cs="Tahoma"/>
        </w:rPr>
      </w:pPr>
      <w:r w:rsidRPr="00A75DF9">
        <w:rPr>
          <w:rFonts w:eastAsia="Calibri" w:cs="Tahoma"/>
          <w:b/>
          <w:color w:val="000000"/>
          <w:szCs w:val="18"/>
        </w:rPr>
        <w:t>BizTalk Server 2010 Enterprise:</w:t>
      </w:r>
      <w:r w:rsidRPr="00A75DF9">
        <w:rPr>
          <w:rFonts w:eastAsia="Calibri" w:cs="Tahoma"/>
          <w:color w:val="000000"/>
          <w:szCs w:val="18"/>
        </w:rPr>
        <w:t xml:space="preserve"> L</w:t>
      </w:r>
      <w:r w:rsidR="00F2643E">
        <w:rPr>
          <w:rFonts w:eastAsia="Calibri" w:cs="Tahoma"/>
          <w:color w:val="000000"/>
          <w:szCs w:val="18"/>
        </w:rPr>
        <w:t>’</w:t>
      </w:r>
      <w:r w:rsidRPr="00A75DF9">
        <w:rPr>
          <w:rFonts w:eastAsia="Calibri" w:cs="Tahoma"/>
          <w:color w:val="000000"/>
          <w:szCs w:val="18"/>
        </w:rPr>
        <w:t>utilizzo continuativo di questo software è soggetto ai diritti di</w:t>
      </w:r>
      <w:r w:rsidR="00CA60ED">
        <w:rPr>
          <w:rFonts w:eastAsia="Calibri" w:cs="Tahoma"/>
          <w:color w:val="000000"/>
          <w:szCs w:val="18"/>
        </w:rPr>
        <w:t> </w:t>
      </w:r>
      <w:r w:rsidRPr="00A75DF9">
        <w:rPr>
          <w:rFonts w:eastAsia="Calibri" w:cs="Tahoma"/>
          <w:color w:val="000000"/>
          <w:szCs w:val="18"/>
        </w:rPr>
        <w:t>utilizzo del prodotto previsti dalla licenza per processore per BizTalk Server 2010 Enterprise; tuttavia, le società non disporranno più di Mobilità delle Licenze tramite Software Assurance.</w:t>
      </w:r>
    </w:p>
    <w:p w:rsidR="008233B3" w:rsidRPr="00A75DF9" w:rsidRDefault="00F3254C" w:rsidP="00346F4B">
      <w:pPr>
        <w:numPr>
          <w:ilvl w:val="0"/>
          <w:numId w:val="53"/>
        </w:numPr>
        <w:tabs>
          <w:tab w:val="left" w:pos="1800"/>
        </w:tabs>
        <w:spacing w:after="60"/>
        <w:ind w:left="1440"/>
        <w:rPr>
          <w:rFonts w:cs="Tahoma"/>
        </w:rPr>
      </w:pPr>
      <w:r w:rsidRPr="00A75DF9">
        <w:rPr>
          <w:rFonts w:eastAsia="Calibri" w:cs="Tahoma"/>
          <w:b/>
          <w:color w:val="000000"/>
          <w:szCs w:val="18"/>
        </w:rPr>
        <w:t xml:space="preserve">Ultima versione di BizTalk Server Enterprise: </w:t>
      </w:r>
      <w:r w:rsidRPr="00A75DF9">
        <w:rPr>
          <w:rFonts w:eastAsia="Calibri" w:cs="Tahoma"/>
          <w:color w:val="000000"/>
          <w:szCs w:val="18"/>
        </w:rPr>
        <w:t>l</w:t>
      </w:r>
      <w:r w:rsidR="00F2643E">
        <w:rPr>
          <w:rFonts w:eastAsia="Calibri" w:cs="Tahoma"/>
          <w:color w:val="000000"/>
          <w:szCs w:val="18"/>
        </w:rPr>
        <w:t>’</w:t>
      </w:r>
      <w:r w:rsidRPr="00A75DF9">
        <w:rPr>
          <w:rFonts w:eastAsia="Calibri" w:cs="Tahoma"/>
          <w:color w:val="000000"/>
          <w:szCs w:val="18"/>
        </w:rPr>
        <w:t xml:space="preserve">utilizzo di tale versione del software è soggetto ai diritti di utilizzo del prodotto previsti dalla licenza per processore per BizTalk Server 2010 Enterprise, tuttavia: </w:t>
      </w:r>
    </w:p>
    <w:p w:rsidR="008233B3" w:rsidRPr="00A75DF9" w:rsidRDefault="008233B3" w:rsidP="00346F4B">
      <w:pPr>
        <w:numPr>
          <w:ilvl w:val="1"/>
          <w:numId w:val="53"/>
        </w:numPr>
        <w:tabs>
          <w:tab w:val="left" w:pos="2160"/>
        </w:tabs>
        <w:spacing w:after="60"/>
        <w:ind w:left="2160"/>
        <w:rPr>
          <w:rFonts w:cs="Tahoma"/>
        </w:rPr>
      </w:pPr>
      <w:r w:rsidRPr="00A75DF9">
        <w:rPr>
          <w:rFonts w:eastAsia="Calibri" w:cs="Tahoma"/>
          <w:color w:val="000000"/>
          <w:szCs w:val="18"/>
        </w:rPr>
        <w:t>le società non disporranno più della Mobilità delle Licenze all</w:t>
      </w:r>
      <w:r w:rsidR="00F2643E">
        <w:rPr>
          <w:rFonts w:eastAsia="Calibri" w:cs="Tahoma"/>
          <w:color w:val="000000"/>
          <w:szCs w:val="18"/>
        </w:rPr>
        <w:t>’</w:t>
      </w:r>
      <w:r w:rsidRPr="00A75DF9">
        <w:rPr>
          <w:rFonts w:eastAsia="Calibri" w:cs="Tahoma"/>
          <w:color w:val="000000"/>
          <w:szCs w:val="18"/>
        </w:rPr>
        <w:t xml:space="preserve">interno di Server Farm o della Mobilità delle Licenze tramite Software Assurance e </w:t>
      </w:r>
    </w:p>
    <w:p w:rsidR="008233B3" w:rsidRPr="00A75DF9" w:rsidRDefault="008233B3" w:rsidP="00CA60ED">
      <w:pPr>
        <w:numPr>
          <w:ilvl w:val="1"/>
          <w:numId w:val="53"/>
        </w:numPr>
        <w:tabs>
          <w:tab w:val="left" w:pos="2160"/>
          <w:tab w:val="left" w:pos="2970"/>
        </w:tabs>
        <w:spacing w:after="60"/>
        <w:ind w:left="2160"/>
        <w:rPr>
          <w:rFonts w:cs="Tahoma"/>
        </w:rPr>
      </w:pPr>
      <w:r w:rsidRPr="00A75DF9">
        <w:rPr>
          <w:rFonts w:eastAsia="Calibri" w:cs="Tahoma"/>
          <w:color w:val="000000"/>
          <w:szCs w:val="18"/>
        </w:rPr>
        <w:t>l</w:t>
      </w:r>
      <w:r w:rsidR="00F2643E">
        <w:rPr>
          <w:rFonts w:eastAsia="Calibri" w:cs="Tahoma"/>
          <w:color w:val="000000"/>
          <w:szCs w:val="18"/>
        </w:rPr>
        <w:t>’</w:t>
      </w:r>
      <w:r w:rsidRPr="00A75DF9">
        <w:rPr>
          <w:rFonts w:eastAsia="Calibri" w:cs="Tahoma"/>
          <w:color w:val="000000"/>
          <w:szCs w:val="18"/>
        </w:rPr>
        <w:t>eventuale riassegnazione di licenze è soggetta ai limiti che seguono relativi alla loro “equivalenza di licenze core”. L</w:t>
      </w:r>
      <w:r w:rsidR="00F2643E">
        <w:rPr>
          <w:rFonts w:eastAsia="Calibri" w:cs="Tahoma"/>
          <w:color w:val="000000"/>
          <w:szCs w:val="18"/>
        </w:rPr>
        <w:t>’</w:t>
      </w:r>
      <w:r w:rsidRPr="00A75DF9">
        <w:rPr>
          <w:rFonts w:eastAsia="Calibri" w:cs="Tahoma"/>
          <w:color w:val="000000"/>
          <w:szCs w:val="18"/>
        </w:rPr>
        <w:t>equivalenza di licenze core è determinata come di seguito</w:t>
      </w:r>
      <w:r w:rsidR="00CA60ED">
        <w:rPr>
          <w:rFonts w:eastAsia="Calibri" w:cs="Tahoma"/>
          <w:color w:val="000000"/>
          <w:szCs w:val="18"/>
        </w:rPr>
        <w:t> </w:t>
      </w:r>
      <w:r w:rsidRPr="00A75DF9">
        <w:rPr>
          <w:rFonts w:eastAsia="Calibri" w:cs="Tahoma"/>
          <w:color w:val="000000"/>
          <w:szCs w:val="18"/>
        </w:rPr>
        <w:t xml:space="preserve">riportato. </w:t>
      </w:r>
    </w:p>
    <w:p w:rsidR="008233B3" w:rsidRPr="00A75DF9" w:rsidRDefault="008233B3" w:rsidP="00346F4B">
      <w:pPr>
        <w:numPr>
          <w:ilvl w:val="2"/>
          <w:numId w:val="53"/>
        </w:numPr>
        <w:tabs>
          <w:tab w:val="left" w:pos="2520"/>
        </w:tabs>
        <w:spacing w:after="60"/>
        <w:ind w:left="2520"/>
        <w:rPr>
          <w:rFonts w:cs="Tahoma"/>
        </w:rPr>
      </w:pPr>
      <w:r w:rsidRPr="00A75DF9">
        <w:rPr>
          <w:rFonts w:eastAsia="Calibri" w:cs="Tahoma"/>
          <w:color w:val="000000"/>
          <w:szCs w:val="18"/>
        </w:rPr>
        <w:t>Per ogni licenza qualificante ceduta al server, l</w:t>
      </w:r>
      <w:r w:rsidR="00F2643E">
        <w:rPr>
          <w:rFonts w:eastAsia="Calibri" w:cs="Tahoma"/>
          <w:color w:val="000000"/>
          <w:szCs w:val="18"/>
        </w:rPr>
        <w:t>’</w:t>
      </w:r>
      <w:r w:rsidRPr="00A75DF9">
        <w:rPr>
          <w:rFonts w:eastAsia="Calibri" w:cs="Tahoma"/>
          <w:color w:val="000000"/>
          <w:szCs w:val="18"/>
        </w:rPr>
        <w:t xml:space="preserve">equivalenza di licenze core è il numero maggiore tra: </w:t>
      </w:r>
    </w:p>
    <w:p w:rsidR="008233B3" w:rsidRPr="00A75DF9" w:rsidRDefault="008233B3" w:rsidP="00346F4B">
      <w:pPr>
        <w:numPr>
          <w:ilvl w:val="4"/>
          <w:numId w:val="126"/>
        </w:numPr>
        <w:tabs>
          <w:tab w:val="left" w:pos="2880"/>
        </w:tabs>
        <w:spacing w:after="60"/>
        <w:ind w:left="2880"/>
        <w:rPr>
          <w:rFonts w:cs="Tahoma"/>
        </w:rPr>
      </w:pPr>
      <w:r w:rsidRPr="00A75DF9">
        <w:rPr>
          <w:rFonts w:eastAsia="Calibri" w:cs="Tahoma"/>
          <w:color w:val="000000"/>
          <w:szCs w:val="18"/>
        </w:rPr>
        <w:t xml:space="preserve">quattro core per licenza per processore O </w:t>
      </w:r>
    </w:p>
    <w:p w:rsidR="008233B3" w:rsidRPr="00A75DF9" w:rsidRDefault="008233B3" w:rsidP="00346F4B">
      <w:pPr>
        <w:numPr>
          <w:ilvl w:val="4"/>
          <w:numId w:val="126"/>
        </w:numPr>
        <w:tabs>
          <w:tab w:val="left" w:pos="2880"/>
        </w:tabs>
        <w:spacing w:after="60"/>
        <w:ind w:left="2880"/>
        <w:rPr>
          <w:rFonts w:cs="Tahoma"/>
        </w:rPr>
      </w:pPr>
      <w:r w:rsidRPr="00A75DF9">
        <w:rPr>
          <w:rFonts w:eastAsia="Calibri" w:cs="Tahoma"/>
          <w:color w:val="000000"/>
          <w:szCs w:val="18"/>
        </w:rPr>
        <w:t>un numero di core per licenza per processore basato sul numero effettivo di core per processore fisico moltiplicato per il fattore core appropriato. (Nei casi in cui il numero effettivo di core per processore fisico superi quattro, le società dovranno conservare un record della configurazione del software BizTalk Server in esecuzione sul server (istanze con licenza in esecuzione negli ambienti del sistema operativo sul server con licenza) e l</w:t>
      </w:r>
      <w:r w:rsidR="00F2643E">
        <w:rPr>
          <w:rFonts w:eastAsia="Calibri" w:cs="Tahoma"/>
          <w:color w:val="000000"/>
          <w:szCs w:val="18"/>
        </w:rPr>
        <w:t>’</w:t>
      </w:r>
      <w:r w:rsidRPr="00A75DF9">
        <w:rPr>
          <w:rFonts w:eastAsia="Calibri" w:cs="Tahoma"/>
          <w:color w:val="000000"/>
          <w:szCs w:val="18"/>
        </w:rPr>
        <w:t xml:space="preserve">hardware fisico che supporta tale software appena prima della scadenza di Software Assurance utilizzando lo strumento MAP di Microsoft o un software equivalente). </w:t>
      </w:r>
    </w:p>
    <w:p w:rsidR="008233B3" w:rsidRPr="00A75DF9" w:rsidRDefault="008233B3" w:rsidP="00346F4B">
      <w:pPr>
        <w:numPr>
          <w:ilvl w:val="1"/>
          <w:numId w:val="127"/>
        </w:numPr>
        <w:tabs>
          <w:tab w:val="left" w:pos="1800"/>
        </w:tabs>
        <w:spacing w:after="60"/>
        <w:rPr>
          <w:rFonts w:cs="Tahoma"/>
        </w:rPr>
      </w:pPr>
      <w:r w:rsidRPr="00A75DF9">
        <w:rPr>
          <w:rFonts w:eastAsia="Calibri" w:cs="Tahoma"/>
          <w:color w:val="000000"/>
          <w:szCs w:val="18"/>
        </w:rPr>
        <w:t>Le società potranno riassegnare le licenze a un altro server. Tuttavia, qualora la società riassegni una licenza a un altro server, dovrà attenersi ai diritti sull</w:t>
      </w:r>
      <w:r w:rsidR="00F2643E">
        <w:rPr>
          <w:rFonts w:eastAsia="Calibri" w:cs="Tahoma"/>
          <w:color w:val="000000"/>
          <w:szCs w:val="18"/>
        </w:rPr>
        <w:t>’</w:t>
      </w:r>
      <w:r w:rsidRPr="00A75DF9">
        <w:rPr>
          <w:rFonts w:eastAsia="Calibri" w:cs="Tahoma"/>
          <w:color w:val="000000"/>
          <w:szCs w:val="18"/>
        </w:rPr>
        <w:t>utilizzo della versione del software in uso. Quando cede licenze core a server nei modi descritti, la società potrà combinare l</w:t>
      </w:r>
      <w:r w:rsidR="00F2643E">
        <w:rPr>
          <w:rFonts w:eastAsia="Calibri" w:cs="Tahoma"/>
          <w:color w:val="000000"/>
          <w:szCs w:val="18"/>
        </w:rPr>
        <w:t>’</w:t>
      </w:r>
      <w:r w:rsidRPr="00A75DF9">
        <w:rPr>
          <w:rFonts w:eastAsia="Calibri" w:cs="Tahoma"/>
          <w:color w:val="000000"/>
          <w:szCs w:val="18"/>
        </w:rPr>
        <w:t>equivalenza core delle licenze esistenti con le licenze core per BizTalk Server aggiuntive.</w:t>
      </w:r>
    </w:p>
    <w:p w:rsidR="008233B3" w:rsidRPr="00A75DF9" w:rsidRDefault="008233B3" w:rsidP="00346F4B">
      <w:pPr>
        <w:numPr>
          <w:ilvl w:val="1"/>
          <w:numId w:val="127"/>
        </w:numPr>
        <w:tabs>
          <w:tab w:val="left" w:pos="1800"/>
          <w:tab w:val="left" w:pos="2970"/>
        </w:tabs>
        <w:spacing w:after="60"/>
        <w:rPr>
          <w:rFonts w:cs="Tahoma"/>
        </w:rPr>
      </w:pPr>
      <w:r w:rsidRPr="00A75DF9">
        <w:rPr>
          <w:rFonts w:eastAsia="Calibri" w:cs="Tahoma"/>
          <w:color w:val="000000"/>
          <w:szCs w:val="18"/>
        </w:rPr>
        <w:t>L</w:t>
      </w:r>
      <w:r w:rsidR="00F2643E">
        <w:rPr>
          <w:rFonts w:eastAsia="Calibri" w:cs="Tahoma"/>
          <w:color w:val="000000"/>
          <w:szCs w:val="18"/>
        </w:rPr>
        <w:t>’</w:t>
      </w:r>
      <w:r w:rsidRPr="00A75DF9">
        <w:rPr>
          <w:rFonts w:eastAsia="Calibri" w:cs="Tahoma"/>
          <w:color w:val="000000"/>
          <w:szCs w:val="18"/>
        </w:rPr>
        <w:t>equivalenza di licenze core stimata delle società non implica che esse possano cedere una licenza singola per processore a core attraverso due o più processori.</w:t>
      </w:r>
    </w:p>
    <w:p w:rsidR="008233B3" w:rsidRPr="00A75DF9" w:rsidRDefault="00A560B6" w:rsidP="008233B3">
      <w:pPr>
        <w:pStyle w:val="Heading3"/>
        <w:rPr>
          <w:rFonts w:ascii="Tahoma" w:hAnsi="Tahoma" w:cs="Tahoma"/>
        </w:rPr>
      </w:pPr>
      <w:bookmarkStart w:id="1149" w:name="_37_BizTalk_Server®"/>
      <w:bookmarkStart w:id="1150" w:name="_Toc343596569"/>
      <w:bookmarkStart w:id="1151" w:name="_Toc368310288"/>
      <w:bookmarkEnd w:id="1149"/>
      <w:r w:rsidRPr="00A75DF9">
        <w:rPr>
          <w:rFonts w:ascii="Tahoma" w:hAnsi="Tahoma" w:cs="Tahoma"/>
          <w:caps/>
          <w:color w:val="F66400"/>
          <w:sz w:val="22"/>
          <w:vertAlign w:val="superscript"/>
        </w:rPr>
        <w:lastRenderedPageBreak/>
        <w:t>38</w:t>
      </w:r>
      <w:r w:rsidRPr="00A75DF9">
        <w:rPr>
          <w:rFonts w:ascii="Tahoma" w:hAnsi="Tahoma" w:cs="Tahoma"/>
          <w:color w:val="F66400"/>
          <w:sz w:val="22"/>
        </w:rPr>
        <w:t xml:space="preserve"> BizTalk Server</w:t>
      </w:r>
      <w:r w:rsidR="009D5D7B" w:rsidRPr="00A75DF9">
        <w:rPr>
          <w:rFonts w:ascii="Tahoma" w:hAnsi="Tahoma" w:cs="Tahoma"/>
          <w:color w:val="F66400"/>
          <w:sz w:val="22"/>
          <w:vertAlign w:val="superscript"/>
        </w:rPr>
        <w:t>®</w:t>
      </w:r>
      <w:r w:rsidRPr="00A75DF9">
        <w:rPr>
          <w:rFonts w:ascii="Tahoma" w:hAnsi="Tahoma" w:cs="Tahoma"/>
          <w:color w:val="F66400"/>
          <w:sz w:val="22"/>
        </w:rPr>
        <w:t xml:space="preserve"> 2013 Standard</w:t>
      </w:r>
      <w:bookmarkEnd w:id="1151"/>
      <w:r w:rsidRPr="00A75DF9">
        <w:rPr>
          <w:rFonts w:ascii="Tahoma" w:eastAsia="Calibri" w:hAnsi="Tahoma" w:cs="Tahoma"/>
          <w:color w:val="F66400"/>
          <w:sz w:val="22"/>
          <w:szCs w:val="18"/>
        </w:rPr>
        <w:t xml:space="preserve"> </w:t>
      </w:r>
      <w:bookmarkEnd w:id="1150"/>
    </w:p>
    <w:p w:rsidR="008233B3" w:rsidRPr="00A75DF9" w:rsidRDefault="008233B3" w:rsidP="008233B3">
      <w:pPr>
        <w:rPr>
          <w:rFonts w:cs="Tahoma"/>
        </w:rPr>
      </w:pPr>
    </w:p>
    <w:p w:rsidR="008233B3" w:rsidRPr="00A75DF9" w:rsidRDefault="008233B3" w:rsidP="008233B3">
      <w:pPr>
        <w:spacing w:after="60"/>
        <w:ind w:left="720"/>
        <w:rPr>
          <w:rFonts w:cs="Tahoma"/>
        </w:rPr>
      </w:pPr>
      <w:r w:rsidRPr="00A75DF9">
        <w:rPr>
          <w:rFonts w:eastAsia="Calibri" w:cs="Tahoma"/>
          <w:b/>
          <w:color w:val="000000"/>
          <w:szCs w:val="18"/>
        </w:rPr>
        <w:t>Concessioni di Licenza Associate alla Variazione del Modello di Licenza</w:t>
      </w:r>
    </w:p>
    <w:p w:rsidR="008233B3" w:rsidRPr="00A75DF9" w:rsidRDefault="008233B3" w:rsidP="009D3B41">
      <w:pPr>
        <w:ind w:left="720"/>
        <w:rPr>
          <w:rFonts w:cs="Tahoma"/>
        </w:rPr>
      </w:pPr>
      <w:r w:rsidRPr="00A75DF9">
        <w:rPr>
          <w:rFonts w:eastAsia="Calibri" w:cs="Tahoma"/>
          <w:color w:val="000000"/>
          <w:szCs w:val="18"/>
        </w:rPr>
        <w:t>BizTalk Server 2010 sarà l</w:t>
      </w:r>
      <w:r w:rsidR="00F2643E">
        <w:rPr>
          <w:rFonts w:eastAsia="Calibri" w:cs="Tahoma"/>
          <w:color w:val="000000"/>
          <w:szCs w:val="18"/>
        </w:rPr>
        <w:t>’</w:t>
      </w:r>
      <w:r w:rsidRPr="00A75DF9">
        <w:rPr>
          <w:rFonts w:eastAsia="Calibri" w:cs="Tahoma"/>
          <w:color w:val="000000"/>
          <w:szCs w:val="18"/>
        </w:rPr>
        <w:t>ultima versione di BizTalk Server concessa in licenza ai sensi del modello di licenza per processore.</w:t>
      </w:r>
      <w:r w:rsidR="009D3B41" w:rsidRPr="00A75DF9">
        <w:rPr>
          <w:rFonts w:eastAsia="Calibri" w:cs="Tahoma"/>
          <w:color w:val="000000"/>
          <w:szCs w:val="18"/>
        </w:rPr>
        <w:t xml:space="preserve"> </w:t>
      </w:r>
      <w:r w:rsidRPr="00A75DF9">
        <w:rPr>
          <w:rFonts w:eastAsia="Calibri" w:cs="Tahoma"/>
          <w:color w:val="000000"/>
          <w:szCs w:val="18"/>
        </w:rPr>
        <w:t>In via eccezionale, alle società con Contratti Multilicenza e copertura Software Assurance attiva per le licenze per processore per BizTalk Server 2010 Standard alla data di pubblicazione della presente Lista dei Prodotti (“licenze qualificanti”) vengono offerte le opzioni che seguono.</w:t>
      </w:r>
    </w:p>
    <w:p w:rsidR="008233B3" w:rsidRPr="00A75DF9" w:rsidRDefault="008233B3" w:rsidP="008233B3">
      <w:pPr>
        <w:ind w:left="720"/>
        <w:rPr>
          <w:rFonts w:cs="Tahoma"/>
        </w:rPr>
      </w:pPr>
    </w:p>
    <w:p w:rsidR="008233B3" w:rsidRPr="00A75DF9" w:rsidRDefault="008233B3" w:rsidP="008233B3">
      <w:pPr>
        <w:spacing w:after="60"/>
        <w:ind w:left="720"/>
        <w:rPr>
          <w:rFonts w:cs="Tahoma"/>
        </w:rPr>
      </w:pPr>
      <w:r w:rsidRPr="00A75DF9">
        <w:rPr>
          <w:rFonts w:eastAsia="Calibri" w:cs="Tahoma"/>
          <w:b/>
          <w:color w:val="000000"/>
          <w:szCs w:val="18"/>
        </w:rPr>
        <w:t>Periodo di Validità Corrente</w:t>
      </w:r>
    </w:p>
    <w:p w:rsidR="008233B3" w:rsidRPr="00A75DF9" w:rsidRDefault="008233B3" w:rsidP="008233B3">
      <w:pPr>
        <w:ind w:left="720"/>
        <w:rPr>
          <w:rFonts w:cs="Tahoma"/>
        </w:rPr>
      </w:pPr>
      <w:r w:rsidRPr="00A75DF9">
        <w:rPr>
          <w:rFonts w:eastAsia="Calibri" w:cs="Tahoma"/>
          <w:color w:val="000000"/>
          <w:szCs w:val="18"/>
        </w:rPr>
        <w:t>Durante il periodo di validità corrente della copertura Software Assurance le società (incluse le società titolari di contratti “subscription”) potranno, ai sensi di una licenza qualificante, effettuare l</w:t>
      </w:r>
      <w:r w:rsidR="00F2643E">
        <w:rPr>
          <w:rFonts w:eastAsia="Calibri" w:cs="Tahoma"/>
          <w:color w:val="000000"/>
          <w:szCs w:val="18"/>
        </w:rPr>
        <w:t>’</w:t>
      </w:r>
      <w:r w:rsidRPr="00A75DF9">
        <w:rPr>
          <w:rFonts w:eastAsia="Calibri" w:cs="Tahoma"/>
          <w:color w:val="000000"/>
          <w:szCs w:val="18"/>
        </w:rPr>
        <w:t>aggiornamento all</w:t>
      </w:r>
      <w:r w:rsidR="00F2643E">
        <w:rPr>
          <w:rFonts w:eastAsia="Calibri" w:cs="Tahoma"/>
          <w:color w:val="000000"/>
          <w:szCs w:val="18"/>
        </w:rPr>
        <w:t>’</w:t>
      </w:r>
      <w:r w:rsidRPr="00A75DF9">
        <w:rPr>
          <w:rFonts w:eastAsia="Calibri" w:cs="Tahoma"/>
          <w:color w:val="000000"/>
          <w:szCs w:val="18"/>
        </w:rPr>
        <w:t xml:space="preserve">ultima versione del software BizTalk Server Standard e utilizzarlo al posto di BizTalk Server 2010 Standard in conformità ai diritti di utilizzo del prodotto previsti dalla licenza per processore per BizTalk Server 2010 Standard (come indicato nei Diritti di Utilizzo del Prodotto del mese di gennaio 2013). </w:t>
      </w:r>
    </w:p>
    <w:p w:rsidR="008233B3" w:rsidRPr="00A75DF9" w:rsidRDefault="008233B3" w:rsidP="008233B3">
      <w:pPr>
        <w:ind w:left="720"/>
        <w:rPr>
          <w:rFonts w:cs="Tahoma"/>
        </w:rPr>
      </w:pPr>
    </w:p>
    <w:p w:rsidR="008233B3" w:rsidRPr="00A75DF9" w:rsidRDefault="008233B3" w:rsidP="008233B3">
      <w:pPr>
        <w:spacing w:after="60"/>
        <w:ind w:left="720"/>
        <w:rPr>
          <w:rFonts w:cs="Tahoma"/>
        </w:rPr>
      </w:pPr>
      <w:r w:rsidRPr="00A75DF9">
        <w:rPr>
          <w:rFonts w:eastAsia="Calibri" w:cs="Tahoma"/>
          <w:b/>
          <w:color w:val="000000"/>
          <w:szCs w:val="18"/>
        </w:rPr>
        <w:t>Primo Periodo di Rinnovo</w:t>
      </w:r>
    </w:p>
    <w:p w:rsidR="008233B3" w:rsidRPr="00A75DF9" w:rsidRDefault="008233B3" w:rsidP="008233B3">
      <w:pPr>
        <w:tabs>
          <w:tab w:val="left" w:pos="1800"/>
        </w:tabs>
        <w:spacing w:after="60"/>
        <w:ind w:left="720"/>
        <w:rPr>
          <w:rFonts w:cs="Tahoma"/>
        </w:rPr>
      </w:pPr>
      <w:r w:rsidRPr="00A75DF9">
        <w:rPr>
          <w:rFonts w:eastAsia="Calibri" w:cs="Tahoma"/>
          <w:color w:val="000000"/>
          <w:szCs w:val="18"/>
        </w:rPr>
        <w:t xml:space="preserve">In occasione del primo rinnovo di Software Assurance in data 1 aprile 2013 o successiva, per ogni server che una società ha ricevuto validamente in licenza in conformità ai diritti di utilizzo del prodotto previsti dalla licenza per processore per BizTalk Server 2010, la società potrà acquistare la copertura Software Assurance per le licenze core per BizTalk Server Standard senza dovere acquistare le licenze core sottostanti per un numero di licenze core pari al numero di licenze per processore qualificanti cedute al server moltiplicato per il maggiore tra: </w:t>
      </w:r>
    </w:p>
    <w:p w:rsidR="008233B3" w:rsidRPr="00A75DF9" w:rsidRDefault="008233B3" w:rsidP="00346F4B">
      <w:pPr>
        <w:numPr>
          <w:ilvl w:val="3"/>
          <w:numId w:val="93"/>
        </w:numPr>
        <w:tabs>
          <w:tab w:val="left" w:pos="2160"/>
        </w:tabs>
        <w:spacing w:after="60"/>
        <w:ind w:left="2160"/>
        <w:rPr>
          <w:rFonts w:cs="Tahoma"/>
        </w:rPr>
      </w:pPr>
      <w:r w:rsidRPr="00A75DF9">
        <w:rPr>
          <w:rFonts w:eastAsia="Calibri" w:cs="Tahoma"/>
          <w:color w:val="000000"/>
          <w:szCs w:val="18"/>
        </w:rPr>
        <w:t>quattro O</w:t>
      </w:r>
    </w:p>
    <w:p w:rsidR="008233B3" w:rsidRPr="00A75DF9" w:rsidRDefault="008233B3" w:rsidP="00346F4B">
      <w:pPr>
        <w:numPr>
          <w:ilvl w:val="3"/>
          <w:numId w:val="93"/>
        </w:numPr>
        <w:tabs>
          <w:tab w:val="left" w:pos="2160"/>
        </w:tabs>
        <w:spacing w:after="60"/>
        <w:ind w:left="2160"/>
        <w:rPr>
          <w:rFonts w:cs="Tahoma"/>
        </w:rPr>
      </w:pPr>
      <w:r w:rsidRPr="00A75DF9">
        <w:rPr>
          <w:rFonts w:eastAsia="Calibri" w:cs="Tahoma"/>
          <w:color w:val="000000"/>
          <w:szCs w:val="18"/>
        </w:rPr>
        <w:t>il numero effettivo di core per processore fisico moltiplicato per il fattore core appropriato.</w:t>
      </w:r>
      <w:r w:rsidR="009D3B41" w:rsidRPr="00A75DF9">
        <w:rPr>
          <w:rFonts w:eastAsia="Calibri" w:cs="Tahoma"/>
          <w:color w:val="000000"/>
          <w:szCs w:val="18"/>
        </w:rPr>
        <w:t xml:space="preserve"> </w:t>
      </w:r>
      <w:r w:rsidRPr="00A75DF9">
        <w:rPr>
          <w:rFonts w:eastAsia="Calibri" w:cs="Tahoma"/>
          <w:color w:val="000000"/>
          <w:szCs w:val="18"/>
        </w:rPr>
        <w:t>(Nei casi in cui il numero effettivo di core per processore fisico superi quattro, le società dovranno conservare un record della configurazione del software BizTalk Server in esecuzione sul server (istanze con licenza in esecuzione negli ambienti del sistema operativo sul server con licenza) e l</w:t>
      </w:r>
      <w:r w:rsidR="00F2643E">
        <w:rPr>
          <w:rFonts w:eastAsia="Calibri" w:cs="Tahoma"/>
          <w:color w:val="000000"/>
          <w:szCs w:val="18"/>
        </w:rPr>
        <w:t>’</w:t>
      </w:r>
      <w:r w:rsidRPr="00A75DF9">
        <w:rPr>
          <w:rFonts w:eastAsia="Calibri" w:cs="Tahoma"/>
          <w:color w:val="000000"/>
          <w:szCs w:val="18"/>
        </w:rPr>
        <w:t xml:space="preserve">hardware fisico che supporta tale software appena prima del rinnovo di Software Assurance utilizzando lo strumento MAP di Microsoft o un software equivalente). </w:t>
      </w:r>
    </w:p>
    <w:p w:rsidR="008233B3" w:rsidRPr="00A75DF9" w:rsidRDefault="008233B3" w:rsidP="008233B3">
      <w:pPr>
        <w:tabs>
          <w:tab w:val="left" w:pos="1800"/>
        </w:tabs>
        <w:ind w:left="1080"/>
        <w:rPr>
          <w:rFonts w:cs="Tahoma"/>
        </w:rPr>
      </w:pPr>
    </w:p>
    <w:p w:rsidR="008233B3" w:rsidRPr="00A75DF9" w:rsidRDefault="008233B3" w:rsidP="008233B3">
      <w:pPr>
        <w:spacing w:after="60"/>
        <w:ind w:left="720"/>
        <w:rPr>
          <w:rFonts w:cs="Tahoma"/>
        </w:rPr>
      </w:pPr>
      <w:r w:rsidRPr="00A75DF9">
        <w:rPr>
          <w:rFonts w:eastAsia="Calibri" w:cs="Tahoma"/>
          <w:color w:val="000000"/>
          <w:szCs w:val="18"/>
        </w:rPr>
        <w:t xml:space="preserve">Le licenze per processore delle società non sono più valide se si acquista la copertura Software Assurance per licenze core ai sensi della presente offerta. </w:t>
      </w:r>
      <w:r w:rsidRPr="00A75DF9">
        <w:rPr>
          <w:rFonts w:eastAsia="Calibri" w:cs="Tahoma"/>
          <w:szCs w:val="18"/>
        </w:rPr>
        <w:t>L</w:t>
      </w:r>
      <w:r w:rsidR="00F2643E">
        <w:rPr>
          <w:rFonts w:eastAsia="Calibri" w:cs="Tahoma"/>
          <w:szCs w:val="18"/>
        </w:rPr>
        <w:t>’</w:t>
      </w:r>
      <w:r w:rsidRPr="00A75DF9">
        <w:rPr>
          <w:rFonts w:eastAsia="Calibri" w:cs="Tahoma"/>
          <w:szCs w:val="18"/>
        </w:rPr>
        <w:t>opzione di acquistare Software Assurance per le licenze core per BizTalk Server non è applicabile al rinnovo della copertura ai sensi dei programmi di sottoscrizione.</w:t>
      </w:r>
      <w:r w:rsidR="009D3B41" w:rsidRPr="00A75DF9">
        <w:rPr>
          <w:rFonts w:eastAsia="Calibri" w:cs="Tahoma"/>
          <w:szCs w:val="18"/>
        </w:rPr>
        <w:t xml:space="preserve"> </w:t>
      </w:r>
    </w:p>
    <w:p w:rsidR="008233B3" w:rsidRPr="00A75DF9" w:rsidRDefault="008233B3" w:rsidP="008233B3">
      <w:pPr>
        <w:ind w:left="1440"/>
        <w:rPr>
          <w:rFonts w:cs="Tahoma"/>
        </w:rPr>
      </w:pPr>
    </w:p>
    <w:p w:rsidR="008233B3" w:rsidRPr="00A75DF9" w:rsidRDefault="008233B3" w:rsidP="008233B3">
      <w:pPr>
        <w:tabs>
          <w:tab w:val="left" w:pos="1440"/>
        </w:tabs>
        <w:spacing w:after="60"/>
        <w:ind w:left="720"/>
        <w:rPr>
          <w:rFonts w:cs="Tahoma"/>
        </w:rPr>
      </w:pPr>
      <w:r w:rsidRPr="00A75DF9">
        <w:rPr>
          <w:rFonts w:eastAsia="Calibri" w:cs="Tahoma"/>
          <w:b/>
          <w:color w:val="000000"/>
          <w:szCs w:val="18"/>
        </w:rPr>
        <w:t>Per le Società con copertura Software Assurance che scelgono di non effettuare il rinnovo</w:t>
      </w:r>
    </w:p>
    <w:p w:rsidR="008233B3" w:rsidRPr="00A75DF9" w:rsidRDefault="008233B3" w:rsidP="00CA60ED">
      <w:pPr>
        <w:tabs>
          <w:tab w:val="left" w:pos="1440"/>
        </w:tabs>
        <w:ind w:left="720"/>
        <w:rPr>
          <w:rFonts w:cs="Tahoma"/>
        </w:rPr>
      </w:pPr>
      <w:r w:rsidRPr="00A75DF9">
        <w:rPr>
          <w:rFonts w:eastAsia="Calibri" w:cs="Tahoma"/>
          <w:color w:val="000000"/>
          <w:szCs w:val="18"/>
        </w:rPr>
        <w:t xml:space="preserve">Le società titolari di contratti Enterprise Subscription </w:t>
      </w:r>
      <w:r w:rsidRPr="00A75DF9">
        <w:rPr>
          <w:rFonts w:cs="Tahoma"/>
          <w:bCs/>
          <w:color w:val="000000"/>
          <w:szCs w:val="18"/>
        </w:rPr>
        <w:t xml:space="preserve">e Open Value Subscription </w:t>
      </w:r>
      <w:r w:rsidRPr="00A75DF9">
        <w:rPr>
          <w:rFonts w:eastAsia="Calibri" w:cs="Tahoma"/>
          <w:color w:val="000000"/>
          <w:szCs w:val="18"/>
        </w:rPr>
        <w:t>che scelgono di effettuare il</w:t>
      </w:r>
      <w:r w:rsidR="00CA60ED">
        <w:rPr>
          <w:rFonts w:eastAsia="Calibri" w:cs="Tahoma"/>
          <w:color w:val="000000"/>
          <w:szCs w:val="18"/>
        </w:rPr>
        <w:t> </w:t>
      </w:r>
      <w:r w:rsidRPr="00A75DF9">
        <w:rPr>
          <w:rFonts w:eastAsia="Calibri" w:cs="Tahoma"/>
          <w:color w:val="000000"/>
          <w:szCs w:val="18"/>
        </w:rPr>
        <w:t>buy-out delle licenze per processore e le altre società che acquistano licenze perpetue ai sensi del loro contratto e scelgono di non rinnovare la copertura Software Assurance in scadenza potranno eseguire BizTalk Server 2010 o l</w:t>
      </w:r>
      <w:r w:rsidR="00F2643E">
        <w:rPr>
          <w:rFonts w:eastAsia="Calibri" w:cs="Tahoma"/>
          <w:color w:val="000000"/>
          <w:szCs w:val="18"/>
        </w:rPr>
        <w:t>’</w:t>
      </w:r>
      <w:r w:rsidRPr="00A75DF9">
        <w:rPr>
          <w:rFonts w:eastAsia="Calibri" w:cs="Tahoma"/>
          <w:color w:val="000000"/>
          <w:szCs w:val="18"/>
        </w:rPr>
        <w:t>ultima versione di BizTalk Server ai sensi di tali licenze come indicato sotto:</w:t>
      </w:r>
    </w:p>
    <w:p w:rsidR="008233B3" w:rsidRPr="00A75DF9" w:rsidRDefault="008233B3" w:rsidP="008233B3">
      <w:pPr>
        <w:tabs>
          <w:tab w:val="left" w:pos="1440"/>
        </w:tabs>
        <w:ind w:left="720"/>
        <w:rPr>
          <w:rFonts w:cs="Tahoma"/>
        </w:rPr>
      </w:pPr>
    </w:p>
    <w:p w:rsidR="008233B3" w:rsidRPr="00A75DF9" w:rsidRDefault="008233B3" w:rsidP="00CA60ED">
      <w:pPr>
        <w:numPr>
          <w:ilvl w:val="0"/>
          <w:numId w:val="53"/>
        </w:numPr>
        <w:spacing w:after="60"/>
        <w:ind w:left="1440"/>
        <w:rPr>
          <w:rFonts w:cs="Tahoma"/>
        </w:rPr>
      </w:pPr>
      <w:r w:rsidRPr="00A75DF9">
        <w:rPr>
          <w:rFonts w:eastAsia="Calibri" w:cs="Tahoma"/>
          <w:b/>
          <w:color w:val="000000"/>
          <w:szCs w:val="18"/>
        </w:rPr>
        <w:t>BizTalk Server 2010 Standard:</w:t>
      </w:r>
      <w:r w:rsidRPr="00A75DF9">
        <w:rPr>
          <w:rFonts w:eastAsia="Calibri" w:cs="Tahoma"/>
          <w:color w:val="000000"/>
          <w:szCs w:val="18"/>
        </w:rPr>
        <w:t xml:space="preserve"> L</w:t>
      </w:r>
      <w:r w:rsidR="00F2643E">
        <w:rPr>
          <w:rFonts w:eastAsia="Calibri" w:cs="Tahoma"/>
          <w:color w:val="000000"/>
          <w:szCs w:val="18"/>
        </w:rPr>
        <w:t>’</w:t>
      </w:r>
      <w:r w:rsidRPr="00A75DF9">
        <w:rPr>
          <w:rFonts w:eastAsia="Calibri" w:cs="Tahoma"/>
          <w:color w:val="000000"/>
          <w:szCs w:val="18"/>
        </w:rPr>
        <w:t>utilizzo continuativo di questo software è soggetto ai diritti di</w:t>
      </w:r>
      <w:r w:rsidR="00CA60ED">
        <w:rPr>
          <w:rFonts w:eastAsia="Calibri" w:cs="Tahoma"/>
          <w:color w:val="000000"/>
          <w:szCs w:val="18"/>
        </w:rPr>
        <w:t> </w:t>
      </w:r>
      <w:r w:rsidRPr="00A75DF9">
        <w:rPr>
          <w:rFonts w:eastAsia="Calibri" w:cs="Tahoma"/>
          <w:color w:val="000000"/>
          <w:szCs w:val="18"/>
        </w:rPr>
        <w:t>utilizzo del prodotto previsti dalla licenza per processore per BizTalk Server 2010 Standard; tuttavia, le società non disporranno più di Mobilità delle Licenze tramite Software Assurance.</w:t>
      </w:r>
    </w:p>
    <w:p w:rsidR="008233B3" w:rsidRPr="00A75DF9" w:rsidRDefault="00F3254C" w:rsidP="00346F4B">
      <w:pPr>
        <w:numPr>
          <w:ilvl w:val="0"/>
          <w:numId w:val="53"/>
        </w:numPr>
        <w:tabs>
          <w:tab w:val="left" w:pos="1800"/>
        </w:tabs>
        <w:spacing w:after="60"/>
        <w:ind w:left="1440"/>
        <w:rPr>
          <w:rFonts w:cs="Tahoma"/>
        </w:rPr>
      </w:pPr>
      <w:r w:rsidRPr="00A75DF9">
        <w:rPr>
          <w:rFonts w:eastAsia="Calibri" w:cs="Tahoma"/>
          <w:b/>
          <w:color w:val="000000"/>
          <w:szCs w:val="18"/>
        </w:rPr>
        <w:t xml:space="preserve">Ultima versione di BizTalk Server Standard: </w:t>
      </w:r>
      <w:r w:rsidRPr="00A75DF9">
        <w:rPr>
          <w:rFonts w:eastAsia="Calibri" w:cs="Tahoma"/>
          <w:color w:val="000000"/>
          <w:szCs w:val="18"/>
        </w:rPr>
        <w:t>l</w:t>
      </w:r>
      <w:r w:rsidR="00F2643E">
        <w:rPr>
          <w:rFonts w:eastAsia="Calibri" w:cs="Tahoma"/>
          <w:color w:val="000000"/>
          <w:szCs w:val="18"/>
        </w:rPr>
        <w:t>’</w:t>
      </w:r>
      <w:r w:rsidRPr="00A75DF9">
        <w:rPr>
          <w:rFonts w:eastAsia="Calibri" w:cs="Tahoma"/>
          <w:color w:val="000000"/>
          <w:szCs w:val="18"/>
        </w:rPr>
        <w:t xml:space="preserve">utilizzo di tale versione del software è soggetto ai diritti di utilizzo del prodotto previsti dalla licenza per processore per BizTalk Server 2010 Standard, tuttavia: </w:t>
      </w:r>
    </w:p>
    <w:p w:rsidR="008233B3" w:rsidRPr="00A75DF9" w:rsidRDefault="008233B3" w:rsidP="00346F4B">
      <w:pPr>
        <w:numPr>
          <w:ilvl w:val="1"/>
          <w:numId w:val="53"/>
        </w:numPr>
        <w:tabs>
          <w:tab w:val="left" w:pos="2160"/>
        </w:tabs>
        <w:spacing w:after="60"/>
        <w:ind w:left="2160"/>
        <w:rPr>
          <w:rFonts w:cs="Tahoma"/>
        </w:rPr>
      </w:pPr>
      <w:r w:rsidRPr="00A75DF9">
        <w:rPr>
          <w:rFonts w:eastAsia="Calibri" w:cs="Tahoma"/>
          <w:color w:val="000000"/>
          <w:szCs w:val="18"/>
        </w:rPr>
        <w:t>le società non disporranno più della Mobilità delle Licenze all</w:t>
      </w:r>
      <w:r w:rsidR="00F2643E">
        <w:rPr>
          <w:rFonts w:eastAsia="Calibri" w:cs="Tahoma"/>
          <w:color w:val="000000"/>
          <w:szCs w:val="18"/>
        </w:rPr>
        <w:t>’</w:t>
      </w:r>
      <w:r w:rsidRPr="00A75DF9">
        <w:rPr>
          <w:rFonts w:eastAsia="Calibri" w:cs="Tahoma"/>
          <w:color w:val="000000"/>
          <w:szCs w:val="18"/>
        </w:rPr>
        <w:t xml:space="preserve">interno di Server Farm o della Mobilità delle Licenze tramite Software Assurance e </w:t>
      </w:r>
    </w:p>
    <w:p w:rsidR="008233B3" w:rsidRPr="00A75DF9" w:rsidRDefault="008233B3" w:rsidP="00346F4B">
      <w:pPr>
        <w:numPr>
          <w:ilvl w:val="1"/>
          <w:numId w:val="53"/>
        </w:numPr>
        <w:tabs>
          <w:tab w:val="left" w:pos="2160"/>
          <w:tab w:val="left" w:pos="2970"/>
        </w:tabs>
        <w:spacing w:after="60"/>
        <w:ind w:left="2160"/>
        <w:rPr>
          <w:rFonts w:cs="Tahoma"/>
        </w:rPr>
      </w:pPr>
      <w:r w:rsidRPr="00A75DF9">
        <w:rPr>
          <w:rFonts w:eastAsia="Calibri" w:cs="Tahoma"/>
          <w:color w:val="000000"/>
          <w:szCs w:val="18"/>
        </w:rPr>
        <w:t>l</w:t>
      </w:r>
      <w:r w:rsidR="00F2643E">
        <w:rPr>
          <w:rFonts w:eastAsia="Calibri" w:cs="Tahoma"/>
          <w:color w:val="000000"/>
          <w:szCs w:val="18"/>
        </w:rPr>
        <w:t>’</w:t>
      </w:r>
      <w:r w:rsidRPr="00A75DF9">
        <w:rPr>
          <w:rFonts w:eastAsia="Calibri" w:cs="Tahoma"/>
          <w:color w:val="000000"/>
          <w:szCs w:val="18"/>
        </w:rPr>
        <w:t>eventuale riassegnazione di licenze è soggetta ai limiti che seguono relativi alla loro “equivalenza di licenze core”. L</w:t>
      </w:r>
      <w:r w:rsidR="00F2643E">
        <w:rPr>
          <w:rFonts w:eastAsia="Calibri" w:cs="Tahoma"/>
          <w:color w:val="000000"/>
          <w:szCs w:val="18"/>
        </w:rPr>
        <w:t>’</w:t>
      </w:r>
      <w:r w:rsidRPr="00A75DF9">
        <w:rPr>
          <w:rFonts w:eastAsia="Calibri" w:cs="Tahoma"/>
          <w:color w:val="000000"/>
          <w:szCs w:val="18"/>
        </w:rPr>
        <w:t xml:space="preserve">equivalenza di licenze core è determinata come di seguito riportato. </w:t>
      </w:r>
    </w:p>
    <w:p w:rsidR="008233B3" w:rsidRPr="00A75DF9" w:rsidRDefault="008233B3" w:rsidP="00346F4B">
      <w:pPr>
        <w:numPr>
          <w:ilvl w:val="2"/>
          <w:numId w:val="53"/>
        </w:numPr>
        <w:tabs>
          <w:tab w:val="left" w:pos="2520"/>
        </w:tabs>
        <w:spacing w:after="60"/>
        <w:ind w:left="2520"/>
        <w:rPr>
          <w:rFonts w:cs="Tahoma"/>
        </w:rPr>
      </w:pPr>
      <w:r w:rsidRPr="00A75DF9">
        <w:rPr>
          <w:rFonts w:eastAsia="Calibri" w:cs="Tahoma"/>
          <w:color w:val="000000"/>
          <w:szCs w:val="18"/>
        </w:rPr>
        <w:t>Per ogni licenza qualificante ceduta al server, l</w:t>
      </w:r>
      <w:r w:rsidR="00F2643E">
        <w:rPr>
          <w:rFonts w:eastAsia="Calibri" w:cs="Tahoma"/>
          <w:color w:val="000000"/>
          <w:szCs w:val="18"/>
        </w:rPr>
        <w:t>’</w:t>
      </w:r>
      <w:r w:rsidRPr="00A75DF9">
        <w:rPr>
          <w:rFonts w:eastAsia="Calibri" w:cs="Tahoma"/>
          <w:color w:val="000000"/>
          <w:szCs w:val="18"/>
        </w:rPr>
        <w:t xml:space="preserve">equivalenza di licenze core è il numero maggiore tra: </w:t>
      </w:r>
    </w:p>
    <w:p w:rsidR="008233B3" w:rsidRPr="00A75DF9" w:rsidRDefault="008233B3" w:rsidP="00346F4B">
      <w:pPr>
        <w:numPr>
          <w:ilvl w:val="4"/>
          <w:numId w:val="126"/>
        </w:numPr>
        <w:tabs>
          <w:tab w:val="left" w:pos="2880"/>
        </w:tabs>
        <w:spacing w:after="60"/>
        <w:ind w:left="2880"/>
        <w:rPr>
          <w:rFonts w:cs="Tahoma"/>
        </w:rPr>
      </w:pPr>
      <w:r w:rsidRPr="00A75DF9">
        <w:rPr>
          <w:rFonts w:eastAsia="Calibri" w:cs="Tahoma"/>
          <w:color w:val="000000"/>
          <w:szCs w:val="18"/>
        </w:rPr>
        <w:t xml:space="preserve">quattro core per licenza per processore O </w:t>
      </w:r>
    </w:p>
    <w:p w:rsidR="008233B3" w:rsidRPr="00A75DF9" w:rsidRDefault="008233B3" w:rsidP="00346F4B">
      <w:pPr>
        <w:numPr>
          <w:ilvl w:val="4"/>
          <w:numId w:val="126"/>
        </w:numPr>
        <w:tabs>
          <w:tab w:val="left" w:pos="2880"/>
        </w:tabs>
        <w:spacing w:after="60"/>
        <w:ind w:left="2880"/>
        <w:rPr>
          <w:rFonts w:cs="Tahoma"/>
        </w:rPr>
      </w:pPr>
      <w:r w:rsidRPr="00A75DF9">
        <w:rPr>
          <w:rFonts w:eastAsia="Calibri" w:cs="Tahoma"/>
          <w:color w:val="000000"/>
          <w:szCs w:val="18"/>
        </w:rPr>
        <w:lastRenderedPageBreak/>
        <w:t>un numero di core per licenza per processore basato sul numero effettivo di core per processore fisico moltiplicato per il fattore core appropriato. (Nei casi in cui il numero effettivo di core per processore fisico superi quattro, le società dovranno conservare un record della configurazione del software BizTalk Server in esecuzione sul server (istanze con licenza in esecuzione negli ambienti del sistema operativo sul server con licenza) e l</w:t>
      </w:r>
      <w:r w:rsidR="00F2643E">
        <w:rPr>
          <w:rFonts w:eastAsia="Calibri" w:cs="Tahoma"/>
          <w:color w:val="000000"/>
          <w:szCs w:val="18"/>
        </w:rPr>
        <w:t>’</w:t>
      </w:r>
      <w:r w:rsidRPr="00A75DF9">
        <w:rPr>
          <w:rFonts w:eastAsia="Calibri" w:cs="Tahoma"/>
          <w:color w:val="000000"/>
          <w:szCs w:val="18"/>
        </w:rPr>
        <w:t xml:space="preserve">hardware fisico che supporta tale software appena prima della scadenza di Software Assurance utilizzando lo strumento MAP di Microsoft o un software equivalente). </w:t>
      </w:r>
    </w:p>
    <w:p w:rsidR="008233B3" w:rsidRPr="00A75DF9" w:rsidRDefault="008233B3" w:rsidP="00346F4B">
      <w:pPr>
        <w:numPr>
          <w:ilvl w:val="1"/>
          <w:numId w:val="128"/>
        </w:numPr>
        <w:tabs>
          <w:tab w:val="left" w:pos="1800"/>
        </w:tabs>
        <w:spacing w:after="60"/>
        <w:rPr>
          <w:rFonts w:cs="Tahoma"/>
        </w:rPr>
      </w:pPr>
      <w:r w:rsidRPr="00A75DF9">
        <w:rPr>
          <w:rFonts w:eastAsia="Calibri" w:cs="Tahoma"/>
          <w:color w:val="000000"/>
          <w:szCs w:val="18"/>
        </w:rPr>
        <w:t xml:space="preserve">Le società </w:t>
      </w:r>
      <w:r w:rsidRPr="00A75DF9">
        <w:rPr>
          <w:rFonts w:eastAsia="Calibri" w:cs="Tahoma"/>
          <w:szCs w:val="18"/>
        </w:rPr>
        <w:t>potranno riassegnare le licenze a un altro server. Tuttavia, qualora la società riassegni una licenza a un altro server, dovrà attenersi ai diritti sull</w:t>
      </w:r>
      <w:r w:rsidR="00F2643E">
        <w:rPr>
          <w:rFonts w:eastAsia="Calibri" w:cs="Tahoma"/>
          <w:szCs w:val="18"/>
        </w:rPr>
        <w:t>’</w:t>
      </w:r>
      <w:r w:rsidRPr="00A75DF9">
        <w:rPr>
          <w:rFonts w:eastAsia="Calibri" w:cs="Tahoma"/>
          <w:szCs w:val="18"/>
        </w:rPr>
        <w:t>utilizzo della versione del software in uso. Quando cede licenze core a server nei modi descritti, la società potrà combinare l</w:t>
      </w:r>
      <w:r w:rsidR="00F2643E">
        <w:rPr>
          <w:rFonts w:eastAsia="Calibri" w:cs="Tahoma"/>
          <w:szCs w:val="18"/>
        </w:rPr>
        <w:t>’</w:t>
      </w:r>
      <w:r w:rsidRPr="00A75DF9">
        <w:rPr>
          <w:rFonts w:eastAsia="Calibri" w:cs="Tahoma"/>
          <w:szCs w:val="18"/>
        </w:rPr>
        <w:t>equivalenza core delle licenze esistenti con le licenze core per BizTalk Server aggiuntive.</w:t>
      </w:r>
    </w:p>
    <w:p w:rsidR="008233B3" w:rsidRPr="00A75DF9" w:rsidRDefault="008233B3" w:rsidP="00346F4B">
      <w:pPr>
        <w:numPr>
          <w:ilvl w:val="1"/>
          <w:numId w:val="128"/>
        </w:numPr>
        <w:tabs>
          <w:tab w:val="left" w:pos="1800"/>
          <w:tab w:val="left" w:pos="2970"/>
        </w:tabs>
        <w:spacing w:after="60"/>
        <w:rPr>
          <w:rFonts w:cs="Tahoma"/>
        </w:rPr>
      </w:pPr>
      <w:r w:rsidRPr="00A75DF9">
        <w:rPr>
          <w:rFonts w:eastAsia="Calibri" w:cs="Tahoma"/>
          <w:color w:val="000000"/>
          <w:szCs w:val="18"/>
        </w:rPr>
        <w:t>L</w:t>
      </w:r>
      <w:r w:rsidR="00F2643E">
        <w:rPr>
          <w:rFonts w:eastAsia="Calibri" w:cs="Tahoma"/>
          <w:color w:val="000000"/>
          <w:szCs w:val="18"/>
        </w:rPr>
        <w:t>’</w:t>
      </w:r>
      <w:r w:rsidRPr="00A75DF9">
        <w:rPr>
          <w:rFonts w:eastAsia="Calibri" w:cs="Tahoma"/>
          <w:color w:val="000000"/>
          <w:szCs w:val="18"/>
        </w:rPr>
        <w:t>equivalenza di licenze core stimata delle società non implica che esse possano cedere una licenza singola per processore a core attraverso due o più processori.</w:t>
      </w:r>
    </w:p>
    <w:p w:rsidR="003540FA" w:rsidRPr="00A75DF9" w:rsidRDefault="003540FA" w:rsidP="00A66BD2">
      <w:pPr>
        <w:ind w:left="540"/>
        <w:rPr>
          <w:rFonts w:cs="Tahoma"/>
        </w:rPr>
      </w:pPr>
    </w:p>
    <w:p w:rsidR="00676723" w:rsidRPr="00A75DF9" w:rsidRDefault="00676723" w:rsidP="00A66BD2">
      <w:pPr>
        <w:ind w:left="540"/>
        <w:rPr>
          <w:rFonts w:cs="Tahoma"/>
        </w:rPr>
      </w:pPr>
    </w:p>
    <w:p w:rsidR="007B48BC" w:rsidRPr="00A75DF9" w:rsidRDefault="00A560B6" w:rsidP="000773D2">
      <w:pPr>
        <w:pStyle w:val="Heading3"/>
        <w:ind w:left="270" w:hanging="270"/>
        <w:rPr>
          <w:rFonts w:ascii="Tahoma" w:hAnsi="Tahoma" w:cs="Tahoma"/>
        </w:rPr>
      </w:pPr>
      <w:bookmarkStart w:id="1152" w:name="_38_Business_Intelligence"/>
      <w:bookmarkStart w:id="1153" w:name="_Toc336338293"/>
      <w:bookmarkStart w:id="1154" w:name="Srv_35BusinessIntellApp2012"/>
      <w:bookmarkStart w:id="1155" w:name="Srv_35CoreCALBridgeWinIntune"/>
      <w:bookmarkStart w:id="1156" w:name="_Toc368310289"/>
      <w:bookmarkEnd w:id="1152"/>
      <w:r w:rsidRPr="00A75DF9">
        <w:rPr>
          <w:rFonts w:ascii="Tahoma" w:hAnsi="Tahoma" w:cs="Tahoma"/>
          <w:caps/>
          <w:color w:val="F66400"/>
          <w:sz w:val="22"/>
          <w:vertAlign w:val="superscript"/>
        </w:rPr>
        <w:t xml:space="preserve">39 </w:t>
      </w:r>
      <w:r w:rsidRPr="00A75DF9">
        <w:rPr>
          <w:rFonts w:ascii="Tahoma" w:hAnsi="Tahoma" w:cs="Tahoma"/>
          <w:color w:val="F66400"/>
          <w:sz w:val="22"/>
        </w:rPr>
        <w:t>Business Intelligence Appliance 2012</w:t>
      </w:r>
      <w:bookmarkEnd w:id="1153"/>
      <w:bookmarkEnd w:id="1156"/>
      <w:r w:rsidRPr="00A75DF9">
        <w:rPr>
          <w:rFonts w:ascii="Tahoma" w:hAnsi="Tahoma" w:cs="Tahoma"/>
          <w:caps/>
          <w:color w:val="F66400"/>
          <w:sz w:val="22"/>
          <w:vertAlign w:val="superscript"/>
        </w:rPr>
        <w:t xml:space="preserve"> </w:t>
      </w:r>
    </w:p>
    <w:bookmarkEnd w:id="1154"/>
    <w:p w:rsidR="007B48BC" w:rsidRPr="00A75DF9" w:rsidRDefault="007B48BC" w:rsidP="007B48BC">
      <w:pPr>
        <w:rPr>
          <w:rFonts w:cs="Tahoma"/>
        </w:rPr>
      </w:pPr>
    </w:p>
    <w:p w:rsidR="00E03856" w:rsidRPr="00A75DF9" w:rsidRDefault="00E50460" w:rsidP="00CA60ED">
      <w:pPr>
        <w:ind w:left="720"/>
        <w:rPr>
          <w:rFonts w:cs="Tahoma"/>
        </w:rPr>
      </w:pPr>
      <w:r w:rsidRPr="00A75DF9">
        <w:rPr>
          <w:rFonts w:cs="Tahoma"/>
          <w:szCs w:val="18"/>
        </w:rPr>
        <w:t>Il software Business Intelligence Appliance 2012, che incorpora SQL Server 2008 R2 e SharePoint Server 2010, è disponibile solo nelle configurazioni hardware e software approvate da Microsoft.</w:t>
      </w:r>
      <w:r w:rsidR="009D3B41" w:rsidRPr="00A75DF9">
        <w:rPr>
          <w:rFonts w:cs="Tahoma"/>
          <w:szCs w:val="18"/>
        </w:rPr>
        <w:t xml:space="preserve"> </w:t>
      </w:r>
      <w:r w:rsidRPr="00A75DF9">
        <w:rPr>
          <w:rFonts w:cs="Tahoma"/>
          <w:szCs w:val="18"/>
        </w:rPr>
        <w:t>L</w:t>
      </w:r>
      <w:r w:rsidR="00F2643E">
        <w:rPr>
          <w:rFonts w:cs="Tahoma"/>
          <w:szCs w:val="18"/>
        </w:rPr>
        <w:t>’</w:t>
      </w:r>
      <w:r w:rsidRPr="00A75DF9">
        <w:rPr>
          <w:rFonts w:cs="Tahoma"/>
          <w:szCs w:val="18"/>
        </w:rPr>
        <w:t>utilizzo del software in altre configurazioni non è supportato e potrà influire sulle prestazioni.</w:t>
      </w:r>
      <w:r w:rsidR="009D3B41" w:rsidRPr="00A75DF9">
        <w:rPr>
          <w:rFonts w:cs="Tahoma"/>
          <w:szCs w:val="18"/>
        </w:rPr>
        <w:t xml:space="preserve"> </w:t>
      </w:r>
      <w:r w:rsidRPr="00A75DF9">
        <w:rPr>
          <w:rFonts w:cs="Tahoma"/>
          <w:szCs w:val="18"/>
        </w:rPr>
        <w:t>Per ulteriori informazioni, visitare la pagina</w:t>
      </w:r>
      <w:r w:rsidRPr="00A75DF9">
        <w:rPr>
          <w:rFonts w:cs="Tahoma"/>
          <w:color w:val="1F497D"/>
          <w:szCs w:val="18"/>
        </w:rPr>
        <w:t xml:space="preserve"> </w:t>
      </w:r>
      <w:hyperlink r:id="rId48" w:tooltip="http://www.microsoft.com/sqlserver/en/us/get-sql-server/how-to-buy.aspx" w:history="1">
        <w:r w:rsidR="00CA60ED" w:rsidRPr="00E50460">
          <w:rPr>
            <w:rStyle w:val="Hyperlink"/>
            <w:rFonts w:cs="Tahoma"/>
            <w:szCs w:val="18"/>
          </w:rPr>
          <w:t>http://www.microsoft.com/sqlserver/en/us/get-sql-server/how-to-buy.aspx</w:t>
        </w:r>
      </w:hyperlink>
      <w:r w:rsidRPr="00A75DF9">
        <w:rPr>
          <w:rFonts w:cs="Tahoma"/>
          <w:szCs w:val="18"/>
        </w:rPr>
        <w:t>.</w:t>
      </w:r>
      <w:r w:rsidR="009D3B41" w:rsidRPr="00A75DF9">
        <w:rPr>
          <w:rFonts w:cs="Tahoma"/>
          <w:szCs w:val="18"/>
        </w:rPr>
        <w:t xml:space="preserve"> </w:t>
      </w:r>
    </w:p>
    <w:p w:rsidR="00A66BD2" w:rsidRPr="00A75DF9" w:rsidRDefault="00A66BD2" w:rsidP="00A66BD2">
      <w:pPr>
        <w:rPr>
          <w:rFonts w:cs="Tahoma"/>
        </w:rPr>
      </w:pPr>
    </w:p>
    <w:p w:rsidR="00A66BD2" w:rsidRPr="00A75DF9" w:rsidRDefault="00A66BD2" w:rsidP="00A66BD2">
      <w:pPr>
        <w:rPr>
          <w:rFonts w:cs="Tahoma"/>
        </w:rPr>
      </w:pPr>
    </w:p>
    <w:p w:rsidR="003540FA" w:rsidRPr="00A75DF9" w:rsidRDefault="00A560B6" w:rsidP="00CA60ED">
      <w:pPr>
        <w:pStyle w:val="Heading3"/>
        <w:ind w:left="270" w:hanging="270"/>
        <w:rPr>
          <w:rFonts w:ascii="Tahoma" w:hAnsi="Tahoma" w:cs="Tahoma"/>
        </w:rPr>
      </w:pPr>
      <w:bookmarkStart w:id="1157" w:name="_39_Core_CAL"/>
      <w:bookmarkStart w:id="1158" w:name="_Toc336338294"/>
      <w:bookmarkStart w:id="1159" w:name="_Toc368310290"/>
      <w:bookmarkEnd w:id="1157"/>
      <w:r w:rsidRPr="00A75DF9">
        <w:rPr>
          <w:rFonts w:ascii="Tahoma" w:hAnsi="Tahoma" w:cs="Tahoma"/>
          <w:caps/>
          <w:color w:val="F66400"/>
          <w:sz w:val="22"/>
          <w:vertAlign w:val="superscript"/>
        </w:rPr>
        <w:t>40</w:t>
      </w:r>
      <w:r w:rsidRPr="00A75DF9">
        <w:rPr>
          <w:rFonts w:ascii="Tahoma" w:hAnsi="Tahoma" w:cs="Tahoma"/>
          <w:color w:val="F66400"/>
          <w:sz w:val="22"/>
        </w:rPr>
        <w:t xml:space="preserve"> Core </w:t>
      </w:r>
      <w:r w:rsidRPr="00A75DF9">
        <w:rPr>
          <w:rFonts w:ascii="Tahoma" w:hAnsi="Tahoma" w:cs="Tahoma"/>
          <w:color w:val="FF6600"/>
          <w:sz w:val="22"/>
        </w:rPr>
        <w:t>CAL Suite Bridge per Office 365, Core CAL Suite Bridge per Office 365 e</w:t>
      </w:r>
      <w:r w:rsidR="00CA60ED">
        <w:rPr>
          <w:rFonts w:ascii="Tahoma" w:hAnsi="Tahoma" w:cs="Tahoma"/>
          <w:color w:val="FF6600"/>
          <w:sz w:val="22"/>
        </w:rPr>
        <w:t> </w:t>
      </w:r>
      <w:r w:rsidRPr="00A75DF9">
        <w:rPr>
          <w:rFonts w:ascii="Tahoma" w:hAnsi="Tahoma" w:cs="Tahoma"/>
          <w:color w:val="FF6600"/>
          <w:sz w:val="22"/>
        </w:rPr>
        <w:t>Windows Intune e Core CAL Suite Bridge per Windows Intune</w:t>
      </w:r>
      <w:bookmarkEnd w:id="1158"/>
      <w:bookmarkEnd w:id="1159"/>
    </w:p>
    <w:bookmarkEnd w:id="1155"/>
    <w:p w:rsidR="003540FA" w:rsidRPr="00A75DF9" w:rsidRDefault="003540FA" w:rsidP="00A66BD2">
      <w:pPr>
        <w:ind w:left="540"/>
        <w:rPr>
          <w:rFonts w:cs="Tahoma"/>
        </w:rPr>
      </w:pPr>
    </w:p>
    <w:p w:rsidR="00A66BD2" w:rsidRPr="00A75DF9" w:rsidRDefault="000773D2" w:rsidP="00A66BD2">
      <w:pPr>
        <w:spacing w:after="60"/>
        <w:ind w:left="720"/>
        <w:rPr>
          <w:rFonts w:cs="Tahoma"/>
        </w:rPr>
      </w:pPr>
      <w:r w:rsidRPr="00A75DF9">
        <w:rPr>
          <w:rFonts w:cs="Tahoma"/>
          <w:b/>
          <w:szCs w:val="18"/>
        </w:rPr>
        <w:t>Definizione</w:t>
      </w:r>
    </w:p>
    <w:p w:rsidR="000773D2" w:rsidRPr="00A75DF9" w:rsidRDefault="00A66BD2" w:rsidP="00A66BD2">
      <w:pPr>
        <w:ind w:left="720"/>
        <w:rPr>
          <w:rFonts w:cs="Tahoma"/>
        </w:rPr>
      </w:pPr>
      <w:r w:rsidRPr="00A75DF9">
        <w:rPr>
          <w:rFonts w:cs="Tahoma"/>
          <w:bCs/>
          <w:szCs w:val="18"/>
        </w:rPr>
        <w:t>“</w:t>
      </w:r>
      <w:r w:rsidRPr="00A75DF9">
        <w:rPr>
          <w:rFonts w:cs="Tahoma"/>
          <w:szCs w:val="18"/>
        </w:rPr>
        <w:t>Transizione” indica la conversione di una Licenza con copertura Software Assurance attiva in una licenza “Subscription” o viceversa.</w:t>
      </w:r>
      <w:r w:rsidR="009D3B41" w:rsidRPr="00A75DF9">
        <w:rPr>
          <w:rFonts w:cs="Tahoma"/>
          <w:szCs w:val="18"/>
        </w:rPr>
        <w:t xml:space="preserve"> </w:t>
      </w:r>
    </w:p>
    <w:p w:rsidR="00A66BD2" w:rsidRPr="00A75DF9" w:rsidRDefault="00A66BD2" w:rsidP="00A66BD2">
      <w:pPr>
        <w:ind w:left="720"/>
        <w:rPr>
          <w:rFonts w:cs="Tahoma"/>
        </w:rPr>
      </w:pPr>
    </w:p>
    <w:p w:rsidR="00A66BD2" w:rsidRPr="00A75DF9" w:rsidRDefault="000773D2" w:rsidP="00A66BD2">
      <w:pPr>
        <w:spacing w:after="60"/>
        <w:ind w:left="720"/>
        <w:rPr>
          <w:rFonts w:cs="Tahoma"/>
        </w:rPr>
      </w:pPr>
      <w:r w:rsidRPr="00A75DF9">
        <w:rPr>
          <w:rFonts w:cs="Tahoma"/>
          <w:b/>
          <w:szCs w:val="18"/>
        </w:rPr>
        <w:t>Diritti sull</w:t>
      </w:r>
      <w:r w:rsidR="00F2643E">
        <w:rPr>
          <w:rFonts w:cs="Tahoma"/>
          <w:b/>
          <w:szCs w:val="18"/>
        </w:rPr>
        <w:t>’</w:t>
      </w:r>
      <w:r w:rsidRPr="00A75DF9">
        <w:rPr>
          <w:rFonts w:cs="Tahoma"/>
          <w:b/>
          <w:szCs w:val="18"/>
        </w:rPr>
        <w:t xml:space="preserve">Utilizzo Applicabili </w:t>
      </w:r>
    </w:p>
    <w:p w:rsidR="000773D2" w:rsidRPr="00A75DF9" w:rsidRDefault="000773D2" w:rsidP="00CA60ED">
      <w:pPr>
        <w:spacing w:line="276" w:lineRule="auto"/>
        <w:ind w:left="720"/>
        <w:rPr>
          <w:rFonts w:cs="Tahoma"/>
        </w:rPr>
      </w:pPr>
      <w:r w:rsidRPr="00A75DF9">
        <w:rPr>
          <w:rFonts w:eastAsia="Calibri" w:cs="Tahoma"/>
          <w:szCs w:val="18"/>
        </w:rPr>
        <w:t>Una licenza CAL Suite Bridge non dispone di versioni e i Diritti di Utilizzo del Prodotto sono determinati dallo</w:t>
      </w:r>
      <w:r w:rsidR="00CA60ED">
        <w:rPr>
          <w:rFonts w:eastAsia="Calibri" w:cs="Tahoma"/>
          <w:szCs w:val="18"/>
        </w:rPr>
        <w:t> </w:t>
      </w:r>
      <w:r w:rsidRPr="00A75DF9">
        <w:rPr>
          <w:rFonts w:eastAsia="Calibri" w:cs="Tahoma"/>
          <w:szCs w:val="18"/>
        </w:rPr>
        <w:t>stato della copertura Software Assurance per tale licenza. Qualora la copertura Software Assurance sia scaduta, i diritti di accesso attribuiti da Licenze perpetue sono determinati sulla base dei Diritti di Utilizzo del Prodotto in vigore prima della scadenza della copertura. Una Licenza per una CAL Suite Bridge è una licenza singola che dovrà essere ceduta a un utente o dispositivo singolo.</w:t>
      </w:r>
    </w:p>
    <w:p w:rsidR="00A66BD2" w:rsidRPr="00A75DF9" w:rsidRDefault="00A66BD2" w:rsidP="00A66BD2">
      <w:pPr>
        <w:spacing w:line="276" w:lineRule="auto"/>
        <w:ind w:left="720"/>
        <w:rPr>
          <w:rFonts w:cs="Tahoma"/>
        </w:rPr>
      </w:pPr>
    </w:p>
    <w:p w:rsidR="00A66BD2" w:rsidRPr="00A75DF9" w:rsidRDefault="000773D2" w:rsidP="00A66BD2">
      <w:pPr>
        <w:spacing w:after="60"/>
        <w:ind w:left="720"/>
        <w:rPr>
          <w:rFonts w:cs="Tahoma"/>
        </w:rPr>
      </w:pPr>
      <w:r w:rsidRPr="00A75DF9">
        <w:rPr>
          <w:rFonts w:cs="Tahoma"/>
          <w:b/>
          <w:szCs w:val="18"/>
        </w:rPr>
        <w:t>Requisiti</w:t>
      </w:r>
    </w:p>
    <w:p w:rsidR="000773D2" w:rsidRPr="00A75DF9" w:rsidRDefault="000773D2" w:rsidP="00CA60ED">
      <w:pPr>
        <w:spacing w:line="276" w:lineRule="auto"/>
        <w:ind w:left="720"/>
        <w:rPr>
          <w:rFonts w:cs="Tahoma"/>
        </w:rPr>
      </w:pPr>
      <w:r w:rsidRPr="00A75DF9">
        <w:rPr>
          <w:rFonts w:eastAsia="Calibri" w:cs="Tahoma"/>
          <w:szCs w:val="18"/>
        </w:rPr>
        <w:t>Una CAL Suite Bridge potrà essere richiesta durante la Transizione da una CAL Suite a una combinazione di</w:t>
      </w:r>
      <w:r w:rsidR="00CA60ED">
        <w:rPr>
          <w:rFonts w:eastAsia="Calibri" w:cs="Tahoma"/>
          <w:szCs w:val="18"/>
        </w:rPr>
        <w:t> </w:t>
      </w:r>
      <w:r w:rsidRPr="00A75DF9">
        <w:rPr>
          <w:rFonts w:eastAsia="Calibri" w:cs="Tahoma"/>
          <w:szCs w:val="18"/>
        </w:rPr>
        <w:t>Servizi Online e Prodotti paragonabili. Quando una Transizione richiede una CAL Suite Bridge e la Licenza qualificante è stata pagata totalmente dalla Società, l</w:t>
      </w:r>
      <w:r w:rsidR="00F2643E">
        <w:rPr>
          <w:rFonts w:eastAsia="Calibri" w:cs="Tahoma"/>
          <w:szCs w:val="18"/>
        </w:rPr>
        <w:t>’</w:t>
      </w:r>
      <w:r w:rsidRPr="00A75DF9">
        <w:rPr>
          <w:rFonts w:eastAsia="Calibri" w:cs="Tahoma"/>
          <w:szCs w:val="18"/>
        </w:rPr>
        <w:t>acquisto di una Licenza per la CAL Suite Bridge non sarà necessario. La copertura Software Assurance potrà invece essere acquistata per la CAL Suite Bridge in</w:t>
      </w:r>
      <w:r w:rsidR="00CA60ED">
        <w:rPr>
          <w:rFonts w:eastAsia="Calibri" w:cs="Tahoma"/>
          <w:szCs w:val="18"/>
        </w:rPr>
        <w:t> </w:t>
      </w:r>
      <w:r w:rsidRPr="00A75DF9">
        <w:rPr>
          <w:rFonts w:eastAsia="Calibri" w:cs="Tahoma"/>
          <w:szCs w:val="18"/>
        </w:rPr>
        <w:t>occasione della ricorrenza dell</w:t>
      </w:r>
      <w:r w:rsidR="00F2643E">
        <w:rPr>
          <w:rFonts w:eastAsia="Calibri" w:cs="Tahoma"/>
          <w:szCs w:val="18"/>
        </w:rPr>
        <w:t>’</w:t>
      </w:r>
      <w:r w:rsidRPr="00A75DF9">
        <w:rPr>
          <w:rFonts w:eastAsia="Calibri" w:cs="Tahoma"/>
          <w:szCs w:val="18"/>
        </w:rPr>
        <w:t>Iscrizione durante la quale la Transizione è in vigore. In tali circostanze il</w:t>
      </w:r>
      <w:r w:rsidR="00CA60ED">
        <w:rPr>
          <w:rFonts w:eastAsia="Calibri" w:cs="Tahoma"/>
          <w:szCs w:val="18"/>
        </w:rPr>
        <w:t> </w:t>
      </w:r>
      <w:r w:rsidRPr="00A75DF9">
        <w:rPr>
          <w:rFonts w:eastAsia="Calibri" w:cs="Tahoma"/>
          <w:szCs w:val="18"/>
        </w:rPr>
        <w:t>rapporto della Transizione potrà essere solo di una copertura Software Assurance per CAL Suite Bridge per</w:t>
      </w:r>
      <w:r w:rsidR="00CA60ED">
        <w:rPr>
          <w:rFonts w:eastAsia="Calibri" w:cs="Tahoma"/>
          <w:szCs w:val="18"/>
        </w:rPr>
        <w:t> </w:t>
      </w:r>
      <w:r w:rsidRPr="00A75DF9">
        <w:rPr>
          <w:rFonts w:eastAsia="Calibri" w:cs="Tahoma"/>
          <w:szCs w:val="18"/>
        </w:rPr>
        <w:t>una copertura Software Assurance per CAL Suite e per la stessa Licenza per utente o dispositivo della CAL Suite qualificante.</w:t>
      </w:r>
      <w:r w:rsidR="009D3B41" w:rsidRPr="00A75DF9">
        <w:rPr>
          <w:rFonts w:eastAsia="Calibri" w:cs="Tahoma"/>
          <w:szCs w:val="18"/>
        </w:rPr>
        <w:t xml:space="preserve"> </w:t>
      </w:r>
    </w:p>
    <w:p w:rsidR="00A66BD2" w:rsidRPr="00A75DF9" w:rsidRDefault="00A66BD2" w:rsidP="00A66BD2">
      <w:pPr>
        <w:spacing w:line="276" w:lineRule="auto"/>
        <w:ind w:left="720"/>
        <w:rPr>
          <w:rFonts w:cs="Tahoma"/>
        </w:rPr>
      </w:pPr>
    </w:p>
    <w:p w:rsidR="000773D2" w:rsidRPr="00A75DF9" w:rsidRDefault="000773D2" w:rsidP="00CA60ED">
      <w:pPr>
        <w:spacing w:line="276" w:lineRule="auto"/>
        <w:ind w:left="720"/>
        <w:rPr>
          <w:rFonts w:cs="Tahoma"/>
        </w:rPr>
      </w:pPr>
      <w:r w:rsidRPr="00A75DF9">
        <w:rPr>
          <w:rFonts w:eastAsia="Calibri" w:cs="Tahoma"/>
          <w:szCs w:val="18"/>
        </w:rPr>
        <w:t>Una CAL Suite Bridge è un Prodotto Enterprise e potrà essere ottenuto in licenza solo insieme al Servizio Online qualificante per soddisfare il requisito a livello aziendale sia della CAL Suite Bridge che della CAL Suite</w:t>
      </w:r>
      <w:r w:rsidR="00CA60ED">
        <w:rPr>
          <w:rFonts w:eastAsia="Calibri" w:cs="Tahoma"/>
          <w:szCs w:val="18"/>
        </w:rPr>
        <w:t> </w:t>
      </w:r>
      <w:r w:rsidRPr="00A75DF9">
        <w:rPr>
          <w:rFonts w:eastAsia="Calibri" w:cs="Tahoma"/>
          <w:szCs w:val="18"/>
        </w:rPr>
        <w:t>principale.</w:t>
      </w:r>
    </w:p>
    <w:p w:rsidR="002A6416" w:rsidRPr="00A75DF9" w:rsidRDefault="002A6416" w:rsidP="002A6416">
      <w:pPr>
        <w:spacing w:line="276" w:lineRule="auto"/>
        <w:ind w:left="720"/>
        <w:rPr>
          <w:rFonts w:cs="Tahoma"/>
        </w:rPr>
      </w:pPr>
    </w:p>
    <w:tbl>
      <w:tblPr>
        <w:tblW w:w="4366" w:type="pct"/>
        <w:tblInd w:w="730" w:type="dxa"/>
        <w:tblCellMar>
          <w:left w:w="0" w:type="dxa"/>
          <w:right w:w="0" w:type="dxa"/>
        </w:tblCellMar>
        <w:tblLook w:val="04A0" w:firstRow="1" w:lastRow="0" w:firstColumn="1" w:lastColumn="0" w:noHBand="0" w:noVBand="1"/>
      </w:tblPr>
      <w:tblGrid>
        <w:gridCol w:w="2779"/>
        <w:gridCol w:w="2599"/>
        <w:gridCol w:w="2778"/>
      </w:tblGrid>
      <w:tr w:rsidR="005A36EF" w:rsidRPr="00A75DF9" w:rsidTr="002A6416">
        <w:trPr>
          <w:tblHeader/>
        </w:trPr>
        <w:tc>
          <w:tcPr>
            <w:tcW w:w="1704"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0773D2" w:rsidRPr="00A75DF9" w:rsidRDefault="000773D2" w:rsidP="000773D2">
            <w:pPr>
              <w:spacing w:before="80" w:after="200" w:line="276" w:lineRule="auto"/>
              <w:jc w:val="center"/>
              <w:rPr>
                <w:rFonts w:eastAsia="Calibri" w:cs="Tahoma"/>
                <w:b/>
                <w:bCs/>
                <w:color w:val="000000"/>
                <w:szCs w:val="18"/>
                <w:lang w:eastAsia="ja-JP"/>
              </w:rPr>
            </w:pPr>
            <w:r w:rsidRPr="00A75DF9">
              <w:rPr>
                <w:rFonts w:eastAsia="Calibri" w:cs="Tahoma"/>
                <w:b/>
                <w:bCs/>
                <w:szCs w:val="18"/>
              </w:rPr>
              <w:lastRenderedPageBreak/>
              <w:t>CAL Suite Bridge</w:t>
            </w:r>
          </w:p>
        </w:tc>
        <w:tc>
          <w:tcPr>
            <w:tcW w:w="1593" w:type="pct"/>
            <w:tcBorders>
              <w:top w:val="single" w:sz="8" w:space="0" w:color="auto"/>
              <w:left w:val="nil"/>
              <w:bottom w:val="single" w:sz="8" w:space="0" w:color="auto"/>
              <w:right w:val="single" w:sz="8" w:space="0" w:color="auto"/>
            </w:tcBorders>
            <w:shd w:val="clear" w:color="auto" w:fill="FABF8F"/>
            <w:vAlign w:val="center"/>
            <w:hideMark/>
          </w:tcPr>
          <w:p w:rsidR="000773D2" w:rsidRPr="00A75DF9" w:rsidRDefault="000773D2" w:rsidP="000773D2">
            <w:pPr>
              <w:spacing w:before="80" w:after="200" w:line="276" w:lineRule="auto"/>
              <w:jc w:val="center"/>
              <w:rPr>
                <w:rFonts w:eastAsia="Calibri" w:cs="Tahoma"/>
                <w:b/>
                <w:bCs/>
                <w:color w:val="000000"/>
                <w:szCs w:val="18"/>
                <w:lang w:eastAsia="ja-JP"/>
              </w:rPr>
            </w:pPr>
            <w:r w:rsidRPr="00A75DF9">
              <w:rPr>
                <w:rFonts w:eastAsia="Calibri" w:cs="Tahoma"/>
                <w:b/>
                <w:bCs/>
                <w:szCs w:val="18"/>
              </w:rPr>
              <w:t>CAL Suite Principale</w:t>
            </w:r>
          </w:p>
        </w:tc>
        <w:tc>
          <w:tcPr>
            <w:tcW w:w="1703" w:type="pct"/>
            <w:tcBorders>
              <w:top w:val="single" w:sz="8" w:space="0" w:color="auto"/>
              <w:left w:val="nil"/>
              <w:bottom w:val="single" w:sz="8" w:space="0" w:color="auto"/>
              <w:right w:val="single" w:sz="8" w:space="0" w:color="auto"/>
            </w:tcBorders>
            <w:shd w:val="clear" w:color="auto" w:fill="FABF8F"/>
            <w:hideMark/>
          </w:tcPr>
          <w:p w:rsidR="000773D2" w:rsidRPr="00A75DF9" w:rsidRDefault="000773D2" w:rsidP="005A36EF">
            <w:pPr>
              <w:spacing w:before="80" w:after="200" w:line="276" w:lineRule="auto"/>
              <w:ind w:left="180" w:right="180"/>
              <w:jc w:val="center"/>
              <w:rPr>
                <w:rFonts w:eastAsia="Calibri" w:cs="Tahoma"/>
                <w:b/>
                <w:bCs/>
                <w:color w:val="000000"/>
                <w:szCs w:val="18"/>
                <w:lang w:eastAsia="ja-JP"/>
              </w:rPr>
            </w:pPr>
            <w:r w:rsidRPr="00A75DF9">
              <w:rPr>
                <w:rFonts w:eastAsia="Calibri" w:cs="Tahoma"/>
                <w:b/>
                <w:bCs/>
                <w:szCs w:val="18"/>
              </w:rPr>
              <w:t>Servizi Online Qualificanti</w:t>
            </w:r>
          </w:p>
        </w:tc>
      </w:tr>
      <w:tr w:rsidR="005A36EF" w:rsidRPr="00A75DF9" w:rsidTr="002A6416">
        <w:trPr>
          <w:trHeight w:val="576"/>
        </w:trPr>
        <w:tc>
          <w:tcPr>
            <w:tcW w:w="1704" w:type="pct"/>
            <w:tcBorders>
              <w:top w:val="nil"/>
              <w:left w:val="single" w:sz="8" w:space="0" w:color="auto"/>
              <w:bottom w:val="single" w:sz="8" w:space="0" w:color="auto"/>
              <w:right w:val="single" w:sz="8" w:space="0" w:color="auto"/>
            </w:tcBorders>
          </w:tcPr>
          <w:p w:rsidR="000773D2" w:rsidRPr="00A75DF9" w:rsidRDefault="000773D2" w:rsidP="00346F4B">
            <w:pPr>
              <w:numPr>
                <w:ilvl w:val="0"/>
                <w:numId w:val="40"/>
              </w:numPr>
              <w:spacing w:before="120" w:after="200" w:line="276" w:lineRule="auto"/>
              <w:ind w:left="679" w:right="181" w:hanging="450"/>
              <w:rPr>
                <w:rFonts w:eastAsia="Calibri" w:cs="Tahoma"/>
                <w:color w:val="000000"/>
                <w:szCs w:val="18"/>
              </w:rPr>
            </w:pPr>
            <w:r w:rsidRPr="00A75DF9">
              <w:rPr>
                <w:rFonts w:eastAsia="Calibri" w:cs="Tahoma"/>
                <w:color w:val="000000"/>
                <w:szCs w:val="18"/>
              </w:rPr>
              <w:t>Core CAL Suite Bridge per Office 365</w:t>
            </w:r>
          </w:p>
        </w:tc>
        <w:tc>
          <w:tcPr>
            <w:tcW w:w="1593" w:type="pct"/>
            <w:tcBorders>
              <w:top w:val="nil"/>
              <w:left w:val="nil"/>
              <w:bottom w:val="single" w:sz="8" w:space="0" w:color="auto"/>
              <w:right w:val="single" w:sz="8" w:space="0" w:color="auto"/>
            </w:tcBorders>
          </w:tcPr>
          <w:p w:rsidR="000773D2" w:rsidRPr="00A75DF9" w:rsidRDefault="000773D2" w:rsidP="00346F4B">
            <w:pPr>
              <w:numPr>
                <w:ilvl w:val="0"/>
                <w:numId w:val="41"/>
              </w:numPr>
              <w:spacing w:before="120" w:after="200" w:line="276" w:lineRule="auto"/>
              <w:ind w:left="682" w:hanging="450"/>
              <w:rPr>
                <w:rFonts w:eastAsia="Calibri" w:cs="Tahoma"/>
                <w:color w:val="000000"/>
                <w:szCs w:val="18"/>
              </w:rPr>
            </w:pPr>
            <w:r w:rsidRPr="00A75DF9">
              <w:rPr>
                <w:rFonts w:eastAsia="Calibri" w:cs="Tahoma"/>
                <w:color w:val="000000"/>
                <w:szCs w:val="18"/>
              </w:rPr>
              <w:t>Core CAL Suite</w:t>
            </w:r>
          </w:p>
        </w:tc>
        <w:tc>
          <w:tcPr>
            <w:tcW w:w="1703" w:type="pct"/>
            <w:tcBorders>
              <w:top w:val="nil"/>
              <w:left w:val="nil"/>
              <w:bottom w:val="single" w:sz="8" w:space="0" w:color="auto"/>
              <w:right w:val="single" w:sz="8" w:space="0" w:color="auto"/>
            </w:tcBorders>
          </w:tcPr>
          <w:p w:rsidR="000773D2" w:rsidRPr="00A75DF9" w:rsidRDefault="000773D2" w:rsidP="00311733">
            <w:pPr>
              <w:numPr>
                <w:ilvl w:val="0"/>
                <w:numId w:val="42"/>
              </w:numPr>
              <w:spacing w:before="80" w:after="160" w:line="276" w:lineRule="auto"/>
              <w:ind w:left="676" w:right="187" w:hanging="446"/>
              <w:rPr>
                <w:rFonts w:cs="Tahoma"/>
              </w:rPr>
            </w:pPr>
            <w:r w:rsidRPr="00A75DF9">
              <w:rPr>
                <w:rFonts w:eastAsia="Calibri" w:cs="Tahoma"/>
                <w:color w:val="000000"/>
                <w:szCs w:val="18"/>
              </w:rPr>
              <w:t>Office 365 Enterprise E1 o</w:t>
            </w:r>
          </w:p>
          <w:p w:rsidR="000773D2" w:rsidRPr="00A75DF9" w:rsidRDefault="000773D2" w:rsidP="00311733">
            <w:pPr>
              <w:numPr>
                <w:ilvl w:val="0"/>
                <w:numId w:val="42"/>
              </w:numPr>
              <w:spacing w:before="80" w:after="160" w:line="276" w:lineRule="auto"/>
              <w:ind w:left="676" w:right="187" w:hanging="446"/>
              <w:rPr>
                <w:rFonts w:cs="Tahoma"/>
              </w:rPr>
            </w:pPr>
            <w:r w:rsidRPr="00A75DF9">
              <w:rPr>
                <w:rFonts w:eastAsia="Calibri" w:cs="Tahoma"/>
                <w:color w:val="000000"/>
                <w:szCs w:val="18"/>
              </w:rPr>
              <w:t>Office 365 Enterprise E3 o</w:t>
            </w:r>
          </w:p>
          <w:p w:rsidR="000773D2" w:rsidRPr="00A75DF9" w:rsidRDefault="000773D2" w:rsidP="00311733">
            <w:pPr>
              <w:numPr>
                <w:ilvl w:val="0"/>
                <w:numId w:val="42"/>
              </w:numPr>
              <w:spacing w:before="80" w:after="160" w:line="276" w:lineRule="auto"/>
              <w:ind w:left="676" w:right="187" w:hanging="446"/>
              <w:rPr>
                <w:rFonts w:eastAsia="Calibri" w:cs="Tahoma"/>
                <w:color w:val="000000"/>
                <w:szCs w:val="18"/>
              </w:rPr>
            </w:pPr>
            <w:r w:rsidRPr="00A75DF9">
              <w:rPr>
                <w:rFonts w:eastAsia="Calibri" w:cs="Tahoma"/>
                <w:color w:val="000000"/>
                <w:szCs w:val="18"/>
              </w:rPr>
              <w:t>Office 365 Enterprise E4</w:t>
            </w:r>
          </w:p>
        </w:tc>
      </w:tr>
      <w:tr w:rsidR="005A36EF" w:rsidRPr="00A75DF9" w:rsidTr="002A6416">
        <w:trPr>
          <w:trHeight w:val="576"/>
        </w:trPr>
        <w:tc>
          <w:tcPr>
            <w:tcW w:w="1704" w:type="pct"/>
            <w:tcBorders>
              <w:top w:val="nil"/>
              <w:left w:val="single" w:sz="8" w:space="0" w:color="auto"/>
              <w:bottom w:val="single" w:sz="8" w:space="0" w:color="auto"/>
              <w:right w:val="single" w:sz="8" w:space="0" w:color="auto"/>
            </w:tcBorders>
          </w:tcPr>
          <w:p w:rsidR="000773D2" w:rsidRPr="00A75DF9" w:rsidRDefault="000773D2" w:rsidP="00346F4B">
            <w:pPr>
              <w:numPr>
                <w:ilvl w:val="0"/>
                <w:numId w:val="40"/>
              </w:numPr>
              <w:spacing w:before="120" w:after="200" w:line="276" w:lineRule="auto"/>
              <w:ind w:left="679" w:right="181" w:hanging="450"/>
              <w:rPr>
                <w:rFonts w:eastAsia="Calibri" w:cs="Tahoma"/>
                <w:color w:val="000000"/>
                <w:szCs w:val="18"/>
              </w:rPr>
            </w:pPr>
            <w:r w:rsidRPr="00A75DF9">
              <w:rPr>
                <w:rFonts w:eastAsia="Calibri" w:cs="Tahoma"/>
                <w:color w:val="000000"/>
                <w:szCs w:val="18"/>
              </w:rPr>
              <w:t>Core CAL Suite Bridge per Office 365 e Windows Intune</w:t>
            </w:r>
          </w:p>
        </w:tc>
        <w:tc>
          <w:tcPr>
            <w:tcW w:w="1593" w:type="pct"/>
            <w:tcBorders>
              <w:top w:val="nil"/>
              <w:left w:val="nil"/>
              <w:bottom w:val="single" w:sz="8" w:space="0" w:color="auto"/>
              <w:right w:val="single" w:sz="8" w:space="0" w:color="auto"/>
            </w:tcBorders>
          </w:tcPr>
          <w:p w:rsidR="000773D2" w:rsidRPr="00A75DF9" w:rsidRDefault="000773D2" w:rsidP="00346F4B">
            <w:pPr>
              <w:numPr>
                <w:ilvl w:val="0"/>
                <w:numId w:val="41"/>
              </w:numPr>
              <w:spacing w:before="120" w:after="200" w:line="276" w:lineRule="auto"/>
              <w:ind w:left="682" w:hanging="450"/>
              <w:rPr>
                <w:rFonts w:eastAsia="Calibri" w:cs="Tahoma"/>
                <w:color w:val="000000"/>
                <w:szCs w:val="18"/>
              </w:rPr>
            </w:pPr>
            <w:r w:rsidRPr="00A75DF9">
              <w:rPr>
                <w:rFonts w:eastAsia="Calibri" w:cs="Tahoma"/>
                <w:color w:val="000000"/>
                <w:szCs w:val="18"/>
              </w:rPr>
              <w:t>Core CAL Suite</w:t>
            </w:r>
          </w:p>
        </w:tc>
        <w:tc>
          <w:tcPr>
            <w:tcW w:w="1703" w:type="pct"/>
            <w:tcBorders>
              <w:top w:val="nil"/>
              <w:left w:val="nil"/>
              <w:bottom w:val="single" w:sz="8" w:space="0" w:color="auto"/>
              <w:right w:val="single" w:sz="8" w:space="0" w:color="auto"/>
            </w:tcBorders>
          </w:tcPr>
          <w:p w:rsidR="000773D2" w:rsidRPr="00A75DF9" w:rsidRDefault="000773D2" w:rsidP="00311733">
            <w:pPr>
              <w:numPr>
                <w:ilvl w:val="0"/>
                <w:numId w:val="42"/>
              </w:numPr>
              <w:spacing w:before="80" w:after="160" w:line="276" w:lineRule="auto"/>
              <w:ind w:left="676" w:right="187" w:hanging="446"/>
              <w:rPr>
                <w:rFonts w:cs="Tahoma"/>
              </w:rPr>
            </w:pPr>
            <w:r w:rsidRPr="00A75DF9">
              <w:rPr>
                <w:rFonts w:eastAsia="Calibri" w:cs="Tahoma"/>
                <w:color w:val="000000"/>
                <w:szCs w:val="18"/>
              </w:rPr>
              <w:t>Office 365 Enterprise E1 e Windows Intune o</w:t>
            </w:r>
          </w:p>
          <w:p w:rsidR="000773D2" w:rsidRPr="00A75DF9" w:rsidRDefault="000773D2" w:rsidP="00311733">
            <w:pPr>
              <w:numPr>
                <w:ilvl w:val="0"/>
                <w:numId w:val="42"/>
              </w:numPr>
              <w:spacing w:before="80" w:after="160" w:line="276" w:lineRule="auto"/>
              <w:ind w:left="676" w:right="187" w:hanging="446"/>
              <w:rPr>
                <w:rFonts w:cs="Tahoma"/>
              </w:rPr>
            </w:pPr>
            <w:r w:rsidRPr="00A75DF9">
              <w:rPr>
                <w:rFonts w:eastAsia="Calibri" w:cs="Tahoma"/>
                <w:color w:val="000000"/>
                <w:szCs w:val="18"/>
              </w:rPr>
              <w:t>Office 365 Enterprise E3 e Windows Intune o</w:t>
            </w:r>
          </w:p>
          <w:p w:rsidR="000773D2" w:rsidRPr="00A75DF9" w:rsidRDefault="000773D2" w:rsidP="00311733">
            <w:pPr>
              <w:numPr>
                <w:ilvl w:val="0"/>
                <w:numId w:val="42"/>
              </w:numPr>
              <w:spacing w:before="80" w:after="160" w:line="276" w:lineRule="auto"/>
              <w:ind w:left="676" w:right="187" w:hanging="446"/>
              <w:rPr>
                <w:rFonts w:eastAsia="Calibri" w:cs="Tahoma"/>
                <w:color w:val="000000"/>
                <w:szCs w:val="18"/>
              </w:rPr>
            </w:pPr>
            <w:r w:rsidRPr="00A75DF9">
              <w:rPr>
                <w:rFonts w:eastAsia="Calibri" w:cs="Tahoma"/>
                <w:color w:val="000000"/>
                <w:szCs w:val="18"/>
              </w:rPr>
              <w:t>Office 365 Enterprise E4 e Windows Intune</w:t>
            </w:r>
          </w:p>
        </w:tc>
      </w:tr>
      <w:tr w:rsidR="00A2083B" w:rsidRPr="00A75DF9" w:rsidTr="002A6416">
        <w:trPr>
          <w:trHeight w:val="576"/>
        </w:trPr>
        <w:tc>
          <w:tcPr>
            <w:tcW w:w="1704" w:type="pct"/>
            <w:tcBorders>
              <w:top w:val="single" w:sz="8" w:space="0" w:color="auto"/>
              <w:left w:val="single" w:sz="8" w:space="0" w:color="auto"/>
              <w:bottom w:val="single" w:sz="8" w:space="0" w:color="auto"/>
              <w:right w:val="single" w:sz="8" w:space="0" w:color="auto"/>
            </w:tcBorders>
          </w:tcPr>
          <w:p w:rsidR="00A2083B" w:rsidRPr="00A75DF9" w:rsidRDefault="00A2083B" w:rsidP="00346F4B">
            <w:pPr>
              <w:numPr>
                <w:ilvl w:val="0"/>
                <w:numId w:val="40"/>
              </w:numPr>
              <w:spacing w:before="120" w:after="200" w:line="276" w:lineRule="auto"/>
              <w:ind w:left="679" w:right="181" w:hanging="450"/>
              <w:rPr>
                <w:rFonts w:eastAsia="Calibri" w:cs="Tahoma"/>
                <w:color w:val="000000"/>
                <w:szCs w:val="18"/>
              </w:rPr>
            </w:pPr>
            <w:r w:rsidRPr="00A75DF9">
              <w:rPr>
                <w:rFonts w:cs="Tahoma"/>
                <w:color w:val="000000"/>
                <w:szCs w:val="18"/>
              </w:rPr>
              <w:t>Core CAL Suite Bridge per Windows Intune</w:t>
            </w:r>
          </w:p>
        </w:tc>
        <w:tc>
          <w:tcPr>
            <w:tcW w:w="1593" w:type="pct"/>
            <w:tcBorders>
              <w:top w:val="single" w:sz="8" w:space="0" w:color="auto"/>
              <w:left w:val="nil"/>
              <w:bottom w:val="single" w:sz="8" w:space="0" w:color="auto"/>
              <w:right w:val="single" w:sz="8" w:space="0" w:color="auto"/>
            </w:tcBorders>
          </w:tcPr>
          <w:p w:rsidR="00A2083B" w:rsidRPr="00A75DF9" w:rsidRDefault="00A2083B" w:rsidP="00346F4B">
            <w:pPr>
              <w:numPr>
                <w:ilvl w:val="0"/>
                <w:numId w:val="41"/>
              </w:numPr>
              <w:spacing w:before="120" w:after="200" w:line="276" w:lineRule="auto"/>
              <w:ind w:left="682" w:hanging="450"/>
              <w:rPr>
                <w:rFonts w:eastAsia="Calibri" w:cs="Tahoma"/>
                <w:color w:val="000000"/>
                <w:szCs w:val="18"/>
              </w:rPr>
            </w:pPr>
            <w:r w:rsidRPr="00A75DF9">
              <w:rPr>
                <w:rFonts w:cs="Tahoma"/>
                <w:color w:val="000000"/>
                <w:szCs w:val="18"/>
              </w:rPr>
              <w:t>Core CAL Suite</w:t>
            </w:r>
          </w:p>
        </w:tc>
        <w:tc>
          <w:tcPr>
            <w:tcW w:w="1703" w:type="pct"/>
            <w:tcBorders>
              <w:top w:val="single" w:sz="8" w:space="0" w:color="auto"/>
              <w:left w:val="nil"/>
              <w:bottom w:val="single" w:sz="8" w:space="0" w:color="auto"/>
              <w:right w:val="single" w:sz="8" w:space="0" w:color="auto"/>
            </w:tcBorders>
          </w:tcPr>
          <w:p w:rsidR="00A2083B" w:rsidRPr="00A75DF9" w:rsidRDefault="00A2083B" w:rsidP="00311733">
            <w:pPr>
              <w:numPr>
                <w:ilvl w:val="0"/>
                <w:numId w:val="42"/>
              </w:numPr>
              <w:spacing w:before="80" w:after="160" w:line="276" w:lineRule="auto"/>
              <w:ind w:left="676" w:right="187" w:hanging="446"/>
              <w:rPr>
                <w:rFonts w:eastAsia="Calibri" w:cs="Tahoma"/>
                <w:color w:val="000000"/>
                <w:szCs w:val="18"/>
              </w:rPr>
            </w:pPr>
            <w:r w:rsidRPr="00A75DF9">
              <w:rPr>
                <w:rFonts w:cs="Tahoma"/>
                <w:color w:val="000000"/>
                <w:szCs w:val="18"/>
              </w:rPr>
              <w:t>Windows</w:t>
            </w:r>
            <w:r w:rsidRPr="00A75DF9">
              <w:rPr>
                <w:rFonts w:cs="Tahoma"/>
                <w:color w:val="000000"/>
                <w:szCs w:val="18"/>
                <w:vertAlign w:val="superscript"/>
              </w:rPr>
              <w:t xml:space="preserve"> </w:t>
            </w:r>
            <w:r w:rsidRPr="00A75DF9">
              <w:rPr>
                <w:rFonts w:cs="Tahoma"/>
                <w:color w:val="000000"/>
                <w:szCs w:val="18"/>
              </w:rPr>
              <w:t>Intune</w:t>
            </w:r>
          </w:p>
        </w:tc>
      </w:tr>
    </w:tbl>
    <w:p w:rsidR="00A66BD2" w:rsidRPr="00CA60ED" w:rsidRDefault="00A66BD2" w:rsidP="00AF3B19">
      <w:pPr>
        <w:pStyle w:val="Heading3"/>
        <w:rPr>
          <w:rFonts w:ascii="Tahoma" w:hAnsi="Tahoma" w:cs="Tahoma"/>
          <w:b w:val="0"/>
          <w:bCs/>
          <w:sz w:val="18"/>
          <w:szCs w:val="18"/>
        </w:rPr>
      </w:pPr>
      <w:bookmarkStart w:id="1160" w:name="_Toc336338295"/>
      <w:bookmarkStart w:id="1161" w:name="Srv_34CoreCALSuite"/>
      <w:bookmarkStart w:id="1162" w:name="Srv_31CoreCALSuite"/>
    </w:p>
    <w:p w:rsidR="00A66BD2" w:rsidRPr="00CA60ED" w:rsidRDefault="00A66BD2" w:rsidP="00AF3B19">
      <w:pPr>
        <w:pStyle w:val="Heading3"/>
        <w:rPr>
          <w:rFonts w:ascii="Tahoma" w:hAnsi="Tahoma" w:cs="Tahoma"/>
          <w:b w:val="0"/>
          <w:bCs/>
          <w:sz w:val="18"/>
          <w:szCs w:val="18"/>
        </w:rPr>
      </w:pPr>
    </w:p>
    <w:p w:rsidR="00023FE7" w:rsidRPr="00A75DF9" w:rsidRDefault="00A560B6" w:rsidP="001760D6">
      <w:pPr>
        <w:pStyle w:val="Heading3"/>
        <w:keepNext/>
        <w:rPr>
          <w:rFonts w:ascii="Tahoma" w:hAnsi="Tahoma" w:cs="Tahoma"/>
        </w:rPr>
      </w:pPr>
      <w:bookmarkStart w:id="1163" w:name="_40_Core_CAL"/>
      <w:bookmarkStart w:id="1164" w:name="_Toc368310291"/>
      <w:bookmarkEnd w:id="1163"/>
      <w:r w:rsidRPr="00A75DF9">
        <w:rPr>
          <w:rFonts w:ascii="Tahoma" w:hAnsi="Tahoma" w:cs="Tahoma"/>
          <w:caps/>
          <w:color w:val="F66400"/>
          <w:sz w:val="22"/>
          <w:vertAlign w:val="superscript"/>
        </w:rPr>
        <w:t>41</w:t>
      </w:r>
      <w:r w:rsidRPr="00A75DF9">
        <w:rPr>
          <w:rFonts w:ascii="Tahoma" w:hAnsi="Tahoma" w:cs="Tahoma"/>
          <w:color w:val="F66400"/>
          <w:sz w:val="22"/>
        </w:rPr>
        <w:t xml:space="preserve"> Core CAL Suite</w:t>
      </w:r>
      <w:bookmarkEnd w:id="1160"/>
      <w:bookmarkEnd w:id="1164"/>
    </w:p>
    <w:bookmarkEnd w:id="1161"/>
    <w:bookmarkEnd w:id="1162"/>
    <w:p w:rsidR="00023FE7" w:rsidRPr="00A75DF9" w:rsidRDefault="00023FE7" w:rsidP="001760D6">
      <w:pPr>
        <w:keepNext/>
        <w:ind w:firstLine="547"/>
        <w:rPr>
          <w:rFonts w:cs="Tahoma"/>
        </w:rPr>
      </w:pPr>
    </w:p>
    <w:p w:rsidR="000D76F0" w:rsidRPr="00A75DF9" w:rsidRDefault="000D76F0" w:rsidP="001154B5">
      <w:pPr>
        <w:ind w:left="720"/>
        <w:rPr>
          <w:rFonts w:cs="Tahoma"/>
        </w:rPr>
      </w:pPr>
      <w:r w:rsidRPr="00A75DF9">
        <w:rPr>
          <w:rFonts w:cs="Tahoma"/>
          <w:szCs w:val="20"/>
        </w:rPr>
        <w:t xml:space="preserve">Core CAL Suite non dispone di versioni e i diritti di utilizzo del prodotto sono determinati dallo stato della copertura Software Assurance per Core CAL Suite. Qualora la copertura sia scaduta, i diritti di accesso attribuiti da licenze perpetue sono determinati sulla base dei diritti di utilizzo del prodotto in vigore prima della scadenza della copertura. A partire dal 1 ottobre 2012 una licenza per Core </w:t>
      </w:r>
      <w:r w:rsidRPr="00A75DF9">
        <w:rPr>
          <w:rFonts w:cs="Tahoma"/>
          <w:color w:val="000000"/>
          <w:szCs w:val="20"/>
        </w:rPr>
        <w:t xml:space="preserve">CAL Suite con copertura Software Assurance attiva concede diritti equivalenti ai seguenti prodotti: CAL per Windows Server 2012, Standard CAL per Exchange Server 2013, </w:t>
      </w:r>
      <w:r w:rsidRPr="00A75DF9">
        <w:rPr>
          <w:rFonts w:cs="Tahoma"/>
          <w:color w:val="000000"/>
        </w:rPr>
        <w:t xml:space="preserve">Standard CAL per Lync Server 2013, </w:t>
      </w:r>
      <w:r w:rsidRPr="00A75DF9">
        <w:rPr>
          <w:rFonts w:cs="Tahoma"/>
          <w:color w:val="000000"/>
          <w:szCs w:val="20"/>
        </w:rPr>
        <w:t>Standard CAL per SharePoint</w:t>
      </w:r>
      <w:r w:rsidRPr="00A75DF9">
        <w:rPr>
          <w:rFonts w:cs="Tahoma"/>
          <w:szCs w:val="20"/>
        </w:rPr>
        <w:t xml:space="preserve"> Server 2013, Licenza di Gestione Client per System Center 2012 Configuration Manager e System Center 2012 Endpoint Protection</w:t>
      </w:r>
      <w:r w:rsidRPr="00A75DF9">
        <w:rPr>
          <w:rFonts w:cs="Tahoma"/>
          <w:color w:val="000000"/>
          <w:szCs w:val="20"/>
        </w:rPr>
        <w:t>.</w:t>
      </w:r>
      <w:r w:rsidR="009D3B41" w:rsidRPr="00A75DF9">
        <w:rPr>
          <w:rFonts w:cs="Tahoma"/>
          <w:color w:val="000000"/>
          <w:szCs w:val="20"/>
        </w:rPr>
        <w:t xml:space="preserve"> </w:t>
      </w:r>
      <w:r w:rsidRPr="00A75DF9">
        <w:rPr>
          <w:rFonts w:cs="Tahoma"/>
          <w:color w:val="000000"/>
          <w:szCs w:val="18"/>
        </w:rPr>
        <w:t>Una licenza per Core CAL Suite è una licenza singola che deve essere ceduta a un singolo utente o dispositivo. Secondo quanto previsto nel relativo contratto multilicenza, le società non sono autorizzate a separare i diritti di Core CAL Suite per consentire a due o più utenti o dispositivi di accedere contemporaneamente ai diversi componenti. </w:t>
      </w:r>
    </w:p>
    <w:p w:rsidR="00023FE7" w:rsidRPr="00A75DF9" w:rsidRDefault="00023FE7" w:rsidP="001154B5">
      <w:pPr>
        <w:ind w:left="720"/>
        <w:rPr>
          <w:rFonts w:cs="Tahoma"/>
        </w:rPr>
      </w:pPr>
    </w:p>
    <w:p w:rsidR="00023FE7" w:rsidRPr="00A75DF9" w:rsidRDefault="00023FE7" w:rsidP="00A66BD2">
      <w:pPr>
        <w:spacing w:after="60"/>
        <w:ind w:left="720"/>
        <w:rPr>
          <w:rFonts w:cs="Tahoma"/>
        </w:rPr>
      </w:pPr>
      <w:r w:rsidRPr="00A75DF9">
        <w:rPr>
          <w:rFonts w:cs="Tahoma"/>
          <w:b/>
          <w:bCs/>
          <w:color w:val="000000"/>
          <w:szCs w:val="20"/>
        </w:rPr>
        <w:t>CAL Solo per Studenti (Academic Open License e Academic Select)</w:t>
      </w:r>
    </w:p>
    <w:p w:rsidR="00023FE7" w:rsidRPr="00A75DF9" w:rsidRDefault="00023FE7" w:rsidP="00CA60ED">
      <w:pPr>
        <w:ind w:left="720"/>
        <w:rPr>
          <w:rFonts w:cs="Tahoma"/>
        </w:rPr>
      </w:pPr>
      <w:r w:rsidRPr="00A75DF9">
        <w:rPr>
          <w:rFonts w:cs="Tahoma"/>
          <w:szCs w:val="20"/>
        </w:rPr>
        <w:t>Le CAL Solo per Studenti sono limitate ai PC di proprietà dello studente titolare della licenza o ai PC di</w:t>
      </w:r>
      <w:r w:rsidR="00CA60ED">
        <w:rPr>
          <w:rFonts w:cs="Tahoma"/>
          <w:szCs w:val="20"/>
        </w:rPr>
        <w:t> </w:t>
      </w:r>
      <w:r w:rsidRPr="00A75DF9">
        <w:rPr>
          <w:rFonts w:cs="Tahoma"/>
          <w:szCs w:val="20"/>
        </w:rPr>
        <w:t>proprietà dell</w:t>
      </w:r>
      <w:r w:rsidR="00F2643E">
        <w:rPr>
          <w:rFonts w:cs="Tahoma"/>
          <w:szCs w:val="20"/>
        </w:rPr>
        <w:t>’</w:t>
      </w:r>
      <w:r w:rsidRPr="00A75DF9">
        <w:rPr>
          <w:rFonts w:cs="Tahoma"/>
          <w:szCs w:val="20"/>
        </w:rPr>
        <w:t>Istituto che siano assegnati a un singolo studente e NON siano utilizzati nei laboratori o</w:t>
      </w:r>
      <w:r w:rsidR="00CA60ED">
        <w:rPr>
          <w:rFonts w:cs="Tahoma"/>
          <w:szCs w:val="20"/>
        </w:rPr>
        <w:t> </w:t>
      </w:r>
      <w:r w:rsidRPr="00A75DF9">
        <w:rPr>
          <w:rFonts w:cs="Tahoma"/>
          <w:szCs w:val="20"/>
        </w:rPr>
        <w:t>in</w:t>
      </w:r>
      <w:r w:rsidR="00CA60ED">
        <w:rPr>
          <w:rFonts w:cs="Tahoma"/>
          <w:szCs w:val="20"/>
        </w:rPr>
        <w:t> </w:t>
      </w:r>
      <w:r w:rsidRPr="00A75DF9">
        <w:rPr>
          <w:rFonts w:cs="Tahoma"/>
          <w:szCs w:val="20"/>
        </w:rPr>
        <w:t>classe.</w:t>
      </w:r>
    </w:p>
    <w:p w:rsidR="0036063B" w:rsidRDefault="0036063B" w:rsidP="00AF3B19">
      <w:pPr>
        <w:rPr>
          <w:rFonts w:cs="Tahoma"/>
        </w:rPr>
      </w:pPr>
    </w:p>
    <w:p w:rsidR="00CA60ED" w:rsidRDefault="00CA60ED" w:rsidP="00AF3B19">
      <w:pPr>
        <w:rPr>
          <w:rFonts w:cs="Tahoma"/>
        </w:rPr>
      </w:pPr>
    </w:p>
    <w:p w:rsidR="00B947E4" w:rsidRPr="00A75DF9" w:rsidRDefault="00A560B6" w:rsidP="00416294">
      <w:pPr>
        <w:pStyle w:val="Heading3"/>
        <w:rPr>
          <w:rFonts w:ascii="Tahoma" w:hAnsi="Tahoma" w:cs="Tahoma"/>
        </w:rPr>
      </w:pPr>
      <w:bookmarkStart w:id="1165" w:name="_41_Core_Infrastructure"/>
      <w:bookmarkStart w:id="1166" w:name="_Toc336338296"/>
      <w:bookmarkStart w:id="1167" w:name="Srv_35CoreInfraServerSuiteStd"/>
      <w:bookmarkStart w:id="1168" w:name="Srv_32CoreInfraServerSuiteStd"/>
      <w:bookmarkStart w:id="1169" w:name="Srv_35DynCRMWorkProEnt"/>
      <w:bookmarkStart w:id="1170" w:name="_Toc368310292"/>
      <w:bookmarkEnd w:id="1165"/>
      <w:r w:rsidRPr="00A75DF9">
        <w:rPr>
          <w:rFonts w:ascii="Tahoma" w:hAnsi="Tahoma" w:cs="Tahoma"/>
          <w:caps/>
          <w:color w:val="F66400"/>
          <w:sz w:val="22"/>
          <w:vertAlign w:val="superscript"/>
        </w:rPr>
        <w:t>42</w:t>
      </w:r>
      <w:r w:rsidRPr="00A75DF9">
        <w:rPr>
          <w:rFonts w:ascii="Tahoma" w:hAnsi="Tahoma" w:cs="Tahoma"/>
          <w:color w:val="F66400"/>
          <w:sz w:val="22"/>
        </w:rPr>
        <w:t xml:space="preserve"> Core Infrastructure Server Suite Standard</w:t>
      </w:r>
      <w:bookmarkEnd w:id="1166"/>
      <w:bookmarkEnd w:id="1170"/>
    </w:p>
    <w:bookmarkEnd w:id="1167"/>
    <w:bookmarkEnd w:id="1168"/>
    <w:p w:rsidR="004D776B" w:rsidRPr="00A75DF9" w:rsidRDefault="004D776B" w:rsidP="00416294">
      <w:pPr>
        <w:rPr>
          <w:rFonts w:cs="Tahoma"/>
        </w:rPr>
      </w:pPr>
    </w:p>
    <w:p w:rsidR="004D776B" w:rsidRPr="00A75DF9" w:rsidRDefault="00A66BD2" w:rsidP="00A66BD2">
      <w:pPr>
        <w:spacing w:after="60"/>
        <w:ind w:left="720"/>
        <w:rPr>
          <w:rFonts w:cs="Tahoma"/>
        </w:rPr>
      </w:pPr>
      <w:r w:rsidRPr="00A75DF9">
        <w:rPr>
          <w:rFonts w:eastAsia="Calibri" w:cs="Tahoma"/>
          <w:b/>
          <w:szCs w:val="18"/>
        </w:rPr>
        <w:t>Migrazione al Nuovo Modello di Licenza</w:t>
      </w:r>
    </w:p>
    <w:p w:rsidR="004D776B" w:rsidRPr="00A75DF9" w:rsidRDefault="004D776B" w:rsidP="00A66BD2">
      <w:pPr>
        <w:ind w:left="720"/>
        <w:rPr>
          <w:rFonts w:cs="Tahoma"/>
        </w:rPr>
      </w:pPr>
      <w:r w:rsidRPr="00A75DF9">
        <w:rPr>
          <w:rFonts w:eastAsia="Calibri" w:cs="Tahoma"/>
          <w:szCs w:val="18"/>
        </w:rPr>
        <w:t>In data 1 aprile 2012 il modello di licenza per CIS è cambiato. Le licenze acquistate ai sensi di nuove iscrizioni in vigore dopo il 1 aprile 2012 possono coprire fino a due processori fisici.</w:t>
      </w:r>
    </w:p>
    <w:p w:rsidR="00A66BD2" w:rsidRPr="00A75DF9" w:rsidRDefault="00A66BD2" w:rsidP="00A66BD2">
      <w:pPr>
        <w:ind w:left="720"/>
        <w:rPr>
          <w:rFonts w:cs="Tahoma"/>
        </w:rPr>
      </w:pPr>
    </w:p>
    <w:p w:rsidR="004D776B" w:rsidRPr="00A75DF9" w:rsidRDefault="004D776B" w:rsidP="00CA60ED">
      <w:pPr>
        <w:ind w:left="720"/>
        <w:rPr>
          <w:rFonts w:cs="Tahoma"/>
        </w:rPr>
      </w:pPr>
      <w:r w:rsidRPr="00A75DF9">
        <w:rPr>
          <w:rFonts w:eastAsia="Calibri" w:cs="Tahoma"/>
          <w:szCs w:val="18"/>
        </w:rPr>
        <w:t>Le società con iscrizioni esistenti in data 1 aprile 2012 (in vigore in data 1 aprile 2012 o antecedente) possono continuare a effettuare il true-up delle licenze acquistate ai sensi del modello precedente in base al</w:t>
      </w:r>
      <w:r w:rsidR="00CA60ED">
        <w:rPr>
          <w:rFonts w:eastAsia="Calibri" w:cs="Tahoma"/>
          <w:szCs w:val="18"/>
        </w:rPr>
        <w:t> </w:t>
      </w:r>
      <w:r w:rsidRPr="00A75DF9">
        <w:rPr>
          <w:rFonts w:eastAsia="Calibri" w:cs="Tahoma"/>
          <w:szCs w:val="18"/>
        </w:rPr>
        <w:t>quale ciascuna licenza può autorizzare un solo processore. I seguenti diritti di migrazione si applicano alle licenze di queste società:</w:t>
      </w:r>
    </w:p>
    <w:p w:rsidR="004D776B" w:rsidRPr="00CA60ED" w:rsidRDefault="004D776B" w:rsidP="00A66BD2">
      <w:pPr>
        <w:pStyle w:val="ListParagraph"/>
        <w:contextualSpacing w:val="0"/>
        <w:rPr>
          <w:rFonts w:ascii="Tahoma" w:hAnsi="Tahoma" w:cs="Tahoma"/>
          <w:sz w:val="18"/>
          <w:szCs w:val="18"/>
        </w:rPr>
      </w:pPr>
      <w:r w:rsidRPr="00CA60ED">
        <w:rPr>
          <w:rFonts w:ascii="Tahoma" w:eastAsia="Calibri" w:hAnsi="Tahoma" w:cs="Tahoma"/>
          <w:sz w:val="18"/>
          <w:szCs w:val="18"/>
        </w:rPr>
        <w:lastRenderedPageBreak/>
        <w:t>Per la durata dell</w:t>
      </w:r>
      <w:r w:rsidR="00F2643E">
        <w:rPr>
          <w:rFonts w:ascii="Tahoma" w:eastAsia="Calibri" w:hAnsi="Tahoma" w:cs="Tahoma"/>
          <w:sz w:val="18"/>
          <w:szCs w:val="18"/>
        </w:rPr>
        <w:t>’</w:t>
      </w:r>
      <w:r w:rsidRPr="00CA60ED">
        <w:rPr>
          <w:rFonts w:ascii="Tahoma" w:eastAsia="Calibri" w:hAnsi="Tahoma" w:cs="Tahoma"/>
          <w:sz w:val="18"/>
          <w:szCs w:val="18"/>
        </w:rPr>
        <w:t>iscrizione in essere le licenze nuove ed esistenti delle società, acquistate ai sensi del modello precedente, saranno considerate equivalenti alle licenze previste dal nuovo modello in percentuale di 1:1. In occasione del rinnovo le società possono rinnovare la copertura Software Assurance per le licenze del nuovo modello.</w:t>
      </w:r>
    </w:p>
    <w:p w:rsidR="00973A93" w:rsidRPr="00A75DF9" w:rsidRDefault="00973A93">
      <w:pPr>
        <w:rPr>
          <w:rFonts w:cs="Tahoma"/>
        </w:rPr>
      </w:pPr>
    </w:p>
    <w:p w:rsidR="004D776B" w:rsidRPr="00A75DF9" w:rsidRDefault="004D776B" w:rsidP="00A66BD2">
      <w:pPr>
        <w:spacing w:after="60"/>
        <w:ind w:left="720"/>
        <w:rPr>
          <w:rFonts w:cs="Tahoma"/>
        </w:rPr>
      </w:pPr>
      <w:r w:rsidRPr="00A75DF9">
        <w:rPr>
          <w:rFonts w:eastAsia="Calibri" w:cs="Tahoma"/>
          <w:b/>
          <w:szCs w:val="18"/>
        </w:rPr>
        <w:t>Rilascio di una Nuova Versione di Windows Server</w:t>
      </w:r>
    </w:p>
    <w:p w:rsidR="004D776B" w:rsidRPr="00A75DF9" w:rsidRDefault="004D776B" w:rsidP="00A66BD2">
      <w:pPr>
        <w:ind w:left="720"/>
        <w:rPr>
          <w:rFonts w:cs="Tahoma"/>
        </w:rPr>
      </w:pPr>
      <w:r w:rsidRPr="00A75DF9">
        <w:rPr>
          <w:rFonts w:eastAsia="Calibri" w:cs="Tahoma"/>
          <w:szCs w:val="18"/>
        </w:rPr>
        <w:t>Le società titolari di licenze per Core Infrastructure Server Suite Standard con copertura Software Assurance attiva in data 1 settembre 2012 avranno il diritto di utilizzare i seguenti prodotti in conformità ai diritti di utilizzo del prodotto per Core Infrastructure Server Suite Standard:</w:t>
      </w:r>
    </w:p>
    <w:p w:rsidR="00A66BD2" w:rsidRPr="00A75DF9" w:rsidRDefault="00A66BD2" w:rsidP="00A66BD2">
      <w:pPr>
        <w:ind w:left="720"/>
        <w:rPr>
          <w:rFonts w:cs="Tahoma"/>
        </w:rPr>
      </w:pPr>
    </w:p>
    <w:p w:rsidR="004D776B" w:rsidRPr="00A75DF9" w:rsidRDefault="004D776B" w:rsidP="00346F4B">
      <w:pPr>
        <w:numPr>
          <w:ilvl w:val="0"/>
          <w:numId w:val="23"/>
        </w:numPr>
        <w:tabs>
          <w:tab w:val="left" w:pos="1440"/>
          <w:tab w:val="left" w:pos="3510"/>
        </w:tabs>
        <w:spacing w:after="60"/>
        <w:rPr>
          <w:rFonts w:cs="Tahoma"/>
        </w:rPr>
      </w:pPr>
      <w:r w:rsidRPr="00A75DF9">
        <w:rPr>
          <w:rFonts w:eastAsia="Calibri" w:cs="Tahoma"/>
          <w:szCs w:val="18"/>
        </w:rPr>
        <w:t>Windows Server 2012 Standard</w:t>
      </w:r>
    </w:p>
    <w:p w:rsidR="004D776B" w:rsidRPr="00A75DF9" w:rsidRDefault="004D776B" w:rsidP="00346F4B">
      <w:pPr>
        <w:numPr>
          <w:ilvl w:val="0"/>
          <w:numId w:val="23"/>
        </w:numPr>
        <w:tabs>
          <w:tab w:val="left" w:pos="1440"/>
          <w:tab w:val="left" w:pos="3510"/>
        </w:tabs>
        <w:spacing w:after="60"/>
        <w:rPr>
          <w:rFonts w:cs="Tahoma"/>
        </w:rPr>
      </w:pPr>
      <w:r w:rsidRPr="00A75DF9">
        <w:rPr>
          <w:rFonts w:eastAsia="Calibri" w:cs="Tahoma"/>
          <w:szCs w:val="18"/>
        </w:rPr>
        <w:t>System Center 2012 Standard</w:t>
      </w:r>
    </w:p>
    <w:p w:rsidR="00A66BD2" w:rsidRPr="00A75DF9" w:rsidRDefault="00A66BD2" w:rsidP="00A66BD2">
      <w:pPr>
        <w:tabs>
          <w:tab w:val="left" w:pos="1440"/>
          <w:tab w:val="left" w:pos="3510"/>
        </w:tabs>
        <w:rPr>
          <w:rFonts w:cs="Tahoma"/>
        </w:rPr>
      </w:pPr>
    </w:p>
    <w:p w:rsidR="004D776B" w:rsidRPr="00A75DF9" w:rsidRDefault="004D776B" w:rsidP="00A66BD2">
      <w:pPr>
        <w:ind w:left="720"/>
        <w:rPr>
          <w:rFonts w:cs="Tahoma"/>
        </w:rPr>
      </w:pPr>
      <w:r w:rsidRPr="00A75DF9">
        <w:rPr>
          <w:rFonts w:eastAsia="Calibri" w:cs="Tahoma"/>
          <w:szCs w:val="18"/>
        </w:rPr>
        <w:t>Per i server che dispongono di una licenza valida per Core Infrastructure Server Suite Standard le società potranno eseguire un</w:t>
      </w:r>
      <w:r w:rsidR="00F2643E">
        <w:rPr>
          <w:rFonts w:eastAsia="Calibri" w:cs="Tahoma"/>
          <w:szCs w:val="18"/>
        </w:rPr>
        <w:t>’</w:t>
      </w:r>
      <w:r w:rsidRPr="00A75DF9">
        <w:rPr>
          <w:rFonts w:eastAsia="Calibri" w:cs="Tahoma"/>
          <w:szCs w:val="18"/>
        </w:rPr>
        <w:t>istanza di Windows Server 2008 R2 Enterprise anziché di Windows Server Standard.</w:t>
      </w:r>
    </w:p>
    <w:p w:rsidR="00A66BD2" w:rsidRPr="00A75DF9" w:rsidRDefault="00A66BD2" w:rsidP="00A66BD2">
      <w:pPr>
        <w:ind w:left="720"/>
        <w:rPr>
          <w:rFonts w:cs="Tahoma"/>
        </w:rPr>
      </w:pPr>
    </w:p>
    <w:p w:rsidR="004D776B" w:rsidRPr="00A75DF9" w:rsidRDefault="004D776B" w:rsidP="00CA60ED">
      <w:pPr>
        <w:spacing w:after="60"/>
        <w:ind w:left="720"/>
        <w:rPr>
          <w:rFonts w:cs="Tahoma"/>
        </w:rPr>
      </w:pPr>
      <w:r w:rsidRPr="00A75DF9">
        <w:rPr>
          <w:rFonts w:eastAsia="Calibri" w:cs="Tahoma"/>
          <w:b/>
          <w:szCs w:val="18"/>
        </w:rPr>
        <w:t>Offerta di Rinnovo di Software Assurance per le Società Titolari di Windows Server Standard e</w:t>
      </w:r>
      <w:r w:rsidR="00CA60ED">
        <w:rPr>
          <w:rFonts w:eastAsia="Calibri" w:cs="Tahoma"/>
          <w:b/>
          <w:szCs w:val="18"/>
        </w:rPr>
        <w:t> </w:t>
      </w:r>
      <w:r w:rsidRPr="00A75DF9">
        <w:rPr>
          <w:rFonts w:eastAsia="Calibri" w:cs="Tahoma"/>
          <w:b/>
          <w:szCs w:val="18"/>
        </w:rPr>
        <w:t>System Center Standard e per le Società Titolari di Windows Server Enterprise e System Center Standard</w:t>
      </w:r>
    </w:p>
    <w:p w:rsidR="004D776B" w:rsidRPr="00A75DF9" w:rsidRDefault="004D776B" w:rsidP="00CA60ED">
      <w:pPr>
        <w:ind w:left="720"/>
        <w:rPr>
          <w:rFonts w:cs="Tahoma"/>
        </w:rPr>
      </w:pPr>
      <w:r w:rsidRPr="00A75DF9">
        <w:rPr>
          <w:rFonts w:eastAsia="Calibri" w:cs="Tahoma"/>
          <w:szCs w:val="18"/>
        </w:rPr>
        <w:t>Le società titolari di licenze con copertura Software Assurance attiva per tutti i prodotti indicati nella Tabella</w:t>
      </w:r>
      <w:r w:rsidR="00CA60ED">
        <w:rPr>
          <w:rFonts w:eastAsia="Calibri" w:cs="Tahoma"/>
          <w:szCs w:val="18"/>
        </w:rPr>
        <w:t> </w:t>
      </w:r>
      <w:r w:rsidRPr="00A75DF9">
        <w:rPr>
          <w:rFonts w:eastAsia="Calibri" w:cs="Tahoma"/>
          <w:szCs w:val="18"/>
        </w:rPr>
        <w:t>A che segue potranno, alla scadenza di tale copertura, acquistare Software Assurance per Core Infrastructure Server Suite Standard senza dover acquistare la sottostante licenza per Core Infrastructure Server Suite Standard.</w:t>
      </w:r>
    </w:p>
    <w:p w:rsidR="00A66BD2" w:rsidRPr="00A75DF9" w:rsidRDefault="00A66BD2" w:rsidP="00A66BD2">
      <w:pPr>
        <w:ind w:left="720"/>
        <w:rPr>
          <w:rFonts w:cs="Tahoma"/>
        </w:rPr>
      </w:pP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19"/>
      </w:tblGrid>
      <w:tr w:rsidR="004D776B" w:rsidRPr="00A75DF9" w:rsidTr="007E466C">
        <w:trPr>
          <w:jc w:val="center"/>
        </w:trPr>
        <w:tc>
          <w:tcPr>
            <w:tcW w:w="3619" w:type="dxa"/>
            <w:tcBorders>
              <w:top w:val="single" w:sz="4" w:space="0" w:color="000000"/>
              <w:left w:val="single" w:sz="4" w:space="0" w:color="000000"/>
              <w:bottom w:val="single" w:sz="4" w:space="0" w:color="000000"/>
              <w:right w:val="single" w:sz="4" w:space="0" w:color="000000"/>
            </w:tcBorders>
            <w:shd w:val="clear" w:color="auto" w:fill="FABF8F"/>
            <w:vAlign w:val="center"/>
            <w:hideMark/>
          </w:tcPr>
          <w:p w:rsidR="004D776B" w:rsidRPr="00A75DF9" w:rsidRDefault="004D776B" w:rsidP="007E466C">
            <w:pPr>
              <w:spacing w:before="120" w:after="120" w:line="276" w:lineRule="auto"/>
              <w:ind w:left="-404"/>
              <w:jc w:val="center"/>
              <w:rPr>
                <w:rFonts w:eastAsia="Calibri" w:cs="Tahoma"/>
                <w:b/>
                <w:szCs w:val="18"/>
              </w:rPr>
            </w:pPr>
            <w:r w:rsidRPr="00A75DF9">
              <w:rPr>
                <w:rFonts w:eastAsia="Calibri" w:cs="Tahoma"/>
                <w:b/>
                <w:szCs w:val="18"/>
              </w:rPr>
              <w:t>Tabella A</w:t>
            </w:r>
          </w:p>
        </w:tc>
      </w:tr>
      <w:tr w:rsidR="004D776B" w:rsidRPr="00A75DF9" w:rsidTr="007E466C">
        <w:trPr>
          <w:trHeight w:val="530"/>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A75DF9" w:rsidRDefault="004D776B" w:rsidP="007E466C">
            <w:pPr>
              <w:spacing w:before="120" w:after="120" w:line="276" w:lineRule="auto"/>
              <w:ind w:left="-404"/>
              <w:jc w:val="center"/>
              <w:rPr>
                <w:rFonts w:eastAsia="Calibri" w:cs="Tahoma"/>
                <w:szCs w:val="18"/>
              </w:rPr>
            </w:pPr>
            <w:r w:rsidRPr="00A75DF9">
              <w:rPr>
                <w:rFonts w:eastAsia="Calibri" w:cs="Tahoma"/>
                <w:szCs w:val="18"/>
              </w:rPr>
              <w:t>Windows Server Standard</w:t>
            </w:r>
          </w:p>
        </w:tc>
      </w:tr>
      <w:tr w:rsidR="004D776B" w:rsidRPr="00A75DF9" w:rsidTr="007E466C">
        <w:trPr>
          <w:jc w:val="center"/>
        </w:trPr>
        <w:tc>
          <w:tcPr>
            <w:tcW w:w="3619" w:type="dxa"/>
            <w:tcBorders>
              <w:top w:val="single" w:sz="4" w:space="0" w:color="000000"/>
              <w:left w:val="single" w:sz="4" w:space="0" w:color="000000"/>
              <w:bottom w:val="single" w:sz="4" w:space="0" w:color="000000"/>
              <w:right w:val="single" w:sz="4" w:space="0" w:color="000000"/>
            </w:tcBorders>
            <w:vAlign w:val="center"/>
            <w:hideMark/>
          </w:tcPr>
          <w:p w:rsidR="004D776B" w:rsidRPr="00A75DF9" w:rsidRDefault="004D776B" w:rsidP="007E466C">
            <w:pPr>
              <w:spacing w:before="120" w:after="120" w:line="276" w:lineRule="auto"/>
              <w:ind w:left="-404"/>
              <w:jc w:val="center"/>
              <w:rPr>
                <w:rFonts w:eastAsia="Calibri" w:cs="Tahoma"/>
                <w:szCs w:val="18"/>
              </w:rPr>
            </w:pPr>
            <w:r w:rsidRPr="00A75DF9">
              <w:rPr>
                <w:rFonts w:eastAsia="Calibri" w:cs="Tahoma"/>
                <w:szCs w:val="18"/>
              </w:rPr>
              <w:t>System Center Standard</w:t>
            </w:r>
          </w:p>
        </w:tc>
      </w:tr>
    </w:tbl>
    <w:p w:rsidR="00416294" w:rsidRPr="00A75DF9" w:rsidRDefault="00416294" w:rsidP="00416294">
      <w:pPr>
        <w:ind w:left="547"/>
        <w:rPr>
          <w:rFonts w:cs="Tahoma"/>
        </w:rPr>
      </w:pPr>
    </w:p>
    <w:p w:rsidR="004D776B" w:rsidRPr="00A75DF9" w:rsidRDefault="004D776B" w:rsidP="00A66BD2">
      <w:pPr>
        <w:ind w:left="720"/>
        <w:rPr>
          <w:rFonts w:cs="Tahoma"/>
        </w:rPr>
      </w:pPr>
      <w:r w:rsidRPr="00A75DF9">
        <w:rPr>
          <w:rFonts w:eastAsia="Calibri" w:cs="Tahoma"/>
          <w:szCs w:val="18"/>
        </w:rPr>
        <w:t xml:space="preserve">Per ogni gruppo composto da una di ciascuna delle licenze qualificanti della Tabella A, le società potranno acquistare Software Assurance per una licenza di Core Infrastructure Server Suite Standard. </w:t>
      </w:r>
    </w:p>
    <w:p w:rsidR="00A66BD2" w:rsidRPr="00A75DF9" w:rsidRDefault="00A66BD2" w:rsidP="00A66BD2">
      <w:pPr>
        <w:ind w:left="720"/>
        <w:rPr>
          <w:rFonts w:cs="Tahoma"/>
        </w:rPr>
      </w:pPr>
    </w:p>
    <w:p w:rsidR="004D776B" w:rsidRPr="00A75DF9" w:rsidRDefault="004D776B" w:rsidP="00CA60ED">
      <w:pPr>
        <w:ind w:left="720"/>
        <w:rPr>
          <w:rFonts w:cs="Tahoma"/>
        </w:rPr>
      </w:pPr>
      <w:r w:rsidRPr="00A75DF9">
        <w:rPr>
          <w:rFonts w:eastAsia="Calibri" w:cs="Tahoma"/>
          <w:szCs w:val="18"/>
        </w:rPr>
        <w:t>Le società che ricevono in licenza e utilizzano Core Infrastructure Server Suite Standard in base alla presente offerta non potranno più utilizzare il software ai sensi delle relative licenze qualificanti. Le licenze e</w:t>
      </w:r>
      <w:r w:rsidR="00CA60ED">
        <w:rPr>
          <w:rFonts w:eastAsia="Calibri" w:cs="Tahoma"/>
          <w:szCs w:val="18"/>
        </w:rPr>
        <w:t> </w:t>
      </w:r>
      <w:r w:rsidRPr="00A75DF9">
        <w:rPr>
          <w:rFonts w:eastAsia="Calibri" w:cs="Tahoma"/>
          <w:szCs w:val="18"/>
        </w:rPr>
        <w:t>Software Assurance acquistate nell</w:t>
      </w:r>
      <w:r w:rsidR="00F2643E">
        <w:rPr>
          <w:rFonts w:eastAsia="Calibri" w:cs="Tahoma"/>
          <w:szCs w:val="18"/>
        </w:rPr>
        <w:t>’</w:t>
      </w:r>
      <w:r w:rsidRPr="00A75DF9">
        <w:rPr>
          <w:rFonts w:eastAsia="Calibri" w:cs="Tahoma"/>
          <w:szCs w:val="18"/>
        </w:rPr>
        <w:t>ambito di un contratto “subscription” non si qualificano ai fini di questa</w:t>
      </w:r>
      <w:r w:rsidR="00CA60ED">
        <w:rPr>
          <w:rFonts w:eastAsia="Calibri" w:cs="Tahoma"/>
          <w:szCs w:val="18"/>
        </w:rPr>
        <w:t> </w:t>
      </w:r>
      <w:r w:rsidRPr="00A75DF9">
        <w:rPr>
          <w:rFonts w:eastAsia="Calibri" w:cs="Tahoma"/>
          <w:szCs w:val="18"/>
        </w:rPr>
        <w:t>offerta.</w:t>
      </w:r>
    </w:p>
    <w:p w:rsidR="00A66BD2" w:rsidRPr="00A75DF9" w:rsidRDefault="00A66BD2" w:rsidP="00A66BD2">
      <w:pPr>
        <w:ind w:left="720"/>
        <w:rPr>
          <w:rFonts w:cs="Tahoma"/>
        </w:rPr>
      </w:pPr>
    </w:p>
    <w:p w:rsidR="00A66BD2" w:rsidRPr="00A75DF9" w:rsidRDefault="004D776B" w:rsidP="00A66BD2">
      <w:pPr>
        <w:spacing w:after="60"/>
        <w:ind w:left="720"/>
        <w:rPr>
          <w:rFonts w:cs="Tahoma"/>
        </w:rPr>
      </w:pPr>
      <w:r w:rsidRPr="00A75DF9">
        <w:rPr>
          <w:rFonts w:eastAsia="Calibri" w:cs="Tahoma"/>
          <w:b/>
          <w:szCs w:val="18"/>
        </w:rPr>
        <w:t>Step-Up da Windows Server Standard o da System Center Standard a Core Infrastructure Server Suite Standard</w:t>
      </w:r>
    </w:p>
    <w:p w:rsidR="004D776B" w:rsidRPr="00A75DF9" w:rsidRDefault="004D776B" w:rsidP="00A66BD2">
      <w:pPr>
        <w:ind w:left="720"/>
        <w:rPr>
          <w:rFonts w:cs="Tahoma"/>
        </w:rPr>
      </w:pPr>
      <w:r w:rsidRPr="00A75DF9">
        <w:rPr>
          <w:rFonts w:eastAsia="Calibri" w:cs="Tahoma"/>
          <w:szCs w:val="18"/>
        </w:rPr>
        <w:t>Le società potranno eseguire lo step-up da Windows Server Standard o System Center Standard a Core Infrastructure Server Suite Standard acquistando la licenza di Step-Up appropriata per Core Infrastructure Server Suite Standard. Le società dovranno disporre di una copertura Software Assurance attiva per la loro licenza per Windows Server Standard o System Center Standard, al fine di acquistare tale licenza di Step-Up.</w:t>
      </w:r>
      <w:r w:rsidR="009D3B41" w:rsidRPr="00A75DF9">
        <w:rPr>
          <w:rFonts w:eastAsia="Calibri" w:cs="Tahoma"/>
          <w:szCs w:val="18"/>
        </w:rPr>
        <w:t xml:space="preserve"> </w:t>
      </w:r>
    </w:p>
    <w:p w:rsidR="00A66BD2" w:rsidRPr="00A75DF9" w:rsidRDefault="00A66BD2" w:rsidP="00A66BD2">
      <w:pPr>
        <w:ind w:left="720"/>
        <w:rPr>
          <w:rFonts w:cs="Tahoma"/>
        </w:rPr>
      </w:pPr>
    </w:p>
    <w:p w:rsidR="004D776B" w:rsidRPr="00A75DF9" w:rsidRDefault="004D776B" w:rsidP="00A66BD2">
      <w:pPr>
        <w:ind w:left="720"/>
        <w:rPr>
          <w:rFonts w:cs="Tahoma"/>
        </w:rPr>
      </w:pPr>
      <w:r w:rsidRPr="00A75DF9">
        <w:rPr>
          <w:rFonts w:eastAsia="Calibri" w:cs="Tahoma"/>
          <w:szCs w:val="18"/>
        </w:rPr>
        <w:t>Per ogni licenza qualificante per Windows Server Standard in possesso della società, la società potrà acquistare una licenza Step-Up per Core Infrastructure Server Suite Standard.</w:t>
      </w:r>
    </w:p>
    <w:p w:rsidR="00A66BD2" w:rsidRPr="00CA60ED" w:rsidRDefault="00A66BD2" w:rsidP="00A66BD2">
      <w:pPr>
        <w:ind w:left="720"/>
        <w:rPr>
          <w:rFonts w:cs="Tahoma"/>
          <w:sz w:val="16"/>
          <w:szCs w:val="16"/>
        </w:rPr>
      </w:pPr>
    </w:p>
    <w:p w:rsidR="004D776B" w:rsidRPr="00A75DF9" w:rsidRDefault="004D776B" w:rsidP="00A66BD2">
      <w:pPr>
        <w:ind w:left="720"/>
        <w:rPr>
          <w:rFonts w:cs="Tahoma"/>
        </w:rPr>
      </w:pPr>
      <w:r w:rsidRPr="00A75DF9">
        <w:rPr>
          <w:rFonts w:eastAsia="Calibri" w:cs="Tahoma"/>
          <w:szCs w:val="18"/>
        </w:rPr>
        <w:t>Per ogni licenza qualificante per System Center Standard in possesso della società, la società potrà acquistare una licenza Step-Up per Core Infrastructure Server Suite Standard.</w:t>
      </w:r>
    </w:p>
    <w:p w:rsidR="00A66BD2" w:rsidRPr="00CA60ED" w:rsidRDefault="00A66BD2" w:rsidP="00A66BD2">
      <w:pPr>
        <w:ind w:left="720"/>
        <w:rPr>
          <w:rFonts w:cs="Tahoma"/>
          <w:sz w:val="16"/>
          <w:szCs w:val="16"/>
        </w:rPr>
      </w:pPr>
    </w:p>
    <w:p w:rsidR="004D776B" w:rsidRPr="00A75DF9" w:rsidRDefault="004D776B" w:rsidP="00A66BD2">
      <w:pPr>
        <w:ind w:left="720"/>
        <w:rPr>
          <w:rFonts w:cs="Tahoma"/>
        </w:rPr>
      </w:pPr>
      <w:r w:rsidRPr="00A75DF9">
        <w:rPr>
          <w:rFonts w:eastAsia="Calibri" w:cs="Tahoma"/>
          <w:szCs w:val="18"/>
        </w:rPr>
        <w:t>Il diritto delle società di utilizzare il software ai sensi della licenza per Core Infrastructure Server Suite Standard è condizionato dall</w:t>
      </w:r>
      <w:r w:rsidR="00F2643E">
        <w:rPr>
          <w:rFonts w:eastAsia="Calibri" w:cs="Tahoma"/>
          <w:szCs w:val="18"/>
        </w:rPr>
        <w:t>’</w:t>
      </w:r>
      <w:r w:rsidRPr="00A75DF9">
        <w:rPr>
          <w:rFonts w:eastAsia="Calibri" w:cs="Tahoma"/>
          <w:szCs w:val="18"/>
        </w:rPr>
        <w:t>adempimento da parte delle società delle obbligazioni di pagamento residue della licenza per il prodotto qualificante. La licenza per Core Infrastructure Server Suite Standard delle società prevalgono e sostituiscono la licenza sottostante per il prodotto qualificante.</w:t>
      </w:r>
    </w:p>
    <w:p w:rsidR="00A66BD2" w:rsidRPr="00CA60ED" w:rsidRDefault="00A66BD2" w:rsidP="007E466C">
      <w:pPr>
        <w:rPr>
          <w:rFonts w:cs="Tahoma"/>
          <w:sz w:val="16"/>
          <w:szCs w:val="16"/>
        </w:rPr>
      </w:pPr>
    </w:p>
    <w:tbl>
      <w:tblPr>
        <w:tblW w:w="819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4140"/>
        <w:gridCol w:w="4050"/>
      </w:tblGrid>
      <w:tr w:rsidR="004D776B" w:rsidRPr="00A75DF9" w:rsidTr="001051D1">
        <w:trPr>
          <w:tblHeader/>
        </w:trPr>
        <w:tc>
          <w:tcPr>
            <w:tcW w:w="4140" w:type="dxa"/>
            <w:shd w:val="clear" w:color="auto" w:fill="FABF8F"/>
            <w:tcMar>
              <w:top w:w="0" w:type="dxa"/>
              <w:left w:w="108" w:type="dxa"/>
              <w:bottom w:w="0" w:type="dxa"/>
              <w:right w:w="108" w:type="dxa"/>
            </w:tcMar>
            <w:hideMark/>
          </w:tcPr>
          <w:p w:rsidR="004D776B" w:rsidRPr="00A75DF9" w:rsidRDefault="004D776B" w:rsidP="007E466C">
            <w:pPr>
              <w:spacing w:before="120" w:after="120" w:line="276" w:lineRule="auto"/>
              <w:jc w:val="center"/>
              <w:rPr>
                <w:rFonts w:eastAsia="Calibri" w:cs="Tahoma"/>
                <w:b/>
                <w:szCs w:val="18"/>
              </w:rPr>
            </w:pPr>
            <w:r w:rsidRPr="00A75DF9">
              <w:rPr>
                <w:rFonts w:eastAsia="Calibri" w:cs="Tahoma"/>
                <w:b/>
                <w:szCs w:val="18"/>
              </w:rPr>
              <w:lastRenderedPageBreak/>
              <w:t>Prodotto Qualificante</w:t>
            </w:r>
          </w:p>
        </w:tc>
        <w:tc>
          <w:tcPr>
            <w:tcW w:w="4050" w:type="dxa"/>
            <w:shd w:val="clear" w:color="auto" w:fill="FABF8F"/>
            <w:tcMar>
              <w:top w:w="0" w:type="dxa"/>
              <w:left w:w="108" w:type="dxa"/>
              <w:bottom w:w="0" w:type="dxa"/>
              <w:right w:w="108" w:type="dxa"/>
            </w:tcMar>
            <w:hideMark/>
          </w:tcPr>
          <w:p w:rsidR="004D776B" w:rsidRPr="00A75DF9" w:rsidRDefault="004D776B" w:rsidP="007E466C">
            <w:pPr>
              <w:spacing w:before="120" w:after="120" w:line="276" w:lineRule="auto"/>
              <w:jc w:val="center"/>
              <w:rPr>
                <w:rFonts w:eastAsia="Calibri" w:cs="Tahoma"/>
                <w:b/>
                <w:szCs w:val="18"/>
              </w:rPr>
            </w:pPr>
            <w:r w:rsidRPr="00A75DF9">
              <w:rPr>
                <w:rFonts w:eastAsia="Calibri" w:cs="Tahoma"/>
                <w:b/>
                <w:szCs w:val="18"/>
              </w:rPr>
              <w:t>Step-Up A</w:t>
            </w:r>
          </w:p>
        </w:tc>
      </w:tr>
      <w:tr w:rsidR="004D776B" w:rsidRPr="00A75DF9" w:rsidTr="001051D1">
        <w:tc>
          <w:tcPr>
            <w:tcW w:w="4140" w:type="dxa"/>
            <w:tcMar>
              <w:top w:w="0" w:type="dxa"/>
              <w:left w:w="108" w:type="dxa"/>
              <w:bottom w:w="0" w:type="dxa"/>
              <w:right w:w="108" w:type="dxa"/>
            </w:tcMar>
            <w:hideMark/>
          </w:tcPr>
          <w:p w:rsidR="004D776B" w:rsidRPr="00A75DF9" w:rsidRDefault="004D776B" w:rsidP="007E466C">
            <w:pPr>
              <w:spacing w:before="120" w:after="120" w:line="276" w:lineRule="auto"/>
              <w:rPr>
                <w:rFonts w:eastAsia="Calibri" w:cs="Tahoma"/>
                <w:szCs w:val="18"/>
              </w:rPr>
            </w:pPr>
            <w:r w:rsidRPr="00A75DF9">
              <w:rPr>
                <w:rFonts w:eastAsia="Calibri" w:cs="Tahoma"/>
                <w:szCs w:val="18"/>
              </w:rPr>
              <w:t>Windows Server Standard</w:t>
            </w:r>
          </w:p>
        </w:tc>
        <w:tc>
          <w:tcPr>
            <w:tcW w:w="4050" w:type="dxa"/>
            <w:tcMar>
              <w:top w:w="0" w:type="dxa"/>
              <w:left w:w="108" w:type="dxa"/>
              <w:bottom w:w="0" w:type="dxa"/>
              <w:right w:w="108" w:type="dxa"/>
            </w:tcMar>
            <w:hideMark/>
          </w:tcPr>
          <w:p w:rsidR="004D776B" w:rsidRPr="00A75DF9" w:rsidRDefault="004D776B" w:rsidP="007E466C">
            <w:pPr>
              <w:spacing w:before="120" w:after="120" w:line="276" w:lineRule="auto"/>
              <w:rPr>
                <w:rFonts w:eastAsia="Calibri" w:cs="Tahoma"/>
                <w:szCs w:val="18"/>
                <w:lang w:val="fr-FR"/>
              </w:rPr>
            </w:pPr>
            <w:r w:rsidRPr="00A75DF9">
              <w:rPr>
                <w:rFonts w:eastAsia="Calibri" w:cs="Tahoma"/>
                <w:szCs w:val="18"/>
              </w:rPr>
              <w:t>Core Infrastructure Server Suite Standard</w:t>
            </w:r>
          </w:p>
        </w:tc>
      </w:tr>
      <w:tr w:rsidR="004D776B" w:rsidRPr="00A75DF9" w:rsidTr="001051D1">
        <w:tc>
          <w:tcPr>
            <w:tcW w:w="4140" w:type="dxa"/>
            <w:tcMar>
              <w:top w:w="0" w:type="dxa"/>
              <w:left w:w="108" w:type="dxa"/>
              <w:bottom w:w="0" w:type="dxa"/>
              <w:right w:w="108" w:type="dxa"/>
            </w:tcMar>
          </w:tcPr>
          <w:p w:rsidR="004D776B" w:rsidRPr="00A75DF9" w:rsidRDefault="004D776B" w:rsidP="00026546">
            <w:pPr>
              <w:spacing w:before="120" w:after="120" w:line="276" w:lineRule="auto"/>
              <w:rPr>
                <w:rFonts w:eastAsia="Calibri" w:cs="Tahoma"/>
                <w:szCs w:val="18"/>
              </w:rPr>
            </w:pPr>
            <w:r w:rsidRPr="00A75DF9">
              <w:rPr>
                <w:rFonts w:eastAsia="Calibri" w:cs="Tahoma"/>
                <w:szCs w:val="18"/>
              </w:rPr>
              <w:t>System Center Standard</w:t>
            </w:r>
          </w:p>
        </w:tc>
        <w:tc>
          <w:tcPr>
            <w:tcW w:w="4050" w:type="dxa"/>
            <w:tcMar>
              <w:top w:w="0" w:type="dxa"/>
              <w:left w:w="108" w:type="dxa"/>
              <w:bottom w:w="0" w:type="dxa"/>
              <w:right w:w="108" w:type="dxa"/>
            </w:tcMar>
          </w:tcPr>
          <w:p w:rsidR="004D776B" w:rsidRPr="00A75DF9" w:rsidRDefault="004D776B" w:rsidP="00026546">
            <w:pPr>
              <w:spacing w:before="120" w:after="120" w:line="276" w:lineRule="auto"/>
              <w:rPr>
                <w:rFonts w:eastAsia="Calibri" w:cs="Tahoma"/>
                <w:szCs w:val="18"/>
                <w:lang w:val="fr-FR"/>
              </w:rPr>
            </w:pPr>
            <w:r w:rsidRPr="00A75DF9">
              <w:rPr>
                <w:rFonts w:eastAsia="Calibri" w:cs="Tahoma"/>
                <w:szCs w:val="18"/>
              </w:rPr>
              <w:t>Core Infrastructure Server Suite Standard</w:t>
            </w:r>
          </w:p>
        </w:tc>
      </w:tr>
    </w:tbl>
    <w:p w:rsidR="004D776B" w:rsidRPr="00CA60ED" w:rsidRDefault="004D776B" w:rsidP="00A66BD2">
      <w:pPr>
        <w:rPr>
          <w:rFonts w:cs="Tahoma"/>
          <w:sz w:val="16"/>
          <w:szCs w:val="16"/>
        </w:rPr>
      </w:pPr>
    </w:p>
    <w:p w:rsidR="00BF1889" w:rsidRPr="00CA60ED" w:rsidRDefault="00BF1889" w:rsidP="00A66BD2">
      <w:pPr>
        <w:rPr>
          <w:rFonts w:cs="Tahoma"/>
          <w:sz w:val="16"/>
          <w:szCs w:val="16"/>
        </w:rPr>
      </w:pPr>
    </w:p>
    <w:p w:rsidR="00B947E4" w:rsidRPr="00A75DF9" w:rsidRDefault="00A560B6" w:rsidP="00B947E4">
      <w:pPr>
        <w:pStyle w:val="Heading3"/>
        <w:rPr>
          <w:rFonts w:ascii="Tahoma" w:hAnsi="Tahoma" w:cs="Tahoma"/>
        </w:rPr>
      </w:pPr>
      <w:bookmarkStart w:id="1171" w:name="_38_Core_Infrastructure"/>
      <w:bookmarkStart w:id="1172" w:name="_42_Core_Infrastructure"/>
      <w:bookmarkStart w:id="1173" w:name="_Toc336338297"/>
      <w:bookmarkStart w:id="1174" w:name="Srv_36CoreInfraServerSuiteEnt"/>
      <w:bookmarkStart w:id="1175" w:name="Srv_33CoreInfrastructureSvrSuiteEnt"/>
      <w:bookmarkStart w:id="1176" w:name="_Toc368310293"/>
      <w:bookmarkEnd w:id="1171"/>
      <w:bookmarkEnd w:id="1172"/>
      <w:r w:rsidRPr="00A75DF9">
        <w:rPr>
          <w:rFonts w:ascii="Tahoma" w:hAnsi="Tahoma" w:cs="Tahoma"/>
          <w:caps/>
          <w:color w:val="F66400"/>
          <w:sz w:val="22"/>
          <w:vertAlign w:val="superscript"/>
        </w:rPr>
        <w:t>43</w:t>
      </w:r>
      <w:r w:rsidRPr="00A75DF9">
        <w:rPr>
          <w:rFonts w:ascii="Tahoma" w:hAnsi="Tahoma" w:cs="Tahoma"/>
          <w:color w:val="F66400"/>
          <w:sz w:val="22"/>
        </w:rPr>
        <w:t xml:space="preserve"> Core Infrastructure Server Suite Enterprise</w:t>
      </w:r>
      <w:bookmarkEnd w:id="1173"/>
      <w:bookmarkEnd w:id="1176"/>
    </w:p>
    <w:p w:rsidR="000A297A" w:rsidRPr="00CA60ED" w:rsidRDefault="000A297A" w:rsidP="00A66BD2">
      <w:pPr>
        <w:rPr>
          <w:rFonts w:cs="Tahoma"/>
          <w:sz w:val="16"/>
          <w:szCs w:val="16"/>
        </w:rPr>
      </w:pPr>
    </w:p>
    <w:bookmarkEnd w:id="1174"/>
    <w:bookmarkEnd w:id="1175"/>
    <w:p w:rsidR="00B947E4" w:rsidRPr="00A75DF9" w:rsidRDefault="001E68E2" w:rsidP="00CA60ED">
      <w:pPr>
        <w:ind w:left="720"/>
        <w:rPr>
          <w:rFonts w:cs="Tahoma"/>
        </w:rPr>
      </w:pPr>
      <w:r w:rsidRPr="00A75DF9">
        <w:rPr>
          <w:rFonts w:eastAsia="Calibri" w:cs="Tahoma"/>
          <w:szCs w:val="18"/>
        </w:rPr>
        <w:t>A partire dal 1 aprile 2012 Microsoft interromperà l</w:t>
      </w:r>
      <w:r w:rsidR="00F2643E">
        <w:rPr>
          <w:rFonts w:eastAsia="Calibri" w:cs="Tahoma"/>
          <w:szCs w:val="18"/>
        </w:rPr>
        <w:t>’</w:t>
      </w:r>
      <w:r w:rsidRPr="00A75DF9">
        <w:rPr>
          <w:rFonts w:eastAsia="Calibri" w:cs="Tahoma"/>
          <w:szCs w:val="18"/>
        </w:rPr>
        <w:t>offerta di Core Infrastructure Server Suite Enterprise. Le società titolari di licenze Core Infrastructure Server Suite Enterprise con copertura Software Assurance attiva a partire dal 1 aprile 2012 saranno idonee a ricevere una licenza per Core Infrastructure Server Standard per ciascuna licenza per Core Infrastructure Server Suite Enterprise con Software Assurance in loro possesso a partire da quella data.</w:t>
      </w:r>
      <w:r w:rsidR="009D3B41" w:rsidRPr="00A75DF9">
        <w:rPr>
          <w:rFonts w:eastAsia="Calibri" w:cs="Tahoma"/>
          <w:szCs w:val="18"/>
        </w:rPr>
        <w:t xml:space="preserve"> </w:t>
      </w:r>
      <w:r w:rsidRPr="00A75DF9">
        <w:rPr>
          <w:rFonts w:eastAsia="Calibri" w:cs="Tahoma"/>
          <w:szCs w:val="18"/>
        </w:rPr>
        <w:t>Le licenze per Core Infrastructure Server Suite Standard concesse in base alla presente offerta includeranno la copertura Software Assurance che cesserà alla scadenza della copertura per</w:t>
      </w:r>
      <w:r w:rsidR="00CA60ED">
        <w:rPr>
          <w:rFonts w:eastAsia="Calibri" w:cs="Tahoma"/>
          <w:szCs w:val="18"/>
        </w:rPr>
        <w:t> </w:t>
      </w:r>
      <w:r w:rsidRPr="00A75DF9">
        <w:rPr>
          <w:rFonts w:eastAsia="Calibri" w:cs="Tahoma"/>
          <w:szCs w:val="18"/>
        </w:rPr>
        <w:t>le licenze qualificanti per Core Infrastructure Server Suite Enterprise. Le società che utilizzano Core Infrastructure Server Suite Standard in base alla presente offerta non potranno più utilizzare il software ai</w:t>
      </w:r>
      <w:r w:rsidR="00CA60ED">
        <w:rPr>
          <w:rFonts w:eastAsia="Calibri" w:cs="Tahoma"/>
          <w:szCs w:val="18"/>
        </w:rPr>
        <w:t> </w:t>
      </w:r>
      <w:r w:rsidRPr="00A75DF9">
        <w:rPr>
          <w:rFonts w:eastAsia="Calibri" w:cs="Tahoma"/>
          <w:szCs w:val="18"/>
        </w:rPr>
        <w:t>sensi delle relative licenze qualificanti.</w:t>
      </w:r>
      <w:r w:rsidR="009D3B41" w:rsidRPr="00A75DF9">
        <w:rPr>
          <w:rFonts w:eastAsia="Calibri" w:cs="Tahoma"/>
          <w:szCs w:val="18"/>
        </w:rPr>
        <w:t xml:space="preserve"> </w:t>
      </w:r>
      <w:r w:rsidRPr="00A75DF9">
        <w:rPr>
          <w:rFonts w:eastAsia="Calibri" w:cs="Tahoma"/>
          <w:szCs w:val="18"/>
        </w:rPr>
        <w:t>La nota relativa al prodotto e la documentazione delle licenze qualificanti della società attestano il diritto della società di utilizzare Core Infrastructure Server Suite Standard in base alla presente offerta.</w:t>
      </w:r>
      <w:r w:rsidR="009D3B41" w:rsidRPr="00A75DF9">
        <w:rPr>
          <w:rFonts w:eastAsia="Calibri" w:cs="Tahoma"/>
          <w:szCs w:val="18"/>
        </w:rPr>
        <w:t xml:space="preserve"> </w:t>
      </w:r>
      <w:r w:rsidRPr="00A75DF9">
        <w:rPr>
          <w:rFonts w:eastAsia="Calibri" w:cs="Tahoma"/>
          <w:szCs w:val="18"/>
        </w:rPr>
        <w:t xml:space="preserve">Tale diritto cesserà alla </w:t>
      </w:r>
      <w:bookmarkStart w:id="1177" w:name="Srv_34CoreInfraSvrSuiteDatacenter"/>
      <w:r w:rsidRPr="00A75DF9">
        <w:rPr>
          <w:rFonts w:eastAsia="Calibri" w:cs="Tahoma"/>
          <w:szCs w:val="18"/>
        </w:rPr>
        <w:t>scadenza delle licenze qualificanti.</w:t>
      </w:r>
    </w:p>
    <w:p w:rsidR="00285E3D" w:rsidRPr="00CA60ED" w:rsidRDefault="00285E3D" w:rsidP="00A66BD2">
      <w:pPr>
        <w:rPr>
          <w:rFonts w:cs="Tahoma"/>
          <w:sz w:val="16"/>
          <w:szCs w:val="16"/>
        </w:rPr>
      </w:pPr>
    </w:p>
    <w:p w:rsidR="00A66BD2" w:rsidRPr="00CA60ED" w:rsidRDefault="00A66BD2" w:rsidP="00A66BD2">
      <w:pPr>
        <w:rPr>
          <w:rFonts w:cs="Tahoma"/>
          <w:sz w:val="16"/>
          <w:szCs w:val="16"/>
        </w:rPr>
      </w:pPr>
    </w:p>
    <w:p w:rsidR="00B947E4" w:rsidRPr="00A75DF9" w:rsidRDefault="00A560B6" w:rsidP="00B947E4">
      <w:pPr>
        <w:pStyle w:val="Heading3"/>
        <w:rPr>
          <w:rFonts w:ascii="Tahoma" w:hAnsi="Tahoma" w:cs="Tahoma"/>
        </w:rPr>
      </w:pPr>
      <w:bookmarkStart w:id="1178" w:name="_39_Core_Infrastructure"/>
      <w:bookmarkStart w:id="1179" w:name="_43_Core_Infrastructure"/>
      <w:bookmarkStart w:id="1180" w:name="_Toc336338298"/>
      <w:bookmarkStart w:id="1181" w:name="Srv_37CoreInfraServerSuiteData"/>
      <w:bookmarkStart w:id="1182" w:name="_Toc368310294"/>
      <w:bookmarkEnd w:id="1178"/>
      <w:bookmarkEnd w:id="1179"/>
      <w:r w:rsidRPr="00A75DF9">
        <w:rPr>
          <w:rFonts w:ascii="Tahoma" w:hAnsi="Tahoma" w:cs="Tahoma"/>
          <w:caps/>
          <w:color w:val="F66400"/>
          <w:sz w:val="22"/>
          <w:vertAlign w:val="superscript"/>
        </w:rPr>
        <w:t>44</w:t>
      </w:r>
      <w:r w:rsidRPr="00A75DF9">
        <w:rPr>
          <w:rFonts w:ascii="Tahoma" w:hAnsi="Tahoma" w:cs="Tahoma"/>
          <w:color w:val="F66400"/>
          <w:sz w:val="22"/>
        </w:rPr>
        <w:t xml:space="preserve"> Core Infrastructure Server Suite Datacenter</w:t>
      </w:r>
      <w:bookmarkEnd w:id="1177"/>
      <w:bookmarkEnd w:id="1180"/>
      <w:bookmarkEnd w:id="1182"/>
    </w:p>
    <w:bookmarkEnd w:id="1181"/>
    <w:p w:rsidR="00B947E4" w:rsidRPr="00CA60ED" w:rsidRDefault="00B947E4" w:rsidP="00B947E4">
      <w:pPr>
        <w:rPr>
          <w:rFonts w:cs="Tahoma"/>
          <w:sz w:val="16"/>
          <w:szCs w:val="16"/>
        </w:rPr>
      </w:pPr>
    </w:p>
    <w:p w:rsidR="004D776B" w:rsidRPr="00A75DF9" w:rsidRDefault="004D776B" w:rsidP="00A66BD2">
      <w:pPr>
        <w:spacing w:after="60"/>
        <w:ind w:left="720"/>
        <w:rPr>
          <w:rFonts w:cs="Tahoma"/>
        </w:rPr>
      </w:pPr>
      <w:r w:rsidRPr="00A75DF9">
        <w:rPr>
          <w:rFonts w:eastAsia="Calibri" w:cs="Tahoma"/>
          <w:b/>
          <w:szCs w:val="18"/>
        </w:rPr>
        <w:t>Migrazione al Nuovo Modello di Licenza</w:t>
      </w:r>
    </w:p>
    <w:p w:rsidR="004D776B" w:rsidRPr="00A75DF9" w:rsidRDefault="004D776B" w:rsidP="00A66BD2">
      <w:pPr>
        <w:ind w:left="720"/>
        <w:rPr>
          <w:rFonts w:cs="Tahoma"/>
        </w:rPr>
      </w:pPr>
      <w:r w:rsidRPr="00A75DF9">
        <w:rPr>
          <w:rFonts w:eastAsia="Calibri" w:cs="Tahoma"/>
          <w:szCs w:val="18"/>
        </w:rPr>
        <w:t>In data 1 aprile 2012 il modello di licenza per CIS è cambiato. Le licenze acquistate ai sensi di nuove iscrizioni in vigore dopo il 1 aprile 2012 possono coprire fino a due processori fisici.</w:t>
      </w:r>
    </w:p>
    <w:p w:rsidR="00A66BD2" w:rsidRPr="00CA60ED" w:rsidRDefault="00A66BD2" w:rsidP="00A66BD2">
      <w:pPr>
        <w:ind w:left="720"/>
        <w:rPr>
          <w:rFonts w:cs="Tahoma"/>
          <w:sz w:val="16"/>
          <w:szCs w:val="16"/>
        </w:rPr>
      </w:pPr>
    </w:p>
    <w:p w:rsidR="004D776B" w:rsidRPr="00A75DF9" w:rsidRDefault="004D776B" w:rsidP="00CA60ED">
      <w:pPr>
        <w:ind w:left="720"/>
        <w:rPr>
          <w:rFonts w:cs="Tahoma"/>
        </w:rPr>
      </w:pPr>
      <w:r w:rsidRPr="00A75DF9">
        <w:rPr>
          <w:rFonts w:eastAsia="Calibri" w:cs="Tahoma"/>
          <w:szCs w:val="18"/>
        </w:rPr>
        <w:t>Le società con iscrizioni esistenti in data 1 aprile 2012 (in vigore in data 1 aprile 2012 o antecedente) possono continuare a effettuare il true-up delle licenze acquistate ai sensi del modello precedente in base al</w:t>
      </w:r>
      <w:r w:rsidR="00CA60ED">
        <w:rPr>
          <w:rFonts w:eastAsia="Calibri" w:cs="Tahoma"/>
          <w:szCs w:val="18"/>
        </w:rPr>
        <w:t> </w:t>
      </w:r>
      <w:r w:rsidRPr="00A75DF9">
        <w:rPr>
          <w:rFonts w:eastAsia="Calibri" w:cs="Tahoma"/>
          <w:szCs w:val="18"/>
        </w:rPr>
        <w:t>quale ciascuna licenza può autorizzare un solo processore. I seguenti diritti di migrazione si applicano alle licenze di queste società:</w:t>
      </w:r>
    </w:p>
    <w:p w:rsidR="00A66BD2" w:rsidRPr="00CA60ED" w:rsidRDefault="00A66BD2" w:rsidP="00A66BD2">
      <w:pPr>
        <w:ind w:left="720"/>
        <w:rPr>
          <w:rFonts w:cs="Tahoma"/>
          <w:sz w:val="16"/>
          <w:szCs w:val="16"/>
        </w:rPr>
      </w:pPr>
    </w:p>
    <w:p w:rsidR="004D776B" w:rsidRPr="00CA60ED" w:rsidRDefault="004D776B" w:rsidP="00A66BD2">
      <w:pPr>
        <w:pStyle w:val="ListParagraph"/>
        <w:contextualSpacing w:val="0"/>
        <w:rPr>
          <w:rFonts w:ascii="Tahoma" w:hAnsi="Tahoma" w:cs="Tahoma"/>
          <w:sz w:val="18"/>
          <w:szCs w:val="18"/>
        </w:rPr>
      </w:pPr>
      <w:r w:rsidRPr="00CA60ED">
        <w:rPr>
          <w:rFonts w:ascii="Tahoma" w:eastAsia="Calibri" w:hAnsi="Tahoma" w:cs="Tahoma"/>
          <w:sz w:val="18"/>
          <w:szCs w:val="18"/>
        </w:rPr>
        <w:t>Per la durata dell</w:t>
      </w:r>
      <w:r w:rsidR="00F2643E">
        <w:rPr>
          <w:rFonts w:ascii="Tahoma" w:eastAsia="Calibri" w:hAnsi="Tahoma" w:cs="Tahoma"/>
          <w:sz w:val="18"/>
          <w:szCs w:val="18"/>
        </w:rPr>
        <w:t>’</w:t>
      </w:r>
      <w:r w:rsidRPr="00CA60ED">
        <w:rPr>
          <w:rFonts w:ascii="Tahoma" w:eastAsia="Calibri" w:hAnsi="Tahoma" w:cs="Tahoma"/>
          <w:sz w:val="18"/>
          <w:szCs w:val="18"/>
        </w:rPr>
        <w:t>iscrizione in essere le licenze nuove ed esistenti delle società, acquistate ai sensi del modello precedente, saranno considerate equivalenti alle licenze previste dal nuovo modello in percentuale di 2:1, vale a dire due licenze ai sensi del modello precedente saranno equivalenti a una licenza ai sensi del nuovo modello. In occasione del rinnovo le società possono rinnovare la copertura Software Assurance per le licenze del nuovo modello.</w:t>
      </w:r>
    </w:p>
    <w:p w:rsidR="00857EF7" w:rsidRPr="00CA60ED" w:rsidRDefault="00857EF7" w:rsidP="00A66BD2">
      <w:pPr>
        <w:ind w:left="720"/>
        <w:rPr>
          <w:rFonts w:cs="Tahoma"/>
          <w:sz w:val="16"/>
          <w:szCs w:val="16"/>
        </w:rPr>
      </w:pPr>
    </w:p>
    <w:p w:rsidR="004D776B" w:rsidRPr="00A75DF9" w:rsidRDefault="004D776B" w:rsidP="007B35CE">
      <w:pPr>
        <w:keepNext/>
        <w:spacing w:after="60"/>
        <w:ind w:left="720"/>
        <w:rPr>
          <w:rFonts w:cs="Tahoma"/>
        </w:rPr>
      </w:pPr>
      <w:r w:rsidRPr="00A75DF9">
        <w:rPr>
          <w:rFonts w:eastAsia="Calibri" w:cs="Tahoma"/>
          <w:b/>
          <w:szCs w:val="18"/>
        </w:rPr>
        <w:t>Rilascio di una Nuova Versione di Windows Server</w:t>
      </w:r>
    </w:p>
    <w:p w:rsidR="004D776B" w:rsidRPr="00A75DF9" w:rsidRDefault="004D776B" w:rsidP="00CA60ED">
      <w:pPr>
        <w:ind w:left="720"/>
        <w:rPr>
          <w:rFonts w:cs="Tahoma"/>
        </w:rPr>
      </w:pPr>
      <w:r w:rsidRPr="00A75DF9">
        <w:rPr>
          <w:rFonts w:eastAsia="Calibri" w:cs="Tahoma"/>
          <w:szCs w:val="18"/>
        </w:rPr>
        <w:t>Le società titolari di licenze per Core Infrastructure Server Suite Datacenter con copertura Software Assurance attiva il 1 settembre 2012 avranno il diritto di utilizzare i seguenti prodotti in conformità ai</w:t>
      </w:r>
      <w:r w:rsidR="00CA60ED">
        <w:rPr>
          <w:rFonts w:eastAsia="Calibri" w:cs="Tahoma"/>
          <w:szCs w:val="18"/>
        </w:rPr>
        <w:t> </w:t>
      </w:r>
      <w:r w:rsidRPr="00A75DF9">
        <w:rPr>
          <w:rFonts w:eastAsia="Calibri" w:cs="Tahoma"/>
          <w:szCs w:val="18"/>
        </w:rPr>
        <w:t>diritti</w:t>
      </w:r>
      <w:r w:rsidR="00CA60ED">
        <w:rPr>
          <w:rFonts w:eastAsia="Calibri" w:cs="Tahoma"/>
          <w:szCs w:val="18"/>
        </w:rPr>
        <w:t> </w:t>
      </w:r>
      <w:r w:rsidRPr="00A75DF9">
        <w:rPr>
          <w:rFonts w:eastAsia="Calibri" w:cs="Tahoma"/>
          <w:szCs w:val="18"/>
        </w:rPr>
        <w:t>di utilizzo del prodotto per Core Infrastructure Server Suite Datacenter:</w:t>
      </w:r>
    </w:p>
    <w:p w:rsidR="00857EF7" w:rsidRPr="00CA60ED" w:rsidRDefault="00857EF7" w:rsidP="00A66BD2">
      <w:pPr>
        <w:ind w:left="720"/>
        <w:rPr>
          <w:rFonts w:cs="Tahoma"/>
          <w:sz w:val="16"/>
          <w:szCs w:val="16"/>
        </w:rPr>
      </w:pPr>
    </w:p>
    <w:p w:rsidR="004D776B" w:rsidRPr="00A75DF9" w:rsidRDefault="004D776B" w:rsidP="00346F4B">
      <w:pPr>
        <w:numPr>
          <w:ilvl w:val="0"/>
          <w:numId w:val="115"/>
        </w:numPr>
        <w:spacing w:after="60"/>
        <w:ind w:left="1440"/>
        <w:rPr>
          <w:rFonts w:cs="Tahoma"/>
        </w:rPr>
      </w:pPr>
      <w:r w:rsidRPr="00A75DF9">
        <w:rPr>
          <w:rFonts w:eastAsia="Calibri" w:cs="Tahoma"/>
          <w:szCs w:val="18"/>
        </w:rPr>
        <w:t>Windows Server 2012 Datacenter</w:t>
      </w:r>
    </w:p>
    <w:p w:rsidR="004D776B" w:rsidRPr="00311733" w:rsidRDefault="004D776B" w:rsidP="00346F4B">
      <w:pPr>
        <w:numPr>
          <w:ilvl w:val="0"/>
          <w:numId w:val="115"/>
        </w:numPr>
        <w:spacing w:after="60"/>
        <w:ind w:left="1440"/>
        <w:rPr>
          <w:rFonts w:cs="Tahoma"/>
        </w:rPr>
      </w:pPr>
      <w:r w:rsidRPr="00A75DF9">
        <w:rPr>
          <w:rFonts w:eastAsia="Calibri" w:cs="Tahoma"/>
          <w:szCs w:val="18"/>
        </w:rPr>
        <w:t>System Center 2012 Datacenter</w:t>
      </w:r>
    </w:p>
    <w:p w:rsidR="00311733" w:rsidRPr="00A75DF9" w:rsidRDefault="00311733" w:rsidP="00311733">
      <w:pPr>
        <w:spacing w:after="60"/>
        <w:rPr>
          <w:rFonts w:cs="Tahoma"/>
        </w:rPr>
      </w:pPr>
    </w:p>
    <w:p w:rsidR="004D776B" w:rsidRPr="00A75DF9" w:rsidRDefault="004D776B" w:rsidP="00857EF7">
      <w:pPr>
        <w:spacing w:after="60"/>
        <w:ind w:left="720"/>
        <w:rPr>
          <w:rFonts w:cs="Tahoma"/>
        </w:rPr>
      </w:pPr>
      <w:r w:rsidRPr="00A75DF9">
        <w:rPr>
          <w:rFonts w:eastAsia="Calibri" w:cs="Tahoma"/>
          <w:b/>
          <w:szCs w:val="18"/>
        </w:rPr>
        <w:t>Offerta di Rinnovo di Software Assurance per le Società Titolari di Windows Server Datacenter e System Center Datacenter</w:t>
      </w:r>
    </w:p>
    <w:p w:rsidR="004D776B" w:rsidRPr="00A75DF9" w:rsidRDefault="004D776B" w:rsidP="00CA60ED">
      <w:pPr>
        <w:ind w:left="720"/>
        <w:rPr>
          <w:rFonts w:cs="Tahoma"/>
        </w:rPr>
      </w:pPr>
      <w:r w:rsidRPr="00A75DF9">
        <w:rPr>
          <w:rFonts w:eastAsia="Calibri" w:cs="Tahoma"/>
          <w:szCs w:val="18"/>
        </w:rPr>
        <w:t>Le società titolari di licenze con copertura Software Assurance attiva per i tutti prodotti indicati nella Tabella</w:t>
      </w:r>
      <w:r w:rsidR="00CA60ED">
        <w:rPr>
          <w:rFonts w:eastAsia="Calibri" w:cs="Tahoma"/>
          <w:szCs w:val="18"/>
        </w:rPr>
        <w:t> </w:t>
      </w:r>
      <w:r w:rsidRPr="00A75DF9">
        <w:rPr>
          <w:rFonts w:eastAsia="Calibri" w:cs="Tahoma"/>
          <w:szCs w:val="18"/>
        </w:rPr>
        <w:t>C che segue potranno, all</w:t>
      </w:r>
      <w:r w:rsidR="00F2643E">
        <w:rPr>
          <w:rFonts w:eastAsia="Calibri" w:cs="Tahoma"/>
          <w:szCs w:val="18"/>
        </w:rPr>
        <w:t>’</w:t>
      </w:r>
      <w:r w:rsidRPr="00A75DF9">
        <w:rPr>
          <w:rFonts w:eastAsia="Calibri" w:cs="Tahoma"/>
          <w:szCs w:val="18"/>
        </w:rPr>
        <w:t>atto della scadenza di tale copertura, acquistare Software Assurance per</w:t>
      </w:r>
      <w:r w:rsidR="00CA60ED">
        <w:rPr>
          <w:rFonts w:eastAsia="Calibri" w:cs="Tahoma"/>
          <w:szCs w:val="18"/>
        </w:rPr>
        <w:t> </w:t>
      </w:r>
      <w:r w:rsidRPr="00A75DF9">
        <w:rPr>
          <w:rFonts w:eastAsia="Calibri" w:cs="Tahoma"/>
          <w:szCs w:val="18"/>
        </w:rPr>
        <w:t>Core Infrastructure Server Suite Datacenter senza dover acquistare le sottostanti licenze per Core Infrastructure Server Suite Datacenter.</w:t>
      </w:r>
    </w:p>
    <w:p w:rsidR="00857EF7" w:rsidRPr="00A75DF9" w:rsidRDefault="00857EF7" w:rsidP="00A66BD2">
      <w:pPr>
        <w:ind w:left="720"/>
        <w:rPr>
          <w:rFonts w:cs="Tahoma"/>
        </w:rPr>
      </w:pPr>
    </w:p>
    <w:tbl>
      <w:tblPr>
        <w:tblW w:w="0" w:type="auto"/>
        <w:tblInd w:w="2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788"/>
      </w:tblGrid>
      <w:tr w:rsidR="004D776B" w:rsidRPr="00A75DF9" w:rsidTr="003A458C">
        <w:tc>
          <w:tcPr>
            <w:tcW w:w="4788" w:type="dxa"/>
            <w:tcBorders>
              <w:top w:val="single" w:sz="4" w:space="0" w:color="000000"/>
              <w:left w:val="single" w:sz="4" w:space="0" w:color="000000"/>
              <w:bottom w:val="single" w:sz="4" w:space="0" w:color="000000"/>
              <w:right w:val="single" w:sz="4" w:space="0" w:color="000000"/>
            </w:tcBorders>
            <w:shd w:val="clear" w:color="auto" w:fill="FABF8F"/>
            <w:hideMark/>
          </w:tcPr>
          <w:p w:rsidR="004D776B" w:rsidRPr="00A75DF9" w:rsidRDefault="004D776B" w:rsidP="00026546">
            <w:pPr>
              <w:keepNext/>
              <w:tabs>
                <w:tab w:val="left" w:pos="3120"/>
                <w:tab w:val="center" w:pos="3591"/>
              </w:tabs>
              <w:spacing w:before="120" w:after="120" w:line="276" w:lineRule="auto"/>
              <w:jc w:val="center"/>
              <w:rPr>
                <w:rFonts w:eastAsia="Calibri" w:cs="Tahoma"/>
                <w:b/>
                <w:szCs w:val="18"/>
              </w:rPr>
            </w:pPr>
            <w:r w:rsidRPr="00A75DF9">
              <w:rPr>
                <w:rFonts w:eastAsia="Calibri" w:cs="Tahoma"/>
                <w:b/>
                <w:szCs w:val="18"/>
              </w:rPr>
              <w:lastRenderedPageBreak/>
              <w:t>Tabella C</w:t>
            </w:r>
          </w:p>
        </w:tc>
      </w:tr>
      <w:tr w:rsidR="004D776B" w:rsidRPr="00A75DF9"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A75DF9" w:rsidRDefault="004D776B" w:rsidP="00026546">
            <w:pPr>
              <w:keepNext/>
              <w:tabs>
                <w:tab w:val="left" w:pos="3120"/>
                <w:tab w:val="center" w:pos="3591"/>
              </w:tabs>
              <w:spacing w:before="120" w:after="120" w:line="276" w:lineRule="auto"/>
              <w:jc w:val="center"/>
              <w:rPr>
                <w:rFonts w:eastAsia="Calibri" w:cs="Tahoma"/>
                <w:b/>
                <w:szCs w:val="18"/>
              </w:rPr>
            </w:pPr>
            <w:r w:rsidRPr="00A75DF9">
              <w:rPr>
                <w:rFonts w:eastAsia="Calibri" w:cs="Tahoma"/>
                <w:b/>
                <w:szCs w:val="18"/>
              </w:rPr>
              <w:t>Windows Server Datacenter</w:t>
            </w:r>
          </w:p>
        </w:tc>
      </w:tr>
      <w:tr w:rsidR="004D776B" w:rsidRPr="00A75DF9" w:rsidTr="00C066F9">
        <w:tc>
          <w:tcPr>
            <w:tcW w:w="4788" w:type="dxa"/>
            <w:tcBorders>
              <w:top w:val="single" w:sz="4" w:space="0" w:color="000000"/>
              <w:left w:val="single" w:sz="4" w:space="0" w:color="000000"/>
              <w:bottom w:val="single" w:sz="4" w:space="0" w:color="000000"/>
              <w:right w:val="single" w:sz="4" w:space="0" w:color="000000"/>
            </w:tcBorders>
            <w:vAlign w:val="center"/>
            <w:hideMark/>
          </w:tcPr>
          <w:p w:rsidR="004D776B" w:rsidRPr="00A75DF9" w:rsidRDefault="004D776B" w:rsidP="00026546">
            <w:pPr>
              <w:keepNext/>
              <w:tabs>
                <w:tab w:val="left" w:pos="3120"/>
                <w:tab w:val="center" w:pos="3591"/>
              </w:tabs>
              <w:spacing w:before="120" w:after="120" w:line="276" w:lineRule="auto"/>
              <w:jc w:val="center"/>
              <w:rPr>
                <w:rFonts w:eastAsia="Calibri" w:cs="Tahoma"/>
                <w:b/>
                <w:szCs w:val="18"/>
              </w:rPr>
            </w:pPr>
            <w:r w:rsidRPr="00A75DF9">
              <w:rPr>
                <w:rFonts w:eastAsia="Calibri" w:cs="Tahoma"/>
                <w:b/>
                <w:szCs w:val="18"/>
              </w:rPr>
              <w:t>System Center Datacenter</w:t>
            </w:r>
          </w:p>
        </w:tc>
      </w:tr>
    </w:tbl>
    <w:p w:rsidR="00416294" w:rsidRPr="00A75DF9" w:rsidRDefault="00416294" w:rsidP="00416294">
      <w:pPr>
        <w:ind w:left="547"/>
        <w:rPr>
          <w:rFonts w:cs="Tahoma"/>
        </w:rPr>
      </w:pPr>
    </w:p>
    <w:p w:rsidR="004D776B" w:rsidRPr="00A75DF9" w:rsidRDefault="004D776B" w:rsidP="001154B5">
      <w:pPr>
        <w:ind w:left="720"/>
        <w:rPr>
          <w:rFonts w:cs="Tahoma"/>
        </w:rPr>
      </w:pPr>
      <w:r w:rsidRPr="00A75DF9">
        <w:rPr>
          <w:rFonts w:eastAsia="Calibri" w:cs="Tahoma"/>
          <w:color w:val="000000"/>
          <w:szCs w:val="18"/>
        </w:rPr>
        <w:t>Per ogni gruppo composto da una licenza qualificante per Windows Server Datacenter e da una licenza qualificante per System Center Datacenter le società potranno acquistare Software Assurance per una licenza di Core Infrastructure Server Suite Datacenter. Le società che ricevono in licenza e utilizzano Core Infrastructure Server Suite Datacenter in base alla presente offerta non potranno più utilizzare il software ai sensi delle relative licenze qualificanti. Le licenze e Software Assurance acquistate nell</w:t>
      </w:r>
      <w:r w:rsidR="00F2643E">
        <w:rPr>
          <w:rFonts w:eastAsia="Calibri" w:cs="Tahoma"/>
          <w:color w:val="000000"/>
          <w:szCs w:val="18"/>
        </w:rPr>
        <w:t>’</w:t>
      </w:r>
      <w:r w:rsidRPr="00A75DF9">
        <w:rPr>
          <w:rFonts w:eastAsia="Calibri" w:cs="Tahoma"/>
          <w:color w:val="000000"/>
          <w:szCs w:val="18"/>
        </w:rPr>
        <w:t>ambito di un contratto “subscription” non si qualificano ai fini di questa offerta.</w:t>
      </w:r>
    </w:p>
    <w:p w:rsidR="00973A93" w:rsidRPr="00A75DF9" w:rsidRDefault="00973A93" w:rsidP="0050116B">
      <w:pPr>
        <w:ind w:left="540"/>
        <w:rPr>
          <w:rFonts w:cs="Tahoma"/>
        </w:rPr>
      </w:pPr>
    </w:p>
    <w:p w:rsidR="004D776B" w:rsidRPr="00A75DF9" w:rsidRDefault="004D776B" w:rsidP="00857EF7">
      <w:pPr>
        <w:spacing w:after="60"/>
        <w:ind w:left="720"/>
        <w:rPr>
          <w:rFonts w:cs="Tahoma"/>
        </w:rPr>
      </w:pPr>
      <w:r w:rsidRPr="00A75DF9">
        <w:rPr>
          <w:rFonts w:eastAsia="Calibri" w:cs="Tahoma"/>
          <w:b/>
          <w:szCs w:val="18"/>
        </w:rPr>
        <w:t>Step-Up da Windows Server Datacenter o System Center Datacenter a Core Infrastructure Server Suite Datacenter</w:t>
      </w:r>
    </w:p>
    <w:p w:rsidR="004D776B" w:rsidRPr="00A75DF9" w:rsidRDefault="004D776B" w:rsidP="00857EF7">
      <w:pPr>
        <w:ind w:left="720"/>
        <w:rPr>
          <w:rFonts w:cs="Tahoma"/>
        </w:rPr>
      </w:pPr>
      <w:r w:rsidRPr="00A75DF9">
        <w:rPr>
          <w:rFonts w:eastAsia="Calibri" w:cs="Tahoma"/>
          <w:szCs w:val="18"/>
        </w:rPr>
        <w:t xml:space="preserve">Le società potranno eseguire lo step-up da Windows Server Datacenter o System Center Datacenter a Core Infrastructure Server Suite Datacenter acquistando la licenza di Step-Up appropriata per Core Infrastructure Server Suite Datacenter. Le società dovranno disporre di una copertura Software Assurance attiva per la loro licenza per Windows Server Datacenter o System Center Datacenter, al fine di acquistare tale licenza di Step-Up. </w:t>
      </w:r>
    </w:p>
    <w:p w:rsidR="00857EF7" w:rsidRPr="00A75DF9" w:rsidRDefault="00857EF7" w:rsidP="00857EF7">
      <w:pPr>
        <w:ind w:left="720"/>
        <w:rPr>
          <w:rFonts w:cs="Tahoma"/>
        </w:rPr>
      </w:pPr>
    </w:p>
    <w:p w:rsidR="004D776B" w:rsidRPr="00A75DF9" w:rsidRDefault="004D776B" w:rsidP="00CA60ED">
      <w:pPr>
        <w:ind w:left="720"/>
        <w:rPr>
          <w:rFonts w:cs="Tahoma"/>
        </w:rPr>
      </w:pPr>
      <w:r w:rsidRPr="00A75DF9">
        <w:rPr>
          <w:rFonts w:eastAsia="Calibri" w:cs="Tahoma"/>
          <w:szCs w:val="18"/>
        </w:rPr>
        <w:t>Per ogni licenza qualificante di Windows Server Datacenter in suo possesso, la società potrà acquistare una</w:t>
      </w:r>
      <w:r w:rsidR="00CA60ED">
        <w:rPr>
          <w:rFonts w:eastAsia="Calibri" w:cs="Tahoma"/>
          <w:szCs w:val="18"/>
        </w:rPr>
        <w:t> </w:t>
      </w:r>
      <w:r w:rsidRPr="00A75DF9">
        <w:rPr>
          <w:rFonts w:eastAsia="Calibri" w:cs="Tahoma"/>
          <w:szCs w:val="18"/>
        </w:rPr>
        <w:t>licenza Step-Up per Core Infrastructure Server Suite Datacenter.</w:t>
      </w:r>
      <w:r w:rsidR="009D3B41" w:rsidRPr="00A75DF9">
        <w:rPr>
          <w:rFonts w:eastAsia="Calibri" w:cs="Tahoma"/>
          <w:szCs w:val="18"/>
        </w:rPr>
        <w:t xml:space="preserve"> </w:t>
      </w:r>
    </w:p>
    <w:p w:rsidR="00857EF7" w:rsidRPr="00A75DF9" w:rsidRDefault="00857EF7" w:rsidP="00857EF7">
      <w:pPr>
        <w:ind w:left="720"/>
        <w:rPr>
          <w:rFonts w:cs="Tahoma"/>
        </w:rPr>
      </w:pPr>
    </w:p>
    <w:p w:rsidR="004D776B" w:rsidRPr="00A75DF9" w:rsidRDefault="004D776B" w:rsidP="00CA60ED">
      <w:pPr>
        <w:ind w:left="720"/>
        <w:rPr>
          <w:rFonts w:cs="Tahoma"/>
        </w:rPr>
      </w:pPr>
      <w:r w:rsidRPr="00A75DF9">
        <w:rPr>
          <w:rFonts w:eastAsia="Calibri" w:cs="Tahoma"/>
          <w:szCs w:val="18"/>
        </w:rPr>
        <w:t>Per ogni licenza qualificante di Systems Center Datacenter in suo possesso, la società potrà acquistare una</w:t>
      </w:r>
      <w:r w:rsidR="00CA60ED">
        <w:rPr>
          <w:rFonts w:eastAsia="Calibri" w:cs="Tahoma"/>
          <w:szCs w:val="18"/>
        </w:rPr>
        <w:t> </w:t>
      </w:r>
      <w:r w:rsidRPr="00A75DF9">
        <w:rPr>
          <w:rFonts w:eastAsia="Calibri" w:cs="Tahoma"/>
          <w:szCs w:val="18"/>
        </w:rPr>
        <w:t>licenza Step-Up per Core Infrastructure Server Suite Datacenter.</w:t>
      </w:r>
      <w:r w:rsidR="009D3B41" w:rsidRPr="00A75DF9">
        <w:rPr>
          <w:rFonts w:eastAsia="Calibri" w:cs="Tahoma"/>
          <w:szCs w:val="18"/>
        </w:rPr>
        <w:t xml:space="preserve"> </w:t>
      </w:r>
    </w:p>
    <w:p w:rsidR="00857EF7" w:rsidRPr="00A75DF9" w:rsidRDefault="00857EF7" w:rsidP="00857EF7">
      <w:pPr>
        <w:ind w:left="720"/>
        <w:rPr>
          <w:rFonts w:cs="Tahoma"/>
        </w:rPr>
      </w:pPr>
    </w:p>
    <w:p w:rsidR="004D776B" w:rsidRPr="00A75DF9" w:rsidRDefault="004D776B" w:rsidP="00857EF7">
      <w:pPr>
        <w:ind w:left="720"/>
        <w:rPr>
          <w:rFonts w:cs="Tahoma"/>
        </w:rPr>
      </w:pPr>
      <w:r w:rsidRPr="00A75DF9">
        <w:rPr>
          <w:rFonts w:eastAsia="Calibri" w:cs="Tahoma"/>
          <w:szCs w:val="18"/>
        </w:rPr>
        <w:t>Il diritto delle società di utilizzare il software ai sensi della licenza per Core Infrastructure Server Suite Datacenter, è condizionato dall</w:t>
      </w:r>
      <w:r w:rsidR="00F2643E">
        <w:rPr>
          <w:rFonts w:eastAsia="Calibri" w:cs="Tahoma"/>
          <w:szCs w:val="18"/>
        </w:rPr>
        <w:t>’</w:t>
      </w:r>
      <w:r w:rsidRPr="00A75DF9">
        <w:rPr>
          <w:rFonts w:eastAsia="Calibri" w:cs="Tahoma"/>
          <w:szCs w:val="18"/>
        </w:rPr>
        <w:t>adempimento da parte delle società delle obbligazioni di pagamento residue della licenza per il prodotto qualificante. La licenza per Core Infrastructure Server Suite Datacenter delle società prevalgono e sostituiscono la licenza sottostante per il prodotto qualificante.</w:t>
      </w:r>
    </w:p>
    <w:p w:rsidR="00857EF7" w:rsidRPr="00A75DF9" w:rsidRDefault="00857EF7" w:rsidP="00857EF7">
      <w:pPr>
        <w:ind w:left="720"/>
        <w:rPr>
          <w:rFonts w:cs="Tahoma"/>
        </w:rPr>
      </w:pPr>
    </w:p>
    <w:tbl>
      <w:tblPr>
        <w:tblW w:w="7740" w:type="dxa"/>
        <w:tblInd w:w="87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3870"/>
        <w:gridCol w:w="3870"/>
      </w:tblGrid>
      <w:tr w:rsidR="004D776B" w:rsidRPr="00A75DF9" w:rsidTr="00C066F9">
        <w:trPr>
          <w:tblHeader/>
        </w:trPr>
        <w:tc>
          <w:tcPr>
            <w:tcW w:w="3870" w:type="dxa"/>
            <w:shd w:val="clear" w:color="auto" w:fill="FABF8F"/>
            <w:tcMar>
              <w:top w:w="0" w:type="dxa"/>
              <w:left w:w="108" w:type="dxa"/>
              <w:bottom w:w="0" w:type="dxa"/>
              <w:right w:w="108" w:type="dxa"/>
            </w:tcMar>
            <w:vAlign w:val="center"/>
            <w:hideMark/>
          </w:tcPr>
          <w:p w:rsidR="004D776B" w:rsidRPr="00A75DF9" w:rsidRDefault="004D776B" w:rsidP="007E466C">
            <w:pPr>
              <w:spacing w:before="120" w:after="120" w:line="276" w:lineRule="auto"/>
              <w:jc w:val="center"/>
              <w:rPr>
                <w:rFonts w:eastAsia="Calibri" w:cs="Tahoma"/>
                <w:b/>
                <w:szCs w:val="18"/>
              </w:rPr>
            </w:pPr>
            <w:r w:rsidRPr="00A75DF9">
              <w:rPr>
                <w:rFonts w:eastAsia="Calibri" w:cs="Tahoma"/>
                <w:b/>
                <w:szCs w:val="18"/>
              </w:rPr>
              <w:t>Prodotto Qualificante</w:t>
            </w:r>
          </w:p>
        </w:tc>
        <w:tc>
          <w:tcPr>
            <w:tcW w:w="3870" w:type="dxa"/>
            <w:shd w:val="clear" w:color="auto" w:fill="FABF8F"/>
            <w:tcMar>
              <w:top w:w="0" w:type="dxa"/>
              <w:left w:w="108" w:type="dxa"/>
              <w:bottom w:w="0" w:type="dxa"/>
              <w:right w:w="108" w:type="dxa"/>
            </w:tcMar>
            <w:vAlign w:val="center"/>
            <w:hideMark/>
          </w:tcPr>
          <w:p w:rsidR="004D776B" w:rsidRPr="00A75DF9" w:rsidRDefault="004D776B" w:rsidP="007E466C">
            <w:pPr>
              <w:spacing w:before="120" w:after="120" w:line="276" w:lineRule="auto"/>
              <w:jc w:val="center"/>
              <w:rPr>
                <w:rFonts w:eastAsia="Calibri" w:cs="Tahoma"/>
                <w:b/>
                <w:szCs w:val="18"/>
              </w:rPr>
            </w:pPr>
            <w:r w:rsidRPr="00A75DF9">
              <w:rPr>
                <w:rFonts w:eastAsia="Calibri" w:cs="Tahoma"/>
                <w:b/>
                <w:szCs w:val="18"/>
              </w:rPr>
              <w:t>Step-Up A</w:t>
            </w:r>
          </w:p>
        </w:tc>
      </w:tr>
      <w:tr w:rsidR="004D776B" w:rsidRPr="00A75DF9" w:rsidTr="001051D1">
        <w:tc>
          <w:tcPr>
            <w:tcW w:w="3870" w:type="dxa"/>
            <w:tcMar>
              <w:top w:w="0" w:type="dxa"/>
              <w:left w:w="108" w:type="dxa"/>
              <w:bottom w:w="0" w:type="dxa"/>
              <w:right w:w="108" w:type="dxa"/>
            </w:tcMar>
            <w:hideMark/>
          </w:tcPr>
          <w:p w:rsidR="004D776B" w:rsidRPr="00A75DF9" w:rsidRDefault="004D776B" w:rsidP="007E466C">
            <w:pPr>
              <w:spacing w:before="120" w:after="120" w:line="276" w:lineRule="auto"/>
              <w:rPr>
                <w:rFonts w:eastAsia="Calibri" w:cs="Tahoma"/>
                <w:szCs w:val="18"/>
              </w:rPr>
            </w:pPr>
            <w:r w:rsidRPr="00A75DF9">
              <w:rPr>
                <w:rFonts w:eastAsia="Calibri" w:cs="Tahoma"/>
                <w:szCs w:val="18"/>
              </w:rPr>
              <w:t>Windows Server Datacenter</w:t>
            </w:r>
          </w:p>
        </w:tc>
        <w:tc>
          <w:tcPr>
            <w:tcW w:w="3870" w:type="dxa"/>
            <w:tcMar>
              <w:top w:w="0" w:type="dxa"/>
              <w:left w:w="108" w:type="dxa"/>
              <w:bottom w:w="0" w:type="dxa"/>
              <w:right w:w="108" w:type="dxa"/>
            </w:tcMar>
            <w:hideMark/>
          </w:tcPr>
          <w:p w:rsidR="004D776B" w:rsidRPr="00A75DF9" w:rsidRDefault="004D776B" w:rsidP="007E466C">
            <w:pPr>
              <w:spacing w:before="120" w:after="120" w:line="276" w:lineRule="auto"/>
              <w:rPr>
                <w:rFonts w:eastAsia="Calibri" w:cs="Tahoma"/>
                <w:szCs w:val="18"/>
                <w:lang w:val="fr-FR"/>
              </w:rPr>
            </w:pPr>
            <w:r w:rsidRPr="00A75DF9">
              <w:rPr>
                <w:rFonts w:eastAsia="Calibri" w:cs="Tahoma"/>
                <w:szCs w:val="18"/>
              </w:rPr>
              <w:t>Core Infrastructure Server Suite Datacenter</w:t>
            </w:r>
          </w:p>
        </w:tc>
      </w:tr>
      <w:tr w:rsidR="004D776B" w:rsidRPr="00A75DF9" w:rsidTr="001051D1">
        <w:tc>
          <w:tcPr>
            <w:tcW w:w="3870" w:type="dxa"/>
            <w:tcMar>
              <w:top w:w="0" w:type="dxa"/>
              <w:left w:w="108" w:type="dxa"/>
              <w:bottom w:w="0" w:type="dxa"/>
              <w:right w:w="108" w:type="dxa"/>
            </w:tcMar>
          </w:tcPr>
          <w:p w:rsidR="004D776B" w:rsidRPr="00A75DF9" w:rsidRDefault="004D776B" w:rsidP="007E466C">
            <w:pPr>
              <w:spacing w:before="120" w:after="120" w:line="276" w:lineRule="auto"/>
              <w:rPr>
                <w:rFonts w:eastAsia="Calibri" w:cs="Tahoma"/>
                <w:szCs w:val="18"/>
              </w:rPr>
            </w:pPr>
            <w:r w:rsidRPr="00A75DF9">
              <w:rPr>
                <w:rFonts w:eastAsia="Calibri" w:cs="Tahoma"/>
                <w:szCs w:val="18"/>
              </w:rPr>
              <w:t>System Center Datacenter</w:t>
            </w:r>
          </w:p>
        </w:tc>
        <w:tc>
          <w:tcPr>
            <w:tcW w:w="3870" w:type="dxa"/>
            <w:tcMar>
              <w:top w:w="0" w:type="dxa"/>
              <w:left w:w="108" w:type="dxa"/>
              <w:bottom w:w="0" w:type="dxa"/>
              <w:right w:w="108" w:type="dxa"/>
            </w:tcMar>
          </w:tcPr>
          <w:p w:rsidR="004D776B" w:rsidRPr="00A75DF9" w:rsidRDefault="004D776B" w:rsidP="007E466C">
            <w:pPr>
              <w:spacing w:before="120" w:after="120" w:line="276" w:lineRule="auto"/>
              <w:rPr>
                <w:rFonts w:eastAsia="Calibri" w:cs="Tahoma"/>
                <w:szCs w:val="18"/>
                <w:lang w:val="fr-FR"/>
              </w:rPr>
            </w:pPr>
            <w:r w:rsidRPr="00A75DF9">
              <w:rPr>
                <w:rFonts w:eastAsia="Calibri" w:cs="Tahoma"/>
                <w:szCs w:val="18"/>
              </w:rPr>
              <w:t>Core Infrastructure Server Suite Datacenter</w:t>
            </w:r>
          </w:p>
        </w:tc>
      </w:tr>
    </w:tbl>
    <w:p w:rsidR="00BC62D4" w:rsidRPr="00A75DF9" w:rsidRDefault="00BC62D4" w:rsidP="00857EF7">
      <w:pPr>
        <w:ind w:left="907"/>
        <w:rPr>
          <w:rFonts w:cs="Tahoma"/>
        </w:rPr>
      </w:pPr>
      <w:bookmarkStart w:id="1183" w:name="Srv_38DynCRMWorkProEnt"/>
    </w:p>
    <w:p w:rsidR="00E03856" w:rsidRPr="00A75DF9" w:rsidRDefault="00E03856" w:rsidP="00857EF7">
      <w:pPr>
        <w:ind w:left="907"/>
        <w:rPr>
          <w:rFonts w:cs="Tahoma"/>
        </w:rPr>
      </w:pPr>
    </w:p>
    <w:p w:rsidR="00F66FB0" w:rsidRPr="00A75DF9" w:rsidRDefault="00A560B6" w:rsidP="007B35CE">
      <w:pPr>
        <w:pStyle w:val="Heading2"/>
        <w:keepNext/>
        <w:ind w:left="0"/>
        <w:rPr>
          <w:rFonts w:ascii="Tahoma" w:hAnsi="Tahoma" w:cs="Tahoma"/>
        </w:rPr>
      </w:pPr>
      <w:bookmarkStart w:id="1184" w:name="_44_Duet_Enterprise"/>
      <w:bookmarkStart w:id="1185" w:name="Srv_38DynamicsCRMOnline"/>
      <w:bookmarkStart w:id="1186" w:name="Srv_37DynamicsCRMOnline"/>
      <w:bookmarkStart w:id="1187" w:name="Srv_37EntCALSuite"/>
      <w:bookmarkStart w:id="1188" w:name="_Toc368310295"/>
      <w:bookmarkEnd w:id="1169"/>
      <w:bookmarkEnd w:id="1183"/>
      <w:bookmarkEnd w:id="1184"/>
      <w:r w:rsidRPr="00A75DF9">
        <w:rPr>
          <w:rFonts w:ascii="Tahoma" w:eastAsia="Times New Roman" w:hAnsi="Tahoma" w:cs="Tahoma"/>
          <w:caps/>
          <w:color w:val="FA6500"/>
          <w:sz w:val="22"/>
          <w:szCs w:val="22"/>
          <w:vertAlign w:val="superscript"/>
        </w:rPr>
        <w:t xml:space="preserve">45 </w:t>
      </w:r>
      <w:r w:rsidRPr="00A75DF9">
        <w:rPr>
          <w:rFonts w:ascii="Tahoma" w:eastAsia="Times New Roman" w:hAnsi="Tahoma" w:cs="Tahoma"/>
          <w:color w:val="FA6500"/>
          <w:sz w:val="22"/>
          <w:szCs w:val="22"/>
        </w:rPr>
        <w:t>Duet Enterprise 2.0</w:t>
      </w:r>
      <w:bookmarkEnd w:id="1188"/>
    </w:p>
    <w:p w:rsidR="00F66FB0" w:rsidRPr="00A75DF9" w:rsidRDefault="00F66FB0" w:rsidP="007B35CE">
      <w:pPr>
        <w:keepNext/>
        <w:ind w:left="720"/>
        <w:rPr>
          <w:rFonts w:cs="Tahoma"/>
        </w:rPr>
      </w:pPr>
      <w:r w:rsidRPr="00A75DF9">
        <w:rPr>
          <w:rFonts w:cs="Tahoma"/>
        </w:rPr>
        <w:t> </w:t>
      </w:r>
    </w:p>
    <w:p w:rsidR="00F66FB0" w:rsidRPr="00A75DF9" w:rsidRDefault="00F66FB0" w:rsidP="00F66FB0">
      <w:pPr>
        <w:ind w:left="720"/>
        <w:rPr>
          <w:rFonts w:cs="Tahoma"/>
        </w:rPr>
      </w:pPr>
      <w:r w:rsidRPr="00A75DF9">
        <w:rPr>
          <w:rFonts w:cs="Tahoma"/>
          <w:color w:val="000000"/>
        </w:rPr>
        <w:t>Duet Enterprise 2.0 è l</w:t>
      </w:r>
      <w:r w:rsidR="00F2643E">
        <w:rPr>
          <w:rFonts w:cs="Tahoma"/>
          <w:color w:val="000000"/>
        </w:rPr>
        <w:t>’</w:t>
      </w:r>
      <w:r w:rsidRPr="00A75DF9">
        <w:rPr>
          <w:rFonts w:cs="Tahoma"/>
          <w:color w:val="000000"/>
        </w:rPr>
        <w:t>ultima versione di Duet Enterprise per Microsoft SharePoint e SAP 1.0. Le società con Software Assurance attiva per Duet Enterprise per Microsoft SharePoint e SAP 1.0 al 30 novembre 2012 potranno eseguire l</w:t>
      </w:r>
      <w:r w:rsidR="00F2643E">
        <w:rPr>
          <w:rFonts w:cs="Tahoma"/>
          <w:color w:val="000000"/>
        </w:rPr>
        <w:t>’</w:t>
      </w:r>
      <w:r w:rsidRPr="00A75DF9">
        <w:rPr>
          <w:rFonts w:cs="Tahoma"/>
          <w:color w:val="000000"/>
        </w:rPr>
        <w:t>aggiornamento a Duet Enterprise 2.0 e utilizzare questo prodotto al posto delle corrispondenti copie con licenza di Duet Enterprise per SharePoint e SAP 1.0.</w:t>
      </w:r>
    </w:p>
    <w:p w:rsidR="00F66FB0" w:rsidRDefault="00F66FB0" w:rsidP="00F66FB0">
      <w:pPr>
        <w:rPr>
          <w:rFonts w:cs="Tahoma"/>
          <w:color w:val="000000"/>
        </w:rPr>
      </w:pPr>
      <w:r w:rsidRPr="00A75DF9">
        <w:rPr>
          <w:rFonts w:cs="Tahoma"/>
          <w:color w:val="000000"/>
        </w:rPr>
        <w:t> </w:t>
      </w:r>
    </w:p>
    <w:p w:rsidR="00CA60ED" w:rsidRPr="00A75DF9" w:rsidRDefault="00CA60ED" w:rsidP="00F66FB0">
      <w:pPr>
        <w:rPr>
          <w:rFonts w:cs="Tahoma"/>
        </w:rPr>
      </w:pPr>
    </w:p>
    <w:p w:rsidR="00F66FB0" w:rsidRPr="00A75DF9" w:rsidRDefault="00F66FB0" w:rsidP="00F66FB0">
      <w:pPr>
        <w:ind w:left="720"/>
        <w:rPr>
          <w:rFonts w:cs="Tahoma"/>
        </w:rPr>
      </w:pPr>
      <w:r w:rsidRPr="00A75DF9">
        <w:rPr>
          <w:rFonts w:cs="Tahoma"/>
          <w:color w:val="000000"/>
          <w:u w:val="single"/>
        </w:rPr>
        <w:t>Duet Enterprise 2.0</w:t>
      </w:r>
    </w:p>
    <w:p w:rsidR="00F66FB0" w:rsidRPr="00A75DF9" w:rsidRDefault="00F66FB0" w:rsidP="00F66FB0">
      <w:pPr>
        <w:ind w:left="720"/>
        <w:rPr>
          <w:rFonts w:cs="Tahoma"/>
        </w:rPr>
      </w:pPr>
      <w:r w:rsidRPr="00A75DF9">
        <w:rPr>
          <w:rFonts w:cs="Tahoma"/>
          <w:color w:val="000000"/>
        </w:rPr>
        <w:t>Duet Enterprise 2.0 non sarà disponibile sul sito Volume Licensing Service Center. Alle società esistenti idonee a ricevere Duet Enterprise 2.0 verranno inviate comunicazione specifiche in cui verrà indicato come ottenere il software da Microsoft Connect.</w:t>
      </w:r>
    </w:p>
    <w:p w:rsidR="00857EF7" w:rsidRPr="00A75DF9" w:rsidRDefault="00857EF7" w:rsidP="00857EF7">
      <w:pPr>
        <w:rPr>
          <w:rFonts w:cs="Tahoma"/>
        </w:rPr>
      </w:pPr>
    </w:p>
    <w:p w:rsidR="0054609D" w:rsidRPr="00A75DF9" w:rsidRDefault="0054609D" w:rsidP="00101859">
      <w:pPr>
        <w:rPr>
          <w:rFonts w:cs="Tahoma"/>
        </w:rPr>
      </w:pPr>
      <w:bookmarkStart w:id="1189" w:name="_40_Dynamics_CRM"/>
      <w:bookmarkStart w:id="1190" w:name="_40_39_Dynamics"/>
      <w:bookmarkStart w:id="1191" w:name="_4240_Dynamics_CRM"/>
      <w:bookmarkStart w:id="1192" w:name="_45_Microsoft_Dynamics"/>
      <w:bookmarkStart w:id="1193" w:name="_41_Duet_Enterprise"/>
      <w:bookmarkStart w:id="1194" w:name="Srv_45EntCALBridgeWinIntune"/>
      <w:bookmarkStart w:id="1195" w:name="Srv_38EntCALSuite"/>
      <w:bookmarkEnd w:id="1185"/>
      <w:bookmarkEnd w:id="1186"/>
      <w:bookmarkEnd w:id="1189"/>
      <w:bookmarkEnd w:id="1190"/>
      <w:bookmarkEnd w:id="1191"/>
      <w:bookmarkEnd w:id="1192"/>
      <w:bookmarkEnd w:id="1193"/>
    </w:p>
    <w:p w:rsidR="00162A93" w:rsidRPr="00A75DF9" w:rsidRDefault="00A560B6" w:rsidP="00843AD9">
      <w:pPr>
        <w:pStyle w:val="Heading3"/>
        <w:ind w:left="230" w:hanging="230"/>
        <w:rPr>
          <w:rFonts w:ascii="Tahoma" w:hAnsi="Tahoma" w:cs="Tahoma"/>
        </w:rPr>
      </w:pPr>
      <w:bookmarkStart w:id="1196" w:name="_41_Enterprise_CAL"/>
      <w:bookmarkStart w:id="1197" w:name="_46_Enterprise_CAL"/>
      <w:bookmarkStart w:id="1198" w:name="_Toc336338303"/>
      <w:bookmarkStart w:id="1199" w:name="_Toc368310296"/>
      <w:bookmarkEnd w:id="1196"/>
      <w:bookmarkEnd w:id="1197"/>
      <w:r w:rsidRPr="00A75DF9">
        <w:rPr>
          <w:rFonts w:ascii="Tahoma" w:hAnsi="Tahoma" w:cs="Tahoma"/>
          <w:caps/>
          <w:color w:val="F66400"/>
          <w:sz w:val="22"/>
          <w:vertAlign w:val="superscript"/>
        </w:rPr>
        <w:lastRenderedPageBreak/>
        <w:t xml:space="preserve">46 </w:t>
      </w:r>
      <w:r w:rsidRPr="00A75DF9">
        <w:rPr>
          <w:rFonts w:ascii="Tahoma" w:hAnsi="Tahoma" w:cs="Tahoma"/>
          <w:color w:val="F66400"/>
          <w:sz w:val="22"/>
        </w:rPr>
        <w:t>Enterprise CAL Suite Bridge per Office 365, Enterprise CAL Suite Bridge per Office</w:t>
      </w:r>
      <w:r w:rsidR="00843AD9">
        <w:rPr>
          <w:rFonts w:ascii="Tahoma" w:hAnsi="Tahoma" w:cs="Tahoma"/>
          <w:color w:val="F66400"/>
          <w:sz w:val="22"/>
        </w:rPr>
        <w:t> </w:t>
      </w:r>
      <w:r w:rsidRPr="00A75DF9">
        <w:rPr>
          <w:rFonts w:ascii="Tahoma" w:hAnsi="Tahoma" w:cs="Tahoma"/>
          <w:color w:val="F66400"/>
          <w:sz w:val="22"/>
        </w:rPr>
        <w:t>365 e Windows Intune e Enterprise CAL Suite Bridge per Windows Intune</w:t>
      </w:r>
      <w:bookmarkEnd w:id="1198"/>
      <w:bookmarkEnd w:id="1199"/>
      <w:r w:rsidRPr="00A75DF9">
        <w:rPr>
          <w:rFonts w:ascii="Tahoma" w:hAnsi="Tahoma" w:cs="Tahoma"/>
          <w:color w:val="F66400"/>
          <w:sz w:val="22"/>
        </w:rPr>
        <w:t xml:space="preserve"> </w:t>
      </w:r>
    </w:p>
    <w:p w:rsidR="00BD2BE7" w:rsidRPr="00A75DF9" w:rsidRDefault="00BD2BE7" w:rsidP="0084072C">
      <w:pPr>
        <w:rPr>
          <w:rFonts w:cs="Tahoma"/>
        </w:rPr>
      </w:pPr>
    </w:p>
    <w:bookmarkEnd w:id="1194"/>
    <w:p w:rsidR="0084072C" w:rsidRPr="00A75DF9" w:rsidRDefault="00162A93" w:rsidP="0084072C">
      <w:pPr>
        <w:spacing w:after="60"/>
        <w:ind w:left="720"/>
        <w:rPr>
          <w:rFonts w:cs="Tahoma"/>
        </w:rPr>
      </w:pPr>
      <w:r w:rsidRPr="00A75DF9">
        <w:rPr>
          <w:rFonts w:cs="Tahoma"/>
          <w:b/>
          <w:szCs w:val="18"/>
        </w:rPr>
        <w:t>Definizione</w:t>
      </w:r>
    </w:p>
    <w:p w:rsidR="00162A93" w:rsidRPr="00A75DF9" w:rsidRDefault="00162A93" w:rsidP="0084072C">
      <w:pPr>
        <w:ind w:left="720"/>
        <w:rPr>
          <w:rFonts w:cs="Tahoma"/>
        </w:rPr>
      </w:pPr>
      <w:r w:rsidRPr="00A75DF9">
        <w:rPr>
          <w:rFonts w:cs="Tahoma"/>
          <w:szCs w:val="18"/>
        </w:rPr>
        <w:t>“Transizione” indica la conversione di una Licenza con copertura Software Assurance attiva in una licenza “Subscription” o viceversa.</w:t>
      </w:r>
      <w:r w:rsidR="009D3B41" w:rsidRPr="00A75DF9">
        <w:rPr>
          <w:rFonts w:cs="Tahoma"/>
          <w:szCs w:val="18"/>
        </w:rPr>
        <w:t xml:space="preserve"> </w:t>
      </w:r>
    </w:p>
    <w:p w:rsidR="00D57009" w:rsidRPr="00A75DF9" w:rsidRDefault="00D57009">
      <w:pPr>
        <w:rPr>
          <w:rFonts w:cs="Tahoma"/>
        </w:rPr>
      </w:pPr>
    </w:p>
    <w:p w:rsidR="0084072C" w:rsidRPr="00A75DF9" w:rsidRDefault="0084072C" w:rsidP="0084072C">
      <w:pPr>
        <w:spacing w:after="60"/>
        <w:ind w:left="720"/>
        <w:rPr>
          <w:rFonts w:cs="Tahoma"/>
        </w:rPr>
      </w:pPr>
      <w:r w:rsidRPr="00A75DF9">
        <w:rPr>
          <w:rFonts w:cs="Tahoma"/>
          <w:b/>
          <w:szCs w:val="18"/>
        </w:rPr>
        <w:t>Diritti sull</w:t>
      </w:r>
      <w:r w:rsidR="00F2643E">
        <w:rPr>
          <w:rFonts w:cs="Tahoma"/>
          <w:b/>
          <w:szCs w:val="18"/>
        </w:rPr>
        <w:t>’</w:t>
      </w:r>
      <w:r w:rsidRPr="00A75DF9">
        <w:rPr>
          <w:rFonts w:cs="Tahoma"/>
          <w:b/>
          <w:szCs w:val="18"/>
        </w:rPr>
        <w:t>Utilizzo Applicabili</w:t>
      </w:r>
    </w:p>
    <w:p w:rsidR="00162A93" w:rsidRPr="00A75DF9" w:rsidRDefault="00162A93" w:rsidP="0084072C">
      <w:pPr>
        <w:ind w:left="720"/>
        <w:rPr>
          <w:rFonts w:cs="Tahoma"/>
        </w:rPr>
      </w:pPr>
      <w:r w:rsidRPr="00A75DF9">
        <w:rPr>
          <w:rFonts w:eastAsia="Calibri" w:cs="Tahoma"/>
          <w:szCs w:val="18"/>
        </w:rPr>
        <w:t>Una licenza CAL Suite Bridge non dispone di versioni e i Diritti di Utilizzo del Prodotto sono determinati dallo stato della copertura Software Assurance per tale licenza. Qualora la copertura Software Assurance sia scaduta, i diritti di accesso attribuiti da Licenze perpetue sono determinati sulla base dei Diritti di Utilizzo del Prodotto in vigore prima della scadenza della copertura. Una Licenza per una CAL Suite Bridge è una licenza singola che dovrà essere ceduta a un utente o dispositivo singolo.</w:t>
      </w:r>
    </w:p>
    <w:p w:rsidR="0084072C" w:rsidRPr="00A75DF9" w:rsidRDefault="0084072C" w:rsidP="0084072C">
      <w:pPr>
        <w:ind w:left="720"/>
        <w:rPr>
          <w:rFonts w:cs="Tahoma"/>
        </w:rPr>
      </w:pPr>
    </w:p>
    <w:p w:rsidR="0084072C" w:rsidRPr="00A75DF9" w:rsidRDefault="00162A93" w:rsidP="0084072C">
      <w:pPr>
        <w:spacing w:after="60"/>
        <w:ind w:left="720"/>
        <w:rPr>
          <w:rFonts w:cs="Tahoma"/>
        </w:rPr>
      </w:pPr>
      <w:r w:rsidRPr="00A75DF9">
        <w:rPr>
          <w:rFonts w:cs="Tahoma"/>
          <w:b/>
          <w:szCs w:val="18"/>
        </w:rPr>
        <w:t>Requisiti</w:t>
      </w:r>
    </w:p>
    <w:p w:rsidR="00162A93" w:rsidRPr="00A75DF9" w:rsidRDefault="00162A93" w:rsidP="00843AD9">
      <w:pPr>
        <w:ind w:left="720"/>
        <w:rPr>
          <w:rFonts w:cs="Tahoma"/>
        </w:rPr>
      </w:pPr>
      <w:r w:rsidRPr="00A75DF9">
        <w:rPr>
          <w:rFonts w:eastAsia="Calibri" w:cs="Tahoma"/>
          <w:szCs w:val="18"/>
        </w:rPr>
        <w:t>Una CAL Suite Bridge potrà essere richiesta durante la Transizione da una CAL Suite a una combinazione di</w:t>
      </w:r>
      <w:r w:rsidR="00843AD9">
        <w:rPr>
          <w:rFonts w:eastAsia="Calibri" w:cs="Tahoma"/>
          <w:szCs w:val="18"/>
        </w:rPr>
        <w:t> </w:t>
      </w:r>
      <w:r w:rsidRPr="00A75DF9">
        <w:rPr>
          <w:rFonts w:eastAsia="Calibri" w:cs="Tahoma"/>
          <w:szCs w:val="18"/>
        </w:rPr>
        <w:t>Servizi Online e Prodotti paragonabili. Quando una Transizione richiede una CAL Suite Bridge e la Licenza qualificante è stata pagata totalmente dalla Società, l</w:t>
      </w:r>
      <w:r w:rsidR="00F2643E">
        <w:rPr>
          <w:rFonts w:eastAsia="Calibri" w:cs="Tahoma"/>
          <w:szCs w:val="18"/>
        </w:rPr>
        <w:t>’</w:t>
      </w:r>
      <w:r w:rsidRPr="00A75DF9">
        <w:rPr>
          <w:rFonts w:eastAsia="Calibri" w:cs="Tahoma"/>
          <w:szCs w:val="18"/>
        </w:rPr>
        <w:t>acquisto di una Licenza per la CAL Suite Bridge non sarà necessario. La copertura Software Assurance potrà invece essere acquistata per la CAL Suite Bridge in</w:t>
      </w:r>
      <w:r w:rsidR="00843AD9">
        <w:rPr>
          <w:rFonts w:eastAsia="Calibri" w:cs="Tahoma"/>
          <w:szCs w:val="18"/>
        </w:rPr>
        <w:t> </w:t>
      </w:r>
      <w:r w:rsidRPr="00A75DF9">
        <w:rPr>
          <w:rFonts w:eastAsia="Calibri" w:cs="Tahoma"/>
          <w:szCs w:val="18"/>
        </w:rPr>
        <w:t>occasione della ricorrenza dell</w:t>
      </w:r>
      <w:r w:rsidR="00F2643E">
        <w:rPr>
          <w:rFonts w:eastAsia="Calibri" w:cs="Tahoma"/>
          <w:szCs w:val="18"/>
        </w:rPr>
        <w:t>’</w:t>
      </w:r>
      <w:r w:rsidRPr="00A75DF9">
        <w:rPr>
          <w:rFonts w:eastAsia="Calibri" w:cs="Tahoma"/>
          <w:szCs w:val="18"/>
        </w:rPr>
        <w:t>Iscrizione durante la quale la Transizione è in vigore. In tali circostanze il rapporto della Transizione potrà essere solo di una copertura Software Assurance per CAL Suite Bridge per una copertura Software Assurance per CAL Suite e per la stessa Licenza per utente o dispositivo della CAL Suite qualificante.</w:t>
      </w:r>
      <w:r w:rsidR="009D3B41" w:rsidRPr="00A75DF9">
        <w:rPr>
          <w:rFonts w:eastAsia="Calibri" w:cs="Tahoma"/>
          <w:szCs w:val="18"/>
        </w:rPr>
        <w:t xml:space="preserve"> </w:t>
      </w:r>
    </w:p>
    <w:p w:rsidR="0084072C" w:rsidRPr="00A75DF9" w:rsidRDefault="0084072C" w:rsidP="0084072C">
      <w:pPr>
        <w:ind w:left="720"/>
        <w:rPr>
          <w:rFonts w:cs="Tahoma"/>
        </w:rPr>
      </w:pPr>
    </w:p>
    <w:p w:rsidR="00162A93" w:rsidRPr="00A75DF9" w:rsidRDefault="00162A93" w:rsidP="0084072C">
      <w:pPr>
        <w:ind w:left="720"/>
        <w:rPr>
          <w:rFonts w:cs="Tahoma"/>
        </w:rPr>
      </w:pPr>
      <w:r w:rsidRPr="00A75DF9">
        <w:rPr>
          <w:rFonts w:eastAsia="Calibri" w:cs="Tahoma"/>
          <w:szCs w:val="18"/>
        </w:rPr>
        <w:t>Una CAL Suite Bridge è un Prodotto Enterprise e potrà essere ottenuto in licenza solo insieme al Servizio Online qualificante per soddisfare il requisito a livello aziendale sia della CAL Suite Bridge che della CAL Suite principale.</w:t>
      </w:r>
    </w:p>
    <w:p w:rsidR="0084072C" w:rsidRPr="00A75DF9" w:rsidRDefault="0084072C" w:rsidP="0084072C">
      <w:pPr>
        <w:ind w:left="720"/>
        <w:rPr>
          <w:rFonts w:cs="Tahoma"/>
        </w:rPr>
      </w:pPr>
    </w:p>
    <w:p w:rsidR="00162A93" w:rsidRPr="00A75DF9" w:rsidRDefault="00162A93" w:rsidP="0084072C">
      <w:pPr>
        <w:ind w:left="720"/>
        <w:rPr>
          <w:rFonts w:cs="Tahoma"/>
        </w:rPr>
      </w:pPr>
    </w:p>
    <w:tbl>
      <w:tblPr>
        <w:tblW w:w="4394" w:type="pct"/>
        <w:jc w:val="center"/>
        <w:tblCellMar>
          <w:left w:w="0" w:type="dxa"/>
          <w:right w:w="0" w:type="dxa"/>
        </w:tblCellMar>
        <w:tblLook w:val="04A0" w:firstRow="1" w:lastRow="0" w:firstColumn="1" w:lastColumn="0" w:noHBand="0" w:noVBand="1"/>
      </w:tblPr>
      <w:tblGrid>
        <w:gridCol w:w="2736"/>
        <w:gridCol w:w="2737"/>
        <w:gridCol w:w="2735"/>
      </w:tblGrid>
      <w:tr w:rsidR="00162A93" w:rsidRPr="00A75DF9" w:rsidTr="007E466C">
        <w:trPr>
          <w:tblHeader/>
          <w:jc w:val="center"/>
        </w:trPr>
        <w:tc>
          <w:tcPr>
            <w:tcW w:w="1667" w:type="pct"/>
            <w:tcBorders>
              <w:top w:val="single" w:sz="8" w:space="0" w:color="auto"/>
              <w:left w:val="single" w:sz="8" w:space="0" w:color="auto"/>
              <w:bottom w:val="single" w:sz="8" w:space="0" w:color="auto"/>
              <w:right w:val="single" w:sz="8" w:space="0" w:color="auto"/>
            </w:tcBorders>
            <w:shd w:val="clear" w:color="auto" w:fill="FABF8F"/>
            <w:vAlign w:val="center"/>
            <w:hideMark/>
          </w:tcPr>
          <w:p w:rsidR="00162A93" w:rsidRPr="00A75DF9" w:rsidRDefault="00162A93" w:rsidP="007E466C">
            <w:pPr>
              <w:spacing w:before="120" w:after="120" w:line="276" w:lineRule="auto"/>
              <w:ind w:left="175"/>
              <w:jc w:val="center"/>
              <w:rPr>
                <w:rFonts w:eastAsia="Calibri" w:cs="Tahoma"/>
                <w:b/>
                <w:bCs/>
                <w:color w:val="000000"/>
                <w:szCs w:val="18"/>
                <w:lang w:eastAsia="ja-JP"/>
              </w:rPr>
            </w:pPr>
            <w:r w:rsidRPr="00A75DF9">
              <w:rPr>
                <w:rFonts w:eastAsia="Calibri" w:cs="Tahoma"/>
                <w:b/>
                <w:bCs/>
                <w:szCs w:val="18"/>
              </w:rPr>
              <w:t>CAL Suite Bridge</w:t>
            </w:r>
          </w:p>
        </w:tc>
        <w:tc>
          <w:tcPr>
            <w:tcW w:w="1667" w:type="pct"/>
            <w:tcBorders>
              <w:top w:val="single" w:sz="8" w:space="0" w:color="auto"/>
              <w:left w:val="nil"/>
              <w:bottom w:val="single" w:sz="8" w:space="0" w:color="auto"/>
              <w:right w:val="single" w:sz="8" w:space="0" w:color="auto"/>
            </w:tcBorders>
            <w:shd w:val="clear" w:color="auto" w:fill="FABF8F"/>
            <w:vAlign w:val="center"/>
            <w:hideMark/>
          </w:tcPr>
          <w:p w:rsidR="00162A93" w:rsidRPr="00A75DF9" w:rsidRDefault="00162A93" w:rsidP="007E466C">
            <w:pPr>
              <w:spacing w:before="120" w:after="120" w:line="276" w:lineRule="auto"/>
              <w:ind w:left="180"/>
              <w:jc w:val="center"/>
              <w:rPr>
                <w:rFonts w:eastAsia="Calibri" w:cs="Tahoma"/>
                <w:b/>
                <w:bCs/>
                <w:color w:val="000000"/>
                <w:szCs w:val="18"/>
                <w:lang w:eastAsia="ja-JP"/>
              </w:rPr>
            </w:pPr>
            <w:r w:rsidRPr="00A75DF9">
              <w:rPr>
                <w:rFonts w:eastAsia="Calibri" w:cs="Tahoma"/>
                <w:b/>
                <w:bCs/>
                <w:szCs w:val="18"/>
              </w:rPr>
              <w:t>CAL Suite Principale</w:t>
            </w:r>
          </w:p>
        </w:tc>
        <w:tc>
          <w:tcPr>
            <w:tcW w:w="1667" w:type="pct"/>
            <w:tcBorders>
              <w:top w:val="single" w:sz="8" w:space="0" w:color="auto"/>
              <w:left w:val="nil"/>
              <w:bottom w:val="single" w:sz="8" w:space="0" w:color="auto"/>
              <w:right w:val="single" w:sz="8" w:space="0" w:color="auto"/>
            </w:tcBorders>
            <w:shd w:val="clear" w:color="auto" w:fill="FABF8F"/>
            <w:vAlign w:val="center"/>
            <w:hideMark/>
          </w:tcPr>
          <w:p w:rsidR="00162A93" w:rsidRPr="00A75DF9" w:rsidRDefault="00162A93" w:rsidP="007E466C">
            <w:pPr>
              <w:spacing w:before="120" w:after="120" w:line="276" w:lineRule="auto"/>
              <w:ind w:left="180" w:right="247"/>
              <w:jc w:val="center"/>
              <w:rPr>
                <w:rFonts w:eastAsia="Calibri" w:cs="Tahoma"/>
                <w:b/>
                <w:bCs/>
                <w:color w:val="000000"/>
                <w:szCs w:val="18"/>
                <w:lang w:eastAsia="ja-JP"/>
              </w:rPr>
            </w:pPr>
            <w:r w:rsidRPr="00A75DF9">
              <w:rPr>
                <w:rFonts w:eastAsia="Calibri" w:cs="Tahoma"/>
                <w:b/>
                <w:bCs/>
                <w:szCs w:val="18"/>
              </w:rPr>
              <w:t>Servizi Online Qualificanti</w:t>
            </w:r>
          </w:p>
        </w:tc>
      </w:tr>
      <w:tr w:rsidR="00162A93" w:rsidRPr="00A75DF9" w:rsidTr="007E466C">
        <w:trPr>
          <w:trHeight w:val="576"/>
          <w:jc w:val="center"/>
        </w:trPr>
        <w:tc>
          <w:tcPr>
            <w:tcW w:w="1667" w:type="pct"/>
            <w:tcBorders>
              <w:top w:val="nil"/>
              <w:left w:val="single" w:sz="8" w:space="0" w:color="auto"/>
              <w:bottom w:val="single" w:sz="8" w:space="0" w:color="auto"/>
              <w:right w:val="single" w:sz="8" w:space="0" w:color="auto"/>
            </w:tcBorders>
          </w:tcPr>
          <w:p w:rsidR="00162A93" w:rsidRPr="00A75DF9" w:rsidRDefault="00162A93" w:rsidP="00346F4B">
            <w:pPr>
              <w:numPr>
                <w:ilvl w:val="0"/>
                <w:numId w:val="43"/>
              </w:numPr>
              <w:spacing w:before="60" w:after="60" w:line="276" w:lineRule="auto"/>
              <w:ind w:left="535" w:right="180"/>
              <w:rPr>
                <w:rFonts w:eastAsia="Calibri" w:cs="Tahoma"/>
                <w:szCs w:val="18"/>
              </w:rPr>
            </w:pPr>
            <w:r w:rsidRPr="00A75DF9">
              <w:rPr>
                <w:rFonts w:eastAsia="Calibri" w:cs="Tahoma"/>
                <w:color w:val="000000"/>
                <w:szCs w:val="18"/>
              </w:rPr>
              <w:t>Enterprise CAL Suite Bridge per Office 365</w:t>
            </w:r>
          </w:p>
        </w:tc>
        <w:tc>
          <w:tcPr>
            <w:tcW w:w="1667" w:type="pct"/>
            <w:tcBorders>
              <w:top w:val="nil"/>
              <w:left w:val="nil"/>
              <w:bottom w:val="single" w:sz="8" w:space="0" w:color="auto"/>
              <w:right w:val="single" w:sz="8" w:space="0" w:color="auto"/>
            </w:tcBorders>
          </w:tcPr>
          <w:p w:rsidR="00162A93" w:rsidRPr="00A75DF9" w:rsidRDefault="00162A93" w:rsidP="00346F4B">
            <w:pPr>
              <w:numPr>
                <w:ilvl w:val="0"/>
                <w:numId w:val="44"/>
              </w:numPr>
              <w:spacing w:before="80" w:after="200" w:line="276" w:lineRule="auto"/>
              <w:ind w:left="449" w:hanging="270"/>
              <w:jc w:val="both"/>
              <w:rPr>
                <w:rFonts w:eastAsia="Calibri" w:cs="Tahoma"/>
                <w:szCs w:val="18"/>
              </w:rPr>
            </w:pPr>
            <w:r w:rsidRPr="00A75DF9">
              <w:rPr>
                <w:rFonts w:eastAsia="Calibri" w:cs="Tahoma"/>
                <w:color w:val="000000"/>
                <w:szCs w:val="18"/>
              </w:rPr>
              <w:t>Enterprise CAL Suite</w:t>
            </w:r>
          </w:p>
        </w:tc>
        <w:tc>
          <w:tcPr>
            <w:tcW w:w="1667" w:type="pct"/>
            <w:tcBorders>
              <w:top w:val="nil"/>
              <w:left w:val="nil"/>
              <w:bottom w:val="single" w:sz="8" w:space="0" w:color="auto"/>
              <w:right w:val="single" w:sz="8" w:space="0" w:color="auto"/>
            </w:tcBorders>
          </w:tcPr>
          <w:p w:rsidR="00162A93" w:rsidRPr="00A75DF9" w:rsidRDefault="00162A93" w:rsidP="00346F4B">
            <w:pPr>
              <w:numPr>
                <w:ilvl w:val="0"/>
                <w:numId w:val="45"/>
              </w:numPr>
              <w:spacing w:before="80" w:after="200" w:line="276" w:lineRule="auto"/>
              <w:ind w:left="630"/>
              <w:rPr>
                <w:rFonts w:cs="Tahoma"/>
              </w:rPr>
            </w:pPr>
            <w:r w:rsidRPr="00A75DF9">
              <w:rPr>
                <w:rFonts w:eastAsia="Calibri" w:cs="Tahoma"/>
                <w:color w:val="000000"/>
                <w:szCs w:val="18"/>
              </w:rPr>
              <w:t>Office 365 Enterprise E3 o</w:t>
            </w:r>
          </w:p>
          <w:p w:rsidR="00162A93" w:rsidRPr="00A75DF9" w:rsidRDefault="00162A93" w:rsidP="00346F4B">
            <w:pPr>
              <w:numPr>
                <w:ilvl w:val="0"/>
                <w:numId w:val="45"/>
              </w:numPr>
              <w:spacing w:before="80" w:after="200" w:line="276" w:lineRule="auto"/>
              <w:ind w:left="630"/>
              <w:rPr>
                <w:rFonts w:eastAsia="Calibri" w:cs="Tahoma"/>
                <w:color w:val="000000"/>
                <w:szCs w:val="18"/>
              </w:rPr>
            </w:pPr>
            <w:r w:rsidRPr="00A75DF9">
              <w:rPr>
                <w:rFonts w:eastAsia="Calibri" w:cs="Tahoma"/>
                <w:color w:val="000000"/>
                <w:szCs w:val="18"/>
              </w:rPr>
              <w:t>Office 365 Enterprise E4</w:t>
            </w:r>
          </w:p>
        </w:tc>
      </w:tr>
      <w:tr w:rsidR="00162A93" w:rsidRPr="00A75DF9" w:rsidTr="007E466C">
        <w:trPr>
          <w:trHeight w:val="576"/>
          <w:jc w:val="center"/>
        </w:trPr>
        <w:tc>
          <w:tcPr>
            <w:tcW w:w="1667" w:type="pct"/>
            <w:tcBorders>
              <w:top w:val="nil"/>
              <w:left w:val="single" w:sz="8" w:space="0" w:color="auto"/>
              <w:bottom w:val="single" w:sz="8" w:space="0" w:color="auto"/>
              <w:right w:val="single" w:sz="8" w:space="0" w:color="auto"/>
            </w:tcBorders>
          </w:tcPr>
          <w:p w:rsidR="00162A93" w:rsidRPr="00A75DF9" w:rsidRDefault="00162A93" w:rsidP="00843AD9">
            <w:pPr>
              <w:numPr>
                <w:ilvl w:val="0"/>
                <w:numId w:val="43"/>
              </w:numPr>
              <w:spacing w:before="60" w:after="60" w:line="276" w:lineRule="auto"/>
              <w:ind w:left="535" w:right="180"/>
              <w:rPr>
                <w:rFonts w:eastAsia="Calibri" w:cs="Tahoma"/>
                <w:szCs w:val="18"/>
              </w:rPr>
            </w:pPr>
            <w:r w:rsidRPr="00A75DF9">
              <w:rPr>
                <w:rFonts w:eastAsia="Calibri" w:cs="Tahoma"/>
                <w:color w:val="000000"/>
                <w:szCs w:val="18"/>
              </w:rPr>
              <w:t>Enterprise CAL Suite Bridge per Office 365 e</w:t>
            </w:r>
            <w:r w:rsidR="00843AD9">
              <w:rPr>
                <w:rFonts w:eastAsia="Calibri" w:cs="Tahoma"/>
                <w:color w:val="000000"/>
                <w:szCs w:val="18"/>
              </w:rPr>
              <w:t> </w:t>
            </w:r>
            <w:r w:rsidRPr="00A75DF9">
              <w:rPr>
                <w:rFonts w:eastAsia="Calibri" w:cs="Tahoma"/>
                <w:color w:val="000000"/>
                <w:szCs w:val="18"/>
              </w:rPr>
              <w:t>Windows Intune</w:t>
            </w:r>
          </w:p>
        </w:tc>
        <w:tc>
          <w:tcPr>
            <w:tcW w:w="1667" w:type="pct"/>
            <w:tcBorders>
              <w:top w:val="nil"/>
              <w:left w:val="nil"/>
              <w:bottom w:val="single" w:sz="8" w:space="0" w:color="auto"/>
              <w:right w:val="single" w:sz="8" w:space="0" w:color="auto"/>
            </w:tcBorders>
          </w:tcPr>
          <w:p w:rsidR="00162A93" w:rsidRPr="00A75DF9" w:rsidRDefault="00162A93" w:rsidP="00346F4B">
            <w:pPr>
              <w:numPr>
                <w:ilvl w:val="0"/>
                <w:numId w:val="44"/>
              </w:numPr>
              <w:spacing w:before="80" w:after="200" w:line="276" w:lineRule="auto"/>
              <w:ind w:left="449" w:hanging="270"/>
              <w:jc w:val="both"/>
              <w:rPr>
                <w:rFonts w:eastAsia="Calibri" w:cs="Tahoma"/>
                <w:szCs w:val="18"/>
              </w:rPr>
            </w:pPr>
            <w:r w:rsidRPr="00A75DF9">
              <w:rPr>
                <w:rFonts w:eastAsia="Calibri" w:cs="Tahoma"/>
                <w:color w:val="000000"/>
                <w:szCs w:val="18"/>
              </w:rPr>
              <w:t>Enterprise CAL Suite</w:t>
            </w:r>
          </w:p>
        </w:tc>
        <w:tc>
          <w:tcPr>
            <w:tcW w:w="1667" w:type="pct"/>
            <w:tcBorders>
              <w:top w:val="nil"/>
              <w:left w:val="nil"/>
              <w:bottom w:val="single" w:sz="8" w:space="0" w:color="auto"/>
              <w:right w:val="single" w:sz="8" w:space="0" w:color="auto"/>
            </w:tcBorders>
          </w:tcPr>
          <w:p w:rsidR="00162A93" w:rsidRPr="00A75DF9" w:rsidRDefault="00162A93" w:rsidP="00346F4B">
            <w:pPr>
              <w:numPr>
                <w:ilvl w:val="0"/>
                <w:numId w:val="45"/>
              </w:numPr>
              <w:spacing w:before="80" w:after="200" w:line="276" w:lineRule="auto"/>
              <w:ind w:left="630"/>
              <w:rPr>
                <w:rFonts w:cs="Tahoma"/>
              </w:rPr>
            </w:pPr>
            <w:r w:rsidRPr="00A75DF9">
              <w:rPr>
                <w:rFonts w:eastAsia="Calibri" w:cs="Tahoma"/>
                <w:color w:val="000000"/>
                <w:szCs w:val="18"/>
              </w:rPr>
              <w:t>Office 365 Enterprise E3 e Windows Intune o</w:t>
            </w:r>
          </w:p>
          <w:p w:rsidR="00162A93" w:rsidRPr="00A75DF9" w:rsidRDefault="00162A93" w:rsidP="00346F4B">
            <w:pPr>
              <w:numPr>
                <w:ilvl w:val="0"/>
                <w:numId w:val="45"/>
              </w:numPr>
              <w:spacing w:before="80" w:after="200" w:line="276" w:lineRule="auto"/>
              <w:ind w:left="630"/>
              <w:rPr>
                <w:rFonts w:eastAsia="Calibri" w:cs="Tahoma"/>
                <w:color w:val="000000"/>
                <w:szCs w:val="18"/>
              </w:rPr>
            </w:pPr>
            <w:r w:rsidRPr="00A75DF9">
              <w:rPr>
                <w:rFonts w:eastAsia="Calibri" w:cs="Tahoma"/>
                <w:color w:val="000000"/>
                <w:szCs w:val="18"/>
              </w:rPr>
              <w:t>Office 365 Enterprise E4 e Windows Intune</w:t>
            </w:r>
          </w:p>
        </w:tc>
      </w:tr>
      <w:tr w:rsidR="00162A93" w:rsidRPr="00A75DF9" w:rsidTr="007E466C">
        <w:trPr>
          <w:trHeight w:val="576"/>
          <w:jc w:val="center"/>
        </w:trPr>
        <w:tc>
          <w:tcPr>
            <w:tcW w:w="1667" w:type="pct"/>
            <w:tcBorders>
              <w:top w:val="nil"/>
              <w:left w:val="single" w:sz="8" w:space="0" w:color="auto"/>
              <w:bottom w:val="single" w:sz="8" w:space="0" w:color="auto"/>
              <w:right w:val="single" w:sz="8" w:space="0" w:color="auto"/>
            </w:tcBorders>
            <w:hideMark/>
          </w:tcPr>
          <w:p w:rsidR="00162A93" w:rsidRPr="00A75DF9" w:rsidRDefault="00162A93" w:rsidP="00346F4B">
            <w:pPr>
              <w:numPr>
                <w:ilvl w:val="0"/>
                <w:numId w:val="43"/>
              </w:numPr>
              <w:spacing w:before="60" w:after="60" w:line="276" w:lineRule="auto"/>
              <w:ind w:left="535" w:right="180"/>
              <w:rPr>
                <w:rFonts w:eastAsia="Calibri" w:cs="Tahoma"/>
                <w:color w:val="000000"/>
                <w:szCs w:val="18"/>
                <w:lang w:eastAsia="ja-JP"/>
              </w:rPr>
            </w:pPr>
            <w:r w:rsidRPr="00A75DF9">
              <w:rPr>
                <w:rFonts w:eastAsia="Calibri" w:cs="Tahoma"/>
                <w:szCs w:val="18"/>
              </w:rPr>
              <w:t>Enterprise CAL Suite Bridge per Windows Intune</w:t>
            </w:r>
          </w:p>
        </w:tc>
        <w:tc>
          <w:tcPr>
            <w:tcW w:w="1667" w:type="pct"/>
            <w:tcBorders>
              <w:top w:val="nil"/>
              <w:left w:val="nil"/>
              <w:bottom w:val="single" w:sz="8" w:space="0" w:color="auto"/>
              <w:right w:val="single" w:sz="8" w:space="0" w:color="auto"/>
            </w:tcBorders>
            <w:hideMark/>
          </w:tcPr>
          <w:p w:rsidR="00162A93" w:rsidRPr="00A75DF9" w:rsidRDefault="00162A93" w:rsidP="00346F4B">
            <w:pPr>
              <w:numPr>
                <w:ilvl w:val="0"/>
                <w:numId w:val="44"/>
              </w:numPr>
              <w:spacing w:before="80" w:after="200" w:line="276" w:lineRule="auto"/>
              <w:ind w:left="449" w:hanging="270"/>
              <w:jc w:val="both"/>
              <w:rPr>
                <w:rFonts w:eastAsia="Calibri" w:cs="Tahoma"/>
                <w:color w:val="000000"/>
                <w:szCs w:val="18"/>
                <w:lang w:eastAsia="ja-JP"/>
              </w:rPr>
            </w:pPr>
            <w:r w:rsidRPr="00A75DF9">
              <w:rPr>
                <w:rFonts w:eastAsia="Calibri" w:cs="Tahoma"/>
                <w:szCs w:val="18"/>
              </w:rPr>
              <w:t>Enterprise CAL Suite</w:t>
            </w:r>
          </w:p>
        </w:tc>
        <w:tc>
          <w:tcPr>
            <w:tcW w:w="1667" w:type="pct"/>
            <w:tcBorders>
              <w:top w:val="nil"/>
              <w:left w:val="nil"/>
              <w:bottom w:val="single" w:sz="8" w:space="0" w:color="auto"/>
              <w:right w:val="single" w:sz="8" w:space="0" w:color="auto"/>
            </w:tcBorders>
            <w:hideMark/>
          </w:tcPr>
          <w:p w:rsidR="00162A93" w:rsidRPr="00A75DF9" w:rsidRDefault="00162A93" w:rsidP="00346F4B">
            <w:pPr>
              <w:numPr>
                <w:ilvl w:val="0"/>
                <w:numId w:val="45"/>
              </w:numPr>
              <w:spacing w:before="80" w:after="200" w:line="276" w:lineRule="auto"/>
              <w:ind w:left="630"/>
              <w:rPr>
                <w:rFonts w:cs="Tahoma"/>
                <w:color w:val="000000"/>
                <w:szCs w:val="18"/>
              </w:rPr>
            </w:pPr>
            <w:r w:rsidRPr="00A75DF9">
              <w:rPr>
                <w:rFonts w:eastAsia="Calibri" w:cs="Tahoma"/>
                <w:color w:val="000000"/>
                <w:szCs w:val="18"/>
              </w:rPr>
              <w:t>Windows Intune</w:t>
            </w:r>
          </w:p>
        </w:tc>
      </w:tr>
    </w:tbl>
    <w:p w:rsidR="005614CA" w:rsidRPr="00A75DF9" w:rsidRDefault="005614CA" w:rsidP="00E03856">
      <w:pPr>
        <w:pStyle w:val="Heading3"/>
        <w:rPr>
          <w:rFonts w:ascii="Tahoma" w:hAnsi="Tahoma" w:cs="Tahoma"/>
        </w:rPr>
      </w:pPr>
      <w:bookmarkStart w:id="1200" w:name="_Toc336338304"/>
      <w:bookmarkStart w:id="1201" w:name="Srv_43EnterpriseCALSuite"/>
      <w:bookmarkEnd w:id="1187"/>
      <w:bookmarkEnd w:id="1195"/>
    </w:p>
    <w:p w:rsidR="00676723" w:rsidRPr="00A75DF9" w:rsidRDefault="00676723" w:rsidP="00676723">
      <w:pPr>
        <w:rPr>
          <w:rFonts w:cs="Tahoma"/>
        </w:rPr>
      </w:pPr>
    </w:p>
    <w:p w:rsidR="00652053" w:rsidRPr="00A75DF9" w:rsidRDefault="00A560B6" w:rsidP="001760D6">
      <w:pPr>
        <w:pStyle w:val="Heading3"/>
        <w:keepNext/>
        <w:rPr>
          <w:rFonts w:ascii="Tahoma" w:hAnsi="Tahoma" w:cs="Tahoma"/>
        </w:rPr>
      </w:pPr>
      <w:bookmarkStart w:id="1202" w:name="_42_Enterprise_CAL"/>
      <w:bookmarkStart w:id="1203" w:name="_47_Enterprise_CAL"/>
      <w:bookmarkStart w:id="1204" w:name="_Toc368310297"/>
      <w:bookmarkEnd w:id="1202"/>
      <w:bookmarkEnd w:id="1203"/>
      <w:r w:rsidRPr="00A75DF9">
        <w:rPr>
          <w:rFonts w:ascii="Tahoma" w:hAnsi="Tahoma" w:cs="Tahoma"/>
          <w:caps/>
          <w:color w:val="F66400"/>
          <w:sz w:val="22"/>
          <w:vertAlign w:val="superscript"/>
        </w:rPr>
        <w:t>47</w:t>
      </w:r>
      <w:r w:rsidRPr="00A75DF9">
        <w:rPr>
          <w:rFonts w:ascii="Tahoma" w:hAnsi="Tahoma" w:cs="Tahoma"/>
          <w:color w:val="F66400"/>
          <w:sz w:val="22"/>
        </w:rPr>
        <w:t xml:space="preserve"> Enterprise CAL Suite</w:t>
      </w:r>
      <w:bookmarkEnd w:id="1200"/>
      <w:bookmarkEnd w:id="1204"/>
      <w:r w:rsidRPr="00A75DF9">
        <w:rPr>
          <w:rFonts w:ascii="Tahoma" w:hAnsi="Tahoma" w:cs="Tahoma"/>
          <w:color w:val="F66400"/>
          <w:sz w:val="22"/>
        </w:rPr>
        <w:t xml:space="preserve"> </w:t>
      </w:r>
    </w:p>
    <w:bookmarkEnd w:id="1201"/>
    <w:p w:rsidR="00023FE7" w:rsidRPr="00A75DF9" w:rsidRDefault="00023FE7" w:rsidP="0084072C">
      <w:pPr>
        <w:rPr>
          <w:rFonts w:cs="Tahoma"/>
        </w:rPr>
      </w:pPr>
    </w:p>
    <w:p w:rsidR="009A727E" w:rsidRPr="00A75DF9" w:rsidRDefault="008446D1" w:rsidP="00843AD9">
      <w:pPr>
        <w:ind w:left="720"/>
        <w:rPr>
          <w:rFonts w:cs="Tahoma"/>
        </w:rPr>
      </w:pPr>
      <w:r w:rsidRPr="00A75DF9">
        <w:rPr>
          <w:rFonts w:cs="Tahoma"/>
          <w:szCs w:val="20"/>
        </w:rPr>
        <w:t>Enterprise CAL Suite non dispone di versioni e i diritti di utilizzo del prodotto sono determinati dallo stato della copertura Software Assurance per Enterprise CAL Suite.</w:t>
      </w:r>
      <w:r w:rsidR="009D3B41" w:rsidRPr="00A75DF9">
        <w:rPr>
          <w:rFonts w:cs="Tahoma"/>
          <w:szCs w:val="20"/>
        </w:rPr>
        <w:t xml:space="preserve"> </w:t>
      </w:r>
      <w:r w:rsidRPr="00A75DF9">
        <w:rPr>
          <w:rFonts w:cs="Tahoma"/>
          <w:szCs w:val="20"/>
        </w:rPr>
        <w:t>Qualora la copertura sia scaduta, i diritti di</w:t>
      </w:r>
      <w:r w:rsidR="00843AD9">
        <w:rPr>
          <w:rFonts w:cs="Tahoma"/>
          <w:szCs w:val="20"/>
        </w:rPr>
        <w:t> </w:t>
      </w:r>
      <w:r w:rsidRPr="00A75DF9">
        <w:rPr>
          <w:rFonts w:cs="Tahoma"/>
          <w:szCs w:val="20"/>
        </w:rPr>
        <w:t>accesso attribuiti da licenze perpetue sono determinati sulla base dei diritti di utilizzo del prodotto in vigore</w:t>
      </w:r>
      <w:r w:rsidR="00843AD9">
        <w:rPr>
          <w:rFonts w:cs="Tahoma"/>
          <w:szCs w:val="20"/>
        </w:rPr>
        <w:t> </w:t>
      </w:r>
      <w:r w:rsidRPr="00A75DF9">
        <w:rPr>
          <w:rFonts w:cs="Tahoma"/>
          <w:szCs w:val="20"/>
        </w:rPr>
        <w:t>prima della scadenza della copertura.</w:t>
      </w:r>
      <w:r w:rsidR="009D3B41" w:rsidRPr="00A75DF9">
        <w:rPr>
          <w:rFonts w:cs="Tahoma"/>
          <w:szCs w:val="20"/>
        </w:rPr>
        <w:t xml:space="preserve"> </w:t>
      </w:r>
      <w:r w:rsidRPr="00A75DF9">
        <w:rPr>
          <w:rFonts w:cs="Tahoma"/>
          <w:szCs w:val="20"/>
        </w:rPr>
        <w:t>I diritti associati alle offerte dei Servizi Online cesseranno alla scadenza della copertura Software Assurance, indipendentemente dal fatto che l</w:t>
      </w:r>
      <w:r w:rsidR="00F2643E">
        <w:rPr>
          <w:rFonts w:cs="Tahoma"/>
          <w:szCs w:val="20"/>
        </w:rPr>
        <w:t>’</w:t>
      </w:r>
      <w:r w:rsidRPr="00A75DF9">
        <w:rPr>
          <w:rFonts w:cs="Tahoma"/>
          <w:szCs w:val="20"/>
        </w:rPr>
        <w:t xml:space="preserve">Enterprise CAL suite sia </w:t>
      </w:r>
      <w:r w:rsidRPr="00A75DF9">
        <w:rPr>
          <w:rFonts w:cs="Tahoma"/>
          <w:szCs w:val="20"/>
        </w:rPr>
        <w:lastRenderedPageBreak/>
        <w:t>perpetua o meno.</w:t>
      </w:r>
      <w:r w:rsidR="009D3B41" w:rsidRPr="00A75DF9">
        <w:rPr>
          <w:rFonts w:cs="Tahoma"/>
          <w:szCs w:val="20"/>
        </w:rPr>
        <w:t xml:space="preserve"> </w:t>
      </w:r>
      <w:r w:rsidRPr="00A75DF9">
        <w:rPr>
          <w:rFonts w:cs="Tahoma"/>
          <w:szCs w:val="20"/>
        </w:rPr>
        <w:t>A decorrere dal 1 aprile 2013 una licenza per Enterprise CAL Suite con copertura Software Assurance attiva concede diritti equivalenti ai seguenti prodotti: tutti i componenti attuali di Core CAL Suite, Exchange Enterprise CAL con Services 2013, Archiviazione Exchange Online per Exchange Server, SharePoint Server Enterprise CAL 2013, Lync Server Enterprise CAL 2013, CAL per Windows Server 2012 Active Directory Rights Management Services e tutti i componenti attuali di System Center 2012 Client Management Suite.</w:t>
      </w:r>
      <w:r w:rsidR="009D3B41" w:rsidRPr="00A75DF9">
        <w:rPr>
          <w:rFonts w:cs="Tahoma"/>
          <w:szCs w:val="20"/>
        </w:rPr>
        <w:t xml:space="preserve"> </w:t>
      </w:r>
      <w:r w:rsidRPr="00A75DF9">
        <w:rPr>
          <w:rFonts w:cs="Tahoma"/>
          <w:szCs w:val="20"/>
        </w:rPr>
        <w:t>Una licenza per Enterprise CAL Suite è una licenza singola che deve essere assegnata a un singolo utente o dispositivo.</w:t>
      </w:r>
      <w:r w:rsidR="009D3B41" w:rsidRPr="00A75DF9">
        <w:rPr>
          <w:rFonts w:cs="Tahoma"/>
          <w:szCs w:val="20"/>
        </w:rPr>
        <w:t xml:space="preserve"> </w:t>
      </w:r>
      <w:r w:rsidRPr="00A75DF9">
        <w:rPr>
          <w:rFonts w:cs="Tahoma"/>
          <w:szCs w:val="20"/>
        </w:rPr>
        <w:t>Secondo quanto previsto nel relativo contratto multilicenza, la società non può separare i diritti di Enterprise CAL Suite per consentire a due o più utenti o dispositivi di accedere contemporaneamente ai diversi componenti.</w:t>
      </w:r>
      <w:r w:rsidR="009D3B41" w:rsidRPr="00A75DF9">
        <w:rPr>
          <w:rFonts w:cs="Tahoma"/>
          <w:szCs w:val="20"/>
        </w:rPr>
        <w:t xml:space="preserve"> </w:t>
      </w:r>
    </w:p>
    <w:p w:rsidR="00D57009" w:rsidRPr="00A75DF9" w:rsidRDefault="00D57009">
      <w:pPr>
        <w:rPr>
          <w:rFonts w:cs="Tahoma"/>
        </w:rPr>
      </w:pPr>
    </w:p>
    <w:p w:rsidR="00163658" w:rsidRPr="00A75DF9" w:rsidRDefault="00163658" w:rsidP="0084072C">
      <w:pPr>
        <w:ind w:left="720"/>
        <w:rPr>
          <w:rFonts w:cs="Tahoma"/>
        </w:rPr>
      </w:pPr>
      <w:r w:rsidRPr="00A75DF9">
        <w:rPr>
          <w:rFonts w:cs="Tahoma"/>
          <w:b/>
          <w:szCs w:val="20"/>
        </w:rPr>
        <w:t>Servizi Online inclusi nell</w:t>
      </w:r>
      <w:r w:rsidR="00F2643E">
        <w:rPr>
          <w:rFonts w:cs="Tahoma"/>
          <w:b/>
          <w:szCs w:val="20"/>
        </w:rPr>
        <w:t>’</w:t>
      </w:r>
      <w:r w:rsidRPr="00A75DF9">
        <w:rPr>
          <w:rFonts w:cs="Tahoma"/>
          <w:b/>
          <w:szCs w:val="20"/>
        </w:rPr>
        <w:t>Enterprise CAL Suite</w:t>
      </w:r>
    </w:p>
    <w:p w:rsidR="00391D38" w:rsidRPr="00A75DF9" w:rsidRDefault="00391D38" w:rsidP="0084072C">
      <w:pPr>
        <w:ind w:left="720"/>
        <w:rPr>
          <w:rFonts w:cs="Tahoma"/>
        </w:rPr>
      </w:pPr>
    </w:p>
    <w:p w:rsidR="00163658" w:rsidRPr="00A75DF9" w:rsidRDefault="00163658" w:rsidP="009A5D6F">
      <w:pPr>
        <w:ind w:left="720"/>
        <w:rPr>
          <w:rFonts w:cs="Tahoma"/>
        </w:rPr>
      </w:pPr>
      <w:r w:rsidRPr="00A75DF9">
        <w:rPr>
          <w:rFonts w:cs="Tahoma"/>
          <w:szCs w:val="20"/>
        </w:rPr>
        <w:t>A decorrere dal 1 aprile 2013 una licenza per Enterprise CAL Suite con copertura Software Assurance attiva include i diritti per Archiviazione Exchange Online per Exchange Server, Prevenzione della Perdita dei Dati ed Exchange Online Protection.</w:t>
      </w:r>
    </w:p>
    <w:p w:rsidR="00855B26" w:rsidRPr="00A75DF9" w:rsidRDefault="00855B26" w:rsidP="00855B26">
      <w:pPr>
        <w:ind w:left="720"/>
        <w:rPr>
          <w:rFonts w:cs="Tahoma"/>
        </w:rPr>
      </w:pPr>
    </w:p>
    <w:p w:rsidR="00855B26" w:rsidRPr="00A75DF9" w:rsidRDefault="00855B26" w:rsidP="00843AD9">
      <w:pPr>
        <w:ind w:left="720"/>
        <w:rPr>
          <w:rFonts w:cs="Tahoma"/>
        </w:rPr>
      </w:pPr>
      <w:r w:rsidRPr="00A75DF9">
        <w:rPr>
          <w:rFonts w:cs="Tahoma"/>
          <w:szCs w:val="20"/>
          <w:u w:val="single"/>
        </w:rPr>
        <w:t>Disponibilità Internazionale</w:t>
      </w:r>
      <w:r w:rsidRPr="00A75DF9">
        <w:rPr>
          <w:rFonts w:cs="Tahoma"/>
          <w:szCs w:val="20"/>
        </w:rPr>
        <w:t>. I Servizi Online sono erogabili solo nei paesi in cui è disponibile Office 365:</w:t>
      </w:r>
      <w:r w:rsidRPr="00A75DF9">
        <w:rPr>
          <w:rFonts w:cs="Tahoma"/>
          <w:color w:val="5B9BD5"/>
          <w:szCs w:val="20"/>
        </w:rPr>
        <w:t xml:space="preserve"> </w:t>
      </w:r>
      <w:hyperlink r:id="rId49" w:anchor="international" w:history="1">
        <w:r w:rsidR="00843AD9" w:rsidRPr="00A57AE3">
          <w:rPr>
            <w:rStyle w:val="Hyperlink"/>
            <w:color w:val="5B9BD5"/>
          </w:rPr>
          <w:t>http://www.microsoft.com/online/faq.aspx#international</w:t>
        </w:r>
      </w:hyperlink>
      <w:r w:rsidRPr="00A75DF9">
        <w:rPr>
          <w:rFonts w:cs="Tahoma"/>
          <w:color w:val="5B9BD5"/>
        </w:rPr>
        <w:br/>
      </w:r>
    </w:p>
    <w:p w:rsidR="00163658" w:rsidRPr="00A75DF9" w:rsidRDefault="000150D5" w:rsidP="00843AD9">
      <w:pPr>
        <w:ind w:left="720"/>
        <w:rPr>
          <w:rFonts w:cs="Tahoma"/>
        </w:rPr>
      </w:pPr>
      <w:r w:rsidRPr="00A75DF9">
        <w:rPr>
          <w:rFonts w:cs="Tahoma"/>
          <w:szCs w:val="20"/>
          <w:u w:val="single"/>
        </w:rPr>
        <w:t>Erogazione</w:t>
      </w:r>
      <w:r w:rsidRPr="00843AD9">
        <w:rPr>
          <w:rFonts w:cs="Tahoma"/>
          <w:szCs w:val="20"/>
        </w:rPr>
        <w:t xml:space="preserve">. </w:t>
      </w:r>
      <w:r w:rsidRPr="00A75DF9">
        <w:rPr>
          <w:rFonts w:cs="Tahoma"/>
          <w:szCs w:val="20"/>
        </w:rPr>
        <w:t>Per iniziare a utilizzare questi servizi, la società dovrà contattare il proprio Microsoft Partner, che</w:t>
      </w:r>
      <w:r w:rsidR="00843AD9">
        <w:rPr>
          <w:rFonts w:cs="Tahoma"/>
          <w:szCs w:val="20"/>
        </w:rPr>
        <w:t> </w:t>
      </w:r>
      <w:r w:rsidRPr="00A75DF9">
        <w:rPr>
          <w:rFonts w:cs="Tahoma"/>
          <w:szCs w:val="20"/>
        </w:rPr>
        <w:t>potrà avviare il processo di erogazione necessario per l</w:t>
      </w:r>
      <w:r w:rsidR="00F2643E">
        <w:rPr>
          <w:rFonts w:cs="Tahoma"/>
          <w:szCs w:val="20"/>
        </w:rPr>
        <w:t>’</w:t>
      </w:r>
      <w:r w:rsidRPr="00A75DF9">
        <w:rPr>
          <w:rFonts w:cs="Tahoma"/>
          <w:szCs w:val="20"/>
        </w:rPr>
        <w:t>attivazione di ciascun servizio.</w:t>
      </w:r>
    </w:p>
    <w:p w:rsidR="00855B26" w:rsidRPr="00A75DF9" w:rsidRDefault="00855B26" w:rsidP="000150D5">
      <w:pPr>
        <w:ind w:left="720"/>
        <w:rPr>
          <w:rFonts w:cs="Tahoma"/>
        </w:rPr>
      </w:pPr>
    </w:p>
    <w:p w:rsidR="00391D38" w:rsidRPr="00A75DF9" w:rsidRDefault="000150D5" w:rsidP="00843AD9">
      <w:pPr>
        <w:ind w:left="720"/>
        <w:rPr>
          <w:rFonts w:cs="Tahoma"/>
        </w:rPr>
      </w:pPr>
      <w:r w:rsidRPr="00A75DF9">
        <w:rPr>
          <w:rFonts w:cs="Tahoma"/>
          <w:snapToGrid w:val="0"/>
          <w:u w:val="single"/>
        </w:rPr>
        <w:t>Condizioni Supplementari</w:t>
      </w:r>
      <w:r w:rsidRPr="00843AD9">
        <w:rPr>
          <w:rFonts w:cs="Tahoma"/>
          <w:snapToGrid w:val="0"/>
        </w:rPr>
        <w:t xml:space="preserve">. </w:t>
      </w:r>
      <w:r w:rsidRPr="00A75DF9">
        <w:rPr>
          <w:rFonts w:cs="Tahoma"/>
          <w:szCs w:val="20"/>
        </w:rPr>
        <w:t>Le Condizioni Supplementari (“Condizioni Supplementari”) definite nell</w:t>
      </w:r>
      <w:r w:rsidR="00F2643E">
        <w:rPr>
          <w:rFonts w:cs="Tahoma"/>
          <w:szCs w:val="20"/>
        </w:rPr>
        <w:t>’</w:t>
      </w:r>
      <w:hyperlink w:anchor="_Articolo_10_-" w:history="1">
        <w:r w:rsidRPr="00A75DF9">
          <w:rPr>
            <w:rStyle w:val="Hyperlink"/>
            <w:rFonts w:cs="Tahoma"/>
            <w:szCs w:val="20"/>
          </w:rPr>
          <w:t>Articolo 10</w:t>
        </w:r>
      </w:hyperlink>
      <w:r w:rsidRPr="00A75DF9">
        <w:rPr>
          <w:rFonts w:cs="Tahoma"/>
          <w:szCs w:val="20"/>
        </w:rPr>
        <w:t xml:space="preserve"> si applicano all</w:t>
      </w:r>
      <w:r w:rsidR="00F2643E">
        <w:rPr>
          <w:rFonts w:cs="Tahoma"/>
          <w:szCs w:val="20"/>
        </w:rPr>
        <w:t>’</w:t>
      </w:r>
      <w:r w:rsidRPr="00A75DF9">
        <w:rPr>
          <w:rFonts w:cs="Tahoma"/>
          <w:snapToGrid w:val="0"/>
        </w:rPr>
        <w:t>acquisto e all</w:t>
      </w:r>
      <w:r w:rsidR="00F2643E">
        <w:rPr>
          <w:rFonts w:cs="Tahoma"/>
          <w:snapToGrid w:val="0"/>
        </w:rPr>
        <w:t>’</w:t>
      </w:r>
      <w:r w:rsidRPr="00A75DF9">
        <w:rPr>
          <w:rFonts w:cs="Tahoma"/>
          <w:snapToGrid w:val="0"/>
        </w:rPr>
        <w:t>utilizzo, da parte delle società, dei Servizi Online inclusi nell</w:t>
      </w:r>
      <w:r w:rsidR="00F2643E">
        <w:rPr>
          <w:rFonts w:cs="Tahoma"/>
          <w:snapToGrid w:val="0"/>
        </w:rPr>
        <w:t>’</w:t>
      </w:r>
      <w:r w:rsidRPr="00A75DF9">
        <w:rPr>
          <w:rFonts w:cs="Tahoma"/>
          <w:snapToGrid w:val="0"/>
        </w:rPr>
        <w:t>Enterprise CAL</w:t>
      </w:r>
      <w:r w:rsidR="00843AD9">
        <w:rPr>
          <w:rFonts w:cs="Tahoma"/>
          <w:snapToGrid w:val="0"/>
        </w:rPr>
        <w:t> </w:t>
      </w:r>
      <w:r w:rsidRPr="00A75DF9">
        <w:rPr>
          <w:rFonts w:cs="Tahoma"/>
          <w:snapToGrid w:val="0"/>
        </w:rPr>
        <w:t>Suite.</w:t>
      </w:r>
      <w:r w:rsidR="009D3B41" w:rsidRPr="00A75DF9">
        <w:rPr>
          <w:rFonts w:cs="Tahoma"/>
          <w:szCs w:val="20"/>
        </w:rPr>
        <w:t xml:space="preserve"> </w:t>
      </w:r>
    </w:p>
    <w:p w:rsidR="00391D38" w:rsidRPr="00A75DF9" w:rsidRDefault="00391D38" w:rsidP="0084072C">
      <w:pPr>
        <w:ind w:left="720"/>
        <w:rPr>
          <w:rFonts w:cs="Tahoma"/>
        </w:rPr>
      </w:pPr>
    </w:p>
    <w:p w:rsidR="00112BE6" w:rsidRPr="00A75DF9" w:rsidRDefault="00112BE6" w:rsidP="005D1A15">
      <w:pPr>
        <w:spacing w:after="60"/>
        <w:ind w:left="720"/>
        <w:rPr>
          <w:rFonts w:cs="Tahoma"/>
        </w:rPr>
      </w:pPr>
      <w:r w:rsidRPr="00A75DF9">
        <w:rPr>
          <w:rFonts w:cs="Tahoma"/>
          <w:b/>
          <w:color w:val="000000"/>
          <w:szCs w:val="20"/>
        </w:rPr>
        <w:t>Forefront Unified Access Gateway 2010</w:t>
      </w:r>
    </w:p>
    <w:p w:rsidR="005D1A15" w:rsidRPr="00A75DF9" w:rsidRDefault="005D1A15" w:rsidP="00843AD9">
      <w:pPr>
        <w:spacing w:after="60"/>
        <w:ind w:left="720"/>
        <w:rPr>
          <w:rFonts w:cs="Tahoma"/>
        </w:rPr>
      </w:pPr>
      <w:r w:rsidRPr="00A75DF9">
        <w:rPr>
          <w:rFonts w:cs="Tahoma"/>
          <w:color w:val="000000"/>
          <w:szCs w:val="20"/>
          <w:u w:val="single"/>
        </w:rPr>
        <w:t>Diritti di True-Up</w:t>
      </w:r>
      <w:r w:rsidRPr="00843AD9">
        <w:rPr>
          <w:rFonts w:cs="Tahoma"/>
          <w:color w:val="000000"/>
          <w:szCs w:val="20"/>
        </w:rPr>
        <w:t>.</w:t>
      </w:r>
      <w:r w:rsidRPr="00A75DF9">
        <w:rPr>
          <w:rFonts w:cs="Tahoma"/>
          <w:color w:val="000000"/>
          <w:szCs w:val="20"/>
        </w:rPr>
        <w:t>Nonostante eventuali disposizioni contrarie dei Diritti di Utilizzo del Prodotto per Forefront Unified Access Gateway 2010 a decorrere dal 1 dicembre 2012, per le Società Qualificanti, le licenze Enterprise CAL Suite acquistate ai sensi dei diritti di true-up dopo il 1 dicembre 2012 consentono l</w:t>
      </w:r>
      <w:r w:rsidR="00F2643E">
        <w:rPr>
          <w:rFonts w:cs="Tahoma"/>
          <w:color w:val="000000"/>
          <w:szCs w:val="20"/>
        </w:rPr>
        <w:t>’</w:t>
      </w:r>
      <w:r w:rsidRPr="00A75DF9">
        <w:rPr>
          <w:rFonts w:cs="Tahoma"/>
          <w:color w:val="000000"/>
          <w:szCs w:val="20"/>
        </w:rPr>
        <w:t>accesso a</w:t>
      </w:r>
      <w:r w:rsidR="00843AD9">
        <w:rPr>
          <w:rFonts w:cs="Tahoma"/>
          <w:color w:val="000000"/>
          <w:szCs w:val="20"/>
        </w:rPr>
        <w:t> </w:t>
      </w:r>
      <w:r w:rsidRPr="00A75DF9">
        <w:rPr>
          <w:rFonts w:cs="Tahoma"/>
          <w:color w:val="000000"/>
          <w:szCs w:val="20"/>
        </w:rPr>
        <w:t>Forefront Unified Access Gateway 2010. Le “Società Qualificanti” sono società titolari di Iscrizioni Enterprise o Enterprise Subscription, società titolari di contratti Open Value Subscription (OVS) o società titolari di contratti Enrollment for Education Solutions che hanno acquistato Enterprise CAL Suite per la prima volta in data precedente al 1 dicembre 2012 e godono del diritto, attribuito dalla medesima iscrizione o dal medesimo contratto OVS, di acquistare licenze aggiuntive dopo il 1 dicembre 2012 ai sensi della procedura di true-up.</w:t>
      </w:r>
      <w:r w:rsidR="009D3B41" w:rsidRPr="00A75DF9">
        <w:rPr>
          <w:rFonts w:cs="Tahoma"/>
          <w:color w:val="000000"/>
          <w:szCs w:val="20"/>
        </w:rPr>
        <w:t xml:space="preserve"> </w:t>
      </w:r>
      <w:r w:rsidRPr="00A75DF9">
        <w:rPr>
          <w:rFonts w:cs="Tahoma"/>
          <w:color w:val="000000"/>
          <w:szCs w:val="20"/>
        </w:rPr>
        <w:t>Tale eccezione si applica solo alle licenze acquistate ai sensi di diritti di true-up prima del primo rinnovo effettuato dalla Società Qualificante successivamente al 1 dicembre 2012. Vedere l</w:t>
      </w:r>
      <w:r w:rsidR="00F2643E">
        <w:rPr>
          <w:rFonts w:cs="Tahoma"/>
          <w:color w:val="000000"/>
          <w:szCs w:val="20"/>
        </w:rPr>
        <w:t>’</w:t>
      </w:r>
      <w:r w:rsidRPr="00A75DF9">
        <w:rPr>
          <w:rFonts w:cs="Tahoma"/>
          <w:color w:val="000000"/>
          <w:szCs w:val="20"/>
        </w:rPr>
        <w:t>Articolo “Diritti sull</w:t>
      </w:r>
      <w:r w:rsidR="00F2643E">
        <w:rPr>
          <w:rFonts w:cs="Tahoma"/>
          <w:color w:val="000000"/>
          <w:szCs w:val="20"/>
        </w:rPr>
        <w:t>’</w:t>
      </w:r>
      <w:r w:rsidRPr="00A75DF9">
        <w:rPr>
          <w:rFonts w:cs="Tahoma"/>
          <w:color w:val="000000"/>
          <w:szCs w:val="20"/>
        </w:rPr>
        <w:t>Utilizzo Estesi per i prodotti Forefront” di seguito per informazioni sui diritti sull</w:t>
      </w:r>
      <w:r w:rsidR="00F2643E">
        <w:rPr>
          <w:rFonts w:cs="Tahoma"/>
          <w:color w:val="000000"/>
          <w:szCs w:val="20"/>
        </w:rPr>
        <w:t>’</w:t>
      </w:r>
      <w:r w:rsidRPr="00A75DF9">
        <w:rPr>
          <w:rFonts w:cs="Tahoma"/>
          <w:color w:val="000000"/>
          <w:szCs w:val="20"/>
        </w:rPr>
        <w:t>utilizzo estesi ai sensi dell</w:t>
      </w:r>
      <w:r w:rsidR="00F2643E">
        <w:rPr>
          <w:rFonts w:cs="Tahoma"/>
          <w:color w:val="000000"/>
          <w:szCs w:val="20"/>
        </w:rPr>
        <w:t>’</w:t>
      </w:r>
      <w:r w:rsidRPr="00A75DF9">
        <w:rPr>
          <w:rFonts w:cs="Tahoma"/>
          <w:color w:val="000000"/>
          <w:szCs w:val="20"/>
        </w:rPr>
        <w:t>Enterprise CAL Suite per i componenti della Forefront Protection Suite (parte dell</w:t>
      </w:r>
      <w:r w:rsidR="00F2643E">
        <w:rPr>
          <w:rFonts w:cs="Tahoma"/>
          <w:color w:val="000000"/>
          <w:szCs w:val="20"/>
        </w:rPr>
        <w:t>’</w:t>
      </w:r>
      <w:r w:rsidRPr="00A75DF9">
        <w:rPr>
          <w:rFonts w:cs="Tahoma"/>
          <w:color w:val="000000"/>
          <w:szCs w:val="20"/>
        </w:rPr>
        <w:t>Enterprise CAL Suite fino al 30 novembre 2012).</w:t>
      </w:r>
    </w:p>
    <w:p w:rsidR="005D1A15" w:rsidRPr="00A75DF9" w:rsidRDefault="00112BE6" w:rsidP="00843AD9">
      <w:pPr>
        <w:spacing w:before="120" w:after="60"/>
        <w:ind w:left="720"/>
        <w:rPr>
          <w:rFonts w:cs="Tahoma"/>
        </w:rPr>
      </w:pPr>
      <w:r w:rsidRPr="00A75DF9">
        <w:rPr>
          <w:rFonts w:cs="Tahoma"/>
          <w:color w:val="000000"/>
          <w:szCs w:val="20"/>
        </w:rPr>
        <w:t>Software Assurance. Rinnovo della copertura Software Assurance per Forefront Unified Access Gateway al</w:t>
      </w:r>
      <w:r w:rsidR="00843AD9">
        <w:rPr>
          <w:rFonts w:cs="Tahoma"/>
          <w:color w:val="000000"/>
          <w:szCs w:val="20"/>
        </w:rPr>
        <w:t> </w:t>
      </w:r>
      <w:r w:rsidRPr="00A75DF9">
        <w:rPr>
          <w:rFonts w:cs="Tahoma"/>
          <w:color w:val="000000"/>
          <w:szCs w:val="20"/>
        </w:rPr>
        <w:t>di</w:t>
      </w:r>
      <w:r w:rsidR="00843AD9">
        <w:rPr>
          <w:rFonts w:cs="Tahoma"/>
          <w:color w:val="000000"/>
          <w:szCs w:val="20"/>
        </w:rPr>
        <w:t> </w:t>
      </w:r>
      <w:r w:rsidRPr="00A75DF9">
        <w:rPr>
          <w:rFonts w:cs="Tahoma"/>
          <w:color w:val="000000"/>
          <w:szCs w:val="20"/>
        </w:rPr>
        <w:t>fuori della Enterprise CAL Suite. Le società autorizzate all</w:t>
      </w:r>
      <w:r w:rsidR="00F2643E">
        <w:rPr>
          <w:rFonts w:cs="Tahoma"/>
          <w:color w:val="000000"/>
          <w:szCs w:val="20"/>
        </w:rPr>
        <w:t>’</w:t>
      </w:r>
      <w:r w:rsidRPr="00A75DF9">
        <w:rPr>
          <w:rFonts w:cs="Tahoma"/>
          <w:color w:val="000000"/>
          <w:szCs w:val="20"/>
        </w:rPr>
        <w:t>utilizzo di Forefront Unified Access Gateway ai</w:t>
      </w:r>
      <w:r w:rsidR="00843AD9">
        <w:rPr>
          <w:rFonts w:cs="Tahoma"/>
          <w:color w:val="000000"/>
          <w:szCs w:val="20"/>
        </w:rPr>
        <w:t> </w:t>
      </w:r>
      <w:r w:rsidRPr="00A75DF9">
        <w:rPr>
          <w:rFonts w:cs="Tahoma"/>
          <w:color w:val="000000"/>
          <w:szCs w:val="20"/>
        </w:rPr>
        <w:t>sensi di licenze Enterprise CAL Suite con copertura Software Assurance (con licenze acquistate prima del 1</w:t>
      </w:r>
      <w:r w:rsidR="00843AD9">
        <w:rPr>
          <w:rFonts w:cs="Tahoma"/>
          <w:color w:val="000000"/>
          <w:szCs w:val="20"/>
        </w:rPr>
        <w:t> </w:t>
      </w:r>
      <w:r w:rsidRPr="00A75DF9">
        <w:rPr>
          <w:rFonts w:cs="Tahoma"/>
          <w:color w:val="000000"/>
          <w:szCs w:val="20"/>
        </w:rPr>
        <w:t>dicembre 2012 o con diritti di true-up, come descritto in precedenza), al primo rinnovo di tale copertura a</w:t>
      </w:r>
      <w:r w:rsidR="00843AD9">
        <w:rPr>
          <w:rFonts w:cs="Tahoma"/>
          <w:color w:val="000000"/>
          <w:szCs w:val="20"/>
        </w:rPr>
        <w:t> </w:t>
      </w:r>
      <w:r w:rsidRPr="00A75DF9">
        <w:rPr>
          <w:rFonts w:cs="Tahoma"/>
          <w:color w:val="000000"/>
          <w:szCs w:val="20"/>
        </w:rPr>
        <w:t>partire dal 1 dicembre 2012 dispongono dell</w:t>
      </w:r>
      <w:r w:rsidR="00F2643E">
        <w:rPr>
          <w:rFonts w:cs="Tahoma"/>
          <w:color w:val="000000"/>
          <w:szCs w:val="20"/>
        </w:rPr>
        <w:t>’</w:t>
      </w:r>
      <w:r w:rsidRPr="00A75DF9">
        <w:rPr>
          <w:rFonts w:cs="Tahoma"/>
          <w:color w:val="000000"/>
          <w:szCs w:val="20"/>
        </w:rPr>
        <w:t>opzione di acquistare la copertura Software Assurance per Forefront Unified Access Gateway al di fuori della Enterprise CAL Suite senza prima acquistare una licenza separata per Forefront Unified Access Gateway. Tale offerta di acquisto di Forefront Unified Access Gateway è valida per un numero massimo di licenze pari al numero totale di licenze Enterprise CAL Suite con copertura Software Assurance in possesso della società immediatamente prima del rinnovo.</w:t>
      </w:r>
    </w:p>
    <w:p w:rsidR="005D1A15" w:rsidRDefault="005D1A15" w:rsidP="00630ED6">
      <w:pPr>
        <w:ind w:left="720"/>
        <w:rPr>
          <w:rFonts w:cs="Tahoma"/>
        </w:rPr>
      </w:pPr>
    </w:p>
    <w:p w:rsidR="00843AD9" w:rsidRPr="00A75DF9" w:rsidRDefault="00843AD9" w:rsidP="00630ED6">
      <w:pPr>
        <w:ind w:left="720"/>
        <w:rPr>
          <w:rFonts w:cs="Tahoma"/>
        </w:rPr>
      </w:pPr>
    </w:p>
    <w:p w:rsidR="004E3869" w:rsidRPr="00A75DF9" w:rsidRDefault="00A2724A" w:rsidP="0084072C">
      <w:pPr>
        <w:spacing w:after="60"/>
        <w:ind w:left="720"/>
        <w:rPr>
          <w:rFonts w:cs="Tahoma"/>
        </w:rPr>
      </w:pPr>
      <w:r w:rsidRPr="00A75DF9">
        <w:rPr>
          <w:rFonts w:cs="Tahoma"/>
          <w:b/>
          <w:color w:val="000000"/>
          <w:szCs w:val="20"/>
        </w:rPr>
        <w:t>Diritti sull</w:t>
      </w:r>
      <w:r w:rsidR="00F2643E">
        <w:rPr>
          <w:rFonts w:cs="Tahoma"/>
          <w:b/>
          <w:color w:val="000000"/>
          <w:szCs w:val="20"/>
        </w:rPr>
        <w:t>’</w:t>
      </w:r>
      <w:r w:rsidRPr="00A75DF9">
        <w:rPr>
          <w:rFonts w:cs="Tahoma"/>
          <w:b/>
          <w:color w:val="000000"/>
          <w:szCs w:val="20"/>
        </w:rPr>
        <w:t>Utilizzo Estesi per i prodotti Forefront</w:t>
      </w:r>
    </w:p>
    <w:p w:rsidR="00C349AE" w:rsidRPr="00A75DF9" w:rsidRDefault="00793CBD" w:rsidP="00843AD9">
      <w:pPr>
        <w:ind w:left="720"/>
        <w:rPr>
          <w:rFonts w:cs="Tahoma"/>
        </w:rPr>
      </w:pPr>
      <w:r w:rsidRPr="00A75DF9">
        <w:rPr>
          <w:rFonts w:cs="Tahoma"/>
          <w:bCs/>
          <w:color w:val="000000"/>
          <w:szCs w:val="18"/>
        </w:rPr>
        <w:t>Le società con copertura Software Assurance attiva per Enterprise CAL Suite a partire dal 30 novembre 2012 potranno continuare a utilizzare i servizi componenti di Forefront Protection Suite (che in precedenza appartenevano a Enterprise CAL Suite) fino alla scadenza e/o al rinnovo di tale copertura.</w:t>
      </w:r>
      <w:r w:rsidR="009D3B41" w:rsidRPr="00A75DF9">
        <w:rPr>
          <w:rFonts w:cs="Tahoma"/>
          <w:bCs/>
          <w:color w:val="000000"/>
          <w:szCs w:val="18"/>
        </w:rPr>
        <w:t xml:space="preserve"> </w:t>
      </w:r>
      <w:r w:rsidRPr="00A75DF9">
        <w:rPr>
          <w:rFonts w:cs="Tahoma"/>
          <w:bCs/>
          <w:color w:val="000000"/>
          <w:szCs w:val="18"/>
        </w:rPr>
        <w:t xml:space="preserve">Tali società potranno inoltre continuare a utilizzare i componenti </w:t>
      </w:r>
      <w:r w:rsidRPr="00A75DF9">
        <w:rPr>
          <w:rFonts w:cs="Tahoma"/>
          <w:color w:val="000000"/>
          <w:szCs w:val="20"/>
        </w:rPr>
        <w:t xml:space="preserve">Forefront for Office Communications Server, Forefront Protection 2010 for Exchange Server, Forefront Threat Management Gateway Web Protection Service e Forefront Protection 2010 for SharePoint Server </w:t>
      </w:r>
      <w:r w:rsidRPr="00A75DF9">
        <w:rPr>
          <w:rFonts w:cs="Tahoma"/>
          <w:bCs/>
          <w:color w:val="000000"/>
          <w:szCs w:val="18"/>
        </w:rPr>
        <w:t xml:space="preserve">della famiglia di prodotti fino al 31 dicembre 2015. Tali </w:t>
      </w:r>
      <w:r w:rsidRPr="00A75DF9">
        <w:rPr>
          <w:rFonts w:cs="Tahoma"/>
          <w:bCs/>
          <w:color w:val="000000"/>
          <w:szCs w:val="18"/>
        </w:rPr>
        <w:lastRenderedPageBreak/>
        <w:t>condizioni si applicano anche alle licenze Enterprise CAL Suite successive acquistate da tali società prima del</w:t>
      </w:r>
      <w:r w:rsidR="00843AD9">
        <w:rPr>
          <w:rFonts w:cs="Tahoma"/>
          <w:bCs/>
          <w:color w:val="000000"/>
          <w:szCs w:val="18"/>
        </w:rPr>
        <w:t> </w:t>
      </w:r>
      <w:r w:rsidRPr="00A75DF9">
        <w:rPr>
          <w:rFonts w:cs="Tahoma"/>
          <w:bCs/>
          <w:color w:val="000000"/>
          <w:szCs w:val="18"/>
        </w:rPr>
        <w:t>31 dicembre 2015. L</w:t>
      </w:r>
      <w:r w:rsidR="00F2643E">
        <w:rPr>
          <w:rFonts w:cs="Tahoma"/>
          <w:bCs/>
          <w:color w:val="000000"/>
          <w:szCs w:val="18"/>
        </w:rPr>
        <w:t>’</w:t>
      </w:r>
      <w:r w:rsidRPr="00A75DF9">
        <w:rPr>
          <w:rFonts w:cs="Tahoma"/>
          <w:bCs/>
          <w:color w:val="000000"/>
          <w:szCs w:val="18"/>
        </w:rPr>
        <w:t>utilizzo continuato dei servizi online dei componenti rimane soggetto alle condizioni del</w:t>
      </w:r>
      <w:r w:rsidR="00843AD9">
        <w:rPr>
          <w:rFonts w:cs="Tahoma"/>
          <w:bCs/>
          <w:color w:val="000000"/>
          <w:szCs w:val="18"/>
        </w:rPr>
        <w:t> </w:t>
      </w:r>
      <w:r w:rsidRPr="00A75DF9">
        <w:rPr>
          <w:rFonts w:cs="Tahoma"/>
          <w:bCs/>
          <w:color w:val="000000"/>
          <w:szCs w:val="18"/>
        </w:rPr>
        <w:t>Contratto Multilicenza della società, ai diritti di utilizzo del prodotto per i servizi online e alle presenti condizioni.</w:t>
      </w:r>
    </w:p>
    <w:p w:rsidR="00C349AE" w:rsidRPr="00A75DF9" w:rsidRDefault="00C349AE" w:rsidP="0084072C">
      <w:pPr>
        <w:ind w:left="720"/>
        <w:rPr>
          <w:rFonts w:cs="Tahoma"/>
        </w:rPr>
      </w:pPr>
    </w:p>
    <w:p w:rsidR="004E3869" w:rsidRPr="00A75DF9" w:rsidRDefault="004E3869" w:rsidP="0084072C">
      <w:pPr>
        <w:spacing w:after="60"/>
        <w:ind w:left="720"/>
        <w:rPr>
          <w:rFonts w:cs="Tahoma"/>
        </w:rPr>
      </w:pPr>
      <w:r w:rsidRPr="00A75DF9">
        <w:rPr>
          <w:rFonts w:cs="Tahoma"/>
          <w:b/>
          <w:color w:val="000000"/>
          <w:szCs w:val="20"/>
        </w:rPr>
        <w:t xml:space="preserve">Forefront Protection Suite </w:t>
      </w:r>
    </w:p>
    <w:p w:rsidR="004E3869" w:rsidRPr="00A75DF9" w:rsidRDefault="004E3869" w:rsidP="0084072C">
      <w:pPr>
        <w:ind w:left="720"/>
        <w:rPr>
          <w:rFonts w:cs="Tahoma"/>
        </w:rPr>
      </w:pPr>
      <w:r w:rsidRPr="00A75DF9">
        <w:rPr>
          <w:rFonts w:cs="Tahoma"/>
          <w:color w:val="000000"/>
          <w:szCs w:val="20"/>
        </w:rPr>
        <w:t>Un abbonamento a Forefront Protection Suite è costituito dai seguenti servizi online:</w:t>
      </w:r>
      <w:r w:rsidR="009D3B41" w:rsidRPr="00A75DF9">
        <w:rPr>
          <w:rFonts w:cs="Tahoma"/>
          <w:color w:val="000000"/>
          <w:szCs w:val="20"/>
        </w:rPr>
        <w:t xml:space="preserve"> </w:t>
      </w:r>
      <w:r w:rsidRPr="00A75DF9">
        <w:rPr>
          <w:rFonts w:cs="Tahoma"/>
          <w:color w:val="000000"/>
          <w:szCs w:val="20"/>
        </w:rPr>
        <w:t xml:space="preserve">System Center 2012 Endpoint Protection, Forefront for Office Communications Server (ex Antigen for Instant Messaging), Forefront Online Protection for Exchange (ex Exchange Hosted Filtering), Forefront Protection 2010 for Exchange Server, Forefront Threat Management Gateway Web Protection Service e Forefront Protection 2010 for SharePoint Server. </w:t>
      </w:r>
    </w:p>
    <w:p w:rsidR="00B2460D" w:rsidRPr="00A75DF9" w:rsidRDefault="00B2460D" w:rsidP="0084072C">
      <w:pPr>
        <w:ind w:left="720"/>
        <w:rPr>
          <w:rFonts w:cs="Tahoma"/>
        </w:rPr>
      </w:pPr>
    </w:p>
    <w:p w:rsidR="00023FE7" w:rsidRPr="00A75DF9" w:rsidRDefault="00023FE7" w:rsidP="0084072C">
      <w:pPr>
        <w:spacing w:after="60"/>
        <w:ind w:left="720"/>
        <w:rPr>
          <w:rFonts w:cs="Tahoma"/>
        </w:rPr>
      </w:pPr>
      <w:r w:rsidRPr="00A75DF9">
        <w:rPr>
          <w:rFonts w:cs="Tahoma"/>
          <w:b/>
          <w:color w:val="000000"/>
          <w:szCs w:val="20"/>
        </w:rPr>
        <w:t>CAL Solo per Studenti (Academic Open License e Academic Select)</w:t>
      </w:r>
    </w:p>
    <w:p w:rsidR="00023FE7" w:rsidRPr="00A75DF9" w:rsidRDefault="00023FE7" w:rsidP="00843AD9">
      <w:pPr>
        <w:ind w:left="720"/>
        <w:rPr>
          <w:rFonts w:cs="Tahoma"/>
        </w:rPr>
      </w:pPr>
      <w:r w:rsidRPr="00A75DF9">
        <w:rPr>
          <w:rFonts w:cs="Tahoma"/>
          <w:szCs w:val="20"/>
        </w:rPr>
        <w:t>Le CAL Solo per Studenti sono limitate ai PC di proprietà dello studente titolare della licenza o ai PC di</w:t>
      </w:r>
      <w:r w:rsidR="00843AD9">
        <w:rPr>
          <w:rFonts w:cs="Tahoma"/>
          <w:szCs w:val="20"/>
        </w:rPr>
        <w:t> </w:t>
      </w:r>
      <w:r w:rsidRPr="00A75DF9">
        <w:rPr>
          <w:rFonts w:cs="Tahoma"/>
          <w:szCs w:val="20"/>
        </w:rPr>
        <w:t>proprietà dell</w:t>
      </w:r>
      <w:r w:rsidR="00F2643E">
        <w:rPr>
          <w:rFonts w:cs="Tahoma"/>
          <w:szCs w:val="20"/>
        </w:rPr>
        <w:t>’</w:t>
      </w:r>
      <w:r w:rsidRPr="00A75DF9">
        <w:rPr>
          <w:rFonts w:cs="Tahoma"/>
          <w:szCs w:val="20"/>
        </w:rPr>
        <w:t>Istituto che siano assegnati a un singolo studente e NON siano utilizzati nei laboratori o</w:t>
      </w:r>
      <w:r w:rsidR="00843AD9">
        <w:rPr>
          <w:rFonts w:cs="Tahoma"/>
          <w:szCs w:val="20"/>
        </w:rPr>
        <w:t> </w:t>
      </w:r>
      <w:r w:rsidRPr="00A75DF9">
        <w:rPr>
          <w:rFonts w:cs="Tahoma"/>
          <w:szCs w:val="20"/>
        </w:rPr>
        <w:t>in</w:t>
      </w:r>
      <w:r w:rsidR="00843AD9">
        <w:rPr>
          <w:rFonts w:cs="Tahoma"/>
          <w:szCs w:val="20"/>
        </w:rPr>
        <w:t> </w:t>
      </w:r>
      <w:r w:rsidRPr="00A75DF9">
        <w:rPr>
          <w:rFonts w:cs="Tahoma"/>
          <w:szCs w:val="20"/>
        </w:rPr>
        <w:t>classe.</w:t>
      </w:r>
    </w:p>
    <w:p w:rsidR="00026546" w:rsidRPr="00A75DF9" w:rsidRDefault="00026546" w:rsidP="0084072C">
      <w:pPr>
        <w:ind w:left="720"/>
        <w:rPr>
          <w:rFonts w:cs="Tahoma"/>
        </w:rPr>
      </w:pPr>
    </w:p>
    <w:p w:rsidR="007B35CE" w:rsidRPr="00A75DF9" w:rsidRDefault="007B35CE" w:rsidP="0084072C">
      <w:pPr>
        <w:ind w:left="720"/>
        <w:rPr>
          <w:rFonts w:cs="Tahoma"/>
        </w:rPr>
      </w:pPr>
    </w:p>
    <w:p w:rsidR="00112BE6" w:rsidRPr="00A75DF9" w:rsidRDefault="00A560B6" w:rsidP="00112BE6">
      <w:pPr>
        <w:pStyle w:val="Heading3"/>
        <w:rPr>
          <w:rFonts w:ascii="Tahoma" w:hAnsi="Tahoma" w:cs="Tahoma"/>
        </w:rPr>
      </w:pPr>
      <w:bookmarkStart w:id="1205" w:name="_45_Exchange_Enterprise"/>
      <w:bookmarkStart w:id="1206" w:name="_48_Exchange_Enterprise"/>
      <w:bookmarkStart w:id="1207" w:name="_Toc368310298"/>
      <w:bookmarkEnd w:id="1205"/>
      <w:bookmarkEnd w:id="1206"/>
      <w:r w:rsidRPr="00A75DF9">
        <w:rPr>
          <w:rFonts w:ascii="Tahoma" w:hAnsi="Tahoma" w:cs="Tahoma"/>
          <w:caps/>
          <w:color w:val="F66400"/>
          <w:sz w:val="22"/>
          <w:vertAlign w:val="superscript"/>
        </w:rPr>
        <w:t>48</w:t>
      </w:r>
      <w:r w:rsidRPr="00A75DF9">
        <w:rPr>
          <w:rFonts w:ascii="Tahoma" w:hAnsi="Tahoma" w:cs="Tahoma"/>
          <w:color w:val="F66400"/>
          <w:sz w:val="22"/>
        </w:rPr>
        <w:t xml:space="preserve"> Enterprise CAL per Exchange 2013 con Servizi</w:t>
      </w:r>
      <w:bookmarkEnd w:id="1207"/>
      <w:r w:rsidRPr="00A75DF9">
        <w:rPr>
          <w:rFonts w:ascii="Tahoma" w:hAnsi="Tahoma" w:cs="Tahoma"/>
          <w:color w:val="F66400"/>
          <w:sz w:val="22"/>
        </w:rPr>
        <w:t xml:space="preserve"> </w:t>
      </w:r>
    </w:p>
    <w:p w:rsidR="00112BE6" w:rsidRPr="00A75DF9" w:rsidRDefault="00112BE6" w:rsidP="00112BE6">
      <w:pPr>
        <w:rPr>
          <w:rFonts w:cs="Tahoma"/>
        </w:rPr>
      </w:pPr>
    </w:p>
    <w:p w:rsidR="00112BE6" w:rsidRPr="00A75DF9" w:rsidRDefault="00112BE6" w:rsidP="00112BE6">
      <w:pPr>
        <w:ind w:left="720"/>
        <w:rPr>
          <w:rFonts w:cs="Tahoma"/>
        </w:rPr>
      </w:pPr>
      <w:r w:rsidRPr="00A75DF9">
        <w:rPr>
          <w:rFonts w:cs="Tahoma"/>
          <w:b/>
          <w:szCs w:val="20"/>
        </w:rPr>
        <w:t>Servizi Online Inclusi in Exchange Enterprise CAL with Services 2013</w:t>
      </w:r>
    </w:p>
    <w:p w:rsidR="00112BE6" w:rsidRPr="00A75DF9" w:rsidRDefault="00112BE6" w:rsidP="00112BE6">
      <w:pPr>
        <w:ind w:left="720"/>
        <w:rPr>
          <w:rFonts w:cs="Tahoma"/>
        </w:rPr>
      </w:pPr>
      <w:r w:rsidRPr="00A75DF9">
        <w:rPr>
          <w:rFonts w:cs="Tahoma"/>
          <w:szCs w:val="20"/>
        </w:rPr>
        <w:t>A decorrere dal 1 aprile 2013 una licenza per Exchange Enterprise CAL con Servizi 2013 con copertura Software Assurance attiva include i diritti per Prevenzione della Perdita dei Dati ed Exchange Online Protection.</w:t>
      </w:r>
    </w:p>
    <w:p w:rsidR="00112BE6" w:rsidRPr="00A75DF9" w:rsidRDefault="00112BE6" w:rsidP="00112BE6">
      <w:pPr>
        <w:ind w:left="720"/>
        <w:rPr>
          <w:rFonts w:cs="Tahoma"/>
        </w:rPr>
      </w:pPr>
    </w:p>
    <w:p w:rsidR="00855B26" w:rsidRPr="00A75DF9" w:rsidRDefault="00855B26" w:rsidP="00843AD9">
      <w:pPr>
        <w:ind w:left="720"/>
        <w:rPr>
          <w:rFonts w:cs="Tahoma"/>
        </w:rPr>
      </w:pPr>
      <w:r w:rsidRPr="00A75DF9">
        <w:rPr>
          <w:rFonts w:cs="Tahoma"/>
          <w:szCs w:val="20"/>
          <w:u w:val="single"/>
        </w:rPr>
        <w:t>Disponibilità Internazionale</w:t>
      </w:r>
      <w:r w:rsidRPr="00A75DF9">
        <w:rPr>
          <w:rFonts w:cs="Tahoma"/>
          <w:szCs w:val="20"/>
        </w:rPr>
        <w:t>. I Servizi Online sono erogabili solo nei paesi in cui è disponibile Office 365:</w:t>
      </w:r>
      <w:r w:rsidRPr="00A75DF9">
        <w:rPr>
          <w:rFonts w:cs="Tahoma"/>
          <w:color w:val="5B9BD5"/>
          <w:szCs w:val="20"/>
        </w:rPr>
        <w:t xml:space="preserve"> </w:t>
      </w:r>
      <w:hyperlink r:id="rId50" w:anchor="international" w:history="1">
        <w:r w:rsidR="00843AD9" w:rsidRPr="00A57AE3">
          <w:rPr>
            <w:rStyle w:val="Hyperlink"/>
            <w:color w:val="5B9BD5"/>
          </w:rPr>
          <w:t>http://www.microsoft.com/online/faq.aspx#international</w:t>
        </w:r>
      </w:hyperlink>
      <w:r w:rsidRPr="00A75DF9">
        <w:rPr>
          <w:rFonts w:cs="Tahoma"/>
          <w:color w:val="5B9BD5"/>
        </w:rPr>
        <w:br/>
      </w:r>
    </w:p>
    <w:p w:rsidR="00112BE6" w:rsidRPr="00A75DF9" w:rsidRDefault="00112BE6" w:rsidP="00112BE6">
      <w:pPr>
        <w:ind w:left="720"/>
        <w:rPr>
          <w:rFonts w:cs="Tahoma"/>
        </w:rPr>
      </w:pPr>
      <w:r w:rsidRPr="00A75DF9">
        <w:rPr>
          <w:rFonts w:cs="Tahoma"/>
          <w:szCs w:val="20"/>
          <w:u w:val="single"/>
        </w:rPr>
        <w:t>Erogazione</w:t>
      </w:r>
      <w:r w:rsidRPr="00A75DF9">
        <w:rPr>
          <w:rFonts w:cs="Tahoma"/>
          <w:szCs w:val="20"/>
        </w:rPr>
        <w:t>. Per iniziare a utilizzare questi servizi, la società dovrà contattare il proprio Microsoft Partner, che potrà avviare il processo di erogazione necessario per l</w:t>
      </w:r>
      <w:r w:rsidR="00F2643E">
        <w:rPr>
          <w:rFonts w:cs="Tahoma"/>
          <w:szCs w:val="20"/>
        </w:rPr>
        <w:t>’</w:t>
      </w:r>
      <w:r w:rsidRPr="00A75DF9">
        <w:rPr>
          <w:rFonts w:cs="Tahoma"/>
          <w:szCs w:val="20"/>
        </w:rPr>
        <w:t>attivazione di ciascun servizio.</w:t>
      </w:r>
    </w:p>
    <w:p w:rsidR="00112BE6" w:rsidRPr="00A75DF9" w:rsidRDefault="00112BE6" w:rsidP="00112BE6">
      <w:pPr>
        <w:ind w:left="720"/>
        <w:rPr>
          <w:rFonts w:cs="Tahoma"/>
        </w:rPr>
      </w:pPr>
    </w:p>
    <w:p w:rsidR="00112BE6" w:rsidRPr="00A75DF9" w:rsidRDefault="00112BE6" w:rsidP="00112BE6">
      <w:pPr>
        <w:ind w:left="720"/>
        <w:rPr>
          <w:rFonts w:cs="Tahoma"/>
        </w:rPr>
      </w:pPr>
      <w:r w:rsidRPr="00A75DF9">
        <w:rPr>
          <w:rFonts w:cs="Tahoma"/>
          <w:szCs w:val="20"/>
          <w:u w:val="single"/>
        </w:rPr>
        <w:t>Condizioni Supplementari</w:t>
      </w:r>
      <w:r w:rsidRPr="00A75DF9">
        <w:rPr>
          <w:rFonts w:cs="Tahoma"/>
          <w:szCs w:val="20"/>
        </w:rPr>
        <w:t>. Le Condizioni Supplementari (“Condizioni Supplementari”) definite nell</w:t>
      </w:r>
      <w:r w:rsidR="00F2643E">
        <w:rPr>
          <w:rFonts w:cs="Tahoma"/>
          <w:szCs w:val="20"/>
        </w:rPr>
        <w:t>’</w:t>
      </w:r>
      <w:hyperlink w:anchor="_Section_10_–" w:history="1">
        <w:r w:rsidRPr="00A75DF9">
          <w:rPr>
            <w:rStyle w:val="Hyperlink"/>
            <w:rFonts w:cs="Tahoma"/>
            <w:szCs w:val="20"/>
          </w:rPr>
          <w:t>Articolo 10</w:t>
        </w:r>
      </w:hyperlink>
      <w:r w:rsidRPr="00A75DF9">
        <w:rPr>
          <w:rFonts w:cs="Tahoma"/>
          <w:szCs w:val="20"/>
        </w:rPr>
        <w:t xml:space="preserve"> si applicano all</w:t>
      </w:r>
      <w:r w:rsidR="00F2643E">
        <w:rPr>
          <w:rFonts w:cs="Tahoma"/>
          <w:szCs w:val="20"/>
        </w:rPr>
        <w:t>’</w:t>
      </w:r>
      <w:r w:rsidRPr="00A75DF9">
        <w:rPr>
          <w:rFonts w:cs="Tahoma"/>
          <w:snapToGrid w:val="0"/>
        </w:rPr>
        <w:t>acquisto e all</w:t>
      </w:r>
      <w:r w:rsidR="00F2643E">
        <w:rPr>
          <w:rFonts w:cs="Tahoma"/>
          <w:snapToGrid w:val="0"/>
        </w:rPr>
        <w:t>’</w:t>
      </w:r>
      <w:r w:rsidRPr="00A75DF9">
        <w:rPr>
          <w:rFonts w:cs="Tahoma"/>
          <w:snapToGrid w:val="0"/>
        </w:rPr>
        <w:t>utilizzo, da parte delle società, dei Servizi Online inclusi in Exchange Enterprise CAL with Services 2013.</w:t>
      </w:r>
    </w:p>
    <w:p w:rsidR="00D70D2C" w:rsidRPr="00A75DF9" w:rsidRDefault="00D70D2C" w:rsidP="0084072C">
      <w:pPr>
        <w:ind w:left="540"/>
        <w:rPr>
          <w:rFonts w:cs="Tahoma"/>
        </w:rPr>
      </w:pPr>
    </w:p>
    <w:p w:rsidR="007B35CE" w:rsidRPr="00A75DF9" w:rsidRDefault="007B35CE" w:rsidP="0084072C">
      <w:pPr>
        <w:ind w:left="540"/>
        <w:rPr>
          <w:rFonts w:cs="Tahoma"/>
        </w:rPr>
      </w:pPr>
    </w:p>
    <w:p w:rsidR="00D70D2C" w:rsidRPr="00A75DF9" w:rsidRDefault="0085774C" w:rsidP="00D70D2C">
      <w:pPr>
        <w:pStyle w:val="Heading2"/>
        <w:ind w:left="270" w:hanging="270"/>
        <w:rPr>
          <w:rFonts w:ascii="Tahoma" w:hAnsi="Tahoma" w:cs="Tahoma"/>
        </w:rPr>
      </w:pPr>
      <w:bookmarkStart w:id="1208" w:name="_43_Exchange_Enterprise"/>
      <w:bookmarkStart w:id="1209" w:name="_44_Exchange_Online"/>
      <w:bookmarkStart w:id="1210" w:name="_Toc336338305"/>
      <w:bookmarkStart w:id="1211" w:name="Srv_45ExchOnlineArchivingUserSL"/>
      <w:bookmarkStart w:id="1212" w:name="_Toc368310299"/>
      <w:bookmarkEnd w:id="1208"/>
      <w:bookmarkEnd w:id="1209"/>
      <w:r w:rsidRPr="00A75DF9">
        <w:rPr>
          <w:rFonts w:ascii="Tahoma" w:hAnsi="Tahoma" w:cs="Tahoma"/>
          <w:color w:val="F26200"/>
          <w:sz w:val="20"/>
          <w:vertAlign w:val="superscript"/>
        </w:rPr>
        <w:t>49</w:t>
      </w:r>
      <w:r w:rsidRPr="00A75DF9">
        <w:rPr>
          <w:rFonts w:ascii="Tahoma" w:hAnsi="Tahoma" w:cs="Tahoma"/>
          <w:color w:val="F26200"/>
        </w:rPr>
        <w:t xml:space="preserve"> </w:t>
      </w:r>
      <w:r w:rsidRPr="00A75DF9">
        <w:rPr>
          <w:rFonts w:ascii="Tahoma" w:hAnsi="Tahoma" w:cs="Tahoma"/>
          <w:color w:val="F26200"/>
          <w:sz w:val="22"/>
        </w:rPr>
        <w:t>Archiviazione Exchange Online per Exchange Server (SL per Utente)</w:t>
      </w:r>
      <w:bookmarkEnd w:id="1210"/>
      <w:bookmarkEnd w:id="1212"/>
    </w:p>
    <w:bookmarkEnd w:id="1211"/>
    <w:p w:rsidR="00D70D2C" w:rsidRPr="00843AD9" w:rsidRDefault="00D70D2C" w:rsidP="00D70D2C">
      <w:pPr>
        <w:ind w:left="900"/>
        <w:rPr>
          <w:rFonts w:cs="Tahoma"/>
          <w:szCs w:val="18"/>
        </w:rPr>
      </w:pPr>
    </w:p>
    <w:p w:rsidR="00D70D2C" w:rsidRPr="00843AD9" w:rsidRDefault="00D70D2C" w:rsidP="00843AD9">
      <w:pPr>
        <w:pStyle w:val="ListParagraph"/>
        <w:rPr>
          <w:rFonts w:ascii="Tahoma" w:hAnsi="Tahoma" w:cs="Tahoma"/>
          <w:sz w:val="18"/>
          <w:szCs w:val="18"/>
        </w:rPr>
      </w:pPr>
      <w:r w:rsidRPr="00843AD9">
        <w:rPr>
          <w:rFonts w:ascii="Tahoma" w:hAnsi="Tahoma" w:cs="Tahoma"/>
          <w:color w:val="000000"/>
          <w:sz w:val="18"/>
          <w:szCs w:val="18"/>
        </w:rPr>
        <w:t>Archiviazione Exchange Online per Exchange Server è un servizio online che succede a Exchange Hosted</w:t>
      </w:r>
      <w:r w:rsidR="00843AD9">
        <w:rPr>
          <w:rFonts w:ascii="Tahoma" w:hAnsi="Tahoma" w:cs="Tahoma"/>
          <w:color w:val="000000"/>
          <w:sz w:val="18"/>
          <w:szCs w:val="18"/>
        </w:rPr>
        <w:t> </w:t>
      </w:r>
      <w:r w:rsidRPr="00843AD9">
        <w:rPr>
          <w:rFonts w:ascii="Tahoma" w:hAnsi="Tahoma" w:cs="Tahoma"/>
          <w:color w:val="000000"/>
          <w:sz w:val="18"/>
          <w:szCs w:val="18"/>
        </w:rPr>
        <w:t>Archive.</w:t>
      </w:r>
    </w:p>
    <w:p w:rsidR="00D70D2C" w:rsidRPr="00843AD9" w:rsidRDefault="00D70D2C" w:rsidP="00E62BC4">
      <w:pPr>
        <w:pStyle w:val="ListParagraph"/>
        <w:rPr>
          <w:rFonts w:ascii="Tahoma" w:hAnsi="Tahoma" w:cs="Tahoma"/>
          <w:sz w:val="18"/>
          <w:szCs w:val="18"/>
        </w:rPr>
      </w:pPr>
    </w:p>
    <w:p w:rsidR="00D70D2C" w:rsidRPr="00A75DF9" w:rsidRDefault="00D70D2C" w:rsidP="00E62BC4">
      <w:pPr>
        <w:ind w:left="720"/>
        <w:rPr>
          <w:rFonts w:cs="Tahoma"/>
        </w:rPr>
      </w:pPr>
      <w:r w:rsidRPr="00A75DF9">
        <w:rPr>
          <w:rFonts w:cs="Tahoma"/>
          <w:color w:val="000000"/>
          <w:szCs w:val="18"/>
        </w:rPr>
        <w:t>Qualora la società effettui il rinnovo passando da Exchange Hosted Archive ad Archiviazione Exchange Online per Exchange Server e non abbia ancora eseguito la migrazione ad Archiviazione Exchange</w:t>
      </w:r>
      <w:r w:rsidRPr="00A75DF9">
        <w:rPr>
          <w:rFonts w:cs="Tahoma"/>
          <w:color w:val="000000"/>
        </w:rPr>
        <w:t xml:space="preserve"> Online per Exchange Server, gli utenti in possesso di licenza potranno continuare a utilizzare il servizio Exchange Hosted Archive in conformità alle condizioni del PUR di marzo 2011 fino alla migrazione ad Archiviazione Exchange Online per Exchange Server e alla scadenza della sottoscrizione di Archiviazione Exchange Online per Exchange Server, a seconda di quale dei due eventi si verificherà per primo.</w:t>
      </w:r>
    </w:p>
    <w:p w:rsidR="00B23BE6" w:rsidRDefault="00B23BE6" w:rsidP="00E62BC4">
      <w:pPr>
        <w:ind w:left="720"/>
        <w:rPr>
          <w:rFonts w:cs="Tahoma"/>
        </w:rPr>
      </w:pPr>
    </w:p>
    <w:p w:rsidR="00B23BE6" w:rsidRPr="00A75DF9" w:rsidRDefault="00B23BE6" w:rsidP="0084072C">
      <w:pPr>
        <w:spacing w:after="60"/>
        <w:ind w:left="720"/>
        <w:rPr>
          <w:rFonts w:cs="Tahoma"/>
        </w:rPr>
      </w:pPr>
      <w:r w:rsidRPr="00A75DF9">
        <w:rPr>
          <w:rFonts w:eastAsia="Calibri" w:cs="Tahoma"/>
          <w:b/>
          <w:color w:val="000000"/>
          <w:szCs w:val="18"/>
        </w:rPr>
        <w:t>Community Cloud per Enti Pubblici (solo Stati Uniti)</w:t>
      </w:r>
    </w:p>
    <w:p w:rsidR="00B23BE6" w:rsidRPr="00A75DF9" w:rsidRDefault="00B23BE6" w:rsidP="00843AD9">
      <w:pPr>
        <w:ind w:left="720"/>
        <w:rPr>
          <w:rFonts w:cs="Tahoma"/>
        </w:rPr>
      </w:pPr>
      <w:r w:rsidRPr="00A75DF9">
        <w:rPr>
          <w:rFonts w:eastAsia="Calibri" w:cs="Tahoma"/>
          <w:color w:val="000000"/>
          <w:szCs w:val="18"/>
        </w:rPr>
        <w:t>Alcuni servizi online della famiglia di prodotti Office 365 (incluso Archiviazione Exchange Online per Exchange Server) sono offerti come servizi di community cloud per enti pubblici e come servizi di community cloud per enti non pubblici.</w:t>
      </w:r>
      <w:r w:rsidR="009D3B41" w:rsidRPr="00A75DF9">
        <w:rPr>
          <w:rFonts w:eastAsia="Calibri" w:cs="Tahoma"/>
          <w:color w:val="000000"/>
          <w:szCs w:val="18"/>
        </w:rPr>
        <w:t xml:space="preserve"> </w:t>
      </w:r>
      <w:r w:rsidRPr="00A75DF9">
        <w:rPr>
          <w:rFonts w:eastAsia="Calibri" w:cs="Tahoma"/>
          <w:color w:val="000000"/>
          <w:szCs w:val="18"/>
        </w:rPr>
        <w:t>Alle società potrà essere effettuato il provisioning come ente pubblico o non pubblico, ma non come una combinazione di entrambi.</w:t>
      </w:r>
      <w:r w:rsidR="009D3B41" w:rsidRPr="00A75DF9">
        <w:rPr>
          <w:rFonts w:eastAsia="Calibri" w:cs="Tahoma"/>
          <w:color w:val="000000"/>
          <w:szCs w:val="18"/>
        </w:rPr>
        <w:t xml:space="preserve"> </w:t>
      </w:r>
      <w:r w:rsidRPr="00A75DF9">
        <w:rPr>
          <w:rFonts w:eastAsia="Calibri" w:cs="Tahoma"/>
          <w:color w:val="000000"/>
          <w:szCs w:val="18"/>
        </w:rPr>
        <w:t>I Servizi Online designati come community cloud per enti pubblici non potranno essere distribuiti nello stesso dominio in cui vengono distribuiti servizi specifici di</w:t>
      </w:r>
      <w:r w:rsidR="00843AD9">
        <w:rPr>
          <w:rFonts w:eastAsia="Calibri" w:cs="Tahoma"/>
          <w:color w:val="000000"/>
          <w:szCs w:val="18"/>
        </w:rPr>
        <w:t> </w:t>
      </w:r>
      <w:r w:rsidRPr="00A75DF9">
        <w:rPr>
          <w:rFonts w:eastAsia="Calibri" w:cs="Tahoma"/>
          <w:color w:val="000000"/>
          <w:szCs w:val="18"/>
        </w:rPr>
        <w:t>community cloud per enti non pubblici. Tale limitazione si estende a qualsiasi servizio online facente parte</w:t>
      </w:r>
      <w:r w:rsidR="00843AD9">
        <w:rPr>
          <w:rFonts w:eastAsia="Calibri" w:cs="Tahoma"/>
          <w:color w:val="000000"/>
          <w:szCs w:val="18"/>
        </w:rPr>
        <w:t> </w:t>
      </w:r>
      <w:r w:rsidRPr="00A75DF9">
        <w:rPr>
          <w:rFonts w:eastAsia="Calibri" w:cs="Tahoma"/>
          <w:color w:val="000000"/>
          <w:szCs w:val="18"/>
        </w:rPr>
        <w:t>della famiglia di prodotti Office 365, inclusi Exchange Online, SharePoint Online e Lync Online.</w:t>
      </w:r>
      <w:r w:rsidR="009D3B41" w:rsidRPr="00A75DF9">
        <w:rPr>
          <w:rFonts w:eastAsia="Calibri" w:cs="Tahoma"/>
          <w:color w:val="000000"/>
          <w:szCs w:val="18"/>
        </w:rPr>
        <w:t xml:space="preserve"> </w:t>
      </w:r>
    </w:p>
    <w:p w:rsidR="00B23BE6" w:rsidRPr="00A75DF9" w:rsidRDefault="00B23BE6" w:rsidP="00E62BC4">
      <w:pPr>
        <w:ind w:left="720"/>
        <w:rPr>
          <w:rFonts w:cs="Tahoma"/>
        </w:rPr>
      </w:pPr>
    </w:p>
    <w:p w:rsidR="00B23BE6" w:rsidRPr="00A75DF9" w:rsidRDefault="00B23BE6" w:rsidP="00E62BC4">
      <w:pPr>
        <w:ind w:left="720"/>
        <w:rPr>
          <w:rFonts w:cs="Tahoma"/>
        </w:rPr>
      </w:pPr>
      <w:r w:rsidRPr="00A75DF9">
        <w:rPr>
          <w:rFonts w:eastAsia="Calibri" w:cs="Tahoma"/>
          <w:color w:val="000000"/>
          <w:szCs w:val="18"/>
        </w:rPr>
        <w:lastRenderedPageBreak/>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w:t>
      </w:r>
      <w:r w:rsidR="00F2643E">
        <w:rPr>
          <w:rFonts w:eastAsia="Calibri" w:cs="Tahoma"/>
          <w:color w:val="000000"/>
          <w:szCs w:val="18"/>
        </w:rPr>
        <w:t>’</w:t>
      </w:r>
      <w:r w:rsidRPr="00A75DF9">
        <w:rPr>
          <w:rFonts w:eastAsia="Calibri" w:cs="Tahoma"/>
          <w:color w:val="000000"/>
          <w:szCs w:val="18"/>
        </w:rPr>
        <w:t>Iscrizione Enterprise o Enterprise Subscription per Enti Pubblici Statunitensi per essere idonei all</w:t>
      </w:r>
      <w:r w:rsidR="00F2643E">
        <w:rPr>
          <w:rFonts w:eastAsia="Calibri" w:cs="Tahoma"/>
          <w:color w:val="000000"/>
          <w:szCs w:val="18"/>
        </w:rPr>
        <w:t>’</w:t>
      </w:r>
      <w:r w:rsidRPr="00A75DF9">
        <w:rPr>
          <w:rFonts w:eastAsia="Calibri" w:cs="Tahoma"/>
          <w:color w:val="000000"/>
          <w:szCs w:val="18"/>
        </w:rPr>
        <w:t>acquisto di servizi online designati come community cloud per enti pubblici.</w:t>
      </w:r>
      <w:r w:rsidR="009D3B41" w:rsidRPr="00A75DF9">
        <w:rPr>
          <w:rFonts w:eastAsia="Calibri" w:cs="Tahoma"/>
          <w:color w:val="000000"/>
          <w:szCs w:val="18"/>
        </w:rPr>
        <w:t xml:space="preserve"> </w:t>
      </w:r>
      <w:r w:rsidRPr="00A75DF9">
        <w:rPr>
          <w:rFonts w:eastAsia="Calibri" w:cs="Tahoma"/>
          <w:color w:val="000000"/>
          <w:szCs w:val="18"/>
        </w:rPr>
        <w:t>I Diritti sull</w:t>
      </w:r>
      <w:r w:rsidR="00F2643E">
        <w:rPr>
          <w:rFonts w:eastAsia="Calibri" w:cs="Tahoma"/>
          <w:color w:val="000000"/>
          <w:szCs w:val="18"/>
        </w:rPr>
        <w:t>’</w:t>
      </w:r>
      <w:r w:rsidRPr="00A75DF9">
        <w:rPr>
          <w:rFonts w:eastAsia="Calibri" w:cs="Tahoma"/>
          <w:color w:val="000000"/>
          <w:szCs w:val="18"/>
        </w:rPr>
        <w:t>Utilizzo relativi ai servizi di community cloud per enti pubblici sono simili a quelli dei loro equivalenti multi-tenant standard.</w:t>
      </w:r>
      <w:r w:rsidR="009D3B41" w:rsidRPr="00A75DF9">
        <w:rPr>
          <w:rFonts w:eastAsia="Calibri" w:cs="Tahoma"/>
          <w:color w:val="000000"/>
          <w:szCs w:val="18"/>
        </w:rPr>
        <w:t xml:space="preserve"> </w:t>
      </w:r>
      <w:r w:rsidRPr="00A75DF9">
        <w:rPr>
          <w:rFonts w:eastAsia="Calibri" w:cs="Tahoma"/>
          <w:color w:val="000000"/>
          <w:szCs w:val="18"/>
        </w:rPr>
        <w:t>I servizi di community cloud per enti pubblici non sono in questa fase idonei alla Prenotazione di Licenze e alle Transizioni.</w:t>
      </w:r>
    </w:p>
    <w:p w:rsidR="005D484B" w:rsidRPr="00A75DF9" w:rsidRDefault="005D484B" w:rsidP="003C3A72">
      <w:pPr>
        <w:rPr>
          <w:rFonts w:cs="Tahoma"/>
        </w:rPr>
      </w:pPr>
    </w:p>
    <w:p w:rsidR="007B35CE" w:rsidRPr="00A75DF9" w:rsidRDefault="007B35CE" w:rsidP="003C3A72">
      <w:pPr>
        <w:rPr>
          <w:rFonts w:cs="Tahoma"/>
        </w:rPr>
      </w:pPr>
    </w:p>
    <w:p w:rsidR="005D484B" w:rsidRPr="00A75DF9" w:rsidRDefault="00A560B6" w:rsidP="001760D6">
      <w:pPr>
        <w:pStyle w:val="Heading2"/>
        <w:keepNext/>
        <w:ind w:left="270" w:hanging="270"/>
        <w:rPr>
          <w:rFonts w:ascii="Tahoma" w:hAnsi="Tahoma" w:cs="Tahoma"/>
        </w:rPr>
      </w:pPr>
      <w:bookmarkStart w:id="1213" w:name="_47__Exchange"/>
      <w:bookmarkStart w:id="1214" w:name="_50__Exchange"/>
      <w:bookmarkStart w:id="1215" w:name="_Toc368310300"/>
      <w:bookmarkEnd w:id="1213"/>
      <w:bookmarkEnd w:id="1214"/>
      <w:r w:rsidRPr="00A75DF9">
        <w:rPr>
          <w:rFonts w:ascii="Tahoma" w:hAnsi="Tahoma" w:cs="Tahoma"/>
          <w:color w:val="F26200"/>
          <w:sz w:val="20"/>
          <w:vertAlign w:val="superscript"/>
        </w:rPr>
        <w:t>50</w:t>
      </w:r>
      <w:r w:rsidRPr="00A75DF9">
        <w:rPr>
          <w:rFonts w:ascii="Tahoma" w:hAnsi="Tahoma" w:cs="Tahoma"/>
          <w:color w:val="F26200"/>
        </w:rPr>
        <w:t xml:space="preserve"> </w:t>
      </w:r>
      <w:r w:rsidRPr="00A75DF9">
        <w:rPr>
          <w:rFonts w:ascii="Tahoma" w:hAnsi="Tahoma" w:cs="Tahoma"/>
          <w:color w:val="F26200"/>
          <w:sz w:val="22"/>
        </w:rPr>
        <w:t>Archiviazione Exchange Online per Exchange Server A (SL per Utente)</w:t>
      </w:r>
      <w:bookmarkEnd w:id="1215"/>
    </w:p>
    <w:p w:rsidR="005D484B" w:rsidRPr="00A75DF9" w:rsidRDefault="005D484B" w:rsidP="001760D6">
      <w:pPr>
        <w:keepNext/>
        <w:ind w:left="900"/>
        <w:rPr>
          <w:rFonts w:cs="Tahoma"/>
        </w:rPr>
      </w:pPr>
    </w:p>
    <w:p w:rsidR="005D484B" w:rsidRPr="00A75DF9" w:rsidRDefault="005D484B" w:rsidP="005D484B">
      <w:pPr>
        <w:ind w:left="720"/>
        <w:rPr>
          <w:rFonts w:cs="Tahoma"/>
        </w:rPr>
      </w:pPr>
      <w:r w:rsidRPr="00A75DF9">
        <w:rPr>
          <w:rFonts w:cs="Tahoma"/>
          <w:szCs w:val="18"/>
        </w:rPr>
        <w:t>Gli Istituti Didattici ai sensi dei contratti Enrollment for Education Solutions e Open Value Subscription per Education Solutions, autorizzati a ricevere l</w:t>
      </w:r>
      <w:r w:rsidR="00F2643E">
        <w:rPr>
          <w:rFonts w:cs="Tahoma"/>
          <w:szCs w:val="18"/>
        </w:rPr>
        <w:t>’</w:t>
      </w:r>
      <w:r w:rsidRPr="00A75DF9">
        <w:rPr>
          <w:rFonts w:cs="Tahoma"/>
          <w:szCs w:val="18"/>
        </w:rPr>
        <w:t>Enterprise CAL Suite sulla base del numero dell</w:t>
      </w:r>
      <w:r w:rsidR="00F2643E">
        <w:rPr>
          <w:rFonts w:cs="Tahoma"/>
          <w:szCs w:val="18"/>
        </w:rPr>
        <w:t>’</w:t>
      </w:r>
      <w:r w:rsidRPr="00A75DF9">
        <w:rPr>
          <w:rFonts w:cs="Tahoma"/>
          <w:szCs w:val="18"/>
        </w:rPr>
        <w:t>intera Organizzazione e del numero di Studenti, possono ottenere un numero corrispondente di SL per Utente per Archiviazione Exchange Online per Exchange Server A per tutti gli utenti che rientrano nel numero dell</w:t>
      </w:r>
      <w:r w:rsidR="00F2643E">
        <w:rPr>
          <w:rFonts w:cs="Tahoma"/>
          <w:szCs w:val="18"/>
        </w:rPr>
        <w:t>’</w:t>
      </w:r>
      <w:r w:rsidRPr="00A75DF9">
        <w:rPr>
          <w:rFonts w:cs="Tahoma"/>
          <w:szCs w:val="18"/>
        </w:rPr>
        <w:t>intera Organizzazione e nel numero di Studenti. Le società dovranno fare riferimento alle note del prodotto nell</w:t>
      </w:r>
      <w:r w:rsidR="00F2643E">
        <w:rPr>
          <w:rFonts w:cs="Tahoma"/>
          <w:szCs w:val="18"/>
        </w:rPr>
        <w:t>’</w:t>
      </w:r>
      <w:r w:rsidRPr="00A75DF9">
        <w:rPr>
          <w:rFonts w:cs="Tahoma"/>
          <w:szCs w:val="18"/>
        </w:rPr>
        <w:t>Enterprise CAL Suite per la modalità di erogazione.</w:t>
      </w:r>
    </w:p>
    <w:p w:rsidR="00B23BE6" w:rsidRPr="00A75DF9" w:rsidRDefault="00B23BE6" w:rsidP="00D70D2C">
      <w:pPr>
        <w:ind w:left="540"/>
        <w:rPr>
          <w:rFonts w:cs="Tahoma"/>
        </w:rPr>
      </w:pPr>
    </w:p>
    <w:p w:rsidR="00EC1F23" w:rsidRPr="00843AD9" w:rsidRDefault="00EC1F23" w:rsidP="0084072C">
      <w:pPr>
        <w:pStyle w:val="Heading2"/>
        <w:ind w:left="0"/>
        <w:rPr>
          <w:rFonts w:ascii="Tahoma" w:hAnsi="Tahoma" w:cs="Tahoma"/>
          <w:sz w:val="18"/>
          <w:szCs w:val="18"/>
        </w:rPr>
      </w:pPr>
    </w:p>
    <w:p w:rsidR="00EC1F23" w:rsidRPr="00A75DF9" w:rsidRDefault="00A560B6" w:rsidP="00465757">
      <w:pPr>
        <w:pStyle w:val="Heading2"/>
        <w:ind w:left="270" w:hanging="270"/>
        <w:rPr>
          <w:rFonts w:ascii="Tahoma" w:hAnsi="Tahoma" w:cs="Tahoma"/>
        </w:rPr>
      </w:pPr>
      <w:bookmarkStart w:id="1216" w:name="_45_Exchange_Hosted"/>
      <w:bookmarkStart w:id="1217" w:name="_51_Exchange_Hosted"/>
      <w:bookmarkStart w:id="1218" w:name="_Toc336338306"/>
      <w:bookmarkStart w:id="1219" w:name="Srv_44ExchHostArchiveandStorage"/>
      <w:bookmarkStart w:id="1220" w:name="_Toc368310301"/>
      <w:bookmarkEnd w:id="1216"/>
      <w:bookmarkEnd w:id="1217"/>
      <w:r w:rsidRPr="00A75DF9">
        <w:rPr>
          <w:rFonts w:ascii="Tahoma" w:hAnsi="Tahoma" w:cs="Tahoma"/>
          <w:color w:val="F26200"/>
          <w:sz w:val="20"/>
          <w:vertAlign w:val="superscript"/>
        </w:rPr>
        <w:t>51</w:t>
      </w:r>
      <w:r w:rsidRPr="00A75DF9">
        <w:rPr>
          <w:rFonts w:ascii="Tahoma" w:hAnsi="Tahoma" w:cs="Tahoma"/>
          <w:color w:val="F26200"/>
        </w:rPr>
        <w:t xml:space="preserve"> </w:t>
      </w:r>
      <w:r w:rsidRPr="00A75DF9">
        <w:rPr>
          <w:rFonts w:ascii="Tahoma" w:hAnsi="Tahoma" w:cs="Tahoma"/>
          <w:color w:val="F26200"/>
          <w:sz w:val="22"/>
        </w:rPr>
        <w:t>Exchange Hosted Archive (SL per Utente), Exchange Hosted Archive Extra Storage (SL Add-on)</w:t>
      </w:r>
      <w:bookmarkEnd w:id="1218"/>
      <w:bookmarkEnd w:id="1220"/>
      <w:r w:rsidRPr="00A75DF9">
        <w:rPr>
          <w:rFonts w:ascii="Tahoma" w:hAnsi="Tahoma" w:cs="Tahoma"/>
          <w:color w:val="F26200"/>
          <w:sz w:val="22"/>
        </w:rPr>
        <w:t xml:space="preserve"> </w:t>
      </w:r>
      <w:bookmarkEnd w:id="1219"/>
    </w:p>
    <w:p w:rsidR="00EC1F23" w:rsidRPr="00A75DF9" w:rsidRDefault="00EC1F23" w:rsidP="00EC1F23">
      <w:pPr>
        <w:ind w:left="900"/>
        <w:rPr>
          <w:rFonts w:cs="Tahoma"/>
        </w:rPr>
      </w:pPr>
    </w:p>
    <w:p w:rsidR="00EC1F23" w:rsidRPr="00A75DF9" w:rsidRDefault="00EC1F23" w:rsidP="0084072C">
      <w:pPr>
        <w:spacing w:after="60"/>
        <w:ind w:left="720"/>
        <w:rPr>
          <w:rFonts w:cs="Tahoma"/>
        </w:rPr>
      </w:pPr>
      <w:r w:rsidRPr="00A75DF9">
        <w:rPr>
          <w:rFonts w:eastAsia="Calibri" w:cs="Tahoma"/>
          <w:b/>
          <w:bCs/>
          <w:iCs/>
          <w:color w:val="000000"/>
        </w:rPr>
        <w:t>Concessione di Licenza del 1 Maggio 2011 per Società Exchange Hosted Archive</w:t>
      </w:r>
      <w:r w:rsidRPr="00A75DF9">
        <w:rPr>
          <w:rFonts w:eastAsia="Calibri" w:cs="Tahoma"/>
          <w:b/>
          <w:iCs/>
          <w:color w:val="000000"/>
        </w:rPr>
        <w:t xml:space="preserve"> </w:t>
      </w:r>
    </w:p>
    <w:p w:rsidR="00EC1F23" w:rsidRPr="00A75DF9" w:rsidRDefault="00EC1F23" w:rsidP="00843AD9">
      <w:pPr>
        <w:ind w:left="720"/>
        <w:rPr>
          <w:rFonts w:cs="Tahoma"/>
        </w:rPr>
      </w:pPr>
      <w:r w:rsidRPr="00A75DF9">
        <w:rPr>
          <w:rFonts w:eastAsia="Calibri" w:cs="Tahoma"/>
          <w:iCs/>
          <w:color w:val="000000"/>
        </w:rPr>
        <w:t>Alle società viene concessa un</w:t>
      </w:r>
      <w:r w:rsidR="00F2643E">
        <w:rPr>
          <w:rFonts w:eastAsia="Calibri" w:cs="Tahoma"/>
          <w:iCs/>
          <w:color w:val="000000"/>
        </w:rPr>
        <w:t>’</w:t>
      </w:r>
      <w:r w:rsidRPr="00A75DF9">
        <w:rPr>
          <w:rFonts w:eastAsia="Calibri" w:cs="Tahoma"/>
          <w:iCs/>
          <w:color w:val="000000"/>
        </w:rPr>
        <w:t>ulteriore quantità di licenze (“licenze gratuite”) pari al 15% del numero delle</w:t>
      </w:r>
      <w:r w:rsidR="00843AD9">
        <w:rPr>
          <w:rFonts w:eastAsia="Calibri" w:cs="Tahoma"/>
          <w:iCs/>
          <w:color w:val="000000"/>
        </w:rPr>
        <w:t> </w:t>
      </w:r>
      <w:r w:rsidRPr="00A75DF9">
        <w:rPr>
          <w:rFonts w:eastAsia="Calibri" w:cs="Tahoma"/>
          <w:iCs/>
          <w:color w:val="000000"/>
        </w:rPr>
        <w:t>licenze Exchange Hosted Archive (EHA) acquistate e attive in data 1 maggio 2011 (“licenze qualificanti”). Fintantoché le licenze qualificanti della società rimangono attive, le licenze gratuite rimarranno valide fino al termine della sottoscrizione che coinciderà con la migrazione della società da EHA a un Servizio Online successivo come specificato nella tabella di migrazione qui sotto. Alle società che desiderano continuare a utilizzare il Servizio Online successivo dopo la scadenza delle loro licenze gratuite verrà richiesto di ordinare un numero di licenze uguale al numero totale degli utenti che eseguiranno l</w:t>
      </w:r>
      <w:r w:rsidR="00F2643E">
        <w:rPr>
          <w:rFonts w:eastAsia="Calibri" w:cs="Tahoma"/>
          <w:iCs/>
          <w:color w:val="000000"/>
        </w:rPr>
        <w:t>’</w:t>
      </w:r>
      <w:r w:rsidRPr="00A75DF9">
        <w:rPr>
          <w:rFonts w:eastAsia="Calibri" w:cs="Tahoma"/>
          <w:iCs/>
          <w:color w:val="000000"/>
        </w:rPr>
        <w:t>accesso a</w:t>
      </w:r>
      <w:r w:rsidR="00843AD9">
        <w:rPr>
          <w:rFonts w:eastAsia="Calibri" w:cs="Tahoma"/>
          <w:iCs/>
          <w:color w:val="000000"/>
        </w:rPr>
        <w:t> </w:t>
      </w:r>
      <w:r w:rsidRPr="00A75DF9">
        <w:rPr>
          <w:rFonts w:eastAsia="Calibri" w:cs="Tahoma"/>
          <w:iCs/>
          <w:color w:val="000000"/>
        </w:rPr>
        <w:t xml:space="preserve">tale Servizio Online o che lo utilizzeranno. </w:t>
      </w:r>
    </w:p>
    <w:p w:rsidR="00BA1490" w:rsidRPr="00A75DF9" w:rsidRDefault="00BA1490" w:rsidP="0084072C">
      <w:pPr>
        <w:rPr>
          <w:rFonts w:cs="Tahoma"/>
        </w:rPr>
      </w:pPr>
    </w:p>
    <w:p w:rsidR="00EA6918" w:rsidRPr="00A75DF9" w:rsidRDefault="00EC1F23" w:rsidP="0084072C">
      <w:pPr>
        <w:spacing w:after="60"/>
        <w:ind w:left="720"/>
        <w:rPr>
          <w:rFonts w:cs="Tahoma"/>
        </w:rPr>
      </w:pPr>
      <w:r w:rsidRPr="00A75DF9">
        <w:rPr>
          <w:rFonts w:eastAsia="Calibri" w:cs="Tahoma"/>
          <w:b/>
          <w:bCs/>
          <w:iCs/>
          <w:color w:val="000000"/>
        </w:rPr>
        <w:t>Concessione di Licenza di Migrazione per Società Exchange Hosted Archive</w:t>
      </w:r>
    </w:p>
    <w:p w:rsidR="00EC1F23" w:rsidRPr="00A75DF9" w:rsidRDefault="00EC1F23" w:rsidP="00E62BC4">
      <w:pPr>
        <w:ind w:left="720"/>
        <w:rPr>
          <w:rFonts w:cs="Tahoma"/>
        </w:rPr>
      </w:pPr>
      <w:r w:rsidRPr="00A75DF9">
        <w:rPr>
          <w:rFonts w:eastAsia="Calibri" w:cs="Tahoma"/>
          <w:iCs/>
          <w:color w:val="000000"/>
        </w:rPr>
        <w:t xml:space="preserve">Alle società EHA che eseguono la migrazione ai Servizi Online successivi verrà concesso un numero totale di licenze sostitutive per i Servizi Online successivi uguale al numero totale di licenze EHA qualificanti e gratuite di cui dispongono, mostrate nella tabella seguente. Tali licenze sostitutive scadranno al termine del periodo di validità della sottoscrizione coincidente con la migrazione della società da EHA ai Servizi Online successivi. </w:t>
      </w:r>
    </w:p>
    <w:p w:rsidR="00EC1F23" w:rsidRPr="00A75DF9" w:rsidRDefault="00EC1F23" w:rsidP="00E62BC4">
      <w:pPr>
        <w:ind w:left="720"/>
        <w:rPr>
          <w:rFonts w:cs="Tahoma"/>
        </w:rPr>
      </w:pPr>
    </w:p>
    <w:p w:rsidR="002512D3" w:rsidRPr="00A75DF9" w:rsidRDefault="00EC1F23" w:rsidP="003165D6">
      <w:pPr>
        <w:ind w:left="720"/>
        <w:rPr>
          <w:rFonts w:cs="Tahoma"/>
        </w:rPr>
      </w:pPr>
      <w:r w:rsidRPr="00A75DF9">
        <w:rPr>
          <w:rFonts w:eastAsia="Calibri" w:cs="Tahoma"/>
          <w:iCs/>
          <w:color w:val="000000"/>
        </w:rPr>
        <w:t>Le SL per Utente per Exchange Online Piano 2 concesse ai sensi di questa offerta di migrazione devono essere cedute all</w:t>
      </w:r>
      <w:r w:rsidR="00F2643E">
        <w:rPr>
          <w:rFonts w:eastAsia="Calibri" w:cs="Tahoma"/>
          <w:iCs/>
          <w:color w:val="000000"/>
        </w:rPr>
        <w:t>’</w:t>
      </w:r>
      <w:r w:rsidRPr="00A75DF9">
        <w:rPr>
          <w:rFonts w:eastAsia="Calibri" w:cs="Tahoma"/>
          <w:iCs/>
          <w:color w:val="000000"/>
        </w:rPr>
        <w:t>utente al quale è ceduta la corrispondente SL per Utente per Exchange Online Standard, Exchange Online Piano 2, BPOS Standard, Office 365 Enterprise E1, BPOS Deskless, Exchange Online Deskless o Chiosco Exchange Online. Se la SL per Utente corrispondente viene riassegnata a un nuovo utente, anche Exchange Online Piano 2 dovrà essere riassegnata allo stesso nuovo utente. </w:t>
      </w:r>
    </w:p>
    <w:p w:rsidR="00EC1F23" w:rsidRDefault="00EC1F23" w:rsidP="00EC1F23">
      <w:pPr>
        <w:rPr>
          <w:rFonts w:cs="Tahom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60"/>
        <w:gridCol w:w="3780"/>
      </w:tblGrid>
      <w:tr w:rsidR="00EC1F23" w:rsidRPr="00A75DF9" w:rsidTr="00C066F9">
        <w:trPr>
          <w:jc w:val="center"/>
        </w:trPr>
        <w:tc>
          <w:tcPr>
            <w:tcW w:w="7740" w:type="dxa"/>
            <w:gridSpan w:val="2"/>
            <w:shd w:val="clear" w:color="auto" w:fill="FABF8F"/>
          </w:tcPr>
          <w:p w:rsidR="00EC1F23" w:rsidRPr="00A75DF9" w:rsidRDefault="00EC1F23" w:rsidP="00022FBE">
            <w:pPr>
              <w:jc w:val="center"/>
              <w:rPr>
                <w:rFonts w:eastAsia="Calibri" w:cs="Tahoma"/>
                <w:b/>
                <w:iCs/>
                <w:color w:val="000000"/>
              </w:rPr>
            </w:pPr>
            <w:r w:rsidRPr="00A75DF9">
              <w:rPr>
                <w:rFonts w:eastAsia="Calibri" w:cs="Tahoma"/>
                <w:b/>
                <w:iCs/>
                <w:color w:val="000000"/>
              </w:rPr>
              <w:t>Concessione della Licenza di Migrazione</w:t>
            </w:r>
          </w:p>
        </w:tc>
      </w:tr>
      <w:tr w:rsidR="00EC1F23" w:rsidRPr="00A75DF9" w:rsidTr="00C066F9">
        <w:trPr>
          <w:jc w:val="center"/>
        </w:trPr>
        <w:tc>
          <w:tcPr>
            <w:tcW w:w="3960" w:type="dxa"/>
            <w:shd w:val="clear" w:color="auto" w:fill="auto"/>
          </w:tcPr>
          <w:p w:rsidR="00EC1F23" w:rsidRPr="00A75DF9" w:rsidRDefault="00EC1F23" w:rsidP="00022FBE">
            <w:pPr>
              <w:jc w:val="center"/>
              <w:rPr>
                <w:rFonts w:eastAsia="Calibri" w:cs="Tahoma"/>
                <w:iCs/>
                <w:color w:val="000000"/>
              </w:rPr>
            </w:pPr>
            <w:r w:rsidRPr="00A75DF9">
              <w:rPr>
                <w:rFonts w:eastAsia="Calibri" w:cs="Tahoma"/>
                <w:iCs/>
                <w:color w:val="000000"/>
              </w:rPr>
              <w:t>Posizione della licenza qualificante</w:t>
            </w:r>
          </w:p>
        </w:tc>
        <w:tc>
          <w:tcPr>
            <w:tcW w:w="3780" w:type="dxa"/>
            <w:shd w:val="clear" w:color="auto" w:fill="auto"/>
          </w:tcPr>
          <w:p w:rsidR="00EC1F23" w:rsidRPr="00A75DF9" w:rsidRDefault="00EC1F23" w:rsidP="00022FBE">
            <w:pPr>
              <w:jc w:val="center"/>
              <w:rPr>
                <w:rFonts w:eastAsia="Calibri" w:cs="Tahoma"/>
                <w:iCs/>
                <w:color w:val="000000"/>
              </w:rPr>
            </w:pPr>
            <w:r w:rsidRPr="00A75DF9">
              <w:rPr>
                <w:rFonts w:eastAsia="Calibri" w:cs="Tahoma"/>
                <w:iCs/>
                <w:color w:val="000000"/>
              </w:rPr>
              <w:t>Concessione di Licenza</w:t>
            </w:r>
          </w:p>
        </w:tc>
      </w:tr>
      <w:tr w:rsidR="00EC1F23" w:rsidRPr="00A75DF9" w:rsidTr="00C066F9">
        <w:trPr>
          <w:jc w:val="center"/>
        </w:trPr>
        <w:tc>
          <w:tcPr>
            <w:tcW w:w="3960" w:type="dxa"/>
            <w:shd w:val="clear" w:color="auto" w:fill="auto"/>
          </w:tcPr>
          <w:p w:rsidR="00EE53FF" w:rsidRPr="00A75DF9" w:rsidRDefault="00EE53FF" w:rsidP="001051D1">
            <w:pPr>
              <w:spacing w:before="60" w:after="60"/>
              <w:ind w:left="158" w:right="346"/>
              <w:rPr>
                <w:rFonts w:cs="Tahoma"/>
              </w:rPr>
            </w:pPr>
            <w:r w:rsidRPr="00A75DF9">
              <w:rPr>
                <w:rFonts w:eastAsia="Calibri" w:cs="Tahoma"/>
                <w:iCs/>
                <w:color w:val="000000"/>
              </w:rPr>
              <w:t xml:space="preserve">SL per Utente per EHA (utilizzato insieme a una CAL per Exchange </w:t>
            </w:r>
            <w:r w:rsidR="00843AD9">
              <w:rPr>
                <w:rFonts w:eastAsia="Calibri" w:cs="Tahoma"/>
                <w:iCs/>
                <w:color w:val="000000"/>
              </w:rPr>
              <w:br/>
            </w:r>
            <w:r w:rsidRPr="00A75DF9">
              <w:rPr>
                <w:rFonts w:eastAsia="Calibri" w:cs="Tahoma"/>
                <w:iCs/>
                <w:color w:val="000000"/>
              </w:rPr>
              <w:t>on-premise)</w:t>
            </w:r>
          </w:p>
          <w:p w:rsidR="00EC1F23" w:rsidRPr="00A75DF9" w:rsidRDefault="00EC1F23" w:rsidP="001051D1">
            <w:pPr>
              <w:spacing w:before="60" w:after="60"/>
              <w:ind w:left="158" w:right="346"/>
              <w:rPr>
                <w:rFonts w:cs="Tahoma"/>
              </w:rPr>
            </w:pPr>
            <w:r w:rsidRPr="00A75DF9">
              <w:rPr>
                <w:rFonts w:eastAsia="Calibri" w:cs="Tahoma"/>
                <w:iCs/>
                <w:color w:val="000000"/>
              </w:rPr>
              <w:t>SL per Utente per EHA (utilizzata insieme a SL per Utente per Exchange Online Standard, Exchange Online Plan</w:t>
            </w:r>
          </w:p>
          <w:p w:rsidR="00EC1F23" w:rsidRPr="00A75DF9" w:rsidRDefault="00EC1F23" w:rsidP="00843AD9">
            <w:pPr>
              <w:spacing w:before="60" w:after="60"/>
              <w:ind w:left="158" w:right="346"/>
              <w:rPr>
                <w:rFonts w:eastAsia="Calibri" w:cs="Tahoma"/>
                <w:iCs/>
                <w:color w:val="000000"/>
              </w:rPr>
            </w:pPr>
            <w:r w:rsidRPr="00A75DF9">
              <w:rPr>
                <w:rFonts w:eastAsia="Calibri" w:cs="Tahoma"/>
                <w:iCs/>
                <w:color w:val="000000"/>
              </w:rPr>
              <w:t>2, BPOS Standard, Office 365 E1, BPOS Deskless, Exchange Online Deskless o</w:t>
            </w:r>
            <w:r w:rsidR="00843AD9">
              <w:rPr>
                <w:rFonts w:eastAsia="Calibri" w:cs="Tahoma"/>
                <w:iCs/>
                <w:color w:val="000000"/>
              </w:rPr>
              <w:t> </w:t>
            </w:r>
            <w:r w:rsidRPr="00A75DF9">
              <w:rPr>
                <w:rFonts w:eastAsia="Calibri" w:cs="Tahoma"/>
                <w:iCs/>
                <w:color w:val="000000"/>
              </w:rPr>
              <w:t>Chiosco Exchange Online)</w:t>
            </w:r>
          </w:p>
        </w:tc>
        <w:tc>
          <w:tcPr>
            <w:tcW w:w="3780" w:type="dxa"/>
            <w:shd w:val="clear" w:color="auto" w:fill="auto"/>
          </w:tcPr>
          <w:p w:rsidR="00EC1F23" w:rsidRPr="00A75DF9" w:rsidRDefault="00EC1F23" w:rsidP="00346F4B">
            <w:pPr>
              <w:numPr>
                <w:ilvl w:val="0"/>
                <w:numId w:val="46"/>
              </w:numPr>
              <w:spacing w:before="60" w:after="60"/>
              <w:ind w:right="342"/>
              <w:rPr>
                <w:rFonts w:eastAsia="Calibri" w:cs="Tahoma"/>
                <w:iCs/>
                <w:color w:val="000000"/>
              </w:rPr>
            </w:pPr>
            <w:r w:rsidRPr="00A75DF9">
              <w:rPr>
                <w:rFonts w:eastAsia="Calibri" w:cs="Tahoma"/>
                <w:iCs/>
                <w:color w:val="000000"/>
              </w:rPr>
              <w:t>SL per Utente per Exchange Online Piano 2</w:t>
            </w:r>
          </w:p>
        </w:tc>
      </w:tr>
    </w:tbl>
    <w:p w:rsidR="00D57009" w:rsidRPr="00A75DF9" w:rsidRDefault="00D57009">
      <w:pPr>
        <w:rPr>
          <w:rFonts w:cs="Tahoma"/>
        </w:rPr>
      </w:pPr>
    </w:p>
    <w:p w:rsidR="00DD39C7" w:rsidRPr="00A75DF9" w:rsidRDefault="00DD39C7" w:rsidP="0084072C">
      <w:pPr>
        <w:spacing w:after="60"/>
        <w:ind w:left="720"/>
        <w:rPr>
          <w:rFonts w:cs="Tahoma"/>
        </w:rPr>
      </w:pPr>
      <w:r w:rsidRPr="00A75DF9">
        <w:rPr>
          <w:rFonts w:cs="Tahoma"/>
          <w:b/>
          <w:color w:val="000000"/>
        </w:rPr>
        <w:lastRenderedPageBreak/>
        <w:t>L</w:t>
      </w:r>
      <w:r w:rsidR="00F2643E">
        <w:rPr>
          <w:rFonts w:cs="Tahoma"/>
          <w:b/>
          <w:color w:val="000000"/>
        </w:rPr>
        <w:t>’</w:t>
      </w:r>
      <w:r w:rsidRPr="00A75DF9">
        <w:rPr>
          <w:rFonts w:cs="Tahoma"/>
          <w:b/>
          <w:color w:val="000000"/>
        </w:rPr>
        <w:t>Utilizzo Continuativo di Exchange Hosted Archive (EHA) con Sottoscrizioni Attive di Business Productivity Online Subscription (BPOS) e di Exchange Online Standard</w:t>
      </w:r>
    </w:p>
    <w:p w:rsidR="00DD39C7" w:rsidRPr="00A75DF9" w:rsidRDefault="00DD39C7" w:rsidP="00DD39C7">
      <w:pPr>
        <w:ind w:left="720"/>
        <w:rPr>
          <w:rFonts w:cs="Tahoma"/>
        </w:rPr>
      </w:pPr>
      <w:r w:rsidRPr="00A75DF9">
        <w:rPr>
          <w:rFonts w:cs="Tahoma"/>
          <w:iCs/>
          <w:color w:val="000000"/>
        </w:rPr>
        <w:t>Le società con sottoscrizioni EHA in scadenza che non hanno ancora effettuato la migrazione a Office 365 e sono attualmente implementate su BPOS o Exchange Online Standard potranno continuare a utilizzare EHA dopo la scadenza della loro sottoscrizione e fino (i) alla migrazione a Office 365 o (ii) alla scadenza della loro sottoscrizione di BPOS o Exchange Online Standard.</w:t>
      </w:r>
      <w:r w:rsidR="009D3B41" w:rsidRPr="00A75DF9">
        <w:rPr>
          <w:rFonts w:cs="Tahoma"/>
          <w:iCs/>
          <w:color w:val="000000"/>
        </w:rPr>
        <w:t xml:space="preserve"> </w:t>
      </w:r>
      <w:r w:rsidRPr="00A75DF9">
        <w:rPr>
          <w:rFonts w:cs="Tahoma"/>
          <w:iCs/>
          <w:color w:val="000000"/>
        </w:rPr>
        <w:t>L</w:t>
      </w:r>
      <w:r w:rsidR="00F2643E">
        <w:rPr>
          <w:rFonts w:cs="Tahoma"/>
          <w:iCs/>
          <w:color w:val="000000"/>
        </w:rPr>
        <w:t>’</w:t>
      </w:r>
      <w:r w:rsidRPr="00A75DF9">
        <w:rPr>
          <w:rFonts w:cs="Tahoma"/>
          <w:iCs/>
          <w:color w:val="000000"/>
        </w:rPr>
        <w:t>utilizzo di EHA da parte delle società ai sensi della presente offerta è soggetto alle condizioni del Contratto Multilicenza e alle condizioni di licenza EHA presenti nei Diritti di Utilizzo del Prodotto del mese di gennaio 2011. Le società saranno ritenute titolari di una licenza “Subscription” per utente o dispositivo EHA temporanea per ciascuna delle loro licenze “Subscription” per utente o dispositivo EHA in scadenza. Tali licenze “Subscription” per utente o dispositivo EHA temporanee potranno essere cedute solo agli utenti e ai dispositivi ai quali vengono cedute licenze per BPOS o Exchange Online Standard.</w:t>
      </w:r>
      <w:r w:rsidR="009D3B41" w:rsidRPr="00A75DF9">
        <w:rPr>
          <w:rFonts w:cs="Tahoma"/>
          <w:iCs/>
          <w:color w:val="000000"/>
        </w:rPr>
        <w:t xml:space="preserve"> </w:t>
      </w:r>
      <w:r w:rsidRPr="00A75DF9">
        <w:rPr>
          <w:rFonts w:cs="Tahoma"/>
          <w:iCs/>
          <w:color w:val="000000"/>
        </w:rPr>
        <w:t>EHA viene concesso in licenza com</w:t>
      </w:r>
      <w:r w:rsidR="00F2643E">
        <w:rPr>
          <w:rFonts w:cs="Tahoma"/>
          <w:iCs/>
          <w:color w:val="000000"/>
        </w:rPr>
        <w:t>’</w:t>
      </w:r>
      <w:r w:rsidRPr="00A75DF9">
        <w:rPr>
          <w:rFonts w:cs="Tahoma"/>
          <w:iCs/>
          <w:color w:val="000000"/>
        </w:rPr>
        <w:t>è, senza alcun tipo di garanzia.</w:t>
      </w:r>
      <w:r w:rsidR="009D3B41" w:rsidRPr="00A75DF9">
        <w:rPr>
          <w:rFonts w:cs="Tahoma"/>
          <w:iCs/>
          <w:color w:val="000000"/>
        </w:rPr>
        <w:t xml:space="preserve"> </w:t>
      </w:r>
    </w:p>
    <w:p w:rsidR="00DD39C7" w:rsidRPr="00843AD9" w:rsidRDefault="00DD39C7" w:rsidP="00DD39C7">
      <w:pPr>
        <w:ind w:left="720"/>
        <w:rPr>
          <w:rFonts w:cs="Tahoma"/>
          <w:szCs w:val="18"/>
        </w:rPr>
      </w:pPr>
    </w:p>
    <w:p w:rsidR="00023FE7" w:rsidRPr="00843AD9" w:rsidRDefault="00023FE7" w:rsidP="00CC1E5B">
      <w:pPr>
        <w:ind w:left="720"/>
        <w:rPr>
          <w:rFonts w:cs="Tahoma"/>
          <w:szCs w:val="18"/>
        </w:rPr>
      </w:pPr>
    </w:p>
    <w:p w:rsidR="00827D38" w:rsidRPr="00A75DF9" w:rsidRDefault="00A560B6" w:rsidP="00B52F10">
      <w:pPr>
        <w:pStyle w:val="Heading2"/>
        <w:ind w:left="0"/>
        <w:rPr>
          <w:rFonts w:ascii="Tahoma" w:hAnsi="Tahoma" w:cs="Tahoma"/>
        </w:rPr>
      </w:pPr>
      <w:bookmarkStart w:id="1221" w:name="_46_Exchange_Hosted"/>
      <w:bookmarkStart w:id="1222" w:name="_52_Exchange_Hosted"/>
      <w:bookmarkStart w:id="1223" w:name="_Toc336338307"/>
      <w:bookmarkStart w:id="1224" w:name="Srv_39ExchangeOnDeskWork"/>
      <w:bookmarkStart w:id="1225" w:name="_Toc368310302"/>
      <w:bookmarkEnd w:id="1221"/>
      <w:bookmarkEnd w:id="1222"/>
      <w:r w:rsidRPr="00A75DF9">
        <w:rPr>
          <w:rFonts w:ascii="Tahoma" w:hAnsi="Tahoma" w:cs="Tahoma"/>
          <w:color w:val="E25B00"/>
          <w:sz w:val="22"/>
          <w:szCs w:val="22"/>
          <w:vertAlign w:val="superscript"/>
        </w:rPr>
        <w:t>52</w:t>
      </w:r>
      <w:r w:rsidRPr="00A75DF9">
        <w:rPr>
          <w:rFonts w:ascii="Tahoma" w:hAnsi="Tahoma" w:cs="Tahoma"/>
          <w:sz w:val="22"/>
          <w:szCs w:val="22"/>
        </w:rPr>
        <w:t xml:space="preserve"> </w:t>
      </w:r>
      <w:r w:rsidRPr="00A75DF9">
        <w:rPr>
          <w:rFonts w:ascii="Tahoma" w:hAnsi="Tahoma" w:cs="Tahoma"/>
          <w:color w:val="F66400"/>
          <w:sz w:val="22"/>
          <w:szCs w:val="22"/>
        </w:rPr>
        <w:t>Exchange Hosted Encryption (SL per Utente)</w:t>
      </w:r>
      <w:bookmarkEnd w:id="1223"/>
      <w:bookmarkEnd w:id="1225"/>
    </w:p>
    <w:p w:rsidR="00827D38" w:rsidRPr="00A75DF9" w:rsidRDefault="00827D38" w:rsidP="00827D38">
      <w:pPr>
        <w:ind w:left="900"/>
        <w:rPr>
          <w:rFonts w:cs="Tahoma"/>
        </w:rPr>
      </w:pPr>
    </w:p>
    <w:p w:rsidR="00827D38" w:rsidRPr="00A75DF9" w:rsidRDefault="00827D38" w:rsidP="00E62BC4">
      <w:pPr>
        <w:ind w:left="720"/>
        <w:rPr>
          <w:rFonts w:cs="Tahoma"/>
        </w:rPr>
      </w:pPr>
      <w:r w:rsidRPr="00A75DF9">
        <w:rPr>
          <w:rFonts w:cs="Tahoma"/>
        </w:rPr>
        <w:t>Le società dovrebbero utilizzare la stessa iscrizione del contratto Select attivo, l</w:t>
      </w:r>
      <w:r w:rsidR="00F2643E">
        <w:rPr>
          <w:rFonts w:cs="Tahoma"/>
        </w:rPr>
        <w:t>’</w:t>
      </w:r>
      <w:r w:rsidRPr="00A75DF9">
        <w:rPr>
          <w:rFonts w:cs="Tahoma"/>
        </w:rPr>
        <w:t>iscrizione del contratto Enterprise o il contratto Open Value per effettuare ordini successivamente all</w:t>
      </w:r>
      <w:r w:rsidR="00F2643E">
        <w:rPr>
          <w:rFonts w:cs="Tahoma"/>
        </w:rPr>
        <w:t>’</w:t>
      </w:r>
      <w:r w:rsidRPr="00A75DF9">
        <w:rPr>
          <w:rFonts w:cs="Tahoma"/>
        </w:rPr>
        <w:t>ordine iniziale.</w:t>
      </w:r>
    </w:p>
    <w:p w:rsidR="00827D38" w:rsidRPr="00A75DF9" w:rsidRDefault="00827D38" w:rsidP="00E62BC4">
      <w:pPr>
        <w:ind w:left="720"/>
        <w:rPr>
          <w:rFonts w:cs="Tahoma"/>
        </w:rPr>
      </w:pPr>
    </w:p>
    <w:p w:rsidR="00023FE7" w:rsidRPr="00A75DF9" w:rsidRDefault="00827D38" w:rsidP="00E62BC4">
      <w:pPr>
        <w:ind w:left="720"/>
        <w:rPr>
          <w:rFonts w:cs="Tahoma"/>
        </w:rPr>
      </w:pPr>
      <w:r w:rsidRPr="00A75DF9">
        <w:rPr>
          <w:rFonts w:cs="Tahoma"/>
        </w:rPr>
        <w:t>Fare riferimento all</w:t>
      </w:r>
      <w:r w:rsidR="00F2643E">
        <w:rPr>
          <w:rFonts w:cs="Tahoma"/>
        </w:rPr>
        <w:t>’</w:t>
      </w:r>
      <w:hyperlink w:anchor="_Section_10_–" w:history="1">
        <w:r w:rsidRPr="00A75DF9">
          <w:rPr>
            <w:rStyle w:val="Hyperlink"/>
            <w:rFonts w:cs="Tahoma"/>
          </w:rPr>
          <w:t>Articolo 10</w:t>
        </w:r>
      </w:hyperlink>
      <w:r w:rsidRPr="00A75DF9">
        <w:rPr>
          <w:rFonts w:cs="Tahoma"/>
        </w:rPr>
        <w:t xml:space="preserve"> per i prezzi dei servizi online e le condizioni di pagamento.</w:t>
      </w:r>
    </w:p>
    <w:p w:rsidR="00827D38" w:rsidRPr="00A75DF9" w:rsidRDefault="00827D38" w:rsidP="00827D38">
      <w:pPr>
        <w:ind w:left="900"/>
        <w:rPr>
          <w:rFonts w:cs="Tahoma"/>
        </w:rPr>
      </w:pPr>
    </w:p>
    <w:p w:rsidR="00827D38" w:rsidRPr="00A75DF9" w:rsidRDefault="00827D38" w:rsidP="00827D38">
      <w:pPr>
        <w:ind w:left="900"/>
        <w:rPr>
          <w:rFonts w:cs="Tahoma"/>
        </w:rPr>
      </w:pPr>
    </w:p>
    <w:p w:rsidR="00023FE7" w:rsidRPr="00A75DF9" w:rsidRDefault="00A560B6">
      <w:pPr>
        <w:pStyle w:val="Heading3"/>
        <w:rPr>
          <w:rFonts w:ascii="Tahoma" w:hAnsi="Tahoma" w:cs="Tahoma"/>
        </w:rPr>
      </w:pPr>
      <w:bookmarkStart w:id="1226" w:name="_50_Exchange_Online"/>
      <w:bookmarkStart w:id="1227" w:name="_53_Exchange_Online"/>
      <w:bookmarkStart w:id="1228" w:name="_Toc336338308"/>
      <w:bookmarkStart w:id="1229" w:name="Srv_40ExchangeOnDeskWork"/>
      <w:bookmarkStart w:id="1230" w:name="Srv_45ExchangeOnDeskWork"/>
      <w:bookmarkStart w:id="1231" w:name="_Toc368310303"/>
      <w:bookmarkEnd w:id="1226"/>
      <w:bookmarkEnd w:id="1227"/>
      <w:r w:rsidRPr="00A75DF9">
        <w:rPr>
          <w:rFonts w:ascii="Tahoma" w:hAnsi="Tahoma" w:cs="Tahoma"/>
          <w:caps/>
          <w:color w:val="F66400"/>
          <w:sz w:val="22"/>
          <w:vertAlign w:val="superscript"/>
        </w:rPr>
        <w:t>53</w:t>
      </w:r>
      <w:r w:rsidRPr="00A75DF9">
        <w:rPr>
          <w:rFonts w:ascii="Tahoma" w:hAnsi="Tahoma" w:cs="Tahoma"/>
          <w:color w:val="F66400"/>
          <w:sz w:val="22"/>
        </w:rPr>
        <w:t xml:space="preserve"> Chiosco Exchange Online (SL per Utente)</w:t>
      </w:r>
      <w:bookmarkEnd w:id="1228"/>
      <w:bookmarkEnd w:id="1231"/>
    </w:p>
    <w:bookmarkEnd w:id="1224"/>
    <w:bookmarkEnd w:id="1229"/>
    <w:bookmarkEnd w:id="1230"/>
    <w:p w:rsidR="00023FE7" w:rsidRPr="00843AD9" w:rsidRDefault="00023FE7">
      <w:pPr>
        <w:pStyle w:val="EndnoteText"/>
        <w:rPr>
          <w:rFonts w:ascii="Tahoma" w:hAnsi="Tahoma" w:cs="Tahoma"/>
          <w:sz w:val="18"/>
          <w:szCs w:val="18"/>
        </w:rPr>
      </w:pPr>
    </w:p>
    <w:p w:rsidR="00040ADC" w:rsidRPr="00A75DF9" w:rsidRDefault="00040ADC" w:rsidP="00E62BC4">
      <w:pPr>
        <w:ind w:left="720"/>
        <w:rPr>
          <w:rFonts w:cs="Tahoma"/>
        </w:rPr>
      </w:pPr>
      <w:r w:rsidRPr="00A75DF9">
        <w:rPr>
          <w:rFonts w:cs="Tahoma"/>
          <w:color w:val="000000"/>
          <w:szCs w:val="18"/>
        </w:rPr>
        <w:t>Nonostante quanto diversamente stabilito nei contratti di licenza delle società, gli utenti qualificati non includono gli utenti titolari di licenza Chiosco Exchange Online.</w:t>
      </w:r>
    </w:p>
    <w:p w:rsidR="00040ADC" w:rsidRPr="00A75DF9" w:rsidRDefault="00040ADC" w:rsidP="00E62BC4">
      <w:pPr>
        <w:ind w:left="720"/>
        <w:rPr>
          <w:rFonts w:cs="Tahoma"/>
        </w:rPr>
      </w:pPr>
    </w:p>
    <w:p w:rsidR="00040ADC" w:rsidRPr="00A75DF9" w:rsidRDefault="00040ADC" w:rsidP="00E62BC4">
      <w:pPr>
        <w:ind w:left="720"/>
        <w:rPr>
          <w:rFonts w:cs="Tahoma"/>
        </w:rPr>
      </w:pPr>
      <w:r w:rsidRPr="00A75DF9">
        <w:rPr>
          <w:rFonts w:cs="Tahoma"/>
          <w:color w:val="000000"/>
          <w:szCs w:val="18"/>
        </w:rPr>
        <w:t>Il Chiosco Exchange Online era precedentemente noto come Exchange Online Deskless Worker.</w:t>
      </w:r>
    </w:p>
    <w:p w:rsidR="00352135" w:rsidRPr="00A75DF9" w:rsidRDefault="00352135" w:rsidP="00E62BC4">
      <w:pPr>
        <w:ind w:left="720"/>
        <w:rPr>
          <w:rFonts w:cs="Tahoma"/>
        </w:rPr>
      </w:pPr>
    </w:p>
    <w:p w:rsidR="00702931" w:rsidRPr="00A75DF9" w:rsidRDefault="00702931" w:rsidP="00AF3B19">
      <w:pPr>
        <w:spacing w:after="60"/>
        <w:ind w:left="720"/>
        <w:rPr>
          <w:rFonts w:cs="Tahoma"/>
        </w:rPr>
      </w:pPr>
      <w:r w:rsidRPr="00A75DF9">
        <w:rPr>
          <w:rFonts w:eastAsia="Calibri" w:cs="Tahoma"/>
          <w:b/>
          <w:color w:val="000000"/>
          <w:szCs w:val="18"/>
        </w:rPr>
        <w:t>Community Cloud per Enti Pubblici (solo Stati Uniti)</w:t>
      </w:r>
    </w:p>
    <w:p w:rsidR="00702931" w:rsidRPr="00A75DF9" w:rsidRDefault="00702931" w:rsidP="00843AD9">
      <w:pPr>
        <w:ind w:left="720"/>
        <w:rPr>
          <w:rFonts w:cs="Tahoma"/>
        </w:rPr>
      </w:pPr>
      <w:r w:rsidRPr="00A75DF9">
        <w:rPr>
          <w:rFonts w:eastAsia="Calibri" w:cs="Tahoma"/>
          <w:color w:val="000000"/>
          <w:szCs w:val="18"/>
        </w:rPr>
        <w:t>Alcuni servizi online della famiglia di prodotti Office 365 (incluso Chiosco Exchange Online) sono offerti come</w:t>
      </w:r>
      <w:r w:rsidR="00843AD9">
        <w:rPr>
          <w:rFonts w:eastAsia="Calibri" w:cs="Tahoma"/>
          <w:color w:val="000000"/>
          <w:szCs w:val="18"/>
        </w:rPr>
        <w:t> </w:t>
      </w:r>
      <w:r w:rsidRPr="00A75DF9">
        <w:rPr>
          <w:rFonts w:eastAsia="Calibri" w:cs="Tahoma"/>
          <w:color w:val="000000"/>
          <w:szCs w:val="18"/>
        </w:rPr>
        <w:t>servizi di community cloud per enti pubblici e come servizi di community cloud per enti non pubblici.</w:t>
      </w:r>
      <w:r w:rsidR="009D3B41" w:rsidRPr="00A75DF9">
        <w:rPr>
          <w:rFonts w:eastAsia="Calibri" w:cs="Tahoma"/>
          <w:color w:val="000000"/>
          <w:szCs w:val="18"/>
        </w:rPr>
        <w:t xml:space="preserve"> </w:t>
      </w:r>
      <w:r w:rsidRPr="00A75DF9">
        <w:rPr>
          <w:rFonts w:eastAsia="Calibri" w:cs="Tahoma"/>
          <w:color w:val="000000"/>
          <w:szCs w:val="18"/>
        </w:rPr>
        <w:t>Alle società potrà essere effettuato il provisioning come ente pubblico o non pubblico, ma non come una combinazione di entrambi.</w:t>
      </w:r>
      <w:r w:rsidR="009D3B41" w:rsidRPr="00A75DF9">
        <w:rPr>
          <w:rFonts w:eastAsia="Calibri" w:cs="Tahoma"/>
          <w:color w:val="000000"/>
          <w:szCs w:val="18"/>
        </w:rPr>
        <w:t xml:space="preserve"> </w:t>
      </w:r>
      <w:r w:rsidRPr="00A75DF9">
        <w:rPr>
          <w:rFonts w:eastAsia="Calibri" w:cs="Tahoma"/>
          <w:color w:val="000000"/>
          <w:szCs w:val="18"/>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009D3B41" w:rsidRPr="00A75DF9">
        <w:rPr>
          <w:rFonts w:eastAsia="Calibri" w:cs="Tahoma"/>
          <w:color w:val="000000"/>
          <w:szCs w:val="18"/>
        </w:rPr>
        <w:t xml:space="preserve"> </w:t>
      </w:r>
    </w:p>
    <w:p w:rsidR="00702931" w:rsidRPr="00A75DF9" w:rsidRDefault="00702931" w:rsidP="00E62BC4">
      <w:pPr>
        <w:ind w:left="720"/>
        <w:rPr>
          <w:rFonts w:cs="Tahoma"/>
        </w:rPr>
      </w:pPr>
    </w:p>
    <w:p w:rsidR="00702931" w:rsidRPr="00A75DF9" w:rsidRDefault="00702931" w:rsidP="00E62BC4">
      <w:pPr>
        <w:ind w:left="720"/>
        <w:rPr>
          <w:rFonts w:cs="Tahoma"/>
        </w:rPr>
      </w:pPr>
      <w:r w:rsidRPr="00A75DF9">
        <w:rPr>
          <w:rFonts w:eastAsia="Calibri" w:cs="Tahoma"/>
          <w:color w:val="000000"/>
          <w:szCs w:val="18"/>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w:t>
      </w:r>
      <w:r w:rsidR="00F2643E">
        <w:rPr>
          <w:rFonts w:eastAsia="Calibri" w:cs="Tahoma"/>
          <w:color w:val="000000"/>
          <w:szCs w:val="18"/>
        </w:rPr>
        <w:t>’</w:t>
      </w:r>
      <w:r w:rsidRPr="00A75DF9">
        <w:rPr>
          <w:rFonts w:eastAsia="Calibri" w:cs="Tahoma"/>
          <w:color w:val="000000"/>
          <w:szCs w:val="18"/>
        </w:rPr>
        <w:t>Iscrizione Enterprise o Enterprise Subscription per Enti Pubblici Statunitensi per essere idonei all</w:t>
      </w:r>
      <w:r w:rsidR="00F2643E">
        <w:rPr>
          <w:rFonts w:eastAsia="Calibri" w:cs="Tahoma"/>
          <w:color w:val="000000"/>
          <w:szCs w:val="18"/>
        </w:rPr>
        <w:t>’</w:t>
      </w:r>
      <w:r w:rsidRPr="00A75DF9">
        <w:rPr>
          <w:rFonts w:eastAsia="Calibri" w:cs="Tahoma"/>
          <w:color w:val="000000"/>
          <w:szCs w:val="18"/>
        </w:rPr>
        <w:t>acquisto di servizi online designati come community cloud per enti pubblici.</w:t>
      </w:r>
      <w:r w:rsidR="009D3B41" w:rsidRPr="00A75DF9">
        <w:rPr>
          <w:rFonts w:eastAsia="Calibri" w:cs="Tahoma"/>
          <w:color w:val="000000"/>
          <w:szCs w:val="18"/>
        </w:rPr>
        <w:t xml:space="preserve"> </w:t>
      </w:r>
      <w:r w:rsidRPr="00A75DF9">
        <w:rPr>
          <w:rFonts w:eastAsia="Calibri" w:cs="Tahoma"/>
          <w:color w:val="000000"/>
          <w:szCs w:val="18"/>
        </w:rPr>
        <w:t>I Diritti sull</w:t>
      </w:r>
      <w:r w:rsidR="00F2643E">
        <w:rPr>
          <w:rFonts w:eastAsia="Calibri" w:cs="Tahoma"/>
          <w:color w:val="000000"/>
          <w:szCs w:val="18"/>
        </w:rPr>
        <w:t>’</w:t>
      </w:r>
      <w:r w:rsidRPr="00A75DF9">
        <w:rPr>
          <w:rFonts w:eastAsia="Calibri" w:cs="Tahoma"/>
          <w:color w:val="000000"/>
          <w:szCs w:val="18"/>
        </w:rPr>
        <w:t>Utilizzo relativi ai servizi di community cloud per enti pubblici sono simili a quelli dei loro equivalenti multi-tenant standard.</w:t>
      </w:r>
      <w:r w:rsidR="009D3B41" w:rsidRPr="00A75DF9">
        <w:rPr>
          <w:rFonts w:eastAsia="Calibri" w:cs="Tahoma"/>
          <w:color w:val="000000"/>
          <w:szCs w:val="18"/>
        </w:rPr>
        <w:t xml:space="preserve"> </w:t>
      </w:r>
    </w:p>
    <w:p w:rsidR="00C066F9" w:rsidRPr="00A75DF9" w:rsidRDefault="00C066F9" w:rsidP="00C066F9">
      <w:pPr>
        <w:ind w:left="720"/>
        <w:rPr>
          <w:rFonts w:cs="Tahoma"/>
        </w:rPr>
      </w:pPr>
      <w:bookmarkStart w:id="1232" w:name="Srv_41ExchangeSvr07EntCAL"/>
    </w:p>
    <w:p w:rsidR="00371299" w:rsidRPr="00A75DF9" w:rsidRDefault="00A560B6" w:rsidP="00B17EFB">
      <w:pPr>
        <w:pStyle w:val="Heading3"/>
        <w:rPr>
          <w:rFonts w:ascii="Tahoma" w:hAnsi="Tahoma" w:cs="Tahoma"/>
        </w:rPr>
      </w:pPr>
      <w:bookmarkStart w:id="1233" w:name="_48_Exchange_Online"/>
      <w:bookmarkStart w:id="1234" w:name="_54_Exchange_Online"/>
      <w:bookmarkStart w:id="1235" w:name="_55Exchange_Online_Plan"/>
      <w:bookmarkStart w:id="1236" w:name="_Toc336338309"/>
      <w:bookmarkStart w:id="1237" w:name="Srv_46ExhangeOnlinePlan1"/>
      <w:bookmarkStart w:id="1238" w:name="Srv_42ExchangeSvr2010EntCAL"/>
      <w:bookmarkStart w:id="1239" w:name="Srv_47ExchangeSvr2010EntCAL"/>
      <w:bookmarkStart w:id="1240" w:name="_Toc368310304"/>
      <w:bookmarkEnd w:id="1233"/>
      <w:bookmarkEnd w:id="1234"/>
      <w:bookmarkEnd w:id="1235"/>
      <w:r w:rsidRPr="00A75DF9">
        <w:rPr>
          <w:rFonts w:ascii="Tahoma" w:hAnsi="Tahoma" w:cs="Tahoma"/>
          <w:caps/>
          <w:color w:val="F66400"/>
          <w:sz w:val="22"/>
          <w:szCs w:val="22"/>
          <w:vertAlign w:val="superscript"/>
        </w:rPr>
        <w:t>54</w:t>
      </w:r>
      <w:r w:rsidR="00A75DF9" w:rsidRPr="00A75DF9">
        <w:rPr>
          <w:rFonts w:ascii="Tahoma" w:hAnsi="Tahoma" w:cs="Tahoma"/>
          <w:caps/>
          <w:color w:val="F66400"/>
          <w:sz w:val="22"/>
          <w:szCs w:val="22"/>
          <w:vertAlign w:val="superscript"/>
        </w:rPr>
        <w:t xml:space="preserve"> </w:t>
      </w:r>
      <w:r w:rsidRPr="00A75DF9">
        <w:rPr>
          <w:rFonts w:ascii="Tahoma" w:hAnsi="Tahoma" w:cs="Tahoma"/>
          <w:color w:val="F66400"/>
          <w:sz w:val="22"/>
          <w:szCs w:val="22"/>
        </w:rPr>
        <w:t>Exchange Online Piano 1</w:t>
      </w:r>
      <w:bookmarkEnd w:id="1236"/>
      <w:bookmarkEnd w:id="1240"/>
    </w:p>
    <w:bookmarkEnd w:id="1237"/>
    <w:p w:rsidR="00371299" w:rsidRPr="00A75DF9" w:rsidRDefault="00371299" w:rsidP="00371299">
      <w:pPr>
        <w:outlineLvl w:val="2"/>
        <w:rPr>
          <w:rFonts w:cs="Tahoma"/>
        </w:rPr>
      </w:pPr>
    </w:p>
    <w:p w:rsidR="00371299" w:rsidRPr="00A75DF9" w:rsidRDefault="00371299" w:rsidP="00371299">
      <w:pPr>
        <w:ind w:left="720"/>
        <w:contextualSpacing/>
        <w:rPr>
          <w:rFonts w:cs="Tahoma"/>
        </w:rPr>
      </w:pPr>
      <w:r w:rsidRPr="00A75DF9">
        <w:rPr>
          <w:rFonts w:cs="Tahoma"/>
          <w:szCs w:val="20"/>
        </w:rPr>
        <w:t>Exchange Online Piano 1 era precedentemente noto come Exchange Online Standard.</w:t>
      </w:r>
    </w:p>
    <w:p w:rsidR="00A61080" w:rsidRPr="00A75DF9" w:rsidRDefault="00A61080" w:rsidP="00C066F9">
      <w:pPr>
        <w:ind w:left="720"/>
        <w:contextualSpacing/>
        <w:rPr>
          <w:rFonts w:cs="Tahoma"/>
        </w:rPr>
      </w:pPr>
    </w:p>
    <w:p w:rsidR="00A61080" w:rsidRPr="00A75DF9" w:rsidRDefault="00A61080" w:rsidP="00843AD9">
      <w:pPr>
        <w:ind w:left="720"/>
        <w:rPr>
          <w:rFonts w:cs="Tahoma"/>
        </w:rPr>
      </w:pPr>
      <w:r w:rsidRPr="00A75DF9">
        <w:rPr>
          <w:rFonts w:eastAsia="Calibri" w:cs="Tahoma"/>
          <w:color w:val="000000"/>
          <w:szCs w:val="18"/>
        </w:rPr>
        <w:t>Nonostante eventuali disposizioni contrarie dei diritti di utilizzo del prodotto, un Exchange Online Piano</w:t>
      </w:r>
      <w:r w:rsidR="00843AD9">
        <w:rPr>
          <w:rFonts w:eastAsia="Calibri" w:cs="Tahoma"/>
          <w:color w:val="000000"/>
          <w:szCs w:val="18"/>
        </w:rPr>
        <w:t> </w:t>
      </w:r>
      <w:r w:rsidRPr="00A75DF9">
        <w:rPr>
          <w:rFonts w:eastAsia="Calibri" w:cs="Tahoma"/>
          <w:color w:val="000000"/>
          <w:szCs w:val="18"/>
        </w:rPr>
        <w:t>1</w:t>
      </w:r>
      <w:r w:rsidR="00843AD9">
        <w:rPr>
          <w:rFonts w:eastAsia="Calibri" w:cs="Tahoma"/>
          <w:color w:val="000000"/>
          <w:szCs w:val="18"/>
        </w:rPr>
        <w:t> </w:t>
      </w:r>
      <w:r w:rsidRPr="00A75DF9">
        <w:rPr>
          <w:rFonts w:eastAsia="Calibri" w:cs="Tahoma"/>
          <w:color w:val="000000"/>
          <w:szCs w:val="18"/>
        </w:rPr>
        <w:t>(SL</w:t>
      </w:r>
      <w:r w:rsidR="00843AD9">
        <w:rPr>
          <w:rFonts w:eastAsia="Calibri" w:cs="Tahoma"/>
          <w:color w:val="000000"/>
          <w:szCs w:val="18"/>
        </w:rPr>
        <w:t> </w:t>
      </w:r>
      <w:r w:rsidRPr="00A75DF9">
        <w:rPr>
          <w:rFonts w:eastAsia="Calibri" w:cs="Tahoma"/>
          <w:color w:val="000000"/>
          <w:szCs w:val="18"/>
        </w:rPr>
        <w:t>per Utente) acquistato ai sensi di un contratto Campus e School, non consente l</w:t>
      </w:r>
      <w:r w:rsidR="00F2643E">
        <w:rPr>
          <w:rFonts w:eastAsia="Calibri" w:cs="Tahoma"/>
          <w:color w:val="000000"/>
          <w:szCs w:val="18"/>
        </w:rPr>
        <w:t>’</w:t>
      </w:r>
      <w:r w:rsidRPr="00A75DF9">
        <w:rPr>
          <w:rFonts w:eastAsia="Calibri" w:cs="Tahoma"/>
          <w:color w:val="000000"/>
          <w:szCs w:val="18"/>
        </w:rPr>
        <w:t>accesso all</w:t>
      </w:r>
      <w:r w:rsidR="00F2643E">
        <w:rPr>
          <w:rFonts w:eastAsia="Calibri" w:cs="Tahoma"/>
          <w:color w:val="000000"/>
          <w:szCs w:val="18"/>
        </w:rPr>
        <w:t>’</w:t>
      </w:r>
      <w:r w:rsidRPr="00A75DF9">
        <w:rPr>
          <w:rFonts w:eastAsia="Calibri" w:cs="Tahoma"/>
          <w:color w:val="000000"/>
          <w:szCs w:val="18"/>
        </w:rPr>
        <w:t>Exchange</w:t>
      </w:r>
      <w:r w:rsidR="00843AD9">
        <w:rPr>
          <w:rFonts w:eastAsia="Calibri" w:cs="Tahoma"/>
          <w:color w:val="000000"/>
          <w:szCs w:val="18"/>
        </w:rPr>
        <w:t> </w:t>
      </w:r>
      <w:r w:rsidRPr="00A75DF9">
        <w:rPr>
          <w:rFonts w:eastAsia="Calibri" w:cs="Tahoma"/>
          <w:color w:val="000000"/>
          <w:szCs w:val="18"/>
        </w:rPr>
        <w:t>Server.</w:t>
      </w:r>
    </w:p>
    <w:p w:rsidR="00B23BE6" w:rsidRPr="00A75DF9" w:rsidRDefault="00B23BE6" w:rsidP="00A61080">
      <w:pPr>
        <w:ind w:left="720"/>
        <w:rPr>
          <w:rFonts w:cs="Tahoma"/>
        </w:rPr>
      </w:pPr>
    </w:p>
    <w:p w:rsidR="00702931" w:rsidRPr="00A75DF9" w:rsidRDefault="00702931" w:rsidP="0067725A">
      <w:pPr>
        <w:spacing w:after="60"/>
        <w:ind w:left="720"/>
        <w:rPr>
          <w:rFonts w:cs="Tahoma"/>
        </w:rPr>
      </w:pPr>
      <w:r w:rsidRPr="00A75DF9">
        <w:rPr>
          <w:rFonts w:eastAsia="Calibri" w:cs="Tahoma"/>
          <w:b/>
          <w:color w:val="000000"/>
          <w:szCs w:val="18"/>
        </w:rPr>
        <w:t>Community Cloud per Enti Pubblici (solo Stati Uniti)</w:t>
      </w:r>
    </w:p>
    <w:p w:rsidR="00702931" w:rsidRPr="00A75DF9" w:rsidRDefault="00702931" w:rsidP="00843AD9">
      <w:pPr>
        <w:ind w:left="720"/>
        <w:rPr>
          <w:rFonts w:cs="Tahoma"/>
        </w:rPr>
      </w:pPr>
      <w:r w:rsidRPr="00A75DF9">
        <w:rPr>
          <w:rFonts w:eastAsia="Calibri" w:cs="Tahoma"/>
          <w:color w:val="000000"/>
          <w:szCs w:val="18"/>
        </w:rPr>
        <w:t>Alcuni servizi online della famiglia di prodotti Office 365 (incluso Exchange Online Piano 1) sono offerti come</w:t>
      </w:r>
      <w:r w:rsidR="00843AD9">
        <w:rPr>
          <w:rFonts w:eastAsia="Calibri" w:cs="Tahoma"/>
          <w:color w:val="000000"/>
          <w:szCs w:val="18"/>
        </w:rPr>
        <w:t> </w:t>
      </w:r>
      <w:r w:rsidRPr="00A75DF9">
        <w:rPr>
          <w:rFonts w:eastAsia="Calibri" w:cs="Tahoma"/>
          <w:color w:val="000000"/>
          <w:szCs w:val="18"/>
        </w:rPr>
        <w:t>servizi di community cloud per enti pubblici e come servizi di community cloud per enti non pubblici.</w:t>
      </w:r>
      <w:r w:rsidR="009D3B41" w:rsidRPr="00A75DF9">
        <w:rPr>
          <w:rFonts w:eastAsia="Calibri" w:cs="Tahoma"/>
          <w:color w:val="000000"/>
          <w:szCs w:val="18"/>
        </w:rPr>
        <w:t xml:space="preserve"> </w:t>
      </w:r>
      <w:r w:rsidRPr="00A75DF9">
        <w:rPr>
          <w:rFonts w:eastAsia="Calibri" w:cs="Tahoma"/>
          <w:color w:val="000000"/>
          <w:szCs w:val="18"/>
        </w:rPr>
        <w:t>Alle società potrà essere effettuato il provisioning come ente pubblico o non pubblico, ma non come una combinazione di entrambi.</w:t>
      </w:r>
      <w:r w:rsidR="009D3B41" w:rsidRPr="00A75DF9">
        <w:rPr>
          <w:rFonts w:eastAsia="Calibri" w:cs="Tahoma"/>
          <w:color w:val="000000"/>
          <w:szCs w:val="18"/>
        </w:rPr>
        <w:t xml:space="preserve"> </w:t>
      </w:r>
      <w:r w:rsidRPr="00A75DF9">
        <w:rPr>
          <w:rFonts w:eastAsia="Calibri" w:cs="Tahoma"/>
          <w:color w:val="000000"/>
          <w:szCs w:val="18"/>
        </w:rPr>
        <w:t xml:space="preserve">I Servizi Online designati come community cloud per enti pubblici non potranno </w:t>
      </w:r>
      <w:r w:rsidRPr="00A75DF9">
        <w:rPr>
          <w:rFonts w:eastAsia="Calibri" w:cs="Tahoma"/>
          <w:color w:val="000000"/>
          <w:szCs w:val="18"/>
        </w:rPr>
        <w:lastRenderedPageBreak/>
        <w:t>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009D3B41" w:rsidRPr="00A75DF9">
        <w:rPr>
          <w:rFonts w:eastAsia="Calibri" w:cs="Tahoma"/>
          <w:color w:val="000000"/>
          <w:szCs w:val="18"/>
        </w:rPr>
        <w:t xml:space="preserve"> </w:t>
      </w:r>
    </w:p>
    <w:p w:rsidR="00702931" w:rsidRPr="00A75DF9" w:rsidRDefault="00702931" w:rsidP="00702931">
      <w:pPr>
        <w:ind w:left="720"/>
        <w:rPr>
          <w:rFonts w:cs="Tahoma"/>
        </w:rPr>
      </w:pPr>
    </w:p>
    <w:p w:rsidR="00702931" w:rsidRPr="00A75DF9" w:rsidRDefault="00702931" w:rsidP="00702931">
      <w:pPr>
        <w:ind w:left="720"/>
        <w:rPr>
          <w:rFonts w:cs="Tahoma"/>
        </w:rPr>
      </w:pPr>
      <w:r w:rsidRPr="00A75DF9">
        <w:rPr>
          <w:rFonts w:eastAsia="Calibri" w:cs="Tahoma"/>
          <w:color w:val="000000"/>
          <w:szCs w:val="18"/>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w:t>
      </w:r>
      <w:r w:rsidR="00F2643E">
        <w:rPr>
          <w:rFonts w:eastAsia="Calibri" w:cs="Tahoma"/>
          <w:color w:val="000000"/>
          <w:szCs w:val="18"/>
        </w:rPr>
        <w:t>’</w:t>
      </w:r>
      <w:r w:rsidRPr="00A75DF9">
        <w:rPr>
          <w:rFonts w:eastAsia="Calibri" w:cs="Tahoma"/>
          <w:color w:val="000000"/>
          <w:szCs w:val="18"/>
        </w:rPr>
        <w:t>Iscrizione Enterprise o Enterprise Subscription per Enti Pubblici Statunitensi per essere idonei all</w:t>
      </w:r>
      <w:r w:rsidR="00F2643E">
        <w:rPr>
          <w:rFonts w:eastAsia="Calibri" w:cs="Tahoma"/>
          <w:color w:val="000000"/>
          <w:szCs w:val="18"/>
        </w:rPr>
        <w:t>’</w:t>
      </w:r>
      <w:r w:rsidRPr="00A75DF9">
        <w:rPr>
          <w:rFonts w:eastAsia="Calibri" w:cs="Tahoma"/>
          <w:color w:val="000000"/>
          <w:szCs w:val="18"/>
        </w:rPr>
        <w:t>acquisto di servizi online designati come community cloud per enti pubblici.</w:t>
      </w:r>
      <w:r w:rsidR="009D3B41" w:rsidRPr="00A75DF9">
        <w:rPr>
          <w:rFonts w:eastAsia="Calibri" w:cs="Tahoma"/>
          <w:color w:val="000000"/>
          <w:szCs w:val="18"/>
        </w:rPr>
        <w:t xml:space="preserve"> </w:t>
      </w:r>
      <w:r w:rsidRPr="00A75DF9">
        <w:rPr>
          <w:rFonts w:eastAsia="Calibri" w:cs="Tahoma"/>
          <w:color w:val="000000"/>
          <w:szCs w:val="18"/>
        </w:rPr>
        <w:t>I Diritti sull</w:t>
      </w:r>
      <w:r w:rsidR="00F2643E">
        <w:rPr>
          <w:rFonts w:eastAsia="Calibri" w:cs="Tahoma"/>
          <w:color w:val="000000"/>
          <w:szCs w:val="18"/>
        </w:rPr>
        <w:t>’</w:t>
      </w:r>
      <w:r w:rsidRPr="00A75DF9">
        <w:rPr>
          <w:rFonts w:eastAsia="Calibri" w:cs="Tahoma"/>
          <w:color w:val="000000"/>
          <w:szCs w:val="18"/>
        </w:rPr>
        <w:t>Utilizzo relativi ai servizi di community cloud per enti pubblici sono simili a quelli dei loro equivalenti multi-tenant standard.</w:t>
      </w:r>
      <w:r w:rsidR="009D3B41" w:rsidRPr="00A75DF9">
        <w:rPr>
          <w:rFonts w:eastAsia="Calibri" w:cs="Tahoma"/>
          <w:color w:val="000000"/>
          <w:szCs w:val="18"/>
        </w:rPr>
        <w:t xml:space="preserve"> </w:t>
      </w:r>
    </w:p>
    <w:p w:rsidR="00B23BE6" w:rsidRPr="00A75DF9" w:rsidRDefault="00B23BE6" w:rsidP="00A61080">
      <w:pPr>
        <w:ind w:left="720"/>
        <w:rPr>
          <w:rFonts w:cs="Tahoma"/>
        </w:rPr>
      </w:pPr>
    </w:p>
    <w:p w:rsidR="00D70D2C" w:rsidRPr="00A75DF9" w:rsidRDefault="00D70D2C" w:rsidP="00A61080">
      <w:pPr>
        <w:ind w:left="720"/>
        <w:rPr>
          <w:rFonts w:cs="Tahoma"/>
        </w:rPr>
      </w:pPr>
    </w:p>
    <w:p w:rsidR="00D70D2C" w:rsidRPr="00A75DF9" w:rsidRDefault="00A560B6" w:rsidP="001760D6">
      <w:pPr>
        <w:pStyle w:val="Heading2"/>
        <w:keepNext/>
        <w:ind w:left="0"/>
        <w:rPr>
          <w:rFonts w:ascii="Tahoma" w:hAnsi="Tahoma" w:cs="Tahoma"/>
        </w:rPr>
      </w:pPr>
      <w:bookmarkStart w:id="1241" w:name="_49_Exchange_Online"/>
      <w:bookmarkStart w:id="1242" w:name="_55_Exchange_Online"/>
      <w:bookmarkStart w:id="1243" w:name="Srv_50ExchangeOnlinePlan2"/>
      <w:bookmarkStart w:id="1244" w:name="_Toc368310305"/>
      <w:bookmarkEnd w:id="1241"/>
      <w:bookmarkEnd w:id="1242"/>
      <w:r w:rsidRPr="00A75DF9">
        <w:rPr>
          <w:rFonts w:ascii="Tahoma" w:hAnsi="Tahoma" w:cs="Tahoma"/>
          <w:caps/>
          <w:color w:val="F66400"/>
          <w:sz w:val="22"/>
          <w:szCs w:val="20"/>
          <w:vertAlign w:val="superscript"/>
        </w:rPr>
        <w:t>55</w:t>
      </w:r>
      <w:r w:rsidRPr="00A75DF9">
        <w:rPr>
          <w:rFonts w:ascii="Tahoma" w:hAnsi="Tahoma" w:cs="Tahoma"/>
          <w:color w:val="F66400"/>
          <w:sz w:val="22"/>
          <w:szCs w:val="20"/>
        </w:rPr>
        <w:t xml:space="preserve"> Exchange Online Piano 2</w:t>
      </w:r>
      <w:bookmarkEnd w:id="1244"/>
    </w:p>
    <w:bookmarkEnd w:id="1243"/>
    <w:p w:rsidR="00D70D2C" w:rsidRPr="00A75DF9" w:rsidRDefault="00D70D2C" w:rsidP="001760D6">
      <w:pPr>
        <w:keepNext/>
        <w:outlineLvl w:val="2"/>
        <w:rPr>
          <w:rFonts w:cs="Tahoma"/>
        </w:rPr>
      </w:pPr>
    </w:p>
    <w:p w:rsidR="00D70D2C" w:rsidRPr="00843AD9" w:rsidRDefault="00D70D2C" w:rsidP="001760D6">
      <w:pPr>
        <w:pStyle w:val="ListParagraph"/>
        <w:keepNext/>
        <w:rPr>
          <w:rFonts w:ascii="Tahoma" w:hAnsi="Tahoma" w:cs="Tahoma"/>
          <w:sz w:val="18"/>
          <w:szCs w:val="18"/>
        </w:rPr>
      </w:pPr>
      <w:r w:rsidRPr="00843AD9">
        <w:rPr>
          <w:rFonts w:ascii="Tahoma" w:hAnsi="Tahoma" w:cs="Tahoma"/>
          <w:color w:val="000000"/>
          <w:sz w:val="18"/>
          <w:szCs w:val="18"/>
        </w:rPr>
        <w:t>Exchange Online Piano 2 è un servizio online che succede a Exchange Hosted Archive.</w:t>
      </w:r>
    </w:p>
    <w:p w:rsidR="00D70D2C" w:rsidRPr="00843AD9" w:rsidRDefault="00D70D2C" w:rsidP="00D70D2C">
      <w:pPr>
        <w:pStyle w:val="ListParagraph"/>
        <w:rPr>
          <w:rFonts w:ascii="Tahoma" w:hAnsi="Tahoma" w:cs="Tahoma"/>
          <w:sz w:val="18"/>
          <w:szCs w:val="18"/>
        </w:rPr>
      </w:pPr>
    </w:p>
    <w:p w:rsidR="00D70D2C" w:rsidRPr="00843AD9" w:rsidRDefault="00D70D2C" w:rsidP="00843AD9">
      <w:pPr>
        <w:ind w:left="720"/>
        <w:rPr>
          <w:rFonts w:cs="Tahoma"/>
          <w:szCs w:val="18"/>
        </w:rPr>
      </w:pPr>
      <w:r w:rsidRPr="00843AD9">
        <w:rPr>
          <w:rFonts w:cs="Tahoma"/>
          <w:color w:val="000000"/>
          <w:szCs w:val="18"/>
        </w:rPr>
        <w:t>Qualora la società effettui il rinnovo passando da Exchange Hosted Archive ad Exchange Online Piano 2 e</w:t>
      </w:r>
      <w:r w:rsidR="00843AD9">
        <w:rPr>
          <w:rFonts w:cs="Tahoma"/>
          <w:color w:val="000000"/>
          <w:szCs w:val="18"/>
        </w:rPr>
        <w:t> </w:t>
      </w:r>
      <w:r w:rsidRPr="00843AD9">
        <w:rPr>
          <w:rFonts w:cs="Tahoma"/>
          <w:color w:val="000000"/>
          <w:szCs w:val="18"/>
        </w:rPr>
        <w:t>non abbia ancora eseguito la migrazione a Exchange Online Piano 2, gli utenti in possesso di licenza potranno continuare a utilizzare il servizio Exchange Hosted Archive in conformità alle condizioni dei Diritti di</w:t>
      </w:r>
      <w:r w:rsidR="00843AD9">
        <w:rPr>
          <w:rFonts w:cs="Tahoma"/>
          <w:color w:val="000000"/>
          <w:szCs w:val="18"/>
        </w:rPr>
        <w:t> </w:t>
      </w:r>
      <w:r w:rsidRPr="00843AD9">
        <w:rPr>
          <w:rFonts w:cs="Tahoma"/>
          <w:color w:val="000000"/>
          <w:szCs w:val="18"/>
        </w:rPr>
        <w:t>Utilizzo del Prodotto di marzo 2011 fino alla migrazione a Exchange Online Piano 2 e alla scadenza della sottoscrizione di Exchange Online Piano 2, a seconda di quale dei due eventi si verificherà per primo.</w:t>
      </w:r>
    </w:p>
    <w:p w:rsidR="00702931" w:rsidRPr="00843AD9" w:rsidRDefault="00702931" w:rsidP="00D70D2C">
      <w:pPr>
        <w:ind w:left="720"/>
        <w:rPr>
          <w:rFonts w:cs="Tahoma"/>
          <w:szCs w:val="18"/>
        </w:rPr>
      </w:pPr>
    </w:p>
    <w:p w:rsidR="00702931" w:rsidRPr="00A75DF9" w:rsidRDefault="00702931" w:rsidP="0067725A">
      <w:pPr>
        <w:spacing w:after="60"/>
        <w:ind w:left="720"/>
        <w:rPr>
          <w:rFonts w:cs="Tahoma"/>
        </w:rPr>
      </w:pPr>
      <w:r w:rsidRPr="00A75DF9">
        <w:rPr>
          <w:rFonts w:eastAsia="Calibri" w:cs="Tahoma"/>
          <w:b/>
          <w:color w:val="000000"/>
          <w:szCs w:val="18"/>
        </w:rPr>
        <w:t>Community Cloud per Enti Pubblici (solo Stati Uniti)</w:t>
      </w:r>
    </w:p>
    <w:p w:rsidR="00702931" w:rsidRPr="00A75DF9" w:rsidRDefault="00702931" w:rsidP="00843AD9">
      <w:pPr>
        <w:ind w:left="720"/>
        <w:rPr>
          <w:rFonts w:cs="Tahoma"/>
        </w:rPr>
      </w:pPr>
      <w:r w:rsidRPr="00A75DF9">
        <w:rPr>
          <w:rFonts w:eastAsia="Calibri" w:cs="Tahoma"/>
          <w:color w:val="000000"/>
          <w:szCs w:val="18"/>
        </w:rPr>
        <w:t>Alcuni servizi online della famiglia di prodotti Office 365 (incluso Exchange Online Piano 2) sono offerti come</w:t>
      </w:r>
      <w:r w:rsidR="00843AD9">
        <w:rPr>
          <w:rFonts w:eastAsia="Calibri" w:cs="Tahoma"/>
          <w:color w:val="000000"/>
          <w:szCs w:val="18"/>
        </w:rPr>
        <w:t> </w:t>
      </w:r>
      <w:r w:rsidRPr="00A75DF9">
        <w:rPr>
          <w:rFonts w:eastAsia="Calibri" w:cs="Tahoma"/>
          <w:color w:val="000000"/>
          <w:szCs w:val="18"/>
        </w:rPr>
        <w:t>servizi di community cloud per enti pubblici e come servizi di community cloud per enti non pubblici.</w:t>
      </w:r>
      <w:r w:rsidR="009D3B41" w:rsidRPr="00A75DF9">
        <w:rPr>
          <w:rFonts w:eastAsia="Calibri" w:cs="Tahoma"/>
          <w:color w:val="000000"/>
          <w:szCs w:val="18"/>
        </w:rPr>
        <w:t xml:space="preserve"> </w:t>
      </w:r>
      <w:r w:rsidRPr="00A75DF9">
        <w:rPr>
          <w:rFonts w:eastAsia="Calibri" w:cs="Tahoma"/>
          <w:color w:val="000000"/>
          <w:szCs w:val="18"/>
        </w:rPr>
        <w:t>Alle società potrà essere effettuato il provisioning come ente pubblico o non pubblico, ma non come una combinazione di entrambi.</w:t>
      </w:r>
      <w:r w:rsidR="009D3B41" w:rsidRPr="00A75DF9">
        <w:rPr>
          <w:rFonts w:eastAsia="Calibri" w:cs="Tahoma"/>
          <w:color w:val="000000"/>
          <w:szCs w:val="18"/>
        </w:rPr>
        <w:t xml:space="preserve"> </w:t>
      </w:r>
      <w:r w:rsidRPr="00A75DF9">
        <w:rPr>
          <w:rFonts w:eastAsia="Calibri" w:cs="Tahoma"/>
          <w:color w:val="000000"/>
          <w:szCs w:val="18"/>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009D3B41" w:rsidRPr="00A75DF9">
        <w:rPr>
          <w:rFonts w:eastAsia="Calibri" w:cs="Tahoma"/>
          <w:color w:val="000000"/>
          <w:szCs w:val="18"/>
        </w:rPr>
        <w:t xml:space="preserve"> </w:t>
      </w:r>
    </w:p>
    <w:p w:rsidR="00702931" w:rsidRPr="00A75DF9" w:rsidRDefault="00702931" w:rsidP="00702931">
      <w:pPr>
        <w:ind w:left="720"/>
        <w:rPr>
          <w:rFonts w:cs="Tahoma"/>
        </w:rPr>
      </w:pPr>
    </w:p>
    <w:p w:rsidR="00B2460D" w:rsidRPr="00A75DF9" w:rsidRDefault="00702931" w:rsidP="00697E59">
      <w:pPr>
        <w:ind w:left="720"/>
        <w:rPr>
          <w:rFonts w:cs="Tahoma"/>
        </w:rPr>
      </w:pPr>
      <w:r w:rsidRPr="00A75DF9">
        <w:rPr>
          <w:rFonts w:eastAsia="Calibri" w:cs="Tahoma"/>
          <w:color w:val="000000"/>
          <w:szCs w:val="18"/>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w:t>
      </w:r>
      <w:r w:rsidR="00F2643E">
        <w:rPr>
          <w:rFonts w:eastAsia="Calibri" w:cs="Tahoma"/>
          <w:color w:val="000000"/>
          <w:szCs w:val="18"/>
        </w:rPr>
        <w:t>’</w:t>
      </w:r>
      <w:r w:rsidRPr="00A75DF9">
        <w:rPr>
          <w:rFonts w:eastAsia="Calibri" w:cs="Tahoma"/>
          <w:color w:val="000000"/>
          <w:szCs w:val="18"/>
        </w:rPr>
        <w:t>Iscrizione Enterprise o Enterprise Subscription per Enti Pubblici Statunitensi per essere idonei all</w:t>
      </w:r>
      <w:r w:rsidR="00F2643E">
        <w:rPr>
          <w:rFonts w:eastAsia="Calibri" w:cs="Tahoma"/>
          <w:color w:val="000000"/>
          <w:szCs w:val="18"/>
        </w:rPr>
        <w:t>’</w:t>
      </w:r>
      <w:r w:rsidRPr="00A75DF9">
        <w:rPr>
          <w:rFonts w:eastAsia="Calibri" w:cs="Tahoma"/>
          <w:color w:val="000000"/>
          <w:szCs w:val="18"/>
        </w:rPr>
        <w:t>acquisto di servizi online designati come community cloud per enti pubblici.</w:t>
      </w:r>
      <w:r w:rsidR="009D3B41" w:rsidRPr="00A75DF9">
        <w:rPr>
          <w:rFonts w:eastAsia="Calibri" w:cs="Tahoma"/>
          <w:color w:val="000000"/>
          <w:szCs w:val="18"/>
        </w:rPr>
        <w:t xml:space="preserve"> </w:t>
      </w:r>
      <w:r w:rsidRPr="00A75DF9">
        <w:rPr>
          <w:rFonts w:eastAsia="Calibri" w:cs="Tahoma"/>
          <w:color w:val="000000"/>
          <w:szCs w:val="18"/>
        </w:rPr>
        <w:t>I Diritti sull</w:t>
      </w:r>
      <w:r w:rsidR="00F2643E">
        <w:rPr>
          <w:rFonts w:eastAsia="Calibri" w:cs="Tahoma"/>
          <w:color w:val="000000"/>
          <w:szCs w:val="18"/>
        </w:rPr>
        <w:t>’</w:t>
      </w:r>
      <w:r w:rsidRPr="00A75DF9">
        <w:rPr>
          <w:rFonts w:eastAsia="Calibri" w:cs="Tahoma"/>
          <w:color w:val="000000"/>
          <w:szCs w:val="18"/>
        </w:rPr>
        <w:t>Utilizzo relativi ai servizi di community cloud per enti pubblici sono simili a quelli dei loro equivalenti multi-tenant standard.</w:t>
      </w:r>
      <w:r w:rsidR="009D3B41" w:rsidRPr="00A75DF9">
        <w:rPr>
          <w:rFonts w:eastAsia="Calibri" w:cs="Tahoma"/>
          <w:color w:val="000000"/>
          <w:szCs w:val="18"/>
        </w:rPr>
        <w:t xml:space="preserve"> </w:t>
      </w:r>
      <w:bookmarkStart w:id="1245" w:name="_51_Exchange_Server"/>
      <w:bookmarkEnd w:id="1232"/>
      <w:bookmarkEnd w:id="1238"/>
      <w:bookmarkEnd w:id="1239"/>
      <w:bookmarkEnd w:id="1245"/>
    </w:p>
    <w:p w:rsidR="00023FE7" w:rsidRDefault="00023FE7" w:rsidP="00C066F9">
      <w:pPr>
        <w:pStyle w:val="EndnoteText"/>
        <w:ind w:left="1620" w:hanging="900"/>
        <w:rPr>
          <w:rFonts w:ascii="Tahoma" w:hAnsi="Tahoma" w:cs="Tahoma"/>
          <w:sz w:val="18"/>
          <w:szCs w:val="18"/>
        </w:rPr>
      </w:pPr>
      <w:bookmarkStart w:id="1246" w:name="Srv_43ExchangeSvr2010"/>
    </w:p>
    <w:p w:rsidR="00843AD9" w:rsidRDefault="00843AD9" w:rsidP="00C066F9">
      <w:pPr>
        <w:pStyle w:val="EndnoteText"/>
        <w:ind w:left="1620" w:hanging="900"/>
        <w:rPr>
          <w:rFonts w:ascii="Tahoma" w:hAnsi="Tahoma" w:cs="Tahoma"/>
          <w:sz w:val="18"/>
          <w:szCs w:val="18"/>
        </w:rPr>
      </w:pPr>
    </w:p>
    <w:p w:rsidR="00453CAC" w:rsidRPr="00A75DF9" w:rsidRDefault="00A560B6" w:rsidP="009D3013">
      <w:pPr>
        <w:pStyle w:val="Heading2"/>
        <w:ind w:left="0"/>
        <w:rPr>
          <w:rFonts w:ascii="Tahoma" w:hAnsi="Tahoma" w:cs="Tahoma"/>
        </w:rPr>
      </w:pPr>
      <w:bookmarkStart w:id="1247" w:name="_49_Exchange_Server"/>
      <w:bookmarkStart w:id="1248" w:name="_51_50_Exchange"/>
      <w:bookmarkStart w:id="1249" w:name="_56_Exchange_Online"/>
      <w:bookmarkStart w:id="1250" w:name="_Toc336338311"/>
      <w:bookmarkStart w:id="1251" w:name="Srv_50ExchangeServer2010StdCAL"/>
      <w:bookmarkStart w:id="1252" w:name="_Toc368310306"/>
      <w:bookmarkEnd w:id="1246"/>
      <w:bookmarkEnd w:id="1247"/>
      <w:bookmarkEnd w:id="1248"/>
      <w:bookmarkEnd w:id="1249"/>
      <w:r w:rsidRPr="00A75DF9">
        <w:rPr>
          <w:rFonts w:ascii="Tahoma" w:hAnsi="Tahoma" w:cs="Tahoma"/>
          <w:caps/>
          <w:color w:val="FA6500"/>
          <w:sz w:val="22"/>
          <w:vertAlign w:val="superscript"/>
        </w:rPr>
        <w:t xml:space="preserve">56 </w:t>
      </w:r>
      <w:r w:rsidRPr="00A75DF9">
        <w:rPr>
          <w:rFonts w:ascii="Tahoma" w:hAnsi="Tahoma" w:cs="Tahoma"/>
          <w:color w:val="F66400"/>
          <w:sz w:val="22"/>
          <w:szCs w:val="20"/>
        </w:rPr>
        <w:t>Exchange Online Protection (SL per Utente)</w:t>
      </w:r>
      <w:bookmarkEnd w:id="1252"/>
    </w:p>
    <w:p w:rsidR="00453CAC" w:rsidRPr="00A75DF9" w:rsidRDefault="00453CAC" w:rsidP="00453CAC">
      <w:pPr>
        <w:ind w:left="720"/>
        <w:rPr>
          <w:rFonts w:cs="Tahoma"/>
        </w:rPr>
      </w:pPr>
    </w:p>
    <w:p w:rsidR="007D4770" w:rsidRPr="00A75DF9" w:rsidRDefault="007D4770" w:rsidP="00843AD9">
      <w:pPr>
        <w:ind w:left="720"/>
        <w:rPr>
          <w:rFonts w:cs="Tahoma"/>
        </w:rPr>
      </w:pPr>
      <w:r w:rsidRPr="00A75DF9">
        <w:rPr>
          <w:rFonts w:cs="Tahoma"/>
          <w:color w:val="444444"/>
          <w:szCs w:val="18"/>
        </w:rPr>
        <w:t>Poiché questo servizio online viene erogato in base al dominio, tutti gli utenti di qualunque dominio interessato devono disporre di SL per Utente.</w:t>
      </w:r>
      <w:r w:rsidR="009D3B41" w:rsidRPr="00A75DF9">
        <w:rPr>
          <w:rFonts w:cs="Tahoma"/>
          <w:color w:val="444444"/>
          <w:szCs w:val="18"/>
        </w:rPr>
        <w:t xml:space="preserve"> </w:t>
      </w:r>
      <w:r w:rsidRPr="00A75DF9">
        <w:rPr>
          <w:rFonts w:cs="Tahoma"/>
          <w:color w:val="444444"/>
          <w:szCs w:val="18"/>
        </w:rPr>
        <w:t>Le società che desiderano che il servizio sia erogato a un sottoinsieme dei loro utenti possono creare sottodomini per un</w:t>
      </w:r>
      <w:r w:rsidR="00F2643E">
        <w:rPr>
          <w:rFonts w:cs="Tahoma"/>
          <w:color w:val="444444"/>
          <w:szCs w:val="18"/>
        </w:rPr>
        <w:t>’</w:t>
      </w:r>
      <w:r w:rsidRPr="00A75DF9">
        <w:rPr>
          <w:rFonts w:cs="Tahoma"/>
          <w:color w:val="444444"/>
          <w:szCs w:val="18"/>
        </w:rPr>
        <w:t>erogazione del servizio più mirata. Solo gli</w:t>
      </w:r>
      <w:r w:rsidR="00843AD9">
        <w:rPr>
          <w:rFonts w:cs="Tahoma"/>
          <w:color w:val="444444"/>
          <w:szCs w:val="18"/>
        </w:rPr>
        <w:t> </w:t>
      </w:r>
      <w:r w:rsidRPr="00A75DF9">
        <w:rPr>
          <w:rFonts w:cs="Tahoma"/>
          <w:color w:val="444444"/>
          <w:szCs w:val="18"/>
        </w:rPr>
        <w:t>utenti che rientrano nel sottodominio incluso devono disporre di SL per Utente.</w:t>
      </w:r>
    </w:p>
    <w:p w:rsidR="005D484B" w:rsidRPr="00A75DF9" w:rsidRDefault="005D484B" w:rsidP="00453CAC">
      <w:pPr>
        <w:ind w:left="720"/>
        <w:rPr>
          <w:rFonts w:cs="Tahoma"/>
        </w:rPr>
      </w:pPr>
    </w:p>
    <w:p w:rsidR="005D484B" w:rsidRPr="00A75DF9" w:rsidRDefault="005D484B" w:rsidP="005D484B">
      <w:pPr>
        <w:ind w:left="720"/>
        <w:rPr>
          <w:rFonts w:cs="Tahoma"/>
        </w:rPr>
      </w:pPr>
      <w:r w:rsidRPr="00A75DF9">
        <w:rPr>
          <w:rFonts w:cs="Tahoma"/>
          <w:szCs w:val="18"/>
        </w:rPr>
        <w:t>Gli Istituti Didattici ai sensi dei contratti Enrollment for Education Solutions e Open Value Subscription per Education Solutions, autorizzati a ricevere l</w:t>
      </w:r>
      <w:r w:rsidR="00F2643E">
        <w:rPr>
          <w:rFonts w:cs="Tahoma"/>
          <w:szCs w:val="18"/>
        </w:rPr>
        <w:t>’</w:t>
      </w:r>
      <w:r w:rsidRPr="00A75DF9">
        <w:rPr>
          <w:rFonts w:cs="Tahoma"/>
          <w:szCs w:val="18"/>
        </w:rPr>
        <w:t>Enterprise CAL Suite o l</w:t>
      </w:r>
      <w:r w:rsidR="00F2643E">
        <w:rPr>
          <w:rFonts w:cs="Tahoma"/>
          <w:szCs w:val="18"/>
        </w:rPr>
        <w:t>’</w:t>
      </w:r>
      <w:r w:rsidRPr="00A75DF9">
        <w:rPr>
          <w:rFonts w:cs="Tahoma"/>
          <w:szCs w:val="18"/>
        </w:rPr>
        <w:t>Exchange Enterprise CAL with Services, con la copertura Software Assurance attiva, sono pienamente idonei a ricevere Exchange Online Protection indipendentemente dal loro numero di licenze per Enterprise CAL Suite o Exchange Enterprise CAL with Services. Le società dovranno fare riferimento alle note del prodotto nell</w:t>
      </w:r>
      <w:r w:rsidR="00F2643E">
        <w:rPr>
          <w:rFonts w:cs="Tahoma"/>
          <w:szCs w:val="18"/>
        </w:rPr>
        <w:t>’</w:t>
      </w:r>
      <w:r w:rsidRPr="00A75DF9">
        <w:rPr>
          <w:rFonts w:cs="Tahoma"/>
          <w:szCs w:val="18"/>
        </w:rPr>
        <w:t>Enterprise CAL Suite o nell</w:t>
      </w:r>
      <w:r w:rsidR="00F2643E">
        <w:rPr>
          <w:rFonts w:cs="Tahoma"/>
          <w:szCs w:val="18"/>
        </w:rPr>
        <w:t>’</w:t>
      </w:r>
      <w:r w:rsidRPr="00A75DF9">
        <w:rPr>
          <w:rFonts w:cs="Tahoma"/>
          <w:szCs w:val="18"/>
        </w:rPr>
        <w:t>Exchange Enterprise CAL per la modalità di erogazione.</w:t>
      </w:r>
    </w:p>
    <w:p w:rsidR="00453CAC" w:rsidRPr="00843AD9" w:rsidRDefault="00453CAC" w:rsidP="00453CAC">
      <w:pPr>
        <w:pStyle w:val="EndnoteText"/>
        <w:ind w:hanging="900"/>
        <w:rPr>
          <w:rFonts w:ascii="Tahoma" w:hAnsi="Tahoma" w:cs="Tahoma"/>
          <w:sz w:val="18"/>
          <w:szCs w:val="18"/>
        </w:rPr>
      </w:pPr>
    </w:p>
    <w:p w:rsidR="0004051B" w:rsidRDefault="0004051B">
      <w:pPr>
        <w:rPr>
          <w:rFonts w:cs="Tahoma"/>
          <w:szCs w:val="18"/>
        </w:rPr>
      </w:pPr>
    </w:p>
    <w:p w:rsidR="00CC1E5B" w:rsidRDefault="00CC1E5B">
      <w:pPr>
        <w:rPr>
          <w:rFonts w:cs="Tahoma"/>
          <w:szCs w:val="18"/>
        </w:rPr>
      </w:pPr>
    </w:p>
    <w:p w:rsidR="00CC1E5B" w:rsidRDefault="00CC1E5B">
      <w:pPr>
        <w:rPr>
          <w:rFonts w:cs="Tahoma"/>
          <w:szCs w:val="18"/>
        </w:rPr>
      </w:pPr>
    </w:p>
    <w:p w:rsidR="00CC1E5B" w:rsidRDefault="00CC1E5B">
      <w:pPr>
        <w:rPr>
          <w:rFonts w:cs="Tahoma"/>
          <w:szCs w:val="18"/>
        </w:rPr>
      </w:pPr>
    </w:p>
    <w:p w:rsidR="00CC1E5B" w:rsidRPr="00843AD9" w:rsidRDefault="00CC1E5B">
      <w:pPr>
        <w:rPr>
          <w:rFonts w:cs="Tahoma"/>
          <w:szCs w:val="18"/>
        </w:rPr>
      </w:pPr>
    </w:p>
    <w:p w:rsidR="009D3013" w:rsidRPr="00A75DF9" w:rsidRDefault="00A560B6" w:rsidP="009D3013">
      <w:pPr>
        <w:pStyle w:val="Heading2"/>
        <w:ind w:left="0"/>
        <w:rPr>
          <w:rFonts w:ascii="Tahoma" w:hAnsi="Tahoma" w:cs="Tahoma"/>
        </w:rPr>
      </w:pPr>
      <w:bookmarkStart w:id="1253" w:name="_52_51_Exchange"/>
      <w:bookmarkStart w:id="1254" w:name="_57_Exchange_Server"/>
      <w:bookmarkStart w:id="1255" w:name="_Toc368310307"/>
      <w:bookmarkEnd w:id="1253"/>
      <w:bookmarkEnd w:id="1254"/>
      <w:r w:rsidRPr="00A75DF9">
        <w:rPr>
          <w:rFonts w:ascii="Tahoma" w:hAnsi="Tahoma" w:cs="Tahoma"/>
          <w:caps/>
          <w:color w:val="FA6500"/>
          <w:sz w:val="22"/>
          <w:vertAlign w:val="superscript"/>
        </w:rPr>
        <w:lastRenderedPageBreak/>
        <w:t xml:space="preserve">57 </w:t>
      </w:r>
      <w:r w:rsidRPr="00A75DF9">
        <w:rPr>
          <w:rFonts w:ascii="Tahoma" w:hAnsi="Tahoma" w:cs="Tahoma"/>
          <w:color w:val="FA6500"/>
          <w:sz w:val="22"/>
        </w:rPr>
        <w:t xml:space="preserve">Exchange Server 2013, Edizioni Enterprise e </w:t>
      </w:r>
      <w:bookmarkEnd w:id="1250"/>
      <w:r w:rsidRPr="00A75DF9">
        <w:rPr>
          <w:rFonts w:ascii="Tahoma" w:hAnsi="Tahoma" w:cs="Tahoma"/>
          <w:color w:val="FA6500"/>
          <w:sz w:val="22"/>
        </w:rPr>
        <w:t>Standard</w:t>
      </w:r>
      <w:bookmarkEnd w:id="1255"/>
    </w:p>
    <w:p w:rsidR="009D3013" w:rsidRPr="00A75DF9" w:rsidRDefault="009D3013" w:rsidP="009D3013">
      <w:pPr>
        <w:ind w:left="720"/>
        <w:rPr>
          <w:rFonts w:cs="Tahoma"/>
        </w:rPr>
      </w:pPr>
    </w:p>
    <w:p w:rsidR="009D3013" w:rsidRPr="00A75DF9" w:rsidRDefault="009D3013" w:rsidP="009D3013">
      <w:pPr>
        <w:ind w:left="720"/>
        <w:rPr>
          <w:rFonts w:cs="Tahoma"/>
        </w:rPr>
      </w:pPr>
      <w:r w:rsidRPr="00A75DF9">
        <w:rPr>
          <w:rFonts w:cs="Tahoma"/>
          <w:color w:val="000000"/>
          <w:szCs w:val="18"/>
        </w:rPr>
        <w:t>Exchange Server 2013 è l</w:t>
      </w:r>
      <w:r w:rsidR="00F2643E">
        <w:rPr>
          <w:rFonts w:cs="Tahoma"/>
          <w:color w:val="000000"/>
          <w:szCs w:val="18"/>
        </w:rPr>
        <w:t>’</w:t>
      </w:r>
      <w:r w:rsidRPr="00A75DF9">
        <w:rPr>
          <w:rFonts w:cs="Tahoma"/>
          <w:color w:val="000000"/>
          <w:szCs w:val="18"/>
        </w:rPr>
        <w:t>ultima versione di Exchange Server.</w:t>
      </w:r>
    </w:p>
    <w:p w:rsidR="009D3013" w:rsidRPr="00A75DF9" w:rsidRDefault="009D3013" w:rsidP="0067725A">
      <w:pPr>
        <w:rPr>
          <w:rFonts w:cs="Tahoma"/>
        </w:rPr>
      </w:pPr>
    </w:p>
    <w:p w:rsidR="009D3013" w:rsidRPr="00A75DF9" w:rsidRDefault="009D3013" w:rsidP="0067725A">
      <w:pPr>
        <w:spacing w:after="60"/>
        <w:ind w:left="720"/>
        <w:rPr>
          <w:rFonts w:cs="Tahoma"/>
        </w:rPr>
      </w:pPr>
      <w:r w:rsidRPr="00A75DF9">
        <w:rPr>
          <w:rFonts w:cs="Tahoma"/>
          <w:b/>
          <w:color w:val="000000"/>
          <w:szCs w:val="18"/>
        </w:rPr>
        <w:t>Concessione di Licenza per le Società Titolari di Licenza External Connector per Exchange Server 2010</w:t>
      </w:r>
    </w:p>
    <w:p w:rsidR="009D3013" w:rsidRPr="00A75DF9" w:rsidRDefault="009D3013" w:rsidP="0067725A">
      <w:pPr>
        <w:ind w:left="720"/>
        <w:rPr>
          <w:rFonts w:cs="Tahoma"/>
        </w:rPr>
      </w:pPr>
      <w:r w:rsidRPr="00A75DF9">
        <w:rPr>
          <w:rFonts w:cs="Tahoma"/>
          <w:color w:val="000000"/>
          <w:szCs w:val="18"/>
        </w:rPr>
        <w:t xml:space="preserve">La versione 2010 della Licenza </w:t>
      </w:r>
      <w:bookmarkStart w:id="1256" w:name="Srv_42ExchangeSvr07"/>
      <w:bookmarkStart w:id="1257" w:name="Srv_48ExchangeSvr2010"/>
      <w:r w:rsidRPr="00A75DF9">
        <w:rPr>
          <w:rFonts w:cs="Tahoma"/>
          <w:color w:val="000000"/>
          <w:szCs w:val="18"/>
        </w:rPr>
        <w:t>External Connector</w:t>
      </w:r>
      <w:bookmarkEnd w:id="1256"/>
      <w:bookmarkEnd w:id="1257"/>
      <w:r w:rsidRPr="00A75DF9">
        <w:rPr>
          <w:rFonts w:cs="Tahoma"/>
          <w:color w:val="000000"/>
          <w:szCs w:val="18"/>
        </w:rPr>
        <w:t xml:space="preserve"> per Exchange Server 2010 è la versione finale di tale licenza.</w:t>
      </w:r>
      <w:r w:rsidR="009D3B41" w:rsidRPr="00A75DF9">
        <w:rPr>
          <w:rFonts w:cs="Tahoma"/>
          <w:color w:val="000000"/>
          <w:szCs w:val="18"/>
        </w:rPr>
        <w:t xml:space="preserve"> </w:t>
      </w:r>
      <w:r w:rsidRPr="00A75DF9">
        <w:rPr>
          <w:rFonts w:cs="Tahoma"/>
          <w:color w:val="000000"/>
          <w:szCs w:val="18"/>
        </w:rPr>
        <w:t>Alla luce di ciò, le società titolari di Licenze External Connector per Exchange Server 2010 con copertura Software Assurance attiva al 1 ottobre 2012 sono idonee a ricevere la concessione di licenza che segue.</w:t>
      </w:r>
    </w:p>
    <w:p w:rsidR="009D3013" w:rsidRPr="00A75DF9" w:rsidRDefault="009D3013" w:rsidP="009D3013">
      <w:pPr>
        <w:ind w:left="90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9D3013" w:rsidRPr="00A75DF9" w:rsidTr="002C3AB1">
        <w:trPr>
          <w:trHeight w:val="332"/>
        </w:trPr>
        <w:tc>
          <w:tcPr>
            <w:tcW w:w="4500" w:type="dxa"/>
            <w:shd w:val="clear" w:color="auto" w:fill="FABF8F"/>
          </w:tcPr>
          <w:p w:rsidR="009D3013" w:rsidRPr="00A75DF9" w:rsidRDefault="009D3013" w:rsidP="002C3AB1">
            <w:pPr>
              <w:rPr>
                <w:rFonts w:cs="Tahoma"/>
                <w:b/>
                <w:color w:val="000000"/>
                <w:szCs w:val="18"/>
              </w:rPr>
            </w:pPr>
            <w:r w:rsidRPr="00A75DF9">
              <w:rPr>
                <w:rFonts w:cs="Tahoma"/>
                <w:b/>
                <w:color w:val="000000"/>
                <w:szCs w:val="18"/>
              </w:rPr>
              <w:t>Licenza Qualificante</w:t>
            </w:r>
          </w:p>
        </w:tc>
        <w:tc>
          <w:tcPr>
            <w:tcW w:w="3600" w:type="dxa"/>
            <w:shd w:val="clear" w:color="auto" w:fill="FABF8F"/>
          </w:tcPr>
          <w:p w:rsidR="009D3013" w:rsidRPr="00A75DF9" w:rsidRDefault="009D3013" w:rsidP="002C3AB1">
            <w:pPr>
              <w:rPr>
                <w:rFonts w:cs="Tahoma"/>
                <w:b/>
                <w:color w:val="000000"/>
                <w:szCs w:val="18"/>
              </w:rPr>
            </w:pPr>
            <w:r w:rsidRPr="00A75DF9">
              <w:rPr>
                <w:rFonts w:cs="Tahoma"/>
                <w:b/>
                <w:color w:val="000000"/>
                <w:szCs w:val="18"/>
              </w:rPr>
              <w:t>Licenza Gratuita e Vantaggi</w:t>
            </w:r>
          </w:p>
        </w:tc>
      </w:tr>
      <w:tr w:rsidR="009D3013" w:rsidRPr="00A75DF9" w:rsidTr="002C3AB1">
        <w:trPr>
          <w:trHeight w:val="70"/>
        </w:trPr>
        <w:tc>
          <w:tcPr>
            <w:tcW w:w="4500" w:type="dxa"/>
            <w:shd w:val="clear" w:color="auto" w:fill="auto"/>
          </w:tcPr>
          <w:p w:rsidR="009D3013" w:rsidRPr="00A75DF9" w:rsidRDefault="009D3013" w:rsidP="00843AD9">
            <w:pPr>
              <w:rPr>
                <w:rFonts w:cs="Tahoma"/>
                <w:color w:val="000000"/>
                <w:szCs w:val="18"/>
              </w:rPr>
            </w:pPr>
            <w:r w:rsidRPr="00A75DF9">
              <w:rPr>
                <w:rFonts w:cs="Tahoma"/>
                <w:color w:val="000000"/>
                <w:szCs w:val="18"/>
              </w:rPr>
              <w:t>Licenza External Connector per Exchange Server 2010 con Software Assurance attiva a partire dal 1</w:t>
            </w:r>
            <w:r w:rsidR="00843AD9">
              <w:rPr>
                <w:rFonts w:cs="Tahoma"/>
                <w:color w:val="000000"/>
                <w:szCs w:val="18"/>
              </w:rPr>
              <w:t> </w:t>
            </w:r>
            <w:r w:rsidRPr="00A75DF9">
              <w:rPr>
                <w:rFonts w:cs="Tahoma"/>
                <w:color w:val="000000"/>
                <w:szCs w:val="18"/>
              </w:rPr>
              <w:t>ottobre 2012</w:t>
            </w:r>
          </w:p>
        </w:tc>
        <w:tc>
          <w:tcPr>
            <w:tcW w:w="3600" w:type="dxa"/>
            <w:shd w:val="clear" w:color="auto" w:fill="auto"/>
          </w:tcPr>
          <w:p w:rsidR="009D3013" w:rsidRPr="00A75DF9" w:rsidRDefault="009D3013" w:rsidP="002C3AB1">
            <w:pPr>
              <w:rPr>
                <w:rFonts w:cs="Tahoma"/>
                <w:color w:val="000000"/>
                <w:szCs w:val="18"/>
              </w:rPr>
            </w:pPr>
            <w:r w:rsidRPr="00A75DF9">
              <w:rPr>
                <w:rFonts w:cs="Tahoma"/>
                <w:color w:val="000000"/>
                <w:szCs w:val="18"/>
              </w:rPr>
              <w:t>Licenza Enterprise per Exchange Server 2013</w:t>
            </w:r>
          </w:p>
        </w:tc>
      </w:tr>
    </w:tbl>
    <w:p w:rsidR="009D3013" w:rsidRPr="00A75DF9" w:rsidRDefault="009D3013" w:rsidP="0067725A">
      <w:pPr>
        <w:rPr>
          <w:rFonts w:cs="Tahoma"/>
        </w:rPr>
      </w:pPr>
    </w:p>
    <w:p w:rsidR="009D3013" w:rsidRPr="00A75DF9" w:rsidRDefault="009D3013" w:rsidP="009D3013">
      <w:pPr>
        <w:ind w:left="720"/>
        <w:rPr>
          <w:rFonts w:cs="Tahoma"/>
        </w:rPr>
      </w:pPr>
      <w:r w:rsidRPr="00A75DF9">
        <w:rPr>
          <w:rFonts w:cs="Tahoma"/>
          <w:color w:val="000000"/>
          <w:szCs w:val="18"/>
        </w:rPr>
        <w:t>Le condizioni che seguono si applicano alle concessioni di licenze riportate sopra:</w:t>
      </w:r>
    </w:p>
    <w:p w:rsidR="009D3013" w:rsidRPr="00A75DF9" w:rsidRDefault="009D3013" w:rsidP="009D3013">
      <w:pPr>
        <w:ind w:left="720"/>
        <w:rPr>
          <w:rFonts w:cs="Tahoma"/>
        </w:rPr>
      </w:pPr>
    </w:p>
    <w:p w:rsidR="009D3013" w:rsidRPr="00A75DF9" w:rsidRDefault="009D3013" w:rsidP="00346F4B">
      <w:pPr>
        <w:numPr>
          <w:ilvl w:val="0"/>
          <w:numId w:val="101"/>
        </w:numPr>
        <w:spacing w:after="60"/>
        <w:ind w:left="1440"/>
        <w:rPr>
          <w:rFonts w:cs="Tahoma"/>
        </w:rPr>
      </w:pPr>
      <w:r w:rsidRPr="00A75DF9">
        <w:rPr>
          <w:rFonts w:cs="Tahoma"/>
          <w:bCs/>
          <w:color w:val="000000"/>
          <w:szCs w:val="18"/>
        </w:rPr>
        <w:t>Percorso di Migrazione</w:t>
      </w:r>
      <w:r w:rsidRPr="00A75DF9">
        <w:rPr>
          <w:rFonts w:cs="Tahoma"/>
          <w:color w:val="000000"/>
          <w:szCs w:val="18"/>
        </w:rPr>
        <w:t>: Le società con copertura Software Assurance attiva per una determinata Licenza Qualificante a partire dal 1 ottobre 2012 e in occasione del rilascio della versione commerciale di Exchange Server 2013 sono idonee a effettuare l</w:t>
      </w:r>
      <w:r w:rsidR="00F2643E">
        <w:rPr>
          <w:rFonts w:cs="Tahoma"/>
          <w:color w:val="000000"/>
          <w:szCs w:val="18"/>
        </w:rPr>
        <w:t>’</w:t>
      </w:r>
      <w:r w:rsidRPr="00A75DF9">
        <w:rPr>
          <w:rFonts w:cs="Tahoma"/>
          <w:color w:val="000000"/>
          <w:szCs w:val="18"/>
        </w:rPr>
        <w:t>aggiornamento al software Exchange Server 2013 e a utilizzarlo ai sensi della Licenza Gratuita al posto del software Exchange Server 2010 ai sensi della corrispondente licenza External Connector qualificante.</w:t>
      </w:r>
      <w:r w:rsidR="009D3B41" w:rsidRPr="00A75DF9">
        <w:rPr>
          <w:rFonts w:cs="Tahoma"/>
          <w:color w:val="000000"/>
          <w:szCs w:val="18"/>
        </w:rPr>
        <w:t xml:space="preserve"> </w:t>
      </w:r>
    </w:p>
    <w:p w:rsidR="009D3013" w:rsidRPr="00A75DF9" w:rsidRDefault="009D3013" w:rsidP="00843AD9">
      <w:pPr>
        <w:numPr>
          <w:ilvl w:val="0"/>
          <w:numId w:val="101"/>
        </w:numPr>
        <w:spacing w:after="60"/>
        <w:ind w:left="1440"/>
        <w:rPr>
          <w:rFonts w:cs="Tahoma"/>
        </w:rPr>
      </w:pPr>
      <w:r w:rsidRPr="00A75DF9">
        <w:rPr>
          <w:rFonts w:cs="Tahoma"/>
          <w:color w:val="000000"/>
          <w:szCs w:val="18"/>
        </w:rPr>
        <w:t>Diritti sull</w:t>
      </w:r>
      <w:r w:rsidR="00F2643E">
        <w:rPr>
          <w:rFonts w:cs="Tahoma"/>
          <w:color w:val="000000"/>
          <w:szCs w:val="18"/>
        </w:rPr>
        <w:t>’</w:t>
      </w:r>
      <w:r w:rsidRPr="00A75DF9">
        <w:rPr>
          <w:rFonts w:cs="Tahoma"/>
          <w:color w:val="000000"/>
          <w:szCs w:val="18"/>
        </w:rPr>
        <w:t>utilizzo: il diritto di utilizzo del software ai sensi della Licenza Gratuita della presente offerta scadrà alla scadenza del diritto di utilizzo del software ai sensi della Licenza Qualificante.</w:t>
      </w:r>
      <w:r w:rsidR="009D3B41" w:rsidRPr="00A75DF9">
        <w:rPr>
          <w:rFonts w:cs="Tahoma"/>
          <w:color w:val="000000"/>
          <w:szCs w:val="18"/>
        </w:rPr>
        <w:t xml:space="preserve"> </w:t>
      </w:r>
      <w:r w:rsidRPr="00A75DF9">
        <w:rPr>
          <w:rFonts w:cs="Tahoma"/>
          <w:color w:val="000000"/>
          <w:szCs w:val="18"/>
        </w:rPr>
        <w:t>L</w:t>
      </w:r>
      <w:r w:rsidR="00F2643E">
        <w:rPr>
          <w:rFonts w:cs="Tahoma"/>
          <w:color w:val="000000"/>
          <w:szCs w:val="18"/>
        </w:rPr>
        <w:t>’</w:t>
      </w:r>
      <w:r w:rsidRPr="00A75DF9">
        <w:rPr>
          <w:rFonts w:cs="Tahoma"/>
          <w:color w:val="000000"/>
          <w:szCs w:val="18"/>
        </w:rPr>
        <w:t>utilizzo di tale software è disciplinato dai diritti sull</w:t>
      </w:r>
      <w:r w:rsidR="00F2643E">
        <w:rPr>
          <w:rFonts w:cs="Tahoma"/>
          <w:color w:val="000000"/>
          <w:szCs w:val="18"/>
        </w:rPr>
        <w:t>’</w:t>
      </w:r>
      <w:r w:rsidRPr="00A75DF9">
        <w:rPr>
          <w:rFonts w:cs="Tahoma"/>
          <w:color w:val="000000"/>
          <w:szCs w:val="18"/>
        </w:rPr>
        <w:t>utilizzo del software e dalle condizioni del Contratto Multilicenza della società.</w:t>
      </w:r>
      <w:r w:rsidR="009D3B41" w:rsidRPr="00A75DF9">
        <w:rPr>
          <w:rFonts w:cs="Tahoma"/>
          <w:color w:val="000000"/>
          <w:szCs w:val="18"/>
        </w:rPr>
        <w:t xml:space="preserve"> </w:t>
      </w:r>
      <w:r w:rsidRPr="00A75DF9">
        <w:rPr>
          <w:rFonts w:cs="Tahoma"/>
          <w:color w:val="000000"/>
          <w:szCs w:val="18"/>
        </w:rPr>
        <w:t>Questa nota relativa alle condizioni del prodotto e la prova da</w:t>
      </w:r>
      <w:r w:rsidR="00843AD9">
        <w:rPr>
          <w:rFonts w:cs="Tahoma"/>
          <w:color w:val="000000"/>
          <w:szCs w:val="18"/>
        </w:rPr>
        <w:t> </w:t>
      </w:r>
      <w:r w:rsidRPr="00A75DF9">
        <w:rPr>
          <w:rFonts w:cs="Tahoma"/>
          <w:color w:val="000000"/>
          <w:szCs w:val="18"/>
        </w:rPr>
        <w:t>parte della società della corrispondente Licenza e Software Assurance (L&amp;SA) Qualificante costituiscono insieme la prova del diritto di utilizzo del software ai sensi della Licenza Gratuita della presente offerta.</w:t>
      </w:r>
      <w:r w:rsidR="009D3B41" w:rsidRPr="00A75DF9">
        <w:rPr>
          <w:rFonts w:cs="Tahoma"/>
          <w:color w:val="000000"/>
          <w:szCs w:val="18"/>
        </w:rPr>
        <w:t xml:space="preserve"> </w:t>
      </w:r>
    </w:p>
    <w:p w:rsidR="009D3013" w:rsidRPr="00A75DF9" w:rsidRDefault="009D3013" w:rsidP="005427B6">
      <w:pPr>
        <w:numPr>
          <w:ilvl w:val="0"/>
          <w:numId w:val="8"/>
        </w:numPr>
        <w:spacing w:after="60"/>
        <w:ind w:left="1440"/>
        <w:rPr>
          <w:rFonts w:cs="Tahoma"/>
        </w:rPr>
      </w:pPr>
      <w:r w:rsidRPr="00A75DF9">
        <w:rPr>
          <w:rFonts w:cs="Tahoma"/>
          <w:color w:val="000000"/>
          <w:szCs w:val="18"/>
        </w:rPr>
        <w:t>Licenza e Software Assurance (L&amp;SA): la Licenza Gratuita include la copertura Software Assurance.</w:t>
      </w:r>
      <w:r w:rsidR="009D3B41" w:rsidRPr="00A75DF9">
        <w:rPr>
          <w:rFonts w:cs="Tahoma"/>
          <w:color w:val="000000"/>
          <w:szCs w:val="18"/>
        </w:rPr>
        <w:t xml:space="preserve"> </w:t>
      </w:r>
      <w:r w:rsidRPr="00A75DF9">
        <w:rPr>
          <w:rFonts w:cs="Tahoma"/>
          <w:color w:val="000000"/>
          <w:szCs w:val="18"/>
        </w:rPr>
        <w:t>La copertura Software Assurance per la Licenza Gratuita scadrà alla scadenza della copertura per la Licenza Qualificante.</w:t>
      </w:r>
      <w:r w:rsidR="009D3B41" w:rsidRPr="00A75DF9">
        <w:rPr>
          <w:rFonts w:cs="Tahoma"/>
          <w:color w:val="000000"/>
          <w:szCs w:val="18"/>
        </w:rPr>
        <w:t xml:space="preserve"> </w:t>
      </w:r>
      <w:r w:rsidRPr="00A75DF9">
        <w:rPr>
          <w:rFonts w:cs="Tahoma"/>
          <w:color w:val="000000"/>
          <w:szCs w:val="18"/>
        </w:rPr>
        <w:t>Alla scadenza della copertura Software Assurance per la Licenza Qualificante, la società potrà rinnovare Software Assurance per la Licenza Gratuita senza dover acquistare una nuova licenza specifica.</w:t>
      </w:r>
    </w:p>
    <w:p w:rsidR="009D3013" w:rsidRPr="00843AD9" w:rsidRDefault="009D3013" w:rsidP="00843AD9">
      <w:pPr>
        <w:numPr>
          <w:ilvl w:val="0"/>
          <w:numId w:val="102"/>
        </w:numPr>
        <w:spacing w:after="60"/>
        <w:ind w:left="1440"/>
        <w:rPr>
          <w:rFonts w:cs="Tahoma"/>
        </w:rPr>
      </w:pPr>
      <w:r w:rsidRPr="00A75DF9">
        <w:rPr>
          <w:rFonts w:eastAsia="Calibri" w:cs="Tahoma"/>
          <w:color w:val="000000"/>
          <w:szCs w:val="18"/>
        </w:rPr>
        <w:t>True-up</w:t>
      </w:r>
      <w:r w:rsidRPr="00A75DF9">
        <w:rPr>
          <w:rFonts w:eastAsia="Calibri" w:cs="Tahoma"/>
          <w:b/>
          <w:color w:val="000000"/>
          <w:szCs w:val="18"/>
        </w:rPr>
        <w:t>:</w:t>
      </w:r>
      <w:r w:rsidR="009D3B41" w:rsidRPr="00A75DF9">
        <w:rPr>
          <w:rFonts w:eastAsia="Calibri" w:cs="Tahoma"/>
          <w:color w:val="000000"/>
          <w:szCs w:val="18"/>
        </w:rPr>
        <w:t xml:space="preserve"> </w:t>
      </w:r>
      <w:r w:rsidRPr="00A75DF9">
        <w:rPr>
          <w:rFonts w:eastAsia="Calibri" w:cs="Tahoma"/>
          <w:color w:val="000000"/>
          <w:szCs w:val="18"/>
        </w:rPr>
        <w:t>Per le società titolari di un Contratto Enterprise idonee a ricevere tali licenze gratuite e i</w:t>
      </w:r>
      <w:r w:rsidR="00843AD9">
        <w:rPr>
          <w:rFonts w:eastAsia="Calibri" w:cs="Tahoma"/>
          <w:color w:val="000000"/>
          <w:szCs w:val="18"/>
        </w:rPr>
        <w:t> </w:t>
      </w:r>
      <w:r w:rsidRPr="00A75DF9">
        <w:rPr>
          <w:rFonts w:eastAsia="Calibri" w:cs="Tahoma"/>
          <w:color w:val="000000"/>
          <w:szCs w:val="18"/>
        </w:rPr>
        <w:t>diritti descritti in precedenza, le licenze External Connector per Exchange Server 2010 acquistate nell</w:t>
      </w:r>
      <w:r w:rsidR="00F2643E">
        <w:rPr>
          <w:rFonts w:eastAsia="Calibri" w:cs="Tahoma"/>
          <w:color w:val="000000"/>
          <w:szCs w:val="18"/>
        </w:rPr>
        <w:t>’</w:t>
      </w:r>
      <w:r w:rsidRPr="00A75DF9">
        <w:rPr>
          <w:rFonts w:eastAsia="Calibri" w:cs="Tahoma"/>
          <w:color w:val="000000"/>
          <w:szCs w:val="18"/>
        </w:rPr>
        <w:t xml:space="preserve">ambito di una procedura </w:t>
      </w:r>
      <w:r w:rsidRPr="00A75DF9">
        <w:rPr>
          <w:rFonts w:cs="Tahoma"/>
          <w:color w:val="000000"/>
          <w:szCs w:val="18"/>
        </w:rPr>
        <w:t>annuale di true-up sono, anch</w:t>
      </w:r>
      <w:r w:rsidR="00F2643E">
        <w:rPr>
          <w:rFonts w:cs="Tahoma"/>
          <w:color w:val="000000"/>
          <w:szCs w:val="18"/>
        </w:rPr>
        <w:t>’</w:t>
      </w:r>
      <w:r w:rsidRPr="00A75DF9">
        <w:rPr>
          <w:rFonts w:cs="Tahoma"/>
          <w:color w:val="000000"/>
          <w:szCs w:val="18"/>
        </w:rPr>
        <w:t>esse, Licenze Qualificanti.</w:t>
      </w:r>
    </w:p>
    <w:p w:rsidR="009D3013" w:rsidRPr="00A75DF9" w:rsidRDefault="009D3013" w:rsidP="00843AD9">
      <w:pPr>
        <w:numPr>
          <w:ilvl w:val="0"/>
          <w:numId w:val="102"/>
        </w:numPr>
        <w:spacing w:after="60"/>
        <w:ind w:left="1440"/>
        <w:rPr>
          <w:rFonts w:cs="Tahoma"/>
        </w:rPr>
      </w:pPr>
      <w:r w:rsidRPr="00A75DF9">
        <w:rPr>
          <w:rFonts w:cs="Tahoma"/>
          <w:color w:val="000000"/>
          <w:szCs w:val="18"/>
        </w:rPr>
        <w:t>Contratti “Subscription”:</w:t>
      </w:r>
      <w:r w:rsidR="009D3B41" w:rsidRPr="00A75DF9">
        <w:rPr>
          <w:rFonts w:cs="Tahoma"/>
          <w:color w:val="000000"/>
          <w:szCs w:val="18"/>
        </w:rPr>
        <w:t xml:space="preserve"> </w:t>
      </w:r>
      <w:r w:rsidRPr="00A75DF9">
        <w:rPr>
          <w:rFonts w:cs="Tahoma"/>
          <w:color w:val="000000"/>
          <w:szCs w:val="18"/>
        </w:rPr>
        <w:t xml:space="preserve">per quanto riguarda i Contratti Enterprise Subscription, </w:t>
      </w:r>
      <w:r w:rsidRPr="00A75DF9">
        <w:rPr>
          <w:rFonts w:cs="Tahoma"/>
          <w:szCs w:val="18"/>
        </w:rPr>
        <w:t>Open Value Subscription, Campus e School, Enrollment for Education Solutions e Open Value Subscription-Education Solutions, gli stessi diritti verranno concessi temporaneamente, in base alle medesime condizioni,</w:t>
      </w:r>
      <w:r w:rsidRPr="00A75DF9">
        <w:rPr>
          <w:rFonts w:cs="Tahoma"/>
          <w:color w:val="000000"/>
          <w:szCs w:val="18"/>
        </w:rPr>
        <w:t xml:space="preserve"> fino al termine del periodo di validità corrente dell</w:t>
      </w:r>
      <w:r w:rsidR="00F2643E">
        <w:rPr>
          <w:rFonts w:cs="Tahoma"/>
          <w:color w:val="000000"/>
          <w:szCs w:val="18"/>
        </w:rPr>
        <w:t>’</w:t>
      </w:r>
      <w:r w:rsidRPr="00A75DF9">
        <w:rPr>
          <w:rFonts w:cs="Tahoma"/>
          <w:color w:val="000000"/>
          <w:szCs w:val="18"/>
        </w:rPr>
        <w:t>iscrizione (o del periodo di validità del</w:t>
      </w:r>
      <w:r w:rsidR="00843AD9">
        <w:rPr>
          <w:rFonts w:cs="Tahoma"/>
          <w:color w:val="000000"/>
          <w:szCs w:val="18"/>
        </w:rPr>
        <w:t> </w:t>
      </w:r>
      <w:r w:rsidRPr="00A75DF9">
        <w:rPr>
          <w:rFonts w:cs="Tahoma"/>
          <w:color w:val="000000"/>
          <w:szCs w:val="18"/>
        </w:rPr>
        <w:t>contratto nel caso di Open Value).</w:t>
      </w:r>
      <w:r w:rsidR="009D3B41" w:rsidRPr="00A75DF9">
        <w:rPr>
          <w:rFonts w:cs="Tahoma"/>
          <w:color w:val="000000"/>
          <w:szCs w:val="18"/>
        </w:rPr>
        <w:t xml:space="preserve"> </w:t>
      </w:r>
      <w:r w:rsidRPr="00A75DF9">
        <w:rPr>
          <w:rFonts w:cs="Tahoma"/>
          <w:color w:val="000000"/>
          <w:szCs w:val="18"/>
        </w:rPr>
        <w:t>La società dovrà mantenere la copertura dell</w:t>
      </w:r>
      <w:r w:rsidR="00F2643E">
        <w:rPr>
          <w:rFonts w:cs="Tahoma"/>
          <w:color w:val="000000"/>
          <w:szCs w:val="18"/>
        </w:rPr>
        <w:t>’</w:t>
      </w:r>
      <w:r w:rsidRPr="00A75DF9">
        <w:rPr>
          <w:rFonts w:cs="Tahoma"/>
          <w:color w:val="000000"/>
          <w:szCs w:val="18"/>
        </w:rPr>
        <w:t>abbonamento in via continuativa.</w:t>
      </w:r>
      <w:r w:rsidR="009D3B41" w:rsidRPr="00A75DF9">
        <w:rPr>
          <w:rFonts w:cs="Tahoma"/>
          <w:color w:val="000000"/>
          <w:szCs w:val="18"/>
        </w:rPr>
        <w:t xml:space="preserve"> </w:t>
      </w:r>
      <w:bookmarkStart w:id="1258" w:name="_Toc336338313"/>
      <w:r w:rsidRPr="00A75DF9">
        <w:rPr>
          <w:rFonts w:cs="Tahoma"/>
          <w:color w:val="000000"/>
          <w:szCs w:val="18"/>
        </w:rPr>
        <w:t>Tali diritti diventeranno permanenti soltanto all</w:t>
      </w:r>
      <w:r w:rsidR="00F2643E">
        <w:rPr>
          <w:rFonts w:cs="Tahoma"/>
          <w:color w:val="000000"/>
          <w:szCs w:val="18"/>
        </w:rPr>
        <w:t>’</w:t>
      </w:r>
      <w:r w:rsidRPr="00A75DF9">
        <w:rPr>
          <w:rFonts w:cs="Tahoma"/>
          <w:color w:val="000000"/>
          <w:szCs w:val="18"/>
        </w:rPr>
        <w:t>esercizio dell</w:t>
      </w:r>
      <w:r w:rsidR="00F2643E">
        <w:rPr>
          <w:rFonts w:cs="Tahoma"/>
          <w:color w:val="000000"/>
          <w:szCs w:val="18"/>
        </w:rPr>
        <w:t>’</w:t>
      </w:r>
      <w:r w:rsidRPr="00A75DF9">
        <w:rPr>
          <w:rFonts w:cs="Tahoma"/>
          <w:color w:val="000000"/>
          <w:szCs w:val="18"/>
        </w:rPr>
        <w:t>opzione buy-out e</w:t>
      </w:r>
      <w:r w:rsidR="00843AD9">
        <w:rPr>
          <w:rFonts w:cs="Tahoma"/>
          <w:color w:val="000000"/>
          <w:szCs w:val="18"/>
        </w:rPr>
        <w:t> </w:t>
      </w:r>
      <w:r w:rsidRPr="00A75DF9">
        <w:rPr>
          <w:rFonts w:cs="Tahoma"/>
          <w:color w:val="000000"/>
          <w:szCs w:val="18"/>
        </w:rPr>
        <w:t>resteranno soggetti a tutte le condizioni del contratto di licenza della società.</w:t>
      </w:r>
    </w:p>
    <w:p w:rsidR="009D3013" w:rsidRPr="00A75DF9" w:rsidRDefault="009D3013" w:rsidP="00843AD9">
      <w:pPr>
        <w:numPr>
          <w:ilvl w:val="0"/>
          <w:numId w:val="103"/>
        </w:numPr>
        <w:spacing w:after="60"/>
        <w:ind w:left="1440"/>
        <w:rPr>
          <w:rFonts w:cs="Tahoma"/>
        </w:rPr>
      </w:pPr>
      <w:r w:rsidRPr="00A75DF9">
        <w:rPr>
          <w:rFonts w:cs="Tahoma"/>
          <w:szCs w:val="18"/>
        </w:rPr>
        <w:t>Transizioni ai Contratti Campus e School: Per quanto riguarda le società che a metà del periodo di</w:t>
      </w:r>
      <w:r w:rsidR="00843AD9">
        <w:rPr>
          <w:rFonts w:cs="Tahoma"/>
          <w:szCs w:val="18"/>
        </w:rPr>
        <w:t> </w:t>
      </w:r>
      <w:r w:rsidRPr="00A75DF9">
        <w:rPr>
          <w:rFonts w:cs="Tahoma"/>
          <w:szCs w:val="18"/>
        </w:rPr>
        <w:t>validità effettuano la transizione dai contratti Campus e School al contratto Enrollment for Education Solutions o Open Value Subscription-Education Solutions mantenendo la copertura della sottoscrizione in via continuativa:</w:t>
      </w:r>
    </w:p>
    <w:p w:rsidR="009D3013" w:rsidRPr="00843AD9" w:rsidRDefault="009D3013" w:rsidP="00843AD9">
      <w:pPr>
        <w:pStyle w:val="ListParagraph"/>
        <w:numPr>
          <w:ilvl w:val="0"/>
          <w:numId w:val="87"/>
        </w:numPr>
        <w:spacing w:after="60"/>
        <w:ind w:left="1980"/>
        <w:contextualSpacing w:val="0"/>
        <w:rPr>
          <w:rFonts w:ascii="Tahoma" w:hAnsi="Tahoma" w:cs="Tahoma"/>
          <w:sz w:val="18"/>
          <w:szCs w:val="18"/>
        </w:rPr>
      </w:pPr>
      <w:r w:rsidRPr="00843AD9">
        <w:rPr>
          <w:rFonts w:ascii="Tahoma" w:hAnsi="Tahoma" w:cs="Tahoma"/>
          <w:sz w:val="18"/>
          <w:szCs w:val="18"/>
        </w:rPr>
        <w:t>Vengono concessi gli stessi diritti su base temporanea, ai sensi delle medesime condizioni, fino al termine, rispettivamente, del loro contratto Enrollment for Education Solutions o</w:t>
      </w:r>
      <w:r w:rsidR="00843AD9" w:rsidRPr="00843AD9">
        <w:rPr>
          <w:rFonts w:ascii="Tahoma" w:hAnsi="Tahoma" w:cs="Tahoma"/>
          <w:sz w:val="18"/>
          <w:szCs w:val="18"/>
        </w:rPr>
        <w:t> </w:t>
      </w:r>
      <w:r w:rsidRPr="00843AD9">
        <w:rPr>
          <w:rFonts w:ascii="Tahoma" w:hAnsi="Tahoma" w:cs="Tahoma"/>
          <w:sz w:val="18"/>
          <w:szCs w:val="18"/>
        </w:rPr>
        <w:t xml:space="preserve">Open Value Subscription-Education Solutions. </w:t>
      </w:r>
    </w:p>
    <w:p w:rsidR="0073424F" w:rsidRPr="00843AD9" w:rsidRDefault="0073424F" w:rsidP="00346F4B">
      <w:pPr>
        <w:pStyle w:val="ListParagraph"/>
        <w:numPr>
          <w:ilvl w:val="0"/>
          <w:numId w:val="87"/>
        </w:numPr>
        <w:spacing w:after="60"/>
        <w:ind w:left="1980"/>
        <w:contextualSpacing w:val="0"/>
        <w:rPr>
          <w:rFonts w:ascii="Tahoma" w:hAnsi="Tahoma" w:cs="Tahoma"/>
          <w:sz w:val="18"/>
          <w:szCs w:val="18"/>
        </w:rPr>
      </w:pPr>
      <w:r w:rsidRPr="00843AD9">
        <w:rPr>
          <w:rFonts w:ascii="Tahoma" w:hAnsi="Tahoma" w:cs="Tahoma"/>
          <w:sz w:val="18"/>
          <w:szCs w:val="18"/>
        </w:rPr>
        <w:t>Tali diritti diventeranno permanenti soltanto all</w:t>
      </w:r>
      <w:r w:rsidR="00F2643E">
        <w:rPr>
          <w:rFonts w:ascii="Tahoma" w:hAnsi="Tahoma" w:cs="Tahoma"/>
          <w:sz w:val="18"/>
          <w:szCs w:val="18"/>
        </w:rPr>
        <w:t>’</w:t>
      </w:r>
      <w:r w:rsidRPr="00843AD9">
        <w:rPr>
          <w:rFonts w:ascii="Tahoma" w:hAnsi="Tahoma" w:cs="Tahoma"/>
          <w:sz w:val="18"/>
          <w:szCs w:val="18"/>
        </w:rPr>
        <w:t>esercizio dell</w:t>
      </w:r>
      <w:r w:rsidR="00F2643E">
        <w:rPr>
          <w:rFonts w:ascii="Tahoma" w:hAnsi="Tahoma" w:cs="Tahoma"/>
          <w:sz w:val="18"/>
          <w:szCs w:val="18"/>
        </w:rPr>
        <w:t>’</w:t>
      </w:r>
      <w:r w:rsidRPr="00843AD9">
        <w:rPr>
          <w:rFonts w:ascii="Tahoma" w:hAnsi="Tahoma" w:cs="Tahoma"/>
          <w:sz w:val="18"/>
          <w:szCs w:val="18"/>
        </w:rPr>
        <w:t>opzione buy-out e resteranno soggetti a tutte le condizioni del contratto di licenza della società.</w:t>
      </w:r>
    </w:p>
    <w:p w:rsidR="004069A4" w:rsidRPr="00843AD9" w:rsidRDefault="004069A4" w:rsidP="009D3013">
      <w:pPr>
        <w:pStyle w:val="EndnoteText"/>
        <w:ind w:left="540"/>
        <w:rPr>
          <w:rFonts w:ascii="Tahoma" w:hAnsi="Tahoma" w:cs="Tahoma"/>
          <w:sz w:val="18"/>
          <w:szCs w:val="18"/>
        </w:rPr>
      </w:pPr>
    </w:p>
    <w:p w:rsidR="004069A4" w:rsidRPr="00A75DF9" w:rsidRDefault="00A560B6" w:rsidP="004069A4">
      <w:pPr>
        <w:pStyle w:val="Heading3"/>
        <w:rPr>
          <w:rFonts w:ascii="Tahoma" w:hAnsi="Tahoma" w:cs="Tahoma"/>
        </w:rPr>
      </w:pPr>
      <w:bookmarkStart w:id="1259" w:name="_50_Exchange_Server"/>
      <w:bookmarkStart w:id="1260" w:name="_53_52_Exchange"/>
      <w:bookmarkStart w:id="1261" w:name="_58_Exchange_Server"/>
      <w:bookmarkStart w:id="1262" w:name="_Toc368310308"/>
      <w:bookmarkEnd w:id="1259"/>
      <w:bookmarkEnd w:id="1260"/>
      <w:bookmarkEnd w:id="1261"/>
      <w:r w:rsidRPr="00A75DF9">
        <w:rPr>
          <w:rFonts w:ascii="Tahoma" w:hAnsi="Tahoma" w:cs="Tahoma"/>
          <w:caps/>
          <w:color w:val="F66400"/>
          <w:sz w:val="22"/>
          <w:vertAlign w:val="superscript"/>
        </w:rPr>
        <w:lastRenderedPageBreak/>
        <w:t>58</w:t>
      </w:r>
      <w:r w:rsidRPr="00A75DF9">
        <w:rPr>
          <w:rFonts w:ascii="Tahoma" w:hAnsi="Tahoma" w:cs="Tahoma"/>
          <w:color w:val="F66400"/>
          <w:sz w:val="22"/>
        </w:rPr>
        <w:t xml:space="preserve"> Standard CAL per Exchange Server 2010</w:t>
      </w:r>
      <w:bookmarkEnd w:id="1258"/>
      <w:bookmarkEnd w:id="1262"/>
    </w:p>
    <w:bookmarkEnd w:id="1251"/>
    <w:p w:rsidR="004069A4" w:rsidRPr="00A75DF9" w:rsidRDefault="004069A4" w:rsidP="004069A4">
      <w:pPr>
        <w:rPr>
          <w:rFonts w:cs="Tahoma"/>
        </w:rPr>
      </w:pPr>
    </w:p>
    <w:p w:rsidR="004069A4" w:rsidRPr="00A75DF9" w:rsidRDefault="004069A4" w:rsidP="005427B6">
      <w:pPr>
        <w:spacing w:after="60"/>
        <w:ind w:left="720"/>
        <w:rPr>
          <w:rFonts w:cs="Tahoma"/>
        </w:rPr>
      </w:pPr>
      <w:r w:rsidRPr="00A75DF9">
        <w:rPr>
          <w:rFonts w:cs="Tahoma"/>
          <w:b/>
          <w:color w:val="000000"/>
          <w:szCs w:val="18"/>
        </w:rPr>
        <w:t>Managed Default Folders Concesso in Licenza con Exchange Server 2010 Standard CAL</w:t>
      </w:r>
    </w:p>
    <w:p w:rsidR="004069A4" w:rsidRPr="00A75DF9" w:rsidRDefault="004069A4" w:rsidP="00E62BC4">
      <w:pPr>
        <w:ind w:left="720"/>
        <w:rPr>
          <w:rFonts w:cs="Tahoma"/>
        </w:rPr>
      </w:pPr>
      <w:r w:rsidRPr="00A75DF9">
        <w:rPr>
          <w:rFonts w:cs="Tahoma"/>
          <w:color w:val="000000"/>
          <w:szCs w:val="18"/>
        </w:rPr>
        <w:t>Il diritto di accedere alla funzionalità Cartella Predefinita Gestita di Exchange Server 2010 è concesso ai sensi della licenza Standard CAL per Exchange Server 2010 o di licenze CAL equivalenti.</w:t>
      </w:r>
      <w:r w:rsidR="009D3B41" w:rsidRPr="00A75DF9">
        <w:rPr>
          <w:rFonts w:cs="Tahoma"/>
          <w:color w:val="000000"/>
          <w:szCs w:val="18"/>
        </w:rPr>
        <w:t xml:space="preserve"> </w:t>
      </w:r>
      <w:r w:rsidRPr="00A75DF9">
        <w:rPr>
          <w:rFonts w:cs="Tahoma"/>
          <w:color w:val="000000"/>
          <w:szCs w:val="18"/>
        </w:rPr>
        <w:t xml:space="preserve">Per accedere alla funzionalità Managed Custom Folder occorre essere titolari di una licenza Exchange Server 2010 Enterprise CAL o CAL equivalente, ma tale condizione non deve essere soddisfatta per accedere alla funzionalità Managed Default Folder. </w:t>
      </w:r>
    </w:p>
    <w:p w:rsidR="004069A4" w:rsidRPr="00A75DF9" w:rsidRDefault="004069A4" w:rsidP="00E62BC4">
      <w:pPr>
        <w:ind w:left="720"/>
        <w:rPr>
          <w:rFonts w:cs="Tahoma"/>
        </w:rPr>
      </w:pPr>
    </w:p>
    <w:p w:rsidR="00031547" w:rsidRPr="00A75DF9" w:rsidRDefault="00031547" w:rsidP="005427B6">
      <w:pPr>
        <w:spacing w:after="60"/>
        <w:ind w:left="720"/>
        <w:rPr>
          <w:rFonts w:cs="Tahoma"/>
        </w:rPr>
      </w:pPr>
      <w:r w:rsidRPr="00A75DF9">
        <w:rPr>
          <w:rFonts w:cs="Tahoma"/>
          <w:b/>
          <w:color w:val="000000"/>
          <w:szCs w:val="18"/>
        </w:rPr>
        <w:t>Funzionalità Ricerca in più cassette postali Concessa in Licenza con Exchange Server 2010 Standard CAL</w:t>
      </w:r>
    </w:p>
    <w:p w:rsidR="00031547" w:rsidRPr="00A75DF9" w:rsidRDefault="00031547" w:rsidP="00843AD9">
      <w:pPr>
        <w:ind w:left="720"/>
        <w:rPr>
          <w:rFonts w:cs="Tahoma"/>
        </w:rPr>
      </w:pPr>
      <w:r w:rsidRPr="00A75DF9">
        <w:rPr>
          <w:rFonts w:cs="Tahoma"/>
          <w:bCs/>
          <w:szCs w:val="20"/>
        </w:rPr>
        <w:t>Microsoft sta aggiornando i diritti sull</w:t>
      </w:r>
      <w:r w:rsidR="00F2643E">
        <w:rPr>
          <w:rFonts w:cs="Tahoma"/>
          <w:bCs/>
          <w:szCs w:val="20"/>
        </w:rPr>
        <w:t>’</w:t>
      </w:r>
      <w:r w:rsidRPr="00A75DF9">
        <w:rPr>
          <w:rFonts w:cs="Tahoma"/>
          <w:bCs/>
          <w:szCs w:val="20"/>
        </w:rPr>
        <w:t>utilizzo di Exchange Server 2010 per evidenziare che il diritto di accedere alla funzionalità di ricerca in più cassette postali di Exchange Server 2010 è concesso ai sensi della</w:t>
      </w:r>
      <w:r w:rsidR="00843AD9">
        <w:rPr>
          <w:rFonts w:cs="Tahoma"/>
          <w:bCs/>
          <w:szCs w:val="20"/>
        </w:rPr>
        <w:t> </w:t>
      </w:r>
      <w:r w:rsidRPr="00A75DF9">
        <w:rPr>
          <w:rFonts w:cs="Tahoma"/>
          <w:bCs/>
          <w:szCs w:val="20"/>
        </w:rPr>
        <w:t>licenza Standard CAL per Exchange Server 2010 e di licenze CAL equivalenti. Tale aggiornamento è</w:t>
      </w:r>
      <w:r w:rsidR="00843AD9">
        <w:rPr>
          <w:rFonts w:cs="Tahoma"/>
          <w:bCs/>
          <w:szCs w:val="20"/>
        </w:rPr>
        <w:t> </w:t>
      </w:r>
      <w:r w:rsidRPr="00A75DF9">
        <w:rPr>
          <w:rFonts w:cs="Tahoma"/>
          <w:bCs/>
          <w:szCs w:val="20"/>
        </w:rPr>
        <w:t>applicabile a tutte le licenze per Exchange Server 2010.</w:t>
      </w:r>
    </w:p>
    <w:p w:rsidR="004D0019" w:rsidRPr="00A75DF9" w:rsidRDefault="004D0019" w:rsidP="00E62BC4">
      <w:pPr>
        <w:ind w:left="720"/>
        <w:rPr>
          <w:rFonts w:cs="Tahoma"/>
        </w:rPr>
      </w:pPr>
    </w:p>
    <w:p w:rsidR="004069A4" w:rsidRPr="00A75DF9" w:rsidRDefault="004069A4" w:rsidP="005427B6">
      <w:pPr>
        <w:spacing w:after="60"/>
        <w:ind w:left="720"/>
        <w:rPr>
          <w:rFonts w:cs="Tahoma"/>
        </w:rPr>
      </w:pPr>
      <w:r w:rsidRPr="00A75DF9">
        <w:rPr>
          <w:rFonts w:cs="Tahoma"/>
          <w:b/>
          <w:color w:val="000000"/>
          <w:szCs w:val="18"/>
        </w:rPr>
        <w:t>CAL Solo per Studenti (Academic Open License e Academic Select)</w:t>
      </w:r>
    </w:p>
    <w:p w:rsidR="004069A4" w:rsidRPr="00A75DF9" w:rsidRDefault="004069A4" w:rsidP="00843AD9">
      <w:pPr>
        <w:ind w:left="720"/>
        <w:rPr>
          <w:rFonts w:cs="Tahoma"/>
        </w:rPr>
      </w:pPr>
      <w:r w:rsidRPr="00A75DF9">
        <w:rPr>
          <w:rFonts w:cs="Tahoma"/>
          <w:szCs w:val="20"/>
        </w:rPr>
        <w:t>Le CAL Solo per Studenti sono limitate ai PC di proprietà dello studente titolare della licenza o ai PC di</w:t>
      </w:r>
      <w:r w:rsidR="00843AD9">
        <w:rPr>
          <w:rFonts w:cs="Tahoma"/>
          <w:szCs w:val="20"/>
        </w:rPr>
        <w:t> </w:t>
      </w:r>
      <w:r w:rsidRPr="00A75DF9">
        <w:rPr>
          <w:rFonts w:cs="Tahoma"/>
          <w:szCs w:val="20"/>
        </w:rPr>
        <w:t>proprietà dell</w:t>
      </w:r>
      <w:r w:rsidR="00F2643E">
        <w:rPr>
          <w:rFonts w:cs="Tahoma"/>
          <w:szCs w:val="20"/>
        </w:rPr>
        <w:t>’</w:t>
      </w:r>
      <w:r w:rsidRPr="00A75DF9">
        <w:rPr>
          <w:rFonts w:cs="Tahoma"/>
          <w:szCs w:val="20"/>
        </w:rPr>
        <w:t>Istituto che siano assegnati a un singolo studente e NON siano utilizzati nei laboratori o</w:t>
      </w:r>
      <w:r w:rsidR="00843AD9">
        <w:rPr>
          <w:rFonts w:cs="Tahoma"/>
          <w:szCs w:val="20"/>
        </w:rPr>
        <w:t> </w:t>
      </w:r>
      <w:r w:rsidRPr="00A75DF9">
        <w:rPr>
          <w:rFonts w:cs="Tahoma"/>
          <w:szCs w:val="20"/>
        </w:rPr>
        <w:t>in</w:t>
      </w:r>
      <w:r w:rsidR="00843AD9">
        <w:rPr>
          <w:rFonts w:cs="Tahoma"/>
          <w:szCs w:val="20"/>
        </w:rPr>
        <w:t> </w:t>
      </w:r>
      <w:r w:rsidRPr="00A75DF9">
        <w:rPr>
          <w:rFonts w:cs="Tahoma"/>
          <w:szCs w:val="20"/>
        </w:rPr>
        <w:t>classe.</w:t>
      </w:r>
    </w:p>
    <w:p w:rsidR="00DD14E6" w:rsidRPr="00A75DF9" w:rsidRDefault="00DD14E6" w:rsidP="005427B6">
      <w:pPr>
        <w:rPr>
          <w:rFonts w:cs="Tahoma"/>
        </w:rPr>
      </w:pPr>
      <w:bookmarkStart w:id="1263" w:name="Srv_43ExchangeSvr07StdCAL"/>
      <w:bookmarkStart w:id="1264" w:name="Srv_44ExchangeSvr2010StdCAL"/>
    </w:p>
    <w:p w:rsidR="005427B6" w:rsidRPr="00A75DF9" w:rsidRDefault="005427B6" w:rsidP="005427B6">
      <w:pPr>
        <w:rPr>
          <w:rFonts w:cs="Tahoma"/>
        </w:rPr>
      </w:pPr>
    </w:p>
    <w:p w:rsidR="00CC1B99" w:rsidRPr="00A75DF9" w:rsidRDefault="0085774C" w:rsidP="00CC1B99">
      <w:pPr>
        <w:pStyle w:val="Heading3"/>
        <w:rPr>
          <w:rFonts w:ascii="Tahoma" w:hAnsi="Tahoma" w:cs="Tahoma"/>
        </w:rPr>
      </w:pPr>
      <w:bookmarkStart w:id="1265" w:name="_53_Forefront_Endpoint"/>
      <w:bookmarkStart w:id="1266" w:name="_59_Forefront_Endpoint"/>
      <w:bookmarkStart w:id="1267" w:name="_Toc336338314"/>
      <w:bookmarkStart w:id="1268" w:name="Srv_51ForfrontEndpointProtection"/>
      <w:bookmarkStart w:id="1269" w:name="Srv_50ForfrontEndpointProtection"/>
      <w:bookmarkStart w:id="1270" w:name="Srv_42ExchangeSvr07StdCAL"/>
      <w:bookmarkStart w:id="1271" w:name="_Toc368310309"/>
      <w:bookmarkEnd w:id="1265"/>
      <w:bookmarkEnd w:id="1266"/>
      <w:r w:rsidRPr="00A75DF9">
        <w:rPr>
          <w:rFonts w:ascii="Tahoma" w:hAnsi="Tahoma" w:cs="Tahoma"/>
          <w:caps/>
          <w:color w:val="F66400"/>
          <w:sz w:val="22"/>
          <w:vertAlign w:val="superscript"/>
        </w:rPr>
        <w:t>59</w:t>
      </w:r>
      <w:r w:rsidRPr="00A75DF9">
        <w:rPr>
          <w:rFonts w:ascii="Tahoma" w:hAnsi="Tahoma" w:cs="Tahoma"/>
          <w:color w:val="F66400"/>
          <w:sz w:val="22"/>
        </w:rPr>
        <w:t xml:space="preserve"> Forefront Endpoint Protection</w:t>
      </w:r>
      <w:bookmarkEnd w:id="1267"/>
      <w:bookmarkEnd w:id="1271"/>
    </w:p>
    <w:bookmarkEnd w:id="1268"/>
    <w:bookmarkEnd w:id="1269"/>
    <w:p w:rsidR="00CC1B99" w:rsidRPr="00A75DF9" w:rsidRDefault="00CC1B99" w:rsidP="00E62BC4">
      <w:pPr>
        <w:ind w:left="720"/>
        <w:rPr>
          <w:rFonts w:cs="Tahoma"/>
        </w:rPr>
      </w:pPr>
    </w:p>
    <w:p w:rsidR="008A1A57" w:rsidRPr="00A75DF9" w:rsidRDefault="008A1A57" w:rsidP="00843AD9">
      <w:pPr>
        <w:tabs>
          <w:tab w:val="left" w:pos="1920"/>
        </w:tabs>
        <w:ind w:left="720"/>
        <w:rPr>
          <w:rFonts w:cs="Tahoma"/>
        </w:rPr>
      </w:pPr>
      <w:r w:rsidRPr="00A75DF9">
        <w:rPr>
          <w:rFonts w:cs="Tahoma"/>
        </w:rPr>
        <w:t xml:space="preserve">A partire dal 1 aprile 2012 </w:t>
      </w:r>
      <w:r w:rsidRPr="00A75DF9">
        <w:rPr>
          <w:rFonts w:eastAsia="Calibri" w:cs="Tahoma"/>
          <w:szCs w:val="18"/>
        </w:rPr>
        <w:t>Forefront Endpoint Protection, trattandosi di un</w:t>
      </w:r>
      <w:r w:rsidR="00F2643E">
        <w:rPr>
          <w:rFonts w:eastAsia="Calibri" w:cs="Tahoma"/>
          <w:szCs w:val="18"/>
        </w:rPr>
        <w:t>’</w:t>
      </w:r>
      <w:r w:rsidRPr="00A75DF9">
        <w:rPr>
          <w:rFonts w:eastAsia="Calibri" w:cs="Tahoma"/>
          <w:szCs w:val="18"/>
        </w:rPr>
        <w:t xml:space="preserve">offerta per la protezione client, sarà sostituita da </w:t>
      </w:r>
      <w:r w:rsidRPr="00A75DF9">
        <w:rPr>
          <w:rFonts w:cs="Tahoma"/>
        </w:rPr>
        <w:t>System Center 2012 Endpoint Protection. System Center 2012 Endpoint Protection, trattandosi di un</w:t>
      </w:r>
      <w:r w:rsidR="00F2643E">
        <w:rPr>
          <w:rFonts w:cs="Tahoma"/>
        </w:rPr>
        <w:t>’</w:t>
      </w:r>
      <w:r w:rsidRPr="00A75DF9">
        <w:rPr>
          <w:rFonts w:cs="Tahoma"/>
        </w:rPr>
        <w:t>offerta standalone, conferisce diritti sull</w:t>
      </w:r>
      <w:r w:rsidR="00F2643E">
        <w:rPr>
          <w:rFonts w:cs="Tahoma"/>
        </w:rPr>
        <w:t>’</w:t>
      </w:r>
      <w:r w:rsidRPr="00A75DF9">
        <w:rPr>
          <w:rFonts w:cs="Tahoma"/>
        </w:rPr>
        <w:t>utilizzo solo per proteggere i dispositivi client. I</w:t>
      </w:r>
      <w:r w:rsidR="00843AD9">
        <w:rPr>
          <w:rFonts w:cs="Tahoma"/>
        </w:rPr>
        <w:t> </w:t>
      </w:r>
      <w:r w:rsidRPr="00A75DF9">
        <w:rPr>
          <w:rFonts w:cs="Tahoma"/>
        </w:rPr>
        <w:t>diritti sull</w:t>
      </w:r>
      <w:r w:rsidR="00F2643E">
        <w:rPr>
          <w:rFonts w:cs="Tahoma"/>
        </w:rPr>
        <w:t>’</w:t>
      </w:r>
      <w:r w:rsidRPr="00A75DF9">
        <w:rPr>
          <w:rFonts w:cs="Tahoma"/>
        </w:rPr>
        <w:t>utilizzo per la protezione dei dispositivi server possono essere acquistati solo tramite l</w:t>
      </w:r>
      <w:r w:rsidR="00F2643E">
        <w:rPr>
          <w:rFonts w:cs="Tahoma"/>
        </w:rPr>
        <w:t>’</w:t>
      </w:r>
      <w:r w:rsidRPr="00A75DF9">
        <w:rPr>
          <w:rFonts w:cs="Tahoma"/>
        </w:rPr>
        <w:t>acquisto di</w:t>
      </w:r>
      <w:r w:rsidR="00843AD9">
        <w:rPr>
          <w:rFonts w:cs="Tahoma"/>
        </w:rPr>
        <w:t> </w:t>
      </w:r>
      <w:r w:rsidRPr="00A75DF9">
        <w:rPr>
          <w:rFonts w:cs="Tahoma"/>
        </w:rPr>
        <w:t>licenze di gestione per System Center 2012 Standard o Datacenter.</w:t>
      </w:r>
    </w:p>
    <w:p w:rsidR="008A1A57" w:rsidRPr="00A75DF9" w:rsidRDefault="008A1A57" w:rsidP="00E62BC4">
      <w:pPr>
        <w:tabs>
          <w:tab w:val="left" w:pos="1920"/>
        </w:tabs>
        <w:ind w:left="720"/>
        <w:rPr>
          <w:rFonts w:cs="Tahoma"/>
        </w:rPr>
      </w:pPr>
    </w:p>
    <w:p w:rsidR="008A1A57" w:rsidRPr="00A75DF9" w:rsidRDefault="008A1A57" w:rsidP="00843AD9">
      <w:pPr>
        <w:tabs>
          <w:tab w:val="left" w:pos="1920"/>
        </w:tabs>
        <w:ind w:left="720"/>
        <w:rPr>
          <w:rFonts w:cs="Tahoma"/>
        </w:rPr>
      </w:pPr>
      <w:r w:rsidRPr="00A75DF9">
        <w:rPr>
          <w:rFonts w:eastAsia="Calibri" w:cs="Tahoma"/>
          <w:szCs w:val="18"/>
        </w:rPr>
        <w:t>Gli utenti con sottoscrizioni di Forefront Endpoint Protection attive</w:t>
      </w:r>
      <w:r w:rsidRPr="00A75DF9">
        <w:rPr>
          <w:rFonts w:cs="Tahoma"/>
        </w:rPr>
        <w:t xml:space="preserve"> che utilizzano il servizio per proteggere i</w:t>
      </w:r>
      <w:r w:rsidR="00843AD9">
        <w:rPr>
          <w:rFonts w:cs="Tahoma"/>
        </w:rPr>
        <w:t> </w:t>
      </w:r>
      <w:r w:rsidRPr="00A75DF9">
        <w:rPr>
          <w:rFonts w:cs="Tahoma"/>
        </w:rPr>
        <w:t>dispositivi client possono effettuare l</w:t>
      </w:r>
      <w:r w:rsidR="00F2643E">
        <w:rPr>
          <w:rFonts w:cs="Tahoma"/>
        </w:rPr>
        <w:t>’</w:t>
      </w:r>
      <w:r w:rsidRPr="00A75DF9">
        <w:rPr>
          <w:rFonts w:cs="Tahoma"/>
        </w:rPr>
        <w:t>aggiornamento a System Center 2012 Endpoint Protection per lo stesso scopo.</w:t>
      </w:r>
    </w:p>
    <w:p w:rsidR="008A1A57" w:rsidRPr="00A75DF9" w:rsidRDefault="008A1A57" w:rsidP="00E62BC4">
      <w:pPr>
        <w:tabs>
          <w:tab w:val="left" w:pos="1920"/>
        </w:tabs>
        <w:ind w:left="720"/>
        <w:rPr>
          <w:rFonts w:cs="Tahoma"/>
        </w:rPr>
      </w:pPr>
    </w:p>
    <w:p w:rsidR="008A1A57" w:rsidRPr="00A75DF9" w:rsidRDefault="008A1A57" w:rsidP="00E62BC4">
      <w:pPr>
        <w:tabs>
          <w:tab w:val="left" w:pos="1920"/>
        </w:tabs>
        <w:ind w:left="720"/>
        <w:rPr>
          <w:rFonts w:cs="Tahoma"/>
        </w:rPr>
      </w:pPr>
      <w:r w:rsidRPr="00A75DF9">
        <w:rPr>
          <w:rFonts w:eastAsia="Calibri" w:cs="Tahoma"/>
          <w:szCs w:val="18"/>
        </w:rPr>
        <w:t>Gli utenti con sottoscrizioni di Forefront Endpoint Protection attive</w:t>
      </w:r>
      <w:r w:rsidRPr="00A75DF9">
        <w:rPr>
          <w:rFonts w:cs="Tahoma"/>
        </w:rPr>
        <w:t xml:space="preserve"> che si servono del servizio per proteggere i dispositivi server potranno continuare a utilizzare il servizio Forefront Endpoint Protection.</w:t>
      </w:r>
    </w:p>
    <w:p w:rsidR="008A1A57" w:rsidRDefault="008A1A57" w:rsidP="00E62BC4">
      <w:pPr>
        <w:ind w:left="720"/>
        <w:rPr>
          <w:rFonts w:cs="Tahoma"/>
        </w:rPr>
      </w:pPr>
    </w:p>
    <w:p w:rsidR="00843AD9" w:rsidRPr="00A75DF9" w:rsidRDefault="00843AD9" w:rsidP="00E62BC4">
      <w:pPr>
        <w:ind w:left="720"/>
        <w:rPr>
          <w:rFonts w:cs="Tahoma"/>
        </w:rPr>
      </w:pPr>
    </w:p>
    <w:p w:rsidR="008A1A57" w:rsidRPr="00A75DF9" w:rsidRDefault="008A1A57" w:rsidP="00843AD9">
      <w:pPr>
        <w:ind w:left="720"/>
        <w:rPr>
          <w:rFonts w:cs="Tahoma"/>
        </w:rPr>
      </w:pPr>
      <w:r w:rsidRPr="00A75DF9">
        <w:rPr>
          <w:rFonts w:eastAsia="Calibri" w:cs="Tahoma"/>
          <w:szCs w:val="18"/>
        </w:rPr>
        <w:t>System Center Configuration Manager 2007 R2 o R3 è la console di gestione di Forefront Endpoint Protection 2010. Le società dovranno disporre della licenza per System Center Configuration Manager 2007 R2 o R3 per fornire funzionalità di gestione a Forefront Endpoint Protection 2010. Forefront Endpoint Protection 2010 può essere utilizzato senza funzionalità di gestione e senza dovere acquistare la licenza per</w:t>
      </w:r>
      <w:r w:rsidR="00843AD9">
        <w:rPr>
          <w:rFonts w:eastAsia="Calibri" w:cs="Tahoma"/>
          <w:szCs w:val="18"/>
        </w:rPr>
        <w:t> </w:t>
      </w:r>
      <w:r w:rsidRPr="00A75DF9">
        <w:rPr>
          <w:rFonts w:eastAsia="Calibri" w:cs="Tahoma"/>
          <w:szCs w:val="18"/>
        </w:rPr>
        <w:t>System Center Configuration Manager.</w:t>
      </w:r>
      <w:r w:rsidR="009D3B41" w:rsidRPr="00A75DF9">
        <w:rPr>
          <w:rFonts w:eastAsia="Calibri" w:cs="Tahoma"/>
          <w:szCs w:val="18"/>
        </w:rPr>
        <w:t xml:space="preserve"> </w:t>
      </w:r>
    </w:p>
    <w:p w:rsidR="008A1A57" w:rsidRPr="00A75DF9" w:rsidRDefault="008A1A57" w:rsidP="00E62BC4">
      <w:pPr>
        <w:ind w:left="720"/>
        <w:rPr>
          <w:rFonts w:cs="Tahoma"/>
        </w:rPr>
      </w:pPr>
    </w:p>
    <w:p w:rsidR="008A1A57" w:rsidRPr="00A75DF9" w:rsidRDefault="005427B6" w:rsidP="005427B6">
      <w:pPr>
        <w:spacing w:after="60"/>
        <w:ind w:left="720"/>
        <w:rPr>
          <w:rFonts w:cs="Tahoma"/>
        </w:rPr>
      </w:pPr>
      <w:r w:rsidRPr="00A75DF9">
        <w:rPr>
          <w:rFonts w:eastAsia="Calibri" w:cs="Tahoma"/>
          <w:b/>
          <w:szCs w:val="18"/>
        </w:rPr>
        <w:t>Home Use Program</w:t>
      </w:r>
    </w:p>
    <w:p w:rsidR="008A1A57" w:rsidRPr="00A75DF9" w:rsidRDefault="008A1A57" w:rsidP="00E62BC4">
      <w:pPr>
        <w:ind w:left="720"/>
        <w:rPr>
          <w:rFonts w:cs="Tahoma"/>
        </w:rPr>
      </w:pPr>
      <w:r w:rsidRPr="00A75DF9">
        <w:rPr>
          <w:rFonts w:eastAsia="Calibri" w:cs="Tahoma"/>
          <w:szCs w:val="18"/>
        </w:rPr>
        <w:t>Le società in possesso di Licenze “Subscription” per Utente attive per Forefront Endpoint Protection 2010 si qualificano per il programma Home Use Program.</w:t>
      </w:r>
    </w:p>
    <w:p w:rsidR="00BA1490" w:rsidRPr="00A75DF9" w:rsidRDefault="00BA1490" w:rsidP="00BA1490">
      <w:pPr>
        <w:rPr>
          <w:rFonts w:cs="Tahoma"/>
        </w:rPr>
      </w:pPr>
      <w:bookmarkStart w:id="1272" w:name="_Toc254758297"/>
      <w:bookmarkStart w:id="1273" w:name="Srv_44ForefrontOnSecforExch"/>
      <w:bookmarkStart w:id="1274" w:name="Srv_43ForefrontOnSecforExch"/>
      <w:bookmarkEnd w:id="1263"/>
      <w:bookmarkEnd w:id="1264"/>
      <w:bookmarkEnd w:id="1270"/>
    </w:p>
    <w:p w:rsidR="00BA1490" w:rsidRPr="00A75DF9" w:rsidRDefault="00BA1490" w:rsidP="00BA1490">
      <w:pPr>
        <w:rPr>
          <w:rFonts w:cs="Tahoma"/>
        </w:rPr>
      </w:pPr>
    </w:p>
    <w:p w:rsidR="009E4FDD" w:rsidRPr="00A75DF9" w:rsidRDefault="00A560B6" w:rsidP="009E4FDD">
      <w:pPr>
        <w:pStyle w:val="Heading3"/>
        <w:rPr>
          <w:rFonts w:ascii="Tahoma" w:hAnsi="Tahoma" w:cs="Tahoma"/>
        </w:rPr>
      </w:pPr>
      <w:bookmarkStart w:id="1275" w:name="_54_Forefront_Identity"/>
      <w:bookmarkStart w:id="1276" w:name="_60_Forefront_Identity"/>
      <w:bookmarkStart w:id="1277" w:name="_Toc336338315"/>
      <w:bookmarkStart w:id="1278" w:name="Srv_43ForefrontIdMgr2010"/>
      <w:bookmarkStart w:id="1279" w:name="Srv_48ForefrontIdMgr2010"/>
      <w:bookmarkStart w:id="1280" w:name="Srv_45ForefrontIdMgr2010"/>
      <w:bookmarkStart w:id="1281" w:name="_Toc368310310"/>
      <w:bookmarkEnd w:id="1275"/>
      <w:bookmarkEnd w:id="1276"/>
      <w:r w:rsidRPr="00A75DF9">
        <w:rPr>
          <w:rFonts w:ascii="Tahoma" w:hAnsi="Tahoma" w:cs="Tahoma"/>
          <w:caps/>
          <w:color w:val="F66400"/>
          <w:sz w:val="22"/>
          <w:vertAlign w:val="superscript"/>
        </w:rPr>
        <w:t xml:space="preserve">60 </w:t>
      </w:r>
      <w:r w:rsidRPr="00A75DF9">
        <w:rPr>
          <w:rFonts w:ascii="Tahoma" w:hAnsi="Tahoma" w:cs="Tahoma"/>
          <w:color w:val="F66400"/>
          <w:sz w:val="22"/>
        </w:rPr>
        <w:t>Forefront Identity Manager 2010</w:t>
      </w:r>
      <w:bookmarkEnd w:id="1272"/>
      <w:r w:rsidRPr="00A75DF9">
        <w:rPr>
          <w:rFonts w:ascii="Tahoma" w:hAnsi="Tahoma" w:cs="Tahoma"/>
          <w:color w:val="F66400"/>
          <w:sz w:val="22"/>
        </w:rPr>
        <w:t xml:space="preserve"> R2</w:t>
      </w:r>
      <w:bookmarkEnd w:id="1277"/>
      <w:bookmarkEnd w:id="1281"/>
    </w:p>
    <w:bookmarkEnd w:id="1278"/>
    <w:bookmarkEnd w:id="1279"/>
    <w:bookmarkEnd w:id="1280"/>
    <w:p w:rsidR="009E4FDD" w:rsidRPr="00A75DF9" w:rsidRDefault="009E4FDD" w:rsidP="009E4FDD">
      <w:pPr>
        <w:ind w:left="720"/>
        <w:rPr>
          <w:rFonts w:cs="Tahoma"/>
        </w:rPr>
      </w:pPr>
    </w:p>
    <w:p w:rsidR="009E4FDD" w:rsidRPr="00A75DF9" w:rsidRDefault="009E4FDD" w:rsidP="005427B6">
      <w:pPr>
        <w:spacing w:after="60"/>
        <w:ind w:left="720"/>
        <w:rPr>
          <w:rFonts w:cs="Tahoma"/>
        </w:rPr>
      </w:pPr>
      <w:r w:rsidRPr="00A75DF9">
        <w:rPr>
          <w:rFonts w:cs="Tahoma"/>
          <w:b/>
          <w:color w:val="000000"/>
          <w:szCs w:val="18"/>
        </w:rPr>
        <w:t>Versione</w:t>
      </w:r>
    </w:p>
    <w:p w:rsidR="009E4FDD" w:rsidRPr="00A75DF9" w:rsidRDefault="009E4FDD" w:rsidP="005427B6">
      <w:pPr>
        <w:ind w:left="720"/>
        <w:rPr>
          <w:rFonts w:cs="Tahoma"/>
        </w:rPr>
      </w:pPr>
      <w:r w:rsidRPr="00A75DF9">
        <w:rPr>
          <w:rFonts w:cs="Tahoma"/>
          <w:color w:val="000000"/>
          <w:szCs w:val="18"/>
        </w:rPr>
        <w:t>Forefront Identity Manager 2010 R2 è la versione successiva di Forefront Identity Manager 2010.</w:t>
      </w:r>
    </w:p>
    <w:p w:rsidR="005427B6" w:rsidRDefault="005427B6" w:rsidP="005427B6">
      <w:pPr>
        <w:rPr>
          <w:rFonts w:cs="Tahoma"/>
        </w:rPr>
      </w:pPr>
    </w:p>
    <w:p w:rsidR="00CC1E5B" w:rsidRDefault="00CC1E5B" w:rsidP="005427B6">
      <w:pPr>
        <w:rPr>
          <w:rFonts w:cs="Tahoma"/>
        </w:rPr>
      </w:pPr>
    </w:p>
    <w:p w:rsidR="00CC1E5B" w:rsidRPr="00A75DF9" w:rsidRDefault="00CC1E5B" w:rsidP="005427B6">
      <w:pPr>
        <w:rPr>
          <w:rFonts w:cs="Tahoma"/>
        </w:rPr>
      </w:pPr>
    </w:p>
    <w:p w:rsidR="005427B6" w:rsidRPr="00A75DF9" w:rsidRDefault="005427B6" w:rsidP="005427B6">
      <w:pPr>
        <w:rPr>
          <w:rFonts w:cs="Tahoma"/>
        </w:rPr>
      </w:pPr>
    </w:p>
    <w:p w:rsidR="00936C19" w:rsidRPr="00A75DF9" w:rsidRDefault="00A560B6" w:rsidP="005427B6">
      <w:pPr>
        <w:pStyle w:val="Heading2"/>
        <w:ind w:left="0"/>
        <w:rPr>
          <w:rFonts w:ascii="Tahoma" w:hAnsi="Tahoma" w:cs="Tahoma"/>
        </w:rPr>
      </w:pPr>
      <w:bookmarkStart w:id="1282" w:name="_55_Forefront_Identity"/>
      <w:bookmarkStart w:id="1283" w:name="_61_Forefront_Identity"/>
      <w:bookmarkStart w:id="1284" w:name="_Toc336338316"/>
      <w:bookmarkStart w:id="1285" w:name="Srv_54ForefrontIDMgrWinLiveEd"/>
      <w:bookmarkStart w:id="1286" w:name="Srv_46ForefrontOnlineProforExch"/>
      <w:bookmarkStart w:id="1287" w:name="_Toc368310311"/>
      <w:bookmarkEnd w:id="1282"/>
      <w:bookmarkEnd w:id="1283"/>
      <w:r w:rsidRPr="00A75DF9">
        <w:rPr>
          <w:rFonts w:ascii="Tahoma" w:hAnsi="Tahoma" w:cs="Tahoma"/>
          <w:caps/>
          <w:color w:val="F26200"/>
          <w:sz w:val="20"/>
          <w:vertAlign w:val="superscript"/>
        </w:rPr>
        <w:lastRenderedPageBreak/>
        <w:t>61</w:t>
      </w:r>
      <w:r w:rsidRPr="00A75DF9">
        <w:rPr>
          <w:rFonts w:ascii="Tahoma" w:hAnsi="Tahoma" w:cs="Tahoma"/>
          <w:color w:val="F26200"/>
        </w:rPr>
        <w:t xml:space="preserve"> </w:t>
      </w:r>
      <w:r w:rsidRPr="00A75DF9">
        <w:rPr>
          <w:rFonts w:ascii="Tahoma" w:hAnsi="Tahoma" w:cs="Tahoma"/>
          <w:color w:val="F26200"/>
          <w:sz w:val="22"/>
        </w:rPr>
        <w:t>Forefront Identity Manager 2010 - Windows Live Edition</w:t>
      </w:r>
      <w:bookmarkEnd w:id="1284"/>
      <w:bookmarkEnd w:id="1285"/>
      <w:bookmarkEnd w:id="1287"/>
    </w:p>
    <w:p w:rsidR="005427B6" w:rsidRPr="00A75DF9" w:rsidRDefault="005427B6" w:rsidP="005427B6">
      <w:pPr>
        <w:rPr>
          <w:rFonts w:cs="Tahoma"/>
        </w:rPr>
      </w:pPr>
    </w:p>
    <w:p w:rsidR="005D346C" w:rsidRPr="00A75DF9" w:rsidRDefault="005D346C" w:rsidP="005427B6">
      <w:pPr>
        <w:spacing w:after="60"/>
        <w:ind w:left="720"/>
        <w:rPr>
          <w:rFonts w:cs="Tahoma"/>
        </w:rPr>
      </w:pPr>
      <w:r w:rsidRPr="00A75DF9">
        <w:rPr>
          <w:rFonts w:cs="Tahoma"/>
          <w:b/>
          <w:color w:val="000000"/>
          <w:szCs w:val="18"/>
        </w:rPr>
        <w:t>Versione</w:t>
      </w:r>
    </w:p>
    <w:p w:rsidR="005D346C" w:rsidRPr="00A75DF9" w:rsidRDefault="005D346C" w:rsidP="00E62BC4">
      <w:pPr>
        <w:ind w:left="720"/>
        <w:rPr>
          <w:rFonts w:cs="Tahoma"/>
        </w:rPr>
      </w:pPr>
      <w:r w:rsidRPr="00A75DF9">
        <w:rPr>
          <w:rFonts w:cs="Tahoma"/>
          <w:color w:val="000000"/>
        </w:rPr>
        <w:t>Forefront Identity Manager 2010 – Windows Live Edition è la versione successiva di Identity Lifecycle Manager 2007 – Windows Live Edition</w:t>
      </w:r>
    </w:p>
    <w:p w:rsidR="005D484B" w:rsidRPr="00A75DF9" w:rsidRDefault="005D484B" w:rsidP="003C3A72">
      <w:pPr>
        <w:rPr>
          <w:rFonts w:cs="Tahoma"/>
        </w:rPr>
      </w:pPr>
    </w:p>
    <w:p w:rsidR="007B35CE" w:rsidRPr="00A75DF9" w:rsidRDefault="007B35CE" w:rsidP="003C3A72">
      <w:pPr>
        <w:rPr>
          <w:rFonts w:cs="Tahoma"/>
        </w:rPr>
      </w:pPr>
    </w:p>
    <w:p w:rsidR="005D484B" w:rsidRPr="00A75DF9" w:rsidRDefault="00A560B6" w:rsidP="005D484B">
      <w:pPr>
        <w:pStyle w:val="Heading3"/>
        <w:rPr>
          <w:rFonts w:ascii="Tahoma" w:hAnsi="Tahoma" w:cs="Tahoma"/>
        </w:rPr>
      </w:pPr>
      <w:bookmarkStart w:id="1288" w:name="_59_Forefront_Online"/>
      <w:bookmarkStart w:id="1289" w:name="_62_Forefront_Online"/>
      <w:bookmarkStart w:id="1290" w:name="_Toc336338317"/>
      <w:bookmarkStart w:id="1291" w:name="_Toc343596542"/>
      <w:bookmarkStart w:id="1292" w:name="_Toc368310312"/>
      <w:bookmarkEnd w:id="1288"/>
      <w:bookmarkEnd w:id="1289"/>
      <w:r w:rsidRPr="00A75DF9">
        <w:rPr>
          <w:rFonts w:ascii="Tahoma" w:hAnsi="Tahoma" w:cs="Tahoma"/>
          <w:caps/>
          <w:color w:val="F66400"/>
          <w:sz w:val="22"/>
          <w:vertAlign w:val="superscript"/>
        </w:rPr>
        <w:t>62</w:t>
      </w:r>
      <w:r w:rsidRPr="00A75DF9">
        <w:rPr>
          <w:rFonts w:ascii="Tahoma" w:hAnsi="Tahoma" w:cs="Tahoma"/>
          <w:color w:val="F66400"/>
          <w:sz w:val="22"/>
        </w:rPr>
        <w:t xml:space="preserve"> Forefront Online Protection for Exchange (SL per Dispositivo e Utente)</w:t>
      </w:r>
      <w:bookmarkEnd w:id="1290"/>
      <w:bookmarkEnd w:id="1291"/>
      <w:bookmarkEnd w:id="1292"/>
    </w:p>
    <w:p w:rsidR="005D484B" w:rsidRPr="00843AD9" w:rsidRDefault="005D484B" w:rsidP="005D484B">
      <w:pPr>
        <w:pStyle w:val="EndnoteText"/>
        <w:tabs>
          <w:tab w:val="center" w:pos="5306"/>
        </w:tabs>
        <w:ind w:left="0"/>
        <w:rPr>
          <w:rFonts w:ascii="Tahoma" w:hAnsi="Tahoma" w:cs="Tahoma"/>
          <w:sz w:val="18"/>
          <w:szCs w:val="18"/>
        </w:rPr>
      </w:pPr>
    </w:p>
    <w:p w:rsidR="005D484B" w:rsidRPr="00843AD9" w:rsidRDefault="005D484B" w:rsidP="005D484B">
      <w:pPr>
        <w:spacing w:after="200" w:line="276" w:lineRule="auto"/>
        <w:ind w:left="720"/>
        <w:rPr>
          <w:rFonts w:cs="Tahoma"/>
          <w:szCs w:val="18"/>
        </w:rPr>
      </w:pPr>
      <w:r w:rsidRPr="00843AD9">
        <w:rPr>
          <w:rFonts w:eastAsia="Calibri" w:cs="Tahoma"/>
          <w:bCs/>
          <w:color w:val="000000"/>
          <w:szCs w:val="18"/>
        </w:rPr>
        <w:t>Le società che dispongono di Forefront Online Security for Exchange (ex Exchange Hosted Filtering)</w:t>
      </w:r>
      <w:r w:rsidRPr="00843AD9">
        <w:rPr>
          <w:rFonts w:eastAsia="Calibri" w:cs="Tahoma"/>
          <w:bCs/>
          <w:color w:val="FF0000"/>
          <w:szCs w:val="18"/>
        </w:rPr>
        <w:t xml:space="preserve"> </w:t>
      </w:r>
      <w:r w:rsidRPr="00843AD9">
        <w:rPr>
          <w:rFonts w:eastAsia="Calibri" w:cs="Tahoma"/>
          <w:bCs/>
          <w:color w:val="000000"/>
          <w:szCs w:val="18"/>
        </w:rPr>
        <w:t>dovrebbero utilizzare la stessa iscrizione del contratto Select attivo, l</w:t>
      </w:r>
      <w:r w:rsidR="00F2643E">
        <w:rPr>
          <w:rFonts w:eastAsia="Calibri" w:cs="Tahoma"/>
          <w:bCs/>
          <w:color w:val="000000"/>
          <w:szCs w:val="18"/>
        </w:rPr>
        <w:t>’</w:t>
      </w:r>
      <w:r w:rsidRPr="00843AD9">
        <w:rPr>
          <w:rFonts w:eastAsia="Calibri" w:cs="Tahoma"/>
          <w:bCs/>
          <w:color w:val="000000"/>
          <w:szCs w:val="18"/>
        </w:rPr>
        <w:t>iscrizione del contratto Enterprise o il contratto Open Value per effettuare ordini successivamente all</w:t>
      </w:r>
      <w:r w:rsidR="00F2643E">
        <w:rPr>
          <w:rFonts w:eastAsia="Calibri" w:cs="Tahoma"/>
          <w:bCs/>
          <w:color w:val="000000"/>
          <w:szCs w:val="18"/>
        </w:rPr>
        <w:t>’</w:t>
      </w:r>
      <w:r w:rsidRPr="00843AD9">
        <w:rPr>
          <w:rFonts w:eastAsia="Calibri" w:cs="Tahoma"/>
          <w:bCs/>
          <w:color w:val="000000"/>
          <w:szCs w:val="18"/>
        </w:rPr>
        <w:t>ordine iniziale.</w:t>
      </w:r>
    </w:p>
    <w:p w:rsidR="005D484B" w:rsidRPr="00843AD9" w:rsidRDefault="005D484B" w:rsidP="005D484B">
      <w:pPr>
        <w:ind w:left="720"/>
        <w:rPr>
          <w:rFonts w:cs="Tahoma"/>
          <w:szCs w:val="18"/>
        </w:rPr>
      </w:pPr>
      <w:r w:rsidRPr="00843AD9">
        <w:rPr>
          <w:rFonts w:cs="Tahoma"/>
          <w:bCs/>
          <w:color w:val="000000"/>
          <w:szCs w:val="18"/>
        </w:rPr>
        <w:t>Poiché questo servizio online viene erogato in base al dominio, tutti gli utenti (o i dispositivi) di qualunque dominio interessato devono disporre di SL per Utente (o Dispositivo).</w:t>
      </w:r>
      <w:r w:rsidR="009D3B41" w:rsidRPr="00843AD9">
        <w:rPr>
          <w:rFonts w:cs="Tahoma"/>
          <w:bCs/>
          <w:color w:val="000000"/>
          <w:szCs w:val="18"/>
        </w:rPr>
        <w:t xml:space="preserve"> </w:t>
      </w:r>
      <w:r w:rsidRPr="00843AD9">
        <w:rPr>
          <w:rFonts w:cs="Tahoma"/>
          <w:bCs/>
          <w:color w:val="000000"/>
          <w:szCs w:val="18"/>
        </w:rPr>
        <w:t>Le società che desiderano che il servizio sia erogato a un sottoinsieme dei loro utenti (o dei loro dispositivi) possono creare sottodomini per un</w:t>
      </w:r>
      <w:r w:rsidR="00F2643E">
        <w:rPr>
          <w:rFonts w:cs="Tahoma"/>
          <w:bCs/>
          <w:color w:val="000000"/>
          <w:szCs w:val="18"/>
        </w:rPr>
        <w:t>’</w:t>
      </w:r>
      <w:r w:rsidRPr="00843AD9">
        <w:rPr>
          <w:rFonts w:cs="Tahoma"/>
          <w:bCs/>
          <w:color w:val="000000"/>
          <w:szCs w:val="18"/>
        </w:rPr>
        <w:t>erogazione del servizio più mirata. Solo gli utenti (o i dispositivi) che rientrano nel sottodominio incluso devono disporre di SL per Utente (o Dispositivo).</w:t>
      </w:r>
    </w:p>
    <w:p w:rsidR="005D484B" w:rsidRPr="00843AD9" w:rsidRDefault="005D484B" w:rsidP="005D484B">
      <w:pPr>
        <w:pStyle w:val="EndnoteText"/>
        <w:ind w:left="720"/>
        <w:rPr>
          <w:rFonts w:ascii="Tahoma" w:hAnsi="Tahoma" w:cs="Tahoma"/>
          <w:sz w:val="18"/>
          <w:szCs w:val="18"/>
        </w:rPr>
      </w:pPr>
    </w:p>
    <w:p w:rsidR="005D484B" w:rsidRPr="00843AD9" w:rsidRDefault="005D484B" w:rsidP="003C3A72">
      <w:pPr>
        <w:pStyle w:val="PlainText"/>
        <w:ind w:left="720"/>
        <w:rPr>
          <w:rFonts w:ascii="Tahoma" w:hAnsi="Tahoma" w:cs="Tahoma"/>
          <w:sz w:val="18"/>
          <w:szCs w:val="18"/>
        </w:rPr>
      </w:pPr>
      <w:r w:rsidRPr="00843AD9">
        <w:rPr>
          <w:rFonts w:ascii="Tahoma" w:hAnsi="Tahoma" w:cs="Tahoma"/>
          <w:bCs/>
          <w:color w:val="000000"/>
          <w:sz w:val="18"/>
          <w:szCs w:val="18"/>
        </w:rPr>
        <w:t>Le società dovranno fare riferimento all</w:t>
      </w:r>
      <w:r w:rsidR="00F2643E">
        <w:rPr>
          <w:rFonts w:ascii="Tahoma" w:hAnsi="Tahoma" w:cs="Tahoma"/>
          <w:bCs/>
          <w:color w:val="000000"/>
          <w:sz w:val="18"/>
          <w:szCs w:val="18"/>
        </w:rPr>
        <w:t>’</w:t>
      </w:r>
      <w:hyperlink w:anchor="_Section_10_–" w:history="1">
        <w:r w:rsidRPr="00843AD9">
          <w:rPr>
            <w:rStyle w:val="Hyperlink"/>
            <w:rFonts w:ascii="Tahoma" w:hAnsi="Tahoma" w:cs="Tahoma"/>
            <w:sz w:val="18"/>
            <w:szCs w:val="18"/>
          </w:rPr>
          <w:t>Articolo 10</w:t>
        </w:r>
      </w:hyperlink>
      <w:r w:rsidRPr="00843AD9">
        <w:rPr>
          <w:rFonts w:ascii="Tahoma" w:hAnsi="Tahoma" w:cs="Tahoma"/>
          <w:bCs/>
          <w:color w:val="000000"/>
          <w:sz w:val="18"/>
          <w:szCs w:val="18"/>
        </w:rPr>
        <w:t xml:space="preserve"> per i prezzi dei servizi online e le condizioni di pagamento. </w:t>
      </w:r>
    </w:p>
    <w:p w:rsidR="005D346C" w:rsidRPr="00843AD9" w:rsidRDefault="005D346C" w:rsidP="005D346C">
      <w:pPr>
        <w:rPr>
          <w:rFonts w:cs="Tahoma"/>
          <w:szCs w:val="18"/>
        </w:rPr>
      </w:pPr>
    </w:p>
    <w:p w:rsidR="00BF1889" w:rsidRPr="00A75DF9" w:rsidRDefault="00BF1889" w:rsidP="00697E59">
      <w:pPr>
        <w:pStyle w:val="EndnoteText"/>
        <w:ind w:left="0"/>
        <w:rPr>
          <w:rFonts w:ascii="Tahoma" w:hAnsi="Tahoma" w:cs="Tahoma"/>
        </w:rPr>
      </w:pPr>
      <w:bookmarkStart w:id="1293" w:name="Srv_47ForefrontProforExcSvrandShare"/>
      <w:bookmarkEnd w:id="1273"/>
      <w:bookmarkEnd w:id="1274"/>
      <w:bookmarkEnd w:id="1286"/>
    </w:p>
    <w:p w:rsidR="00273685" w:rsidRPr="00A75DF9" w:rsidRDefault="00A560B6" w:rsidP="00843AD9">
      <w:pPr>
        <w:pStyle w:val="Heading3"/>
        <w:ind w:left="245" w:hanging="245"/>
        <w:rPr>
          <w:rFonts w:ascii="Tahoma" w:hAnsi="Tahoma" w:cs="Tahoma"/>
        </w:rPr>
      </w:pPr>
      <w:bookmarkStart w:id="1294" w:name="_54_Forefront_Protection"/>
      <w:bookmarkStart w:id="1295" w:name="_55_Forefront_Protection"/>
      <w:bookmarkStart w:id="1296" w:name="_60_Forefront_Protection"/>
      <w:bookmarkStart w:id="1297" w:name="_63_Forefront_Protection"/>
      <w:bookmarkStart w:id="1298" w:name="_Toc336338318"/>
      <w:bookmarkStart w:id="1299" w:name="Srv_44ForefrontSecforExcSharep"/>
      <w:bookmarkStart w:id="1300" w:name="Srv_45ForefrontSecforExcSharep"/>
      <w:bookmarkStart w:id="1301" w:name="Srv_48ForefrontProtectionSuite"/>
      <w:bookmarkStart w:id="1302" w:name="_Toc368310313"/>
      <w:bookmarkEnd w:id="1293"/>
      <w:bookmarkEnd w:id="1294"/>
      <w:bookmarkEnd w:id="1295"/>
      <w:bookmarkEnd w:id="1296"/>
      <w:bookmarkEnd w:id="1297"/>
      <w:r w:rsidRPr="00A75DF9">
        <w:rPr>
          <w:rFonts w:ascii="Tahoma" w:hAnsi="Tahoma" w:cs="Tahoma"/>
          <w:caps/>
          <w:color w:val="F66400"/>
          <w:sz w:val="22"/>
          <w:vertAlign w:val="superscript"/>
        </w:rPr>
        <w:t>63</w:t>
      </w:r>
      <w:r w:rsidRPr="00A75DF9">
        <w:rPr>
          <w:rFonts w:ascii="Tahoma" w:hAnsi="Tahoma" w:cs="Tahoma"/>
          <w:color w:val="F66400"/>
          <w:sz w:val="22"/>
        </w:rPr>
        <w:t xml:space="preserve"> Forefront Protection 2010 for Exchange Server (SL per Dispositivo e Utente), Forefront Protection 2010 for SharePoint (SL per Dispositivo e Utente)</w:t>
      </w:r>
      <w:bookmarkEnd w:id="1298"/>
      <w:r w:rsidRPr="00A75DF9">
        <w:rPr>
          <w:rFonts w:ascii="Tahoma" w:hAnsi="Tahoma" w:cs="Tahoma"/>
          <w:color w:val="F66400"/>
          <w:sz w:val="22"/>
        </w:rPr>
        <w:t xml:space="preserve"> e</w:t>
      </w:r>
      <w:r w:rsidR="00843AD9">
        <w:rPr>
          <w:rFonts w:ascii="Tahoma" w:hAnsi="Tahoma" w:cs="Tahoma"/>
          <w:color w:val="F66400"/>
          <w:sz w:val="22"/>
        </w:rPr>
        <w:t> </w:t>
      </w:r>
      <w:r w:rsidRPr="00A75DF9">
        <w:rPr>
          <w:rFonts w:ascii="Tahoma" w:hAnsi="Tahoma" w:cs="Tahoma"/>
          <w:color w:val="F66400"/>
          <w:sz w:val="22"/>
        </w:rPr>
        <w:t>Forefront</w:t>
      </w:r>
      <w:r w:rsidR="00843AD9">
        <w:rPr>
          <w:rFonts w:ascii="Tahoma" w:hAnsi="Tahoma" w:cs="Tahoma"/>
          <w:color w:val="F66400"/>
          <w:sz w:val="22"/>
        </w:rPr>
        <w:t> </w:t>
      </w:r>
      <w:r w:rsidRPr="00A75DF9">
        <w:rPr>
          <w:rFonts w:ascii="Tahoma" w:hAnsi="Tahoma" w:cs="Tahoma"/>
          <w:color w:val="F66400"/>
          <w:sz w:val="22"/>
        </w:rPr>
        <w:t>Protection 2010 per Siti Internet (SL Add-on)</w:t>
      </w:r>
      <w:bookmarkEnd w:id="1302"/>
    </w:p>
    <w:bookmarkEnd w:id="1299"/>
    <w:bookmarkEnd w:id="1300"/>
    <w:p w:rsidR="00273685" w:rsidRPr="00A75DF9" w:rsidRDefault="00273685" w:rsidP="00273685">
      <w:pPr>
        <w:ind w:left="720"/>
        <w:rPr>
          <w:rFonts w:cs="Tahoma"/>
        </w:rPr>
      </w:pPr>
    </w:p>
    <w:p w:rsidR="00273685" w:rsidRPr="00A75DF9" w:rsidRDefault="00273685" w:rsidP="00843AD9">
      <w:pPr>
        <w:ind w:left="720"/>
        <w:rPr>
          <w:rFonts w:cs="Tahoma"/>
        </w:rPr>
      </w:pPr>
      <w:r w:rsidRPr="00A75DF9">
        <w:rPr>
          <w:rFonts w:cs="Tahoma"/>
          <w:bCs/>
          <w:color w:val="000000"/>
          <w:szCs w:val="18"/>
        </w:rPr>
        <w:t>Forefront Protection 2010 for SharePoint, Forefront Protection 2010 for Exchange Server e Forefront Protection 2010 per Siti Internet non saranno più disponibili a partire dal 1 dicembre 2012. Le società che disporranno di sottoscrizioni attive dei servizi online alla data del 30 novembre 2012 potranno continuare a</w:t>
      </w:r>
      <w:r w:rsidR="00843AD9">
        <w:rPr>
          <w:rFonts w:cs="Tahoma"/>
          <w:bCs/>
          <w:color w:val="000000"/>
          <w:szCs w:val="18"/>
        </w:rPr>
        <w:t> </w:t>
      </w:r>
      <w:r w:rsidRPr="00A75DF9">
        <w:rPr>
          <w:rFonts w:cs="Tahoma"/>
          <w:bCs/>
          <w:color w:val="000000"/>
          <w:szCs w:val="18"/>
        </w:rPr>
        <w:t xml:space="preserve">utilizzare i servizi online fino al 31 dicembre 2015. </w:t>
      </w:r>
      <w:r w:rsidRPr="00A75DF9">
        <w:rPr>
          <w:rFonts w:cs="Tahoma"/>
        </w:rPr>
        <w:t>Le società esistenti potranno inoltre aggiungere nuovi utenti in base alle proprie esigenze senza dovere ordinare Licenze “Subscription” per Utente aggiuntive.</w:t>
      </w:r>
      <w:r w:rsidR="009D3B41" w:rsidRPr="00A75DF9">
        <w:rPr>
          <w:rFonts w:cs="Tahoma"/>
        </w:rPr>
        <w:t xml:space="preserve"> </w:t>
      </w:r>
      <w:r w:rsidRPr="00A75DF9">
        <w:rPr>
          <w:rFonts w:cs="Tahoma"/>
          <w:bCs/>
          <w:color w:val="000000"/>
          <w:szCs w:val="18"/>
        </w:rPr>
        <w:t>L</w:t>
      </w:r>
      <w:r w:rsidR="00F2643E">
        <w:rPr>
          <w:rFonts w:cs="Tahoma"/>
          <w:bCs/>
          <w:color w:val="000000"/>
          <w:szCs w:val="18"/>
        </w:rPr>
        <w:t>’</w:t>
      </w:r>
      <w:r w:rsidRPr="00A75DF9">
        <w:rPr>
          <w:rFonts w:cs="Tahoma"/>
          <w:bCs/>
          <w:color w:val="000000"/>
          <w:szCs w:val="18"/>
        </w:rPr>
        <w:t xml:space="preserve">utilizzo continuato dei servizi online rimane soggetto alle condizioni del Contratto Multilicenza della società, ai diritti di utilizzo del prodotto relativi al servizio online e alle presenti condizioni. </w:t>
      </w:r>
    </w:p>
    <w:p w:rsidR="00273685" w:rsidRDefault="00273685" w:rsidP="00273685">
      <w:pPr>
        <w:ind w:left="720"/>
        <w:rPr>
          <w:rFonts w:cs="Tahoma"/>
        </w:rPr>
      </w:pPr>
    </w:p>
    <w:p w:rsidR="00273685" w:rsidRPr="00A75DF9" w:rsidRDefault="00273685" w:rsidP="001760D6">
      <w:pPr>
        <w:keepNext/>
        <w:spacing w:after="60"/>
        <w:ind w:left="720"/>
        <w:rPr>
          <w:rFonts w:cs="Tahoma"/>
        </w:rPr>
      </w:pPr>
      <w:r w:rsidRPr="00A75DF9">
        <w:rPr>
          <w:rFonts w:cs="Tahoma"/>
          <w:b/>
          <w:szCs w:val="20"/>
        </w:rPr>
        <w:t>Diritto di Migrazione per Forefront Protection 2010 for Exchange Server</w:t>
      </w:r>
    </w:p>
    <w:p w:rsidR="00273685" w:rsidRPr="00A75DF9" w:rsidRDefault="00273685" w:rsidP="00843AD9">
      <w:pPr>
        <w:ind w:left="720"/>
        <w:rPr>
          <w:rFonts w:cs="Tahoma"/>
        </w:rPr>
      </w:pPr>
      <w:r w:rsidRPr="00A75DF9">
        <w:rPr>
          <w:rFonts w:cs="Tahoma"/>
          <w:color w:val="000000"/>
          <w:szCs w:val="20"/>
        </w:rPr>
        <w:t>Le società che hanno stipulato un Contratto Multilicenza e che hanno acquistato una licenza per Forefront Protection 2010 for Exchange Server sono idonee a utilizzare Antigen for Exchange, Antigen for SMTP Gateways e Antigen Spam Manager al posto di Forefront Protection 2010 for Exchange Server. L</w:t>
      </w:r>
      <w:r w:rsidR="00F2643E">
        <w:rPr>
          <w:rFonts w:cs="Tahoma"/>
          <w:color w:val="000000"/>
          <w:szCs w:val="20"/>
        </w:rPr>
        <w:t>’</w:t>
      </w:r>
      <w:r w:rsidRPr="00A75DF9">
        <w:rPr>
          <w:rFonts w:cs="Tahoma"/>
          <w:color w:val="000000"/>
          <w:szCs w:val="20"/>
        </w:rPr>
        <w:t>utilizzo di Antigen for Exchange, Antigen for SMTP Gateways e Antigen Spam Manager è soggetto al relativo contratto di licenza e ai diritti sull</w:t>
      </w:r>
      <w:r w:rsidR="00F2643E">
        <w:rPr>
          <w:rFonts w:cs="Tahoma"/>
          <w:color w:val="000000"/>
          <w:szCs w:val="20"/>
        </w:rPr>
        <w:t>’</w:t>
      </w:r>
      <w:r w:rsidRPr="00A75DF9">
        <w:rPr>
          <w:rFonts w:cs="Tahoma"/>
          <w:color w:val="000000"/>
          <w:szCs w:val="20"/>
        </w:rPr>
        <w:t>utilizzo di Forefront Protection 2010 for Exchange Server.* I diritti delle società di</w:t>
      </w:r>
      <w:r w:rsidR="00843AD9">
        <w:rPr>
          <w:rFonts w:cs="Tahoma"/>
          <w:color w:val="000000"/>
          <w:szCs w:val="20"/>
        </w:rPr>
        <w:t> </w:t>
      </w:r>
      <w:r w:rsidRPr="00A75DF9">
        <w:rPr>
          <w:rFonts w:cs="Tahoma"/>
          <w:color w:val="000000"/>
          <w:szCs w:val="20"/>
        </w:rPr>
        <w:t>utilizzare Antigen for Exchange, Antigen for SMTP Gateways e Antigen Spam Manager cesseranno alla</w:t>
      </w:r>
      <w:r w:rsidR="00843AD9">
        <w:rPr>
          <w:rFonts w:cs="Tahoma"/>
          <w:color w:val="000000"/>
          <w:szCs w:val="20"/>
        </w:rPr>
        <w:t> </w:t>
      </w:r>
      <w:r w:rsidRPr="00A75DF9">
        <w:rPr>
          <w:rFonts w:cs="Tahoma"/>
          <w:color w:val="000000"/>
          <w:szCs w:val="20"/>
        </w:rPr>
        <w:t>scadenza dei diritti concessi dalla loro licenza per Forefront Protection 2010 for Exchange Server.</w:t>
      </w:r>
    </w:p>
    <w:p w:rsidR="00273685" w:rsidRPr="00A75DF9" w:rsidRDefault="00273685" w:rsidP="00221A57">
      <w:pPr>
        <w:ind w:left="720"/>
        <w:rPr>
          <w:rFonts w:cs="Tahoma"/>
        </w:rPr>
      </w:pPr>
    </w:p>
    <w:p w:rsidR="00273685" w:rsidRPr="00A75DF9" w:rsidRDefault="00273685" w:rsidP="00843AD9">
      <w:pPr>
        <w:ind w:left="720"/>
        <w:rPr>
          <w:rFonts w:cs="Tahoma"/>
        </w:rPr>
      </w:pPr>
      <w:r w:rsidRPr="00A75DF9">
        <w:rPr>
          <w:rFonts w:cs="Tahoma"/>
          <w:color w:val="000000"/>
          <w:szCs w:val="20"/>
        </w:rPr>
        <w:t>*Il diritto di utilizzo di Antigen al posto di Forefront Security non si applica alle società che hanno inizialmente acquistato licenze per uno o più servizi Antigen e che successivamente migrano a Forefront Protection 2010 for Exchange Server. Ad esempio, le società titolari di una licenza Antigen for Exchange non</w:t>
      </w:r>
      <w:r w:rsidR="00843AD9">
        <w:rPr>
          <w:rFonts w:cs="Tahoma"/>
          <w:color w:val="000000"/>
          <w:szCs w:val="20"/>
        </w:rPr>
        <w:t> </w:t>
      </w:r>
      <w:r w:rsidRPr="00A75DF9">
        <w:rPr>
          <w:rFonts w:cs="Tahoma"/>
          <w:color w:val="000000"/>
          <w:szCs w:val="20"/>
        </w:rPr>
        <w:t>sono autorizzate a utilizzare Antigen for SMTP Gateways o Antigen Spam Manager nell</w:t>
      </w:r>
      <w:r w:rsidR="00F2643E">
        <w:rPr>
          <w:rFonts w:cs="Tahoma"/>
          <w:color w:val="000000"/>
          <w:szCs w:val="20"/>
        </w:rPr>
        <w:t>’</w:t>
      </w:r>
      <w:r w:rsidRPr="00A75DF9">
        <w:rPr>
          <w:rFonts w:cs="Tahoma"/>
          <w:color w:val="000000"/>
          <w:szCs w:val="20"/>
        </w:rPr>
        <w:t>ambito delle rispettive licenze Antigen for Exchange ai sensi dei diritti di migrazione a Forefront Protection 2010 for Exchange Server previsti da tale licenza.</w:t>
      </w:r>
      <w:r w:rsidR="009D3B41" w:rsidRPr="00A75DF9">
        <w:rPr>
          <w:rFonts w:cs="Tahoma"/>
          <w:color w:val="000000"/>
          <w:szCs w:val="20"/>
        </w:rPr>
        <w:t xml:space="preserve"> </w:t>
      </w:r>
    </w:p>
    <w:p w:rsidR="00D57009" w:rsidRPr="00A75DF9" w:rsidRDefault="00D57009">
      <w:pPr>
        <w:rPr>
          <w:rFonts w:cs="Tahoma"/>
        </w:rPr>
      </w:pPr>
    </w:p>
    <w:p w:rsidR="00273685" w:rsidRPr="00A75DF9" w:rsidRDefault="00273685" w:rsidP="007B35CE">
      <w:pPr>
        <w:keepNext/>
        <w:spacing w:after="60"/>
        <w:ind w:left="720"/>
        <w:rPr>
          <w:rFonts w:cs="Tahoma"/>
        </w:rPr>
      </w:pPr>
      <w:r w:rsidRPr="00A75DF9">
        <w:rPr>
          <w:rFonts w:cs="Tahoma"/>
          <w:b/>
          <w:szCs w:val="20"/>
        </w:rPr>
        <w:t>Diritto di Downgrade per Forefront Security for SharePoint</w:t>
      </w:r>
    </w:p>
    <w:p w:rsidR="00273685" w:rsidRPr="00A75DF9" w:rsidRDefault="00273685" w:rsidP="00843AD9">
      <w:pPr>
        <w:ind w:left="720"/>
        <w:rPr>
          <w:rFonts w:cs="Tahoma"/>
        </w:rPr>
      </w:pPr>
      <w:r w:rsidRPr="00A75DF9">
        <w:rPr>
          <w:rFonts w:cs="Tahoma"/>
          <w:szCs w:val="20"/>
        </w:rPr>
        <w:t>Le società che hanno stipulato Contratti Multilicenza e che hanno acquistato una licenza per Forefront Protection 2010 for SharePoint sono idonee a effettuare il downgrade a e utilizzare Antigen for SharePoint al</w:t>
      </w:r>
      <w:r w:rsidR="00843AD9">
        <w:rPr>
          <w:rFonts w:cs="Tahoma"/>
          <w:szCs w:val="20"/>
        </w:rPr>
        <w:t> </w:t>
      </w:r>
      <w:r w:rsidRPr="00A75DF9">
        <w:rPr>
          <w:rFonts w:cs="Tahoma"/>
          <w:szCs w:val="20"/>
        </w:rPr>
        <w:t>posto delle licenze per Forefront Protection 2010 for SharePoint. L</w:t>
      </w:r>
      <w:r w:rsidR="00F2643E">
        <w:rPr>
          <w:rFonts w:cs="Tahoma"/>
          <w:szCs w:val="20"/>
        </w:rPr>
        <w:t>’</w:t>
      </w:r>
      <w:r w:rsidRPr="00A75DF9">
        <w:rPr>
          <w:rFonts w:cs="Tahoma"/>
          <w:szCs w:val="20"/>
        </w:rPr>
        <w:t>utilizzo di Antigen for SharePoint è</w:t>
      </w:r>
      <w:r w:rsidR="00843AD9">
        <w:rPr>
          <w:rFonts w:cs="Tahoma"/>
          <w:szCs w:val="20"/>
        </w:rPr>
        <w:t> </w:t>
      </w:r>
      <w:r w:rsidRPr="00A75DF9">
        <w:rPr>
          <w:rFonts w:cs="Tahoma"/>
          <w:szCs w:val="20"/>
        </w:rPr>
        <w:t xml:space="preserve">soggetto alle condizioni del contratto di licenza e ai diritti di utilizzo di Forefront Protection 2010 for </w:t>
      </w:r>
      <w:r w:rsidRPr="00A75DF9">
        <w:rPr>
          <w:rFonts w:cs="Tahoma"/>
          <w:szCs w:val="20"/>
        </w:rPr>
        <w:lastRenderedPageBreak/>
        <w:t>SharePoint. I diritti delle società di utilizzare Antigen for SharePoint cesseranno alla scadenza dei diritti della</w:t>
      </w:r>
      <w:r w:rsidR="00843AD9">
        <w:rPr>
          <w:rFonts w:cs="Tahoma"/>
          <w:szCs w:val="20"/>
        </w:rPr>
        <w:t> </w:t>
      </w:r>
      <w:r w:rsidRPr="00A75DF9">
        <w:rPr>
          <w:rFonts w:cs="Tahoma"/>
          <w:szCs w:val="20"/>
        </w:rPr>
        <w:t>licenza Forefront Protection 2010 for SharePoint.</w:t>
      </w:r>
    </w:p>
    <w:p w:rsidR="00273685" w:rsidRPr="00A75DF9" w:rsidRDefault="00273685" w:rsidP="00221A57">
      <w:pPr>
        <w:ind w:left="720"/>
        <w:rPr>
          <w:rFonts w:cs="Tahoma"/>
        </w:rPr>
      </w:pPr>
    </w:p>
    <w:p w:rsidR="00273685" w:rsidRPr="00FF599C" w:rsidRDefault="00273685" w:rsidP="00843AD9">
      <w:pPr>
        <w:ind w:left="720"/>
        <w:rPr>
          <w:rFonts w:cs="Tahoma"/>
          <w:szCs w:val="18"/>
        </w:rPr>
      </w:pPr>
      <w:r w:rsidRPr="00FF599C">
        <w:rPr>
          <w:rFonts w:cs="Tahoma"/>
          <w:bCs/>
          <w:color w:val="000000"/>
          <w:szCs w:val="18"/>
        </w:rPr>
        <w:t>Tutti gli utenti (o i dispositivi) che accedono a un server protetto devono disporre di licenze SL per Utente (o</w:t>
      </w:r>
      <w:r w:rsidR="00843AD9" w:rsidRPr="00FF599C">
        <w:rPr>
          <w:rFonts w:cs="Tahoma"/>
          <w:bCs/>
          <w:color w:val="000000"/>
          <w:szCs w:val="18"/>
        </w:rPr>
        <w:t> </w:t>
      </w:r>
      <w:r w:rsidRPr="00FF599C">
        <w:rPr>
          <w:rFonts w:cs="Tahoma"/>
          <w:bCs/>
          <w:color w:val="000000"/>
          <w:szCs w:val="18"/>
        </w:rPr>
        <w:t>Dispositivo), a meno che non siano in possesso di una licenza External Connector per Forefront for Exchange o di una licenza SL Add-on per Forefront Security for SharePoint per Siti Internet.</w:t>
      </w:r>
    </w:p>
    <w:p w:rsidR="00273685" w:rsidRPr="00FF599C" w:rsidRDefault="00273685" w:rsidP="00221A57">
      <w:pPr>
        <w:pStyle w:val="EndnoteText"/>
        <w:ind w:left="720"/>
        <w:rPr>
          <w:rFonts w:ascii="Tahoma" w:hAnsi="Tahoma" w:cs="Tahoma"/>
          <w:sz w:val="18"/>
          <w:szCs w:val="18"/>
        </w:rPr>
      </w:pPr>
    </w:p>
    <w:p w:rsidR="00023FE7" w:rsidRPr="00FF599C" w:rsidRDefault="00273685" w:rsidP="00221A57">
      <w:pPr>
        <w:pStyle w:val="EndnoteText"/>
        <w:ind w:left="720"/>
        <w:rPr>
          <w:rFonts w:ascii="Tahoma" w:hAnsi="Tahoma" w:cs="Tahoma"/>
          <w:sz w:val="18"/>
          <w:szCs w:val="18"/>
        </w:rPr>
      </w:pPr>
      <w:r w:rsidRPr="00FF599C">
        <w:rPr>
          <w:rFonts w:ascii="Tahoma" w:hAnsi="Tahoma" w:cs="Tahoma"/>
          <w:bCs/>
          <w:color w:val="000000"/>
          <w:sz w:val="18"/>
          <w:szCs w:val="18"/>
        </w:rPr>
        <w:t>Le società dovranno fare riferimento all</w:t>
      </w:r>
      <w:r w:rsidR="00F2643E">
        <w:rPr>
          <w:rFonts w:ascii="Tahoma" w:hAnsi="Tahoma" w:cs="Tahoma"/>
          <w:bCs/>
          <w:color w:val="000000"/>
          <w:sz w:val="18"/>
          <w:szCs w:val="18"/>
        </w:rPr>
        <w:t>’</w:t>
      </w:r>
      <w:hyperlink w:anchor="_Section_10_–" w:history="1">
        <w:r w:rsidRPr="00FF599C">
          <w:rPr>
            <w:rStyle w:val="Hyperlink"/>
            <w:rFonts w:ascii="Tahoma" w:hAnsi="Tahoma" w:cs="Tahoma"/>
            <w:sz w:val="18"/>
            <w:szCs w:val="18"/>
          </w:rPr>
          <w:t>Articolo 10</w:t>
        </w:r>
      </w:hyperlink>
      <w:r w:rsidRPr="00FF599C">
        <w:rPr>
          <w:rFonts w:ascii="Tahoma" w:hAnsi="Tahoma" w:cs="Tahoma"/>
          <w:bCs/>
          <w:color w:val="000000"/>
          <w:sz w:val="18"/>
          <w:szCs w:val="18"/>
        </w:rPr>
        <w:t xml:space="preserve"> per i prezzi dei servizi online e le condizioni di pagamento.</w:t>
      </w:r>
    </w:p>
    <w:p w:rsidR="00273685" w:rsidRPr="00FF599C" w:rsidRDefault="00273685" w:rsidP="00273685">
      <w:pPr>
        <w:pStyle w:val="EndnoteText"/>
        <w:rPr>
          <w:rFonts w:ascii="Tahoma" w:hAnsi="Tahoma" w:cs="Tahoma"/>
          <w:sz w:val="18"/>
          <w:szCs w:val="18"/>
        </w:rPr>
      </w:pPr>
    </w:p>
    <w:p w:rsidR="00586FCE" w:rsidRPr="00FF599C" w:rsidRDefault="00586FCE" w:rsidP="00273685">
      <w:pPr>
        <w:pStyle w:val="EndnoteText"/>
        <w:rPr>
          <w:rFonts w:ascii="Tahoma" w:hAnsi="Tahoma" w:cs="Tahoma"/>
          <w:sz w:val="18"/>
          <w:szCs w:val="18"/>
        </w:rPr>
      </w:pPr>
    </w:p>
    <w:p w:rsidR="00796FF5" w:rsidRPr="00A75DF9" w:rsidRDefault="00A560B6" w:rsidP="00796FF5">
      <w:pPr>
        <w:pStyle w:val="Heading3"/>
        <w:rPr>
          <w:rFonts w:ascii="Tahoma" w:hAnsi="Tahoma" w:cs="Tahoma"/>
        </w:rPr>
      </w:pPr>
      <w:bookmarkStart w:id="1303" w:name="_61_Forefront_Protection"/>
      <w:bookmarkStart w:id="1304" w:name="_64_Forefront_Protection"/>
      <w:bookmarkStart w:id="1305" w:name="_Toc336338319"/>
      <w:bookmarkStart w:id="1306" w:name="Srv_45ForefrontSecfoOffComm"/>
      <w:bookmarkStart w:id="1307" w:name="Srv_46ForefrontSecfoOffComm"/>
      <w:bookmarkStart w:id="1308" w:name="_Toc368310314"/>
      <w:bookmarkEnd w:id="1303"/>
      <w:bookmarkEnd w:id="1304"/>
      <w:r w:rsidRPr="00A75DF9">
        <w:rPr>
          <w:rFonts w:ascii="Tahoma" w:hAnsi="Tahoma" w:cs="Tahoma"/>
          <w:caps/>
          <w:color w:val="F66400"/>
          <w:sz w:val="22"/>
          <w:vertAlign w:val="superscript"/>
        </w:rPr>
        <w:t>64</w:t>
      </w:r>
      <w:r w:rsidRPr="00A75DF9">
        <w:rPr>
          <w:rFonts w:ascii="Tahoma" w:hAnsi="Tahoma" w:cs="Tahoma"/>
          <w:color w:val="F66400"/>
          <w:sz w:val="22"/>
        </w:rPr>
        <w:t xml:space="preserve"> Forefront Protection Suite (Dispositivo e Utente)</w:t>
      </w:r>
      <w:bookmarkEnd w:id="1305"/>
      <w:bookmarkEnd w:id="1308"/>
    </w:p>
    <w:bookmarkEnd w:id="1301"/>
    <w:p w:rsidR="00796FF5" w:rsidRPr="00A75DF9" w:rsidRDefault="00796FF5" w:rsidP="00796FF5">
      <w:pPr>
        <w:rPr>
          <w:rFonts w:cs="Tahoma"/>
        </w:rPr>
      </w:pPr>
    </w:p>
    <w:p w:rsidR="009115D6" w:rsidRPr="00A75DF9" w:rsidRDefault="009115D6" w:rsidP="00FF599C">
      <w:pPr>
        <w:ind w:left="720"/>
        <w:rPr>
          <w:rFonts w:cs="Tahoma"/>
        </w:rPr>
      </w:pPr>
      <w:r w:rsidRPr="00A75DF9">
        <w:rPr>
          <w:rFonts w:cs="Tahoma"/>
          <w:bCs/>
          <w:color w:val="000000"/>
          <w:szCs w:val="18"/>
        </w:rPr>
        <w:t>Forefront Protection Suite non sarà più disponibile a partire dal 1 dicembre 2012. Le società con abbonamenti attivi al servizio online in data 30 novembre 2012 potranno continuare a utilizzare i servizi online dei componenti fino alla scadenza dell</w:t>
      </w:r>
      <w:r w:rsidR="00F2643E">
        <w:rPr>
          <w:rFonts w:cs="Tahoma"/>
          <w:bCs/>
          <w:color w:val="000000"/>
          <w:szCs w:val="18"/>
        </w:rPr>
        <w:t>’</w:t>
      </w:r>
      <w:r w:rsidRPr="00A75DF9">
        <w:rPr>
          <w:rFonts w:cs="Tahoma"/>
          <w:bCs/>
          <w:color w:val="000000"/>
          <w:szCs w:val="18"/>
        </w:rPr>
        <w:t>abbonamento.</w:t>
      </w:r>
      <w:r w:rsidR="009D3B41" w:rsidRPr="00A75DF9">
        <w:rPr>
          <w:rFonts w:cs="Tahoma"/>
          <w:bCs/>
          <w:color w:val="000000"/>
          <w:szCs w:val="18"/>
        </w:rPr>
        <w:t xml:space="preserve"> </w:t>
      </w:r>
      <w:r w:rsidRPr="00A75DF9">
        <w:rPr>
          <w:rFonts w:cs="Tahoma"/>
          <w:bCs/>
          <w:color w:val="000000"/>
          <w:szCs w:val="18"/>
        </w:rPr>
        <w:t xml:space="preserve">Tali società potranno inoltre continuare a utilizzare i componenti </w:t>
      </w:r>
      <w:r w:rsidRPr="00A75DF9">
        <w:rPr>
          <w:rFonts w:cs="Tahoma"/>
          <w:color w:val="000000"/>
          <w:szCs w:val="20"/>
        </w:rPr>
        <w:t>Forefront Security for Office Communications Server, Forefront Protection 2010 for</w:t>
      </w:r>
      <w:r w:rsidR="00FF599C">
        <w:rPr>
          <w:rFonts w:cs="Tahoma"/>
          <w:color w:val="000000"/>
          <w:szCs w:val="20"/>
        </w:rPr>
        <w:t> </w:t>
      </w:r>
      <w:r w:rsidRPr="00A75DF9">
        <w:rPr>
          <w:rFonts w:cs="Tahoma"/>
          <w:color w:val="000000"/>
          <w:szCs w:val="20"/>
        </w:rPr>
        <w:t xml:space="preserve">Exchange Server, Forefront Threat Management Gateway Web Protection Service e Forefront Protection 2010 for SharePoint Server </w:t>
      </w:r>
      <w:r w:rsidRPr="00A75DF9">
        <w:rPr>
          <w:rFonts w:cs="Tahoma"/>
          <w:bCs/>
          <w:color w:val="000000"/>
          <w:szCs w:val="18"/>
        </w:rPr>
        <w:t xml:space="preserve">della famiglia di prodotti fino al 31 dicembre 2015. </w:t>
      </w:r>
      <w:r w:rsidRPr="00A75DF9">
        <w:rPr>
          <w:rFonts w:cs="Tahoma"/>
        </w:rPr>
        <w:t>Le società esistenti potranno</w:t>
      </w:r>
      <w:r w:rsidR="00FF599C">
        <w:rPr>
          <w:rFonts w:cs="Tahoma"/>
        </w:rPr>
        <w:t> </w:t>
      </w:r>
      <w:r w:rsidRPr="00A75DF9">
        <w:rPr>
          <w:rFonts w:cs="Tahoma"/>
        </w:rPr>
        <w:t>inoltre aggiungere nuovi utenti in base alle proprie esigenze per Forefront Security for Office Communications Server, Forefront Protection 2010 for Exchange Server, Forefront Threat Management Gateway Web Protection Service e Forefront Protection for SharePoint Server senza dovere ordinare Licenze “Subscription” per Utente aggiuntive.</w:t>
      </w:r>
      <w:r w:rsidRPr="00A75DF9">
        <w:rPr>
          <w:rFonts w:cs="Tahoma"/>
          <w:bCs/>
          <w:szCs w:val="18"/>
        </w:rPr>
        <w:t xml:space="preserve"> </w:t>
      </w:r>
      <w:r w:rsidRPr="00A75DF9">
        <w:rPr>
          <w:rFonts w:cs="Tahoma"/>
          <w:bCs/>
          <w:color w:val="000000"/>
          <w:szCs w:val="18"/>
        </w:rPr>
        <w:t>L</w:t>
      </w:r>
      <w:r w:rsidR="00F2643E">
        <w:rPr>
          <w:rFonts w:cs="Tahoma"/>
          <w:bCs/>
          <w:color w:val="000000"/>
          <w:szCs w:val="18"/>
        </w:rPr>
        <w:t>’</w:t>
      </w:r>
      <w:r w:rsidRPr="00A75DF9">
        <w:rPr>
          <w:rFonts w:cs="Tahoma"/>
          <w:bCs/>
          <w:color w:val="000000"/>
          <w:szCs w:val="18"/>
        </w:rPr>
        <w:t>utilizzo continuato dei servizi online dei componenti rimane soggetto alle condizioni del Contratto Multilicenza della società, ai diritti di utilizzo del prodotto relativi ai servizi online e alle presenti condizioni.</w:t>
      </w:r>
    </w:p>
    <w:p w:rsidR="009115D6" w:rsidRPr="00A75DF9" w:rsidRDefault="009115D6" w:rsidP="00796FF5">
      <w:pPr>
        <w:ind w:left="720"/>
        <w:rPr>
          <w:rFonts w:cs="Tahoma"/>
        </w:rPr>
      </w:pPr>
    </w:p>
    <w:p w:rsidR="00796FF5" w:rsidRPr="00A75DF9" w:rsidRDefault="00796FF5" w:rsidP="00FF599C">
      <w:pPr>
        <w:ind w:left="720"/>
        <w:rPr>
          <w:rFonts w:cs="Tahoma"/>
        </w:rPr>
      </w:pPr>
      <w:r w:rsidRPr="00A75DF9">
        <w:rPr>
          <w:rFonts w:cs="Tahoma"/>
          <w:color w:val="000000"/>
          <w:szCs w:val="20"/>
        </w:rPr>
        <w:t>Un abbonamento a Forefront Protection Suite è costituito dai seguenti servizi online: Forefront Endpoint Protection, Forefront for Office Communications Server (ex Antigen for Instant Messaging), Forefront Online</w:t>
      </w:r>
      <w:r w:rsidR="00FF599C">
        <w:rPr>
          <w:rFonts w:cs="Tahoma"/>
          <w:color w:val="000000"/>
          <w:szCs w:val="20"/>
        </w:rPr>
        <w:t> </w:t>
      </w:r>
      <w:r w:rsidRPr="00A75DF9">
        <w:rPr>
          <w:rFonts w:cs="Tahoma"/>
          <w:color w:val="000000"/>
          <w:szCs w:val="20"/>
        </w:rPr>
        <w:t xml:space="preserve">Protection for Exchange (ex Exchange Hosted Filtering), Forefront Protection 2010 for Exchange Server, Forefront Threat Management Gateway Web Protection Service e Forefront Protection 2010 for SharePoint Server. </w:t>
      </w:r>
    </w:p>
    <w:p w:rsidR="00796FF5" w:rsidRPr="00A75DF9" w:rsidRDefault="00796FF5" w:rsidP="00796FF5">
      <w:pPr>
        <w:ind w:left="720"/>
        <w:rPr>
          <w:rFonts w:cs="Tahoma"/>
        </w:rPr>
      </w:pPr>
    </w:p>
    <w:p w:rsidR="006E5A58" w:rsidRPr="00A75DF9" w:rsidRDefault="00796FF5" w:rsidP="00221A57">
      <w:pPr>
        <w:ind w:left="720"/>
        <w:rPr>
          <w:rFonts w:cs="Tahoma"/>
        </w:rPr>
      </w:pPr>
      <w:r w:rsidRPr="00A75DF9">
        <w:rPr>
          <w:rFonts w:cs="Tahoma"/>
          <w:bCs/>
          <w:color w:val="000000"/>
          <w:szCs w:val="20"/>
        </w:rPr>
        <w:t>Le società dovranno fare riferimento all</w:t>
      </w:r>
      <w:r w:rsidR="00F2643E">
        <w:rPr>
          <w:rFonts w:cs="Tahoma"/>
          <w:bCs/>
          <w:color w:val="000000"/>
          <w:szCs w:val="20"/>
        </w:rPr>
        <w:t>’</w:t>
      </w:r>
      <w:r w:rsidRPr="00A75DF9">
        <w:rPr>
          <w:rFonts w:cs="Tahoma"/>
        </w:rPr>
        <w:t>Articolo 5</w:t>
      </w:r>
      <w:r w:rsidRPr="00A75DF9">
        <w:rPr>
          <w:rFonts w:cs="Tahoma"/>
          <w:bCs/>
          <w:color w:val="000000"/>
          <w:szCs w:val="20"/>
        </w:rPr>
        <w:t xml:space="preserve"> per i prezzi dei servizi online e le condizioni di pagamento. </w:t>
      </w:r>
    </w:p>
    <w:p w:rsidR="00796FF5" w:rsidRPr="00A75DF9" w:rsidRDefault="00796FF5" w:rsidP="00221A57">
      <w:pPr>
        <w:rPr>
          <w:rFonts w:cs="Tahoma"/>
        </w:rPr>
      </w:pPr>
    </w:p>
    <w:p w:rsidR="009C2B6B" w:rsidRDefault="009C2B6B" w:rsidP="00221A57">
      <w:pPr>
        <w:rPr>
          <w:rFonts w:cs="Tahoma"/>
        </w:rPr>
      </w:pPr>
    </w:p>
    <w:p w:rsidR="00023FE7" w:rsidRPr="00A75DF9" w:rsidRDefault="00A560B6">
      <w:pPr>
        <w:pStyle w:val="Heading3"/>
        <w:rPr>
          <w:rFonts w:ascii="Tahoma" w:hAnsi="Tahoma" w:cs="Tahoma"/>
        </w:rPr>
      </w:pPr>
      <w:bookmarkStart w:id="1309" w:name="_65_Forefront_Security"/>
      <w:bookmarkStart w:id="1310" w:name="_Toc336338320"/>
      <w:bookmarkStart w:id="1311" w:name="Srv_49ForefrontSecfoOffComm"/>
      <w:bookmarkStart w:id="1312" w:name="_Toc368310315"/>
      <w:bookmarkEnd w:id="1309"/>
      <w:r w:rsidRPr="00A75DF9">
        <w:rPr>
          <w:rFonts w:ascii="Tahoma" w:hAnsi="Tahoma" w:cs="Tahoma"/>
          <w:caps/>
          <w:color w:val="F66400"/>
          <w:sz w:val="22"/>
          <w:vertAlign w:val="superscript"/>
        </w:rPr>
        <w:t xml:space="preserve">65 </w:t>
      </w:r>
      <w:r w:rsidRPr="00A75DF9">
        <w:rPr>
          <w:rFonts w:ascii="Tahoma" w:hAnsi="Tahoma" w:cs="Tahoma"/>
          <w:color w:val="F66400"/>
          <w:sz w:val="22"/>
        </w:rPr>
        <w:t>Forefront Security for Office Communications Server (SL per Utente e Dispositivo)</w:t>
      </w:r>
      <w:bookmarkEnd w:id="1310"/>
      <w:bookmarkEnd w:id="1312"/>
    </w:p>
    <w:bookmarkEnd w:id="1311"/>
    <w:p w:rsidR="00023FE7" w:rsidRPr="00FF599C" w:rsidRDefault="00023FE7">
      <w:pPr>
        <w:pStyle w:val="EndnoteText"/>
        <w:ind w:left="0"/>
        <w:rPr>
          <w:rFonts w:ascii="Tahoma" w:hAnsi="Tahoma" w:cs="Tahoma"/>
          <w:sz w:val="18"/>
          <w:szCs w:val="18"/>
        </w:rPr>
      </w:pPr>
    </w:p>
    <w:bookmarkEnd w:id="1306"/>
    <w:bookmarkEnd w:id="1307"/>
    <w:p w:rsidR="009115D6" w:rsidRPr="00FF599C" w:rsidRDefault="009115D6" w:rsidP="009115D6">
      <w:pPr>
        <w:ind w:left="720"/>
        <w:rPr>
          <w:rFonts w:cs="Tahoma"/>
          <w:szCs w:val="18"/>
        </w:rPr>
      </w:pPr>
      <w:r w:rsidRPr="00FF599C">
        <w:rPr>
          <w:rFonts w:cs="Tahoma"/>
          <w:bCs/>
          <w:color w:val="000000"/>
          <w:szCs w:val="18"/>
        </w:rPr>
        <w:t xml:space="preserve">Forefront Security for Office Communications Server non sarà più disponibile a partire dal 1 dicembre 2012. Le società che disporranno di sottoscrizioni attive del servizio online alla data del 30 novembre 2012 potranno continuare a utilizzare il servizio online fino al 31 dicembre 2015. </w:t>
      </w:r>
      <w:r w:rsidRPr="00FF599C">
        <w:rPr>
          <w:rFonts w:cs="Tahoma"/>
          <w:szCs w:val="18"/>
        </w:rPr>
        <w:t>Le società esistenti potranno inoltre aggiungere nuovi utenti in base alle proprie esigenze senza dovere ordinare Licenze “Subscription” per Utente aggiuntive.</w:t>
      </w:r>
      <w:r w:rsidR="009D3B41" w:rsidRPr="00FF599C">
        <w:rPr>
          <w:rFonts w:cs="Tahoma"/>
          <w:szCs w:val="18"/>
        </w:rPr>
        <w:t xml:space="preserve"> </w:t>
      </w:r>
      <w:r w:rsidRPr="00FF599C">
        <w:rPr>
          <w:rFonts w:cs="Tahoma"/>
          <w:bCs/>
          <w:color w:val="000000"/>
          <w:szCs w:val="18"/>
        </w:rPr>
        <w:t>L</w:t>
      </w:r>
      <w:r w:rsidR="00F2643E">
        <w:rPr>
          <w:rFonts w:cs="Tahoma"/>
          <w:bCs/>
          <w:color w:val="000000"/>
          <w:szCs w:val="18"/>
        </w:rPr>
        <w:t>’</w:t>
      </w:r>
      <w:r w:rsidRPr="00FF599C">
        <w:rPr>
          <w:rFonts w:cs="Tahoma"/>
          <w:bCs/>
          <w:color w:val="000000"/>
          <w:szCs w:val="18"/>
        </w:rPr>
        <w:t xml:space="preserve">utilizzo continuato del servizio online rimane soggetto alle condizioni del Contratto Multilicenza della società, ai diritti di utilizzo del prodotto relativi al servizio online e alle presenti condizioni. </w:t>
      </w:r>
    </w:p>
    <w:p w:rsidR="009115D6" w:rsidRPr="00FF599C" w:rsidRDefault="009115D6" w:rsidP="009115D6">
      <w:pPr>
        <w:ind w:left="720"/>
        <w:rPr>
          <w:rFonts w:cs="Tahoma"/>
          <w:szCs w:val="18"/>
        </w:rPr>
      </w:pPr>
    </w:p>
    <w:p w:rsidR="00023FE7" w:rsidRPr="00FF599C" w:rsidRDefault="00023FE7" w:rsidP="00E62BC4">
      <w:pPr>
        <w:pStyle w:val="EndnoteText"/>
        <w:ind w:left="720"/>
        <w:rPr>
          <w:rFonts w:ascii="Tahoma" w:hAnsi="Tahoma" w:cs="Tahoma"/>
          <w:sz w:val="18"/>
          <w:szCs w:val="18"/>
        </w:rPr>
      </w:pPr>
      <w:r w:rsidRPr="00FF599C">
        <w:rPr>
          <w:rFonts w:ascii="Tahoma" w:hAnsi="Tahoma" w:cs="Tahoma"/>
          <w:bCs/>
          <w:color w:val="000000"/>
          <w:sz w:val="18"/>
          <w:szCs w:val="18"/>
        </w:rPr>
        <w:t>Tutti gli utenti (o dispositivi) che accedono a un server protetto hanno bisogno di SL Utente (o Dispositivo).</w:t>
      </w:r>
      <w:r w:rsidR="009D3B41" w:rsidRPr="00FF599C">
        <w:rPr>
          <w:rFonts w:ascii="Tahoma" w:hAnsi="Tahoma" w:cs="Tahoma"/>
          <w:bCs/>
          <w:color w:val="000000"/>
          <w:sz w:val="18"/>
          <w:szCs w:val="18"/>
        </w:rPr>
        <w:t xml:space="preserve"> </w:t>
      </w:r>
      <w:r w:rsidRPr="00FF599C">
        <w:rPr>
          <w:rFonts w:ascii="Tahoma" w:hAnsi="Tahoma" w:cs="Tahoma"/>
          <w:bCs/>
          <w:color w:val="000000"/>
          <w:sz w:val="18"/>
          <w:szCs w:val="18"/>
        </w:rPr>
        <w:t>Questo servizio online era precedentemente noto come Antigen for Instant Messaging.</w:t>
      </w:r>
      <w:r w:rsidR="009D3B41" w:rsidRPr="00FF599C">
        <w:rPr>
          <w:rFonts w:ascii="Tahoma" w:hAnsi="Tahoma" w:cs="Tahoma"/>
          <w:bCs/>
          <w:color w:val="000000"/>
          <w:sz w:val="18"/>
          <w:szCs w:val="18"/>
        </w:rPr>
        <w:t xml:space="preserve"> </w:t>
      </w:r>
    </w:p>
    <w:p w:rsidR="00023FE7" w:rsidRPr="00FF599C" w:rsidRDefault="00023FE7" w:rsidP="00697E59">
      <w:pPr>
        <w:rPr>
          <w:rFonts w:cs="Tahoma"/>
          <w:szCs w:val="18"/>
        </w:rPr>
      </w:pPr>
      <w:bookmarkStart w:id="1313" w:name="Srv_48ForefrontSvrSecMgmtConsole"/>
    </w:p>
    <w:p w:rsidR="00EE30F1" w:rsidRPr="00FF599C" w:rsidRDefault="00EE30F1" w:rsidP="00221A57">
      <w:pPr>
        <w:rPr>
          <w:rFonts w:cs="Tahoma"/>
          <w:szCs w:val="18"/>
        </w:rPr>
      </w:pPr>
      <w:bookmarkStart w:id="1314" w:name="_49_Forefront_Threat"/>
      <w:bookmarkStart w:id="1315" w:name="Srv_52ForefrontUnifiedAccessGtwy2010"/>
      <w:bookmarkStart w:id="1316" w:name="Srv_56ForefrontUnifiedAccessGtwy2010"/>
      <w:bookmarkEnd w:id="1313"/>
      <w:bookmarkEnd w:id="1314"/>
    </w:p>
    <w:p w:rsidR="0079439D" w:rsidRPr="00A75DF9" w:rsidRDefault="00A560B6" w:rsidP="00221A57">
      <w:pPr>
        <w:pStyle w:val="Heading3"/>
        <w:rPr>
          <w:rFonts w:ascii="Tahoma" w:hAnsi="Tahoma" w:cs="Tahoma"/>
        </w:rPr>
      </w:pPr>
      <w:bookmarkStart w:id="1317" w:name="_50__Forefront"/>
      <w:bookmarkStart w:id="1318" w:name="_57_Forefront_Threat"/>
      <w:bookmarkStart w:id="1319" w:name="_66_Forefront_Threat"/>
      <w:bookmarkStart w:id="1320" w:name="_Toc336338321"/>
      <w:bookmarkStart w:id="1321" w:name="Srv_51ForefrontThreatMgmtGtwy2010"/>
      <w:bookmarkStart w:id="1322" w:name="_Toc368310316"/>
      <w:bookmarkEnd w:id="1317"/>
      <w:bookmarkEnd w:id="1318"/>
      <w:bookmarkEnd w:id="1319"/>
      <w:r w:rsidRPr="00A75DF9">
        <w:rPr>
          <w:rFonts w:ascii="Tahoma" w:hAnsi="Tahoma" w:cs="Tahoma"/>
          <w:caps/>
          <w:color w:val="F66400"/>
          <w:sz w:val="22"/>
          <w:vertAlign w:val="superscript"/>
        </w:rPr>
        <w:t xml:space="preserve">66 </w:t>
      </w:r>
      <w:r w:rsidRPr="00A75DF9">
        <w:rPr>
          <w:rFonts w:ascii="Tahoma" w:hAnsi="Tahoma" w:cs="Tahoma"/>
          <w:color w:val="F66400"/>
          <w:sz w:val="22"/>
        </w:rPr>
        <w:t xml:space="preserve">Forefront Threat Management Gateway </w:t>
      </w:r>
      <w:bookmarkEnd w:id="1320"/>
      <w:r w:rsidRPr="00A75DF9">
        <w:rPr>
          <w:rFonts w:ascii="Tahoma" w:hAnsi="Tahoma" w:cs="Tahoma"/>
          <w:color w:val="F66400"/>
          <w:sz w:val="22"/>
        </w:rPr>
        <w:t>Web Protection Service</w:t>
      </w:r>
      <w:bookmarkEnd w:id="1321"/>
      <w:bookmarkEnd w:id="1322"/>
    </w:p>
    <w:p w:rsidR="00221A57" w:rsidRPr="00A75DF9" w:rsidRDefault="00221A57" w:rsidP="00221A57">
      <w:pPr>
        <w:rPr>
          <w:rFonts w:cs="Tahoma"/>
        </w:rPr>
      </w:pPr>
    </w:p>
    <w:p w:rsidR="00586FCE" w:rsidRPr="00A75DF9" w:rsidRDefault="0079439D" w:rsidP="00FF599C">
      <w:pPr>
        <w:ind w:left="720"/>
        <w:rPr>
          <w:rFonts w:cs="Tahoma"/>
        </w:rPr>
      </w:pPr>
      <w:bookmarkStart w:id="1323" w:name="_Toc336338322"/>
      <w:r w:rsidRPr="00A75DF9">
        <w:rPr>
          <w:rFonts w:cs="Tahoma"/>
          <w:bCs/>
          <w:color w:val="000000"/>
          <w:szCs w:val="18"/>
        </w:rPr>
        <w:t xml:space="preserve">Forefront Threat Management Gateway Web Protection Service non sarà più disponibile a partire dal 1 dicembre 2012. Le società che disporranno di sottoscrizioni attive del servizio online alla data del 30 novembre 2012 potranno continuare a utilizzare il servizio online fino al 31 dicembre 2015. </w:t>
      </w:r>
      <w:r w:rsidRPr="00A75DF9">
        <w:rPr>
          <w:rFonts w:cs="Tahoma"/>
        </w:rPr>
        <w:t>Le società esistenti potranno inoltre aggiungere nuovi utenti in base alle proprie esigenze senza dovere ordinare Licenze “Subscription” per Utente aggiuntive.</w:t>
      </w:r>
      <w:r w:rsidR="009D3B41" w:rsidRPr="00A75DF9">
        <w:rPr>
          <w:rFonts w:cs="Tahoma"/>
          <w:bCs/>
          <w:szCs w:val="18"/>
        </w:rPr>
        <w:t xml:space="preserve"> </w:t>
      </w:r>
      <w:r w:rsidRPr="00A75DF9">
        <w:rPr>
          <w:rFonts w:cs="Tahoma"/>
          <w:bCs/>
          <w:color w:val="000000"/>
          <w:szCs w:val="18"/>
        </w:rPr>
        <w:t>L</w:t>
      </w:r>
      <w:r w:rsidR="00F2643E">
        <w:rPr>
          <w:rFonts w:cs="Tahoma"/>
          <w:bCs/>
          <w:color w:val="000000"/>
          <w:szCs w:val="18"/>
        </w:rPr>
        <w:t>’</w:t>
      </w:r>
      <w:r w:rsidRPr="00A75DF9">
        <w:rPr>
          <w:rFonts w:cs="Tahoma"/>
          <w:bCs/>
          <w:color w:val="000000"/>
          <w:szCs w:val="18"/>
        </w:rPr>
        <w:t>utilizzo continuato del servizio online rimane soggetto alle condizioni del Contratto Multilicenza della società, ai diritti di utilizzo del prodotto relativi al servizio online e</w:t>
      </w:r>
      <w:r w:rsidR="00FF599C">
        <w:rPr>
          <w:rFonts w:cs="Tahoma"/>
          <w:bCs/>
          <w:color w:val="000000"/>
          <w:szCs w:val="18"/>
        </w:rPr>
        <w:t> </w:t>
      </w:r>
      <w:r w:rsidRPr="00A75DF9">
        <w:rPr>
          <w:rFonts w:cs="Tahoma"/>
          <w:bCs/>
          <w:color w:val="000000"/>
          <w:szCs w:val="18"/>
        </w:rPr>
        <w:t xml:space="preserve">alle presenti condizioni. </w:t>
      </w:r>
    </w:p>
    <w:p w:rsidR="00221A57" w:rsidRPr="00A75DF9" w:rsidRDefault="00221A57" w:rsidP="00221A57">
      <w:pPr>
        <w:rPr>
          <w:rFonts w:cs="Tahoma"/>
        </w:rPr>
      </w:pPr>
    </w:p>
    <w:p w:rsidR="009E4FDD" w:rsidRPr="00A75DF9" w:rsidRDefault="00A560B6" w:rsidP="009E4FDD">
      <w:pPr>
        <w:pStyle w:val="Heading3"/>
        <w:rPr>
          <w:rFonts w:ascii="Tahoma" w:hAnsi="Tahoma" w:cs="Tahoma"/>
        </w:rPr>
      </w:pPr>
      <w:bookmarkStart w:id="1324" w:name="_67_Forefront_Unified"/>
      <w:bookmarkStart w:id="1325" w:name="_Toc368310317"/>
      <w:bookmarkEnd w:id="1324"/>
      <w:r w:rsidRPr="00A75DF9">
        <w:rPr>
          <w:rFonts w:ascii="Tahoma" w:hAnsi="Tahoma" w:cs="Tahoma"/>
          <w:caps/>
          <w:color w:val="F66400"/>
          <w:sz w:val="22"/>
          <w:vertAlign w:val="superscript"/>
        </w:rPr>
        <w:lastRenderedPageBreak/>
        <w:t xml:space="preserve">67 </w:t>
      </w:r>
      <w:r w:rsidRPr="00A75DF9">
        <w:rPr>
          <w:rFonts w:ascii="Tahoma" w:hAnsi="Tahoma" w:cs="Tahoma"/>
          <w:color w:val="F66400"/>
          <w:sz w:val="22"/>
        </w:rPr>
        <w:t>Forefront Unified Access Gateway 2010</w:t>
      </w:r>
      <w:bookmarkEnd w:id="1323"/>
      <w:bookmarkEnd w:id="1325"/>
    </w:p>
    <w:bookmarkEnd w:id="1315"/>
    <w:bookmarkEnd w:id="1316"/>
    <w:p w:rsidR="009E4FDD" w:rsidRPr="00A75DF9" w:rsidRDefault="009E4FDD" w:rsidP="009E4FDD">
      <w:pPr>
        <w:rPr>
          <w:rFonts w:cs="Tahoma"/>
        </w:rPr>
      </w:pPr>
    </w:p>
    <w:p w:rsidR="009E4FDD" w:rsidRPr="00A75DF9" w:rsidRDefault="009E4FDD" w:rsidP="00221A57">
      <w:pPr>
        <w:spacing w:after="60"/>
        <w:ind w:left="720"/>
        <w:rPr>
          <w:rFonts w:cs="Tahoma"/>
        </w:rPr>
      </w:pPr>
      <w:r w:rsidRPr="00A75DF9">
        <w:rPr>
          <w:rFonts w:cs="Tahoma"/>
          <w:b/>
          <w:color w:val="000000"/>
          <w:szCs w:val="18"/>
        </w:rPr>
        <w:t>Versione</w:t>
      </w:r>
    </w:p>
    <w:p w:rsidR="009E4FDD" w:rsidRPr="00A75DF9" w:rsidRDefault="009E4FDD" w:rsidP="00FF599C">
      <w:pPr>
        <w:ind w:left="720"/>
        <w:rPr>
          <w:rFonts w:cs="Tahoma"/>
        </w:rPr>
      </w:pPr>
      <w:r w:rsidRPr="00A75DF9">
        <w:rPr>
          <w:rFonts w:cs="Tahoma"/>
          <w:color w:val="000000"/>
          <w:szCs w:val="18"/>
        </w:rPr>
        <w:t>Forefront Unified Access Gateway 2010 è la versione successiva di Whale Intelligent Application Gateway</w:t>
      </w:r>
      <w:r w:rsidR="00FF599C">
        <w:rPr>
          <w:rFonts w:cs="Tahoma"/>
          <w:color w:val="000000"/>
          <w:szCs w:val="18"/>
        </w:rPr>
        <w:t> </w:t>
      </w:r>
      <w:r w:rsidRPr="00A75DF9">
        <w:rPr>
          <w:rFonts w:cs="Tahoma"/>
          <w:color w:val="000000"/>
          <w:szCs w:val="18"/>
        </w:rPr>
        <w:t>2007</w:t>
      </w:r>
    </w:p>
    <w:p w:rsidR="00EE30F1" w:rsidRPr="00A75DF9" w:rsidRDefault="00EE30F1">
      <w:pPr>
        <w:ind w:left="720"/>
        <w:rPr>
          <w:rFonts w:cs="Tahoma"/>
        </w:rPr>
      </w:pPr>
    </w:p>
    <w:p w:rsidR="001979E9" w:rsidRPr="00A75DF9" w:rsidRDefault="001979E9">
      <w:pPr>
        <w:ind w:left="720"/>
        <w:rPr>
          <w:rFonts w:cs="Tahoma"/>
        </w:rPr>
      </w:pPr>
    </w:p>
    <w:p w:rsidR="00023FE7" w:rsidRPr="00A75DF9" w:rsidRDefault="00A560B6" w:rsidP="00416294">
      <w:pPr>
        <w:pStyle w:val="Heading3"/>
        <w:rPr>
          <w:rFonts w:ascii="Tahoma" w:hAnsi="Tahoma" w:cs="Tahoma"/>
        </w:rPr>
      </w:pPr>
      <w:bookmarkStart w:id="1326" w:name="_51_High_Performance"/>
      <w:bookmarkStart w:id="1327" w:name="_63_61_HPC"/>
      <w:bookmarkStart w:id="1328" w:name="_68_HPC_Pack"/>
      <w:bookmarkStart w:id="1329" w:name="_Toc336338323"/>
      <w:bookmarkStart w:id="1330" w:name="Srv_48HighPerfComputingPack"/>
      <w:bookmarkStart w:id="1331" w:name="Srv_54HighPerfComputingPack"/>
      <w:bookmarkStart w:id="1332" w:name="Srv_49HighPerfComputingPack"/>
      <w:bookmarkStart w:id="1333" w:name="_Toc368310318"/>
      <w:bookmarkEnd w:id="1326"/>
      <w:bookmarkEnd w:id="1327"/>
      <w:bookmarkEnd w:id="1328"/>
      <w:r w:rsidRPr="00A75DF9">
        <w:rPr>
          <w:rFonts w:ascii="Tahoma" w:hAnsi="Tahoma" w:cs="Tahoma"/>
          <w:caps/>
          <w:color w:val="F66400"/>
          <w:sz w:val="22"/>
          <w:vertAlign w:val="superscript"/>
        </w:rPr>
        <w:t xml:space="preserve">68 </w:t>
      </w:r>
      <w:r w:rsidRPr="00A75DF9">
        <w:rPr>
          <w:rFonts w:ascii="Tahoma" w:hAnsi="Tahoma" w:cs="Tahoma"/>
          <w:color w:val="F66400"/>
          <w:sz w:val="22"/>
        </w:rPr>
        <w:t>HPC Pack 2008 R2 Enterprise</w:t>
      </w:r>
      <w:bookmarkEnd w:id="1329"/>
      <w:bookmarkEnd w:id="1333"/>
    </w:p>
    <w:bookmarkEnd w:id="1330"/>
    <w:bookmarkEnd w:id="1331"/>
    <w:p w:rsidR="00023FE7" w:rsidRPr="00A75DF9" w:rsidRDefault="00023FE7" w:rsidP="00416294">
      <w:pPr>
        <w:ind w:left="720"/>
        <w:rPr>
          <w:rFonts w:cs="Tahoma"/>
        </w:rPr>
      </w:pPr>
    </w:p>
    <w:bookmarkEnd w:id="1332"/>
    <w:p w:rsidR="00221A57" w:rsidRPr="00A75DF9" w:rsidRDefault="001978C7" w:rsidP="00221A57">
      <w:pPr>
        <w:spacing w:after="60"/>
        <w:ind w:left="720"/>
        <w:rPr>
          <w:rFonts w:cs="Tahoma"/>
        </w:rPr>
      </w:pPr>
      <w:r w:rsidRPr="00A75DF9">
        <w:rPr>
          <w:rFonts w:cs="Tahoma"/>
          <w:b/>
          <w:color w:val="000000"/>
        </w:rPr>
        <w:t>Concessioni di licenza associate alla fine del ciclo di vita di HPC Pack Enterprise</w:t>
      </w:r>
    </w:p>
    <w:p w:rsidR="00221A57" w:rsidRPr="00A75DF9" w:rsidRDefault="001978C7" w:rsidP="00FF599C">
      <w:pPr>
        <w:ind w:left="720"/>
        <w:rPr>
          <w:rFonts w:cs="Tahoma"/>
        </w:rPr>
      </w:pPr>
      <w:r w:rsidRPr="00A75DF9">
        <w:rPr>
          <w:rFonts w:cs="Tahoma"/>
          <w:color w:val="000000"/>
        </w:rPr>
        <w:t>HPC Pack 2008 R2 Enterprise sarà l</w:t>
      </w:r>
      <w:r w:rsidR="00F2643E">
        <w:rPr>
          <w:rFonts w:cs="Tahoma"/>
          <w:color w:val="000000"/>
        </w:rPr>
        <w:t>’</w:t>
      </w:r>
      <w:r w:rsidRPr="00A75DF9">
        <w:rPr>
          <w:rFonts w:cs="Tahoma"/>
          <w:color w:val="000000"/>
        </w:rPr>
        <w:t>ultima versione del software HPC Pack Enterprise venduta nel Programma Multilicenza. Le prossime versioni saranno disponibili come download gratuiti. Le società titolari di Contratti Multilicenza con copertura Software Assurance attiva per le licenze per HPC Pack 2008 R2 Enterprise in data 1 settembre 2012 o in occasione della prima disponibilità di Windows Server 2012 per il</w:t>
      </w:r>
      <w:r w:rsidR="00FF599C">
        <w:rPr>
          <w:rFonts w:cs="Tahoma"/>
          <w:color w:val="000000"/>
        </w:rPr>
        <w:t> </w:t>
      </w:r>
      <w:r w:rsidRPr="00A75DF9">
        <w:rPr>
          <w:rFonts w:cs="Tahoma"/>
          <w:color w:val="000000"/>
        </w:rPr>
        <w:t xml:space="preserve">download dal sito Web Volume Licensing Service Center, a seconda di quale evento si verificherà per primo, (“Licenze Qualificanti”) saranno autorizzate a </w:t>
      </w:r>
      <w:r w:rsidRPr="00A75DF9">
        <w:rPr>
          <w:rFonts w:eastAsia="Calibri" w:cs="Tahoma"/>
          <w:szCs w:val="18"/>
        </w:rPr>
        <w:t>utilizzare il software Windows Server 2012 Standard. Per agevolare tale utilizzo, per ogni due Licenze Qualificanti in suo possesso, alla società verrà concessa una licenza per processore per Windows Server 2012 Standard in base alla disponibilità di Windows Server 2012.</w:t>
      </w:r>
    </w:p>
    <w:p w:rsidR="001978C7" w:rsidRPr="00A75DF9" w:rsidRDefault="001978C7" w:rsidP="00221A57">
      <w:pPr>
        <w:ind w:left="720"/>
        <w:rPr>
          <w:rFonts w:cs="Tahoma"/>
        </w:rPr>
      </w:pPr>
    </w:p>
    <w:p w:rsidR="001978C7" w:rsidRPr="00FF599C" w:rsidRDefault="001978C7" w:rsidP="00346F4B">
      <w:pPr>
        <w:numPr>
          <w:ilvl w:val="0"/>
          <w:numId w:val="56"/>
        </w:numPr>
        <w:tabs>
          <w:tab w:val="clear" w:pos="360"/>
          <w:tab w:val="left" w:pos="1440"/>
        </w:tabs>
        <w:spacing w:after="60"/>
        <w:ind w:left="1440"/>
        <w:rPr>
          <w:rFonts w:cs="Tahoma"/>
          <w:szCs w:val="18"/>
        </w:rPr>
      </w:pPr>
      <w:r w:rsidRPr="00FF599C">
        <w:rPr>
          <w:rFonts w:cs="Tahoma"/>
          <w:color w:val="000000"/>
          <w:szCs w:val="18"/>
        </w:rPr>
        <w:t>Qualora una società disponga di un numero dispari di licenze per HPC Pack Enterprise, dovrà arrotondarle al successivo numero pari per determinare la quantità concessa.</w:t>
      </w:r>
      <w:r w:rsidR="009D3B41" w:rsidRPr="00FF599C">
        <w:rPr>
          <w:rFonts w:cs="Tahoma"/>
          <w:color w:val="000000"/>
          <w:szCs w:val="18"/>
        </w:rPr>
        <w:t xml:space="preserve"> </w:t>
      </w:r>
      <w:r w:rsidRPr="00FF599C">
        <w:rPr>
          <w:rFonts w:cs="Tahoma"/>
          <w:color w:val="000000"/>
          <w:szCs w:val="18"/>
        </w:rPr>
        <w:t>Ad esempio, una società titolare di tre licenze per HPC Pack Enterprise riceverà in totale due licenze per Windows Server 2012 Standard.</w:t>
      </w:r>
    </w:p>
    <w:p w:rsidR="001978C7" w:rsidRPr="00FF599C" w:rsidRDefault="001978C7" w:rsidP="00346F4B">
      <w:pPr>
        <w:pStyle w:val="ListParagraph"/>
        <w:numPr>
          <w:ilvl w:val="0"/>
          <w:numId w:val="56"/>
        </w:numPr>
        <w:tabs>
          <w:tab w:val="clear" w:pos="360"/>
          <w:tab w:val="left" w:pos="1440"/>
        </w:tabs>
        <w:spacing w:after="60"/>
        <w:ind w:left="1440"/>
        <w:contextualSpacing w:val="0"/>
        <w:rPr>
          <w:rFonts w:ascii="Tahoma" w:hAnsi="Tahoma" w:cs="Tahoma"/>
          <w:sz w:val="18"/>
          <w:szCs w:val="18"/>
        </w:rPr>
      </w:pPr>
      <w:r w:rsidRPr="00FF599C">
        <w:rPr>
          <w:rFonts w:ascii="Tahoma" w:eastAsia="Calibri" w:hAnsi="Tahoma" w:cs="Tahoma"/>
          <w:sz w:val="18"/>
          <w:szCs w:val="18"/>
        </w:rPr>
        <w:t>Le licenze acquistate ai sensi della presente concessione includono la copertura Software Assurance.</w:t>
      </w:r>
      <w:r w:rsidR="009D3B41" w:rsidRPr="00FF599C">
        <w:rPr>
          <w:rFonts w:ascii="Tahoma" w:eastAsia="Calibri" w:hAnsi="Tahoma" w:cs="Tahoma"/>
          <w:sz w:val="18"/>
          <w:szCs w:val="18"/>
        </w:rPr>
        <w:t xml:space="preserve"> </w:t>
      </w:r>
      <w:r w:rsidRPr="00FF599C">
        <w:rPr>
          <w:rFonts w:ascii="Tahoma" w:eastAsia="Calibri" w:hAnsi="Tahoma" w:cs="Tahoma"/>
          <w:sz w:val="18"/>
          <w:szCs w:val="18"/>
        </w:rPr>
        <w:t>Tale copertura cessa alla scadenza della corrispondente copertura per le Licenze Qualificanti.</w:t>
      </w:r>
    </w:p>
    <w:p w:rsidR="001978C7" w:rsidRPr="00FF599C" w:rsidRDefault="001978C7" w:rsidP="00346F4B">
      <w:pPr>
        <w:pStyle w:val="ListParagraph"/>
        <w:numPr>
          <w:ilvl w:val="0"/>
          <w:numId w:val="56"/>
        </w:numPr>
        <w:tabs>
          <w:tab w:val="clear" w:pos="360"/>
          <w:tab w:val="left" w:pos="1440"/>
        </w:tabs>
        <w:spacing w:after="60"/>
        <w:ind w:left="1440"/>
        <w:contextualSpacing w:val="0"/>
        <w:rPr>
          <w:rFonts w:ascii="Tahoma" w:hAnsi="Tahoma" w:cs="Tahoma"/>
          <w:sz w:val="18"/>
          <w:szCs w:val="18"/>
        </w:rPr>
      </w:pPr>
      <w:r w:rsidRPr="00FF599C">
        <w:rPr>
          <w:rFonts w:ascii="Tahoma" w:eastAsia="Calibri" w:hAnsi="Tahoma" w:cs="Tahoma"/>
          <w:sz w:val="18"/>
          <w:szCs w:val="18"/>
        </w:rPr>
        <w:t>Nel caso in cui le società abbiano acquistato diritti perpetui per utilizzare software ai sensi di Licenze Qualificanti, le licenze acquistate ai sensi della presente concessione saranno anch</w:t>
      </w:r>
      <w:r w:rsidR="00F2643E">
        <w:rPr>
          <w:rFonts w:ascii="Tahoma" w:eastAsia="Calibri" w:hAnsi="Tahoma" w:cs="Tahoma"/>
          <w:sz w:val="18"/>
          <w:szCs w:val="18"/>
        </w:rPr>
        <w:t>’</w:t>
      </w:r>
      <w:r w:rsidRPr="00FF599C">
        <w:rPr>
          <w:rFonts w:ascii="Tahoma" w:eastAsia="Calibri" w:hAnsi="Tahoma" w:cs="Tahoma"/>
          <w:sz w:val="18"/>
          <w:szCs w:val="18"/>
        </w:rPr>
        <w:t>esse perpetue; diversamente, le licenze acquistate ai sensi della presente concessione cesseranno alla scadenza delle Licenze Qualificanti sottostanti.</w:t>
      </w:r>
    </w:p>
    <w:p w:rsidR="001978C7" w:rsidRPr="00FF599C" w:rsidRDefault="001978C7" w:rsidP="00346F4B">
      <w:pPr>
        <w:numPr>
          <w:ilvl w:val="0"/>
          <w:numId w:val="56"/>
        </w:numPr>
        <w:tabs>
          <w:tab w:val="clear" w:pos="360"/>
          <w:tab w:val="left" w:pos="1440"/>
          <w:tab w:val="left" w:pos="2160"/>
        </w:tabs>
        <w:spacing w:after="60"/>
        <w:ind w:left="1440"/>
        <w:rPr>
          <w:rFonts w:cs="Tahoma"/>
          <w:szCs w:val="18"/>
        </w:rPr>
      </w:pPr>
      <w:r w:rsidRPr="00FF599C">
        <w:rPr>
          <w:rFonts w:eastAsia="Calibri" w:cs="Tahoma"/>
          <w:szCs w:val="18"/>
        </w:rPr>
        <w:t>Eseguendo l</w:t>
      </w:r>
      <w:r w:rsidR="00F2643E">
        <w:rPr>
          <w:rFonts w:eastAsia="Calibri" w:cs="Tahoma"/>
          <w:szCs w:val="18"/>
        </w:rPr>
        <w:t>’</w:t>
      </w:r>
      <w:r w:rsidRPr="00FF599C">
        <w:rPr>
          <w:rFonts w:eastAsia="Calibri" w:cs="Tahoma"/>
          <w:szCs w:val="18"/>
        </w:rPr>
        <w:t xml:space="preserve">aggiornamento a Windows Server 2012 Standard ai sensi della presente concessione, le licenze in essere per </w:t>
      </w:r>
      <w:r w:rsidRPr="00FF599C">
        <w:rPr>
          <w:rFonts w:cs="Tahoma"/>
          <w:color w:val="000000"/>
          <w:szCs w:val="18"/>
        </w:rPr>
        <w:t>HPC Pack Enterprise</w:t>
      </w:r>
      <w:r w:rsidRPr="00FF599C">
        <w:rPr>
          <w:rFonts w:eastAsia="Calibri" w:cs="Tahoma"/>
          <w:szCs w:val="18"/>
        </w:rPr>
        <w:t xml:space="preserve"> rimangono valide.</w:t>
      </w:r>
    </w:p>
    <w:p w:rsidR="001978C7" w:rsidRPr="00FF599C" w:rsidRDefault="001978C7" w:rsidP="00346F4B">
      <w:pPr>
        <w:numPr>
          <w:ilvl w:val="0"/>
          <w:numId w:val="56"/>
        </w:numPr>
        <w:tabs>
          <w:tab w:val="clear" w:pos="360"/>
          <w:tab w:val="left" w:pos="1440"/>
          <w:tab w:val="left" w:pos="2160"/>
        </w:tabs>
        <w:spacing w:after="60"/>
        <w:ind w:left="1440"/>
        <w:rPr>
          <w:rFonts w:cs="Tahoma"/>
          <w:szCs w:val="18"/>
        </w:rPr>
      </w:pPr>
      <w:r w:rsidRPr="00FF599C">
        <w:rPr>
          <w:rFonts w:cs="Tahoma"/>
          <w:szCs w:val="18"/>
        </w:rPr>
        <w:t xml:space="preserve">Le licenze per </w:t>
      </w:r>
      <w:r w:rsidRPr="00FF599C">
        <w:rPr>
          <w:rFonts w:cs="Tahoma"/>
          <w:color w:val="000000"/>
          <w:szCs w:val="18"/>
        </w:rPr>
        <w:t>HPC Pack 2008 R2 Enterprise</w:t>
      </w:r>
      <w:r w:rsidR="009D3B41" w:rsidRPr="00FF599C">
        <w:rPr>
          <w:rFonts w:cs="Tahoma"/>
          <w:color w:val="000000"/>
          <w:szCs w:val="18"/>
        </w:rPr>
        <w:t xml:space="preserve"> </w:t>
      </w:r>
      <w:r w:rsidRPr="00FF599C">
        <w:rPr>
          <w:rFonts w:cs="Tahoma"/>
          <w:bCs/>
          <w:color w:val="000000"/>
          <w:szCs w:val="18"/>
        </w:rPr>
        <w:t>acquistate successivamente nello stesso periodo di validità dell</w:t>
      </w:r>
      <w:r w:rsidR="00F2643E">
        <w:rPr>
          <w:rFonts w:cs="Tahoma"/>
          <w:bCs/>
          <w:color w:val="000000"/>
          <w:szCs w:val="18"/>
        </w:rPr>
        <w:t>’</w:t>
      </w:r>
      <w:r w:rsidRPr="00FF599C">
        <w:rPr>
          <w:rFonts w:cs="Tahoma"/>
          <w:bCs/>
          <w:color w:val="000000"/>
          <w:szCs w:val="18"/>
        </w:rPr>
        <w:t>iscrizione nell</w:t>
      </w:r>
      <w:r w:rsidR="00F2643E">
        <w:rPr>
          <w:rFonts w:cs="Tahoma"/>
          <w:bCs/>
          <w:color w:val="000000"/>
          <w:szCs w:val="18"/>
        </w:rPr>
        <w:t>’</w:t>
      </w:r>
      <w:r w:rsidRPr="00FF599C">
        <w:rPr>
          <w:rFonts w:cs="Tahoma"/>
          <w:bCs/>
          <w:color w:val="000000"/>
          <w:szCs w:val="18"/>
        </w:rPr>
        <w:t>ambito di una procedura pianificata di true-up di una società Enterprise, Enterprise Subscription, Open Value Subscription o EES sono anch</w:t>
      </w:r>
      <w:r w:rsidR="00F2643E">
        <w:rPr>
          <w:rFonts w:cs="Tahoma"/>
          <w:bCs/>
          <w:color w:val="000000"/>
          <w:szCs w:val="18"/>
        </w:rPr>
        <w:t>’</w:t>
      </w:r>
      <w:r w:rsidRPr="00FF599C">
        <w:rPr>
          <w:rFonts w:cs="Tahoma"/>
          <w:bCs/>
          <w:color w:val="000000"/>
          <w:szCs w:val="18"/>
        </w:rPr>
        <w:t>esse Licenze Qualificanti per gli scopi previsti dalla suddetta concessione.</w:t>
      </w:r>
    </w:p>
    <w:p w:rsidR="001978C7" w:rsidRPr="00FF599C" w:rsidRDefault="001978C7" w:rsidP="00346F4B">
      <w:pPr>
        <w:numPr>
          <w:ilvl w:val="0"/>
          <w:numId w:val="56"/>
        </w:numPr>
        <w:tabs>
          <w:tab w:val="clear" w:pos="360"/>
          <w:tab w:val="left" w:pos="1440"/>
          <w:tab w:val="left" w:pos="2160"/>
        </w:tabs>
        <w:spacing w:after="60"/>
        <w:ind w:left="1440"/>
        <w:rPr>
          <w:rFonts w:cs="Tahoma"/>
          <w:szCs w:val="18"/>
        </w:rPr>
      </w:pPr>
      <w:r w:rsidRPr="00FF599C">
        <w:rPr>
          <w:rFonts w:cs="Tahoma"/>
          <w:bCs/>
          <w:color w:val="000000"/>
          <w:szCs w:val="18"/>
        </w:rPr>
        <w:t>Nonostante la concessione di licenze per Windows Server 2012 Standard e di aggiornamenti per tale versione, le obbligazioni di pagamento degli importi scaduti e dovuti per le Licenze Qualificanti e la copertura rimangono pienamente vincolanti ed efficaci.</w:t>
      </w:r>
    </w:p>
    <w:p w:rsidR="00221A57" w:rsidRPr="00A75DF9" w:rsidRDefault="00221A57" w:rsidP="00221A57">
      <w:pPr>
        <w:tabs>
          <w:tab w:val="left" w:pos="1440"/>
          <w:tab w:val="left" w:pos="2160"/>
        </w:tabs>
        <w:ind w:left="1080"/>
        <w:contextualSpacing/>
        <w:rPr>
          <w:rFonts w:cs="Tahoma"/>
        </w:rPr>
      </w:pPr>
    </w:p>
    <w:p w:rsidR="00221A57" w:rsidRPr="00A75DF9" w:rsidRDefault="001978C7" w:rsidP="00FF599C">
      <w:pPr>
        <w:spacing w:after="60"/>
        <w:ind w:left="720"/>
        <w:rPr>
          <w:rFonts w:cs="Tahoma"/>
        </w:rPr>
      </w:pPr>
      <w:r w:rsidRPr="00A75DF9">
        <w:rPr>
          <w:rFonts w:cs="Tahoma"/>
          <w:b/>
          <w:color w:val="000000"/>
        </w:rPr>
        <w:t>Informazioni aggiuntive sull</w:t>
      </w:r>
      <w:r w:rsidR="00F2643E">
        <w:rPr>
          <w:rFonts w:cs="Tahoma"/>
          <w:b/>
          <w:color w:val="000000"/>
        </w:rPr>
        <w:t>’</w:t>
      </w:r>
      <w:r w:rsidRPr="00A75DF9">
        <w:rPr>
          <w:rFonts w:cs="Tahoma"/>
          <w:b/>
          <w:color w:val="000000"/>
        </w:rPr>
        <w:t>utilizzo di Windows Server 2012 High Performance Computing</w:t>
      </w:r>
      <w:r w:rsidR="00FF599C">
        <w:rPr>
          <w:rFonts w:cs="Tahoma"/>
          <w:b/>
          <w:color w:val="000000"/>
        </w:rPr>
        <w:t> </w:t>
      </w:r>
      <w:r w:rsidRPr="00A75DF9">
        <w:rPr>
          <w:rFonts w:cs="Tahoma"/>
          <w:b/>
          <w:color w:val="000000"/>
        </w:rPr>
        <w:t>(HPC)</w:t>
      </w:r>
    </w:p>
    <w:p w:rsidR="00E62BC4" w:rsidRPr="00A75DF9" w:rsidRDefault="001978C7" w:rsidP="00B1475C">
      <w:pPr>
        <w:ind w:left="720"/>
        <w:rPr>
          <w:rFonts w:cs="Tahoma"/>
        </w:rPr>
      </w:pPr>
      <w:r w:rsidRPr="00A75DF9">
        <w:rPr>
          <w:rFonts w:cs="Tahoma"/>
          <w:color w:val="000000"/>
        </w:rPr>
        <w:t>Quando Windows Server 2012 Standard o Datacenter viene utilizzato per High Performance Computing, non servono licenze CAL per accedere al software. Un “Carico di Lavoro High Performance Computing (“HPC”)” indica un carico di lavoro nel quale il software server viene utilizzato per eseguire un Nodo del Cluster e per consentire, insieme ad altro software, la gestione dei sistemi, la gestione della protezione e dell</w:t>
      </w:r>
      <w:r w:rsidR="00F2643E">
        <w:rPr>
          <w:rFonts w:cs="Tahoma"/>
          <w:color w:val="000000"/>
        </w:rPr>
        <w:t>’</w:t>
      </w:r>
      <w:r w:rsidRPr="00A75DF9">
        <w:rPr>
          <w:rFonts w:cs="Tahoma"/>
          <w:color w:val="000000"/>
        </w:rPr>
        <w:t>archiviazione o il miglioramento delle prestazioni in un nodo del cluster allo scopo di supportare le Applicazioni HPC con cluster. Ulteriori dettagli sono disponibili nei Diritti di Utilizzo del Prodotto.</w:t>
      </w:r>
    </w:p>
    <w:p w:rsidR="00023FE7" w:rsidRPr="00A75DF9" w:rsidRDefault="00023FE7" w:rsidP="00221A57">
      <w:pPr>
        <w:ind w:left="216"/>
        <w:rPr>
          <w:rFonts w:cs="Tahoma"/>
        </w:rPr>
      </w:pPr>
    </w:p>
    <w:p w:rsidR="00586FCE" w:rsidRPr="00A75DF9" w:rsidRDefault="00586FCE" w:rsidP="00221A57">
      <w:pPr>
        <w:ind w:left="216"/>
        <w:rPr>
          <w:rFonts w:cs="Tahoma"/>
        </w:rPr>
      </w:pPr>
    </w:p>
    <w:p w:rsidR="00F42FD5" w:rsidRPr="00A75DF9" w:rsidRDefault="0085774C" w:rsidP="00416294">
      <w:pPr>
        <w:pStyle w:val="Heading2"/>
        <w:ind w:left="0"/>
        <w:rPr>
          <w:rFonts w:ascii="Tahoma" w:hAnsi="Tahoma" w:cs="Tahoma"/>
        </w:rPr>
      </w:pPr>
      <w:bookmarkStart w:id="1334" w:name="_58_Learning_Solutions"/>
      <w:bookmarkStart w:id="1335" w:name="_54_Learning_Solutions"/>
      <w:bookmarkStart w:id="1336" w:name="_64_62_Learning"/>
      <w:bookmarkStart w:id="1337" w:name="_69_Learning_Solutions"/>
      <w:bookmarkStart w:id="1338" w:name="_65_63_Lync"/>
      <w:bookmarkStart w:id="1339" w:name="_70_Lync_Online"/>
      <w:bookmarkStart w:id="1340" w:name="_69_Lync_Online"/>
      <w:bookmarkStart w:id="1341" w:name="_Toc336338325"/>
      <w:bookmarkStart w:id="1342" w:name="Srv_65LyncOnlinePlan1and2"/>
      <w:bookmarkStart w:id="1343" w:name="_Toc368310319"/>
      <w:bookmarkEnd w:id="1334"/>
      <w:bookmarkEnd w:id="1335"/>
      <w:bookmarkEnd w:id="1336"/>
      <w:bookmarkEnd w:id="1337"/>
      <w:bookmarkEnd w:id="1338"/>
      <w:bookmarkEnd w:id="1339"/>
      <w:bookmarkEnd w:id="1340"/>
      <w:r w:rsidRPr="00A75DF9">
        <w:rPr>
          <w:rFonts w:ascii="Tahoma" w:hAnsi="Tahoma" w:cs="Tahoma"/>
          <w:caps/>
          <w:color w:val="FF6600"/>
          <w:sz w:val="22"/>
          <w:vertAlign w:val="superscript"/>
        </w:rPr>
        <w:t>69</w:t>
      </w:r>
      <w:r w:rsidRPr="00A75DF9">
        <w:rPr>
          <w:rFonts w:ascii="Tahoma" w:hAnsi="Tahoma" w:cs="Tahoma"/>
          <w:color w:val="FF6600"/>
        </w:rPr>
        <w:t xml:space="preserve"> </w:t>
      </w:r>
      <w:r w:rsidRPr="00A75DF9">
        <w:rPr>
          <w:rFonts w:ascii="Tahoma" w:hAnsi="Tahoma" w:cs="Tahoma"/>
          <w:color w:val="FF6600"/>
          <w:sz w:val="22"/>
        </w:rPr>
        <w:t>Lync Online Piani 1, 2 e 3</w:t>
      </w:r>
      <w:bookmarkEnd w:id="1341"/>
      <w:bookmarkEnd w:id="1343"/>
    </w:p>
    <w:bookmarkEnd w:id="1342"/>
    <w:p w:rsidR="00F42FD5" w:rsidRPr="00A75DF9" w:rsidRDefault="00F42FD5" w:rsidP="00F42FD5">
      <w:pPr>
        <w:rPr>
          <w:rFonts w:cs="Tahoma"/>
        </w:rPr>
      </w:pPr>
    </w:p>
    <w:p w:rsidR="00693524" w:rsidRPr="00A75DF9" w:rsidRDefault="00194DAF" w:rsidP="00066697">
      <w:pPr>
        <w:ind w:left="720"/>
        <w:rPr>
          <w:rFonts w:cs="Tahoma"/>
        </w:rPr>
      </w:pPr>
      <w:r w:rsidRPr="00A75DF9">
        <w:rPr>
          <w:rFonts w:cs="Tahoma"/>
          <w:color w:val="000000"/>
        </w:rPr>
        <w:t>Lync Online Piano 1 e Piano 2 richiedono l</w:t>
      </w:r>
      <w:r w:rsidR="00F2643E">
        <w:rPr>
          <w:rFonts w:cs="Tahoma"/>
          <w:color w:val="000000"/>
        </w:rPr>
        <w:t>’</w:t>
      </w:r>
      <w:r w:rsidRPr="00A75DF9">
        <w:rPr>
          <w:rFonts w:cs="Tahoma"/>
          <w:color w:val="000000"/>
        </w:rPr>
        <w:t>acquisto e l</w:t>
      </w:r>
      <w:r w:rsidR="00F2643E">
        <w:rPr>
          <w:rFonts w:cs="Tahoma"/>
          <w:color w:val="000000"/>
        </w:rPr>
        <w:t>’</w:t>
      </w:r>
      <w:r w:rsidRPr="00A75DF9">
        <w:rPr>
          <w:rFonts w:cs="Tahoma"/>
          <w:color w:val="000000"/>
        </w:rPr>
        <w:t>installazione separati di Microsoft Lync 2013 (o di Lync per Mac 2011) per accedere al set completo di funzionalità di Lync Online Piano 1 e Piano 2. Grazie a</w:t>
      </w:r>
      <w:r w:rsidR="00066697">
        <w:rPr>
          <w:rFonts w:cs="Tahoma"/>
          <w:color w:val="000000"/>
        </w:rPr>
        <w:t> </w:t>
      </w:r>
      <w:r w:rsidRPr="00A75DF9">
        <w:rPr>
          <w:rFonts w:cs="Tahoma"/>
          <w:color w:val="000000"/>
        </w:rPr>
        <w:t>un</w:t>
      </w:r>
      <w:r w:rsidR="00F2643E">
        <w:rPr>
          <w:rFonts w:cs="Tahoma"/>
          <w:color w:val="000000"/>
        </w:rPr>
        <w:t>’</w:t>
      </w:r>
      <w:r w:rsidRPr="00A75DF9">
        <w:rPr>
          <w:rFonts w:cs="Tahoma"/>
          <w:color w:val="000000"/>
        </w:rPr>
        <w:t xml:space="preserve">offerta di durata limitata, le società titolari di licenza per Lync Online riceveranno gratuitamente in licenza una copia di Lync per Mac 2011 per ciascuna licenza </w:t>
      </w:r>
      <w:r w:rsidR="009D3B41" w:rsidRPr="00A75DF9">
        <w:rPr>
          <w:rFonts w:cs="Tahoma"/>
          <w:color w:val="000000"/>
        </w:rPr>
        <w:t>“</w:t>
      </w:r>
      <w:r w:rsidRPr="00A75DF9">
        <w:rPr>
          <w:rFonts w:cs="Tahoma"/>
          <w:color w:val="000000"/>
        </w:rPr>
        <w:t>subscription</w:t>
      </w:r>
      <w:r w:rsidR="009D3B41" w:rsidRPr="00A75DF9">
        <w:rPr>
          <w:rFonts w:cs="Tahoma"/>
          <w:color w:val="000000"/>
        </w:rPr>
        <w:t>”</w:t>
      </w:r>
      <w:r w:rsidRPr="00A75DF9">
        <w:rPr>
          <w:rFonts w:cs="Tahoma"/>
          <w:color w:val="000000"/>
        </w:rPr>
        <w:t xml:space="preserve"> acquistata o in versione di </w:t>
      </w:r>
      <w:r w:rsidRPr="00A75DF9">
        <w:rPr>
          <w:rFonts w:cs="Tahoma"/>
          <w:color w:val="000000"/>
        </w:rPr>
        <w:lastRenderedPageBreak/>
        <w:t>valutazione di Lync Online. Il software potrà essere utilizzato esclusivamente con Lync Online e tutti i diritti di utilizzo del</w:t>
      </w:r>
      <w:r w:rsidR="00066697">
        <w:rPr>
          <w:rFonts w:cs="Tahoma"/>
          <w:color w:val="000000"/>
        </w:rPr>
        <w:t> </w:t>
      </w:r>
      <w:r w:rsidRPr="00A75DF9">
        <w:rPr>
          <w:rFonts w:cs="Tahoma"/>
          <w:color w:val="000000"/>
        </w:rPr>
        <w:t xml:space="preserve">software cesseranno alla scadenza della licenza </w:t>
      </w:r>
      <w:r w:rsidR="009D3B41" w:rsidRPr="00A75DF9">
        <w:rPr>
          <w:rFonts w:cs="Tahoma"/>
          <w:color w:val="000000"/>
        </w:rPr>
        <w:t>“</w:t>
      </w:r>
      <w:r w:rsidRPr="00A75DF9">
        <w:rPr>
          <w:rFonts w:cs="Tahoma"/>
          <w:color w:val="000000"/>
        </w:rPr>
        <w:t>subscription</w:t>
      </w:r>
      <w:r w:rsidR="009D3B41" w:rsidRPr="00A75DF9">
        <w:rPr>
          <w:rFonts w:cs="Tahoma"/>
          <w:color w:val="000000"/>
        </w:rPr>
        <w:t>”</w:t>
      </w:r>
      <w:r w:rsidRPr="00A75DF9">
        <w:rPr>
          <w:rFonts w:cs="Tahoma"/>
          <w:color w:val="000000"/>
        </w:rPr>
        <w:t xml:space="preserve"> sottostante oppure in occasione della migrazione alla successiva nuova versione principale di Lync Online, a seconda di quale evento si verificherà per primo. Le società potranno utilizzare il client gratuito Lync Basic 2013 per i loro utenti finali in</w:t>
      </w:r>
      <w:r w:rsidR="00066697">
        <w:rPr>
          <w:rFonts w:cs="Tahoma"/>
          <w:color w:val="000000"/>
        </w:rPr>
        <w:t> </w:t>
      </w:r>
      <w:r w:rsidRPr="00A75DF9">
        <w:rPr>
          <w:rFonts w:cs="Tahoma"/>
          <w:color w:val="000000"/>
        </w:rPr>
        <w:t>possesso di Windows. </w:t>
      </w:r>
    </w:p>
    <w:p w:rsidR="006D33A5" w:rsidRPr="00A75DF9" w:rsidRDefault="006D33A5" w:rsidP="007B35CE">
      <w:pPr>
        <w:rPr>
          <w:rFonts w:cs="Tahoma"/>
        </w:rPr>
      </w:pPr>
    </w:p>
    <w:p w:rsidR="006D33A5" w:rsidRPr="00A75DF9" w:rsidRDefault="006D33A5" w:rsidP="003D0252">
      <w:pPr>
        <w:spacing w:after="60"/>
        <w:ind w:left="720"/>
        <w:rPr>
          <w:rFonts w:cs="Tahoma"/>
        </w:rPr>
      </w:pPr>
      <w:r w:rsidRPr="00A75DF9">
        <w:rPr>
          <w:rFonts w:eastAsia="Calibri" w:cs="Tahoma"/>
          <w:b/>
          <w:color w:val="000000"/>
          <w:szCs w:val="18"/>
        </w:rPr>
        <w:t>Community Cloud per Enti Pubblici (solo Stati Uniti)</w:t>
      </w:r>
    </w:p>
    <w:p w:rsidR="006D33A5" w:rsidRPr="00A75DF9" w:rsidRDefault="006D33A5" w:rsidP="006D33A5">
      <w:pPr>
        <w:ind w:left="720"/>
        <w:rPr>
          <w:rFonts w:cs="Tahoma"/>
        </w:rPr>
      </w:pPr>
      <w:r w:rsidRPr="00A75DF9">
        <w:rPr>
          <w:rFonts w:eastAsia="Calibri" w:cs="Tahoma"/>
          <w:color w:val="000000"/>
          <w:szCs w:val="18"/>
        </w:rPr>
        <w:t>Alcuni servizi online della famiglia di prodotti Office 365 (incluso Lync Online Piano 1,2 e 3) sono offerti come servizi di community cloud per enti pubblici e come servizi di community cloud per enti non pubblici.</w:t>
      </w:r>
      <w:r w:rsidR="009D3B41" w:rsidRPr="00A75DF9">
        <w:rPr>
          <w:rFonts w:eastAsia="Calibri" w:cs="Tahoma"/>
          <w:color w:val="000000"/>
          <w:szCs w:val="18"/>
        </w:rPr>
        <w:t xml:space="preserve"> </w:t>
      </w:r>
      <w:r w:rsidRPr="00A75DF9">
        <w:rPr>
          <w:rFonts w:eastAsia="Calibri" w:cs="Tahoma"/>
          <w:color w:val="000000"/>
          <w:szCs w:val="18"/>
        </w:rPr>
        <w:t>Alle società potrà essere effettuato il provisioning come ente pubblico o non pubblico, ma non come una combinazione di entrambi.</w:t>
      </w:r>
      <w:r w:rsidR="009D3B41" w:rsidRPr="00A75DF9">
        <w:rPr>
          <w:rFonts w:eastAsia="Calibri" w:cs="Tahoma"/>
          <w:color w:val="000000"/>
          <w:szCs w:val="18"/>
        </w:rPr>
        <w:t xml:space="preserve"> </w:t>
      </w:r>
      <w:r w:rsidRPr="00A75DF9">
        <w:rPr>
          <w:rFonts w:eastAsia="Calibri" w:cs="Tahoma"/>
          <w:color w:val="000000"/>
          <w:szCs w:val="18"/>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009D3B41" w:rsidRPr="00A75DF9">
        <w:rPr>
          <w:rFonts w:eastAsia="Calibri" w:cs="Tahoma"/>
          <w:color w:val="000000"/>
          <w:szCs w:val="18"/>
        </w:rPr>
        <w:t xml:space="preserve"> </w:t>
      </w:r>
    </w:p>
    <w:p w:rsidR="006D33A5" w:rsidRPr="00A75DF9" w:rsidRDefault="006D33A5" w:rsidP="006D33A5">
      <w:pPr>
        <w:ind w:left="720"/>
        <w:rPr>
          <w:rFonts w:cs="Tahoma"/>
        </w:rPr>
      </w:pPr>
    </w:p>
    <w:p w:rsidR="006D33A5" w:rsidRPr="00A75DF9" w:rsidRDefault="006D33A5" w:rsidP="006D33A5">
      <w:pPr>
        <w:ind w:left="720"/>
        <w:rPr>
          <w:rFonts w:cs="Tahoma"/>
        </w:rPr>
      </w:pPr>
      <w:r w:rsidRPr="00A75DF9">
        <w:rPr>
          <w:rFonts w:eastAsia="Calibri" w:cs="Tahoma"/>
          <w:color w:val="000000"/>
          <w:szCs w:val="18"/>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w:t>
      </w:r>
      <w:r w:rsidR="00F2643E">
        <w:rPr>
          <w:rFonts w:eastAsia="Calibri" w:cs="Tahoma"/>
          <w:color w:val="000000"/>
          <w:szCs w:val="18"/>
        </w:rPr>
        <w:t>’</w:t>
      </w:r>
      <w:r w:rsidRPr="00A75DF9">
        <w:rPr>
          <w:rFonts w:eastAsia="Calibri" w:cs="Tahoma"/>
          <w:color w:val="000000"/>
          <w:szCs w:val="18"/>
        </w:rPr>
        <w:t>Iscrizione Enterprise o Enterprise Subscription per Enti Pubblici Statunitensi per essere idonei all</w:t>
      </w:r>
      <w:r w:rsidR="00F2643E">
        <w:rPr>
          <w:rFonts w:eastAsia="Calibri" w:cs="Tahoma"/>
          <w:color w:val="000000"/>
          <w:szCs w:val="18"/>
        </w:rPr>
        <w:t>’</w:t>
      </w:r>
      <w:r w:rsidRPr="00A75DF9">
        <w:rPr>
          <w:rFonts w:eastAsia="Calibri" w:cs="Tahoma"/>
          <w:color w:val="000000"/>
          <w:szCs w:val="18"/>
        </w:rPr>
        <w:t>acquisto di servizi online designati come community cloud per enti pubblici.</w:t>
      </w:r>
      <w:r w:rsidR="009D3B41" w:rsidRPr="00A75DF9">
        <w:rPr>
          <w:rFonts w:eastAsia="Calibri" w:cs="Tahoma"/>
          <w:color w:val="000000"/>
          <w:szCs w:val="18"/>
        </w:rPr>
        <w:t xml:space="preserve"> </w:t>
      </w:r>
      <w:r w:rsidRPr="00A75DF9">
        <w:rPr>
          <w:rFonts w:eastAsia="Calibri" w:cs="Tahoma"/>
          <w:color w:val="000000"/>
          <w:szCs w:val="18"/>
        </w:rPr>
        <w:t>I Diritti sull</w:t>
      </w:r>
      <w:r w:rsidR="00F2643E">
        <w:rPr>
          <w:rFonts w:eastAsia="Calibri" w:cs="Tahoma"/>
          <w:color w:val="000000"/>
          <w:szCs w:val="18"/>
        </w:rPr>
        <w:t>’</w:t>
      </w:r>
      <w:r w:rsidRPr="00A75DF9">
        <w:rPr>
          <w:rFonts w:eastAsia="Calibri" w:cs="Tahoma"/>
          <w:color w:val="000000"/>
          <w:szCs w:val="18"/>
        </w:rPr>
        <w:t>Utilizzo relativi ai servizi di community cloud per enti pubblici sono simili a quelli dei loro equivalenti multi-tenant standard.</w:t>
      </w:r>
      <w:r w:rsidR="009D3B41" w:rsidRPr="00A75DF9">
        <w:rPr>
          <w:rFonts w:eastAsia="Calibri" w:cs="Tahoma"/>
          <w:color w:val="000000"/>
          <w:szCs w:val="18"/>
        </w:rPr>
        <w:t xml:space="preserve"> </w:t>
      </w:r>
    </w:p>
    <w:p w:rsidR="00FC31B7" w:rsidRPr="00A75DF9" w:rsidRDefault="00FC31B7" w:rsidP="00FC31B7">
      <w:pPr>
        <w:ind w:left="720"/>
        <w:rPr>
          <w:rFonts w:cs="Tahoma"/>
        </w:rPr>
      </w:pPr>
    </w:p>
    <w:p w:rsidR="00586FCE" w:rsidRDefault="00586FCE" w:rsidP="00FC31B7">
      <w:pPr>
        <w:ind w:left="720"/>
        <w:rPr>
          <w:rFonts w:cs="Tahoma"/>
        </w:rPr>
      </w:pPr>
    </w:p>
    <w:p w:rsidR="004E0852" w:rsidRPr="00A75DF9" w:rsidRDefault="00A560B6" w:rsidP="004E0852">
      <w:pPr>
        <w:pStyle w:val="Heading2"/>
        <w:ind w:left="0"/>
        <w:rPr>
          <w:rFonts w:ascii="Tahoma" w:hAnsi="Tahoma" w:cs="Tahoma"/>
        </w:rPr>
      </w:pPr>
      <w:bookmarkStart w:id="1344" w:name="_62_Lync_Server"/>
      <w:bookmarkStart w:id="1345" w:name="_71_Lync_Server"/>
      <w:bookmarkStart w:id="1346" w:name="_Toc336338326"/>
      <w:bookmarkStart w:id="1347" w:name="Srv_62LyncServer2010StandEnt"/>
      <w:bookmarkStart w:id="1348" w:name="_Toc368310320"/>
      <w:bookmarkEnd w:id="1344"/>
      <w:bookmarkEnd w:id="1345"/>
      <w:r w:rsidRPr="00A75DF9">
        <w:rPr>
          <w:rFonts w:ascii="Tahoma" w:hAnsi="Tahoma" w:cs="Tahoma"/>
          <w:caps/>
          <w:color w:val="FA6500"/>
          <w:sz w:val="22"/>
          <w:vertAlign w:val="superscript"/>
        </w:rPr>
        <w:t xml:space="preserve">70 </w:t>
      </w:r>
      <w:r w:rsidRPr="00A75DF9">
        <w:rPr>
          <w:rFonts w:ascii="Tahoma" w:hAnsi="Tahoma" w:cs="Tahoma"/>
          <w:color w:val="FA6500"/>
          <w:sz w:val="22"/>
        </w:rPr>
        <w:t>Lync Server 2013</w:t>
      </w:r>
      <w:bookmarkEnd w:id="1348"/>
      <w:r w:rsidRPr="00A75DF9">
        <w:rPr>
          <w:rFonts w:ascii="Tahoma" w:hAnsi="Tahoma" w:cs="Tahoma"/>
          <w:color w:val="FA6500"/>
          <w:sz w:val="22"/>
        </w:rPr>
        <w:t xml:space="preserve"> </w:t>
      </w:r>
    </w:p>
    <w:p w:rsidR="004E0852" w:rsidRPr="00A75DF9" w:rsidRDefault="004E0852" w:rsidP="004E0852">
      <w:pPr>
        <w:ind w:left="720"/>
        <w:rPr>
          <w:rFonts w:cs="Tahoma"/>
        </w:rPr>
      </w:pPr>
    </w:p>
    <w:p w:rsidR="004E0852" w:rsidRPr="00A75DF9" w:rsidRDefault="004E0852" w:rsidP="004E0852">
      <w:pPr>
        <w:ind w:left="720"/>
        <w:rPr>
          <w:rFonts w:cs="Tahoma"/>
        </w:rPr>
      </w:pPr>
      <w:r w:rsidRPr="00A75DF9">
        <w:rPr>
          <w:rFonts w:cs="Tahoma"/>
          <w:color w:val="000000"/>
          <w:szCs w:val="18"/>
        </w:rPr>
        <w:t>Lync Server 2013 è l</w:t>
      </w:r>
      <w:r w:rsidR="00F2643E">
        <w:rPr>
          <w:rFonts w:cs="Tahoma"/>
          <w:color w:val="000000"/>
          <w:szCs w:val="18"/>
        </w:rPr>
        <w:t>’</w:t>
      </w:r>
      <w:r w:rsidRPr="00A75DF9">
        <w:rPr>
          <w:rFonts w:cs="Tahoma"/>
          <w:color w:val="000000"/>
          <w:szCs w:val="18"/>
        </w:rPr>
        <w:t>ultima versione di Lync Server.</w:t>
      </w:r>
      <w:r w:rsidR="009D3B41" w:rsidRPr="00A75DF9">
        <w:rPr>
          <w:rFonts w:cs="Tahoma"/>
          <w:color w:val="000000"/>
          <w:szCs w:val="18"/>
        </w:rPr>
        <w:t xml:space="preserve"> </w:t>
      </w:r>
      <w:r w:rsidRPr="00A75DF9">
        <w:rPr>
          <w:rFonts w:cs="Tahoma"/>
          <w:color w:val="000000"/>
          <w:szCs w:val="18"/>
        </w:rPr>
        <w:t xml:space="preserve">Le società con Software Assurance attiva per Lync Server 2010 Standard o Enterprise </w:t>
      </w:r>
      <w:bookmarkEnd w:id="1346"/>
      <w:r w:rsidRPr="00A75DF9">
        <w:rPr>
          <w:rFonts w:cs="Tahoma"/>
          <w:color w:val="000000"/>
          <w:szCs w:val="18"/>
        </w:rPr>
        <w:t>al 1 ottobre 2012 potranno eseguire l</w:t>
      </w:r>
      <w:r w:rsidR="00F2643E">
        <w:rPr>
          <w:rFonts w:cs="Tahoma"/>
          <w:color w:val="000000"/>
          <w:szCs w:val="18"/>
        </w:rPr>
        <w:t>’</w:t>
      </w:r>
      <w:r w:rsidRPr="00A75DF9">
        <w:rPr>
          <w:rFonts w:cs="Tahoma"/>
          <w:color w:val="000000"/>
          <w:szCs w:val="18"/>
        </w:rPr>
        <w:t>aggiornamento a Lync Server 2013 e utilizzare tale prodotto al posto delle corrispondenti copie con licenza di Lync Server 2010.</w:t>
      </w:r>
    </w:p>
    <w:bookmarkEnd w:id="1347"/>
    <w:p w:rsidR="00CD0D74" w:rsidRPr="00A75DF9" w:rsidRDefault="00CD0D74" w:rsidP="00CD0D74">
      <w:pPr>
        <w:ind w:left="720"/>
        <w:rPr>
          <w:rFonts w:cs="Tahoma"/>
        </w:rPr>
      </w:pPr>
    </w:p>
    <w:p w:rsidR="00CD0D74" w:rsidRPr="00A75DF9" w:rsidRDefault="00CD0D74" w:rsidP="00CD0D74">
      <w:pPr>
        <w:ind w:left="720"/>
        <w:rPr>
          <w:rFonts w:cs="Tahoma"/>
        </w:rPr>
      </w:pPr>
      <w:r w:rsidRPr="00A75DF9">
        <w:rPr>
          <w:rFonts w:cs="Tahoma"/>
          <w:color w:val="000000"/>
          <w:szCs w:val="18"/>
        </w:rPr>
        <w:t>Le licenze CAL per Lync Server 2013 sono le versioni successive delle licenze CAL per Lync Server 2010.</w:t>
      </w:r>
      <w:r w:rsidR="009D3B41" w:rsidRPr="00A75DF9">
        <w:rPr>
          <w:rFonts w:cs="Tahoma"/>
          <w:color w:val="000000"/>
          <w:szCs w:val="18"/>
        </w:rPr>
        <w:t xml:space="preserve"> </w:t>
      </w:r>
    </w:p>
    <w:p w:rsidR="00CD0D74" w:rsidRPr="00A75DF9" w:rsidRDefault="00CD0D74" w:rsidP="00CD0D74">
      <w:pPr>
        <w:ind w:left="720"/>
        <w:rPr>
          <w:rFonts w:cs="Tahoma"/>
        </w:rPr>
      </w:pPr>
    </w:p>
    <w:tbl>
      <w:tblPr>
        <w:tblW w:w="8190"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50"/>
        <w:gridCol w:w="3640"/>
      </w:tblGrid>
      <w:tr w:rsidR="00CD0D74" w:rsidRPr="00A75DF9" w:rsidTr="0057135E">
        <w:trPr>
          <w:trHeight w:val="332"/>
        </w:trPr>
        <w:tc>
          <w:tcPr>
            <w:tcW w:w="4500" w:type="dxa"/>
            <w:shd w:val="clear" w:color="auto" w:fill="FABF8F"/>
          </w:tcPr>
          <w:p w:rsidR="00CD0D74" w:rsidRPr="00A75DF9" w:rsidRDefault="00CD0D74" w:rsidP="0057135E">
            <w:pPr>
              <w:rPr>
                <w:rFonts w:cs="Tahoma"/>
                <w:b/>
                <w:color w:val="000000"/>
                <w:szCs w:val="18"/>
              </w:rPr>
            </w:pPr>
            <w:r w:rsidRPr="00A75DF9">
              <w:rPr>
                <w:rFonts w:cs="Tahoma"/>
                <w:b/>
                <w:color w:val="000000"/>
                <w:szCs w:val="18"/>
              </w:rPr>
              <w:t>Licenza CAL per Lync Server 2010</w:t>
            </w:r>
          </w:p>
        </w:tc>
        <w:tc>
          <w:tcPr>
            <w:tcW w:w="3600" w:type="dxa"/>
            <w:shd w:val="clear" w:color="auto" w:fill="FABF8F"/>
          </w:tcPr>
          <w:p w:rsidR="00CD0D74" w:rsidRPr="00A75DF9" w:rsidRDefault="00CD0D74" w:rsidP="0057135E">
            <w:pPr>
              <w:rPr>
                <w:rFonts w:cs="Tahoma"/>
                <w:b/>
                <w:color w:val="000000"/>
                <w:szCs w:val="18"/>
              </w:rPr>
            </w:pPr>
            <w:r w:rsidRPr="00A75DF9">
              <w:rPr>
                <w:rFonts w:cs="Tahoma"/>
                <w:b/>
                <w:color w:val="000000"/>
                <w:szCs w:val="18"/>
              </w:rPr>
              <w:t>Versione Successiva</w:t>
            </w:r>
          </w:p>
        </w:tc>
      </w:tr>
      <w:tr w:rsidR="00CD0D74" w:rsidRPr="00A75DF9" w:rsidTr="0057135E">
        <w:trPr>
          <w:trHeight w:val="70"/>
        </w:trPr>
        <w:tc>
          <w:tcPr>
            <w:tcW w:w="4500" w:type="dxa"/>
            <w:shd w:val="clear" w:color="auto" w:fill="auto"/>
          </w:tcPr>
          <w:p w:rsidR="00CD0D74" w:rsidRPr="00A75DF9" w:rsidRDefault="00CD0D74" w:rsidP="0057135E">
            <w:pPr>
              <w:rPr>
                <w:rFonts w:cs="Tahoma"/>
                <w:color w:val="000000"/>
                <w:szCs w:val="18"/>
              </w:rPr>
            </w:pPr>
            <w:r w:rsidRPr="00A75DF9">
              <w:rPr>
                <w:rFonts w:cs="Tahoma"/>
                <w:color w:val="000000"/>
                <w:szCs w:val="18"/>
              </w:rPr>
              <w:t xml:space="preserve">Plus CAL per Lync Server 2010 </w:t>
            </w:r>
          </w:p>
        </w:tc>
        <w:tc>
          <w:tcPr>
            <w:tcW w:w="3600" w:type="dxa"/>
            <w:shd w:val="clear" w:color="auto" w:fill="auto"/>
          </w:tcPr>
          <w:p w:rsidR="00CD0D74" w:rsidRPr="00A75DF9" w:rsidRDefault="00CD0D74" w:rsidP="0057135E">
            <w:pPr>
              <w:rPr>
                <w:rFonts w:cs="Tahoma"/>
                <w:color w:val="000000"/>
                <w:szCs w:val="18"/>
              </w:rPr>
            </w:pPr>
            <w:r w:rsidRPr="00A75DF9">
              <w:rPr>
                <w:rFonts w:cs="Tahoma"/>
                <w:color w:val="000000"/>
                <w:szCs w:val="18"/>
              </w:rPr>
              <w:t>Plus CAL per Lync Server 2013</w:t>
            </w:r>
          </w:p>
        </w:tc>
      </w:tr>
      <w:tr w:rsidR="00CD0D74" w:rsidRPr="00A75DF9" w:rsidTr="0057135E">
        <w:trPr>
          <w:trHeight w:val="70"/>
        </w:trPr>
        <w:tc>
          <w:tcPr>
            <w:tcW w:w="4500" w:type="dxa"/>
            <w:shd w:val="clear" w:color="auto" w:fill="auto"/>
          </w:tcPr>
          <w:p w:rsidR="00CD0D74" w:rsidRPr="00A75DF9" w:rsidRDefault="00CD0D74" w:rsidP="0057135E">
            <w:pPr>
              <w:rPr>
                <w:rFonts w:cs="Tahoma"/>
                <w:color w:val="000000"/>
                <w:szCs w:val="18"/>
              </w:rPr>
            </w:pPr>
            <w:r w:rsidRPr="00A75DF9">
              <w:rPr>
                <w:rFonts w:cs="Tahoma"/>
                <w:color w:val="000000"/>
                <w:szCs w:val="18"/>
              </w:rPr>
              <w:t xml:space="preserve">Enterprise CAL per Lync Server 2010 </w:t>
            </w:r>
          </w:p>
        </w:tc>
        <w:tc>
          <w:tcPr>
            <w:tcW w:w="3600" w:type="dxa"/>
            <w:shd w:val="clear" w:color="auto" w:fill="auto"/>
          </w:tcPr>
          <w:p w:rsidR="00CD0D74" w:rsidRPr="00A75DF9" w:rsidRDefault="00CD0D74" w:rsidP="0057135E">
            <w:pPr>
              <w:rPr>
                <w:rFonts w:cs="Tahoma"/>
                <w:color w:val="000000"/>
                <w:szCs w:val="18"/>
              </w:rPr>
            </w:pPr>
            <w:r w:rsidRPr="00A75DF9">
              <w:rPr>
                <w:rFonts w:cs="Tahoma"/>
                <w:color w:val="000000"/>
                <w:szCs w:val="18"/>
              </w:rPr>
              <w:t>Enterprise CAL per Lync Server 2013</w:t>
            </w:r>
          </w:p>
        </w:tc>
      </w:tr>
      <w:tr w:rsidR="00CD0D74" w:rsidRPr="00A75DF9" w:rsidTr="0057135E">
        <w:trPr>
          <w:trHeight w:val="70"/>
        </w:trPr>
        <w:tc>
          <w:tcPr>
            <w:tcW w:w="4500" w:type="dxa"/>
            <w:shd w:val="clear" w:color="auto" w:fill="auto"/>
          </w:tcPr>
          <w:p w:rsidR="00CD0D74" w:rsidRPr="00A75DF9" w:rsidRDefault="00CD0D74" w:rsidP="0057135E">
            <w:pPr>
              <w:rPr>
                <w:rFonts w:cs="Tahoma"/>
                <w:color w:val="000000"/>
                <w:szCs w:val="18"/>
              </w:rPr>
            </w:pPr>
            <w:r w:rsidRPr="00A75DF9">
              <w:rPr>
                <w:rFonts w:cs="Tahoma"/>
                <w:color w:val="000000"/>
                <w:szCs w:val="18"/>
              </w:rPr>
              <w:t xml:space="preserve">Standard CAL per Lync Server 2010 </w:t>
            </w:r>
          </w:p>
        </w:tc>
        <w:tc>
          <w:tcPr>
            <w:tcW w:w="3600" w:type="dxa"/>
            <w:shd w:val="clear" w:color="auto" w:fill="auto"/>
          </w:tcPr>
          <w:p w:rsidR="00CD0D74" w:rsidRPr="00A75DF9" w:rsidRDefault="00CD0D74" w:rsidP="0057135E">
            <w:pPr>
              <w:rPr>
                <w:rFonts w:cs="Tahoma"/>
                <w:color w:val="000000"/>
                <w:szCs w:val="18"/>
              </w:rPr>
            </w:pPr>
            <w:r w:rsidRPr="00A75DF9">
              <w:rPr>
                <w:rFonts w:cs="Tahoma"/>
                <w:color w:val="000000"/>
                <w:szCs w:val="18"/>
              </w:rPr>
              <w:t>Standard CAL per Lync Server 2013</w:t>
            </w:r>
          </w:p>
        </w:tc>
      </w:tr>
    </w:tbl>
    <w:p w:rsidR="004E0852" w:rsidRPr="00A75DF9" w:rsidRDefault="004E0852" w:rsidP="003D0252">
      <w:pPr>
        <w:rPr>
          <w:rFonts w:cs="Tahoma"/>
        </w:rPr>
      </w:pPr>
    </w:p>
    <w:p w:rsidR="004E0852" w:rsidRPr="00A75DF9" w:rsidRDefault="004E0852" w:rsidP="0080323A">
      <w:pPr>
        <w:spacing w:after="60"/>
        <w:ind w:left="720"/>
        <w:rPr>
          <w:rFonts w:cs="Tahoma"/>
        </w:rPr>
      </w:pPr>
      <w:r w:rsidRPr="00A75DF9">
        <w:rPr>
          <w:rFonts w:cs="Tahoma"/>
          <w:b/>
          <w:color w:val="000000"/>
          <w:szCs w:val="18"/>
        </w:rPr>
        <w:t>Concessione di Licenza per le Società Titolari della Licenza External Connector per Lync Server 2010 Enterprise, della Licenza External Connector per Lync Server 2010 Plus e della Licenza External Connector per Lync Server 2010 Standard</w:t>
      </w:r>
    </w:p>
    <w:p w:rsidR="00D57009" w:rsidRPr="00A75DF9" w:rsidRDefault="004E0852" w:rsidP="003C3A72">
      <w:pPr>
        <w:ind w:left="720"/>
        <w:rPr>
          <w:rFonts w:cs="Tahoma"/>
        </w:rPr>
      </w:pPr>
      <w:r w:rsidRPr="00A75DF9">
        <w:rPr>
          <w:rFonts w:cs="Tahoma"/>
          <w:color w:val="000000"/>
          <w:szCs w:val="18"/>
        </w:rPr>
        <w:t>La versione 2010 della Licenza External Connector per Lync Server Enterprise, della Licenza External Connector per Lync Server Plus e della Licenza External Connector per Lync Server Standard è la versione finale di tali licenze.</w:t>
      </w:r>
      <w:r w:rsidR="009D3B41" w:rsidRPr="00A75DF9">
        <w:rPr>
          <w:rFonts w:cs="Tahoma"/>
          <w:color w:val="000000"/>
          <w:szCs w:val="18"/>
        </w:rPr>
        <w:t xml:space="preserve"> </w:t>
      </w:r>
      <w:r w:rsidRPr="00A75DF9">
        <w:rPr>
          <w:rFonts w:cs="Tahoma"/>
          <w:color w:val="000000"/>
          <w:szCs w:val="18"/>
        </w:rPr>
        <w:t>Alla luce di ciò, le società con licenze External Connector per Lync Server 2010 Enterprise, External Connector per Lync Server 2010 Plus ed External Connector per Lync Server 2010 Standard con copertura Software Assurance attiva a partire dal 1 ottobre 2012 sono idonee alle concessioni di licenze che seguono.</w:t>
      </w:r>
    </w:p>
    <w:p w:rsidR="004E0852" w:rsidRPr="00A75DF9" w:rsidRDefault="004E0852" w:rsidP="004E0852">
      <w:pPr>
        <w:ind w:left="90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600"/>
      </w:tblGrid>
      <w:tr w:rsidR="00BD1A6A" w:rsidRPr="00A75DF9" w:rsidTr="00BD1A6A">
        <w:trPr>
          <w:trHeight w:val="332"/>
        </w:trPr>
        <w:tc>
          <w:tcPr>
            <w:tcW w:w="4500" w:type="dxa"/>
            <w:shd w:val="clear" w:color="auto" w:fill="FABF8F"/>
          </w:tcPr>
          <w:p w:rsidR="00BD1A6A" w:rsidRPr="00A75DF9" w:rsidRDefault="00BD1A6A" w:rsidP="007B35CE">
            <w:pPr>
              <w:keepNext/>
              <w:rPr>
                <w:rFonts w:cs="Tahoma"/>
                <w:b/>
                <w:color w:val="000000"/>
                <w:szCs w:val="18"/>
              </w:rPr>
            </w:pPr>
            <w:r w:rsidRPr="00A75DF9">
              <w:rPr>
                <w:rFonts w:cs="Tahoma"/>
                <w:b/>
                <w:color w:val="000000"/>
                <w:szCs w:val="18"/>
              </w:rPr>
              <w:t>Licenza Qualificante</w:t>
            </w:r>
          </w:p>
        </w:tc>
        <w:tc>
          <w:tcPr>
            <w:tcW w:w="3600" w:type="dxa"/>
            <w:shd w:val="clear" w:color="auto" w:fill="FABF8F"/>
          </w:tcPr>
          <w:p w:rsidR="00BD1A6A" w:rsidRPr="00A75DF9" w:rsidRDefault="00BD1A6A" w:rsidP="002C3AB1">
            <w:pPr>
              <w:rPr>
                <w:rFonts w:cs="Tahoma"/>
                <w:b/>
                <w:color w:val="000000"/>
                <w:szCs w:val="18"/>
              </w:rPr>
            </w:pPr>
            <w:r w:rsidRPr="00A75DF9">
              <w:rPr>
                <w:rFonts w:cs="Tahoma"/>
                <w:b/>
                <w:color w:val="000000"/>
                <w:szCs w:val="18"/>
              </w:rPr>
              <w:t>Licenza Gratuita e Vantaggi</w:t>
            </w:r>
          </w:p>
        </w:tc>
      </w:tr>
      <w:tr w:rsidR="00BD1A6A" w:rsidRPr="00A75DF9" w:rsidTr="00BD1A6A">
        <w:trPr>
          <w:trHeight w:val="70"/>
        </w:trPr>
        <w:tc>
          <w:tcPr>
            <w:tcW w:w="4500" w:type="dxa"/>
            <w:shd w:val="clear" w:color="auto" w:fill="auto"/>
          </w:tcPr>
          <w:p w:rsidR="00BD1A6A" w:rsidRPr="00A75DF9" w:rsidRDefault="00BD1A6A" w:rsidP="007B35CE">
            <w:pPr>
              <w:keepNext/>
              <w:rPr>
                <w:rFonts w:cs="Tahoma"/>
                <w:color w:val="000000"/>
                <w:szCs w:val="18"/>
              </w:rPr>
            </w:pPr>
            <w:r w:rsidRPr="00A75DF9">
              <w:rPr>
                <w:rFonts w:cs="Tahoma"/>
                <w:color w:val="000000"/>
                <w:szCs w:val="18"/>
              </w:rPr>
              <w:t>Licenza Enterprise External Connector per Lync Server 2010 con Software Assurance attiva a partire dal 1 ottobre 2012</w:t>
            </w:r>
          </w:p>
        </w:tc>
        <w:tc>
          <w:tcPr>
            <w:tcW w:w="3600" w:type="dxa"/>
            <w:shd w:val="clear" w:color="auto" w:fill="auto"/>
          </w:tcPr>
          <w:p w:rsidR="00BD1A6A" w:rsidRPr="00A75DF9" w:rsidRDefault="00BD1A6A" w:rsidP="002C3AB1">
            <w:pPr>
              <w:rPr>
                <w:rFonts w:cs="Tahoma"/>
                <w:color w:val="000000"/>
                <w:szCs w:val="18"/>
              </w:rPr>
            </w:pPr>
            <w:r w:rsidRPr="00A75DF9">
              <w:rPr>
                <w:rFonts w:cs="Tahoma"/>
                <w:color w:val="000000"/>
                <w:szCs w:val="18"/>
              </w:rPr>
              <w:t>Licenza per Lync Server 2013</w:t>
            </w:r>
          </w:p>
        </w:tc>
      </w:tr>
      <w:tr w:rsidR="00BD1A6A" w:rsidRPr="00A75DF9" w:rsidTr="00BD1A6A">
        <w:trPr>
          <w:trHeight w:val="70"/>
        </w:trPr>
        <w:tc>
          <w:tcPr>
            <w:tcW w:w="4500" w:type="dxa"/>
            <w:shd w:val="clear" w:color="auto" w:fill="auto"/>
          </w:tcPr>
          <w:p w:rsidR="00BD1A6A" w:rsidRPr="00A75DF9" w:rsidRDefault="00BD1A6A" w:rsidP="003678D7">
            <w:pPr>
              <w:rPr>
                <w:rFonts w:cs="Tahoma"/>
                <w:color w:val="000000"/>
                <w:szCs w:val="18"/>
              </w:rPr>
            </w:pPr>
            <w:r w:rsidRPr="00A75DF9">
              <w:rPr>
                <w:rFonts w:cs="Tahoma"/>
                <w:color w:val="000000"/>
                <w:szCs w:val="18"/>
              </w:rPr>
              <w:t xml:space="preserve">Licenza Plus External Connector per Lync Server 2010 con Software Assurance attiva a partire dal </w:t>
            </w:r>
            <w:r w:rsidR="00066697">
              <w:rPr>
                <w:rFonts w:cs="Tahoma"/>
                <w:color w:val="000000"/>
                <w:szCs w:val="18"/>
              </w:rPr>
              <w:br/>
            </w:r>
            <w:r w:rsidRPr="00A75DF9">
              <w:rPr>
                <w:rFonts w:cs="Tahoma"/>
                <w:color w:val="000000"/>
                <w:szCs w:val="18"/>
              </w:rPr>
              <w:t>1 ottobre 2012</w:t>
            </w:r>
          </w:p>
        </w:tc>
        <w:tc>
          <w:tcPr>
            <w:tcW w:w="3600" w:type="dxa"/>
            <w:shd w:val="clear" w:color="auto" w:fill="auto"/>
          </w:tcPr>
          <w:p w:rsidR="00BD1A6A" w:rsidRPr="00A75DF9" w:rsidRDefault="00BD1A6A" w:rsidP="002C3AB1">
            <w:pPr>
              <w:rPr>
                <w:rFonts w:cs="Tahoma"/>
                <w:color w:val="000000"/>
                <w:szCs w:val="18"/>
              </w:rPr>
            </w:pPr>
            <w:r w:rsidRPr="00A75DF9">
              <w:rPr>
                <w:rFonts w:cs="Tahoma"/>
                <w:color w:val="000000"/>
                <w:szCs w:val="18"/>
              </w:rPr>
              <w:t>Licenza per Lync Server 2013</w:t>
            </w:r>
          </w:p>
        </w:tc>
      </w:tr>
      <w:tr w:rsidR="00BD1A6A" w:rsidRPr="00A75DF9" w:rsidTr="00BD1A6A">
        <w:trPr>
          <w:trHeight w:val="70"/>
        </w:trPr>
        <w:tc>
          <w:tcPr>
            <w:tcW w:w="4500" w:type="dxa"/>
            <w:shd w:val="clear" w:color="auto" w:fill="auto"/>
          </w:tcPr>
          <w:p w:rsidR="00BD1A6A" w:rsidRPr="00A75DF9" w:rsidRDefault="00BD1A6A" w:rsidP="00066697">
            <w:pPr>
              <w:rPr>
                <w:rFonts w:cs="Tahoma"/>
                <w:color w:val="000000"/>
                <w:szCs w:val="18"/>
              </w:rPr>
            </w:pPr>
            <w:r w:rsidRPr="00A75DF9">
              <w:rPr>
                <w:rFonts w:cs="Tahoma"/>
                <w:color w:val="000000"/>
                <w:szCs w:val="18"/>
              </w:rPr>
              <w:t>Licenza Standard External Connector per Lync Server 2010 con Software Assurance attiva a partire dal 1</w:t>
            </w:r>
            <w:r w:rsidR="00066697">
              <w:rPr>
                <w:rFonts w:cs="Tahoma"/>
                <w:color w:val="000000"/>
                <w:szCs w:val="18"/>
              </w:rPr>
              <w:t> </w:t>
            </w:r>
            <w:r w:rsidRPr="00A75DF9">
              <w:rPr>
                <w:rFonts w:cs="Tahoma"/>
                <w:color w:val="000000"/>
                <w:szCs w:val="18"/>
              </w:rPr>
              <w:t>ottobre 2012</w:t>
            </w:r>
          </w:p>
        </w:tc>
        <w:tc>
          <w:tcPr>
            <w:tcW w:w="3600" w:type="dxa"/>
            <w:shd w:val="clear" w:color="auto" w:fill="auto"/>
          </w:tcPr>
          <w:p w:rsidR="00BD1A6A" w:rsidRPr="00A75DF9" w:rsidRDefault="00BD1A6A" w:rsidP="002C3AB1">
            <w:pPr>
              <w:rPr>
                <w:rFonts w:cs="Tahoma"/>
                <w:color w:val="000000"/>
                <w:szCs w:val="18"/>
              </w:rPr>
            </w:pPr>
            <w:r w:rsidRPr="00A75DF9">
              <w:rPr>
                <w:rFonts w:cs="Tahoma"/>
                <w:color w:val="000000"/>
                <w:szCs w:val="18"/>
              </w:rPr>
              <w:t>Licenza per Lync Server 2013</w:t>
            </w:r>
          </w:p>
        </w:tc>
      </w:tr>
    </w:tbl>
    <w:p w:rsidR="004E0852" w:rsidRPr="00A75DF9" w:rsidRDefault="004E0852" w:rsidP="004E0852">
      <w:pPr>
        <w:ind w:left="720"/>
        <w:jc w:val="both"/>
        <w:rPr>
          <w:rFonts w:cs="Tahoma"/>
        </w:rPr>
      </w:pPr>
    </w:p>
    <w:p w:rsidR="004E0852" w:rsidRPr="00A75DF9" w:rsidRDefault="004E0852" w:rsidP="004E0852">
      <w:pPr>
        <w:ind w:left="720"/>
        <w:rPr>
          <w:rFonts w:cs="Tahoma"/>
        </w:rPr>
      </w:pPr>
      <w:r w:rsidRPr="00A75DF9">
        <w:rPr>
          <w:rFonts w:cs="Tahoma"/>
          <w:color w:val="000000"/>
          <w:szCs w:val="18"/>
        </w:rPr>
        <w:lastRenderedPageBreak/>
        <w:t>Le condizioni che seguono si applicano alle concessioni di licenze riportate sopra.</w:t>
      </w:r>
    </w:p>
    <w:p w:rsidR="004E0852" w:rsidRPr="00A75DF9" w:rsidRDefault="004E0852" w:rsidP="004E0852">
      <w:pPr>
        <w:ind w:left="720"/>
        <w:rPr>
          <w:rFonts w:cs="Tahoma"/>
        </w:rPr>
      </w:pPr>
    </w:p>
    <w:p w:rsidR="004E0852" w:rsidRPr="00A75DF9" w:rsidRDefault="004E0852" w:rsidP="00346F4B">
      <w:pPr>
        <w:numPr>
          <w:ilvl w:val="0"/>
          <w:numId w:val="101"/>
        </w:numPr>
        <w:spacing w:after="60"/>
        <w:ind w:left="1440"/>
        <w:rPr>
          <w:rFonts w:cs="Tahoma"/>
        </w:rPr>
      </w:pPr>
      <w:r w:rsidRPr="00A75DF9">
        <w:rPr>
          <w:rFonts w:cs="Tahoma"/>
          <w:bCs/>
          <w:color w:val="000000"/>
          <w:szCs w:val="18"/>
          <w:u w:val="single"/>
        </w:rPr>
        <w:t>Percorso di Migrazione</w:t>
      </w:r>
      <w:r w:rsidRPr="00066697">
        <w:rPr>
          <w:rFonts w:cs="Tahoma"/>
          <w:color w:val="000000"/>
          <w:szCs w:val="18"/>
        </w:rPr>
        <w:t>:</w:t>
      </w:r>
      <w:r w:rsidRPr="00A75DF9">
        <w:rPr>
          <w:rFonts w:cs="Tahoma"/>
          <w:color w:val="000000"/>
          <w:szCs w:val="18"/>
        </w:rPr>
        <w:t xml:space="preserve"> le società con copertura Software Assurance attiva per una determinata Licenza Qualificante a partire dal 1 ottobre 2012 e in occasione del rilascio della versione commerciale di Lync Server 2013 sono idonee a effettuare l</w:t>
      </w:r>
      <w:r w:rsidR="00F2643E">
        <w:rPr>
          <w:rFonts w:cs="Tahoma"/>
          <w:color w:val="000000"/>
          <w:szCs w:val="18"/>
        </w:rPr>
        <w:t>’</w:t>
      </w:r>
      <w:r w:rsidRPr="00A75DF9">
        <w:rPr>
          <w:rFonts w:cs="Tahoma"/>
          <w:color w:val="000000"/>
          <w:szCs w:val="18"/>
        </w:rPr>
        <w:t>aggiornamento al software Lync Server 2013 e a utilizzarlo ai sensi della Licenza Gratuita al posto del software Lync Server 2010 ai sensi della corrispondente licenza External Connector qualificante.</w:t>
      </w:r>
      <w:r w:rsidR="009D3B41" w:rsidRPr="00A75DF9">
        <w:rPr>
          <w:rFonts w:cs="Tahoma"/>
          <w:color w:val="000000"/>
          <w:szCs w:val="18"/>
        </w:rPr>
        <w:t xml:space="preserve"> </w:t>
      </w:r>
    </w:p>
    <w:p w:rsidR="004E0852" w:rsidRPr="00A75DF9" w:rsidRDefault="004E0852" w:rsidP="00066697">
      <w:pPr>
        <w:numPr>
          <w:ilvl w:val="0"/>
          <w:numId w:val="101"/>
        </w:numPr>
        <w:spacing w:after="60"/>
        <w:ind w:left="1440"/>
        <w:rPr>
          <w:rFonts w:cs="Tahoma"/>
        </w:rPr>
      </w:pPr>
      <w:r w:rsidRPr="00A75DF9">
        <w:rPr>
          <w:rFonts w:cs="Tahoma"/>
          <w:color w:val="000000"/>
          <w:szCs w:val="18"/>
          <w:u w:val="single"/>
        </w:rPr>
        <w:t>Diritti sull</w:t>
      </w:r>
      <w:r w:rsidR="00F2643E">
        <w:rPr>
          <w:rFonts w:cs="Tahoma"/>
          <w:color w:val="000000"/>
          <w:szCs w:val="18"/>
          <w:u w:val="single"/>
        </w:rPr>
        <w:t>’</w:t>
      </w:r>
      <w:r w:rsidRPr="00A75DF9">
        <w:rPr>
          <w:rFonts w:cs="Tahoma"/>
          <w:color w:val="000000"/>
          <w:szCs w:val="18"/>
          <w:u w:val="single"/>
        </w:rPr>
        <w:t>utilizzo</w:t>
      </w:r>
      <w:r w:rsidRPr="00A75DF9">
        <w:rPr>
          <w:rFonts w:cs="Tahoma"/>
          <w:color w:val="000000"/>
          <w:szCs w:val="18"/>
        </w:rPr>
        <w:t>: il diritto di utilizzo del software ai sensi della Licenza Gratuita della presente offerta scadrà alla scadenza del diritto di utilizzo del software ai sensi della Licenza Qualificante.</w:t>
      </w:r>
      <w:r w:rsidR="009D3B41" w:rsidRPr="00A75DF9">
        <w:rPr>
          <w:rFonts w:cs="Tahoma"/>
          <w:color w:val="000000"/>
          <w:szCs w:val="18"/>
        </w:rPr>
        <w:t xml:space="preserve"> </w:t>
      </w:r>
      <w:r w:rsidRPr="00A75DF9">
        <w:rPr>
          <w:rFonts w:cs="Tahoma"/>
          <w:color w:val="000000"/>
          <w:szCs w:val="18"/>
        </w:rPr>
        <w:t>L</w:t>
      </w:r>
      <w:r w:rsidR="00F2643E">
        <w:rPr>
          <w:rFonts w:cs="Tahoma"/>
          <w:color w:val="000000"/>
          <w:szCs w:val="18"/>
        </w:rPr>
        <w:t>’</w:t>
      </w:r>
      <w:r w:rsidRPr="00A75DF9">
        <w:rPr>
          <w:rFonts w:cs="Tahoma"/>
          <w:color w:val="000000"/>
          <w:szCs w:val="18"/>
        </w:rPr>
        <w:t>utilizzo di tale software è disciplinato dai diritti sull</w:t>
      </w:r>
      <w:r w:rsidR="00F2643E">
        <w:rPr>
          <w:rFonts w:cs="Tahoma"/>
          <w:color w:val="000000"/>
          <w:szCs w:val="18"/>
        </w:rPr>
        <w:t>’</w:t>
      </w:r>
      <w:r w:rsidRPr="00A75DF9">
        <w:rPr>
          <w:rFonts w:cs="Tahoma"/>
          <w:color w:val="000000"/>
          <w:szCs w:val="18"/>
        </w:rPr>
        <w:t>utilizzo del software e dalle condizioni del Contratto Multilicenza della società.</w:t>
      </w:r>
      <w:r w:rsidR="009D3B41" w:rsidRPr="00A75DF9">
        <w:rPr>
          <w:rFonts w:cs="Tahoma"/>
          <w:color w:val="000000"/>
          <w:szCs w:val="18"/>
        </w:rPr>
        <w:t xml:space="preserve"> </w:t>
      </w:r>
      <w:r w:rsidRPr="00A75DF9">
        <w:rPr>
          <w:rFonts w:cs="Tahoma"/>
          <w:color w:val="000000"/>
          <w:szCs w:val="18"/>
        </w:rPr>
        <w:t>Questa nota relativa alle condizioni del prodotto e la prova da</w:t>
      </w:r>
      <w:r w:rsidR="00066697">
        <w:rPr>
          <w:rFonts w:cs="Tahoma"/>
          <w:color w:val="000000"/>
          <w:szCs w:val="18"/>
        </w:rPr>
        <w:t> </w:t>
      </w:r>
      <w:r w:rsidRPr="00A75DF9">
        <w:rPr>
          <w:rFonts w:cs="Tahoma"/>
          <w:color w:val="000000"/>
          <w:szCs w:val="18"/>
        </w:rPr>
        <w:t>parte della società della corrispondente Licenza e Software Assurance (L&amp;SA) Qualificante costituiscono insieme la prova del diritto di utilizzo del software ai sensi della Licenza Gratuita della</w:t>
      </w:r>
      <w:r w:rsidR="00066697">
        <w:rPr>
          <w:rFonts w:cs="Tahoma"/>
          <w:color w:val="000000"/>
          <w:szCs w:val="18"/>
        </w:rPr>
        <w:t> </w:t>
      </w:r>
      <w:r w:rsidRPr="00A75DF9">
        <w:rPr>
          <w:rFonts w:cs="Tahoma"/>
          <w:color w:val="000000"/>
          <w:szCs w:val="18"/>
        </w:rPr>
        <w:t xml:space="preserve">presente offerta. </w:t>
      </w:r>
    </w:p>
    <w:p w:rsidR="004E0852" w:rsidRPr="00066697" w:rsidRDefault="004E0852" w:rsidP="003D0252">
      <w:pPr>
        <w:numPr>
          <w:ilvl w:val="0"/>
          <w:numId w:val="8"/>
        </w:numPr>
        <w:spacing w:after="60"/>
        <w:ind w:left="1440"/>
        <w:rPr>
          <w:rFonts w:cs="Tahoma"/>
        </w:rPr>
      </w:pPr>
      <w:r w:rsidRPr="00A75DF9">
        <w:rPr>
          <w:rFonts w:cs="Tahoma"/>
          <w:color w:val="000000"/>
          <w:szCs w:val="18"/>
          <w:u w:val="single"/>
        </w:rPr>
        <w:t>Licenza e Software Assurance (L&amp;SA)</w:t>
      </w:r>
      <w:r w:rsidRPr="00A75DF9">
        <w:rPr>
          <w:rFonts w:cs="Tahoma"/>
          <w:color w:val="000000"/>
          <w:szCs w:val="18"/>
        </w:rPr>
        <w:t>: la Licenza Gratuita include la copertura Software Assurance.</w:t>
      </w:r>
      <w:r w:rsidR="009D3B41" w:rsidRPr="00A75DF9">
        <w:rPr>
          <w:rFonts w:cs="Tahoma"/>
          <w:color w:val="000000"/>
          <w:szCs w:val="18"/>
        </w:rPr>
        <w:t xml:space="preserve"> </w:t>
      </w:r>
      <w:r w:rsidRPr="00A75DF9">
        <w:rPr>
          <w:rFonts w:cs="Tahoma"/>
          <w:color w:val="000000"/>
          <w:szCs w:val="18"/>
        </w:rPr>
        <w:t>La copertura Software Assurance per la Licenza Gratuita scadrà alla scadenza della copertura per la Licenza Qualificante.</w:t>
      </w:r>
      <w:r w:rsidR="009D3B41" w:rsidRPr="00A75DF9">
        <w:rPr>
          <w:rFonts w:cs="Tahoma"/>
          <w:color w:val="000000"/>
          <w:szCs w:val="18"/>
        </w:rPr>
        <w:t xml:space="preserve"> </w:t>
      </w:r>
      <w:r w:rsidRPr="00A75DF9">
        <w:rPr>
          <w:rFonts w:cs="Tahoma"/>
          <w:color w:val="000000"/>
          <w:szCs w:val="18"/>
        </w:rPr>
        <w:t>Alla scadenza della copertura Software Assurance per la Licenza Qualificante, la società potrà rinnovare Software Assurance per la Licenza Gratuita senza dover acquistare una nuova licenza specifica.</w:t>
      </w:r>
    </w:p>
    <w:p w:rsidR="004E0852" w:rsidRPr="00A75DF9" w:rsidRDefault="004E0852" w:rsidP="00346F4B">
      <w:pPr>
        <w:numPr>
          <w:ilvl w:val="0"/>
          <w:numId w:val="102"/>
        </w:numPr>
        <w:spacing w:after="60"/>
        <w:ind w:left="1440"/>
        <w:rPr>
          <w:rFonts w:cs="Tahoma"/>
        </w:rPr>
      </w:pPr>
      <w:r w:rsidRPr="00A75DF9">
        <w:rPr>
          <w:rFonts w:eastAsia="Calibri" w:cs="Tahoma"/>
          <w:color w:val="000000"/>
          <w:szCs w:val="18"/>
          <w:u w:val="single"/>
        </w:rPr>
        <w:t>True-up</w:t>
      </w:r>
      <w:r w:rsidRPr="00066697">
        <w:rPr>
          <w:rFonts w:eastAsia="Calibri" w:cs="Tahoma"/>
          <w:color w:val="000000"/>
          <w:szCs w:val="18"/>
        </w:rPr>
        <w:t>:</w:t>
      </w:r>
      <w:r w:rsidR="009D3B41" w:rsidRPr="00A75DF9">
        <w:rPr>
          <w:rFonts w:eastAsia="Calibri" w:cs="Tahoma"/>
          <w:color w:val="000000"/>
          <w:szCs w:val="18"/>
        </w:rPr>
        <w:t xml:space="preserve"> </w:t>
      </w:r>
      <w:r w:rsidRPr="00A75DF9">
        <w:rPr>
          <w:rFonts w:eastAsia="Calibri" w:cs="Tahoma"/>
          <w:color w:val="000000"/>
          <w:szCs w:val="18"/>
        </w:rPr>
        <w:t>per le società con un Contratto Enterprise idonee a ricevere tali licenze e diritti gratuiti descritti in precedenza, le licenze Enterprise External Connector per Lync Server 2010, Plus External Connector per Lync Server 2010 e Standard External Connector per Lync Server 2010 acquistate nell</w:t>
      </w:r>
      <w:r w:rsidR="00F2643E">
        <w:rPr>
          <w:rFonts w:eastAsia="Calibri" w:cs="Tahoma"/>
          <w:color w:val="000000"/>
          <w:szCs w:val="18"/>
        </w:rPr>
        <w:t>’</w:t>
      </w:r>
      <w:r w:rsidRPr="00A75DF9">
        <w:rPr>
          <w:rFonts w:eastAsia="Calibri" w:cs="Tahoma"/>
          <w:color w:val="000000"/>
          <w:szCs w:val="18"/>
        </w:rPr>
        <w:t xml:space="preserve">ambito di una </w:t>
      </w:r>
      <w:r w:rsidRPr="00A75DF9">
        <w:rPr>
          <w:rFonts w:cs="Tahoma"/>
          <w:color w:val="000000"/>
          <w:szCs w:val="18"/>
        </w:rPr>
        <w:t>procedura annuale di true-up sono, anch</w:t>
      </w:r>
      <w:r w:rsidR="00F2643E">
        <w:rPr>
          <w:rFonts w:cs="Tahoma"/>
          <w:color w:val="000000"/>
          <w:szCs w:val="18"/>
        </w:rPr>
        <w:t>’</w:t>
      </w:r>
      <w:r w:rsidRPr="00A75DF9">
        <w:rPr>
          <w:rFonts w:cs="Tahoma"/>
          <w:color w:val="000000"/>
          <w:szCs w:val="18"/>
        </w:rPr>
        <w:t xml:space="preserve">esse, licenze qualificanti. </w:t>
      </w:r>
    </w:p>
    <w:p w:rsidR="004E0852" w:rsidRPr="00A75DF9" w:rsidRDefault="003D0252" w:rsidP="00066697">
      <w:pPr>
        <w:numPr>
          <w:ilvl w:val="0"/>
          <w:numId w:val="102"/>
        </w:numPr>
        <w:spacing w:after="60"/>
        <w:ind w:left="1440"/>
        <w:rPr>
          <w:rFonts w:cs="Tahoma"/>
        </w:rPr>
      </w:pPr>
      <w:r w:rsidRPr="00A75DF9">
        <w:rPr>
          <w:rFonts w:cs="Tahoma"/>
          <w:color w:val="000000"/>
          <w:szCs w:val="18"/>
          <w:u w:val="single"/>
        </w:rPr>
        <w:t>Contratti “Subscription”</w:t>
      </w:r>
      <w:r w:rsidRPr="00A75DF9">
        <w:rPr>
          <w:rFonts w:cs="Tahoma"/>
          <w:color w:val="000000"/>
          <w:szCs w:val="18"/>
        </w:rPr>
        <w:t>:</w:t>
      </w:r>
      <w:r w:rsidR="009D3B41" w:rsidRPr="00A75DF9">
        <w:rPr>
          <w:rFonts w:cs="Tahoma"/>
          <w:color w:val="000000"/>
          <w:szCs w:val="18"/>
        </w:rPr>
        <w:t xml:space="preserve"> </w:t>
      </w:r>
      <w:r w:rsidRPr="00A75DF9">
        <w:rPr>
          <w:rFonts w:cs="Tahoma"/>
          <w:color w:val="000000"/>
          <w:szCs w:val="18"/>
        </w:rPr>
        <w:t xml:space="preserve">per quanto riguarda i Contratti Enterprise Subscription, </w:t>
      </w:r>
      <w:r w:rsidRPr="00A75DF9">
        <w:rPr>
          <w:rFonts w:cs="Tahoma"/>
          <w:szCs w:val="18"/>
        </w:rPr>
        <w:t>Open Value Subscription, Campus e School, Enrollment for Education Solutions e Open Value Subscription-Education Solutions, gli stessi diritti verranno concessi temporaneamente, in base alle medesime condizioni,</w:t>
      </w:r>
      <w:r w:rsidRPr="00A75DF9">
        <w:rPr>
          <w:rFonts w:cs="Tahoma"/>
          <w:color w:val="000000"/>
          <w:szCs w:val="18"/>
        </w:rPr>
        <w:t xml:space="preserve"> fino al termine del periodo di validità corrente dell</w:t>
      </w:r>
      <w:r w:rsidR="00F2643E">
        <w:rPr>
          <w:rFonts w:cs="Tahoma"/>
          <w:color w:val="000000"/>
          <w:szCs w:val="18"/>
        </w:rPr>
        <w:t>’</w:t>
      </w:r>
      <w:r w:rsidRPr="00A75DF9">
        <w:rPr>
          <w:rFonts w:cs="Tahoma"/>
          <w:color w:val="000000"/>
          <w:szCs w:val="18"/>
        </w:rPr>
        <w:t>iscrizione (o del periodo di validità del contratto nel caso di Open Value).</w:t>
      </w:r>
      <w:r w:rsidR="009D3B41" w:rsidRPr="00A75DF9">
        <w:rPr>
          <w:rFonts w:cs="Tahoma"/>
          <w:color w:val="000000"/>
          <w:szCs w:val="18"/>
        </w:rPr>
        <w:t xml:space="preserve"> </w:t>
      </w:r>
      <w:r w:rsidRPr="00A75DF9">
        <w:rPr>
          <w:rFonts w:cs="Tahoma"/>
          <w:color w:val="000000"/>
          <w:szCs w:val="18"/>
        </w:rPr>
        <w:t>La società dovrà mantenere la copertura dell</w:t>
      </w:r>
      <w:r w:rsidR="00F2643E">
        <w:rPr>
          <w:rFonts w:cs="Tahoma"/>
          <w:color w:val="000000"/>
          <w:szCs w:val="18"/>
        </w:rPr>
        <w:t>’</w:t>
      </w:r>
      <w:r w:rsidRPr="00A75DF9">
        <w:rPr>
          <w:rFonts w:cs="Tahoma"/>
          <w:color w:val="000000"/>
          <w:szCs w:val="18"/>
        </w:rPr>
        <w:t>abbonamento in via continuativa.</w:t>
      </w:r>
      <w:r w:rsidR="009D3B41" w:rsidRPr="00A75DF9">
        <w:rPr>
          <w:rFonts w:cs="Tahoma"/>
          <w:color w:val="000000"/>
          <w:szCs w:val="18"/>
        </w:rPr>
        <w:t xml:space="preserve"> </w:t>
      </w:r>
      <w:r w:rsidRPr="00A75DF9">
        <w:rPr>
          <w:rFonts w:cs="Tahoma"/>
          <w:color w:val="000000"/>
          <w:szCs w:val="18"/>
        </w:rPr>
        <w:t>Tali diritti diventeranno permanenti soltanto all</w:t>
      </w:r>
      <w:r w:rsidR="00F2643E">
        <w:rPr>
          <w:rFonts w:cs="Tahoma"/>
          <w:color w:val="000000"/>
          <w:szCs w:val="18"/>
        </w:rPr>
        <w:t>’</w:t>
      </w:r>
      <w:r w:rsidRPr="00A75DF9">
        <w:rPr>
          <w:rFonts w:cs="Tahoma"/>
          <w:color w:val="000000"/>
          <w:szCs w:val="18"/>
        </w:rPr>
        <w:t>esercizio dell</w:t>
      </w:r>
      <w:r w:rsidR="00F2643E">
        <w:rPr>
          <w:rFonts w:cs="Tahoma"/>
          <w:color w:val="000000"/>
          <w:szCs w:val="18"/>
        </w:rPr>
        <w:t>’</w:t>
      </w:r>
      <w:r w:rsidRPr="00A75DF9">
        <w:rPr>
          <w:rFonts w:cs="Tahoma"/>
          <w:color w:val="000000"/>
          <w:szCs w:val="18"/>
        </w:rPr>
        <w:t>opzione buy-out e</w:t>
      </w:r>
      <w:r w:rsidR="00066697">
        <w:rPr>
          <w:rFonts w:cs="Tahoma"/>
          <w:color w:val="000000"/>
          <w:szCs w:val="18"/>
        </w:rPr>
        <w:t> </w:t>
      </w:r>
      <w:r w:rsidRPr="00A75DF9">
        <w:rPr>
          <w:rFonts w:cs="Tahoma"/>
          <w:color w:val="000000"/>
          <w:szCs w:val="18"/>
        </w:rPr>
        <w:t>resteranno soggetti a tutte le condizioni del contratto di licenza della società.</w:t>
      </w:r>
    </w:p>
    <w:p w:rsidR="004E0852" w:rsidRPr="00A75DF9" w:rsidRDefault="004E0852" w:rsidP="00066697">
      <w:pPr>
        <w:numPr>
          <w:ilvl w:val="0"/>
          <w:numId w:val="103"/>
        </w:numPr>
        <w:spacing w:after="60"/>
        <w:ind w:left="1440"/>
        <w:rPr>
          <w:rFonts w:cs="Tahoma"/>
        </w:rPr>
      </w:pPr>
      <w:r w:rsidRPr="00A75DF9">
        <w:rPr>
          <w:rFonts w:cs="Tahoma"/>
          <w:szCs w:val="18"/>
          <w:u w:val="single"/>
        </w:rPr>
        <w:t>Transizioni ai Contratti Campus e School</w:t>
      </w:r>
      <w:r w:rsidRPr="00066697">
        <w:rPr>
          <w:rFonts w:cs="Tahoma"/>
          <w:szCs w:val="18"/>
        </w:rPr>
        <w:t>:</w:t>
      </w:r>
      <w:r w:rsidRPr="00A75DF9">
        <w:rPr>
          <w:rFonts w:cs="Tahoma"/>
          <w:szCs w:val="18"/>
        </w:rPr>
        <w:t xml:space="preserve"> Per quanto riguarda le società che a metà del periodo di</w:t>
      </w:r>
      <w:r w:rsidR="00066697">
        <w:rPr>
          <w:rFonts w:cs="Tahoma"/>
          <w:szCs w:val="18"/>
        </w:rPr>
        <w:t> </w:t>
      </w:r>
      <w:r w:rsidRPr="00A75DF9">
        <w:rPr>
          <w:rFonts w:cs="Tahoma"/>
          <w:szCs w:val="18"/>
        </w:rPr>
        <w:t>validità effettuano la transizione dai contratti Campus e School al contratto Enrollment for Education Solutions o Open Value Subscription-Education Solutions mantenendo la copertura della sottoscrizione in via continuativa:</w:t>
      </w:r>
    </w:p>
    <w:p w:rsidR="004E0852" w:rsidRPr="00066697" w:rsidRDefault="004E0852" w:rsidP="00346F4B">
      <w:pPr>
        <w:pStyle w:val="ListParagraph"/>
        <w:numPr>
          <w:ilvl w:val="0"/>
          <w:numId w:val="87"/>
        </w:numPr>
        <w:spacing w:after="60"/>
        <w:ind w:left="1980"/>
        <w:contextualSpacing w:val="0"/>
        <w:rPr>
          <w:rFonts w:ascii="Tahoma" w:hAnsi="Tahoma" w:cs="Tahoma"/>
          <w:sz w:val="18"/>
          <w:szCs w:val="18"/>
        </w:rPr>
      </w:pPr>
      <w:r w:rsidRPr="00066697">
        <w:rPr>
          <w:rFonts w:ascii="Tahoma" w:hAnsi="Tahoma" w:cs="Tahoma"/>
          <w:sz w:val="18"/>
          <w:szCs w:val="18"/>
        </w:rPr>
        <w:t xml:space="preserve">Vengono concessi gli stessi diritti su base temporanea, ai sensi delle medesime condizioni, fino al termine, rispettivamente, del loro contratto Enrollment for Education Solutions o Open Value Subscription-Education Solutions. </w:t>
      </w:r>
    </w:p>
    <w:p w:rsidR="00BA1490" w:rsidRPr="00066697" w:rsidRDefault="004E0852" w:rsidP="00346F4B">
      <w:pPr>
        <w:pStyle w:val="ListParagraph"/>
        <w:numPr>
          <w:ilvl w:val="0"/>
          <w:numId w:val="87"/>
        </w:numPr>
        <w:spacing w:after="60"/>
        <w:ind w:left="1980"/>
        <w:contextualSpacing w:val="0"/>
        <w:rPr>
          <w:rFonts w:ascii="Tahoma" w:hAnsi="Tahoma" w:cs="Tahoma"/>
          <w:sz w:val="18"/>
          <w:szCs w:val="18"/>
        </w:rPr>
      </w:pPr>
      <w:r w:rsidRPr="00066697">
        <w:rPr>
          <w:rFonts w:ascii="Tahoma" w:hAnsi="Tahoma" w:cs="Tahoma"/>
          <w:sz w:val="18"/>
          <w:szCs w:val="18"/>
        </w:rPr>
        <w:t>Tali diritti diventeranno permanenti soltanto all</w:t>
      </w:r>
      <w:r w:rsidR="00F2643E">
        <w:rPr>
          <w:rFonts w:ascii="Tahoma" w:hAnsi="Tahoma" w:cs="Tahoma"/>
          <w:sz w:val="18"/>
          <w:szCs w:val="18"/>
        </w:rPr>
        <w:t>’</w:t>
      </w:r>
      <w:r w:rsidRPr="00066697">
        <w:rPr>
          <w:rFonts w:ascii="Tahoma" w:hAnsi="Tahoma" w:cs="Tahoma"/>
          <w:sz w:val="18"/>
          <w:szCs w:val="18"/>
        </w:rPr>
        <w:t>esercizio dell</w:t>
      </w:r>
      <w:r w:rsidR="00F2643E">
        <w:rPr>
          <w:rFonts w:ascii="Tahoma" w:hAnsi="Tahoma" w:cs="Tahoma"/>
          <w:sz w:val="18"/>
          <w:szCs w:val="18"/>
        </w:rPr>
        <w:t>’</w:t>
      </w:r>
      <w:r w:rsidRPr="00066697">
        <w:rPr>
          <w:rFonts w:ascii="Tahoma" w:hAnsi="Tahoma" w:cs="Tahoma"/>
          <w:sz w:val="18"/>
          <w:szCs w:val="18"/>
        </w:rPr>
        <w:t>opzione buy-out e resteranno soggetti a tutte le condizioni del contratto di licenza della società.</w:t>
      </w:r>
      <w:bookmarkStart w:id="1349" w:name="_66_Lync_Server"/>
      <w:bookmarkStart w:id="1350" w:name="_Toc336338327"/>
      <w:bookmarkStart w:id="1351" w:name="Srv_57OfficeCommSvrOnlineStd"/>
      <w:bookmarkEnd w:id="1349"/>
    </w:p>
    <w:p w:rsidR="00586FCE" w:rsidRPr="00A75DF9" w:rsidRDefault="00586FCE" w:rsidP="003D0252">
      <w:pPr>
        <w:rPr>
          <w:rFonts w:cs="Tahoma"/>
        </w:rPr>
      </w:pPr>
      <w:bookmarkStart w:id="1352" w:name="Srv_56MicrosoftDynamicsCRM2011"/>
      <w:bookmarkStart w:id="1353" w:name="Srv_67MicrosoftDynamicsCRM2011"/>
    </w:p>
    <w:p w:rsidR="002512D3" w:rsidRPr="00A75DF9" w:rsidRDefault="002512D3">
      <w:pPr>
        <w:rPr>
          <w:rFonts w:cs="Tahoma"/>
        </w:rPr>
      </w:pPr>
    </w:p>
    <w:p w:rsidR="00253288" w:rsidRPr="00A75DF9" w:rsidRDefault="00A560B6" w:rsidP="00D47417">
      <w:pPr>
        <w:pStyle w:val="Heading3"/>
        <w:rPr>
          <w:rFonts w:ascii="Tahoma" w:hAnsi="Tahoma" w:cs="Tahoma"/>
        </w:rPr>
      </w:pPr>
      <w:bookmarkStart w:id="1354" w:name="_72_Microsoft_Dynamics"/>
      <w:bookmarkStart w:id="1355" w:name="_Toc368310321"/>
      <w:bookmarkEnd w:id="1354"/>
      <w:r w:rsidRPr="00A75DF9">
        <w:rPr>
          <w:rFonts w:ascii="Tahoma" w:hAnsi="Tahoma" w:cs="Tahoma"/>
          <w:color w:val="F66400"/>
          <w:sz w:val="22"/>
          <w:vertAlign w:val="superscript"/>
        </w:rPr>
        <w:t>71</w:t>
      </w:r>
      <w:r w:rsidRPr="00A75DF9">
        <w:rPr>
          <w:rFonts w:ascii="Tahoma" w:hAnsi="Tahoma" w:cs="Tahoma"/>
          <w:color w:val="F66400"/>
          <w:sz w:val="22"/>
        </w:rPr>
        <w:t xml:space="preserve"> Microsoft Dynamics AX 2012</w:t>
      </w:r>
      <w:bookmarkEnd w:id="1350"/>
      <w:r w:rsidRPr="00A75DF9">
        <w:rPr>
          <w:rFonts w:ascii="Tahoma" w:hAnsi="Tahoma" w:cs="Tahoma"/>
          <w:color w:val="F66400"/>
          <w:sz w:val="22"/>
        </w:rPr>
        <w:t xml:space="preserve"> R2</w:t>
      </w:r>
      <w:bookmarkEnd w:id="1355"/>
    </w:p>
    <w:p w:rsidR="003D0252" w:rsidRPr="00A75DF9" w:rsidRDefault="003D0252" w:rsidP="003D0252">
      <w:pPr>
        <w:rPr>
          <w:rFonts w:cs="Tahoma"/>
        </w:rPr>
      </w:pPr>
    </w:p>
    <w:p w:rsidR="00047874" w:rsidRPr="00A75DF9" w:rsidRDefault="00860CF0" w:rsidP="007B699C">
      <w:pPr>
        <w:spacing w:after="60"/>
        <w:ind w:left="734" w:hanging="14"/>
        <w:rPr>
          <w:rFonts w:cs="Tahoma"/>
        </w:rPr>
      </w:pPr>
      <w:r w:rsidRPr="00A75DF9">
        <w:rPr>
          <w:rFonts w:cs="Tahoma"/>
          <w:b/>
          <w:bCs/>
          <w:szCs w:val="20"/>
        </w:rPr>
        <w:t>Localizzazioni e Traduzioni</w:t>
      </w:r>
    </w:p>
    <w:p w:rsidR="00253288" w:rsidRPr="00A75DF9" w:rsidRDefault="00047874" w:rsidP="00066697">
      <w:pPr>
        <w:ind w:left="734" w:hanging="14"/>
        <w:rPr>
          <w:rFonts w:cs="Tahoma"/>
        </w:rPr>
      </w:pPr>
      <w:r w:rsidRPr="00A75DF9">
        <w:rPr>
          <w:rFonts w:cs="Tahoma"/>
          <w:color w:val="000000"/>
          <w:szCs w:val="20"/>
        </w:rPr>
        <w:t xml:space="preserve">Microsoft Dynamics AX è localizzato, tradotto e supportato da Microsoft, nonché reso disponibile al pubblico in determinati paesi e lingue. Informazioni sulla disponibilità di traduzioni e localizzazioni Microsoft sono reperibili alla pagina </w:t>
      </w:r>
      <w:r w:rsidR="00066697" w:rsidRPr="00385077">
        <w:rPr>
          <w:rFonts w:cs="Tahoma"/>
          <w:color w:val="000000"/>
          <w:szCs w:val="20"/>
        </w:rPr>
        <w:t>http://www.microsoft.com/en-us/dynamics/erp-buy-ax-software.aspx</w:t>
      </w:r>
      <w:r w:rsidRPr="00A75DF9">
        <w:rPr>
          <w:rFonts w:cs="Tahoma"/>
          <w:color w:val="000000"/>
          <w:szCs w:val="20"/>
        </w:rPr>
        <w:t>.</w:t>
      </w:r>
    </w:p>
    <w:p w:rsidR="00860CF0" w:rsidRPr="00A75DF9" w:rsidRDefault="00860CF0" w:rsidP="00737831">
      <w:pPr>
        <w:ind w:left="720"/>
        <w:rPr>
          <w:rFonts w:cs="Tahoma"/>
        </w:rPr>
      </w:pPr>
    </w:p>
    <w:p w:rsidR="00860CF0" w:rsidRPr="00CC1E5B" w:rsidRDefault="00860CF0" w:rsidP="00066697">
      <w:pPr>
        <w:pStyle w:val="PURBody-Indented"/>
        <w:spacing w:after="0"/>
        <w:ind w:left="720"/>
        <w:rPr>
          <w:rFonts w:ascii="Tahoma" w:hAnsi="Tahoma" w:cs="Tahoma"/>
          <w:spacing w:val="-2"/>
        </w:rPr>
      </w:pPr>
      <w:r w:rsidRPr="00CC1E5B">
        <w:rPr>
          <w:rFonts w:ascii="Tahoma" w:hAnsi="Tahoma" w:cs="Tahoma"/>
          <w:color w:val="000000"/>
          <w:spacing w:val="-2"/>
          <w:sz w:val="18"/>
        </w:rPr>
        <w:t>Microsoft comprende che in talune circostanze la società desideri utilizzare determinati moduli o funzionalità, localizzati e/o tradotti per uno specifico Paese, al di fuori di esso.</w:t>
      </w:r>
      <w:r w:rsidR="009D3B41" w:rsidRPr="00CC1E5B">
        <w:rPr>
          <w:rFonts w:ascii="Tahoma" w:hAnsi="Tahoma" w:cs="Tahoma"/>
          <w:color w:val="000000"/>
          <w:spacing w:val="-2"/>
          <w:sz w:val="18"/>
        </w:rPr>
        <w:t xml:space="preserve"> </w:t>
      </w:r>
      <w:r w:rsidRPr="00CC1E5B">
        <w:rPr>
          <w:rFonts w:ascii="Tahoma" w:hAnsi="Tahoma" w:cs="Tahoma"/>
          <w:color w:val="000000"/>
          <w:spacing w:val="-2"/>
          <w:sz w:val="18"/>
        </w:rPr>
        <w:t>Poiché leggi e regolamenti variano da Paese a Paese, le differenze normative potrebbero influire sull</w:t>
      </w:r>
      <w:r w:rsidR="00F2643E">
        <w:rPr>
          <w:rFonts w:ascii="Tahoma" w:hAnsi="Tahoma" w:cs="Tahoma"/>
          <w:color w:val="000000"/>
          <w:spacing w:val="-2"/>
          <w:sz w:val="18"/>
        </w:rPr>
        <w:t>’</w:t>
      </w:r>
      <w:r w:rsidRPr="00CC1E5B">
        <w:rPr>
          <w:rFonts w:ascii="Tahoma" w:hAnsi="Tahoma" w:cs="Tahoma"/>
          <w:color w:val="000000"/>
          <w:spacing w:val="-2"/>
          <w:sz w:val="18"/>
        </w:rPr>
        <w:t>utilizzo della funzionalità desiderata in Paesi per i quali non è stata creata.</w:t>
      </w:r>
      <w:r w:rsidR="009D3B41" w:rsidRPr="00CC1E5B">
        <w:rPr>
          <w:rFonts w:ascii="Tahoma" w:hAnsi="Tahoma" w:cs="Tahoma"/>
          <w:color w:val="000000"/>
          <w:spacing w:val="-2"/>
          <w:sz w:val="18"/>
        </w:rPr>
        <w:t xml:space="preserve"> </w:t>
      </w:r>
      <w:r w:rsidRPr="00CC1E5B">
        <w:rPr>
          <w:rFonts w:ascii="Tahoma" w:hAnsi="Tahoma" w:cs="Tahoma"/>
          <w:color w:val="000000"/>
          <w:spacing w:val="-2"/>
          <w:sz w:val="18"/>
        </w:rPr>
        <w:t>Microsoft non fornisce alcuna dichiarazione o garanzia (espressa, implicita o</w:t>
      </w:r>
      <w:r w:rsidR="00066697" w:rsidRPr="00CC1E5B">
        <w:rPr>
          <w:rFonts w:ascii="Tahoma" w:hAnsi="Tahoma" w:cs="Tahoma"/>
          <w:color w:val="000000"/>
          <w:spacing w:val="-2"/>
          <w:sz w:val="18"/>
        </w:rPr>
        <w:t> </w:t>
      </w:r>
      <w:r w:rsidRPr="00CC1E5B">
        <w:rPr>
          <w:rFonts w:ascii="Tahoma" w:hAnsi="Tahoma" w:cs="Tahoma"/>
          <w:color w:val="000000"/>
          <w:spacing w:val="-2"/>
          <w:sz w:val="18"/>
        </w:rPr>
        <w:t>altro) né assicurazione sulle prestazioni o sull</w:t>
      </w:r>
      <w:r w:rsidR="00F2643E">
        <w:rPr>
          <w:rFonts w:ascii="Tahoma" w:hAnsi="Tahoma" w:cs="Tahoma"/>
          <w:color w:val="000000"/>
          <w:spacing w:val="-2"/>
          <w:sz w:val="18"/>
        </w:rPr>
        <w:t>’</w:t>
      </w:r>
      <w:r w:rsidRPr="00CC1E5B">
        <w:rPr>
          <w:rFonts w:ascii="Tahoma" w:hAnsi="Tahoma" w:cs="Tahoma"/>
          <w:color w:val="000000"/>
          <w:spacing w:val="-2"/>
          <w:sz w:val="18"/>
        </w:rPr>
        <w:t>idoneità di qualsiasi versione localizzata e/o tradotta del software (inclusi i servizi online disponibili tramite tale software) utilizzato al di fuori del territorio per il quale</w:t>
      </w:r>
      <w:r w:rsidR="00066697" w:rsidRPr="00CC1E5B">
        <w:rPr>
          <w:rFonts w:ascii="Tahoma" w:hAnsi="Tahoma" w:cs="Tahoma"/>
          <w:color w:val="000000"/>
          <w:spacing w:val="-2"/>
          <w:sz w:val="18"/>
        </w:rPr>
        <w:t> </w:t>
      </w:r>
      <w:r w:rsidRPr="00CC1E5B">
        <w:rPr>
          <w:rFonts w:ascii="Tahoma" w:hAnsi="Tahoma" w:cs="Tahoma"/>
          <w:color w:val="000000"/>
          <w:spacing w:val="-2"/>
          <w:sz w:val="18"/>
        </w:rPr>
        <w:t>è stato creato e in cui Microsoft normalmente commercializza tali software e servizi.</w:t>
      </w:r>
      <w:r w:rsidR="009D3B41" w:rsidRPr="00CC1E5B">
        <w:rPr>
          <w:rFonts w:ascii="Tahoma" w:hAnsi="Tahoma" w:cs="Tahoma"/>
          <w:color w:val="000000"/>
          <w:spacing w:val="-2"/>
          <w:sz w:val="18"/>
        </w:rPr>
        <w:t xml:space="preserve"> </w:t>
      </w:r>
      <w:r w:rsidRPr="00CC1E5B">
        <w:rPr>
          <w:rFonts w:ascii="Tahoma" w:hAnsi="Tahoma" w:cs="Tahoma"/>
          <w:color w:val="000000"/>
          <w:spacing w:val="-2"/>
          <w:sz w:val="18"/>
        </w:rPr>
        <w:t>Verificare con un</w:t>
      </w:r>
      <w:r w:rsidR="00066697" w:rsidRPr="00CC1E5B">
        <w:rPr>
          <w:rFonts w:ascii="Tahoma" w:hAnsi="Tahoma" w:cs="Tahoma"/>
          <w:color w:val="000000"/>
          <w:spacing w:val="-2"/>
          <w:sz w:val="18"/>
        </w:rPr>
        <w:t> </w:t>
      </w:r>
      <w:r w:rsidRPr="00CC1E5B">
        <w:rPr>
          <w:rFonts w:ascii="Tahoma" w:hAnsi="Tahoma" w:cs="Tahoma"/>
          <w:color w:val="000000"/>
          <w:spacing w:val="-2"/>
          <w:sz w:val="18"/>
        </w:rPr>
        <w:t>esperto locale in materia fiscale se sia opportuno utilizzare in tale Paese la funzionalità del software desiderata.</w:t>
      </w:r>
    </w:p>
    <w:p w:rsidR="00253288" w:rsidRPr="00A75DF9" w:rsidRDefault="00047874" w:rsidP="007B699C">
      <w:pPr>
        <w:spacing w:after="60"/>
        <w:ind w:left="734" w:hanging="187"/>
        <w:rPr>
          <w:rFonts w:cs="Tahoma"/>
        </w:rPr>
      </w:pPr>
      <w:r w:rsidRPr="00A75DF9">
        <w:rPr>
          <w:rFonts w:cs="Tahoma"/>
          <w:b/>
          <w:bCs/>
          <w:szCs w:val="20"/>
        </w:rPr>
        <w:lastRenderedPageBreak/>
        <w:t>Diritti sull</w:t>
      </w:r>
      <w:r w:rsidR="00F2643E">
        <w:rPr>
          <w:rFonts w:cs="Tahoma"/>
          <w:b/>
          <w:bCs/>
          <w:szCs w:val="20"/>
        </w:rPr>
        <w:t>’</w:t>
      </w:r>
      <w:r w:rsidRPr="00A75DF9">
        <w:rPr>
          <w:rFonts w:cs="Tahoma"/>
          <w:b/>
          <w:bCs/>
          <w:szCs w:val="20"/>
        </w:rPr>
        <w:t>utilizzo delle Licenze CAL</w:t>
      </w:r>
    </w:p>
    <w:p w:rsidR="00047874" w:rsidRPr="00A75DF9" w:rsidRDefault="00047874" w:rsidP="00066697">
      <w:pPr>
        <w:ind w:left="547"/>
        <w:rPr>
          <w:rFonts w:cs="Tahoma"/>
        </w:rPr>
      </w:pPr>
      <w:r w:rsidRPr="00A75DF9">
        <w:rPr>
          <w:rFonts w:eastAsia="Calibri" w:cs="Tahoma"/>
          <w:szCs w:val="18"/>
        </w:rPr>
        <w:t>Gli utilizzi autorizzati ai sensi delle diverse licenze CAL per Microsoft Dynamics AX 2012 R2 sono delineati nella seguente tabella:</w:t>
      </w:r>
    </w:p>
    <w:p w:rsidR="00047874" w:rsidRPr="00A75DF9" w:rsidRDefault="00047874" w:rsidP="00944DAD">
      <w:pPr>
        <w:ind w:firstLine="540"/>
        <w:rPr>
          <w:rFonts w:cs="Tahoma"/>
        </w:rPr>
      </w:pPr>
    </w:p>
    <w:p w:rsidR="00047874" w:rsidRPr="00A75DF9" w:rsidRDefault="00047874" w:rsidP="00346F4B">
      <w:pPr>
        <w:numPr>
          <w:ilvl w:val="1"/>
          <w:numId w:val="66"/>
        </w:numPr>
        <w:tabs>
          <w:tab w:val="clear" w:pos="1440"/>
          <w:tab w:val="num" w:pos="900"/>
        </w:tabs>
        <w:autoSpaceDE w:val="0"/>
        <w:autoSpaceDN w:val="0"/>
        <w:adjustRightInd w:val="0"/>
        <w:ind w:left="900" w:right="720"/>
        <w:rPr>
          <w:rFonts w:cs="Tahoma"/>
        </w:rPr>
      </w:pPr>
      <w:r w:rsidRPr="00A75DF9">
        <w:rPr>
          <w:rFonts w:eastAsia="Calibri" w:cs="Tahoma"/>
          <w:b/>
          <w:szCs w:val="18"/>
        </w:rPr>
        <w:t>Self-Serve CAL (CAL Base)</w:t>
      </w:r>
    </w:p>
    <w:p w:rsidR="00047874" w:rsidRPr="00A75DF9" w:rsidRDefault="00047874" w:rsidP="00346F4B">
      <w:pPr>
        <w:numPr>
          <w:ilvl w:val="1"/>
          <w:numId w:val="88"/>
        </w:numPr>
        <w:tabs>
          <w:tab w:val="left" w:pos="1260"/>
        </w:tabs>
        <w:autoSpaceDE w:val="0"/>
        <w:autoSpaceDN w:val="0"/>
        <w:adjustRightInd w:val="0"/>
        <w:ind w:left="1260" w:right="720" w:hanging="360"/>
        <w:rPr>
          <w:rFonts w:cs="Tahoma"/>
        </w:rPr>
      </w:pPr>
      <w:r w:rsidRPr="00A75DF9">
        <w:rPr>
          <w:rFonts w:eastAsia="Calibri" w:cs="Tahoma"/>
          <w:szCs w:val="18"/>
        </w:rPr>
        <w:t>creazione di note spese;</w:t>
      </w:r>
    </w:p>
    <w:p w:rsidR="00047874" w:rsidRPr="00A75DF9" w:rsidRDefault="00047874" w:rsidP="00346F4B">
      <w:pPr>
        <w:numPr>
          <w:ilvl w:val="1"/>
          <w:numId w:val="88"/>
        </w:numPr>
        <w:tabs>
          <w:tab w:val="left" w:pos="1260"/>
        </w:tabs>
        <w:autoSpaceDE w:val="0"/>
        <w:autoSpaceDN w:val="0"/>
        <w:adjustRightInd w:val="0"/>
        <w:ind w:left="1260" w:right="720" w:hanging="360"/>
        <w:rPr>
          <w:rFonts w:cs="Tahoma"/>
        </w:rPr>
      </w:pPr>
      <w:r w:rsidRPr="00A75DF9">
        <w:rPr>
          <w:rFonts w:eastAsia="Calibri" w:cs="Tahoma"/>
          <w:szCs w:val="18"/>
        </w:rPr>
        <w:t>gestione di dati personali, ad esempio le iscrizioni ai vantaggi;</w:t>
      </w:r>
    </w:p>
    <w:p w:rsidR="00047874" w:rsidRPr="00A75DF9" w:rsidRDefault="00047874" w:rsidP="00066697">
      <w:pPr>
        <w:numPr>
          <w:ilvl w:val="1"/>
          <w:numId w:val="88"/>
        </w:numPr>
        <w:tabs>
          <w:tab w:val="left" w:pos="1260"/>
        </w:tabs>
        <w:autoSpaceDE w:val="0"/>
        <w:autoSpaceDN w:val="0"/>
        <w:adjustRightInd w:val="0"/>
        <w:ind w:left="1260" w:right="720" w:hanging="360"/>
        <w:rPr>
          <w:rFonts w:cs="Tahoma"/>
        </w:rPr>
      </w:pPr>
      <w:r w:rsidRPr="00A75DF9">
        <w:rPr>
          <w:rFonts w:eastAsia="Calibri" w:cs="Tahoma"/>
          <w:szCs w:val="18"/>
        </w:rPr>
        <w:t>creazione di voci relative a orari e presenze, ad esempio registrazione delle ore di entrata e</w:t>
      </w:r>
      <w:r w:rsidR="00066697">
        <w:rPr>
          <w:rFonts w:eastAsia="Calibri" w:cs="Tahoma"/>
          <w:szCs w:val="18"/>
        </w:rPr>
        <w:t> </w:t>
      </w:r>
      <w:r w:rsidRPr="00A75DF9">
        <w:rPr>
          <w:rFonts w:eastAsia="Calibri" w:cs="Tahoma"/>
          <w:szCs w:val="18"/>
        </w:rPr>
        <w:t>di uscita;</w:t>
      </w:r>
    </w:p>
    <w:p w:rsidR="00047874" w:rsidRPr="00A75DF9" w:rsidRDefault="00047874" w:rsidP="00346F4B">
      <w:pPr>
        <w:numPr>
          <w:ilvl w:val="1"/>
          <w:numId w:val="88"/>
        </w:numPr>
        <w:tabs>
          <w:tab w:val="left" w:pos="1260"/>
        </w:tabs>
        <w:autoSpaceDE w:val="0"/>
        <w:autoSpaceDN w:val="0"/>
        <w:adjustRightInd w:val="0"/>
        <w:ind w:left="1260" w:right="720" w:hanging="360"/>
        <w:rPr>
          <w:rFonts w:cs="Tahoma"/>
        </w:rPr>
      </w:pPr>
      <w:r w:rsidRPr="00A75DF9">
        <w:rPr>
          <w:rFonts w:eastAsia="Calibri" w:cs="Tahoma"/>
          <w:szCs w:val="18"/>
        </w:rPr>
        <w:t>inserimento di richieste di servizio dei dipendenti;</w:t>
      </w:r>
    </w:p>
    <w:p w:rsidR="00047874" w:rsidRPr="00A75DF9" w:rsidRDefault="00047874" w:rsidP="00066697">
      <w:pPr>
        <w:numPr>
          <w:ilvl w:val="1"/>
          <w:numId w:val="88"/>
        </w:numPr>
        <w:tabs>
          <w:tab w:val="left" w:pos="1260"/>
        </w:tabs>
        <w:autoSpaceDE w:val="0"/>
        <w:autoSpaceDN w:val="0"/>
        <w:adjustRightInd w:val="0"/>
        <w:ind w:left="1260" w:right="720" w:hanging="360"/>
        <w:rPr>
          <w:rFonts w:cs="Tahoma"/>
        </w:rPr>
      </w:pPr>
      <w:r w:rsidRPr="00A75DF9">
        <w:rPr>
          <w:rFonts w:eastAsia="Calibri" w:cs="Tahoma"/>
          <w:szCs w:val="18"/>
        </w:rPr>
        <w:t>preparazione di richieste indirette di approvvigionamento di prodotti o servizi per l</w:t>
      </w:r>
      <w:r w:rsidR="00F2643E">
        <w:rPr>
          <w:rFonts w:eastAsia="Calibri" w:cs="Tahoma"/>
          <w:szCs w:val="18"/>
        </w:rPr>
        <w:t>’</w:t>
      </w:r>
      <w:r w:rsidRPr="00A75DF9">
        <w:rPr>
          <w:rFonts w:eastAsia="Calibri" w:cs="Tahoma"/>
          <w:szCs w:val="18"/>
        </w:rPr>
        <w:t>utente-dipendente, ad esempio viaggi, attrezzatura per l</w:t>
      </w:r>
      <w:r w:rsidR="00F2643E">
        <w:rPr>
          <w:rFonts w:eastAsia="Calibri" w:cs="Tahoma"/>
          <w:szCs w:val="18"/>
        </w:rPr>
        <w:t>’</w:t>
      </w:r>
      <w:r w:rsidRPr="00A75DF9">
        <w:rPr>
          <w:rFonts w:eastAsia="Calibri" w:cs="Tahoma"/>
          <w:szCs w:val="18"/>
        </w:rPr>
        <w:t>ufficio, cancelleria e/o e di richieste di</w:t>
      </w:r>
      <w:r w:rsidR="00066697">
        <w:rPr>
          <w:rFonts w:eastAsia="Calibri" w:cs="Tahoma"/>
          <w:szCs w:val="18"/>
        </w:rPr>
        <w:t> </w:t>
      </w:r>
      <w:r w:rsidRPr="00A75DF9">
        <w:rPr>
          <w:rFonts w:eastAsia="Calibri" w:cs="Tahoma"/>
          <w:szCs w:val="18"/>
        </w:rPr>
        <w:t>aggiunta o iscrizione di fornitori.</w:t>
      </w:r>
      <w:r w:rsidRPr="00A75DF9">
        <w:rPr>
          <w:rFonts w:eastAsia="Calibri" w:cs="Tahoma"/>
          <w:szCs w:val="18"/>
        </w:rPr>
        <w:br/>
      </w:r>
    </w:p>
    <w:p w:rsidR="00047874" w:rsidRPr="00A75DF9" w:rsidRDefault="00047874" w:rsidP="00346F4B">
      <w:pPr>
        <w:numPr>
          <w:ilvl w:val="0"/>
          <w:numId w:val="88"/>
        </w:numPr>
        <w:autoSpaceDE w:val="0"/>
        <w:autoSpaceDN w:val="0"/>
        <w:adjustRightInd w:val="0"/>
        <w:ind w:left="900" w:right="720"/>
        <w:rPr>
          <w:rFonts w:cs="Tahoma"/>
        </w:rPr>
      </w:pPr>
      <w:r w:rsidRPr="00A75DF9">
        <w:rPr>
          <w:rFonts w:eastAsia="Calibri" w:cs="Tahoma"/>
          <w:b/>
          <w:szCs w:val="18"/>
        </w:rPr>
        <w:t>Task CAL (Self-Serve CAL + Task Additive CAL)</w:t>
      </w:r>
    </w:p>
    <w:p w:rsidR="00B10F79" w:rsidRPr="00A75DF9" w:rsidRDefault="00B10F79" w:rsidP="00346F4B">
      <w:pPr>
        <w:numPr>
          <w:ilvl w:val="1"/>
          <w:numId w:val="88"/>
        </w:numPr>
        <w:ind w:left="1260" w:right="720" w:hanging="360"/>
        <w:rPr>
          <w:rFonts w:cs="Tahoma"/>
        </w:rPr>
      </w:pPr>
      <w:r w:rsidRPr="00A75DF9">
        <w:rPr>
          <w:rFonts w:eastAsia="Calibri" w:cs="Tahoma"/>
          <w:szCs w:val="18"/>
        </w:rPr>
        <w:t>inclusione dei diritti sull</w:t>
      </w:r>
      <w:r w:rsidR="00F2643E">
        <w:rPr>
          <w:rFonts w:eastAsia="Calibri" w:cs="Tahoma"/>
          <w:szCs w:val="18"/>
        </w:rPr>
        <w:t>’</w:t>
      </w:r>
      <w:r w:rsidRPr="00A75DF9">
        <w:rPr>
          <w:rFonts w:eastAsia="Calibri" w:cs="Tahoma"/>
          <w:szCs w:val="18"/>
        </w:rPr>
        <w:t>utilizzo di Self-Serve CAL</w:t>
      </w:r>
    </w:p>
    <w:p w:rsidR="00047874" w:rsidRPr="00A75DF9" w:rsidRDefault="00B10F79" w:rsidP="00346F4B">
      <w:pPr>
        <w:numPr>
          <w:ilvl w:val="1"/>
          <w:numId w:val="88"/>
        </w:numPr>
        <w:ind w:left="1260" w:right="720" w:hanging="360"/>
        <w:rPr>
          <w:rFonts w:cs="Tahoma"/>
        </w:rPr>
      </w:pPr>
      <w:r w:rsidRPr="00A75DF9">
        <w:rPr>
          <w:rFonts w:eastAsia="Calibri" w:cs="Tahoma"/>
          <w:szCs w:val="18"/>
        </w:rPr>
        <w:t>inserimento del tempo fatturabile;</w:t>
      </w:r>
    </w:p>
    <w:p w:rsidR="00047874" w:rsidRPr="00A75DF9" w:rsidRDefault="00B10F79" w:rsidP="00346F4B">
      <w:pPr>
        <w:numPr>
          <w:ilvl w:val="1"/>
          <w:numId w:val="88"/>
        </w:numPr>
        <w:ind w:left="1260" w:right="720" w:hanging="360"/>
        <w:rPr>
          <w:rFonts w:cs="Tahoma"/>
        </w:rPr>
      </w:pPr>
      <w:r w:rsidRPr="00A75DF9">
        <w:rPr>
          <w:rFonts w:eastAsia="Calibri" w:cs="Tahoma"/>
          <w:szCs w:val="18"/>
        </w:rPr>
        <w:t>inserimento delle spese fatturabili;</w:t>
      </w:r>
    </w:p>
    <w:p w:rsidR="00047874" w:rsidRPr="00A75DF9" w:rsidRDefault="00B10F79" w:rsidP="00346F4B">
      <w:pPr>
        <w:numPr>
          <w:ilvl w:val="1"/>
          <w:numId w:val="88"/>
        </w:numPr>
        <w:ind w:left="1260" w:right="720" w:hanging="360"/>
        <w:rPr>
          <w:rFonts w:cs="Tahoma"/>
        </w:rPr>
      </w:pPr>
      <w:r w:rsidRPr="00A75DF9">
        <w:rPr>
          <w:rFonts w:eastAsia="Calibri" w:cs="Tahoma"/>
          <w:szCs w:val="18"/>
        </w:rPr>
        <w:t>gestione delle revisioni annuali e delle prestazioni, della definizione degli obiettivi e delle competenze;</w:t>
      </w:r>
    </w:p>
    <w:p w:rsidR="00047874" w:rsidRPr="00A75DF9" w:rsidRDefault="00B10F79" w:rsidP="00346F4B">
      <w:pPr>
        <w:numPr>
          <w:ilvl w:val="1"/>
          <w:numId w:val="88"/>
        </w:numPr>
        <w:ind w:left="1260" w:right="720" w:hanging="360"/>
        <w:rPr>
          <w:rFonts w:cs="Tahoma"/>
        </w:rPr>
      </w:pPr>
      <w:r w:rsidRPr="00A75DF9">
        <w:rPr>
          <w:rFonts w:eastAsia="Calibri" w:cs="Tahoma"/>
          <w:szCs w:val="18"/>
        </w:rPr>
        <w:t>funzionamento di un dispositivo per punto di vendita al dettaglio;</w:t>
      </w:r>
    </w:p>
    <w:p w:rsidR="00047874" w:rsidRPr="00A75DF9" w:rsidRDefault="00B10F79" w:rsidP="00346F4B">
      <w:pPr>
        <w:numPr>
          <w:ilvl w:val="1"/>
          <w:numId w:val="88"/>
        </w:numPr>
        <w:ind w:left="1260" w:right="720" w:hanging="360"/>
        <w:rPr>
          <w:rFonts w:cs="Tahoma"/>
        </w:rPr>
      </w:pPr>
      <w:r w:rsidRPr="00A75DF9">
        <w:rPr>
          <w:rFonts w:eastAsia="Calibri" w:cs="Tahoma"/>
          <w:szCs w:val="18"/>
        </w:rPr>
        <w:t>approvazione di fatture relative all</w:t>
      </w:r>
      <w:r w:rsidR="00F2643E">
        <w:rPr>
          <w:rFonts w:eastAsia="Calibri" w:cs="Tahoma"/>
          <w:szCs w:val="18"/>
        </w:rPr>
        <w:t>’</w:t>
      </w:r>
      <w:r w:rsidRPr="00A75DF9">
        <w:rPr>
          <w:rFonts w:eastAsia="Calibri" w:cs="Tahoma"/>
          <w:szCs w:val="18"/>
        </w:rPr>
        <w:t>approvvigionamento indiretto e</w:t>
      </w:r>
    </w:p>
    <w:p w:rsidR="00047874" w:rsidRPr="00A75DF9" w:rsidRDefault="00047874" w:rsidP="00346F4B">
      <w:pPr>
        <w:numPr>
          <w:ilvl w:val="1"/>
          <w:numId w:val="88"/>
        </w:numPr>
        <w:ind w:left="1260" w:right="720" w:hanging="360"/>
        <w:rPr>
          <w:rFonts w:cs="Tahoma"/>
        </w:rPr>
      </w:pPr>
      <w:r w:rsidRPr="00A75DF9">
        <w:rPr>
          <w:rFonts w:eastAsia="Calibri" w:cs="Tahoma"/>
          <w:szCs w:val="18"/>
        </w:rPr>
        <w:t>gli utenti in possesso di Task CAL non possono eseguire le approvazioni del flusso di lavoro.</w:t>
      </w:r>
      <w:r w:rsidRPr="00A75DF9">
        <w:rPr>
          <w:rFonts w:cs="Tahoma"/>
          <w:szCs w:val="18"/>
        </w:rPr>
        <w:t xml:space="preserve"> </w:t>
      </w:r>
    </w:p>
    <w:p w:rsidR="00047874" w:rsidRPr="00A75DF9" w:rsidRDefault="00047874" w:rsidP="00944DAD">
      <w:pPr>
        <w:autoSpaceDE w:val="0"/>
        <w:autoSpaceDN w:val="0"/>
        <w:adjustRightInd w:val="0"/>
        <w:ind w:left="1260" w:right="720"/>
        <w:rPr>
          <w:rFonts w:cs="Tahoma"/>
        </w:rPr>
      </w:pPr>
    </w:p>
    <w:p w:rsidR="00047874" w:rsidRPr="00A75DF9" w:rsidRDefault="00047874" w:rsidP="00346F4B">
      <w:pPr>
        <w:numPr>
          <w:ilvl w:val="0"/>
          <w:numId w:val="88"/>
        </w:numPr>
        <w:ind w:left="900" w:right="720"/>
        <w:rPr>
          <w:rFonts w:cs="Tahoma"/>
        </w:rPr>
      </w:pPr>
      <w:r w:rsidRPr="00A75DF9">
        <w:rPr>
          <w:rFonts w:eastAsia="Calibri" w:cs="Tahoma"/>
          <w:b/>
          <w:szCs w:val="18"/>
        </w:rPr>
        <w:t>Functional CAL (Task CAL + Functional Additive CAL)</w:t>
      </w:r>
    </w:p>
    <w:p w:rsidR="00B10F79" w:rsidRPr="00A75DF9" w:rsidRDefault="00B10F79" w:rsidP="00346F4B">
      <w:pPr>
        <w:numPr>
          <w:ilvl w:val="1"/>
          <w:numId w:val="88"/>
        </w:numPr>
        <w:ind w:left="1260" w:right="720" w:hanging="360"/>
        <w:rPr>
          <w:rFonts w:cs="Tahoma"/>
        </w:rPr>
      </w:pPr>
      <w:r w:rsidRPr="00A75DF9">
        <w:rPr>
          <w:rFonts w:eastAsia="Calibri" w:cs="Tahoma"/>
          <w:szCs w:val="18"/>
        </w:rPr>
        <w:t>inclusione dei diritti sull</w:t>
      </w:r>
      <w:r w:rsidR="00F2643E">
        <w:rPr>
          <w:rFonts w:eastAsia="Calibri" w:cs="Tahoma"/>
          <w:szCs w:val="18"/>
        </w:rPr>
        <w:t>’</w:t>
      </w:r>
      <w:r w:rsidRPr="00A75DF9">
        <w:rPr>
          <w:rFonts w:eastAsia="Calibri" w:cs="Tahoma"/>
          <w:szCs w:val="18"/>
        </w:rPr>
        <w:t>utilizzo di Task CAL</w:t>
      </w:r>
    </w:p>
    <w:p w:rsidR="00047874" w:rsidRPr="00A75DF9" w:rsidRDefault="00B10F79" w:rsidP="00346F4B">
      <w:pPr>
        <w:numPr>
          <w:ilvl w:val="1"/>
          <w:numId w:val="88"/>
        </w:numPr>
        <w:ind w:left="1260" w:right="720" w:hanging="360"/>
        <w:rPr>
          <w:rFonts w:cs="Tahoma"/>
        </w:rPr>
      </w:pPr>
      <w:r w:rsidRPr="00A75DF9">
        <w:rPr>
          <w:rFonts w:eastAsia="Calibri" w:cs="Tahoma"/>
          <w:szCs w:val="18"/>
        </w:rPr>
        <w:t>gestione di uno Shop Floor in un ciclo di produzione o fabbricazione;</w:t>
      </w:r>
    </w:p>
    <w:p w:rsidR="00047874" w:rsidRPr="00A75DF9" w:rsidRDefault="00B10F79" w:rsidP="00346F4B">
      <w:pPr>
        <w:numPr>
          <w:ilvl w:val="1"/>
          <w:numId w:val="88"/>
        </w:numPr>
        <w:ind w:left="1260" w:right="720" w:hanging="360"/>
        <w:rPr>
          <w:rFonts w:cs="Tahoma"/>
        </w:rPr>
      </w:pPr>
      <w:r w:rsidRPr="00A75DF9">
        <w:rPr>
          <w:rFonts w:eastAsia="Calibri" w:cs="Tahoma"/>
          <w:szCs w:val="18"/>
        </w:rPr>
        <w:t>gestione di progetti e risorse;</w:t>
      </w:r>
    </w:p>
    <w:p w:rsidR="00047874" w:rsidRPr="00A75DF9" w:rsidRDefault="00B10F79" w:rsidP="00346F4B">
      <w:pPr>
        <w:numPr>
          <w:ilvl w:val="1"/>
          <w:numId w:val="88"/>
        </w:numPr>
        <w:ind w:left="1260" w:right="720" w:hanging="360"/>
        <w:rPr>
          <w:rFonts w:cs="Tahoma"/>
        </w:rPr>
      </w:pPr>
      <w:r w:rsidRPr="00A75DF9">
        <w:rPr>
          <w:rFonts w:eastAsia="Calibri" w:cs="Tahoma"/>
          <w:szCs w:val="18"/>
        </w:rPr>
        <w:t>gestione di cicli di risorse umane;</w:t>
      </w:r>
    </w:p>
    <w:p w:rsidR="00047874" w:rsidRPr="00A75DF9" w:rsidRDefault="00B10F79" w:rsidP="00346F4B">
      <w:pPr>
        <w:numPr>
          <w:ilvl w:val="1"/>
          <w:numId w:val="88"/>
        </w:numPr>
        <w:ind w:left="1260" w:right="720" w:hanging="360"/>
        <w:rPr>
          <w:rFonts w:cs="Tahoma"/>
        </w:rPr>
      </w:pPr>
      <w:r w:rsidRPr="00A75DF9">
        <w:rPr>
          <w:rFonts w:eastAsia="Calibri" w:cs="Tahoma"/>
          <w:szCs w:val="18"/>
        </w:rPr>
        <w:t>gestione di trasferimenti di budget e richieste organizzative;</w:t>
      </w:r>
    </w:p>
    <w:p w:rsidR="00047874" w:rsidRPr="00A75DF9" w:rsidRDefault="00B10F79" w:rsidP="00346F4B">
      <w:pPr>
        <w:numPr>
          <w:ilvl w:val="1"/>
          <w:numId w:val="88"/>
        </w:numPr>
        <w:ind w:left="1260" w:right="720" w:hanging="360"/>
        <w:rPr>
          <w:rFonts w:cs="Tahoma"/>
        </w:rPr>
      </w:pPr>
      <w:r w:rsidRPr="00A75DF9">
        <w:rPr>
          <w:rFonts w:eastAsia="Calibri" w:cs="Tahoma"/>
          <w:szCs w:val="18"/>
        </w:rPr>
        <w:t>creazione di record di dati master per candidati o impiegati;</w:t>
      </w:r>
    </w:p>
    <w:p w:rsidR="00047874" w:rsidRPr="00A75DF9" w:rsidRDefault="00B10F79" w:rsidP="00346F4B">
      <w:pPr>
        <w:numPr>
          <w:ilvl w:val="1"/>
          <w:numId w:val="88"/>
        </w:numPr>
        <w:ind w:left="1260" w:right="720" w:hanging="360"/>
        <w:rPr>
          <w:rFonts w:cs="Tahoma"/>
        </w:rPr>
      </w:pPr>
      <w:r w:rsidRPr="00A75DF9">
        <w:rPr>
          <w:rFonts w:eastAsia="Calibri" w:cs="Tahoma"/>
          <w:szCs w:val="18"/>
        </w:rPr>
        <w:t xml:space="preserve">creazione di richieste di copertura di mansioni o posizioni; </w:t>
      </w:r>
    </w:p>
    <w:p w:rsidR="00047874" w:rsidRPr="00A75DF9" w:rsidRDefault="00B10F79" w:rsidP="00346F4B">
      <w:pPr>
        <w:numPr>
          <w:ilvl w:val="1"/>
          <w:numId w:val="88"/>
        </w:numPr>
        <w:ind w:left="1260" w:right="720" w:hanging="360"/>
        <w:rPr>
          <w:rFonts w:cs="Tahoma"/>
        </w:rPr>
      </w:pPr>
      <w:r w:rsidRPr="00A75DF9">
        <w:rPr>
          <w:rFonts w:eastAsia="Calibri" w:cs="Tahoma"/>
          <w:szCs w:val="18"/>
        </w:rPr>
        <w:t xml:space="preserve">escalation o richiesta di approvazioni di fatture relative a clienti; </w:t>
      </w:r>
    </w:p>
    <w:p w:rsidR="00047874" w:rsidRPr="00A75DF9" w:rsidRDefault="00B10F79" w:rsidP="00346F4B">
      <w:pPr>
        <w:numPr>
          <w:ilvl w:val="1"/>
          <w:numId w:val="88"/>
        </w:numPr>
        <w:ind w:left="1260" w:right="720" w:hanging="360"/>
        <w:rPr>
          <w:rFonts w:cs="Tahoma"/>
        </w:rPr>
      </w:pPr>
      <w:r w:rsidRPr="00A75DF9">
        <w:rPr>
          <w:rFonts w:eastAsia="Calibri" w:cs="Tahoma"/>
          <w:szCs w:val="18"/>
        </w:rPr>
        <w:t>approvazione di fatture fornitori o giustificativi per servizi resi;</w:t>
      </w:r>
    </w:p>
    <w:p w:rsidR="00047874" w:rsidRPr="00A75DF9" w:rsidRDefault="00B10F79" w:rsidP="00066697">
      <w:pPr>
        <w:numPr>
          <w:ilvl w:val="1"/>
          <w:numId w:val="88"/>
        </w:numPr>
        <w:ind w:left="1260" w:right="720" w:hanging="360"/>
        <w:rPr>
          <w:rFonts w:cs="Tahoma"/>
        </w:rPr>
      </w:pPr>
      <w:r w:rsidRPr="00A75DF9">
        <w:rPr>
          <w:rFonts w:eastAsia="Calibri" w:cs="Tahoma"/>
          <w:szCs w:val="18"/>
        </w:rPr>
        <w:t>creazione e gestione di record di dati master relativi a società, fornitori, inventario o</w:t>
      </w:r>
      <w:r w:rsidR="00066697">
        <w:rPr>
          <w:rFonts w:eastAsia="Calibri" w:cs="Tahoma"/>
          <w:szCs w:val="18"/>
        </w:rPr>
        <w:t> </w:t>
      </w:r>
      <w:r w:rsidRPr="00A75DF9">
        <w:rPr>
          <w:rFonts w:eastAsia="Calibri" w:cs="Tahoma"/>
          <w:szCs w:val="18"/>
        </w:rPr>
        <w:t>cataloghi di prodotti e/o</w:t>
      </w:r>
    </w:p>
    <w:p w:rsidR="00047874" w:rsidRPr="00A75DF9" w:rsidRDefault="00B10F79" w:rsidP="00346F4B">
      <w:pPr>
        <w:numPr>
          <w:ilvl w:val="1"/>
          <w:numId w:val="88"/>
        </w:numPr>
        <w:ind w:left="1260" w:right="720" w:hanging="360"/>
        <w:rPr>
          <w:rFonts w:cs="Tahoma"/>
        </w:rPr>
      </w:pPr>
      <w:r w:rsidRPr="00A75DF9">
        <w:rPr>
          <w:rFonts w:eastAsia="Calibri" w:cs="Tahoma"/>
          <w:szCs w:val="18"/>
        </w:rPr>
        <w:t>approvazione di richieste di utenti in possesso di Self-Serve CAL o Task CAL.</w:t>
      </w:r>
    </w:p>
    <w:p w:rsidR="00047874" w:rsidRPr="00A75DF9" w:rsidRDefault="00047874" w:rsidP="00B20F02">
      <w:pPr>
        <w:autoSpaceDE w:val="0"/>
        <w:autoSpaceDN w:val="0"/>
        <w:adjustRightInd w:val="0"/>
        <w:ind w:left="1260" w:right="720" w:hanging="360"/>
        <w:rPr>
          <w:rFonts w:cs="Tahoma"/>
        </w:rPr>
      </w:pPr>
    </w:p>
    <w:p w:rsidR="00047874" w:rsidRPr="00A75DF9" w:rsidRDefault="00047874" w:rsidP="00346F4B">
      <w:pPr>
        <w:numPr>
          <w:ilvl w:val="0"/>
          <w:numId w:val="88"/>
        </w:numPr>
        <w:ind w:left="900" w:right="720"/>
        <w:rPr>
          <w:rFonts w:cs="Tahoma"/>
        </w:rPr>
      </w:pPr>
      <w:r w:rsidRPr="00A75DF9">
        <w:rPr>
          <w:rFonts w:eastAsia="Calibri" w:cs="Tahoma"/>
          <w:b/>
          <w:szCs w:val="18"/>
        </w:rPr>
        <w:t>Enterprise CAL (Functional CAL + Enterprise Additive CAL)</w:t>
      </w:r>
    </w:p>
    <w:p w:rsidR="00047874" w:rsidRPr="00A75DF9" w:rsidRDefault="00047874" w:rsidP="00346F4B">
      <w:pPr>
        <w:numPr>
          <w:ilvl w:val="1"/>
          <w:numId w:val="88"/>
        </w:numPr>
        <w:ind w:left="1260" w:right="720" w:hanging="360"/>
        <w:rPr>
          <w:rFonts w:cs="Tahoma"/>
        </w:rPr>
      </w:pPr>
      <w:r w:rsidRPr="00A75DF9">
        <w:rPr>
          <w:rFonts w:eastAsia="Calibri" w:cs="Tahoma"/>
          <w:szCs w:val="18"/>
        </w:rPr>
        <w:t>Diritti di Utilizzo Completo</w:t>
      </w:r>
    </w:p>
    <w:p w:rsidR="00047874" w:rsidRPr="00A75DF9" w:rsidRDefault="00047874" w:rsidP="00944DAD">
      <w:pPr>
        <w:autoSpaceDE w:val="0"/>
        <w:autoSpaceDN w:val="0"/>
        <w:adjustRightInd w:val="0"/>
        <w:ind w:left="900" w:right="720"/>
        <w:rPr>
          <w:rFonts w:cs="Tahoma"/>
        </w:rPr>
      </w:pPr>
    </w:p>
    <w:p w:rsidR="00047874" w:rsidRPr="00A75DF9" w:rsidRDefault="00047874" w:rsidP="00066697">
      <w:pPr>
        <w:autoSpaceDE w:val="0"/>
        <w:autoSpaceDN w:val="0"/>
        <w:adjustRightInd w:val="0"/>
        <w:ind w:left="720" w:right="720"/>
        <w:rPr>
          <w:rFonts w:cs="Tahoma"/>
        </w:rPr>
      </w:pPr>
      <w:r w:rsidRPr="00A75DF9">
        <w:rPr>
          <w:rFonts w:eastAsia="Calibri" w:cs="Tahoma"/>
          <w:szCs w:val="18"/>
        </w:rPr>
        <w:t>Per una maggiore granularità e comprensione delle licenze CAL richieste fare riferimento alla</w:t>
      </w:r>
      <w:r w:rsidR="00066697">
        <w:rPr>
          <w:rFonts w:eastAsia="Calibri" w:cs="Tahoma"/>
          <w:szCs w:val="18"/>
        </w:rPr>
        <w:t> </w:t>
      </w:r>
      <w:r w:rsidRPr="00A75DF9">
        <w:rPr>
          <w:rFonts w:eastAsia="Calibri" w:cs="Tahoma"/>
          <w:szCs w:val="18"/>
        </w:rPr>
        <w:t xml:space="preserve">pagina </w:t>
      </w:r>
      <w:r w:rsidR="00066697" w:rsidRPr="00E431D1">
        <w:rPr>
          <w:rFonts w:eastAsia="Calibri" w:cs="Tahoma"/>
          <w:szCs w:val="18"/>
          <w:lang w:eastAsia="x-none"/>
        </w:rPr>
        <w:t>http://www.microsoft.com/en-us/dynamics/erp-buy-ax-software.aspx</w:t>
      </w:r>
      <w:r w:rsidRPr="00A75DF9">
        <w:rPr>
          <w:rFonts w:eastAsia="Calibri" w:cs="Tahoma"/>
          <w:szCs w:val="18"/>
        </w:rPr>
        <w:t>.</w:t>
      </w:r>
    </w:p>
    <w:p w:rsidR="00A6185F" w:rsidRPr="00A75DF9" w:rsidRDefault="00A6185F" w:rsidP="00A6185F">
      <w:pPr>
        <w:ind w:left="720" w:hanging="180"/>
        <w:rPr>
          <w:rFonts w:cs="Tahoma"/>
        </w:rPr>
      </w:pPr>
    </w:p>
    <w:p w:rsidR="00A6185F" w:rsidRPr="00A75DF9" w:rsidRDefault="00A6185F" w:rsidP="00C066F9">
      <w:pPr>
        <w:spacing w:after="60"/>
        <w:ind w:left="734" w:hanging="194"/>
        <w:rPr>
          <w:rFonts w:cs="Tahoma"/>
        </w:rPr>
      </w:pPr>
      <w:r w:rsidRPr="00A75DF9">
        <w:rPr>
          <w:rFonts w:cs="Tahoma"/>
          <w:b/>
          <w:bCs/>
        </w:rPr>
        <w:t>Condizioni di Licenza Supplementari</w:t>
      </w:r>
    </w:p>
    <w:p w:rsidR="00A6185F" w:rsidRPr="00A75DF9" w:rsidRDefault="00A6185F" w:rsidP="00066697">
      <w:pPr>
        <w:pStyle w:val="PURBody-Indented"/>
        <w:spacing w:after="0"/>
        <w:ind w:left="547"/>
        <w:rPr>
          <w:rFonts w:ascii="Tahoma" w:hAnsi="Tahoma" w:cs="Tahoma"/>
        </w:rPr>
      </w:pPr>
      <w:r w:rsidRPr="00A75DF9">
        <w:rPr>
          <w:rFonts w:ascii="Tahoma" w:eastAsia="Calibri" w:hAnsi="Tahoma" w:cs="Tahoma"/>
          <w:sz w:val="18"/>
          <w:szCs w:val="18"/>
        </w:rPr>
        <w:t>L</w:t>
      </w:r>
      <w:r w:rsidR="00F2643E">
        <w:rPr>
          <w:rFonts w:ascii="Tahoma" w:eastAsia="Calibri" w:hAnsi="Tahoma" w:cs="Tahoma"/>
          <w:sz w:val="18"/>
          <w:szCs w:val="18"/>
        </w:rPr>
        <w:t>’</w:t>
      </w:r>
      <w:r w:rsidRPr="00A75DF9">
        <w:rPr>
          <w:rFonts w:ascii="Tahoma" w:eastAsia="Calibri" w:hAnsi="Tahoma" w:cs="Tahoma"/>
          <w:sz w:val="18"/>
          <w:szCs w:val="18"/>
        </w:rPr>
        <w:t xml:space="preserve">utilizzo da parte della società di Componenti e-Commerce, Componenti Point of Sale e aggiornamenti e supplementi simili per Microsoft Dynamics AX 2012 R2 è disciplinato dalle Condizioni di Licenza Supplementari disponibili al seguente indirizzo: </w:t>
      </w:r>
      <w:hyperlink r:id="rId51" w:history="1">
        <w:r w:rsidR="00066697" w:rsidRPr="00973A93">
          <w:rPr>
            <w:rFonts w:ascii="Tahoma" w:eastAsia="Calibri" w:hAnsi="Tahoma" w:cs="Tahoma"/>
            <w:sz w:val="18"/>
            <w:szCs w:val="18"/>
          </w:rPr>
          <w:t>http://www.microsoft.com/en-us/dynamics/erp-buy-ax-software.aspx</w:t>
        </w:r>
      </w:hyperlink>
      <w:r w:rsidRPr="00A75DF9">
        <w:rPr>
          <w:rFonts w:ascii="Tahoma" w:eastAsia="Calibri" w:hAnsi="Tahoma" w:cs="Tahoma"/>
          <w:sz w:val="18"/>
          <w:szCs w:val="18"/>
        </w:rPr>
        <w:t>.</w:t>
      </w:r>
    </w:p>
    <w:p w:rsidR="0085774C" w:rsidRPr="00066697" w:rsidRDefault="0085774C" w:rsidP="00C066F9">
      <w:pPr>
        <w:pStyle w:val="PURBody-Indented"/>
        <w:spacing w:after="0"/>
        <w:ind w:left="547"/>
        <w:rPr>
          <w:rFonts w:ascii="Tahoma" w:hAnsi="Tahoma" w:cs="Tahoma"/>
          <w:sz w:val="18"/>
          <w:szCs w:val="18"/>
        </w:rPr>
      </w:pPr>
    </w:p>
    <w:p w:rsidR="0085774C" w:rsidRPr="00066697" w:rsidRDefault="0085774C" w:rsidP="00C066F9">
      <w:pPr>
        <w:pStyle w:val="PURBody-Indented"/>
        <w:spacing w:after="0"/>
        <w:ind w:left="547"/>
        <w:rPr>
          <w:rFonts w:ascii="Tahoma" w:hAnsi="Tahoma" w:cs="Tahoma"/>
          <w:sz w:val="18"/>
          <w:szCs w:val="18"/>
        </w:rPr>
      </w:pPr>
    </w:p>
    <w:p w:rsidR="000F4095" w:rsidRPr="00A75DF9" w:rsidRDefault="000F4095" w:rsidP="000F4095">
      <w:pPr>
        <w:pStyle w:val="Heading3"/>
        <w:keepNext/>
        <w:rPr>
          <w:rFonts w:ascii="Tahoma" w:hAnsi="Tahoma" w:cs="Tahoma"/>
        </w:rPr>
      </w:pPr>
      <w:bookmarkStart w:id="1356" w:name="_72_Microsoft_Dynamics_1"/>
      <w:bookmarkStart w:id="1357" w:name="_Toc357763716"/>
      <w:bookmarkStart w:id="1358" w:name="_Toc368310322"/>
      <w:bookmarkEnd w:id="1356"/>
      <w:r w:rsidRPr="00A75DF9">
        <w:rPr>
          <w:rFonts w:ascii="Tahoma" w:hAnsi="Tahoma" w:cs="Tahoma"/>
          <w:color w:val="F66400"/>
          <w:sz w:val="22"/>
          <w:vertAlign w:val="superscript"/>
        </w:rPr>
        <w:t>72</w:t>
      </w:r>
      <w:r w:rsidRPr="00A75DF9">
        <w:rPr>
          <w:rFonts w:ascii="Tahoma" w:hAnsi="Tahoma" w:cs="Tahoma"/>
          <w:color w:val="F66400"/>
          <w:sz w:val="22"/>
        </w:rPr>
        <w:t xml:space="preserve"> Microsoft Dynamics CRM 201</w:t>
      </w:r>
      <w:bookmarkEnd w:id="1357"/>
      <w:r w:rsidRPr="00A75DF9">
        <w:rPr>
          <w:rFonts w:ascii="Tahoma" w:hAnsi="Tahoma" w:cs="Tahoma"/>
          <w:color w:val="F66400"/>
          <w:sz w:val="22"/>
        </w:rPr>
        <w:t>3</w:t>
      </w:r>
      <w:bookmarkEnd w:id="1358"/>
    </w:p>
    <w:p w:rsidR="000F4095" w:rsidRPr="00A75DF9" w:rsidRDefault="000F4095" w:rsidP="000F4095">
      <w:pPr>
        <w:keepNext/>
        <w:rPr>
          <w:rFonts w:cs="Tahoma"/>
        </w:rPr>
      </w:pPr>
    </w:p>
    <w:p w:rsidR="002948B7" w:rsidRPr="00A75DF9" w:rsidRDefault="002948B7" w:rsidP="00AC6943">
      <w:pPr>
        <w:spacing w:after="60"/>
        <w:ind w:left="720"/>
        <w:rPr>
          <w:rFonts w:cs="Tahoma"/>
        </w:rPr>
      </w:pPr>
      <w:r w:rsidRPr="00A75DF9">
        <w:rPr>
          <w:rFonts w:cs="Tahoma"/>
          <w:b/>
          <w:bCs/>
          <w:color w:val="000000" w:themeColor="text1"/>
          <w:szCs w:val="18"/>
        </w:rPr>
        <w:t>Comunicazione di Disponibilità e Diritti sull</w:t>
      </w:r>
      <w:r w:rsidR="00F2643E">
        <w:rPr>
          <w:rFonts w:cs="Tahoma"/>
          <w:b/>
          <w:bCs/>
          <w:color w:val="000000" w:themeColor="text1"/>
          <w:szCs w:val="18"/>
        </w:rPr>
        <w:t>’</w:t>
      </w:r>
      <w:r w:rsidRPr="00A75DF9">
        <w:rPr>
          <w:rFonts w:cs="Tahoma"/>
          <w:b/>
          <w:bCs/>
          <w:color w:val="000000" w:themeColor="text1"/>
          <w:szCs w:val="18"/>
        </w:rPr>
        <w:t>Utilizzo della Versione Provvisoria</w:t>
      </w:r>
    </w:p>
    <w:p w:rsidR="002948B7" w:rsidRPr="00A75DF9" w:rsidRDefault="002948B7" w:rsidP="00A70443">
      <w:pPr>
        <w:ind w:left="720"/>
        <w:rPr>
          <w:rFonts w:cs="Tahoma"/>
        </w:rPr>
      </w:pPr>
      <w:r w:rsidRPr="00A75DF9">
        <w:rPr>
          <w:rFonts w:cs="Tahoma"/>
          <w:color w:val="000000" w:themeColor="text1"/>
          <w:szCs w:val="18"/>
        </w:rPr>
        <w:t>Microsoft Dynamics CRM 2013 sarà disponibile per il download sul sito Volume Licensing Service Center il prossimo ottobre/novembre 2013. Le società nuove ed esistenti in possesso di licenze valide per Microsoft Dynamics CRM Server 2013 e Microsoft Dynamics CRM Workgroup Server 2013 potranno scaricare e</w:t>
      </w:r>
      <w:r w:rsidR="00A70443">
        <w:rPr>
          <w:rFonts w:cs="Tahoma"/>
          <w:color w:val="000000" w:themeColor="text1"/>
          <w:szCs w:val="18"/>
        </w:rPr>
        <w:t> </w:t>
      </w:r>
      <w:r w:rsidRPr="00A75DF9">
        <w:rPr>
          <w:rFonts w:cs="Tahoma"/>
          <w:color w:val="000000" w:themeColor="text1"/>
          <w:szCs w:val="18"/>
        </w:rPr>
        <w:t>utilizzare rispettivamente Microsoft Dynamics CRM Server 2011 e Microsoft Dynamics CRM Workgroup Server 2011 ai sensi dei relativi diritti di utilizzo delle versioni precedenti.</w:t>
      </w:r>
    </w:p>
    <w:p w:rsidR="000F4095" w:rsidRPr="00A75DF9" w:rsidRDefault="000F4095" w:rsidP="000F4095">
      <w:pPr>
        <w:keepNext/>
        <w:spacing w:after="60"/>
        <w:ind w:left="720"/>
        <w:rPr>
          <w:rFonts w:cs="Tahoma"/>
        </w:rPr>
      </w:pPr>
      <w:r w:rsidRPr="00A75DF9">
        <w:rPr>
          <w:rFonts w:cs="Tahoma"/>
          <w:b/>
          <w:bCs/>
          <w:color w:val="000000"/>
          <w:szCs w:val="20"/>
        </w:rPr>
        <w:lastRenderedPageBreak/>
        <w:t>Percorso di Migrazione di Software Assurance per Microsoft Dynamics CRM 2013</w:t>
      </w:r>
    </w:p>
    <w:p w:rsidR="000F4095" w:rsidRPr="00A75DF9" w:rsidRDefault="000F4095" w:rsidP="000F4095">
      <w:pPr>
        <w:ind w:left="720"/>
        <w:rPr>
          <w:rFonts w:cs="Tahoma"/>
        </w:rPr>
      </w:pPr>
      <w:r w:rsidRPr="00A75DF9">
        <w:rPr>
          <w:rFonts w:cs="Tahoma"/>
          <w:color w:val="000000"/>
          <w:szCs w:val="20"/>
        </w:rPr>
        <w:t>Le società che hanno acquistato le licenze per Microsoft Dynamics CRM 2013 e dispongono di una copertura Software Assurance attiva per tali licenze in data 1 ottobre 2013 o successiva potranno effettuare l</w:t>
      </w:r>
      <w:r w:rsidR="00F2643E">
        <w:rPr>
          <w:rFonts w:cs="Tahoma"/>
          <w:color w:val="000000"/>
          <w:szCs w:val="20"/>
        </w:rPr>
        <w:t>’</w:t>
      </w:r>
      <w:r w:rsidRPr="00A75DF9">
        <w:rPr>
          <w:rFonts w:cs="Tahoma"/>
          <w:color w:val="000000"/>
          <w:szCs w:val="20"/>
        </w:rPr>
        <w:t>aggiornamento di tali licenze, come indicato di seguito:</w:t>
      </w:r>
    </w:p>
    <w:p w:rsidR="000F4095" w:rsidRPr="00CC1E5B" w:rsidRDefault="000F4095" w:rsidP="000F4095">
      <w:pPr>
        <w:rPr>
          <w:rFonts w:cs="Tahoma"/>
          <w:sz w:val="16"/>
          <w:szCs w:val="16"/>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4000"/>
        <w:gridCol w:w="4460"/>
      </w:tblGrid>
      <w:tr w:rsidR="000F4095" w:rsidRPr="00A75DF9" w:rsidTr="00CC1E5B">
        <w:trPr>
          <w:tblHeader/>
        </w:trPr>
        <w:tc>
          <w:tcPr>
            <w:tcW w:w="4000" w:type="dxa"/>
            <w:tcBorders>
              <w:top w:val="single" w:sz="4" w:space="0" w:color="000000"/>
              <w:bottom w:val="single" w:sz="6" w:space="0" w:color="000000"/>
            </w:tcBorders>
            <w:shd w:val="clear" w:color="auto" w:fill="FABF8F"/>
          </w:tcPr>
          <w:p w:rsidR="000F4095" w:rsidRPr="00A75DF9" w:rsidRDefault="000F4095" w:rsidP="00A70443">
            <w:pPr>
              <w:jc w:val="center"/>
              <w:rPr>
                <w:rFonts w:cs="Tahoma"/>
                <w:b/>
                <w:color w:val="000000"/>
                <w:szCs w:val="20"/>
              </w:rPr>
            </w:pPr>
            <w:r w:rsidRPr="00A75DF9">
              <w:rPr>
                <w:rFonts w:cs="Tahoma"/>
                <w:b/>
                <w:color w:val="000000"/>
                <w:szCs w:val="20"/>
              </w:rPr>
              <w:t>Licenze Qualificanti per Microsoft Dynamics</w:t>
            </w:r>
            <w:r w:rsidR="00A70443">
              <w:rPr>
                <w:rFonts w:cs="Tahoma"/>
                <w:b/>
                <w:color w:val="000000"/>
                <w:szCs w:val="20"/>
              </w:rPr>
              <w:t> </w:t>
            </w:r>
            <w:r w:rsidRPr="00A75DF9">
              <w:rPr>
                <w:rFonts w:cs="Tahoma"/>
                <w:b/>
                <w:color w:val="000000"/>
                <w:szCs w:val="20"/>
              </w:rPr>
              <w:t>CRM 2011</w:t>
            </w:r>
          </w:p>
        </w:tc>
        <w:tc>
          <w:tcPr>
            <w:tcW w:w="4460" w:type="dxa"/>
            <w:tcBorders>
              <w:top w:val="single" w:sz="4" w:space="0" w:color="000000"/>
              <w:bottom w:val="single" w:sz="6" w:space="0" w:color="000000"/>
            </w:tcBorders>
            <w:shd w:val="clear" w:color="auto" w:fill="FABF8F"/>
          </w:tcPr>
          <w:p w:rsidR="000F4095" w:rsidRPr="00A75DF9" w:rsidRDefault="000F4095" w:rsidP="00343766">
            <w:pPr>
              <w:jc w:val="center"/>
              <w:rPr>
                <w:rFonts w:cs="Tahoma"/>
                <w:b/>
                <w:color w:val="000000"/>
                <w:szCs w:val="20"/>
              </w:rPr>
            </w:pPr>
            <w:r w:rsidRPr="00A75DF9">
              <w:rPr>
                <w:rFonts w:cs="Tahoma"/>
                <w:b/>
                <w:color w:val="000000"/>
                <w:szCs w:val="20"/>
              </w:rPr>
              <w:t>Licenze Corrispondenti per CRM 2013</w:t>
            </w:r>
          </w:p>
        </w:tc>
      </w:tr>
      <w:tr w:rsidR="000F4095" w:rsidRPr="00A75DF9" w:rsidTr="00CC1E5B">
        <w:tc>
          <w:tcPr>
            <w:tcW w:w="4000" w:type="dxa"/>
            <w:tcBorders>
              <w:top w:val="single" w:sz="6" w:space="0" w:color="000000"/>
            </w:tcBorders>
            <w:shd w:val="clear" w:color="auto" w:fill="FFFFFF"/>
          </w:tcPr>
          <w:p w:rsidR="000F4095" w:rsidRPr="00A75DF9" w:rsidRDefault="000F4095" w:rsidP="00343766">
            <w:pPr>
              <w:rPr>
                <w:rFonts w:cs="Tahoma"/>
                <w:color w:val="000000"/>
                <w:szCs w:val="20"/>
              </w:rPr>
            </w:pPr>
            <w:r w:rsidRPr="00A75DF9">
              <w:rPr>
                <w:rFonts w:cs="Tahoma"/>
                <w:color w:val="000000"/>
                <w:szCs w:val="20"/>
              </w:rPr>
              <w:t>1 Microsoft Dynamics CRM 2011 Server</w:t>
            </w:r>
          </w:p>
        </w:tc>
        <w:tc>
          <w:tcPr>
            <w:tcW w:w="4460" w:type="dxa"/>
            <w:tcBorders>
              <w:top w:val="single" w:sz="6" w:space="0" w:color="000000"/>
            </w:tcBorders>
            <w:shd w:val="clear" w:color="auto" w:fill="FFFFFF"/>
          </w:tcPr>
          <w:p w:rsidR="000F4095" w:rsidRPr="00A75DF9" w:rsidRDefault="000F4095" w:rsidP="00343766">
            <w:pPr>
              <w:rPr>
                <w:rFonts w:cs="Tahoma"/>
                <w:color w:val="000000"/>
                <w:szCs w:val="20"/>
              </w:rPr>
            </w:pPr>
            <w:r w:rsidRPr="00A75DF9">
              <w:rPr>
                <w:rFonts w:cs="Tahoma"/>
                <w:color w:val="000000"/>
                <w:szCs w:val="20"/>
              </w:rPr>
              <w:t>1 Microsoft Dynamics CRM Server 2013</w:t>
            </w:r>
          </w:p>
        </w:tc>
      </w:tr>
      <w:tr w:rsidR="000F4095" w:rsidRPr="00A75DF9" w:rsidTr="00CC1E5B">
        <w:tc>
          <w:tcPr>
            <w:tcW w:w="4000" w:type="dxa"/>
            <w:tcBorders>
              <w:top w:val="single" w:sz="6" w:space="0" w:color="000000"/>
            </w:tcBorders>
            <w:shd w:val="clear" w:color="auto" w:fill="FFFFFF"/>
          </w:tcPr>
          <w:p w:rsidR="000F4095" w:rsidRPr="00A75DF9" w:rsidRDefault="000F4095" w:rsidP="00A70443">
            <w:pPr>
              <w:rPr>
                <w:rFonts w:cs="Tahoma"/>
                <w:color w:val="000000"/>
                <w:szCs w:val="20"/>
              </w:rPr>
            </w:pPr>
            <w:r w:rsidRPr="00A75DF9">
              <w:rPr>
                <w:rFonts w:cs="Tahoma"/>
                <w:color w:val="000000"/>
                <w:szCs w:val="20"/>
              </w:rPr>
              <w:t>1 Microsoft Dynamics CRM Workgroup Server</w:t>
            </w:r>
            <w:r w:rsidR="00A70443">
              <w:rPr>
                <w:rFonts w:cs="Tahoma"/>
                <w:color w:val="000000"/>
                <w:szCs w:val="20"/>
              </w:rPr>
              <w:t> </w:t>
            </w:r>
            <w:r w:rsidRPr="00A75DF9">
              <w:rPr>
                <w:rFonts w:cs="Tahoma"/>
                <w:color w:val="000000"/>
                <w:szCs w:val="20"/>
              </w:rPr>
              <w:t>2011</w:t>
            </w:r>
          </w:p>
        </w:tc>
        <w:tc>
          <w:tcPr>
            <w:tcW w:w="4460" w:type="dxa"/>
            <w:tcBorders>
              <w:top w:val="single" w:sz="6" w:space="0" w:color="000000"/>
            </w:tcBorders>
            <w:shd w:val="clear" w:color="auto" w:fill="FFFFFF"/>
          </w:tcPr>
          <w:p w:rsidR="000F4095" w:rsidRPr="00A75DF9" w:rsidRDefault="000F4095" w:rsidP="00A70443">
            <w:pPr>
              <w:rPr>
                <w:rFonts w:cs="Tahoma"/>
                <w:color w:val="000000"/>
                <w:szCs w:val="20"/>
              </w:rPr>
            </w:pPr>
            <w:r w:rsidRPr="00A75DF9">
              <w:rPr>
                <w:rFonts w:cs="Tahoma"/>
                <w:color w:val="000000"/>
                <w:szCs w:val="20"/>
              </w:rPr>
              <w:t>1 Microsoft Dynamics CRM Workgroup Server</w:t>
            </w:r>
            <w:r w:rsidR="00A70443">
              <w:rPr>
                <w:rFonts w:cs="Tahoma"/>
                <w:color w:val="000000"/>
                <w:szCs w:val="20"/>
              </w:rPr>
              <w:t> </w:t>
            </w:r>
            <w:r w:rsidRPr="00A75DF9">
              <w:rPr>
                <w:rFonts w:cs="Tahoma"/>
                <w:color w:val="000000"/>
                <w:szCs w:val="20"/>
              </w:rPr>
              <w:t>2013</w:t>
            </w:r>
          </w:p>
        </w:tc>
      </w:tr>
      <w:tr w:rsidR="000F4095" w:rsidRPr="00A75DF9" w:rsidTr="00CC1E5B">
        <w:trPr>
          <w:trHeight w:val="804"/>
        </w:trPr>
        <w:tc>
          <w:tcPr>
            <w:tcW w:w="4000" w:type="dxa"/>
            <w:tcBorders>
              <w:top w:val="single" w:sz="6" w:space="0" w:color="000000"/>
            </w:tcBorders>
            <w:shd w:val="clear" w:color="auto" w:fill="FFFFFF"/>
          </w:tcPr>
          <w:p w:rsidR="000F4095" w:rsidRPr="00A75DF9" w:rsidRDefault="000F4095" w:rsidP="00343766">
            <w:pPr>
              <w:rPr>
                <w:rFonts w:cs="Tahoma"/>
                <w:color w:val="000000"/>
                <w:szCs w:val="20"/>
              </w:rPr>
            </w:pPr>
            <w:r w:rsidRPr="00A75DF9">
              <w:rPr>
                <w:rFonts w:cs="Tahoma"/>
                <w:color w:val="000000"/>
                <w:szCs w:val="20"/>
              </w:rPr>
              <w:t>1 Employee Self Service CAL per Microsoft Dynamics CRM 2011</w:t>
            </w:r>
          </w:p>
        </w:tc>
        <w:tc>
          <w:tcPr>
            <w:tcW w:w="4460" w:type="dxa"/>
            <w:tcBorders>
              <w:top w:val="single" w:sz="6" w:space="0" w:color="000000"/>
            </w:tcBorders>
            <w:shd w:val="clear" w:color="auto" w:fill="FFFFFF"/>
          </w:tcPr>
          <w:p w:rsidR="000F4095" w:rsidRPr="00A75DF9" w:rsidRDefault="000F4095" w:rsidP="00343766">
            <w:pPr>
              <w:rPr>
                <w:rFonts w:cs="Tahoma"/>
              </w:rPr>
            </w:pPr>
            <w:r w:rsidRPr="00A75DF9">
              <w:rPr>
                <w:rFonts w:cs="Tahoma"/>
                <w:color w:val="000000"/>
                <w:szCs w:val="20"/>
              </w:rPr>
              <w:t xml:space="preserve">1 </w:t>
            </w:r>
            <w:r w:rsidRPr="00A75DF9">
              <w:rPr>
                <w:rFonts w:cs="Tahoma"/>
              </w:rPr>
              <w:t>CAL per Microsoft Dynamics CRM 2013 Essential O</w:t>
            </w:r>
          </w:p>
          <w:p w:rsidR="000F4095" w:rsidRPr="00A75DF9" w:rsidRDefault="000F4095" w:rsidP="00343766">
            <w:pPr>
              <w:rPr>
                <w:rFonts w:cs="Tahoma"/>
                <w:color w:val="000000"/>
                <w:szCs w:val="20"/>
              </w:rPr>
            </w:pPr>
            <w:r w:rsidRPr="00A75DF9">
              <w:rPr>
                <w:rFonts w:cs="Tahoma"/>
                <w:color w:val="000000"/>
                <w:szCs w:val="20"/>
              </w:rPr>
              <w:t xml:space="preserve">1 </w:t>
            </w:r>
            <w:r w:rsidRPr="00A75DF9">
              <w:rPr>
                <w:rFonts w:cs="Tahoma"/>
              </w:rPr>
              <w:t xml:space="preserve">CAL per Microsoft Dynamics CRM 2013 Essential </w:t>
            </w:r>
            <w:r w:rsidRPr="00A75DF9">
              <w:rPr>
                <w:rFonts w:cs="Tahoma"/>
                <w:color w:val="000000"/>
                <w:szCs w:val="20"/>
              </w:rPr>
              <w:t xml:space="preserve">e 1 </w:t>
            </w:r>
            <w:r w:rsidRPr="00A75DF9">
              <w:rPr>
                <w:rFonts w:cs="Tahoma"/>
              </w:rPr>
              <w:t>CAL Aggiuntiva per l</w:t>
            </w:r>
            <w:r w:rsidR="00F2643E">
              <w:rPr>
                <w:rFonts w:cs="Tahoma"/>
              </w:rPr>
              <w:t>’</w:t>
            </w:r>
            <w:r w:rsidRPr="00A75DF9">
              <w:rPr>
                <w:rFonts w:cs="Tahoma"/>
              </w:rPr>
              <w:t>Utilizzo di Microsoft Dynamics CRM 2013 Basic</w:t>
            </w:r>
          </w:p>
        </w:tc>
      </w:tr>
      <w:tr w:rsidR="000F4095" w:rsidRPr="00A75DF9" w:rsidTr="00CC1E5B">
        <w:trPr>
          <w:cantSplit/>
        </w:trPr>
        <w:tc>
          <w:tcPr>
            <w:tcW w:w="4000" w:type="dxa"/>
            <w:tcBorders>
              <w:top w:val="single" w:sz="6" w:space="0" w:color="000000"/>
            </w:tcBorders>
            <w:shd w:val="clear" w:color="auto" w:fill="FFFFFF"/>
          </w:tcPr>
          <w:p w:rsidR="000F4095" w:rsidRPr="00A75DF9" w:rsidRDefault="000F4095" w:rsidP="00343766">
            <w:pPr>
              <w:rPr>
                <w:rFonts w:cs="Tahoma"/>
                <w:color w:val="000000"/>
                <w:szCs w:val="20"/>
              </w:rPr>
            </w:pPr>
            <w:r w:rsidRPr="00A75DF9">
              <w:rPr>
                <w:rFonts w:cs="Tahoma"/>
                <w:color w:val="000000"/>
                <w:szCs w:val="20"/>
              </w:rPr>
              <w:t>1 CAL Aggiuntiva per l</w:t>
            </w:r>
            <w:r w:rsidR="00F2643E">
              <w:rPr>
                <w:rFonts w:cs="Tahoma"/>
                <w:color w:val="000000"/>
                <w:szCs w:val="20"/>
              </w:rPr>
              <w:t>’</w:t>
            </w:r>
            <w:r w:rsidRPr="00A75DF9">
              <w:rPr>
                <w:rFonts w:cs="Tahoma"/>
                <w:color w:val="000000"/>
                <w:szCs w:val="20"/>
              </w:rPr>
              <w:t>Utilizzo di Microsoft Dynamics CRM 2011 Limited</w:t>
            </w:r>
          </w:p>
        </w:tc>
        <w:tc>
          <w:tcPr>
            <w:tcW w:w="4460" w:type="dxa"/>
            <w:tcBorders>
              <w:top w:val="single" w:sz="6" w:space="0" w:color="000000"/>
            </w:tcBorders>
            <w:shd w:val="clear" w:color="auto" w:fill="FFFFFF"/>
          </w:tcPr>
          <w:p w:rsidR="000F4095" w:rsidRPr="00A75DF9" w:rsidRDefault="000F4095" w:rsidP="00343766">
            <w:pPr>
              <w:rPr>
                <w:rFonts w:cs="Tahoma"/>
              </w:rPr>
            </w:pPr>
            <w:r w:rsidRPr="00A75DF9">
              <w:rPr>
                <w:rFonts w:cs="Tahoma"/>
                <w:color w:val="000000"/>
                <w:szCs w:val="20"/>
              </w:rPr>
              <w:t xml:space="preserve">1 </w:t>
            </w:r>
            <w:r w:rsidRPr="00A75DF9">
              <w:rPr>
                <w:rFonts w:cs="Tahoma"/>
              </w:rPr>
              <w:t>CAL Aggiuntiva per l</w:t>
            </w:r>
            <w:r w:rsidR="00F2643E">
              <w:rPr>
                <w:rFonts w:cs="Tahoma"/>
              </w:rPr>
              <w:t>’</w:t>
            </w:r>
            <w:r w:rsidRPr="00A75DF9">
              <w:rPr>
                <w:rFonts w:cs="Tahoma"/>
              </w:rPr>
              <w:t>Utilizzo di Microsoft Dynamics CRM 2013 Basic</w:t>
            </w:r>
          </w:p>
        </w:tc>
      </w:tr>
      <w:tr w:rsidR="000F4095" w:rsidRPr="00A75DF9" w:rsidTr="00CC1E5B">
        <w:trPr>
          <w:trHeight w:val="471"/>
        </w:trPr>
        <w:tc>
          <w:tcPr>
            <w:tcW w:w="4000" w:type="dxa"/>
            <w:tcBorders>
              <w:top w:val="single" w:sz="6" w:space="0" w:color="000000"/>
            </w:tcBorders>
            <w:shd w:val="clear" w:color="auto" w:fill="FFFFFF"/>
          </w:tcPr>
          <w:p w:rsidR="000F4095" w:rsidRPr="00A75DF9" w:rsidRDefault="000F4095" w:rsidP="00066697">
            <w:pPr>
              <w:rPr>
                <w:rFonts w:cs="Tahoma"/>
                <w:color w:val="000000"/>
                <w:szCs w:val="20"/>
              </w:rPr>
            </w:pPr>
            <w:r w:rsidRPr="00A75DF9">
              <w:rPr>
                <w:rFonts w:cs="Tahoma"/>
                <w:color w:val="000000"/>
                <w:szCs w:val="20"/>
              </w:rPr>
              <w:t>1 CAL Aggiuntiva per l</w:t>
            </w:r>
            <w:r w:rsidR="00F2643E">
              <w:rPr>
                <w:rFonts w:cs="Tahoma"/>
                <w:color w:val="000000"/>
                <w:szCs w:val="20"/>
              </w:rPr>
              <w:t>’</w:t>
            </w:r>
            <w:r w:rsidRPr="00A75DF9">
              <w:rPr>
                <w:rFonts w:cs="Tahoma"/>
                <w:color w:val="000000"/>
                <w:szCs w:val="20"/>
              </w:rPr>
              <w:t>Utilizzo Completo di</w:t>
            </w:r>
            <w:r w:rsidR="00066697">
              <w:rPr>
                <w:rFonts w:cs="Tahoma"/>
                <w:color w:val="000000"/>
                <w:szCs w:val="20"/>
              </w:rPr>
              <w:t> </w:t>
            </w:r>
            <w:r w:rsidRPr="00A75DF9">
              <w:rPr>
                <w:rFonts w:cs="Tahoma"/>
                <w:color w:val="000000"/>
                <w:szCs w:val="20"/>
              </w:rPr>
              <w:t>Microsoft Dynamics CRM 2011</w:t>
            </w:r>
          </w:p>
        </w:tc>
        <w:tc>
          <w:tcPr>
            <w:tcW w:w="4460" w:type="dxa"/>
            <w:tcBorders>
              <w:top w:val="single" w:sz="6" w:space="0" w:color="000000"/>
            </w:tcBorders>
            <w:shd w:val="clear" w:color="auto" w:fill="FFFFFF"/>
          </w:tcPr>
          <w:p w:rsidR="000F4095" w:rsidRPr="00A75DF9" w:rsidRDefault="000F4095" w:rsidP="00343766">
            <w:pPr>
              <w:rPr>
                <w:rFonts w:cs="Tahoma"/>
                <w:color w:val="000000"/>
                <w:szCs w:val="20"/>
              </w:rPr>
            </w:pPr>
            <w:r w:rsidRPr="00A75DF9">
              <w:rPr>
                <w:rFonts w:cs="Tahoma"/>
              </w:rPr>
              <w:t>1 CAL Aggiuntiva per l</w:t>
            </w:r>
            <w:r w:rsidR="00F2643E">
              <w:rPr>
                <w:rFonts w:cs="Tahoma"/>
              </w:rPr>
              <w:t>’</w:t>
            </w:r>
            <w:r w:rsidRPr="00A75DF9">
              <w:rPr>
                <w:rFonts w:cs="Tahoma"/>
              </w:rPr>
              <w:t>Utilizzo di Microsoft Dynamics CRM 2013 Professional</w:t>
            </w:r>
          </w:p>
        </w:tc>
      </w:tr>
      <w:tr w:rsidR="000F4095" w:rsidRPr="00A75DF9" w:rsidTr="00CC1E5B">
        <w:tc>
          <w:tcPr>
            <w:tcW w:w="4000" w:type="dxa"/>
            <w:tcBorders>
              <w:top w:val="single" w:sz="6" w:space="0" w:color="000000"/>
            </w:tcBorders>
            <w:shd w:val="clear" w:color="auto" w:fill="FFFFFF"/>
          </w:tcPr>
          <w:p w:rsidR="000F4095" w:rsidRPr="00A75DF9" w:rsidRDefault="000F4095" w:rsidP="00A70443">
            <w:pPr>
              <w:rPr>
                <w:rFonts w:cs="Tahoma"/>
                <w:color w:val="000000"/>
                <w:szCs w:val="20"/>
              </w:rPr>
            </w:pPr>
            <w:r w:rsidRPr="00A75DF9">
              <w:rPr>
                <w:rFonts w:cs="Tahoma"/>
                <w:color w:val="000000"/>
                <w:szCs w:val="20"/>
              </w:rPr>
              <w:t>1 External Connector per Microsoft Dynamics</w:t>
            </w:r>
            <w:r w:rsidR="00A70443">
              <w:rPr>
                <w:rFonts w:cs="Tahoma"/>
                <w:color w:val="000000"/>
                <w:szCs w:val="20"/>
              </w:rPr>
              <w:t> </w:t>
            </w:r>
            <w:r w:rsidRPr="00A75DF9">
              <w:rPr>
                <w:rFonts w:cs="Tahoma"/>
                <w:color w:val="000000"/>
                <w:szCs w:val="20"/>
              </w:rPr>
              <w:t>CRM</w:t>
            </w:r>
            <w:r w:rsidR="00066697">
              <w:rPr>
                <w:rFonts w:cs="Tahoma"/>
                <w:color w:val="000000"/>
                <w:szCs w:val="20"/>
              </w:rPr>
              <w:t> </w:t>
            </w:r>
            <w:r w:rsidRPr="00A75DF9">
              <w:rPr>
                <w:rFonts w:cs="Tahoma"/>
                <w:color w:val="000000"/>
                <w:szCs w:val="20"/>
              </w:rPr>
              <w:t>2011</w:t>
            </w:r>
          </w:p>
        </w:tc>
        <w:tc>
          <w:tcPr>
            <w:tcW w:w="4460" w:type="dxa"/>
            <w:tcBorders>
              <w:top w:val="single" w:sz="6" w:space="0" w:color="000000"/>
            </w:tcBorders>
            <w:shd w:val="clear" w:color="auto" w:fill="FFFFFF"/>
          </w:tcPr>
          <w:p w:rsidR="000F4095" w:rsidRPr="00A75DF9" w:rsidRDefault="000F4095" w:rsidP="00343766">
            <w:pPr>
              <w:rPr>
                <w:rFonts w:cs="Tahoma"/>
                <w:color w:val="000000"/>
                <w:szCs w:val="20"/>
              </w:rPr>
            </w:pPr>
            <w:r w:rsidRPr="00A75DF9">
              <w:rPr>
                <w:rFonts w:cs="Tahoma"/>
                <w:color w:val="000000"/>
                <w:szCs w:val="20"/>
              </w:rPr>
              <w:t>Nessuna. I diritti sull</w:t>
            </w:r>
            <w:r w:rsidR="00F2643E">
              <w:rPr>
                <w:rFonts w:cs="Tahoma"/>
                <w:color w:val="000000"/>
                <w:szCs w:val="20"/>
              </w:rPr>
              <w:t>’</w:t>
            </w:r>
            <w:r w:rsidRPr="00A75DF9">
              <w:rPr>
                <w:rFonts w:cs="Tahoma"/>
                <w:color w:val="000000"/>
                <w:szCs w:val="20"/>
              </w:rPr>
              <w:t>utilizzo di External Connector sono inclusi nella licenza per CRM 2013 Server</w:t>
            </w:r>
          </w:p>
        </w:tc>
      </w:tr>
    </w:tbl>
    <w:p w:rsidR="000F4095" w:rsidRPr="00CC1E5B" w:rsidRDefault="000F4095" w:rsidP="000F4095">
      <w:pPr>
        <w:rPr>
          <w:rFonts w:cs="Tahoma"/>
          <w:sz w:val="16"/>
          <w:szCs w:val="16"/>
        </w:rPr>
      </w:pPr>
    </w:p>
    <w:p w:rsidR="000F4095" w:rsidRPr="00A75DF9" w:rsidRDefault="000F4095" w:rsidP="000F4095">
      <w:pPr>
        <w:ind w:left="720"/>
        <w:rPr>
          <w:rFonts w:cs="Tahoma"/>
        </w:rPr>
      </w:pPr>
      <w:r w:rsidRPr="00A75DF9">
        <w:rPr>
          <w:rFonts w:cs="Tahoma"/>
          <w:color w:val="000000"/>
          <w:szCs w:val="20"/>
        </w:rPr>
        <w:t>Il diritto di utilizzo del software Microsoft Dynamics CRM 2013 da parte della società è attestato dalla presente nota relativa alle condizioni del prodotto e dalla prova delle licenze corrispondenti e di Software Assurance per Microsoft Dynamics CRM 2013. Il diritto di utilizzo del software Microsoft Dynamics CRM 2013 da parte di una società, ai sensi della presente concessione per la migrazione, è soggetto alle condizioni del relativo Contratto Multilicenza. Tale</w:t>
      </w:r>
      <w:r w:rsidRPr="00A75DF9">
        <w:rPr>
          <w:rStyle w:val="CommentReference"/>
          <w:rFonts w:cs="Tahoma"/>
          <w:szCs w:val="20"/>
        </w:rPr>
        <w:t> </w:t>
      </w:r>
      <w:r w:rsidRPr="00A75DF9">
        <w:rPr>
          <w:rFonts w:cs="Tahoma"/>
          <w:color w:val="000000"/>
          <w:szCs w:val="20"/>
        </w:rPr>
        <w:t>diritto cesserà alla scadenza o alla risoluzione del diritto di utilizzo di Microsoft Dynamics CRM 2011 in virtù delle corrispondenti licenze qualificanti per Microsoft Dynamics CRM 2011. Alla scadenza della copertura SA per le licenze Microsoft Dynamics CRM 2011, la società potrà rinnovare SA per le licenze Microsoft Dynamics CRM 2013 in concessione.</w:t>
      </w:r>
      <w:r w:rsidR="009D3B41" w:rsidRPr="00A75DF9">
        <w:rPr>
          <w:rFonts w:cs="Tahoma"/>
          <w:color w:val="000000"/>
          <w:szCs w:val="20"/>
        </w:rPr>
        <w:t xml:space="preserve"> </w:t>
      </w:r>
    </w:p>
    <w:p w:rsidR="000F4095" w:rsidRPr="00CC1E5B" w:rsidRDefault="000F4095" w:rsidP="000F4095">
      <w:pPr>
        <w:ind w:left="720"/>
        <w:rPr>
          <w:rFonts w:cs="Tahoma"/>
          <w:sz w:val="16"/>
          <w:szCs w:val="16"/>
        </w:rPr>
      </w:pPr>
    </w:p>
    <w:p w:rsidR="000F4095" w:rsidRPr="00A75DF9" w:rsidRDefault="000F4095" w:rsidP="00A70443">
      <w:pPr>
        <w:pStyle w:val="EndnoteText"/>
        <w:ind w:left="720"/>
        <w:rPr>
          <w:rFonts w:ascii="Tahoma" w:hAnsi="Tahoma" w:cs="Tahoma"/>
        </w:rPr>
      </w:pPr>
      <w:r w:rsidRPr="00A75DF9">
        <w:rPr>
          <w:rFonts w:ascii="Tahoma" w:hAnsi="Tahoma" w:cs="Tahoma"/>
          <w:bCs/>
          <w:sz w:val="18"/>
          <w:szCs w:val="18"/>
        </w:rPr>
        <w:t>Per le società con un Contratto Enterprise idonee a ricevere le presenti licenze gratuite e i diritti descritti in</w:t>
      </w:r>
      <w:r w:rsidR="00A70443">
        <w:rPr>
          <w:rFonts w:ascii="Tahoma" w:hAnsi="Tahoma" w:cs="Tahoma"/>
          <w:bCs/>
          <w:sz w:val="18"/>
          <w:szCs w:val="18"/>
        </w:rPr>
        <w:t> </w:t>
      </w:r>
      <w:r w:rsidRPr="00A75DF9">
        <w:rPr>
          <w:rFonts w:ascii="Tahoma" w:hAnsi="Tahoma" w:cs="Tahoma"/>
          <w:bCs/>
          <w:sz w:val="18"/>
          <w:szCs w:val="18"/>
        </w:rPr>
        <w:t>precedenza, le licenze per Microsoft Dynamics CRM 2011 acquistate nell</w:t>
      </w:r>
      <w:r w:rsidR="00F2643E">
        <w:rPr>
          <w:rFonts w:ascii="Tahoma" w:hAnsi="Tahoma" w:cs="Tahoma"/>
          <w:bCs/>
          <w:sz w:val="18"/>
          <w:szCs w:val="18"/>
        </w:rPr>
        <w:t>’</w:t>
      </w:r>
      <w:r w:rsidRPr="00A75DF9">
        <w:rPr>
          <w:rFonts w:ascii="Tahoma" w:hAnsi="Tahoma" w:cs="Tahoma"/>
          <w:bCs/>
          <w:sz w:val="18"/>
          <w:szCs w:val="18"/>
        </w:rPr>
        <w:t>ambito della procedura annuale di</w:t>
      </w:r>
      <w:r w:rsidR="00A70443">
        <w:rPr>
          <w:rFonts w:ascii="Tahoma" w:hAnsi="Tahoma" w:cs="Tahoma"/>
          <w:bCs/>
          <w:sz w:val="18"/>
          <w:szCs w:val="18"/>
        </w:rPr>
        <w:t> </w:t>
      </w:r>
      <w:r w:rsidRPr="00A75DF9">
        <w:rPr>
          <w:rFonts w:ascii="Tahoma" w:hAnsi="Tahoma" w:cs="Tahoma"/>
          <w:bCs/>
          <w:sz w:val="18"/>
          <w:szCs w:val="18"/>
        </w:rPr>
        <w:t>true-up durante il periodo di validità dell</w:t>
      </w:r>
      <w:r w:rsidR="00F2643E">
        <w:rPr>
          <w:rFonts w:ascii="Tahoma" w:hAnsi="Tahoma" w:cs="Tahoma"/>
          <w:bCs/>
          <w:sz w:val="18"/>
          <w:szCs w:val="18"/>
        </w:rPr>
        <w:t>’</w:t>
      </w:r>
      <w:r w:rsidRPr="00A75DF9">
        <w:rPr>
          <w:rFonts w:ascii="Tahoma" w:hAnsi="Tahoma" w:cs="Tahoma"/>
          <w:bCs/>
          <w:sz w:val="18"/>
          <w:szCs w:val="18"/>
        </w:rPr>
        <w:t>iscrizione attuale costituiscono, anch</w:t>
      </w:r>
      <w:r w:rsidR="00F2643E">
        <w:rPr>
          <w:rFonts w:ascii="Tahoma" w:hAnsi="Tahoma" w:cs="Tahoma"/>
          <w:bCs/>
          <w:sz w:val="18"/>
          <w:szCs w:val="18"/>
        </w:rPr>
        <w:t>’</w:t>
      </w:r>
      <w:r w:rsidRPr="00A75DF9">
        <w:rPr>
          <w:rFonts w:ascii="Tahoma" w:hAnsi="Tahoma" w:cs="Tahoma"/>
          <w:bCs/>
          <w:sz w:val="18"/>
          <w:szCs w:val="18"/>
        </w:rPr>
        <w:t>esse, licenze qualificanti.</w:t>
      </w:r>
    </w:p>
    <w:p w:rsidR="000F4095" w:rsidRPr="00CC1E5B" w:rsidRDefault="000F4095" w:rsidP="000F4095">
      <w:pPr>
        <w:pStyle w:val="EndnoteText"/>
        <w:ind w:left="720"/>
        <w:rPr>
          <w:rFonts w:ascii="Tahoma" w:hAnsi="Tahoma" w:cs="Tahoma"/>
          <w:sz w:val="16"/>
          <w:szCs w:val="16"/>
        </w:rPr>
      </w:pPr>
    </w:p>
    <w:p w:rsidR="000F4095" w:rsidRPr="00A75DF9" w:rsidRDefault="000F4095" w:rsidP="00A70443">
      <w:pPr>
        <w:pStyle w:val="EndnoteText"/>
        <w:ind w:left="720"/>
        <w:rPr>
          <w:rFonts w:ascii="Tahoma" w:hAnsi="Tahoma" w:cs="Tahoma"/>
        </w:rPr>
      </w:pPr>
      <w:r w:rsidRPr="00A75DF9">
        <w:rPr>
          <w:rFonts w:ascii="Tahoma" w:hAnsi="Tahoma" w:cs="Tahoma"/>
          <w:bCs/>
          <w:color w:val="000000"/>
          <w:sz w:val="18"/>
          <w:szCs w:val="18"/>
        </w:rPr>
        <w:t>Per Contratti Enterprise Subscription, Campus e School e Open Value Subscription, gli stessi diritti verranno concessi temporaneamente fino al termine del periodo di validità dell</w:t>
      </w:r>
      <w:r w:rsidR="00F2643E">
        <w:rPr>
          <w:rFonts w:ascii="Tahoma" w:hAnsi="Tahoma" w:cs="Tahoma"/>
          <w:bCs/>
          <w:color w:val="000000"/>
          <w:sz w:val="18"/>
          <w:szCs w:val="18"/>
        </w:rPr>
        <w:t>’</w:t>
      </w:r>
      <w:r w:rsidRPr="00A75DF9">
        <w:rPr>
          <w:rFonts w:ascii="Tahoma" w:hAnsi="Tahoma" w:cs="Tahoma"/>
          <w:bCs/>
          <w:color w:val="000000"/>
          <w:sz w:val="18"/>
          <w:szCs w:val="18"/>
        </w:rPr>
        <w:t>iscrizione della licenza, qualora le</w:t>
      </w:r>
      <w:r w:rsidR="00A70443">
        <w:rPr>
          <w:rFonts w:ascii="Tahoma" w:hAnsi="Tahoma" w:cs="Tahoma"/>
          <w:bCs/>
          <w:color w:val="000000"/>
          <w:sz w:val="18"/>
          <w:szCs w:val="18"/>
        </w:rPr>
        <w:t> </w:t>
      </w:r>
      <w:r w:rsidRPr="00A75DF9">
        <w:rPr>
          <w:rFonts w:ascii="Tahoma" w:hAnsi="Tahoma" w:cs="Tahoma"/>
          <w:bCs/>
          <w:color w:val="000000"/>
          <w:sz w:val="18"/>
          <w:szCs w:val="18"/>
        </w:rPr>
        <w:t>Licenze e la copertura Software Assurance siano valide durante il periodo di concessione e la società mantenga la copertura dell</w:t>
      </w:r>
      <w:r w:rsidR="00F2643E">
        <w:rPr>
          <w:rFonts w:ascii="Tahoma" w:hAnsi="Tahoma" w:cs="Tahoma"/>
          <w:bCs/>
          <w:color w:val="000000"/>
          <w:sz w:val="18"/>
          <w:szCs w:val="18"/>
        </w:rPr>
        <w:t>’</w:t>
      </w:r>
      <w:r w:rsidRPr="00A75DF9">
        <w:rPr>
          <w:rFonts w:ascii="Tahoma" w:hAnsi="Tahoma" w:cs="Tahoma"/>
          <w:bCs/>
          <w:color w:val="000000"/>
          <w:sz w:val="18"/>
          <w:szCs w:val="18"/>
        </w:rPr>
        <w:t>abbonamento in via continuativa.</w:t>
      </w:r>
      <w:r w:rsidR="009D3B41" w:rsidRPr="00A75DF9">
        <w:rPr>
          <w:rFonts w:ascii="Tahoma" w:hAnsi="Tahoma" w:cs="Tahoma"/>
          <w:bCs/>
          <w:color w:val="000000"/>
          <w:sz w:val="18"/>
          <w:szCs w:val="18"/>
        </w:rPr>
        <w:t xml:space="preserve"> </w:t>
      </w:r>
      <w:r w:rsidRPr="00A75DF9">
        <w:rPr>
          <w:rFonts w:ascii="Tahoma" w:hAnsi="Tahoma" w:cs="Tahoma"/>
          <w:bCs/>
          <w:color w:val="000000"/>
          <w:sz w:val="18"/>
          <w:szCs w:val="18"/>
        </w:rPr>
        <w:t>Tali diritti diventeranno permanenti soltanto all</w:t>
      </w:r>
      <w:r w:rsidR="00F2643E">
        <w:rPr>
          <w:rFonts w:ascii="Tahoma" w:hAnsi="Tahoma" w:cs="Tahoma"/>
          <w:bCs/>
          <w:color w:val="000000"/>
          <w:sz w:val="18"/>
          <w:szCs w:val="18"/>
        </w:rPr>
        <w:t>’</w:t>
      </w:r>
      <w:r w:rsidRPr="00A75DF9">
        <w:rPr>
          <w:rFonts w:ascii="Tahoma" w:hAnsi="Tahoma" w:cs="Tahoma"/>
          <w:bCs/>
          <w:color w:val="000000"/>
          <w:sz w:val="18"/>
          <w:szCs w:val="18"/>
        </w:rPr>
        <w:t>esercizio dell</w:t>
      </w:r>
      <w:r w:rsidR="00F2643E">
        <w:rPr>
          <w:rFonts w:ascii="Tahoma" w:hAnsi="Tahoma" w:cs="Tahoma"/>
          <w:bCs/>
          <w:color w:val="000000"/>
          <w:sz w:val="18"/>
          <w:szCs w:val="18"/>
        </w:rPr>
        <w:t>’</w:t>
      </w:r>
      <w:r w:rsidRPr="00A75DF9">
        <w:rPr>
          <w:rFonts w:ascii="Tahoma" w:hAnsi="Tahoma" w:cs="Tahoma"/>
          <w:bCs/>
          <w:color w:val="000000"/>
          <w:sz w:val="18"/>
          <w:szCs w:val="18"/>
        </w:rPr>
        <w:t>opzione buy-out e resteranno soggetti a tutte le condizioni del contratto di licenza della società.</w:t>
      </w:r>
    </w:p>
    <w:p w:rsidR="000F4095" w:rsidRPr="00CC1E5B" w:rsidRDefault="000F4095" w:rsidP="000F4095">
      <w:pPr>
        <w:ind w:left="720"/>
        <w:rPr>
          <w:rFonts w:cs="Tahoma"/>
          <w:sz w:val="16"/>
          <w:szCs w:val="16"/>
        </w:rPr>
      </w:pPr>
    </w:p>
    <w:p w:rsidR="000F4095" w:rsidRPr="00A75DF9" w:rsidRDefault="000F4095" w:rsidP="00CC1E5B">
      <w:pPr>
        <w:spacing w:after="20"/>
        <w:ind w:left="720"/>
        <w:rPr>
          <w:rFonts w:cs="Tahoma"/>
        </w:rPr>
      </w:pPr>
      <w:r w:rsidRPr="00A75DF9">
        <w:rPr>
          <w:rFonts w:cs="Tahoma"/>
          <w:b/>
          <w:bCs/>
          <w:szCs w:val="20"/>
        </w:rPr>
        <w:t xml:space="preserve">Diritti di Downgrade per Microsoft Dynamics CRM 2013 </w:t>
      </w:r>
    </w:p>
    <w:p w:rsidR="000F4095" w:rsidRDefault="000F4095" w:rsidP="000F4095">
      <w:pPr>
        <w:ind w:left="720"/>
        <w:rPr>
          <w:rFonts w:cs="Tahoma"/>
          <w:szCs w:val="20"/>
        </w:rPr>
      </w:pPr>
      <w:r w:rsidRPr="00A75DF9">
        <w:rPr>
          <w:rFonts w:cs="Tahoma"/>
          <w:szCs w:val="20"/>
        </w:rPr>
        <w:t>Le società che dispongono di licenze per Microsoft Dynamics CRM 2013 potranno utilizzare Microsoft Dynamics CRM 2011 anziché Microsoft Dynamics CRM 2011. Le loro licenze per Microsoft Dynamics CRM 2013 potranno essere distribuite come licenze per CRM 2011 nella modalità che segue:</w:t>
      </w:r>
    </w:p>
    <w:p w:rsidR="00A70443" w:rsidRPr="00CC1E5B" w:rsidRDefault="00A70443" w:rsidP="000F4095">
      <w:pPr>
        <w:ind w:left="720"/>
        <w:rPr>
          <w:rFonts w:cs="Tahoma"/>
          <w:sz w:val="16"/>
          <w:szCs w:val="16"/>
        </w:rPr>
      </w:pPr>
    </w:p>
    <w:p w:rsidR="000F4095" w:rsidRPr="00A70443" w:rsidRDefault="000F4095" w:rsidP="00A70443">
      <w:pPr>
        <w:ind w:left="540"/>
        <w:rPr>
          <w:rFonts w:cs="Tahoma"/>
          <w:sz w:val="4"/>
          <w:szCs w:val="20"/>
        </w:rPr>
      </w:pPr>
    </w:p>
    <w:p w:rsidR="000F4095" w:rsidRPr="00A70443" w:rsidRDefault="000F4095" w:rsidP="00A70443">
      <w:pPr>
        <w:ind w:left="900"/>
        <w:rPr>
          <w:rFonts w:cs="Tahoma"/>
          <w:sz w:val="2"/>
          <w:szCs w:val="20"/>
        </w:rPr>
      </w:pPr>
    </w:p>
    <w:p w:rsidR="000F4095" w:rsidRPr="00A70443" w:rsidRDefault="000F4095" w:rsidP="000F4095">
      <w:pPr>
        <w:ind w:left="900"/>
        <w:rPr>
          <w:rFonts w:cs="Tahoma"/>
          <w:sz w:val="2"/>
          <w:szCs w:val="20"/>
        </w:rPr>
      </w:pPr>
    </w:p>
    <w:tbl>
      <w:tblPr>
        <w:tblW w:w="8382" w:type="dxa"/>
        <w:tblInd w:w="878" w:type="dxa"/>
        <w:tblCellMar>
          <w:left w:w="0" w:type="dxa"/>
          <w:right w:w="0" w:type="dxa"/>
        </w:tblCellMar>
        <w:tblLook w:val="04A0" w:firstRow="1" w:lastRow="0" w:firstColumn="1" w:lastColumn="0" w:noHBand="0" w:noVBand="1"/>
      </w:tblPr>
      <w:tblGrid>
        <w:gridCol w:w="4140"/>
        <w:gridCol w:w="4242"/>
      </w:tblGrid>
      <w:tr w:rsidR="000F4095" w:rsidRPr="00A75DF9" w:rsidTr="00343766">
        <w:tc>
          <w:tcPr>
            <w:tcW w:w="414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0F4095" w:rsidRPr="00A75DF9" w:rsidRDefault="000F4095" w:rsidP="00343766">
            <w:pPr>
              <w:keepNext/>
              <w:ind w:left="360"/>
              <w:rPr>
                <w:rFonts w:cs="Tahoma"/>
                <w:b/>
                <w:bCs/>
                <w:szCs w:val="20"/>
              </w:rPr>
            </w:pPr>
            <w:r w:rsidRPr="00A75DF9">
              <w:rPr>
                <w:rFonts w:cs="Tahoma"/>
                <w:b/>
                <w:bCs/>
                <w:szCs w:val="20"/>
              </w:rPr>
              <w:t>Licenza Qualificante per Microsoft Dynamics CRM 2013</w:t>
            </w:r>
          </w:p>
        </w:tc>
        <w:tc>
          <w:tcPr>
            <w:tcW w:w="4242" w:type="dxa"/>
            <w:tcBorders>
              <w:top w:val="single" w:sz="8" w:space="0" w:color="000000"/>
              <w:left w:val="nil"/>
              <w:bottom w:val="single" w:sz="8" w:space="0" w:color="000000"/>
              <w:right w:val="single" w:sz="8" w:space="0" w:color="auto"/>
            </w:tcBorders>
            <w:shd w:val="clear" w:color="auto" w:fill="FABF8F"/>
          </w:tcPr>
          <w:p w:rsidR="000F4095" w:rsidRPr="00A75DF9" w:rsidRDefault="000F4095" w:rsidP="00343766">
            <w:pPr>
              <w:ind w:left="360"/>
              <w:rPr>
                <w:rFonts w:cs="Tahoma"/>
                <w:b/>
                <w:bCs/>
                <w:szCs w:val="20"/>
              </w:rPr>
            </w:pPr>
            <w:r w:rsidRPr="00A75DF9">
              <w:rPr>
                <w:rFonts w:cs="Tahoma"/>
                <w:b/>
                <w:bCs/>
                <w:szCs w:val="20"/>
              </w:rPr>
              <w:t>Licenze Corrispondenti per Microsoft Dynamics CRM 2011</w:t>
            </w:r>
          </w:p>
        </w:tc>
      </w:tr>
      <w:tr w:rsidR="000F4095" w:rsidRPr="00A75DF9"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0F4095" w:rsidRPr="00A75DF9" w:rsidRDefault="000F4095" w:rsidP="00343766">
            <w:pPr>
              <w:keepNext/>
              <w:rPr>
                <w:rFonts w:cs="Tahoma"/>
                <w:szCs w:val="20"/>
              </w:rPr>
            </w:pPr>
            <w:r w:rsidRPr="00A75DF9">
              <w:rPr>
                <w:rFonts w:cs="Tahoma"/>
                <w:color w:val="000000"/>
                <w:szCs w:val="20"/>
              </w:rPr>
              <w:t>Microsoft Dynamics CRM Server 2013</w:t>
            </w:r>
          </w:p>
        </w:tc>
        <w:tc>
          <w:tcPr>
            <w:tcW w:w="4242" w:type="dxa"/>
            <w:tcBorders>
              <w:top w:val="nil"/>
              <w:left w:val="nil"/>
              <w:bottom w:val="single" w:sz="8" w:space="0" w:color="000000"/>
              <w:right w:val="single" w:sz="8" w:space="0" w:color="000000"/>
            </w:tcBorders>
            <w:vAlign w:val="center"/>
          </w:tcPr>
          <w:p w:rsidR="000F4095" w:rsidRPr="00A75DF9" w:rsidRDefault="000F4095" w:rsidP="00343766">
            <w:pPr>
              <w:pStyle w:val="ColorfulList-Accent11"/>
              <w:spacing w:line="276" w:lineRule="auto"/>
              <w:ind w:left="288" w:right="162" w:hanging="180"/>
              <w:rPr>
                <w:rFonts w:ascii="Tahoma" w:hAnsi="Tahoma" w:cs="Tahoma"/>
                <w:sz w:val="18"/>
                <w:szCs w:val="20"/>
              </w:rPr>
            </w:pPr>
            <w:r w:rsidRPr="00A75DF9">
              <w:rPr>
                <w:rFonts w:ascii="Tahoma" w:hAnsi="Tahoma" w:cs="Tahoma"/>
                <w:color w:val="000000"/>
                <w:sz w:val="18"/>
                <w:szCs w:val="20"/>
              </w:rPr>
              <w:t>Microsoft Dynamics CRM 2011 Server</w:t>
            </w:r>
          </w:p>
        </w:tc>
      </w:tr>
      <w:tr w:rsidR="000F4095" w:rsidRPr="00A75DF9"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0F4095" w:rsidRPr="00A75DF9" w:rsidRDefault="000F4095" w:rsidP="00343766">
            <w:pPr>
              <w:keepNext/>
              <w:rPr>
                <w:rFonts w:cs="Tahoma"/>
                <w:szCs w:val="20"/>
              </w:rPr>
            </w:pPr>
            <w:r w:rsidRPr="00A75DF9">
              <w:rPr>
                <w:rFonts w:cs="Tahoma"/>
                <w:color w:val="000000"/>
                <w:szCs w:val="20"/>
              </w:rPr>
              <w:t>Microsoft Dynamics CRM Workgroup Server 2013</w:t>
            </w:r>
          </w:p>
        </w:tc>
        <w:tc>
          <w:tcPr>
            <w:tcW w:w="4242" w:type="dxa"/>
            <w:tcBorders>
              <w:top w:val="nil"/>
              <w:left w:val="nil"/>
              <w:bottom w:val="single" w:sz="8" w:space="0" w:color="000000"/>
              <w:right w:val="single" w:sz="8" w:space="0" w:color="000000"/>
            </w:tcBorders>
            <w:vAlign w:val="center"/>
          </w:tcPr>
          <w:p w:rsidR="000F4095" w:rsidRPr="00A75DF9" w:rsidRDefault="000F4095" w:rsidP="00343766">
            <w:pPr>
              <w:pStyle w:val="ColorfulList-Accent11"/>
              <w:spacing w:line="276" w:lineRule="auto"/>
              <w:ind w:left="288" w:right="162" w:hanging="180"/>
              <w:rPr>
                <w:rFonts w:ascii="Tahoma" w:hAnsi="Tahoma" w:cs="Tahoma"/>
                <w:sz w:val="18"/>
                <w:szCs w:val="20"/>
              </w:rPr>
            </w:pPr>
            <w:r w:rsidRPr="00A75DF9">
              <w:rPr>
                <w:rFonts w:ascii="Tahoma" w:hAnsi="Tahoma" w:cs="Tahoma"/>
                <w:color w:val="000000"/>
                <w:sz w:val="18"/>
                <w:szCs w:val="20"/>
              </w:rPr>
              <w:t>Microsoft Dynamics CRM Workgroup Server 2011</w:t>
            </w:r>
          </w:p>
        </w:tc>
      </w:tr>
      <w:tr w:rsidR="000F4095" w:rsidRPr="00A75DF9"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0F4095" w:rsidRPr="00A75DF9" w:rsidRDefault="000F4095" w:rsidP="00343766">
            <w:pPr>
              <w:keepNext/>
              <w:rPr>
                <w:rFonts w:cs="Tahoma"/>
                <w:color w:val="000000"/>
                <w:szCs w:val="20"/>
              </w:rPr>
            </w:pPr>
            <w:r w:rsidRPr="00A75DF9">
              <w:rPr>
                <w:rFonts w:cs="Tahoma"/>
              </w:rPr>
              <w:t>CAL per Microsoft Dynamics CRM 2013 Essential</w:t>
            </w:r>
          </w:p>
        </w:tc>
        <w:tc>
          <w:tcPr>
            <w:tcW w:w="4242" w:type="dxa"/>
            <w:tcBorders>
              <w:top w:val="nil"/>
              <w:left w:val="nil"/>
              <w:bottom w:val="single" w:sz="8" w:space="0" w:color="000000"/>
              <w:right w:val="single" w:sz="8" w:space="0" w:color="000000"/>
            </w:tcBorders>
            <w:vAlign w:val="center"/>
          </w:tcPr>
          <w:p w:rsidR="000F4095" w:rsidRPr="00A75DF9" w:rsidRDefault="000F4095" w:rsidP="00343766">
            <w:pPr>
              <w:pStyle w:val="ColorfulList-Accent11"/>
              <w:spacing w:line="276" w:lineRule="auto"/>
              <w:ind w:left="288" w:right="162" w:hanging="180"/>
              <w:rPr>
                <w:rFonts w:ascii="Tahoma" w:hAnsi="Tahoma" w:cs="Tahoma"/>
                <w:sz w:val="18"/>
                <w:szCs w:val="20"/>
              </w:rPr>
            </w:pPr>
            <w:r w:rsidRPr="00A75DF9">
              <w:rPr>
                <w:rFonts w:ascii="Tahoma" w:hAnsi="Tahoma" w:cs="Tahoma"/>
                <w:sz w:val="18"/>
                <w:szCs w:val="22"/>
              </w:rPr>
              <w:t>CAL per Employee Self Service di Microsoft Dynamics CRM 2011</w:t>
            </w:r>
          </w:p>
        </w:tc>
      </w:tr>
      <w:tr w:rsidR="000F4095" w:rsidRPr="00A75DF9"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0F4095" w:rsidRPr="00A75DF9" w:rsidRDefault="000F4095" w:rsidP="00343766">
            <w:pPr>
              <w:rPr>
                <w:rFonts w:cs="Tahoma"/>
                <w:color w:val="000000"/>
                <w:szCs w:val="20"/>
              </w:rPr>
            </w:pPr>
            <w:r w:rsidRPr="00A75DF9">
              <w:rPr>
                <w:rFonts w:cs="Tahoma"/>
              </w:rPr>
              <w:t>CAL Aggiuntiva per l</w:t>
            </w:r>
            <w:r w:rsidR="00F2643E">
              <w:rPr>
                <w:rFonts w:cs="Tahoma"/>
              </w:rPr>
              <w:t>’</w:t>
            </w:r>
            <w:r w:rsidRPr="00A75DF9">
              <w:rPr>
                <w:rFonts w:cs="Tahoma"/>
              </w:rPr>
              <w:t>Utilizzo di Microsoft Dynamics CRM 2013 Basic</w:t>
            </w:r>
          </w:p>
        </w:tc>
        <w:tc>
          <w:tcPr>
            <w:tcW w:w="4242" w:type="dxa"/>
            <w:tcBorders>
              <w:top w:val="nil"/>
              <w:left w:val="nil"/>
              <w:bottom w:val="single" w:sz="8" w:space="0" w:color="000000"/>
              <w:right w:val="single" w:sz="8" w:space="0" w:color="000000"/>
            </w:tcBorders>
            <w:vAlign w:val="center"/>
          </w:tcPr>
          <w:p w:rsidR="000F4095" w:rsidRPr="00A75DF9" w:rsidRDefault="000F4095" w:rsidP="00343766">
            <w:pPr>
              <w:pStyle w:val="ColorfulList-Accent11"/>
              <w:spacing w:line="276" w:lineRule="auto"/>
              <w:ind w:left="288" w:right="162" w:hanging="180"/>
              <w:rPr>
                <w:rFonts w:ascii="Tahoma" w:hAnsi="Tahoma" w:cs="Tahoma"/>
                <w:color w:val="000000"/>
                <w:sz w:val="18"/>
                <w:szCs w:val="20"/>
              </w:rPr>
            </w:pPr>
            <w:r w:rsidRPr="00A75DF9">
              <w:rPr>
                <w:rFonts w:ascii="Tahoma" w:hAnsi="Tahoma" w:cs="Tahoma"/>
                <w:color w:val="000000"/>
                <w:sz w:val="18"/>
                <w:szCs w:val="20"/>
              </w:rPr>
              <w:t>CAL Aggiuntiva per l</w:t>
            </w:r>
            <w:r w:rsidR="00F2643E">
              <w:rPr>
                <w:rFonts w:ascii="Tahoma" w:hAnsi="Tahoma" w:cs="Tahoma"/>
                <w:color w:val="000000"/>
                <w:sz w:val="18"/>
                <w:szCs w:val="20"/>
              </w:rPr>
              <w:t>’</w:t>
            </w:r>
            <w:r w:rsidRPr="00A75DF9">
              <w:rPr>
                <w:rFonts w:ascii="Tahoma" w:hAnsi="Tahoma" w:cs="Tahoma"/>
                <w:color w:val="000000"/>
                <w:sz w:val="18"/>
                <w:szCs w:val="20"/>
              </w:rPr>
              <w:t>Utilizzo Limitato di Microsoft Dynamics CRM 2011</w:t>
            </w:r>
          </w:p>
        </w:tc>
      </w:tr>
      <w:tr w:rsidR="000F4095" w:rsidRPr="00A75DF9" w:rsidTr="00343766">
        <w:tc>
          <w:tcPr>
            <w:tcW w:w="4140"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rsidR="000F4095" w:rsidRPr="00A75DF9" w:rsidRDefault="000F4095" w:rsidP="00343766">
            <w:pPr>
              <w:rPr>
                <w:rFonts w:cs="Tahoma"/>
                <w:color w:val="000000"/>
                <w:szCs w:val="20"/>
              </w:rPr>
            </w:pPr>
            <w:r w:rsidRPr="00A75DF9">
              <w:rPr>
                <w:rFonts w:cs="Tahoma"/>
              </w:rPr>
              <w:t>CAL Aggiuntiva per l</w:t>
            </w:r>
            <w:r w:rsidR="00F2643E">
              <w:rPr>
                <w:rFonts w:cs="Tahoma"/>
              </w:rPr>
              <w:t>’</w:t>
            </w:r>
            <w:r w:rsidRPr="00A75DF9">
              <w:rPr>
                <w:rFonts w:cs="Tahoma"/>
              </w:rPr>
              <w:t>Utilizzo di Microsoft Dynamics CRM 2013 Professional</w:t>
            </w:r>
          </w:p>
        </w:tc>
        <w:tc>
          <w:tcPr>
            <w:tcW w:w="4242" w:type="dxa"/>
            <w:tcBorders>
              <w:top w:val="nil"/>
              <w:left w:val="nil"/>
              <w:bottom w:val="single" w:sz="8" w:space="0" w:color="000000"/>
              <w:right w:val="single" w:sz="8" w:space="0" w:color="000000"/>
            </w:tcBorders>
          </w:tcPr>
          <w:p w:rsidR="000F4095" w:rsidRPr="00A75DF9" w:rsidRDefault="000F4095" w:rsidP="00A70443">
            <w:pPr>
              <w:pStyle w:val="ColorfulList-Accent11"/>
              <w:spacing w:line="276" w:lineRule="auto"/>
              <w:ind w:left="288" w:right="162" w:hanging="180"/>
              <w:rPr>
                <w:rFonts w:ascii="Tahoma" w:hAnsi="Tahoma" w:cs="Tahoma"/>
                <w:color w:val="000000"/>
                <w:sz w:val="18"/>
                <w:szCs w:val="20"/>
              </w:rPr>
            </w:pPr>
            <w:r w:rsidRPr="00A75DF9">
              <w:rPr>
                <w:rFonts w:ascii="Tahoma" w:hAnsi="Tahoma" w:cs="Tahoma"/>
                <w:color w:val="000000"/>
                <w:sz w:val="18"/>
                <w:szCs w:val="20"/>
              </w:rPr>
              <w:t>CAL Aggiuntiva per l</w:t>
            </w:r>
            <w:r w:rsidR="00F2643E">
              <w:rPr>
                <w:rFonts w:ascii="Tahoma" w:hAnsi="Tahoma" w:cs="Tahoma"/>
                <w:color w:val="000000"/>
                <w:sz w:val="18"/>
                <w:szCs w:val="20"/>
              </w:rPr>
              <w:t>’</w:t>
            </w:r>
            <w:r w:rsidRPr="00A75DF9">
              <w:rPr>
                <w:rFonts w:ascii="Tahoma" w:hAnsi="Tahoma" w:cs="Tahoma"/>
                <w:color w:val="000000"/>
                <w:sz w:val="18"/>
                <w:szCs w:val="20"/>
              </w:rPr>
              <w:t>Utilizzo Completo di</w:t>
            </w:r>
            <w:r w:rsidR="00A70443">
              <w:rPr>
                <w:rFonts w:ascii="Tahoma" w:hAnsi="Tahoma" w:cs="Tahoma"/>
                <w:color w:val="000000"/>
                <w:sz w:val="18"/>
                <w:szCs w:val="20"/>
              </w:rPr>
              <w:t> </w:t>
            </w:r>
            <w:r w:rsidRPr="00A75DF9">
              <w:rPr>
                <w:rFonts w:ascii="Tahoma" w:hAnsi="Tahoma" w:cs="Tahoma"/>
                <w:color w:val="000000"/>
                <w:sz w:val="18"/>
                <w:szCs w:val="20"/>
              </w:rPr>
              <w:t>Microsoft Dynamics CRM 2011</w:t>
            </w:r>
          </w:p>
        </w:tc>
      </w:tr>
    </w:tbl>
    <w:p w:rsidR="000F4095" w:rsidRPr="00A75DF9" w:rsidRDefault="000F4095" w:rsidP="000F4095">
      <w:pPr>
        <w:spacing w:after="60"/>
        <w:ind w:left="720"/>
        <w:rPr>
          <w:rFonts w:cs="Tahoma"/>
        </w:rPr>
      </w:pPr>
      <w:r w:rsidRPr="00A75DF9">
        <w:rPr>
          <w:rFonts w:cs="Tahoma"/>
          <w:b/>
          <w:bCs/>
          <w:color w:val="000000"/>
          <w:szCs w:val="20"/>
        </w:rPr>
        <w:lastRenderedPageBreak/>
        <w:t>Opzioni della Licenza di Accesso Client (Client Access License)</w:t>
      </w:r>
    </w:p>
    <w:p w:rsidR="000F4095" w:rsidRPr="00A75DF9" w:rsidRDefault="000F4095" w:rsidP="000F4095">
      <w:pPr>
        <w:ind w:left="720"/>
        <w:rPr>
          <w:rFonts w:cs="Tahoma"/>
        </w:rPr>
      </w:pPr>
      <w:r w:rsidRPr="00A75DF9">
        <w:rPr>
          <w:rFonts w:cs="Tahoma"/>
          <w:color w:val="000000"/>
          <w:szCs w:val="20"/>
        </w:rPr>
        <w:t>Gli utilizzi autorizzati ai sensi delle diverse licenze CAL per Microsoft Dynamics CRM 2013 sono delineati nella tabella che segue.</w:t>
      </w:r>
      <w:r w:rsidR="009D3B41" w:rsidRPr="00A75DF9">
        <w:rPr>
          <w:rFonts w:cs="Tahoma"/>
          <w:color w:val="000000"/>
          <w:szCs w:val="20"/>
        </w:rPr>
        <w:t xml:space="preserve"> </w:t>
      </w:r>
      <w:r w:rsidRPr="00A75DF9">
        <w:rPr>
          <w:rFonts w:cs="Tahoma"/>
          <w:color w:val="000000"/>
          <w:szCs w:val="20"/>
        </w:rPr>
        <w:t>La CAL Limitata e la CAL Completa sono offerte che includono più licenze.</w:t>
      </w:r>
    </w:p>
    <w:p w:rsidR="000F4095" w:rsidRPr="00A75DF9" w:rsidRDefault="000F4095" w:rsidP="000F4095">
      <w:pPr>
        <w:ind w:left="720"/>
        <w:rPr>
          <w:rFonts w:cs="Tahoma"/>
        </w:rPr>
      </w:pPr>
    </w:p>
    <w:tbl>
      <w:tblPr>
        <w:tblW w:w="7277"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17"/>
        <w:gridCol w:w="900"/>
        <w:gridCol w:w="557"/>
        <w:gridCol w:w="679"/>
        <w:gridCol w:w="244"/>
        <w:gridCol w:w="1220"/>
        <w:gridCol w:w="900"/>
        <w:gridCol w:w="540"/>
        <w:gridCol w:w="720"/>
      </w:tblGrid>
      <w:tr w:rsidR="00BF2FFA" w:rsidRPr="00A75DF9" w:rsidTr="00A70443">
        <w:trPr>
          <w:cantSplit/>
          <w:trHeight w:val="303"/>
          <w:tblHeader/>
        </w:trPr>
        <w:tc>
          <w:tcPr>
            <w:tcW w:w="151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noWrap/>
            <w:tcMar>
              <w:left w:w="72" w:type="dxa"/>
              <w:right w:w="72" w:type="dxa"/>
            </w:tcMar>
            <w:vAlign w:val="center"/>
            <w:hideMark/>
          </w:tcPr>
          <w:p w:rsidR="00BF2FFA" w:rsidRPr="00A75DF9" w:rsidRDefault="00BF2FFA" w:rsidP="00CC1E5B">
            <w:pPr>
              <w:spacing w:before="20" w:after="20"/>
              <w:rPr>
                <w:rFonts w:eastAsia="Times New Roman" w:cs="Tahoma"/>
                <w:b/>
                <w:bCs/>
                <w:color w:val="FFFFFF" w:themeColor="background1"/>
                <w:sz w:val="14"/>
                <w:szCs w:val="16"/>
              </w:rPr>
            </w:pPr>
            <w:r w:rsidRPr="00A75DF9">
              <w:rPr>
                <w:rFonts w:eastAsia="Times New Roman" w:cs="Tahoma"/>
                <w:b/>
                <w:bCs/>
                <w:color w:val="FFFFFF" w:themeColor="background1"/>
                <w:sz w:val="14"/>
                <w:szCs w:val="16"/>
              </w:rPr>
              <w:t>Diritti sull</w:t>
            </w:r>
            <w:r w:rsidR="00F2643E">
              <w:rPr>
                <w:rFonts w:eastAsia="Times New Roman" w:cs="Tahoma"/>
                <w:b/>
                <w:bCs/>
                <w:color w:val="FFFFFF" w:themeColor="background1"/>
                <w:sz w:val="14"/>
                <w:szCs w:val="16"/>
              </w:rPr>
              <w:t>’</w:t>
            </w:r>
            <w:r w:rsidRPr="00A75DF9">
              <w:rPr>
                <w:rFonts w:eastAsia="Times New Roman" w:cs="Tahoma"/>
                <w:b/>
                <w:bCs/>
                <w:color w:val="FFFFFF" w:themeColor="background1"/>
                <w:sz w:val="14"/>
                <w:szCs w:val="16"/>
              </w:rPr>
              <w:t>Utilizzo</w:t>
            </w:r>
          </w:p>
        </w:tc>
        <w:tc>
          <w:tcPr>
            <w:tcW w:w="90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rsidR="00BF2FFA" w:rsidRPr="00A75DF9" w:rsidRDefault="00BF2FFA" w:rsidP="004E6530">
            <w:pPr>
              <w:spacing w:before="20" w:after="20"/>
              <w:jc w:val="center"/>
              <w:rPr>
                <w:rFonts w:eastAsia="Times New Roman" w:cs="Tahoma"/>
                <w:b/>
                <w:bCs/>
                <w:color w:val="FFFFFF" w:themeColor="background1"/>
                <w:sz w:val="10"/>
                <w:szCs w:val="10"/>
              </w:rPr>
            </w:pPr>
            <w:r w:rsidRPr="00A75DF9">
              <w:rPr>
                <w:rFonts w:eastAsia="Times New Roman" w:cs="Tahoma"/>
                <w:b/>
                <w:bCs/>
                <w:color w:val="FFFFFF" w:themeColor="background1"/>
                <w:sz w:val="10"/>
                <w:szCs w:val="10"/>
              </w:rPr>
              <w:t>Professional</w:t>
            </w:r>
          </w:p>
        </w:tc>
        <w:tc>
          <w:tcPr>
            <w:tcW w:w="55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rsidR="00BF2FFA" w:rsidRPr="00A75DF9" w:rsidRDefault="00BF2FFA" w:rsidP="004E6530">
            <w:pPr>
              <w:spacing w:before="20" w:after="20"/>
              <w:jc w:val="center"/>
              <w:rPr>
                <w:rFonts w:eastAsia="Times New Roman" w:cs="Tahoma"/>
                <w:b/>
                <w:bCs/>
                <w:color w:val="FFFFFF" w:themeColor="background1"/>
                <w:sz w:val="10"/>
                <w:szCs w:val="10"/>
              </w:rPr>
            </w:pPr>
            <w:r w:rsidRPr="00A75DF9">
              <w:rPr>
                <w:rFonts w:eastAsia="Times New Roman" w:cs="Tahoma"/>
                <w:b/>
                <w:bCs/>
                <w:color w:val="FFFFFF" w:themeColor="background1"/>
                <w:sz w:val="10"/>
                <w:szCs w:val="10"/>
              </w:rPr>
              <w:t>Basic</w:t>
            </w:r>
          </w:p>
        </w:tc>
        <w:tc>
          <w:tcPr>
            <w:tcW w:w="679"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rsidR="00BF2FFA" w:rsidRPr="00A75DF9" w:rsidRDefault="00BF2FFA" w:rsidP="004E6530">
            <w:pPr>
              <w:spacing w:before="20" w:after="20"/>
              <w:jc w:val="center"/>
              <w:rPr>
                <w:rFonts w:eastAsia="Times New Roman" w:cs="Tahoma"/>
                <w:b/>
                <w:bCs/>
                <w:color w:val="FFFFFF" w:themeColor="background1"/>
                <w:sz w:val="10"/>
                <w:szCs w:val="10"/>
              </w:rPr>
            </w:pPr>
            <w:r w:rsidRPr="00A75DF9">
              <w:rPr>
                <w:rFonts w:eastAsia="Times New Roman" w:cs="Tahoma"/>
                <w:b/>
                <w:bCs/>
                <w:color w:val="FFFFFF" w:themeColor="background1"/>
                <w:sz w:val="10"/>
                <w:szCs w:val="10"/>
              </w:rPr>
              <w:t>Essential</w:t>
            </w:r>
          </w:p>
        </w:tc>
        <w:tc>
          <w:tcPr>
            <w:tcW w:w="244" w:type="dxa"/>
            <w:tcBorders>
              <w:top w:val="nil"/>
              <w:left w:val="nil"/>
              <w:bottom w:val="nil"/>
              <w:right w:val="nil"/>
            </w:tcBorders>
            <w:shd w:val="clear" w:color="auto" w:fill="auto"/>
          </w:tcPr>
          <w:p w:rsidR="00BF2FFA" w:rsidRPr="00A75DF9" w:rsidRDefault="00BF2FFA" w:rsidP="004E6530">
            <w:pPr>
              <w:spacing w:before="20" w:after="20"/>
              <w:jc w:val="center"/>
              <w:rPr>
                <w:rFonts w:eastAsia="Times New Roman" w:cs="Tahoma"/>
                <w:b/>
                <w:bCs/>
                <w:color w:val="FFFFFF" w:themeColor="background1"/>
                <w:sz w:val="14"/>
                <w:szCs w:val="16"/>
              </w:rPr>
            </w:pPr>
          </w:p>
        </w:tc>
        <w:tc>
          <w:tcPr>
            <w:tcW w:w="1220" w:type="dxa"/>
            <w:tcBorders>
              <w:top w:val="single" w:sz="4" w:space="0" w:color="FFFFFF" w:themeColor="background1"/>
              <w:left w:val="nil"/>
              <w:bottom w:val="single" w:sz="4" w:space="0" w:color="FFFFFF" w:themeColor="background1"/>
              <w:right w:val="single" w:sz="4" w:space="0" w:color="FFFFFF" w:themeColor="background1"/>
            </w:tcBorders>
            <w:shd w:val="clear" w:color="auto" w:fill="000090"/>
            <w:tcMar>
              <w:left w:w="72" w:type="dxa"/>
              <w:right w:w="72" w:type="dxa"/>
            </w:tcMar>
            <w:vAlign w:val="center"/>
          </w:tcPr>
          <w:p w:rsidR="00BF2FFA" w:rsidRPr="00A75DF9" w:rsidRDefault="00BF2FFA" w:rsidP="00CC1E5B">
            <w:pPr>
              <w:spacing w:before="20" w:after="20"/>
              <w:rPr>
                <w:rFonts w:eastAsia="Times New Roman" w:cs="Tahoma"/>
                <w:b/>
                <w:bCs/>
                <w:color w:val="FFFFFF" w:themeColor="background1"/>
                <w:sz w:val="14"/>
                <w:szCs w:val="16"/>
              </w:rPr>
            </w:pPr>
            <w:r w:rsidRPr="00A75DF9">
              <w:rPr>
                <w:rFonts w:eastAsia="Times New Roman" w:cs="Tahoma"/>
                <w:b/>
                <w:bCs/>
                <w:color w:val="FFFFFF" w:themeColor="background1"/>
                <w:sz w:val="14"/>
                <w:szCs w:val="16"/>
              </w:rPr>
              <w:t>Diritti sull</w:t>
            </w:r>
            <w:r w:rsidR="00F2643E">
              <w:rPr>
                <w:rFonts w:eastAsia="Times New Roman" w:cs="Tahoma"/>
                <w:b/>
                <w:bCs/>
                <w:color w:val="FFFFFF" w:themeColor="background1"/>
                <w:sz w:val="14"/>
                <w:szCs w:val="16"/>
              </w:rPr>
              <w:t>’</w:t>
            </w:r>
            <w:r w:rsidRPr="00A75DF9">
              <w:rPr>
                <w:rFonts w:eastAsia="Times New Roman" w:cs="Tahoma"/>
                <w:b/>
                <w:bCs/>
                <w:color w:val="FFFFFF" w:themeColor="background1"/>
                <w:sz w:val="14"/>
                <w:szCs w:val="16"/>
              </w:rPr>
              <w:t>Utilizzo</w:t>
            </w:r>
          </w:p>
        </w:tc>
        <w:tc>
          <w:tcPr>
            <w:tcW w:w="90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rsidR="00BF2FFA" w:rsidRPr="00A75DF9" w:rsidRDefault="00BF2FFA" w:rsidP="004E6530">
            <w:pPr>
              <w:spacing w:before="20" w:after="20"/>
              <w:jc w:val="center"/>
              <w:rPr>
                <w:rFonts w:eastAsia="Times New Roman" w:cs="Tahoma"/>
                <w:b/>
                <w:bCs/>
                <w:color w:val="FFFFFF" w:themeColor="background1"/>
                <w:sz w:val="14"/>
                <w:szCs w:val="16"/>
              </w:rPr>
            </w:pPr>
            <w:r w:rsidRPr="00A75DF9">
              <w:rPr>
                <w:rFonts w:eastAsia="Times New Roman" w:cs="Tahoma"/>
                <w:b/>
                <w:bCs/>
                <w:color w:val="FFFFFF" w:themeColor="background1"/>
                <w:sz w:val="10"/>
                <w:szCs w:val="10"/>
              </w:rPr>
              <w:t>Professional</w:t>
            </w:r>
          </w:p>
        </w:tc>
        <w:tc>
          <w:tcPr>
            <w:tcW w:w="54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0090"/>
            <w:vAlign w:val="center"/>
          </w:tcPr>
          <w:p w:rsidR="00BF2FFA" w:rsidRPr="00A75DF9" w:rsidRDefault="00BF2FFA" w:rsidP="004E6530">
            <w:pPr>
              <w:spacing w:before="20" w:after="20"/>
              <w:jc w:val="center"/>
              <w:rPr>
                <w:rFonts w:eastAsia="Times New Roman" w:cs="Tahoma"/>
                <w:b/>
                <w:bCs/>
                <w:color w:val="FFFFFF" w:themeColor="background1"/>
                <w:sz w:val="14"/>
                <w:szCs w:val="16"/>
              </w:rPr>
            </w:pPr>
            <w:r w:rsidRPr="00A75DF9">
              <w:rPr>
                <w:rFonts w:eastAsia="Times New Roman" w:cs="Tahoma"/>
                <w:b/>
                <w:bCs/>
                <w:color w:val="FFFFFF" w:themeColor="background1"/>
                <w:sz w:val="10"/>
                <w:szCs w:val="10"/>
              </w:rPr>
              <w:t>Basic</w:t>
            </w:r>
          </w:p>
        </w:tc>
        <w:tc>
          <w:tcPr>
            <w:tcW w:w="720" w:type="dxa"/>
            <w:tcBorders>
              <w:top w:val="single" w:sz="4" w:space="0" w:color="FFFFFF" w:themeColor="background1"/>
              <w:left w:val="single" w:sz="4" w:space="0" w:color="FFFFFF" w:themeColor="background1"/>
              <w:bottom w:val="single" w:sz="4" w:space="0" w:color="FFFFFF" w:themeColor="background1"/>
              <w:right w:val="nil"/>
            </w:tcBorders>
            <w:shd w:val="clear" w:color="auto" w:fill="000090"/>
            <w:vAlign w:val="center"/>
          </w:tcPr>
          <w:p w:rsidR="00BF2FFA" w:rsidRPr="00A75DF9" w:rsidRDefault="00BF2FFA" w:rsidP="004E6530">
            <w:pPr>
              <w:spacing w:before="20" w:after="20"/>
              <w:jc w:val="center"/>
              <w:rPr>
                <w:rFonts w:eastAsia="Times New Roman" w:cs="Tahoma"/>
                <w:b/>
                <w:bCs/>
                <w:color w:val="FFFFFF" w:themeColor="background1"/>
                <w:sz w:val="14"/>
                <w:szCs w:val="16"/>
              </w:rPr>
            </w:pPr>
            <w:r w:rsidRPr="00A75DF9">
              <w:rPr>
                <w:rFonts w:eastAsia="Times New Roman" w:cs="Tahoma"/>
                <w:b/>
                <w:bCs/>
                <w:color w:val="FFFFFF" w:themeColor="background1"/>
                <w:sz w:val="10"/>
                <w:szCs w:val="10"/>
              </w:rPr>
              <w:t>Essential</w:t>
            </w:r>
          </w:p>
        </w:tc>
      </w:tr>
      <w:tr w:rsidR="00BF2FFA" w:rsidRPr="00A75DF9" w:rsidTr="00A70443">
        <w:trPr>
          <w:cantSplit/>
          <w:trHeight w:val="172"/>
        </w:trPr>
        <w:tc>
          <w:tcPr>
            <w:tcW w:w="1517" w:type="dxa"/>
            <w:tcBorders>
              <w:top w:val="single" w:sz="4" w:space="0" w:color="FFFFFF" w:themeColor="background1"/>
              <w:left w:val="nil"/>
              <w:bottom w:val="single" w:sz="4" w:space="0" w:color="A5A5A5" w:themeColor="accent3"/>
              <w:right w:val="nil"/>
            </w:tcBorders>
            <w:shd w:val="clear" w:color="auto" w:fill="auto"/>
            <w:noWrap/>
            <w:tcMar>
              <w:left w:w="72" w:type="dxa"/>
              <w:right w:w="72" w:type="dxa"/>
            </w:tcMar>
            <w:vAlign w:val="center"/>
            <w:hideMark/>
          </w:tcPr>
          <w:p w:rsidR="00BF2FFA" w:rsidRPr="00A75DF9" w:rsidRDefault="00BF2FFA" w:rsidP="004E6530">
            <w:pPr>
              <w:spacing w:before="20" w:after="20"/>
              <w:rPr>
                <w:rFonts w:eastAsia="Times New Roman" w:cs="Tahoma"/>
                <w:color w:val="000000"/>
                <w:sz w:val="13"/>
                <w:szCs w:val="13"/>
              </w:rPr>
            </w:pPr>
            <w:r w:rsidRPr="00A75DF9">
              <w:rPr>
                <w:rFonts w:eastAsia="Times New Roman" w:cs="Tahoma"/>
                <w:color w:val="000000"/>
                <w:sz w:val="13"/>
                <w:szCs w:val="13"/>
              </w:rPr>
              <w:t>Visualizza Annunci</w:t>
            </w:r>
          </w:p>
        </w:tc>
        <w:tc>
          <w:tcPr>
            <w:tcW w:w="900" w:type="dxa"/>
            <w:tcBorders>
              <w:top w:val="single" w:sz="4" w:space="0" w:color="FFFFFF" w:themeColor="background1"/>
              <w:left w:val="nil"/>
              <w:bottom w:val="single" w:sz="4" w:space="0" w:color="A5A5A5" w:themeColor="accent3"/>
              <w:right w:val="nil"/>
            </w:tcBorders>
            <w:vAlign w:val="center"/>
          </w:tcPr>
          <w:p w:rsidR="00BF2FFA" w:rsidRPr="00A75DF9" w:rsidRDefault="00BF2FFA" w:rsidP="004E6530">
            <w:pPr>
              <w:spacing w:before="20" w:after="20"/>
              <w:jc w:val="center"/>
              <w:rPr>
                <w:rFonts w:eastAsia="Times New Roman" w:cs="Tahoma"/>
                <w:noProof/>
                <w:color w:val="000000"/>
                <w:sz w:val="12"/>
                <w:szCs w:val="16"/>
              </w:rPr>
            </w:pPr>
            <w:r w:rsidRPr="00A75DF9">
              <w:rPr>
                <w:rFonts w:eastAsia="Times New Roman" w:cs="Tahoma"/>
                <w:noProof/>
                <w:color w:val="000000"/>
                <w:sz w:val="12"/>
                <w:szCs w:val="16"/>
              </w:rPr>
              <w:drawing>
                <wp:inline distT="0" distB="0" distL="0" distR="0" wp14:anchorId="16D63C3F" wp14:editId="33D2092A">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7" w:type="dxa"/>
            <w:tcBorders>
              <w:top w:val="single" w:sz="4" w:space="0" w:color="FFFFFF" w:themeColor="background1"/>
              <w:left w:val="nil"/>
              <w:bottom w:val="single" w:sz="4" w:space="0" w:color="A5A5A5" w:themeColor="accent3"/>
              <w:right w:val="nil"/>
            </w:tcBorders>
            <w:vAlign w:val="center"/>
          </w:tcPr>
          <w:p w:rsidR="00BF2FFA" w:rsidRPr="00A75DF9" w:rsidRDefault="00BF2FFA" w:rsidP="004E6530">
            <w:pPr>
              <w:spacing w:before="20" w:after="20"/>
              <w:jc w:val="center"/>
              <w:rPr>
                <w:rFonts w:eastAsia="Times New Roman" w:cs="Tahoma"/>
                <w:noProof/>
                <w:color w:val="000000"/>
                <w:sz w:val="12"/>
                <w:szCs w:val="16"/>
              </w:rPr>
            </w:pPr>
            <w:r w:rsidRPr="00A75DF9">
              <w:rPr>
                <w:rFonts w:eastAsia="Times New Roman" w:cs="Tahoma"/>
                <w:noProof/>
                <w:color w:val="000000"/>
                <w:sz w:val="12"/>
                <w:szCs w:val="16"/>
              </w:rPr>
              <w:drawing>
                <wp:inline distT="0" distB="0" distL="0" distR="0" wp14:anchorId="1BB666A7" wp14:editId="3F8CD8B4">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9" w:type="dxa"/>
            <w:tcBorders>
              <w:top w:val="single" w:sz="4" w:space="0" w:color="FFFFFF" w:themeColor="background1"/>
              <w:left w:val="nil"/>
              <w:bottom w:val="single" w:sz="4" w:space="0" w:color="A5A5A5" w:themeColor="accent3"/>
              <w:right w:val="nil"/>
            </w:tcBorders>
            <w:vAlign w:val="center"/>
          </w:tcPr>
          <w:p w:rsidR="00BF2FFA" w:rsidRPr="00A75DF9" w:rsidRDefault="00BF2FFA" w:rsidP="004E6530">
            <w:pPr>
              <w:spacing w:before="20" w:after="20"/>
              <w:jc w:val="center"/>
              <w:rPr>
                <w:rFonts w:eastAsia="Times New Roman" w:cs="Tahoma"/>
                <w:color w:val="000000"/>
                <w:sz w:val="12"/>
                <w:szCs w:val="16"/>
              </w:rPr>
            </w:pPr>
            <w:r w:rsidRPr="00A75DF9">
              <w:rPr>
                <w:rFonts w:eastAsia="Times New Roman" w:cs="Tahoma"/>
                <w:noProof/>
                <w:color w:val="000000"/>
                <w:sz w:val="12"/>
                <w:szCs w:val="16"/>
              </w:rPr>
              <w:drawing>
                <wp:inline distT="0" distB="0" distL="0" distR="0" wp14:anchorId="19624889" wp14:editId="6A856CC2">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44" w:type="dxa"/>
            <w:tcBorders>
              <w:top w:val="nil"/>
              <w:left w:val="nil"/>
              <w:bottom w:val="nil"/>
              <w:right w:val="nil"/>
            </w:tcBorders>
            <w:shd w:val="clear" w:color="auto" w:fill="auto"/>
          </w:tcPr>
          <w:p w:rsidR="00BF2FFA" w:rsidRPr="00A75DF9" w:rsidRDefault="00BF2FFA" w:rsidP="004E6530">
            <w:pPr>
              <w:spacing w:before="20" w:after="20"/>
              <w:jc w:val="center"/>
              <w:rPr>
                <w:rFonts w:eastAsia="Times New Roman" w:cs="Tahoma"/>
                <w:noProof/>
                <w:color w:val="000000"/>
                <w:sz w:val="12"/>
                <w:szCs w:val="16"/>
              </w:rPr>
            </w:pPr>
          </w:p>
        </w:tc>
        <w:tc>
          <w:tcPr>
            <w:tcW w:w="1220" w:type="dxa"/>
            <w:tcBorders>
              <w:top w:val="single" w:sz="4" w:space="0" w:color="FFFFFF" w:themeColor="background1"/>
              <w:left w:val="nil"/>
              <w:bottom w:val="single" w:sz="4" w:space="0" w:color="A5A5A5" w:themeColor="accent3"/>
              <w:right w:val="nil"/>
            </w:tcBorders>
            <w:tcMar>
              <w:left w:w="72" w:type="dxa"/>
              <w:right w:w="72" w:type="dxa"/>
            </w:tcMar>
            <w:vAlign w:val="center"/>
          </w:tcPr>
          <w:p w:rsidR="00BF2FFA" w:rsidRPr="00A75DF9" w:rsidRDefault="00BF2FFA" w:rsidP="004E6530">
            <w:pPr>
              <w:spacing w:before="20" w:after="20"/>
              <w:rPr>
                <w:rFonts w:eastAsia="Times New Roman" w:cs="Tahoma"/>
                <w:noProof/>
                <w:color w:val="000000"/>
                <w:sz w:val="13"/>
                <w:szCs w:val="13"/>
              </w:rPr>
            </w:pPr>
            <w:r w:rsidRPr="00A75DF9">
              <w:rPr>
                <w:rFonts w:eastAsia="Times New Roman" w:cs="Tahoma"/>
                <w:color w:val="000000"/>
                <w:sz w:val="13"/>
                <w:szCs w:val="13"/>
              </w:rPr>
              <w:t>Contatti</w:t>
            </w:r>
          </w:p>
        </w:tc>
        <w:tc>
          <w:tcPr>
            <w:tcW w:w="900" w:type="dxa"/>
            <w:tcBorders>
              <w:top w:val="single" w:sz="4" w:space="0" w:color="FFFFFF" w:themeColor="background1"/>
              <w:left w:val="nil"/>
              <w:bottom w:val="single" w:sz="4" w:space="0" w:color="A5A5A5" w:themeColor="accent3"/>
              <w:right w:val="nil"/>
            </w:tcBorders>
            <w:vAlign w:val="center"/>
          </w:tcPr>
          <w:p w:rsidR="00BF2FFA" w:rsidRPr="00A75DF9" w:rsidRDefault="00BF2FFA" w:rsidP="004E6530">
            <w:pPr>
              <w:spacing w:before="20" w:after="20"/>
              <w:jc w:val="center"/>
              <w:rPr>
                <w:rFonts w:eastAsia="Times New Roman" w:cs="Tahoma"/>
                <w:noProof/>
                <w:color w:val="000000"/>
                <w:sz w:val="12"/>
                <w:szCs w:val="16"/>
              </w:rPr>
            </w:pPr>
            <w:r w:rsidRPr="00A75DF9">
              <w:rPr>
                <w:rFonts w:eastAsia="Times New Roman" w:cs="Tahoma"/>
                <w:noProof/>
                <w:color w:val="000000"/>
                <w:sz w:val="12"/>
                <w:szCs w:val="16"/>
              </w:rPr>
              <w:drawing>
                <wp:inline distT="0" distB="0" distL="0" distR="0" wp14:anchorId="1BAA4923" wp14:editId="6EC48473">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FFFFFF" w:themeColor="background1"/>
              <w:left w:val="nil"/>
              <w:bottom w:val="single" w:sz="4" w:space="0" w:color="A5A5A5" w:themeColor="accent3"/>
              <w:right w:val="nil"/>
            </w:tcBorders>
            <w:vAlign w:val="center"/>
          </w:tcPr>
          <w:p w:rsidR="00BF2FFA" w:rsidRPr="00A75DF9" w:rsidRDefault="00BF2FFA" w:rsidP="004E6530">
            <w:pPr>
              <w:spacing w:before="20" w:after="20"/>
              <w:jc w:val="center"/>
              <w:rPr>
                <w:rFonts w:eastAsia="Times New Roman" w:cs="Tahoma"/>
                <w:noProof/>
                <w:color w:val="000000"/>
                <w:sz w:val="12"/>
                <w:szCs w:val="16"/>
              </w:rPr>
            </w:pPr>
            <w:r w:rsidRPr="00A75DF9">
              <w:rPr>
                <w:rFonts w:eastAsia="Times New Roman" w:cs="Tahoma"/>
                <w:noProof/>
                <w:color w:val="000000"/>
                <w:sz w:val="12"/>
                <w:szCs w:val="16"/>
              </w:rPr>
              <w:drawing>
                <wp:inline distT="0" distB="0" distL="0" distR="0" wp14:anchorId="041A2D96" wp14:editId="7B538611">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FFFFFF" w:themeColor="background1"/>
              <w:left w:val="nil"/>
              <w:bottom w:val="single" w:sz="4" w:space="0" w:color="A5A5A5" w:themeColor="accent3"/>
              <w:right w:val="nil"/>
            </w:tcBorders>
          </w:tcPr>
          <w:p w:rsidR="00BF2FFA" w:rsidRPr="00A75DF9" w:rsidRDefault="00BF2FFA" w:rsidP="004E6530">
            <w:pPr>
              <w:spacing w:before="20" w:after="20"/>
              <w:jc w:val="center"/>
              <w:rPr>
                <w:rFonts w:eastAsia="Times New Roman" w:cs="Tahoma"/>
                <w:noProof/>
                <w:color w:val="000000"/>
                <w:sz w:val="12"/>
                <w:szCs w:val="16"/>
              </w:rPr>
            </w:pPr>
          </w:p>
        </w:tc>
      </w:tr>
      <w:tr w:rsidR="00BF2FFA" w:rsidRPr="00A75DF9" w:rsidTr="00A70443">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A75DF9" w:rsidRDefault="00BF2FFA" w:rsidP="004E6530">
            <w:pPr>
              <w:spacing w:before="20" w:after="20"/>
              <w:rPr>
                <w:rFonts w:eastAsia="Times New Roman" w:cs="Tahoma"/>
                <w:color w:val="000000"/>
                <w:sz w:val="13"/>
                <w:szCs w:val="13"/>
              </w:rPr>
            </w:pPr>
            <w:r w:rsidRPr="00A75DF9">
              <w:rPr>
                <w:rFonts w:eastAsia="Times New Roman" w:cs="Tahoma"/>
                <w:color w:val="000000"/>
                <w:sz w:val="13"/>
                <w:szCs w:val="13"/>
              </w:rPr>
              <w:t>Gestisci visualizzazioni salvate</w:t>
            </w:r>
          </w:p>
        </w:tc>
        <w:tc>
          <w:tcPr>
            <w:tcW w:w="900"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eastAsia="Times New Roman" w:cs="Tahoma"/>
                <w:noProof/>
                <w:color w:val="000000"/>
                <w:sz w:val="12"/>
                <w:szCs w:val="16"/>
              </w:rPr>
            </w:pPr>
            <w:r w:rsidRPr="00A75DF9">
              <w:rPr>
                <w:rFonts w:eastAsia="Times New Roman" w:cs="Tahoma"/>
                <w:noProof/>
                <w:color w:val="000000"/>
                <w:sz w:val="12"/>
                <w:szCs w:val="16"/>
              </w:rPr>
              <w:drawing>
                <wp:inline distT="0" distB="0" distL="0" distR="0" wp14:anchorId="4E4B2B51" wp14:editId="34C9A6E8">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7"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eastAsia="Times New Roman" w:cs="Tahoma"/>
                <w:noProof/>
                <w:color w:val="000000"/>
                <w:sz w:val="12"/>
                <w:szCs w:val="16"/>
              </w:rPr>
            </w:pPr>
            <w:r w:rsidRPr="00A75DF9">
              <w:rPr>
                <w:rFonts w:eastAsia="Times New Roman" w:cs="Tahoma"/>
                <w:noProof/>
                <w:color w:val="000000"/>
                <w:sz w:val="12"/>
                <w:szCs w:val="16"/>
              </w:rPr>
              <w:drawing>
                <wp:inline distT="0" distB="0" distL="0" distR="0" wp14:anchorId="3714DC03" wp14:editId="36492EBD">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9"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eastAsia="Times New Roman" w:cs="Tahoma"/>
                <w:color w:val="000000"/>
                <w:sz w:val="12"/>
                <w:szCs w:val="16"/>
              </w:rPr>
            </w:pPr>
            <w:r w:rsidRPr="00A75DF9">
              <w:rPr>
                <w:rFonts w:eastAsia="Times New Roman" w:cs="Tahoma"/>
                <w:noProof/>
                <w:color w:val="000000"/>
                <w:sz w:val="12"/>
                <w:szCs w:val="16"/>
              </w:rPr>
              <w:drawing>
                <wp:inline distT="0" distB="0" distL="0" distR="0" wp14:anchorId="3092E5B9" wp14:editId="0E83B49D">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44" w:type="dxa"/>
            <w:tcBorders>
              <w:top w:val="nil"/>
              <w:left w:val="nil"/>
              <w:bottom w:val="nil"/>
              <w:right w:val="nil"/>
            </w:tcBorders>
            <w:shd w:val="clear" w:color="auto" w:fill="auto"/>
          </w:tcPr>
          <w:p w:rsidR="00BF2FFA" w:rsidRPr="00A75DF9" w:rsidRDefault="00BF2FFA" w:rsidP="004E6530">
            <w:pPr>
              <w:spacing w:before="20" w:after="20"/>
              <w:jc w:val="center"/>
              <w:rPr>
                <w:rFonts w:eastAsia="Times New Roman" w:cs="Tahoma"/>
                <w:noProof/>
                <w:color w:val="000000"/>
                <w:sz w:val="12"/>
                <w:szCs w:val="16"/>
              </w:rPr>
            </w:pPr>
          </w:p>
        </w:tc>
        <w:tc>
          <w:tcPr>
            <w:tcW w:w="122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A75DF9" w:rsidRDefault="00BF2FFA" w:rsidP="004E6530">
            <w:pPr>
              <w:spacing w:before="20" w:after="20"/>
              <w:rPr>
                <w:rFonts w:eastAsia="Times New Roman" w:cs="Tahoma"/>
                <w:noProof/>
                <w:color w:val="000000"/>
                <w:sz w:val="13"/>
                <w:szCs w:val="13"/>
              </w:rPr>
            </w:pPr>
            <w:r w:rsidRPr="00A75DF9">
              <w:rPr>
                <w:rFonts w:eastAsia="Times New Roman" w:cs="Tahoma"/>
                <w:color w:val="000000"/>
                <w:sz w:val="13"/>
                <w:szCs w:val="13"/>
              </w:rPr>
              <w:t>Lead scoring, routing, cessione</w:t>
            </w:r>
          </w:p>
        </w:tc>
        <w:tc>
          <w:tcPr>
            <w:tcW w:w="900"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eastAsia="Times New Roman" w:cs="Tahoma"/>
                <w:noProof/>
                <w:color w:val="000000"/>
                <w:sz w:val="12"/>
                <w:szCs w:val="16"/>
              </w:rPr>
            </w:pPr>
            <w:r w:rsidRPr="00A75DF9">
              <w:rPr>
                <w:rFonts w:eastAsia="Times New Roman" w:cs="Tahoma"/>
                <w:noProof/>
                <w:color w:val="000000"/>
                <w:sz w:val="12"/>
                <w:szCs w:val="16"/>
              </w:rPr>
              <w:drawing>
                <wp:inline distT="0" distB="0" distL="0" distR="0" wp14:anchorId="6DB4ACAB" wp14:editId="475120D2">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eastAsia="Times New Roman" w:cs="Tahoma"/>
                <w:noProof/>
                <w:color w:val="000000"/>
                <w:sz w:val="12"/>
                <w:szCs w:val="16"/>
              </w:rPr>
            </w:pPr>
            <w:r w:rsidRPr="00A75DF9">
              <w:rPr>
                <w:rFonts w:eastAsia="Times New Roman" w:cs="Tahoma"/>
                <w:noProof/>
                <w:color w:val="000000"/>
                <w:sz w:val="12"/>
                <w:szCs w:val="16"/>
              </w:rPr>
              <w:drawing>
                <wp:inline distT="0" distB="0" distL="0" distR="0" wp14:anchorId="0E64E625" wp14:editId="4FDDC25A">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A75DF9" w:rsidRDefault="00BF2FFA" w:rsidP="004E6530">
            <w:pPr>
              <w:spacing w:before="20" w:after="20"/>
              <w:jc w:val="center"/>
              <w:rPr>
                <w:rFonts w:eastAsia="Times New Roman" w:cs="Tahoma"/>
                <w:noProof/>
                <w:color w:val="000000"/>
                <w:sz w:val="12"/>
                <w:szCs w:val="16"/>
              </w:rPr>
            </w:pPr>
          </w:p>
        </w:tc>
      </w:tr>
      <w:tr w:rsidR="00BF2FFA" w:rsidRPr="00A75DF9" w:rsidTr="00A70443">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A75DF9" w:rsidRDefault="00BF2FFA" w:rsidP="004E6530">
            <w:pPr>
              <w:spacing w:before="20" w:after="20"/>
              <w:rPr>
                <w:rFonts w:eastAsia="Times New Roman" w:cs="Tahoma"/>
                <w:color w:val="000000"/>
                <w:sz w:val="13"/>
                <w:szCs w:val="13"/>
              </w:rPr>
            </w:pPr>
            <w:r w:rsidRPr="00A75DF9">
              <w:rPr>
                <w:rFonts w:eastAsia="Times New Roman" w:cs="Tahoma"/>
                <w:color w:val="000000"/>
                <w:sz w:val="13"/>
                <w:szCs w:val="13"/>
              </w:rPr>
              <w:t>Relazioni tra i record</w:t>
            </w:r>
          </w:p>
        </w:tc>
        <w:tc>
          <w:tcPr>
            <w:tcW w:w="900"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cs="Tahoma"/>
                <w:noProof/>
                <w:sz w:val="12"/>
                <w:szCs w:val="16"/>
              </w:rPr>
            </w:pPr>
            <w:r w:rsidRPr="00A75DF9">
              <w:rPr>
                <w:rFonts w:eastAsia="Times New Roman" w:cs="Tahoma"/>
                <w:noProof/>
                <w:color w:val="000000"/>
                <w:sz w:val="12"/>
                <w:szCs w:val="16"/>
              </w:rPr>
              <w:drawing>
                <wp:inline distT="0" distB="0" distL="0" distR="0" wp14:anchorId="0975D748" wp14:editId="08D09DCE">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7"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cs="Tahoma"/>
                <w:noProof/>
                <w:sz w:val="12"/>
                <w:szCs w:val="16"/>
              </w:rPr>
            </w:pPr>
            <w:r w:rsidRPr="00A75DF9">
              <w:rPr>
                <w:rFonts w:cs="Tahoma"/>
                <w:noProof/>
                <w:sz w:val="12"/>
                <w:szCs w:val="16"/>
              </w:rPr>
              <w:drawing>
                <wp:inline distT="0" distB="0" distL="0" distR="0" wp14:anchorId="4642A79A" wp14:editId="06248887">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79"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eastAsia="Times New Roman" w:cs="Tahoma"/>
                <w:color w:val="000000"/>
                <w:sz w:val="12"/>
                <w:szCs w:val="16"/>
              </w:rPr>
            </w:pPr>
            <w:r w:rsidRPr="00A75DF9">
              <w:rPr>
                <w:rFonts w:cs="Tahoma"/>
                <w:noProof/>
                <w:sz w:val="12"/>
                <w:szCs w:val="16"/>
              </w:rPr>
              <w:drawing>
                <wp:inline distT="0" distB="0" distL="0" distR="0" wp14:anchorId="429664C1" wp14:editId="1EA4256B">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44" w:type="dxa"/>
            <w:tcBorders>
              <w:top w:val="nil"/>
              <w:left w:val="nil"/>
              <w:bottom w:val="nil"/>
              <w:right w:val="nil"/>
            </w:tcBorders>
            <w:shd w:val="clear" w:color="auto" w:fill="auto"/>
          </w:tcPr>
          <w:p w:rsidR="00BF2FFA" w:rsidRPr="00A75DF9" w:rsidRDefault="00BF2FFA" w:rsidP="004E6530">
            <w:pPr>
              <w:spacing w:before="20" w:after="20"/>
              <w:jc w:val="center"/>
              <w:rPr>
                <w:rFonts w:cs="Tahoma"/>
                <w:noProof/>
                <w:sz w:val="12"/>
                <w:szCs w:val="16"/>
              </w:rPr>
            </w:pPr>
          </w:p>
        </w:tc>
        <w:tc>
          <w:tcPr>
            <w:tcW w:w="122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A75DF9" w:rsidRDefault="00BF2FFA" w:rsidP="004E6530">
            <w:pPr>
              <w:spacing w:before="20" w:after="20"/>
              <w:rPr>
                <w:rFonts w:eastAsia="Times New Roman" w:cs="Tahoma"/>
                <w:noProof/>
                <w:color w:val="000000"/>
                <w:sz w:val="13"/>
                <w:szCs w:val="13"/>
              </w:rPr>
            </w:pPr>
            <w:r w:rsidRPr="00A75DF9">
              <w:rPr>
                <w:rFonts w:eastAsia="Times New Roman" w:cs="Tahoma"/>
                <w:color w:val="000000"/>
                <w:sz w:val="13"/>
                <w:szCs w:val="13"/>
              </w:rPr>
              <w:t>Profilazione</w:t>
            </w:r>
          </w:p>
        </w:tc>
        <w:tc>
          <w:tcPr>
            <w:tcW w:w="900"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eastAsia="Times New Roman" w:cs="Tahoma"/>
                <w:noProof/>
                <w:color w:val="000000"/>
                <w:sz w:val="12"/>
                <w:szCs w:val="16"/>
              </w:rPr>
            </w:pPr>
            <w:r w:rsidRPr="00A75DF9">
              <w:rPr>
                <w:rFonts w:eastAsia="Times New Roman" w:cs="Tahoma"/>
                <w:noProof/>
                <w:color w:val="000000"/>
                <w:sz w:val="12"/>
                <w:szCs w:val="16"/>
              </w:rPr>
              <w:drawing>
                <wp:inline distT="0" distB="0" distL="0" distR="0" wp14:anchorId="1A3C4387" wp14:editId="14F75ABA">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eastAsia="Times New Roman" w:cs="Tahoma"/>
                <w:noProof/>
                <w:color w:val="000000"/>
                <w:sz w:val="12"/>
                <w:szCs w:val="16"/>
              </w:rPr>
            </w:pPr>
            <w:r w:rsidRPr="00A75DF9">
              <w:rPr>
                <w:rFonts w:eastAsia="Times New Roman" w:cs="Tahoma"/>
                <w:noProof/>
                <w:color w:val="000000"/>
                <w:sz w:val="12"/>
                <w:szCs w:val="16"/>
              </w:rPr>
              <w:drawing>
                <wp:inline distT="0" distB="0" distL="0" distR="0" wp14:anchorId="70604C63" wp14:editId="395F625C">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A75DF9" w:rsidRDefault="00BF2FFA" w:rsidP="004E6530">
            <w:pPr>
              <w:spacing w:before="20" w:after="20"/>
              <w:jc w:val="center"/>
              <w:rPr>
                <w:rFonts w:eastAsia="Times New Roman" w:cs="Tahoma"/>
                <w:noProof/>
                <w:color w:val="000000"/>
                <w:sz w:val="12"/>
                <w:szCs w:val="16"/>
              </w:rPr>
            </w:pPr>
          </w:p>
        </w:tc>
      </w:tr>
      <w:tr w:rsidR="00BF2FFA" w:rsidRPr="00A75DF9" w:rsidTr="00A70443">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A75DF9" w:rsidRDefault="00BF2FFA" w:rsidP="004E6530">
            <w:pPr>
              <w:spacing w:before="20" w:after="20"/>
              <w:rPr>
                <w:rFonts w:eastAsia="Times New Roman" w:cs="Tahoma"/>
                <w:color w:val="000000"/>
                <w:sz w:val="13"/>
                <w:szCs w:val="13"/>
              </w:rPr>
            </w:pPr>
            <w:r w:rsidRPr="00A75DF9">
              <w:rPr>
                <w:rFonts w:eastAsia="Times New Roman" w:cs="Tahoma"/>
                <w:color w:val="000000"/>
                <w:sz w:val="13"/>
                <w:szCs w:val="13"/>
              </w:rPr>
              <w:t>Crea viste Personali</w:t>
            </w:r>
          </w:p>
        </w:tc>
        <w:tc>
          <w:tcPr>
            <w:tcW w:w="900"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cs="Tahoma"/>
                <w:noProof/>
                <w:sz w:val="12"/>
                <w:szCs w:val="16"/>
              </w:rPr>
            </w:pPr>
            <w:r w:rsidRPr="00A75DF9">
              <w:rPr>
                <w:rFonts w:eastAsia="Times New Roman" w:cs="Tahoma"/>
                <w:noProof/>
                <w:color w:val="000000"/>
                <w:sz w:val="12"/>
                <w:szCs w:val="16"/>
              </w:rPr>
              <w:drawing>
                <wp:inline distT="0" distB="0" distL="0" distR="0" wp14:anchorId="1B4D2895" wp14:editId="7A1AA8B4">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7"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cs="Tahoma"/>
                <w:noProof/>
                <w:sz w:val="12"/>
                <w:szCs w:val="16"/>
              </w:rPr>
            </w:pPr>
            <w:r w:rsidRPr="00A75DF9">
              <w:rPr>
                <w:rFonts w:eastAsia="Times New Roman" w:cs="Tahoma"/>
                <w:noProof/>
                <w:color w:val="000000"/>
                <w:sz w:val="12"/>
                <w:szCs w:val="16"/>
              </w:rPr>
              <w:drawing>
                <wp:inline distT="0" distB="0" distL="0" distR="0" wp14:anchorId="6BC6F3A7" wp14:editId="4A7E4E05">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9"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eastAsia="Times New Roman" w:cs="Tahoma"/>
                <w:color w:val="000000"/>
                <w:sz w:val="12"/>
                <w:szCs w:val="16"/>
              </w:rPr>
            </w:pPr>
            <w:r w:rsidRPr="00A75DF9">
              <w:rPr>
                <w:rFonts w:cs="Tahoma"/>
                <w:noProof/>
                <w:sz w:val="12"/>
                <w:szCs w:val="16"/>
              </w:rPr>
              <w:drawing>
                <wp:inline distT="0" distB="0" distL="0" distR="0" wp14:anchorId="6A83F57F" wp14:editId="636E079D">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44" w:type="dxa"/>
            <w:tcBorders>
              <w:top w:val="nil"/>
              <w:left w:val="nil"/>
              <w:bottom w:val="nil"/>
              <w:right w:val="nil"/>
            </w:tcBorders>
            <w:shd w:val="clear" w:color="auto" w:fill="auto"/>
          </w:tcPr>
          <w:p w:rsidR="00BF2FFA" w:rsidRPr="00A75DF9" w:rsidRDefault="00BF2FFA" w:rsidP="004E6530">
            <w:pPr>
              <w:spacing w:before="20" w:after="20"/>
              <w:jc w:val="center"/>
              <w:rPr>
                <w:rFonts w:cs="Tahoma"/>
                <w:noProof/>
                <w:sz w:val="12"/>
                <w:szCs w:val="16"/>
              </w:rPr>
            </w:pPr>
          </w:p>
        </w:tc>
        <w:tc>
          <w:tcPr>
            <w:tcW w:w="122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A75DF9" w:rsidRDefault="00BF2FFA" w:rsidP="004E6530">
            <w:pPr>
              <w:spacing w:before="20" w:after="20"/>
              <w:rPr>
                <w:rFonts w:eastAsia="Times New Roman" w:cs="Tahoma"/>
                <w:noProof/>
                <w:color w:val="000000"/>
                <w:sz w:val="13"/>
                <w:szCs w:val="13"/>
              </w:rPr>
            </w:pPr>
            <w:r w:rsidRPr="00A75DF9">
              <w:rPr>
                <w:rFonts w:eastAsia="Times New Roman" w:cs="Tahoma"/>
                <w:color w:val="000000"/>
                <w:sz w:val="13"/>
                <w:szCs w:val="13"/>
              </w:rPr>
              <w:t>Aggiungi o rimuovi la relazione di una società per un account</w:t>
            </w:r>
          </w:p>
        </w:tc>
        <w:tc>
          <w:tcPr>
            <w:tcW w:w="900"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eastAsia="Times New Roman" w:cs="Tahoma"/>
                <w:noProof/>
                <w:color w:val="000000"/>
                <w:sz w:val="12"/>
                <w:szCs w:val="16"/>
              </w:rPr>
            </w:pPr>
            <w:r w:rsidRPr="00A75DF9">
              <w:rPr>
                <w:rFonts w:eastAsia="Times New Roman" w:cs="Tahoma"/>
                <w:noProof/>
                <w:color w:val="000000"/>
                <w:sz w:val="12"/>
                <w:szCs w:val="16"/>
              </w:rPr>
              <w:drawing>
                <wp:inline distT="0" distB="0" distL="0" distR="0" wp14:anchorId="0F270341" wp14:editId="66B499B2">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eastAsia="Times New Roman" w:cs="Tahoma"/>
                <w:noProof/>
                <w:color w:val="000000"/>
                <w:sz w:val="12"/>
                <w:szCs w:val="16"/>
              </w:rPr>
            </w:pPr>
            <w:r w:rsidRPr="00A75DF9">
              <w:rPr>
                <w:rFonts w:eastAsia="Times New Roman" w:cs="Tahoma"/>
                <w:noProof/>
                <w:color w:val="000000"/>
                <w:sz w:val="12"/>
                <w:szCs w:val="16"/>
              </w:rPr>
              <w:drawing>
                <wp:inline distT="0" distB="0" distL="0" distR="0" wp14:anchorId="39792DA3" wp14:editId="78D8963C">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A75DF9" w:rsidRDefault="00BF2FFA" w:rsidP="004E6530">
            <w:pPr>
              <w:spacing w:before="20" w:after="20"/>
              <w:jc w:val="center"/>
              <w:rPr>
                <w:rFonts w:eastAsia="Times New Roman" w:cs="Tahoma"/>
                <w:noProof/>
                <w:color w:val="000000"/>
                <w:sz w:val="12"/>
                <w:szCs w:val="16"/>
              </w:rPr>
            </w:pPr>
          </w:p>
        </w:tc>
      </w:tr>
      <w:tr w:rsidR="00BF2FFA" w:rsidRPr="00A75DF9" w:rsidTr="00A70443">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A75DF9" w:rsidRDefault="00BF2FFA" w:rsidP="004E6530">
            <w:pPr>
              <w:spacing w:before="20" w:after="20"/>
              <w:rPr>
                <w:rFonts w:eastAsia="Times New Roman" w:cs="Tahoma"/>
                <w:color w:val="000000"/>
                <w:sz w:val="13"/>
                <w:szCs w:val="13"/>
              </w:rPr>
            </w:pPr>
            <w:r w:rsidRPr="00A75DF9">
              <w:rPr>
                <w:rFonts w:eastAsia="Times New Roman" w:cs="Tahoma"/>
                <w:color w:val="000000"/>
                <w:sz w:val="13"/>
                <w:szCs w:val="13"/>
              </w:rPr>
              <w:t>Ricerca Avanzata</w:t>
            </w:r>
          </w:p>
        </w:tc>
        <w:tc>
          <w:tcPr>
            <w:tcW w:w="900"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cs="Tahoma"/>
                <w:noProof/>
                <w:sz w:val="12"/>
                <w:szCs w:val="16"/>
              </w:rPr>
            </w:pPr>
            <w:r w:rsidRPr="00A75DF9">
              <w:rPr>
                <w:rFonts w:eastAsia="Times New Roman" w:cs="Tahoma"/>
                <w:noProof/>
                <w:color w:val="000000"/>
                <w:sz w:val="12"/>
                <w:szCs w:val="16"/>
              </w:rPr>
              <w:drawing>
                <wp:inline distT="0" distB="0" distL="0" distR="0" wp14:anchorId="28087BB4" wp14:editId="687E5E43">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7"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cs="Tahoma"/>
                <w:noProof/>
                <w:sz w:val="12"/>
                <w:szCs w:val="16"/>
              </w:rPr>
            </w:pPr>
            <w:r w:rsidRPr="00A75DF9">
              <w:rPr>
                <w:rFonts w:eastAsia="Times New Roman" w:cs="Tahoma"/>
                <w:noProof/>
                <w:color w:val="000000"/>
                <w:sz w:val="12"/>
                <w:szCs w:val="16"/>
              </w:rPr>
              <w:drawing>
                <wp:inline distT="0" distB="0" distL="0" distR="0" wp14:anchorId="52F3212E" wp14:editId="544CD0AE">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9"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eastAsia="Times New Roman" w:cs="Tahoma"/>
                <w:color w:val="000000"/>
                <w:sz w:val="12"/>
                <w:szCs w:val="16"/>
              </w:rPr>
            </w:pPr>
            <w:r w:rsidRPr="00A75DF9">
              <w:rPr>
                <w:rFonts w:cs="Tahoma"/>
                <w:noProof/>
                <w:sz w:val="12"/>
                <w:szCs w:val="16"/>
              </w:rPr>
              <w:drawing>
                <wp:inline distT="0" distB="0" distL="0" distR="0" wp14:anchorId="21EE7D6D" wp14:editId="554E8CBF">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44" w:type="dxa"/>
            <w:tcBorders>
              <w:top w:val="nil"/>
              <w:left w:val="nil"/>
              <w:bottom w:val="nil"/>
              <w:right w:val="nil"/>
            </w:tcBorders>
            <w:shd w:val="clear" w:color="auto" w:fill="auto"/>
          </w:tcPr>
          <w:p w:rsidR="00BF2FFA" w:rsidRPr="00A75DF9" w:rsidRDefault="00BF2FFA" w:rsidP="004E6530">
            <w:pPr>
              <w:spacing w:before="20" w:after="20"/>
              <w:jc w:val="center"/>
              <w:rPr>
                <w:rFonts w:cs="Tahoma"/>
                <w:noProof/>
                <w:sz w:val="12"/>
                <w:szCs w:val="16"/>
              </w:rPr>
            </w:pPr>
          </w:p>
        </w:tc>
        <w:tc>
          <w:tcPr>
            <w:tcW w:w="122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A75DF9" w:rsidRDefault="00BF2FFA" w:rsidP="00CC1E5B">
            <w:pPr>
              <w:spacing w:before="20" w:after="20"/>
              <w:rPr>
                <w:rFonts w:eastAsia="Times New Roman" w:cs="Tahoma"/>
                <w:noProof/>
                <w:color w:val="000000"/>
                <w:sz w:val="13"/>
                <w:szCs w:val="13"/>
              </w:rPr>
            </w:pPr>
            <w:r w:rsidRPr="00A75DF9">
              <w:rPr>
                <w:rFonts w:eastAsia="Times New Roman" w:cs="Tahoma"/>
                <w:color w:val="000000"/>
                <w:sz w:val="13"/>
                <w:szCs w:val="13"/>
              </w:rPr>
              <w:t>Associa un</w:t>
            </w:r>
            <w:r w:rsidR="00F2643E">
              <w:rPr>
                <w:rFonts w:eastAsia="Times New Roman" w:cs="Tahoma"/>
                <w:color w:val="000000"/>
                <w:sz w:val="13"/>
                <w:szCs w:val="13"/>
              </w:rPr>
              <w:t>’</w:t>
            </w:r>
            <w:r w:rsidRPr="00A75DF9">
              <w:rPr>
                <w:rFonts w:eastAsia="Times New Roman" w:cs="Tahoma"/>
                <w:color w:val="000000"/>
                <w:sz w:val="13"/>
                <w:szCs w:val="13"/>
              </w:rPr>
              <w:t>opportunità a un account</w:t>
            </w:r>
          </w:p>
        </w:tc>
        <w:tc>
          <w:tcPr>
            <w:tcW w:w="900"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eastAsia="Times New Roman" w:cs="Tahoma"/>
                <w:noProof/>
                <w:color w:val="000000"/>
                <w:sz w:val="12"/>
                <w:szCs w:val="16"/>
              </w:rPr>
            </w:pPr>
            <w:r w:rsidRPr="00A75DF9">
              <w:rPr>
                <w:rFonts w:eastAsia="Times New Roman" w:cs="Tahoma"/>
                <w:noProof/>
                <w:color w:val="000000"/>
                <w:sz w:val="12"/>
                <w:szCs w:val="16"/>
              </w:rPr>
              <w:drawing>
                <wp:inline distT="0" distB="0" distL="0" distR="0" wp14:anchorId="417A6689" wp14:editId="0FBC65DF">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eastAsia="Times New Roman" w:cs="Tahoma"/>
                <w:noProof/>
                <w:color w:val="000000"/>
                <w:sz w:val="12"/>
                <w:szCs w:val="16"/>
              </w:rPr>
            </w:pPr>
            <w:r w:rsidRPr="00A75DF9">
              <w:rPr>
                <w:rFonts w:eastAsia="Times New Roman" w:cs="Tahoma"/>
                <w:noProof/>
                <w:color w:val="000000"/>
                <w:sz w:val="12"/>
                <w:szCs w:val="16"/>
              </w:rPr>
              <w:drawing>
                <wp:inline distT="0" distB="0" distL="0" distR="0" wp14:anchorId="499CD628" wp14:editId="20D09493">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A75DF9" w:rsidRDefault="00BF2FFA" w:rsidP="004E6530">
            <w:pPr>
              <w:spacing w:before="20" w:after="20"/>
              <w:jc w:val="center"/>
              <w:rPr>
                <w:rFonts w:eastAsia="Times New Roman" w:cs="Tahoma"/>
                <w:noProof/>
                <w:color w:val="000000"/>
                <w:sz w:val="12"/>
                <w:szCs w:val="16"/>
              </w:rPr>
            </w:pPr>
          </w:p>
        </w:tc>
      </w:tr>
      <w:tr w:rsidR="00BF2FFA" w:rsidRPr="00A75DF9" w:rsidTr="00A70443">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A75DF9" w:rsidRDefault="00BF2FFA" w:rsidP="004E6530">
            <w:pPr>
              <w:spacing w:before="20" w:after="20"/>
              <w:rPr>
                <w:rFonts w:eastAsia="Times New Roman" w:cs="Tahoma"/>
                <w:color w:val="000000"/>
                <w:sz w:val="13"/>
                <w:szCs w:val="13"/>
              </w:rPr>
            </w:pPr>
            <w:r w:rsidRPr="00A75DF9">
              <w:rPr>
                <w:rFonts w:eastAsia="Times New Roman" w:cs="Tahoma"/>
                <w:color w:val="000000"/>
                <w:sz w:val="13"/>
                <w:szCs w:val="13"/>
              </w:rPr>
              <w:t>Cerca</w:t>
            </w:r>
          </w:p>
        </w:tc>
        <w:tc>
          <w:tcPr>
            <w:tcW w:w="900"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cs="Tahoma"/>
                <w:noProof/>
                <w:sz w:val="12"/>
                <w:szCs w:val="16"/>
              </w:rPr>
            </w:pPr>
            <w:r w:rsidRPr="00A75DF9">
              <w:rPr>
                <w:rFonts w:eastAsia="Times New Roman" w:cs="Tahoma"/>
                <w:noProof/>
                <w:color w:val="000000"/>
                <w:sz w:val="12"/>
                <w:szCs w:val="16"/>
              </w:rPr>
              <w:drawing>
                <wp:inline distT="0" distB="0" distL="0" distR="0" wp14:anchorId="7CE08F49" wp14:editId="4DE5D316">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7"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cs="Tahoma"/>
                <w:noProof/>
                <w:sz w:val="12"/>
                <w:szCs w:val="16"/>
              </w:rPr>
            </w:pPr>
            <w:r w:rsidRPr="00A75DF9">
              <w:rPr>
                <w:rFonts w:eastAsia="Times New Roman" w:cs="Tahoma"/>
                <w:noProof/>
                <w:color w:val="000000"/>
                <w:sz w:val="12"/>
                <w:szCs w:val="16"/>
              </w:rPr>
              <w:drawing>
                <wp:inline distT="0" distB="0" distL="0" distR="0" wp14:anchorId="04DFDEAB" wp14:editId="1B6DFA46">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9"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eastAsia="Times New Roman" w:cs="Tahoma"/>
                <w:color w:val="000000"/>
                <w:sz w:val="12"/>
                <w:szCs w:val="16"/>
              </w:rPr>
            </w:pPr>
            <w:r w:rsidRPr="00A75DF9">
              <w:rPr>
                <w:rFonts w:cs="Tahoma"/>
                <w:noProof/>
                <w:sz w:val="12"/>
                <w:szCs w:val="16"/>
              </w:rPr>
              <w:drawing>
                <wp:inline distT="0" distB="0" distL="0" distR="0" wp14:anchorId="65271317" wp14:editId="27143405">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44" w:type="dxa"/>
            <w:tcBorders>
              <w:top w:val="nil"/>
              <w:left w:val="nil"/>
              <w:bottom w:val="nil"/>
              <w:right w:val="nil"/>
            </w:tcBorders>
            <w:shd w:val="clear" w:color="auto" w:fill="auto"/>
          </w:tcPr>
          <w:p w:rsidR="00BF2FFA" w:rsidRPr="00A75DF9" w:rsidRDefault="00BF2FFA" w:rsidP="004E6530">
            <w:pPr>
              <w:spacing w:before="20" w:after="20"/>
              <w:jc w:val="center"/>
              <w:rPr>
                <w:rFonts w:cs="Tahoma"/>
                <w:noProof/>
                <w:sz w:val="12"/>
                <w:szCs w:val="16"/>
              </w:rPr>
            </w:pPr>
          </w:p>
        </w:tc>
        <w:tc>
          <w:tcPr>
            <w:tcW w:w="122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A75DF9" w:rsidRDefault="00BF2FFA" w:rsidP="004E6530">
            <w:pPr>
              <w:spacing w:before="20" w:after="20"/>
              <w:rPr>
                <w:rFonts w:eastAsia="Times New Roman" w:cs="Tahoma"/>
                <w:noProof/>
                <w:color w:val="000000"/>
                <w:sz w:val="13"/>
                <w:szCs w:val="13"/>
              </w:rPr>
            </w:pPr>
            <w:r w:rsidRPr="00A75DF9">
              <w:rPr>
                <w:rFonts w:eastAsia="Times New Roman" w:cs="Tahoma"/>
                <w:color w:val="000000"/>
                <w:sz w:val="13"/>
                <w:szCs w:val="13"/>
              </w:rPr>
              <w:t>Qualifica e converti un potenziale cliente in un account</w:t>
            </w:r>
          </w:p>
        </w:tc>
        <w:tc>
          <w:tcPr>
            <w:tcW w:w="900"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eastAsia="Times New Roman" w:cs="Tahoma"/>
                <w:noProof/>
                <w:color w:val="000000"/>
                <w:sz w:val="12"/>
                <w:szCs w:val="16"/>
              </w:rPr>
            </w:pPr>
            <w:r w:rsidRPr="00A75DF9">
              <w:rPr>
                <w:rFonts w:eastAsia="Times New Roman" w:cs="Tahoma"/>
                <w:noProof/>
                <w:color w:val="000000"/>
                <w:sz w:val="12"/>
                <w:szCs w:val="16"/>
              </w:rPr>
              <w:drawing>
                <wp:inline distT="0" distB="0" distL="0" distR="0" wp14:anchorId="4D1C756A" wp14:editId="57D135EE">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eastAsia="Times New Roman" w:cs="Tahoma"/>
                <w:noProof/>
                <w:color w:val="000000"/>
                <w:sz w:val="12"/>
                <w:szCs w:val="16"/>
              </w:rPr>
            </w:pPr>
            <w:r w:rsidRPr="00A75DF9">
              <w:rPr>
                <w:rFonts w:eastAsia="Times New Roman" w:cs="Tahoma"/>
                <w:noProof/>
                <w:color w:val="000000"/>
                <w:sz w:val="12"/>
                <w:szCs w:val="16"/>
              </w:rPr>
              <w:drawing>
                <wp:inline distT="0" distB="0" distL="0" distR="0" wp14:anchorId="100EBDCF" wp14:editId="20947994">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A75DF9" w:rsidRDefault="00BF2FFA" w:rsidP="004E6530">
            <w:pPr>
              <w:spacing w:before="20" w:after="20"/>
              <w:jc w:val="center"/>
              <w:rPr>
                <w:rFonts w:eastAsia="Times New Roman" w:cs="Tahoma"/>
                <w:noProof/>
                <w:color w:val="000000"/>
                <w:sz w:val="12"/>
                <w:szCs w:val="16"/>
              </w:rPr>
            </w:pPr>
          </w:p>
        </w:tc>
      </w:tr>
      <w:tr w:rsidR="00BF2FFA" w:rsidRPr="00A75DF9" w:rsidTr="00A70443">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A75DF9" w:rsidRDefault="00BF2FFA" w:rsidP="004E6530">
            <w:pPr>
              <w:spacing w:before="20" w:after="20"/>
              <w:rPr>
                <w:rFonts w:eastAsia="Times New Roman" w:cs="Tahoma"/>
                <w:color w:val="000000"/>
                <w:sz w:val="13"/>
                <w:szCs w:val="13"/>
              </w:rPr>
            </w:pPr>
            <w:r w:rsidRPr="00A75DF9">
              <w:rPr>
                <w:rFonts w:eastAsia="Times New Roman" w:cs="Tahoma"/>
                <w:color w:val="000000"/>
                <w:sz w:val="13"/>
                <w:szCs w:val="13"/>
              </w:rPr>
              <w:t>Utilizza un elemento della coda</w:t>
            </w:r>
          </w:p>
        </w:tc>
        <w:tc>
          <w:tcPr>
            <w:tcW w:w="900"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cs="Tahoma"/>
                <w:noProof/>
                <w:sz w:val="12"/>
                <w:szCs w:val="16"/>
              </w:rPr>
            </w:pPr>
            <w:r w:rsidRPr="00A75DF9">
              <w:rPr>
                <w:rFonts w:eastAsia="Times New Roman" w:cs="Tahoma"/>
                <w:noProof/>
                <w:color w:val="000000"/>
                <w:sz w:val="12"/>
                <w:szCs w:val="16"/>
              </w:rPr>
              <w:drawing>
                <wp:inline distT="0" distB="0" distL="0" distR="0" wp14:anchorId="7B08F243" wp14:editId="2142E9D4">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7"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cs="Tahoma"/>
                <w:noProof/>
                <w:sz w:val="12"/>
                <w:szCs w:val="16"/>
              </w:rPr>
            </w:pPr>
            <w:r w:rsidRPr="00A75DF9">
              <w:rPr>
                <w:rFonts w:cs="Tahoma"/>
                <w:noProof/>
                <w:sz w:val="12"/>
                <w:szCs w:val="16"/>
              </w:rPr>
              <w:drawing>
                <wp:inline distT="0" distB="0" distL="0" distR="0" wp14:anchorId="1F113CAA" wp14:editId="735106A5">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79"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eastAsia="Times New Roman" w:cs="Tahoma"/>
                <w:color w:val="000000"/>
                <w:sz w:val="12"/>
                <w:szCs w:val="16"/>
              </w:rPr>
            </w:pPr>
            <w:r w:rsidRPr="00A75DF9">
              <w:rPr>
                <w:rFonts w:cs="Tahoma"/>
                <w:noProof/>
                <w:sz w:val="12"/>
                <w:szCs w:val="16"/>
              </w:rPr>
              <w:drawing>
                <wp:inline distT="0" distB="0" distL="0" distR="0" wp14:anchorId="0678CD53" wp14:editId="6369937C">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44" w:type="dxa"/>
            <w:tcBorders>
              <w:top w:val="nil"/>
              <w:left w:val="nil"/>
              <w:bottom w:val="nil"/>
              <w:right w:val="nil"/>
            </w:tcBorders>
            <w:shd w:val="clear" w:color="auto" w:fill="auto"/>
          </w:tcPr>
          <w:p w:rsidR="00BF2FFA" w:rsidRPr="00A75DF9" w:rsidRDefault="00BF2FFA" w:rsidP="004E6530">
            <w:pPr>
              <w:spacing w:before="20" w:after="20"/>
              <w:jc w:val="center"/>
              <w:rPr>
                <w:rFonts w:cs="Tahoma"/>
                <w:noProof/>
                <w:sz w:val="12"/>
                <w:szCs w:val="16"/>
              </w:rPr>
            </w:pPr>
          </w:p>
        </w:tc>
        <w:tc>
          <w:tcPr>
            <w:tcW w:w="122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A75DF9" w:rsidRDefault="00BF2FFA" w:rsidP="004E6530">
            <w:pPr>
              <w:spacing w:before="20" w:after="20"/>
              <w:rPr>
                <w:rFonts w:eastAsia="Times New Roman" w:cs="Tahoma"/>
                <w:noProof/>
                <w:color w:val="000000"/>
                <w:sz w:val="13"/>
                <w:szCs w:val="13"/>
              </w:rPr>
            </w:pPr>
            <w:r w:rsidRPr="00A75DF9">
              <w:rPr>
                <w:rFonts w:eastAsia="Times New Roman" w:cs="Tahoma"/>
                <w:color w:val="000000"/>
                <w:sz w:val="13"/>
                <w:szCs w:val="13"/>
              </w:rPr>
              <w:t>Account</w:t>
            </w:r>
          </w:p>
        </w:tc>
        <w:tc>
          <w:tcPr>
            <w:tcW w:w="900"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eastAsia="Times New Roman" w:cs="Tahoma"/>
                <w:noProof/>
                <w:color w:val="000000"/>
                <w:sz w:val="12"/>
                <w:szCs w:val="16"/>
              </w:rPr>
            </w:pPr>
            <w:r w:rsidRPr="00A75DF9">
              <w:rPr>
                <w:rFonts w:eastAsia="Times New Roman" w:cs="Tahoma"/>
                <w:noProof/>
                <w:color w:val="000000"/>
                <w:sz w:val="12"/>
                <w:szCs w:val="16"/>
              </w:rPr>
              <w:drawing>
                <wp:inline distT="0" distB="0" distL="0" distR="0" wp14:anchorId="644BEDF0" wp14:editId="4FF3ED9F">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eastAsia="Times New Roman" w:cs="Tahoma"/>
                <w:noProof/>
                <w:color w:val="000000"/>
                <w:sz w:val="12"/>
                <w:szCs w:val="16"/>
              </w:rPr>
            </w:pPr>
            <w:r w:rsidRPr="00A75DF9">
              <w:rPr>
                <w:rFonts w:eastAsia="Times New Roman" w:cs="Tahoma"/>
                <w:noProof/>
                <w:color w:val="000000"/>
                <w:sz w:val="12"/>
                <w:szCs w:val="16"/>
              </w:rPr>
              <w:drawing>
                <wp:inline distT="0" distB="0" distL="0" distR="0" wp14:anchorId="5BEFDA01" wp14:editId="1B8B5220">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720" w:type="dxa"/>
            <w:tcBorders>
              <w:top w:val="single" w:sz="4" w:space="0" w:color="A5A5A5" w:themeColor="accent3"/>
              <w:left w:val="nil"/>
              <w:bottom w:val="single" w:sz="4" w:space="0" w:color="A5A5A5" w:themeColor="accent3"/>
              <w:right w:val="nil"/>
            </w:tcBorders>
          </w:tcPr>
          <w:p w:rsidR="00BF2FFA" w:rsidRPr="00A75DF9" w:rsidRDefault="00BF2FFA" w:rsidP="004E6530">
            <w:pPr>
              <w:spacing w:before="20" w:after="20"/>
              <w:jc w:val="center"/>
              <w:rPr>
                <w:rFonts w:eastAsia="Times New Roman" w:cs="Tahoma"/>
                <w:noProof/>
                <w:color w:val="000000"/>
                <w:sz w:val="12"/>
                <w:szCs w:val="16"/>
              </w:rPr>
            </w:pPr>
          </w:p>
        </w:tc>
      </w:tr>
      <w:tr w:rsidR="00BF2FFA" w:rsidRPr="00A75DF9" w:rsidTr="00A70443">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A75DF9" w:rsidRDefault="00BF2FFA" w:rsidP="004E6530">
            <w:pPr>
              <w:spacing w:before="20" w:after="20"/>
              <w:rPr>
                <w:rFonts w:eastAsia="Times New Roman" w:cs="Tahoma"/>
                <w:color w:val="000000"/>
                <w:sz w:val="13"/>
                <w:szCs w:val="13"/>
              </w:rPr>
            </w:pPr>
            <w:r w:rsidRPr="00A75DF9">
              <w:rPr>
                <w:rFonts w:eastAsia="Times New Roman" w:cs="Tahoma"/>
                <w:color w:val="000000"/>
                <w:sz w:val="13"/>
                <w:szCs w:val="13"/>
              </w:rPr>
              <w:t>Esportazione di dati in Microsoft Excel</w:t>
            </w:r>
          </w:p>
        </w:tc>
        <w:tc>
          <w:tcPr>
            <w:tcW w:w="900"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eastAsia="Times New Roman" w:cs="Tahoma"/>
                <w:noProof/>
                <w:color w:val="000000"/>
                <w:sz w:val="12"/>
                <w:szCs w:val="16"/>
              </w:rPr>
            </w:pPr>
            <w:r w:rsidRPr="00A75DF9">
              <w:rPr>
                <w:rFonts w:eastAsia="Times New Roman" w:cs="Tahoma"/>
                <w:noProof/>
                <w:color w:val="000000"/>
                <w:sz w:val="12"/>
                <w:szCs w:val="16"/>
              </w:rPr>
              <w:drawing>
                <wp:inline distT="0" distB="0" distL="0" distR="0" wp14:anchorId="4ADA4F78" wp14:editId="34279120">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7"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eastAsia="Times New Roman" w:cs="Tahoma"/>
                <w:noProof/>
                <w:color w:val="000000"/>
                <w:sz w:val="12"/>
                <w:szCs w:val="16"/>
              </w:rPr>
            </w:pPr>
            <w:r w:rsidRPr="00A75DF9">
              <w:rPr>
                <w:rFonts w:eastAsia="Times New Roman" w:cs="Tahoma"/>
                <w:noProof/>
                <w:color w:val="000000"/>
                <w:sz w:val="12"/>
                <w:szCs w:val="16"/>
              </w:rPr>
              <w:drawing>
                <wp:inline distT="0" distB="0" distL="0" distR="0" wp14:anchorId="6CF74CFE" wp14:editId="66519A57">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9"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eastAsia="Times New Roman" w:cs="Tahoma"/>
                <w:color w:val="000000"/>
                <w:sz w:val="12"/>
                <w:szCs w:val="16"/>
              </w:rPr>
            </w:pPr>
            <w:r w:rsidRPr="00A75DF9">
              <w:rPr>
                <w:rFonts w:eastAsia="Times New Roman" w:cs="Tahoma"/>
                <w:noProof/>
                <w:color w:val="000000"/>
                <w:sz w:val="12"/>
                <w:szCs w:val="16"/>
              </w:rPr>
              <w:drawing>
                <wp:inline distT="0" distB="0" distL="0" distR="0" wp14:anchorId="639AF55D" wp14:editId="4AC3D0FE">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44" w:type="dxa"/>
            <w:tcBorders>
              <w:top w:val="nil"/>
              <w:left w:val="nil"/>
              <w:bottom w:val="nil"/>
              <w:right w:val="nil"/>
            </w:tcBorders>
            <w:shd w:val="clear" w:color="auto" w:fill="auto"/>
          </w:tcPr>
          <w:p w:rsidR="00BF2FFA" w:rsidRPr="00A75DF9" w:rsidRDefault="00BF2FFA" w:rsidP="004E6530">
            <w:pPr>
              <w:spacing w:before="20" w:after="20"/>
              <w:jc w:val="center"/>
              <w:rPr>
                <w:rFonts w:eastAsia="Times New Roman" w:cs="Tahoma"/>
                <w:noProof/>
                <w:color w:val="000000"/>
                <w:sz w:val="12"/>
                <w:szCs w:val="16"/>
              </w:rPr>
            </w:pPr>
          </w:p>
        </w:tc>
        <w:tc>
          <w:tcPr>
            <w:tcW w:w="122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A75DF9" w:rsidRDefault="00BF2FFA" w:rsidP="004E6530">
            <w:pPr>
              <w:spacing w:before="20" w:after="20"/>
              <w:rPr>
                <w:rFonts w:eastAsia="Times New Roman" w:cs="Tahoma"/>
                <w:noProof/>
                <w:color w:val="000000"/>
                <w:sz w:val="13"/>
                <w:szCs w:val="13"/>
              </w:rPr>
            </w:pPr>
            <w:r w:rsidRPr="00A75DF9">
              <w:rPr>
                <w:rFonts w:eastAsia="Times New Roman" w:cs="Tahoma"/>
                <w:color w:val="000000"/>
                <w:sz w:val="13"/>
                <w:szCs w:val="13"/>
              </w:rPr>
              <w:t>Importa dati in blocco</w:t>
            </w:r>
          </w:p>
        </w:tc>
        <w:tc>
          <w:tcPr>
            <w:tcW w:w="900"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eastAsia="Times New Roman" w:cs="Tahoma"/>
                <w:noProof/>
                <w:color w:val="000000"/>
                <w:sz w:val="12"/>
                <w:szCs w:val="16"/>
              </w:rPr>
            </w:pPr>
            <w:r w:rsidRPr="00A75DF9">
              <w:rPr>
                <w:rFonts w:eastAsia="Times New Roman" w:cs="Tahoma"/>
                <w:noProof/>
                <w:color w:val="000000"/>
                <w:sz w:val="12"/>
                <w:szCs w:val="16"/>
              </w:rPr>
              <w:drawing>
                <wp:inline distT="0" distB="0" distL="0" distR="0" wp14:anchorId="553582CE" wp14:editId="00E7ED36">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eastAsia="Times New Roma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A75DF9" w:rsidRDefault="00BF2FFA" w:rsidP="004E6530">
            <w:pPr>
              <w:spacing w:before="20" w:after="20"/>
              <w:jc w:val="center"/>
              <w:rPr>
                <w:rFonts w:eastAsia="Times New Roman" w:cs="Tahoma"/>
                <w:noProof/>
                <w:color w:val="000000"/>
                <w:sz w:val="12"/>
                <w:szCs w:val="16"/>
              </w:rPr>
            </w:pPr>
          </w:p>
        </w:tc>
      </w:tr>
      <w:tr w:rsidR="00BF2FFA" w:rsidRPr="00A75DF9" w:rsidTr="00A70443">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A75DF9" w:rsidRDefault="00BF2FFA" w:rsidP="004E6530">
            <w:pPr>
              <w:spacing w:before="20" w:after="20"/>
              <w:rPr>
                <w:rFonts w:eastAsia="Times New Roman" w:cs="Tahoma"/>
                <w:color w:val="000000"/>
                <w:sz w:val="13"/>
                <w:szCs w:val="13"/>
              </w:rPr>
            </w:pPr>
            <w:r w:rsidRPr="00A75DF9">
              <w:rPr>
                <w:rFonts w:eastAsia="Times New Roman" w:cs="Tahoma"/>
                <w:color w:val="000000"/>
                <w:sz w:val="13"/>
                <w:szCs w:val="13"/>
              </w:rPr>
              <w:t>Esecuzione di Stampa Unione</w:t>
            </w:r>
          </w:p>
        </w:tc>
        <w:tc>
          <w:tcPr>
            <w:tcW w:w="900"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eastAsia="Times New Roman" w:cs="Tahoma"/>
                <w:noProof/>
                <w:color w:val="000000"/>
                <w:sz w:val="12"/>
                <w:szCs w:val="16"/>
              </w:rPr>
            </w:pPr>
            <w:r w:rsidRPr="00A75DF9">
              <w:rPr>
                <w:rFonts w:eastAsia="Times New Roman" w:cs="Tahoma"/>
                <w:noProof/>
                <w:color w:val="000000"/>
                <w:sz w:val="12"/>
                <w:szCs w:val="16"/>
              </w:rPr>
              <w:drawing>
                <wp:inline distT="0" distB="0" distL="0" distR="0" wp14:anchorId="5C83D1F5" wp14:editId="481A9DB0">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7"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eastAsia="Times New Roman" w:cs="Tahoma"/>
                <w:noProof/>
                <w:color w:val="000000"/>
                <w:sz w:val="12"/>
                <w:szCs w:val="16"/>
              </w:rPr>
            </w:pPr>
            <w:r w:rsidRPr="00A75DF9">
              <w:rPr>
                <w:rFonts w:eastAsia="Times New Roman" w:cs="Tahoma"/>
                <w:noProof/>
                <w:color w:val="000000"/>
                <w:sz w:val="12"/>
                <w:szCs w:val="16"/>
              </w:rPr>
              <w:drawing>
                <wp:inline distT="0" distB="0" distL="0" distR="0" wp14:anchorId="40204DA4" wp14:editId="324F6B37">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9"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eastAsia="Times New Roman" w:cs="Tahoma"/>
                <w:color w:val="000000"/>
                <w:sz w:val="12"/>
                <w:szCs w:val="16"/>
              </w:rPr>
            </w:pPr>
            <w:r w:rsidRPr="00A75DF9">
              <w:rPr>
                <w:rFonts w:eastAsia="Times New Roman" w:cs="Tahoma"/>
                <w:noProof/>
                <w:color w:val="000000"/>
                <w:sz w:val="12"/>
                <w:szCs w:val="16"/>
              </w:rPr>
              <w:drawing>
                <wp:inline distT="0" distB="0" distL="0" distR="0" wp14:anchorId="2BD0E045" wp14:editId="07386EE4">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44" w:type="dxa"/>
            <w:tcBorders>
              <w:top w:val="nil"/>
              <w:left w:val="nil"/>
              <w:bottom w:val="nil"/>
              <w:right w:val="nil"/>
            </w:tcBorders>
            <w:shd w:val="clear" w:color="auto" w:fill="auto"/>
          </w:tcPr>
          <w:p w:rsidR="00BF2FFA" w:rsidRPr="00A75DF9" w:rsidRDefault="00BF2FFA" w:rsidP="004E6530">
            <w:pPr>
              <w:spacing w:before="20" w:after="20"/>
              <w:jc w:val="center"/>
              <w:rPr>
                <w:rFonts w:eastAsia="Times New Roman" w:cs="Tahoma"/>
                <w:noProof/>
                <w:color w:val="000000"/>
                <w:sz w:val="12"/>
                <w:szCs w:val="16"/>
              </w:rPr>
            </w:pPr>
          </w:p>
        </w:tc>
        <w:tc>
          <w:tcPr>
            <w:tcW w:w="122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A75DF9" w:rsidRDefault="00BF2FFA" w:rsidP="004E6530">
            <w:pPr>
              <w:spacing w:before="20" w:after="20"/>
              <w:rPr>
                <w:rFonts w:eastAsia="Times New Roman" w:cs="Tahoma"/>
                <w:noProof/>
                <w:color w:val="000000"/>
                <w:sz w:val="13"/>
                <w:szCs w:val="13"/>
              </w:rPr>
            </w:pPr>
            <w:r w:rsidRPr="00A75DF9">
              <w:rPr>
                <w:rFonts w:eastAsia="Times New Roman" w:cs="Tahoma"/>
                <w:color w:val="000000"/>
                <w:sz w:val="13"/>
                <w:szCs w:val="13"/>
              </w:rPr>
              <w:t>Configura verifica</w:t>
            </w:r>
          </w:p>
        </w:tc>
        <w:tc>
          <w:tcPr>
            <w:tcW w:w="900"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eastAsia="Times New Roman" w:cs="Tahoma"/>
                <w:noProof/>
                <w:color w:val="000000"/>
                <w:sz w:val="12"/>
                <w:szCs w:val="16"/>
              </w:rPr>
            </w:pPr>
            <w:r w:rsidRPr="00A75DF9">
              <w:rPr>
                <w:rFonts w:eastAsia="Times New Roman" w:cs="Tahoma"/>
                <w:noProof/>
                <w:color w:val="000000"/>
                <w:sz w:val="12"/>
                <w:szCs w:val="16"/>
              </w:rPr>
              <w:drawing>
                <wp:inline distT="0" distB="0" distL="0" distR="0" wp14:anchorId="1B02E0AB" wp14:editId="5871D0AB">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eastAsia="Times New Roma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A75DF9" w:rsidRDefault="00BF2FFA" w:rsidP="004E6530">
            <w:pPr>
              <w:spacing w:before="20" w:after="20"/>
              <w:jc w:val="center"/>
              <w:rPr>
                <w:rFonts w:eastAsia="Times New Roman" w:cs="Tahoma"/>
                <w:noProof/>
                <w:color w:val="000000"/>
                <w:sz w:val="12"/>
                <w:szCs w:val="16"/>
              </w:rPr>
            </w:pPr>
          </w:p>
        </w:tc>
      </w:tr>
      <w:tr w:rsidR="00BF2FFA" w:rsidRPr="00A75DF9" w:rsidTr="00A70443">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A75DF9" w:rsidRDefault="00BF2FFA" w:rsidP="004E6530">
            <w:pPr>
              <w:spacing w:before="20" w:after="20"/>
              <w:rPr>
                <w:rFonts w:eastAsia="Times New Roman" w:cs="Tahoma"/>
                <w:color w:val="000000"/>
                <w:sz w:val="13"/>
                <w:szCs w:val="13"/>
              </w:rPr>
            </w:pPr>
            <w:r w:rsidRPr="00A75DF9">
              <w:rPr>
                <w:rFonts w:eastAsia="Times New Roman" w:cs="Tahoma"/>
                <w:color w:val="000000"/>
                <w:sz w:val="13"/>
                <w:szCs w:val="13"/>
              </w:rPr>
              <w:t>Avvia conversazione</w:t>
            </w:r>
          </w:p>
        </w:tc>
        <w:tc>
          <w:tcPr>
            <w:tcW w:w="900"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cs="Tahoma"/>
                <w:noProof/>
                <w:sz w:val="12"/>
                <w:szCs w:val="16"/>
              </w:rPr>
            </w:pPr>
            <w:r w:rsidRPr="00A75DF9">
              <w:rPr>
                <w:rFonts w:eastAsia="Times New Roman" w:cs="Tahoma"/>
                <w:noProof/>
                <w:color w:val="000000"/>
                <w:sz w:val="12"/>
                <w:szCs w:val="16"/>
              </w:rPr>
              <w:drawing>
                <wp:inline distT="0" distB="0" distL="0" distR="0" wp14:anchorId="215F1414" wp14:editId="57920294">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7"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cs="Tahoma"/>
                <w:noProof/>
                <w:sz w:val="12"/>
                <w:szCs w:val="16"/>
              </w:rPr>
            </w:pPr>
            <w:r w:rsidRPr="00A75DF9">
              <w:rPr>
                <w:rFonts w:cs="Tahoma"/>
                <w:noProof/>
                <w:sz w:val="12"/>
                <w:szCs w:val="16"/>
              </w:rPr>
              <w:drawing>
                <wp:inline distT="0" distB="0" distL="0" distR="0" wp14:anchorId="1779D444" wp14:editId="37D0E8C7">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79"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eastAsia="Times New Roman" w:cs="Tahoma"/>
                <w:color w:val="000000"/>
                <w:sz w:val="12"/>
                <w:szCs w:val="16"/>
              </w:rPr>
            </w:pPr>
            <w:r w:rsidRPr="00A75DF9">
              <w:rPr>
                <w:rFonts w:cs="Tahoma"/>
                <w:noProof/>
                <w:sz w:val="12"/>
                <w:szCs w:val="16"/>
              </w:rPr>
              <w:drawing>
                <wp:inline distT="0" distB="0" distL="0" distR="0" wp14:anchorId="647EFD59" wp14:editId="76CA1E1D">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44" w:type="dxa"/>
            <w:tcBorders>
              <w:top w:val="nil"/>
              <w:left w:val="nil"/>
              <w:bottom w:val="nil"/>
              <w:right w:val="nil"/>
            </w:tcBorders>
            <w:shd w:val="clear" w:color="auto" w:fill="auto"/>
          </w:tcPr>
          <w:p w:rsidR="00BF2FFA" w:rsidRPr="00A75DF9" w:rsidRDefault="00BF2FFA" w:rsidP="004E6530">
            <w:pPr>
              <w:spacing w:before="20" w:after="20"/>
              <w:jc w:val="center"/>
              <w:rPr>
                <w:rFonts w:cs="Tahoma"/>
                <w:sz w:val="12"/>
                <w:szCs w:val="16"/>
              </w:rPr>
            </w:pPr>
          </w:p>
        </w:tc>
        <w:tc>
          <w:tcPr>
            <w:tcW w:w="122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A75DF9" w:rsidRDefault="00BF2FFA" w:rsidP="004E6530">
            <w:pPr>
              <w:spacing w:before="20" w:after="20"/>
              <w:rPr>
                <w:rFonts w:eastAsia="Times New Roman" w:cs="Tahoma"/>
                <w:noProof/>
                <w:color w:val="000000"/>
                <w:sz w:val="13"/>
                <w:szCs w:val="13"/>
              </w:rPr>
            </w:pPr>
            <w:r w:rsidRPr="00A75DF9">
              <w:rPr>
                <w:rFonts w:eastAsia="Times New Roman" w:cs="Tahoma"/>
                <w:color w:val="000000"/>
                <w:sz w:val="13"/>
                <w:szCs w:val="13"/>
              </w:rPr>
              <w:t>Configura regole di rilevamento duplicati</w:t>
            </w:r>
          </w:p>
        </w:tc>
        <w:tc>
          <w:tcPr>
            <w:tcW w:w="900"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eastAsia="Times New Roman" w:cs="Tahoma"/>
                <w:noProof/>
                <w:color w:val="000000"/>
                <w:sz w:val="12"/>
                <w:szCs w:val="16"/>
              </w:rPr>
            </w:pPr>
            <w:r w:rsidRPr="00A75DF9">
              <w:rPr>
                <w:rFonts w:eastAsia="Times New Roman" w:cs="Tahoma"/>
                <w:noProof/>
                <w:color w:val="000000"/>
                <w:sz w:val="12"/>
                <w:szCs w:val="16"/>
              </w:rPr>
              <w:drawing>
                <wp:inline distT="0" distB="0" distL="0" distR="0" wp14:anchorId="42F2361F" wp14:editId="61131934">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eastAsia="Times New Roma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A75DF9" w:rsidRDefault="00BF2FFA" w:rsidP="004E6530">
            <w:pPr>
              <w:spacing w:before="20" w:after="20"/>
              <w:jc w:val="center"/>
              <w:rPr>
                <w:rFonts w:eastAsia="Times New Roman" w:cs="Tahoma"/>
                <w:noProof/>
                <w:color w:val="000000"/>
                <w:sz w:val="12"/>
                <w:szCs w:val="16"/>
              </w:rPr>
            </w:pPr>
          </w:p>
        </w:tc>
      </w:tr>
      <w:tr w:rsidR="00BF2FFA" w:rsidRPr="00A75DF9" w:rsidTr="00A70443">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A75DF9" w:rsidRDefault="00BF2FFA" w:rsidP="004E6530">
            <w:pPr>
              <w:spacing w:before="20" w:after="20"/>
              <w:rPr>
                <w:rFonts w:eastAsia="Times New Roman" w:cs="Tahoma"/>
                <w:color w:val="000000"/>
                <w:sz w:val="13"/>
                <w:szCs w:val="13"/>
              </w:rPr>
            </w:pPr>
            <w:r w:rsidRPr="00A75DF9">
              <w:rPr>
                <w:rFonts w:eastAsia="Times New Roman" w:cs="Tahoma"/>
                <w:color w:val="000000"/>
                <w:sz w:val="13"/>
                <w:szCs w:val="13"/>
              </w:rPr>
              <w:t>Esecugui come processo Su richiesta</w:t>
            </w:r>
          </w:p>
        </w:tc>
        <w:tc>
          <w:tcPr>
            <w:tcW w:w="900"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cs="Tahoma"/>
                <w:noProof/>
                <w:sz w:val="12"/>
                <w:szCs w:val="16"/>
              </w:rPr>
            </w:pPr>
            <w:r w:rsidRPr="00A75DF9">
              <w:rPr>
                <w:rFonts w:eastAsia="Times New Roman" w:cs="Tahoma"/>
                <w:noProof/>
                <w:color w:val="000000"/>
                <w:sz w:val="12"/>
                <w:szCs w:val="16"/>
              </w:rPr>
              <w:drawing>
                <wp:inline distT="0" distB="0" distL="0" distR="0" wp14:anchorId="34BAC6D8" wp14:editId="7C6B15F8">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7"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cs="Tahoma"/>
                <w:noProof/>
                <w:sz w:val="12"/>
                <w:szCs w:val="16"/>
              </w:rPr>
            </w:pPr>
            <w:r w:rsidRPr="00A75DF9">
              <w:rPr>
                <w:rFonts w:cs="Tahoma"/>
                <w:noProof/>
                <w:sz w:val="12"/>
                <w:szCs w:val="16"/>
              </w:rPr>
              <w:drawing>
                <wp:inline distT="0" distB="0" distL="0" distR="0" wp14:anchorId="3336D291" wp14:editId="5938C7BC">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79"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eastAsia="Times New Roman" w:cs="Tahoma"/>
                <w:color w:val="000000"/>
                <w:sz w:val="12"/>
                <w:szCs w:val="16"/>
              </w:rPr>
            </w:pPr>
            <w:r w:rsidRPr="00A75DF9">
              <w:rPr>
                <w:rFonts w:cs="Tahoma"/>
                <w:noProof/>
                <w:sz w:val="12"/>
                <w:szCs w:val="16"/>
              </w:rPr>
              <w:drawing>
                <wp:inline distT="0" distB="0" distL="0" distR="0" wp14:anchorId="725366F0" wp14:editId="04A0F7C2">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44" w:type="dxa"/>
            <w:tcBorders>
              <w:top w:val="nil"/>
              <w:left w:val="nil"/>
              <w:bottom w:val="nil"/>
              <w:right w:val="nil"/>
            </w:tcBorders>
            <w:shd w:val="clear" w:color="auto" w:fill="auto"/>
          </w:tcPr>
          <w:p w:rsidR="00BF2FFA" w:rsidRPr="00A75DF9" w:rsidRDefault="00BF2FFA" w:rsidP="004E6530">
            <w:pPr>
              <w:spacing w:before="20" w:after="20"/>
              <w:jc w:val="center"/>
              <w:rPr>
                <w:rFonts w:cs="Tahoma"/>
                <w:noProof/>
                <w:sz w:val="12"/>
                <w:szCs w:val="16"/>
              </w:rPr>
            </w:pPr>
          </w:p>
        </w:tc>
        <w:tc>
          <w:tcPr>
            <w:tcW w:w="122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A75DF9" w:rsidRDefault="00BF2FFA" w:rsidP="004E6530">
            <w:pPr>
              <w:spacing w:before="20" w:after="20"/>
              <w:rPr>
                <w:rFonts w:eastAsia="Times New Roman" w:cs="Tahoma"/>
                <w:noProof/>
                <w:color w:val="000000"/>
                <w:sz w:val="13"/>
                <w:szCs w:val="13"/>
              </w:rPr>
            </w:pPr>
            <w:r w:rsidRPr="00A75DF9">
              <w:rPr>
                <w:rFonts w:eastAsia="Times New Roman" w:cs="Tahoma"/>
                <w:color w:val="000000"/>
                <w:sz w:val="13"/>
                <w:szCs w:val="13"/>
              </w:rPr>
              <w:t>Definisci relazioni tra entità</w:t>
            </w:r>
          </w:p>
        </w:tc>
        <w:tc>
          <w:tcPr>
            <w:tcW w:w="900"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eastAsia="Times New Roman" w:cs="Tahoma"/>
                <w:noProof/>
                <w:color w:val="000000"/>
                <w:sz w:val="12"/>
                <w:szCs w:val="16"/>
              </w:rPr>
            </w:pPr>
            <w:r w:rsidRPr="00A75DF9">
              <w:rPr>
                <w:rFonts w:eastAsia="Times New Roman" w:cs="Tahoma"/>
                <w:noProof/>
                <w:color w:val="000000"/>
                <w:sz w:val="12"/>
                <w:szCs w:val="16"/>
              </w:rPr>
              <w:drawing>
                <wp:inline distT="0" distB="0" distL="0" distR="0" wp14:anchorId="2E4D769D" wp14:editId="6CCC3428">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A75DF9" w:rsidRDefault="00BF2FFA" w:rsidP="004E6530">
            <w:pPr>
              <w:spacing w:before="20" w:after="20"/>
              <w:jc w:val="center"/>
              <w:rPr>
                <w:rFonts w:eastAsia="Times New Roma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A75DF9" w:rsidRDefault="00BF2FFA" w:rsidP="004E6530">
            <w:pPr>
              <w:spacing w:before="20" w:after="20"/>
              <w:jc w:val="center"/>
              <w:rPr>
                <w:rFonts w:eastAsia="Times New Roman" w:cs="Tahoma"/>
                <w:noProof/>
                <w:color w:val="000000"/>
                <w:sz w:val="12"/>
                <w:szCs w:val="16"/>
              </w:rPr>
            </w:pPr>
          </w:p>
        </w:tc>
      </w:tr>
      <w:tr w:rsidR="00BF2FFA" w:rsidRPr="00A75DF9" w:rsidTr="00A70443">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A75DF9" w:rsidRDefault="00BF2FFA" w:rsidP="00A70443">
            <w:pPr>
              <w:spacing w:before="20" w:after="20"/>
              <w:rPr>
                <w:rFonts w:eastAsia="Times New Roman" w:cs="Tahoma"/>
                <w:color w:val="000000"/>
                <w:sz w:val="13"/>
                <w:szCs w:val="13"/>
              </w:rPr>
            </w:pPr>
            <w:r w:rsidRPr="00A75DF9">
              <w:rPr>
                <w:rFonts w:eastAsia="Times New Roman" w:cs="Tahoma"/>
                <w:color w:val="000000"/>
                <w:sz w:val="13"/>
                <w:szCs w:val="13"/>
              </w:rPr>
              <w:t>Esecuzione del flusso di</w:t>
            </w:r>
            <w:r w:rsidR="00A70443">
              <w:rPr>
                <w:rFonts w:eastAsia="Times New Roman" w:cs="Tahoma"/>
                <w:color w:val="000000"/>
                <w:sz w:val="13"/>
                <w:szCs w:val="13"/>
              </w:rPr>
              <w:t> </w:t>
            </w:r>
            <w:r w:rsidRPr="00A75DF9">
              <w:rPr>
                <w:rFonts w:eastAsia="Times New Roman" w:cs="Tahoma"/>
                <w:color w:val="000000"/>
                <w:sz w:val="13"/>
                <w:szCs w:val="13"/>
              </w:rPr>
              <w:t>lavoro automatizzato</w:t>
            </w:r>
          </w:p>
        </w:tc>
        <w:tc>
          <w:tcPr>
            <w:tcW w:w="900"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cs="Tahoma"/>
                <w:sz w:val="12"/>
                <w:szCs w:val="16"/>
              </w:rPr>
            </w:pPr>
            <w:r w:rsidRPr="00A75DF9">
              <w:rPr>
                <w:rFonts w:eastAsia="Times New Roman" w:cs="Tahoma"/>
                <w:noProof/>
                <w:color w:val="000000"/>
                <w:sz w:val="12"/>
                <w:szCs w:val="16"/>
              </w:rPr>
              <w:drawing>
                <wp:inline distT="0" distB="0" distL="0" distR="0" wp14:anchorId="70F9DB8A" wp14:editId="3C682476">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7"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cs="Tahoma"/>
                <w:sz w:val="12"/>
                <w:szCs w:val="16"/>
              </w:rPr>
            </w:pPr>
            <w:r w:rsidRPr="00A75DF9">
              <w:rPr>
                <w:rFonts w:cs="Tahoma"/>
                <w:noProof/>
                <w:sz w:val="12"/>
                <w:szCs w:val="16"/>
              </w:rPr>
              <w:drawing>
                <wp:inline distT="0" distB="0" distL="0" distR="0" wp14:anchorId="024B88EE" wp14:editId="26D0BF92">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679"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eastAsia="Times New Roman" w:cs="Tahoma"/>
                <w:color w:val="000000"/>
                <w:sz w:val="12"/>
                <w:szCs w:val="16"/>
              </w:rPr>
            </w:pPr>
            <w:r w:rsidRPr="00A75DF9">
              <w:rPr>
                <w:rFonts w:cs="Tahoma"/>
                <w:noProof/>
                <w:sz w:val="12"/>
                <w:szCs w:val="16"/>
              </w:rPr>
              <w:drawing>
                <wp:inline distT="0" distB="0" distL="0" distR="0" wp14:anchorId="315204DB" wp14:editId="3291149C">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44" w:type="dxa"/>
            <w:tcBorders>
              <w:top w:val="nil"/>
              <w:left w:val="nil"/>
              <w:bottom w:val="nil"/>
              <w:right w:val="nil"/>
            </w:tcBorders>
            <w:shd w:val="clear" w:color="auto" w:fill="auto"/>
          </w:tcPr>
          <w:p w:rsidR="00BF2FFA" w:rsidRPr="00A75DF9" w:rsidRDefault="00BF2FFA" w:rsidP="004E6530">
            <w:pPr>
              <w:spacing w:before="20" w:after="20"/>
              <w:jc w:val="center"/>
              <w:rPr>
                <w:rFonts w:cs="Tahoma"/>
                <w:noProof/>
                <w:sz w:val="12"/>
                <w:szCs w:val="16"/>
              </w:rPr>
            </w:pPr>
          </w:p>
        </w:tc>
        <w:tc>
          <w:tcPr>
            <w:tcW w:w="122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A75DF9" w:rsidRDefault="00BF2FFA" w:rsidP="004E6530">
            <w:pPr>
              <w:spacing w:before="20" w:after="20"/>
              <w:rPr>
                <w:rFonts w:eastAsia="Times New Roman" w:cs="Tahoma"/>
                <w:noProof/>
                <w:color w:val="000000"/>
                <w:sz w:val="13"/>
                <w:szCs w:val="13"/>
              </w:rPr>
            </w:pPr>
            <w:r w:rsidRPr="00A75DF9">
              <w:rPr>
                <w:rFonts w:eastAsia="Times New Roman" w:cs="Tahoma"/>
                <w:color w:val="000000"/>
                <w:sz w:val="13"/>
                <w:szCs w:val="13"/>
              </w:rPr>
              <w:t>Definisci e configura code</w:t>
            </w:r>
          </w:p>
        </w:tc>
        <w:tc>
          <w:tcPr>
            <w:tcW w:w="900"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eastAsia="Times New Roman" w:cs="Tahoma"/>
                <w:noProof/>
                <w:color w:val="000000"/>
                <w:sz w:val="12"/>
                <w:szCs w:val="16"/>
              </w:rPr>
            </w:pPr>
            <w:r w:rsidRPr="00A75DF9">
              <w:rPr>
                <w:rFonts w:eastAsia="Times New Roman" w:cs="Tahoma"/>
                <w:noProof/>
                <w:color w:val="000000"/>
                <w:sz w:val="12"/>
                <w:szCs w:val="16"/>
              </w:rPr>
              <w:drawing>
                <wp:inline distT="0" distB="0" distL="0" distR="0" wp14:anchorId="02D0705A" wp14:editId="1172F1B5">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A75DF9" w:rsidRDefault="00BF2FFA" w:rsidP="004E6530">
            <w:pPr>
              <w:spacing w:before="20" w:after="20"/>
              <w:jc w:val="center"/>
              <w:rPr>
                <w:rFonts w:eastAsia="Times New Roma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A75DF9" w:rsidRDefault="00BF2FFA" w:rsidP="004E6530">
            <w:pPr>
              <w:spacing w:before="20" w:after="20"/>
              <w:jc w:val="center"/>
              <w:rPr>
                <w:rFonts w:eastAsia="Times New Roman" w:cs="Tahoma"/>
                <w:noProof/>
                <w:color w:val="000000"/>
                <w:sz w:val="12"/>
                <w:szCs w:val="16"/>
              </w:rPr>
            </w:pPr>
          </w:p>
        </w:tc>
      </w:tr>
      <w:tr w:rsidR="00BF2FFA" w:rsidRPr="00A75DF9" w:rsidTr="00A70443">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A75DF9" w:rsidRDefault="00BF2FFA" w:rsidP="004E6530">
            <w:pPr>
              <w:spacing w:before="20" w:after="20"/>
              <w:rPr>
                <w:rFonts w:eastAsia="Times New Roman" w:cs="Tahoma"/>
                <w:color w:val="000000"/>
                <w:sz w:val="13"/>
                <w:szCs w:val="13"/>
              </w:rPr>
            </w:pPr>
            <w:r w:rsidRPr="00A75DF9">
              <w:rPr>
                <w:rFonts w:eastAsia="Times New Roman" w:cs="Tahoma"/>
                <w:color w:val="000000"/>
                <w:sz w:val="13"/>
                <w:szCs w:val="13"/>
              </w:rPr>
              <w:t>Leggi articoli</w:t>
            </w:r>
          </w:p>
        </w:tc>
        <w:tc>
          <w:tcPr>
            <w:tcW w:w="900"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eastAsia="Times New Roman" w:cs="Tahoma"/>
                <w:noProof/>
                <w:color w:val="000000"/>
                <w:sz w:val="12"/>
                <w:szCs w:val="16"/>
              </w:rPr>
            </w:pPr>
            <w:r w:rsidRPr="00A75DF9">
              <w:rPr>
                <w:rFonts w:eastAsia="Times New Roman" w:cs="Tahoma"/>
                <w:noProof/>
                <w:color w:val="000000"/>
                <w:sz w:val="12"/>
                <w:szCs w:val="16"/>
              </w:rPr>
              <w:drawing>
                <wp:inline distT="0" distB="0" distL="0" distR="0" wp14:anchorId="01AF6B67" wp14:editId="41B7ECD7">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7"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eastAsia="Times New Roman" w:cs="Tahoma"/>
                <w:noProof/>
                <w:color w:val="000000"/>
                <w:sz w:val="12"/>
                <w:szCs w:val="16"/>
              </w:rPr>
            </w:pPr>
            <w:r w:rsidRPr="00A75DF9">
              <w:rPr>
                <w:rFonts w:eastAsia="Times New Roman" w:cs="Tahoma"/>
                <w:noProof/>
                <w:color w:val="000000"/>
                <w:sz w:val="12"/>
                <w:szCs w:val="16"/>
              </w:rPr>
              <w:drawing>
                <wp:inline distT="0" distB="0" distL="0" distR="0" wp14:anchorId="4805C435" wp14:editId="2044F667">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9"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eastAsia="Times New Roman" w:cs="Tahoma"/>
                <w:color w:val="000000"/>
                <w:sz w:val="12"/>
                <w:szCs w:val="16"/>
              </w:rPr>
            </w:pPr>
            <w:r w:rsidRPr="00A75DF9">
              <w:rPr>
                <w:rFonts w:eastAsia="Times New Roman" w:cs="Tahoma"/>
                <w:noProof/>
                <w:color w:val="000000"/>
                <w:sz w:val="12"/>
                <w:szCs w:val="16"/>
              </w:rPr>
              <w:drawing>
                <wp:inline distT="0" distB="0" distL="0" distR="0" wp14:anchorId="10AD9C65" wp14:editId="6F559366">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44" w:type="dxa"/>
            <w:tcBorders>
              <w:top w:val="nil"/>
              <w:left w:val="nil"/>
              <w:bottom w:val="nil"/>
              <w:right w:val="nil"/>
            </w:tcBorders>
            <w:shd w:val="clear" w:color="auto" w:fill="auto"/>
          </w:tcPr>
          <w:p w:rsidR="00BF2FFA" w:rsidRPr="00A75DF9" w:rsidRDefault="00BF2FFA" w:rsidP="004E6530">
            <w:pPr>
              <w:spacing w:before="20" w:after="20"/>
              <w:jc w:val="center"/>
              <w:rPr>
                <w:rFonts w:eastAsia="Times New Roman" w:cs="Tahoma"/>
                <w:noProof/>
                <w:color w:val="000000"/>
                <w:sz w:val="12"/>
                <w:szCs w:val="16"/>
              </w:rPr>
            </w:pPr>
          </w:p>
        </w:tc>
        <w:tc>
          <w:tcPr>
            <w:tcW w:w="122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A75DF9" w:rsidRDefault="00BF2FFA" w:rsidP="004E6530">
            <w:pPr>
              <w:spacing w:before="20" w:after="20"/>
              <w:rPr>
                <w:rFonts w:eastAsia="Times New Roman" w:cs="Tahoma"/>
                <w:noProof/>
                <w:color w:val="000000"/>
                <w:sz w:val="13"/>
                <w:szCs w:val="13"/>
              </w:rPr>
            </w:pPr>
            <w:r w:rsidRPr="00A75DF9">
              <w:rPr>
                <w:rFonts w:eastAsia="Times New Roman" w:cs="Tahoma"/>
                <w:color w:val="000000"/>
                <w:sz w:val="13"/>
                <w:szCs w:val="13"/>
              </w:rPr>
              <w:t>Definisci e configura conversazioni</w:t>
            </w:r>
          </w:p>
        </w:tc>
        <w:tc>
          <w:tcPr>
            <w:tcW w:w="900"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right"/>
              <w:rPr>
                <w:rFonts w:eastAsia="Times New Roman" w:cs="Tahoma"/>
                <w:noProof/>
                <w:color w:val="000000"/>
                <w:sz w:val="12"/>
                <w:szCs w:val="16"/>
              </w:rPr>
            </w:pPr>
            <w:r w:rsidRPr="00A75DF9">
              <w:rPr>
                <w:rFonts w:eastAsia="Times New Roman" w:cs="Tahoma"/>
                <w:noProof/>
                <w:color w:val="000000"/>
                <w:sz w:val="12"/>
                <w:szCs w:val="16"/>
              </w:rPr>
              <w:drawing>
                <wp:inline distT="0" distB="0" distL="0" distR="0" wp14:anchorId="41049F8C" wp14:editId="6969A27C">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A75DF9" w:rsidRDefault="00BF2FFA" w:rsidP="004E6530">
            <w:pPr>
              <w:spacing w:before="20" w:after="20"/>
              <w:jc w:val="center"/>
              <w:rPr>
                <w:rFonts w:eastAsia="Times New Roma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A75DF9" w:rsidRDefault="00BF2FFA" w:rsidP="004E6530">
            <w:pPr>
              <w:spacing w:before="20" w:after="20"/>
              <w:jc w:val="center"/>
              <w:rPr>
                <w:rFonts w:eastAsia="Times New Roman" w:cs="Tahoma"/>
                <w:noProof/>
                <w:color w:val="000000"/>
                <w:sz w:val="14"/>
                <w:szCs w:val="16"/>
              </w:rPr>
            </w:pPr>
          </w:p>
        </w:tc>
      </w:tr>
      <w:tr w:rsidR="00BF2FFA" w:rsidRPr="00A75DF9" w:rsidTr="00A70443">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A75DF9" w:rsidRDefault="00BF2FFA" w:rsidP="004E6530">
            <w:pPr>
              <w:spacing w:before="20" w:after="20"/>
              <w:rPr>
                <w:rFonts w:eastAsia="Times New Roman" w:cs="Tahoma"/>
                <w:color w:val="000000"/>
                <w:sz w:val="13"/>
                <w:szCs w:val="13"/>
              </w:rPr>
            </w:pPr>
            <w:r w:rsidRPr="00A75DF9">
              <w:rPr>
                <w:rFonts w:eastAsia="Times New Roman" w:cs="Tahoma"/>
                <w:color w:val="000000"/>
                <w:sz w:val="13"/>
                <w:szCs w:val="13"/>
              </w:rPr>
              <w:t>Note</w:t>
            </w:r>
          </w:p>
        </w:tc>
        <w:tc>
          <w:tcPr>
            <w:tcW w:w="900"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eastAsia="Times New Roman" w:cs="Tahoma"/>
                <w:noProof/>
                <w:color w:val="000000"/>
                <w:sz w:val="12"/>
                <w:szCs w:val="16"/>
              </w:rPr>
            </w:pPr>
            <w:r w:rsidRPr="00A75DF9">
              <w:rPr>
                <w:rFonts w:eastAsia="Times New Roman" w:cs="Tahoma"/>
                <w:noProof/>
                <w:color w:val="000000"/>
                <w:sz w:val="12"/>
                <w:szCs w:val="16"/>
              </w:rPr>
              <w:drawing>
                <wp:inline distT="0" distB="0" distL="0" distR="0" wp14:anchorId="148B6D14" wp14:editId="43E45FAC">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7"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eastAsia="Times New Roman" w:cs="Tahoma"/>
                <w:noProof/>
                <w:color w:val="000000"/>
                <w:sz w:val="12"/>
                <w:szCs w:val="16"/>
              </w:rPr>
            </w:pPr>
            <w:r w:rsidRPr="00A75DF9">
              <w:rPr>
                <w:rFonts w:eastAsia="Times New Roman" w:cs="Tahoma"/>
                <w:noProof/>
                <w:color w:val="000000"/>
                <w:sz w:val="12"/>
                <w:szCs w:val="16"/>
              </w:rPr>
              <w:drawing>
                <wp:inline distT="0" distB="0" distL="0" distR="0" wp14:anchorId="2B37274C" wp14:editId="7DEB51F7">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9"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eastAsia="Times New Roman" w:cs="Tahoma"/>
                <w:color w:val="000000"/>
                <w:sz w:val="12"/>
                <w:szCs w:val="16"/>
              </w:rPr>
            </w:pPr>
            <w:r w:rsidRPr="00A75DF9">
              <w:rPr>
                <w:rFonts w:eastAsia="Times New Roman" w:cs="Tahoma"/>
                <w:noProof/>
                <w:color w:val="000000"/>
                <w:sz w:val="12"/>
                <w:szCs w:val="16"/>
              </w:rPr>
              <w:drawing>
                <wp:inline distT="0" distB="0" distL="0" distR="0" wp14:anchorId="47B47C3F" wp14:editId="720F5EF7">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44" w:type="dxa"/>
            <w:tcBorders>
              <w:top w:val="nil"/>
              <w:left w:val="nil"/>
              <w:bottom w:val="nil"/>
              <w:right w:val="nil"/>
            </w:tcBorders>
            <w:shd w:val="clear" w:color="auto" w:fill="auto"/>
          </w:tcPr>
          <w:p w:rsidR="00BF2FFA" w:rsidRPr="00A75DF9" w:rsidRDefault="00BF2FFA" w:rsidP="004E6530">
            <w:pPr>
              <w:spacing w:before="20" w:after="20"/>
              <w:jc w:val="center"/>
              <w:rPr>
                <w:rFonts w:eastAsia="Times New Roman" w:cs="Tahoma"/>
                <w:noProof/>
                <w:color w:val="000000"/>
                <w:sz w:val="12"/>
                <w:szCs w:val="16"/>
              </w:rPr>
            </w:pPr>
          </w:p>
        </w:tc>
        <w:tc>
          <w:tcPr>
            <w:tcW w:w="122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A75DF9" w:rsidRDefault="00BF2FFA" w:rsidP="00A70443">
            <w:pPr>
              <w:spacing w:before="20" w:after="20"/>
              <w:rPr>
                <w:rFonts w:eastAsia="Times New Roman" w:cs="Tahoma"/>
                <w:noProof/>
                <w:color w:val="000000"/>
                <w:sz w:val="13"/>
                <w:szCs w:val="13"/>
              </w:rPr>
            </w:pPr>
            <w:r w:rsidRPr="00A75DF9">
              <w:rPr>
                <w:rFonts w:eastAsia="Times New Roman" w:cs="Tahoma"/>
                <w:color w:val="000000"/>
                <w:sz w:val="13"/>
                <w:szCs w:val="13"/>
              </w:rPr>
              <w:t>Definisci e configura flussi di</w:t>
            </w:r>
            <w:r w:rsidR="00A70443">
              <w:rPr>
                <w:rFonts w:eastAsia="Times New Roman" w:cs="Tahoma"/>
                <w:color w:val="000000"/>
                <w:sz w:val="13"/>
                <w:szCs w:val="13"/>
              </w:rPr>
              <w:t> </w:t>
            </w:r>
            <w:r w:rsidRPr="00A75DF9">
              <w:rPr>
                <w:rFonts w:eastAsia="Times New Roman" w:cs="Tahoma"/>
                <w:color w:val="000000"/>
                <w:sz w:val="13"/>
                <w:szCs w:val="13"/>
              </w:rPr>
              <w:t>lavoro</w:t>
            </w:r>
          </w:p>
        </w:tc>
        <w:tc>
          <w:tcPr>
            <w:tcW w:w="900"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right"/>
              <w:rPr>
                <w:rFonts w:eastAsia="Times New Roman" w:cs="Tahoma"/>
                <w:noProof/>
                <w:color w:val="000000"/>
                <w:sz w:val="12"/>
                <w:szCs w:val="16"/>
              </w:rPr>
            </w:pPr>
            <w:r w:rsidRPr="00A75DF9">
              <w:rPr>
                <w:rFonts w:eastAsia="Times New Roman" w:cs="Tahoma"/>
                <w:noProof/>
                <w:color w:val="000000"/>
                <w:sz w:val="12"/>
                <w:szCs w:val="16"/>
              </w:rPr>
              <w:drawing>
                <wp:inline distT="0" distB="0" distL="0" distR="0" wp14:anchorId="52BB2104" wp14:editId="6FEE76E2">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A75DF9" w:rsidRDefault="00BF2FFA" w:rsidP="004E6530">
            <w:pPr>
              <w:spacing w:before="20" w:after="20"/>
              <w:jc w:val="center"/>
              <w:rPr>
                <w:rFonts w:eastAsia="Times New Roma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A75DF9" w:rsidRDefault="00BF2FFA" w:rsidP="004E6530">
            <w:pPr>
              <w:spacing w:before="20" w:after="20"/>
              <w:jc w:val="center"/>
              <w:rPr>
                <w:rFonts w:eastAsia="Times New Roman" w:cs="Tahoma"/>
                <w:noProof/>
                <w:color w:val="000000"/>
                <w:sz w:val="14"/>
                <w:szCs w:val="16"/>
              </w:rPr>
            </w:pPr>
          </w:p>
        </w:tc>
      </w:tr>
      <w:tr w:rsidR="00BF2FFA" w:rsidRPr="00A75DF9" w:rsidTr="00A70443">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A75DF9" w:rsidRDefault="00BF2FFA" w:rsidP="004E6530">
            <w:pPr>
              <w:spacing w:before="20" w:after="20"/>
              <w:rPr>
                <w:rFonts w:eastAsia="Times New Roman" w:cs="Tahoma"/>
                <w:color w:val="000000"/>
                <w:sz w:val="13"/>
                <w:szCs w:val="13"/>
              </w:rPr>
            </w:pPr>
            <w:r w:rsidRPr="00A75DF9">
              <w:rPr>
                <w:rFonts w:eastAsia="Times New Roman" w:cs="Tahoma"/>
                <w:color w:val="000000"/>
                <w:sz w:val="13"/>
                <w:szCs w:val="13"/>
              </w:rPr>
              <w:t>Gestione attività</w:t>
            </w:r>
          </w:p>
        </w:tc>
        <w:tc>
          <w:tcPr>
            <w:tcW w:w="900"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eastAsia="Times New Roman" w:cs="Tahoma"/>
                <w:noProof/>
                <w:color w:val="000000"/>
                <w:sz w:val="12"/>
                <w:szCs w:val="16"/>
              </w:rPr>
            </w:pPr>
            <w:r w:rsidRPr="00A75DF9">
              <w:rPr>
                <w:rFonts w:eastAsia="Times New Roman" w:cs="Tahoma"/>
                <w:noProof/>
                <w:color w:val="000000"/>
                <w:sz w:val="12"/>
                <w:szCs w:val="16"/>
              </w:rPr>
              <w:drawing>
                <wp:inline distT="0" distB="0" distL="0" distR="0" wp14:anchorId="2A53B38A" wp14:editId="681B7D23">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7"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eastAsia="Times New Roman" w:cs="Tahoma"/>
                <w:noProof/>
                <w:color w:val="000000"/>
                <w:sz w:val="12"/>
                <w:szCs w:val="16"/>
              </w:rPr>
            </w:pPr>
            <w:r w:rsidRPr="00A75DF9">
              <w:rPr>
                <w:rFonts w:eastAsia="Times New Roman" w:cs="Tahoma"/>
                <w:noProof/>
                <w:color w:val="000000"/>
                <w:sz w:val="12"/>
                <w:szCs w:val="16"/>
              </w:rPr>
              <w:drawing>
                <wp:inline distT="0" distB="0" distL="0" distR="0" wp14:anchorId="019C96EA" wp14:editId="6F563166">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9"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eastAsia="Times New Roman" w:cs="Tahoma"/>
                <w:color w:val="000000"/>
                <w:sz w:val="12"/>
                <w:szCs w:val="16"/>
              </w:rPr>
            </w:pPr>
            <w:r w:rsidRPr="00A75DF9">
              <w:rPr>
                <w:rFonts w:eastAsia="Times New Roman" w:cs="Tahoma"/>
                <w:noProof/>
                <w:color w:val="000000"/>
                <w:sz w:val="12"/>
                <w:szCs w:val="16"/>
              </w:rPr>
              <w:drawing>
                <wp:inline distT="0" distB="0" distL="0" distR="0" wp14:anchorId="58B1FE34" wp14:editId="3F7208B4">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44" w:type="dxa"/>
            <w:tcBorders>
              <w:top w:val="nil"/>
              <w:left w:val="nil"/>
              <w:bottom w:val="nil"/>
              <w:right w:val="nil"/>
            </w:tcBorders>
            <w:shd w:val="clear" w:color="auto" w:fill="auto"/>
          </w:tcPr>
          <w:p w:rsidR="00BF2FFA" w:rsidRPr="00A75DF9" w:rsidRDefault="00BF2FFA" w:rsidP="004E6530">
            <w:pPr>
              <w:spacing w:before="20" w:after="20"/>
              <w:jc w:val="center"/>
              <w:rPr>
                <w:rFonts w:eastAsia="Times New Roman" w:cs="Tahoma"/>
                <w:noProof/>
                <w:color w:val="000000"/>
                <w:sz w:val="12"/>
                <w:szCs w:val="16"/>
              </w:rPr>
            </w:pPr>
          </w:p>
        </w:tc>
        <w:tc>
          <w:tcPr>
            <w:tcW w:w="122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A75DF9" w:rsidRDefault="00BF2FFA" w:rsidP="004E6530">
            <w:pPr>
              <w:spacing w:before="20" w:after="20"/>
              <w:rPr>
                <w:rFonts w:cs="Tahoma"/>
                <w:noProof/>
                <w:sz w:val="13"/>
                <w:szCs w:val="13"/>
              </w:rPr>
            </w:pPr>
            <w:r w:rsidRPr="00A75DF9">
              <w:rPr>
                <w:rFonts w:eastAsia="Times New Roman" w:cs="Tahoma"/>
                <w:color w:val="000000"/>
                <w:sz w:val="13"/>
                <w:szCs w:val="13"/>
              </w:rPr>
              <w:t>Report di sistema, grafici di sistema e dashboard di sistema</w:t>
            </w:r>
          </w:p>
        </w:tc>
        <w:tc>
          <w:tcPr>
            <w:tcW w:w="900"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right"/>
              <w:rPr>
                <w:rFonts w:cs="Tahoma"/>
                <w:noProof/>
                <w:sz w:val="12"/>
                <w:szCs w:val="16"/>
              </w:rPr>
            </w:pPr>
            <w:r w:rsidRPr="00A75DF9">
              <w:rPr>
                <w:rFonts w:eastAsia="Times New Roman" w:cs="Tahoma"/>
                <w:noProof/>
                <w:color w:val="000000"/>
                <w:sz w:val="12"/>
                <w:szCs w:val="16"/>
              </w:rPr>
              <w:drawing>
                <wp:inline distT="0" distB="0" distL="0" distR="0" wp14:anchorId="14C4A5E1" wp14:editId="571C5CF6">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A75DF9" w:rsidRDefault="00BF2FFA" w:rsidP="004E6530">
            <w:pPr>
              <w:spacing w:before="20" w:after="20"/>
              <w:jc w:val="center"/>
              <w:rPr>
                <w:rFonts w:cs="Tahoma"/>
                <w:noProof/>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A75DF9" w:rsidRDefault="00BF2FFA" w:rsidP="004E6530">
            <w:pPr>
              <w:spacing w:before="20" w:after="20"/>
              <w:jc w:val="center"/>
              <w:rPr>
                <w:rFonts w:cs="Tahoma"/>
                <w:noProof/>
                <w:sz w:val="14"/>
                <w:szCs w:val="16"/>
              </w:rPr>
            </w:pPr>
          </w:p>
        </w:tc>
      </w:tr>
      <w:tr w:rsidR="00BF2FFA" w:rsidRPr="00A75DF9" w:rsidTr="00A70443">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A75DF9" w:rsidRDefault="00BF2FFA" w:rsidP="00A70443">
            <w:pPr>
              <w:spacing w:before="20" w:after="20"/>
              <w:rPr>
                <w:rFonts w:eastAsia="Times New Roman" w:cs="Tahoma"/>
                <w:color w:val="000000"/>
                <w:sz w:val="13"/>
                <w:szCs w:val="13"/>
              </w:rPr>
            </w:pPr>
            <w:r w:rsidRPr="00A75DF9">
              <w:rPr>
                <w:rFonts w:eastAsia="Times New Roman" w:cs="Tahoma"/>
                <w:color w:val="000000"/>
                <w:sz w:val="13"/>
                <w:szCs w:val="13"/>
              </w:rPr>
              <w:t>Collaborazione di</w:t>
            </w:r>
            <w:r w:rsidR="00A70443">
              <w:rPr>
                <w:rFonts w:eastAsia="Times New Roman" w:cs="Tahoma"/>
                <w:color w:val="000000"/>
                <w:sz w:val="13"/>
                <w:szCs w:val="13"/>
              </w:rPr>
              <w:t> </w:t>
            </w:r>
            <w:r w:rsidRPr="00A75DF9">
              <w:rPr>
                <w:rFonts w:eastAsia="Times New Roman" w:cs="Tahoma"/>
                <w:color w:val="000000"/>
                <w:sz w:val="13"/>
                <w:szCs w:val="13"/>
              </w:rPr>
              <w:t>Yammer**</w:t>
            </w:r>
          </w:p>
        </w:tc>
        <w:tc>
          <w:tcPr>
            <w:tcW w:w="900"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eastAsia="Times New Roman" w:cs="Tahoma"/>
                <w:noProof/>
                <w:color w:val="000000"/>
                <w:sz w:val="12"/>
                <w:szCs w:val="16"/>
              </w:rPr>
            </w:pPr>
            <w:r w:rsidRPr="00A75DF9">
              <w:rPr>
                <w:rFonts w:eastAsia="Times New Roman" w:cs="Tahoma"/>
                <w:noProof/>
                <w:color w:val="000000"/>
                <w:sz w:val="12"/>
                <w:szCs w:val="16"/>
              </w:rPr>
              <w:drawing>
                <wp:inline distT="0" distB="0" distL="0" distR="0" wp14:anchorId="76273A5B" wp14:editId="59F6B1F6">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7"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eastAsia="Times New Roman" w:cs="Tahoma"/>
                <w:noProof/>
                <w:color w:val="000000"/>
                <w:sz w:val="12"/>
                <w:szCs w:val="16"/>
              </w:rPr>
            </w:pPr>
            <w:r w:rsidRPr="00A75DF9">
              <w:rPr>
                <w:rFonts w:eastAsia="Times New Roman" w:cs="Tahoma"/>
                <w:noProof/>
                <w:color w:val="000000"/>
                <w:sz w:val="12"/>
                <w:szCs w:val="16"/>
              </w:rPr>
              <w:drawing>
                <wp:inline distT="0" distB="0" distL="0" distR="0" wp14:anchorId="681622C6" wp14:editId="34410229">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9"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eastAsia="Times New Roman" w:cs="Tahoma"/>
                <w:color w:val="000000"/>
                <w:sz w:val="12"/>
                <w:szCs w:val="16"/>
              </w:rPr>
            </w:pPr>
            <w:r w:rsidRPr="00A75DF9">
              <w:rPr>
                <w:rFonts w:eastAsia="Times New Roman" w:cs="Tahoma"/>
                <w:noProof/>
                <w:color w:val="000000"/>
                <w:sz w:val="12"/>
                <w:szCs w:val="16"/>
              </w:rPr>
              <w:drawing>
                <wp:inline distT="0" distB="0" distL="0" distR="0" wp14:anchorId="3CFCBEE1" wp14:editId="47338B5D">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44" w:type="dxa"/>
            <w:tcBorders>
              <w:top w:val="nil"/>
              <w:left w:val="nil"/>
              <w:bottom w:val="nil"/>
              <w:right w:val="nil"/>
            </w:tcBorders>
            <w:shd w:val="clear" w:color="auto" w:fill="auto"/>
          </w:tcPr>
          <w:p w:rsidR="00BF2FFA" w:rsidRPr="00A75DF9" w:rsidRDefault="00BF2FFA" w:rsidP="004E6530">
            <w:pPr>
              <w:spacing w:before="20" w:after="20"/>
              <w:jc w:val="center"/>
              <w:rPr>
                <w:rFonts w:eastAsia="Times New Roman" w:cs="Tahoma"/>
                <w:noProof/>
                <w:color w:val="000000"/>
                <w:sz w:val="12"/>
                <w:szCs w:val="16"/>
              </w:rPr>
            </w:pPr>
          </w:p>
        </w:tc>
        <w:tc>
          <w:tcPr>
            <w:tcW w:w="122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A75DF9" w:rsidRDefault="00BF2FFA" w:rsidP="004E6530">
            <w:pPr>
              <w:spacing w:before="20" w:after="20"/>
              <w:rPr>
                <w:rFonts w:cs="Tahoma"/>
                <w:noProof/>
                <w:sz w:val="13"/>
                <w:szCs w:val="13"/>
              </w:rPr>
            </w:pPr>
            <w:r w:rsidRPr="00A75DF9">
              <w:rPr>
                <w:rFonts w:eastAsia="Times New Roman" w:cs="Tahoma"/>
                <w:color w:val="000000"/>
                <w:sz w:val="13"/>
                <w:szCs w:val="13"/>
              </w:rPr>
              <w:t>Personalizza moduli e visualizzazioni</w:t>
            </w:r>
          </w:p>
        </w:tc>
        <w:tc>
          <w:tcPr>
            <w:tcW w:w="900"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right"/>
              <w:rPr>
                <w:rFonts w:cs="Tahoma"/>
                <w:noProof/>
                <w:sz w:val="12"/>
                <w:szCs w:val="16"/>
              </w:rPr>
            </w:pPr>
            <w:r w:rsidRPr="00A75DF9">
              <w:rPr>
                <w:rFonts w:eastAsia="Times New Roman" w:cs="Tahoma"/>
                <w:noProof/>
                <w:color w:val="000000"/>
                <w:sz w:val="12"/>
                <w:szCs w:val="16"/>
              </w:rPr>
              <w:drawing>
                <wp:inline distT="0" distB="0" distL="0" distR="0" wp14:anchorId="1F764F85" wp14:editId="18D567E7">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A75DF9" w:rsidRDefault="00BF2FFA" w:rsidP="004E6530">
            <w:pPr>
              <w:spacing w:before="20" w:after="20"/>
              <w:jc w:val="center"/>
              <w:rPr>
                <w:rFonts w:cs="Tahoma"/>
                <w:noProof/>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A75DF9" w:rsidRDefault="00BF2FFA" w:rsidP="004E6530">
            <w:pPr>
              <w:spacing w:before="20" w:after="20"/>
              <w:jc w:val="center"/>
              <w:rPr>
                <w:rFonts w:cs="Tahoma"/>
                <w:noProof/>
                <w:sz w:val="14"/>
                <w:szCs w:val="16"/>
              </w:rPr>
            </w:pPr>
          </w:p>
        </w:tc>
      </w:tr>
      <w:tr w:rsidR="00BF2FFA" w:rsidRPr="00A75DF9" w:rsidTr="00A70443">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A75DF9" w:rsidRDefault="00BF2FFA" w:rsidP="004E6530">
            <w:pPr>
              <w:spacing w:before="20" w:after="20"/>
              <w:rPr>
                <w:rFonts w:eastAsia="Times New Roman" w:cs="Tahoma"/>
                <w:color w:val="000000"/>
                <w:sz w:val="13"/>
                <w:szCs w:val="13"/>
              </w:rPr>
            </w:pPr>
            <w:r w:rsidRPr="00A75DF9">
              <w:rPr>
                <w:rFonts w:eastAsia="Times New Roman" w:cs="Tahoma"/>
                <w:color w:val="000000"/>
                <w:sz w:val="13"/>
                <w:szCs w:val="13"/>
              </w:rPr>
              <w:t>Pubblica feed delle attività</w:t>
            </w:r>
          </w:p>
        </w:tc>
        <w:tc>
          <w:tcPr>
            <w:tcW w:w="900"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eastAsia="Times New Roman" w:cs="Tahoma"/>
                <w:noProof/>
                <w:color w:val="000000"/>
                <w:sz w:val="12"/>
                <w:szCs w:val="16"/>
              </w:rPr>
            </w:pPr>
            <w:r w:rsidRPr="00A75DF9">
              <w:rPr>
                <w:rFonts w:eastAsia="Times New Roman" w:cs="Tahoma"/>
                <w:noProof/>
                <w:color w:val="000000"/>
                <w:sz w:val="12"/>
                <w:szCs w:val="16"/>
              </w:rPr>
              <w:drawing>
                <wp:inline distT="0" distB="0" distL="0" distR="0" wp14:anchorId="4DFFC070" wp14:editId="67867961">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7"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eastAsia="Times New Roman" w:cs="Tahoma"/>
                <w:noProof/>
                <w:color w:val="000000"/>
                <w:sz w:val="12"/>
                <w:szCs w:val="16"/>
              </w:rPr>
            </w:pPr>
            <w:r w:rsidRPr="00A75DF9">
              <w:rPr>
                <w:rFonts w:eastAsia="Times New Roman" w:cs="Tahoma"/>
                <w:noProof/>
                <w:color w:val="000000"/>
                <w:sz w:val="12"/>
                <w:szCs w:val="16"/>
              </w:rPr>
              <w:drawing>
                <wp:inline distT="0" distB="0" distL="0" distR="0" wp14:anchorId="2CEB5F46" wp14:editId="5CB2BC85">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9"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eastAsia="Times New Roman" w:cs="Tahoma"/>
                <w:color w:val="000000"/>
                <w:sz w:val="12"/>
                <w:szCs w:val="16"/>
              </w:rPr>
            </w:pPr>
            <w:r w:rsidRPr="00A75DF9">
              <w:rPr>
                <w:rFonts w:eastAsia="Times New Roman" w:cs="Tahoma"/>
                <w:noProof/>
                <w:color w:val="000000"/>
                <w:sz w:val="12"/>
                <w:szCs w:val="16"/>
              </w:rPr>
              <w:drawing>
                <wp:inline distT="0" distB="0" distL="0" distR="0" wp14:anchorId="4FF72E14" wp14:editId="58AFA775">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44" w:type="dxa"/>
            <w:tcBorders>
              <w:top w:val="nil"/>
              <w:left w:val="nil"/>
              <w:bottom w:val="nil"/>
              <w:right w:val="nil"/>
            </w:tcBorders>
            <w:shd w:val="clear" w:color="auto" w:fill="auto"/>
          </w:tcPr>
          <w:p w:rsidR="00BF2FFA" w:rsidRPr="00A75DF9" w:rsidRDefault="00BF2FFA" w:rsidP="004E6530">
            <w:pPr>
              <w:spacing w:before="20" w:after="20"/>
              <w:jc w:val="center"/>
              <w:rPr>
                <w:rFonts w:eastAsia="Times New Roman" w:cs="Tahoma"/>
                <w:noProof/>
                <w:color w:val="000000"/>
                <w:sz w:val="12"/>
                <w:szCs w:val="16"/>
              </w:rPr>
            </w:pPr>
          </w:p>
        </w:tc>
        <w:tc>
          <w:tcPr>
            <w:tcW w:w="122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A75DF9" w:rsidRDefault="00BF2FFA" w:rsidP="004E6530">
            <w:pPr>
              <w:spacing w:before="20" w:after="20"/>
              <w:rPr>
                <w:rFonts w:cs="Tahoma"/>
                <w:noProof/>
                <w:sz w:val="13"/>
                <w:szCs w:val="13"/>
              </w:rPr>
            </w:pPr>
            <w:r w:rsidRPr="00A75DF9">
              <w:rPr>
                <w:rFonts w:eastAsia="Times New Roman" w:cs="Tahoma"/>
                <w:color w:val="000000"/>
                <w:sz w:val="13"/>
                <w:szCs w:val="13"/>
              </w:rPr>
              <w:t>Crea moduli, entità e campi di Microsoft Dynamics CRM</w:t>
            </w:r>
          </w:p>
        </w:tc>
        <w:tc>
          <w:tcPr>
            <w:tcW w:w="900"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right"/>
              <w:rPr>
                <w:rFonts w:cs="Tahoma"/>
                <w:noProof/>
                <w:sz w:val="12"/>
                <w:szCs w:val="16"/>
              </w:rPr>
            </w:pPr>
            <w:r w:rsidRPr="00A75DF9">
              <w:rPr>
                <w:rFonts w:eastAsia="Times New Roman" w:cs="Tahoma"/>
                <w:noProof/>
                <w:color w:val="000000"/>
                <w:sz w:val="12"/>
                <w:szCs w:val="16"/>
              </w:rPr>
              <w:drawing>
                <wp:inline distT="0" distB="0" distL="0" distR="0" wp14:anchorId="65B80673" wp14:editId="5FDC4689">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A75DF9" w:rsidRDefault="00BF2FFA" w:rsidP="004E6530">
            <w:pPr>
              <w:spacing w:before="20" w:after="20"/>
              <w:jc w:val="center"/>
              <w:rPr>
                <w:rFonts w:cs="Tahoma"/>
                <w:noProof/>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A75DF9" w:rsidRDefault="00BF2FFA" w:rsidP="004E6530">
            <w:pPr>
              <w:spacing w:before="20" w:after="20"/>
              <w:jc w:val="center"/>
              <w:rPr>
                <w:rFonts w:cs="Tahoma"/>
                <w:noProof/>
                <w:sz w:val="14"/>
                <w:szCs w:val="16"/>
              </w:rPr>
            </w:pPr>
          </w:p>
        </w:tc>
      </w:tr>
      <w:tr w:rsidR="00BF2FFA" w:rsidRPr="00A75DF9" w:rsidTr="00A70443">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A75DF9" w:rsidRDefault="00BF2FFA" w:rsidP="004E6530">
            <w:pPr>
              <w:spacing w:before="20" w:after="20"/>
              <w:rPr>
                <w:rFonts w:eastAsia="Times New Roman" w:cs="Tahoma"/>
                <w:color w:val="000000"/>
                <w:sz w:val="13"/>
                <w:szCs w:val="13"/>
              </w:rPr>
            </w:pPr>
            <w:r w:rsidRPr="00A75DF9">
              <w:rPr>
                <w:rFonts w:eastAsia="Times New Roman" w:cs="Tahoma"/>
                <w:color w:val="000000"/>
                <w:sz w:val="13"/>
                <w:szCs w:val="13"/>
              </w:rPr>
              <w:t>Segui feed delle attività</w:t>
            </w:r>
          </w:p>
        </w:tc>
        <w:tc>
          <w:tcPr>
            <w:tcW w:w="900"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eastAsia="Times New Roman" w:cs="Tahoma"/>
                <w:noProof/>
                <w:color w:val="000000"/>
                <w:sz w:val="12"/>
                <w:szCs w:val="16"/>
              </w:rPr>
            </w:pPr>
            <w:r w:rsidRPr="00A75DF9">
              <w:rPr>
                <w:rFonts w:eastAsia="Times New Roman" w:cs="Tahoma"/>
                <w:noProof/>
                <w:color w:val="000000"/>
                <w:sz w:val="12"/>
                <w:szCs w:val="16"/>
              </w:rPr>
              <w:drawing>
                <wp:inline distT="0" distB="0" distL="0" distR="0" wp14:anchorId="208AF107" wp14:editId="0D4D6BAB">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7"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eastAsia="Times New Roman" w:cs="Tahoma"/>
                <w:noProof/>
                <w:color w:val="000000"/>
                <w:sz w:val="12"/>
                <w:szCs w:val="16"/>
              </w:rPr>
            </w:pPr>
            <w:r w:rsidRPr="00A75DF9">
              <w:rPr>
                <w:rFonts w:eastAsia="Times New Roman" w:cs="Tahoma"/>
                <w:noProof/>
                <w:color w:val="000000"/>
                <w:sz w:val="12"/>
                <w:szCs w:val="16"/>
              </w:rPr>
              <w:drawing>
                <wp:inline distT="0" distB="0" distL="0" distR="0" wp14:anchorId="6E283597" wp14:editId="179CE415">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9"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eastAsia="Times New Roman" w:cs="Tahoma"/>
                <w:color w:val="000000"/>
                <w:sz w:val="12"/>
                <w:szCs w:val="16"/>
              </w:rPr>
            </w:pPr>
            <w:r w:rsidRPr="00A75DF9">
              <w:rPr>
                <w:rFonts w:eastAsia="Times New Roman" w:cs="Tahoma"/>
                <w:noProof/>
                <w:color w:val="000000"/>
                <w:sz w:val="12"/>
                <w:szCs w:val="16"/>
              </w:rPr>
              <w:drawing>
                <wp:inline distT="0" distB="0" distL="0" distR="0" wp14:anchorId="78E6C7A0" wp14:editId="488548B3">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44" w:type="dxa"/>
            <w:tcBorders>
              <w:top w:val="nil"/>
              <w:left w:val="nil"/>
              <w:bottom w:val="nil"/>
              <w:right w:val="nil"/>
            </w:tcBorders>
            <w:shd w:val="clear" w:color="auto" w:fill="auto"/>
          </w:tcPr>
          <w:p w:rsidR="00BF2FFA" w:rsidRPr="00A75DF9" w:rsidRDefault="00BF2FFA" w:rsidP="004E6530">
            <w:pPr>
              <w:spacing w:before="20" w:after="20"/>
              <w:jc w:val="center"/>
              <w:rPr>
                <w:rFonts w:eastAsia="Times New Roman" w:cs="Tahoma"/>
                <w:noProof/>
                <w:color w:val="000000"/>
                <w:sz w:val="12"/>
                <w:szCs w:val="16"/>
              </w:rPr>
            </w:pPr>
          </w:p>
        </w:tc>
        <w:tc>
          <w:tcPr>
            <w:tcW w:w="122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A75DF9" w:rsidRDefault="00BF2FFA" w:rsidP="004E6530">
            <w:pPr>
              <w:spacing w:before="20" w:after="20"/>
              <w:rPr>
                <w:rFonts w:cs="Tahoma"/>
                <w:noProof/>
                <w:sz w:val="13"/>
                <w:szCs w:val="13"/>
              </w:rPr>
            </w:pPr>
            <w:r w:rsidRPr="00A75DF9">
              <w:rPr>
                <w:rFonts w:eastAsia="Times New Roman" w:cs="Tahoma"/>
                <w:color w:val="000000"/>
                <w:sz w:val="13"/>
                <w:szCs w:val="13"/>
              </w:rPr>
              <w:t>Gestisci CRM</w:t>
            </w:r>
          </w:p>
        </w:tc>
        <w:tc>
          <w:tcPr>
            <w:tcW w:w="900"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right"/>
              <w:rPr>
                <w:rFonts w:cs="Tahoma"/>
                <w:noProof/>
                <w:sz w:val="12"/>
                <w:szCs w:val="16"/>
              </w:rPr>
            </w:pPr>
            <w:r w:rsidRPr="00A75DF9">
              <w:rPr>
                <w:rFonts w:eastAsia="Times New Roman" w:cs="Tahoma"/>
                <w:noProof/>
                <w:color w:val="000000"/>
                <w:sz w:val="12"/>
                <w:szCs w:val="16"/>
              </w:rPr>
              <w:drawing>
                <wp:inline distT="0" distB="0" distL="0" distR="0" wp14:anchorId="3C42D35E" wp14:editId="6AB39CE8">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A75DF9" w:rsidRDefault="00BF2FFA" w:rsidP="004E6530">
            <w:pPr>
              <w:spacing w:before="20" w:after="20"/>
              <w:jc w:val="center"/>
              <w:rPr>
                <w:rFonts w:cs="Tahoma"/>
                <w:noProof/>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A75DF9" w:rsidRDefault="00BF2FFA" w:rsidP="004E6530">
            <w:pPr>
              <w:spacing w:before="20" w:after="20"/>
              <w:jc w:val="center"/>
              <w:rPr>
                <w:rFonts w:cs="Tahoma"/>
                <w:noProof/>
                <w:sz w:val="14"/>
                <w:szCs w:val="16"/>
              </w:rPr>
            </w:pPr>
          </w:p>
        </w:tc>
      </w:tr>
      <w:tr w:rsidR="00BF2FFA" w:rsidRPr="00A75DF9" w:rsidTr="00A70443">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A75DF9" w:rsidRDefault="00BF2FFA" w:rsidP="004E6530">
            <w:pPr>
              <w:spacing w:before="20" w:after="20"/>
              <w:rPr>
                <w:rFonts w:eastAsia="Times New Roman" w:cs="Tahoma"/>
                <w:color w:val="000000"/>
                <w:sz w:val="13"/>
                <w:szCs w:val="13"/>
              </w:rPr>
            </w:pPr>
            <w:r w:rsidRPr="00A75DF9">
              <w:rPr>
                <w:rFonts w:eastAsia="Times New Roman" w:cs="Tahoma"/>
                <w:color w:val="000000"/>
                <w:sz w:val="13"/>
                <w:szCs w:val="13"/>
              </w:rPr>
              <w:t>Calendario condiviso</w:t>
            </w:r>
          </w:p>
        </w:tc>
        <w:tc>
          <w:tcPr>
            <w:tcW w:w="900"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eastAsia="Times New Roman" w:cs="Tahoma"/>
                <w:noProof/>
                <w:color w:val="000000"/>
                <w:sz w:val="12"/>
                <w:szCs w:val="16"/>
              </w:rPr>
            </w:pPr>
            <w:r w:rsidRPr="00A75DF9">
              <w:rPr>
                <w:rFonts w:eastAsia="Times New Roman" w:cs="Tahoma"/>
                <w:noProof/>
                <w:color w:val="000000"/>
                <w:sz w:val="12"/>
                <w:szCs w:val="16"/>
              </w:rPr>
              <w:drawing>
                <wp:inline distT="0" distB="0" distL="0" distR="0" wp14:anchorId="07974F5E" wp14:editId="52CC8FE1">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7"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eastAsia="Times New Roman" w:cs="Tahoma"/>
                <w:noProof/>
                <w:color w:val="000000"/>
                <w:sz w:val="12"/>
                <w:szCs w:val="16"/>
              </w:rPr>
            </w:pPr>
            <w:r w:rsidRPr="00A75DF9">
              <w:rPr>
                <w:rFonts w:eastAsia="Times New Roman" w:cs="Tahoma"/>
                <w:noProof/>
                <w:color w:val="000000"/>
                <w:sz w:val="12"/>
                <w:szCs w:val="16"/>
              </w:rPr>
              <w:drawing>
                <wp:inline distT="0" distB="0" distL="0" distR="0" wp14:anchorId="0CB89690" wp14:editId="2074D467">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9"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eastAsia="Times New Roman" w:cs="Tahoma"/>
                <w:color w:val="000000"/>
                <w:sz w:val="12"/>
                <w:szCs w:val="16"/>
              </w:rPr>
            </w:pPr>
            <w:r w:rsidRPr="00A75DF9">
              <w:rPr>
                <w:rFonts w:eastAsia="Times New Roman" w:cs="Tahoma"/>
                <w:noProof/>
                <w:color w:val="000000"/>
                <w:sz w:val="12"/>
                <w:szCs w:val="16"/>
              </w:rPr>
              <w:drawing>
                <wp:inline distT="0" distB="0" distL="0" distR="0" wp14:anchorId="3D052ED6" wp14:editId="0AE2A329">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44" w:type="dxa"/>
            <w:tcBorders>
              <w:top w:val="nil"/>
              <w:left w:val="nil"/>
              <w:bottom w:val="nil"/>
              <w:right w:val="nil"/>
            </w:tcBorders>
            <w:shd w:val="clear" w:color="auto" w:fill="auto"/>
          </w:tcPr>
          <w:p w:rsidR="00BF2FFA" w:rsidRPr="00A75DF9" w:rsidRDefault="00BF2FFA" w:rsidP="004E6530">
            <w:pPr>
              <w:spacing w:before="20" w:after="20"/>
              <w:jc w:val="center"/>
              <w:rPr>
                <w:rFonts w:eastAsia="Times New Roman" w:cs="Tahoma"/>
                <w:noProof/>
                <w:color w:val="000000"/>
                <w:sz w:val="12"/>
                <w:szCs w:val="16"/>
              </w:rPr>
            </w:pPr>
          </w:p>
        </w:tc>
        <w:tc>
          <w:tcPr>
            <w:tcW w:w="122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A75DF9" w:rsidRDefault="00BF2FFA" w:rsidP="004E6530">
            <w:pPr>
              <w:spacing w:before="20" w:after="20"/>
              <w:rPr>
                <w:rFonts w:cs="Tahoma"/>
                <w:noProof/>
                <w:sz w:val="13"/>
                <w:szCs w:val="13"/>
              </w:rPr>
            </w:pPr>
            <w:r w:rsidRPr="00A75DF9">
              <w:rPr>
                <w:rFonts w:eastAsia="Times New Roman" w:cs="Tahoma"/>
                <w:color w:val="000000"/>
                <w:sz w:val="13"/>
                <w:szCs w:val="13"/>
              </w:rPr>
              <w:t>Modelli di articoli</w:t>
            </w:r>
          </w:p>
        </w:tc>
        <w:tc>
          <w:tcPr>
            <w:tcW w:w="900"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right"/>
              <w:rPr>
                <w:rFonts w:cs="Tahoma"/>
                <w:noProof/>
                <w:sz w:val="12"/>
                <w:szCs w:val="16"/>
              </w:rPr>
            </w:pPr>
            <w:r w:rsidRPr="00A75DF9">
              <w:rPr>
                <w:rFonts w:eastAsia="Times New Roman" w:cs="Tahoma"/>
                <w:noProof/>
                <w:color w:val="000000"/>
                <w:sz w:val="12"/>
                <w:szCs w:val="16"/>
              </w:rPr>
              <w:drawing>
                <wp:inline distT="0" distB="0" distL="0" distR="0" wp14:anchorId="339A0016" wp14:editId="36021B91">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A75DF9" w:rsidRDefault="00BF2FFA" w:rsidP="004E6530">
            <w:pPr>
              <w:spacing w:before="20" w:after="20"/>
              <w:jc w:val="center"/>
              <w:rPr>
                <w:rFonts w:cs="Tahoma"/>
                <w:noProof/>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A75DF9" w:rsidRDefault="00BF2FFA" w:rsidP="004E6530">
            <w:pPr>
              <w:spacing w:before="20" w:after="20"/>
              <w:jc w:val="center"/>
              <w:rPr>
                <w:rFonts w:cs="Tahoma"/>
                <w:noProof/>
                <w:sz w:val="14"/>
                <w:szCs w:val="16"/>
              </w:rPr>
            </w:pPr>
          </w:p>
        </w:tc>
      </w:tr>
      <w:tr w:rsidR="00BF2FFA" w:rsidRPr="00A75DF9" w:rsidTr="00A70443">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A75DF9" w:rsidRDefault="00BF2FFA" w:rsidP="004E6530">
            <w:pPr>
              <w:spacing w:before="20" w:after="20"/>
              <w:rPr>
                <w:rFonts w:eastAsia="Times New Roman" w:cs="Tahoma"/>
                <w:color w:val="000000"/>
                <w:sz w:val="13"/>
                <w:szCs w:val="13"/>
              </w:rPr>
            </w:pPr>
            <w:r w:rsidRPr="00A75DF9">
              <w:rPr>
                <w:rFonts w:eastAsia="Times New Roman" w:cs="Tahoma"/>
                <w:color w:val="000000"/>
                <w:sz w:val="13"/>
                <w:szCs w:val="13"/>
              </w:rPr>
              <w:t>Scrivi record delle entità personalizzati</w:t>
            </w:r>
          </w:p>
        </w:tc>
        <w:tc>
          <w:tcPr>
            <w:tcW w:w="900"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eastAsia="Times New Roman" w:cs="Tahoma"/>
                <w:noProof/>
                <w:color w:val="000000"/>
                <w:sz w:val="12"/>
                <w:szCs w:val="16"/>
              </w:rPr>
            </w:pPr>
            <w:r w:rsidRPr="00A75DF9">
              <w:rPr>
                <w:rFonts w:eastAsia="Times New Roman" w:cs="Tahoma"/>
                <w:noProof/>
                <w:color w:val="000000"/>
                <w:sz w:val="12"/>
                <w:szCs w:val="16"/>
              </w:rPr>
              <w:drawing>
                <wp:inline distT="0" distB="0" distL="0" distR="0" wp14:anchorId="09E85FC6" wp14:editId="32AED718">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7"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eastAsia="Times New Roman" w:cs="Tahoma"/>
                <w:noProof/>
                <w:color w:val="000000"/>
                <w:sz w:val="12"/>
                <w:szCs w:val="16"/>
              </w:rPr>
            </w:pPr>
            <w:r w:rsidRPr="00A75DF9">
              <w:rPr>
                <w:rFonts w:eastAsia="Times New Roman" w:cs="Tahoma"/>
                <w:noProof/>
                <w:color w:val="000000"/>
                <w:sz w:val="12"/>
                <w:szCs w:val="16"/>
              </w:rPr>
              <w:drawing>
                <wp:inline distT="0" distB="0" distL="0" distR="0" wp14:anchorId="787E74FA" wp14:editId="265AA30B">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9"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eastAsia="Times New Roman" w:cs="Tahoma"/>
                <w:color w:val="000000"/>
                <w:sz w:val="12"/>
                <w:szCs w:val="16"/>
              </w:rPr>
            </w:pPr>
            <w:r w:rsidRPr="00A75DF9">
              <w:rPr>
                <w:rFonts w:eastAsia="Times New Roman" w:cs="Tahoma"/>
                <w:noProof/>
                <w:color w:val="000000"/>
                <w:sz w:val="12"/>
                <w:szCs w:val="16"/>
              </w:rPr>
              <w:drawing>
                <wp:inline distT="0" distB="0" distL="0" distR="0" wp14:anchorId="7E2D9903" wp14:editId="3653F4E3">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44" w:type="dxa"/>
            <w:tcBorders>
              <w:top w:val="nil"/>
              <w:left w:val="nil"/>
              <w:bottom w:val="nil"/>
              <w:right w:val="nil"/>
            </w:tcBorders>
            <w:shd w:val="clear" w:color="auto" w:fill="auto"/>
          </w:tcPr>
          <w:p w:rsidR="00BF2FFA" w:rsidRPr="00A75DF9" w:rsidRDefault="00BF2FFA" w:rsidP="004E6530">
            <w:pPr>
              <w:spacing w:before="20" w:after="20"/>
              <w:jc w:val="center"/>
              <w:rPr>
                <w:rFonts w:eastAsia="Times New Roman" w:cs="Tahoma"/>
                <w:noProof/>
                <w:color w:val="000000"/>
                <w:sz w:val="12"/>
                <w:szCs w:val="16"/>
              </w:rPr>
            </w:pPr>
          </w:p>
        </w:tc>
        <w:tc>
          <w:tcPr>
            <w:tcW w:w="122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A75DF9" w:rsidRDefault="00BF2FFA" w:rsidP="004E6530">
            <w:pPr>
              <w:spacing w:before="20" w:after="20"/>
              <w:rPr>
                <w:rFonts w:eastAsia="Times New Roman" w:cs="Tahoma"/>
                <w:noProof/>
                <w:color w:val="000000"/>
                <w:sz w:val="13"/>
                <w:szCs w:val="13"/>
              </w:rPr>
            </w:pPr>
            <w:r w:rsidRPr="00A75DF9">
              <w:rPr>
                <w:rFonts w:eastAsia="Times New Roman" w:cs="Tahoma"/>
                <w:color w:val="000000"/>
                <w:sz w:val="13"/>
                <w:szCs w:val="13"/>
              </w:rPr>
              <w:t>Crea e pubblica articoli</w:t>
            </w:r>
          </w:p>
        </w:tc>
        <w:tc>
          <w:tcPr>
            <w:tcW w:w="900"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right"/>
              <w:rPr>
                <w:rFonts w:eastAsia="Times New Roman" w:cs="Tahoma"/>
                <w:noProof/>
                <w:color w:val="000000"/>
                <w:sz w:val="12"/>
                <w:szCs w:val="16"/>
              </w:rPr>
            </w:pPr>
            <w:r w:rsidRPr="00A75DF9">
              <w:rPr>
                <w:rFonts w:eastAsia="Times New Roman" w:cs="Tahoma"/>
                <w:noProof/>
                <w:color w:val="000000"/>
                <w:sz w:val="12"/>
                <w:szCs w:val="16"/>
              </w:rPr>
              <w:drawing>
                <wp:inline distT="0" distB="0" distL="0" distR="0" wp14:anchorId="4DE6786A" wp14:editId="1DA64D15">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A75DF9" w:rsidRDefault="00BF2FFA" w:rsidP="004E6530">
            <w:pPr>
              <w:spacing w:before="20" w:after="20"/>
              <w:jc w:val="center"/>
              <w:rPr>
                <w:rFonts w:eastAsia="Times New Roma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A75DF9" w:rsidRDefault="00BF2FFA" w:rsidP="004E6530">
            <w:pPr>
              <w:spacing w:before="20" w:after="20"/>
              <w:jc w:val="center"/>
              <w:rPr>
                <w:rFonts w:eastAsia="Times New Roman" w:cs="Tahoma"/>
                <w:noProof/>
                <w:color w:val="000000"/>
                <w:sz w:val="14"/>
                <w:szCs w:val="16"/>
              </w:rPr>
            </w:pPr>
          </w:p>
        </w:tc>
      </w:tr>
      <w:tr w:rsidR="00BF2FFA" w:rsidRPr="00A75DF9" w:rsidTr="00A70443">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A75DF9" w:rsidRDefault="00BF2FFA" w:rsidP="004E6530">
            <w:pPr>
              <w:spacing w:before="20" w:after="20"/>
              <w:rPr>
                <w:rFonts w:eastAsia="Times New Roman" w:cs="Tahoma"/>
                <w:color w:val="000000"/>
                <w:sz w:val="13"/>
                <w:szCs w:val="13"/>
              </w:rPr>
            </w:pPr>
            <w:r w:rsidRPr="00A75DF9">
              <w:rPr>
                <w:rFonts w:eastAsia="Times New Roman" w:cs="Tahoma"/>
                <w:color w:val="000000"/>
                <w:sz w:val="13"/>
                <w:szCs w:val="13"/>
              </w:rPr>
              <w:t>Leggi i dati delle applicazioni personalizzate</w:t>
            </w:r>
          </w:p>
        </w:tc>
        <w:tc>
          <w:tcPr>
            <w:tcW w:w="900"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eastAsia="Times New Roman" w:cs="Tahoma"/>
                <w:noProof/>
                <w:color w:val="000000"/>
                <w:sz w:val="12"/>
                <w:szCs w:val="16"/>
              </w:rPr>
            </w:pPr>
            <w:r w:rsidRPr="00A75DF9">
              <w:rPr>
                <w:rFonts w:eastAsia="Times New Roman" w:cs="Tahoma"/>
                <w:noProof/>
                <w:color w:val="000000"/>
                <w:sz w:val="12"/>
                <w:szCs w:val="16"/>
              </w:rPr>
              <w:drawing>
                <wp:inline distT="0" distB="0" distL="0" distR="0" wp14:anchorId="0FE7D88D" wp14:editId="4C6B5C5C">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7"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eastAsia="Times New Roman" w:cs="Tahoma"/>
                <w:noProof/>
                <w:color w:val="000000"/>
                <w:sz w:val="12"/>
                <w:szCs w:val="16"/>
              </w:rPr>
            </w:pPr>
            <w:r w:rsidRPr="00A75DF9">
              <w:rPr>
                <w:rFonts w:eastAsia="Times New Roman" w:cs="Tahoma"/>
                <w:noProof/>
                <w:color w:val="000000"/>
                <w:sz w:val="12"/>
                <w:szCs w:val="16"/>
              </w:rPr>
              <w:drawing>
                <wp:inline distT="0" distB="0" distL="0" distR="0" wp14:anchorId="4DC305AB" wp14:editId="4DBD5F91">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9"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eastAsia="Times New Roman" w:cs="Tahoma"/>
                <w:color w:val="000000"/>
                <w:sz w:val="12"/>
                <w:szCs w:val="16"/>
              </w:rPr>
            </w:pPr>
            <w:r w:rsidRPr="00A75DF9">
              <w:rPr>
                <w:rFonts w:eastAsia="Times New Roman" w:cs="Tahoma"/>
                <w:noProof/>
                <w:color w:val="000000"/>
                <w:sz w:val="12"/>
                <w:szCs w:val="16"/>
              </w:rPr>
              <w:drawing>
                <wp:inline distT="0" distB="0" distL="0" distR="0" wp14:anchorId="75080D79" wp14:editId="50F9C5F4">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44" w:type="dxa"/>
            <w:tcBorders>
              <w:top w:val="nil"/>
              <w:left w:val="nil"/>
              <w:bottom w:val="nil"/>
              <w:right w:val="nil"/>
            </w:tcBorders>
            <w:shd w:val="clear" w:color="auto" w:fill="auto"/>
          </w:tcPr>
          <w:p w:rsidR="00BF2FFA" w:rsidRPr="00A75DF9" w:rsidRDefault="00BF2FFA" w:rsidP="004E6530">
            <w:pPr>
              <w:spacing w:before="20" w:after="20"/>
              <w:jc w:val="center"/>
              <w:rPr>
                <w:rFonts w:eastAsia="Times New Roman" w:cs="Tahoma"/>
                <w:noProof/>
                <w:color w:val="000000"/>
                <w:sz w:val="12"/>
                <w:szCs w:val="16"/>
              </w:rPr>
            </w:pPr>
          </w:p>
        </w:tc>
        <w:tc>
          <w:tcPr>
            <w:tcW w:w="122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A75DF9" w:rsidRDefault="00BF2FFA" w:rsidP="004E6530">
            <w:pPr>
              <w:spacing w:before="20" w:after="20"/>
              <w:rPr>
                <w:rFonts w:eastAsia="Times New Roman" w:cs="Tahoma"/>
                <w:noProof/>
                <w:color w:val="000000"/>
                <w:sz w:val="13"/>
                <w:szCs w:val="13"/>
              </w:rPr>
            </w:pPr>
            <w:r w:rsidRPr="00A75DF9">
              <w:rPr>
                <w:rFonts w:eastAsia="Times New Roman" w:cs="Tahoma"/>
                <w:color w:val="000000"/>
                <w:sz w:val="13"/>
                <w:szCs w:val="13"/>
              </w:rPr>
              <w:t>Gestione degli obiettivi</w:t>
            </w:r>
          </w:p>
        </w:tc>
        <w:tc>
          <w:tcPr>
            <w:tcW w:w="900"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right"/>
              <w:rPr>
                <w:rFonts w:eastAsia="Times New Roman" w:cs="Tahoma"/>
                <w:noProof/>
                <w:color w:val="000000"/>
                <w:sz w:val="12"/>
                <w:szCs w:val="16"/>
              </w:rPr>
            </w:pPr>
            <w:r w:rsidRPr="00A75DF9">
              <w:rPr>
                <w:rFonts w:eastAsia="Times New Roman" w:cs="Tahoma"/>
                <w:noProof/>
                <w:color w:val="000000"/>
                <w:sz w:val="12"/>
                <w:szCs w:val="16"/>
              </w:rPr>
              <w:drawing>
                <wp:inline distT="0" distB="0" distL="0" distR="0" wp14:anchorId="192C0A2B" wp14:editId="498ED602">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A75DF9" w:rsidRDefault="00BF2FFA" w:rsidP="004E6530">
            <w:pPr>
              <w:spacing w:before="20" w:after="20"/>
              <w:jc w:val="center"/>
              <w:rPr>
                <w:rFonts w:eastAsia="Times New Roma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A75DF9" w:rsidRDefault="00BF2FFA" w:rsidP="004E6530">
            <w:pPr>
              <w:spacing w:before="20" w:after="20"/>
              <w:jc w:val="center"/>
              <w:rPr>
                <w:rFonts w:eastAsia="Times New Roman" w:cs="Tahoma"/>
                <w:noProof/>
                <w:color w:val="000000"/>
                <w:sz w:val="14"/>
                <w:szCs w:val="16"/>
              </w:rPr>
            </w:pPr>
          </w:p>
        </w:tc>
      </w:tr>
      <w:tr w:rsidR="00BF2FFA" w:rsidRPr="00A75DF9" w:rsidTr="00A70443">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A75DF9" w:rsidRDefault="00BF2FFA" w:rsidP="004E6530">
            <w:pPr>
              <w:spacing w:before="20" w:after="20"/>
              <w:rPr>
                <w:rFonts w:eastAsia="Times New Roman" w:cs="Tahoma"/>
                <w:color w:val="000000"/>
                <w:sz w:val="13"/>
                <w:szCs w:val="13"/>
              </w:rPr>
            </w:pPr>
            <w:r w:rsidRPr="00A75DF9">
              <w:rPr>
                <w:rFonts w:eastAsia="Times New Roman" w:cs="Tahoma"/>
                <w:color w:val="000000"/>
                <w:sz w:val="13"/>
                <w:szCs w:val="13"/>
              </w:rPr>
              <w:t>Microsoft Dynamics CRM Mobile Express</w:t>
            </w:r>
          </w:p>
        </w:tc>
        <w:tc>
          <w:tcPr>
            <w:tcW w:w="900"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eastAsia="Times New Roman" w:cs="Tahoma"/>
                <w:noProof/>
                <w:color w:val="000000"/>
                <w:sz w:val="12"/>
                <w:szCs w:val="16"/>
              </w:rPr>
            </w:pPr>
            <w:r w:rsidRPr="00A75DF9">
              <w:rPr>
                <w:rFonts w:eastAsia="Times New Roman" w:cs="Tahoma"/>
                <w:noProof/>
                <w:color w:val="000000"/>
                <w:sz w:val="12"/>
                <w:szCs w:val="16"/>
              </w:rPr>
              <w:drawing>
                <wp:inline distT="0" distB="0" distL="0" distR="0" wp14:anchorId="07B4E206" wp14:editId="414FA4BF">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7"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eastAsia="Times New Roman" w:cs="Tahoma"/>
                <w:noProof/>
                <w:color w:val="000000"/>
                <w:sz w:val="12"/>
                <w:szCs w:val="16"/>
              </w:rPr>
            </w:pPr>
            <w:r w:rsidRPr="00A75DF9">
              <w:rPr>
                <w:rFonts w:eastAsia="Times New Roman" w:cs="Tahoma"/>
                <w:noProof/>
                <w:color w:val="000000"/>
                <w:sz w:val="12"/>
                <w:szCs w:val="16"/>
              </w:rPr>
              <w:drawing>
                <wp:inline distT="0" distB="0" distL="0" distR="0" wp14:anchorId="276FFF71" wp14:editId="0EA7538B">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9"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eastAsia="Times New Roman" w:cs="Tahoma"/>
                <w:color w:val="000000"/>
                <w:sz w:val="12"/>
                <w:szCs w:val="16"/>
              </w:rPr>
            </w:pPr>
            <w:r w:rsidRPr="00A75DF9">
              <w:rPr>
                <w:rFonts w:eastAsia="Times New Roman" w:cs="Tahoma"/>
                <w:noProof/>
                <w:color w:val="000000"/>
                <w:sz w:val="12"/>
                <w:szCs w:val="16"/>
              </w:rPr>
              <w:drawing>
                <wp:inline distT="0" distB="0" distL="0" distR="0" wp14:anchorId="443CA588" wp14:editId="65A7286C">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44" w:type="dxa"/>
            <w:tcBorders>
              <w:top w:val="nil"/>
              <w:left w:val="nil"/>
              <w:bottom w:val="nil"/>
              <w:right w:val="nil"/>
            </w:tcBorders>
            <w:shd w:val="clear" w:color="auto" w:fill="auto"/>
          </w:tcPr>
          <w:p w:rsidR="00BF2FFA" w:rsidRPr="00A75DF9" w:rsidRDefault="00BF2FFA" w:rsidP="004E6530">
            <w:pPr>
              <w:spacing w:before="20" w:after="20"/>
              <w:jc w:val="center"/>
              <w:rPr>
                <w:rFonts w:eastAsia="Times New Roman" w:cs="Tahoma"/>
                <w:noProof/>
                <w:color w:val="000000"/>
                <w:sz w:val="12"/>
                <w:szCs w:val="16"/>
              </w:rPr>
            </w:pPr>
          </w:p>
        </w:tc>
        <w:tc>
          <w:tcPr>
            <w:tcW w:w="122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A75DF9" w:rsidRDefault="00BF2FFA" w:rsidP="004E6530">
            <w:pPr>
              <w:spacing w:before="20" w:after="20"/>
              <w:rPr>
                <w:rFonts w:cs="Tahoma"/>
                <w:sz w:val="13"/>
                <w:szCs w:val="13"/>
              </w:rPr>
            </w:pPr>
            <w:r w:rsidRPr="00A75DF9">
              <w:rPr>
                <w:rFonts w:eastAsia="Times New Roman" w:cs="Tahoma"/>
                <w:color w:val="000000"/>
                <w:sz w:val="13"/>
                <w:szCs w:val="13"/>
              </w:rPr>
              <w:t>Modelli di contratti</w:t>
            </w:r>
          </w:p>
        </w:tc>
        <w:tc>
          <w:tcPr>
            <w:tcW w:w="900"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right"/>
              <w:rPr>
                <w:rFonts w:cs="Tahoma"/>
                <w:sz w:val="12"/>
                <w:szCs w:val="16"/>
              </w:rPr>
            </w:pPr>
            <w:r w:rsidRPr="00A75DF9">
              <w:rPr>
                <w:rFonts w:eastAsia="Times New Roman" w:cs="Tahoma"/>
                <w:noProof/>
                <w:color w:val="000000"/>
                <w:sz w:val="12"/>
                <w:szCs w:val="16"/>
              </w:rPr>
              <w:drawing>
                <wp:inline distT="0" distB="0" distL="0" distR="0" wp14:anchorId="58C6A527" wp14:editId="57BAB4EA">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A75DF9" w:rsidRDefault="00BF2FFA" w:rsidP="004E6530">
            <w:pPr>
              <w:spacing w:before="20" w:after="20"/>
              <w:jc w:val="center"/>
              <w:rPr>
                <w:rFonts w:cs="Tahoma"/>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A75DF9" w:rsidRDefault="00BF2FFA" w:rsidP="004E6530">
            <w:pPr>
              <w:spacing w:before="20" w:after="20"/>
              <w:jc w:val="center"/>
              <w:rPr>
                <w:rFonts w:cs="Tahoma"/>
                <w:sz w:val="14"/>
                <w:szCs w:val="16"/>
              </w:rPr>
            </w:pPr>
          </w:p>
        </w:tc>
      </w:tr>
      <w:tr w:rsidR="00BF2FFA" w:rsidRPr="00A75DF9" w:rsidTr="00A70443">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A75DF9" w:rsidRDefault="00BF2FFA" w:rsidP="00A70443">
            <w:pPr>
              <w:spacing w:before="20" w:after="20"/>
              <w:rPr>
                <w:rFonts w:eastAsia="Times New Roman" w:cs="Tahoma"/>
                <w:color w:val="000000"/>
                <w:sz w:val="13"/>
                <w:szCs w:val="13"/>
              </w:rPr>
            </w:pPr>
            <w:r w:rsidRPr="00A75DF9">
              <w:rPr>
                <w:rFonts w:eastAsia="Times New Roman" w:cs="Tahoma"/>
                <w:color w:val="000000"/>
                <w:sz w:val="13"/>
                <w:szCs w:val="13"/>
              </w:rPr>
              <w:t>Microsoft Dynamics CRM per iPad e</w:t>
            </w:r>
            <w:r w:rsidR="00A70443">
              <w:rPr>
                <w:rFonts w:eastAsia="Times New Roman" w:cs="Tahoma"/>
                <w:color w:val="000000"/>
                <w:sz w:val="13"/>
                <w:szCs w:val="13"/>
              </w:rPr>
              <w:t> </w:t>
            </w:r>
            <w:r w:rsidRPr="00A75DF9">
              <w:rPr>
                <w:rFonts w:eastAsia="Times New Roman" w:cs="Tahoma"/>
                <w:color w:val="000000"/>
                <w:sz w:val="13"/>
                <w:szCs w:val="13"/>
              </w:rPr>
              <w:t>Windows 8</w:t>
            </w:r>
          </w:p>
        </w:tc>
        <w:tc>
          <w:tcPr>
            <w:tcW w:w="900"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eastAsia="Times New Roman" w:cs="Tahoma"/>
                <w:noProof/>
                <w:color w:val="000000"/>
                <w:sz w:val="12"/>
                <w:szCs w:val="16"/>
              </w:rPr>
            </w:pPr>
            <w:r w:rsidRPr="00A75DF9">
              <w:rPr>
                <w:rFonts w:eastAsia="Times New Roman" w:cs="Tahoma"/>
                <w:noProof/>
                <w:color w:val="000000"/>
                <w:sz w:val="12"/>
                <w:szCs w:val="16"/>
              </w:rPr>
              <w:drawing>
                <wp:inline distT="0" distB="0" distL="0" distR="0" wp14:anchorId="30BB567E" wp14:editId="1DF1DF51">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7"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eastAsia="Times New Roman" w:cs="Tahoma"/>
                <w:noProof/>
                <w:color w:val="000000"/>
                <w:sz w:val="12"/>
                <w:szCs w:val="16"/>
              </w:rPr>
            </w:pPr>
            <w:r w:rsidRPr="00A75DF9">
              <w:rPr>
                <w:rFonts w:eastAsia="Times New Roman" w:cs="Tahoma"/>
                <w:noProof/>
                <w:color w:val="000000"/>
                <w:sz w:val="12"/>
                <w:szCs w:val="16"/>
              </w:rPr>
              <w:drawing>
                <wp:inline distT="0" distB="0" distL="0" distR="0" wp14:anchorId="6310DB19" wp14:editId="18B24286">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9"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eastAsia="Times New Roman" w:cs="Tahoma"/>
                <w:color w:val="000000"/>
                <w:sz w:val="12"/>
                <w:szCs w:val="16"/>
              </w:rPr>
            </w:pPr>
            <w:r w:rsidRPr="00A75DF9">
              <w:rPr>
                <w:rFonts w:eastAsia="Times New Roman" w:cs="Tahoma"/>
                <w:noProof/>
                <w:color w:val="000000"/>
                <w:sz w:val="12"/>
                <w:szCs w:val="16"/>
              </w:rPr>
              <w:drawing>
                <wp:inline distT="0" distB="0" distL="0" distR="0" wp14:anchorId="09AECC80" wp14:editId="11E7F85C">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44" w:type="dxa"/>
            <w:tcBorders>
              <w:top w:val="nil"/>
              <w:left w:val="nil"/>
              <w:bottom w:val="nil"/>
              <w:right w:val="nil"/>
            </w:tcBorders>
            <w:shd w:val="clear" w:color="auto" w:fill="auto"/>
          </w:tcPr>
          <w:p w:rsidR="00BF2FFA" w:rsidRPr="00A75DF9" w:rsidRDefault="00BF2FFA" w:rsidP="004E6530">
            <w:pPr>
              <w:spacing w:before="20" w:after="20"/>
              <w:jc w:val="center"/>
              <w:rPr>
                <w:rFonts w:eastAsia="Times New Roman" w:cs="Tahoma"/>
                <w:noProof/>
                <w:color w:val="000000"/>
                <w:sz w:val="12"/>
                <w:szCs w:val="16"/>
              </w:rPr>
            </w:pPr>
          </w:p>
        </w:tc>
        <w:tc>
          <w:tcPr>
            <w:tcW w:w="122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A75DF9" w:rsidRDefault="00BF2FFA" w:rsidP="004E6530">
            <w:pPr>
              <w:spacing w:before="20" w:after="20"/>
              <w:rPr>
                <w:rFonts w:cs="Tahoma"/>
                <w:noProof/>
                <w:sz w:val="13"/>
                <w:szCs w:val="13"/>
              </w:rPr>
            </w:pPr>
            <w:r w:rsidRPr="00A75DF9">
              <w:rPr>
                <w:rFonts w:eastAsia="Times New Roman" w:cs="Tahoma"/>
                <w:color w:val="000000"/>
                <w:sz w:val="13"/>
                <w:szCs w:val="13"/>
              </w:rPr>
              <w:t>Gestione dei contratti</w:t>
            </w:r>
          </w:p>
        </w:tc>
        <w:tc>
          <w:tcPr>
            <w:tcW w:w="900"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right"/>
              <w:rPr>
                <w:rFonts w:cs="Tahoma"/>
                <w:noProof/>
                <w:sz w:val="12"/>
                <w:szCs w:val="16"/>
              </w:rPr>
            </w:pPr>
            <w:r w:rsidRPr="00A75DF9">
              <w:rPr>
                <w:rFonts w:eastAsia="Times New Roman" w:cs="Tahoma"/>
                <w:noProof/>
                <w:color w:val="000000"/>
                <w:sz w:val="12"/>
                <w:szCs w:val="16"/>
              </w:rPr>
              <w:drawing>
                <wp:inline distT="0" distB="0" distL="0" distR="0" wp14:anchorId="0B2F9B32" wp14:editId="3C61825D">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A75DF9" w:rsidRDefault="00BF2FFA" w:rsidP="004E6530">
            <w:pPr>
              <w:spacing w:before="20" w:after="20"/>
              <w:jc w:val="center"/>
              <w:rPr>
                <w:rFonts w:cs="Tahoma"/>
                <w:noProof/>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A75DF9" w:rsidRDefault="00BF2FFA" w:rsidP="004E6530">
            <w:pPr>
              <w:spacing w:before="20" w:after="20"/>
              <w:jc w:val="center"/>
              <w:rPr>
                <w:rFonts w:cs="Tahoma"/>
                <w:noProof/>
                <w:sz w:val="14"/>
                <w:szCs w:val="16"/>
              </w:rPr>
            </w:pPr>
          </w:p>
        </w:tc>
      </w:tr>
      <w:tr w:rsidR="00BF2FFA" w:rsidRPr="00A75DF9" w:rsidTr="00A70443">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A75DF9" w:rsidRDefault="00BF2FFA" w:rsidP="004E6530">
            <w:pPr>
              <w:spacing w:before="20" w:after="20"/>
              <w:rPr>
                <w:rFonts w:eastAsia="Times New Roman" w:cs="Tahoma"/>
                <w:color w:val="000000"/>
                <w:sz w:val="13"/>
                <w:szCs w:val="13"/>
              </w:rPr>
            </w:pPr>
            <w:r w:rsidRPr="00A75DF9">
              <w:rPr>
                <w:rFonts w:eastAsia="Times New Roman" w:cs="Tahoma"/>
                <w:color w:val="000000"/>
                <w:sz w:val="13"/>
                <w:szCs w:val="13"/>
              </w:rPr>
              <w:t>Microsoft Dynamics CRM per Outlook</w:t>
            </w:r>
          </w:p>
        </w:tc>
        <w:tc>
          <w:tcPr>
            <w:tcW w:w="900"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eastAsia="Times New Roman" w:cs="Tahoma"/>
                <w:noProof/>
                <w:color w:val="000000"/>
                <w:sz w:val="12"/>
                <w:szCs w:val="16"/>
              </w:rPr>
            </w:pPr>
            <w:r w:rsidRPr="00A75DF9">
              <w:rPr>
                <w:rFonts w:eastAsia="Times New Roman" w:cs="Tahoma"/>
                <w:noProof/>
                <w:color w:val="000000"/>
                <w:sz w:val="12"/>
                <w:szCs w:val="16"/>
              </w:rPr>
              <w:drawing>
                <wp:inline distT="0" distB="0" distL="0" distR="0" wp14:anchorId="03D30248" wp14:editId="510B2520">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7"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eastAsia="Times New Roman" w:cs="Tahoma"/>
                <w:noProof/>
                <w:color w:val="000000"/>
                <w:sz w:val="12"/>
                <w:szCs w:val="16"/>
              </w:rPr>
            </w:pPr>
            <w:r w:rsidRPr="00A75DF9">
              <w:rPr>
                <w:rFonts w:eastAsia="Times New Roman" w:cs="Tahoma"/>
                <w:noProof/>
                <w:color w:val="000000"/>
                <w:sz w:val="12"/>
                <w:szCs w:val="16"/>
              </w:rPr>
              <w:drawing>
                <wp:inline distT="0" distB="0" distL="0" distR="0" wp14:anchorId="339C1378" wp14:editId="05A3AA14">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9"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eastAsia="Times New Roman" w:cs="Tahoma"/>
                <w:color w:val="000000"/>
                <w:sz w:val="12"/>
                <w:szCs w:val="16"/>
              </w:rPr>
            </w:pPr>
            <w:r w:rsidRPr="00A75DF9">
              <w:rPr>
                <w:rFonts w:eastAsia="Times New Roman" w:cs="Tahoma"/>
                <w:noProof/>
                <w:color w:val="000000"/>
                <w:sz w:val="12"/>
                <w:szCs w:val="16"/>
              </w:rPr>
              <w:drawing>
                <wp:inline distT="0" distB="0" distL="0" distR="0" wp14:anchorId="72C07FAE" wp14:editId="5DEF1BD0">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44" w:type="dxa"/>
            <w:tcBorders>
              <w:top w:val="nil"/>
              <w:left w:val="nil"/>
              <w:bottom w:val="nil"/>
              <w:right w:val="nil"/>
            </w:tcBorders>
            <w:shd w:val="clear" w:color="auto" w:fill="auto"/>
          </w:tcPr>
          <w:p w:rsidR="00BF2FFA" w:rsidRPr="00A75DF9" w:rsidRDefault="00BF2FFA" w:rsidP="004E6530">
            <w:pPr>
              <w:spacing w:before="20" w:after="20"/>
              <w:jc w:val="center"/>
              <w:rPr>
                <w:rFonts w:eastAsia="Times New Roman" w:cs="Tahoma"/>
                <w:noProof/>
                <w:color w:val="000000"/>
                <w:sz w:val="12"/>
                <w:szCs w:val="16"/>
              </w:rPr>
            </w:pPr>
          </w:p>
        </w:tc>
        <w:tc>
          <w:tcPr>
            <w:tcW w:w="122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A75DF9" w:rsidRDefault="00BF2FFA" w:rsidP="004E6530">
            <w:pPr>
              <w:spacing w:before="20" w:after="20"/>
              <w:rPr>
                <w:rFonts w:cs="Tahoma"/>
                <w:noProof/>
                <w:sz w:val="13"/>
                <w:szCs w:val="13"/>
              </w:rPr>
            </w:pPr>
            <w:r w:rsidRPr="00A75DF9">
              <w:rPr>
                <w:rFonts w:eastAsia="Times New Roman" w:cs="Tahoma"/>
                <w:color w:val="000000"/>
                <w:sz w:val="13"/>
                <w:szCs w:val="13"/>
              </w:rPr>
              <w:t>Gestione del territorio</w:t>
            </w:r>
          </w:p>
        </w:tc>
        <w:tc>
          <w:tcPr>
            <w:tcW w:w="900"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right"/>
              <w:rPr>
                <w:rFonts w:cs="Tahoma"/>
                <w:noProof/>
                <w:sz w:val="12"/>
                <w:szCs w:val="16"/>
              </w:rPr>
            </w:pPr>
            <w:r w:rsidRPr="00A75DF9">
              <w:rPr>
                <w:rFonts w:eastAsia="Times New Roman" w:cs="Tahoma"/>
                <w:noProof/>
                <w:color w:val="000000"/>
                <w:sz w:val="12"/>
                <w:szCs w:val="16"/>
              </w:rPr>
              <w:drawing>
                <wp:inline distT="0" distB="0" distL="0" distR="0" wp14:anchorId="390AE017" wp14:editId="7143B0EA">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A75DF9" w:rsidRDefault="00BF2FFA" w:rsidP="004E6530">
            <w:pPr>
              <w:spacing w:before="20" w:after="20"/>
              <w:jc w:val="center"/>
              <w:rPr>
                <w:rFonts w:cs="Tahoma"/>
                <w:noProof/>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A75DF9" w:rsidRDefault="00BF2FFA" w:rsidP="004E6530">
            <w:pPr>
              <w:spacing w:before="20" w:after="20"/>
              <w:jc w:val="center"/>
              <w:rPr>
                <w:rFonts w:cs="Tahoma"/>
                <w:noProof/>
                <w:sz w:val="14"/>
                <w:szCs w:val="16"/>
              </w:rPr>
            </w:pPr>
          </w:p>
        </w:tc>
      </w:tr>
      <w:tr w:rsidR="00BF2FFA" w:rsidRPr="00A75DF9" w:rsidTr="00A70443">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hideMark/>
          </w:tcPr>
          <w:p w:rsidR="00BF2FFA" w:rsidRPr="00A75DF9" w:rsidRDefault="00BF2FFA" w:rsidP="00A70443">
            <w:pPr>
              <w:spacing w:before="20" w:after="20"/>
              <w:rPr>
                <w:rFonts w:eastAsia="Times New Roman" w:cs="Tahoma"/>
                <w:color w:val="000000"/>
                <w:sz w:val="13"/>
                <w:szCs w:val="13"/>
              </w:rPr>
            </w:pPr>
            <w:r w:rsidRPr="00A75DF9">
              <w:rPr>
                <w:rFonts w:eastAsia="Times New Roman" w:cs="Tahoma"/>
                <w:color w:val="000000"/>
                <w:sz w:val="13"/>
                <w:szCs w:val="13"/>
              </w:rPr>
              <w:t>Applicazione Web Microsoft Dynamics</w:t>
            </w:r>
            <w:r w:rsidR="00A70443">
              <w:rPr>
                <w:rFonts w:eastAsia="Times New Roman" w:cs="Tahoma"/>
                <w:color w:val="000000"/>
                <w:sz w:val="13"/>
                <w:szCs w:val="13"/>
              </w:rPr>
              <w:t> </w:t>
            </w:r>
            <w:r w:rsidRPr="00A75DF9">
              <w:rPr>
                <w:rFonts w:eastAsia="Times New Roman" w:cs="Tahoma"/>
                <w:color w:val="000000"/>
                <w:sz w:val="13"/>
                <w:szCs w:val="13"/>
              </w:rPr>
              <w:t>CRM</w:t>
            </w:r>
          </w:p>
        </w:tc>
        <w:tc>
          <w:tcPr>
            <w:tcW w:w="900"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eastAsia="Times New Roman" w:cs="Tahoma"/>
                <w:noProof/>
                <w:color w:val="000000"/>
                <w:sz w:val="12"/>
                <w:szCs w:val="16"/>
              </w:rPr>
            </w:pPr>
            <w:r w:rsidRPr="00A75DF9">
              <w:rPr>
                <w:rFonts w:eastAsia="Times New Roman" w:cs="Tahoma"/>
                <w:noProof/>
                <w:color w:val="000000"/>
                <w:sz w:val="12"/>
                <w:szCs w:val="16"/>
              </w:rPr>
              <w:drawing>
                <wp:inline distT="0" distB="0" distL="0" distR="0" wp14:anchorId="4CE6E3B0" wp14:editId="50B9B951">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7"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eastAsia="Times New Roman" w:cs="Tahoma"/>
                <w:noProof/>
                <w:color w:val="000000"/>
                <w:sz w:val="12"/>
                <w:szCs w:val="16"/>
              </w:rPr>
            </w:pPr>
            <w:r w:rsidRPr="00A75DF9">
              <w:rPr>
                <w:rFonts w:eastAsia="Times New Roman" w:cs="Tahoma"/>
                <w:noProof/>
                <w:color w:val="000000"/>
                <w:sz w:val="12"/>
                <w:szCs w:val="16"/>
              </w:rPr>
              <w:drawing>
                <wp:inline distT="0" distB="0" distL="0" distR="0" wp14:anchorId="0007453A" wp14:editId="31F76BA8">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9"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eastAsia="Times New Roman" w:cs="Tahoma"/>
                <w:color w:val="000000"/>
                <w:sz w:val="12"/>
                <w:szCs w:val="16"/>
              </w:rPr>
            </w:pPr>
            <w:r w:rsidRPr="00A75DF9">
              <w:rPr>
                <w:rFonts w:eastAsia="Times New Roman" w:cs="Tahoma"/>
                <w:noProof/>
                <w:color w:val="000000"/>
                <w:sz w:val="12"/>
                <w:szCs w:val="16"/>
              </w:rPr>
              <w:drawing>
                <wp:inline distT="0" distB="0" distL="0" distR="0" wp14:anchorId="7BE9DE9A" wp14:editId="560DA7DD">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44" w:type="dxa"/>
            <w:tcBorders>
              <w:top w:val="nil"/>
              <w:left w:val="nil"/>
              <w:bottom w:val="nil"/>
              <w:right w:val="nil"/>
            </w:tcBorders>
            <w:shd w:val="clear" w:color="auto" w:fill="auto"/>
          </w:tcPr>
          <w:p w:rsidR="00BF2FFA" w:rsidRPr="00A75DF9" w:rsidRDefault="00BF2FFA" w:rsidP="004E6530">
            <w:pPr>
              <w:spacing w:before="20" w:after="20"/>
              <w:jc w:val="center"/>
              <w:rPr>
                <w:rFonts w:eastAsia="Times New Roman" w:cs="Tahoma"/>
                <w:noProof/>
                <w:color w:val="000000"/>
                <w:sz w:val="12"/>
                <w:szCs w:val="16"/>
              </w:rPr>
            </w:pPr>
          </w:p>
        </w:tc>
        <w:tc>
          <w:tcPr>
            <w:tcW w:w="122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A75DF9" w:rsidRDefault="00BF2FFA" w:rsidP="004E6530">
            <w:pPr>
              <w:spacing w:before="20" w:after="20"/>
              <w:rPr>
                <w:rFonts w:eastAsia="Times New Roman" w:cs="Tahoma"/>
                <w:noProof/>
                <w:color w:val="000000"/>
                <w:sz w:val="13"/>
                <w:szCs w:val="13"/>
              </w:rPr>
            </w:pPr>
            <w:r w:rsidRPr="00A75DF9">
              <w:rPr>
                <w:rFonts w:eastAsia="Times New Roman" w:cs="Tahoma"/>
                <w:color w:val="000000"/>
                <w:sz w:val="13"/>
                <w:szCs w:val="13"/>
              </w:rPr>
              <w:t>Documentazione di vendita</w:t>
            </w:r>
          </w:p>
        </w:tc>
        <w:tc>
          <w:tcPr>
            <w:tcW w:w="900"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right"/>
              <w:rPr>
                <w:rFonts w:eastAsia="Times New Roman" w:cs="Tahoma"/>
                <w:noProof/>
                <w:color w:val="000000"/>
                <w:sz w:val="12"/>
                <w:szCs w:val="16"/>
              </w:rPr>
            </w:pPr>
            <w:r w:rsidRPr="00A75DF9">
              <w:rPr>
                <w:rFonts w:eastAsia="Times New Roman" w:cs="Tahoma"/>
                <w:noProof/>
                <w:color w:val="000000"/>
                <w:sz w:val="12"/>
                <w:szCs w:val="16"/>
              </w:rPr>
              <w:drawing>
                <wp:inline distT="0" distB="0" distL="0" distR="0" wp14:anchorId="64EDB51B" wp14:editId="0E49B543">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A75DF9" w:rsidRDefault="00BF2FFA" w:rsidP="004E6530">
            <w:pPr>
              <w:spacing w:before="20" w:after="20"/>
              <w:jc w:val="center"/>
              <w:rPr>
                <w:rFonts w:eastAsia="Times New Roma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A75DF9" w:rsidRDefault="00BF2FFA" w:rsidP="004E6530">
            <w:pPr>
              <w:spacing w:before="20" w:after="20"/>
              <w:jc w:val="center"/>
              <w:rPr>
                <w:rFonts w:eastAsia="Times New Roman" w:cs="Tahoma"/>
                <w:noProof/>
                <w:color w:val="000000"/>
                <w:sz w:val="14"/>
                <w:szCs w:val="16"/>
              </w:rPr>
            </w:pPr>
          </w:p>
        </w:tc>
      </w:tr>
      <w:tr w:rsidR="00BF2FFA" w:rsidRPr="00A75DF9" w:rsidTr="00A70443">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A75DF9" w:rsidRDefault="00BF2FFA" w:rsidP="004E6530">
            <w:pPr>
              <w:spacing w:before="20" w:after="20"/>
              <w:rPr>
                <w:rFonts w:eastAsia="Times New Roman" w:cs="Tahoma"/>
                <w:noProof/>
                <w:color w:val="000000"/>
                <w:sz w:val="13"/>
                <w:szCs w:val="13"/>
              </w:rPr>
            </w:pPr>
            <w:r w:rsidRPr="00A75DF9">
              <w:rPr>
                <w:rFonts w:eastAsia="Times New Roman" w:cs="Tahoma"/>
                <w:color w:val="000000"/>
                <w:sz w:val="13"/>
                <w:szCs w:val="13"/>
              </w:rPr>
              <w:lastRenderedPageBreak/>
              <w:t>Gestisci report utente, grafici utente e dashboard utente</w:t>
            </w:r>
          </w:p>
        </w:tc>
        <w:tc>
          <w:tcPr>
            <w:tcW w:w="900"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eastAsia="Times New Roman" w:cs="Tahoma"/>
                <w:noProof/>
                <w:color w:val="000000"/>
                <w:sz w:val="12"/>
                <w:szCs w:val="16"/>
              </w:rPr>
            </w:pPr>
            <w:r w:rsidRPr="00A75DF9">
              <w:rPr>
                <w:rFonts w:eastAsia="Times New Roman" w:cs="Tahoma"/>
                <w:noProof/>
                <w:color w:val="000000"/>
                <w:sz w:val="12"/>
                <w:szCs w:val="16"/>
              </w:rPr>
              <w:drawing>
                <wp:inline distT="0" distB="0" distL="0" distR="0" wp14:anchorId="3CBB86C2" wp14:editId="012D9BE5">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7"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eastAsia="Times New Roman" w:cs="Tahoma"/>
                <w:noProof/>
                <w:color w:val="000000"/>
                <w:sz w:val="12"/>
                <w:szCs w:val="16"/>
              </w:rPr>
            </w:pPr>
            <w:r w:rsidRPr="00A75DF9">
              <w:rPr>
                <w:rFonts w:eastAsia="Times New Roman" w:cs="Tahoma"/>
                <w:noProof/>
                <w:color w:val="000000"/>
                <w:sz w:val="12"/>
                <w:szCs w:val="16"/>
              </w:rPr>
              <w:drawing>
                <wp:inline distT="0" distB="0" distL="0" distR="0" wp14:anchorId="4DC24462" wp14:editId="30C6332E">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9" w:type="dxa"/>
            <w:tcBorders>
              <w:top w:val="single" w:sz="4" w:space="0" w:color="A5A5A5" w:themeColor="accent3"/>
              <w:left w:val="nil"/>
              <w:bottom w:val="single" w:sz="4" w:space="0" w:color="A5A5A5" w:themeColor="accent3"/>
              <w:right w:val="nil"/>
            </w:tcBorders>
          </w:tcPr>
          <w:p w:rsidR="00BF2FFA" w:rsidRPr="00A75DF9" w:rsidRDefault="00BF2FFA" w:rsidP="004E6530">
            <w:pPr>
              <w:spacing w:before="20" w:after="20"/>
              <w:jc w:val="center"/>
              <w:rPr>
                <w:rFonts w:eastAsia="Times New Roman" w:cs="Tahoma"/>
                <w:noProof/>
                <w:color w:val="000000"/>
                <w:sz w:val="12"/>
                <w:szCs w:val="16"/>
              </w:rPr>
            </w:pPr>
          </w:p>
        </w:tc>
        <w:tc>
          <w:tcPr>
            <w:tcW w:w="244" w:type="dxa"/>
            <w:tcBorders>
              <w:top w:val="nil"/>
              <w:left w:val="nil"/>
              <w:bottom w:val="nil"/>
              <w:right w:val="nil"/>
            </w:tcBorders>
            <w:shd w:val="clear" w:color="auto" w:fill="auto"/>
          </w:tcPr>
          <w:p w:rsidR="00BF2FFA" w:rsidRPr="00A75DF9" w:rsidRDefault="00BF2FFA" w:rsidP="004E6530">
            <w:pPr>
              <w:spacing w:before="20" w:after="20"/>
              <w:jc w:val="center"/>
              <w:rPr>
                <w:rFonts w:eastAsia="Times New Roman" w:cs="Tahoma"/>
                <w:noProof/>
                <w:color w:val="000000"/>
                <w:sz w:val="12"/>
                <w:szCs w:val="16"/>
              </w:rPr>
            </w:pPr>
          </w:p>
        </w:tc>
        <w:tc>
          <w:tcPr>
            <w:tcW w:w="122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A75DF9" w:rsidRDefault="00BF2FFA" w:rsidP="004E6530">
            <w:pPr>
              <w:spacing w:before="20" w:after="20"/>
              <w:rPr>
                <w:rFonts w:eastAsia="Times New Roman" w:cs="Tahoma"/>
                <w:noProof/>
                <w:color w:val="000000"/>
                <w:sz w:val="13"/>
                <w:szCs w:val="13"/>
              </w:rPr>
            </w:pPr>
            <w:r w:rsidRPr="00A75DF9">
              <w:rPr>
                <w:rFonts w:eastAsia="Times New Roman" w:cs="Tahoma"/>
                <w:color w:val="000000"/>
                <w:sz w:val="13"/>
                <w:szCs w:val="13"/>
              </w:rPr>
              <w:t>Gestione delle offerte</w:t>
            </w:r>
          </w:p>
        </w:tc>
        <w:tc>
          <w:tcPr>
            <w:tcW w:w="900"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right"/>
              <w:rPr>
                <w:rFonts w:eastAsia="Times New Roman" w:cs="Tahoma"/>
                <w:noProof/>
                <w:color w:val="000000"/>
                <w:sz w:val="12"/>
                <w:szCs w:val="16"/>
              </w:rPr>
            </w:pPr>
            <w:r w:rsidRPr="00A75DF9">
              <w:rPr>
                <w:rFonts w:eastAsia="Times New Roman" w:cs="Tahoma"/>
                <w:noProof/>
                <w:color w:val="000000"/>
                <w:sz w:val="12"/>
                <w:szCs w:val="16"/>
              </w:rPr>
              <w:drawing>
                <wp:inline distT="0" distB="0" distL="0" distR="0" wp14:anchorId="3EA626E8" wp14:editId="072F58CB">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A75DF9" w:rsidRDefault="00BF2FFA" w:rsidP="004E6530">
            <w:pPr>
              <w:spacing w:before="20" w:after="20"/>
              <w:jc w:val="center"/>
              <w:rPr>
                <w:rFonts w:eastAsia="Times New Roma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A75DF9" w:rsidRDefault="00BF2FFA" w:rsidP="004E6530">
            <w:pPr>
              <w:spacing w:before="20" w:after="20"/>
              <w:jc w:val="center"/>
              <w:rPr>
                <w:rFonts w:eastAsia="Times New Roman" w:cs="Tahoma"/>
                <w:noProof/>
                <w:color w:val="000000"/>
                <w:sz w:val="14"/>
                <w:szCs w:val="16"/>
              </w:rPr>
            </w:pPr>
          </w:p>
        </w:tc>
      </w:tr>
      <w:tr w:rsidR="00BF2FFA" w:rsidRPr="00A75DF9" w:rsidTr="00A70443">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A75DF9" w:rsidRDefault="00BF2FFA" w:rsidP="004E6530">
            <w:pPr>
              <w:spacing w:before="20" w:after="20"/>
              <w:rPr>
                <w:rFonts w:eastAsia="Times New Roman" w:cs="Tahoma"/>
                <w:noProof/>
                <w:color w:val="000000"/>
                <w:sz w:val="13"/>
                <w:szCs w:val="13"/>
              </w:rPr>
            </w:pPr>
            <w:r w:rsidRPr="00A75DF9">
              <w:rPr>
                <w:rFonts w:eastAsia="Times New Roman" w:cs="Tahoma"/>
                <w:color w:val="000000"/>
                <w:sz w:val="13"/>
                <w:szCs w:val="13"/>
              </w:rPr>
              <w:t>Esegui report</w:t>
            </w:r>
          </w:p>
        </w:tc>
        <w:tc>
          <w:tcPr>
            <w:tcW w:w="900"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eastAsia="Times New Roman" w:cs="Tahoma"/>
                <w:noProof/>
                <w:color w:val="000000"/>
                <w:sz w:val="12"/>
                <w:szCs w:val="16"/>
              </w:rPr>
            </w:pPr>
            <w:r w:rsidRPr="00A75DF9">
              <w:rPr>
                <w:rFonts w:eastAsia="Times New Roman" w:cs="Tahoma"/>
                <w:noProof/>
                <w:color w:val="000000"/>
                <w:sz w:val="12"/>
                <w:szCs w:val="16"/>
              </w:rPr>
              <w:drawing>
                <wp:inline distT="0" distB="0" distL="0" distR="0" wp14:anchorId="3E6E144D" wp14:editId="200D9C6D">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7"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eastAsia="Times New Roman" w:cs="Tahoma"/>
                <w:noProof/>
                <w:color w:val="000000"/>
                <w:sz w:val="12"/>
                <w:szCs w:val="16"/>
              </w:rPr>
            </w:pPr>
            <w:r w:rsidRPr="00A75DF9">
              <w:rPr>
                <w:rFonts w:eastAsia="Times New Roman" w:cs="Tahoma"/>
                <w:noProof/>
                <w:color w:val="000000"/>
                <w:sz w:val="12"/>
                <w:szCs w:val="16"/>
              </w:rPr>
              <w:drawing>
                <wp:inline distT="0" distB="0" distL="0" distR="0" wp14:anchorId="4536BBE4" wp14:editId="5FD2FFCE">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9" w:type="dxa"/>
            <w:tcBorders>
              <w:top w:val="single" w:sz="4" w:space="0" w:color="A5A5A5" w:themeColor="accent3"/>
              <w:left w:val="nil"/>
              <w:bottom w:val="single" w:sz="4" w:space="0" w:color="A5A5A5" w:themeColor="accent3"/>
              <w:right w:val="nil"/>
            </w:tcBorders>
          </w:tcPr>
          <w:p w:rsidR="00BF2FFA" w:rsidRPr="00A75DF9" w:rsidRDefault="00BF2FFA" w:rsidP="004E6530">
            <w:pPr>
              <w:spacing w:before="20" w:after="20"/>
              <w:jc w:val="center"/>
              <w:rPr>
                <w:rFonts w:eastAsia="Times New Roman" w:cs="Tahoma"/>
                <w:noProof/>
                <w:color w:val="000000"/>
                <w:sz w:val="12"/>
                <w:szCs w:val="16"/>
              </w:rPr>
            </w:pPr>
          </w:p>
        </w:tc>
        <w:tc>
          <w:tcPr>
            <w:tcW w:w="244" w:type="dxa"/>
            <w:tcBorders>
              <w:top w:val="nil"/>
              <w:left w:val="nil"/>
              <w:bottom w:val="nil"/>
              <w:right w:val="nil"/>
            </w:tcBorders>
            <w:shd w:val="clear" w:color="auto" w:fill="auto"/>
          </w:tcPr>
          <w:p w:rsidR="00BF2FFA" w:rsidRPr="00A75DF9" w:rsidRDefault="00BF2FFA" w:rsidP="004E6530">
            <w:pPr>
              <w:spacing w:before="20" w:after="20"/>
              <w:jc w:val="center"/>
              <w:rPr>
                <w:rFonts w:eastAsia="Times New Roman" w:cs="Tahoma"/>
                <w:noProof/>
                <w:color w:val="000000"/>
                <w:sz w:val="12"/>
                <w:szCs w:val="16"/>
              </w:rPr>
            </w:pPr>
          </w:p>
        </w:tc>
        <w:tc>
          <w:tcPr>
            <w:tcW w:w="122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A75DF9" w:rsidRDefault="00BF2FFA" w:rsidP="004E6530">
            <w:pPr>
              <w:spacing w:before="20" w:after="20"/>
              <w:rPr>
                <w:rFonts w:eastAsia="Times New Roman" w:cs="Tahoma"/>
                <w:noProof/>
                <w:color w:val="000000"/>
                <w:sz w:val="13"/>
                <w:szCs w:val="13"/>
              </w:rPr>
            </w:pPr>
            <w:r w:rsidRPr="00A75DF9">
              <w:rPr>
                <w:rFonts w:eastAsia="Times New Roman" w:cs="Tahoma"/>
                <w:color w:val="000000"/>
                <w:sz w:val="13"/>
                <w:szCs w:val="13"/>
              </w:rPr>
              <w:t>Listini prezzi</w:t>
            </w:r>
          </w:p>
        </w:tc>
        <w:tc>
          <w:tcPr>
            <w:tcW w:w="900"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right"/>
              <w:rPr>
                <w:rFonts w:eastAsia="Times New Roman" w:cs="Tahoma"/>
                <w:noProof/>
                <w:color w:val="000000"/>
                <w:sz w:val="12"/>
                <w:szCs w:val="16"/>
              </w:rPr>
            </w:pPr>
            <w:r w:rsidRPr="00A75DF9">
              <w:rPr>
                <w:rFonts w:eastAsia="Times New Roman" w:cs="Tahoma"/>
                <w:noProof/>
                <w:color w:val="000000"/>
                <w:sz w:val="12"/>
                <w:szCs w:val="16"/>
              </w:rPr>
              <w:drawing>
                <wp:inline distT="0" distB="0" distL="0" distR="0" wp14:anchorId="3CAC63D8" wp14:editId="3C7F1F6C">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A75DF9" w:rsidRDefault="00BF2FFA" w:rsidP="004E6530">
            <w:pPr>
              <w:spacing w:before="20" w:after="20"/>
              <w:jc w:val="center"/>
              <w:rPr>
                <w:rFonts w:eastAsia="Times New Roma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A75DF9" w:rsidRDefault="00BF2FFA" w:rsidP="004E6530">
            <w:pPr>
              <w:spacing w:before="20" w:after="20"/>
              <w:jc w:val="center"/>
              <w:rPr>
                <w:rFonts w:eastAsia="Times New Roman" w:cs="Tahoma"/>
                <w:noProof/>
                <w:color w:val="000000"/>
                <w:sz w:val="14"/>
                <w:szCs w:val="16"/>
              </w:rPr>
            </w:pPr>
          </w:p>
        </w:tc>
      </w:tr>
      <w:tr w:rsidR="00BF2FFA" w:rsidRPr="00A75DF9" w:rsidTr="00A70443">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A75DF9" w:rsidRDefault="00BF2FFA" w:rsidP="004E6530">
            <w:pPr>
              <w:spacing w:before="20" w:after="20"/>
              <w:rPr>
                <w:rFonts w:cs="Tahoma"/>
                <w:noProof/>
                <w:sz w:val="13"/>
                <w:szCs w:val="13"/>
              </w:rPr>
            </w:pPr>
            <w:r w:rsidRPr="00A75DF9">
              <w:rPr>
                <w:rFonts w:eastAsia="Times New Roman" w:cs="Tahoma"/>
                <w:color w:val="000000"/>
                <w:sz w:val="13"/>
                <w:szCs w:val="13"/>
              </w:rPr>
              <w:t>Crea, aggiorna e personalizza Report</w:t>
            </w:r>
          </w:p>
        </w:tc>
        <w:tc>
          <w:tcPr>
            <w:tcW w:w="900"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cs="Tahoma"/>
                <w:noProof/>
                <w:sz w:val="12"/>
                <w:szCs w:val="16"/>
              </w:rPr>
            </w:pPr>
            <w:r w:rsidRPr="00A75DF9">
              <w:rPr>
                <w:rFonts w:eastAsia="Times New Roman" w:cs="Tahoma"/>
                <w:noProof/>
                <w:color w:val="000000"/>
                <w:sz w:val="12"/>
                <w:szCs w:val="16"/>
              </w:rPr>
              <w:drawing>
                <wp:inline distT="0" distB="0" distL="0" distR="0" wp14:anchorId="73E556C9" wp14:editId="403F5415">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7"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cs="Tahoma"/>
                <w:noProof/>
                <w:sz w:val="12"/>
                <w:szCs w:val="16"/>
              </w:rPr>
            </w:pPr>
            <w:r w:rsidRPr="00A75DF9">
              <w:rPr>
                <w:rFonts w:eastAsia="Times New Roman" w:cs="Tahoma"/>
                <w:noProof/>
                <w:color w:val="000000"/>
                <w:sz w:val="12"/>
                <w:szCs w:val="16"/>
              </w:rPr>
              <w:drawing>
                <wp:inline distT="0" distB="0" distL="0" distR="0" wp14:anchorId="5889753B" wp14:editId="2C633CD7">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9" w:type="dxa"/>
            <w:tcBorders>
              <w:top w:val="single" w:sz="4" w:space="0" w:color="A5A5A5" w:themeColor="accent3"/>
              <w:left w:val="nil"/>
              <w:bottom w:val="single" w:sz="4" w:space="0" w:color="A5A5A5" w:themeColor="accent3"/>
              <w:right w:val="nil"/>
            </w:tcBorders>
          </w:tcPr>
          <w:p w:rsidR="00BF2FFA" w:rsidRPr="00A75DF9" w:rsidRDefault="00BF2FFA" w:rsidP="004E6530">
            <w:pPr>
              <w:spacing w:before="20" w:after="20"/>
              <w:jc w:val="center"/>
              <w:rPr>
                <w:rFonts w:cs="Tahoma"/>
                <w:noProof/>
                <w:sz w:val="12"/>
                <w:szCs w:val="16"/>
              </w:rPr>
            </w:pPr>
          </w:p>
        </w:tc>
        <w:tc>
          <w:tcPr>
            <w:tcW w:w="244" w:type="dxa"/>
            <w:tcBorders>
              <w:top w:val="nil"/>
              <w:left w:val="nil"/>
              <w:bottom w:val="nil"/>
              <w:right w:val="nil"/>
            </w:tcBorders>
            <w:shd w:val="clear" w:color="auto" w:fill="auto"/>
          </w:tcPr>
          <w:p w:rsidR="00BF2FFA" w:rsidRPr="00A75DF9" w:rsidRDefault="00BF2FFA" w:rsidP="004E6530">
            <w:pPr>
              <w:spacing w:before="20" w:after="20"/>
              <w:jc w:val="center"/>
              <w:rPr>
                <w:rFonts w:eastAsia="Times New Roman" w:cs="Tahoma"/>
                <w:noProof/>
                <w:color w:val="000000"/>
                <w:sz w:val="12"/>
                <w:szCs w:val="16"/>
              </w:rPr>
            </w:pPr>
          </w:p>
        </w:tc>
        <w:tc>
          <w:tcPr>
            <w:tcW w:w="122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A75DF9" w:rsidRDefault="00BF2FFA" w:rsidP="004E6530">
            <w:pPr>
              <w:spacing w:before="20" w:after="20"/>
              <w:rPr>
                <w:rFonts w:eastAsia="Times New Roman" w:cs="Tahoma"/>
                <w:noProof/>
                <w:color w:val="000000"/>
                <w:sz w:val="13"/>
                <w:szCs w:val="13"/>
              </w:rPr>
            </w:pPr>
            <w:r w:rsidRPr="00A75DF9">
              <w:rPr>
                <w:rFonts w:eastAsia="Times New Roman" w:cs="Tahoma"/>
                <w:color w:val="000000"/>
                <w:sz w:val="13"/>
                <w:szCs w:val="13"/>
              </w:rPr>
              <w:t>Tracciabilità prodotti</w:t>
            </w:r>
          </w:p>
        </w:tc>
        <w:tc>
          <w:tcPr>
            <w:tcW w:w="900"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right"/>
              <w:rPr>
                <w:rFonts w:eastAsia="Times New Roman" w:cs="Tahoma"/>
                <w:noProof/>
                <w:color w:val="000000"/>
                <w:sz w:val="12"/>
                <w:szCs w:val="16"/>
              </w:rPr>
            </w:pPr>
            <w:r w:rsidRPr="00A75DF9">
              <w:rPr>
                <w:rFonts w:eastAsia="Times New Roman" w:cs="Tahoma"/>
                <w:noProof/>
                <w:color w:val="000000"/>
                <w:sz w:val="12"/>
                <w:szCs w:val="16"/>
              </w:rPr>
              <w:drawing>
                <wp:inline distT="0" distB="0" distL="0" distR="0" wp14:anchorId="7621C6DD" wp14:editId="08D7066C">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A75DF9" w:rsidRDefault="00BF2FFA" w:rsidP="004E6530">
            <w:pPr>
              <w:spacing w:before="20" w:after="20"/>
              <w:jc w:val="center"/>
              <w:rPr>
                <w:rFonts w:eastAsia="Times New Roma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A75DF9" w:rsidRDefault="00BF2FFA" w:rsidP="004E6530">
            <w:pPr>
              <w:spacing w:before="20" w:after="20"/>
              <w:jc w:val="center"/>
              <w:rPr>
                <w:rFonts w:eastAsia="Times New Roman" w:cs="Tahoma"/>
                <w:noProof/>
                <w:color w:val="000000"/>
                <w:sz w:val="14"/>
                <w:szCs w:val="16"/>
              </w:rPr>
            </w:pPr>
          </w:p>
        </w:tc>
      </w:tr>
      <w:tr w:rsidR="00BF2FFA" w:rsidRPr="00A75DF9" w:rsidTr="00A70443">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A75DF9" w:rsidRDefault="00BF2FFA" w:rsidP="004E6530">
            <w:pPr>
              <w:spacing w:before="20" w:after="20"/>
              <w:rPr>
                <w:rFonts w:cs="Tahoma"/>
                <w:noProof/>
                <w:sz w:val="13"/>
                <w:szCs w:val="13"/>
              </w:rPr>
            </w:pPr>
            <w:r w:rsidRPr="00A75DF9">
              <w:rPr>
                <w:rFonts w:eastAsia="Times New Roman" w:cs="Tahoma"/>
                <w:color w:val="000000"/>
                <w:sz w:val="13"/>
                <w:szCs w:val="13"/>
              </w:rPr>
              <w:t>Crea e aggiorna annunci</w:t>
            </w:r>
          </w:p>
        </w:tc>
        <w:tc>
          <w:tcPr>
            <w:tcW w:w="900"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cs="Tahoma"/>
                <w:noProof/>
                <w:sz w:val="12"/>
                <w:szCs w:val="16"/>
              </w:rPr>
            </w:pPr>
            <w:r w:rsidRPr="00A75DF9">
              <w:rPr>
                <w:rFonts w:eastAsia="Times New Roman" w:cs="Tahoma"/>
                <w:noProof/>
                <w:color w:val="000000"/>
                <w:sz w:val="12"/>
                <w:szCs w:val="16"/>
              </w:rPr>
              <w:drawing>
                <wp:inline distT="0" distB="0" distL="0" distR="0" wp14:anchorId="3C1E138F" wp14:editId="68E122DF">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7"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cs="Tahoma"/>
                <w:noProof/>
                <w:sz w:val="12"/>
                <w:szCs w:val="16"/>
              </w:rPr>
            </w:pPr>
            <w:r w:rsidRPr="00A75DF9">
              <w:rPr>
                <w:rFonts w:eastAsia="Times New Roman" w:cs="Tahoma"/>
                <w:noProof/>
                <w:color w:val="000000"/>
                <w:sz w:val="12"/>
                <w:szCs w:val="16"/>
              </w:rPr>
              <w:drawing>
                <wp:inline distT="0" distB="0" distL="0" distR="0" wp14:anchorId="2003C19F" wp14:editId="4B27A6DC">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9" w:type="dxa"/>
            <w:tcBorders>
              <w:top w:val="single" w:sz="4" w:space="0" w:color="A5A5A5" w:themeColor="accent3"/>
              <w:left w:val="nil"/>
              <w:bottom w:val="single" w:sz="4" w:space="0" w:color="A5A5A5" w:themeColor="accent3"/>
              <w:right w:val="nil"/>
            </w:tcBorders>
          </w:tcPr>
          <w:p w:rsidR="00BF2FFA" w:rsidRPr="00A75DF9" w:rsidRDefault="00BF2FFA" w:rsidP="004E6530">
            <w:pPr>
              <w:spacing w:before="20" w:after="20"/>
              <w:jc w:val="center"/>
              <w:rPr>
                <w:rFonts w:cs="Tahoma"/>
                <w:noProof/>
                <w:sz w:val="12"/>
                <w:szCs w:val="16"/>
              </w:rPr>
            </w:pPr>
          </w:p>
        </w:tc>
        <w:tc>
          <w:tcPr>
            <w:tcW w:w="244" w:type="dxa"/>
            <w:tcBorders>
              <w:top w:val="nil"/>
              <w:left w:val="nil"/>
              <w:bottom w:val="nil"/>
              <w:right w:val="nil"/>
            </w:tcBorders>
            <w:shd w:val="clear" w:color="auto" w:fill="auto"/>
          </w:tcPr>
          <w:p w:rsidR="00BF2FFA" w:rsidRPr="00A75DF9" w:rsidRDefault="00BF2FFA" w:rsidP="004E6530">
            <w:pPr>
              <w:spacing w:before="20" w:after="20"/>
              <w:jc w:val="center"/>
              <w:rPr>
                <w:rFonts w:eastAsia="Times New Roman" w:cs="Tahoma"/>
                <w:noProof/>
                <w:color w:val="000000"/>
                <w:sz w:val="12"/>
                <w:szCs w:val="16"/>
              </w:rPr>
            </w:pPr>
          </w:p>
        </w:tc>
        <w:tc>
          <w:tcPr>
            <w:tcW w:w="122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A75DF9" w:rsidRDefault="00BF2FFA" w:rsidP="004E6530">
            <w:pPr>
              <w:spacing w:before="20" w:after="20"/>
              <w:rPr>
                <w:rFonts w:eastAsia="Times New Roman" w:cs="Tahoma"/>
                <w:noProof/>
                <w:color w:val="000000"/>
                <w:sz w:val="13"/>
                <w:szCs w:val="13"/>
              </w:rPr>
            </w:pPr>
            <w:r w:rsidRPr="00A75DF9">
              <w:rPr>
                <w:rFonts w:eastAsia="Times New Roman" w:cs="Tahoma"/>
                <w:color w:val="000000"/>
                <w:sz w:val="13"/>
                <w:szCs w:val="13"/>
              </w:rPr>
              <w:t>Gestione ordini</w:t>
            </w:r>
          </w:p>
        </w:tc>
        <w:tc>
          <w:tcPr>
            <w:tcW w:w="900"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right"/>
              <w:rPr>
                <w:rFonts w:eastAsia="Times New Roman" w:cs="Tahoma"/>
                <w:noProof/>
                <w:color w:val="000000"/>
                <w:sz w:val="12"/>
                <w:szCs w:val="16"/>
              </w:rPr>
            </w:pPr>
            <w:r w:rsidRPr="00A75DF9">
              <w:rPr>
                <w:rFonts w:eastAsia="Times New Roman" w:cs="Tahoma"/>
                <w:noProof/>
                <w:color w:val="000000"/>
                <w:sz w:val="12"/>
                <w:szCs w:val="16"/>
              </w:rPr>
              <w:drawing>
                <wp:inline distT="0" distB="0" distL="0" distR="0" wp14:anchorId="4B39254E" wp14:editId="6A5903F0">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A75DF9" w:rsidRDefault="00BF2FFA" w:rsidP="004E6530">
            <w:pPr>
              <w:spacing w:before="20" w:after="20"/>
              <w:jc w:val="center"/>
              <w:rPr>
                <w:rFonts w:eastAsia="Times New Roma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A75DF9" w:rsidRDefault="00BF2FFA" w:rsidP="004E6530">
            <w:pPr>
              <w:spacing w:before="20" w:after="20"/>
              <w:jc w:val="center"/>
              <w:rPr>
                <w:rFonts w:eastAsia="Times New Roman" w:cs="Tahoma"/>
                <w:noProof/>
                <w:color w:val="000000"/>
                <w:sz w:val="14"/>
                <w:szCs w:val="16"/>
              </w:rPr>
            </w:pPr>
          </w:p>
        </w:tc>
      </w:tr>
      <w:tr w:rsidR="00BF2FFA" w:rsidRPr="00A75DF9" w:rsidTr="00A70443">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A75DF9" w:rsidRDefault="00BF2FFA" w:rsidP="00CC1E5B">
            <w:pPr>
              <w:spacing w:before="20" w:after="20"/>
              <w:rPr>
                <w:rFonts w:cs="Tahoma"/>
                <w:noProof/>
                <w:sz w:val="13"/>
                <w:szCs w:val="13"/>
              </w:rPr>
            </w:pPr>
            <w:r w:rsidRPr="00A75DF9">
              <w:rPr>
                <w:rFonts w:eastAsia="Times New Roman" w:cs="Tahoma"/>
                <w:color w:val="000000"/>
                <w:sz w:val="13"/>
                <w:szCs w:val="13"/>
              </w:rPr>
              <w:t>Leggi i dati dell</w:t>
            </w:r>
            <w:r w:rsidR="00F2643E">
              <w:rPr>
                <w:rFonts w:eastAsia="Times New Roman" w:cs="Tahoma"/>
                <w:color w:val="000000"/>
                <w:sz w:val="13"/>
                <w:szCs w:val="13"/>
              </w:rPr>
              <w:t>’</w:t>
            </w:r>
            <w:r w:rsidRPr="00A75DF9">
              <w:rPr>
                <w:rFonts w:eastAsia="Times New Roman" w:cs="Tahoma"/>
                <w:color w:val="000000"/>
                <w:sz w:val="13"/>
                <w:szCs w:val="13"/>
              </w:rPr>
              <w:t>applicazione Microsoft Dynamics CRM</w:t>
            </w:r>
          </w:p>
        </w:tc>
        <w:tc>
          <w:tcPr>
            <w:tcW w:w="900"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cs="Tahoma"/>
                <w:noProof/>
                <w:sz w:val="12"/>
                <w:szCs w:val="16"/>
              </w:rPr>
            </w:pPr>
            <w:r w:rsidRPr="00A75DF9">
              <w:rPr>
                <w:rFonts w:eastAsia="Times New Roman" w:cs="Tahoma"/>
                <w:noProof/>
                <w:color w:val="000000"/>
                <w:sz w:val="12"/>
                <w:szCs w:val="16"/>
              </w:rPr>
              <w:drawing>
                <wp:inline distT="0" distB="0" distL="0" distR="0" wp14:anchorId="73F90FE3" wp14:editId="34E3616A">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7"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cs="Tahoma"/>
                <w:noProof/>
                <w:sz w:val="12"/>
                <w:szCs w:val="16"/>
              </w:rPr>
            </w:pPr>
            <w:r w:rsidRPr="00A75DF9">
              <w:rPr>
                <w:rFonts w:eastAsia="Times New Roman" w:cs="Tahoma"/>
                <w:noProof/>
                <w:color w:val="000000"/>
                <w:sz w:val="12"/>
                <w:szCs w:val="16"/>
              </w:rPr>
              <w:drawing>
                <wp:inline distT="0" distB="0" distL="0" distR="0" wp14:anchorId="121CF335" wp14:editId="7BAAE79B">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9" w:type="dxa"/>
            <w:tcBorders>
              <w:top w:val="single" w:sz="4" w:space="0" w:color="A5A5A5" w:themeColor="accent3"/>
              <w:left w:val="nil"/>
              <w:bottom w:val="single" w:sz="4" w:space="0" w:color="A5A5A5" w:themeColor="accent3"/>
              <w:right w:val="nil"/>
            </w:tcBorders>
          </w:tcPr>
          <w:p w:rsidR="00BF2FFA" w:rsidRPr="00A75DF9" w:rsidRDefault="00BF2FFA" w:rsidP="004E6530">
            <w:pPr>
              <w:spacing w:before="20" w:after="20"/>
              <w:jc w:val="center"/>
              <w:rPr>
                <w:rFonts w:cs="Tahoma"/>
                <w:noProof/>
                <w:sz w:val="12"/>
                <w:szCs w:val="16"/>
              </w:rPr>
            </w:pPr>
          </w:p>
        </w:tc>
        <w:tc>
          <w:tcPr>
            <w:tcW w:w="244" w:type="dxa"/>
            <w:tcBorders>
              <w:top w:val="nil"/>
              <w:left w:val="nil"/>
              <w:bottom w:val="nil"/>
              <w:right w:val="nil"/>
            </w:tcBorders>
            <w:shd w:val="clear" w:color="auto" w:fill="auto"/>
          </w:tcPr>
          <w:p w:rsidR="00BF2FFA" w:rsidRPr="00A75DF9" w:rsidRDefault="00BF2FFA" w:rsidP="004E6530">
            <w:pPr>
              <w:spacing w:before="20" w:after="20"/>
              <w:jc w:val="center"/>
              <w:rPr>
                <w:rFonts w:eastAsia="Times New Roman" w:cs="Tahoma"/>
                <w:noProof/>
                <w:color w:val="000000"/>
                <w:sz w:val="12"/>
                <w:szCs w:val="16"/>
              </w:rPr>
            </w:pPr>
          </w:p>
        </w:tc>
        <w:tc>
          <w:tcPr>
            <w:tcW w:w="122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A75DF9" w:rsidRDefault="00BF2FFA" w:rsidP="004E6530">
            <w:pPr>
              <w:spacing w:before="20" w:after="20"/>
              <w:rPr>
                <w:rFonts w:eastAsia="Times New Roman" w:cs="Tahoma"/>
                <w:noProof/>
                <w:color w:val="000000"/>
                <w:sz w:val="13"/>
                <w:szCs w:val="13"/>
              </w:rPr>
            </w:pPr>
            <w:r w:rsidRPr="00A75DF9">
              <w:rPr>
                <w:rFonts w:eastAsia="Times New Roman" w:cs="Tahoma"/>
                <w:color w:val="000000"/>
                <w:sz w:val="13"/>
                <w:szCs w:val="13"/>
              </w:rPr>
              <w:t>Gestione fatture</w:t>
            </w:r>
          </w:p>
        </w:tc>
        <w:tc>
          <w:tcPr>
            <w:tcW w:w="900"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right"/>
              <w:rPr>
                <w:rFonts w:eastAsia="Times New Roman" w:cs="Tahoma"/>
                <w:noProof/>
                <w:color w:val="000000"/>
                <w:sz w:val="12"/>
                <w:szCs w:val="16"/>
              </w:rPr>
            </w:pPr>
            <w:r w:rsidRPr="00A75DF9">
              <w:rPr>
                <w:rFonts w:eastAsia="Times New Roman" w:cs="Tahoma"/>
                <w:noProof/>
                <w:color w:val="000000"/>
                <w:sz w:val="12"/>
                <w:szCs w:val="16"/>
              </w:rPr>
              <w:drawing>
                <wp:inline distT="0" distB="0" distL="0" distR="0" wp14:anchorId="66841DB7" wp14:editId="7574F1C9">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A75DF9" w:rsidRDefault="00BF2FFA" w:rsidP="004E6530">
            <w:pPr>
              <w:spacing w:before="20" w:after="20"/>
              <w:jc w:val="center"/>
              <w:rPr>
                <w:rFonts w:eastAsia="Times New Roma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A75DF9" w:rsidRDefault="00BF2FFA" w:rsidP="004E6530">
            <w:pPr>
              <w:spacing w:before="20" w:after="20"/>
              <w:jc w:val="center"/>
              <w:rPr>
                <w:rFonts w:eastAsia="Times New Roman" w:cs="Tahoma"/>
                <w:noProof/>
                <w:color w:val="000000"/>
                <w:sz w:val="14"/>
                <w:szCs w:val="16"/>
              </w:rPr>
            </w:pPr>
          </w:p>
        </w:tc>
      </w:tr>
      <w:tr w:rsidR="00BF2FFA" w:rsidRPr="00A75DF9" w:rsidTr="00A70443">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A75DF9" w:rsidRDefault="00BF2FFA" w:rsidP="004E6530">
            <w:pPr>
              <w:spacing w:before="20" w:after="20"/>
              <w:rPr>
                <w:rFonts w:cs="Tahoma"/>
                <w:noProof/>
                <w:sz w:val="13"/>
                <w:szCs w:val="13"/>
              </w:rPr>
            </w:pPr>
            <w:r w:rsidRPr="00A75DF9">
              <w:rPr>
                <w:rFonts w:eastAsia="Times New Roman" w:cs="Tahoma"/>
                <w:color w:val="000000"/>
                <w:sz w:val="13"/>
                <w:szCs w:val="13"/>
              </w:rPr>
              <w:t>Dashboard utente</w:t>
            </w:r>
          </w:p>
        </w:tc>
        <w:tc>
          <w:tcPr>
            <w:tcW w:w="900"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cs="Tahoma"/>
                <w:noProof/>
                <w:sz w:val="12"/>
                <w:szCs w:val="16"/>
              </w:rPr>
            </w:pPr>
            <w:r w:rsidRPr="00A75DF9">
              <w:rPr>
                <w:rFonts w:eastAsia="Times New Roman" w:cs="Tahoma"/>
                <w:noProof/>
                <w:color w:val="000000"/>
                <w:sz w:val="12"/>
                <w:szCs w:val="16"/>
              </w:rPr>
              <w:drawing>
                <wp:inline distT="0" distB="0" distL="0" distR="0" wp14:anchorId="226C92F9" wp14:editId="3A4F23F6">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7"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cs="Tahoma"/>
                <w:noProof/>
                <w:sz w:val="12"/>
                <w:szCs w:val="16"/>
              </w:rPr>
            </w:pPr>
            <w:r w:rsidRPr="00A75DF9">
              <w:rPr>
                <w:rFonts w:eastAsia="Times New Roman" w:cs="Tahoma"/>
                <w:noProof/>
                <w:color w:val="000000"/>
                <w:sz w:val="12"/>
                <w:szCs w:val="16"/>
              </w:rPr>
              <w:drawing>
                <wp:inline distT="0" distB="0" distL="0" distR="0" wp14:anchorId="0923757A" wp14:editId="305E8C62">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9" w:type="dxa"/>
            <w:tcBorders>
              <w:top w:val="single" w:sz="4" w:space="0" w:color="A5A5A5" w:themeColor="accent3"/>
              <w:left w:val="nil"/>
              <w:bottom w:val="single" w:sz="4" w:space="0" w:color="A5A5A5" w:themeColor="accent3"/>
              <w:right w:val="nil"/>
            </w:tcBorders>
          </w:tcPr>
          <w:p w:rsidR="00BF2FFA" w:rsidRPr="00A75DF9" w:rsidRDefault="00BF2FFA" w:rsidP="004E6530">
            <w:pPr>
              <w:spacing w:before="20" w:after="20"/>
              <w:jc w:val="center"/>
              <w:rPr>
                <w:rFonts w:cs="Tahoma"/>
                <w:noProof/>
                <w:sz w:val="12"/>
                <w:szCs w:val="16"/>
              </w:rPr>
            </w:pPr>
          </w:p>
        </w:tc>
        <w:tc>
          <w:tcPr>
            <w:tcW w:w="244" w:type="dxa"/>
            <w:tcBorders>
              <w:top w:val="nil"/>
              <w:left w:val="nil"/>
              <w:bottom w:val="nil"/>
              <w:right w:val="nil"/>
            </w:tcBorders>
            <w:shd w:val="clear" w:color="auto" w:fill="auto"/>
          </w:tcPr>
          <w:p w:rsidR="00BF2FFA" w:rsidRPr="00A75DF9" w:rsidRDefault="00BF2FFA" w:rsidP="004E6530">
            <w:pPr>
              <w:spacing w:before="20" w:after="20"/>
              <w:jc w:val="center"/>
              <w:rPr>
                <w:rFonts w:eastAsia="Times New Roman" w:cs="Tahoma"/>
                <w:noProof/>
                <w:color w:val="000000"/>
                <w:sz w:val="12"/>
                <w:szCs w:val="16"/>
              </w:rPr>
            </w:pPr>
          </w:p>
        </w:tc>
        <w:tc>
          <w:tcPr>
            <w:tcW w:w="122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A75DF9" w:rsidRDefault="00BF2FFA" w:rsidP="004E6530">
            <w:pPr>
              <w:spacing w:before="20" w:after="20"/>
              <w:rPr>
                <w:rFonts w:eastAsia="Times New Roman" w:cs="Tahoma"/>
                <w:noProof/>
                <w:color w:val="000000"/>
                <w:sz w:val="13"/>
                <w:szCs w:val="13"/>
              </w:rPr>
            </w:pPr>
            <w:r w:rsidRPr="00A75DF9">
              <w:rPr>
                <w:rFonts w:eastAsia="Times New Roman" w:cs="Tahoma"/>
                <w:color w:val="000000"/>
                <w:sz w:val="13"/>
                <w:szCs w:val="13"/>
              </w:rPr>
              <w:t>Tracciabilità concorrente</w:t>
            </w:r>
          </w:p>
        </w:tc>
        <w:tc>
          <w:tcPr>
            <w:tcW w:w="900"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right"/>
              <w:rPr>
                <w:rFonts w:eastAsia="Times New Roman" w:cs="Tahoma"/>
                <w:noProof/>
                <w:color w:val="000000"/>
                <w:sz w:val="12"/>
                <w:szCs w:val="16"/>
              </w:rPr>
            </w:pPr>
            <w:r w:rsidRPr="00A75DF9">
              <w:rPr>
                <w:rFonts w:eastAsia="Times New Roman" w:cs="Tahoma"/>
                <w:noProof/>
                <w:color w:val="000000"/>
                <w:sz w:val="12"/>
                <w:szCs w:val="16"/>
              </w:rPr>
              <w:drawing>
                <wp:inline distT="0" distB="0" distL="0" distR="0" wp14:anchorId="363C54E2" wp14:editId="43912E4E">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A75DF9" w:rsidRDefault="00BF2FFA" w:rsidP="004E6530">
            <w:pPr>
              <w:spacing w:before="20" w:after="20"/>
              <w:jc w:val="center"/>
              <w:rPr>
                <w:rFonts w:eastAsia="Times New Roma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A75DF9" w:rsidRDefault="00BF2FFA" w:rsidP="004E6530">
            <w:pPr>
              <w:spacing w:before="20" w:after="20"/>
              <w:jc w:val="center"/>
              <w:rPr>
                <w:rFonts w:eastAsia="Times New Roman" w:cs="Tahoma"/>
                <w:noProof/>
                <w:color w:val="000000"/>
                <w:sz w:val="14"/>
                <w:szCs w:val="16"/>
              </w:rPr>
            </w:pPr>
          </w:p>
        </w:tc>
      </w:tr>
      <w:tr w:rsidR="00BF2FFA" w:rsidRPr="00A75DF9" w:rsidTr="00A70443">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A75DF9" w:rsidRDefault="00BF2FFA" w:rsidP="004E6530">
            <w:pPr>
              <w:spacing w:before="20" w:after="20"/>
              <w:rPr>
                <w:rFonts w:cs="Tahoma"/>
                <w:noProof/>
                <w:sz w:val="13"/>
                <w:szCs w:val="13"/>
              </w:rPr>
            </w:pPr>
            <w:r w:rsidRPr="00A75DF9">
              <w:rPr>
                <w:rFonts w:eastAsia="Times New Roman" w:cs="Tahoma"/>
                <w:color w:val="000000"/>
                <w:sz w:val="13"/>
                <w:szCs w:val="13"/>
              </w:rPr>
              <w:t>Grafici utente</w:t>
            </w:r>
          </w:p>
        </w:tc>
        <w:tc>
          <w:tcPr>
            <w:tcW w:w="900"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cs="Tahoma"/>
                <w:noProof/>
                <w:sz w:val="12"/>
                <w:szCs w:val="16"/>
              </w:rPr>
            </w:pPr>
            <w:r w:rsidRPr="00A75DF9">
              <w:rPr>
                <w:rFonts w:eastAsia="Times New Roman" w:cs="Tahoma"/>
                <w:noProof/>
                <w:color w:val="000000"/>
                <w:sz w:val="12"/>
                <w:szCs w:val="16"/>
              </w:rPr>
              <w:drawing>
                <wp:inline distT="0" distB="0" distL="0" distR="0" wp14:anchorId="33AA35C3" wp14:editId="23DD41FF">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7"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cs="Tahoma"/>
                <w:noProof/>
                <w:sz w:val="12"/>
                <w:szCs w:val="16"/>
              </w:rPr>
            </w:pPr>
            <w:r w:rsidRPr="00A75DF9">
              <w:rPr>
                <w:rFonts w:eastAsia="Times New Roman" w:cs="Tahoma"/>
                <w:noProof/>
                <w:color w:val="000000"/>
                <w:sz w:val="12"/>
                <w:szCs w:val="16"/>
              </w:rPr>
              <w:drawing>
                <wp:inline distT="0" distB="0" distL="0" distR="0" wp14:anchorId="7A39AA67" wp14:editId="114B184C">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9" w:type="dxa"/>
            <w:tcBorders>
              <w:top w:val="single" w:sz="4" w:space="0" w:color="A5A5A5" w:themeColor="accent3"/>
              <w:left w:val="nil"/>
              <w:bottom w:val="single" w:sz="4" w:space="0" w:color="A5A5A5" w:themeColor="accent3"/>
              <w:right w:val="nil"/>
            </w:tcBorders>
          </w:tcPr>
          <w:p w:rsidR="00BF2FFA" w:rsidRPr="00A75DF9" w:rsidRDefault="00BF2FFA" w:rsidP="004E6530">
            <w:pPr>
              <w:spacing w:before="20" w:after="20"/>
              <w:jc w:val="center"/>
              <w:rPr>
                <w:rFonts w:cs="Tahoma"/>
                <w:noProof/>
                <w:sz w:val="12"/>
                <w:szCs w:val="16"/>
              </w:rPr>
            </w:pPr>
          </w:p>
        </w:tc>
        <w:tc>
          <w:tcPr>
            <w:tcW w:w="244" w:type="dxa"/>
            <w:tcBorders>
              <w:top w:val="nil"/>
              <w:left w:val="nil"/>
              <w:bottom w:val="nil"/>
              <w:right w:val="nil"/>
            </w:tcBorders>
            <w:shd w:val="clear" w:color="auto" w:fill="auto"/>
          </w:tcPr>
          <w:p w:rsidR="00BF2FFA" w:rsidRPr="00A75DF9" w:rsidRDefault="00BF2FFA" w:rsidP="004E6530">
            <w:pPr>
              <w:spacing w:before="20" w:after="20"/>
              <w:jc w:val="center"/>
              <w:rPr>
                <w:rFonts w:eastAsia="Times New Roman" w:cs="Tahoma"/>
                <w:noProof/>
                <w:color w:val="000000"/>
                <w:sz w:val="12"/>
                <w:szCs w:val="16"/>
              </w:rPr>
            </w:pPr>
          </w:p>
        </w:tc>
        <w:tc>
          <w:tcPr>
            <w:tcW w:w="122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A75DF9" w:rsidRDefault="00BF2FFA" w:rsidP="00CC1E5B">
            <w:pPr>
              <w:spacing w:before="20" w:after="20"/>
              <w:rPr>
                <w:rFonts w:eastAsia="Times New Roman" w:cs="Tahoma"/>
                <w:noProof/>
                <w:color w:val="000000"/>
                <w:sz w:val="13"/>
                <w:szCs w:val="13"/>
              </w:rPr>
            </w:pPr>
            <w:r w:rsidRPr="00A75DF9">
              <w:rPr>
                <w:rFonts w:eastAsia="Times New Roman" w:cs="Tahoma"/>
                <w:color w:val="000000"/>
                <w:sz w:val="13"/>
                <w:szCs w:val="13"/>
              </w:rPr>
              <w:t>Qualifica e converti un potenziale cliente in un</w:t>
            </w:r>
            <w:r w:rsidR="00F2643E">
              <w:rPr>
                <w:rFonts w:eastAsia="Times New Roman" w:cs="Tahoma"/>
                <w:color w:val="000000"/>
                <w:sz w:val="13"/>
                <w:szCs w:val="13"/>
              </w:rPr>
              <w:t>’</w:t>
            </w:r>
            <w:r w:rsidRPr="00A75DF9">
              <w:rPr>
                <w:rFonts w:eastAsia="Times New Roman" w:cs="Tahoma"/>
                <w:color w:val="000000"/>
                <w:sz w:val="13"/>
                <w:szCs w:val="13"/>
              </w:rPr>
              <w:t>opportunità</w:t>
            </w:r>
          </w:p>
        </w:tc>
        <w:tc>
          <w:tcPr>
            <w:tcW w:w="900"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right"/>
              <w:rPr>
                <w:rFonts w:eastAsia="Times New Roman" w:cs="Tahoma"/>
                <w:noProof/>
                <w:color w:val="000000"/>
                <w:sz w:val="12"/>
                <w:szCs w:val="16"/>
              </w:rPr>
            </w:pPr>
            <w:r w:rsidRPr="00A75DF9">
              <w:rPr>
                <w:rFonts w:eastAsia="Times New Roman" w:cs="Tahoma"/>
                <w:noProof/>
                <w:color w:val="000000"/>
                <w:sz w:val="12"/>
                <w:szCs w:val="16"/>
              </w:rPr>
              <w:drawing>
                <wp:inline distT="0" distB="0" distL="0" distR="0" wp14:anchorId="08EFDE39" wp14:editId="752CF68A">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A75DF9" w:rsidRDefault="00BF2FFA" w:rsidP="004E6530">
            <w:pPr>
              <w:spacing w:before="20" w:after="20"/>
              <w:jc w:val="center"/>
              <w:rPr>
                <w:rFonts w:eastAsia="Times New Roma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A75DF9" w:rsidRDefault="00BF2FFA" w:rsidP="004E6530">
            <w:pPr>
              <w:spacing w:before="20" w:after="20"/>
              <w:jc w:val="center"/>
              <w:rPr>
                <w:rFonts w:eastAsia="Times New Roman" w:cs="Tahoma"/>
                <w:noProof/>
                <w:color w:val="000000"/>
                <w:sz w:val="14"/>
                <w:szCs w:val="16"/>
              </w:rPr>
            </w:pPr>
          </w:p>
        </w:tc>
      </w:tr>
      <w:tr w:rsidR="00BF2FFA" w:rsidRPr="00A75DF9" w:rsidTr="00A70443">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A75DF9" w:rsidRDefault="00BF2FFA" w:rsidP="004E6530">
            <w:pPr>
              <w:spacing w:before="20" w:after="20"/>
              <w:rPr>
                <w:rFonts w:eastAsia="Times New Roman" w:cs="Tahoma"/>
                <w:noProof/>
                <w:color w:val="000000"/>
                <w:sz w:val="13"/>
                <w:szCs w:val="13"/>
              </w:rPr>
            </w:pPr>
            <w:r w:rsidRPr="00A75DF9">
              <w:rPr>
                <w:rFonts w:eastAsia="Times New Roman" w:cs="Tahoma"/>
                <w:sz w:val="13"/>
                <w:szCs w:val="13"/>
              </w:rPr>
              <w:t>Framework Customer Care Accelerator (CCA)</w:t>
            </w:r>
          </w:p>
        </w:tc>
        <w:tc>
          <w:tcPr>
            <w:tcW w:w="900"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eastAsia="Times New Roman" w:cs="Tahoma"/>
                <w:noProof/>
                <w:color w:val="000000"/>
                <w:sz w:val="12"/>
                <w:szCs w:val="16"/>
              </w:rPr>
            </w:pPr>
            <w:r w:rsidRPr="00A75DF9">
              <w:rPr>
                <w:rFonts w:eastAsia="Times New Roman" w:cs="Tahoma"/>
                <w:noProof/>
                <w:color w:val="000000"/>
                <w:sz w:val="12"/>
                <w:szCs w:val="16"/>
              </w:rPr>
              <w:drawing>
                <wp:inline distT="0" distB="0" distL="0" distR="0" wp14:anchorId="58FAF10F" wp14:editId="2DFEC011">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7"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eastAsia="Times New Roman" w:cs="Tahoma"/>
                <w:noProof/>
                <w:color w:val="000000"/>
                <w:sz w:val="12"/>
                <w:szCs w:val="16"/>
              </w:rPr>
            </w:pPr>
            <w:r w:rsidRPr="00A75DF9">
              <w:rPr>
                <w:rFonts w:eastAsia="Times New Roman" w:cs="Tahoma"/>
                <w:noProof/>
                <w:color w:val="000000"/>
                <w:sz w:val="12"/>
                <w:szCs w:val="16"/>
              </w:rPr>
              <w:drawing>
                <wp:inline distT="0" distB="0" distL="0" distR="0" wp14:anchorId="211B0A12" wp14:editId="255E095E">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9" w:type="dxa"/>
            <w:tcBorders>
              <w:top w:val="single" w:sz="4" w:space="0" w:color="A5A5A5" w:themeColor="accent3"/>
              <w:left w:val="nil"/>
              <w:bottom w:val="single" w:sz="4" w:space="0" w:color="A5A5A5" w:themeColor="accent3"/>
              <w:right w:val="nil"/>
            </w:tcBorders>
          </w:tcPr>
          <w:p w:rsidR="00BF2FFA" w:rsidRPr="00A75DF9" w:rsidRDefault="00BF2FFA" w:rsidP="004E6530">
            <w:pPr>
              <w:spacing w:before="20" w:after="20"/>
              <w:jc w:val="center"/>
              <w:rPr>
                <w:rFonts w:eastAsia="Times New Roman" w:cs="Tahoma"/>
                <w:noProof/>
                <w:color w:val="000000"/>
                <w:sz w:val="12"/>
                <w:szCs w:val="16"/>
              </w:rPr>
            </w:pPr>
          </w:p>
        </w:tc>
        <w:tc>
          <w:tcPr>
            <w:tcW w:w="244" w:type="dxa"/>
            <w:tcBorders>
              <w:top w:val="nil"/>
              <w:left w:val="nil"/>
              <w:bottom w:val="nil"/>
              <w:right w:val="nil"/>
            </w:tcBorders>
            <w:shd w:val="clear" w:color="auto" w:fill="auto"/>
          </w:tcPr>
          <w:p w:rsidR="00BF2FFA" w:rsidRPr="00A75DF9" w:rsidRDefault="00BF2FFA" w:rsidP="004E6530">
            <w:pPr>
              <w:spacing w:before="20" w:after="20"/>
              <w:jc w:val="center"/>
              <w:rPr>
                <w:rFonts w:eastAsia="Times New Roman" w:cs="Tahoma"/>
                <w:noProof/>
                <w:color w:val="000000"/>
                <w:sz w:val="12"/>
                <w:szCs w:val="16"/>
              </w:rPr>
            </w:pPr>
          </w:p>
        </w:tc>
        <w:tc>
          <w:tcPr>
            <w:tcW w:w="122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A75DF9" w:rsidRDefault="00BF2FFA" w:rsidP="00CC1E5B">
            <w:pPr>
              <w:spacing w:before="20" w:after="20"/>
              <w:rPr>
                <w:rFonts w:eastAsia="Times New Roman" w:cs="Tahoma"/>
                <w:noProof/>
                <w:color w:val="000000"/>
                <w:sz w:val="13"/>
                <w:szCs w:val="13"/>
              </w:rPr>
            </w:pPr>
            <w:r w:rsidRPr="00A75DF9">
              <w:rPr>
                <w:rFonts w:eastAsia="Times New Roman" w:cs="Tahoma"/>
                <w:color w:val="000000"/>
                <w:sz w:val="13"/>
                <w:szCs w:val="13"/>
              </w:rPr>
              <w:t>Converti un</w:t>
            </w:r>
            <w:r w:rsidR="00F2643E">
              <w:rPr>
                <w:rFonts w:eastAsia="Times New Roman" w:cs="Tahoma"/>
                <w:color w:val="000000"/>
                <w:sz w:val="13"/>
                <w:szCs w:val="13"/>
              </w:rPr>
              <w:t>’</w:t>
            </w:r>
            <w:r w:rsidRPr="00A75DF9">
              <w:rPr>
                <w:rFonts w:eastAsia="Times New Roman" w:cs="Tahoma"/>
                <w:color w:val="000000"/>
                <w:sz w:val="13"/>
                <w:szCs w:val="13"/>
              </w:rPr>
              <w:t>attività in un</w:t>
            </w:r>
            <w:r w:rsidR="00F2643E">
              <w:rPr>
                <w:rFonts w:eastAsia="Times New Roman" w:cs="Tahoma"/>
                <w:color w:val="000000"/>
                <w:sz w:val="13"/>
                <w:szCs w:val="13"/>
              </w:rPr>
              <w:t>’</w:t>
            </w:r>
            <w:r w:rsidRPr="00A75DF9">
              <w:rPr>
                <w:rFonts w:eastAsia="Times New Roman" w:cs="Tahoma"/>
                <w:color w:val="000000"/>
                <w:sz w:val="13"/>
                <w:szCs w:val="13"/>
              </w:rPr>
              <w:t>opportunità</w:t>
            </w:r>
          </w:p>
        </w:tc>
        <w:tc>
          <w:tcPr>
            <w:tcW w:w="900"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right"/>
              <w:rPr>
                <w:rFonts w:eastAsia="Times New Roman" w:cs="Tahoma"/>
                <w:noProof/>
                <w:color w:val="000000"/>
                <w:sz w:val="12"/>
                <w:szCs w:val="16"/>
              </w:rPr>
            </w:pPr>
            <w:r w:rsidRPr="00A75DF9">
              <w:rPr>
                <w:rFonts w:eastAsia="Times New Roman" w:cs="Tahoma"/>
                <w:noProof/>
                <w:color w:val="000000"/>
                <w:sz w:val="12"/>
                <w:szCs w:val="16"/>
              </w:rPr>
              <w:drawing>
                <wp:inline distT="0" distB="0" distL="0" distR="0" wp14:anchorId="239A10CD" wp14:editId="68833E0B">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A75DF9" w:rsidRDefault="00BF2FFA" w:rsidP="004E6530">
            <w:pPr>
              <w:spacing w:before="20" w:after="20"/>
              <w:jc w:val="center"/>
              <w:rPr>
                <w:rFonts w:eastAsia="Times New Roma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A75DF9" w:rsidRDefault="00BF2FFA" w:rsidP="004E6530">
            <w:pPr>
              <w:spacing w:before="20" w:after="20"/>
              <w:jc w:val="center"/>
              <w:rPr>
                <w:rFonts w:eastAsia="Times New Roman" w:cs="Tahoma"/>
                <w:noProof/>
                <w:color w:val="000000"/>
                <w:sz w:val="14"/>
                <w:szCs w:val="16"/>
              </w:rPr>
            </w:pPr>
          </w:p>
        </w:tc>
      </w:tr>
      <w:tr w:rsidR="00BF2FFA" w:rsidRPr="00A75DF9" w:rsidTr="00A70443">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A75DF9" w:rsidRDefault="00BF2FFA" w:rsidP="00CC1E5B">
            <w:pPr>
              <w:spacing w:before="20" w:after="20"/>
              <w:rPr>
                <w:rFonts w:eastAsia="Times New Roman" w:cs="Tahoma"/>
                <w:noProof/>
                <w:color w:val="000000"/>
                <w:sz w:val="13"/>
                <w:szCs w:val="13"/>
              </w:rPr>
            </w:pPr>
            <w:r w:rsidRPr="00A75DF9">
              <w:rPr>
                <w:rFonts w:eastAsia="Times New Roman" w:cs="Tahoma"/>
                <w:color w:val="000000"/>
                <w:sz w:val="13"/>
                <w:szCs w:val="13"/>
              </w:rPr>
              <w:t>Converti un</w:t>
            </w:r>
            <w:r w:rsidR="00F2643E">
              <w:rPr>
                <w:rFonts w:eastAsia="Times New Roman" w:cs="Tahoma"/>
                <w:color w:val="000000"/>
                <w:sz w:val="13"/>
                <w:szCs w:val="13"/>
              </w:rPr>
              <w:t>’</w:t>
            </w:r>
            <w:r w:rsidRPr="00A75DF9">
              <w:rPr>
                <w:rFonts w:eastAsia="Times New Roman" w:cs="Tahoma"/>
                <w:color w:val="000000"/>
                <w:sz w:val="13"/>
                <w:szCs w:val="13"/>
              </w:rPr>
              <w:t>attività in un caso</w:t>
            </w:r>
          </w:p>
        </w:tc>
        <w:tc>
          <w:tcPr>
            <w:tcW w:w="900"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eastAsia="Times New Roman" w:cs="Tahoma"/>
                <w:noProof/>
                <w:color w:val="000000"/>
                <w:sz w:val="12"/>
                <w:szCs w:val="16"/>
              </w:rPr>
            </w:pPr>
            <w:r w:rsidRPr="00A75DF9">
              <w:rPr>
                <w:rFonts w:eastAsia="Times New Roman" w:cs="Tahoma"/>
                <w:noProof/>
                <w:color w:val="000000"/>
                <w:sz w:val="12"/>
                <w:szCs w:val="16"/>
              </w:rPr>
              <w:drawing>
                <wp:inline distT="0" distB="0" distL="0" distR="0" wp14:anchorId="0DF02755" wp14:editId="51219A9B">
                  <wp:extent cx="123971" cy="9525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7"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eastAsia="Times New Roman" w:cs="Tahoma"/>
                <w:noProof/>
                <w:color w:val="000000"/>
                <w:sz w:val="12"/>
                <w:szCs w:val="16"/>
              </w:rPr>
            </w:pPr>
            <w:r w:rsidRPr="00A75DF9">
              <w:rPr>
                <w:rFonts w:eastAsia="Times New Roman" w:cs="Tahoma"/>
                <w:noProof/>
                <w:color w:val="000000"/>
                <w:sz w:val="12"/>
                <w:szCs w:val="16"/>
              </w:rPr>
              <w:drawing>
                <wp:inline distT="0" distB="0" distL="0" distR="0" wp14:anchorId="11350507" wp14:editId="3A0E936B">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9" w:type="dxa"/>
            <w:tcBorders>
              <w:top w:val="single" w:sz="4" w:space="0" w:color="A5A5A5" w:themeColor="accent3"/>
              <w:left w:val="nil"/>
              <w:bottom w:val="single" w:sz="4" w:space="0" w:color="A5A5A5" w:themeColor="accent3"/>
              <w:right w:val="nil"/>
            </w:tcBorders>
          </w:tcPr>
          <w:p w:rsidR="00BF2FFA" w:rsidRPr="00A75DF9" w:rsidRDefault="00BF2FFA" w:rsidP="004E6530">
            <w:pPr>
              <w:spacing w:before="20" w:after="20"/>
              <w:jc w:val="center"/>
              <w:rPr>
                <w:rFonts w:eastAsia="Times New Roman" w:cs="Tahoma"/>
                <w:noProof/>
                <w:color w:val="000000"/>
                <w:sz w:val="12"/>
                <w:szCs w:val="16"/>
              </w:rPr>
            </w:pPr>
          </w:p>
        </w:tc>
        <w:tc>
          <w:tcPr>
            <w:tcW w:w="244" w:type="dxa"/>
            <w:tcBorders>
              <w:top w:val="nil"/>
              <w:left w:val="nil"/>
              <w:bottom w:val="nil"/>
              <w:right w:val="nil"/>
            </w:tcBorders>
            <w:shd w:val="clear" w:color="auto" w:fill="auto"/>
          </w:tcPr>
          <w:p w:rsidR="00BF2FFA" w:rsidRPr="00A75DF9" w:rsidRDefault="00BF2FFA" w:rsidP="004E6530">
            <w:pPr>
              <w:spacing w:before="20" w:after="20"/>
              <w:jc w:val="center"/>
              <w:rPr>
                <w:rFonts w:eastAsia="Times New Roman" w:cs="Tahoma"/>
                <w:noProof/>
                <w:color w:val="000000"/>
                <w:sz w:val="12"/>
                <w:szCs w:val="16"/>
              </w:rPr>
            </w:pPr>
          </w:p>
        </w:tc>
        <w:tc>
          <w:tcPr>
            <w:tcW w:w="122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A75DF9" w:rsidRDefault="00BF2FFA" w:rsidP="004E6530">
            <w:pPr>
              <w:spacing w:before="20" w:after="20"/>
              <w:rPr>
                <w:rFonts w:eastAsia="Times New Roman" w:cs="Tahoma"/>
                <w:noProof/>
                <w:color w:val="000000"/>
                <w:sz w:val="13"/>
                <w:szCs w:val="13"/>
              </w:rPr>
            </w:pPr>
            <w:r w:rsidRPr="00A75DF9">
              <w:rPr>
                <w:rFonts w:eastAsia="Times New Roman" w:cs="Tahoma"/>
                <w:color w:val="000000"/>
                <w:sz w:val="13"/>
                <w:szCs w:val="13"/>
              </w:rPr>
              <w:t>Tracciabilità opportunità</w:t>
            </w:r>
          </w:p>
        </w:tc>
        <w:tc>
          <w:tcPr>
            <w:tcW w:w="900"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right"/>
              <w:rPr>
                <w:rFonts w:eastAsia="Times New Roman" w:cs="Tahoma"/>
                <w:noProof/>
                <w:color w:val="000000"/>
                <w:sz w:val="12"/>
                <w:szCs w:val="16"/>
              </w:rPr>
            </w:pPr>
            <w:r w:rsidRPr="00A75DF9">
              <w:rPr>
                <w:rFonts w:eastAsia="Times New Roman" w:cs="Tahoma"/>
                <w:noProof/>
                <w:color w:val="000000"/>
                <w:sz w:val="12"/>
                <w:szCs w:val="16"/>
              </w:rPr>
              <w:drawing>
                <wp:inline distT="0" distB="0" distL="0" distR="0" wp14:anchorId="5C3A3A59" wp14:editId="40DD574D">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A75DF9" w:rsidRDefault="00BF2FFA" w:rsidP="004E6530">
            <w:pPr>
              <w:spacing w:before="20" w:after="20"/>
              <w:jc w:val="center"/>
              <w:rPr>
                <w:rFonts w:eastAsia="Times New Roma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A75DF9" w:rsidRDefault="00BF2FFA" w:rsidP="004E6530">
            <w:pPr>
              <w:spacing w:before="20" w:after="20"/>
              <w:jc w:val="center"/>
              <w:rPr>
                <w:rFonts w:eastAsia="Times New Roman" w:cs="Tahoma"/>
                <w:noProof/>
                <w:color w:val="000000"/>
                <w:sz w:val="14"/>
                <w:szCs w:val="16"/>
              </w:rPr>
            </w:pPr>
          </w:p>
        </w:tc>
      </w:tr>
      <w:tr w:rsidR="00BF2FFA" w:rsidRPr="00A75DF9" w:rsidTr="00A70443">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A75DF9" w:rsidRDefault="00BF2FFA" w:rsidP="004E6530">
            <w:pPr>
              <w:spacing w:before="20" w:after="20"/>
              <w:rPr>
                <w:rFonts w:cs="Tahoma"/>
                <w:sz w:val="13"/>
                <w:szCs w:val="13"/>
              </w:rPr>
            </w:pPr>
            <w:r w:rsidRPr="00A75DF9">
              <w:rPr>
                <w:rFonts w:eastAsia="Times New Roman" w:cs="Tahoma"/>
                <w:color w:val="000000"/>
                <w:sz w:val="13"/>
                <w:szCs w:val="13"/>
              </w:rPr>
              <w:t>Gestione dei casi</w:t>
            </w:r>
          </w:p>
        </w:tc>
        <w:tc>
          <w:tcPr>
            <w:tcW w:w="900"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cs="Tahoma"/>
                <w:sz w:val="12"/>
                <w:szCs w:val="16"/>
              </w:rPr>
            </w:pPr>
            <w:r w:rsidRPr="00A75DF9">
              <w:rPr>
                <w:rFonts w:eastAsia="Times New Roman" w:cs="Tahoma"/>
                <w:noProof/>
                <w:color w:val="000000"/>
                <w:sz w:val="12"/>
                <w:szCs w:val="16"/>
              </w:rPr>
              <w:drawing>
                <wp:inline distT="0" distB="0" distL="0" distR="0" wp14:anchorId="066AFF31" wp14:editId="51CCA296">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7"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cs="Tahoma"/>
                <w:sz w:val="12"/>
                <w:szCs w:val="16"/>
              </w:rPr>
            </w:pPr>
            <w:r w:rsidRPr="00A75DF9">
              <w:rPr>
                <w:rFonts w:eastAsia="Times New Roman" w:cs="Tahoma"/>
                <w:noProof/>
                <w:color w:val="000000"/>
                <w:sz w:val="12"/>
                <w:szCs w:val="16"/>
              </w:rPr>
              <w:drawing>
                <wp:inline distT="0" distB="0" distL="0" distR="0" wp14:anchorId="32863FA4" wp14:editId="634446AD">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9" w:type="dxa"/>
            <w:tcBorders>
              <w:top w:val="single" w:sz="4" w:space="0" w:color="A5A5A5" w:themeColor="accent3"/>
              <w:left w:val="nil"/>
              <w:bottom w:val="single" w:sz="4" w:space="0" w:color="A5A5A5" w:themeColor="accent3"/>
              <w:right w:val="nil"/>
            </w:tcBorders>
          </w:tcPr>
          <w:p w:rsidR="00BF2FFA" w:rsidRPr="00A75DF9" w:rsidRDefault="00BF2FFA" w:rsidP="004E6530">
            <w:pPr>
              <w:spacing w:before="20" w:after="20"/>
              <w:jc w:val="center"/>
              <w:rPr>
                <w:rFonts w:cs="Tahoma"/>
                <w:sz w:val="12"/>
                <w:szCs w:val="16"/>
              </w:rPr>
            </w:pPr>
          </w:p>
        </w:tc>
        <w:tc>
          <w:tcPr>
            <w:tcW w:w="244" w:type="dxa"/>
            <w:tcBorders>
              <w:top w:val="nil"/>
              <w:left w:val="nil"/>
              <w:bottom w:val="nil"/>
              <w:right w:val="nil"/>
            </w:tcBorders>
            <w:shd w:val="clear" w:color="auto" w:fill="auto"/>
          </w:tcPr>
          <w:p w:rsidR="00BF2FFA" w:rsidRPr="00A75DF9" w:rsidRDefault="00BF2FFA" w:rsidP="004E6530">
            <w:pPr>
              <w:spacing w:before="20" w:after="20"/>
              <w:jc w:val="center"/>
              <w:rPr>
                <w:rFonts w:eastAsia="Times New Roman" w:cs="Tahoma"/>
                <w:noProof/>
                <w:color w:val="000000"/>
                <w:sz w:val="12"/>
                <w:szCs w:val="16"/>
              </w:rPr>
            </w:pPr>
          </w:p>
        </w:tc>
        <w:tc>
          <w:tcPr>
            <w:tcW w:w="122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A75DF9" w:rsidRDefault="00BF2FFA" w:rsidP="004E6530">
            <w:pPr>
              <w:spacing w:before="20" w:after="20"/>
              <w:rPr>
                <w:rFonts w:eastAsia="Times New Roman" w:cs="Tahoma"/>
                <w:noProof/>
                <w:color w:val="000000"/>
                <w:sz w:val="13"/>
                <w:szCs w:val="13"/>
              </w:rPr>
            </w:pPr>
            <w:r w:rsidRPr="00A75DF9">
              <w:rPr>
                <w:rFonts w:eastAsia="Times New Roman" w:cs="Tahoma"/>
                <w:color w:val="000000"/>
                <w:sz w:val="13"/>
                <w:szCs w:val="13"/>
              </w:rPr>
              <w:t>Elenchi marketing</w:t>
            </w:r>
          </w:p>
        </w:tc>
        <w:tc>
          <w:tcPr>
            <w:tcW w:w="900"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right"/>
              <w:rPr>
                <w:rFonts w:eastAsia="Times New Roman" w:cs="Tahoma"/>
                <w:noProof/>
                <w:color w:val="000000"/>
                <w:sz w:val="12"/>
                <w:szCs w:val="16"/>
              </w:rPr>
            </w:pPr>
            <w:r w:rsidRPr="00A75DF9">
              <w:rPr>
                <w:rFonts w:eastAsia="Times New Roman" w:cs="Tahoma"/>
                <w:noProof/>
                <w:color w:val="000000"/>
                <w:sz w:val="12"/>
                <w:szCs w:val="16"/>
              </w:rPr>
              <w:drawing>
                <wp:inline distT="0" distB="0" distL="0" distR="0" wp14:anchorId="4D583B5B" wp14:editId="4CE9EA19">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A75DF9" w:rsidRDefault="00BF2FFA" w:rsidP="004E6530">
            <w:pPr>
              <w:spacing w:before="20" w:after="20"/>
              <w:jc w:val="center"/>
              <w:rPr>
                <w:rFonts w:eastAsia="Times New Roman" w:cs="Tahoma"/>
                <w:noProof/>
                <w:color w:val="000000"/>
                <w:sz w:val="12"/>
                <w:szCs w:val="16"/>
              </w:rPr>
            </w:pPr>
          </w:p>
        </w:tc>
        <w:tc>
          <w:tcPr>
            <w:tcW w:w="720" w:type="dxa"/>
            <w:tcBorders>
              <w:top w:val="single" w:sz="4" w:space="0" w:color="A5A5A5" w:themeColor="accent3"/>
              <w:left w:val="nil"/>
              <w:bottom w:val="single" w:sz="4" w:space="0" w:color="A5A5A5" w:themeColor="accent3"/>
              <w:right w:val="nil"/>
            </w:tcBorders>
          </w:tcPr>
          <w:p w:rsidR="00BF2FFA" w:rsidRPr="00A75DF9" w:rsidRDefault="00BF2FFA" w:rsidP="004E6530">
            <w:pPr>
              <w:spacing w:before="20" w:after="20"/>
              <w:jc w:val="center"/>
              <w:rPr>
                <w:rFonts w:eastAsia="Times New Roman" w:cs="Tahoma"/>
                <w:noProof/>
                <w:color w:val="000000"/>
                <w:sz w:val="14"/>
                <w:szCs w:val="16"/>
              </w:rPr>
            </w:pPr>
          </w:p>
        </w:tc>
      </w:tr>
      <w:tr w:rsidR="00BF2FFA" w:rsidRPr="00A75DF9" w:rsidTr="00A70443">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A75DF9" w:rsidRDefault="00BF2FFA" w:rsidP="004E6530">
            <w:pPr>
              <w:spacing w:before="20" w:after="20"/>
              <w:rPr>
                <w:rFonts w:cs="Tahoma"/>
                <w:noProof/>
                <w:sz w:val="13"/>
                <w:szCs w:val="13"/>
              </w:rPr>
            </w:pPr>
            <w:r w:rsidRPr="00A75DF9">
              <w:rPr>
                <w:rFonts w:eastAsia="Times New Roman" w:cs="Tahoma"/>
                <w:color w:val="000000"/>
                <w:sz w:val="13"/>
                <w:szCs w:val="13"/>
              </w:rPr>
              <w:t>Aggiungi o rimuovi la relazione di una società per un contatto</w:t>
            </w:r>
          </w:p>
        </w:tc>
        <w:tc>
          <w:tcPr>
            <w:tcW w:w="900"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cs="Tahoma"/>
                <w:noProof/>
                <w:sz w:val="12"/>
                <w:szCs w:val="16"/>
              </w:rPr>
            </w:pPr>
            <w:r w:rsidRPr="00A75DF9">
              <w:rPr>
                <w:rFonts w:eastAsia="Times New Roman" w:cs="Tahoma"/>
                <w:noProof/>
                <w:color w:val="000000"/>
                <w:sz w:val="12"/>
                <w:szCs w:val="16"/>
              </w:rPr>
              <w:drawing>
                <wp:inline distT="0" distB="0" distL="0" distR="0" wp14:anchorId="44C6AB55" wp14:editId="14A7A516">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7"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cs="Tahoma"/>
                <w:noProof/>
                <w:sz w:val="12"/>
                <w:szCs w:val="16"/>
              </w:rPr>
            </w:pPr>
            <w:r w:rsidRPr="00A75DF9">
              <w:rPr>
                <w:rFonts w:eastAsia="Times New Roman" w:cs="Tahoma"/>
                <w:noProof/>
                <w:color w:val="000000"/>
                <w:sz w:val="12"/>
                <w:szCs w:val="16"/>
              </w:rPr>
              <w:drawing>
                <wp:inline distT="0" distB="0" distL="0" distR="0" wp14:anchorId="7E750239" wp14:editId="69E33E9D">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9" w:type="dxa"/>
            <w:tcBorders>
              <w:top w:val="single" w:sz="4" w:space="0" w:color="A5A5A5" w:themeColor="accent3"/>
              <w:left w:val="nil"/>
              <w:bottom w:val="single" w:sz="4" w:space="0" w:color="A5A5A5" w:themeColor="accent3"/>
              <w:right w:val="nil"/>
            </w:tcBorders>
          </w:tcPr>
          <w:p w:rsidR="00BF2FFA" w:rsidRPr="00A75DF9" w:rsidRDefault="00BF2FFA" w:rsidP="004E6530">
            <w:pPr>
              <w:spacing w:before="20" w:after="20"/>
              <w:jc w:val="center"/>
              <w:rPr>
                <w:rFonts w:cs="Tahoma"/>
                <w:noProof/>
                <w:sz w:val="12"/>
                <w:szCs w:val="16"/>
              </w:rPr>
            </w:pPr>
          </w:p>
        </w:tc>
        <w:tc>
          <w:tcPr>
            <w:tcW w:w="244" w:type="dxa"/>
            <w:tcBorders>
              <w:top w:val="nil"/>
              <w:left w:val="nil"/>
              <w:bottom w:val="nil"/>
              <w:right w:val="nil"/>
            </w:tcBorders>
            <w:shd w:val="clear" w:color="auto" w:fill="auto"/>
          </w:tcPr>
          <w:p w:rsidR="00BF2FFA" w:rsidRPr="00A75DF9" w:rsidRDefault="00BF2FFA" w:rsidP="004E6530">
            <w:pPr>
              <w:spacing w:before="20" w:after="20"/>
              <w:jc w:val="center"/>
              <w:rPr>
                <w:rFonts w:eastAsia="Times New Roman" w:cs="Tahoma"/>
                <w:noProof/>
                <w:color w:val="000000"/>
                <w:sz w:val="12"/>
                <w:szCs w:val="16"/>
              </w:rPr>
            </w:pPr>
          </w:p>
        </w:tc>
        <w:tc>
          <w:tcPr>
            <w:tcW w:w="122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A75DF9" w:rsidRDefault="00BF2FFA" w:rsidP="004E6530">
            <w:pPr>
              <w:spacing w:before="20" w:after="20"/>
              <w:rPr>
                <w:rFonts w:eastAsia="Times New Roman" w:cs="Tahoma"/>
                <w:noProof/>
                <w:color w:val="000000"/>
                <w:sz w:val="13"/>
                <w:szCs w:val="13"/>
              </w:rPr>
            </w:pPr>
            <w:r w:rsidRPr="00A75DF9">
              <w:rPr>
                <w:rFonts w:eastAsia="Times New Roman" w:cs="Tahoma"/>
                <w:color w:val="000000"/>
                <w:sz w:val="13"/>
                <w:szCs w:val="13"/>
              </w:rPr>
              <w:t>Mini-campagne</w:t>
            </w:r>
          </w:p>
        </w:tc>
        <w:tc>
          <w:tcPr>
            <w:tcW w:w="900"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right"/>
              <w:rPr>
                <w:rFonts w:eastAsia="Times New Roman" w:cs="Tahoma"/>
                <w:noProof/>
                <w:color w:val="000000"/>
                <w:sz w:val="12"/>
                <w:szCs w:val="16"/>
              </w:rPr>
            </w:pPr>
            <w:r w:rsidRPr="00A75DF9">
              <w:rPr>
                <w:rFonts w:eastAsia="Times New Roman" w:cs="Tahoma"/>
                <w:noProof/>
                <w:color w:val="000000"/>
                <w:sz w:val="12"/>
                <w:szCs w:val="16"/>
              </w:rPr>
              <w:drawing>
                <wp:inline distT="0" distB="0" distL="0" distR="0" wp14:anchorId="4DE5FB41" wp14:editId="0AE4CDE0">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A75DF9" w:rsidRDefault="00BF2FFA" w:rsidP="004E6530">
            <w:pPr>
              <w:spacing w:before="20" w:after="20"/>
              <w:jc w:val="center"/>
              <w:rPr>
                <w:rFonts w:eastAsia="Times New Roman" w:cs="Tahoma"/>
                <w:noProof/>
                <w:color w:val="000000"/>
                <w:sz w:val="14"/>
                <w:szCs w:val="16"/>
              </w:rPr>
            </w:pPr>
          </w:p>
        </w:tc>
        <w:tc>
          <w:tcPr>
            <w:tcW w:w="720" w:type="dxa"/>
            <w:tcBorders>
              <w:top w:val="single" w:sz="4" w:space="0" w:color="A5A5A5" w:themeColor="accent3"/>
              <w:left w:val="nil"/>
              <w:bottom w:val="single" w:sz="4" w:space="0" w:color="A5A5A5" w:themeColor="accent3"/>
              <w:right w:val="nil"/>
            </w:tcBorders>
          </w:tcPr>
          <w:p w:rsidR="00BF2FFA" w:rsidRPr="00A75DF9" w:rsidRDefault="00BF2FFA" w:rsidP="004E6530">
            <w:pPr>
              <w:spacing w:before="20" w:after="20"/>
              <w:jc w:val="center"/>
              <w:rPr>
                <w:rFonts w:eastAsia="Times New Roman" w:cs="Tahoma"/>
                <w:noProof/>
                <w:color w:val="000000"/>
                <w:sz w:val="14"/>
                <w:szCs w:val="16"/>
              </w:rPr>
            </w:pPr>
          </w:p>
        </w:tc>
      </w:tr>
      <w:tr w:rsidR="00BF2FFA" w:rsidRPr="00A75DF9" w:rsidTr="00A70443">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A75DF9" w:rsidRDefault="00BF2FFA" w:rsidP="00CC1E5B">
            <w:pPr>
              <w:spacing w:before="20" w:after="20"/>
              <w:rPr>
                <w:rFonts w:cs="Tahoma"/>
                <w:noProof/>
                <w:sz w:val="13"/>
                <w:szCs w:val="13"/>
              </w:rPr>
            </w:pPr>
            <w:r w:rsidRPr="00A75DF9">
              <w:rPr>
                <w:rFonts w:eastAsia="Times New Roman" w:cs="Tahoma"/>
                <w:color w:val="000000"/>
                <w:sz w:val="13"/>
                <w:szCs w:val="13"/>
              </w:rPr>
              <w:t>Associa un</w:t>
            </w:r>
            <w:r w:rsidR="00F2643E">
              <w:rPr>
                <w:rFonts w:eastAsia="Times New Roman" w:cs="Tahoma"/>
                <w:color w:val="000000"/>
                <w:sz w:val="13"/>
                <w:szCs w:val="13"/>
              </w:rPr>
              <w:t>’</w:t>
            </w:r>
            <w:r w:rsidRPr="00A75DF9">
              <w:rPr>
                <w:rFonts w:eastAsia="Times New Roman" w:cs="Tahoma"/>
                <w:color w:val="000000"/>
                <w:sz w:val="13"/>
                <w:szCs w:val="13"/>
              </w:rPr>
              <w:t>opportunità a un contatto</w:t>
            </w:r>
          </w:p>
        </w:tc>
        <w:tc>
          <w:tcPr>
            <w:tcW w:w="900"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cs="Tahoma"/>
                <w:noProof/>
                <w:sz w:val="12"/>
                <w:szCs w:val="16"/>
              </w:rPr>
            </w:pPr>
            <w:r w:rsidRPr="00A75DF9">
              <w:rPr>
                <w:rFonts w:eastAsia="Times New Roman" w:cs="Tahoma"/>
                <w:noProof/>
                <w:color w:val="000000"/>
                <w:sz w:val="12"/>
                <w:szCs w:val="16"/>
              </w:rPr>
              <w:drawing>
                <wp:inline distT="0" distB="0" distL="0" distR="0" wp14:anchorId="06BAB503" wp14:editId="43BEF521">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7"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cs="Tahoma"/>
                <w:noProof/>
                <w:sz w:val="12"/>
                <w:szCs w:val="16"/>
              </w:rPr>
            </w:pPr>
            <w:r w:rsidRPr="00A75DF9">
              <w:rPr>
                <w:rFonts w:eastAsia="Times New Roman" w:cs="Tahoma"/>
                <w:noProof/>
                <w:color w:val="000000"/>
                <w:sz w:val="12"/>
                <w:szCs w:val="16"/>
              </w:rPr>
              <w:drawing>
                <wp:inline distT="0" distB="0" distL="0" distR="0" wp14:anchorId="0FCEBFF1" wp14:editId="09A648EF">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9" w:type="dxa"/>
            <w:tcBorders>
              <w:top w:val="single" w:sz="4" w:space="0" w:color="A5A5A5" w:themeColor="accent3"/>
              <w:left w:val="nil"/>
              <w:bottom w:val="single" w:sz="4" w:space="0" w:color="A5A5A5" w:themeColor="accent3"/>
              <w:right w:val="nil"/>
            </w:tcBorders>
          </w:tcPr>
          <w:p w:rsidR="00BF2FFA" w:rsidRPr="00A75DF9" w:rsidRDefault="00BF2FFA" w:rsidP="004E6530">
            <w:pPr>
              <w:spacing w:before="20" w:after="20"/>
              <w:jc w:val="center"/>
              <w:rPr>
                <w:rFonts w:cs="Tahoma"/>
                <w:noProof/>
                <w:sz w:val="12"/>
                <w:szCs w:val="16"/>
              </w:rPr>
            </w:pPr>
          </w:p>
        </w:tc>
        <w:tc>
          <w:tcPr>
            <w:tcW w:w="244" w:type="dxa"/>
            <w:tcBorders>
              <w:top w:val="nil"/>
              <w:left w:val="nil"/>
              <w:bottom w:val="nil"/>
              <w:right w:val="nil"/>
            </w:tcBorders>
            <w:shd w:val="clear" w:color="auto" w:fill="auto"/>
          </w:tcPr>
          <w:p w:rsidR="00BF2FFA" w:rsidRPr="00A75DF9" w:rsidRDefault="00BF2FFA" w:rsidP="004E6530">
            <w:pPr>
              <w:spacing w:before="20" w:after="20"/>
              <w:jc w:val="center"/>
              <w:rPr>
                <w:rFonts w:eastAsia="Times New Roman" w:cs="Tahoma"/>
                <w:noProof/>
                <w:color w:val="000000"/>
                <w:sz w:val="12"/>
                <w:szCs w:val="16"/>
              </w:rPr>
            </w:pPr>
          </w:p>
        </w:tc>
        <w:tc>
          <w:tcPr>
            <w:tcW w:w="122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A75DF9" w:rsidRDefault="00BF2FFA" w:rsidP="004E6530">
            <w:pPr>
              <w:spacing w:before="20" w:after="20"/>
              <w:rPr>
                <w:rFonts w:eastAsia="Times New Roman" w:cs="Tahoma"/>
                <w:noProof/>
                <w:color w:val="000000"/>
                <w:sz w:val="13"/>
                <w:szCs w:val="13"/>
              </w:rPr>
            </w:pPr>
            <w:r w:rsidRPr="00A75DF9">
              <w:rPr>
                <w:rFonts w:eastAsia="Times New Roman" w:cs="Tahoma"/>
                <w:color w:val="000000"/>
                <w:sz w:val="13"/>
                <w:szCs w:val="13"/>
              </w:rPr>
              <w:t>Campagne di marketing</w:t>
            </w:r>
          </w:p>
        </w:tc>
        <w:tc>
          <w:tcPr>
            <w:tcW w:w="900"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right"/>
              <w:rPr>
                <w:rFonts w:eastAsia="Times New Roman" w:cs="Tahoma"/>
                <w:noProof/>
                <w:color w:val="000000"/>
                <w:sz w:val="12"/>
                <w:szCs w:val="16"/>
              </w:rPr>
            </w:pPr>
            <w:r w:rsidRPr="00A75DF9">
              <w:rPr>
                <w:rFonts w:eastAsia="Times New Roman" w:cs="Tahoma"/>
                <w:noProof/>
                <w:color w:val="000000"/>
                <w:sz w:val="12"/>
                <w:szCs w:val="16"/>
              </w:rPr>
              <w:drawing>
                <wp:inline distT="0" distB="0" distL="0" distR="0" wp14:anchorId="4B48BE22" wp14:editId="40B2F8DD">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5A5A5" w:themeColor="accent3"/>
              <w:left w:val="nil"/>
              <w:bottom w:val="single" w:sz="4" w:space="0" w:color="A5A5A5" w:themeColor="accent3"/>
              <w:right w:val="nil"/>
            </w:tcBorders>
          </w:tcPr>
          <w:p w:rsidR="00BF2FFA" w:rsidRPr="00A75DF9" w:rsidRDefault="00BF2FFA" w:rsidP="004E6530">
            <w:pPr>
              <w:spacing w:before="20" w:after="20"/>
              <w:jc w:val="center"/>
              <w:rPr>
                <w:rFonts w:eastAsia="Times New Roman" w:cs="Tahoma"/>
                <w:noProof/>
                <w:color w:val="000000"/>
                <w:sz w:val="14"/>
                <w:szCs w:val="16"/>
              </w:rPr>
            </w:pPr>
          </w:p>
        </w:tc>
        <w:tc>
          <w:tcPr>
            <w:tcW w:w="720" w:type="dxa"/>
            <w:tcBorders>
              <w:top w:val="single" w:sz="4" w:space="0" w:color="A5A5A5" w:themeColor="accent3"/>
              <w:left w:val="nil"/>
              <w:bottom w:val="single" w:sz="4" w:space="0" w:color="A5A5A5" w:themeColor="accent3"/>
              <w:right w:val="nil"/>
            </w:tcBorders>
          </w:tcPr>
          <w:p w:rsidR="00BF2FFA" w:rsidRPr="00A75DF9" w:rsidRDefault="00BF2FFA" w:rsidP="004E6530">
            <w:pPr>
              <w:spacing w:before="20" w:after="20"/>
              <w:jc w:val="center"/>
              <w:rPr>
                <w:rFonts w:eastAsia="Times New Roman" w:cs="Tahoma"/>
                <w:noProof/>
                <w:color w:val="000000"/>
                <w:sz w:val="14"/>
                <w:szCs w:val="16"/>
              </w:rPr>
            </w:pPr>
          </w:p>
        </w:tc>
      </w:tr>
      <w:tr w:rsidR="00BF2FFA" w:rsidRPr="00A75DF9" w:rsidTr="00A70443">
        <w:trPr>
          <w:cantSplit/>
          <w:trHeight w:val="303"/>
        </w:trPr>
        <w:tc>
          <w:tcPr>
            <w:tcW w:w="1517" w:type="dxa"/>
            <w:tcBorders>
              <w:top w:val="single" w:sz="4" w:space="0" w:color="A5A5A5" w:themeColor="accent3"/>
              <w:left w:val="nil"/>
              <w:bottom w:val="single" w:sz="4" w:space="0" w:color="A5A5A5" w:themeColor="accent3"/>
              <w:right w:val="nil"/>
            </w:tcBorders>
            <w:shd w:val="clear" w:color="auto" w:fill="auto"/>
            <w:noWrap/>
            <w:tcMar>
              <w:left w:w="72" w:type="dxa"/>
              <w:right w:w="72" w:type="dxa"/>
            </w:tcMar>
            <w:vAlign w:val="center"/>
          </w:tcPr>
          <w:p w:rsidR="00BF2FFA" w:rsidRPr="00A75DF9" w:rsidRDefault="00BF2FFA" w:rsidP="004E6530">
            <w:pPr>
              <w:spacing w:before="20" w:after="20"/>
              <w:rPr>
                <w:rFonts w:eastAsia="Times New Roman" w:cs="Tahoma"/>
                <w:noProof/>
                <w:color w:val="000000"/>
                <w:sz w:val="13"/>
                <w:szCs w:val="13"/>
              </w:rPr>
            </w:pPr>
            <w:r w:rsidRPr="00A75DF9">
              <w:rPr>
                <w:rFonts w:eastAsia="Times New Roman" w:cs="Tahoma"/>
                <w:color w:val="000000"/>
                <w:sz w:val="13"/>
                <w:szCs w:val="13"/>
              </w:rPr>
              <w:t>Qualifica e converti un potenziale cliente in un contatto</w:t>
            </w:r>
          </w:p>
        </w:tc>
        <w:tc>
          <w:tcPr>
            <w:tcW w:w="900"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eastAsia="Times New Roman" w:cs="Tahoma"/>
                <w:noProof/>
                <w:color w:val="000000"/>
                <w:sz w:val="12"/>
                <w:szCs w:val="16"/>
              </w:rPr>
            </w:pPr>
            <w:r w:rsidRPr="00A75DF9">
              <w:rPr>
                <w:rFonts w:eastAsia="Times New Roman" w:cs="Tahoma"/>
                <w:noProof/>
                <w:color w:val="000000"/>
                <w:sz w:val="12"/>
                <w:szCs w:val="16"/>
              </w:rPr>
              <w:drawing>
                <wp:inline distT="0" distB="0" distL="0" distR="0" wp14:anchorId="2D02204F" wp14:editId="459E515D">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7"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center"/>
              <w:rPr>
                <w:rFonts w:eastAsia="Times New Roman" w:cs="Tahoma"/>
                <w:noProof/>
                <w:color w:val="000000"/>
                <w:sz w:val="12"/>
                <w:szCs w:val="16"/>
              </w:rPr>
            </w:pPr>
            <w:r w:rsidRPr="00A75DF9">
              <w:rPr>
                <w:rFonts w:eastAsia="Times New Roman" w:cs="Tahoma"/>
                <w:noProof/>
                <w:color w:val="000000"/>
                <w:sz w:val="12"/>
                <w:szCs w:val="16"/>
              </w:rPr>
              <w:drawing>
                <wp:inline distT="0" distB="0" distL="0" distR="0" wp14:anchorId="65A42E61" wp14:editId="66943805">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679" w:type="dxa"/>
            <w:tcBorders>
              <w:top w:val="single" w:sz="4" w:space="0" w:color="A5A5A5" w:themeColor="accent3"/>
              <w:left w:val="nil"/>
              <w:bottom w:val="single" w:sz="4" w:space="0" w:color="A5A5A5" w:themeColor="accent3"/>
              <w:right w:val="nil"/>
            </w:tcBorders>
          </w:tcPr>
          <w:p w:rsidR="00BF2FFA" w:rsidRPr="00A75DF9" w:rsidRDefault="00BF2FFA" w:rsidP="004E6530">
            <w:pPr>
              <w:spacing w:before="20" w:after="20"/>
              <w:jc w:val="center"/>
              <w:rPr>
                <w:rFonts w:eastAsia="Times New Roman" w:cs="Tahoma"/>
                <w:noProof/>
                <w:color w:val="000000"/>
                <w:sz w:val="12"/>
                <w:szCs w:val="16"/>
              </w:rPr>
            </w:pPr>
          </w:p>
        </w:tc>
        <w:tc>
          <w:tcPr>
            <w:tcW w:w="244" w:type="dxa"/>
            <w:tcBorders>
              <w:top w:val="nil"/>
              <w:left w:val="nil"/>
              <w:bottom w:val="nil"/>
              <w:right w:val="nil"/>
            </w:tcBorders>
            <w:shd w:val="clear" w:color="auto" w:fill="auto"/>
          </w:tcPr>
          <w:p w:rsidR="00BF2FFA" w:rsidRPr="00A75DF9" w:rsidRDefault="00BF2FFA" w:rsidP="004E6530">
            <w:pPr>
              <w:spacing w:before="20" w:after="20"/>
              <w:jc w:val="center"/>
              <w:rPr>
                <w:rFonts w:eastAsia="Times New Roman" w:cs="Tahoma"/>
                <w:noProof/>
                <w:color w:val="000000"/>
                <w:sz w:val="12"/>
                <w:szCs w:val="16"/>
              </w:rPr>
            </w:pPr>
          </w:p>
        </w:tc>
        <w:tc>
          <w:tcPr>
            <w:tcW w:w="1220" w:type="dxa"/>
            <w:tcBorders>
              <w:top w:val="single" w:sz="4" w:space="0" w:color="A5A5A5" w:themeColor="accent3"/>
              <w:left w:val="nil"/>
              <w:bottom w:val="single" w:sz="4" w:space="0" w:color="A5A5A5" w:themeColor="accent3"/>
              <w:right w:val="nil"/>
            </w:tcBorders>
            <w:tcMar>
              <w:left w:w="72" w:type="dxa"/>
              <w:right w:w="72" w:type="dxa"/>
            </w:tcMar>
            <w:vAlign w:val="center"/>
          </w:tcPr>
          <w:p w:rsidR="00BF2FFA" w:rsidRPr="00A75DF9" w:rsidRDefault="00BF2FFA" w:rsidP="004E6530">
            <w:pPr>
              <w:spacing w:before="20" w:after="20"/>
              <w:rPr>
                <w:rFonts w:eastAsia="Times New Roman" w:cs="Tahoma"/>
                <w:noProof/>
                <w:color w:val="000000"/>
                <w:sz w:val="13"/>
                <w:szCs w:val="13"/>
              </w:rPr>
            </w:pPr>
          </w:p>
        </w:tc>
        <w:tc>
          <w:tcPr>
            <w:tcW w:w="900" w:type="dxa"/>
            <w:tcBorders>
              <w:top w:val="single" w:sz="4" w:space="0" w:color="A5A5A5" w:themeColor="accent3"/>
              <w:left w:val="nil"/>
              <w:bottom w:val="single" w:sz="4" w:space="0" w:color="A5A5A5" w:themeColor="accent3"/>
              <w:right w:val="nil"/>
            </w:tcBorders>
            <w:vAlign w:val="center"/>
          </w:tcPr>
          <w:p w:rsidR="00BF2FFA" w:rsidRPr="00A75DF9" w:rsidRDefault="00BF2FFA" w:rsidP="004E6530">
            <w:pPr>
              <w:spacing w:before="20" w:after="20"/>
              <w:jc w:val="right"/>
              <w:rPr>
                <w:rFonts w:eastAsia="Times New Roman" w:cs="Tahoma"/>
                <w:noProof/>
                <w:color w:val="000000"/>
                <w:sz w:val="12"/>
                <w:szCs w:val="16"/>
              </w:rPr>
            </w:pPr>
          </w:p>
        </w:tc>
        <w:tc>
          <w:tcPr>
            <w:tcW w:w="540" w:type="dxa"/>
            <w:tcBorders>
              <w:top w:val="single" w:sz="4" w:space="0" w:color="A5A5A5" w:themeColor="accent3"/>
              <w:left w:val="nil"/>
              <w:bottom w:val="single" w:sz="4" w:space="0" w:color="A5A5A5" w:themeColor="accent3"/>
              <w:right w:val="nil"/>
            </w:tcBorders>
          </w:tcPr>
          <w:p w:rsidR="00BF2FFA" w:rsidRPr="00A75DF9" w:rsidRDefault="00BF2FFA" w:rsidP="004E6530">
            <w:pPr>
              <w:spacing w:before="20" w:after="20"/>
              <w:jc w:val="center"/>
              <w:rPr>
                <w:rFonts w:eastAsia="Times New Roman" w:cs="Tahoma"/>
                <w:noProof/>
                <w:color w:val="000000"/>
                <w:sz w:val="14"/>
                <w:szCs w:val="16"/>
              </w:rPr>
            </w:pPr>
          </w:p>
        </w:tc>
        <w:tc>
          <w:tcPr>
            <w:tcW w:w="720" w:type="dxa"/>
            <w:tcBorders>
              <w:top w:val="single" w:sz="4" w:space="0" w:color="A5A5A5" w:themeColor="accent3"/>
              <w:left w:val="nil"/>
              <w:bottom w:val="single" w:sz="4" w:space="0" w:color="A5A5A5" w:themeColor="accent3"/>
              <w:right w:val="nil"/>
            </w:tcBorders>
          </w:tcPr>
          <w:p w:rsidR="00BF2FFA" w:rsidRPr="00A75DF9" w:rsidRDefault="00BF2FFA" w:rsidP="004E6530">
            <w:pPr>
              <w:spacing w:before="20" w:after="20"/>
              <w:jc w:val="center"/>
              <w:rPr>
                <w:rFonts w:eastAsia="Times New Roman" w:cs="Tahoma"/>
                <w:noProof/>
                <w:color w:val="000000"/>
                <w:sz w:val="14"/>
                <w:szCs w:val="16"/>
              </w:rPr>
            </w:pPr>
          </w:p>
        </w:tc>
      </w:tr>
    </w:tbl>
    <w:p w:rsidR="000F4095" w:rsidRPr="00A75DF9" w:rsidRDefault="000F4095" w:rsidP="00BF2FFA">
      <w:pPr>
        <w:spacing w:before="80"/>
        <w:ind w:left="900"/>
        <w:rPr>
          <w:rFonts w:cs="Tahoma"/>
        </w:rPr>
      </w:pPr>
      <w:r w:rsidRPr="00A75DF9">
        <w:rPr>
          <w:rFonts w:eastAsia="Times New Roman" w:cs="Tahoma"/>
          <w:color w:val="000000"/>
          <w:sz w:val="12"/>
          <w:szCs w:val="20"/>
        </w:rPr>
        <w:t>*Le azioni possono essere eseguite solo nei confronti di record corrispondenti a entità incluse nei diritti di utilizzo</w:t>
      </w:r>
    </w:p>
    <w:p w:rsidR="00047874" w:rsidRPr="00A75DF9" w:rsidRDefault="000F4095" w:rsidP="00CC1E5B">
      <w:pPr>
        <w:ind w:left="900"/>
        <w:rPr>
          <w:rFonts w:cs="Tahoma"/>
        </w:rPr>
      </w:pPr>
      <w:r w:rsidRPr="00A75DF9">
        <w:rPr>
          <w:rFonts w:eastAsia="Times New Roman" w:cs="Tahoma"/>
          <w:color w:val="000000"/>
          <w:sz w:val="12"/>
          <w:szCs w:val="20"/>
        </w:rPr>
        <w:t>**L</w:t>
      </w:r>
      <w:r w:rsidR="00F2643E">
        <w:rPr>
          <w:rFonts w:eastAsia="Times New Roman" w:cs="Tahoma"/>
          <w:color w:val="000000"/>
          <w:sz w:val="12"/>
          <w:szCs w:val="20"/>
        </w:rPr>
        <w:t>’</w:t>
      </w:r>
      <w:r w:rsidRPr="00A75DF9">
        <w:rPr>
          <w:rFonts w:eastAsia="Times New Roman" w:cs="Tahoma"/>
          <w:color w:val="000000"/>
          <w:sz w:val="12"/>
          <w:szCs w:val="20"/>
        </w:rPr>
        <w:t>utilizzo di Yammer all</w:t>
      </w:r>
      <w:r w:rsidR="00F2643E">
        <w:rPr>
          <w:rFonts w:eastAsia="Times New Roman" w:cs="Tahoma"/>
          <w:color w:val="000000"/>
          <w:sz w:val="12"/>
          <w:szCs w:val="20"/>
        </w:rPr>
        <w:t>’</w:t>
      </w:r>
      <w:r w:rsidRPr="00A75DF9">
        <w:rPr>
          <w:rFonts w:eastAsia="Times New Roman" w:cs="Tahoma"/>
          <w:color w:val="000000"/>
          <w:sz w:val="12"/>
          <w:szCs w:val="20"/>
        </w:rPr>
        <w:t>interno dell</w:t>
      </w:r>
      <w:r w:rsidR="00F2643E">
        <w:rPr>
          <w:rFonts w:eastAsia="Times New Roman" w:cs="Tahoma"/>
          <w:color w:val="000000"/>
          <w:sz w:val="12"/>
          <w:szCs w:val="20"/>
        </w:rPr>
        <w:t>’</w:t>
      </w:r>
      <w:r w:rsidRPr="00A75DF9">
        <w:rPr>
          <w:rFonts w:eastAsia="Times New Roman" w:cs="Tahoma"/>
          <w:color w:val="000000"/>
          <w:sz w:val="12"/>
          <w:szCs w:val="20"/>
        </w:rPr>
        <w:t>applicazione Microsoft Dynamics CRM richiede una licenza Enterprise per Yammer (acquistata separatamente)</w:t>
      </w:r>
    </w:p>
    <w:p w:rsidR="000F4095" w:rsidRPr="00A70443" w:rsidRDefault="000F4095" w:rsidP="000F4095">
      <w:pPr>
        <w:pStyle w:val="Heading3"/>
        <w:keepNext/>
        <w:rPr>
          <w:rFonts w:ascii="Tahoma" w:hAnsi="Tahoma" w:cs="Tahoma"/>
          <w:b w:val="0"/>
          <w:bCs/>
          <w:sz w:val="18"/>
          <w:szCs w:val="18"/>
        </w:rPr>
      </w:pPr>
      <w:bookmarkStart w:id="1359" w:name="_68_Microsoft_Dynamics"/>
      <w:bookmarkStart w:id="1360" w:name="_Toc336338328"/>
      <w:bookmarkEnd w:id="1359"/>
    </w:p>
    <w:p w:rsidR="00A70443" w:rsidRPr="00A70443" w:rsidRDefault="00A70443" w:rsidP="00A70443"/>
    <w:p w:rsidR="0085774C" w:rsidRPr="00A75DF9" w:rsidRDefault="0085774C" w:rsidP="0085774C">
      <w:pPr>
        <w:pStyle w:val="Heading3"/>
        <w:keepNext/>
        <w:rPr>
          <w:rFonts w:ascii="Tahoma" w:hAnsi="Tahoma" w:cs="Tahoma"/>
        </w:rPr>
      </w:pPr>
      <w:bookmarkStart w:id="1361" w:name="_73_Microsoft_Dynamics_1"/>
      <w:bookmarkStart w:id="1362" w:name="_Toc368310323"/>
      <w:bookmarkEnd w:id="1361"/>
      <w:r w:rsidRPr="00A75DF9">
        <w:rPr>
          <w:rFonts w:ascii="Tahoma" w:hAnsi="Tahoma" w:cs="Tahoma"/>
          <w:color w:val="F66400"/>
          <w:sz w:val="22"/>
          <w:vertAlign w:val="superscript"/>
        </w:rPr>
        <w:t>73</w:t>
      </w:r>
      <w:r w:rsidRPr="00A75DF9">
        <w:rPr>
          <w:rFonts w:ascii="Tahoma" w:hAnsi="Tahoma" w:cs="Tahoma"/>
          <w:color w:val="F66400"/>
          <w:sz w:val="22"/>
        </w:rPr>
        <w:t xml:space="preserve"> Microsoft Dynamics CRM 2011 External Connector</w:t>
      </w:r>
      <w:bookmarkEnd w:id="1362"/>
    </w:p>
    <w:p w:rsidR="000F4095" w:rsidRPr="00A75DF9" w:rsidRDefault="000F4095" w:rsidP="000F4095">
      <w:pPr>
        <w:keepNext/>
        <w:spacing w:after="60"/>
        <w:rPr>
          <w:rFonts w:cs="Tahoma"/>
        </w:rPr>
      </w:pPr>
    </w:p>
    <w:p w:rsidR="000F4095" w:rsidRPr="00A75DF9" w:rsidRDefault="000F4095" w:rsidP="000F4095">
      <w:pPr>
        <w:spacing w:after="60"/>
        <w:ind w:left="720"/>
        <w:rPr>
          <w:rFonts w:cs="Tahoma"/>
        </w:rPr>
      </w:pPr>
      <w:r w:rsidRPr="00A75DF9">
        <w:rPr>
          <w:rFonts w:cs="Tahoma"/>
          <w:b/>
          <w:color w:val="000000"/>
        </w:rPr>
        <w:t>Concessioni di licenza associate alla fine del ciclo di vita di Microsoft Dynamics CRM 2011 External Connector</w:t>
      </w:r>
    </w:p>
    <w:p w:rsidR="000F4095" w:rsidRPr="00A75DF9" w:rsidRDefault="000F4095" w:rsidP="00A70443">
      <w:pPr>
        <w:ind w:left="720"/>
        <w:rPr>
          <w:rFonts w:cs="Tahoma"/>
        </w:rPr>
      </w:pPr>
      <w:r w:rsidRPr="00A75DF9">
        <w:rPr>
          <w:rFonts w:cs="Tahoma"/>
          <w:color w:val="000000"/>
        </w:rPr>
        <w:t>Microsoft Dynamics CRM 2011 External Connector sarà l</w:t>
      </w:r>
      <w:r w:rsidR="00F2643E">
        <w:rPr>
          <w:rFonts w:cs="Tahoma"/>
          <w:color w:val="000000"/>
        </w:rPr>
        <w:t>’</w:t>
      </w:r>
      <w:r w:rsidRPr="00A75DF9">
        <w:rPr>
          <w:rFonts w:cs="Tahoma"/>
          <w:color w:val="000000"/>
        </w:rPr>
        <w:t>ultima versione di Microsoft Dynamics CRM External Connector. Alle società in possesso di Contratti Multilicenza con Software Assurance per le licenze External Connector per Microsoft Dynamics CRM 2011 in data 1° ottobre 2013 o successiva (“Licenze Qualificanti”) verrà concessa una licenza per Microsoft Dynamics CRM 2013 Server per ogni licenza qualificante di</w:t>
      </w:r>
      <w:r w:rsidR="00A70443">
        <w:rPr>
          <w:rFonts w:cs="Tahoma"/>
          <w:color w:val="000000"/>
        </w:rPr>
        <w:t> </w:t>
      </w:r>
      <w:r w:rsidRPr="00A75DF9">
        <w:rPr>
          <w:rFonts w:cs="Tahoma"/>
          <w:color w:val="000000"/>
        </w:rPr>
        <w:t>Microsoft Dynamics CRM 2011 External Connector.</w:t>
      </w:r>
    </w:p>
    <w:p w:rsidR="000F4095" w:rsidRPr="00A75DF9" w:rsidRDefault="000F4095" w:rsidP="000F4095">
      <w:pPr>
        <w:spacing w:after="100" w:afterAutospacing="1" w:line="276" w:lineRule="auto"/>
        <w:ind w:left="720"/>
        <w:contextualSpacing/>
        <w:rPr>
          <w:rFonts w:cs="Tahoma"/>
        </w:rPr>
      </w:pPr>
    </w:p>
    <w:p w:rsidR="000F4095" w:rsidRPr="00A75DF9" w:rsidRDefault="000F4095" w:rsidP="00A70443">
      <w:pPr>
        <w:ind w:left="720"/>
        <w:rPr>
          <w:rFonts w:cs="Tahoma"/>
        </w:rPr>
      </w:pPr>
      <w:r w:rsidRPr="00A75DF9">
        <w:rPr>
          <w:rFonts w:eastAsia="Calibri" w:cs="Tahoma"/>
          <w:szCs w:val="18"/>
        </w:rPr>
        <w:t>La copertura Software Assurance inclusa nella suddetta concessione scade alla scadenza della corrispondente copertura per le Licenze Qualificanti. Alla scadenza della copertura Software Assurance per</w:t>
      </w:r>
      <w:r w:rsidR="00A70443">
        <w:rPr>
          <w:rFonts w:eastAsia="Calibri" w:cs="Tahoma"/>
          <w:szCs w:val="18"/>
        </w:rPr>
        <w:t> </w:t>
      </w:r>
      <w:r w:rsidRPr="00A75DF9">
        <w:rPr>
          <w:rFonts w:eastAsia="Calibri" w:cs="Tahoma"/>
          <w:szCs w:val="18"/>
        </w:rPr>
        <w:t>le</w:t>
      </w:r>
      <w:r w:rsidR="00A70443">
        <w:rPr>
          <w:rFonts w:eastAsia="Calibri" w:cs="Tahoma"/>
          <w:szCs w:val="18"/>
        </w:rPr>
        <w:t> </w:t>
      </w:r>
      <w:r w:rsidRPr="00A75DF9">
        <w:rPr>
          <w:rFonts w:eastAsia="Calibri" w:cs="Tahoma"/>
          <w:szCs w:val="18"/>
        </w:rPr>
        <w:t>licenze qualificanti la società potrà rinnovare Software Assurance per le licenze ottenute.</w:t>
      </w:r>
    </w:p>
    <w:p w:rsidR="000F4095" w:rsidRPr="00A70443" w:rsidRDefault="000F4095" w:rsidP="000F4095">
      <w:pPr>
        <w:pStyle w:val="ListParagraph"/>
        <w:contextualSpacing w:val="0"/>
        <w:rPr>
          <w:rFonts w:ascii="Tahoma" w:hAnsi="Tahoma" w:cs="Tahoma"/>
          <w:sz w:val="18"/>
          <w:szCs w:val="18"/>
        </w:rPr>
      </w:pPr>
    </w:p>
    <w:p w:rsidR="000F4095" w:rsidRPr="00A70443" w:rsidRDefault="000F4095" w:rsidP="000F4095">
      <w:pPr>
        <w:pStyle w:val="ListParagraph"/>
        <w:contextualSpacing w:val="0"/>
        <w:rPr>
          <w:rFonts w:ascii="Tahoma" w:hAnsi="Tahoma" w:cs="Tahoma"/>
          <w:sz w:val="18"/>
          <w:szCs w:val="18"/>
        </w:rPr>
      </w:pPr>
      <w:r w:rsidRPr="00A70443">
        <w:rPr>
          <w:rFonts w:ascii="Tahoma" w:eastAsia="Calibri" w:hAnsi="Tahoma" w:cs="Tahoma"/>
          <w:sz w:val="18"/>
          <w:szCs w:val="18"/>
        </w:rPr>
        <w:t>Nel caso in cui le società abbiano acquistato diritti perpetui per utilizzare software ai sensi di Licenze Qualificanti, le licenze acquistate ai sensi della presente concessione saranno anch</w:t>
      </w:r>
      <w:r w:rsidR="00F2643E">
        <w:rPr>
          <w:rFonts w:ascii="Tahoma" w:eastAsia="Calibri" w:hAnsi="Tahoma" w:cs="Tahoma"/>
          <w:sz w:val="18"/>
          <w:szCs w:val="18"/>
        </w:rPr>
        <w:t>’</w:t>
      </w:r>
      <w:r w:rsidRPr="00A70443">
        <w:rPr>
          <w:rFonts w:ascii="Tahoma" w:eastAsia="Calibri" w:hAnsi="Tahoma" w:cs="Tahoma"/>
          <w:sz w:val="18"/>
          <w:szCs w:val="18"/>
        </w:rPr>
        <w:t>esse perpetue; diversamente, le licenze acquistate ai sensi della presente concessione cesseranno alla scadenza delle Licenze Qualificanti sottostanti.</w:t>
      </w:r>
    </w:p>
    <w:p w:rsidR="000F4095" w:rsidRPr="00A70443" w:rsidRDefault="000F4095" w:rsidP="000F4095">
      <w:pPr>
        <w:pStyle w:val="ListParagraph"/>
        <w:contextualSpacing w:val="0"/>
        <w:rPr>
          <w:rFonts w:ascii="Tahoma" w:hAnsi="Tahoma" w:cs="Tahoma"/>
          <w:sz w:val="18"/>
          <w:szCs w:val="18"/>
        </w:rPr>
      </w:pPr>
    </w:p>
    <w:p w:rsidR="000F4095" w:rsidRPr="00A70443" w:rsidRDefault="000F4095" w:rsidP="000F4095">
      <w:pPr>
        <w:pStyle w:val="ListParagraph"/>
        <w:contextualSpacing w:val="0"/>
        <w:rPr>
          <w:rFonts w:ascii="Tahoma" w:hAnsi="Tahoma" w:cs="Tahoma"/>
          <w:sz w:val="18"/>
          <w:szCs w:val="18"/>
        </w:rPr>
      </w:pPr>
      <w:r w:rsidRPr="00A70443">
        <w:rPr>
          <w:rFonts w:ascii="Tahoma" w:eastAsia="Calibri" w:hAnsi="Tahoma" w:cs="Tahoma"/>
          <w:sz w:val="18"/>
          <w:szCs w:val="18"/>
        </w:rPr>
        <w:t>Per ogni Licenza Qualificante acquistata ai sensi dei contratti Enterprise Subscription, Campus e Schools Subscription e Open Value Subscription, una società potrà eseguire il buy-out di una licenza per Microsoft Dynamics CRM 2013 Server come indicato.</w:t>
      </w:r>
    </w:p>
    <w:p w:rsidR="000F4095" w:rsidRPr="00A70443" w:rsidRDefault="000F4095" w:rsidP="000F4095">
      <w:pPr>
        <w:ind w:left="720"/>
        <w:rPr>
          <w:rFonts w:cs="Tahoma"/>
          <w:szCs w:val="18"/>
        </w:rPr>
      </w:pPr>
    </w:p>
    <w:p w:rsidR="000F4095" w:rsidRPr="00A75DF9" w:rsidRDefault="000F4095" w:rsidP="000F4095">
      <w:pPr>
        <w:ind w:left="720"/>
        <w:rPr>
          <w:rFonts w:cs="Tahoma"/>
        </w:rPr>
      </w:pPr>
      <w:r w:rsidRPr="00A75DF9">
        <w:rPr>
          <w:rFonts w:eastAsia="Calibri" w:cs="Tahoma"/>
          <w:szCs w:val="18"/>
        </w:rPr>
        <w:t>Eseguendo l</w:t>
      </w:r>
      <w:r w:rsidR="00F2643E">
        <w:rPr>
          <w:rFonts w:eastAsia="Calibri" w:cs="Tahoma"/>
          <w:szCs w:val="18"/>
        </w:rPr>
        <w:t>’</w:t>
      </w:r>
      <w:r w:rsidRPr="00A75DF9">
        <w:rPr>
          <w:rFonts w:eastAsia="Calibri" w:cs="Tahoma"/>
          <w:szCs w:val="18"/>
        </w:rPr>
        <w:t>aggiornamento alle licenze per Microsoft Dynamics CRM 2013 Server fornite ai sensi della presente concessione, le Licenze Qualificanti External Connector per Microsoft Dynamics CRM 2011 non saranno più valide.</w:t>
      </w:r>
    </w:p>
    <w:p w:rsidR="0034016E" w:rsidRPr="00A75DF9" w:rsidRDefault="0085774C" w:rsidP="0034016E">
      <w:pPr>
        <w:pStyle w:val="Heading3"/>
        <w:rPr>
          <w:rFonts w:ascii="Tahoma" w:hAnsi="Tahoma" w:cs="Tahoma"/>
        </w:rPr>
      </w:pPr>
      <w:bookmarkStart w:id="1363" w:name="_70_Microsoft_Dynamics"/>
      <w:bookmarkStart w:id="1364" w:name="_73_Microsoft_Dynamics"/>
      <w:bookmarkStart w:id="1365" w:name="_69_Office_365"/>
      <w:bookmarkStart w:id="1366" w:name="_69_68_Office"/>
      <w:bookmarkStart w:id="1367" w:name="_71_Office_365_1"/>
      <w:bookmarkStart w:id="1368" w:name="_Toc336338329"/>
      <w:bookmarkStart w:id="1369" w:name="Srv_70Office365PlanE1"/>
      <w:bookmarkStart w:id="1370" w:name="_Toc368310324"/>
      <w:bookmarkEnd w:id="1352"/>
      <w:bookmarkEnd w:id="1353"/>
      <w:bookmarkEnd w:id="1360"/>
      <w:bookmarkEnd w:id="1363"/>
      <w:bookmarkEnd w:id="1364"/>
      <w:bookmarkEnd w:id="1365"/>
      <w:bookmarkEnd w:id="1366"/>
      <w:bookmarkEnd w:id="1367"/>
      <w:r w:rsidRPr="00A75DF9">
        <w:rPr>
          <w:rFonts w:ascii="Tahoma" w:hAnsi="Tahoma" w:cs="Tahoma"/>
          <w:caps/>
          <w:color w:val="F66400"/>
          <w:sz w:val="22"/>
          <w:vertAlign w:val="superscript"/>
        </w:rPr>
        <w:lastRenderedPageBreak/>
        <w:t>74</w:t>
      </w:r>
      <w:r w:rsidRPr="00A75DF9">
        <w:rPr>
          <w:rFonts w:ascii="Tahoma" w:hAnsi="Tahoma" w:cs="Tahoma"/>
          <w:color w:val="F66400"/>
          <w:sz w:val="22"/>
        </w:rPr>
        <w:t xml:space="preserve"> Microsoft Dynamics CRM Online</w:t>
      </w:r>
      <w:bookmarkEnd w:id="1370"/>
    </w:p>
    <w:p w:rsidR="0034016E" w:rsidRPr="00A70443" w:rsidRDefault="0034016E" w:rsidP="0034016E">
      <w:pPr>
        <w:pStyle w:val="Heading3"/>
        <w:rPr>
          <w:rFonts w:ascii="Tahoma" w:hAnsi="Tahoma" w:cs="Tahoma"/>
          <w:b w:val="0"/>
          <w:bCs/>
          <w:sz w:val="18"/>
          <w:szCs w:val="18"/>
        </w:rPr>
      </w:pPr>
    </w:p>
    <w:p w:rsidR="0034016E" w:rsidRPr="00A75DF9" w:rsidRDefault="0034016E" w:rsidP="0034016E">
      <w:pPr>
        <w:ind w:left="720"/>
        <w:rPr>
          <w:rFonts w:cs="Tahoma"/>
        </w:rPr>
      </w:pPr>
      <w:r w:rsidRPr="00A75DF9">
        <w:rPr>
          <w:rFonts w:cs="Tahoma"/>
          <w:b/>
          <w:color w:val="000000"/>
          <w:szCs w:val="18"/>
        </w:rPr>
        <w:t>Paesi Dove Microsoft Dynamics CRM Online è Disponibile</w:t>
      </w:r>
    </w:p>
    <w:p w:rsidR="0034016E" w:rsidRPr="00A75DF9" w:rsidRDefault="0034016E" w:rsidP="0034016E">
      <w:pPr>
        <w:ind w:left="540"/>
        <w:rPr>
          <w:rFonts w:cs="Tahoma"/>
        </w:rPr>
      </w:pPr>
    </w:p>
    <w:tbl>
      <w:tblPr>
        <w:tblW w:w="8020" w:type="dxa"/>
        <w:tblInd w:w="878" w:type="dxa"/>
        <w:tblCellMar>
          <w:left w:w="0" w:type="dxa"/>
          <w:right w:w="0" w:type="dxa"/>
        </w:tblCellMar>
        <w:tblLook w:val="04A0" w:firstRow="1" w:lastRow="0" w:firstColumn="1" w:lastColumn="0" w:noHBand="0" w:noVBand="1"/>
      </w:tblPr>
      <w:tblGrid>
        <w:gridCol w:w="2680"/>
        <w:gridCol w:w="2670"/>
        <w:gridCol w:w="2670"/>
      </w:tblGrid>
      <w:tr w:rsidR="0034016E" w:rsidRPr="00A75DF9" w:rsidTr="00343766">
        <w:tc>
          <w:tcPr>
            <w:tcW w:w="2680"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34016E" w:rsidRPr="00A75DF9" w:rsidRDefault="0034016E" w:rsidP="00343766">
            <w:pPr>
              <w:keepNext/>
              <w:jc w:val="center"/>
              <w:rPr>
                <w:rFonts w:cs="Tahoma"/>
                <w:b/>
                <w:bCs/>
                <w:szCs w:val="20"/>
              </w:rPr>
            </w:pPr>
            <w:r w:rsidRPr="00A75DF9">
              <w:rPr>
                <w:rFonts w:cs="Tahoma"/>
                <w:b/>
                <w:bCs/>
                <w:szCs w:val="20"/>
              </w:rPr>
              <w:t>Americhe</w:t>
            </w:r>
          </w:p>
        </w:tc>
        <w:tc>
          <w:tcPr>
            <w:tcW w:w="2670" w:type="dxa"/>
            <w:tcBorders>
              <w:top w:val="single" w:sz="8" w:space="0" w:color="000000"/>
              <w:left w:val="nil"/>
              <w:bottom w:val="single" w:sz="8" w:space="0" w:color="000000"/>
              <w:right w:val="single" w:sz="4" w:space="0" w:color="auto"/>
            </w:tcBorders>
            <w:shd w:val="clear" w:color="auto" w:fill="FABF8F"/>
          </w:tcPr>
          <w:p w:rsidR="0034016E" w:rsidRPr="00A75DF9" w:rsidRDefault="0034016E" w:rsidP="00343766">
            <w:pPr>
              <w:keepNext/>
              <w:jc w:val="center"/>
              <w:rPr>
                <w:rFonts w:cs="Tahoma"/>
                <w:b/>
                <w:bCs/>
                <w:szCs w:val="20"/>
              </w:rPr>
            </w:pPr>
            <w:r w:rsidRPr="00A75DF9">
              <w:rPr>
                <w:rFonts w:cs="Tahoma"/>
                <w:b/>
                <w:bCs/>
                <w:szCs w:val="20"/>
              </w:rPr>
              <w:t>Europa</w:t>
            </w:r>
          </w:p>
        </w:tc>
        <w:tc>
          <w:tcPr>
            <w:tcW w:w="2670" w:type="dxa"/>
            <w:tcBorders>
              <w:top w:val="single" w:sz="8" w:space="0" w:color="000000"/>
              <w:left w:val="single" w:sz="4" w:space="0" w:color="auto"/>
              <w:bottom w:val="single" w:sz="8" w:space="0" w:color="000000"/>
              <w:right w:val="single" w:sz="8" w:space="0" w:color="auto"/>
            </w:tcBorders>
            <w:shd w:val="clear" w:color="auto" w:fill="FABF8F"/>
          </w:tcPr>
          <w:p w:rsidR="0034016E" w:rsidRPr="00A75DF9" w:rsidRDefault="0034016E" w:rsidP="00343766">
            <w:pPr>
              <w:keepNext/>
              <w:jc w:val="center"/>
              <w:rPr>
                <w:rFonts w:cs="Tahoma"/>
                <w:b/>
                <w:bCs/>
                <w:szCs w:val="20"/>
              </w:rPr>
            </w:pPr>
            <w:r w:rsidRPr="00A75DF9">
              <w:rPr>
                <w:rFonts w:cs="Tahoma"/>
                <w:b/>
                <w:bCs/>
                <w:szCs w:val="20"/>
              </w:rPr>
              <w:t>Asia, Area del Pacifico</w:t>
            </w:r>
          </w:p>
        </w:tc>
      </w:tr>
      <w:tr w:rsidR="0034016E" w:rsidRPr="00A75DF9" w:rsidTr="00343766">
        <w:tc>
          <w:tcPr>
            <w:tcW w:w="2680" w:type="dxa"/>
            <w:tcBorders>
              <w:top w:val="nil"/>
              <w:left w:val="single" w:sz="8" w:space="0" w:color="000000"/>
              <w:bottom w:val="single" w:sz="4" w:space="0" w:color="000000"/>
              <w:right w:val="single" w:sz="8" w:space="0" w:color="000000"/>
            </w:tcBorders>
            <w:tcMar>
              <w:top w:w="0" w:type="dxa"/>
              <w:left w:w="108" w:type="dxa"/>
              <w:bottom w:w="0" w:type="dxa"/>
              <w:right w:w="108" w:type="dxa"/>
            </w:tcMar>
          </w:tcPr>
          <w:p w:rsidR="0034016E" w:rsidRPr="00A75DF9" w:rsidRDefault="0034016E" w:rsidP="00343766">
            <w:pPr>
              <w:keepNext/>
              <w:jc w:val="center"/>
              <w:rPr>
                <w:rFonts w:cs="Tahoma"/>
                <w:color w:val="000000"/>
                <w:szCs w:val="20"/>
              </w:rPr>
            </w:pPr>
            <w:r w:rsidRPr="00A75DF9">
              <w:rPr>
                <w:rFonts w:cs="Tahoma"/>
              </w:rPr>
              <w:t>Brasile</w:t>
            </w:r>
          </w:p>
        </w:tc>
        <w:tc>
          <w:tcPr>
            <w:tcW w:w="2670" w:type="dxa"/>
            <w:tcBorders>
              <w:top w:val="nil"/>
              <w:left w:val="nil"/>
              <w:bottom w:val="single" w:sz="4" w:space="0" w:color="000000"/>
              <w:right w:val="single" w:sz="4" w:space="0" w:color="auto"/>
            </w:tcBorders>
          </w:tcPr>
          <w:p w:rsidR="0034016E" w:rsidRPr="00A75DF9" w:rsidRDefault="0034016E" w:rsidP="00343766">
            <w:pPr>
              <w:pStyle w:val="ColorfulList-Accent11"/>
              <w:keepNext/>
              <w:spacing w:line="276" w:lineRule="auto"/>
              <w:ind w:left="0"/>
              <w:jc w:val="center"/>
              <w:rPr>
                <w:rFonts w:ascii="Tahoma" w:hAnsi="Tahoma" w:cs="Tahoma"/>
                <w:color w:val="000000"/>
                <w:sz w:val="18"/>
                <w:szCs w:val="18"/>
              </w:rPr>
            </w:pPr>
            <w:r w:rsidRPr="00A75DF9">
              <w:rPr>
                <w:rFonts w:ascii="Tahoma" w:hAnsi="Tahoma" w:cs="Tahoma"/>
                <w:sz w:val="18"/>
                <w:szCs w:val="18"/>
              </w:rPr>
              <w:t>Austria</w:t>
            </w:r>
          </w:p>
        </w:tc>
        <w:tc>
          <w:tcPr>
            <w:tcW w:w="2670" w:type="dxa"/>
            <w:tcBorders>
              <w:top w:val="nil"/>
              <w:left w:val="single" w:sz="4" w:space="0" w:color="auto"/>
              <w:bottom w:val="single" w:sz="4" w:space="0" w:color="000000"/>
              <w:right w:val="single" w:sz="8" w:space="0" w:color="000000"/>
            </w:tcBorders>
          </w:tcPr>
          <w:p w:rsidR="0034016E" w:rsidRPr="00A75DF9" w:rsidRDefault="0034016E" w:rsidP="00343766">
            <w:pPr>
              <w:pStyle w:val="ColorfulList-Accent11"/>
              <w:keepNext/>
              <w:spacing w:line="276" w:lineRule="auto"/>
              <w:ind w:left="0"/>
              <w:jc w:val="center"/>
              <w:rPr>
                <w:rFonts w:ascii="Tahoma" w:hAnsi="Tahoma" w:cs="Tahoma"/>
                <w:color w:val="000000"/>
                <w:sz w:val="18"/>
                <w:szCs w:val="18"/>
              </w:rPr>
            </w:pPr>
            <w:r w:rsidRPr="00A75DF9">
              <w:rPr>
                <w:rFonts w:ascii="Tahoma" w:hAnsi="Tahoma" w:cs="Tahoma"/>
                <w:sz w:val="18"/>
                <w:szCs w:val="18"/>
              </w:rPr>
              <w:t>Australia</w:t>
            </w:r>
          </w:p>
        </w:tc>
      </w:tr>
      <w:tr w:rsidR="0034016E" w:rsidRPr="00A75DF9"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A75DF9" w:rsidRDefault="0034016E" w:rsidP="00343766">
            <w:pPr>
              <w:keepNext/>
              <w:jc w:val="center"/>
              <w:rPr>
                <w:rFonts w:cs="Tahoma"/>
                <w:color w:val="000000"/>
                <w:szCs w:val="20"/>
              </w:rPr>
            </w:pPr>
            <w:r w:rsidRPr="00A75DF9">
              <w:rPr>
                <w:rFonts w:cs="Tahoma"/>
              </w:rPr>
              <w:t>Canada</w:t>
            </w:r>
          </w:p>
        </w:tc>
        <w:tc>
          <w:tcPr>
            <w:tcW w:w="2670" w:type="dxa"/>
            <w:tcBorders>
              <w:top w:val="single" w:sz="4" w:space="0" w:color="000000"/>
              <w:left w:val="nil"/>
              <w:bottom w:val="single" w:sz="4" w:space="0" w:color="000000"/>
              <w:right w:val="single" w:sz="4" w:space="0" w:color="auto"/>
            </w:tcBorders>
          </w:tcPr>
          <w:p w:rsidR="0034016E" w:rsidRPr="00A75DF9" w:rsidRDefault="0034016E" w:rsidP="00343766">
            <w:pPr>
              <w:pStyle w:val="ColorfulList-Accent11"/>
              <w:keepNext/>
              <w:spacing w:line="276" w:lineRule="auto"/>
              <w:ind w:left="0"/>
              <w:jc w:val="center"/>
              <w:rPr>
                <w:rFonts w:ascii="Tahoma" w:hAnsi="Tahoma" w:cs="Tahoma"/>
                <w:color w:val="000000"/>
                <w:sz w:val="18"/>
                <w:szCs w:val="18"/>
              </w:rPr>
            </w:pPr>
            <w:r w:rsidRPr="00A75DF9">
              <w:rPr>
                <w:rFonts w:ascii="Tahoma" w:hAnsi="Tahoma" w:cs="Tahoma"/>
                <w:sz w:val="18"/>
                <w:szCs w:val="18"/>
              </w:rPr>
              <w:t>Belgio</w:t>
            </w:r>
          </w:p>
        </w:tc>
        <w:tc>
          <w:tcPr>
            <w:tcW w:w="2670" w:type="dxa"/>
            <w:tcBorders>
              <w:top w:val="single" w:sz="4" w:space="0" w:color="000000"/>
              <w:left w:val="single" w:sz="4" w:space="0" w:color="auto"/>
              <w:bottom w:val="single" w:sz="4" w:space="0" w:color="000000"/>
              <w:right w:val="single" w:sz="4" w:space="0" w:color="000000"/>
            </w:tcBorders>
          </w:tcPr>
          <w:p w:rsidR="0034016E" w:rsidRPr="00A75DF9" w:rsidRDefault="0034016E" w:rsidP="00343766">
            <w:pPr>
              <w:pStyle w:val="ColorfulList-Accent11"/>
              <w:keepNext/>
              <w:spacing w:line="276" w:lineRule="auto"/>
              <w:ind w:left="0"/>
              <w:jc w:val="center"/>
              <w:rPr>
                <w:rFonts w:ascii="Tahoma" w:hAnsi="Tahoma" w:cs="Tahoma"/>
                <w:color w:val="000000"/>
                <w:sz w:val="18"/>
                <w:szCs w:val="18"/>
              </w:rPr>
            </w:pPr>
            <w:r w:rsidRPr="00A75DF9">
              <w:rPr>
                <w:rFonts w:ascii="Tahoma" w:hAnsi="Tahoma" w:cs="Tahoma"/>
                <w:sz w:val="18"/>
                <w:szCs w:val="18"/>
              </w:rPr>
              <w:t>Hong Kong</w:t>
            </w:r>
          </w:p>
        </w:tc>
      </w:tr>
      <w:tr w:rsidR="0034016E" w:rsidRPr="00A75DF9"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A75DF9" w:rsidRDefault="0034016E" w:rsidP="00343766">
            <w:pPr>
              <w:keepNext/>
              <w:jc w:val="center"/>
              <w:rPr>
                <w:rFonts w:cs="Tahoma"/>
                <w:color w:val="000000"/>
                <w:szCs w:val="20"/>
              </w:rPr>
            </w:pPr>
            <w:r w:rsidRPr="00A75DF9">
              <w:rPr>
                <w:rFonts w:cs="Tahoma"/>
              </w:rPr>
              <w:t>Colombia</w:t>
            </w:r>
          </w:p>
        </w:tc>
        <w:tc>
          <w:tcPr>
            <w:tcW w:w="2670" w:type="dxa"/>
            <w:tcBorders>
              <w:top w:val="single" w:sz="4" w:space="0" w:color="000000"/>
              <w:left w:val="nil"/>
              <w:bottom w:val="single" w:sz="4" w:space="0" w:color="000000"/>
              <w:right w:val="single" w:sz="4" w:space="0" w:color="auto"/>
            </w:tcBorders>
          </w:tcPr>
          <w:p w:rsidR="0034016E" w:rsidRPr="00A75DF9" w:rsidRDefault="0034016E" w:rsidP="00343766">
            <w:pPr>
              <w:pStyle w:val="ColorfulList-Accent11"/>
              <w:keepNext/>
              <w:spacing w:line="276" w:lineRule="auto"/>
              <w:ind w:left="0"/>
              <w:jc w:val="center"/>
              <w:rPr>
                <w:rFonts w:ascii="Tahoma" w:hAnsi="Tahoma" w:cs="Tahoma"/>
                <w:color w:val="000000"/>
                <w:sz w:val="18"/>
                <w:szCs w:val="18"/>
              </w:rPr>
            </w:pPr>
            <w:r w:rsidRPr="00A75DF9">
              <w:rPr>
                <w:rFonts w:ascii="Tahoma" w:hAnsi="Tahoma" w:cs="Tahoma"/>
                <w:sz w:val="18"/>
                <w:szCs w:val="18"/>
              </w:rPr>
              <w:t>Cipro</w:t>
            </w:r>
          </w:p>
        </w:tc>
        <w:tc>
          <w:tcPr>
            <w:tcW w:w="2670" w:type="dxa"/>
            <w:tcBorders>
              <w:top w:val="single" w:sz="4" w:space="0" w:color="000000"/>
              <w:left w:val="single" w:sz="4" w:space="0" w:color="auto"/>
              <w:bottom w:val="single" w:sz="4" w:space="0" w:color="000000"/>
              <w:right w:val="single" w:sz="4" w:space="0" w:color="000000"/>
            </w:tcBorders>
          </w:tcPr>
          <w:p w:rsidR="0034016E" w:rsidRPr="00A75DF9" w:rsidRDefault="0034016E" w:rsidP="00343766">
            <w:pPr>
              <w:pStyle w:val="ColorfulList-Accent11"/>
              <w:keepNext/>
              <w:spacing w:line="276" w:lineRule="auto"/>
              <w:ind w:left="0"/>
              <w:jc w:val="center"/>
              <w:rPr>
                <w:rFonts w:ascii="Tahoma" w:hAnsi="Tahoma" w:cs="Tahoma"/>
                <w:color w:val="000000"/>
                <w:sz w:val="18"/>
                <w:szCs w:val="18"/>
              </w:rPr>
            </w:pPr>
            <w:r w:rsidRPr="00A75DF9">
              <w:rPr>
                <w:rFonts w:ascii="Tahoma" w:hAnsi="Tahoma" w:cs="Tahoma"/>
                <w:sz w:val="18"/>
                <w:szCs w:val="18"/>
              </w:rPr>
              <w:t>India</w:t>
            </w:r>
          </w:p>
        </w:tc>
      </w:tr>
      <w:tr w:rsidR="0034016E" w:rsidRPr="00A75DF9"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A75DF9" w:rsidRDefault="0034016E" w:rsidP="00343766">
            <w:pPr>
              <w:keepNext/>
              <w:jc w:val="center"/>
              <w:rPr>
                <w:rFonts w:cs="Tahoma"/>
              </w:rPr>
            </w:pPr>
            <w:r w:rsidRPr="00A75DF9">
              <w:rPr>
                <w:rFonts w:cs="Tahoma"/>
              </w:rPr>
              <w:t>Costa Rica</w:t>
            </w:r>
          </w:p>
        </w:tc>
        <w:tc>
          <w:tcPr>
            <w:tcW w:w="2670" w:type="dxa"/>
            <w:tcBorders>
              <w:top w:val="single" w:sz="4" w:space="0" w:color="000000"/>
              <w:left w:val="nil"/>
              <w:bottom w:val="single" w:sz="4" w:space="0" w:color="000000"/>
              <w:right w:val="single" w:sz="4" w:space="0" w:color="auto"/>
            </w:tcBorders>
          </w:tcPr>
          <w:p w:rsidR="0034016E" w:rsidRPr="00A75DF9" w:rsidRDefault="0034016E" w:rsidP="00343766">
            <w:pPr>
              <w:pStyle w:val="ColorfulList-Accent11"/>
              <w:keepNext/>
              <w:spacing w:line="276" w:lineRule="auto"/>
              <w:ind w:left="0"/>
              <w:jc w:val="center"/>
              <w:rPr>
                <w:rFonts w:ascii="Tahoma" w:hAnsi="Tahoma" w:cs="Tahoma"/>
                <w:color w:val="000000"/>
                <w:sz w:val="18"/>
                <w:szCs w:val="18"/>
              </w:rPr>
            </w:pPr>
            <w:r w:rsidRPr="00A75DF9">
              <w:rPr>
                <w:rFonts w:ascii="Tahoma" w:hAnsi="Tahoma" w:cs="Tahoma"/>
                <w:sz w:val="18"/>
                <w:szCs w:val="18"/>
              </w:rPr>
              <w:t>Repubblica Ceca</w:t>
            </w:r>
          </w:p>
        </w:tc>
        <w:tc>
          <w:tcPr>
            <w:tcW w:w="2670" w:type="dxa"/>
            <w:tcBorders>
              <w:top w:val="single" w:sz="4" w:space="0" w:color="000000"/>
              <w:left w:val="single" w:sz="4" w:space="0" w:color="auto"/>
              <w:bottom w:val="single" w:sz="4" w:space="0" w:color="000000"/>
              <w:right w:val="single" w:sz="4" w:space="0" w:color="000000"/>
            </w:tcBorders>
          </w:tcPr>
          <w:p w:rsidR="0034016E" w:rsidRPr="00A75DF9" w:rsidRDefault="0034016E" w:rsidP="00343766">
            <w:pPr>
              <w:pStyle w:val="ColorfulList-Accent11"/>
              <w:keepNext/>
              <w:spacing w:line="276" w:lineRule="auto"/>
              <w:ind w:left="0"/>
              <w:jc w:val="center"/>
              <w:rPr>
                <w:rFonts w:ascii="Tahoma" w:hAnsi="Tahoma" w:cs="Tahoma"/>
                <w:color w:val="000000"/>
                <w:sz w:val="18"/>
                <w:szCs w:val="18"/>
              </w:rPr>
            </w:pPr>
            <w:r w:rsidRPr="00A75DF9">
              <w:rPr>
                <w:rFonts w:ascii="Tahoma" w:hAnsi="Tahoma" w:cs="Tahoma"/>
                <w:sz w:val="18"/>
                <w:szCs w:val="18"/>
              </w:rPr>
              <w:t>Giappone</w:t>
            </w:r>
          </w:p>
        </w:tc>
      </w:tr>
      <w:tr w:rsidR="0034016E" w:rsidRPr="00A75DF9"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A75DF9" w:rsidRDefault="0034016E" w:rsidP="00343766">
            <w:pPr>
              <w:keepNext/>
              <w:jc w:val="center"/>
              <w:rPr>
                <w:rFonts w:cs="Tahoma"/>
              </w:rPr>
            </w:pPr>
            <w:r w:rsidRPr="00A75DF9">
              <w:rPr>
                <w:rFonts w:cs="Tahoma"/>
              </w:rPr>
              <w:t>Cile</w:t>
            </w:r>
          </w:p>
        </w:tc>
        <w:tc>
          <w:tcPr>
            <w:tcW w:w="2670" w:type="dxa"/>
            <w:tcBorders>
              <w:top w:val="single" w:sz="4" w:space="0" w:color="000000"/>
              <w:left w:val="nil"/>
              <w:bottom w:val="single" w:sz="4" w:space="0" w:color="000000"/>
              <w:right w:val="single" w:sz="4" w:space="0" w:color="auto"/>
            </w:tcBorders>
          </w:tcPr>
          <w:p w:rsidR="0034016E" w:rsidRPr="00A75DF9" w:rsidRDefault="0034016E" w:rsidP="00343766">
            <w:pPr>
              <w:pStyle w:val="ColorfulList-Accent11"/>
              <w:keepNext/>
              <w:spacing w:line="276" w:lineRule="auto"/>
              <w:ind w:left="0"/>
              <w:jc w:val="center"/>
              <w:rPr>
                <w:rFonts w:ascii="Tahoma" w:hAnsi="Tahoma" w:cs="Tahoma"/>
                <w:color w:val="000000"/>
                <w:sz w:val="18"/>
                <w:szCs w:val="18"/>
              </w:rPr>
            </w:pPr>
            <w:r w:rsidRPr="00A75DF9">
              <w:rPr>
                <w:rFonts w:ascii="Tahoma" w:hAnsi="Tahoma" w:cs="Tahoma"/>
                <w:sz w:val="18"/>
                <w:szCs w:val="18"/>
              </w:rPr>
              <w:t>Danimarca</w:t>
            </w:r>
          </w:p>
        </w:tc>
        <w:tc>
          <w:tcPr>
            <w:tcW w:w="2670" w:type="dxa"/>
            <w:tcBorders>
              <w:top w:val="single" w:sz="4" w:space="0" w:color="000000"/>
              <w:left w:val="single" w:sz="4" w:space="0" w:color="auto"/>
              <w:bottom w:val="single" w:sz="4" w:space="0" w:color="000000"/>
              <w:right w:val="single" w:sz="4" w:space="0" w:color="000000"/>
            </w:tcBorders>
          </w:tcPr>
          <w:p w:rsidR="0034016E" w:rsidRPr="00A75DF9" w:rsidRDefault="0034016E" w:rsidP="00343766">
            <w:pPr>
              <w:pStyle w:val="ColorfulList-Accent11"/>
              <w:keepNext/>
              <w:spacing w:line="276" w:lineRule="auto"/>
              <w:ind w:left="0"/>
              <w:jc w:val="center"/>
              <w:rPr>
                <w:rFonts w:ascii="Tahoma" w:hAnsi="Tahoma" w:cs="Tahoma"/>
                <w:color w:val="000000"/>
                <w:sz w:val="18"/>
                <w:szCs w:val="18"/>
              </w:rPr>
            </w:pPr>
            <w:r w:rsidRPr="00A75DF9">
              <w:rPr>
                <w:rFonts w:ascii="Tahoma" w:hAnsi="Tahoma" w:cs="Tahoma"/>
                <w:sz w:val="18"/>
                <w:szCs w:val="18"/>
              </w:rPr>
              <w:t>Corea</w:t>
            </w:r>
          </w:p>
        </w:tc>
      </w:tr>
      <w:tr w:rsidR="0034016E" w:rsidRPr="00A75DF9"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A75DF9" w:rsidRDefault="0034016E" w:rsidP="00343766">
            <w:pPr>
              <w:keepNext/>
              <w:jc w:val="center"/>
              <w:rPr>
                <w:rFonts w:cs="Tahoma"/>
              </w:rPr>
            </w:pPr>
            <w:r w:rsidRPr="00A75DF9">
              <w:rPr>
                <w:rFonts w:cs="Tahoma"/>
              </w:rPr>
              <w:t>Messico</w:t>
            </w:r>
          </w:p>
        </w:tc>
        <w:tc>
          <w:tcPr>
            <w:tcW w:w="2670" w:type="dxa"/>
            <w:tcBorders>
              <w:top w:val="single" w:sz="4" w:space="0" w:color="000000"/>
              <w:left w:val="nil"/>
              <w:bottom w:val="single" w:sz="4" w:space="0" w:color="000000"/>
              <w:right w:val="single" w:sz="4" w:space="0" w:color="auto"/>
            </w:tcBorders>
          </w:tcPr>
          <w:p w:rsidR="0034016E" w:rsidRPr="00A75DF9" w:rsidRDefault="0034016E" w:rsidP="00343766">
            <w:pPr>
              <w:pStyle w:val="ColorfulList-Accent11"/>
              <w:keepNext/>
              <w:spacing w:line="276" w:lineRule="auto"/>
              <w:ind w:left="0"/>
              <w:jc w:val="center"/>
              <w:rPr>
                <w:rFonts w:ascii="Tahoma" w:hAnsi="Tahoma" w:cs="Tahoma"/>
                <w:color w:val="000000"/>
                <w:sz w:val="18"/>
                <w:szCs w:val="18"/>
              </w:rPr>
            </w:pPr>
            <w:r w:rsidRPr="00A75DF9">
              <w:rPr>
                <w:rFonts w:ascii="Tahoma" w:hAnsi="Tahoma" w:cs="Tahoma"/>
                <w:sz w:val="18"/>
                <w:szCs w:val="18"/>
              </w:rPr>
              <w:t>Finlandia</w:t>
            </w:r>
          </w:p>
        </w:tc>
        <w:tc>
          <w:tcPr>
            <w:tcW w:w="2670" w:type="dxa"/>
            <w:tcBorders>
              <w:top w:val="single" w:sz="4" w:space="0" w:color="000000"/>
              <w:left w:val="single" w:sz="4" w:space="0" w:color="auto"/>
              <w:bottom w:val="single" w:sz="4" w:space="0" w:color="000000"/>
              <w:right w:val="single" w:sz="4" w:space="0" w:color="000000"/>
            </w:tcBorders>
          </w:tcPr>
          <w:p w:rsidR="0034016E" w:rsidRPr="00A75DF9" w:rsidRDefault="0034016E" w:rsidP="00343766">
            <w:pPr>
              <w:pStyle w:val="ColorfulList-Accent11"/>
              <w:keepNext/>
              <w:spacing w:line="276" w:lineRule="auto"/>
              <w:ind w:left="0"/>
              <w:jc w:val="center"/>
              <w:rPr>
                <w:rFonts w:ascii="Tahoma" w:hAnsi="Tahoma" w:cs="Tahoma"/>
                <w:color w:val="000000"/>
                <w:sz w:val="18"/>
                <w:szCs w:val="18"/>
              </w:rPr>
            </w:pPr>
            <w:r w:rsidRPr="00A75DF9">
              <w:rPr>
                <w:rFonts w:ascii="Tahoma" w:hAnsi="Tahoma" w:cs="Tahoma"/>
                <w:sz w:val="18"/>
                <w:szCs w:val="18"/>
              </w:rPr>
              <w:t>Malaysia</w:t>
            </w:r>
          </w:p>
        </w:tc>
      </w:tr>
      <w:tr w:rsidR="0034016E" w:rsidRPr="00A75DF9"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A75DF9" w:rsidRDefault="0034016E" w:rsidP="00343766">
            <w:pPr>
              <w:keepNext/>
              <w:jc w:val="center"/>
              <w:rPr>
                <w:rFonts w:cs="Tahoma"/>
              </w:rPr>
            </w:pPr>
            <w:r w:rsidRPr="00A75DF9">
              <w:rPr>
                <w:rFonts w:cs="Tahoma"/>
              </w:rPr>
              <w:t>Perù</w:t>
            </w:r>
          </w:p>
        </w:tc>
        <w:tc>
          <w:tcPr>
            <w:tcW w:w="2670" w:type="dxa"/>
            <w:tcBorders>
              <w:top w:val="single" w:sz="4" w:space="0" w:color="000000"/>
              <w:left w:val="nil"/>
              <w:bottom w:val="single" w:sz="4" w:space="0" w:color="000000"/>
              <w:right w:val="single" w:sz="4" w:space="0" w:color="auto"/>
            </w:tcBorders>
          </w:tcPr>
          <w:p w:rsidR="0034016E" w:rsidRPr="00A75DF9" w:rsidRDefault="0034016E" w:rsidP="00343766">
            <w:pPr>
              <w:pStyle w:val="ColorfulList-Accent11"/>
              <w:keepNext/>
              <w:spacing w:line="276" w:lineRule="auto"/>
              <w:ind w:left="0"/>
              <w:jc w:val="center"/>
              <w:rPr>
                <w:rFonts w:ascii="Tahoma" w:hAnsi="Tahoma" w:cs="Tahoma"/>
                <w:color w:val="000000"/>
                <w:sz w:val="18"/>
                <w:szCs w:val="18"/>
              </w:rPr>
            </w:pPr>
            <w:r w:rsidRPr="00A75DF9">
              <w:rPr>
                <w:rFonts w:ascii="Tahoma" w:hAnsi="Tahoma" w:cs="Tahoma"/>
                <w:sz w:val="18"/>
                <w:szCs w:val="18"/>
              </w:rPr>
              <w:t>Francia</w:t>
            </w:r>
          </w:p>
        </w:tc>
        <w:tc>
          <w:tcPr>
            <w:tcW w:w="2670" w:type="dxa"/>
            <w:tcBorders>
              <w:top w:val="single" w:sz="4" w:space="0" w:color="000000"/>
              <w:left w:val="single" w:sz="4" w:space="0" w:color="auto"/>
              <w:bottom w:val="single" w:sz="4" w:space="0" w:color="000000"/>
              <w:right w:val="single" w:sz="4" w:space="0" w:color="000000"/>
            </w:tcBorders>
          </w:tcPr>
          <w:p w:rsidR="0034016E" w:rsidRPr="00A75DF9" w:rsidRDefault="0034016E" w:rsidP="00343766">
            <w:pPr>
              <w:pStyle w:val="ColorfulList-Accent11"/>
              <w:keepNext/>
              <w:spacing w:line="276" w:lineRule="auto"/>
              <w:ind w:left="0"/>
              <w:jc w:val="center"/>
              <w:rPr>
                <w:rFonts w:ascii="Tahoma" w:hAnsi="Tahoma" w:cs="Tahoma"/>
                <w:color w:val="000000"/>
                <w:sz w:val="18"/>
                <w:szCs w:val="18"/>
              </w:rPr>
            </w:pPr>
            <w:r w:rsidRPr="00A75DF9">
              <w:rPr>
                <w:rFonts w:ascii="Tahoma" w:hAnsi="Tahoma" w:cs="Tahoma"/>
                <w:sz w:val="18"/>
                <w:szCs w:val="18"/>
              </w:rPr>
              <w:t>Nuova Zelanda</w:t>
            </w:r>
          </w:p>
        </w:tc>
      </w:tr>
      <w:tr w:rsidR="0034016E" w:rsidRPr="00A75DF9"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A75DF9" w:rsidRDefault="0034016E" w:rsidP="00343766">
            <w:pPr>
              <w:keepNext/>
              <w:jc w:val="center"/>
              <w:rPr>
                <w:rFonts w:cs="Tahoma"/>
              </w:rPr>
            </w:pPr>
            <w:r w:rsidRPr="00A75DF9">
              <w:rPr>
                <w:rFonts w:cs="Tahoma"/>
              </w:rPr>
              <w:t>Portorico</w:t>
            </w:r>
          </w:p>
        </w:tc>
        <w:tc>
          <w:tcPr>
            <w:tcW w:w="2670" w:type="dxa"/>
            <w:tcBorders>
              <w:top w:val="single" w:sz="4" w:space="0" w:color="000000"/>
              <w:left w:val="nil"/>
              <w:bottom w:val="single" w:sz="4" w:space="0" w:color="000000"/>
              <w:right w:val="single" w:sz="4" w:space="0" w:color="auto"/>
            </w:tcBorders>
          </w:tcPr>
          <w:p w:rsidR="0034016E" w:rsidRPr="00A75DF9" w:rsidRDefault="0034016E" w:rsidP="00343766">
            <w:pPr>
              <w:pStyle w:val="ColorfulList-Accent11"/>
              <w:keepNext/>
              <w:spacing w:line="276" w:lineRule="auto"/>
              <w:ind w:left="0"/>
              <w:jc w:val="center"/>
              <w:rPr>
                <w:rFonts w:ascii="Tahoma" w:hAnsi="Tahoma" w:cs="Tahoma"/>
                <w:color w:val="000000"/>
                <w:sz w:val="18"/>
                <w:szCs w:val="18"/>
              </w:rPr>
            </w:pPr>
            <w:r w:rsidRPr="00A75DF9">
              <w:rPr>
                <w:rFonts w:ascii="Tahoma" w:hAnsi="Tahoma" w:cs="Tahoma"/>
                <w:sz w:val="18"/>
                <w:szCs w:val="18"/>
              </w:rPr>
              <w:t>Germania</w:t>
            </w:r>
          </w:p>
        </w:tc>
        <w:tc>
          <w:tcPr>
            <w:tcW w:w="2670" w:type="dxa"/>
            <w:tcBorders>
              <w:top w:val="single" w:sz="4" w:space="0" w:color="000000"/>
              <w:left w:val="single" w:sz="4" w:space="0" w:color="auto"/>
              <w:bottom w:val="single" w:sz="4" w:space="0" w:color="000000"/>
              <w:right w:val="single" w:sz="4" w:space="0" w:color="000000"/>
            </w:tcBorders>
          </w:tcPr>
          <w:p w:rsidR="0034016E" w:rsidRPr="00A75DF9" w:rsidRDefault="0034016E" w:rsidP="00343766">
            <w:pPr>
              <w:pStyle w:val="ColorfulList-Accent11"/>
              <w:keepNext/>
              <w:spacing w:line="276" w:lineRule="auto"/>
              <w:ind w:left="540"/>
              <w:jc w:val="center"/>
              <w:rPr>
                <w:rFonts w:ascii="Tahoma" w:hAnsi="Tahoma" w:cs="Tahoma"/>
                <w:color w:val="000000"/>
                <w:sz w:val="18"/>
                <w:szCs w:val="20"/>
              </w:rPr>
            </w:pPr>
            <w:r w:rsidRPr="00A75DF9">
              <w:rPr>
                <w:rFonts w:ascii="Tahoma" w:hAnsi="Tahoma" w:cs="Tahoma"/>
                <w:color w:val="000000"/>
                <w:sz w:val="18"/>
                <w:szCs w:val="20"/>
              </w:rPr>
              <w:t>Singapore</w:t>
            </w:r>
          </w:p>
        </w:tc>
      </w:tr>
      <w:tr w:rsidR="0034016E" w:rsidRPr="00A75DF9"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A75DF9" w:rsidRDefault="0034016E" w:rsidP="00343766">
            <w:pPr>
              <w:keepNext/>
              <w:jc w:val="center"/>
              <w:rPr>
                <w:rFonts w:cs="Tahoma"/>
              </w:rPr>
            </w:pPr>
            <w:r w:rsidRPr="00A75DF9">
              <w:rPr>
                <w:rFonts w:cs="Tahoma"/>
              </w:rPr>
              <w:t>Trinidad e Tobago</w:t>
            </w:r>
          </w:p>
        </w:tc>
        <w:tc>
          <w:tcPr>
            <w:tcW w:w="2670" w:type="dxa"/>
            <w:tcBorders>
              <w:top w:val="single" w:sz="4" w:space="0" w:color="000000"/>
              <w:left w:val="nil"/>
              <w:bottom w:val="single" w:sz="4" w:space="0" w:color="000000"/>
              <w:right w:val="single" w:sz="4" w:space="0" w:color="auto"/>
            </w:tcBorders>
          </w:tcPr>
          <w:p w:rsidR="0034016E" w:rsidRPr="00A75DF9" w:rsidRDefault="0034016E" w:rsidP="00343766">
            <w:pPr>
              <w:pStyle w:val="ColorfulList-Accent11"/>
              <w:keepNext/>
              <w:spacing w:line="276" w:lineRule="auto"/>
              <w:ind w:left="0"/>
              <w:jc w:val="center"/>
              <w:rPr>
                <w:rFonts w:ascii="Tahoma" w:hAnsi="Tahoma" w:cs="Tahoma"/>
                <w:color w:val="000000"/>
                <w:sz w:val="18"/>
                <w:szCs w:val="18"/>
              </w:rPr>
            </w:pPr>
            <w:r w:rsidRPr="00A75DF9">
              <w:rPr>
                <w:rFonts w:ascii="Tahoma" w:hAnsi="Tahoma" w:cs="Tahoma"/>
                <w:sz w:val="18"/>
                <w:szCs w:val="18"/>
              </w:rPr>
              <w:t>Grecia</w:t>
            </w:r>
          </w:p>
        </w:tc>
        <w:tc>
          <w:tcPr>
            <w:tcW w:w="2670" w:type="dxa"/>
            <w:tcBorders>
              <w:top w:val="single" w:sz="4" w:space="0" w:color="000000"/>
              <w:left w:val="single" w:sz="4" w:space="0" w:color="auto"/>
              <w:bottom w:val="single" w:sz="4" w:space="0" w:color="000000"/>
              <w:right w:val="single" w:sz="4" w:space="0" w:color="000000"/>
            </w:tcBorders>
          </w:tcPr>
          <w:p w:rsidR="0034016E" w:rsidRPr="00A75DF9"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A75DF9"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A75DF9" w:rsidRDefault="0034016E" w:rsidP="00343766">
            <w:pPr>
              <w:keepNext/>
              <w:jc w:val="center"/>
              <w:rPr>
                <w:rFonts w:cs="Tahoma"/>
              </w:rPr>
            </w:pPr>
            <w:r w:rsidRPr="00A75DF9">
              <w:rPr>
                <w:rFonts w:cs="Tahoma"/>
              </w:rPr>
              <w:t>Stati Uniti</w:t>
            </w:r>
          </w:p>
        </w:tc>
        <w:tc>
          <w:tcPr>
            <w:tcW w:w="2670" w:type="dxa"/>
            <w:tcBorders>
              <w:top w:val="single" w:sz="4" w:space="0" w:color="000000"/>
              <w:left w:val="nil"/>
              <w:bottom w:val="single" w:sz="4" w:space="0" w:color="000000"/>
              <w:right w:val="single" w:sz="4" w:space="0" w:color="auto"/>
            </w:tcBorders>
          </w:tcPr>
          <w:p w:rsidR="0034016E" w:rsidRPr="00A75DF9" w:rsidRDefault="0034016E" w:rsidP="00343766">
            <w:pPr>
              <w:pStyle w:val="ColorfulList-Accent11"/>
              <w:keepNext/>
              <w:spacing w:line="276" w:lineRule="auto"/>
              <w:ind w:left="0"/>
              <w:jc w:val="center"/>
              <w:rPr>
                <w:rFonts w:ascii="Tahoma" w:hAnsi="Tahoma" w:cs="Tahoma"/>
                <w:color w:val="000000"/>
                <w:sz w:val="18"/>
                <w:szCs w:val="18"/>
              </w:rPr>
            </w:pPr>
            <w:r w:rsidRPr="00A75DF9">
              <w:rPr>
                <w:rFonts w:ascii="Tahoma" w:hAnsi="Tahoma" w:cs="Tahoma"/>
                <w:sz w:val="18"/>
                <w:szCs w:val="18"/>
              </w:rPr>
              <w:t>Ungheria</w:t>
            </w:r>
          </w:p>
        </w:tc>
        <w:tc>
          <w:tcPr>
            <w:tcW w:w="2670" w:type="dxa"/>
            <w:tcBorders>
              <w:top w:val="single" w:sz="4" w:space="0" w:color="000000"/>
              <w:left w:val="single" w:sz="4" w:space="0" w:color="auto"/>
              <w:bottom w:val="single" w:sz="4" w:space="0" w:color="000000"/>
              <w:right w:val="single" w:sz="4" w:space="0" w:color="000000"/>
            </w:tcBorders>
          </w:tcPr>
          <w:p w:rsidR="0034016E" w:rsidRPr="00A75DF9"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A75DF9"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A75DF9" w:rsidRDefault="0034016E" w:rsidP="00343766">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34016E" w:rsidRPr="00A75DF9" w:rsidRDefault="0034016E" w:rsidP="00343766">
            <w:pPr>
              <w:pStyle w:val="ColorfulList-Accent11"/>
              <w:keepNext/>
              <w:spacing w:line="276" w:lineRule="auto"/>
              <w:ind w:left="0"/>
              <w:jc w:val="center"/>
              <w:rPr>
                <w:rFonts w:ascii="Tahoma" w:hAnsi="Tahoma" w:cs="Tahoma"/>
                <w:sz w:val="18"/>
                <w:szCs w:val="18"/>
              </w:rPr>
            </w:pPr>
            <w:r w:rsidRPr="00A75DF9">
              <w:rPr>
                <w:rFonts w:ascii="Tahoma" w:hAnsi="Tahoma" w:cs="Tahoma"/>
                <w:sz w:val="18"/>
                <w:szCs w:val="18"/>
              </w:rPr>
              <w:t>Irlanda</w:t>
            </w:r>
          </w:p>
        </w:tc>
        <w:tc>
          <w:tcPr>
            <w:tcW w:w="2670" w:type="dxa"/>
            <w:tcBorders>
              <w:top w:val="single" w:sz="4" w:space="0" w:color="000000"/>
              <w:left w:val="single" w:sz="4" w:space="0" w:color="auto"/>
              <w:bottom w:val="single" w:sz="4" w:space="0" w:color="000000"/>
              <w:right w:val="single" w:sz="4" w:space="0" w:color="000000"/>
            </w:tcBorders>
          </w:tcPr>
          <w:p w:rsidR="0034016E" w:rsidRPr="00A75DF9"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A75DF9"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A75DF9" w:rsidRDefault="0034016E" w:rsidP="00343766">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34016E" w:rsidRPr="00A75DF9" w:rsidRDefault="0034016E" w:rsidP="00343766">
            <w:pPr>
              <w:pStyle w:val="ColorfulList-Accent11"/>
              <w:keepNext/>
              <w:spacing w:line="276" w:lineRule="auto"/>
              <w:ind w:left="0"/>
              <w:jc w:val="center"/>
              <w:rPr>
                <w:rFonts w:ascii="Tahoma" w:hAnsi="Tahoma" w:cs="Tahoma"/>
                <w:sz w:val="18"/>
                <w:szCs w:val="18"/>
              </w:rPr>
            </w:pPr>
            <w:r w:rsidRPr="00A75DF9">
              <w:rPr>
                <w:rFonts w:ascii="Tahoma" w:hAnsi="Tahoma" w:cs="Tahoma"/>
                <w:sz w:val="18"/>
                <w:szCs w:val="18"/>
              </w:rPr>
              <w:t>Israele</w:t>
            </w:r>
          </w:p>
        </w:tc>
        <w:tc>
          <w:tcPr>
            <w:tcW w:w="2670" w:type="dxa"/>
            <w:tcBorders>
              <w:top w:val="single" w:sz="4" w:space="0" w:color="000000"/>
              <w:left w:val="single" w:sz="4" w:space="0" w:color="auto"/>
              <w:bottom w:val="single" w:sz="4" w:space="0" w:color="000000"/>
              <w:right w:val="single" w:sz="4" w:space="0" w:color="000000"/>
            </w:tcBorders>
          </w:tcPr>
          <w:p w:rsidR="0034016E" w:rsidRPr="00A75DF9"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A75DF9"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A75DF9" w:rsidRDefault="0034016E" w:rsidP="00343766">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34016E" w:rsidRPr="00A75DF9" w:rsidRDefault="0034016E" w:rsidP="00343766">
            <w:pPr>
              <w:pStyle w:val="ColorfulList-Accent11"/>
              <w:keepNext/>
              <w:spacing w:line="276" w:lineRule="auto"/>
              <w:ind w:left="0"/>
              <w:jc w:val="center"/>
              <w:rPr>
                <w:rFonts w:ascii="Tahoma" w:hAnsi="Tahoma" w:cs="Tahoma"/>
                <w:sz w:val="18"/>
                <w:szCs w:val="18"/>
              </w:rPr>
            </w:pPr>
            <w:r w:rsidRPr="00A75DF9">
              <w:rPr>
                <w:rFonts w:ascii="Tahoma" w:hAnsi="Tahoma" w:cs="Tahoma"/>
                <w:sz w:val="18"/>
                <w:szCs w:val="18"/>
              </w:rPr>
              <w:t>Italia</w:t>
            </w:r>
          </w:p>
        </w:tc>
        <w:tc>
          <w:tcPr>
            <w:tcW w:w="2670" w:type="dxa"/>
            <w:tcBorders>
              <w:top w:val="single" w:sz="4" w:space="0" w:color="000000"/>
              <w:left w:val="single" w:sz="4" w:space="0" w:color="auto"/>
              <w:bottom w:val="single" w:sz="4" w:space="0" w:color="000000"/>
              <w:right w:val="single" w:sz="4" w:space="0" w:color="000000"/>
            </w:tcBorders>
          </w:tcPr>
          <w:p w:rsidR="0034016E" w:rsidRPr="00A75DF9"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A75DF9"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A75DF9" w:rsidRDefault="0034016E" w:rsidP="00343766">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34016E" w:rsidRPr="00A75DF9" w:rsidRDefault="0034016E" w:rsidP="00343766">
            <w:pPr>
              <w:pStyle w:val="ColorfulList-Accent11"/>
              <w:keepNext/>
              <w:spacing w:line="276" w:lineRule="auto"/>
              <w:ind w:left="0"/>
              <w:jc w:val="center"/>
              <w:rPr>
                <w:rFonts w:ascii="Tahoma" w:hAnsi="Tahoma" w:cs="Tahoma"/>
                <w:sz w:val="18"/>
                <w:szCs w:val="18"/>
              </w:rPr>
            </w:pPr>
            <w:r w:rsidRPr="00A75DF9">
              <w:rPr>
                <w:rFonts w:ascii="Tahoma" w:hAnsi="Tahoma" w:cs="Tahoma"/>
                <w:sz w:val="18"/>
                <w:szCs w:val="18"/>
              </w:rPr>
              <w:t>Lussemburgo</w:t>
            </w:r>
          </w:p>
        </w:tc>
        <w:tc>
          <w:tcPr>
            <w:tcW w:w="2670" w:type="dxa"/>
            <w:tcBorders>
              <w:top w:val="single" w:sz="4" w:space="0" w:color="000000"/>
              <w:left w:val="single" w:sz="4" w:space="0" w:color="auto"/>
              <w:bottom w:val="single" w:sz="4" w:space="0" w:color="000000"/>
              <w:right w:val="single" w:sz="4" w:space="0" w:color="000000"/>
            </w:tcBorders>
          </w:tcPr>
          <w:p w:rsidR="0034016E" w:rsidRPr="00A75DF9"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A75DF9"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A75DF9" w:rsidRDefault="0034016E" w:rsidP="00343766">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34016E" w:rsidRPr="00A75DF9" w:rsidRDefault="0034016E" w:rsidP="00343766">
            <w:pPr>
              <w:pStyle w:val="ColorfulList-Accent11"/>
              <w:keepNext/>
              <w:spacing w:line="276" w:lineRule="auto"/>
              <w:ind w:left="0"/>
              <w:jc w:val="center"/>
              <w:rPr>
                <w:rFonts w:ascii="Tahoma" w:hAnsi="Tahoma" w:cs="Tahoma"/>
                <w:sz w:val="18"/>
                <w:szCs w:val="18"/>
              </w:rPr>
            </w:pPr>
            <w:r w:rsidRPr="00A75DF9">
              <w:rPr>
                <w:rFonts w:ascii="Tahoma" w:hAnsi="Tahoma" w:cs="Tahoma"/>
                <w:sz w:val="18"/>
                <w:szCs w:val="18"/>
              </w:rPr>
              <w:t>Paesi Bassi</w:t>
            </w:r>
          </w:p>
        </w:tc>
        <w:tc>
          <w:tcPr>
            <w:tcW w:w="2670" w:type="dxa"/>
            <w:tcBorders>
              <w:top w:val="single" w:sz="4" w:space="0" w:color="000000"/>
              <w:left w:val="single" w:sz="4" w:space="0" w:color="auto"/>
              <w:bottom w:val="single" w:sz="4" w:space="0" w:color="000000"/>
              <w:right w:val="single" w:sz="4" w:space="0" w:color="000000"/>
            </w:tcBorders>
          </w:tcPr>
          <w:p w:rsidR="0034016E" w:rsidRPr="00A75DF9"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A75DF9"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A75DF9" w:rsidRDefault="0034016E" w:rsidP="00343766">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34016E" w:rsidRPr="00A75DF9" w:rsidRDefault="0034016E" w:rsidP="00343766">
            <w:pPr>
              <w:pStyle w:val="ColorfulList-Accent11"/>
              <w:keepNext/>
              <w:spacing w:line="276" w:lineRule="auto"/>
              <w:ind w:left="0"/>
              <w:jc w:val="center"/>
              <w:rPr>
                <w:rFonts w:ascii="Tahoma" w:hAnsi="Tahoma" w:cs="Tahoma"/>
                <w:sz w:val="18"/>
                <w:szCs w:val="18"/>
              </w:rPr>
            </w:pPr>
            <w:r w:rsidRPr="00A75DF9">
              <w:rPr>
                <w:rFonts w:ascii="Tahoma" w:hAnsi="Tahoma" w:cs="Tahoma"/>
                <w:sz w:val="18"/>
                <w:szCs w:val="18"/>
              </w:rPr>
              <w:t>Norvegia</w:t>
            </w:r>
          </w:p>
        </w:tc>
        <w:tc>
          <w:tcPr>
            <w:tcW w:w="2670" w:type="dxa"/>
            <w:tcBorders>
              <w:top w:val="single" w:sz="4" w:space="0" w:color="000000"/>
              <w:left w:val="single" w:sz="4" w:space="0" w:color="auto"/>
              <w:bottom w:val="single" w:sz="4" w:space="0" w:color="000000"/>
              <w:right w:val="single" w:sz="4" w:space="0" w:color="000000"/>
            </w:tcBorders>
          </w:tcPr>
          <w:p w:rsidR="0034016E" w:rsidRPr="00A75DF9"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A75DF9"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A75DF9" w:rsidRDefault="0034016E" w:rsidP="00343766">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34016E" w:rsidRPr="00A75DF9" w:rsidRDefault="0034016E" w:rsidP="00343766">
            <w:pPr>
              <w:pStyle w:val="ColorfulList-Accent11"/>
              <w:keepNext/>
              <w:spacing w:line="276" w:lineRule="auto"/>
              <w:ind w:left="0"/>
              <w:jc w:val="center"/>
              <w:rPr>
                <w:rFonts w:ascii="Tahoma" w:hAnsi="Tahoma" w:cs="Tahoma"/>
                <w:sz w:val="18"/>
                <w:szCs w:val="18"/>
              </w:rPr>
            </w:pPr>
            <w:r w:rsidRPr="00A75DF9">
              <w:rPr>
                <w:rFonts w:ascii="Tahoma" w:hAnsi="Tahoma" w:cs="Tahoma"/>
                <w:sz w:val="18"/>
                <w:szCs w:val="18"/>
              </w:rPr>
              <w:t>Polonia</w:t>
            </w:r>
          </w:p>
        </w:tc>
        <w:tc>
          <w:tcPr>
            <w:tcW w:w="2670" w:type="dxa"/>
            <w:tcBorders>
              <w:top w:val="single" w:sz="4" w:space="0" w:color="000000"/>
              <w:left w:val="single" w:sz="4" w:space="0" w:color="auto"/>
              <w:bottom w:val="single" w:sz="4" w:space="0" w:color="000000"/>
              <w:right w:val="single" w:sz="4" w:space="0" w:color="000000"/>
            </w:tcBorders>
          </w:tcPr>
          <w:p w:rsidR="0034016E" w:rsidRPr="00A75DF9"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A75DF9"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A75DF9" w:rsidRDefault="0034016E" w:rsidP="00343766">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34016E" w:rsidRPr="00A75DF9" w:rsidRDefault="0034016E" w:rsidP="00343766">
            <w:pPr>
              <w:pStyle w:val="ColorfulList-Accent11"/>
              <w:keepNext/>
              <w:spacing w:line="276" w:lineRule="auto"/>
              <w:ind w:left="0"/>
              <w:jc w:val="center"/>
              <w:rPr>
                <w:rFonts w:ascii="Tahoma" w:hAnsi="Tahoma" w:cs="Tahoma"/>
                <w:sz w:val="18"/>
                <w:szCs w:val="18"/>
              </w:rPr>
            </w:pPr>
            <w:r w:rsidRPr="00A75DF9">
              <w:rPr>
                <w:rFonts w:ascii="Tahoma" w:hAnsi="Tahoma" w:cs="Tahoma"/>
                <w:sz w:val="18"/>
                <w:szCs w:val="18"/>
              </w:rPr>
              <w:t>Portogallo</w:t>
            </w:r>
          </w:p>
        </w:tc>
        <w:tc>
          <w:tcPr>
            <w:tcW w:w="2670" w:type="dxa"/>
            <w:tcBorders>
              <w:top w:val="single" w:sz="4" w:space="0" w:color="000000"/>
              <w:left w:val="single" w:sz="4" w:space="0" w:color="auto"/>
              <w:bottom w:val="single" w:sz="4" w:space="0" w:color="000000"/>
              <w:right w:val="single" w:sz="4" w:space="0" w:color="000000"/>
            </w:tcBorders>
          </w:tcPr>
          <w:p w:rsidR="0034016E" w:rsidRPr="00A75DF9"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A75DF9"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A75DF9" w:rsidRDefault="0034016E" w:rsidP="00343766">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34016E" w:rsidRPr="00A75DF9" w:rsidRDefault="0034016E" w:rsidP="00343766">
            <w:pPr>
              <w:pStyle w:val="ColorfulList-Accent11"/>
              <w:keepNext/>
              <w:spacing w:line="276" w:lineRule="auto"/>
              <w:ind w:left="0"/>
              <w:jc w:val="center"/>
              <w:rPr>
                <w:rFonts w:ascii="Tahoma" w:hAnsi="Tahoma" w:cs="Tahoma"/>
                <w:sz w:val="18"/>
                <w:szCs w:val="18"/>
              </w:rPr>
            </w:pPr>
            <w:r w:rsidRPr="00A75DF9">
              <w:rPr>
                <w:rFonts w:ascii="Tahoma" w:hAnsi="Tahoma" w:cs="Tahoma"/>
                <w:sz w:val="18"/>
                <w:szCs w:val="18"/>
              </w:rPr>
              <w:t>Romania</w:t>
            </w:r>
          </w:p>
        </w:tc>
        <w:tc>
          <w:tcPr>
            <w:tcW w:w="2670" w:type="dxa"/>
            <w:tcBorders>
              <w:top w:val="single" w:sz="4" w:space="0" w:color="000000"/>
              <w:left w:val="single" w:sz="4" w:space="0" w:color="auto"/>
              <w:bottom w:val="single" w:sz="4" w:space="0" w:color="000000"/>
              <w:right w:val="single" w:sz="4" w:space="0" w:color="000000"/>
            </w:tcBorders>
          </w:tcPr>
          <w:p w:rsidR="0034016E" w:rsidRPr="00A75DF9"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A75DF9"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A75DF9" w:rsidRDefault="0034016E" w:rsidP="00343766">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34016E" w:rsidRPr="00A75DF9" w:rsidRDefault="0034016E" w:rsidP="00343766">
            <w:pPr>
              <w:pStyle w:val="ColorfulList-Accent11"/>
              <w:keepNext/>
              <w:spacing w:line="276" w:lineRule="auto"/>
              <w:ind w:left="0"/>
              <w:jc w:val="center"/>
              <w:rPr>
                <w:rFonts w:ascii="Tahoma" w:hAnsi="Tahoma" w:cs="Tahoma"/>
                <w:sz w:val="18"/>
                <w:szCs w:val="18"/>
              </w:rPr>
            </w:pPr>
            <w:r w:rsidRPr="00A75DF9">
              <w:rPr>
                <w:rFonts w:ascii="Tahoma" w:hAnsi="Tahoma" w:cs="Tahoma"/>
                <w:sz w:val="18"/>
                <w:szCs w:val="18"/>
              </w:rPr>
              <w:t>Russia</w:t>
            </w:r>
          </w:p>
        </w:tc>
        <w:tc>
          <w:tcPr>
            <w:tcW w:w="2670" w:type="dxa"/>
            <w:tcBorders>
              <w:top w:val="single" w:sz="4" w:space="0" w:color="000000"/>
              <w:left w:val="single" w:sz="4" w:space="0" w:color="auto"/>
              <w:bottom w:val="single" w:sz="4" w:space="0" w:color="000000"/>
              <w:right w:val="single" w:sz="4" w:space="0" w:color="000000"/>
            </w:tcBorders>
          </w:tcPr>
          <w:p w:rsidR="0034016E" w:rsidRPr="00A75DF9"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A75DF9"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A75DF9" w:rsidRDefault="0034016E" w:rsidP="00343766">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34016E" w:rsidRPr="00A75DF9" w:rsidRDefault="0034016E" w:rsidP="00343766">
            <w:pPr>
              <w:pStyle w:val="ColorfulList-Accent11"/>
              <w:keepNext/>
              <w:spacing w:line="276" w:lineRule="auto"/>
              <w:ind w:left="0"/>
              <w:jc w:val="center"/>
              <w:rPr>
                <w:rFonts w:ascii="Tahoma" w:hAnsi="Tahoma" w:cs="Tahoma"/>
                <w:sz w:val="18"/>
                <w:szCs w:val="18"/>
              </w:rPr>
            </w:pPr>
            <w:r w:rsidRPr="00A75DF9">
              <w:rPr>
                <w:rFonts w:ascii="Tahoma" w:hAnsi="Tahoma" w:cs="Tahoma"/>
                <w:sz w:val="18"/>
                <w:szCs w:val="18"/>
              </w:rPr>
              <w:t>Spagna</w:t>
            </w:r>
          </w:p>
        </w:tc>
        <w:tc>
          <w:tcPr>
            <w:tcW w:w="2670" w:type="dxa"/>
            <w:tcBorders>
              <w:top w:val="single" w:sz="4" w:space="0" w:color="000000"/>
              <w:left w:val="single" w:sz="4" w:space="0" w:color="auto"/>
              <w:bottom w:val="single" w:sz="4" w:space="0" w:color="000000"/>
              <w:right w:val="single" w:sz="4" w:space="0" w:color="000000"/>
            </w:tcBorders>
          </w:tcPr>
          <w:p w:rsidR="0034016E" w:rsidRPr="00A75DF9"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A75DF9"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A75DF9" w:rsidRDefault="0034016E" w:rsidP="00343766">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34016E" w:rsidRPr="00A75DF9" w:rsidRDefault="0034016E" w:rsidP="00343766">
            <w:pPr>
              <w:pStyle w:val="ColorfulList-Accent11"/>
              <w:keepNext/>
              <w:spacing w:line="276" w:lineRule="auto"/>
              <w:ind w:left="0"/>
              <w:jc w:val="center"/>
              <w:rPr>
                <w:rFonts w:ascii="Tahoma" w:hAnsi="Tahoma" w:cs="Tahoma"/>
                <w:sz w:val="18"/>
                <w:szCs w:val="18"/>
              </w:rPr>
            </w:pPr>
            <w:r w:rsidRPr="00A75DF9">
              <w:rPr>
                <w:rFonts w:ascii="Tahoma" w:hAnsi="Tahoma" w:cs="Tahoma"/>
                <w:sz w:val="18"/>
                <w:szCs w:val="18"/>
              </w:rPr>
              <w:t>Svezia</w:t>
            </w:r>
          </w:p>
        </w:tc>
        <w:tc>
          <w:tcPr>
            <w:tcW w:w="2670" w:type="dxa"/>
            <w:tcBorders>
              <w:top w:val="single" w:sz="4" w:space="0" w:color="000000"/>
              <w:left w:val="single" w:sz="4" w:space="0" w:color="auto"/>
              <w:bottom w:val="single" w:sz="4" w:space="0" w:color="000000"/>
              <w:right w:val="single" w:sz="4" w:space="0" w:color="000000"/>
            </w:tcBorders>
          </w:tcPr>
          <w:p w:rsidR="0034016E" w:rsidRPr="00A75DF9"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A75DF9"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A75DF9" w:rsidRDefault="0034016E" w:rsidP="00343766">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34016E" w:rsidRPr="00A75DF9" w:rsidRDefault="0034016E" w:rsidP="00343766">
            <w:pPr>
              <w:pStyle w:val="ColorfulList-Accent11"/>
              <w:keepNext/>
              <w:spacing w:line="276" w:lineRule="auto"/>
              <w:ind w:left="0"/>
              <w:jc w:val="center"/>
              <w:rPr>
                <w:rFonts w:ascii="Tahoma" w:hAnsi="Tahoma" w:cs="Tahoma"/>
                <w:sz w:val="18"/>
                <w:szCs w:val="18"/>
              </w:rPr>
            </w:pPr>
            <w:r w:rsidRPr="00A75DF9">
              <w:rPr>
                <w:rFonts w:ascii="Tahoma" w:hAnsi="Tahoma" w:cs="Tahoma"/>
                <w:sz w:val="18"/>
                <w:szCs w:val="18"/>
              </w:rPr>
              <w:t>Svizzera</w:t>
            </w:r>
          </w:p>
        </w:tc>
        <w:tc>
          <w:tcPr>
            <w:tcW w:w="2670" w:type="dxa"/>
            <w:tcBorders>
              <w:top w:val="single" w:sz="4" w:space="0" w:color="000000"/>
              <w:left w:val="single" w:sz="4" w:space="0" w:color="auto"/>
              <w:bottom w:val="single" w:sz="4" w:space="0" w:color="000000"/>
              <w:right w:val="single" w:sz="4" w:space="0" w:color="000000"/>
            </w:tcBorders>
          </w:tcPr>
          <w:p w:rsidR="0034016E" w:rsidRPr="00A75DF9" w:rsidRDefault="0034016E" w:rsidP="00343766">
            <w:pPr>
              <w:pStyle w:val="ColorfulList-Accent11"/>
              <w:keepNext/>
              <w:spacing w:line="276" w:lineRule="auto"/>
              <w:ind w:left="540"/>
              <w:jc w:val="center"/>
              <w:rPr>
                <w:rFonts w:ascii="Tahoma" w:hAnsi="Tahoma" w:cs="Tahoma"/>
                <w:color w:val="000000"/>
                <w:sz w:val="18"/>
                <w:szCs w:val="20"/>
              </w:rPr>
            </w:pPr>
          </w:p>
        </w:tc>
      </w:tr>
      <w:tr w:rsidR="0034016E" w:rsidRPr="00A75DF9" w:rsidTr="00343766">
        <w:tc>
          <w:tcPr>
            <w:tcW w:w="2680" w:type="dxa"/>
            <w:tcBorders>
              <w:top w:val="single" w:sz="4" w:space="0" w:color="000000"/>
              <w:left w:val="single" w:sz="4" w:space="0" w:color="000000"/>
              <w:bottom w:val="single" w:sz="4" w:space="0" w:color="000000"/>
              <w:right w:val="single" w:sz="8" w:space="0" w:color="000000"/>
            </w:tcBorders>
            <w:tcMar>
              <w:top w:w="0" w:type="dxa"/>
              <w:left w:w="108" w:type="dxa"/>
              <w:bottom w:w="0" w:type="dxa"/>
              <w:right w:w="108" w:type="dxa"/>
            </w:tcMar>
          </w:tcPr>
          <w:p w:rsidR="0034016E" w:rsidRPr="00A75DF9" w:rsidRDefault="0034016E" w:rsidP="00343766">
            <w:pPr>
              <w:keepNext/>
              <w:ind w:left="540"/>
              <w:jc w:val="center"/>
              <w:rPr>
                <w:rFonts w:cs="Tahoma"/>
              </w:rPr>
            </w:pPr>
          </w:p>
        </w:tc>
        <w:tc>
          <w:tcPr>
            <w:tcW w:w="2670" w:type="dxa"/>
            <w:tcBorders>
              <w:top w:val="single" w:sz="4" w:space="0" w:color="000000"/>
              <w:left w:val="nil"/>
              <w:bottom w:val="single" w:sz="4" w:space="0" w:color="000000"/>
              <w:right w:val="single" w:sz="4" w:space="0" w:color="auto"/>
            </w:tcBorders>
          </w:tcPr>
          <w:p w:rsidR="0034016E" w:rsidRPr="00A75DF9" w:rsidRDefault="0034016E" w:rsidP="00343766">
            <w:pPr>
              <w:pStyle w:val="ColorfulList-Accent11"/>
              <w:keepNext/>
              <w:spacing w:line="276" w:lineRule="auto"/>
              <w:ind w:left="0"/>
              <w:jc w:val="center"/>
              <w:rPr>
                <w:rFonts w:ascii="Tahoma" w:hAnsi="Tahoma" w:cs="Tahoma"/>
                <w:sz w:val="18"/>
                <w:szCs w:val="18"/>
              </w:rPr>
            </w:pPr>
            <w:r w:rsidRPr="00A75DF9">
              <w:rPr>
                <w:rFonts w:ascii="Tahoma" w:hAnsi="Tahoma" w:cs="Tahoma"/>
                <w:sz w:val="18"/>
                <w:szCs w:val="18"/>
              </w:rPr>
              <w:t>Regno Unito</w:t>
            </w:r>
          </w:p>
        </w:tc>
        <w:tc>
          <w:tcPr>
            <w:tcW w:w="2670" w:type="dxa"/>
            <w:tcBorders>
              <w:top w:val="single" w:sz="4" w:space="0" w:color="000000"/>
              <w:left w:val="single" w:sz="4" w:space="0" w:color="auto"/>
              <w:bottom w:val="single" w:sz="4" w:space="0" w:color="000000"/>
              <w:right w:val="single" w:sz="4" w:space="0" w:color="000000"/>
            </w:tcBorders>
          </w:tcPr>
          <w:p w:rsidR="0034016E" w:rsidRPr="00A75DF9" w:rsidRDefault="0034016E" w:rsidP="00343766">
            <w:pPr>
              <w:pStyle w:val="ColorfulList-Accent11"/>
              <w:keepNext/>
              <w:spacing w:line="276" w:lineRule="auto"/>
              <w:ind w:left="540"/>
              <w:jc w:val="center"/>
              <w:rPr>
                <w:rFonts w:ascii="Tahoma" w:hAnsi="Tahoma" w:cs="Tahoma"/>
                <w:color w:val="000000"/>
                <w:sz w:val="18"/>
                <w:szCs w:val="20"/>
              </w:rPr>
            </w:pPr>
          </w:p>
        </w:tc>
      </w:tr>
    </w:tbl>
    <w:p w:rsidR="0034016E" w:rsidRPr="00A75DF9" w:rsidRDefault="0034016E" w:rsidP="0034016E">
      <w:pPr>
        <w:ind w:left="540"/>
        <w:rPr>
          <w:rFonts w:cs="Tahoma"/>
        </w:rPr>
      </w:pPr>
    </w:p>
    <w:p w:rsidR="0034016E" w:rsidRPr="00A75DF9" w:rsidRDefault="0034016E" w:rsidP="0034016E">
      <w:pPr>
        <w:spacing w:after="60"/>
        <w:ind w:left="720"/>
        <w:rPr>
          <w:rFonts w:cs="Tahoma"/>
        </w:rPr>
      </w:pPr>
      <w:r w:rsidRPr="00A75DF9">
        <w:rPr>
          <w:rFonts w:cs="Tahoma"/>
          <w:b/>
          <w:bCs/>
          <w:color w:val="000000"/>
          <w:szCs w:val="18"/>
        </w:rPr>
        <w:t>Contratti Campus e School Agreement (CASA)</w:t>
      </w:r>
    </w:p>
    <w:p w:rsidR="0034016E" w:rsidRPr="00A75DF9" w:rsidRDefault="0034016E" w:rsidP="00A70443">
      <w:pPr>
        <w:ind w:left="720"/>
        <w:rPr>
          <w:rFonts w:cs="Tahoma"/>
        </w:rPr>
      </w:pPr>
      <w:r w:rsidRPr="00A75DF9">
        <w:rPr>
          <w:rFonts w:cs="Tahoma"/>
          <w:color w:val="000000"/>
          <w:szCs w:val="18"/>
        </w:rPr>
        <w:t>Le licenze “Subscription” per Microsoft Dynamics CRM Online vendute ai sensi del contratto CASA potranno essere acquistate per l</w:t>
      </w:r>
      <w:r w:rsidR="00F2643E">
        <w:rPr>
          <w:rFonts w:cs="Tahoma"/>
          <w:color w:val="000000"/>
          <w:szCs w:val="18"/>
        </w:rPr>
        <w:t>’</w:t>
      </w:r>
      <w:r w:rsidRPr="00A75DF9">
        <w:rPr>
          <w:rFonts w:cs="Tahoma"/>
          <w:color w:val="000000"/>
          <w:szCs w:val="18"/>
        </w:rPr>
        <w:t>intero Istituto oppure non per l</w:t>
      </w:r>
      <w:r w:rsidR="00F2643E">
        <w:rPr>
          <w:rFonts w:cs="Tahoma"/>
          <w:color w:val="000000"/>
          <w:szCs w:val="18"/>
        </w:rPr>
        <w:t>’</w:t>
      </w:r>
      <w:r w:rsidRPr="00A75DF9">
        <w:rPr>
          <w:rFonts w:cs="Tahoma"/>
          <w:color w:val="000000"/>
          <w:szCs w:val="18"/>
        </w:rPr>
        <w:t>intero Istituto. Le licenze “Subscription” dovranno essere concesse nella modalità Per Utente. Qualora occorressero altre Licenze “Subscription” per Utente per</w:t>
      </w:r>
      <w:r w:rsidR="00A70443">
        <w:rPr>
          <w:rFonts w:cs="Tahoma"/>
          <w:color w:val="000000"/>
          <w:szCs w:val="18"/>
        </w:rPr>
        <w:t> </w:t>
      </w:r>
      <w:r w:rsidRPr="00A75DF9">
        <w:rPr>
          <w:rFonts w:cs="Tahoma"/>
          <w:color w:val="000000"/>
          <w:szCs w:val="18"/>
        </w:rPr>
        <w:t>accedere a Microsoft Dynamics CRM, dovrà essere ordinato lo stesso numero di Licenze “Subscription” per Utente.</w:t>
      </w:r>
    </w:p>
    <w:p w:rsidR="0034016E" w:rsidRPr="00A75DF9" w:rsidRDefault="0034016E" w:rsidP="0034016E">
      <w:pPr>
        <w:ind w:left="720"/>
        <w:rPr>
          <w:rFonts w:cs="Tahoma"/>
        </w:rPr>
      </w:pPr>
    </w:p>
    <w:p w:rsidR="0034016E" w:rsidRPr="00A75DF9" w:rsidRDefault="0034016E" w:rsidP="0034016E">
      <w:pPr>
        <w:keepNext/>
        <w:spacing w:after="60"/>
        <w:ind w:left="720"/>
        <w:rPr>
          <w:rFonts w:cs="Tahoma"/>
        </w:rPr>
      </w:pPr>
      <w:r w:rsidRPr="00A75DF9">
        <w:rPr>
          <w:rFonts w:cs="Tahoma"/>
          <w:b/>
        </w:rPr>
        <w:t>Microsoft Dynamics CRM Online - Microsoft Dynamics Marketing Online Integration Grant</w:t>
      </w:r>
    </w:p>
    <w:p w:rsidR="0034016E" w:rsidRPr="00A75DF9" w:rsidRDefault="0034016E" w:rsidP="00A70443">
      <w:pPr>
        <w:ind w:left="720"/>
        <w:rPr>
          <w:rFonts w:cs="Tahoma"/>
        </w:rPr>
      </w:pPr>
      <w:r w:rsidRPr="00A75DF9">
        <w:rPr>
          <w:rFonts w:cs="Tahoma"/>
        </w:rPr>
        <w:t>La rinuncia di licenza che segue si applica agli utenti in possesso della licenza per Microsoft Dynamics Marketing Online con l</w:t>
      </w:r>
      <w:r w:rsidR="00F2643E">
        <w:rPr>
          <w:rFonts w:cs="Tahoma"/>
        </w:rPr>
        <w:t>’</w:t>
      </w:r>
      <w:r w:rsidRPr="00A75DF9">
        <w:rPr>
          <w:rFonts w:cs="Tahoma"/>
        </w:rPr>
        <w:t>opzione Maintenance Support and Upgrade attiva che accedono al servizio Microsoft</w:t>
      </w:r>
      <w:r w:rsidR="00A70443">
        <w:rPr>
          <w:rFonts w:cs="Tahoma"/>
        </w:rPr>
        <w:t> </w:t>
      </w:r>
      <w:r w:rsidRPr="00A75DF9">
        <w:rPr>
          <w:rFonts w:cs="Tahoma"/>
        </w:rPr>
        <w:t xml:space="preserve">Dynamics CRM Online direttamente o indirettamente tramite il Software </w:t>
      </w:r>
      <w:r w:rsidRPr="00A75DF9">
        <w:rPr>
          <w:rFonts w:cs="Tahoma"/>
          <w:bCs/>
        </w:rPr>
        <w:t xml:space="preserve">MarketingPilot Connector per Microsoft Dynamics CRM </w:t>
      </w:r>
      <w:r w:rsidRPr="00A75DF9">
        <w:rPr>
          <w:rFonts w:cs="Tahoma"/>
        </w:rPr>
        <w:t>al solo scopo di sincronizzare i dati della società. Tali utenti non richiedono una USL per Microsoft Dynamics CRM Online. Tale rinuncia si applica fino al</w:t>
      </w:r>
      <w:r w:rsidRPr="00A75DF9">
        <w:rPr>
          <w:rFonts w:eastAsia="Calibri" w:cs="Tahoma"/>
        </w:rPr>
        <w:t xml:space="preserve"> </w:t>
      </w:r>
      <w:r w:rsidRPr="00A75DF9">
        <w:rPr>
          <w:rFonts w:cs="Tahoma"/>
        </w:rPr>
        <w:t>30 giugno 2014. Dopo tale data Microsoft si riserva il diritto di richiedere le USL appropriate.</w:t>
      </w:r>
    </w:p>
    <w:p w:rsidR="00A04495" w:rsidRPr="00A75DF9" w:rsidRDefault="00A04495" w:rsidP="007B1734">
      <w:pPr>
        <w:rPr>
          <w:rFonts w:cs="Tahoma"/>
        </w:rPr>
      </w:pPr>
      <w:bookmarkStart w:id="1371" w:name="_66_Microsoft_Dynamics"/>
      <w:bookmarkStart w:id="1372" w:name="_71_Microsoft_Dynamics"/>
      <w:bookmarkStart w:id="1373" w:name="_74_Microsoft_Dynamics"/>
      <w:bookmarkEnd w:id="1371"/>
      <w:bookmarkEnd w:id="1372"/>
      <w:bookmarkEnd w:id="1373"/>
    </w:p>
    <w:p w:rsidR="00F1020A" w:rsidRDefault="00F1020A" w:rsidP="007B1734">
      <w:pPr>
        <w:rPr>
          <w:rFonts w:cs="Tahoma"/>
        </w:rPr>
      </w:pPr>
    </w:p>
    <w:p w:rsidR="00A2524E" w:rsidRPr="00A75DF9" w:rsidRDefault="00A2524E" w:rsidP="00A2524E">
      <w:pPr>
        <w:pStyle w:val="Heading3"/>
        <w:rPr>
          <w:rFonts w:ascii="Tahoma" w:hAnsi="Tahoma" w:cs="Tahoma"/>
        </w:rPr>
      </w:pPr>
      <w:bookmarkStart w:id="1374" w:name="_75_Microsoft_Learning"/>
      <w:bookmarkStart w:id="1375" w:name="_Toc368310325"/>
      <w:bookmarkEnd w:id="1374"/>
      <w:r w:rsidRPr="00A75DF9">
        <w:rPr>
          <w:rFonts w:ascii="Tahoma" w:hAnsi="Tahoma" w:cs="Tahoma"/>
          <w:caps/>
          <w:color w:val="F66400"/>
          <w:sz w:val="22"/>
          <w:vertAlign w:val="superscript"/>
        </w:rPr>
        <w:t>75</w:t>
      </w:r>
      <w:r w:rsidRPr="00A75DF9">
        <w:rPr>
          <w:rFonts w:ascii="Tahoma" w:hAnsi="Tahoma" w:cs="Tahoma"/>
          <w:color w:val="F66400"/>
          <w:sz w:val="22"/>
        </w:rPr>
        <w:t xml:space="preserve"> Microsoft Learning MCP Exam Vouchers</w:t>
      </w:r>
      <w:bookmarkEnd w:id="1375"/>
    </w:p>
    <w:p w:rsidR="00A2524E" w:rsidRPr="00A70443" w:rsidRDefault="00A2524E" w:rsidP="00A2524E">
      <w:pPr>
        <w:pStyle w:val="EndnoteText"/>
        <w:rPr>
          <w:rFonts w:ascii="Tahoma" w:hAnsi="Tahoma" w:cs="Tahoma"/>
          <w:sz w:val="18"/>
          <w:szCs w:val="18"/>
        </w:rPr>
      </w:pPr>
    </w:p>
    <w:p w:rsidR="00A2524E" w:rsidRPr="00A70443" w:rsidRDefault="00A2524E" w:rsidP="00A2524E">
      <w:pPr>
        <w:pStyle w:val="EndnoteText"/>
        <w:ind w:left="720"/>
        <w:rPr>
          <w:rFonts w:ascii="Tahoma" w:hAnsi="Tahoma" w:cs="Tahoma"/>
          <w:sz w:val="18"/>
          <w:szCs w:val="18"/>
        </w:rPr>
      </w:pPr>
      <w:r w:rsidRPr="00A70443">
        <w:rPr>
          <w:rFonts w:ascii="Tahoma" w:hAnsi="Tahoma" w:cs="Tahoma"/>
          <w:sz w:val="18"/>
          <w:szCs w:val="18"/>
        </w:rPr>
        <w:t xml:space="preserve">Tutti i voucher verranno consegna anticipatamente e potranno essere utilizzati in qualunque momento entro 12 mesi dalla data di acquisto. </w:t>
      </w:r>
      <w:r w:rsidRPr="00A70443">
        <w:rPr>
          <w:rFonts w:ascii="Tahoma" w:hAnsi="Tahoma" w:cs="Tahoma"/>
          <w:bCs/>
          <w:color w:val="000000"/>
          <w:sz w:val="18"/>
          <w:szCs w:val="18"/>
        </w:rPr>
        <w:t>Le società dovranno fare riferimento all</w:t>
      </w:r>
      <w:r w:rsidR="00F2643E">
        <w:rPr>
          <w:rFonts w:ascii="Tahoma" w:hAnsi="Tahoma" w:cs="Tahoma"/>
          <w:bCs/>
          <w:color w:val="000000"/>
          <w:sz w:val="18"/>
          <w:szCs w:val="18"/>
        </w:rPr>
        <w:t>’</w:t>
      </w:r>
      <w:hyperlink w:anchor="_Section_10_–" w:history="1">
        <w:r w:rsidRPr="00A70443">
          <w:rPr>
            <w:rStyle w:val="Hyperlink"/>
            <w:rFonts w:ascii="Tahoma" w:hAnsi="Tahoma" w:cs="Tahoma"/>
            <w:sz w:val="18"/>
            <w:szCs w:val="18"/>
          </w:rPr>
          <w:t>Articolo 10</w:t>
        </w:r>
      </w:hyperlink>
      <w:r w:rsidRPr="00A70443">
        <w:rPr>
          <w:rFonts w:ascii="Tahoma" w:hAnsi="Tahoma" w:cs="Tahoma"/>
          <w:bCs/>
          <w:color w:val="000000"/>
          <w:sz w:val="18"/>
          <w:szCs w:val="18"/>
        </w:rPr>
        <w:t xml:space="preserve"> per i prezzi dei servizi online e le condizioni di pagamento. </w:t>
      </w:r>
    </w:p>
    <w:p w:rsidR="00A2524E" w:rsidRDefault="00A2524E" w:rsidP="00A2524E">
      <w:pPr>
        <w:pStyle w:val="EndnoteText"/>
        <w:ind w:left="720"/>
        <w:rPr>
          <w:rFonts w:ascii="Tahoma" w:hAnsi="Tahoma" w:cs="Tahoma"/>
          <w:sz w:val="18"/>
          <w:szCs w:val="18"/>
        </w:rPr>
      </w:pPr>
    </w:p>
    <w:p w:rsidR="00861C29" w:rsidRPr="00A70443" w:rsidRDefault="00861C29" w:rsidP="00A2524E">
      <w:pPr>
        <w:pStyle w:val="EndnoteText"/>
        <w:ind w:left="720"/>
        <w:rPr>
          <w:rFonts w:ascii="Tahoma" w:hAnsi="Tahoma" w:cs="Tahoma"/>
          <w:sz w:val="18"/>
          <w:szCs w:val="18"/>
        </w:rPr>
      </w:pPr>
    </w:p>
    <w:p w:rsidR="00A2524E" w:rsidRPr="00A75DF9" w:rsidRDefault="00A2524E" w:rsidP="00A2524E">
      <w:pPr>
        <w:spacing w:after="60"/>
        <w:ind w:left="720"/>
        <w:rPr>
          <w:rFonts w:cs="Tahoma"/>
        </w:rPr>
      </w:pPr>
      <w:r w:rsidRPr="00A75DF9">
        <w:rPr>
          <w:rFonts w:cs="Tahoma"/>
          <w:b/>
          <w:color w:val="000000"/>
        </w:rPr>
        <w:lastRenderedPageBreak/>
        <w:t>Licenza per il Sito degli Esami per la Certificazione MOS (Microsoft Office Specialist)</w:t>
      </w:r>
    </w:p>
    <w:p w:rsidR="00A2524E" w:rsidRPr="00A75DF9" w:rsidRDefault="00A2524E" w:rsidP="00A70443">
      <w:pPr>
        <w:ind w:left="720"/>
        <w:rPr>
          <w:rFonts w:cs="Tahoma"/>
        </w:rPr>
      </w:pPr>
      <w:r w:rsidRPr="00A75DF9">
        <w:rPr>
          <w:rFonts w:cs="Tahoma"/>
          <w:color w:val="000000"/>
        </w:rPr>
        <w:t>Alla società verrà chiesto di fungere da centro di test autorizzato Certiport per poter utilizzare la licenza per</w:t>
      </w:r>
      <w:r w:rsidR="00A70443">
        <w:rPr>
          <w:rFonts w:cs="Tahoma"/>
          <w:color w:val="000000"/>
        </w:rPr>
        <w:t> </w:t>
      </w:r>
      <w:r w:rsidRPr="00A75DF9">
        <w:rPr>
          <w:rFonts w:cs="Tahoma"/>
          <w:color w:val="000000"/>
        </w:rPr>
        <w:t>il sito.</w:t>
      </w:r>
      <w:r w:rsidR="009D3B41" w:rsidRPr="00A75DF9">
        <w:rPr>
          <w:rFonts w:cs="Tahoma"/>
          <w:color w:val="000000"/>
        </w:rPr>
        <w:t xml:space="preserve"> </w:t>
      </w:r>
      <w:r w:rsidRPr="00A75DF9">
        <w:rPr>
          <w:rFonts w:cs="Tahoma"/>
          <w:color w:val="000000"/>
        </w:rPr>
        <w:t>Qualora la società non sia un centro di test Certiport autorizzato, dovrà attenersi alla seguente procedura per diventare un centro di test Certiport prima di poter utilizzare la licenza per il sito. La licenza per il sito cesserà automaticamente dopo 12 mesi dalla data di acquisto. Qualsiasi esame di certificazione non utilizzato andrà perso.</w:t>
      </w:r>
    </w:p>
    <w:p w:rsidR="00A2524E" w:rsidRPr="00A70443" w:rsidRDefault="00A2524E" w:rsidP="00A2524E">
      <w:pPr>
        <w:pStyle w:val="EndnoteText"/>
        <w:ind w:left="0"/>
        <w:rPr>
          <w:rFonts w:ascii="Tahoma" w:hAnsi="Tahoma" w:cs="Tahoma"/>
          <w:sz w:val="18"/>
          <w:szCs w:val="18"/>
        </w:rPr>
      </w:pPr>
    </w:p>
    <w:p w:rsidR="00A2524E" w:rsidRPr="00A75DF9" w:rsidRDefault="00A2524E" w:rsidP="00A2524E">
      <w:pPr>
        <w:spacing w:after="60"/>
        <w:ind w:left="720"/>
        <w:rPr>
          <w:rFonts w:cs="Tahoma"/>
        </w:rPr>
      </w:pPr>
      <w:r w:rsidRPr="00A75DF9">
        <w:rPr>
          <w:rFonts w:cs="Tahoma"/>
          <w:b/>
          <w:color w:val="000000"/>
        </w:rPr>
        <w:t>Licenza per il Sito degli Esami per la Certificazione MTA (Microsoft Technology Associate)</w:t>
      </w:r>
    </w:p>
    <w:p w:rsidR="00A2524E" w:rsidRPr="00A75DF9" w:rsidRDefault="00A2524E" w:rsidP="00A70443">
      <w:pPr>
        <w:ind w:left="720"/>
        <w:rPr>
          <w:rFonts w:cs="Tahoma"/>
        </w:rPr>
      </w:pPr>
      <w:r w:rsidRPr="00A75DF9">
        <w:rPr>
          <w:rFonts w:cs="Tahoma"/>
          <w:color w:val="000000"/>
        </w:rPr>
        <w:t>Alla società verrà chiesto di fungere da centro di test autorizzato Certiport per poter utilizzare la licenza per</w:t>
      </w:r>
      <w:r w:rsidR="00A70443">
        <w:rPr>
          <w:rFonts w:cs="Tahoma"/>
          <w:color w:val="000000"/>
        </w:rPr>
        <w:t> </w:t>
      </w:r>
      <w:r w:rsidRPr="00A75DF9">
        <w:rPr>
          <w:rFonts w:cs="Tahoma"/>
          <w:color w:val="000000"/>
        </w:rPr>
        <w:t>il sito.</w:t>
      </w:r>
      <w:r w:rsidR="009D3B41" w:rsidRPr="00A75DF9">
        <w:rPr>
          <w:rFonts w:cs="Tahoma"/>
          <w:color w:val="000000"/>
        </w:rPr>
        <w:t xml:space="preserve"> </w:t>
      </w:r>
      <w:r w:rsidRPr="00A75DF9">
        <w:rPr>
          <w:rFonts w:cs="Tahoma"/>
          <w:color w:val="000000"/>
        </w:rPr>
        <w:t>Qualora la società non sia un centro di test Certiport autorizzato, dovrà attenersi alla seguente procedura per diventare un centro di test Certiport prima di poter utilizzare la licenza per il sito. La licenza per il sito cesserà automaticamente dopo 12 mesi dalla data di acquisto. Qualsiasi esame di certificazione non utilizzato andrà perso.</w:t>
      </w:r>
    </w:p>
    <w:p w:rsidR="002A7214" w:rsidRPr="00A75DF9" w:rsidRDefault="002A7214" w:rsidP="00A2524E">
      <w:pPr>
        <w:ind w:left="720"/>
        <w:rPr>
          <w:rFonts w:cs="Tahoma"/>
        </w:rPr>
      </w:pPr>
    </w:p>
    <w:p w:rsidR="002A7214" w:rsidRPr="00A75DF9" w:rsidRDefault="002A7214" w:rsidP="00A2524E">
      <w:pPr>
        <w:ind w:left="720"/>
        <w:rPr>
          <w:rFonts w:cs="Tahoma"/>
        </w:rPr>
      </w:pPr>
    </w:p>
    <w:p w:rsidR="00BE7AC3" w:rsidRPr="00A75DF9" w:rsidRDefault="00A560B6" w:rsidP="00BE7AC3">
      <w:pPr>
        <w:pStyle w:val="Heading2"/>
        <w:ind w:left="0"/>
        <w:rPr>
          <w:rFonts w:ascii="Tahoma" w:hAnsi="Tahoma" w:cs="Tahoma"/>
        </w:rPr>
      </w:pPr>
      <w:bookmarkStart w:id="1376" w:name="_70_68_Office"/>
      <w:bookmarkStart w:id="1377" w:name="_75_Office_365"/>
      <w:bookmarkStart w:id="1378" w:name="_71_Office_365"/>
      <w:bookmarkStart w:id="1379" w:name="_69_Office_365_1"/>
      <w:bookmarkStart w:id="1380" w:name="_76_Office_365"/>
      <w:bookmarkStart w:id="1381" w:name="_Toc368310326"/>
      <w:bookmarkEnd w:id="1368"/>
      <w:bookmarkEnd w:id="1369"/>
      <w:bookmarkEnd w:id="1376"/>
      <w:bookmarkEnd w:id="1377"/>
      <w:bookmarkEnd w:id="1378"/>
      <w:bookmarkEnd w:id="1379"/>
      <w:bookmarkEnd w:id="1380"/>
      <w:r w:rsidRPr="00A75DF9">
        <w:rPr>
          <w:rFonts w:ascii="Tahoma" w:hAnsi="Tahoma" w:cs="Tahoma"/>
          <w:caps/>
          <w:color w:val="F66400"/>
          <w:sz w:val="22"/>
          <w:szCs w:val="20"/>
          <w:vertAlign w:val="superscript"/>
        </w:rPr>
        <w:t xml:space="preserve">76 </w:t>
      </w:r>
      <w:r w:rsidRPr="00A75DF9">
        <w:rPr>
          <w:rFonts w:ascii="Tahoma" w:hAnsi="Tahoma" w:cs="Tahoma"/>
          <w:color w:val="FF6600"/>
          <w:sz w:val="22"/>
          <w:szCs w:val="22"/>
        </w:rPr>
        <w:t>Office 365 Enterprise K1 (SL per Utente)</w:t>
      </w:r>
      <w:bookmarkEnd w:id="1381"/>
    </w:p>
    <w:p w:rsidR="00BE7AC3" w:rsidRPr="00A75DF9" w:rsidRDefault="00BE7AC3" w:rsidP="00BE7AC3">
      <w:pPr>
        <w:ind w:left="720"/>
        <w:rPr>
          <w:rFonts w:cs="Tahoma"/>
        </w:rPr>
      </w:pPr>
    </w:p>
    <w:p w:rsidR="00BE7AC3" w:rsidRPr="00A75DF9" w:rsidRDefault="00BE7AC3" w:rsidP="00A70443">
      <w:pPr>
        <w:ind w:left="720"/>
        <w:rPr>
          <w:rFonts w:cs="Tahoma"/>
        </w:rPr>
      </w:pPr>
      <w:r w:rsidRPr="00A75DF9">
        <w:rPr>
          <w:rFonts w:cs="Tahoma"/>
          <w:color w:val="000000"/>
          <w:szCs w:val="18"/>
        </w:rPr>
        <w:t>Nonostante quanto diversamente stabilito nei contratti di licenza delle società, gli utenti qualificati non includono gli utenti titolari di licenza per Chiosco Exchange Online, Chiosco SharePoint Online o Office 365</w:t>
      </w:r>
      <w:r w:rsidR="00A70443">
        <w:rPr>
          <w:rFonts w:cs="Tahoma"/>
          <w:color w:val="000000"/>
          <w:szCs w:val="18"/>
        </w:rPr>
        <w:t> </w:t>
      </w:r>
      <w:r w:rsidRPr="00A75DF9">
        <w:rPr>
          <w:rFonts w:cs="Tahoma"/>
          <w:color w:val="000000"/>
          <w:szCs w:val="18"/>
        </w:rPr>
        <w:t>Enterprise K1</w:t>
      </w:r>
    </w:p>
    <w:p w:rsidR="00BE7AC3" w:rsidRPr="00A75DF9" w:rsidRDefault="00BE7AC3" w:rsidP="00BE7AC3">
      <w:pPr>
        <w:ind w:left="720"/>
        <w:rPr>
          <w:rFonts w:cs="Tahoma"/>
        </w:rPr>
      </w:pPr>
    </w:p>
    <w:p w:rsidR="00BE7AC3" w:rsidRPr="00A75DF9" w:rsidRDefault="00BE7AC3" w:rsidP="00BE7AC3">
      <w:pPr>
        <w:ind w:left="720"/>
        <w:rPr>
          <w:rFonts w:cs="Tahoma"/>
        </w:rPr>
      </w:pPr>
      <w:r w:rsidRPr="00A75DF9">
        <w:rPr>
          <w:rFonts w:cs="Tahoma"/>
          <w:color w:val="000000"/>
          <w:szCs w:val="18"/>
        </w:rPr>
        <w:t>Office 365 Enterprise K1 era precedentemente noto come Business Productivity Online Deskless Suite (BPOS Deskless).</w:t>
      </w:r>
      <w:r w:rsidR="009D3B41" w:rsidRPr="00A75DF9">
        <w:rPr>
          <w:rFonts w:cs="Tahoma"/>
          <w:color w:val="000000"/>
          <w:szCs w:val="18"/>
        </w:rPr>
        <w:t xml:space="preserve"> </w:t>
      </w:r>
      <w:r w:rsidRPr="00A75DF9">
        <w:rPr>
          <w:rFonts w:cs="Tahoma"/>
          <w:color w:val="000000"/>
          <w:szCs w:val="18"/>
        </w:rPr>
        <w:t>Le società che, in Brasile o in Cile, acquisteranno Office 365 Enterprise K1 riceveranno BPOS Deskless.</w:t>
      </w:r>
      <w:r w:rsidR="009D3B41" w:rsidRPr="00A75DF9">
        <w:rPr>
          <w:rFonts w:cs="Tahoma"/>
          <w:color w:val="000000"/>
          <w:szCs w:val="18"/>
        </w:rPr>
        <w:t xml:space="preserve"> </w:t>
      </w:r>
      <w:r w:rsidRPr="00A75DF9">
        <w:rPr>
          <w:rFonts w:cs="Tahoma"/>
          <w:color w:val="000000"/>
          <w:szCs w:val="18"/>
        </w:rPr>
        <w:t>Tali società potranno migrare a Office 365 Enterprise K1 in un secondo momento.</w:t>
      </w:r>
    </w:p>
    <w:p w:rsidR="00D57009" w:rsidRPr="00A75DF9" w:rsidRDefault="00D57009">
      <w:pPr>
        <w:rPr>
          <w:rFonts w:cs="Tahoma"/>
        </w:rPr>
      </w:pPr>
    </w:p>
    <w:p w:rsidR="00BE7AC3" w:rsidRPr="00A75DF9" w:rsidRDefault="00BE7AC3" w:rsidP="00BE7AC3">
      <w:pPr>
        <w:spacing w:after="60"/>
        <w:ind w:left="720"/>
        <w:rPr>
          <w:rFonts w:cs="Tahoma"/>
        </w:rPr>
      </w:pPr>
      <w:r w:rsidRPr="00A75DF9">
        <w:rPr>
          <w:rFonts w:eastAsia="Calibri" w:cs="Tahoma"/>
          <w:b/>
          <w:color w:val="000000"/>
          <w:szCs w:val="18"/>
        </w:rPr>
        <w:t>Community Cloud per Enti Pubblici (solo Stati Uniti)</w:t>
      </w:r>
    </w:p>
    <w:p w:rsidR="00BE7AC3" w:rsidRPr="00A75DF9" w:rsidRDefault="00BE7AC3" w:rsidP="00A70443">
      <w:pPr>
        <w:ind w:left="720"/>
        <w:rPr>
          <w:rFonts w:cs="Tahoma"/>
        </w:rPr>
      </w:pPr>
      <w:r w:rsidRPr="00A75DF9">
        <w:rPr>
          <w:rFonts w:eastAsia="Calibri" w:cs="Tahoma"/>
          <w:color w:val="000000"/>
          <w:szCs w:val="18"/>
        </w:rPr>
        <w:t>Alcuni servizi online della famiglia di prodotti Office 365 (incluso Office 365 Enterprise K1) sono offerti come</w:t>
      </w:r>
      <w:r w:rsidR="00A70443">
        <w:rPr>
          <w:rFonts w:eastAsia="Calibri" w:cs="Tahoma"/>
          <w:color w:val="000000"/>
          <w:szCs w:val="18"/>
        </w:rPr>
        <w:t> </w:t>
      </w:r>
      <w:r w:rsidRPr="00A75DF9">
        <w:rPr>
          <w:rFonts w:eastAsia="Calibri" w:cs="Tahoma"/>
          <w:color w:val="000000"/>
          <w:szCs w:val="18"/>
        </w:rPr>
        <w:t>servizi di community cloud per enti pubblici e come servizi di community cloud per enti non pubblici.</w:t>
      </w:r>
      <w:r w:rsidR="009D3B41" w:rsidRPr="00A75DF9">
        <w:rPr>
          <w:rFonts w:eastAsia="Calibri" w:cs="Tahoma"/>
          <w:color w:val="000000"/>
          <w:szCs w:val="18"/>
        </w:rPr>
        <w:t xml:space="preserve"> </w:t>
      </w:r>
      <w:r w:rsidRPr="00A75DF9">
        <w:rPr>
          <w:rFonts w:eastAsia="Calibri" w:cs="Tahoma"/>
          <w:color w:val="000000"/>
          <w:szCs w:val="18"/>
        </w:rPr>
        <w:t>Alle società potrà essere effettuato il provisioning come ente pubblico o non pubblico, ma non come una combinazione di entrambi.</w:t>
      </w:r>
      <w:r w:rsidR="009D3B41" w:rsidRPr="00A75DF9">
        <w:rPr>
          <w:rFonts w:eastAsia="Calibri" w:cs="Tahoma"/>
          <w:color w:val="000000"/>
          <w:szCs w:val="18"/>
        </w:rPr>
        <w:t xml:space="preserve"> </w:t>
      </w:r>
      <w:r w:rsidRPr="00A75DF9">
        <w:rPr>
          <w:rFonts w:eastAsia="Calibri" w:cs="Tahoma"/>
          <w:color w:val="000000"/>
          <w:szCs w:val="18"/>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009D3B41" w:rsidRPr="00A75DF9">
        <w:rPr>
          <w:rFonts w:eastAsia="Calibri" w:cs="Tahoma"/>
          <w:color w:val="000000"/>
          <w:szCs w:val="18"/>
        </w:rPr>
        <w:t xml:space="preserve"> </w:t>
      </w:r>
    </w:p>
    <w:p w:rsidR="00BE7AC3" w:rsidRPr="00A75DF9" w:rsidRDefault="00BE7AC3" w:rsidP="00BE7AC3">
      <w:pPr>
        <w:ind w:left="720"/>
        <w:rPr>
          <w:rFonts w:cs="Tahoma"/>
        </w:rPr>
      </w:pPr>
    </w:p>
    <w:p w:rsidR="00BE7AC3" w:rsidRPr="00A75DF9" w:rsidRDefault="00BE7AC3" w:rsidP="00BE7AC3">
      <w:pPr>
        <w:ind w:left="720"/>
        <w:rPr>
          <w:rFonts w:cs="Tahoma"/>
        </w:rPr>
      </w:pPr>
      <w:r w:rsidRPr="00A75DF9">
        <w:rPr>
          <w:rFonts w:eastAsia="Calibri" w:cs="Tahoma"/>
          <w:color w:val="000000"/>
          <w:szCs w:val="18"/>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w:t>
      </w:r>
      <w:r w:rsidR="00F2643E">
        <w:rPr>
          <w:rFonts w:eastAsia="Calibri" w:cs="Tahoma"/>
          <w:color w:val="000000"/>
          <w:szCs w:val="18"/>
        </w:rPr>
        <w:t>’</w:t>
      </w:r>
      <w:r w:rsidRPr="00A75DF9">
        <w:rPr>
          <w:rFonts w:eastAsia="Calibri" w:cs="Tahoma"/>
          <w:color w:val="000000"/>
          <w:szCs w:val="18"/>
        </w:rPr>
        <w:t>Iscrizione Enterprise o Enterprise Subscription per Enti Pubblici Statunitensi per essere idonei all</w:t>
      </w:r>
      <w:r w:rsidR="00F2643E">
        <w:rPr>
          <w:rFonts w:eastAsia="Calibri" w:cs="Tahoma"/>
          <w:color w:val="000000"/>
          <w:szCs w:val="18"/>
        </w:rPr>
        <w:t>’</w:t>
      </w:r>
      <w:r w:rsidRPr="00A75DF9">
        <w:rPr>
          <w:rFonts w:eastAsia="Calibri" w:cs="Tahoma"/>
          <w:color w:val="000000"/>
          <w:szCs w:val="18"/>
        </w:rPr>
        <w:t>acquisto di servizi online designati come community cloud per enti pubblici.</w:t>
      </w:r>
      <w:r w:rsidR="009D3B41" w:rsidRPr="00A75DF9">
        <w:rPr>
          <w:rFonts w:eastAsia="Calibri" w:cs="Tahoma"/>
          <w:color w:val="000000"/>
          <w:szCs w:val="18"/>
        </w:rPr>
        <w:t xml:space="preserve"> </w:t>
      </w:r>
      <w:r w:rsidRPr="00A75DF9">
        <w:rPr>
          <w:rFonts w:eastAsia="Calibri" w:cs="Tahoma"/>
          <w:color w:val="000000"/>
          <w:szCs w:val="18"/>
        </w:rPr>
        <w:t>I Diritti sull</w:t>
      </w:r>
      <w:r w:rsidR="00F2643E">
        <w:rPr>
          <w:rFonts w:eastAsia="Calibri" w:cs="Tahoma"/>
          <w:color w:val="000000"/>
          <w:szCs w:val="18"/>
        </w:rPr>
        <w:t>’</w:t>
      </w:r>
      <w:r w:rsidRPr="00A75DF9">
        <w:rPr>
          <w:rFonts w:eastAsia="Calibri" w:cs="Tahoma"/>
          <w:color w:val="000000"/>
          <w:szCs w:val="18"/>
        </w:rPr>
        <w:t>Utilizzo relativi ai servizi di community cloud per enti pubblici sono simili a quelli dei loro equivalenti multi-tenant standard.</w:t>
      </w:r>
    </w:p>
    <w:p w:rsidR="00BE7AC3" w:rsidRPr="00A75DF9" w:rsidRDefault="00BE7AC3" w:rsidP="00BA1490">
      <w:pPr>
        <w:ind w:left="720"/>
        <w:rPr>
          <w:rFonts w:cs="Tahoma"/>
        </w:rPr>
      </w:pPr>
    </w:p>
    <w:p w:rsidR="00F1020A" w:rsidRDefault="00F1020A" w:rsidP="00BA1490">
      <w:pPr>
        <w:ind w:left="720"/>
        <w:rPr>
          <w:rFonts w:cs="Tahoma"/>
        </w:rPr>
      </w:pPr>
    </w:p>
    <w:p w:rsidR="00A83600" w:rsidRPr="00A75DF9" w:rsidRDefault="00A560B6" w:rsidP="00A83600">
      <w:pPr>
        <w:pStyle w:val="Heading2"/>
        <w:ind w:left="0"/>
        <w:rPr>
          <w:rFonts w:ascii="Tahoma" w:hAnsi="Tahoma" w:cs="Tahoma"/>
        </w:rPr>
      </w:pPr>
      <w:bookmarkStart w:id="1382" w:name="_70_Office_365"/>
      <w:bookmarkStart w:id="1383" w:name="_77_Office_365"/>
      <w:bookmarkStart w:id="1384" w:name="_Toc336338330"/>
      <w:bookmarkStart w:id="1385" w:name="Srv_73Office365PlanG2toG4"/>
      <w:bookmarkStart w:id="1386" w:name="_Toc368310327"/>
      <w:bookmarkEnd w:id="1382"/>
      <w:bookmarkEnd w:id="1383"/>
      <w:r w:rsidRPr="00A75DF9">
        <w:rPr>
          <w:rFonts w:ascii="Tahoma" w:hAnsi="Tahoma" w:cs="Tahoma"/>
          <w:caps/>
          <w:color w:val="FF6600"/>
          <w:sz w:val="22"/>
          <w:szCs w:val="22"/>
          <w:vertAlign w:val="superscript"/>
        </w:rPr>
        <w:t>77</w:t>
      </w:r>
      <w:r w:rsidRPr="00A75DF9">
        <w:rPr>
          <w:rFonts w:ascii="Tahoma" w:hAnsi="Tahoma" w:cs="Tahoma"/>
          <w:color w:val="FF6600"/>
        </w:rPr>
        <w:t xml:space="preserve"> </w:t>
      </w:r>
      <w:r w:rsidRPr="00A75DF9">
        <w:rPr>
          <w:rFonts w:ascii="Tahoma" w:hAnsi="Tahoma" w:cs="Tahoma"/>
          <w:color w:val="FF6600"/>
          <w:sz w:val="22"/>
          <w:szCs w:val="22"/>
        </w:rPr>
        <w:t>Office 365 Government G1, G3, G4</w:t>
      </w:r>
      <w:bookmarkEnd w:id="1384"/>
      <w:bookmarkEnd w:id="1386"/>
    </w:p>
    <w:p w:rsidR="00A83600" w:rsidRPr="00A75DF9" w:rsidRDefault="00A83600" w:rsidP="00A83600">
      <w:pPr>
        <w:rPr>
          <w:rFonts w:cs="Tahoma"/>
        </w:rPr>
      </w:pPr>
    </w:p>
    <w:bookmarkEnd w:id="1385"/>
    <w:p w:rsidR="00A83600" w:rsidRPr="00A75DF9" w:rsidRDefault="00A83600" w:rsidP="00E62BC4">
      <w:pPr>
        <w:ind w:left="720"/>
        <w:rPr>
          <w:rFonts w:cs="Tahoma"/>
        </w:rPr>
      </w:pPr>
      <w:r w:rsidRPr="00A75DF9">
        <w:rPr>
          <w:rFonts w:cs="Tahoma"/>
          <w:color w:val="000000"/>
        </w:rPr>
        <w:t>Office 365 Government G1, G3 e G4 permette l</w:t>
      </w:r>
      <w:r w:rsidR="00F2643E">
        <w:rPr>
          <w:rFonts w:cs="Tahoma"/>
          <w:color w:val="000000"/>
        </w:rPr>
        <w:t>’</w:t>
      </w:r>
      <w:r w:rsidRPr="00A75DF9">
        <w:rPr>
          <w:rFonts w:cs="Tahoma"/>
          <w:color w:val="000000"/>
        </w:rPr>
        <w:t>accesso ai seguenti Servizi Online:</w:t>
      </w:r>
    </w:p>
    <w:p w:rsidR="00A83600" w:rsidRPr="00A75DF9" w:rsidRDefault="00A83600" w:rsidP="00A83600">
      <w:pPr>
        <w:rPr>
          <w:rFonts w:cs="Tahoma"/>
        </w:rPr>
      </w:pPr>
    </w:p>
    <w:tbl>
      <w:tblPr>
        <w:tblW w:w="891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70"/>
        <w:gridCol w:w="2970"/>
        <w:gridCol w:w="2970"/>
      </w:tblGrid>
      <w:tr w:rsidR="005D753D" w:rsidRPr="00A75DF9" w:rsidTr="005D753D">
        <w:tc>
          <w:tcPr>
            <w:tcW w:w="2970" w:type="dxa"/>
            <w:shd w:val="clear" w:color="auto" w:fill="FABF8F"/>
          </w:tcPr>
          <w:p w:rsidR="005D753D" w:rsidRPr="00A75DF9" w:rsidRDefault="005D753D" w:rsidP="0050116B">
            <w:pPr>
              <w:keepNext/>
              <w:keepLines/>
              <w:jc w:val="center"/>
              <w:rPr>
                <w:rFonts w:eastAsia="Calibri" w:cs="Tahoma"/>
                <w:b/>
                <w:color w:val="000000"/>
                <w:sz w:val="20"/>
              </w:rPr>
            </w:pPr>
            <w:r w:rsidRPr="00A75DF9">
              <w:rPr>
                <w:rFonts w:eastAsia="Calibri" w:cs="Tahoma"/>
                <w:b/>
                <w:color w:val="000000"/>
                <w:sz w:val="20"/>
              </w:rPr>
              <w:t>Office 365 Government G1</w:t>
            </w:r>
          </w:p>
        </w:tc>
        <w:tc>
          <w:tcPr>
            <w:tcW w:w="2970" w:type="dxa"/>
            <w:shd w:val="clear" w:color="auto" w:fill="FABF8F"/>
          </w:tcPr>
          <w:p w:rsidR="005D753D" w:rsidRPr="00A75DF9" w:rsidRDefault="005D753D" w:rsidP="0050116B">
            <w:pPr>
              <w:keepNext/>
              <w:keepLines/>
              <w:jc w:val="center"/>
              <w:rPr>
                <w:rFonts w:eastAsia="Calibri" w:cs="Tahoma"/>
                <w:b/>
                <w:color w:val="000000"/>
                <w:sz w:val="20"/>
              </w:rPr>
            </w:pPr>
            <w:r w:rsidRPr="00A75DF9">
              <w:rPr>
                <w:rFonts w:eastAsia="Calibri" w:cs="Tahoma"/>
                <w:b/>
                <w:color w:val="000000"/>
                <w:sz w:val="20"/>
              </w:rPr>
              <w:t>Office 365 Government G3</w:t>
            </w:r>
          </w:p>
        </w:tc>
        <w:tc>
          <w:tcPr>
            <w:tcW w:w="2970" w:type="dxa"/>
            <w:shd w:val="clear" w:color="auto" w:fill="FABF8F"/>
          </w:tcPr>
          <w:p w:rsidR="005D753D" w:rsidRPr="00A75DF9" w:rsidRDefault="005D753D" w:rsidP="0050116B">
            <w:pPr>
              <w:keepNext/>
              <w:keepLines/>
              <w:jc w:val="center"/>
              <w:rPr>
                <w:rFonts w:eastAsia="Calibri" w:cs="Tahoma"/>
                <w:b/>
                <w:color w:val="000000"/>
                <w:sz w:val="20"/>
              </w:rPr>
            </w:pPr>
            <w:r w:rsidRPr="00A75DF9">
              <w:rPr>
                <w:rFonts w:eastAsia="Calibri" w:cs="Tahoma"/>
                <w:b/>
                <w:color w:val="000000"/>
                <w:sz w:val="20"/>
              </w:rPr>
              <w:t>Office 365 Government G4</w:t>
            </w:r>
          </w:p>
        </w:tc>
      </w:tr>
      <w:tr w:rsidR="005D753D" w:rsidRPr="00A75DF9" w:rsidTr="005D753D">
        <w:tc>
          <w:tcPr>
            <w:tcW w:w="2970" w:type="dxa"/>
          </w:tcPr>
          <w:p w:rsidR="005D753D" w:rsidRPr="00A75DF9" w:rsidRDefault="005D753D" w:rsidP="00C066F9">
            <w:pPr>
              <w:keepNext/>
              <w:keepLines/>
              <w:ind w:left="180" w:right="186"/>
              <w:rPr>
                <w:rFonts w:eastAsia="Calibri" w:cs="Tahoma"/>
                <w:color w:val="000000"/>
              </w:rPr>
            </w:pPr>
            <w:r w:rsidRPr="00A75DF9">
              <w:rPr>
                <w:rFonts w:eastAsia="Calibri" w:cs="Tahoma"/>
                <w:color w:val="000000"/>
              </w:rPr>
              <w:t>Exchange Online Piano 1</w:t>
            </w:r>
          </w:p>
        </w:tc>
        <w:tc>
          <w:tcPr>
            <w:tcW w:w="2970" w:type="dxa"/>
            <w:shd w:val="clear" w:color="auto" w:fill="auto"/>
          </w:tcPr>
          <w:p w:rsidR="005D753D" w:rsidRPr="00A75DF9" w:rsidRDefault="005D753D" w:rsidP="00C066F9">
            <w:pPr>
              <w:keepNext/>
              <w:keepLines/>
              <w:ind w:left="138" w:right="138"/>
              <w:rPr>
                <w:rFonts w:eastAsia="Calibri" w:cs="Tahoma"/>
                <w:color w:val="000000"/>
              </w:rPr>
            </w:pPr>
            <w:r w:rsidRPr="00A75DF9">
              <w:rPr>
                <w:rFonts w:eastAsia="Calibri" w:cs="Tahoma"/>
                <w:color w:val="000000"/>
              </w:rPr>
              <w:t xml:space="preserve">Exchange Online Piano 2 </w:t>
            </w:r>
          </w:p>
        </w:tc>
        <w:tc>
          <w:tcPr>
            <w:tcW w:w="2970" w:type="dxa"/>
            <w:shd w:val="clear" w:color="auto" w:fill="auto"/>
          </w:tcPr>
          <w:p w:rsidR="005D753D" w:rsidRPr="00A75DF9" w:rsidRDefault="005D753D" w:rsidP="00C066F9">
            <w:pPr>
              <w:keepNext/>
              <w:keepLines/>
              <w:ind w:left="186" w:right="180"/>
              <w:rPr>
                <w:rFonts w:eastAsia="Calibri" w:cs="Tahoma"/>
                <w:color w:val="000000"/>
              </w:rPr>
            </w:pPr>
            <w:r w:rsidRPr="00A75DF9">
              <w:rPr>
                <w:rFonts w:eastAsia="Calibri" w:cs="Tahoma"/>
                <w:color w:val="000000"/>
              </w:rPr>
              <w:t>Exchange Online Piano 2</w:t>
            </w:r>
          </w:p>
        </w:tc>
      </w:tr>
      <w:tr w:rsidR="005D753D" w:rsidRPr="00A75DF9" w:rsidTr="005D753D">
        <w:tc>
          <w:tcPr>
            <w:tcW w:w="2970" w:type="dxa"/>
          </w:tcPr>
          <w:p w:rsidR="005D753D" w:rsidRPr="00A75DF9" w:rsidRDefault="005D753D" w:rsidP="00C066F9">
            <w:pPr>
              <w:keepNext/>
              <w:keepLines/>
              <w:ind w:left="180" w:right="186"/>
              <w:rPr>
                <w:rFonts w:eastAsia="Calibri" w:cs="Tahoma"/>
                <w:color w:val="000000"/>
              </w:rPr>
            </w:pPr>
            <w:r w:rsidRPr="00A75DF9">
              <w:rPr>
                <w:rFonts w:eastAsia="Calibri" w:cs="Tahoma"/>
                <w:color w:val="000000"/>
              </w:rPr>
              <w:t>SharePoint Online Piano 1</w:t>
            </w:r>
          </w:p>
        </w:tc>
        <w:tc>
          <w:tcPr>
            <w:tcW w:w="2970" w:type="dxa"/>
            <w:shd w:val="clear" w:color="auto" w:fill="auto"/>
          </w:tcPr>
          <w:p w:rsidR="005D753D" w:rsidRPr="00A75DF9" w:rsidRDefault="005D753D" w:rsidP="00C066F9">
            <w:pPr>
              <w:keepNext/>
              <w:keepLines/>
              <w:ind w:left="138" w:right="138"/>
              <w:rPr>
                <w:rFonts w:eastAsia="Calibri" w:cs="Tahoma"/>
                <w:color w:val="000000"/>
              </w:rPr>
            </w:pPr>
            <w:r w:rsidRPr="00A75DF9">
              <w:rPr>
                <w:rFonts w:eastAsia="Calibri" w:cs="Tahoma"/>
                <w:color w:val="000000"/>
              </w:rPr>
              <w:t>SharePoint Online Piano 2</w:t>
            </w:r>
          </w:p>
        </w:tc>
        <w:tc>
          <w:tcPr>
            <w:tcW w:w="2970" w:type="dxa"/>
            <w:shd w:val="clear" w:color="auto" w:fill="auto"/>
          </w:tcPr>
          <w:p w:rsidR="005D753D" w:rsidRPr="00A75DF9" w:rsidRDefault="005D753D" w:rsidP="00C066F9">
            <w:pPr>
              <w:keepNext/>
              <w:keepLines/>
              <w:ind w:left="186" w:right="180"/>
              <w:rPr>
                <w:rFonts w:eastAsia="Calibri" w:cs="Tahoma"/>
                <w:color w:val="000000"/>
              </w:rPr>
            </w:pPr>
            <w:r w:rsidRPr="00A75DF9">
              <w:rPr>
                <w:rFonts w:eastAsia="Calibri" w:cs="Tahoma"/>
                <w:color w:val="000000"/>
              </w:rPr>
              <w:t>SharePoint Online Piano 2</w:t>
            </w:r>
          </w:p>
        </w:tc>
      </w:tr>
      <w:tr w:rsidR="005D753D" w:rsidRPr="00A75DF9" w:rsidTr="005D753D">
        <w:tc>
          <w:tcPr>
            <w:tcW w:w="2970" w:type="dxa"/>
          </w:tcPr>
          <w:p w:rsidR="005D753D" w:rsidRPr="00A75DF9" w:rsidRDefault="005D753D" w:rsidP="00C066F9">
            <w:pPr>
              <w:keepNext/>
              <w:keepLines/>
              <w:ind w:left="180" w:right="186"/>
              <w:rPr>
                <w:rFonts w:eastAsia="Calibri" w:cs="Tahoma"/>
                <w:color w:val="000000"/>
              </w:rPr>
            </w:pPr>
            <w:r w:rsidRPr="00A75DF9">
              <w:rPr>
                <w:rFonts w:eastAsia="Calibri" w:cs="Tahoma"/>
                <w:color w:val="000000"/>
              </w:rPr>
              <w:t>Lync Online Piano 2</w:t>
            </w:r>
          </w:p>
        </w:tc>
        <w:tc>
          <w:tcPr>
            <w:tcW w:w="2970" w:type="dxa"/>
            <w:shd w:val="clear" w:color="auto" w:fill="auto"/>
          </w:tcPr>
          <w:p w:rsidR="005D753D" w:rsidRPr="00A75DF9" w:rsidRDefault="005D753D" w:rsidP="00C066F9">
            <w:pPr>
              <w:keepNext/>
              <w:keepLines/>
              <w:ind w:left="138" w:right="138"/>
              <w:rPr>
                <w:rFonts w:eastAsia="Calibri" w:cs="Tahoma"/>
                <w:color w:val="000000"/>
              </w:rPr>
            </w:pPr>
            <w:r w:rsidRPr="00A75DF9">
              <w:rPr>
                <w:rFonts w:eastAsia="Calibri" w:cs="Tahoma"/>
                <w:color w:val="000000"/>
              </w:rPr>
              <w:t>Lync Online Piano 2</w:t>
            </w:r>
          </w:p>
        </w:tc>
        <w:tc>
          <w:tcPr>
            <w:tcW w:w="2970" w:type="dxa"/>
            <w:shd w:val="clear" w:color="auto" w:fill="auto"/>
          </w:tcPr>
          <w:p w:rsidR="005D753D" w:rsidRPr="00A75DF9" w:rsidRDefault="005D753D" w:rsidP="00630ED6">
            <w:pPr>
              <w:keepNext/>
              <w:keepLines/>
              <w:ind w:left="186" w:right="180"/>
              <w:rPr>
                <w:rFonts w:eastAsia="Calibri" w:cs="Tahoma"/>
                <w:color w:val="000000"/>
              </w:rPr>
            </w:pPr>
            <w:r w:rsidRPr="00A75DF9">
              <w:rPr>
                <w:rFonts w:eastAsia="Calibri" w:cs="Tahoma"/>
                <w:color w:val="000000"/>
              </w:rPr>
              <w:t>Lync Online Piano 3*</w:t>
            </w:r>
          </w:p>
        </w:tc>
      </w:tr>
      <w:tr w:rsidR="005D753D" w:rsidRPr="00A75DF9" w:rsidTr="005D753D">
        <w:tc>
          <w:tcPr>
            <w:tcW w:w="2970" w:type="dxa"/>
          </w:tcPr>
          <w:p w:rsidR="005D753D" w:rsidRPr="00A75DF9" w:rsidRDefault="005D753D" w:rsidP="00C066F9">
            <w:pPr>
              <w:keepNext/>
              <w:keepLines/>
              <w:ind w:left="180" w:right="186"/>
              <w:rPr>
                <w:rFonts w:eastAsia="Calibri" w:cs="Tahoma"/>
                <w:color w:val="000000"/>
              </w:rPr>
            </w:pPr>
            <w:r w:rsidRPr="00A75DF9">
              <w:rPr>
                <w:rFonts w:eastAsia="Calibri" w:cs="Tahoma"/>
                <w:color w:val="000000"/>
              </w:rPr>
              <w:t>Office Web Applications (Microsoft Hosted)</w:t>
            </w:r>
          </w:p>
        </w:tc>
        <w:tc>
          <w:tcPr>
            <w:tcW w:w="2970" w:type="dxa"/>
            <w:shd w:val="clear" w:color="auto" w:fill="auto"/>
          </w:tcPr>
          <w:p w:rsidR="005D753D" w:rsidRPr="00A75DF9" w:rsidRDefault="005D753D" w:rsidP="00C066F9">
            <w:pPr>
              <w:keepNext/>
              <w:keepLines/>
              <w:ind w:left="138" w:right="138"/>
              <w:rPr>
                <w:rFonts w:eastAsia="Calibri" w:cs="Tahoma"/>
                <w:color w:val="000000"/>
              </w:rPr>
            </w:pPr>
            <w:r w:rsidRPr="00A75DF9">
              <w:rPr>
                <w:rFonts w:eastAsia="Calibri" w:cs="Tahoma"/>
                <w:color w:val="000000"/>
              </w:rPr>
              <w:t>Office Web Applications (Microsoft Hosted)</w:t>
            </w:r>
          </w:p>
        </w:tc>
        <w:tc>
          <w:tcPr>
            <w:tcW w:w="2970" w:type="dxa"/>
            <w:shd w:val="clear" w:color="auto" w:fill="auto"/>
          </w:tcPr>
          <w:p w:rsidR="005D753D" w:rsidRPr="00A75DF9" w:rsidRDefault="005D753D" w:rsidP="00C066F9">
            <w:pPr>
              <w:keepNext/>
              <w:keepLines/>
              <w:ind w:left="186" w:right="180"/>
              <w:rPr>
                <w:rFonts w:eastAsia="Calibri" w:cs="Tahoma"/>
                <w:color w:val="000000"/>
              </w:rPr>
            </w:pPr>
            <w:r w:rsidRPr="00A75DF9">
              <w:rPr>
                <w:rFonts w:eastAsia="Calibri" w:cs="Tahoma"/>
                <w:color w:val="000000"/>
              </w:rPr>
              <w:t>Office Web Applications (Microsoft Hosted)</w:t>
            </w:r>
          </w:p>
        </w:tc>
      </w:tr>
      <w:tr w:rsidR="005D753D" w:rsidRPr="00A75DF9" w:rsidTr="005D753D">
        <w:tc>
          <w:tcPr>
            <w:tcW w:w="2970" w:type="dxa"/>
          </w:tcPr>
          <w:p w:rsidR="005D753D" w:rsidRPr="00A75DF9" w:rsidRDefault="005D753D" w:rsidP="00C066F9">
            <w:pPr>
              <w:keepNext/>
              <w:keepLines/>
              <w:ind w:left="180" w:right="186"/>
              <w:rPr>
                <w:rFonts w:eastAsia="Calibri" w:cs="Tahoma"/>
                <w:color w:val="000000"/>
              </w:rPr>
            </w:pPr>
          </w:p>
        </w:tc>
        <w:tc>
          <w:tcPr>
            <w:tcW w:w="2970" w:type="dxa"/>
            <w:shd w:val="clear" w:color="auto" w:fill="auto"/>
          </w:tcPr>
          <w:p w:rsidR="005D753D" w:rsidRPr="00A75DF9" w:rsidRDefault="005D753D" w:rsidP="00630ED6">
            <w:pPr>
              <w:keepNext/>
              <w:keepLines/>
              <w:ind w:left="138" w:right="138"/>
              <w:rPr>
                <w:rFonts w:eastAsia="Calibri" w:cs="Tahoma"/>
                <w:color w:val="000000"/>
              </w:rPr>
            </w:pPr>
            <w:r w:rsidRPr="00A75DF9">
              <w:rPr>
                <w:rFonts w:eastAsia="Calibri" w:cs="Tahoma"/>
                <w:color w:val="000000"/>
              </w:rPr>
              <w:t xml:space="preserve">Office 365 ProPlus </w:t>
            </w:r>
          </w:p>
        </w:tc>
        <w:tc>
          <w:tcPr>
            <w:tcW w:w="2970" w:type="dxa"/>
            <w:shd w:val="clear" w:color="auto" w:fill="auto"/>
          </w:tcPr>
          <w:p w:rsidR="005D753D" w:rsidRPr="00A75DF9" w:rsidRDefault="005D753D" w:rsidP="00630ED6">
            <w:pPr>
              <w:keepNext/>
              <w:keepLines/>
              <w:ind w:left="186" w:right="180"/>
              <w:rPr>
                <w:rFonts w:eastAsia="Calibri" w:cs="Tahoma"/>
                <w:color w:val="000000"/>
              </w:rPr>
            </w:pPr>
            <w:r w:rsidRPr="00A75DF9">
              <w:rPr>
                <w:rFonts w:eastAsia="Calibri" w:cs="Tahoma"/>
                <w:color w:val="000000"/>
              </w:rPr>
              <w:t xml:space="preserve">Office 365 ProPlus </w:t>
            </w:r>
          </w:p>
        </w:tc>
      </w:tr>
      <w:tr w:rsidR="005D753D" w:rsidRPr="00A75DF9" w:rsidTr="005D753D">
        <w:tc>
          <w:tcPr>
            <w:tcW w:w="2970" w:type="dxa"/>
          </w:tcPr>
          <w:p w:rsidR="005D753D" w:rsidRPr="00A75DF9" w:rsidRDefault="005D753D" w:rsidP="00C066F9">
            <w:pPr>
              <w:keepNext/>
              <w:keepLines/>
              <w:ind w:left="180" w:right="186"/>
              <w:rPr>
                <w:rFonts w:eastAsia="Calibri" w:cs="Tahoma"/>
                <w:color w:val="000000"/>
              </w:rPr>
            </w:pPr>
          </w:p>
        </w:tc>
        <w:tc>
          <w:tcPr>
            <w:tcW w:w="2970" w:type="dxa"/>
            <w:shd w:val="clear" w:color="auto" w:fill="auto"/>
          </w:tcPr>
          <w:p w:rsidR="005D753D" w:rsidRPr="00A75DF9" w:rsidRDefault="005D753D" w:rsidP="00630ED6">
            <w:pPr>
              <w:keepNext/>
              <w:keepLines/>
              <w:ind w:left="138" w:right="138"/>
              <w:rPr>
                <w:rFonts w:eastAsia="Calibri" w:cs="Tahoma"/>
                <w:color w:val="000000"/>
              </w:rPr>
            </w:pPr>
            <w:r w:rsidRPr="00A75DF9">
              <w:rPr>
                <w:rFonts w:eastAsia="Calibri" w:cs="Tahoma"/>
                <w:color w:val="000000"/>
              </w:rPr>
              <w:t>Windows Azure Active Directory Rights Management</w:t>
            </w:r>
          </w:p>
        </w:tc>
        <w:tc>
          <w:tcPr>
            <w:tcW w:w="2970" w:type="dxa"/>
            <w:shd w:val="clear" w:color="auto" w:fill="auto"/>
          </w:tcPr>
          <w:p w:rsidR="005D753D" w:rsidRPr="00A75DF9" w:rsidRDefault="005D753D" w:rsidP="00630ED6">
            <w:pPr>
              <w:keepNext/>
              <w:keepLines/>
              <w:ind w:left="186" w:right="180"/>
              <w:rPr>
                <w:rFonts w:eastAsia="Calibri" w:cs="Tahoma"/>
                <w:color w:val="000000"/>
              </w:rPr>
            </w:pPr>
            <w:r w:rsidRPr="00A75DF9">
              <w:rPr>
                <w:rFonts w:eastAsia="Calibri" w:cs="Tahoma"/>
                <w:color w:val="000000"/>
              </w:rPr>
              <w:t>Windows Azure Active Directory Rights Management</w:t>
            </w:r>
          </w:p>
        </w:tc>
      </w:tr>
    </w:tbl>
    <w:p w:rsidR="00263B62" w:rsidRPr="00A75DF9" w:rsidRDefault="00630ED6" w:rsidP="00630ED6">
      <w:pPr>
        <w:pStyle w:val="PURBody"/>
        <w:spacing w:after="0"/>
        <w:ind w:left="540"/>
        <w:rPr>
          <w:rFonts w:ascii="Tahoma" w:hAnsi="Tahoma" w:cs="Tahoma"/>
        </w:rPr>
      </w:pPr>
      <w:r w:rsidRPr="00A75DF9">
        <w:rPr>
          <w:rFonts w:ascii="Tahoma" w:hAnsi="Tahoma" w:cs="Tahoma"/>
          <w:i/>
          <w:sz w:val="16"/>
          <w:vertAlign w:val="superscript"/>
        </w:rPr>
        <w:t>*</w:t>
      </w:r>
      <w:r w:rsidRPr="00A75DF9">
        <w:rPr>
          <w:rFonts w:ascii="Tahoma" w:hAnsi="Tahoma" w:cs="Tahoma"/>
          <w:i/>
          <w:sz w:val="16"/>
        </w:rPr>
        <w:t>Le società che acquistano da paesi diversi da Regno Unito e Stati Uniti ricevono Lync Online Piano 2 anziché Lync Online Piano 3</w:t>
      </w:r>
      <w:r w:rsidRPr="00A75DF9">
        <w:rPr>
          <w:rFonts w:ascii="Tahoma" w:hAnsi="Tahoma" w:cs="Tahoma"/>
          <w:color w:val="000000"/>
        </w:rPr>
        <w:br/>
      </w:r>
    </w:p>
    <w:p w:rsidR="00A83600" w:rsidRPr="00A75DF9" w:rsidRDefault="00A83600" w:rsidP="00A70443">
      <w:pPr>
        <w:ind w:left="720"/>
        <w:rPr>
          <w:rFonts w:cs="Tahoma"/>
        </w:rPr>
      </w:pPr>
      <w:r w:rsidRPr="00A75DF9">
        <w:rPr>
          <w:rFonts w:cs="Tahoma"/>
          <w:color w:val="000000"/>
        </w:rPr>
        <w:lastRenderedPageBreak/>
        <w:t>Questa lista è soggetta a modifiche. Nell</w:t>
      </w:r>
      <w:r w:rsidR="00F2643E">
        <w:rPr>
          <w:rFonts w:cs="Tahoma"/>
          <w:color w:val="000000"/>
        </w:rPr>
        <w:t>’</w:t>
      </w:r>
      <w:r w:rsidRPr="00A75DF9">
        <w:rPr>
          <w:rFonts w:cs="Tahoma"/>
          <w:color w:val="000000"/>
        </w:rPr>
        <w:t>eventualità di una discrepanza tra le condizioni di licenza per Office 365 Government G1, G3 o G4 e questa nota, i Diritti di Utilizzo del Prodotto correnti avranno prevalenza. Gli</w:t>
      </w:r>
      <w:r w:rsidR="00A70443">
        <w:rPr>
          <w:rFonts w:cs="Tahoma"/>
          <w:color w:val="000000"/>
        </w:rPr>
        <w:t> </w:t>
      </w:r>
      <w:r w:rsidRPr="00A75DF9">
        <w:rPr>
          <w:rFonts w:cs="Tahoma"/>
          <w:color w:val="000000"/>
        </w:rPr>
        <w:t>eventuali diritti di accesso aggiuntivi per il software On-Premise concesso in licenza separatamente sono specificati nei Diritti di Utilizzo del Prodotto.</w:t>
      </w:r>
    </w:p>
    <w:p w:rsidR="00A83600" w:rsidRPr="00A75DF9" w:rsidRDefault="00A83600" w:rsidP="00E62BC4">
      <w:pPr>
        <w:ind w:left="720"/>
        <w:rPr>
          <w:rFonts w:cs="Tahoma"/>
        </w:rPr>
      </w:pPr>
    </w:p>
    <w:p w:rsidR="00A83600" w:rsidRPr="00A75DF9" w:rsidRDefault="00A83600" w:rsidP="00A70443">
      <w:pPr>
        <w:ind w:left="720"/>
        <w:rPr>
          <w:rFonts w:cs="Tahoma"/>
        </w:rPr>
      </w:pPr>
      <w:r w:rsidRPr="00A75DF9">
        <w:rPr>
          <w:rFonts w:cs="Tahoma"/>
          <w:color w:val="000000"/>
        </w:rPr>
        <w:t>Lync Online Piano 1 e Piano 2 richiedono l</w:t>
      </w:r>
      <w:r w:rsidR="00F2643E">
        <w:rPr>
          <w:rFonts w:cs="Tahoma"/>
          <w:color w:val="000000"/>
        </w:rPr>
        <w:t>’</w:t>
      </w:r>
      <w:r w:rsidRPr="00A75DF9">
        <w:rPr>
          <w:rFonts w:cs="Tahoma"/>
          <w:color w:val="000000"/>
        </w:rPr>
        <w:t>acquisto e l</w:t>
      </w:r>
      <w:r w:rsidR="00F2643E">
        <w:rPr>
          <w:rFonts w:cs="Tahoma"/>
          <w:color w:val="000000"/>
        </w:rPr>
        <w:t>’</w:t>
      </w:r>
      <w:r w:rsidRPr="00A75DF9">
        <w:rPr>
          <w:rFonts w:cs="Tahoma"/>
          <w:color w:val="000000"/>
        </w:rPr>
        <w:t>installazione separati di Microsoft Lync 2013 (o di Lync per Mac 2011) per accedere al set completo di funzionalità di Lync Online Piano 1 e Piano 2. Grazie a</w:t>
      </w:r>
      <w:r w:rsidR="00A70443">
        <w:rPr>
          <w:rFonts w:cs="Tahoma"/>
          <w:color w:val="000000"/>
        </w:rPr>
        <w:t> </w:t>
      </w:r>
      <w:r w:rsidRPr="00A75DF9">
        <w:rPr>
          <w:rFonts w:cs="Tahoma"/>
          <w:color w:val="000000"/>
        </w:rPr>
        <w:t>un</w:t>
      </w:r>
      <w:r w:rsidR="00F2643E">
        <w:rPr>
          <w:rFonts w:cs="Tahoma"/>
          <w:color w:val="000000"/>
        </w:rPr>
        <w:t>’</w:t>
      </w:r>
      <w:r w:rsidRPr="00A75DF9">
        <w:rPr>
          <w:rFonts w:cs="Tahoma"/>
          <w:color w:val="000000"/>
        </w:rPr>
        <w:t xml:space="preserve">offerta di durata limitata, le società titolari di licenza per Lync Online riceveranno gratuitamente in licenza una copia di Lync per Mac 2011 per ciascuna licenza </w:t>
      </w:r>
      <w:r w:rsidR="009D3B41" w:rsidRPr="00A75DF9">
        <w:rPr>
          <w:rFonts w:cs="Tahoma"/>
          <w:color w:val="000000"/>
        </w:rPr>
        <w:t>“</w:t>
      </w:r>
      <w:r w:rsidRPr="00A75DF9">
        <w:rPr>
          <w:rFonts w:cs="Tahoma"/>
          <w:color w:val="000000"/>
        </w:rPr>
        <w:t>subscription</w:t>
      </w:r>
      <w:r w:rsidR="009D3B41" w:rsidRPr="00A75DF9">
        <w:rPr>
          <w:rFonts w:cs="Tahoma"/>
          <w:color w:val="000000"/>
        </w:rPr>
        <w:t>”</w:t>
      </w:r>
      <w:r w:rsidRPr="00A75DF9">
        <w:rPr>
          <w:rFonts w:cs="Tahoma"/>
          <w:color w:val="000000"/>
        </w:rPr>
        <w:t xml:space="preserve"> acquistata o in versione di valutazione di</w:t>
      </w:r>
      <w:r w:rsidR="00791108">
        <w:rPr>
          <w:rFonts w:cs="Tahoma"/>
          <w:color w:val="000000"/>
        </w:rPr>
        <w:t xml:space="preserve"> </w:t>
      </w:r>
      <w:r w:rsidRPr="00A75DF9">
        <w:rPr>
          <w:rFonts w:cs="Tahoma"/>
          <w:color w:val="000000"/>
        </w:rPr>
        <w:t>Lync Online. Il software potrà essere utilizzato esclusivamente con Lync Online e tutti i diritti di utilizzo del software cesseranno alla scadenza della licenza “Subscription” sottostante oppure in occasione della migrazione alla successiva nuova versione principale di Lync Online, a seconda di quale evento si verificherà per primo.</w:t>
      </w:r>
      <w:r w:rsidR="009D3B41" w:rsidRPr="00A75DF9">
        <w:rPr>
          <w:rFonts w:cs="Tahoma"/>
          <w:color w:val="000000"/>
        </w:rPr>
        <w:t xml:space="preserve"> </w:t>
      </w:r>
      <w:r w:rsidRPr="00A75DF9">
        <w:rPr>
          <w:rFonts w:cs="Tahoma"/>
        </w:rPr>
        <w:t>Le società potranno utilizzare il client gratuito Lync Basic 2013 per i loro utenti finali in</w:t>
      </w:r>
      <w:r w:rsidR="00A70443">
        <w:rPr>
          <w:rFonts w:cs="Tahoma"/>
        </w:rPr>
        <w:t> </w:t>
      </w:r>
      <w:r w:rsidRPr="00A75DF9">
        <w:rPr>
          <w:rFonts w:cs="Tahoma"/>
        </w:rPr>
        <w:t>possesso di Windows.</w:t>
      </w:r>
    </w:p>
    <w:p w:rsidR="00A83600" w:rsidRPr="00A75DF9" w:rsidRDefault="00A83600" w:rsidP="00E62BC4">
      <w:pPr>
        <w:ind w:left="720"/>
        <w:rPr>
          <w:rFonts w:cs="Tahoma"/>
        </w:rPr>
      </w:pPr>
    </w:p>
    <w:p w:rsidR="00A83600" w:rsidRPr="00A75DF9" w:rsidRDefault="00A83600" w:rsidP="00E62BC4">
      <w:pPr>
        <w:ind w:left="720"/>
        <w:rPr>
          <w:rFonts w:cs="Tahoma"/>
        </w:rPr>
      </w:pPr>
      <w:r w:rsidRPr="00A75DF9">
        <w:rPr>
          <w:rFonts w:eastAsia="Calibri" w:cs="Tahoma"/>
          <w:color w:val="000000"/>
          <w:szCs w:val="18"/>
        </w:rPr>
        <w:t>G1, G3 o G4 non potrà essere distribuito nello stesso dominio in cui vengono distribuiti servizi specifici di community cloud per enti non pubblici. Tale limitazione si estende a qualsiasi servizio online facente parte della famiglia di prodotti Office 365, inclusi Exchange Online, SharePoint Online e Lync Online.</w:t>
      </w:r>
    </w:p>
    <w:p w:rsidR="00A83600" w:rsidRPr="00A75DF9" w:rsidRDefault="00A83600" w:rsidP="00E62BC4">
      <w:pPr>
        <w:ind w:left="720"/>
        <w:rPr>
          <w:rFonts w:cs="Tahoma"/>
        </w:rPr>
      </w:pPr>
    </w:p>
    <w:p w:rsidR="00D57009" w:rsidRPr="00A75DF9" w:rsidRDefault="00A83600" w:rsidP="007B35CE">
      <w:pPr>
        <w:ind w:left="720"/>
        <w:rPr>
          <w:rFonts w:cs="Tahoma"/>
        </w:rPr>
      </w:pPr>
      <w:r w:rsidRPr="00A75DF9">
        <w:rPr>
          <w:rFonts w:eastAsia="Calibri" w:cs="Tahoma"/>
          <w:color w:val="000000"/>
          <w:szCs w:val="18"/>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w:t>
      </w:r>
      <w:r w:rsidR="00F2643E">
        <w:rPr>
          <w:rFonts w:eastAsia="Calibri" w:cs="Tahoma"/>
          <w:color w:val="000000"/>
          <w:szCs w:val="18"/>
        </w:rPr>
        <w:t>’</w:t>
      </w:r>
      <w:r w:rsidRPr="00A75DF9">
        <w:rPr>
          <w:rFonts w:eastAsia="Calibri" w:cs="Tahoma"/>
          <w:color w:val="000000"/>
          <w:szCs w:val="18"/>
        </w:rPr>
        <w:t>Iscrizione Enterprise o Enterprise Subscription per Enti Pubblici Statunitensi per essere idonei all</w:t>
      </w:r>
      <w:r w:rsidR="00F2643E">
        <w:rPr>
          <w:rFonts w:eastAsia="Calibri" w:cs="Tahoma"/>
          <w:color w:val="000000"/>
          <w:szCs w:val="18"/>
        </w:rPr>
        <w:t>’</w:t>
      </w:r>
      <w:r w:rsidRPr="00A75DF9">
        <w:rPr>
          <w:rFonts w:eastAsia="Calibri" w:cs="Tahoma"/>
          <w:color w:val="000000"/>
          <w:szCs w:val="18"/>
        </w:rPr>
        <w:t>acquisto di servizi online designati come community cloud per enti pubblici.</w:t>
      </w:r>
      <w:r w:rsidR="009D3B41" w:rsidRPr="00A75DF9">
        <w:rPr>
          <w:rFonts w:eastAsia="Calibri" w:cs="Tahoma"/>
          <w:color w:val="000000"/>
          <w:szCs w:val="18"/>
        </w:rPr>
        <w:t xml:space="preserve"> </w:t>
      </w:r>
      <w:r w:rsidRPr="00A75DF9">
        <w:rPr>
          <w:rFonts w:eastAsia="Calibri" w:cs="Tahoma"/>
          <w:color w:val="000000"/>
          <w:szCs w:val="18"/>
        </w:rPr>
        <w:t>I Diritti sull</w:t>
      </w:r>
      <w:r w:rsidR="00F2643E">
        <w:rPr>
          <w:rFonts w:eastAsia="Calibri" w:cs="Tahoma"/>
          <w:color w:val="000000"/>
          <w:szCs w:val="18"/>
        </w:rPr>
        <w:t>’</w:t>
      </w:r>
      <w:r w:rsidRPr="00A75DF9">
        <w:rPr>
          <w:rFonts w:eastAsia="Calibri" w:cs="Tahoma"/>
          <w:color w:val="000000"/>
          <w:szCs w:val="18"/>
        </w:rPr>
        <w:t>Utilizzo relativi ai servizi di community cloud per enti pubblici sono simili a quelli dei loro equivalenti multi-tenant standard, come indicato nella seguente tabella:</w:t>
      </w:r>
    </w:p>
    <w:p w:rsidR="00A83600" w:rsidRPr="00A75DF9" w:rsidRDefault="00A83600" w:rsidP="00A83600">
      <w:pPr>
        <w:ind w:left="900"/>
        <w:rPr>
          <w:rFonts w:cs="Tahoma"/>
        </w:rPr>
      </w:pPr>
    </w:p>
    <w:tbl>
      <w:tblPr>
        <w:tblW w:w="0" w:type="auto"/>
        <w:tblInd w:w="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54"/>
        <w:gridCol w:w="4318"/>
      </w:tblGrid>
      <w:tr w:rsidR="00A83600" w:rsidRPr="00A75DF9" w:rsidTr="00A01320">
        <w:tc>
          <w:tcPr>
            <w:tcW w:w="4154" w:type="dxa"/>
            <w:shd w:val="clear" w:color="auto" w:fill="FABF8F"/>
          </w:tcPr>
          <w:p w:rsidR="00A83600" w:rsidRPr="00A75DF9" w:rsidRDefault="00A83600" w:rsidP="00722522">
            <w:pPr>
              <w:rPr>
                <w:rFonts w:eastAsia="Calibri" w:cs="Tahoma"/>
                <w:b/>
                <w:color w:val="000000"/>
                <w:sz w:val="20"/>
                <w:szCs w:val="20"/>
              </w:rPr>
            </w:pPr>
            <w:r w:rsidRPr="00A75DF9">
              <w:rPr>
                <w:rFonts w:eastAsia="Calibri" w:cs="Tahoma"/>
                <w:b/>
                <w:color w:val="000000"/>
                <w:sz w:val="20"/>
                <w:szCs w:val="20"/>
              </w:rPr>
              <w:t xml:space="preserve">Office 365 Enterprise E </w:t>
            </w:r>
          </w:p>
        </w:tc>
        <w:tc>
          <w:tcPr>
            <w:tcW w:w="4318" w:type="dxa"/>
            <w:shd w:val="clear" w:color="auto" w:fill="FABF8F"/>
          </w:tcPr>
          <w:p w:rsidR="00A83600" w:rsidRPr="00A75DF9" w:rsidRDefault="00A83600" w:rsidP="00A70443">
            <w:pPr>
              <w:rPr>
                <w:rFonts w:eastAsia="Calibri" w:cs="Tahoma"/>
                <w:b/>
                <w:color w:val="000000"/>
                <w:sz w:val="20"/>
                <w:szCs w:val="20"/>
              </w:rPr>
            </w:pPr>
            <w:r w:rsidRPr="00A75DF9">
              <w:rPr>
                <w:rFonts w:eastAsia="Calibri" w:cs="Tahoma"/>
                <w:b/>
                <w:color w:val="000000"/>
                <w:sz w:val="20"/>
                <w:szCs w:val="20"/>
              </w:rPr>
              <w:t>Servizio per Office 365 Government G</w:t>
            </w:r>
            <w:r w:rsidR="00A70443">
              <w:rPr>
                <w:rFonts w:eastAsia="Calibri" w:cs="Tahoma"/>
                <w:b/>
                <w:color w:val="000000"/>
                <w:sz w:val="20"/>
                <w:szCs w:val="20"/>
              </w:rPr>
              <w:t> </w:t>
            </w:r>
            <w:r w:rsidRPr="00A75DF9">
              <w:rPr>
                <w:rFonts w:eastAsia="Calibri" w:cs="Tahoma"/>
                <w:b/>
                <w:color w:val="000000"/>
                <w:sz w:val="20"/>
                <w:szCs w:val="20"/>
              </w:rPr>
              <w:t>con Diritti sull</w:t>
            </w:r>
            <w:r w:rsidR="00F2643E">
              <w:rPr>
                <w:rFonts w:eastAsia="Calibri" w:cs="Tahoma"/>
                <w:b/>
                <w:color w:val="000000"/>
                <w:sz w:val="20"/>
                <w:szCs w:val="20"/>
              </w:rPr>
              <w:t>’</w:t>
            </w:r>
            <w:r w:rsidRPr="00A75DF9">
              <w:rPr>
                <w:rFonts w:eastAsia="Calibri" w:cs="Tahoma"/>
                <w:b/>
                <w:color w:val="000000"/>
                <w:sz w:val="20"/>
                <w:szCs w:val="20"/>
              </w:rPr>
              <w:t>Utilizzo equivalenti</w:t>
            </w:r>
          </w:p>
        </w:tc>
      </w:tr>
      <w:tr w:rsidR="00A83600" w:rsidRPr="00A75DF9" w:rsidTr="00A01320">
        <w:tc>
          <w:tcPr>
            <w:tcW w:w="4154" w:type="dxa"/>
            <w:shd w:val="clear" w:color="auto" w:fill="auto"/>
          </w:tcPr>
          <w:p w:rsidR="00A83600" w:rsidRPr="00A75DF9" w:rsidRDefault="00A83600" w:rsidP="00722522">
            <w:pPr>
              <w:rPr>
                <w:rFonts w:eastAsia="Calibri" w:cs="Tahoma"/>
                <w:color w:val="000000"/>
              </w:rPr>
            </w:pPr>
            <w:r w:rsidRPr="00A75DF9">
              <w:rPr>
                <w:rFonts w:eastAsia="Calibri" w:cs="Tahoma"/>
                <w:color w:val="000000"/>
              </w:rPr>
              <w:t>Office 365 Enterprise E1</w:t>
            </w:r>
          </w:p>
        </w:tc>
        <w:tc>
          <w:tcPr>
            <w:tcW w:w="4318" w:type="dxa"/>
            <w:shd w:val="clear" w:color="auto" w:fill="auto"/>
          </w:tcPr>
          <w:p w:rsidR="00A83600" w:rsidRPr="00A75DF9" w:rsidRDefault="00A83600" w:rsidP="00722522">
            <w:pPr>
              <w:rPr>
                <w:rFonts w:eastAsia="Calibri" w:cs="Tahoma"/>
                <w:color w:val="000000"/>
              </w:rPr>
            </w:pPr>
            <w:r w:rsidRPr="00A75DF9">
              <w:rPr>
                <w:rFonts w:eastAsia="Calibri" w:cs="Tahoma"/>
                <w:color w:val="000000"/>
              </w:rPr>
              <w:t>Office 365 Government G1</w:t>
            </w:r>
          </w:p>
        </w:tc>
      </w:tr>
      <w:tr w:rsidR="00A83600" w:rsidRPr="00A75DF9" w:rsidTr="00A01320">
        <w:tc>
          <w:tcPr>
            <w:tcW w:w="4154" w:type="dxa"/>
            <w:shd w:val="clear" w:color="auto" w:fill="auto"/>
          </w:tcPr>
          <w:p w:rsidR="00A83600" w:rsidRPr="00A75DF9" w:rsidRDefault="00A83600" w:rsidP="00722522">
            <w:pPr>
              <w:rPr>
                <w:rFonts w:eastAsia="Calibri" w:cs="Tahoma"/>
                <w:color w:val="000000"/>
              </w:rPr>
            </w:pPr>
            <w:r w:rsidRPr="00A75DF9">
              <w:rPr>
                <w:rFonts w:eastAsia="Calibri" w:cs="Tahoma"/>
                <w:color w:val="000000"/>
              </w:rPr>
              <w:t>Office 365 Enterprise E3</w:t>
            </w:r>
          </w:p>
        </w:tc>
        <w:tc>
          <w:tcPr>
            <w:tcW w:w="4318" w:type="dxa"/>
            <w:shd w:val="clear" w:color="auto" w:fill="auto"/>
          </w:tcPr>
          <w:p w:rsidR="00A83600" w:rsidRPr="00A75DF9" w:rsidRDefault="00A83600" w:rsidP="00722522">
            <w:pPr>
              <w:rPr>
                <w:rFonts w:eastAsia="Calibri" w:cs="Tahoma"/>
                <w:color w:val="000000"/>
              </w:rPr>
            </w:pPr>
            <w:r w:rsidRPr="00A75DF9">
              <w:rPr>
                <w:rFonts w:eastAsia="Calibri" w:cs="Tahoma"/>
                <w:color w:val="000000"/>
              </w:rPr>
              <w:t>Office 365 Government G3</w:t>
            </w:r>
          </w:p>
        </w:tc>
      </w:tr>
      <w:tr w:rsidR="00A83600" w:rsidRPr="00A75DF9" w:rsidTr="00A01320">
        <w:tc>
          <w:tcPr>
            <w:tcW w:w="4154" w:type="dxa"/>
            <w:shd w:val="clear" w:color="auto" w:fill="auto"/>
          </w:tcPr>
          <w:p w:rsidR="00A83600" w:rsidRPr="00A75DF9" w:rsidRDefault="00A83600" w:rsidP="00722522">
            <w:pPr>
              <w:rPr>
                <w:rFonts w:eastAsia="Calibri" w:cs="Tahoma"/>
                <w:color w:val="000000"/>
              </w:rPr>
            </w:pPr>
            <w:r w:rsidRPr="00A75DF9">
              <w:rPr>
                <w:rFonts w:eastAsia="Calibri" w:cs="Tahoma"/>
                <w:color w:val="000000"/>
              </w:rPr>
              <w:t>Office 365 Enterprise E4</w:t>
            </w:r>
          </w:p>
        </w:tc>
        <w:tc>
          <w:tcPr>
            <w:tcW w:w="4318" w:type="dxa"/>
            <w:shd w:val="clear" w:color="auto" w:fill="auto"/>
          </w:tcPr>
          <w:p w:rsidR="00A83600" w:rsidRPr="00A75DF9" w:rsidRDefault="00A83600" w:rsidP="00722522">
            <w:pPr>
              <w:rPr>
                <w:rFonts w:eastAsia="Calibri" w:cs="Tahoma"/>
                <w:color w:val="000000"/>
              </w:rPr>
            </w:pPr>
            <w:r w:rsidRPr="00A75DF9">
              <w:rPr>
                <w:rFonts w:eastAsia="Calibri" w:cs="Tahoma"/>
                <w:color w:val="000000"/>
              </w:rPr>
              <w:t>Office 365 Government G4</w:t>
            </w:r>
          </w:p>
        </w:tc>
      </w:tr>
    </w:tbl>
    <w:p w:rsidR="004574E9" w:rsidRDefault="004574E9" w:rsidP="00194DAF">
      <w:pPr>
        <w:rPr>
          <w:rFonts w:cs="Tahoma"/>
        </w:rPr>
      </w:pPr>
    </w:p>
    <w:p w:rsidR="00A70443" w:rsidRDefault="00A70443" w:rsidP="00194DAF">
      <w:pPr>
        <w:rPr>
          <w:rFonts w:cs="Tahoma"/>
        </w:rPr>
      </w:pPr>
    </w:p>
    <w:p w:rsidR="00F42FD5" w:rsidRPr="00A75DF9" w:rsidRDefault="00A560B6" w:rsidP="00F42FD5">
      <w:pPr>
        <w:pStyle w:val="Heading2"/>
        <w:ind w:left="0"/>
        <w:rPr>
          <w:rFonts w:ascii="Tahoma" w:hAnsi="Tahoma" w:cs="Tahoma"/>
        </w:rPr>
      </w:pPr>
      <w:bookmarkStart w:id="1387" w:name="_68_SharePoint_Online"/>
      <w:bookmarkStart w:id="1388" w:name="_71_SharePoint_Online"/>
      <w:bookmarkStart w:id="1389" w:name="_78_SharePoint_Online"/>
      <w:bookmarkStart w:id="1390" w:name="_Toc336338334"/>
      <w:bookmarkStart w:id="1391" w:name="Srv_73SharepointOnlinePlan1"/>
      <w:bookmarkStart w:id="1392" w:name="Srv_74SharepointOnlinePlan1"/>
      <w:bookmarkStart w:id="1393" w:name="Srv_62OfficePerfPointSvr07"/>
      <w:bookmarkStart w:id="1394" w:name="_Toc368310328"/>
      <w:bookmarkEnd w:id="1351"/>
      <w:bookmarkEnd w:id="1387"/>
      <w:bookmarkEnd w:id="1388"/>
      <w:bookmarkEnd w:id="1389"/>
      <w:r w:rsidRPr="00A75DF9">
        <w:rPr>
          <w:rFonts w:ascii="Tahoma" w:hAnsi="Tahoma" w:cs="Tahoma"/>
          <w:caps/>
          <w:color w:val="FF6600"/>
          <w:sz w:val="22"/>
          <w:vertAlign w:val="superscript"/>
        </w:rPr>
        <w:t>78</w:t>
      </w:r>
      <w:r w:rsidRPr="00A75DF9">
        <w:rPr>
          <w:rFonts w:ascii="Tahoma" w:hAnsi="Tahoma" w:cs="Tahoma"/>
          <w:color w:val="FF6600"/>
        </w:rPr>
        <w:t xml:space="preserve"> </w:t>
      </w:r>
      <w:r w:rsidRPr="00A75DF9">
        <w:rPr>
          <w:rFonts w:ascii="Tahoma" w:hAnsi="Tahoma" w:cs="Tahoma"/>
          <w:color w:val="FF6600"/>
          <w:sz w:val="22"/>
          <w:szCs w:val="22"/>
        </w:rPr>
        <w:t>SharePoint Online Piano 1 e Piano 2</w:t>
      </w:r>
      <w:bookmarkEnd w:id="1390"/>
      <w:bookmarkEnd w:id="1394"/>
    </w:p>
    <w:bookmarkEnd w:id="1391"/>
    <w:bookmarkEnd w:id="1392"/>
    <w:p w:rsidR="00F42FD5" w:rsidRPr="00A75DF9" w:rsidRDefault="00F42FD5" w:rsidP="00F42FD5">
      <w:pPr>
        <w:rPr>
          <w:rFonts w:cs="Tahoma"/>
        </w:rPr>
      </w:pPr>
    </w:p>
    <w:p w:rsidR="00F42FD5" w:rsidRPr="00A70443" w:rsidRDefault="00F42FD5" w:rsidP="00AC0ED2">
      <w:pPr>
        <w:pStyle w:val="EndnoteText"/>
        <w:ind w:left="720"/>
        <w:rPr>
          <w:rFonts w:ascii="Tahoma" w:hAnsi="Tahoma" w:cs="Tahoma"/>
          <w:sz w:val="18"/>
          <w:szCs w:val="18"/>
        </w:rPr>
      </w:pPr>
      <w:r w:rsidRPr="00A70443">
        <w:rPr>
          <w:rFonts w:ascii="Tahoma" w:hAnsi="Tahoma" w:cs="Tahoma"/>
          <w:color w:val="000000"/>
          <w:sz w:val="18"/>
          <w:szCs w:val="18"/>
        </w:rPr>
        <w:t>SharePoint Online Piano 1 era precedentemente noto come SharePoint Online Standard.</w:t>
      </w:r>
    </w:p>
    <w:p w:rsidR="00F42FD5" w:rsidRPr="00A70443" w:rsidRDefault="00F42FD5" w:rsidP="00AC0ED2">
      <w:pPr>
        <w:pStyle w:val="EndnoteText"/>
        <w:ind w:left="720"/>
        <w:rPr>
          <w:rFonts w:ascii="Tahoma" w:hAnsi="Tahoma" w:cs="Tahoma"/>
          <w:sz w:val="18"/>
          <w:szCs w:val="18"/>
        </w:rPr>
      </w:pPr>
    </w:p>
    <w:p w:rsidR="00F42FD5" w:rsidRPr="00A70443" w:rsidRDefault="00F42FD5" w:rsidP="00AC0ED2">
      <w:pPr>
        <w:pStyle w:val="EndnoteText"/>
        <w:ind w:left="720"/>
        <w:rPr>
          <w:rFonts w:ascii="Tahoma" w:hAnsi="Tahoma" w:cs="Tahoma"/>
          <w:sz w:val="18"/>
          <w:szCs w:val="18"/>
        </w:rPr>
      </w:pPr>
      <w:r w:rsidRPr="00A70443">
        <w:rPr>
          <w:rFonts w:ascii="Tahoma" w:hAnsi="Tahoma" w:cs="Tahoma"/>
          <w:color w:val="000000"/>
          <w:sz w:val="18"/>
          <w:szCs w:val="18"/>
        </w:rPr>
        <w:t>Le società che, in Brasile o in Cile, acquisteranno SharePoint Online Piano 1 riceveranno SharePoint Online Standard.</w:t>
      </w:r>
      <w:r w:rsidR="009D3B41" w:rsidRPr="00A70443">
        <w:rPr>
          <w:rFonts w:ascii="Tahoma" w:hAnsi="Tahoma" w:cs="Tahoma"/>
          <w:color w:val="000000"/>
          <w:sz w:val="18"/>
          <w:szCs w:val="18"/>
        </w:rPr>
        <w:t xml:space="preserve"> </w:t>
      </w:r>
      <w:r w:rsidRPr="00A70443">
        <w:rPr>
          <w:rFonts w:ascii="Tahoma" w:hAnsi="Tahoma" w:cs="Tahoma"/>
          <w:color w:val="000000"/>
          <w:sz w:val="18"/>
          <w:szCs w:val="18"/>
        </w:rPr>
        <w:t>Tali società potranno migrare a SharePoint Online Piano 1 in un secondo momento.</w:t>
      </w:r>
    </w:p>
    <w:p w:rsidR="007316A1" w:rsidRPr="00A70443" w:rsidRDefault="007316A1" w:rsidP="00AC0ED2">
      <w:pPr>
        <w:pStyle w:val="EndnoteText"/>
        <w:ind w:left="720"/>
        <w:rPr>
          <w:rFonts w:ascii="Tahoma" w:hAnsi="Tahoma" w:cs="Tahoma"/>
          <w:sz w:val="18"/>
          <w:szCs w:val="18"/>
        </w:rPr>
      </w:pPr>
    </w:p>
    <w:p w:rsidR="00DB7BD1" w:rsidRPr="00A75DF9" w:rsidRDefault="00DB7BD1" w:rsidP="007B699C">
      <w:pPr>
        <w:spacing w:after="60"/>
        <w:ind w:left="720"/>
        <w:rPr>
          <w:rFonts w:cs="Tahoma"/>
        </w:rPr>
      </w:pPr>
      <w:r w:rsidRPr="00A75DF9">
        <w:rPr>
          <w:rFonts w:eastAsia="Calibri" w:cs="Tahoma"/>
          <w:b/>
          <w:color w:val="000000"/>
          <w:szCs w:val="18"/>
        </w:rPr>
        <w:t>Community Cloud per Enti Pubblici (solo Stati Uniti)</w:t>
      </w:r>
    </w:p>
    <w:p w:rsidR="00DB7BD1" w:rsidRPr="00A75DF9" w:rsidRDefault="00DB7BD1" w:rsidP="00AC0ED2">
      <w:pPr>
        <w:ind w:left="720"/>
        <w:rPr>
          <w:rFonts w:cs="Tahoma"/>
        </w:rPr>
      </w:pPr>
      <w:r w:rsidRPr="00A75DF9">
        <w:rPr>
          <w:rFonts w:eastAsia="Calibri" w:cs="Tahoma"/>
          <w:color w:val="000000"/>
          <w:szCs w:val="18"/>
        </w:rPr>
        <w:t>Alcuni servizi online della famiglia di prodotti Office 365 (incluso SharePoint Online Piano 1 e 2) sono offerti come servizi di community cloud per enti pubblici e come servizi di community cloud per enti non pubblici.</w:t>
      </w:r>
      <w:r w:rsidR="009D3B41" w:rsidRPr="00A75DF9">
        <w:rPr>
          <w:rFonts w:eastAsia="Calibri" w:cs="Tahoma"/>
          <w:color w:val="000000"/>
          <w:szCs w:val="18"/>
        </w:rPr>
        <w:t xml:space="preserve"> </w:t>
      </w:r>
      <w:r w:rsidRPr="00A75DF9">
        <w:rPr>
          <w:rFonts w:eastAsia="Calibri" w:cs="Tahoma"/>
          <w:color w:val="000000"/>
          <w:szCs w:val="18"/>
        </w:rPr>
        <w:t>Alle società potrà essere effettuato il provisioning come ente pubblico o non pubblico, ma non come una combinazione di entrambi.</w:t>
      </w:r>
      <w:r w:rsidR="009D3B41" w:rsidRPr="00A75DF9">
        <w:rPr>
          <w:rFonts w:eastAsia="Calibri" w:cs="Tahoma"/>
          <w:color w:val="000000"/>
          <w:szCs w:val="18"/>
        </w:rPr>
        <w:t xml:space="preserve"> </w:t>
      </w:r>
      <w:r w:rsidRPr="00A75DF9">
        <w:rPr>
          <w:rFonts w:eastAsia="Calibri" w:cs="Tahoma"/>
          <w:color w:val="000000"/>
          <w:szCs w:val="18"/>
        </w:rPr>
        <w:t>I Servizi Online designati come community cloud per enti pubblici non potranno essere distribuiti nello stesso dominio in cui vengono distribuiti servizi specifici di community cloud per enti non pubblici. Tale limitazione si estende a qualsiasi servizio online facente parte della famiglia di prodotti Office 365, inclusi Exchange Online, SharePoint Online e Lync Online.</w:t>
      </w:r>
      <w:r w:rsidR="009D3B41" w:rsidRPr="00A75DF9">
        <w:rPr>
          <w:rFonts w:eastAsia="Calibri" w:cs="Tahoma"/>
          <w:color w:val="000000"/>
          <w:szCs w:val="18"/>
        </w:rPr>
        <w:t xml:space="preserve"> </w:t>
      </w:r>
    </w:p>
    <w:p w:rsidR="00DB7BD1" w:rsidRPr="00A75DF9" w:rsidRDefault="00DB7BD1" w:rsidP="00AC0ED2">
      <w:pPr>
        <w:ind w:left="720"/>
        <w:rPr>
          <w:rFonts w:cs="Tahoma"/>
        </w:rPr>
      </w:pPr>
    </w:p>
    <w:p w:rsidR="00DB7BD1" w:rsidRPr="00A75DF9" w:rsidRDefault="00DB7BD1" w:rsidP="00AC0ED2">
      <w:pPr>
        <w:ind w:left="720"/>
        <w:rPr>
          <w:rFonts w:cs="Tahoma"/>
        </w:rPr>
      </w:pPr>
      <w:r w:rsidRPr="00A75DF9">
        <w:rPr>
          <w:rFonts w:eastAsia="Calibri" w:cs="Tahoma"/>
          <w:color w:val="000000"/>
          <w:szCs w:val="18"/>
        </w:rPr>
        <w:t>Quando verrà effettuato il provisioning di un servizio online nel community cloud per enti pubblici, rimarrà tale per tutto il periodo di validità della sottoscrizione. Le società che sono enti pubblici federali, statali, locali o tribali negli Stati Uniti dovranno essere in possesso di un</w:t>
      </w:r>
      <w:r w:rsidR="00F2643E">
        <w:rPr>
          <w:rFonts w:eastAsia="Calibri" w:cs="Tahoma"/>
          <w:color w:val="000000"/>
          <w:szCs w:val="18"/>
        </w:rPr>
        <w:t>’</w:t>
      </w:r>
      <w:r w:rsidRPr="00A75DF9">
        <w:rPr>
          <w:rFonts w:eastAsia="Calibri" w:cs="Tahoma"/>
          <w:color w:val="000000"/>
          <w:szCs w:val="18"/>
        </w:rPr>
        <w:t>Iscrizione Enterprise o Enterprise Subscription per Enti Pubblici Statunitensi per essere idonei all</w:t>
      </w:r>
      <w:r w:rsidR="00F2643E">
        <w:rPr>
          <w:rFonts w:eastAsia="Calibri" w:cs="Tahoma"/>
          <w:color w:val="000000"/>
          <w:szCs w:val="18"/>
        </w:rPr>
        <w:t>’</w:t>
      </w:r>
      <w:r w:rsidRPr="00A75DF9">
        <w:rPr>
          <w:rFonts w:eastAsia="Calibri" w:cs="Tahoma"/>
          <w:color w:val="000000"/>
          <w:szCs w:val="18"/>
        </w:rPr>
        <w:t>acquisto di servizi online designati come community cloud per enti pubblici.</w:t>
      </w:r>
      <w:r w:rsidR="009D3B41" w:rsidRPr="00A75DF9">
        <w:rPr>
          <w:rFonts w:eastAsia="Calibri" w:cs="Tahoma"/>
          <w:color w:val="000000"/>
          <w:szCs w:val="18"/>
        </w:rPr>
        <w:t xml:space="preserve"> </w:t>
      </w:r>
      <w:r w:rsidRPr="00A75DF9">
        <w:rPr>
          <w:rFonts w:eastAsia="Calibri" w:cs="Tahoma"/>
          <w:color w:val="000000"/>
          <w:szCs w:val="18"/>
        </w:rPr>
        <w:t>I Diritti sull</w:t>
      </w:r>
      <w:r w:rsidR="00F2643E">
        <w:rPr>
          <w:rFonts w:eastAsia="Calibri" w:cs="Tahoma"/>
          <w:color w:val="000000"/>
          <w:szCs w:val="18"/>
        </w:rPr>
        <w:t>’</w:t>
      </w:r>
      <w:r w:rsidRPr="00A75DF9">
        <w:rPr>
          <w:rFonts w:eastAsia="Calibri" w:cs="Tahoma"/>
          <w:color w:val="000000"/>
          <w:szCs w:val="18"/>
        </w:rPr>
        <w:t>Utilizzo relativi ai servizi di community cloud per enti pubblici sono simili a quelli dei loro equivalenti multi-tenant standard.</w:t>
      </w:r>
    </w:p>
    <w:p w:rsidR="00C737B6" w:rsidRPr="00A70443" w:rsidRDefault="00C737B6" w:rsidP="00697E59">
      <w:pPr>
        <w:pStyle w:val="EndnoteText"/>
        <w:ind w:left="0"/>
        <w:rPr>
          <w:rFonts w:ascii="Tahoma" w:hAnsi="Tahoma" w:cs="Tahoma"/>
          <w:sz w:val="18"/>
          <w:szCs w:val="18"/>
        </w:rPr>
      </w:pPr>
    </w:p>
    <w:p w:rsidR="007B699C" w:rsidRDefault="007B699C" w:rsidP="00697E59">
      <w:pPr>
        <w:pStyle w:val="EndnoteText"/>
        <w:ind w:left="0"/>
        <w:rPr>
          <w:rFonts w:ascii="Tahoma" w:hAnsi="Tahoma" w:cs="Tahoma"/>
          <w:sz w:val="18"/>
          <w:szCs w:val="18"/>
        </w:rPr>
      </w:pPr>
    </w:p>
    <w:p w:rsidR="00861C29" w:rsidRPr="00A70443" w:rsidRDefault="00861C29" w:rsidP="00697E59">
      <w:pPr>
        <w:pStyle w:val="EndnoteText"/>
        <w:ind w:left="0"/>
        <w:rPr>
          <w:rFonts w:ascii="Tahoma" w:hAnsi="Tahoma" w:cs="Tahoma"/>
          <w:sz w:val="18"/>
          <w:szCs w:val="18"/>
        </w:rPr>
      </w:pPr>
    </w:p>
    <w:p w:rsidR="002F7FB8" w:rsidRPr="00A75DF9" w:rsidRDefault="00152E1B" w:rsidP="002F7FB8">
      <w:pPr>
        <w:pStyle w:val="Heading2"/>
        <w:ind w:left="0"/>
        <w:rPr>
          <w:rFonts w:ascii="Tahoma" w:hAnsi="Tahoma" w:cs="Tahoma"/>
        </w:rPr>
      </w:pPr>
      <w:bookmarkStart w:id="1395" w:name="_69_SharePoint_Server"/>
      <w:bookmarkStart w:id="1396" w:name="_74_72_SharePoint"/>
      <w:bookmarkStart w:id="1397" w:name="_79_SharePoint_Server"/>
      <w:bookmarkStart w:id="1398" w:name="_Toc336338335"/>
      <w:bookmarkStart w:id="1399" w:name="Srv_65ShareptSvr10"/>
      <w:bookmarkStart w:id="1400" w:name="Srv_64OfficeShareptSvr10"/>
      <w:bookmarkStart w:id="1401" w:name="Srv_63OfficeShareptSvr07"/>
      <w:bookmarkStart w:id="1402" w:name="Srv_62OfficeShareptSvr07"/>
      <w:bookmarkStart w:id="1403" w:name="_Toc368310329"/>
      <w:bookmarkEnd w:id="1393"/>
      <w:bookmarkEnd w:id="1395"/>
      <w:bookmarkEnd w:id="1396"/>
      <w:bookmarkEnd w:id="1397"/>
      <w:r w:rsidRPr="00A75DF9">
        <w:rPr>
          <w:rFonts w:ascii="Tahoma" w:hAnsi="Tahoma" w:cs="Tahoma"/>
          <w:caps/>
          <w:color w:val="FA6500"/>
          <w:sz w:val="22"/>
          <w:vertAlign w:val="superscript"/>
        </w:rPr>
        <w:lastRenderedPageBreak/>
        <w:t xml:space="preserve">79 </w:t>
      </w:r>
      <w:r w:rsidRPr="00A75DF9">
        <w:rPr>
          <w:rFonts w:ascii="Tahoma" w:hAnsi="Tahoma" w:cs="Tahoma"/>
          <w:color w:val="FA6500"/>
          <w:sz w:val="22"/>
        </w:rPr>
        <w:t xml:space="preserve">SharePoint Server </w:t>
      </w:r>
      <w:bookmarkEnd w:id="1398"/>
      <w:r w:rsidRPr="00A75DF9">
        <w:rPr>
          <w:rFonts w:ascii="Tahoma" w:hAnsi="Tahoma" w:cs="Tahoma"/>
          <w:color w:val="FA6500"/>
          <w:sz w:val="22"/>
        </w:rPr>
        <w:t>2013</w:t>
      </w:r>
      <w:bookmarkEnd w:id="1403"/>
      <w:r w:rsidRPr="00A75DF9">
        <w:rPr>
          <w:rFonts w:ascii="Tahoma" w:hAnsi="Tahoma" w:cs="Tahoma"/>
          <w:color w:val="FA6500"/>
          <w:sz w:val="22"/>
        </w:rPr>
        <w:t xml:space="preserve"> </w:t>
      </w:r>
    </w:p>
    <w:bookmarkEnd w:id="1399"/>
    <w:bookmarkEnd w:id="1400"/>
    <w:bookmarkEnd w:id="1401"/>
    <w:bookmarkEnd w:id="1402"/>
    <w:p w:rsidR="002F7FB8" w:rsidRPr="00A75DF9" w:rsidRDefault="002F7FB8" w:rsidP="002F7FB8">
      <w:pPr>
        <w:ind w:left="720"/>
        <w:rPr>
          <w:rFonts w:cs="Tahoma"/>
        </w:rPr>
      </w:pPr>
    </w:p>
    <w:p w:rsidR="002F7FB8" w:rsidRPr="00A75DF9" w:rsidRDefault="002F7FB8" w:rsidP="002F7FB8">
      <w:pPr>
        <w:ind w:left="720"/>
        <w:rPr>
          <w:rFonts w:cs="Tahoma"/>
        </w:rPr>
      </w:pPr>
      <w:r w:rsidRPr="00A75DF9">
        <w:rPr>
          <w:rFonts w:cs="Tahoma"/>
          <w:color w:val="000000"/>
          <w:szCs w:val="18"/>
        </w:rPr>
        <w:t>SharePoint Server 2013 è l</w:t>
      </w:r>
      <w:r w:rsidR="00F2643E">
        <w:rPr>
          <w:rFonts w:cs="Tahoma"/>
          <w:color w:val="000000"/>
          <w:szCs w:val="18"/>
        </w:rPr>
        <w:t>’</w:t>
      </w:r>
      <w:r w:rsidRPr="00A75DF9">
        <w:rPr>
          <w:rFonts w:cs="Tahoma"/>
          <w:color w:val="000000"/>
          <w:szCs w:val="18"/>
        </w:rPr>
        <w:t>ultima versione di SharePoint Server.</w:t>
      </w:r>
    </w:p>
    <w:p w:rsidR="002F7FB8" w:rsidRPr="00A75DF9" w:rsidRDefault="002F7FB8" w:rsidP="002F7FB8">
      <w:pPr>
        <w:ind w:left="720"/>
        <w:rPr>
          <w:rFonts w:cs="Tahoma"/>
        </w:rPr>
      </w:pPr>
    </w:p>
    <w:p w:rsidR="002F7FB8" w:rsidRPr="00A75DF9" w:rsidRDefault="002F7FB8" w:rsidP="007B699C">
      <w:pPr>
        <w:spacing w:after="60"/>
        <w:ind w:left="720"/>
        <w:rPr>
          <w:rFonts w:cs="Tahoma"/>
        </w:rPr>
      </w:pPr>
      <w:r w:rsidRPr="00A75DF9">
        <w:rPr>
          <w:rFonts w:cs="Tahoma"/>
          <w:b/>
          <w:color w:val="000000"/>
          <w:szCs w:val="18"/>
        </w:rPr>
        <w:t>Concessioni di Licenza per le Società Titolari di Licenze SharePoint Server 2010 for Internet Sites Enterprise, SharePoint Server 2010 for Internet Sites Standard, FAST Search Server 2010 for SharePoint Server, Search Server 2010</w:t>
      </w:r>
    </w:p>
    <w:p w:rsidR="002F7FB8" w:rsidRPr="00A75DF9" w:rsidRDefault="00CD0D74" w:rsidP="00A70443">
      <w:pPr>
        <w:ind w:left="720"/>
        <w:rPr>
          <w:rFonts w:cs="Tahoma"/>
        </w:rPr>
      </w:pPr>
      <w:r w:rsidRPr="00A75DF9">
        <w:rPr>
          <w:rFonts w:cs="Tahoma"/>
          <w:color w:val="000000"/>
          <w:szCs w:val="18"/>
        </w:rPr>
        <w:t>La versione 2010 delle licenze per SharePoint Server for Internet Sites Enterprise e SharePoint Server for Internet Sites Standard, FAST Search Server for SharePoint Server e Search Server è la versione finale di tali</w:t>
      </w:r>
      <w:r w:rsidR="00A70443">
        <w:rPr>
          <w:rFonts w:cs="Tahoma"/>
          <w:color w:val="000000"/>
          <w:szCs w:val="18"/>
        </w:rPr>
        <w:t> </w:t>
      </w:r>
      <w:r w:rsidRPr="00A75DF9">
        <w:rPr>
          <w:rFonts w:cs="Tahoma"/>
          <w:color w:val="000000"/>
          <w:szCs w:val="18"/>
        </w:rPr>
        <w:t>prodotti.</w:t>
      </w:r>
      <w:r w:rsidR="009D3B41" w:rsidRPr="00A75DF9">
        <w:rPr>
          <w:rFonts w:cs="Tahoma"/>
          <w:color w:val="000000"/>
          <w:szCs w:val="18"/>
        </w:rPr>
        <w:t xml:space="preserve"> </w:t>
      </w:r>
      <w:r w:rsidRPr="00A75DF9">
        <w:rPr>
          <w:rFonts w:cs="Tahoma"/>
          <w:color w:val="000000"/>
          <w:szCs w:val="18"/>
        </w:rPr>
        <w:t>Alla luce di ciò, le società con licenze per SharePoint Server 2010 for Internet Sites Enterprise, SharePoint Server 2010 for Internet Sites Standard, FAST Search Server 2010 for SharePoint, Search Server 2010 con copertura Software Assurance attiva a partire dal 1 ottobre 2012 sono idonee alle concessioni di licenze che seguono.</w:t>
      </w:r>
    </w:p>
    <w:p w:rsidR="007B35CE" w:rsidRPr="00A75DF9" w:rsidRDefault="007B35CE" w:rsidP="002F7FB8">
      <w:pPr>
        <w:ind w:left="72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00"/>
        <w:gridCol w:w="3960"/>
      </w:tblGrid>
      <w:tr w:rsidR="002F7FB8" w:rsidRPr="00A75DF9" w:rsidTr="003E0F96">
        <w:trPr>
          <w:trHeight w:val="332"/>
        </w:trPr>
        <w:tc>
          <w:tcPr>
            <w:tcW w:w="4500" w:type="dxa"/>
            <w:shd w:val="clear" w:color="auto" w:fill="FABF8F"/>
          </w:tcPr>
          <w:p w:rsidR="002F7FB8" w:rsidRPr="00A75DF9" w:rsidRDefault="002F7FB8" w:rsidP="007E466C">
            <w:pPr>
              <w:keepNext/>
              <w:keepLines/>
              <w:spacing w:before="60" w:after="60"/>
              <w:rPr>
                <w:rFonts w:cs="Tahoma"/>
                <w:b/>
                <w:color w:val="000000"/>
                <w:szCs w:val="18"/>
              </w:rPr>
            </w:pPr>
            <w:r w:rsidRPr="00A75DF9">
              <w:rPr>
                <w:rFonts w:cs="Tahoma"/>
                <w:b/>
                <w:color w:val="000000"/>
                <w:szCs w:val="18"/>
              </w:rPr>
              <w:t>Licenza Qualificante</w:t>
            </w:r>
          </w:p>
        </w:tc>
        <w:tc>
          <w:tcPr>
            <w:tcW w:w="3960" w:type="dxa"/>
            <w:shd w:val="clear" w:color="auto" w:fill="FABF8F"/>
          </w:tcPr>
          <w:p w:rsidR="002F7FB8" w:rsidRPr="00A75DF9" w:rsidRDefault="002F7FB8" w:rsidP="007E466C">
            <w:pPr>
              <w:keepNext/>
              <w:keepLines/>
              <w:spacing w:before="60" w:after="60"/>
              <w:rPr>
                <w:rFonts w:cs="Tahoma"/>
                <w:b/>
                <w:color w:val="000000"/>
                <w:szCs w:val="18"/>
              </w:rPr>
            </w:pPr>
            <w:r w:rsidRPr="00A75DF9">
              <w:rPr>
                <w:rFonts w:cs="Tahoma"/>
                <w:b/>
                <w:color w:val="000000"/>
                <w:szCs w:val="18"/>
              </w:rPr>
              <w:t>Licenza Gratuita e Vantaggi</w:t>
            </w:r>
          </w:p>
        </w:tc>
      </w:tr>
      <w:tr w:rsidR="00CD0D74" w:rsidRPr="00A75DF9" w:rsidTr="003E0F96">
        <w:trPr>
          <w:trHeight w:val="70"/>
        </w:trPr>
        <w:tc>
          <w:tcPr>
            <w:tcW w:w="4500" w:type="dxa"/>
            <w:shd w:val="clear" w:color="auto" w:fill="auto"/>
          </w:tcPr>
          <w:p w:rsidR="00CD0D74" w:rsidRPr="00A75DF9" w:rsidRDefault="00CD0D74" w:rsidP="00A70443">
            <w:pPr>
              <w:keepNext/>
              <w:keepLines/>
              <w:rPr>
                <w:rFonts w:cs="Tahoma"/>
                <w:color w:val="000000"/>
                <w:szCs w:val="18"/>
              </w:rPr>
            </w:pPr>
            <w:r w:rsidRPr="00A75DF9">
              <w:rPr>
                <w:rFonts w:cs="Tahoma"/>
                <w:color w:val="000000"/>
                <w:szCs w:val="18"/>
              </w:rPr>
              <w:t>Licenza per SharePoint Server 2010 for Internet Sites Enterprise con Software Assurance attiva a partire dal</w:t>
            </w:r>
            <w:r w:rsidR="00A70443">
              <w:rPr>
                <w:rFonts w:cs="Tahoma"/>
                <w:color w:val="000000"/>
                <w:szCs w:val="18"/>
              </w:rPr>
              <w:t> </w:t>
            </w:r>
            <w:r w:rsidRPr="00A75DF9">
              <w:rPr>
                <w:rFonts w:cs="Tahoma"/>
                <w:color w:val="000000"/>
                <w:szCs w:val="18"/>
              </w:rPr>
              <w:t>1 ottobre 2012</w:t>
            </w:r>
          </w:p>
        </w:tc>
        <w:tc>
          <w:tcPr>
            <w:tcW w:w="3960" w:type="dxa"/>
            <w:shd w:val="clear" w:color="auto" w:fill="auto"/>
          </w:tcPr>
          <w:p w:rsidR="00CD0D74" w:rsidRPr="00A75DF9" w:rsidRDefault="00CD0D74" w:rsidP="00C066F9">
            <w:pPr>
              <w:keepNext/>
              <w:keepLines/>
              <w:rPr>
                <w:rFonts w:cs="Tahoma"/>
                <w:color w:val="000000"/>
                <w:szCs w:val="18"/>
              </w:rPr>
            </w:pPr>
            <w:r w:rsidRPr="00A75DF9">
              <w:rPr>
                <w:rFonts w:cs="Tahoma"/>
                <w:color w:val="000000"/>
                <w:szCs w:val="18"/>
              </w:rPr>
              <w:t>Una licenza per SharePoint Server 2013</w:t>
            </w:r>
          </w:p>
        </w:tc>
      </w:tr>
      <w:tr w:rsidR="00CD0D74" w:rsidRPr="00A75DF9" w:rsidTr="003E0F96">
        <w:trPr>
          <w:trHeight w:val="152"/>
        </w:trPr>
        <w:tc>
          <w:tcPr>
            <w:tcW w:w="4500" w:type="dxa"/>
            <w:shd w:val="clear" w:color="auto" w:fill="auto"/>
          </w:tcPr>
          <w:p w:rsidR="00CD0D74" w:rsidRPr="00A75DF9" w:rsidRDefault="00CD0D74" w:rsidP="00A70443">
            <w:pPr>
              <w:keepNext/>
              <w:keepLines/>
              <w:rPr>
                <w:rFonts w:cs="Tahoma"/>
                <w:color w:val="000000"/>
                <w:szCs w:val="18"/>
              </w:rPr>
            </w:pPr>
            <w:r w:rsidRPr="00A75DF9">
              <w:rPr>
                <w:rFonts w:cs="Tahoma"/>
                <w:color w:val="000000"/>
                <w:szCs w:val="18"/>
              </w:rPr>
              <w:t>Licenza per SharePoint Server 2010 for Internet Sites Standard con Software Assurance attiva a partire dal</w:t>
            </w:r>
            <w:r w:rsidR="00A70443">
              <w:rPr>
                <w:rFonts w:cs="Tahoma"/>
                <w:color w:val="000000"/>
                <w:szCs w:val="18"/>
              </w:rPr>
              <w:t> </w:t>
            </w:r>
            <w:r w:rsidRPr="00A75DF9">
              <w:rPr>
                <w:rFonts w:cs="Tahoma"/>
                <w:color w:val="000000"/>
                <w:szCs w:val="18"/>
              </w:rPr>
              <w:t xml:space="preserve">1 ottobre 2012 </w:t>
            </w:r>
          </w:p>
        </w:tc>
        <w:tc>
          <w:tcPr>
            <w:tcW w:w="3960" w:type="dxa"/>
            <w:shd w:val="clear" w:color="auto" w:fill="auto"/>
          </w:tcPr>
          <w:p w:rsidR="00CD0D74" w:rsidRPr="00A75DF9" w:rsidRDefault="00CD0D74" w:rsidP="00C066F9">
            <w:pPr>
              <w:keepNext/>
              <w:keepLines/>
              <w:rPr>
                <w:rFonts w:cs="Tahoma"/>
                <w:color w:val="000000"/>
                <w:szCs w:val="18"/>
              </w:rPr>
            </w:pPr>
            <w:r w:rsidRPr="00A75DF9">
              <w:rPr>
                <w:rFonts w:cs="Tahoma"/>
                <w:color w:val="000000"/>
                <w:szCs w:val="18"/>
              </w:rPr>
              <w:t>Una licenza per SharePoint Server 2013</w:t>
            </w:r>
          </w:p>
        </w:tc>
      </w:tr>
      <w:tr w:rsidR="00CD0D74" w:rsidRPr="00A75DF9" w:rsidTr="003E0F96">
        <w:trPr>
          <w:trHeight w:val="152"/>
        </w:trPr>
        <w:tc>
          <w:tcPr>
            <w:tcW w:w="4500" w:type="dxa"/>
            <w:shd w:val="clear" w:color="auto" w:fill="auto"/>
          </w:tcPr>
          <w:p w:rsidR="00CD0D74" w:rsidRPr="00A75DF9" w:rsidRDefault="00CD0D74" w:rsidP="003678D7">
            <w:pPr>
              <w:keepNext/>
              <w:keepLines/>
              <w:rPr>
                <w:rFonts w:cs="Tahoma"/>
                <w:color w:val="000000"/>
                <w:szCs w:val="18"/>
              </w:rPr>
            </w:pPr>
            <w:r w:rsidRPr="00A75DF9">
              <w:rPr>
                <w:rFonts w:cs="Tahoma"/>
                <w:color w:val="000000"/>
                <w:szCs w:val="18"/>
              </w:rPr>
              <w:t>Licenza per FAST Search Server 2010 for SharePoint Server con Software Assurance attiva a partire dal 1 ottobre 2012</w:t>
            </w:r>
          </w:p>
        </w:tc>
        <w:tc>
          <w:tcPr>
            <w:tcW w:w="3960" w:type="dxa"/>
            <w:shd w:val="clear" w:color="auto" w:fill="auto"/>
          </w:tcPr>
          <w:p w:rsidR="00CD0D74" w:rsidRPr="00A75DF9" w:rsidRDefault="00CD0D74" w:rsidP="00C066F9">
            <w:pPr>
              <w:keepNext/>
              <w:keepLines/>
              <w:rPr>
                <w:rFonts w:cs="Tahoma"/>
                <w:color w:val="000000"/>
                <w:szCs w:val="18"/>
              </w:rPr>
            </w:pPr>
            <w:r w:rsidRPr="00A75DF9">
              <w:rPr>
                <w:rFonts w:cs="Tahoma"/>
                <w:color w:val="000000"/>
                <w:szCs w:val="18"/>
              </w:rPr>
              <w:t>Una licenza per SharePoint Server 2013</w:t>
            </w:r>
          </w:p>
        </w:tc>
      </w:tr>
      <w:tr w:rsidR="00CD0D74" w:rsidRPr="00A75DF9" w:rsidTr="003E0F96">
        <w:trPr>
          <w:trHeight w:val="233"/>
        </w:trPr>
        <w:tc>
          <w:tcPr>
            <w:tcW w:w="4500" w:type="dxa"/>
            <w:shd w:val="clear" w:color="auto" w:fill="auto"/>
          </w:tcPr>
          <w:p w:rsidR="00CD0D74" w:rsidRPr="00A75DF9" w:rsidRDefault="00CD0D74" w:rsidP="003678D7">
            <w:pPr>
              <w:keepNext/>
              <w:keepLines/>
              <w:rPr>
                <w:rFonts w:cs="Tahoma"/>
                <w:color w:val="000000"/>
                <w:szCs w:val="18"/>
              </w:rPr>
            </w:pPr>
            <w:r w:rsidRPr="00A75DF9">
              <w:rPr>
                <w:rFonts w:cs="Tahoma"/>
                <w:color w:val="000000"/>
                <w:szCs w:val="18"/>
              </w:rPr>
              <w:t>Licenza per Search Server 2010 con Software Assurance attiva a partire dal 1 ottobre 2012</w:t>
            </w:r>
          </w:p>
        </w:tc>
        <w:tc>
          <w:tcPr>
            <w:tcW w:w="3960" w:type="dxa"/>
            <w:shd w:val="clear" w:color="auto" w:fill="auto"/>
          </w:tcPr>
          <w:p w:rsidR="00CD0D74" w:rsidRPr="00A70443" w:rsidRDefault="00CD0D74" w:rsidP="00C066F9">
            <w:pPr>
              <w:keepNext/>
              <w:keepLines/>
              <w:rPr>
                <w:rFonts w:cs="Tahoma"/>
              </w:rPr>
            </w:pPr>
            <w:r w:rsidRPr="00A70443">
              <w:rPr>
                <w:rFonts w:cs="Tahoma"/>
                <w:color w:val="000000"/>
                <w:szCs w:val="18"/>
              </w:rPr>
              <w:t>Una licenza per SharePoint Server 2013 e</w:t>
            </w:r>
          </w:p>
          <w:p w:rsidR="00CD0D74" w:rsidRPr="00A70443" w:rsidRDefault="00CD0D74" w:rsidP="00C066F9">
            <w:pPr>
              <w:keepNext/>
              <w:keepLines/>
              <w:rPr>
                <w:rFonts w:cs="Tahoma"/>
              </w:rPr>
            </w:pPr>
          </w:p>
          <w:p w:rsidR="00CD0D74" w:rsidRPr="00A75DF9" w:rsidRDefault="00CD0D74" w:rsidP="00C066F9">
            <w:pPr>
              <w:keepNext/>
              <w:keepLines/>
              <w:rPr>
                <w:rFonts w:cs="Tahoma"/>
                <w:color w:val="000000"/>
                <w:szCs w:val="18"/>
              </w:rPr>
            </w:pPr>
            <w:r w:rsidRPr="00A75DF9">
              <w:rPr>
                <w:rFonts w:cs="Tahoma"/>
                <w:color w:val="000000"/>
                <w:szCs w:val="18"/>
              </w:rPr>
              <w:t>100 Standard CAL per SharePoint Server 2013</w:t>
            </w:r>
          </w:p>
        </w:tc>
      </w:tr>
    </w:tbl>
    <w:p w:rsidR="00586FCE" w:rsidRDefault="00586FCE" w:rsidP="00586FCE">
      <w:pPr>
        <w:rPr>
          <w:rFonts w:cs="Tahoma"/>
        </w:rPr>
      </w:pPr>
    </w:p>
    <w:p w:rsidR="002F7FB8" w:rsidRPr="00A75DF9" w:rsidRDefault="002F7FB8" w:rsidP="002F7FB8">
      <w:pPr>
        <w:ind w:left="720"/>
        <w:rPr>
          <w:rFonts w:cs="Tahoma"/>
        </w:rPr>
      </w:pPr>
      <w:r w:rsidRPr="00A75DF9">
        <w:rPr>
          <w:rFonts w:cs="Tahoma"/>
          <w:color w:val="000000"/>
          <w:szCs w:val="18"/>
        </w:rPr>
        <w:t>Le condizioni che seguono si applicano alle concessioni di licenze riportate sopra.</w:t>
      </w:r>
    </w:p>
    <w:p w:rsidR="002F7FB8" w:rsidRPr="00A75DF9" w:rsidRDefault="002F7FB8" w:rsidP="002F7FB8">
      <w:pPr>
        <w:ind w:left="720"/>
        <w:rPr>
          <w:rFonts w:cs="Tahoma"/>
        </w:rPr>
      </w:pPr>
    </w:p>
    <w:p w:rsidR="002F7FB8" w:rsidRPr="00A75DF9" w:rsidRDefault="002F7FB8" w:rsidP="00346F4B">
      <w:pPr>
        <w:numPr>
          <w:ilvl w:val="0"/>
          <w:numId w:val="101"/>
        </w:numPr>
        <w:spacing w:after="60"/>
        <w:ind w:left="1440"/>
        <w:rPr>
          <w:rFonts w:cs="Tahoma"/>
        </w:rPr>
      </w:pPr>
      <w:r w:rsidRPr="00A75DF9">
        <w:rPr>
          <w:rFonts w:cs="Tahoma"/>
          <w:bCs/>
          <w:color w:val="000000"/>
          <w:szCs w:val="18"/>
          <w:u w:val="single"/>
        </w:rPr>
        <w:t>Percorso di Migrazione</w:t>
      </w:r>
      <w:r w:rsidRPr="00A70443">
        <w:rPr>
          <w:rFonts w:cs="Tahoma"/>
          <w:color w:val="000000"/>
          <w:szCs w:val="18"/>
        </w:rPr>
        <w:t>:</w:t>
      </w:r>
      <w:r w:rsidRPr="00A75DF9">
        <w:rPr>
          <w:rFonts w:cs="Tahoma"/>
          <w:color w:val="000000"/>
          <w:szCs w:val="18"/>
        </w:rPr>
        <w:t xml:space="preserve"> le società con copertura Software Assurance attiva per una determinata licenza Qualificante al 1 ottobre 2012 e al rilascio della versione commerciale di SharePoint Server 2013 sono idonee a effettuare l</w:t>
      </w:r>
      <w:r w:rsidR="00F2643E">
        <w:rPr>
          <w:rFonts w:cs="Tahoma"/>
          <w:color w:val="000000"/>
          <w:szCs w:val="18"/>
        </w:rPr>
        <w:t>’</w:t>
      </w:r>
      <w:r w:rsidRPr="00A75DF9">
        <w:rPr>
          <w:rFonts w:cs="Tahoma"/>
          <w:color w:val="000000"/>
          <w:szCs w:val="18"/>
        </w:rPr>
        <w:t>aggiornamento al software SharePoint 2013 e a utilizzarlo ai sensi della Licenza Gratuita al posto della corrispondente copia con licenza della versione 2010 del software.</w:t>
      </w:r>
      <w:r w:rsidR="009D3B41" w:rsidRPr="00A75DF9">
        <w:rPr>
          <w:rFonts w:cs="Tahoma"/>
          <w:color w:val="000000"/>
          <w:szCs w:val="18"/>
        </w:rPr>
        <w:t xml:space="preserve"> </w:t>
      </w:r>
    </w:p>
    <w:p w:rsidR="002F7FB8" w:rsidRPr="00A75DF9" w:rsidRDefault="002F7FB8" w:rsidP="00A70443">
      <w:pPr>
        <w:numPr>
          <w:ilvl w:val="0"/>
          <w:numId w:val="101"/>
        </w:numPr>
        <w:spacing w:after="60"/>
        <w:ind w:left="1440"/>
        <w:rPr>
          <w:rFonts w:cs="Tahoma"/>
        </w:rPr>
      </w:pPr>
      <w:r w:rsidRPr="00A75DF9">
        <w:rPr>
          <w:rFonts w:cs="Tahoma"/>
          <w:color w:val="000000"/>
          <w:szCs w:val="18"/>
          <w:u w:val="single"/>
        </w:rPr>
        <w:t>Diritti sull</w:t>
      </w:r>
      <w:r w:rsidR="00F2643E">
        <w:rPr>
          <w:rFonts w:cs="Tahoma"/>
          <w:color w:val="000000"/>
          <w:szCs w:val="18"/>
          <w:u w:val="single"/>
        </w:rPr>
        <w:t>’</w:t>
      </w:r>
      <w:r w:rsidRPr="00A75DF9">
        <w:rPr>
          <w:rFonts w:cs="Tahoma"/>
          <w:color w:val="000000"/>
          <w:szCs w:val="18"/>
          <w:u w:val="single"/>
        </w:rPr>
        <w:t>utilizzo</w:t>
      </w:r>
      <w:r w:rsidRPr="00A75DF9">
        <w:rPr>
          <w:rFonts w:cs="Tahoma"/>
          <w:color w:val="000000"/>
          <w:szCs w:val="18"/>
        </w:rPr>
        <w:t>: il diritto di utilizzo del software ai sensi della Licenza Gratuita della presente offerta scadrà alla scadenza del diritto di utilizzo del software ai sensi della Licenza Qualificante.</w:t>
      </w:r>
      <w:r w:rsidR="009D3B41" w:rsidRPr="00A75DF9">
        <w:rPr>
          <w:rFonts w:cs="Tahoma"/>
          <w:color w:val="000000"/>
          <w:szCs w:val="18"/>
        </w:rPr>
        <w:t xml:space="preserve"> </w:t>
      </w:r>
      <w:r w:rsidRPr="00A75DF9">
        <w:rPr>
          <w:rFonts w:cs="Tahoma"/>
          <w:color w:val="000000"/>
          <w:szCs w:val="18"/>
        </w:rPr>
        <w:t>L</w:t>
      </w:r>
      <w:r w:rsidR="00F2643E">
        <w:rPr>
          <w:rFonts w:cs="Tahoma"/>
          <w:color w:val="000000"/>
          <w:szCs w:val="18"/>
        </w:rPr>
        <w:t>’</w:t>
      </w:r>
      <w:r w:rsidRPr="00A75DF9">
        <w:rPr>
          <w:rFonts w:cs="Tahoma"/>
          <w:color w:val="000000"/>
          <w:szCs w:val="18"/>
        </w:rPr>
        <w:t>utilizzo di tale software è regolato dai diritti sull</w:t>
      </w:r>
      <w:r w:rsidR="00F2643E">
        <w:rPr>
          <w:rFonts w:cs="Tahoma"/>
          <w:color w:val="000000"/>
          <w:szCs w:val="18"/>
        </w:rPr>
        <w:t>’</w:t>
      </w:r>
      <w:r w:rsidRPr="00A75DF9">
        <w:rPr>
          <w:rFonts w:cs="Tahoma"/>
          <w:color w:val="000000"/>
          <w:szCs w:val="18"/>
        </w:rPr>
        <w:t>utilizzo del software e dalle condizioni del contratto Volume License della società.</w:t>
      </w:r>
      <w:r w:rsidR="009D3B41" w:rsidRPr="00A75DF9">
        <w:rPr>
          <w:rFonts w:cs="Tahoma"/>
          <w:color w:val="000000"/>
          <w:szCs w:val="18"/>
        </w:rPr>
        <w:t xml:space="preserve"> </w:t>
      </w:r>
      <w:r w:rsidRPr="00A75DF9">
        <w:rPr>
          <w:rFonts w:cs="Tahoma"/>
          <w:color w:val="000000"/>
          <w:szCs w:val="18"/>
        </w:rPr>
        <w:t>Questa nota relativa alle condizioni del prodotto e la prova da parte della società della corrispondente Licenza e Software Assurance (L&amp;SA) Qualificante costituiscono insieme la prova del diritto di utilizzo del software ai sensi della Licenza Gratuita della</w:t>
      </w:r>
      <w:r w:rsidR="00A70443">
        <w:rPr>
          <w:rFonts w:cs="Tahoma"/>
          <w:color w:val="000000"/>
          <w:szCs w:val="18"/>
        </w:rPr>
        <w:t> </w:t>
      </w:r>
      <w:r w:rsidRPr="00A75DF9">
        <w:rPr>
          <w:rFonts w:cs="Tahoma"/>
          <w:color w:val="000000"/>
          <w:szCs w:val="18"/>
        </w:rPr>
        <w:t xml:space="preserve">presente offerta. </w:t>
      </w:r>
    </w:p>
    <w:p w:rsidR="002F7FB8" w:rsidRPr="00A75DF9" w:rsidRDefault="002F7FB8" w:rsidP="007B699C">
      <w:pPr>
        <w:numPr>
          <w:ilvl w:val="0"/>
          <w:numId w:val="8"/>
        </w:numPr>
        <w:spacing w:after="60"/>
        <w:ind w:left="1440"/>
        <w:rPr>
          <w:rFonts w:cs="Tahoma"/>
        </w:rPr>
      </w:pPr>
      <w:r w:rsidRPr="00A75DF9">
        <w:rPr>
          <w:rFonts w:cs="Tahoma"/>
          <w:color w:val="000000"/>
          <w:szCs w:val="18"/>
          <w:u w:val="single"/>
        </w:rPr>
        <w:t>Licenza e Software Assurance (L&amp;SA)</w:t>
      </w:r>
      <w:r w:rsidRPr="00A75DF9">
        <w:rPr>
          <w:rFonts w:cs="Tahoma"/>
          <w:color w:val="000000"/>
          <w:szCs w:val="18"/>
        </w:rPr>
        <w:t>: la Licenza Gratuita include la copertura Software Assurance.</w:t>
      </w:r>
      <w:r w:rsidR="009D3B41" w:rsidRPr="00A75DF9">
        <w:rPr>
          <w:rFonts w:cs="Tahoma"/>
          <w:color w:val="000000"/>
          <w:szCs w:val="18"/>
        </w:rPr>
        <w:t xml:space="preserve"> </w:t>
      </w:r>
      <w:r w:rsidRPr="00A75DF9">
        <w:rPr>
          <w:rFonts w:cs="Tahoma"/>
          <w:color w:val="000000"/>
          <w:szCs w:val="18"/>
        </w:rPr>
        <w:t>La copertura Software Assurance per la Licenza Gratuita scadrà alla scadenza della copertura per la Licenza Qualificante.</w:t>
      </w:r>
      <w:r w:rsidR="009D3B41" w:rsidRPr="00A75DF9">
        <w:rPr>
          <w:rFonts w:cs="Tahoma"/>
          <w:color w:val="000000"/>
          <w:szCs w:val="18"/>
        </w:rPr>
        <w:t xml:space="preserve"> </w:t>
      </w:r>
      <w:r w:rsidRPr="00A75DF9">
        <w:rPr>
          <w:rFonts w:cs="Tahoma"/>
          <w:color w:val="000000"/>
          <w:szCs w:val="18"/>
        </w:rPr>
        <w:t>Alla scadenza della copertura Software Assurance per la Licenza Qualificante, la società potrà rinnovare Software Assurance per la Licenza Gratuita senza dover acquistare una nuova licenza specifica.</w:t>
      </w:r>
    </w:p>
    <w:p w:rsidR="002F7FB8" w:rsidRPr="00A75DF9" w:rsidRDefault="002F7FB8" w:rsidP="00A70443">
      <w:pPr>
        <w:numPr>
          <w:ilvl w:val="0"/>
          <w:numId w:val="102"/>
        </w:numPr>
        <w:spacing w:after="60"/>
        <w:ind w:left="1440"/>
        <w:rPr>
          <w:rFonts w:cs="Tahoma"/>
        </w:rPr>
      </w:pPr>
      <w:r w:rsidRPr="00A75DF9">
        <w:rPr>
          <w:rFonts w:eastAsia="Calibri" w:cs="Tahoma"/>
          <w:color w:val="000000"/>
          <w:szCs w:val="18"/>
          <w:u w:val="single"/>
        </w:rPr>
        <w:t>True-up</w:t>
      </w:r>
      <w:r w:rsidRPr="00A75DF9">
        <w:rPr>
          <w:rFonts w:eastAsia="Calibri" w:cs="Tahoma"/>
          <w:b/>
          <w:color w:val="000000"/>
          <w:szCs w:val="18"/>
        </w:rPr>
        <w:t>.</w:t>
      </w:r>
      <w:r w:rsidR="009D3B41" w:rsidRPr="00A75DF9">
        <w:rPr>
          <w:rFonts w:eastAsia="Calibri" w:cs="Tahoma"/>
          <w:color w:val="000000"/>
          <w:szCs w:val="18"/>
        </w:rPr>
        <w:t xml:space="preserve"> </w:t>
      </w:r>
      <w:r w:rsidRPr="00A75DF9">
        <w:rPr>
          <w:rFonts w:eastAsia="Calibri" w:cs="Tahoma"/>
          <w:color w:val="000000"/>
          <w:szCs w:val="18"/>
        </w:rPr>
        <w:t>Per le società titolari di un Contratto Enterprise idonee a ricevere tali Licenze Gratuite e</w:t>
      </w:r>
      <w:r w:rsidR="00A70443">
        <w:rPr>
          <w:rFonts w:eastAsia="Calibri" w:cs="Tahoma"/>
          <w:color w:val="000000"/>
          <w:szCs w:val="18"/>
        </w:rPr>
        <w:t> </w:t>
      </w:r>
      <w:r w:rsidRPr="00A75DF9">
        <w:rPr>
          <w:rFonts w:eastAsia="Calibri" w:cs="Tahoma"/>
          <w:color w:val="000000"/>
          <w:szCs w:val="18"/>
        </w:rPr>
        <w:t>i</w:t>
      </w:r>
      <w:r w:rsidR="00A70443">
        <w:rPr>
          <w:rFonts w:eastAsia="Calibri" w:cs="Tahoma"/>
          <w:color w:val="000000"/>
          <w:szCs w:val="18"/>
        </w:rPr>
        <w:t> </w:t>
      </w:r>
      <w:r w:rsidRPr="00A75DF9">
        <w:rPr>
          <w:rFonts w:eastAsia="Calibri" w:cs="Tahoma"/>
          <w:color w:val="000000"/>
          <w:szCs w:val="18"/>
        </w:rPr>
        <w:t xml:space="preserve">diritti descritti in precedenza, le licenze SharePoint Server 2010 for Internet Sites Enterprise, SharePoint Server 2010 for Internet Sites Standard </w:t>
      </w:r>
      <w:r w:rsidRPr="00A75DF9">
        <w:rPr>
          <w:rFonts w:cs="Tahoma"/>
          <w:color w:val="000000"/>
          <w:szCs w:val="20"/>
        </w:rPr>
        <w:t xml:space="preserve">e FAST Search Server 2010 for SharePoint Server </w:t>
      </w:r>
      <w:r w:rsidRPr="00A75DF9">
        <w:rPr>
          <w:rFonts w:eastAsia="Calibri" w:cs="Tahoma"/>
          <w:color w:val="000000"/>
          <w:szCs w:val="18"/>
        </w:rPr>
        <w:t>acquistate nell</w:t>
      </w:r>
      <w:r w:rsidR="00F2643E">
        <w:rPr>
          <w:rFonts w:eastAsia="Calibri" w:cs="Tahoma"/>
          <w:color w:val="000000"/>
          <w:szCs w:val="18"/>
        </w:rPr>
        <w:t>’</w:t>
      </w:r>
      <w:r w:rsidRPr="00A75DF9">
        <w:rPr>
          <w:rFonts w:eastAsia="Calibri" w:cs="Tahoma"/>
          <w:color w:val="000000"/>
          <w:szCs w:val="18"/>
        </w:rPr>
        <w:t xml:space="preserve">ambito di una procedura </w:t>
      </w:r>
      <w:r w:rsidRPr="00A75DF9">
        <w:rPr>
          <w:rFonts w:cs="Tahoma"/>
          <w:color w:val="000000"/>
          <w:szCs w:val="18"/>
        </w:rPr>
        <w:t>annuale di true-up sono, anch</w:t>
      </w:r>
      <w:r w:rsidR="00F2643E">
        <w:rPr>
          <w:rFonts w:cs="Tahoma"/>
          <w:color w:val="000000"/>
          <w:szCs w:val="18"/>
        </w:rPr>
        <w:t>’</w:t>
      </w:r>
      <w:r w:rsidRPr="00A75DF9">
        <w:rPr>
          <w:rFonts w:cs="Tahoma"/>
          <w:color w:val="000000"/>
          <w:szCs w:val="18"/>
        </w:rPr>
        <w:t xml:space="preserve">esse, licenze qualificanti. </w:t>
      </w:r>
    </w:p>
    <w:p w:rsidR="002F7FB8" w:rsidRPr="00A75DF9" w:rsidRDefault="002F7FB8" w:rsidP="00A70443">
      <w:pPr>
        <w:numPr>
          <w:ilvl w:val="0"/>
          <w:numId w:val="102"/>
        </w:numPr>
        <w:spacing w:after="60"/>
        <w:ind w:left="1440"/>
        <w:rPr>
          <w:rFonts w:cs="Tahoma"/>
        </w:rPr>
      </w:pPr>
      <w:r w:rsidRPr="00A75DF9">
        <w:rPr>
          <w:rFonts w:cs="Tahoma"/>
          <w:color w:val="000000"/>
          <w:szCs w:val="18"/>
          <w:u w:val="single"/>
        </w:rPr>
        <w:t>Contratti “Subscription”</w:t>
      </w:r>
      <w:r w:rsidRPr="00A75DF9">
        <w:rPr>
          <w:rFonts w:cs="Tahoma"/>
          <w:color w:val="000000"/>
          <w:szCs w:val="18"/>
        </w:rPr>
        <w:t>.</w:t>
      </w:r>
      <w:r w:rsidR="009D3B41" w:rsidRPr="00A75DF9">
        <w:rPr>
          <w:rFonts w:cs="Tahoma"/>
          <w:color w:val="000000"/>
          <w:szCs w:val="18"/>
        </w:rPr>
        <w:t xml:space="preserve"> </w:t>
      </w:r>
      <w:r w:rsidRPr="00A75DF9">
        <w:rPr>
          <w:rFonts w:cs="Tahoma"/>
          <w:color w:val="000000"/>
          <w:szCs w:val="18"/>
        </w:rPr>
        <w:t xml:space="preserve">per quanto riguarda i Contratti Enterprise Subscription, </w:t>
      </w:r>
      <w:r w:rsidRPr="00A75DF9">
        <w:rPr>
          <w:rFonts w:cs="Tahoma"/>
          <w:szCs w:val="18"/>
        </w:rPr>
        <w:t>Open Value Subscription, Campus e School, Enrollment for Education Solutions e Open Value Subscription-Education Solutions, gli stessi diritti verranno concessi temporaneamente, in base alle medesime condizioni,</w:t>
      </w:r>
      <w:r w:rsidRPr="00A75DF9">
        <w:rPr>
          <w:rFonts w:cs="Tahoma"/>
          <w:color w:val="000000"/>
          <w:szCs w:val="18"/>
        </w:rPr>
        <w:t xml:space="preserve"> fino al termine del periodo di validità corrente dell</w:t>
      </w:r>
      <w:r w:rsidR="00F2643E">
        <w:rPr>
          <w:rFonts w:cs="Tahoma"/>
          <w:color w:val="000000"/>
          <w:szCs w:val="18"/>
        </w:rPr>
        <w:t>’</w:t>
      </w:r>
      <w:r w:rsidRPr="00A75DF9">
        <w:rPr>
          <w:rFonts w:cs="Tahoma"/>
          <w:color w:val="000000"/>
          <w:szCs w:val="18"/>
        </w:rPr>
        <w:t xml:space="preserve">iscrizione (o del periodo di validità </w:t>
      </w:r>
      <w:r w:rsidRPr="00A75DF9">
        <w:rPr>
          <w:rFonts w:cs="Tahoma"/>
          <w:color w:val="000000"/>
          <w:szCs w:val="18"/>
        </w:rPr>
        <w:lastRenderedPageBreak/>
        <w:t>del</w:t>
      </w:r>
      <w:r w:rsidR="00A70443">
        <w:rPr>
          <w:rFonts w:cs="Tahoma"/>
          <w:color w:val="000000"/>
          <w:szCs w:val="18"/>
        </w:rPr>
        <w:t> </w:t>
      </w:r>
      <w:r w:rsidRPr="00A75DF9">
        <w:rPr>
          <w:rFonts w:cs="Tahoma"/>
          <w:color w:val="000000"/>
          <w:szCs w:val="18"/>
        </w:rPr>
        <w:t>contratto nel caso di Open Value).</w:t>
      </w:r>
      <w:r w:rsidR="009D3B41" w:rsidRPr="00A75DF9">
        <w:rPr>
          <w:rFonts w:cs="Tahoma"/>
          <w:color w:val="000000"/>
          <w:szCs w:val="18"/>
        </w:rPr>
        <w:t xml:space="preserve"> </w:t>
      </w:r>
      <w:r w:rsidRPr="00A75DF9">
        <w:rPr>
          <w:rFonts w:cs="Tahoma"/>
          <w:color w:val="000000"/>
          <w:szCs w:val="18"/>
        </w:rPr>
        <w:t>La società dovrà mantenere la copertura dell</w:t>
      </w:r>
      <w:r w:rsidR="00F2643E">
        <w:rPr>
          <w:rFonts w:cs="Tahoma"/>
          <w:color w:val="000000"/>
          <w:szCs w:val="18"/>
        </w:rPr>
        <w:t>’</w:t>
      </w:r>
      <w:r w:rsidRPr="00A75DF9">
        <w:rPr>
          <w:rFonts w:cs="Tahoma"/>
          <w:color w:val="000000"/>
          <w:szCs w:val="18"/>
        </w:rPr>
        <w:t>abbonamento in via continuativa.</w:t>
      </w:r>
      <w:r w:rsidR="009D3B41" w:rsidRPr="00A75DF9">
        <w:rPr>
          <w:rFonts w:cs="Tahoma"/>
          <w:color w:val="000000"/>
          <w:szCs w:val="18"/>
        </w:rPr>
        <w:t xml:space="preserve"> </w:t>
      </w:r>
      <w:r w:rsidRPr="00A75DF9">
        <w:rPr>
          <w:rFonts w:cs="Tahoma"/>
          <w:color w:val="000000"/>
          <w:szCs w:val="18"/>
        </w:rPr>
        <w:t>Tali diritti diventeranno permanenti soltanto all</w:t>
      </w:r>
      <w:r w:rsidR="00F2643E">
        <w:rPr>
          <w:rFonts w:cs="Tahoma"/>
          <w:color w:val="000000"/>
          <w:szCs w:val="18"/>
        </w:rPr>
        <w:t>’</w:t>
      </w:r>
      <w:r w:rsidRPr="00A75DF9">
        <w:rPr>
          <w:rFonts w:cs="Tahoma"/>
          <w:color w:val="000000"/>
          <w:szCs w:val="18"/>
        </w:rPr>
        <w:t>esercizio dell</w:t>
      </w:r>
      <w:r w:rsidR="00F2643E">
        <w:rPr>
          <w:rFonts w:cs="Tahoma"/>
          <w:color w:val="000000"/>
          <w:szCs w:val="18"/>
        </w:rPr>
        <w:t>’</w:t>
      </w:r>
      <w:r w:rsidRPr="00A75DF9">
        <w:rPr>
          <w:rFonts w:cs="Tahoma"/>
          <w:color w:val="000000"/>
          <w:szCs w:val="18"/>
        </w:rPr>
        <w:t>opzione buy-out e</w:t>
      </w:r>
      <w:r w:rsidR="00A70443">
        <w:rPr>
          <w:rFonts w:cs="Tahoma"/>
          <w:color w:val="000000"/>
          <w:szCs w:val="18"/>
        </w:rPr>
        <w:t> </w:t>
      </w:r>
      <w:r w:rsidRPr="00A75DF9">
        <w:rPr>
          <w:rFonts w:cs="Tahoma"/>
          <w:color w:val="000000"/>
          <w:szCs w:val="18"/>
        </w:rPr>
        <w:t>resteranno soggetti a tutte le condizioni del contratto di licenza della società.</w:t>
      </w:r>
    </w:p>
    <w:p w:rsidR="002F7FB8" w:rsidRPr="00A75DF9" w:rsidRDefault="002F7FB8" w:rsidP="00A70443">
      <w:pPr>
        <w:numPr>
          <w:ilvl w:val="0"/>
          <w:numId w:val="103"/>
        </w:numPr>
        <w:spacing w:after="60"/>
        <w:ind w:left="1440"/>
        <w:rPr>
          <w:rFonts w:cs="Tahoma"/>
        </w:rPr>
      </w:pPr>
      <w:r w:rsidRPr="00A75DF9">
        <w:rPr>
          <w:rFonts w:cs="Tahoma"/>
          <w:szCs w:val="18"/>
          <w:u w:val="single"/>
        </w:rPr>
        <w:t>Transizioni ai Contratti Campus e School.</w:t>
      </w:r>
      <w:r w:rsidRPr="00A75DF9">
        <w:rPr>
          <w:rFonts w:cs="Tahoma"/>
          <w:szCs w:val="18"/>
        </w:rPr>
        <w:t xml:space="preserve"> Per quanto riguarda le società che a metà del periodo di</w:t>
      </w:r>
      <w:r w:rsidR="00A70443">
        <w:rPr>
          <w:rFonts w:cs="Tahoma"/>
          <w:szCs w:val="18"/>
        </w:rPr>
        <w:t> </w:t>
      </w:r>
      <w:r w:rsidRPr="00A75DF9">
        <w:rPr>
          <w:rFonts w:cs="Tahoma"/>
          <w:szCs w:val="18"/>
        </w:rPr>
        <w:t>validità effettuano la transizione dai contratti Campus e School al contratto Enrollment for Education Solutions o Open Value Subscription-Education Solutions mantenendo la copertura della</w:t>
      </w:r>
      <w:r w:rsidR="00A70443">
        <w:rPr>
          <w:rFonts w:cs="Tahoma"/>
          <w:szCs w:val="18"/>
        </w:rPr>
        <w:t> </w:t>
      </w:r>
      <w:r w:rsidRPr="00A75DF9">
        <w:rPr>
          <w:rFonts w:cs="Tahoma"/>
          <w:szCs w:val="18"/>
        </w:rPr>
        <w:t>sottoscrizione in via continuativa:</w:t>
      </w:r>
    </w:p>
    <w:p w:rsidR="002F7FB8" w:rsidRPr="00A70443" w:rsidRDefault="002F7FB8" w:rsidP="00346F4B">
      <w:pPr>
        <w:pStyle w:val="ListParagraph"/>
        <w:numPr>
          <w:ilvl w:val="0"/>
          <w:numId w:val="87"/>
        </w:numPr>
        <w:spacing w:after="60"/>
        <w:ind w:left="1800"/>
        <w:rPr>
          <w:rFonts w:ascii="Tahoma" w:hAnsi="Tahoma" w:cs="Tahoma"/>
          <w:sz w:val="18"/>
          <w:szCs w:val="18"/>
        </w:rPr>
      </w:pPr>
      <w:r w:rsidRPr="00A70443">
        <w:rPr>
          <w:rFonts w:ascii="Tahoma" w:hAnsi="Tahoma" w:cs="Tahoma"/>
          <w:sz w:val="18"/>
          <w:szCs w:val="18"/>
        </w:rPr>
        <w:t xml:space="preserve">Vengono concessi gli stessi diritti su base temporanea, ai sensi delle medesime condizioni, fino al termine, rispettivamente, del loro contratto Enrollment for Education Solutions o Open Value Subscription-Education Solutions. </w:t>
      </w:r>
    </w:p>
    <w:p w:rsidR="002512D3" w:rsidRPr="00A70443" w:rsidRDefault="002F7FB8" w:rsidP="00346F4B">
      <w:pPr>
        <w:pStyle w:val="ListParagraph"/>
        <w:numPr>
          <w:ilvl w:val="0"/>
          <w:numId w:val="87"/>
        </w:numPr>
        <w:spacing w:after="60"/>
        <w:ind w:left="1800"/>
        <w:rPr>
          <w:rFonts w:ascii="Tahoma" w:hAnsi="Tahoma" w:cs="Tahoma"/>
          <w:sz w:val="18"/>
          <w:szCs w:val="18"/>
        </w:rPr>
      </w:pPr>
      <w:r w:rsidRPr="00A70443">
        <w:rPr>
          <w:rFonts w:ascii="Tahoma" w:hAnsi="Tahoma" w:cs="Tahoma"/>
          <w:sz w:val="18"/>
          <w:szCs w:val="18"/>
        </w:rPr>
        <w:t>Tali diritti diventeranno permanenti soltanto all</w:t>
      </w:r>
      <w:r w:rsidR="00F2643E">
        <w:rPr>
          <w:rFonts w:ascii="Tahoma" w:hAnsi="Tahoma" w:cs="Tahoma"/>
          <w:sz w:val="18"/>
          <w:szCs w:val="18"/>
        </w:rPr>
        <w:t>’</w:t>
      </w:r>
      <w:r w:rsidRPr="00A70443">
        <w:rPr>
          <w:rFonts w:ascii="Tahoma" w:hAnsi="Tahoma" w:cs="Tahoma"/>
          <w:sz w:val="18"/>
          <w:szCs w:val="18"/>
        </w:rPr>
        <w:t>esercizio dell</w:t>
      </w:r>
      <w:r w:rsidR="00F2643E">
        <w:rPr>
          <w:rFonts w:ascii="Tahoma" w:hAnsi="Tahoma" w:cs="Tahoma"/>
          <w:sz w:val="18"/>
          <w:szCs w:val="18"/>
        </w:rPr>
        <w:t>’</w:t>
      </w:r>
      <w:r w:rsidRPr="00A70443">
        <w:rPr>
          <w:rFonts w:ascii="Tahoma" w:hAnsi="Tahoma" w:cs="Tahoma"/>
          <w:sz w:val="18"/>
          <w:szCs w:val="18"/>
        </w:rPr>
        <w:t>opzione buy-out e resteranno soggetti a tutte le condizioni del contratto di licenza della società.</w:t>
      </w:r>
    </w:p>
    <w:p w:rsidR="0004051B" w:rsidRPr="00A75DF9" w:rsidRDefault="0004051B" w:rsidP="0004051B">
      <w:pPr>
        <w:ind w:left="720"/>
        <w:rPr>
          <w:rFonts w:cs="Tahoma"/>
        </w:rPr>
      </w:pPr>
    </w:p>
    <w:p w:rsidR="002F7FB8" w:rsidRPr="00A75DF9" w:rsidRDefault="002F7FB8" w:rsidP="007B699C">
      <w:pPr>
        <w:spacing w:after="60"/>
        <w:ind w:left="720"/>
        <w:rPr>
          <w:rFonts w:cs="Tahoma"/>
        </w:rPr>
      </w:pPr>
      <w:r w:rsidRPr="00A75DF9">
        <w:rPr>
          <w:rFonts w:cs="Tahoma"/>
          <w:b/>
          <w:color w:val="000000"/>
          <w:szCs w:val="18"/>
        </w:rPr>
        <w:t>Diritti di Downgrade Eccezionali per Office SharePoint Server 2013</w:t>
      </w:r>
    </w:p>
    <w:p w:rsidR="002F7FB8" w:rsidRPr="00A75DF9" w:rsidRDefault="002F7FB8" w:rsidP="002F7FB8">
      <w:pPr>
        <w:ind w:left="720"/>
        <w:rPr>
          <w:rFonts w:cs="Tahoma"/>
        </w:rPr>
      </w:pPr>
      <w:r w:rsidRPr="00A75DF9">
        <w:rPr>
          <w:rFonts w:cs="Tahoma"/>
          <w:szCs w:val="18"/>
        </w:rPr>
        <w:t>Le società titolari di una licenza per SharePoint Server 2013 potranno accedere a qualsiasi prodotto elencato nella tabella che segue e utilizzarlo al posto di SharePoint Server 2013 come descritto di seguito:</w:t>
      </w:r>
    </w:p>
    <w:p w:rsidR="002F7FB8" w:rsidRPr="00A75DF9" w:rsidRDefault="002F7FB8" w:rsidP="002F7FB8">
      <w:pPr>
        <w:ind w:left="810"/>
        <w:rPr>
          <w:rFonts w:cs="Tahoma"/>
        </w:rPr>
      </w:pPr>
    </w:p>
    <w:tbl>
      <w:tblPr>
        <w:tblW w:w="8688" w:type="dxa"/>
        <w:tblInd w:w="878" w:type="dxa"/>
        <w:tblCellMar>
          <w:left w:w="0" w:type="dxa"/>
          <w:right w:w="0" w:type="dxa"/>
        </w:tblCellMar>
        <w:tblLook w:val="04A0" w:firstRow="1" w:lastRow="0" w:firstColumn="1" w:lastColumn="0" w:noHBand="0" w:noVBand="1"/>
      </w:tblPr>
      <w:tblGrid>
        <w:gridCol w:w="4392"/>
        <w:gridCol w:w="4296"/>
      </w:tblGrid>
      <w:tr w:rsidR="00BD1A6A" w:rsidRPr="00A75DF9" w:rsidTr="00CA14C9">
        <w:trPr>
          <w:tblHeader/>
        </w:trPr>
        <w:tc>
          <w:tcPr>
            <w:tcW w:w="4392" w:type="dxa"/>
            <w:tcBorders>
              <w:top w:val="single" w:sz="8" w:space="0" w:color="000000"/>
              <w:left w:val="single" w:sz="8" w:space="0" w:color="000000"/>
              <w:bottom w:val="single" w:sz="8" w:space="0" w:color="000000"/>
              <w:right w:val="single" w:sz="8" w:space="0" w:color="000000"/>
            </w:tcBorders>
            <w:shd w:val="clear" w:color="auto" w:fill="FABF8F"/>
            <w:tcMar>
              <w:top w:w="0" w:type="dxa"/>
              <w:left w:w="108" w:type="dxa"/>
              <w:bottom w:w="0" w:type="dxa"/>
              <w:right w:w="108" w:type="dxa"/>
            </w:tcMar>
          </w:tcPr>
          <w:p w:rsidR="00BD1A6A" w:rsidRPr="00A70443" w:rsidRDefault="00BD1A6A" w:rsidP="007E466C">
            <w:pPr>
              <w:spacing w:before="60" w:after="60"/>
              <w:ind w:left="162"/>
              <w:rPr>
                <w:rFonts w:cs="Tahoma"/>
                <w:b/>
                <w:bCs/>
                <w:color w:val="000000"/>
                <w:szCs w:val="18"/>
              </w:rPr>
            </w:pPr>
            <w:r w:rsidRPr="00A70443">
              <w:rPr>
                <w:rFonts w:cs="Tahoma"/>
                <w:b/>
                <w:bCs/>
                <w:color w:val="000000"/>
                <w:szCs w:val="18"/>
              </w:rPr>
              <w:t>Licenze per SharePoint Server 2013</w:t>
            </w:r>
          </w:p>
        </w:tc>
        <w:tc>
          <w:tcPr>
            <w:tcW w:w="4296" w:type="dxa"/>
            <w:tcBorders>
              <w:top w:val="single" w:sz="8" w:space="0" w:color="000000"/>
              <w:left w:val="nil"/>
              <w:bottom w:val="single" w:sz="8" w:space="0" w:color="000000"/>
              <w:right w:val="single" w:sz="8" w:space="0" w:color="auto"/>
            </w:tcBorders>
            <w:shd w:val="clear" w:color="auto" w:fill="FABF8F"/>
          </w:tcPr>
          <w:p w:rsidR="00BD1A6A" w:rsidRPr="00A70443" w:rsidRDefault="00BD1A6A" w:rsidP="007E466C">
            <w:pPr>
              <w:spacing w:before="60" w:after="60"/>
              <w:ind w:left="180"/>
              <w:rPr>
                <w:rFonts w:cs="Tahoma"/>
                <w:b/>
                <w:bCs/>
                <w:color w:val="000000"/>
                <w:szCs w:val="18"/>
              </w:rPr>
            </w:pPr>
            <w:r w:rsidRPr="00A70443">
              <w:rPr>
                <w:rFonts w:cs="Tahoma"/>
                <w:b/>
                <w:bCs/>
                <w:color w:val="000000"/>
                <w:szCs w:val="18"/>
              </w:rPr>
              <w:t>Downgrade a</w:t>
            </w:r>
          </w:p>
        </w:tc>
      </w:tr>
      <w:tr w:rsidR="00BD1A6A" w:rsidRPr="00A75DF9" w:rsidTr="007E466C">
        <w:tc>
          <w:tcPr>
            <w:tcW w:w="439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BD1A6A" w:rsidRPr="00A70443" w:rsidRDefault="00BD1A6A" w:rsidP="00722522">
            <w:pPr>
              <w:ind w:left="162"/>
              <w:rPr>
                <w:rFonts w:cs="Tahoma"/>
                <w:color w:val="000000"/>
                <w:szCs w:val="18"/>
              </w:rPr>
            </w:pPr>
            <w:r w:rsidRPr="00A70443">
              <w:rPr>
                <w:rFonts w:cs="Tahoma"/>
                <w:color w:val="000000"/>
                <w:szCs w:val="18"/>
              </w:rPr>
              <w:t>Licenza per SharePoint Server 2013</w:t>
            </w:r>
          </w:p>
        </w:tc>
        <w:tc>
          <w:tcPr>
            <w:tcW w:w="4296" w:type="dxa"/>
            <w:tcBorders>
              <w:top w:val="nil"/>
              <w:left w:val="nil"/>
              <w:bottom w:val="single" w:sz="8" w:space="0" w:color="000000"/>
              <w:right w:val="single" w:sz="8" w:space="0" w:color="000000"/>
            </w:tcBorders>
          </w:tcPr>
          <w:p w:rsidR="00BD1A6A" w:rsidRPr="00A70443" w:rsidRDefault="00BD1A6A" w:rsidP="00F249BF">
            <w:pPr>
              <w:ind w:left="162" w:right="180"/>
              <w:rPr>
                <w:rFonts w:cs="Tahoma"/>
                <w:szCs w:val="18"/>
              </w:rPr>
            </w:pPr>
            <w:r w:rsidRPr="00A70443">
              <w:rPr>
                <w:rFonts w:cs="Tahoma"/>
                <w:color w:val="000000"/>
                <w:szCs w:val="18"/>
              </w:rPr>
              <w:t xml:space="preserve">SharePoint Server 2010, </w:t>
            </w:r>
            <w:r w:rsidRPr="00A70443">
              <w:rPr>
                <w:rFonts w:cs="Tahoma"/>
                <w:b/>
                <w:color w:val="000000"/>
                <w:szCs w:val="18"/>
              </w:rPr>
              <w:t>o</w:t>
            </w:r>
          </w:p>
          <w:p w:rsidR="00BD1A6A" w:rsidRPr="00A70443" w:rsidRDefault="00BD1A6A" w:rsidP="002C3AB1">
            <w:pPr>
              <w:ind w:left="162" w:right="180"/>
              <w:rPr>
                <w:rFonts w:cs="Tahoma"/>
                <w:color w:val="000000"/>
                <w:szCs w:val="18"/>
              </w:rPr>
            </w:pPr>
            <w:r w:rsidRPr="00A70443">
              <w:rPr>
                <w:rFonts w:cs="Tahoma"/>
                <w:color w:val="000000"/>
                <w:szCs w:val="18"/>
              </w:rPr>
              <w:t xml:space="preserve">FAST Search Server 2010 for SharePoint Server </w:t>
            </w:r>
          </w:p>
        </w:tc>
      </w:tr>
    </w:tbl>
    <w:p w:rsidR="002F7FB8" w:rsidRPr="00A75DF9" w:rsidRDefault="002F7FB8" w:rsidP="002F7FB8">
      <w:pPr>
        <w:ind w:left="810"/>
        <w:rPr>
          <w:rFonts w:cs="Tahoma"/>
        </w:rPr>
      </w:pPr>
    </w:p>
    <w:p w:rsidR="002F7FB8" w:rsidRPr="00A75DF9" w:rsidRDefault="002F7FB8" w:rsidP="002F7FB8">
      <w:pPr>
        <w:ind w:left="720"/>
        <w:rPr>
          <w:rFonts w:cs="Tahoma"/>
        </w:rPr>
      </w:pPr>
      <w:r w:rsidRPr="00A75DF9">
        <w:rPr>
          <w:rFonts w:cs="Tahoma"/>
          <w:color w:val="000000"/>
          <w:szCs w:val="18"/>
        </w:rPr>
        <w:t>Il diritto di accesso a, e di utilizzo di, copie di SharePoint Server 2010 o FAST Search Server 2010 for SharePoint Server da parte di una società al posto di copie con licenza di SharePoint Server 2013 ai sensi della presente offerta è soggetto alle condizioni di un Contratto Multilicenza, ai diritti di utilizzo del prodotto per SharePoint Server 2013 e a queste condizioni. Tale diritto cesserà alla scadenza o alla risoluzione delle licenze per SharePoint Server.</w:t>
      </w:r>
    </w:p>
    <w:p w:rsidR="002F7FB8" w:rsidRPr="00A75DF9" w:rsidRDefault="002F7FB8" w:rsidP="002F7FB8">
      <w:pPr>
        <w:ind w:left="720"/>
        <w:rPr>
          <w:rFonts w:cs="Tahoma"/>
        </w:rPr>
      </w:pPr>
    </w:p>
    <w:p w:rsidR="002F7FB8" w:rsidRPr="00A75DF9" w:rsidRDefault="002F7FB8" w:rsidP="00A70443">
      <w:pPr>
        <w:spacing w:after="60"/>
        <w:ind w:left="720"/>
        <w:rPr>
          <w:rFonts w:cs="Tahoma"/>
        </w:rPr>
      </w:pPr>
      <w:r w:rsidRPr="00A75DF9">
        <w:rPr>
          <w:rFonts w:cs="Tahoma"/>
          <w:b/>
          <w:color w:val="000000"/>
          <w:szCs w:val="18"/>
        </w:rPr>
        <w:t>Estensione dei diritti delle Applicazioni Self-Hosted con Software Assurance per le Società in</w:t>
      </w:r>
      <w:r w:rsidR="00A70443">
        <w:rPr>
          <w:rFonts w:cs="Tahoma"/>
          <w:b/>
          <w:color w:val="000000"/>
          <w:szCs w:val="18"/>
        </w:rPr>
        <w:t> </w:t>
      </w:r>
      <w:r w:rsidRPr="00A75DF9">
        <w:rPr>
          <w:rFonts w:cs="Tahoma"/>
          <w:b/>
          <w:color w:val="000000"/>
          <w:szCs w:val="18"/>
        </w:rPr>
        <w:t xml:space="preserve">possesso di SharePoint Server </w:t>
      </w:r>
      <w:bookmarkStart w:id="1404" w:name="Srv_65SharepointSvr10IntSites"/>
      <w:bookmarkStart w:id="1405" w:name="_Toc336338336"/>
      <w:bookmarkStart w:id="1406" w:name="Srv_66SharepointSvr10IntSites"/>
      <w:bookmarkStart w:id="1407" w:name="Srv_63SharepointSvr07IntSites"/>
      <w:bookmarkStart w:id="1408" w:name="Srv_64SharepointSvr07IntSites"/>
      <w:r w:rsidRPr="00A75DF9">
        <w:rPr>
          <w:rFonts w:cs="Tahoma"/>
          <w:b/>
          <w:color w:val="000000"/>
          <w:szCs w:val="18"/>
        </w:rPr>
        <w:t>for Internet Sites Enterprise</w:t>
      </w:r>
      <w:bookmarkEnd w:id="1404"/>
      <w:bookmarkEnd w:id="1405"/>
      <w:bookmarkEnd w:id="1406"/>
      <w:bookmarkEnd w:id="1407"/>
    </w:p>
    <w:bookmarkEnd w:id="1408"/>
    <w:p w:rsidR="002F7FB8" w:rsidRPr="00A75DF9" w:rsidRDefault="002F7FB8" w:rsidP="00A70443">
      <w:pPr>
        <w:ind w:left="720"/>
        <w:rPr>
          <w:rFonts w:cs="Tahoma"/>
        </w:rPr>
      </w:pPr>
      <w:r w:rsidRPr="00A75DF9">
        <w:rPr>
          <w:rFonts w:cs="Tahoma"/>
          <w:color w:val="000000"/>
          <w:szCs w:val="18"/>
        </w:rPr>
        <w:t>Le società in possesso di SharePoint Server 2010 for Internet Sites Enterprise, alle quali sono concesse le</w:t>
      </w:r>
      <w:r w:rsidR="00A70443">
        <w:rPr>
          <w:rFonts w:cs="Tahoma"/>
          <w:color w:val="000000"/>
          <w:szCs w:val="18"/>
        </w:rPr>
        <w:t> </w:t>
      </w:r>
      <w:r w:rsidRPr="00A75DF9">
        <w:rPr>
          <w:rFonts w:cs="Tahoma"/>
          <w:color w:val="000000"/>
          <w:szCs w:val="18"/>
        </w:rPr>
        <w:t>licenze per SharePoint Server 2013 tramite la concessione di licenza delineata sopra, potranno effettuare l</w:t>
      </w:r>
      <w:r w:rsidR="00F2643E">
        <w:rPr>
          <w:rFonts w:cs="Tahoma"/>
          <w:color w:val="000000"/>
          <w:szCs w:val="18"/>
        </w:rPr>
        <w:t>’</w:t>
      </w:r>
      <w:r w:rsidRPr="00A75DF9">
        <w:rPr>
          <w:rFonts w:cs="Tahoma"/>
          <w:color w:val="000000"/>
          <w:szCs w:val="18"/>
        </w:rPr>
        <w:t>aggiornamento a SharePoint Server 2013 (come stabilito nella suddetta concessione) e utilizzare SharePoint Server 2013 ai sensi dei diritti di utilizzo del prodotto relativi a SharePoint Server 2013 e le condizioni della sezione “Applicazioni Server - Self-Hosted” dei Diritti di Utilizzo del Prodotto. Le società idonee mantengono la copertura Software Assurance per le licenze gratuite per SharePoint Server 2013, in</w:t>
      </w:r>
      <w:r w:rsidR="00A70443">
        <w:rPr>
          <w:rFonts w:cs="Tahoma"/>
          <w:color w:val="000000"/>
          <w:szCs w:val="18"/>
        </w:rPr>
        <w:t> </w:t>
      </w:r>
      <w:r w:rsidRPr="00A75DF9">
        <w:rPr>
          <w:rFonts w:cs="Tahoma"/>
          <w:color w:val="000000"/>
          <w:szCs w:val="18"/>
        </w:rPr>
        <w:t>questo modo il diritto di utilizzo di SharePoint Server 2013 si applicherà fino a quando non sarà disponibile la versione successiva di SharePoint Server 2013.</w:t>
      </w:r>
      <w:r w:rsidR="009D3B41" w:rsidRPr="00A75DF9">
        <w:rPr>
          <w:rFonts w:cs="Tahoma"/>
          <w:color w:val="000000"/>
          <w:szCs w:val="18"/>
        </w:rPr>
        <w:t xml:space="preserve"> </w:t>
      </w:r>
    </w:p>
    <w:p w:rsidR="000D76F0" w:rsidRPr="005F10EF" w:rsidRDefault="000D76F0" w:rsidP="00031ABF">
      <w:pPr>
        <w:rPr>
          <w:rFonts w:cs="Tahoma"/>
          <w:szCs w:val="18"/>
        </w:rPr>
      </w:pPr>
    </w:p>
    <w:p w:rsidR="00023FE7" w:rsidRPr="005F10EF" w:rsidRDefault="00023FE7" w:rsidP="00697E59">
      <w:pPr>
        <w:pStyle w:val="EndnoteText"/>
        <w:ind w:left="0"/>
        <w:rPr>
          <w:rFonts w:ascii="Tahoma" w:hAnsi="Tahoma" w:cs="Tahoma"/>
          <w:sz w:val="18"/>
          <w:szCs w:val="18"/>
        </w:rPr>
      </w:pPr>
      <w:bookmarkStart w:id="1409" w:name="_78_SharePoint™_Server"/>
      <w:bookmarkStart w:id="1410" w:name="_Toc336338339"/>
      <w:bookmarkStart w:id="1411" w:name="Srv_81SQLSvr08R2DataCenter"/>
      <w:bookmarkEnd w:id="1409"/>
    </w:p>
    <w:p w:rsidR="00A81E83" w:rsidRPr="00A75DF9" w:rsidRDefault="00A560B6" w:rsidP="00A81E83">
      <w:pPr>
        <w:pStyle w:val="Heading3"/>
        <w:rPr>
          <w:rFonts w:ascii="Tahoma" w:hAnsi="Tahoma" w:cs="Tahoma"/>
        </w:rPr>
      </w:pPr>
      <w:bookmarkStart w:id="1412" w:name="_75_73_SQL"/>
      <w:bookmarkStart w:id="1413" w:name="Srv_69SQLSvr08EntandEntProc"/>
      <w:bookmarkStart w:id="1414" w:name="Srv_70SQLSvr08EntandEntProc"/>
      <w:bookmarkStart w:id="1415" w:name="Srv_72SQLSvr08R2developer"/>
      <w:bookmarkStart w:id="1416" w:name="Srv_72SQLSvr08R2DataCenter"/>
      <w:bookmarkStart w:id="1417" w:name="_Toc368310330"/>
      <w:bookmarkEnd w:id="1412"/>
      <w:r w:rsidRPr="00A75DF9">
        <w:rPr>
          <w:rFonts w:ascii="Tahoma" w:hAnsi="Tahoma" w:cs="Tahoma"/>
          <w:caps/>
          <w:color w:val="F66400"/>
          <w:sz w:val="22"/>
          <w:vertAlign w:val="superscript"/>
        </w:rPr>
        <w:t>80</w:t>
      </w:r>
      <w:r w:rsidRPr="00A75DF9">
        <w:rPr>
          <w:rFonts w:ascii="Tahoma" w:hAnsi="Tahoma" w:cs="Tahoma"/>
          <w:color w:val="F66400"/>
          <w:sz w:val="22"/>
        </w:rPr>
        <w:t xml:space="preserve"> SQL Server</w:t>
      </w:r>
      <w:r w:rsidR="009D5D7B" w:rsidRPr="00A75DF9">
        <w:rPr>
          <w:rFonts w:ascii="Tahoma" w:hAnsi="Tahoma" w:cs="Tahoma"/>
          <w:color w:val="F66400"/>
          <w:sz w:val="22"/>
          <w:vertAlign w:val="superscript"/>
        </w:rPr>
        <w:t>®</w:t>
      </w:r>
      <w:r w:rsidRPr="00A75DF9">
        <w:rPr>
          <w:rFonts w:ascii="Tahoma" w:hAnsi="Tahoma" w:cs="Tahoma"/>
          <w:color w:val="F66400"/>
          <w:sz w:val="22"/>
        </w:rPr>
        <w:t xml:space="preserve"> 2008 R2 Datacenter</w:t>
      </w:r>
      <w:bookmarkEnd w:id="1410"/>
      <w:bookmarkEnd w:id="1417"/>
    </w:p>
    <w:bookmarkEnd w:id="1411"/>
    <w:p w:rsidR="00A81E83" w:rsidRPr="00A75DF9" w:rsidRDefault="00A81E83" w:rsidP="00031ABF">
      <w:pPr>
        <w:rPr>
          <w:rFonts w:cs="Tahoma"/>
        </w:rPr>
      </w:pPr>
    </w:p>
    <w:p w:rsidR="00031ABF" w:rsidRPr="00A75DF9" w:rsidRDefault="00A81E83" w:rsidP="005F10EF">
      <w:pPr>
        <w:spacing w:after="60"/>
        <w:ind w:left="720"/>
        <w:rPr>
          <w:rFonts w:cs="Tahoma"/>
        </w:rPr>
      </w:pPr>
      <w:r w:rsidRPr="00A75DF9">
        <w:rPr>
          <w:rFonts w:cs="Tahoma"/>
          <w:b/>
          <w:color w:val="000000"/>
          <w:szCs w:val="18"/>
        </w:rPr>
        <w:t>Concessioni di Licenza Associate alla Variazione del Modello di Licenza e della Fine del Ciclo di</w:t>
      </w:r>
      <w:r w:rsidR="005F10EF">
        <w:rPr>
          <w:rFonts w:cs="Tahoma"/>
          <w:b/>
          <w:color w:val="000000"/>
          <w:szCs w:val="18"/>
        </w:rPr>
        <w:t> </w:t>
      </w:r>
      <w:r w:rsidRPr="00A75DF9">
        <w:rPr>
          <w:rFonts w:cs="Tahoma"/>
          <w:b/>
          <w:color w:val="000000"/>
          <w:szCs w:val="18"/>
        </w:rPr>
        <w:t>Vita di SQL Server Datacenter</w:t>
      </w:r>
    </w:p>
    <w:p w:rsidR="00A81E83" w:rsidRPr="00A75DF9" w:rsidRDefault="00A81E83" w:rsidP="005F10EF">
      <w:pPr>
        <w:ind w:left="720"/>
        <w:rPr>
          <w:rFonts w:cs="Tahoma"/>
        </w:rPr>
      </w:pPr>
      <w:r w:rsidRPr="00A75DF9">
        <w:rPr>
          <w:rFonts w:cs="Tahoma"/>
          <w:color w:val="000000"/>
        </w:rPr>
        <w:t>SQL Server 2008 R2 sarà l</w:t>
      </w:r>
      <w:r w:rsidR="00F2643E">
        <w:rPr>
          <w:rFonts w:cs="Tahoma"/>
          <w:color w:val="000000"/>
        </w:rPr>
        <w:t>’</w:t>
      </w:r>
      <w:r w:rsidRPr="00A75DF9">
        <w:rPr>
          <w:rFonts w:cs="Tahoma"/>
          <w:color w:val="000000"/>
        </w:rPr>
        <w:t>ultima versione di SQL Server concessa in licenza ai sensi del modello di licenza per processore e l</w:t>
      </w:r>
      <w:r w:rsidR="00F2643E">
        <w:rPr>
          <w:rFonts w:cs="Tahoma"/>
          <w:color w:val="000000"/>
        </w:rPr>
        <w:t>’</w:t>
      </w:r>
      <w:r w:rsidRPr="00A75DF9">
        <w:rPr>
          <w:rFonts w:cs="Tahoma"/>
          <w:color w:val="000000"/>
        </w:rPr>
        <w:t>ultima versione di SQL Server Datacenter.</w:t>
      </w:r>
      <w:r w:rsidR="009D3B41" w:rsidRPr="00A75DF9">
        <w:rPr>
          <w:rFonts w:cs="Tahoma"/>
          <w:color w:val="000000"/>
        </w:rPr>
        <w:t xml:space="preserve"> </w:t>
      </w:r>
      <w:r w:rsidRPr="00A75DF9">
        <w:rPr>
          <w:rFonts w:cs="Tahoma"/>
          <w:color w:val="000000"/>
        </w:rPr>
        <w:t xml:space="preserve">In via eccezionale, alle società con Contratti Multilicenza e copertura Software Assurance attiva per le licenze per processore per SQL Server 2008 R2 Enterprise in data 1 aprile 2012 (“licenze qualificanti”) vengono offerte le opzioni che seguono. Le licenze per processore per SQL Server 2008 R2 Datacenter </w:t>
      </w:r>
      <w:r w:rsidRPr="00A75DF9">
        <w:rPr>
          <w:rFonts w:cs="Tahoma"/>
          <w:bCs/>
          <w:color w:val="000000"/>
          <w:szCs w:val="18"/>
        </w:rPr>
        <w:t>acquistate successivamente nello stesso periodo di</w:t>
      </w:r>
      <w:r w:rsidR="005F10EF">
        <w:rPr>
          <w:rFonts w:cs="Tahoma"/>
          <w:bCs/>
          <w:color w:val="000000"/>
          <w:szCs w:val="18"/>
        </w:rPr>
        <w:t> </w:t>
      </w:r>
      <w:r w:rsidRPr="00A75DF9">
        <w:rPr>
          <w:rFonts w:cs="Tahoma"/>
          <w:bCs/>
          <w:color w:val="000000"/>
          <w:szCs w:val="18"/>
        </w:rPr>
        <w:t>validità dell</w:t>
      </w:r>
      <w:r w:rsidR="00F2643E">
        <w:rPr>
          <w:rFonts w:cs="Tahoma"/>
          <w:bCs/>
          <w:color w:val="000000"/>
          <w:szCs w:val="18"/>
        </w:rPr>
        <w:t>’</w:t>
      </w:r>
      <w:r w:rsidRPr="00A75DF9">
        <w:rPr>
          <w:rFonts w:cs="Tahoma"/>
          <w:bCs/>
          <w:color w:val="000000"/>
          <w:szCs w:val="18"/>
        </w:rPr>
        <w:t>iscrizione, ma prima del 1 aprile 2015 nell</w:t>
      </w:r>
      <w:r w:rsidR="00F2643E">
        <w:rPr>
          <w:rFonts w:cs="Tahoma"/>
          <w:bCs/>
          <w:color w:val="000000"/>
          <w:szCs w:val="18"/>
        </w:rPr>
        <w:t>’</w:t>
      </w:r>
      <w:r w:rsidRPr="00A75DF9">
        <w:rPr>
          <w:rFonts w:cs="Tahoma"/>
          <w:bCs/>
          <w:color w:val="000000"/>
          <w:szCs w:val="18"/>
        </w:rPr>
        <w:t>ambito di una procedura pianificata di true-up della</w:t>
      </w:r>
      <w:r w:rsidR="005F10EF">
        <w:rPr>
          <w:rFonts w:cs="Tahoma"/>
          <w:bCs/>
          <w:color w:val="000000"/>
          <w:szCs w:val="18"/>
        </w:rPr>
        <w:t> </w:t>
      </w:r>
      <w:r w:rsidRPr="00A75DF9">
        <w:rPr>
          <w:rFonts w:cs="Tahoma"/>
          <w:bCs/>
          <w:color w:val="000000"/>
          <w:szCs w:val="18"/>
        </w:rPr>
        <w:t>società Enterprise, Enterprise Subscription, Open Value Subscription o EES, sono anch</w:t>
      </w:r>
      <w:r w:rsidR="00F2643E">
        <w:rPr>
          <w:rFonts w:cs="Tahoma"/>
          <w:bCs/>
          <w:color w:val="000000"/>
          <w:szCs w:val="18"/>
        </w:rPr>
        <w:t>’</w:t>
      </w:r>
      <w:r w:rsidRPr="00A75DF9">
        <w:rPr>
          <w:rFonts w:cs="Tahoma"/>
          <w:bCs/>
          <w:color w:val="000000"/>
          <w:szCs w:val="18"/>
        </w:rPr>
        <w:t>esse licenze qualificanti per gli scopi previsti da tali opzioni.</w:t>
      </w:r>
      <w:r w:rsidR="009D3B41" w:rsidRPr="00A75DF9">
        <w:rPr>
          <w:rFonts w:cs="Tahoma"/>
          <w:bCs/>
          <w:color w:val="000000"/>
          <w:szCs w:val="18"/>
        </w:rPr>
        <w:t xml:space="preserve"> </w:t>
      </w:r>
      <w:r w:rsidRPr="00A75DF9">
        <w:rPr>
          <w:rFonts w:cs="Tahoma"/>
          <w:bCs/>
          <w:color w:val="000000"/>
          <w:szCs w:val="18"/>
        </w:rPr>
        <w:t>Le licenze acquistate dopo il 1 aprile 2015, o in un periodo di</w:t>
      </w:r>
      <w:r w:rsidR="005F10EF">
        <w:rPr>
          <w:rFonts w:cs="Tahoma"/>
          <w:bCs/>
          <w:color w:val="000000"/>
          <w:szCs w:val="18"/>
        </w:rPr>
        <w:t> </w:t>
      </w:r>
      <w:r w:rsidRPr="00A75DF9">
        <w:rPr>
          <w:rFonts w:cs="Tahoma"/>
          <w:bCs/>
          <w:color w:val="000000"/>
          <w:szCs w:val="18"/>
        </w:rPr>
        <w:t>validità dell</w:t>
      </w:r>
      <w:r w:rsidR="00F2643E">
        <w:rPr>
          <w:rFonts w:cs="Tahoma"/>
          <w:bCs/>
          <w:color w:val="000000"/>
          <w:szCs w:val="18"/>
        </w:rPr>
        <w:t>’</w:t>
      </w:r>
      <w:r w:rsidRPr="00A75DF9">
        <w:rPr>
          <w:rFonts w:cs="Tahoma"/>
          <w:bCs/>
          <w:color w:val="000000"/>
          <w:szCs w:val="18"/>
        </w:rPr>
        <w:t>iscrizione successivo, ai sensi di un contratto distinto o di un</w:t>
      </w:r>
      <w:r w:rsidR="00F2643E">
        <w:rPr>
          <w:rFonts w:cs="Tahoma"/>
          <w:bCs/>
          <w:color w:val="000000"/>
          <w:szCs w:val="18"/>
        </w:rPr>
        <w:t>’</w:t>
      </w:r>
      <w:r w:rsidRPr="00A75DF9">
        <w:rPr>
          <w:rFonts w:cs="Tahoma"/>
          <w:bCs/>
          <w:color w:val="000000"/>
          <w:szCs w:val="18"/>
        </w:rPr>
        <w:t>iscrizione con la data di entrata in</w:t>
      </w:r>
      <w:r w:rsidR="005F10EF">
        <w:rPr>
          <w:rFonts w:cs="Tahoma"/>
          <w:bCs/>
          <w:color w:val="000000"/>
          <w:szCs w:val="18"/>
        </w:rPr>
        <w:t> </w:t>
      </w:r>
      <w:r w:rsidRPr="00A75DF9">
        <w:rPr>
          <w:rFonts w:cs="Tahoma"/>
          <w:bCs/>
          <w:color w:val="000000"/>
          <w:szCs w:val="18"/>
        </w:rPr>
        <w:t>vigore posteriore al 1 aprile 2012, non sono licenze qualificanti.</w:t>
      </w:r>
    </w:p>
    <w:p w:rsidR="00031ABF" w:rsidRDefault="00031ABF" w:rsidP="00031ABF">
      <w:pPr>
        <w:ind w:left="720"/>
        <w:rPr>
          <w:rFonts w:cs="Tahoma"/>
        </w:rPr>
      </w:pPr>
    </w:p>
    <w:p w:rsidR="003E0F96" w:rsidRDefault="003E0F96" w:rsidP="00031ABF">
      <w:pPr>
        <w:ind w:left="720"/>
        <w:rPr>
          <w:rFonts w:cs="Tahoma"/>
        </w:rPr>
      </w:pPr>
    </w:p>
    <w:p w:rsidR="003E0F96" w:rsidRPr="00A75DF9" w:rsidRDefault="003E0F96" w:rsidP="00031ABF">
      <w:pPr>
        <w:ind w:left="720"/>
        <w:rPr>
          <w:rFonts w:cs="Tahoma"/>
        </w:rPr>
      </w:pPr>
    </w:p>
    <w:p w:rsidR="00031ABF" w:rsidRPr="00A75DF9" w:rsidRDefault="00031ABF" w:rsidP="00031ABF">
      <w:pPr>
        <w:spacing w:after="60"/>
        <w:ind w:left="720"/>
        <w:rPr>
          <w:rFonts w:cs="Tahoma"/>
        </w:rPr>
      </w:pPr>
      <w:r w:rsidRPr="00A75DF9">
        <w:rPr>
          <w:rFonts w:cs="Tahoma"/>
          <w:b/>
          <w:color w:val="000000"/>
          <w:szCs w:val="18"/>
        </w:rPr>
        <w:lastRenderedPageBreak/>
        <w:t>Periodo di Validità Corrente</w:t>
      </w:r>
    </w:p>
    <w:p w:rsidR="00A81E83" w:rsidRPr="00A75DF9" w:rsidRDefault="00A81E83" w:rsidP="00031ABF">
      <w:pPr>
        <w:ind w:left="720"/>
        <w:contextualSpacing/>
        <w:rPr>
          <w:rFonts w:cs="Tahoma"/>
        </w:rPr>
      </w:pPr>
      <w:r w:rsidRPr="00A75DF9">
        <w:rPr>
          <w:rFonts w:eastAsia="Calibri" w:cs="Tahoma"/>
          <w:szCs w:val="18"/>
        </w:rPr>
        <w:t>durante il periodo di validità corrente della copertura Software Assurance a partire dal 1 aprile 2012 le società (incluse le società titolari di contratti “subscription”) potranno, ai sensi di una licenza qualificante, effettuare l</w:t>
      </w:r>
      <w:r w:rsidR="00F2643E">
        <w:rPr>
          <w:rFonts w:eastAsia="Calibri" w:cs="Tahoma"/>
          <w:szCs w:val="18"/>
        </w:rPr>
        <w:t>’</w:t>
      </w:r>
      <w:r w:rsidRPr="00A75DF9">
        <w:rPr>
          <w:rFonts w:eastAsia="Calibri" w:cs="Tahoma"/>
          <w:szCs w:val="18"/>
        </w:rPr>
        <w:t>aggiornamento al software SQL Server 2012 Enterprise Core e utilizzarlo al posto di SQL Server 2008 R2 Datacenter in conformità ai diritti di utilizzo del prodotto previsti dalla licenza per processore SQL Server 2008 R2 Enterprise (come indicato nei Diritti di Utilizzo del Prodotto del mese di gennaio 2012). Tali società dispongono anche dei diritti sull</w:t>
      </w:r>
      <w:r w:rsidR="00F2643E">
        <w:rPr>
          <w:rFonts w:eastAsia="Calibri" w:cs="Tahoma"/>
          <w:szCs w:val="18"/>
        </w:rPr>
        <w:t>’</w:t>
      </w:r>
      <w:r w:rsidRPr="00A75DF9">
        <w:rPr>
          <w:rFonts w:eastAsia="Calibri" w:cs="Tahoma"/>
          <w:szCs w:val="18"/>
        </w:rPr>
        <w:t>utilizzo per la Virtualizzazione Illimitata come descritto nelle note del prodotto SQL Server 2012 Enterprise della presente Lista dei Prodotti.</w:t>
      </w:r>
    </w:p>
    <w:p w:rsidR="00031ABF" w:rsidRPr="00A75DF9" w:rsidRDefault="00031ABF" w:rsidP="00031ABF">
      <w:pPr>
        <w:ind w:left="720"/>
        <w:contextualSpacing/>
        <w:rPr>
          <w:rFonts w:cs="Tahoma"/>
        </w:rPr>
      </w:pPr>
    </w:p>
    <w:p w:rsidR="00031ABF" w:rsidRPr="00A75DF9" w:rsidRDefault="00A81E83" w:rsidP="00031ABF">
      <w:pPr>
        <w:spacing w:after="60"/>
        <w:ind w:left="720"/>
        <w:rPr>
          <w:rFonts w:cs="Tahoma"/>
        </w:rPr>
      </w:pPr>
      <w:r w:rsidRPr="00A75DF9">
        <w:rPr>
          <w:rFonts w:cs="Tahoma"/>
          <w:b/>
          <w:color w:val="000000"/>
          <w:szCs w:val="18"/>
        </w:rPr>
        <w:t>Primo Periodo di Rinnovo (prima del 1 aprile 2015)</w:t>
      </w:r>
    </w:p>
    <w:p w:rsidR="00A81E83" w:rsidRPr="00A75DF9" w:rsidRDefault="00A81E83" w:rsidP="005F10EF">
      <w:pPr>
        <w:tabs>
          <w:tab w:val="left" w:pos="720"/>
        </w:tabs>
        <w:ind w:left="720"/>
        <w:contextualSpacing/>
        <w:rPr>
          <w:rFonts w:cs="Tahoma"/>
        </w:rPr>
      </w:pPr>
      <w:r w:rsidRPr="00A75DF9">
        <w:rPr>
          <w:rFonts w:eastAsia="Calibri" w:cs="Tahoma"/>
          <w:szCs w:val="18"/>
        </w:rPr>
        <w:t>in occasione del primo rinnovo di Software Assurance in data 1 aprile 2012 o successiva (ma prima del 1 aprile 2015), per ogni server che una società ha ricevuto validamente in licenza in conformità ai diritti di utilizzo del prodotto previsti dalla licenza per processore SQL Server 2008 R2, la società potrà acquistare la</w:t>
      </w:r>
      <w:r w:rsidR="005F10EF">
        <w:rPr>
          <w:rFonts w:eastAsia="Calibri" w:cs="Tahoma"/>
          <w:szCs w:val="18"/>
        </w:rPr>
        <w:t> </w:t>
      </w:r>
      <w:r w:rsidRPr="00A75DF9">
        <w:rPr>
          <w:rFonts w:eastAsia="Calibri" w:cs="Tahoma"/>
          <w:szCs w:val="18"/>
        </w:rPr>
        <w:t>copertura Software Assurance per le licenze core per SQL Server Enterprise senza dovere acquistare le licenze core sottostanti per un numero di licenze core pari alla somma di (a) e (b):</w:t>
      </w:r>
    </w:p>
    <w:p w:rsidR="00A81E83" w:rsidRPr="005F10EF" w:rsidRDefault="00A81E83" w:rsidP="005F10EF">
      <w:pPr>
        <w:numPr>
          <w:ilvl w:val="0"/>
          <w:numId w:val="142"/>
        </w:numPr>
        <w:tabs>
          <w:tab w:val="left" w:pos="1440"/>
        </w:tabs>
        <w:ind w:left="1440"/>
        <w:contextualSpacing/>
        <w:rPr>
          <w:rFonts w:cs="Tahoma"/>
        </w:rPr>
      </w:pPr>
      <w:r w:rsidRPr="005F10EF">
        <w:rPr>
          <w:rFonts w:eastAsia="Calibri" w:cs="Tahoma"/>
          <w:szCs w:val="18"/>
        </w:rPr>
        <w:t xml:space="preserve">un numero pari al numero minore delle licenze qualificanti cedute al server o al numero totale dei processori fisici sul server moltiplicato per il maggiore tra: </w:t>
      </w:r>
    </w:p>
    <w:p w:rsidR="00A81E83" w:rsidRPr="00A75DF9" w:rsidRDefault="00A81E83" w:rsidP="00346F4B">
      <w:pPr>
        <w:numPr>
          <w:ilvl w:val="2"/>
          <w:numId w:val="54"/>
        </w:numPr>
        <w:tabs>
          <w:tab w:val="left" w:pos="1800"/>
        </w:tabs>
        <w:ind w:left="1800" w:hanging="360"/>
        <w:contextualSpacing/>
        <w:rPr>
          <w:rFonts w:cs="Tahoma"/>
        </w:rPr>
      </w:pPr>
      <w:r w:rsidRPr="00A75DF9">
        <w:rPr>
          <w:rFonts w:eastAsia="Calibri" w:cs="Tahoma"/>
          <w:szCs w:val="18"/>
        </w:rPr>
        <w:t>otto O</w:t>
      </w:r>
    </w:p>
    <w:p w:rsidR="00A81E83" w:rsidRPr="00A75DF9" w:rsidRDefault="00A81E83" w:rsidP="005F10EF">
      <w:pPr>
        <w:numPr>
          <w:ilvl w:val="2"/>
          <w:numId w:val="54"/>
        </w:numPr>
        <w:tabs>
          <w:tab w:val="left" w:pos="1800"/>
        </w:tabs>
        <w:ind w:left="1800" w:hanging="360"/>
        <w:contextualSpacing/>
        <w:rPr>
          <w:rFonts w:cs="Tahoma"/>
        </w:rPr>
      </w:pPr>
      <w:r w:rsidRPr="00A75DF9">
        <w:rPr>
          <w:rFonts w:eastAsia="Calibri" w:cs="Tahoma"/>
          <w:szCs w:val="18"/>
        </w:rPr>
        <w:t>il numero effettivo di core per processore fisico moltiplicato per il fattore core appropriato.</w:t>
      </w:r>
      <w:r w:rsidR="009D3B41" w:rsidRPr="00A75DF9">
        <w:rPr>
          <w:rFonts w:eastAsia="Calibri" w:cs="Tahoma"/>
          <w:szCs w:val="18"/>
        </w:rPr>
        <w:t xml:space="preserve"> </w:t>
      </w:r>
      <w:r w:rsidRPr="00A75DF9">
        <w:rPr>
          <w:rFonts w:eastAsia="Calibri" w:cs="Tahoma"/>
          <w:szCs w:val="18"/>
        </w:rPr>
        <w:t>(Nei</w:t>
      </w:r>
      <w:r w:rsidR="005F10EF">
        <w:rPr>
          <w:rFonts w:eastAsia="Calibri" w:cs="Tahoma"/>
          <w:szCs w:val="18"/>
        </w:rPr>
        <w:t> </w:t>
      </w:r>
      <w:r w:rsidRPr="00A75DF9">
        <w:rPr>
          <w:rFonts w:eastAsia="Calibri" w:cs="Tahoma"/>
          <w:szCs w:val="18"/>
        </w:rPr>
        <w:t>casi in cui il numero effettivo di core per processore fisico superi otto, le società dovranno conservare un record della configurazione del software SQL Server in esecuzione sul server (istanze con licenza in esecuzione negli ambienti del sistema operativo sul server con licenza) e l</w:t>
      </w:r>
      <w:r w:rsidR="00F2643E">
        <w:rPr>
          <w:rFonts w:eastAsia="Calibri" w:cs="Tahoma"/>
          <w:szCs w:val="18"/>
        </w:rPr>
        <w:t>’</w:t>
      </w:r>
      <w:r w:rsidRPr="00A75DF9">
        <w:rPr>
          <w:rFonts w:eastAsia="Calibri" w:cs="Tahoma"/>
          <w:szCs w:val="18"/>
        </w:rPr>
        <w:t xml:space="preserve">hardware fisico che supporta tale software appena prima del rinnovo di Software Assurance utilizzando lo strumento MAP di Microsoft o un software equivalente). </w:t>
      </w:r>
    </w:p>
    <w:p w:rsidR="00A81E83" w:rsidRPr="00A75DF9" w:rsidRDefault="00A81E83" w:rsidP="005F10EF">
      <w:pPr>
        <w:numPr>
          <w:ilvl w:val="0"/>
          <w:numId w:val="142"/>
        </w:numPr>
        <w:tabs>
          <w:tab w:val="left" w:pos="1440"/>
        </w:tabs>
        <w:ind w:left="1440"/>
        <w:contextualSpacing/>
        <w:rPr>
          <w:rFonts w:cs="Tahoma"/>
        </w:rPr>
      </w:pPr>
      <w:r w:rsidRPr="00A75DF9">
        <w:rPr>
          <w:rFonts w:eastAsia="Calibri" w:cs="Tahoma"/>
          <w:szCs w:val="18"/>
        </w:rPr>
        <w:t>un numero pari al numero di licenze qualificanti cedute al server oltre al numero effettivo di processori fisici sul server moltiplicato per otto.</w:t>
      </w:r>
    </w:p>
    <w:p w:rsidR="00031ABF" w:rsidRDefault="00031ABF" w:rsidP="00031ABF">
      <w:pPr>
        <w:ind w:left="720"/>
        <w:contextualSpacing/>
        <w:rPr>
          <w:rFonts w:cs="Tahoma"/>
        </w:rPr>
      </w:pPr>
    </w:p>
    <w:p w:rsidR="00031ABF" w:rsidRPr="00A75DF9" w:rsidRDefault="00A81E83" w:rsidP="00031ABF">
      <w:pPr>
        <w:spacing w:after="60"/>
        <w:ind w:left="720"/>
        <w:rPr>
          <w:rFonts w:cs="Tahoma"/>
        </w:rPr>
      </w:pPr>
      <w:r w:rsidRPr="00A75DF9">
        <w:rPr>
          <w:rFonts w:eastAsia="Calibri" w:cs="Tahoma"/>
          <w:b/>
          <w:szCs w:val="18"/>
        </w:rPr>
        <w:t>Primo Periodo di Rinnovo (in data 1 aprile 2015 o successiva)</w:t>
      </w:r>
    </w:p>
    <w:p w:rsidR="00A81E83" w:rsidRPr="00A75DF9" w:rsidRDefault="00A81E83" w:rsidP="00031ABF">
      <w:pPr>
        <w:ind w:left="720"/>
        <w:contextualSpacing/>
        <w:rPr>
          <w:rFonts w:cs="Tahoma"/>
        </w:rPr>
      </w:pPr>
      <w:r w:rsidRPr="00A75DF9">
        <w:rPr>
          <w:rFonts w:eastAsia="Calibri" w:cs="Tahoma"/>
          <w:color w:val="000000"/>
          <w:szCs w:val="18"/>
        </w:rPr>
        <w:t>Le società che rinnovano per la prima volta la copertura in data 1 aprile 2015</w:t>
      </w:r>
      <w:r w:rsidRPr="00A75DF9">
        <w:rPr>
          <w:rFonts w:eastAsia="Calibri" w:cs="Tahoma"/>
          <w:szCs w:val="18"/>
        </w:rPr>
        <w:t xml:space="preserve"> potranno, per ogni server ottenuto in licenza in conformità ai diritti di utilizzo del prodotto previsti dalla licenza per processore SQL Server 2008 R2, acquistare la copertura Software Assurance come di seguito indicato:</w:t>
      </w:r>
    </w:p>
    <w:p w:rsidR="00031ABF" w:rsidRPr="00A75DF9" w:rsidRDefault="00031ABF" w:rsidP="00031ABF">
      <w:pPr>
        <w:ind w:left="720"/>
        <w:contextualSpacing/>
        <w:rPr>
          <w:rFonts w:cs="Tahoma"/>
        </w:rPr>
      </w:pPr>
    </w:p>
    <w:p w:rsidR="00A81E83" w:rsidRPr="00A75DF9" w:rsidRDefault="00A81E83" w:rsidP="00346F4B">
      <w:pPr>
        <w:numPr>
          <w:ilvl w:val="2"/>
          <w:numId w:val="50"/>
        </w:numPr>
        <w:spacing w:after="60"/>
        <w:ind w:left="1440"/>
        <w:rPr>
          <w:rFonts w:cs="Tahoma"/>
        </w:rPr>
      </w:pPr>
      <w:r w:rsidRPr="00A75DF9">
        <w:rPr>
          <w:rFonts w:eastAsia="Calibri" w:cs="Tahoma"/>
          <w:szCs w:val="18"/>
        </w:rPr>
        <w:t xml:space="preserve">come stabilito nel primo paragrafo di questa nota relativa al prodotto, le licenze acquistate prima del 1 aprile 2015 sono licenze qualificanti e le società potranno rinnovare la copertura Software Assurance in base alle condizioni riportate nel precedente Articolo “Primo Periodo di Rinnovo (prima del 1 aprile 2015)” e </w:t>
      </w:r>
    </w:p>
    <w:p w:rsidR="00A81E83" w:rsidRPr="00A75DF9" w:rsidRDefault="00A81E83" w:rsidP="00346F4B">
      <w:pPr>
        <w:numPr>
          <w:ilvl w:val="2"/>
          <w:numId w:val="50"/>
        </w:numPr>
        <w:spacing w:after="60"/>
        <w:ind w:left="1440"/>
        <w:rPr>
          <w:rFonts w:cs="Tahoma"/>
        </w:rPr>
      </w:pPr>
      <w:r w:rsidRPr="00A75DF9">
        <w:rPr>
          <w:rFonts w:eastAsia="Calibri" w:cs="Tahoma"/>
          <w:szCs w:val="18"/>
        </w:rPr>
        <w:t>per le licenze acquistate dopo il 1 aprile 2015 le società potranno rinnovare la copertura Software Assurance per otto licenze core per SQL Server Enterprise senza dover acquistare le licenze core sottostanti per ogni licenza per processore per SQL Server 2008 R2 Datacenter. Per l</w:t>
      </w:r>
      <w:r w:rsidR="00F2643E">
        <w:rPr>
          <w:rFonts w:eastAsia="Calibri" w:cs="Tahoma"/>
          <w:szCs w:val="18"/>
        </w:rPr>
        <w:t>’</w:t>
      </w:r>
      <w:r w:rsidRPr="00A75DF9">
        <w:rPr>
          <w:rFonts w:eastAsia="Calibri" w:cs="Tahoma"/>
          <w:szCs w:val="18"/>
        </w:rPr>
        <w:t>utilizzo continuativo di SQL Server 2012 su processori che richiedono più di otto licenze core per processore la società deve acquistare le licenze core aggiuntive.</w:t>
      </w:r>
    </w:p>
    <w:p w:rsidR="00031ABF" w:rsidRPr="00A75DF9" w:rsidRDefault="00031ABF" w:rsidP="00031ABF">
      <w:pPr>
        <w:ind w:left="1440"/>
        <w:contextualSpacing/>
        <w:rPr>
          <w:rFonts w:cs="Tahoma"/>
        </w:rPr>
      </w:pPr>
    </w:p>
    <w:p w:rsidR="00A81E83" w:rsidRPr="00A75DF9" w:rsidRDefault="00A81E83" w:rsidP="00031ABF">
      <w:pPr>
        <w:ind w:left="720"/>
        <w:contextualSpacing/>
        <w:rPr>
          <w:rFonts w:cs="Tahoma"/>
        </w:rPr>
      </w:pPr>
      <w:r w:rsidRPr="00A75DF9">
        <w:rPr>
          <w:rFonts w:eastAsia="Calibri" w:cs="Tahoma"/>
          <w:szCs w:val="18"/>
        </w:rPr>
        <w:t>Le licenze per processore delle società non sono più valide se si acquista la copertura Software Assurance per licenze core ai sensi della presente offerta. L</w:t>
      </w:r>
      <w:r w:rsidR="00F2643E">
        <w:rPr>
          <w:rFonts w:eastAsia="Calibri" w:cs="Tahoma"/>
          <w:szCs w:val="18"/>
        </w:rPr>
        <w:t>’</w:t>
      </w:r>
      <w:r w:rsidRPr="00A75DF9">
        <w:rPr>
          <w:rFonts w:eastAsia="Calibri" w:cs="Tahoma"/>
          <w:szCs w:val="18"/>
        </w:rPr>
        <w:t>opzione di acquistare Software Assurance per le licenze core per SQL Server non è applicabile al rinnovo della copertura ai sensi dei programmi di sottoscrizione.</w:t>
      </w:r>
    </w:p>
    <w:p w:rsidR="00031ABF" w:rsidRPr="00A75DF9" w:rsidRDefault="00031ABF" w:rsidP="00031ABF">
      <w:pPr>
        <w:tabs>
          <w:tab w:val="left" w:pos="720"/>
        </w:tabs>
        <w:ind w:left="720"/>
        <w:contextualSpacing/>
        <w:rPr>
          <w:rFonts w:cs="Tahoma"/>
        </w:rPr>
      </w:pPr>
    </w:p>
    <w:p w:rsidR="00031ABF" w:rsidRPr="00A75DF9" w:rsidRDefault="00A81E83" w:rsidP="00031ABF">
      <w:pPr>
        <w:tabs>
          <w:tab w:val="left" w:pos="720"/>
        </w:tabs>
        <w:spacing w:after="60"/>
        <w:ind w:left="720"/>
        <w:rPr>
          <w:rFonts w:cs="Tahoma"/>
        </w:rPr>
      </w:pPr>
      <w:r w:rsidRPr="00A75DF9">
        <w:rPr>
          <w:rFonts w:eastAsia="Calibri" w:cs="Tahoma"/>
          <w:b/>
          <w:szCs w:val="18"/>
        </w:rPr>
        <w:t>Per le Società con copertura Software Assurance in scadenza prima del 1 aprile 2015 che scelgono di non effettuare il rinnovo</w:t>
      </w:r>
    </w:p>
    <w:p w:rsidR="00A81E83" w:rsidRPr="00A75DF9" w:rsidRDefault="00A81E83" w:rsidP="00031ABF">
      <w:pPr>
        <w:tabs>
          <w:tab w:val="left" w:pos="720"/>
        </w:tabs>
        <w:ind w:left="720"/>
        <w:contextualSpacing/>
        <w:rPr>
          <w:rFonts w:cs="Tahoma"/>
        </w:rPr>
      </w:pPr>
      <w:r w:rsidRPr="00A75DF9">
        <w:rPr>
          <w:rFonts w:eastAsia="Calibri" w:cs="Tahoma"/>
          <w:szCs w:val="18"/>
        </w:rPr>
        <w:t xml:space="preserve">Le società titolari di contratti Enterprise Subscription </w:t>
      </w:r>
      <w:r w:rsidRPr="00A75DF9">
        <w:rPr>
          <w:rFonts w:cs="Tahoma"/>
          <w:bCs/>
          <w:color w:val="000000"/>
          <w:szCs w:val="18"/>
        </w:rPr>
        <w:t xml:space="preserve">e Open Value Subscription </w:t>
      </w:r>
      <w:r w:rsidRPr="00A75DF9">
        <w:rPr>
          <w:rFonts w:eastAsia="Calibri" w:cs="Tahoma"/>
          <w:szCs w:val="18"/>
        </w:rPr>
        <w:t>con copertura in scadenza prima del 1 aprile 2015 che scelgono di effettuare il buy-out delle licenze per processore e altre società che acquistano licenze perpetue ai sensi del loro contratto e scelgono di non rinnovare Software Assurance potranno eseguire SQL Server 2008 R2 o SQL Server 2012 ai sensi di tali licenze come indicato sotto:</w:t>
      </w:r>
    </w:p>
    <w:p w:rsidR="00CA0E2D" w:rsidRPr="00A75DF9" w:rsidRDefault="00CA0E2D" w:rsidP="00031ABF">
      <w:pPr>
        <w:tabs>
          <w:tab w:val="left" w:pos="720"/>
        </w:tabs>
        <w:ind w:left="720"/>
        <w:contextualSpacing/>
        <w:rPr>
          <w:rFonts w:cs="Tahoma"/>
        </w:rPr>
      </w:pPr>
    </w:p>
    <w:p w:rsidR="00A81E83" w:rsidRPr="00A75DF9" w:rsidRDefault="00A81E83" w:rsidP="00346F4B">
      <w:pPr>
        <w:numPr>
          <w:ilvl w:val="0"/>
          <w:numId w:val="51"/>
        </w:numPr>
        <w:tabs>
          <w:tab w:val="left" w:pos="1440"/>
        </w:tabs>
        <w:spacing w:after="60"/>
        <w:rPr>
          <w:rFonts w:cs="Tahoma"/>
        </w:rPr>
      </w:pPr>
      <w:r w:rsidRPr="00A75DF9">
        <w:rPr>
          <w:rFonts w:eastAsia="Calibri" w:cs="Tahoma"/>
          <w:b/>
          <w:szCs w:val="18"/>
        </w:rPr>
        <w:t>SQL Server 2008 R2 Datacenter:</w:t>
      </w:r>
      <w:r w:rsidRPr="00A75DF9">
        <w:rPr>
          <w:rFonts w:eastAsia="Calibri" w:cs="Tahoma"/>
          <w:szCs w:val="18"/>
        </w:rPr>
        <w:t xml:space="preserve"> l</w:t>
      </w:r>
      <w:r w:rsidR="00F2643E">
        <w:rPr>
          <w:rFonts w:eastAsia="Calibri" w:cs="Tahoma"/>
          <w:szCs w:val="18"/>
        </w:rPr>
        <w:t>’</w:t>
      </w:r>
      <w:r w:rsidRPr="00A75DF9">
        <w:rPr>
          <w:rFonts w:eastAsia="Calibri" w:cs="Tahoma"/>
          <w:szCs w:val="18"/>
        </w:rPr>
        <w:t xml:space="preserve">utilizzo continuativo di tale versione del software è soggetto ai diritti di utilizzo del prodotto previsti dalla licenza per processore SQL Server 2008 R2 Datacenter. </w:t>
      </w:r>
    </w:p>
    <w:p w:rsidR="00A81E83" w:rsidRPr="00A75DF9" w:rsidRDefault="00A81E83" w:rsidP="00346F4B">
      <w:pPr>
        <w:numPr>
          <w:ilvl w:val="0"/>
          <w:numId w:val="51"/>
        </w:numPr>
        <w:tabs>
          <w:tab w:val="left" w:pos="1440"/>
          <w:tab w:val="left" w:pos="2970"/>
        </w:tabs>
        <w:spacing w:after="60"/>
        <w:rPr>
          <w:rFonts w:cs="Tahoma"/>
        </w:rPr>
      </w:pPr>
      <w:r w:rsidRPr="00A75DF9">
        <w:rPr>
          <w:rFonts w:eastAsia="Calibri" w:cs="Tahoma"/>
          <w:b/>
          <w:szCs w:val="18"/>
        </w:rPr>
        <w:lastRenderedPageBreak/>
        <w:t xml:space="preserve">SQL Server 2012 Enterprise Core: </w:t>
      </w:r>
      <w:r w:rsidRPr="00A75DF9">
        <w:rPr>
          <w:rFonts w:eastAsia="Calibri" w:cs="Tahoma"/>
          <w:szCs w:val="18"/>
        </w:rPr>
        <w:t>l</w:t>
      </w:r>
      <w:r w:rsidR="00F2643E">
        <w:rPr>
          <w:rFonts w:eastAsia="Calibri" w:cs="Tahoma"/>
          <w:szCs w:val="18"/>
        </w:rPr>
        <w:t>’</w:t>
      </w:r>
      <w:r w:rsidRPr="00A75DF9">
        <w:rPr>
          <w:rFonts w:eastAsia="Calibri" w:cs="Tahoma"/>
          <w:szCs w:val="18"/>
        </w:rPr>
        <w:t xml:space="preserve">utilizzo di tale versione del software è soggetto ai diritti di utilizzo del prodotto previsti dalla licenza per processore SQL Server 2008 R2 Enterprise, tuttavia: </w:t>
      </w:r>
    </w:p>
    <w:p w:rsidR="00A81E83" w:rsidRPr="00A75DF9" w:rsidRDefault="00A81E83" w:rsidP="00346F4B">
      <w:pPr>
        <w:numPr>
          <w:ilvl w:val="1"/>
          <w:numId w:val="51"/>
        </w:numPr>
        <w:tabs>
          <w:tab w:val="left" w:pos="1800"/>
        </w:tabs>
        <w:spacing w:after="60"/>
        <w:ind w:left="1800"/>
        <w:rPr>
          <w:rFonts w:cs="Tahoma"/>
        </w:rPr>
      </w:pPr>
      <w:r w:rsidRPr="00A75DF9">
        <w:rPr>
          <w:rFonts w:eastAsia="Calibri" w:cs="Tahoma"/>
          <w:szCs w:val="18"/>
        </w:rPr>
        <w:t>le società non disporranno più di diritti sull</w:t>
      </w:r>
      <w:r w:rsidR="00F2643E">
        <w:rPr>
          <w:rFonts w:eastAsia="Calibri" w:cs="Tahoma"/>
          <w:szCs w:val="18"/>
        </w:rPr>
        <w:t>’</w:t>
      </w:r>
      <w:r w:rsidRPr="00A75DF9">
        <w:rPr>
          <w:rFonts w:eastAsia="Calibri" w:cs="Tahoma"/>
          <w:szCs w:val="18"/>
        </w:rPr>
        <w:t>utilizzo per la Virtualizzazione Illimitata, Mobilità delle Licenze all</w:t>
      </w:r>
      <w:r w:rsidR="00F2643E">
        <w:rPr>
          <w:rFonts w:eastAsia="Calibri" w:cs="Tahoma"/>
          <w:szCs w:val="18"/>
        </w:rPr>
        <w:t>’</w:t>
      </w:r>
      <w:r w:rsidRPr="00A75DF9">
        <w:rPr>
          <w:rFonts w:eastAsia="Calibri" w:cs="Tahoma"/>
          <w:szCs w:val="18"/>
        </w:rPr>
        <w:t xml:space="preserve">interno di Server Farm o Mobilità delle Licenze tramite Software Assurance e </w:t>
      </w:r>
    </w:p>
    <w:p w:rsidR="00A81E83" w:rsidRPr="00A75DF9" w:rsidRDefault="00A81E83" w:rsidP="00346F4B">
      <w:pPr>
        <w:numPr>
          <w:ilvl w:val="1"/>
          <w:numId w:val="51"/>
        </w:numPr>
        <w:tabs>
          <w:tab w:val="left" w:pos="1800"/>
        </w:tabs>
        <w:spacing w:after="60"/>
        <w:ind w:left="1800"/>
        <w:rPr>
          <w:rFonts w:cs="Tahoma"/>
        </w:rPr>
      </w:pPr>
      <w:r w:rsidRPr="00A75DF9">
        <w:rPr>
          <w:rFonts w:eastAsia="Calibri" w:cs="Tahoma"/>
          <w:szCs w:val="18"/>
        </w:rPr>
        <w:t>l</w:t>
      </w:r>
      <w:r w:rsidR="00F2643E">
        <w:rPr>
          <w:rFonts w:eastAsia="Calibri" w:cs="Tahoma"/>
          <w:szCs w:val="18"/>
        </w:rPr>
        <w:t>’</w:t>
      </w:r>
      <w:r w:rsidRPr="00A75DF9">
        <w:rPr>
          <w:rFonts w:eastAsia="Calibri" w:cs="Tahoma"/>
          <w:szCs w:val="18"/>
        </w:rPr>
        <w:t>eventuale riassegnazione di licenze è soggetta ai limiti indicati nei paragrafi (i) e (ii) che seguono relativi alla loro “equivalenza di licenze core”. L</w:t>
      </w:r>
      <w:r w:rsidR="00F2643E">
        <w:rPr>
          <w:rFonts w:eastAsia="Calibri" w:cs="Tahoma"/>
          <w:szCs w:val="18"/>
        </w:rPr>
        <w:t>’</w:t>
      </w:r>
      <w:r w:rsidRPr="00A75DF9">
        <w:rPr>
          <w:rFonts w:eastAsia="Calibri" w:cs="Tahoma"/>
          <w:szCs w:val="18"/>
        </w:rPr>
        <w:t xml:space="preserve">equivalenza di licenze core è determinata come di seguito riportato. </w:t>
      </w:r>
    </w:p>
    <w:p w:rsidR="00A81E83" w:rsidRPr="00A75DF9" w:rsidRDefault="00A81E83" w:rsidP="00346F4B">
      <w:pPr>
        <w:numPr>
          <w:ilvl w:val="2"/>
          <w:numId w:val="51"/>
        </w:numPr>
        <w:tabs>
          <w:tab w:val="left" w:pos="2160"/>
        </w:tabs>
        <w:spacing w:after="60"/>
        <w:ind w:left="2160" w:hanging="360"/>
        <w:rPr>
          <w:rFonts w:cs="Tahoma"/>
        </w:rPr>
      </w:pPr>
      <w:r w:rsidRPr="00A75DF9">
        <w:rPr>
          <w:rFonts w:eastAsia="Calibri" w:cs="Tahoma"/>
          <w:szCs w:val="18"/>
        </w:rPr>
        <w:t>Per un numero di licenze pari al numero inferiore tra (x) il numero totale di licenze per processore cedute a un server con licenza appena prima della scadenza di Software Assurance o (y) il numero totale di processori fisici su tale server, l</w:t>
      </w:r>
      <w:r w:rsidR="00F2643E">
        <w:rPr>
          <w:rFonts w:eastAsia="Calibri" w:cs="Tahoma"/>
          <w:szCs w:val="18"/>
        </w:rPr>
        <w:t>’</w:t>
      </w:r>
      <w:r w:rsidRPr="00A75DF9">
        <w:rPr>
          <w:rFonts w:eastAsia="Calibri" w:cs="Tahoma"/>
          <w:szCs w:val="18"/>
        </w:rPr>
        <w:t xml:space="preserve">equivalenza di licenze core è il numero maggiore tra: </w:t>
      </w:r>
    </w:p>
    <w:p w:rsidR="00A81E83" w:rsidRPr="00A75DF9" w:rsidRDefault="00A81E83" w:rsidP="00346F4B">
      <w:pPr>
        <w:numPr>
          <w:ilvl w:val="4"/>
          <w:numId w:val="50"/>
        </w:numPr>
        <w:tabs>
          <w:tab w:val="left" w:pos="2520"/>
        </w:tabs>
        <w:spacing w:after="60"/>
        <w:ind w:left="2520"/>
        <w:rPr>
          <w:rFonts w:cs="Tahoma"/>
        </w:rPr>
      </w:pPr>
      <w:r w:rsidRPr="00A75DF9">
        <w:rPr>
          <w:rFonts w:eastAsia="Calibri" w:cs="Tahoma"/>
          <w:szCs w:val="18"/>
        </w:rPr>
        <w:t xml:space="preserve">otto core per licenza per processore O </w:t>
      </w:r>
    </w:p>
    <w:p w:rsidR="00A81E83" w:rsidRPr="00A75DF9" w:rsidRDefault="00A81E83" w:rsidP="00346F4B">
      <w:pPr>
        <w:numPr>
          <w:ilvl w:val="4"/>
          <w:numId w:val="50"/>
        </w:numPr>
        <w:tabs>
          <w:tab w:val="left" w:pos="2520"/>
        </w:tabs>
        <w:spacing w:after="60"/>
        <w:ind w:left="2520"/>
        <w:rPr>
          <w:rFonts w:cs="Tahoma"/>
        </w:rPr>
      </w:pPr>
      <w:r w:rsidRPr="00A75DF9">
        <w:rPr>
          <w:rFonts w:eastAsia="Calibri" w:cs="Tahoma"/>
          <w:szCs w:val="18"/>
        </w:rPr>
        <w:t>un numero di core per licenza per processore basato sul numero effettivo di core per processore fisico moltiplicato per il fattore core appropriato. (Nei casi in cui il numero effettivo di core per processore fisico superi otto, le società dovranno conservare un record della configurazione del software SQL Server in esecuzione sul server (istanze con licenza in esecuzione negli ambienti del sistema operativo sul server con licenza) e l</w:t>
      </w:r>
      <w:r w:rsidR="00F2643E">
        <w:rPr>
          <w:rFonts w:eastAsia="Calibri" w:cs="Tahoma"/>
          <w:szCs w:val="18"/>
        </w:rPr>
        <w:t>’</w:t>
      </w:r>
      <w:r w:rsidRPr="00A75DF9">
        <w:rPr>
          <w:rFonts w:eastAsia="Calibri" w:cs="Tahoma"/>
          <w:szCs w:val="18"/>
        </w:rPr>
        <w:t xml:space="preserve">hardware fisico che supporta tale software appena prima della scadenza di Software Assurance utilizzando lo strumento MAP di Microsoft o un software equivalente). </w:t>
      </w:r>
    </w:p>
    <w:p w:rsidR="00A81E83" w:rsidRPr="005F10EF" w:rsidRDefault="00A81E83" w:rsidP="00346F4B">
      <w:pPr>
        <w:numPr>
          <w:ilvl w:val="2"/>
          <w:numId w:val="51"/>
        </w:numPr>
        <w:tabs>
          <w:tab w:val="left" w:pos="2160"/>
        </w:tabs>
        <w:spacing w:after="60"/>
        <w:ind w:left="2160" w:hanging="360"/>
        <w:rPr>
          <w:rFonts w:cs="Tahoma"/>
        </w:rPr>
      </w:pPr>
      <w:r w:rsidRPr="00A75DF9">
        <w:rPr>
          <w:rFonts w:eastAsia="Calibri" w:cs="Tahoma"/>
          <w:szCs w:val="18"/>
        </w:rPr>
        <w:t>Per qualsiasi licenza per processore con la copertura Software Assurance in scadenza ceduta allo stesso server con licenza che ecceda il numero effettivo di processori fisici sul server, l</w:t>
      </w:r>
      <w:r w:rsidR="00F2643E">
        <w:rPr>
          <w:rFonts w:eastAsia="Calibri" w:cs="Tahoma"/>
          <w:szCs w:val="18"/>
        </w:rPr>
        <w:t>’</w:t>
      </w:r>
      <w:r w:rsidRPr="00A75DF9">
        <w:rPr>
          <w:rFonts w:eastAsia="Calibri" w:cs="Tahoma"/>
          <w:szCs w:val="18"/>
        </w:rPr>
        <w:t>equivalenza core è di otto core per licenza per processore.</w:t>
      </w:r>
    </w:p>
    <w:p w:rsidR="00A81E83" w:rsidRPr="00A75DF9" w:rsidRDefault="00A81E83" w:rsidP="00346F4B">
      <w:pPr>
        <w:numPr>
          <w:ilvl w:val="1"/>
          <w:numId w:val="51"/>
        </w:numPr>
        <w:tabs>
          <w:tab w:val="left" w:pos="1800"/>
          <w:tab w:val="left" w:pos="2970"/>
        </w:tabs>
        <w:spacing w:after="60"/>
        <w:ind w:left="1800"/>
        <w:rPr>
          <w:rFonts w:cs="Tahoma"/>
        </w:rPr>
      </w:pPr>
      <w:r w:rsidRPr="00A75DF9">
        <w:rPr>
          <w:rFonts w:eastAsia="Calibri" w:cs="Tahoma"/>
          <w:szCs w:val="18"/>
        </w:rPr>
        <w:t>Le società potranno riassegnare le licenze a un altro server. Tuttavia, qualora la società riassegni una licenza a un altro server, dovrà attenersi ai diritti sull</w:t>
      </w:r>
      <w:r w:rsidR="00F2643E">
        <w:rPr>
          <w:rFonts w:eastAsia="Calibri" w:cs="Tahoma"/>
          <w:szCs w:val="18"/>
        </w:rPr>
        <w:t>’</w:t>
      </w:r>
      <w:r w:rsidRPr="00A75DF9">
        <w:rPr>
          <w:rFonts w:eastAsia="Calibri" w:cs="Tahoma"/>
          <w:szCs w:val="18"/>
        </w:rPr>
        <w:t>utilizzo di SQL Server 2012. Quando cede licenze core a server ai sensi dei diritti sull</w:t>
      </w:r>
      <w:r w:rsidR="00F2643E">
        <w:rPr>
          <w:rFonts w:eastAsia="Calibri" w:cs="Tahoma"/>
          <w:szCs w:val="18"/>
        </w:rPr>
        <w:t>’</w:t>
      </w:r>
      <w:r w:rsidRPr="00A75DF9">
        <w:rPr>
          <w:rFonts w:eastAsia="Calibri" w:cs="Tahoma"/>
          <w:szCs w:val="18"/>
        </w:rPr>
        <w:t>utilizzo per SQL 2012, la società potrà combinare l</w:t>
      </w:r>
      <w:r w:rsidR="00F2643E">
        <w:rPr>
          <w:rFonts w:eastAsia="Calibri" w:cs="Tahoma"/>
          <w:szCs w:val="18"/>
        </w:rPr>
        <w:t>’</w:t>
      </w:r>
      <w:r w:rsidRPr="00A75DF9">
        <w:rPr>
          <w:rFonts w:eastAsia="Calibri" w:cs="Tahoma"/>
          <w:szCs w:val="18"/>
        </w:rPr>
        <w:t>equivalenza core delle licenze esistenti con le licenze core per SQL Server 2012 aggiuntive.</w:t>
      </w:r>
      <w:r w:rsidR="009D3B41" w:rsidRPr="00A75DF9">
        <w:rPr>
          <w:rFonts w:eastAsia="Calibri" w:cs="Tahoma"/>
          <w:szCs w:val="18"/>
        </w:rPr>
        <w:t xml:space="preserve"> </w:t>
      </w:r>
    </w:p>
    <w:p w:rsidR="00A81E83" w:rsidRPr="00A75DF9" w:rsidRDefault="00A81E83" w:rsidP="00346F4B">
      <w:pPr>
        <w:numPr>
          <w:ilvl w:val="1"/>
          <w:numId w:val="51"/>
        </w:numPr>
        <w:tabs>
          <w:tab w:val="left" w:pos="1800"/>
        </w:tabs>
        <w:spacing w:after="60"/>
        <w:ind w:left="1800"/>
        <w:rPr>
          <w:rFonts w:cs="Tahoma"/>
        </w:rPr>
      </w:pPr>
      <w:r w:rsidRPr="00A75DF9">
        <w:rPr>
          <w:rFonts w:eastAsia="Calibri" w:cs="Tahoma"/>
          <w:szCs w:val="18"/>
        </w:rPr>
        <w:t>L</w:t>
      </w:r>
      <w:r w:rsidR="00F2643E">
        <w:rPr>
          <w:rFonts w:eastAsia="Calibri" w:cs="Tahoma"/>
          <w:szCs w:val="18"/>
        </w:rPr>
        <w:t>’</w:t>
      </w:r>
      <w:r w:rsidRPr="00A75DF9">
        <w:rPr>
          <w:rFonts w:eastAsia="Calibri" w:cs="Tahoma"/>
          <w:szCs w:val="18"/>
        </w:rPr>
        <w:t>equivalenza di licenze core stimata delle società non implica che esse possano cedere una licenza singola per processore a core attraverso due o più processori.</w:t>
      </w:r>
    </w:p>
    <w:p w:rsidR="00CA0E2D" w:rsidRPr="00A75DF9" w:rsidRDefault="00CA0E2D" w:rsidP="00CA0E2D">
      <w:pPr>
        <w:tabs>
          <w:tab w:val="left" w:pos="720"/>
        </w:tabs>
        <w:ind w:left="720"/>
        <w:contextualSpacing/>
        <w:rPr>
          <w:rFonts w:cs="Tahoma"/>
        </w:rPr>
      </w:pPr>
    </w:p>
    <w:p w:rsidR="00CA0E2D" w:rsidRPr="00A75DF9" w:rsidRDefault="00A81E83" w:rsidP="00CA0E2D">
      <w:pPr>
        <w:tabs>
          <w:tab w:val="left" w:pos="720"/>
        </w:tabs>
        <w:spacing w:after="60"/>
        <w:ind w:left="720"/>
        <w:rPr>
          <w:rFonts w:cs="Tahoma"/>
        </w:rPr>
      </w:pPr>
      <w:r w:rsidRPr="00A75DF9">
        <w:rPr>
          <w:rFonts w:eastAsia="Calibri" w:cs="Tahoma"/>
          <w:b/>
          <w:szCs w:val="18"/>
        </w:rPr>
        <w:t>Per le Società con copertura Software Assurance in scadenza in data 1 aprile 2015 o successiva che scelgono di non effettuare il rinnovo</w:t>
      </w:r>
    </w:p>
    <w:p w:rsidR="00A81E83" w:rsidRPr="00A75DF9" w:rsidRDefault="00A81E83" w:rsidP="00CA0E2D">
      <w:pPr>
        <w:tabs>
          <w:tab w:val="left" w:pos="720"/>
        </w:tabs>
        <w:ind w:left="720"/>
        <w:contextualSpacing/>
        <w:rPr>
          <w:rFonts w:cs="Tahoma"/>
        </w:rPr>
      </w:pPr>
      <w:r w:rsidRPr="00A75DF9">
        <w:rPr>
          <w:rFonts w:eastAsia="Calibri" w:cs="Tahoma"/>
          <w:color w:val="000000"/>
          <w:szCs w:val="18"/>
        </w:rPr>
        <w:t xml:space="preserve">Alle società titolari di contratti Enterprise Subscription </w:t>
      </w:r>
      <w:r w:rsidRPr="00A75DF9">
        <w:rPr>
          <w:rFonts w:cs="Tahoma"/>
          <w:bCs/>
          <w:color w:val="000000"/>
          <w:szCs w:val="18"/>
        </w:rPr>
        <w:t xml:space="preserve">e Open Value Subscription </w:t>
      </w:r>
      <w:r w:rsidRPr="00A75DF9">
        <w:rPr>
          <w:rFonts w:eastAsia="Calibri" w:cs="Tahoma"/>
          <w:color w:val="000000"/>
          <w:szCs w:val="18"/>
        </w:rPr>
        <w:t xml:space="preserve">con copertura in scadenza in data 1 aprile 2015 o successiva che scelgono di effettuare il buy-out delle licenze per processore e alle altre società che acquistano licenze perpetue ai sensi del loro contratto verranno offerte le seguenti opzioni: </w:t>
      </w:r>
    </w:p>
    <w:p w:rsidR="00CA0E2D" w:rsidRPr="00A75DF9" w:rsidRDefault="00CA0E2D" w:rsidP="00CA0E2D">
      <w:pPr>
        <w:tabs>
          <w:tab w:val="left" w:pos="720"/>
        </w:tabs>
        <w:ind w:left="720"/>
        <w:contextualSpacing/>
        <w:rPr>
          <w:rFonts w:cs="Tahoma"/>
        </w:rPr>
      </w:pPr>
    </w:p>
    <w:p w:rsidR="00A81E83" w:rsidRPr="00A75DF9" w:rsidRDefault="00A81E83" w:rsidP="00346F4B">
      <w:pPr>
        <w:numPr>
          <w:ilvl w:val="2"/>
          <w:numId w:val="50"/>
        </w:numPr>
        <w:tabs>
          <w:tab w:val="left" w:pos="1440"/>
        </w:tabs>
        <w:spacing w:after="60"/>
        <w:ind w:left="1440"/>
        <w:rPr>
          <w:rFonts w:cs="Tahoma"/>
        </w:rPr>
      </w:pPr>
      <w:r w:rsidRPr="00A75DF9">
        <w:rPr>
          <w:rFonts w:eastAsia="Calibri" w:cs="Tahoma"/>
          <w:szCs w:val="18"/>
        </w:rPr>
        <w:t xml:space="preserve">come stabilito nel primo paragrafo di questa nota relativa al prodotto, le licenze acquistate prima del 1 aprile 2015 sono licenze qualificanti e le società potranno continuare a utilizzare SQL Server 2012 in base alle condizioni riportate nel precedente Articolo “Per le società con copertura Software Assurance in scadenza prima del 1 aprile 2015 che scelgono di non effettuare il rinnovo” e </w:t>
      </w:r>
    </w:p>
    <w:p w:rsidR="00A81E83" w:rsidRPr="00A75DF9" w:rsidRDefault="00A81E83" w:rsidP="00346F4B">
      <w:pPr>
        <w:numPr>
          <w:ilvl w:val="2"/>
          <w:numId w:val="50"/>
        </w:numPr>
        <w:tabs>
          <w:tab w:val="left" w:pos="1440"/>
        </w:tabs>
        <w:spacing w:after="60"/>
        <w:ind w:left="1440"/>
        <w:rPr>
          <w:rFonts w:cs="Tahoma"/>
        </w:rPr>
      </w:pPr>
      <w:r w:rsidRPr="00A75DF9">
        <w:rPr>
          <w:rFonts w:eastAsia="Calibri" w:cs="Tahoma"/>
          <w:szCs w:val="18"/>
        </w:rPr>
        <w:t>per le licenze acquistate dopo il 1 aprile 2015 la licenza per processore delle società avrà un</w:t>
      </w:r>
      <w:r w:rsidR="00F2643E">
        <w:rPr>
          <w:rFonts w:eastAsia="Calibri" w:cs="Tahoma"/>
          <w:szCs w:val="18"/>
        </w:rPr>
        <w:t>’</w:t>
      </w:r>
      <w:r w:rsidRPr="00A75DF9">
        <w:rPr>
          <w:rFonts w:eastAsia="Calibri" w:cs="Tahoma"/>
          <w:szCs w:val="18"/>
        </w:rPr>
        <w:t>equivalenza core di otto licenze core Enterprise per SQL Server 2012. Per l</w:t>
      </w:r>
      <w:r w:rsidR="00F2643E">
        <w:rPr>
          <w:rFonts w:eastAsia="Calibri" w:cs="Tahoma"/>
          <w:szCs w:val="18"/>
        </w:rPr>
        <w:t>’</w:t>
      </w:r>
      <w:r w:rsidRPr="00A75DF9">
        <w:rPr>
          <w:rFonts w:eastAsia="Calibri" w:cs="Tahoma"/>
          <w:szCs w:val="18"/>
        </w:rPr>
        <w:t>utilizzo continuativo di SQL Server 2012 su processori che richiedono più di otto licenze core per processore la società deve acquistare le licenze core aggiuntive.</w:t>
      </w:r>
    </w:p>
    <w:p w:rsidR="00CA0E2D" w:rsidRPr="00A75DF9" w:rsidRDefault="00CA0E2D" w:rsidP="00CA0E2D">
      <w:pPr>
        <w:tabs>
          <w:tab w:val="left" w:pos="1440"/>
        </w:tabs>
        <w:ind w:left="1440"/>
        <w:contextualSpacing/>
        <w:rPr>
          <w:rFonts w:cs="Tahoma"/>
        </w:rPr>
      </w:pPr>
    </w:p>
    <w:p w:rsidR="00CA0E2D" w:rsidRPr="00A75DF9" w:rsidRDefault="00A81E83" w:rsidP="00CA0E2D">
      <w:pPr>
        <w:tabs>
          <w:tab w:val="left" w:pos="720"/>
        </w:tabs>
        <w:spacing w:after="60"/>
        <w:ind w:left="720"/>
        <w:rPr>
          <w:rFonts w:cs="Tahoma"/>
        </w:rPr>
      </w:pPr>
      <w:r w:rsidRPr="00A75DF9">
        <w:rPr>
          <w:rFonts w:eastAsia="Calibri" w:cs="Tahoma"/>
          <w:b/>
          <w:szCs w:val="18"/>
        </w:rPr>
        <w:t>Per le società con sede nella Repubblica popolare cinese, dove acquistano licenze per processore e Software Assurance per SQL Server 2008 R2</w:t>
      </w:r>
    </w:p>
    <w:p w:rsidR="00A81E83" w:rsidRPr="00A75DF9" w:rsidRDefault="00A81E83" w:rsidP="00CA0E2D">
      <w:pPr>
        <w:tabs>
          <w:tab w:val="left" w:pos="720"/>
        </w:tabs>
        <w:ind w:left="720"/>
        <w:contextualSpacing/>
        <w:rPr>
          <w:rFonts w:cs="Tahoma"/>
        </w:rPr>
      </w:pPr>
      <w:r w:rsidRPr="00A75DF9">
        <w:rPr>
          <w:rFonts w:cs="Tahoma"/>
        </w:rPr>
        <w:t>Non si applicano i riferimenti al 1 aprile 2012 e al 1 aprile 2015 presenti in questa nota relativa alla lista dei prodotti. Le date applicabili per queste società sarebbero rispettivamente il 1 luglio 2012 e il 1 luglio 2015.</w:t>
      </w:r>
    </w:p>
    <w:p w:rsidR="00A81E83" w:rsidRPr="00A75DF9" w:rsidRDefault="00A81E83" w:rsidP="00A5643F">
      <w:pPr>
        <w:rPr>
          <w:rFonts w:cs="Tahoma"/>
        </w:rPr>
      </w:pPr>
    </w:p>
    <w:p w:rsidR="00A81E83" w:rsidRDefault="00A81E83" w:rsidP="003E0F96">
      <w:pPr>
        <w:rPr>
          <w:rFonts w:cs="Tahoma"/>
        </w:rPr>
      </w:pPr>
    </w:p>
    <w:p w:rsidR="003E0F96" w:rsidRDefault="003E0F96" w:rsidP="003E0F96">
      <w:pPr>
        <w:rPr>
          <w:rFonts w:cs="Tahoma"/>
        </w:rPr>
      </w:pPr>
    </w:p>
    <w:p w:rsidR="003E0F96" w:rsidRDefault="003E0F96" w:rsidP="003E0F96">
      <w:pPr>
        <w:rPr>
          <w:rFonts w:cs="Tahoma"/>
        </w:rPr>
      </w:pPr>
    </w:p>
    <w:p w:rsidR="003E0F96" w:rsidRPr="00A75DF9" w:rsidRDefault="003E0F96" w:rsidP="003E0F96">
      <w:pPr>
        <w:rPr>
          <w:rFonts w:cs="Tahoma"/>
        </w:rPr>
      </w:pPr>
    </w:p>
    <w:p w:rsidR="00A81E83" w:rsidRPr="00A75DF9" w:rsidRDefault="00A560B6" w:rsidP="00A81E83">
      <w:pPr>
        <w:pStyle w:val="Heading3"/>
        <w:rPr>
          <w:rFonts w:ascii="Tahoma" w:hAnsi="Tahoma" w:cs="Tahoma"/>
        </w:rPr>
      </w:pPr>
      <w:bookmarkStart w:id="1418" w:name="_76_74_SQL"/>
      <w:bookmarkStart w:id="1419" w:name="_Toc336338341"/>
      <w:bookmarkStart w:id="1420" w:name="Srv_83SQL2008R2Smallbiz"/>
      <w:bookmarkStart w:id="1421" w:name="_Toc368310331"/>
      <w:bookmarkEnd w:id="1418"/>
      <w:r w:rsidRPr="00A75DF9">
        <w:rPr>
          <w:rFonts w:ascii="Tahoma" w:hAnsi="Tahoma" w:cs="Tahoma"/>
          <w:caps/>
          <w:color w:val="FE6700"/>
          <w:sz w:val="22"/>
          <w:vertAlign w:val="superscript"/>
        </w:rPr>
        <w:lastRenderedPageBreak/>
        <w:t xml:space="preserve">81 </w:t>
      </w:r>
      <w:r w:rsidRPr="00A75DF9">
        <w:rPr>
          <w:rFonts w:ascii="Tahoma" w:hAnsi="Tahoma" w:cs="Tahoma"/>
          <w:color w:val="FE6700"/>
          <w:sz w:val="22"/>
        </w:rPr>
        <w:t>SQL Server</w:t>
      </w:r>
      <w:r w:rsidR="009D5D7B" w:rsidRPr="00A75DF9">
        <w:rPr>
          <w:rFonts w:ascii="Tahoma" w:hAnsi="Tahoma" w:cs="Tahoma"/>
          <w:color w:val="FE6700"/>
          <w:sz w:val="22"/>
          <w:vertAlign w:val="superscript"/>
        </w:rPr>
        <w:t>®</w:t>
      </w:r>
      <w:r w:rsidRPr="00A75DF9">
        <w:rPr>
          <w:rFonts w:ascii="Tahoma" w:hAnsi="Tahoma" w:cs="Tahoma"/>
          <w:color w:val="FE6700"/>
          <w:sz w:val="22"/>
        </w:rPr>
        <w:t xml:space="preserve"> 2008 R2 Small Business</w:t>
      </w:r>
      <w:bookmarkEnd w:id="1419"/>
      <w:bookmarkEnd w:id="1421"/>
    </w:p>
    <w:bookmarkEnd w:id="1420"/>
    <w:p w:rsidR="00A81E83" w:rsidRPr="00A75DF9" w:rsidRDefault="00A81E83" w:rsidP="00BD4B91">
      <w:pPr>
        <w:rPr>
          <w:rFonts w:cs="Tahoma"/>
        </w:rPr>
      </w:pPr>
    </w:p>
    <w:p w:rsidR="00CA0E2D" w:rsidRPr="00A75DF9" w:rsidRDefault="00A81E83" w:rsidP="00CA0E2D">
      <w:pPr>
        <w:spacing w:after="60" w:line="276" w:lineRule="auto"/>
        <w:ind w:left="720"/>
        <w:rPr>
          <w:rFonts w:cs="Tahoma"/>
        </w:rPr>
      </w:pPr>
      <w:r w:rsidRPr="00A75DF9">
        <w:rPr>
          <w:rFonts w:eastAsia="Calibri" w:cs="Tahoma"/>
          <w:b/>
          <w:szCs w:val="18"/>
        </w:rPr>
        <w:t>Concessioni di Licenza Associate alla fine del ciclo di vita di SQL Server Small Business Edition</w:t>
      </w:r>
    </w:p>
    <w:p w:rsidR="00A81E83" w:rsidRPr="00A75DF9" w:rsidRDefault="00A81E83" w:rsidP="005F10EF">
      <w:pPr>
        <w:spacing w:after="200"/>
        <w:ind w:left="720"/>
        <w:rPr>
          <w:rFonts w:cs="Tahoma"/>
        </w:rPr>
      </w:pPr>
      <w:r w:rsidRPr="00A75DF9">
        <w:rPr>
          <w:rFonts w:eastAsia="Calibri" w:cs="Tahoma"/>
          <w:szCs w:val="18"/>
        </w:rPr>
        <w:t>SQL Server 2008 R2 per Small Business sarà l</w:t>
      </w:r>
      <w:r w:rsidR="00F2643E">
        <w:rPr>
          <w:rFonts w:eastAsia="Calibri" w:cs="Tahoma"/>
          <w:szCs w:val="18"/>
        </w:rPr>
        <w:t>’</w:t>
      </w:r>
      <w:r w:rsidRPr="00A75DF9">
        <w:rPr>
          <w:rFonts w:eastAsia="Calibri" w:cs="Tahoma"/>
          <w:szCs w:val="18"/>
        </w:rPr>
        <w:t>ultima versione di SQL Server per Small Business Edition.</w:t>
      </w:r>
      <w:r w:rsidR="009D3B41" w:rsidRPr="00A75DF9">
        <w:rPr>
          <w:rFonts w:eastAsia="Calibri" w:cs="Tahoma"/>
          <w:szCs w:val="18"/>
        </w:rPr>
        <w:t xml:space="preserve"> </w:t>
      </w:r>
      <w:r w:rsidRPr="00A75DF9">
        <w:rPr>
          <w:rFonts w:eastAsia="Calibri" w:cs="Tahoma"/>
          <w:szCs w:val="18"/>
        </w:rPr>
        <w:t>In via eccezionale, le società con Contratti Multilicenza e con copertura Software Assurance attiva per le licenze per SQL Server 2008 R2 per Small Business in data 1 aprile 2012 potranno effettuare l</w:t>
      </w:r>
      <w:r w:rsidR="00F2643E">
        <w:rPr>
          <w:rFonts w:eastAsia="Calibri" w:cs="Tahoma"/>
          <w:szCs w:val="18"/>
        </w:rPr>
        <w:t>’</w:t>
      </w:r>
      <w:r w:rsidRPr="00A75DF9">
        <w:rPr>
          <w:rFonts w:eastAsia="Calibri" w:cs="Tahoma"/>
          <w:szCs w:val="18"/>
        </w:rPr>
        <w:t>aggiornamento a SQL Server 2012 Standard Server e utilizzarlo (o a qualsiasi versione successiva del prodotto resa disponibile durante la copertura) al posto di SQL Server Workgroup Edition, nonché acquistare Software Assurance per SQL Server Standard alla scadenza della copertura in corso. Inoltre, le società con Contratti Multilicenza e</w:t>
      </w:r>
      <w:r w:rsidR="005F10EF">
        <w:rPr>
          <w:rFonts w:eastAsia="Calibri" w:cs="Tahoma"/>
          <w:szCs w:val="18"/>
        </w:rPr>
        <w:t> </w:t>
      </w:r>
      <w:r w:rsidRPr="00A75DF9">
        <w:rPr>
          <w:rFonts w:eastAsia="Calibri" w:cs="Tahoma"/>
          <w:szCs w:val="18"/>
        </w:rPr>
        <w:t>con copertura Software Assurance attiva per le CAL per SQL Server 2008 R2 per Small Business in data 1 aprile 2012 potranno effettuare l</w:t>
      </w:r>
      <w:r w:rsidR="00F2643E">
        <w:rPr>
          <w:rFonts w:eastAsia="Calibri" w:cs="Tahoma"/>
          <w:szCs w:val="18"/>
        </w:rPr>
        <w:t>’</w:t>
      </w:r>
      <w:r w:rsidRPr="00A75DF9">
        <w:rPr>
          <w:rFonts w:eastAsia="Calibri" w:cs="Tahoma"/>
          <w:szCs w:val="18"/>
        </w:rPr>
        <w:t>aggiornamento alle CAL per SQL Server 2012 (o a qualsiasi versione successiva della CAL resa disponibile durante la copertura) e utilizzarle al posto della CAL per SQL Server Small Business, nonché acquistare Software Assurance per la CAL per SQL Server alla scadenza della copertura in corso.</w:t>
      </w:r>
      <w:r w:rsidR="009D3B41" w:rsidRPr="00A75DF9">
        <w:rPr>
          <w:rFonts w:eastAsia="Calibri" w:cs="Tahoma"/>
          <w:szCs w:val="18"/>
        </w:rPr>
        <w:t xml:space="preserve"> </w:t>
      </w:r>
      <w:r w:rsidRPr="00A75DF9">
        <w:rPr>
          <w:rFonts w:eastAsia="Calibri" w:cs="Tahoma"/>
          <w:szCs w:val="18"/>
        </w:rPr>
        <w:t>Le licenze per SQL Server Small Business delle società non sono più valide quando acquistano la copertura Software Assurance per SQL Server Standard ai sensi della presente offerta.</w:t>
      </w:r>
    </w:p>
    <w:p w:rsidR="00CA0E2D" w:rsidRPr="00A75DF9" w:rsidRDefault="00A81E83" w:rsidP="00CA0E2D">
      <w:pPr>
        <w:spacing w:after="60" w:line="276" w:lineRule="auto"/>
        <w:ind w:left="720"/>
        <w:rPr>
          <w:rFonts w:cs="Tahoma"/>
        </w:rPr>
      </w:pPr>
      <w:r w:rsidRPr="00A75DF9">
        <w:rPr>
          <w:rFonts w:cs="Tahoma"/>
          <w:b/>
        </w:rPr>
        <w:t>Per le società con sede nella Repubblica popolare</w:t>
      </w:r>
      <w:r w:rsidRPr="00A75DF9">
        <w:rPr>
          <w:rFonts w:cs="Tahoma"/>
        </w:rPr>
        <w:t xml:space="preserve"> </w:t>
      </w:r>
      <w:r w:rsidRPr="00A75DF9">
        <w:rPr>
          <w:rFonts w:cs="Tahoma"/>
          <w:b/>
        </w:rPr>
        <w:t>cinese, dove acquistano licenze e Software Assurance per SQL Server 2008 R2</w:t>
      </w:r>
    </w:p>
    <w:p w:rsidR="00CA0E2D" w:rsidRPr="00A75DF9" w:rsidRDefault="00A81E83" w:rsidP="00CA0E2D">
      <w:pPr>
        <w:ind w:left="720"/>
        <w:rPr>
          <w:rFonts w:cs="Tahoma"/>
        </w:rPr>
      </w:pPr>
      <w:r w:rsidRPr="00A75DF9">
        <w:rPr>
          <w:rFonts w:cs="Tahoma"/>
        </w:rPr>
        <w:t>Non si applicano i riferimenti al 1 aprile 2012 presenti in questa nota relativa alla lista dei prodotti. La data applicabile per queste società sarebbe il 1 luglio 2012.</w:t>
      </w:r>
    </w:p>
    <w:p w:rsidR="005F10EF" w:rsidRDefault="005F10EF">
      <w:pPr>
        <w:rPr>
          <w:rFonts w:cs="Tahoma"/>
        </w:rPr>
      </w:pPr>
      <w:bookmarkStart w:id="1422" w:name="_Toc336338342"/>
      <w:bookmarkStart w:id="1423" w:name="Srv_84SQL2008R2Webproc"/>
    </w:p>
    <w:p w:rsidR="005F10EF" w:rsidRPr="00A75DF9" w:rsidRDefault="005F10EF">
      <w:pPr>
        <w:rPr>
          <w:rFonts w:cs="Tahoma"/>
        </w:rPr>
      </w:pPr>
    </w:p>
    <w:p w:rsidR="00A81E83" w:rsidRPr="00A75DF9" w:rsidRDefault="00A560B6" w:rsidP="00A81E83">
      <w:pPr>
        <w:pStyle w:val="Heading3"/>
        <w:rPr>
          <w:rFonts w:ascii="Tahoma" w:hAnsi="Tahoma" w:cs="Tahoma"/>
        </w:rPr>
      </w:pPr>
      <w:bookmarkStart w:id="1424" w:name="_77_75_SQL"/>
      <w:bookmarkStart w:id="1425" w:name="_Toc368310332"/>
      <w:bookmarkEnd w:id="1424"/>
      <w:r w:rsidRPr="00A75DF9">
        <w:rPr>
          <w:rFonts w:ascii="Tahoma" w:hAnsi="Tahoma" w:cs="Tahoma"/>
          <w:caps/>
          <w:color w:val="F66400"/>
          <w:sz w:val="22"/>
          <w:vertAlign w:val="superscript"/>
        </w:rPr>
        <w:t>82</w:t>
      </w:r>
      <w:r w:rsidRPr="00A75DF9">
        <w:rPr>
          <w:rFonts w:ascii="Tahoma" w:hAnsi="Tahoma" w:cs="Tahoma"/>
          <w:color w:val="F66400"/>
          <w:sz w:val="22"/>
        </w:rPr>
        <w:t xml:space="preserve"> Processore per SQL Server</w:t>
      </w:r>
      <w:r w:rsidR="009D5D7B" w:rsidRPr="00A75DF9">
        <w:rPr>
          <w:rFonts w:ascii="Tahoma" w:hAnsi="Tahoma" w:cs="Tahoma"/>
          <w:color w:val="F66400"/>
          <w:sz w:val="22"/>
          <w:vertAlign w:val="superscript"/>
        </w:rPr>
        <w:t>®</w:t>
      </w:r>
      <w:r w:rsidRPr="00A75DF9">
        <w:rPr>
          <w:rFonts w:ascii="Tahoma" w:hAnsi="Tahoma" w:cs="Tahoma"/>
          <w:color w:val="F66400"/>
          <w:sz w:val="22"/>
        </w:rPr>
        <w:t xml:space="preserve"> 2008 R2 Web</w:t>
      </w:r>
      <w:bookmarkEnd w:id="1422"/>
      <w:bookmarkEnd w:id="1425"/>
    </w:p>
    <w:bookmarkEnd w:id="1423"/>
    <w:p w:rsidR="00A81E83" w:rsidRPr="00A75DF9" w:rsidRDefault="00A81E83" w:rsidP="008558DC">
      <w:pPr>
        <w:rPr>
          <w:rFonts w:cs="Tahoma"/>
        </w:rPr>
      </w:pPr>
    </w:p>
    <w:p w:rsidR="008558DC" w:rsidRPr="00A75DF9" w:rsidRDefault="00A81E83" w:rsidP="008558DC">
      <w:pPr>
        <w:spacing w:after="60"/>
        <w:ind w:left="720"/>
        <w:rPr>
          <w:rFonts w:cs="Tahoma"/>
        </w:rPr>
      </w:pPr>
      <w:r w:rsidRPr="00A75DF9">
        <w:rPr>
          <w:rFonts w:eastAsia="Calibri" w:cs="Tahoma"/>
          <w:b/>
          <w:szCs w:val="18"/>
        </w:rPr>
        <w:t>Concessioni di Licenza Associate alla Variazione del Modello di Licenza</w:t>
      </w:r>
    </w:p>
    <w:p w:rsidR="00A81E83" w:rsidRPr="00A75DF9" w:rsidRDefault="00A81E83" w:rsidP="005F10EF">
      <w:pPr>
        <w:ind w:left="720"/>
        <w:rPr>
          <w:rFonts w:cs="Tahoma"/>
        </w:rPr>
      </w:pPr>
      <w:r w:rsidRPr="00A75DF9">
        <w:rPr>
          <w:rFonts w:eastAsia="Calibri" w:cs="Tahoma"/>
          <w:szCs w:val="18"/>
        </w:rPr>
        <w:t>SQL Server 2008 R2 sarà l</w:t>
      </w:r>
      <w:r w:rsidR="00F2643E">
        <w:rPr>
          <w:rFonts w:eastAsia="Calibri" w:cs="Tahoma"/>
          <w:szCs w:val="18"/>
        </w:rPr>
        <w:t>’</w:t>
      </w:r>
      <w:r w:rsidRPr="00A75DF9">
        <w:rPr>
          <w:rFonts w:eastAsia="Calibri" w:cs="Tahoma"/>
          <w:szCs w:val="18"/>
        </w:rPr>
        <w:t>ultima versione di SQL Server concessa in licenza ai sensi del modello di licenza per processore e l</w:t>
      </w:r>
      <w:r w:rsidR="00F2643E">
        <w:rPr>
          <w:rFonts w:eastAsia="Calibri" w:cs="Tahoma"/>
          <w:szCs w:val="18"/>
        </w:rPr>
        <w:t>’</w:t>
      </w:r>
      <w:r w:rsidRPr="00A75DF9">
        <w:rPr>
          <w:rFonts w:eastAsia="Calibri" w:cs="Tahoma"/>
          <w:szCs w:val="18"/>
        </w:rPr>
        <w:t>ultima versione di SQL Server Web Edition ai sensi dei programmi per gli utente finali dei</w:t>
      </w:r>
      <w:r w:rsidR="005F10EF">
        <w:rPr>
          <w:rFonts w:eastAsia="Calibri" w:cs="Tahoma"/>
          <w:szCs w:val="18"/>
        </w:rPr>
        <w:t> </w:t>
      </w:r>
      <w:r w:rsidRPr="00A75DF9">
        <w:rPr>
          <w:rFonts w:eastAsia="Calibri" w:cs="Tahoma"/>
          <w:szCs w:val="18"/>
        </w:rPr>
        <w:t>Contratti Multilicenza.</w:t>
      </w:r>
      <w:r w:rsidR="009D3B41" w:rsidRPr="00A75DF9">
        <w:rPr>
          <w:rFonts w:eastAsia="Calibri" w:cs="Tahoma"/>
          <w:szCs w:val="18"/>
        </w:rPr>
        <w:t xml:space="preserve"> </w:t>
      </w:r>
      <w:r w:rsidRPr="00A75DF9">
        <w:rPr>
          <w:rFonts w:eastAsia="Calibri" w:cs="Tahoma"/>
          <w:szCs w:val="18"/>
        </w:rPr>
        <w:t xml:space="preserve">In via eccezionale, alle società con Contratti Multilicenza e copertura Software Assurance attiva per le licenze per processore per SQL Server 2008 R2 Web in data 1 aprile 2012 (“licenze qualificanti”) vengono offerte le opzioni che seguono. </w:t>
      </w:r>
      <w:r w:rsidRPr="00A75DF9">
        <w:rPr>
          <w:rFonts w:cs="Tahoma"/>
        </w:rPr>
        <w:t>Le licenze per processore per SQL Server 2008 R2 Web</w:t>
      </w:r>
      <w:r w:rsidRPr="00A75DF9">
        <w:rPr>
          <w:rFonts w:cs="Tahoma"/>
          <w:bCs/>
          <w:color w:val="000000"/>
          <w:szCs w:val="18"/>
        </w:rPr>
        <w:t xml:space="preserve"> acquistate successivamente nello stesso periodo di validità dell</w:t>
      </w:r>
      <w:r w:rsidR="00F2643E">
        <w:rPr>
          <w:rFonts w:cs="Tahoma"/>
          <w:bCs/>
          <w:color w:val="000000"/>
          <w:szCs w:val="18"/>
        </w:rPr>
        <w:t>’</w:t>
      </w:r>
      <w:r w:rsidRPr="00A75DF9">
        <w:rPr>
          <w:rFonts w:cs="Tahoma"/>
          <w:bCs/>
          <w:color w:val="000000"/>
          <w:szCs w:val="18"/>
        </w:rPr>
        <w:t>iscrizione, ma prima del 1 aprile 2015 nell</w:t>
      </w:r>
      <w:r w:rsidR="00F2643E">
        <w:rPr>
          <w:rFonts w:cs="Tahoma"/>
          <w:bCs/>
          <w:color w:val="000000"/>
          <w:szCs w:val="18"/>
        </w:rPr>
        <w:t>’</w:t>
      </w:r>
      <w:r w:rsidRPr="00A75DF9">
        <w:rPr>
          <w:rFonts w:cs="Tahoma"/>
          <w:bCs/>
          <w:color w:val="000000"/>
          <w:szCs w:val="18"/>
        </w:rPr>
        <w:t>ambito di una procedura pianificata di true-up della società Enterprise, Enterprise Subscription, Open Value Subscription o EES, sono anch</w:t>
      </w:r>
      <w:r w:rsidR="00F2643E">
        <w:rPr>
          <w:rFonts w:cs="Tahoma"/>
          <w:bCs/>
          <w:color w:val="000000"/>
          <w:szCs w:val="18"/>
        </w:rPr>
        <w:t>’</w:t>
      </w:r>
      <w:r w:rsidRPr="00A75DF9">
        <w:rPr>
          <w:rFonts w:cs="Tahoma"/>
          <w:bCs/>
          <w:color w:val="000000"/>
          <w:szCs w:val="18"/>
        </w:rPr>
        <w:t>esse licenze qualificanti per gli scopi previsti da tali opzioni.</w:t>
      </w:r>
      <w:r w:rsidR="009D3B41" w:rsidRPr="00A75DF9">
        <w:rPr>
          <w:rFonts w:cs="Tahoma"/>
          <w:bCs/>
          <w:color w:val="000000"/>
          <w:szCs w:val="18"/>
        </w:rPr>
        <w:t xml:space="preserve"> </w:t>
      </w:r>
      <w:r w:rsidRPr="00A75DF9">
        <w:rPr>
          <w:rFonts w:cs="Tahoma"/>
          <w:bCs/>
          <w:color w:val="000000"/>
          <w:szCs w:val="18"/>
        </w:rPr>
        <w:t>Le licenze acquistate dopo il 1 aprile 2015, o in un periodo di validità dell</w:t>
      </w:r>
      <w:r w:rsidR="00F2643E">
        <w:rPr>
          <w:rFonts w:cs="Tahoma"/>
          <w:bCs/>
          <w:color w:val="000000"/>
          <w:szCs w:val="18"/>
        </w:rPr>
        <w:t>’</w:t>
      </w:r>
      <w:r w:rsidRPr="00A75DF9">
        <w:rPr>
          <w:rFonts w:cs="Tahoma"/>
          <w:bCs/>
          <w:color w:val="000000"/>
          <w:szCs w:val="18"/>
        </w:rPr>
        <w:t>iscrizione successivo, ai sensi di un contratto distinto o di un</w:t>
      </w:r>
      <w:r w:rsidR="00F2643E">
        <w:rPr>
          <w:rFonts w:cs="Tahoma"/>
          <w:bCs/>
          <w:color w:val="000000"/>
          <w:szCs w:val="18"/>
        </w:rPr>
        <w:t>’</w:t>
      </w:r>
      <w:r w:rsidRPr="00A75DF9">
        <w:rPr>
          <w:rFonts w:cs="Tahoma"/>
          <w:bCs/>
          <w:color w:val="000000"/>
          <w:szCs w:val="18"/>
        </w:rPr>
        <w:t>iscrizione con la data di entrata in vigore posteriore al 1 aprile 2012, non sono licenze qualificanti.</w:t>
      </w:r>
    </w:p>
    <w:p w:rsidR="008558DC" w:rsidRPr="00A75DF9" w:rsidRDefault="008558DC" w:rsidP="008558DC">
      <w:pPr>
        <w:ind w:left="720"/>
        <w:rPr>
          <w:rFonts w:cs="Tahoma"/>
        </w:rPr>
      </w:pPr>
    </w:p>
    <w:p w:rsidR="008558DC" w:rsidRPr="00A75DF9" w:rsidRDefault="008558DC" w:rsidP="008558DC">
      <w:pPr>
        <w:spacing w:after="60"/>
        <w:ind w:left="720"/>
        <w:rPr>
          <w:rFonts w:cs="Tahoma"/>
        </w:rPr>
      </w:pPr>
      <w:r w:rsidRPr="00A75DF9">
        <w:rPr>
          <w:rFonts w:eastAsia="Calibri" w:cs="Tahoma"/>
          <w:b/>
          <w:szCs w:val="18"/>
        </w:rPr>
        <w:t>Periodo di Validità Corrente</w:t>
      </w:r>
    </w:p>
    <w:p w:rsidR="008558DC" w:rsidRPr="00A75DF9" w:rsidRDefault="00A81E83" w:rsidP="008558DC">
      <w:pPr>
        <w:ind w:left="720"/>
        <w:rPr>
          <w:rFonts w:cs="Tahoma"/>
        </w:rPr>
      </w:pPr>
      <w:r w:rsidRPr="00A75DF9">
        <w:rPr>
          <w:rFonts w:eastAsia="Calibri" w:cs="Tahoma"/>
          <w:szCs w:val="18"/>
        </w:rPr>
        <w:t>durante il periodo di validità corrente della copertura Software Assurance a partire dal 1 aprile 2012 le società (incluse le società titolari di contratti “subscription”) potranno, ai sensi di una licenza qualificante, effettuare l</w:t>
      </w:r>
      <w:r w:rsidR="00F2643E">
        <w:rPr>
          <w:rFonts w:eastAsia="Calibri" w:cs="Tahoma"/>
          <w:szCs w:val="18"/>
        </w:rPr>
        <w:t>’</w:t>
      </w:r>
      <w:r w:rsidRPr="00A75DF9">
        <w:rPr>
          <w:rFonts w:eastAsia="Calibri" w:cs="Tahoma"/>
          <w:szCs w:val="18"/>
        </w:rPr>
        <w:t>aggiornamento al software SQL Server 2012 Standard Core e utilizzarlo al posto di SQL Server 2008 R2 Web in conformità ai diritti di utilizzo del prodotto previsti dalla licenza per processore SQL Server 2008 R2 Standard (come indicato nei Diritti di Utilizzo del Prodotto del mese di gennaio 2012). alle società vengono concessi diritti aggiuntivi ai sensi di Mobilità delle Licenze tramite Software Assurance e Mobilità delle Licenze all</w:t>
      </w:r>
      <w:r w:rsidR="00F2643E">
        <w:rPr>
          <w:rFonts w:eastAsia="Calibri" w:cs="Tahoma"/>
          <w:szCs w:val="18"/>
        </w:rPr>
        <w:t>’</w:t>
      </w:r>
      <w:r w:rsidRPr="00A75DF9">
        <w:rPr>
          <w:rFonts w:eastAsia="Calibri" w:cs="Tahoma"/>
          <w:szCs w:val="18"/>
        </w:rPr>
        <w:t>interno di Server Farm.</w:t>
      </w:r>
      <w:r w:rsidR="009D3B41" w:rsidRPr="00A75DF9">
        <w:rPr>
          <w:rFonts w:eastAsia="Calibri" w:cs="Tahoma"/>
          <w:szCs w:val="18"/>
        </w:rPr>
        <w:t xml:space="preserve"> </w:t>
      </w:r>
      <w:r w:rsidRPr="00A75DF9">
        <w:rPr>
          <w:rFonts w:eastAsia="Calibri" w:cs="Tahoma"/>
          <w:szCs w:val="18"/>
        </w:rPr>
        <w:t>Le società dovranno fare riferimento ai Diritti di Utilizzo del Prodotto per SQL Server 2012 Standard Core per quanto riguarda le condizioni di licenza per Mobilità delle Licenze.</w:t>
      </w:r>
    </w:p>
    <w:p w:rsidR="008558DC" w:rsidRPr="00A75DF9" w:rsidRDefault="008558DC" w:rsidP="008558DC">
      <w:pPr>
        <w:ind w:left="720"/>
        <w:rPr>
          <w:rFonts w:cs="Tahoma"/>
        </w:rPr>
      </w:pPr>
    </w:p>
    <w:p w:rsidR="008558DC" w:rsidRPr="00A75DF9" w:rsidRDefault="00A81E83" w:rsidP="008558DC">
      <w:pPr>
        <w:spacing w:after="60"/>
        <w:ind w:left="720"/>
        <w:rPr>
          <w:rFonts w:cs="Tahoma"/>
        </w:rPr>
      </w:pPr>
      <w:r w:rsidRPr="00A75DF9">
        <w:rPr>
          <w:rFonts w:eastAsia="Calibri" w:cs="Tahoma"/>
          <w:b/>
          <w:szCs w:val="18"/>
        </w:rPr>
        <w:t>Primo Periodo di Rinnovo (prima del 1 aprile 2015)</w:t>
      </w:r>
    </w:p>
    <w:p w:rsidR="00A81E83" w:rsidRPr="00A75DF9" w:rsidRDefault="00A81E83" w:rsidP="008558DC">
      <w:pPr>
        <w:ind w:left="720"/>
        <w:rPr>
          <w:rFonts w:cs="Tahoma"/>
        </w:rPr>
      </w:pPr>
      <w:r w:rsidRPr="00A75DF9">
        <w:rPr>
          <w:rFonts w:eastAsia="Calibri" w:cs="Tahoma"/>
          <w:szCs w:val="18"/>
        </w:rPr>
        <w:t>in occasione del primo rinnovo di Software Assurance in data 1 aprile 2012 o successiva (ma prima del 1 aprile 2015), per ogni server che una società ha ricevuto validamente in licenza in conformità ai diritti di utilizzo del prodotto previsti dalla licenza per processore SQL Server 2008 R2 Standard, la società potrà acquistare la copertura Software Assurance per le licenze core per SQL Server Standard senza dovere acquistare le licenze core sottostanti per un numero di licenze core pari alla somma di (a) e (b):</w:t>
      </w:r>
    </w:p>
    <w:p w:rsidR="00A81E83" w:rsidRPr="00A75DF9" w:rsidRDefault="00A81E83" w:rsidP="00346F4B">
      <w:pPr>
        <w:numPr>
          <w:ilvl w:val="0"/>
          <w:numId w:val="116"/>
        </w:numPr>
        <w:tabs>
          <w:tab w:val="left" w:pos="1800"/>
        </w:tabs>
        <w:spacing w:after="60"/>
        <w:rPr>
          <w:rFonts w:cs="Tahoma"/>
        </w:rPr>
      </w:pPr>
      <w:r w:rsidRPr="00A75DF9">
        <w:rPr>
          <w:rFonts w:eastAsia="Calibri" w:cs="Tahoma"/>
          <w:szCs w:val="18"/>
        </w:rPr>
        <w:t xml:space="preserve">un numero pari al numero minore delle licenze qualificanti cedute al server o al numero totale dei processori fisici sul server moltiplicato per il maggiore tra: </w:t>
      </w:r>
    </w:p>
    <w:p w:rsidR="00A81E83" w:rsidRPr="00A75DF9" w:rsidRDefault="00A81E83" w:rsidP="00346F4B">
      <w:pPr>
        <w:numPr>
          <w:ilvl w:val="3"/>
          <w:numId w:val="55"/>
        </w:numPr>
        <w:spacing w:after="60"/>
        <w:ind w:left="2160"/>
        <w:rPr>
          <w:rFonts w:cs="Tahoma"/>
        </w:rPr>
      </w:pPr>
      <w:r w:rsidRPr="00A75DF9">
        <w:rPr>
          <w:rFonts w:eastAsia="Calibri" w:cs="Tahoma"/>
          <w:szCs w:val="18"/>
        </w:rPr>
        <w:t>quattro O</w:t>
      </w:r>
    </w:p>
    <w:p w:rsidR="00A81E83" w:rsidRPr="00A75DF9" w:rsidRDefault="00A81E83" w:rsidP="00346F4B">
      <w:pPr>
        <w:numPr>
          <w:ilvl w:val="3"/>
          <w:numId w:val="55"/>
        </w:numPr>
        <w:spacing w:after="60"/>
        <w:ind w:left="2160"/>
        <w:rPr>
          <w:rFonts w:cs="Tahoma"/>
        </w:rPr>
      </w:pPr>
      <w:r w:rsidRPr="00A75DF9">
        <w:rPr>
          <w:rFonts w:eastAsia="Calibri" w:cs="Tahoma"/>
          <w:szCs w:val="18"/>
        </w:rPr>
        <w:lastRenderedPageBreak/>
        <w:t>il numero effettivo di core per processore fisico moltiplicato per il fattore core appropriato.</w:t>
      </w:r>
      <w:r w:rsidR="009D3B41" w:rsidRPr="00A75DF9">
        <w:rPr>
          <w:rFonts w:eastAsia="Calibri" w:cs="Tahoma"/>
          <w:szCs w:val="18"/>
        </w:rPr>
        <w:t xml:space="preserve"> </w:t>
      </w:r>
      <w:r w:rsidRPr="00A75DF9">
        <w:rPr>
          <w:rFonts w:eastAsia="Calibri" w:cs="Tahoma"/>
          <w:szCs w:val="18"/>
        </w:rPr>
        <w:t>(Nei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w:t>
      </w:r>
      <w:r w:rsidR="00F2643E">
        <w:rPr>
          <w:rFonts w:eastAsia="Calibri" w:cs="Tahoma"/>
          <w:szCs w:val="18"/>
        </w:rPr>
        <w:t>’</w:t>
      </w:r>
      <w:r w:rsidRPr="00A75DF9">
        <w:rPr>
          <w:rFonts w:eastAsia="Calibri" w:cs="Tahoma"/>
          <w:szCs w:val="18"/>
        </w:rPr>
        <w:t xml:space="preserve">hardware fisico che supporta tale software appena prima del rinnovo di Software Assurance utilizzando lo strumento MAP di Microsoft o un software equivalente). </w:t>
      </w:r>
    </w:p>
    <w:p w:rsidR="008558DC" w:rsidRPr="00A75DF9" w:rsidRDefault="00A81E83" w:rsidP="005F10EF">
      <w:pPr>
        <w:numPr>
          <w:ilvl w:val="0"/>
          <w:numId w:val="116"/>
        </w:numPr>
        <w:tabs>
          <w:tab w:val="left" w:pos="1800"/>
        </w:tabs>
        <w:spacing w:after="60"/>
        <w:rPr>
          <w:rFonts w:cs="Tahoma"/>
        </w:rPr>
      </w:pPr>
      <w:r w:rsidRPr="00A75DF9">
        <w:rPr>
          <w:rFonts w:eastAsia="Calibri" w:cs="Tahoma"/>
          <w:szCs w:val="18"/>
        </w:rPr>
        <w:t>un numero pari al numero di licenze qualificanti cedute al server oltre al numero effettivo di</w:t>
      </w:r>
      <w:r w:rsidR="005F10EF">
        <w:rPr>
          <w:rFonts w:eastAsia="Calibri" w:cs="Tahoma"/>
          <w:szCs w:val="18"/>
        </w:rPr>
        <w:t> </w:t>
      </w:r>
      <w:r w:rsidRPr="00A75DF9">
        <w:rPr>
          <w:rFonts w:eastAsia="Calibri" w:cs="Tahoma"/>
          <w:szCs w:val="18"/>
        </w:rPr>
        <w:t>processori fisici sul server moltiplicato per quattro.</w:t>
      </w:r>
    </w:p>
    <w:p w:rsidR="00E5029B" w:rsidRPr="00A75DF9" w:rsidRDefault="00E5029B">
      <w:pPr>
        <w:rPr>
          <w:rFonts w:cs="Tahoma"/>
        </w:rPr>
      </w:pPr>
    </w:p>
    <w:p w:rsidR="008558DC" w:rsidRPr="00A75DF9" w:rsidRDefault="00A81E83" w:rsidP="008558DC">
      <w:pPr>
        <w:spacing w:after="60"/>
        <w:ind w:left="720"/>
        <w:rPr>
          <w:rFonts w:cs="Tahoma"/>
        </w:rPr>
      </w:pPr>
      <w:r w:rsidRPr="00A75DF9">
        <w:rPr>
          <w:rFonts w:eastAsia="Calibri" w:cs="Tahoma"/>
          <w:b/>
          <w:szCs w:val="18"/>
        </w:rPr>
        <w:t>Primo Periodo di Rinnovo (in data 1 aprile 2015 o successiva)</w:t>
      </w:r>
    </w:p>
    <w:p w:rsidR="00A81E83" w:rsidRPr="00A75DF9" w:rsidRDefault="00A81E83" w:rsidP="008558DC">
      <w:pPr>
        <w:ind w:left="720"/>
        <w:contextualSpacing/>
        <w:rPr>
          <w:rFonts w:cs="Tahoma"/>
        </w:rPr>
      </w:pPr>
      <w:r w:rsidRPr="00A75DF9">
        <w:rPr>
          <w:rFonts w:eastAsia="Calibri" w:cs="Tahoma"/>
          <w:color w:val="000000"/>
          <w:szCs w:val="18"/>
        </w:rPr>
        <w:t>Le società che rinnovano per la prima volta la copertura in data 1 aprile 2015</w:t>
      </w:r>
      <w:r w:rsidRPr="00A75DF9">
        <w:rPr>
          <w:rFonts w:eastAsia="Calibri" w:cs="Tahoma"/>
          <w:szCs w:val="18"/>
        </w:rPr>
        <w:t xml:space="preserve"> potranno, per ogni server ottenuto in licenza in conformità ai diritti di utilizzo del prodotto previsti dalla licenza per processore SQL Server 2008 R2, acquistare la copertura Software Assurance come di seguito indicato:</w:t>
      </w:r>
    </w:p>
    <w:p w:rsidR="008558DC" w:rsidRPr="00A75DF9" w:rsidRDefault="008558DC" w:rsidP="008558DC">
      <w:pPr>
        <w:ind w:left="720"/>
        <w:contextualSpacing/>
        <w:rPr>
          <w:rFonts w:cs="Tahoma"/>
        </w:rPr>
      </w:pPr>
    </w:p>
    <w:p w:rsidR="00A81E83" w:rsidRPr="005F10EF" w:rsidRDefault="00A81E83" w:rsidP="005F10EF">
      <w:pPr>
        <w:numPr>
          <w:ilvl w:val="3"/>
          <w:numId w:val="89"/>
        </w:numPr>
        <w:spacing w:after="60"/>
        <w:ind w:left="1440"/>
        <w:rPr>
          <w:rFonts w:cs="Tahoma"/>
        </w:rPr>
      </w:pPr>
      <w:r w:rsidRPr="00A75DF9">
        <w:rPr>
          <w:rFonts w:eastAsia="Calibri" w:cs="Tahoma"/>
          <w:szCs w:val="18"/>
        </w:rPr>
        <w:t>come stabilito nel primo paragrafo di questa nota relativa al prodotto, le licenze acquistate prima del 1 aprile 2015 sono licenze qualificanti e le società potranno rinnovare la copertura Software Assurance in base alle condizioni riportate nel precedente Articolo “Primo Periodo di Rinnovo (prima</w:t>
      </w:r>
      <w:r w:rsidR="005F10EF">
        <w:rPr>
          <w:rFonts w:eastAsia="Calibri" w:cs="Tahoma"/>
          <w:szCs w:val="18"/>
        </w:rPr>
        <w:t> </w:t>
      </w:r>
      <w:r w:rsidRPr="00A75DF9">
        <w:rPr>
          <w:rFonts w:eastAsia="Calibri" w:cs="Tahoma"/>
          <w:szCs w:val="18"/>
        </w:rPr>
        <w:t xml:space="preserve">del 1 aprile 2015)” e </w:t>
      </w:r>
    </w:p>
    <w:p w:rsidR="00A81E83" w:rsidRPr="00A75DF9" w:rsidRDefault="00A81E83" w:rsidP="00346F4B">
      <w:pPr>
        <w:numPr>
          <w:ilvl w:val="3"/>
          <w:numId w:val="89"/>
        </w:numPr>
        <w:spacing w:after="60"/>
        <w:ind w:left="1440"/>
        <w:rPr>
          <w:rFonts w:cs="Tahoma"/>
        </w:rPr>
      </w:pPr>
      <w:r w:rsidRPr="00A75DF9">
        <w:rPr>
          <w:rFonts w:eastAsia="Calibri" w:cs="Tahoma"/>
          <w:szCs w:val="18"/>
        </w:rPr>
        <w:t>per le licenze acquistate dopo il 1 aprile 2015 le società potranno rinnovare la copertura Software Assurance per quattro licenze core per SQL Server Standard senza dover acquistare le licenze core sottostanti per ogni licenza per processore per SQL Server 2008 R2 Web. Per l</w:t>
      </w:r>
      <w:r w:rsidR="00F2643E">
        <w:rPr>
          <w:rFonts w:eastAsia="Calibri" w:cs="Tahoma"/>
          <w:szCs w:val="18"/>
        </w:rPr>
        <w:t>’</w:t>
      </w:r>
      <w:r w:rsidRPr="00A75DF9">
        <w:rPr>
          <w:rFonts w:eastAsia="Calibri" w:cs="Tahoma"/>
          <w:szCs w:val="18"/>
        </w:rPr>
        <w:t>utilizzo continuativo di SQL Server 2012 su processori che richiedono più di quattro licenze core per processore la società deve acquistare le licenze core aggiuntive.</w:t>
      </w:r>
    </w:p>
    <w:p w:rsidR="00A81E83" w:rsidRPr="00A75DF9" w:rsidRDefault="00A81E83" w:rsidP="00346F4B">
      <w:pPr>
        <w:numPr>
          <w:ilvl w:val="0"/>
          <w:numId w:val="50"/>
        </w:numPr>
        <w:spacing w:after="60"/>
        <w:ind w:left="1440"/>
        <w:rPr>
          <w:rFonts w:cs="Tahoma"/>
        </w:rPr>
      </w:pPr>
      <w:r w:rsidRPr="00A75DF9">
        <w:rPr>
          <w:rFonts w:eastAsia="Calibri" w:cs="Tahoma"/>
          <w:szCs w:val="18"/>
        </w:rPr>
        <w:t>Le licenze per processore delle società non sono più valide se si acquista la copertura Software Assurance per licenze core ai sensi della presente offerta. L</w:t>
      </w:r>
      <w:r w:rsidR="00F2643E">
        <w:rPr>
          <w:rFonts w:eastAsia="Calibri" w:cs="Tahoma"/>
          <w:szCs w:val="18"/>
        </w:rPr>
        <w:t>’</w:t>
      </w:r>
      <w:r w:rsidRPr="00A75DF9">
        <w:rPr>
          <w:rFonts w:eastAsia="Calibri" w:cs="Tahoma"/>
          <w:szCs w:val="18"/>
        </w:rPr>
        <w:t>opzione di acquistare Software Assurance per le licenze core per SQL Server non è applicabile al rinnovo della copertura ai sensi dei programmi di sottoscrizione.</w:t>
      </w:r>
    </w:p>
    <w:p w:rsidR="008558DC" w:rsidRPr="00A75DF9" w:rsidRDefault="008558DC" w:rsidP="008558DC">
      <w:pPr>
        <w:ind w:left="720"/>
        <w:contextualSpacing/>
        <w:rPr>
          <w:rFonts w:cs="Tahoma"/>
        </w:rPr>
      </w:pPr>
    </w:p>
    <w:p w:rsidR="008558DC" w:rsidRPr="00A75DF9" w:rsidRDefault="00A81E83" w:rsidP="008558DC">
      <w:pPr>
        <w:spacing w:after="60"/>
        <w:ind w:left="720"/>
        <w:rPr>
          <w:rFonts w:cs="Tahoma"/>
        </w:rPr>
      </w:pPr>
      <w:r w:rsidRPr="00A75DF9">
        <w:rPr>
          <w:rFonts w:eastAsia="Calibri" w:cs="Tahoma"/>
          <w:b/>
          <w:szCs w:val="18"/>
        </w:rPr>
        <w:t>Per le Società con copertura Software Assurance in scadenza prima del 1 aprile 2015 che scelgono di non effettuare il rinnovo</w:t>
      </w:r>
    </w:p>
    <w:p w:rsidR="00A81E83" w:rsidRPr="00A75DF9" w:rsidRDefault="00A81E83" w:rsidP="008558DC">
      <w:pPr>
        <w:ind w:left="720"/>
        <w:contextualSpacing/>
        <w:rPr>
          <w:rFonts w:cs="Tahoma"/>
        </w:rPr>
      </w:pPr>
      <w:r w:rsidRPr="00A75DF9">
        <w:rPr>
          <w:rFonts w:eastAsia="Calibri" w:cs="Tahoma"/>
          <w:szCs w:val="18"/>
        </w:rPr>
        <w:t xml:space="preserve">Le società titolari di contratti Enterprise Subscription </w:t>
      </w:r>
      <w:r w:rsidRPr="00A75DF9">
        <w:rPr>
          <w:rFonts w:cs="Tahoma"/>
          <w:bCs/>
          <w:color w:val="000000"/>
          <w:szCs w:val="18"/>
        </w:rPr>
        <w:t xml:space="preserve">e Open Value Subscription </w:t>
      </w:r>
      <w:r w:rsidRPr="00A75DF9">
        <w:rPr>
          <w:rFonts w:eastAsia="Calibri" w:cs="Tahoma"/>
          <w:szCs w:val="18"/>
        </w:rPr>
        <w:t>con copertura in scadenza prima del 1 aprile 2015 che scelgono di effettuare il buy-out delle licenze per processore e altre società che acquistano licenze perpetue ai sensi del loro contratto e scelgono di non rinnovare Software Assurance potranno eseguire SQL Server 2008 R2 o SQL Server 2012 ai sensi di tali licenze come indicato sotto:</w:t>
      </w:r>
    </w:p>
    <w:p w:rsidR="00A81E83" w:rsidRPr="00A75DF9" w:rsidRDefault="00A81E83" w:rsidP="00346F4B">
      <w:pPr>
        <w:numPr>
          <w:ilvl w:val="0"/>
          <w:numId w:val="90"/>
        </w:numPr>
        <w:tabs>
          <w:tab w:val="left" w:pos="1800"/>
        </w:tabs>
        <w:spacing w:after="60"/>
        <w:ind w:left="1800"/>
        <w:rPr>
          <w:rFonts w:cs="Tahoma"/>
        </w:rPr>
      </w:pPr>
      <w:r w:rsidRPr="00A75DF9">
        <w:rPr>
          <w:rFonts w:eastAsia="Calibri" w:cs="Tahoma"/>
          <w:b/>
          <w:szCs w:val="18"/>
        </w:rPr>
        <w:t>SQL Server Web 2008 R2 Web:</w:t>
      </w:r>
      <w:r w:rsidRPr="00A75DF9">
        <w:rPr>
          <w:rFonts w:eastAsia="Calibri" w:cs="Tahoma"/>
          <w:szCs w:val="18"/>
        </w:rPr>
        <w:t xml:space="preserve"> l</w:t>
      </w:r>
      <w:r w:rsidR="00F2643E">
        <w:rPr>
          <w:rFonts w:eastAsia="Calibri" w:cs="Tahoma"/>
          <w:szCs w:val="18"/>
        </w:rPr>
        <w:t>’</w:t>
      </w:r>
      <w:r w:rsidRPr="00A75DF9">
        <w:rPr>
          <w:rFonts w:eastAsia="Calibri" w:cs="Tahoma"/>
          <w:szCs w:val="18"/>
        </w:rPr>
        <w:t>utilizzo continuativo di tale versione del software è soggetto ai diritti di utilizzo del prodotto previsti dalla licenza per processore SQL Server 2008 R2 Web. Le società non disporranno più di diritti ai sensi della Mobilità delle Licenze all</w:t>
      </w:r>
      <w:r w:rsidR="00F2643E">
        <w:rPr>
          <w:rFonts w:eastAsia="Calibri" w:cs="Tahoma"/>
          <w:szCs w:val="18"/>
        </w:rPr>
        <w:t>’</w:t>
      </w:r>
      <w:r w:rsidRPr="00A75DF9">
        <w:rPr>
          <w:rFonts w:eastAsia="Calibri" w:cs="Tahoma"/>
          <w:szCs w:val="18"/>
        </w:rPr>
        <w:t xml:space="preserve">interno di Server Farm o della Mobilità delle Licenze tramite Software Assurance. </w:t>
      </w:r>
    </w:p>
    <w:p w:rsidR="00A81E83" w:rsidRPr="00A75DF9" w:rsidRDefault="00A81E83" w:rsidP="00346F4B">
      <w:pPr>
        <w:numPr>
          <w:ilvl w:val="0"/>
          <w:numId w:val="90"/>
        </w:numPr>
        <w:tabs>
          <w:tab w:val="left" w:pos="1800"/>
        </w:tabs>
        <w:spacing w:after="60"/>
        <w:ind w:left="1800"/>
        <w:rPr>
          <w:rFonts w:cs="Tahoma"/>
        </w:rPr>
      </w:pPr>
      <w:r w:rsidRPr="00A75DF9">
        <w:rPr>
          <w:rFonts w:eastAsia="Calibri" w:cs="Tahoma"/>
          <w:b/>
          <w:szCs w:val="18"/>
        </w:rPr>
        <w:t xml:space="preserve">SQL Server 2012 Standard Core: </w:t>
      </w:r>
      <w:r w:rsidRPr="00A75DF9">
        <w:rPr>
          <w:rFonts w:eastAsia="Calibri" w:cs="Tahoma"/>
          <w:szCs w:val="18"/>
        </w:rPr>
        <w:t>l</w:t>
      </w:r>
      <w:r w:rsidR="00F2643E">
        <w:rPr>
          <w:rFonts w:eastAsia="Calibri" w:cs="Tahoma"/>
          <w:szCs w:val="18"/>
        </w:rPr>
        <w:t>’</w:t>
      </w:r>
      <w:r w:rsidRPr="00A75DF9">
        <w:rPr>
          <w:rFonts w:eastAsia="Calibri" w:cs="Tahoma"/>
          <w:szCs w:val="18"/>
        </w:rPr>
        <w:t xml:space="preserve">utilizzo di tale versione del software è soggetto ai diritti di utilizzo del prodotto previsti dalla licenza per processore SQL Server 2008 R2 Standard, tuttavia: </w:t>
      </w:r>
    </w:p>
    <w:p w:rsidR="00A81E83" w:rsidRPr="00A75DF9" w:rsidRDefault="00A81E83" w:rsidP="00346F4B">
      <w:pPr>
        <w:numPr>
          <w:ilvl w:val="1"/>
          <w:numId w:val="52"/>
        </w:numPr>
        <w:tabs>
          <w:tab w:val="left" w:pos="2160"/>
        </w:tabs>
        <w:spacing w:after="60"/>
        <w:ind w:left="2160"/>
        <w:rPr>
          <w:rFonts w:cs="Tahoma"/>
        </w:rPr>
      </w:pPr>
      <w:r w:rsidRPr="00A75DF9">
        <w:rPr>
          <w:rFonts w:eastAsia="Calibri" w:cs="Tahoma"/>
          <w:szCs w:val="18"/>
        </w:rPr>
        <w:t>le società non disporranno più di diritti ai sensi della Mobilità delle Licenze all</w:t>
      </w:r>
      <w:r w:rsidR="00F2643E">
        <w:rPr>
          <w:rFonts w:eastAsia="Calibri" w:cs="Tahoma"/>
          <w:szCs w:val="18"/>
        </w:rPr>
        <w:t>’</w:t>
      </w:r>
      <w:r w:rsidRPr="00A75DF9">
        <w:rPr>
          <w:rFonts w:eastAsia="Calibri" w:cs="Tahoma"/>
          <w:szCs w:val="18"/>
        </w:rPr>
        <w:t xml:space="preserve">interno di Server Farm o della Mobilità delle Licenze tramite Software Assurance e </w:t>
      </w:r>
    </w:p>
    <w:p w:rsidR="00A81E83" w:rsidRPr="00A75DF9" w:rsidRDefault="00A81E83" w:rsidP="00346F4B">
      <w:pPr>
        <w:numPr>
          <w:ilvl w:val="1"/>
          <w:numId w:val="52"/>
        </w:numPr>
        <w:tabs>
          <w:tab w:val="left" w:pos="2160"/>
        </w:tabs>
        <w:spacing w:after="60"/>
        <w:ind w:left="2160"/>
        <w:rPr>
          <w:rFonts w:cs="Tahoma"/>
        </w:rPr>
      </w:pPr>
      <w:r w:rsidRPr="00A75DF9">
        <w:rPr>
          <w:rFonts w:eastAsia="Calibri" w:cs="Tahoma"/>
          <w:szCs w:val="18"/>
        </w:rPr>
        <w:t>l</w:t>
      </w:r>
      <w:r w:rsidR="00F2643E">
        <w:rPr>
          <w:rFonts w:eastAsia="Calibri" w:cs="Tahoma"/>
          <w:szCs w:val="18"/>
        </w:rPr>
        <w:t>’</w:t>
      </w:r>
      <w:r w:rsidRPr="00A75DF9">
        <w:rPr>
          <w:rFonts w:eastAsia="Calibri" w:cs="Tahoma"/>
          <w:szCs w:val="18"/>
        </w:rPr>
        <w:t>eventuale riassegnazione di licenze è soggetta ai limiti indicati nei paragrafi (i) e (ii) che seguono relativi alla loro “equivalenza di licenze core”. L</w:t>
      </w:r>
      <w:r w:rsidR="00F2643E">
        <w:rPr>
          <w:rFonts w:eastAsia="Calibri" w:cs="Tahoma"/>
          <w:szCs w:val="18"/>
        </w:rPr>
        <w:t>’</w:t>
      </w:r>
      <w:r w:rsidRPr="00A75DF9">
        <w:rPr>
          <w:rFonts w:eastAsia="Calibri" w:cs="Tahoma"/>
          <w:szCs w:val="18"/>
        </w:rPr>
        <w:t xml:space="preserve">equivalenza di licenze core è determinata come di seguito riportato. </w:t>
      </w:r>
    </w:p>
    <w:p w:rsidR="00A81E83" w:rsidRPr="00A75DF9" w:rsidRDefault="00A81E83" w:rsidP="00346F4B">
      <w:pPr>
        <w:numPr>
          <w:ilvl w:val="2"/>
          <w:numId w:val="52"/>
        </w:numPr>
        <w:tabs>
          <w:tab w:val="left" w:pos="2520"/>
        </w:tabs>
        <w:spacing w:after="60"/>
        <w:ind w:left="2520"/>
        <w:rPr>
          <w:rFonts w:cs="Tahoma"/>
        </w:rPr>
      </w:pPr>
      <w:r w:rsidRPr="00A75DF9">
        <w:rPr>
          <w:rFonts w:eastAsia="Calibri" w:cs="Tahoma"/>
          <w:szCs w:val="18"/>
        </w:rPr>
        <w:t>Per un numero di licenze pari al numero inferiore tra (x) il numero totale di licenze per processore cedute a un server con licenza appena prima della scadenza di Software Assurance o (y) il numero totale di processori fisici su tale server, l</w:t>
      </w:r>
      <w:r w:rsidR="00F2643E">
        <w:rPr>
          <w:rFonts w:eastAsia="Calibri" w:cs="Tahoma"/>
          <w:szCs w:val="18"/>
        </w:rPr>
        <w:t>’</w:t>
      </w:r>
      <w:r w:rsidRPr="00A75DF9">
        <w:rPr>
          <w:rFonts w:eastAsia="Calibri" w:cs="Tahoma"/>
          <w:szCs w:val="18"/>
        </w:rPr>
        <w:t xml:space="preserve">equivalenza di licenze core è il numero maggiore tra: </w:t>
      </w:r>
    </w:p>
    <w:p w:rsidR="00A81E83" w:rsidRPr="00A75DF9" w:rsidRDefault="00A81E83" w:rsidP="00346F4B">
      <w:pPr>
        <w:numPr>
          <w:ilvl w:val="4"/>
          <w:numId w:val="50"/>
        </w:numPr>
        <w:tabs>
          <w:tab w:val="left" w:pos="2880"/>
        </w:tabs>
        <w:spacing w:after="60"/>
        <w:ind w:left="2880"/>
        <w:rPr>
          <w:rFonts w:cs="Tahoma"/>
        </w:rPr>
      </w:pPr>
      <w:r w:rsidRPr="00A75DF9">
        <w:rPr>
          <w:rFonts w:eastAsia="Calibri" w:cs="Tahoma"/>
          <w:szCs w:val="18"/>
        </w:rPr>
        <w:t xml:space="preserve">quattro core per licenza per processore O </w:t>
      </w:r>
    </w:p>
    <w:p w:rsidR="00A81E83" w:rsidRPr="00A75DF9" w:rsidRDefault="00A81E83" w:rsidP="00346F4B">
      <w:pPr>
        <w:numPr>
          <w:ilvl w:val="4"/>
          <w:numId w:val="50"/>
        </w:numPr>
        <w:tabs>
          <w:tab w:val="left" w:pos="2880"/>
        </w:tabs>
        <w:spacing w:after="60"/>
        <w:ind w:left="2880"/>
        <w:rPr>
          <w:rFonts w:cs="Tahoma"/>
        </w:rPr>
      </w:pPr>
      <w:r w:rsidRPr="00A75DF9">
        <w:rPr>
          <w:rFonts w:eastAsia="Calibri" w:cs="Tahoma"/>
          <w:szCs w:val="18"/>
        </w:rPr>
        <w:t xml:space="preserve">un numero di core per licenza per processore basato sul numero effettivo di core per processore fisico moltiplicato per il fattore core appropriato. (Nei casi in cui il numero effettivo di core per processore fisico superi quattro, le società dovranno </w:t>
      </w:r>
      <w:r w:rsidRPr="00A75DF9">
        <w:rPr>
          <w:rFonts w:eastAsia="Calibri" w:cs="Tahoma"/>
          <w:szCs w:val="18"/>
        </w:rPr>
        <w:lastRenderedPageBreak/>
        <w:t>conservare un record della configurazione del software SQL Server in esecuzione sul server (istanze con licenza in esecuzione negli ambienti del sistema operativo sul server con licenza) e l</w:t>
      </w:r>
      <w:r w:rsidR="00F2643E">
        <w:rPr>
          <w:rFonts w:eastAsia="Calibri" w:cs="Tahoma"/>
          <w:szCs w:val="18"/>
        </w:rPr>
        <w:t>’</w:t>
      </w:r>
      <w:r w:rsidRPr="00A75DF9">
        <w:rPr>
          <w:rFonts w:eastAsia="Calibri" w:cs="Tahoma"/>
          <w:szCs w:val="18"/>
        </w:rPr>
        <w:t xml:space="preserve">hardware fisico che supporta tale software appena prima della scadenza di Software Assurance utilizzando lo strumento MAP di Microsoft o un software equivalente). </w:t>
      </w:r>
    </w:p>
    <w:p w:rsidR="008558DC" w:rsidRPr="00A75DF9" w:rsidRDefault="00A81E83" w:rsidP="00346F4B">
      <w:pPr>
        <w:numPr>
          <w:ilvl w:val="2"/>
          <w:numId w:val="52"/>
        </w:numPr>
        <w:tabs>
          <w:tab w:val="left" w:pos="2520"/>
        </w:tabs>
        <w:spacing w:after="60"/>
        <w:ind w:left="2520"/>
        <w:rPr>
          <w:rFonts w:cs="Tahoma"/>
        </w:rPr>
      </w:pPr>
      <w:r w:rsidRPr="00A75DF9">
        <w:rPr>
          <w:rFonts w:eastAsia="Calibri" w:cs="Tahoma"/>
          <w:szCs w:val="18"/>
        </w:rPr>
        <w:t>Per qualsiasi licenza per processore con la copertura Software Assurance in scadenza ceduta allo stesso server con licenza che ecceda il numero effettivo di processori fisici sul server, l</w:t>
      </w:r>
      <w:r w:rsidR="00F2643E">
        <w:rPr>
          <w:rFonts w:eastAsia="Calibri" w:cs="Tahoma"/>
          <w:szCs w:val="18"/>
        </w:rPr>
        <w:t>’</w:t>
      </w:r>
      <w:r w:rsidRPr="00A75DF9">
        <w:rPr>
          <w:rFonts w:eastAsia="Calibri" w:cs="Tahoma"/>
          <w:szCs w:val="18"/>
        </w:rPr>
        <w:t>equivalenza core è di quattro core per licenza per processore.</w:t>
      </w:r>
    </w:p>
    <w:p w:rsidR="00A81E83" w:rsidRPr="00A75DF9" w:rsidRDefault="00A81E83" w:rsidP="00346F4B">
      <w:pPr>
        <w:numPr>
          <w:ilvl w:val="1"/>
          <w:numId w:val="52"/>
        </w:numPr>
        <w:tabs>
          <w:tab w:val="left" w:pos="2160"/>
        </w:tabs>
        <w:spacing w:after="60"/>
        <w:ind w:left="2160"/>
        <w:rPr>
          <w:rFonts w:cs="Tahoma"/>
        </w:rPr>
      </w:pPr>
      <w:r w:rsidRPr="00A75DF9">
        <w:rPr>
          <w:rFonts w:eastAsia="Calibri" w:cs="Tahoma"/>
          <w:szCs w:val="18"/>
        </w:rPr>
        <w:t>Le società potranno riassegnare le licenze a un altro server. Tuttavia, qualora la società riassegni una licenza a un altro server, dovrà attenersi ai diritti sull</w:t>
      </w:r>
      <w:r w:rsidR="00F2643E">
        <w:rPr>
          <w:rFonts w:eastAsia="Calibri" w:cs="Tahoma"/>
          <w:szCs w:val="18"/>
        </w:rPr>
        <w:t>’</w:t>
      </w:r>
      <w:r w:rsidRPr="00A75DF9">
        <w:rPr>
          <w:rFonts w:eastAsia="Calibri" w:cs="Tahoma"/>
          <w:szCs w:val="18"/>
        </w:rPr>
        <w:t>utilizzo di SQL Server 2012. Quando cede licenze core a server ai sensi dei diritti sull</w:t>
      </w:r>
      <w:r w:rsidR="00F2643E">
        <w:rPr>
          <w:rFonts w:eastAsia="Calibri" w:cs="Tahoma"/>
          <w:szCs w:val="18"/>
        </w:rPr>
        <w:t>’</w:t>
      </w:r>
      <w:r w:rsidRPr="00A75DF9">
        <w:rPr>
          <w:rFonts w:eastAsia="Calibri" w:cs="Tahoma"/>
          <w:szCs w:val="18"/>
        </w:rPr>
        <w:t>utilizzo per SQL 2012, la società potrà combinare l</w:t>
      </w:r>
      <w:r w:rsidR="00F2643E">
        <w:rPr>
          <w:rFonts w:eastAsia="Calibri" w:cs="Tahoma"/>
          <w:szCs w:val="18"/>
        </w:rPr>
        <w:t>’</w:t>
      </w:r>
      <w:r w:rsidRPr="00A75DF9">
        <w:rPr>
          <w:rFonts w:eastAsia="Calibri" w:cs="Tahoma"/>
          <w:szCs w:val="18"/>
        </w:rPr>
        <w:t>equivalenza core delle licenze esistenti con le licenze core per SQL Server 2012 aggiuntive.</w:t>
      </w:r>
    </w:p>
    <w:p w:rsidR="00A81E83" w:rsidRPr="00A75DF9" w:rsidRDefault="00A81E83" w:rsidP="00346F4B">
      <w:pPr>
        <w:numPr>
          <w:ilvl w:val="1"/>
          <w:numId w:val="52"/>
        </w:numPr>
        <w:tabs>
          <w:tab w:val="left" w:pos="2160"/>
        </w:tabs>
        <w:spacing w:after="60"/>
        <w:ind w:left="2160"/>
        <w:rPr>
          <w:rFonts w:cs="Tahoma"/>
        </w:rPr>
      </w:pPr>
      <w:r w:rsidRPr="00A75DF9">
        <w:rPr>
          <w:rFonts w:eastAsia="Calibri" w:cs="Tahoma"/>
          <w:szCs w:val="18"/>
        </w:rPr>
        <w:t>L</w:t>
      </w:r>
      <w:r w:rsidR="00F2643E">
        <w:rPr>
          <w:rFonts w:eastAsia="Calibri" w:cs="Tahoma"/>
          <w:szCs w:val="18"/>
        </w:rPr>
        <w:t>’</w:t>
      </w:r>
      <w:r w:rsidRPr="00A75DF9">
        <w:rPr>
          <w:rFonts w:eastAsia="Calibri" w:cs="Tahoma"/>
          <w:szCs w:val="18"/>
        </w:rPr>
        <w:t>equivalenza di licenze core stimata delle società non implica che esse possano cedere una licenza singola per processore a core attraverso due o più processori.</w:t>
      </w:r>
    </w:p>
    <w:p w:rsidR="00B06AAC" w:rsidRDefault="00B06AAC" w:rsidP="00B06AAC">
      <w:pPr>
        <w:tabs>
          <w:tab w:val="left" w:pos="2160"/>
        </w:tabs>
        <w:spacing w:after="60"/>
        <w:rPr>
          <w:rFonts w:cs="Tahoma"/>
        </w:rPr>
      </w:pPr>
    </w:p>
    <w:p w:rsidR="00B06AAC" w:rsidRPr="00A75DF9" w:rsidRDefault="00A81E83" w:rsidP="00B06AAC">
      <w:pPr>
        <w:tabs>
          <w:tab w:val="left" w:pos="720"/>
        </w:tabs>
        <w:spacing w:after="60"/>
        <w:ind w:left="720"/>
        <w:rPr>
          <w:rFonts w:cs="Tahoma"/>
        </w:rPr>
      </w:pPr>
      <w:r w:rsidRPr="00A75DF9">
        <w:rPr>
          <w:rFonts w:eastAsia="Calibri" w:cs="Tahoma"/>
          <w:b/>
          <w:szCs w:val="18"/>
        </w:rPr>
        <w:t>Per le Società con copertura Software Assurance in scadenza in data 1 aprile 2015 o successiva che scelgono di non effettuare il rinnovo</w:t>
      </w:r>
    </w:p>
    <w:p w:rsidR="00A81E83" w:rsidRPr="00A75DF9" w:rsidRDefault="00A81E83" w:rsidP="00B06AAC">
      <w:pPr>
        <w:tabs>
          <w:tab w:val="left" w:pos="720"/>
        </w:tabs>
        <w:ind w:left="720"/>
        <w:contextualSpacing/>
        <w:rPr>
          <w:rFonts w:cs="Tahoma"/>
        </w:rPr>
      </w:pPr>
      <w:r w:rsidRPr="00A75DF9">
        <w:rPr>
          <w:rFonts w:eastAsia="Calibri" w:cs="Tahoma"/>
          <w:color w:val="000000"/>
          <w:szCs w:val="18"/>
        </w:rPr>
        <w:t xml:space="preserve">Alle società titolari di contratti Enterprise Subscription </w:t>
      </w:r>
      <w:r w:rsidRPr="00A75DF9">
        <w:rPr>
          <w:rFonts w:cs="Tahoma"/>
          <w:bCs/>
          <w:color w:val="000000"/>
          <w:szCs w:val="18"/>
        </w:rPr>
        <w:t xml:space="preserve">e Open Value Subscription </w:t>
      </w:r>
      <w:r w:rsidRPr="00A75DF9">
        <w:rPr>
          <w:rFonts w:eastAsia="Calibri" w:cs="Tahoma"/>
          <w:color w:val="000000"/>
          <w:szCs w:val="18"/>
        </w:rPr>
        <w:t xml:space="preserve">con copertura in scadenza in data 1 aprile 2015 o successiva che scelgono di effettuare il buy-out delle licenze per processore e alle altre società che acquistano licenze perpetue ai sensi del loro contratto verranno offerte le seguenti opzioni: </w:t>
      </w:r>
    </w:p>
    <w:p w:rsidR="00B06AAC" w:rsidRPr="00A75DF9" w:rsidRDefault="00B06AAC" w:rsidP="00B06AAC">
      <w:pPr>
        <w:tabs>
          <w:tab w:val="left" w:pos="720"/>
        </w:tabs>
        <w:ind w:left="720"/>
        <w:contextualSpacing/>
        <w:rPr>
          <w:rFonts w:cs="Tahoma"/>
        </w:rPr>
      </w:pPr>
    </w:p>
    <w:p w:rsidR="00A81E83" w:rsidRPr="00A75DF9" w:rsidRDefault="00A81E83" w:rsidP="00346F4B">
      <w:pPr>
        <w:numPr>
          <w:ilvl w:val="2"/>
          <w:numId w:val="50"/>
        </w:numPr>
        <w:spacing w:after="60"/>
        <w:ind w:left="1440"/>
        <w:rPr>
          <w:rFonts w:cs="Tahoma"/>
        </w:rPr>
      </w:pPr>
      <w:r w:rsidRPr="00A75DF9">
        <w:rPr>
          <w:rFonts w:eastAsia="Calibri" w:cs="Tahoma"/>
          <w:szCs w:val="18"/>
        </w:rPr>
        <w:t xml:space="preserve">come stabilito nel primo paragrafo di questa nota relativa al prodotto, le licenze acquistate prima del 1 aprile 2015 sono licenze qualificanti e le società potranno continuare a utilizzare SQL Server 2012 in base alle condizioni riportate nel precedente Articolo “Per le società con copertura Software Assurance in scadenza prima del 1 aprile 2015 che scelgono di non effettuare il rinnovo” e </w:t>
      </w:r>
    </w:p>
    <w:p w:rsidR="00A81E83" w:rsidRPr="00A75DF9" w:rsidRDefault="00A81E83" w:rsidP="00346F4B">
      <w:pPr>
        <w:numPr>
          <w:ilvl w:val="2"/>
          <w:numId w:val="50"/>
        </w:numPr>
        <w:spacing w:after="60"/>
        <w:ind w:left="1440"/>
        <w:rPr>
          <w:rFonts w:cs="Tahoma"/>
        </w:rPr>
      </w:pPr>
      <w:r w:rsidRPr="00A75DF9">
        <w:rPr>
          <w:rFonts w:eastAsia="Calibri" w:cs="Tahoma"/>
          <w:szCs w:val="18"/>
        </w:rPr>
        <w:t>per le licenze acquistate dopo il 1 aprile 2015 la licenza per processore delle società avrà un</w:t>
      </w:r>
      <w:r w:rsidR="00F2643E">
        <w:rPr>
          <w:rFonts w:eastAsia="Calibri" w:cs="Tahoma"/>
          <w:szCs w:val="18"/>
        </w:rPr>
        <w:t>’</w:t>
      </w:r>
      <w:r w:rsidRPr="00A75DF9">
        <w:rPr>
          <w:rFonts w:eastAsia="Calibri" w:cs="Tahoma"/>
          <w:szCs w:val="18"/>
        </w:rPr>
        <w:t>equivalenza core di quattro licenze core Standard per SQL Server 2012. Per l</w:t>
      </w:r>
      <w:r w:rsidR="00F2643E">
        <w:rPr>
          <w:rFonts w:eastAsia="Calibri" w:cs="Tahoma"/>
          <w:szCs w:val="18"/>
        </w:rPr>
        <w:t>’</w:t>
      </w:r>
      <w:r w:rsidRPr="00A75DF9">
        <w:rPr>
          <w:rFonts w:eastAsia="Calibri" w:cs="Tahoma"/>
          <w:szCs w:val="18"/>
        </w:rPr>
        <w:t>utilizzo continuativo di SQL Server 2012 su processori che richiedono più di quattro licenze core per processore la società deve acquistare le licenze core aggiuntive.</w:t>
      </w:r>
    </w:p>
    <w:p w:rsidR="002512D3" w:rsidRPr="00A75DF9" w:rsidRDefault="002512D3">
      <w:pPr>
        <w:rPr>
          <w:rFonts w:cs="Tahoma"/>
        </w:rPr>
      </w:pPr>
    </w:p>
    <w:p w:rsidR="00B06AAC" w:rsidRPr="00A75DF9" w:rsidRDefault="00A81E83" w:rsidP="00B06AAC">
      <w:pPr>
        <w:tabs>
          <w:tab w:val="left" w:pos="720"/>
        </w:tabs>
        <w:spacing w:after="60"/>
        <w:ind w:left="720"/>
        <w:rPr>
          <w:rFonts w:cs="Tahoma"/>
        </w:rPr>
      </w:pPr>
      <w:r w:rsidRPr="00A75DF9">
        <w:rPr>
          <w:rFonts w:cs="Tahoma"/>
          <w:b/>
        </w:rPr>
        <w:t>Per le società con sede nella Repubblica popolare</w:t>
      </w:r>
      <w:r w:rsidRPr="00A75DF9">
        <w:rPr>
          <w:rFonts w:cs="Tahoma"/>
        </w:rPr>
        <w:t xml:space="preserve"> </w:t>
      </w:r>
      <w:r w:rsidRPr="00A75DF9">
        <w:rPr>
          <w:rFonts w:cs="Tahoma"/>
          <w:b/>
        </w:rPr>
        <w:t>cinese, dove acquistano licenze per processore e Software Assurance per SQL Server 2008 R2</w:t>
      </w:r>
    </w:p>
    <w:p w:rsidR="00A81E83" w:rsidRPr="00A75DF9" w:rsidRDefault="00A81E83" w:rsidP="00B06AAC">
      <w:pPr>
        <w:tabs>
          <w:tab w:val="left" w:pos="720"/>
        </w:tabs>
        <w:ind w:left="720"/>
        <w:contextualSpacing/>
        <w:rPr>
          <w:rFonts w:cs="Tahoma"/>
        </w:rPr>
      </w:pPr>
      <w:r w:rsidRPr="00A75DF9">
        <w:rPr>
          <w:rFonts w:cs="Tahoma"/>
        </w:rPr>
        <w:t>Non si applicano i riferimenti al 1 aprile 2012 e al 1 aprile 2015 presenti in questa nota relativa alla lista dei prodotti. Le date applicabili per queste società sarebbero rispettivamente il 1 luglio 2012 e il 1 luglio 2015.</w:t>
      </w:r>
    </w:p>
    <w:p w:rsidR="00A81E83" w:rsidRPr="00A75DF9" w:rsidRDefault="00A81E83" w:rsidP="008558DC">
      <w:pPr>
        <w:ind w:left="900"/>
        <w:rPr>
          <w:rFonts w:cs="Tahoma"/>
        </w:rPr>
      </w:pPr>
    </w:p>
    <w:p w:rsidR="00A81E83" w:rsidRPr="00A75DF9" w:rsidRDefault="00A81E83" w:rsidP="008558DC">
      <w:pPr>
        <w:rPr>
          <w:rFonts w:cs="Tahoma"/>
        </w:rPr>
      </w:pPr>
    </w:p>
    <w:p w:rsidR="00A81E83" w:rsidRPr="00A75DF9" w:rsidRDefault="00A560B6" w:rsidP="00BD4B91">
      <w:pPr>
        <w:pStyle w:val="Heading3"/>
        <w:rPr>
          <w:rFonts w:ascii="Tahoma" w:hAnsi="Tahoma" w:cs="Tahoma"/>
        </w:rPr>
      </w:pPr>
      <w:bookmarkStart w:id="1426" w:name="_85_84_SQL"/>
      <w:bookmarkStart w:id="1427" w:name="_78_76_SQL"/>
      <w:bookmarkStart w:id="1428" w:name="_83_SQL_Server®"/>
      <w:bookmarkStart w:id="1429" w:name="Srv_85SQL2008R2Workgroup5ClientAddon"/>
      <w:bookmarkStart w:id="1430" w:name="_Toc336338343"/>
      <w:bookmarkStart w:id="1431" w:name="_Toc368310333"/>
      <w:bookmarkEnd w:id="1426"/>
      <w:bookmarkEnd w:id="1427"/>
      <w:bookmarkEnd w:id="1428"/>
      <w:r w:rsidRPr="00A75DF9">
        <w:rPr>
          <w:rFonts w:ascii="Tahoma" w:hAnsi="Tahoma" w:cs="Tahoma"/>
          <w:color w:val="F66400"/>
          <w:sz w:val="22"/>
          <w:vertAlign w:val="superscript"/>
        </w:rPr>
        <w:t>83</w:t>
      </w:r>
      <w:r w:rsidRPr="00A75DF9">
        <w:rPr>
          <w:rFonts w:ascii="Tahoma" w:hAnsi="Tahoma" w:cs="Tahoma"/>
          <w:color w:val="F66400"/>
          <w:sz w:val="22"/>
        </w:rPr>
        <w:t xml:space="preserve"> SQL Server</w:t>
      </w:r>
      <w:r w:rsidR="009D5D7B" w:rsidRPr="00A75DF9">
        <w:rPr>
          <w:rFonts w:ascii="Tahoma" w:hAnsi="Tahoma" w:cs="Tahoma"/>
          <w:color w:val="F66400"/>
          <w:sz w:val="22"/>
          <w:vertAlign w:val="superscript"/>
        </w:rPr>
        <w:t>®</w:t>
      </w:r>
      <w:r w:rsidRPr="00A75DF9">
        <w:rPr>
          <w:rFonts w:ascii="Tahoma" w:hAnsi="Tahoma" w:cs="Tahoma"/>
          <w:color w:val="F66400"/>
          <w:sz w:val="22"/>
        </w:rPr>
        <w:t xml:space="preserve"> 2008 R2 Workgroup (5 Add-On Client)</w:t>
      </w:r>
      <w:bookmarkEnd w:id="1429"/>
      <w:bookmarkEnd w:id="1430"/>
      <w:bookmarkEnd w:id="1431"/>
    </w:p>
    <w:p w:rsidR="00A81E83" w:rsidRPr="00A75DF9" w:rsidRDefault="00A81E83" w:rsidP="00DA46D5">
      <w:pPr>
        <w:pStyle w:val="EndnoteText"/>
        <w:ind w:left="0"/>
        <w:rPr>
          <w:rFonts w:ascii="Tahoma" w:hAnsi="Tahoma" w:cs="Tahoma"/>
        </w:rPr>
      </w:pPr>
    </w:p>
    <w:p w:rsidR="00DA46D5" w:rsidRPr="00A75DF9" w:rsidRDefault="00A81E83" w:rsidP="00DA46D5">
      <w:pPr>
        <w:spacing w:after="60"/>
        <w:ind w:left="720"/>
        <w:rPr>
          <w:rFonts w:cs="Tahoma"/>
        </w:rPr>
      </w:pPr>
      <w:r w:rsidRPr="00A75DF9">
        <w:rPr>
          <w:rFonts w:cs="Tahoma"/>
          <w:b/>
        </w:rPr>
        <w:t>Concessioni di Licenza Associate alla fine del ciclo di vita di SQL Server Workgroup Edition</w:t>
      </w:r>
    </w:p>
    <w:p w:rsidR="00A81E83" w:rsidRPr="00A75DF9" w:rsidRDefault="00A81E83" w:rsidP="00DA46D5">
      <w:pPr>
        <w:ind w:left="720"/>
        <w:rPr>
          <w:rFonts w:cs="Tahoma"/>
        </w:rPr>
      </w:pPr>
      <w:r w:rsidRPr="00A75DF9">
        <w:rPr>
          <w:rFonts w:eastAsia="Calibri" w:cs="Tahoma"/>
          <w:szCs w:val="18"/>
        </w:rPr>
        <w:t>SQL Server 2008 R2 Workgroup sarà l</w:t>
      </w:r>
      <w:r w:rsidR="00F2643E">
        <w:rPr>
          <w:rFonts w:eastAsia="Calibri" w:cs="Tahoma"/>
          <w:szCs w:val="18"/>
        </w:rPr>
        <w:t>’</w:t>
      </w:r>
      <w:r w:rsidRPr="00A75DF9">
        <w:rPr>
          <w:rFonts w:eastAsia="Calibri" w:cs="Tahoma"/>
          <w:szCs w:val="18"/>
        </w:rPr>
        <w:t>ultima versione di SQL Server Workgroup Edition.</w:t>
      </w:r>
      <w:r w:rsidR="009D3B41" w:rsidRPr="00A75DF9">
        <w:rPr>
          <w:rFonts w:eastAsia="Calibri" w:cs="Tahoma"/>
          <w:szCs w:val="18"/>
        </w:rPr>
        <w:t xml:space="preserve"> </w:t>
      </w:r>
      <w:r w:rsidRPr="00A75DF9">
        <w:rPr>
          <w:rFonts w:eastAsia="Calibri" w:cs="Tahoma"/>
          <w:szCs w:val="18"/>
        </w:rPr>
        <w:t>In via eccezionale, le società con Contratti Multilicenza e con copertura Software Assurance attiva per le licenze per SQL Server 2008 R2 Workgroup Server in data 1 aprile 2012 potranno effettuare l</w:t>
      </w:r>
      <w:r w:rsidR="00F2643E">
        <w:rPr>
          <w:rFonts w:eastAsia="Calibri" w:cs="Tahoma"/>
          <w:szCs w:val="18"/>
        </w:rPr>
        <w:t>’</w:t>
      </w:r>
      <w:r w:rsidRPr="00A75DF9">
        <w:rPr>
          <w:rFonts w:eastAsia="Calibri" w:cs="Tahoma"/>
          <w:szCs w:val="18"/>
        </w:rPr>
        <w:t>aggiornamento a SQL Server 2012 Standard Server e utilizzarlo (o a qualsiasi versione successiva del prodotto resa disponibile durante la copertura) al posto di SQL Server Workgroup Edition, nonché acquistare Software Assurance per SQL Server Standard alla scadenza della copertura in corso. Inoltre, le società con Contratti Multilicenza e con copertura Software Assurance attiva per le CAL per SQL Server 2008 R2 Workgroup in data 1 aprile 2012 potranno effettuare l</w:t>
      </w:r>
      <w:r w:rsidR="00F2643E">
        <w:rPr>
          <w:rFonts w:eastAsia="Calibri" w:cs="Tahoma"/>
          <w:szCs w:val="18"/>
        </w:rPr>
        <w:t>’</w:t>
      </w:r>
      <w:r w:rsidRPr="00A75DF9">
        <w:rPr>
          <w:rFonts w:eastAsia="Calibri" w:cs="Tahoma"/>
          <w:szCs w:val="18"/>
        </w:rPr>
        <w:t>aggiornamento alle CAL per SQL Server 2012 (o a qualsiasi versione successiva della CAL resa disponibile durante la copertura) e utilizzarle al posto delle loro CAL per SQL Server Workgroup, nonché acquistare Software Assurance per la CAL per SQL Server in occasione del loro prossimo rinnovo.</w:t>
      </w:r>
      <w:r w:rsidR="009D3B41" w:rsidRPr="00A75DF9">
        <w:rPr>
          <w:rFonts w:eastAsia="Calibri" w:cs="Tahoma"/>
          <w:szCs w:val="18"/>
        </w:rPr>
        <w:t xml:space="preserve"> </w:t>
      </w:r>
      <w:r w:rsidRPr="00A75DF9">
        <w:rPr>
          <w:rFonts w:eastAsia="Calibri" w:cs="Tahoma"/>
          <w:szCs w:val="18"/>
        </w:rPr>
        <w:t>Le licenze per SQL Server Workgroup delle società non sono più valide quando acquistano la copertura Software Assurance per SQL Server Standard ai sensi della presente offerta.</w:t>
      </w:r>
    </w:p>
    <w:p w:rsidR="000D5F24" w:rsidRDefault="000D5F24">
      <w:pPr>
        <w:rPr>
          <w:rFonts w:cs="Tahoma"/>
        </w:rPr>
      </w:pPr>
    </w:p>
    <w:p w:rsidR="003E0F96" w:rsidRDefault="003E0F96">
      <w:pPr>
        <w:rPr>
          <w:rFonts w:cs="Tahoma"/>
        </w:rPr>
      </w:pPr>
    </w:p>
    <w:p w:rsidR="003E0F96" w:rsidRPr="00A75DF9" w:rsidRDefault="003E0F96">
      <w:pPr>
        <w:rPr>
          <w:rFonts w:cs="Tahoma"/>
        </w:rPr>
      </w:pPr>
    </w:p>
    <w:p w:rsidR="00DA46D5" w:rsidRPr="00A75DF9" w:rsidRDefault="00A81E83" w:rsidP="00DA46D5">
      <w:pPr>
        <w:spacing w:after="60"/>
        <w:ind w:left="720"/>
        <w:rPr>
          <w:rFonts w:cs="Tahoma"/>
        </w:rPr>
      </w:pPr>
      <w:r w:rsidRPr="00A75DF9">
        <w:rPr>
          <w:rFonts w:cs="Tahoma"/>
          <w:b/>
        </w:rPr>
        <w:lastRenderedPageBreak/>
        <w:t>Per le società con sede nella Repubblica popolare</w:t>
      </w:r>
      <w:r w:rsidRPr="00A75DF9">
        <w:rPr>
          <w:rFonts w:cs="Tahoma"/>
        </w:rPr>
        <w:t xml:space="preserve"> </w:t>
      </w:r>
      <w:r w:rsidRPr="00A75DF9">
        <w:rPr>
          <w:rFonts w:cs="Tahoma"/>
          <w:b/>
        </w:rPr>
        <w:t>cinese, dove acquistano licenze e Software Assurance per SQL Server 2008 R2</w:t>
      </w:r>
    </w:p>
    <w:p w:rsidR="00A81E83" w:rsidRPr="00A75DF9" w:rsidRDefault="00A81E83" w:rsidP="00DA46D5">
      <w:pPr>
        <w:ind w:left="720"/>
        <w:rPr>
          <w:rFonts w:cs="Tahoma"/>
        </w:rPr>
      </w:pPr>
      <w:r w:rsidRPr="00A75DF9">
        <w:rPr>
          <w:rFonts w:cs="Tahoma"/>
        </w:rPr>
        <w:t>Non si applicano i riferimenti al 1 aprile 2012 presenti in questa nota relativa alla lista dei prodotti. La data applicabile per queste società sarebbe il 1 luglio 2012.</w:t>
      </w:r>
    </w:p>
    <w:p w:rsidR="00DA46D5" w:rsidRPr="00A75DF9" w:rsidRDefault="00DA46D5" w:rsidP="00DA46D5">
      <w:pPr>
        <w:ind w:left="720"/>
        <w:rPr>
          <w:rFonts w:cs="Tahoma"/>
        </w:rPr>
      </w:pPr>
    </w:p>
    <w:p w:rsidR="00586FCE" w:rsidRPr="00A75DF9" w:rsidRDefault="00586FCE" w:rsidP="00DA46D5">
      <w:pPr>
        <w:ind w:left="720"/>
        <w:rPr>
          <w:rFonts w:cs="Tahoma"/>
        </w:rPr>
      </w:pPr>
    </w:p>
    <w:p w:rsidR="00A81E83" w:rsidRPr="00A75DF9" w:rsidRDefault="00A560B6" w:rsidP="001760D6">
      <w:pPr>
        <w:pStyle w:val="Heading3"/>
        <w:keepNext/>
        <w:ind w:left="720" w:hanging="720"/>
        <w:rPr>
          <w:rFonts w:ascii="Tahoma" w:hAnsi="Tahoma" w:cs="Tahoma"/>
        </w:rPr>
      </w:pPr>
      <w:bookmarkStart w:id="1432" w:name="_79_77_SQL"/>
      <w:bookmarkStart w:id="1433" w:name="_81_SQL_Server®"/>
      <w:bookmarkStart w:id="1434" w:name="_84_SQL_Server®"/>
      <w:bookmarkStart w:id="1435" w:name="_Toc336338344"/>
      <w:bookmarkStart w:id="1436" w:name="Srv_72SQLSvr08R2WorkgroupProc"/>
      <w:bookmarkStart w:id="1437" w:name="_Toc368310334"/>
      <w:bookmarkEnd w:id="1432"/>
      <w:bookmarkEnd w:id="1433"/>
      <w:bookmarkEnd w:id="1434"/>
      <w:r w:rsidRPr="00A75DF9">
        <w:rPr>
          <w:rFonts w:ascii="Tahoma" w:hAnsi="Tahoma" w:cs="Tahoma"/>
          <w:color w:val="F66400"/>
          <w:sz w:val="22"/>
          <w:vertAlign w:val="superscript"/>
        </w:rPr>
        <w:t>84</w:t>
      </w:r>
      <w:r w:rsidRPr="00A75DF9">
        <w:rPr>
          <w:rFonts w:ascii="Tahoma" w:hAnsi="Tahoma" w:cs="Tahoma"/>
          <w:color w:val="F66400"/>
          <w:sz w:val="22"/>
        </w:rPr>
        <w:t xml:space="preserve"> Processore per SQL Server</w:t>
      </w:r>
      <w:r w:rsidR="009D5D7B" w:rsidRPr="00A75DF9">
        <w:rPr>
          <w:rFonts w:ascii="Tahoma" w:hAnsi="Tahoma" w:cs="Tahoma"/>
          <w:color w:val="F66400"/>
          <w:sz w:val="22"/>
          <w:vertAlign w:val="superscript"/>
        </w:rPr>
        <w:t>®</w:t>
      </w:r>
      <w:r w:rsidRPr="00A75DF9">
        <w:rPr>
          <w:rFonts w:ascii="Tahoma" w:hAnsi="Tahoma" w:cs="Tahoma"/>
          <w:color w:val="F66400"/>
          <w:sz w:val="22"/>
        </w:rPr>
        <w:t xml:space="preserve"> 2008 R2 Workgroup</w:t>
      </w:r>
      <w:bookmarkEnd w:id="1435"/>
      <w:bookmarkEnd w:id="1437"/>
    </w:p>
    <w:bookmarkEnd w:id="1436"/>
    <w:p w:rsidR="00A81E83" w:rsidRPr="00A75DF9" w:rsidRDefault="00A81E83" w:rsidP="000C03F3">
      <w:pPr>
        <w:ind w:left="720"/>
        <w:rPr>
          <w:rFonts w:cs="Tahoma"/>
        </w:rPr>
      </w:pPr>
    </w:p>
    <w:p w:rsidR="000C03F3" w:rsidRPr="00A75DF9" w:rsidRDefault="00A81E83" w:rsidP="000C03F3">
      <w:pPr>
        <w:spacing w:after="60"/>
        <w:ind w:left="720"/>
        <w:rPr>
          <w:rFonts w:cs="Tahoma"/>
        </w:rPr>
      </w:pPr>
      <w:r w:rsidRPr="00A75DF9">
        <w:rPr>
          <w:rFonts w:eastAsia="Calibri" w:cs="Tahoma"/>
          <w:b/>
          <w:color w:val="000000"/>
          <w:szCs w:val="18"/>
        </w:rPr>
        <w:t>Concessioni di Licenza Associate alla Variazione del Modello di Licenza</w:t>
      </w:r>
    </w:p>
    <w:p w:rsidR="00A81E83" w:rsidRDefault="00A81E83" w:rsidP="005F10EF">
      <w:pPr>
        <w:ind w:left="720"/>
        <w:rPr>
          <w:rFonts w:cs="Tahoma"/>
          <w:bCs/>
          <w:color w:val="000000"/>
          <w:szCs w:val="18"/>
        </w:rPr>
      </w:pPr>
      <w:r w:rsidRPr="00A75DF9">
        <w:rPr>
          <w:rFonts w:eastAsia="Calibri" w:cs="Tahoma"/>
          <w:color w:val="000000"/>
          <w:szCs w:val="18"/>
        </w:rPr>
        <w:t>SQL Server 2008 R2 sarà l</w:t>
      </w:r>
      <w:r w:rsidR="00F2643E">
        <w:rPr>
          <w:rFonts w:eastAsia="Calibri" w:cs="Tahoma"/>
          <w:color w:val="000000"/>
          <w:szCs w:val="18"/>
        </w:rPr>
        <w:t>’</w:t>
      </w:r>
      <w:r w:rsidRPr="00A75DF9">
        <w:rPr>
          <w:rFonts w:eastAsia="Calibri" w:cs="Tahoma"/>
          <w:color w:val="000000"/>
          <w:szCs w:val="18"/>
        </w:rPr>
        <w:t>ultima versione di SQL Server concessa in licenza ai sensi del modello di licenza per processore e l</w:t>
      </w:r>
      <w:r w:rsidR="00F2643E">
        <w:rPr>
          <w:rFonts w:eastAsia="Calibri" w:cs="Tahoma"/>
          <w:color w:val="000000"/>
          <w:szCs w:val="18"/>
        </w:rPr>
        <w:t>’</w:t>
      </w:r>
      <w:r w:rsidRPr="00A75DF9">
        <w:rPr>
          <w:rFonts w:eastAsia="Calibri" w:cs="Tahoma"/>
          <w:color w:val="000000"/>
          <w:szCs w:val="18"/>
        </w:rPr>
        <w:t>ultima versione di SQL Server Workgroup Edition.</w:t>
      </w:r>
      <w:r w:rsidR="009D3B41" w:rsidRPr="00A75DF9">
        <w:rPr>
          <w:rFonts w:eastAsia="Calibri" w:cs="Tahoma"/>
          <w:color w:val="000000"/>
          <w:szCs w:val="18"/>
        </w:rPr>
        <w:t xml:space="preserve"> </w:t>
      </w:r>
      <w:r w:rsidRPr="00A75DF9">
        <w:rPr>
          <w:rFonts w:eastAsia="Calibri" w:cs="Tahoma"/>
          <w:color w:val="000000"/>
          <w:szCs w:val="18"/>
        </w:rPr>
        <w:t>In via eccezionale, alle società con Contratti Multilicenza e copertura Software Assurance attiva per le licenze per processore per SQL Server 2008 R2 Workgroup in data 1 aprile 2012 (“licenze qualificanti”) vengono offerte le opzioni che seguono. Le</w:t>
      </w:r>
      <w:r w:rsidR="005F10EF">
        <w:rPr>
          <w:rFonts w:eastAsia="Calibri" w:cs="Tahoma"/>
          <w:color w:val="000000"/>
          <w:szCs w:val="18"/>
        </w:rPr>
        <w:t> </w:t>
      </w:r>
      <w:r w:rsidRPr="00A75DF9">
        <w:rPr>
          <w:rFonts w:eastAsia="Calibri" w:cs="Tahoma"/>
          <w:color w:val="000000"/>
          <w:szCs w:val="18"/>
        </w:rPr>
        <w:t xml:space="preserve">licenze per processore per SQL Server 2008 R2 Workgroup </w:t>
      </w:r>
      <w:r w:rsidRPr="00A75DF9">
        <w:rPr>
          <w:rFonts w:cs="Tahoma"/>
          <w:bCs/>
          <w:color w:val="000000"/>
          <w:szCs w:val="18"/>
        </w:rPr>
        <w:t>acquistate successivamente nello stesso periodo di validità dell</w:t>
      </w:r>
      <w:r w:rsidR="00F2643E">
        <w:rPr>
          <w:rFonts w:cs="Tahoma"/>
          <w:bCs/>
          <w:color w:val="000000"/>
          <w:szCs w:val="18"/>
        </w:rPr>
        <w:t>’</w:t>
      </w:r>
      <w:r w:rsidRPr="00A75DF9">
        <w:rPr>
          <w:rFonts w:cs="Tahoma"/>
          <w:bCs/>
          <w:color w:val="000000"/>
          <w:szCs w:val="18"/>
        </w:rPr>
        <w:t>iscrizione, ma prima del 1 aprile 2015 nell</w:t>
      </w:r>
      <w:r w:rsidR="00F2643E">
        <w:rPr>
          <w:rFonts w:cs="Tahoma"/>
          <w:bCs/>
          <w:color w:val="000000"/>
          <w:szCs w:val="18"/>
        </w:rPr>
        <w:t>’</w:t>
      </w:r>
      <w:r w:rsidRPr="00A75DF9">
        <w:rPr>
          <w:rFonts w:cs="Tahoma"/>
          <w:bCs/>
          <w:color w:val="000000"/>
          <w:szCs w:val="18"/>
        </w:rPr>
        <w:t>ambito di una procedura pianificata di true-up della</w:t>
      </w:r>
      <w:r w:rsidR="005F10EF">
        <w:rPr>
          <w:rFonts w:cs="Tahoma"/>
          <w:bCs/>
          <w:color w:val="000000"/>
          <w:szCs w:val="18"/>
        </w:rPr>
        <w:t> </w:t>
      </w:r>
      <w:r w:rsidRPr="00A75DF9">
        <w:rPr>
          <w:rFonts w:cs="Tahoma"/>
          <w:bCs/>
          <w:color w:val="000000"/>
          <w:szCs w:val="18"/>
        </w:rPr>
        <w:t>società Enterprise, Enterprise Subscription, Open Value Subscription o EES, sono anch</w:t>
      </w:r>
      <w:r w:rsidR="00F2643E">
        <w:rPr>
          <w:rFonts w:cs="Tahoma"/>
          <w:bCs/>
          <w:color w:val="000000"/>
          <w:szCs w:val="18"/>
        </w:rPr>
        <w:t>’</w:t>
      </w:r>
      <w:r w:rsidRPr="00A75DF9">
        <w:rPr>
          <w:rFonts w:cs="Tahoma"/>
          <w:bCs/>
          <w:color w:val="000000"/>
          <w:szCs w:val="18"/>
        </w:rPr>
        <w:t>esse licenze qualificanti per gli scopi previsti da tali opzioni.</w:t>
      </w:r>
      <w:r w:rsidR="009D3B41" w:rsidRPr="00A75DF9">
        <w:rPr>
          <w:rFonts w:cs="Tahoma"/>
          <w:bCs/>
          <w:color w:val="000000"/>
          <w:szCs w:val="18"/>
        </w:rPr>
        <w:t xml:space="preserve"> </w:t>
      </w:r>
      <w:r w:rsidRPr="00A75DF9">
        <w:rPr>
          <w:rFonts w:cs="Tahoma"/>
          <w:bCs/>
          <w:color w:val="000000"/>
          <w:szCs w:val="18"/>
        </w:rPr>
        <w:t>Le licenze acquistate dopo il 1 aprile 2015, o in un periodo di</w:t>
      </w:r>
      <w:r w:rsidR="005F10EF">
        <w:rPr>
          <w:rFonts w:cs="Tahoma"/>
          <w:bCs/>
          <w:color w:val="000000"/>
          <w:szCs w:val="18"/>
        </w:rPr>
        <w:t> </w:t>
      </w:r>
      <w:r w:rsidRPr="00A75DF9">
        <w:rPr>
          <w:rFonts w:cs="Tahoma"/>
          <w:bCs/>
          <w:color w:val="000000"/>
          <w:szCs w:val="18"/>
        </w:rPr>
        <w:t>validità dell</w:t>
      </w:r>
      <w:r w:rsidR="00F2643E">
        <w:rPr>
          <w:rFonts w:cs="Tahoma"/>
          <w:bCs/>
          <w:color w:val="000000"/>
          <w:szCs w:val="18"/>
        </w:rPr>
        <w:t>’</w:t>
      </w:r>
      <w:r w:rsidRPr="00A75DF9">
        <w:rPr>
          <w:rFonts w:cs="Tahoma"/>
          <w:bCs/>
          <w:color w:val="000000"/>
          <w:szCs w:val="18"/>
        </w:rPr>
        <w:t>iscrizione successivo, ai sensi di un contratto distinto o di un</w:t>
      </w:r>
      <w:r w:rsidR="00F2643E">
        <w:rPr>
          <w:rFonts w:cs="Tahoma"/>
          <w:bCs/>
          <w:color w:val="000000"/>
          <w:szCs w:val="18"/>
        </w:rPr>
        <w:t>’</w:t>
      </w:r>
      <w:r w:rsidRPr="00A75DF9">
        <w:rPr>
          <w:rFonts w:cs="Tahoma"/>
          <w:bCs/>
          <w:color w:val="000000"/>
          <w:szCs w:val="18"/>
        </w:rPr>
        <w:t>iscrizione con la data di entrata in</w:t>
      </w:r>
      <w:r w:rsidR="005F10EF">
        <w:rPr>
          <w:rFonts w:cs="Tahoma"/>
          <w:bCs/>
          <w:color w:val="000000"/>
          <w:szCs w:val="18"/>
        </w:rPr>
        <w:t> </w:t>
      </w:r>
      <w:r w:rsidRPr="00A75DF9">
        <w:rPr>
          <w:rFonts w:cs="Tahoma"/>
          <w:bCs/>
          <w:color w:val="000000"/>
          <w:szCs w:val="18"/>
        </w:rPr>
        <w:t>vigore posteriore al 1 aprile 2012, non sono licenze qualificanti.</w:t>
      </w:r>
    </w:p>
    <w:p w:rsidR="003E0F96" w:rsidRPr="00A75DF9" w:rsidRDefault="003E0F96" w:rsidP="005F10EF">
      <w:pPr>
        <w:ind w:left="720"/>
        <w:rPr>
          <w:rFonts w:cs="Tahoma"/>
        </w:rPr>
      </w:pPr>
    </w:p>
    <w:p w:rsidR="000C03F3" w:rsidRPr="00A75DF9" w:rsidRDefault="000C03F3" w:rsidP="000C03F3">
      <w:pPr>
        <w:spacing w:after="60"/>
        <w:ind w:left="720"/>
        <w:rPr>
          <w:rFonts w:cs="Tahoma"/>
        </w:rPr>
      </w:pPr>
      <w:r w:rsidRPr="00A75DF9">
        <w:rPr>
          <w:rFonts w:eastAsia="Calibri" w:cs="Tahoma"/>
          <w:b/>
          <w:color w:val="000000"/>
          <w:szCs w:val="18"/>
        </w:rPr>
        <w:t>Periodo di Validità Corrente</w:t>
      </w:r>
    </w:p>
    <w:p w:rsidR="00A81E83" w:rsidRPr="00A75DF9" w:rsidRDefault="00A81E83" w:rsidP="000C03F3">
      <w:pPr>
        <w:tabs>
          <w:tab w:val="left" w:pos="720"/>
        </w:tabs>
        <w:ind w:left="720"/>
        <w:rPr>
          <w:rFonts w:cs="Tahoma"/>
        </w:rPr>
      </w:pPr>
      <w:r w:rsidRPr="00A75DF9">
        <w:rPr>
          <w:rFonts w:eastAsia="Calibri" w:cs="Tahoma"/>
          <w:szCs w:val="18"/>
        </w:rPr>
        <w:t>durante il periodo di validità corrente della copertura Software Assurance a partire dal 1 aprile 2012 le società (incluse le società titolari di contratti “subscription”) potranno, ai sensi di una licenza qualificante, effettuare l</w:t>
      </w:r>
      <w:r w:rsidR="00F2643E">
        <w:rPr>
          <w:rFonts w:eastAsia="Calibri" w:cs="Tahoma"/>
          <w:szCs w:val="18"/>
        </w:rPr>
        <w:t>’</w:t>
      </w:r>
      <w:r w:rsidRPr="00A75DF9">
        <w:rPr>
          <w:rFonts w:eastAsia="Calibri" w:cs="Tahoma"/>
          <w:szCs w:val="18"/>
        </w:rPr>
        <w:t>aggiornamento al software SQL Server 2012 Standard Core e utilizzarlo al posto di SQL Server 2008 R2 Workgroup in conformità ai diritti di utilizzo del prodotto previsti dalla licenza per processore SQL Server 2008 R2 Standard (come indicato nei Diritti di Utilizzo del Prodotto del mese di gennaio 2012). alle società vengono concessi diritti aggiuntivi ai sensi di Mobilità delle Licenze tramite Software Assurance e Mobilità delle Licenze all</w:t>
      </w:r>
      <w:r w:rsidR="00F2643E">
        <w:rPr>
          <w:rFonts w:eastAsia="Calibri" w:cs="Tahoma"/>
          <w:szCs w:val="18"/>
        </w:rPr>
        <w:t>’</w:t>
      </w:r>
      <w:r w:rsidRPr="00A75DF9">
        <w:rPr>
          <w:rFonts w:eastAsia="Calibri" w:cs="Tahoma"/>
          <w:szCs w:val="18"/>
        </w:rPr>
        <w:t>interno di Server Farm. Le società dovranno fare riferimento ai Diritti di Utilizzo del Prodotto per SQL Server 2012 Standard Core per quanto riguarda le condizioni di licenza per Mobilità delle Licenze.</w:t>
      </w:r>
    </w:p>
    <w:p w:rsidR="000C03F3" w:rsidRPr="00A75DF9" w:rsidRDefault="000C03F3" w:rsidP="000C03F3">
      <w:pPr>
        <w:tabs>
          <w:tab w:val="left" w:pos="720"/>
        </w:tabs>
        <w:ind w:left="720"/>
        <w:rPr>
          <w:rFonts w:cs="Tahoma"/>
        </w:rPr>
      </w:pPr>
    </w:p>
    <w:p w:rsidR="000C03F3" w:rsidRPr="00A75DF9" w:rsidRDefault="00A81E83" w:rsidP="000C03F3">
      <w:pPr>
        <w:spacing w:after="60"/>
        <w:ind w:left="720"/>
        <w:rPr>
          <w:rFonts w:cs="Tahoma"/>
        </w:rPr>
      </w:pPr>
      <w:r w:rsidRPr="00A75DF9">
        <w:rPr>
          <w:rFonts w:eastAsia="Calibri" w:cs="Tahoma"/>
          <w:b/>
          <w:color w:val="000000"/>
          <w:szCs w:val="18"/>
        </w:rPr>
        <w:t>Primo Periodo di Rinnovo (prima del 1 aprile 2015)</w:t>
      </w:r>
    </w:p>
    <w:p w:rsidR="00A81E83" w:rsidRPr="00A75DF9" w:rsidRDefault="00A81E83" w:rsidP="000C03F3">
      <w:pPr>
        <w:tabs>
          <w:tab w:val="left" w:pos="720"/>
        </w:tabs>
        <w:ind w:left="720"/>
        <w:rPr>
          <w:rFonts w:cs="Tahoma"/>
        </w:rPr>
      </w:pPr>
      <w:r w:rsidRPr="00A75DF9">
        <w:rPr>
          <w:rFonts w:eastAsia="Calibri" w:cs="Tahoma"/>
          <w:szCs w:val="18"/>
        </w:rPr>
        <w:t>in occasione del primo rinnovo di Software Assurance in data 1 aprile 2012 o successiva (ma prima del 1 aprile 2015), per ogni server che una società ha ricevuto validamente in licenza in conformità ai diritti di utilizzo del prodotto previsti dalla licenza per processore SQL Server 2008 R2 Standard, la società potrà acquistare la copertura Software Assurance per le licenze core per SQL Server Standard senza dovere acquistare le licenze core sottostanti per un numero di licenze core pari alla somma di (a) e (b):</w:t>
      </w:r>
    </w:p>
    <w:p w:rsidR="00A81E83" w:rsidRPr="00A75DF9" w:rsidRDefault="00A81E83" w:rsidP="005F10EF">
      <w:pPr>
        <w:numPr>
          <w:ilvl w:val="0"/>
          <w:numId w:val="117"/>
        </w:numPr>
        <w:tabs>
          <w:tab w:val="left" w:pos="1440"/>
        </w:tabs>
        <w:ind w:left="1440"/>
        <w:rPr>
          <w:rFonts w:cs="Tahoma"/>
        </w:rPr>
      </w:pPr>
      <w:r w:rsidRPr="00A75DF9">
        <w:rPr>
          <w:rFonts w:eastAsia="Calibri" w:cs="Tahoma"/>
          <w:szCs w:val="18"/>
        </w:rPr>
        <w:t>un numero pari al numero minore delle licenze qualificanti cedute al server o al numero totale dei</w:t>
      </w:r>
      <w:r w:rsidR="005F10EF">
        <w:rPr>
          <w:rFonts w:eastAsia="Calibri" w:cs="Tahoma"/>
          <w:szCs w:val="18"/>
        </w:rPr>
        <w:t> </w:t>
      </w:r>
      <w:r w:rsidRPr="00A75DF9">
        <w:rPr>
          <w:rFonts w:eastAsia="Calibri" w:cs="Tahoma"/>
          <w:szCs w:val="18"/>
        </w:rPr>
        <w:t xml:space="preserve">processori fisici sul server moltiplicato per il maggiore tra: </w:t>
      </w:r>
    </w:p>
    <w:p w:rsidR="00A81E83" w:rsidRPr="00A75DF9" w:rsidRDefault="00A81E83" w:rsidP="00346F4B">
      <w:pPr>
        <w:numPr>
          <w:ilvl w:val="0"/>
          <w:numId w:val="91"/>
        </w:numPr>
        <w:tabs>
          <w:tab w:val="left" w:pos="1800"/>
        </w:tabs>
        <w:ind w:left="1800"/>
        <w:rPr>
          <w:rFonts w:cs="Tahoma"/>
        </w:rPr>
      </w:pPr>
      <w:r w:rsidRPr="00A75DF9">
        <w:rPr>
          <w:rFonts w:eastAsia="Calibri" w:cs="Tahoma"/>
          <w:szCs w:val="18"/>
        </w:rPr>
        <w:t>quattro O</w:t>
      </w:r>
    </w:p>
    <w:p w:rsidR="00A81E83" w:rsidRPr="00A75DF9" w:rsidRDefault="00A81E83" w:rsidP="005F10EF">
      <w:pPr>
        <w:numPr>
          <w:ilvl w:val="0"/>
          <w:numId w:val="91"/>
        </w:numPr>
        <w:tabs>
          <w:tab w:val="left" w:pos="1800"/>
        </w:tabs>
        <w:ind w:left="1800"/>
        <w:rPr>
          <w:rFonts w:cs="Tahoma"/>
        </w:rPr>
      </w:pPr>
      <w:r w:rsidRPr="00A75DF9">
        <w:rPr>
          <w:rFonts w:eastAsia="Calibri" w:cs="Tahoma"/>
          <w:szCs w:val="18"/>
        </w:rPr>
        <w:t>il numero effettivo di core per processore fisico moltiplicato per il fattore core appropriato.</w:t>
      </w:r>
      <w:r w:rsidR="009D3B41" w:rsidRPr="00A75DF9">
        <w:rPr>
          <w:rFonts w:eastAsia="Calibri" w:cs="Tahoma"/>
          <w:szCs w:val="18"/>
        </w:rPr>
        <w:t xml:space="preserve"> </w:t>
      </w:r>
      <w:r w:rsidRPr="00A75DF9">
        <w:rPr>
          <w:rFonts w:eastAsia="Calibri" w:cs="Tahoma"/>
          <w:szCs w:val="18"/>
        </w:rPr>
        <w:t>(Nei</w:t>
      </w:r>
      <w:r w:rsidR="005F10EF">
        <w:rPr>
          <w:rFonts w:eastAsia="Calibri" w:cs="Tahoma"/>
          <w:szCs w:val="18"/>
        </w:rPr>
        <w:t> </w:t>
      </w:r>
      <w:r w:rsidRPr="00A75DF9">
        <w:rPr>
          <w:rFonts w:eastAsia="Calibri" w:cs="Tahoma"/>
          <w:szCs w:val="18"/>
        </w:rPr>
        <w:t>casi in cui il numero effettivo di core per processore fisico superi quattro, le società dovranno conservare un record della configurazione del software SQL Server in esecuzione sul</w:t>
      </w:r>
      <w:r w:rsidR="005F10EF">
        <w:rPr>
          <w:rFonts w:eastAsia="Calibri" w:cs="Tahoma"/>
          <w:szCs w:val="18"/>
        </w:rPr>
        <w:t> </w:t>
      </w:r>
      <w:r w:rsidRPr="00A75DF9">
        <w:rPr>
          <w:rFonts w:eastAsia="Calibri" w:cs="Tahoma"/>
          <w:szCs w:val="18"/>
        </w:rPr>
        <w:t>server (istanze con licenza in esecuzione negli ambienti del sistema operativo sul server con licenza) e l</w:t>
      </w:r>
      <w:r w:rsidR="00F2643E">
        <w:rPr>
          <w:rFonts w:eastAsia="Calibri" w:cs="Tahoma"/>
          <w:szCs w:val="18"/>
        </w:rPr>
        <w:t>’</w:t>
      </w:r>
      <w:r w:rsidRPr="00A75DF9">
        <w:rPr>
          <w:rFonts w:eastAsia="Calibri" w:cs="Tahoma"/>
          <w:szCs w:val="18"/>
        </w:rPr>
        <w:t xml:space="preserve">hardware fisico che supporta tale software appena prima del rinnovo di Software Assurance utilizzando lo strumento MAP di Microsoft o un software equivalente). </w:t>
      </w:r>
    </w:p>
    <w:p w:rsidR="00A81E83" w:rsidRPr="00A75DF9" w:rsidRDefault="00A81E83" w:rsidP="00346F4B">
      <w:pPr>
        <w:numPr>
          <w:ilvl w:val="0"/>
          <w:numId w:val="117"/>
        </w:numPr>
        <w:tabs>
          <w:tab w:val="left" w:pos="1440"/>
        </w:tabs>
        <w:ind w:left="1440"/>
        <w:rPr>
          <w:rFonts w:cs="Tahoma"/>
        </w:rPr>
      </w:pPr>
      <w:r w:rsidRPr="00A75DF9">
        <w:rPr>
          <w:rFonts w:eastAsia="Calibri" w:cs="Tahoma"/>
          <w:szCs w:val="18"/>
        </w:rPr>
        <w:t>un numero pari al numero di licenze qualificanti cedute al server oltre al numero effettivo di processori fisici sul server moltiplicato per quattro.</w:t>
      </w:r>
    </w:p>
    <w:p w:rsidR="000C03F3" w:rsidRPr="00A75DF9" w:rsidRDefault="000C03F3" w:rsidP="000C03F3">
      <w:pPr>
        <w:tabs>
          <w:tab w:val="left" w:pos="1440"/>
        </w:tabs>
        <w:rPr>
          <w:rFonts w:cs="Tahoma"/>
        </w:rPr>
      </w:pPr>
    </w:p>
    <w:p w:rsidR="000C03F3" w:rsidRPr="00A75DF9" w:rsidRDefault="00A81E83" w:rsidP="000C03F3">
      <w:pPr>
        <w:spacing w:after="60"/>
        <w:ind w:left="720"/>
        <w:rPr>
          <w:rFonts w:cs="Tahoma"/>
        </w:rPr>
      </w:pPr>
      <w:r w:rsidRPr="00A75DF9">
        <w:rPr>
          <w:rFonts w:eastAsia="Calibri" w:cs="Tahoma"/>
          <w:b/>
          <w:szCs w:val="18"/>
        </w:rPr>
        <w:t>Primo Periodo di Rinnovo (in data 1 aprile 2015 o successiva)</w:t>
      </w:r>
    </w:p>
    <w:p w:rsidR="00A81E83" w:rsidRPr="00A75DF9" w:rsidRDefault="00A81E83" w:rsidP="000C03F3">
      <w:pPr>
        <w:ind w:left="720"/>
        <w:rPr>
          <w:rFonts w:cs="Tahoma"/>
        </w:rPr>
      </w:pPr>
      <w:r w:rsidRPr="00A75DF9">
        <w:rPr>
          <w:rFonts w:eastAsia="Calibri" w:cs="Tahoma"/>
          <w:color w:val="000000"/>
          <w:szCs w:val="18"/>
        </w:rPr>
        <w:t>Le società che rinnovano per la prima volta la copertura in data 1 aprile 2015</w:t>
      </w:r>
      <w:r w:rsidRPr="00A75DF9">
        <w:rPr>
          <w:rFonts w:eastAsia="Calibri" w:cs="Tahoma"/>
          <w:szCs w:val="18"/>
        </w:rPr>
        <w:t xml:space="preserve"> potranno, per ogni server ottenuto in licenza in conformità ai diritti di utilizzo del prodotto previsti dalla licenza per processore SQL Server 2008 R2, acquistare la copertura Software Assurance come di seguito indicato:</w:t>
      </w:r>
    </w:p>
    <w:p w:rsidR="000C03F3" w:rsidRPr="00A75DF9" w:rsidRDefault="000C03F3" w:rsidP="000C03F3">
      <w:pPr>
        <w:ind w:left="720"/>
        <w:rPr>
          <w:rFonts w:cs="Tahoma"/>
        </w:rPr>
      </w:pPr>
    </w:p>
    <w:p w:rsidR="00A81E83" w:rsidRPr="00A75DF9" w:rsidRDefault="00A81E83" w:rsidP="00346F4B">
      <w:pPr>
        <w:numPr>
          <w:ilvl w:val="3"/>
          <w:numId w:val="92"/>
        </w:numPr>
        <w:tabs>
          <w:tab w:val="left" w:pos="1170"/>
        </w:tabs>
        <w:spacing w:after="60"/>
        <w:ind w:left="1440" w:hanging="360"/>
        <w:rPr>
          <w:rFonts w:cs="Tahoma"/>
        </w:rPr>
      </w:pPr>
      <w:r w:rsidRPr="00A75DF9">
        <w:rPr>
          <w:rFonts w:eastAsia="Calibri" w:cs="Tahoma"/>
          <w:szCs w:val="18"/>
        </w:rPr>
        <w:t xml:space="preserve">come stabilito nel primo paragrafo di questa nota relativa al prodotto, le licenze acquistate prima del 1 aprile 2015 sono licenze qualificanti e le società potranno rinnovare la copertura Software </w:t>
      </w:r>
      <w:r w:rsidRPr="00A75DF9">
        <w:rPr>
          <w:rFonts w:eastAsia="Calibri" w:cs="Tahoma"/>
          <w:szCs w:val="18"/>
        </w:rPr>
        <w:lastRenderedPageBreak/>
        <w:t xml:space="preserve">Assurance in base alle condizioni riportate nel precedente Articolo “Primo Periodo di Rinnovo (prima del 1 aprile 2015)” e </w:t>
      </w:r>
    </w:p>
    <w:p w:rsidR="00A81E83" w:rsidRPr="00A75DF9" w:rsidRDefault="00A81E83" w:rsidP="00346F4B">
      <w:pPr>
        <w:numPr>
          <w:ilvl w:val="3"/>
          <w:numId w:val="92"/>
        </w:numPr>
        <w:tabs>
          <w:tab w:val="left" w:pos="1170"/>
        </w:tabs>
        <w:spacing w:after="60"/>
        <w:ind w:left="1440" w:hanging="360"/>
        <w:rPr>
          <w:rFonts w:cs="Tahoma"/>
        </w:rPr>
      </w:pPr>
      <w:r w:rsidRPr="00A75DF9">
        <w:rPr>
          <w:rFonts w:eastAsia="Calibri" w:cs="Tahoma"/>
          <w:szCs w:val="18"/>
        </w:rPr>
        <w:t>per le licenze acquistate dopo il 1 aprile 2015 le società potranno rinnovare la copertura Software Assurance per quattro licenze core per SQL Server Standard senza dover acquistare le licenze core sottostanti per ogni licenza per processore per SQL Server 2008 R2 Workgroup. Per l</w:t>
      </w:r>
      <w:r w:rsidR="00F2643E">
        <w:rPr>
          <w:rFonts w:eastAsia="Calibri" w:cs="Tahoma"/>
          <w:szCs w:val="18"/>
        </w:rPr>
        <w:t>’</w:t>
      </w:r>
      <w:r w:rsidRPr="00A75DF9">
        <w:rPr>
          <w:rFonts w:eastAsia="Calibri" w:cs="Tahoma"/>
          <w:szCs w:val="18"/>
        </w:rPr>
        <w:t>utilizzo continuativo di SQL Server 2012 su processori che richiedono più di quattro licenze core per processore la società deve acquistare le licenze core aggiuntive.</w:t>
      </w:r>
    </w:p>
    <w:p w:rsidR="00A81E83" w:rsidRPr="00A75DF9" w:rsidRDefault="00A81E83" w:rsidP="00346F4B">
      <w:pPr>
        <w:numPr>
          <w:ilvl w:val="0"/>
          <w:numId w:val="50"/>
        </w:numPr>
        <w:tabs>
          <w:tab w:val="left" w:pos="720"/>
          <w:tab w:val="left" w:pos="1170"/>
        </w:tabs>
        <w:spacing w:after="60"/>
        <w:ind w:left="1440"/>
        <w:rPr>
          <w:rFonts w:cs="Tahoma"/>
        </w:rPr>
      </w:pPr>
      <w:r w:rsidRPr="00A75DF9">
        <w:rPr>
          <w:rFonts w:eastAsia="Calibri" w:cs="Tahoma"/>
          <w:szCs w:val="18"/>
        </w:rPr>
        <w:t>Le licenze per processore delle società non sono più valide se si acquista la copertura Software Assurance per licenze core ai sensi della presente offerta. L</w:t>
      </w:r>
      <w:r w:rsidR="00F2643E">
        <w:rPr>
          <w:rFonts w:eastAsia="Calibri" w:cs="Tahoma"/>
          <w:szCs w:val="18"/>
        </w:rPr>
        <w:t>’</w:t>
      </w:r>
      <w:r w:rsidRPr="00A75DF9">
        <w:rPr>
          <w:rFonts w:eastAsia="Calibri" w:cs="Tahoma"/>
          <w:szCs w:val="18"/>
        </w:rPr>
        <w:t>opzione di acquistare Software Assurance per le licenze core per SQL Server non è applicabile al rinnovo della copertura ai sensi dei programmi di sottoscrizione.</w:t>
      </w:r>
      <w:r w:rsidR="009D3B41" w:rsidRPr="00A75DF9">
        <w:rPr>
          <w:rFonts w:eastAsia="Calibri" w:cs="Tahoma"/>
          <w:szCs w:val="18"/>
        </w:rPr>
        <w:t xml:space="preserve"> </w:t>
      </w:r>
    </w:p>
    <w:p w:rsidR="000C03F3" w:rsidRDefault="000C03F3" w:rsidP="000C03F3">
      <w:pPr>
        <w:tabs>
          <w:tab w:val="left" w:pos="720"/>
        </w:tabs>
        <w:ind w:left="720"/>
        <w:rPr>
          <w:rFonts w:cs="Tahoma"/>
        </w:rPr>
      </w:pPr>
    </w:p>
    <w:p w:rsidR="000C03F3" w:rsidRPr="00A75DF9" w:rsidRDefault="00A81E83" w:rsidP="001760D6">
      <w:pPr>
        <w:keepNext/>
        <w:tabs>
          <w:tab w:val="left" w:pos="720"/>
          <w:tab w:val="left" w:pos="1800"/>
        </w:tabs>
        <w:spacing w:after="60"/>
        <w:ind w:left="720"/>
        <w:rPr>
          <w:rFonts w:cs="Tahoma"/>
        </w:rPr>
      </w:pPr>
      <w:r w:rsidRPr="00A75DF9">
        <w:rPr>
          <w:rFonts w:eastAsia="Calibri" w:cs="Tahoma"/>
          <w:b/>
          <w:szCs w:val="18"/>
        </w:rPr>
        <w:t>Per le Società con copertura Software Assurance in scadenza prima del 1 aprile 2015 che scelgono di non effettuare il rinnovo</w:t>
      </w:r>
    </w:p>
    <w:p w:rsidR="00A81E83" w:rsidRPr="00A75DF9" w:rsidRDefault="00A81E83" w:rsidP="000C03F3">
      <w:pPr>
        <w:tabs>
          <w:tab w:val="left" w:pos="720"/>
          <w:tab w:val="left" w:pos="1800"/>
        </w:tabs>
        <w:ind w:left="720"/>
        <w:rPr>
          <w:rFonts w:cs="Tahoma"/>
        </w:rPr>
      </w:pPr>
      <w:r w:rsidRPr="00A75DF9">
        <w:rPr>
          <w:rFonts w:eastAsia="Calibri" w:cs="Tahoma"/>
          <w:szCs w:val="18"/>
        </w:rPr>
        <w:t xml:space="preserve">Le società titolari di contratti Enterprise Subscription </w:t>
      </w:r>
      <w:r w:rsidRPr="00A75DF9">
        <w:rPr>
          <w:rFonts w:cs="Tahoma"/>
          <w:bCs/>
          <w:color w:val="000000"/>
          <w:szCs w:val="18"/>
        </w:rPr>
        <w:t xml:space="preserve">e Open Value Subscription </w:t>
      </w:r>
      <w:r w:rsidRPr="00A75DF9">
        <w:rPr>
          <w:rFonts w:eastAsia="Calibri" w:cs="Tahoma"/>
          <w:szCs w:val="18"/>
        </w:rPr>
        <w:t>con copertura in scadenza prima del 1 aprile 2015 che scelgono di effettuare il buy-out delle licenze per processore e altre società che acquistano licenze perpetue ai sensi del loro contratto e scelgono di non rinnovare Software Assurance potranno eseguire SQL Server 2008 R2 o SQL Server 2012 ai sensi di tali licenze come indicato sotto:</w:t>
      </w:r>
    </w:p>
    <w:p w:rsidR="000C03F3" w:rsidRPr="00A75DF9" w:rsidRDefault="000C03F3" w:rsidP="000C03F3">
      <w:pPr>
        <w:tabs>
          <w:tab w:val="left" w:pos="720"/>
          <w:tab w:val="left" w:pos="1800"/>
        </w:tabs>
        <w:ind w:left="720"/>
        <w:rPr>
          <w:rFonts w:cs="Tahoma"/>
        </w:rPr>
      </w:pPr>
    </w:p>
    <w:p w:rsidR="00A81E83" w:rsidRPr="00A75DF9" w:rsidRDefault="00A81E83" w:rsidP="00346F4B">
      <w:pPr>
        <w:numPr>
          <w:ilvl w:val="0"/>
          <w:numId w:val="58"/>
        </w:numPr>
        <w:tabs>
          <w:tab w:val="left" w:pos="1440"/>
        </w:tabs>
        <w:spacing w:after="60"/>
        <w:ind w:left="1440"/>
        <w:rPr>
          <w:rFonts w:cs="Tahoma"/>
        </w:rPr>
      </w:pPr>
      <w:r w:rsidRPr="00A75DF9">
        <w:rPr>
          <w:rFonts w:eastAsia="Calibri" w:cs="Tahoma"/>
          <w:b/>
          <w:szCs w:val="18"/>
        </w:rPr>
        <w:t>SQL Server 2008 R2 Workgroup:</w:t>
      </w:r>
      <w:r w:rsidRPr="00A75DF9">
        <w:rPr>
          <w:rFonts w:eastAsia="Calibri" w:cs="Tahoma"/>
          <w:szCs w:val="18"/>
        </w:rPr>
        <w:t xml:space="preserve"> l</w:t>
      </w:r>
      <w:r w:rsidR="00F2643E">
        <w:rPr>
          <w:rFonts w:eastAsia="Calibri" w:cs="Tahoma"/>
          <w:szCs w:val="18"/>
        </w:rPr>
        <w:t>’</w:t>
      </w:r>
      <w:r w:rsidRPr="00A75DF9">
        <w:rPr>
          <w:rFonts w:eastAsia="Calibri" w:cs="Tahoma"/>
          <w:szCs w:val="18"/>
        </w:rPr>
        <w:t>utilizzo continuativo di tale versione del software è soggetto ai diritti di utilizzo del prodotto previsti dalla licenza per processore SQL Server 2008 R2 Workgroup. Le società non disporranno più di diritti ai sensi della Mobilità delle Licenze all</w:t>
      </w:r>
      <w:r w:rsidR="00F2643E">
        <w:rPr>
          <w:rFonts w:eastAsia="Calibri" w:cs="Tahoma"/>
          <w:szCs w:val="18"/>
        </w:rPr>
        <w:t>’</w:t>
      </w:r>
      <w:r w:rsidRPr="00A75DF9">
        <w:rPr>
          <w:rFonts w:eastAsia="Calibri" w:cs="Tahoma"/>
          <w:szCs w:val="18"/>
        </w:rPr>
        <w:t xml:space="preserve">interno di Server Farm o della Mobilità delle Licenze tramite Software Assurance. </w:t>
      </w:r>
    </w:p>
    <w:p w:rsidR="00A81E83" w:rsidRPr="00A75DF9" w:rsidRDefault="00A81E83" w:rsidP="00346F4B">
      <w:pPr>
        <w:numPr>
          <w:ilvl w:val="0"/>
          <w:numId w:val="58"/>
        </w:numPr>
        <w:tabs>
          <w:tab w:val="left" w:pos="1440"/>
        </w:tabs>
        <w:spacing w:after="60"/>
        <w:ind w:left="1440"/>
        <w:rPr>
          <w:rFonts w:cs="Tahoma"/>
        </w:rPr>
      </w:pPr>
      <w:r w:rsidRPr="00A75DF9">
        <w:rPr>
          <w:rFonts w:eastAsia="Calibri" w:cs="Tahoma"/>
          <w:b/>
          <w:szCs w:val="18"/>
        </w:rPr>
        <w:t xml:space="preserve">SQL Server 2012 Standard Core: </w:t>
      </w:r>
      <w:r w:rsidRPr="00A75DF9">
        <w:rPr>
          <w:rFonts w:eastAsia="Calibri" w:cs="Tahoma"/>
          <w:szCs w:val="18"/>
        </w:rPr>
        <w:t>l</w:t>
      </w:r>
      <w:r w:rsidR="00F2643E">
        <w:rPr>
          <w:rFonts w:eastAsia="Calibri" w:cs="Tahoma"/>
          <w:szCs w:val="18"/>
        </w:rPr>
        <w:t>’</w:t>
      </w:r>
      <w:r w:rsidRPr="00A75DF9">
        <w:rPr>
          <w:rFonts w:eastAsia="Calibri" w:cs="Tahoma"/>
          <w:szCs w:val="18"/>
        </w:rPr>
        <w:t xml:space="preserve">utilizzo di tale versione del software è soggetto ai diritti di utilizzo del prodotto previsti dalla licenza per processore SQL Server 2008 R2 Standard, tuttavia: </w:t>
      </w:r>
    </w:p>
    <w:p w:rsidR="00A81E83" w:rsidRPr="00A75DF9" w:rsidRDefault="00A81E83" w:rsidP="00346F4B">
      <w:pPr>
        <w:numPr>
          <w:ilvl w:val="1"/>
          <w:numId w:val="58"/>
        </w:numPr>
        <w:tabs>
          <w:tab w:val="left" w:pos="1800"/>
        </w:tabs>
        <w:spacing w:after="60"/>
        <w:ind w:left="1800"/>
        <w:rPr>
          <w:rFonts w:cs="Tahoma"/>
        </w:rPr>
      </w:pPr>
      <w:r w:rsidRPr="00A75DF9">
        <w:rPr>
          <w:rFonts w:eastAsia="Calibri" w:cs="Tahoma"/>
          <w:szCs w:val="18"/>
        </w:rPr>
        <w:t>le società non disporranno più di diritti ai sensi della Mobilità delle Licenze all</w:t>
      </w:r>
      <w:r w:rsidR="00F2643E">
        <w:rPr>
          <w:rFonts w:eastAsia="Calibri" w:cs="Tahoma"/>
          <w:szCs w:val="18"/>
        </w:rPr>
        <w:t>’</w:t>
      </w:r>
      <w:r w:rsidRPr="00A75DF9">
        <w:rPr>
          <w:rFonts w:eastAsia="Calibri" w:cs="Tahoma"/>
          <w:szCs w:val="18"/>
        </w:rPr>
        <w:t xml:space="preserve">interno di Server Farm o della Mobilità delle Licenze tramite Software Assurance e </w:t>
      </w:r>
    </w:p>
    <w:p w:rsidR="00A81E83" w:rsidRPr="00A75DF9" w:rsidRDefault="00A81E83" w:rsidP="00346F4B">
      <w:pPr>
        <w:numPr>
          <w:ilvl w:val="1"/>
          <w:numId w:val="58"/>
        </w:numPr>
        <w:tabs>
          <w:tab w:val="left" w:pos="1800"/>
        </w:tabs>
        <w:spacing w:after="60"/>
        <w:ind w:left="1800"/>
        <w:rPr>
          <w:rFonts w:cs="Tahoma"/>
        </w:rPr>
      </w:pPr>
      <w:r w:rsidRPr="00A75DF9">
        <w:rPr>
          <w:rFonts w:eastAsia="Calibri" w:cs="Tahoma"/>
          <w:szCs w:val="18"/>
        </w:rPr>
        <w:t>l</w:t>
      </w:r>
      <w:r w:rsidR="00F2643E">
        <w:rPr>
          <w:rFonts w:eastAsia="Calibri" w:cs="Tahoma"/>
          <w:szCs w:val="18"/>
        </w:rPr>
        <w:t>’</w:t>
      </w:r>
      <w:r w:rsidRPr="00A75DF9">
        <w:rPr>
          <w:rFonts w:eastAsia="Calibri" w:cs="Tahoma"/>
          <w:szCs w:val="18"/>
        </w:rPr>
        <w:t>eventuale riassegnazione di licenze è soggetta ai limiti indicati nei paragrafi (i) e (ii) che seguono relativi alla loro “equivalenza di licenze core”. L</w:t>
      </w:r>
      <w:r w:rsidR="00F2643E">
        <w:rPr>
          <w:rFonts w:eastAsia="Calibri" w:cs="Tahoma"/>
          <w:szCs w:val="18"/>
        </w:rPr>
        <w:t>’</w:t>
      </w:r>
      <w:r w:rsidRPr="00A75DF9">
        <w:rPr>
          <w:rFonts w:eastAsia="Calibri" w:cs="Tahoma"/>
          <w:szCs w:val="18"/>
        </w:rPr>
        <w:t xml:space="preserve">equivalenza di licenze core è determinata come di seguito riportato. </w:t>
      </w:r>
    </w:p>
    <w:p w:rsidR="00A81E83" w:rsidRPr="00A75DF9" w:rsidRDefault="00A81E83" w:rsidP="00346F4B">
      <w:pPr>
        <w:numPr>
          <w:ilvl w:val="2"/>
          <w:numId w:val="58"/>
        </w:numPr>
        <w:tabs>
          <w:tab w:val="left" w:pos="2160"/>
        </w:tabs>
        <w:spacing w:after="60"/>
        <w:rPr>
          <w:rFonts w:cs="Tahoma"/>
        </w:rPr>
      </w:pPr>
      <w:r w:rsidRPr="00A75DF9">
        <w:rPr>
          <w:rFonts w:eastAsia="Calibri" w:cs="Tahoma"/>
          <w:szCs w:val="18"/>
        </w:rPr>
        <w:t>Per un numero di licenze pari al numero inferiore tra (x) il numero totale di licenze per processore cedute a un server con licenza appena prima della scadenza di Software Assurance o (y) il numero totale di processori fisici su tale server, l</w:t>
      </w:r>
      <w:r w:rsidR="00F2643E">
        <w:rPr>
          <w:rFonts w:eastAsia="Calibri" w:cs="Tahoma"/>
          <w:szCs w:val="18"/>
        </w:rPr>
        <w:t>’</w:t>
      </w:r>
      <w:r w:rsidRPr="00A75DF9">
        <w:rPr>
          <w:rFonts w:eastAsia="Calibri" w:cs="Tahoma"/>
          <w:szCs w:val="18"/>
        </w:rPr>
        <w:t xml:space="preserve">equivalenza di licenze core è il numero maggiore tra: </w:t>
      </w:r>
    </w:p>
    <w:p w:rsidR="00A81E83" w:rsidRPr="00A75DF9" w:rsidRDefault="00A81E83" w:rsidP="00346F4B">
      <w:pPr>
        <w:numPr>
          <w:ilvl w:val="4"/>
          <w:numId w:val="50"/>
        </w:numPr>
        <w:tabs>
          <w:tab w:val="left" w:pos="2520"/>
        </w:tabs>
        <w:spacing w:after="60"/>
        <w:ind w:left="2520"/>
        <w:rPr>
          <w:rFonts w:cs="Tahoma"/>
        </w:rPr>
      </w:pPr>
      <w:r w:rsidRPr="00A75DF9">
        <w:rPr>
          <w:rFonts w:eastAsia="Calibri" w:cs="Tahoma"/>
          <w:szCs w:val="18"/>
        </w:rPr>
        <w:t xml:space="preserve">quattro core per licenza per processore O </w:t>
      </w:r>
    </w:p>
    <w:p w:rsidR="00A81E83" w:rsidRPr="00A75DF9" w:rsidRDefault="00A81E83" w:rsidP="005F10EF">
      <w:pPr>
        <w:numPr>
          <w:ilvl w:val="4"/>
          <w:numId w:val="50"/>
        </w:numPr>
        <w:tabs>
          <w:tab w:val="left" w:pos="2520"/>
        </w:tabs>
        <w:spacing w:after="60"/>
        <w:ind w:left="2520"/>
        <w:rPr>
          <w:rFonts w:cs="Tahoma"/>
        </w:rPr>
      </w:pPr>
      <w:r w:rsidRPr="00A75DF9">
        <w:rPr>
          <w:rFonts w:eastAsia="Calibri" w:cs="Tahoma"/>
          <w:szCs w:val="18"/>
        </w:rPr>
        <w:t>un numero di core per licenza per processore basato sul numero effettivo di core per processore fisico moltiplicato per il fattore core appropriato. (Nei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w:t>
      </w:r>
      <w:r w:rsidR="00F2643E">
        <w:rPr>
          <w:rFonts w:eastAsia="Calibri" w:cs="Tahoma"/>
          <w:szCs w:val="18"/>
        </w:rPr>
        <w:t>’</w:t>
      </w:r>
      <w:r w:rsidRPr="00A75DF9">
        <w:rPr>
          <w:rFonts w:eastAsia="Calibri" w:cs="Tahoma"/>
          <w:szCs w:val="18"/>
        </w:rPr>
        <w:t>hardware fisico che supporta tale software appena prima della scadenza di</w:t>
      </w:r>
      <w:r w:rsidR="005F10EF">
        <w:rPr>
          <w:rFonts w:eastAsia="Calibri" w:cs="Tahoma"/>
          <w:szCs w:val="18"/>
        </w:rPr>
        <w:t> </w:t>
      </w:r>
      <w:r w:rsidRPr="00A75DF9">
        <w:rPr>
          <w:rFonts w:eastAsia="Calibri" w:cs="Tahoma"/>
          <w:szCs w:val="18"/>
        </w:rPr>
        <w:t xml:space="preserve">Software Assurance utilizzando lo strumento MAP di Microsoft o un software equivalente). </w:t>
      </w:r>
    </w:p>
    <w:p w:rsidR="00A81E83" w:rsidRPr="00A75DF9" w:rsidRDefault="00A81E83" w:rsidP="00346F4B">
      <w:pPr>
        <w:numPr>
          <w:ilvl w:val="1"/>
          <w:numId w:val="58"/>
        </w:numPr>
        <w:tabs>
          <w:tab w:val="left" w:pos="1800"/>
        </w:tabs>
        <w:spacing w:after="60"/>
        <w:ind w:left="1800"/>
        <w:rPr>
          <w:rFonts w:cs="Tahoma"/>
        </w:rPr>
      </w:pPr>
      <w:r w:rsidRPr="00A75DF9">
        <w:rPr>
          <w:rFonts w:eastAsia="Calibri" w:cs="Tahoma"/>
          <w:szCs w:val="18"/>
        </w:rPr>
        <w:t>Per qualsiasi licenza per processore con la copertura Software Assurance in scadenza ceduta allo stesso server con licenza che ecceda il numero effettivo di processori fisici sul server, l</w:t>
      </w:r>
      <w:r w:rsidR="00F2643E">
        <w:rPr>
          <w:rFonts w:eastAsia="Calibri" w:cs="Tahoma"/>
          <w:szCs w:val="18"/>
        </w:rPr>
        <w:t>’</w:t>
      </w:r>
      <w:r w:rsidRPr="00A75DF9">
        <w:rPr>
          <w:rFonts w:eastAsia="Calibri" w:cs="Tahoma"/>
          <w:szCs w:val="18"/>
        </w:rPr>
        <w:t>equivalenza core è di quattro core per licenza per processore.</w:t>
      </w:r>
    </w:p>
    <w:p w:rsidR="00A81E83" w:rsidRPr="005F10EF" w:rsidRDefault="00A81E83" w:rsidP="00346F4B">
      <w:pPr>
        <w:numPr>
          <w:ilvl w:val="1"/>
          <w:numId w:val="58"/>
        </w:numPr>
        <w:tabs>
          <w:tab w:val="left" w:pos="1800"/>
        </w:tabs>
        <w:spacing w:after="60"/>
        <w:ind w:left="1800"/>
        <w:rPr>
          <w:rFonts w:cs="Tahoma"/>
          <w:color w:val="000000"/>
          <w:spacing w:val="-2"/>
        </w:rPr>
      </w:pPr>
      <w:r w:rsidRPr="005F10EF">
        <w:rPr>
          <w:rFonts w:eastAsia="Calibri" w:cs="Tahoma"/>
          <w:color w:val="000000"/>
          <w:spacing w:val="-2"/>
          <w:szCs w:val="18"/>
        </w:rPr>
        <w:t>Le società potranno riassegnare le licenze a un altro server. Tuttavia, qualora la società riassegni una licenza a un altro server, dovrà attenersi ai diritti sull</w:t>
      </w:r>
      <w:r w:rsidR="00F2643E">
        <w:rPr>
          <w:rFonts w:eastAsia="Calibri" w:cs="Tahoma"/>
          <w:color w:val="000000"/>
          <w:spacing w:val="-2"/>
          <w:szCs w:val="18"/>
        </w:rPr>
        <w:t>’</w:t>
      </w:r>
      <w:r w:rsidRPr="005F10EF">
        <w:rPr>
          <w:rFonts w:eastAsia="Calibri" w:cs="Tahoma"/>
          <w:color w:val="000000"/>
          <w:spacing w:val="-2"/>
          <w:szCs w:val="18"/>
        </w:rPr>
        <w:t>utilizzo di SQL Server 2012. Quando cede licenze core a server ai sensi dei diritti sull</w:t>
      </w:r>
      <w:r w:rsidR="00F2643E">
        <w:rPr>
          <w:rFonts w:eastAsia="Calibri" w:cs="Tahoma"/>
          <w:color w:val="000000"/>
          <w:spacing w:val="-2"/>
          <w:szCs w:val="18"/>
        </w:rPr>
        <w:t>’</w:t>
      </w:r>
      <w:r w:rsidRPr="005F10EF">
        <w:rPr>
          <w:rFonts w:eastAsia="Calibri" w:cs="Tahoma"/>
          <w:color w:val="000000"/>
          <w:spacing w:val="-2"/>
          <w:szCs w:val="18"/>
        </w:rPr>
        <w:t>utilizzo per SQL 2012, la società potrà combinare l</w:t>
      </w:r>
      <w:r w:rsidR="00F2643E">
        <w:rPr>
          <w:rFonts w:eastAsia="Calibri" w:cs="Tahoma"/>
          <w:color w:val="000000"/>
          <w:spacing w:val="-2"/>
          <w:szCs w:val="18"/>
        </w:rPr>
        <w:t>’</w:t>
      </w:r>
      <w:r w:rsidRPr="005F10EF">
        <w:rPr>
          <w:rFonts w:eastAsia="Calibri" w:cs="Tahoma"/>
          <w:color w:val="000000"/>
          <w:spacing w:val="-2"/>
          <w:szCs w:val="18"/>
        </w:rPr>
        <w:t>equivalenza core delle licenze esistenti con le licenze core per SQL Server 2012 aggiuntive.</w:t>
      </w:r>
    </w:p>
    <w:p w:rsidR="00A81E83" w:rsidRPr="00A75DF9" w:rsidRDefault="00A81E83" w:rsidP="00346F4B">
      <w:pPr>
        <w:numPr>
          <w:ilvl w:val="1"/>
          <w:numId w:val="58"/>
        </w:numPr>
        <w:tabs>
          <w:tab w:val="left" w:pos="1800"/>
        </w:tabs>
        <w:spacing w:after="60"/>
        <w:ind w:left="1800"/>
        <w:rPr>
          <w:rFonts w:cs="Tahoma"/>
        </w:rPr>
      </w:pPr>
      <w:r w:rsidRPr="00A75DF9">
        <w:rPr>
          <w:rFonts w:eastAsia="Calibri" w:cs="Tahoma"/>
          <w:szCs w:val="18"/>
        </w:rPr>
        <w:t>L</w:t>
      </w:r>
      <w:r w:rsidR="00F2643E">
        <w:rPr>
          <w:rFonts w:eastAsia="Calibri" w:cs="Tahoma"/>
          <w:szCs w:val="18"/>
        </w:rPr>
        <w:t>’</w:t>
      </w:r>
      <w:r w:rsidRPr="00A75DF9">
        <w:rPr>
          <w:rFonts w:eastAsia="Calibri" w:cs="Tahoma"/>
          <w:szCs w:val="18"/>
        </w:rPr>
        <w:t>equivalenza di licenze core stimata delle società non implica che esse possano cedere una licenza singola per processore a core attraverso due o più processori.</w:t>
      </w:r>
    </w:p>
    <w:p w:rsidR="000C03F3" w:rsidRDefault="000C03F3" w:rsidP="000C03F3">
      <w:pPr>
        <w:tabs>
          <w:tab w:val="left" w:pos="1800"/>
        </w:tabs>
        <w:spacing w:after="60"/>
        <w:rPr>
          <w:rFonts w:cs="Tahoma"/>
        </w:rPr>
      </w:pPr>
    </w:p>
    <w:p w:rsidR="003E0F96" w:rsidRPr="00A75DF9" w:rsidRDefault="003E0F96" w:rsidP="000C03F3">
      <w:pPr>
        <w:tabs>
          <w:tab w:val="left" w:pos="1800"/>
        </w:tabs>
        <w:spacing w:after="60"/>
        <w:rPr>
          <w:rFonts w:cs="Tahoma"/>
        </w:rPr>
      </w:pPr>
    </w:p>
    <w:p w:rsidR="000C03F3" w:rsidRPr="00A75DF9" w:rsidRDefault="00A81E83" w:rsidP="000C03F3">
      <w:pPr>
        <w:tabs>
          <w:tab w:val="left" w:pos="720"/>
        </w:tabs>
        <w:spacing w:after="60"/>
        <w:ind w:left="720"/>
        <w:rPr>
          <w:rFonts w:cs="Tahoma"/>
        </w:rPr>
      </w:pPr>
      <w:r w:rsidRPr="00A75DF9">
        <w:rPr>
          <w:rFonts w:eastAsia="Calibri" w:cs="Tahoma"/>
          <w:b/>
          <w:color w:val="000000"/>
          <w:szCs w:val="18"/>
        </w:rPr>
        <w:lastRenderedPageBreak/>
        <w:t>Per le Società con copertura Software Assurance in scadenza in data 1 aprile 2015 o successiva che scelgono di non effettuare il rinnovo</w:t>
      </w:r>
    </w:p>
    <w:p w:rsidR="00A81E83" w:rsidRPr="00A75DF9" w:rsidRDefault="00A81E83" w:rsidP="000C03F3">
      <w:pPr>
        <w:tabs>
          <w:tab w:val="left" w:pos="720"/>
        </w:tabs>
        <w:ind w:left="720"/>
        <w:rPr>
          <w:rFonts w:cs="Tahoma"/>
        </w:rPr>
      </w:pPr>
      <w:r w:rsidRPr="00A75DF9">
        <w:rPr>
          <w:rFonts w:eastAsia="Calibri" w:cs="Tahoma"/>
          <w:color w:val="000000"/>
          <w:szCs w:val="18"/>
        </w:rPr>
        <w:t xml:space="preserve">Alle società titolari di contratti Enterprise Subscription </w:t>
      </w:r>
      <w:r w:rsidRPr="00A75DF9">
        <w:rPr>
          <w:rFonts w:cs="Tahoma"/>
          <w:bCs/>
          <w:color w:val="000000"/>
          <w:szCs w:val="18"/>
        </w:rPr>
        <w:t xml:space="preserve">e Open Value Subscription </w:t>
      </w:r>
      <w:r w:rsidRPr="00A75DF9">
        <w:rPr>
          <w:rFonts w:eastAsia="Calibri" w:cs="Tahoma"/>
          <w:color w:val="000000"/>
          <w:szCs w:val="18"/>
        </w:rPr>
        <w:t xml:space="preserve">con copertura in scadenza in data 1 aprile 2015 o successiva che scelgono di effettuare il buy-out delle licenze per processore e alle altre società che acquistano licenze perpetue ai sensi del loro contratto verranno offerte le seguenti opzioni: </w:t>
      </w:r>
    </w:p>
    <w:p w:rsidR="000C03F3" w:rsidRPr="00A75DF9" w:rsidRDefault="000C03F3" w:rsidP="000C03F3">
      <w:pPr>
        <w:tabs>
          <w:tab w:val="left" w:pos="720"/>
        </w:tabs>
        <w:ind w:left="720"/>
        <w:rPr>
          <w:rFonts w:cs="Tahoma"/>
        </w:rPr>
      </w:pPr>
    </w:p>
    <w:p w:rsidR="00A81E83" w:rsidRPr="00A75DF9" w:rsidRDefault="00A81E83" w:rsidP="00346F4B">
      <w:pPr>
        <w:numPr>
          <w:ilvl w:val="2"/>
          <w:numId w:val="50"/>
        </w:numPr>
        <w:spacing w:after="60"/>
        <w:ind w:left="1440"/>
        <w:rPr>
          <w:rFonts w:cs="Tahoma"/>
        </w:rPr>
      </w:pPr>
      <w:r w:rsidRPr="00A75DF9">
        <w:rPr>
          <w:rFonts w:eastAsia="Calibri" w:cs="Tahoma"/>
          <w:szCs w:val="18"/>
        </w:rPr>
        <w:t xml:space="preserve">come stabilito nel primo paragrafo di questa nota relativa al prodotto, le licenze acquistate prima del 1 aprile 2015 sono licenze qualificanti e le società potranno continuare a utilizzare SQL Server 2012 in base alle condizioni riportate nel precedente Articolo “Per le società con copertura Software Assurance in scadenza prima del 1 aprile 2015 che scelgono di non effettuare il rinnovo” e </w:t>
      </w:r>
    </w:p>
    <w:p w:rsidR="00A81E83" w:rsidRPr="003E0F96" w:rsidRDefault="00A81E83" w:rsidP="005F10EF">
      <w:pPr>
        <w:numPr>
          <w:ilvl w:val="2"/>
          <w:numId w:val="50"/>
        </w:numPr>
        <w:spacing w:after="60"/>
        <w:ind w:left="1440"/>
        <w:rPr>
          <w:rFonts w:cs="Tahoma"/>
        </w:rPr>
      </w:pPr>
      <w:r w:rsidRPr="005F10EF">
        <w:rPr>
          <w:rFonts w:eastAsia="Calibri" w:cs="Tahoma"/>
          <w:color w:val="000000"/>
          <w:szCs w:val="18"/>
        </w:rPr>
        <w:t>per le licenze acquistate dopo il 1 aprile 2015 la licenza per processore delle società avrà un</w:t>
      </w:r>
      <w:r w:rsidR="00F2643E">
        <w:rPr>
          <w:rFonts w:eastAsia="Calibri" w:cs="Tahoma"/>
          <w:color w:val="000000"/>
          <w:szCs w:val="18"/>
        </w:rPr>
        <w:t>’</w:t>
      </w:r>
      <w:r w:rsidRPr="005F10EF">
        <w:rPr>
          <w:rFonts w:eastAsia="Calibri" w:cs="Tahoma"/>
          <w:color w:val="000000"/>
          <w:szCs w:val="18"/>
        </w:rPr>
        <w:t>equivalenza core di quattro licenze core Standard per SQL Server 2012. Per l</w:t>
      </w:r>
      <w:r w:rsidR="00F2643E">
        <w:rPr>
          <w:rFonts w:eastAsia="Calibri" w:cs="Tahoma"/>
          <w:color w:val="000000"/>
          <w:szCs w:val="18"/>
        </w:rPr>
        <w:t>’</w:t>
      </w:r>
      <w:r w:rsidRPr="005F10EF">
        <w:rPr>
          <w:rFonts w:eastAsia="Calibri" w:cs="Tahoma"/>
          <w:color w:val="000000"/>
          <w:szCs w:val="18"/>
        </w:rPr>
        <w:t>utilizzo continuativo di SQL Server 2012 su processori che richiedono più di quattro licenze core per</w:t>
      </w:r>
      <w:r w:rsidR="005F10EF">
        <w:rPr>
          <w:rFonts w:eastAsia="Calibri" w:cs="Tahoma"/>
          <w:color w:val="000000"/>
          <w:szCs w:val="18"/>
        </w:rPr>
        <w:t> </w:t>
      </w:r>
      <w:r w:rsidRPr="005F10EF">
        <w:rPr>
          <w:rFonts w:eastAsia="Calibri" w:cs="Tahoma"/>
          <w:color w:val="000000"/>
          <w:szCs w:val="18"/>
        </w:rPr>
        <w:t>processore la società deve acquistare le licenze core aggiuntive.</w:t>
      </w:r>
    </w:p>
    <w:p w:rsidR="003E0F96" w:rsidRPr="005F10EF" w:rsidRDefault="003E0F96" w:rsidP="003E0F96">
      <w:pPr>
        <w:spacing w:after="60"/>
        <w:ind w:left="1080"/>
        <w:rPr>
          <w:rFonts w:cs="Tahoma"/>
        </w:rPr>
      </w:pPr>
    </w:p>
    <w:p w:rsidR="000C03F3" w:rsidRPr="00A75DF9" w:rsidRDefault="00A81E83" w:rsidP="000C03F3">
      <w:pPr>
        <w:pStyle w:val="ListParagraph"/>
        <w:tabs>
          <w:tab w:val="left" w:pos="720"/>
        </w:tabs>
        <w:spacing w:after="60"/>
        <w:contextualSpacing w:val="0"/>
        <w:rPr>
          <w:rFonts w:ascii="Tahoma" w:hAnsi="Tahoma" w:cs="Tahoma"/>
        </w:rPr>
      </w:pPr>
      <w:r w:rsidRPr="00A75DF9">
        <w:rPr>
          <w:rFonts w:ascii="Tahoma" w:hAnsi="Tahoma" w:cs="Tahoma"/>
          <w:b/>
          <w:color w:val="000000"/>
          <w:sz w:val="18"/>
          <w:szCs w:val="18"/>
        </w:rPr>
        <w:t>Per le società con sede nella Repubblica popolare</w:t>
      </w:r>
      <w:r w:rsidRPr="00A75DF9">
        <w:rPr>
          <w:rFonts w:ascii="Tahoma" w:hAnsi="Tahoma" w:cs="Tahoma"/>
          <w:color w:val="000000"/>
          <w:sz w:val="18"/>
          <w:szCs w:val="18"/>
        </w:rPr>
        <w:t xml:space="preserve"> </w:t>
      </w:r>
      <w:r w:rsidRPr="00A75DF9">
        <w:rPr>
          <w:rFonts w:ascii="Tahoma" w:hAnsi="Tahoma" w:cs="Tahoma"/>
          <w:b/>
          <w:color w:val="000000"/>
          <w:sz w:val="18"/>
          <w:szCs w:val="18"/>
        </w:rPr>
        <w:t>cinese, dove acquistano licenze per processore e Software Assurance per SQL Server 2008 R2</w:t>
      </w:r>
    </w:p>
    <w:p w:rsidR="00A81E83" w:rsidRPr="00A75DF9" w:rsidRDefault="00A81E83" w:rsidP="000C03F3">
      <w:pPr>
        <w:pStyle w:val="ListParagraph"/>
        <w:tabs>
          <w:tab w:val="left" w:pos="720"/>
        </w:tabs>
        <w:contextualSpacing w:val="0"/>
        <w:rPr>
          <w:rFonts w:ascii="Tahoma" w:hAnsi="Tahoma" w:cs="Tahoma"/>
        </w:rPr>
      </w:pPr>
      <w:r w:rsidRPr="00A75DF9">
        <w:rPr>
          <w:rFonts w:ascii="Tahoma" w:hAnsi="Tahoma" w:cs="Tahoma"/>
          <w:color w:val="000000"/>
          <w:sz w:val="18"/>
          <w:szCs w:val="18"/>
        </w:rPr>
        <w:t>Non si applicano i riferimenti al 1 aprile 2012 e al 1 aprile 2015 presenti in questa nota relativa alla lista dei prodotti. Le date applicabili per queste società sarebbero rispettivamente il 1 luglio 2012 e il 1 luglio 2015.</w:t>
      </w:r>
    </w:p>
    <w:p w:rsidR="00A81E83" w:rsidRPr="00A75DF9" w:rsidRDefault="00A81E83" w:rsidP="000C03F3">
      <w:pPr>
        <w:tabs>
          <w:tab w:val="left" w:pos="1080"/>
          <w:tab w:val="left" w:pos="1800"/>
        </w:tabs>
        <w:rPr>
          <w:rFonts w:cs="Tahoma"/>
        </w:rPr>
      </w:pPr>
      <w:bookmarkStart w:id="1438" w:name="Srv_87SQLServer2012Developer"/>
    </w:p>
    <w:p w:rsidR="00BE30E6" w:rsidRPr="00A75DF9" w:rsidRDefault="00BE30E6" w:rsidP="000C03F3">
      <w:pPr>
        <w:tabs>
          <w:tab w:val="left" w:pos="1080"/>
          <w:tab w:val="left" w:pos="1800"/>
        </w:tabs>
        <w:rPr>
          <w:rFonts w:cs="Tahoma"/>
        </w:rPr>
      </w:pPr>
    </w:p>
    <w:p w:rsidR="00A81E83" w:rsidRPr="00A75DF9" w:rsidRDefault="00A560B6" w:rsidP="00EF5637">
      <w:pPr>
        <w:pStyle w:val="Heading3"/>
        <w:rPr>
          <w:rFonts w:ascii="Tahoma" w:hAnsi="Tahoma" w:cs="Tahoma"/>
        </w:rPr>
      </w:pPr>
      <w:bookmarkStart w:id="1439" w:name="_80_78_SQL"/>
      <w:bookmarkStart w:id="1440" w:name="_85_SQL_Server®"/>
      <w:bookmarkStart w:id="1441" w:name="_Toc336338345"/>
      <w:bookmarkStart w:id="1442" w:name="_Toc368310335"/>
      <w:bookmarkEnd w:id="1439"/>
      <w:bookmarkEnd w:id="1440"/>
      <w:r w:rsidRPr="00A75DF9">
        <w:rPr>
          <w:rFonts w:ascii="Tahoma" w:hAnsi="Tahoma" w:cs="Tahoma"/>
          <w:color w:val="F66400"/>
          <w:sz w:val="22"/>
          <w:vertAlign w:val="superscript"/>
        </w:rPr>
        <w:t>85</w:t>
      </w:r>
      <w:r w:rsidRPr="00A75DF9">
        <w:rPr>
          <w:rFonts w:ascii="Tahoma" w:hAnsi="Tahoma" w:cs="Tahoma"/>
          <w:color w:val="F66400"/>
          <w:sz w:val="22"/>
        </w:rPr>
        <w:t xml:space="preserve"> SQL Server</w:t>
      </w:r>
      <w:r w:rsidR="009D5D7B" w:rsidRPr="00A75DF9">
        <w:rPr>
          <w:rFonts w:ascii="Tahoma" w:hAnsi="Tahoma" w:cs="Tahoma"/>
          <w:color w:val="F66400"/>
          <w:sz w:val="22"/>
          <w:vertAlign w:val="superscript"/>
        </w:rPr>
        <w:t>®</w:t>
      </w:r>
      <w:r w:rsidRPr="00A75DF9">
        <w:rPr>
          <w:rFonts w:ascii="Tahoma" w:hAnsi="Tahoma" w:cs="Tahoma"/>
          <w:color w:val="F66400"/>
          <w:sz w:val="22"/>
        </w:rPr>
        <w:t xml:space="preserve"> 2012 Developer</w:t>
      </w:r>
      <w:bookmarkEnd w:id="1441"/>
      <w:bookmarkEnd w:id="1442"/>
    </w:p>
    <w:bookmarkEnd w:id="1438"/>
    <w:p w:rsidR="00A81E83" w:rsidRPr="00A75DF9" w:rsidRDefault="00A81E83" w:rsidP="00EF5637">
      <w:pPr>
        <w:rPr>
          <w:rFonts w:cs="Tahoma"/>
        </w:rPr>
      </w:pPr>
    </w:p>
    <w:p w:rsidR="000C03F3" w:rsidRPr="00A75DF9" w:rsidRDefault="00A81E83" w:rsidP="000C03F3">
      <w:pPr>
        <w:spacing w:after="60"/>
        <w:ind w:left="720"/>
        <w:rPr>
          <w:rFonts w:cs="Tahoma"/>
        </w:rPr>
      </w:pPr>
      <w:r w:rsidRPr="00A75DF9">
        <w:rPr>
          <w:rFonts w:cs="Tahoma"/>
          <w:b/>
          <w:color w:val="000000"/>
          <w:szCs w:val="18"/>
        </w:rPr>
        <w:t>Comunicazione Importante</w:t>
      </w:r>
    </w:p>
    <w:p w:rsidR="00A81E83" w:rsidRPr="00A75DF9" w:rsidRDefault="00A81E83" w:rsidP="005F10EF">
      <w:pPr>
        <w:ind w:left="720"/>
        <w:rPr>
          <w:rFonts w:cs="Tahoma"/>
        </w:rPr>
      </w:pPr>
      <w:r w:rsidRPr="00A75DF9">
        <w:rPr>
          <w:rFonts w:cs="Tahoma"/>
          <w:color w:val="000000"/>
          <w:szCs w:val="18"/>
        </w:rPr>
        <w:t>Aggiornamenti Automatici di SQL Server 2008, SQL Server 2005 e SQL Server 2000. Qualora questo software sia installato su server o dispositivi che eseguono una qualunque delle versioni di SQL Server 2008, SQL Server 2005 o SQL Server 2000 (o componenti di esse), il software aggiornerà e sostituirà automaticamente alcuni file o funzionalità presenti in tali versioni con file del software.</w:t>
      </w:r>
      <w:r w:rsidR="009D3B41" w:rsidRPr="00A75DF9">
        <w:rPr>
          <w:rFonts w:cs="Tahoma"/>
          <w:color w:val="000000"/>
          <w:szCs w:val="18"/>
        </w:rPr>
        <w:t xml:space="preserve"> </w:t>
      </w:r>
      <w:r w:rsidRPr="00A75DF9">
        <w:rPr>
          <w:rFonts w:cs="Tahoma"/>
          <w:color w:val="000000"/>
          <w:szCs w:val="18"/>
        </w:rPr>
        <w:t>Questa funzionalità non può essere disattivata.</w:t>
      </w:r>
      <w:r w:rsidR="009D3B41" w:rsidRPr="00A75DF9">
        <w:rPr>
          <w:rFonts w:cs="Tahoma"/>
          <w:color w:val="000000"/>
          <w:szCs w:val="18"/>
        </w:rPr>
        <w:t xml:space="preserve"> </w:t>
      </w:r>
      <w:r w:rsidRPr="00A75DF9">
        <w:rPr>
          <w:rFonts w:cs="Tahoma"/>
          <w:color w:val="000000"/>
          <w:szCs w:val="18"/>
        </w:rPr>
        <w:t>Non sarà possibile rimuovere i file aggiornati né recuperare i file originali.</w:t>
      </w:r>
      <w:r w:rsidR="009D3B41" w:rsidRPr="00A75DF9">
        <w:rPr>
          <w:rFonts w:cs="Tahoma"/>
          <w:color w:val="000000"/>
          <w:szCs w:val="18"/>
        </w:rPr>
        <w:t xml:space="preserve"> </w:t>
      </w:r>
      <w:r w:rsidRPr="00A75DF9">
        <w:rPr>
          <w:rFonts w:cs="Tahoma"/>
          <w:color w:val="000000"/>
          <w:szCs w:val="18"/>
        </w:rPr>
        <w:t>L</w:t>
      </w:r>
      <w:r w:rsidR="00F2643E">
        <w:rPr>
          <w:rFonts w:cs="Tahoma"/>
          <w:color w:val="000000"/>
          <w:szCs w:val="18"/>
        </w:rPr>
        <w:t>’</w:t>
      </w:r>
      <w:r w:rsidRPr="00A75DF9">
        <w:rPr>
          <w:rFonts w:cs="Tahoma"/>
          <w:color w:val="000000"/>
          <w:szCs w:val="18"/>
        </w:rPr>
        <w:t>installazione di questo software su un server o su un dispositivo che esegue una qualunque delle versioni</w:t>
      </w:r>
      <w:r w:rsidR="005F10EF">
        <w:rPr>
          <w:rFonts w:cs="Tahoma"/>
          <w:color w:val="000000"/>
          <w:szCs w:val="18"/>
        </w:rPr>
        <w:t> </w:t>
      </w:r>
      <w:r w:rsidRPr="00A75DF9">
        <w:rPr>
          <w:rFonts w:cs="Tahoma"/>
          <w:color w:val="000000"/>
          <w:szCs w:val="18"/>
        </w:rPr>
        <w:t>di SQL Server 2008, SQL Server 2005 o SQL Server 2000 costituisce accettazione implicita di tali aggiornamenti per tutte le versioni e le copie di SQL Server (inclusi componenti di esse) che sono eseguite su tale server o dispositivo.</w:t>
      </w:r>
      <w:r w:rsidR="009D3B41" w:rsidRPr="00A75DF9">
        <w:rPr>
          <w:rFonts w:cs="Tahoma"/>
          <w:color w:val="000000"/>
          <w:szCs w:val="18"/>
        </w:rPr>
        <w:t xml:space="preserve"> </w:t>
      </w:r>
    </w:p>
    <w:p w:rsidR="00A81E83" w:rsidRPr="00A75DF9" w:rsidRDefault="00A81E83" w:rsidP="00EF5637">
      <w:pPr>
        <w:ind w:left="720"/>
        <w:rPr>
          <w:rFonts w:cs="Tahoma"/>
        </w:rPr>
      </w:pPr>
    </w:p>
    <w:p w:rsidR="00155B9B" w:rsidRPr="00A75DF9" w:rsidRDefault="00155B9B" w:rsidP="00EF5637">
      <w:pPr>
        <w:ind w:left="720"/>
        <w:rPr>
          <w:rFonts w:cs="Tahoma"/>
        </w:rPr>
      </w:pPr>
    </w:p>
    <w:p w:rsidR="00A81E83" w:rsidRPr="00A75DF9" w:rsidRDefault="00A560B6" w:rsidP="00EF5637">
      <w:pPr>
        <w:pStyle w:val="Heading3"/>
        <w:rPr>
          <w:rFonts w:ascii="Tahoma" w:hAnsi="Tahoma" w:cs="Tahoma"/>
        </w:rPr>
      </w:pPr>
      <w:bookmarkStart w:id="1443" w:name="_81_79_SQL"/>
      <w:bookmarkStart w:id="1444" w:name="_86_SQL_Server®"/>
      <w:bookmarkStart w:id="1445" w:name="_Toc336338346"/>
      <w:bookmarkStart w:id="1446" w:name="Srv_88SQLServer2012Enterprise"/>
      <w:bookmarkStart w:id="1447" w:name="_Toc368310336"/>
      <w:bookmarkEnd w:id="1443"/>
      <w:bookmarkEnd w:id="1444"/>
      <w:r w:rsidRPr="00A75DF9">
        <w:rPr>
          <w:rFonts w:ascii="Tahoma" w:hAnsi="Tahoma" w:cs="Tahoma"/>
          <w:color w:val="F66400"/>
          <w:sz w:val="22"/>
          <w:vertAlign w:val="superscript"/>
        </w:rPr>
        <w:t>86</w:t>
      </w:r>
      <w:r w:rsidRPr="00A75DF9">
        <w:rPr>
          <w:rFonts w:ascii="Tahoma" w:hAnsi="Tahoma" w:cs="Tahoma"/>
          <w:color w:val="F66400"/>
          <w:sz w:val="22"/>
        </w:rPr>
        <w:t xml:space="preserve"> SQL Server</w:t>
      </w:r>
      <w:r w:rsidR="009D5D7B" w:rsidRPr="00A75DF9">
        <w:rPr>
          <w:rFonts w:ascii="Tahoma" w:hAnsi="Tahoma" w:cs="Tahoma"/>
          <w:color w:val="F66400"/>
          <w:sz w:val="22"/>
          <w:vertAlign w:val="superscript"/>
        </w:rPr>
        <w:t>®</w:t>
      </w:r>
      <w:r w:rsidRPr="00A75DF9">
        <w:rPr>
          <w:rFonts w:ascii="Tahoma" w:hAnsi="Tahoma" w:cs="Tahoma"/>
          <w:color w:val="F66400"/>
          <w:sz w:val="22"/>
        </w:rPr>
        <w:t xml:space="preserve"> 2012 Enterprise</w:t>
      </w:r>
      <w:bookmarkEnd w:id="1445"/>
      <w:bookmarkEnd w:id="1447"/>
    </w:p>
    <w:bookmarkEnd w:id="1446"/>
    <w:p w:rsidR="00A81E83" w:rsidRPr="00A75DF9" w:rsidRDefault="00A81E83" w:rsidP="00C321B6">
      <w:pPr>
        <w:rPr>
          <w:rFonts w:cs="Tahoma"/>
        </w:rPr>
      </w:pPr>
    </w:p>
    <w:p w:rsidR="00A81E83" w:rsidRPr="00A75DF9" w:rsidRDefault="00A81E83" w:rsidP="00C321B6">
      <w:pPr>
        <w:ind w:left="720"/>
        <w:rPr>
          <w:rFonts w:cs="Tahoma"/>
        </w:rPr>
      </w:pPr>
      <w:r w:rsidRPr="00A75DF9">
        <w:rPr>
          <w:rFonts w:eastAsia="Calibri" w:cs="Tahoma"/>
          <w:color w:val="000000"/>
          <w:szCs w:val="18"/>
        </w:rPr>
        <w:t>SQL Server 2012 Enterprise è la versione successiva di SQL Server Enterprise e la licenza CAL per SQL Server 2012 è la versione successiva della licenza CAL per SQL Server.</w:t>
      </w:r>
    </w:p>
    <w:p w:rsidR="00C321B6" w:rsidRPr="00A75DF9" w:rsidRDefault="00C321B6" w:rsidP="00C321B6">
      <w:pPr>
        <w:ind w:left="720"/>
        <w:rPr>
          <w:rFonts w:cs="Tahoma"/>
        </w:rPr>
      </w:pPr>
    </w:p>
    <w:p w:rsidR="00C321B6" w:rsidRPr="00A75DF9" w:rsidRDefault="00A81E83" w:rsidP="00C321B6">
      <w:pPr>
        <w:spacing w:after="60"/>
        <w:ind w:left="720"/>
        <w:rPr>
          <w:rFonts w:cs="Tahoma"/>
        </w:rPr>
      </w:pPr>
      <w:r w:rsidRPr="00A75DF9">
        <w:rPr>
          <w:rFonts w:eastAsia="Calibri" w:cs="Tahoma"/>
          <w:b/>
          <w:color w:val="000000"/>
          <w:szCs w:val="18"/>
        </w:rPr>
        <w:t>Società Titolari di Licenze CAL/Server per SQL Server Enterprise - Opzione Speciale di Rinnovo di Software Assurance</w:t>
      </w:r>
    </w:p>
    <w:p w:rsidR="00A81E83" w:rsidRPr="00A75DF9" w:rsidRDefault="00A81E83" w:rsidP="005F10EF">
      <w:pPr>
        <w:ind w:left="720"/>
        <w:rPr>
          <w:rFonts w:cs="Tahoma"/>
        </w:rPr>
      </w:pPr>
      <w:r w:rsidRPr="00A75DF9">
        <w:rPr>
          <w:rFonts w:eastAsia="Calibri" w:cs="Tahoma"/>
          <w:color w:val="000000"/>
          <w:szCs w:val="18"/>
        </w:rPr>
        <w:t>Le società con copertura Software Assurance attiva per le licenze CAL/Server per SQL Server Enterprise alla</w:t>
      </w:r>
      <w:r w:rsidR="005F10EF">
        <w:rPr>
          <w:rFonts w:eastAsia="Calibri" w:cs="Tahoma"/>
          <w:color w:val="000000"/>
          <w:szCs w:val="18"/>
        </w:rPr>
        <w:t> </w:t>
      </w:r>
      <w:r w:rsidRPr="00A75DF9">
        <w:rPr>
          <w:rFonts w:eastAsia="Calibri" w:cs="Tahoma"/>
          <w:color w:val="000000"/>
          <w:szCs w:val="18"/>
        </w:rPr>
        <w:t>data del 1 aprile 2012 potranno, in alternativa al rinnovo della loro copertura per Enterprise, acquistare Software Assurance per un numero uguale di licenze per SQL Server 2012 Business Intelligence senza dovere acquistare le licenze sottostanti.</w:t>
      </w:r>
      <w:r w:rsidR="009D3B41" w:rsidRPr="00A75DF9">
        <w:rPr>
          <w:rFonts w:eastAsia="Calibri" w:cs="Tahoma"/>
          <w:color w:val="000000"/>
          <w:szCs w:val="18"/>
        </w:rPr>
        <w:t xml:space="preserve"> </w:t>
      </w:r>
      <w:r w:rsidRPr="00A75DF9">
        <w:rPr>
          <w:rFonts w:eastAsia="Calibri" w:cs="Tahoma"/>
          <w:color w:val="000000"/>
          <w:szCs w:val="18"/>
        </w:rPr>
        <w:t>Acquistando Software Assurance per SQL Server 2012 Business Intelligence in base alla presente offerta, le società non potranno più utilizzare SQL Server Enterprise ai</w:t>
      </w:r>
      <w:r w:rsidR="005F10EF">
        <w:rPr>
          <w:rFonts w:eastAsia="Calibri" w:cs="Tahoma"/>
          <w:color w:val="000000"/>
          <w:szCs w:val="18"/>
        </w:rPr>
        <w:t> </w:t>
      </w:r>
      <w:r w:rsidRPr="00A75DF9">
        <w:rPr>
          <w:rFonts w:eastAsia="Calibri" w:cs="Tahoma"/>
          <w:color w:val="000000"/>
          <w:szCs w:val="18"/>
        </w:rPr>
        <w:t>sensi delle relative licenze qualificanti.</w:t>
      </w:r>
      <w:r w:rsidR="009D3B41" w:rsidRPr="00A75DF9">
        <w:rPr>
          <w:rFonts w:eastAsia="Calibri" w:cs="Tahoma"/>
          <w:color w:val="000000"/>
          <w:szCs w:val="18"/>
        </w:rPr>
        <w:t xml:space="preserve"> </w:t>
      </w:r>
      <w:r w:rsidRPr="00A75DF9">
        <w:rPr>
          <w:rFonts w:eastAsia="Calibri" w:cs="Tahoma"/>
          <w:color w:val="000000"/>
          <w:szCs w:val="18"/>
        </w:rPr>
        <w:t>Le società che acquistano Software Assurance per SQL Server Business Intelligence in base alla presente offerta non avranno inoltre la possibilità di ritornare alla copertura SQL Server Enterprise per le loro licenze SQL Server Enterprise qualificanti.</w:t>
      </w:r>
    </w:p>
    <w:p w:rsidR="002512D3" w:rsidRPr="00A75DF9" w:rsidRDefault="002512D3">
      <w:pPr>
        <w:rPr>
          <w:rFonts w:cs="Tahoma"/>
        </w:rPr>
      </w:pPr>
    </w:p>
    <w:p w:rsidR="00C321B6" w:rsidRPr="00A75DF9" w:rsidRDefault="00A81E83" w:rsidP="00C321B6">
      <w:pPr>
        <w:spacing w:after="60"/>
        <w:ind w:left="720"/>
        <w:rPr>
          <w:rFonts w:cs="Tahoma"/>
        </w:rPr>
      </w:pPr>
      <w:r w:rsidRPr="00A75DF9">
        <w:rPr>
          <w:rFonts w:eastAsia="Calibri" w:cs="Tahoma"/>
          <w:b/>
          <w:color w:val="000000"/>
          <w:szCs w:val="18"/>
        </w:rPr>
        <w:t>Opzioni di Adempimento per SQL Server 2012</w:t>
      </w:r>
    </w:p>
    <w:p w:rsidR="00A81E83" w:rsidRPr="00A75DF9" w:rsidRDefault="00A81E83" w:rsidP="00C321B6">
      <w:pPr>
        <w:ind w:left="720"/>
        <w:rPr>
          <w:rFonts w:cs="Tahoma"/>
        </w:rPr>
      </w:pPr>
      <w:r w:rsidRPr="00A75DF9">
        <w:rPr>
          <w:rFonts w:eastAsia="Calibri" w:cs="Tahoma"/>
          <w:color w:val="000000"/>
          <w:szCs w:val="18"/>
        </w:rPr>
        <w:t>Le società potranno utilizzare solo il software che corrisponde al modello di licenza ai sensi del quale vengono acquistate le licenze per SQL Server.</w:t>
      </w:r>
      <w:r w:rsidR="009D3B41" w:rsidRPr="00A75DF9">
        <w:rPr>
          <w:rFonts w:eastAsia="Calibri" w:cs="Tahoma"/>
          <w:color w:val="000000"/>
          <w:szCs w:val="18"/>
        </w:rPr>
        <w:t xml:space="preserve"> </w:t>
      </w:r>
    </w:p>
    <w:p w:rsidR="00C321B6" w:rsidRDefault="00C321B6" w:rsidP="00C321B6">
      <w:pPr>
        <w:ind w:left="720"/>
        <w:rPr>
          <w:rFonts w:cs="Tahoma"/>
        </w:rPr>
      </w:pPr>
    </w:p>
    <w:p w:rsidR="003E0F96" w:rsidRPr="00A75DF9" w:rsidRDefault="003E0F96" w:rsidP="00C321B6">
      <w:pPr>
        <w:ind w:left="720"/>
        <w:rPr>
          <w:rFonts w:cs="Tahoma"/>
        </w:rPr>
      </w:pPr>
    </w:p>
    <w:p w:rsidR="00C321B6" w:rsidRPr="00A75DF9" w:rsidRDefault="00A81E83" w:rsidP="00C321B6">
      <w:pPr>
        <w:spacing w:after="60"/>
        <w:ind w:left="720"/>
        <w:rPr>
          <w:rFonts w:cs="Tahoma"/>
        </w:rPr>
      </w:pPr>
      <w:r w:rsidRPr="00A75DF9">
        <w:rPr>
          <w:rFonts w:eastAsia="Calibri" w:cs="Tahoma"/>
          <w:b/>
          <w:color w:val="000000"/>
          <w:szCs w:val="18"/>
        </w:rPr>
        <w:lastRenderedPageBreak/>
        <w:t>Opzione Buy-out per SQL Server ai sensi di EAP</w:t>
      </w:r>
    </w:p>
    <w:p w:rsidR="00A81E83" w:rsidRPr="00A75DF9" w:rsidRDefault="00A81E83" w:rsidP="00C321B6">
      <w:pPr>
        <w:ind w:left="720"/>
        <w:rPr>
          <w:rFonts w:cs="Tahoma"/>
        </w:rPr>
      </w:pPr>
      <w:r w:rsidRPr="00A75DF9">
        <w:rPr>
          <w:rFonts w:eastAsia="Calibri" w:cs="Tahoma"/>
          <w:color w:val="000000"/>
          <w:szCs w:val="18"/>
        </w:rPr>
        <w:t>Le società avranno la possibilità di rinnovare Software Assurance per le licenze CAL/Server per SQL Server Enterprise dopo il 30 giugno 2012,</w:t>
      </w:r>
      <w:r w:rsidRPr="00A75DF9">
        <w:rPr>
          <w:rFonts w:eastAsia="Calibri" w:cs="Tahoma"/>
          <w:b/>
          <w:bCs/>
          <w:color w:val="000000"/>
          <w:szCs w:val="18"/>
        </w:rPr>
        <w:t xml:space="preserve"> </w:t>
      </w:r>
      <w:r w:rsidRPr="00A75DF9">
        <w:rPr>
          <w:rFonts w:eastAsia="Calibri" w:cs="Tahoma"/>
          <w:color w:val="000000"/>
          <w:szCs w:val="18"/>
        </w:rPr>
        <w:t>tuttavia la loro unica opzione buy-out al termine del periodo di validità dell</w:t>
      </w:r>
      <w:r w:rsidR="00F2643E">
        <w:rPr>
          <w:rFonts w:eastAsia="Calibri" w:cs="Tahoma"/>
          <w:color w:val="000000"/>
          <w:szCs w:val="18"/>
        </w:rPr>
        <w:t>’</w:t>
      </w:r>
      <w:r w:rsidRPr="00A75DF9">
        <w:rPr>
          <w:rFonts w:eastAsia="Calibri" w:cs="Tahoma"/>
          <w:color w:val="000000"/>
          <w:szCs w:val="18"/>
        </w:rPr>
        <w:t>iscrizione sarà per le licenze core.</w:t>
      </w:r>
    </w:p>
    <w:p w:rsidR="00C321B6" w:rsidRPr="00A75DF9" w:rsidRDefault="00C321B6" w:rsidP="00C321B6">
      <w:pPr>
        <w:ind w:left="720"/>
        <w:rPr>
          <w:rFonts w:cs="Tahoma"/>
        </w:rPr>
      </w:pPr>
    </w:p>
    <w:p w:rsidR="00C321B6" w:rsidRPr="00A75DF9" w:rsidRDefault="00A81E83" w:rsidP="00C321B6">
      <w:pPr>
        <w:spacing w:after="60"/>
        <w:ind w:left="720"/>
        <w:rPr>
          <w:rFonts w:cs="Tahoma"/>
        </w:rPr>
      </w:pPr>
      <w:r w:rsidRPr="00A75DF9">
        <w:rPr>
          <w:rFonts w:eastAsia="Calibri" w:cs="Tahoma"/>
          <w:b/>
          <w:color w:val="000000"/>
          <w:szCs w:val="18"/>
        </w:rPr>
        <w:t>Utilizzo Continuativo di SQL Server 2008 R2 Enterprise</w:t>
      </w:r>
    </w:p>
    <w:p w:rsidR="00A81E83" w:rsidRPr="00A75DF9" w:rsidRDefault="00A81E83" w:rsidP="00C321B6">
      <w:pPr>
        <w:ind w:left="720"/>
        <w:rPr>
          <w:rFonts w:cs="Tahoma"/>
        </w:rPr>
      </w:pPr>
      <w:r w:rsidRPr="00A75DF9">
        <w:rPr>
          <w:rFonts w:eastAsia="Calibri" w:cs="Tahoma"/>
          <w:color w:val="000000"/>
          <w:szCs w:val="18"/>
        </w:rPr>
        <w:t>Le società con Software Assurance</w:t>
      </w:r>
      <w:r w:rsidRPr="00A75DF9">
        <w:rPr>
          <w:rFonts w:eastAsia="Calibri" w:cs="Tahoma"/>
          <w:b/>
          <w:bCs/>
          <w:color w:val="000000"/>
          <w:szCs w:val="18"/>
        </w:rPr>
        <w:t xml:space="preserve"> </w:t>
      </w:r>
      <w:r w:rsidRPr="00A75DF9">
        <w:rPr>
          <w:rFonts w:eastAsia="Calibri" w:cs="Tahoma"/>
          <w:color w:val="000000"/>
          <w:szCs w:val="18"/>
        </w:rPr>
        <w:t>che continuano a utilizzare SQL Server 2008 R2 Enterprise ai sensi di licenze acquistate in base al contratto o all</w:t>
      </w:r>
      <w:r w:rsidR="00F2643E">
        <w:rPr>
          <w:rFonts w:eastAsia="Calibri" w:cs="Tahoma"/>
          <w:color w:val="000000"/>
          <w:szCs w:val="18"/>
        </w:rPr>
        <w:t>’</w:t>
      </w:r>
      <w:r w:rsidRPr="00A75DF9">
        <w:rPr>
          <w:rFonts w:eastAsia="Calibri" w:cs="Tahoma"/>
          <w:color w:val="000000"/>
          <w:szCs w:val="18"/>
        </w:rPr>
        <w:t>iscrizione in vigore il 1 aprile 2012 potranno usare il software in conformità ai diritti sull</w:t>
      </w:r>
      <w:r w:rsidR="00F2643E">
        <w:rPr>
          <w:rFonts w:eastAsia="Calibri" w:cs="Tahoma"/>
          <w:color w:val="000000"/>
          <w:szCs w:val="18"/>
        </w:rPr>
        <w:t>’</w:t>
      </w:r>
      <w:r w:rsidRPr="00A75DF9">
        <w:rPr>
          <w:rFonts w:eastAsia="Calibri" w:cs="Tahoma"/>
          <w:color w:val="000000"/>
          <w:szCs w:val="18"/>
        </w:rPr>
        <w:t>utilizzo di SQL Server 2008 R2 Enterprise durante il periodo di validità corrente ed eventuali periodi di rinnovo.</w:t>
      </w:r>
      <w:r w:rsidR="009D3B41" w:rsidRPr="00A75DF9">
        <w:rPr>
          <w:rFonts w:eastAsia="Calibri" w:cs="Tahoma"/>
          <w:color w:val="000000"/>
          <w:szCs w:val="18"/>
        </w:rPr>
        <w:t xml:space="preserve"> </w:t>
      </w:r>
      <w:r w:rsidRPr="00A75DF9">
        <w:rPr>
          <w:rFonts w:eastAsia="Calibri" w:cs="Tahoma"/>
          <w:color w:val="000000"/>
          <w:szCs w:val="18"/>
        </w:rPr>
        <w:t>Le società che utilizzano SQL Server 2008 R2 Enterprise in conformità ai diritti di downgrade ai sensi di licenze acquistate dopo il rinnovo della copertura dovranno utilizzare il software in base ai diritti sull</w:t>
      </w:r>
      <w:r w:rsidR="00F2643E">
        <w:rPr>
          <w:rFonts w:eastAsia="Calibri" w:cs="Tahoma"/>
          <w:color w:val="000000"/>
          <w:szCs w:val="18"/>
        </w:rPr>
        <w:t>’</w:t>
      </w:r>
      <w:r w:rsidRPr="00A75DF9">
        <w:rPr>
          <w:rFonts w:eastAsia="Calibri" w:cs="Tahoma"/>
          <w:color w:val="000000"/>
          <w:szCs w:val="18"/>
        </w:rPr>
        <w:t>utilizzo per la versione ottenuta in licenza.</w:t>
      </w:r>
    </w:p>
    <w:p w:rsidR="00C321B6" w:rsidRPr="003E0F96" w:rsidRDefault="00C321B6" w:rsidP="00C321B6">
      <w:pPr>
        <w:ind w:left="720"/>
        <w:rPr>
          <w:rFonts w:cs="Tahoma"/>
          <w:sz w:val="16"/>
          <w:szCs w:val="16"/>
        </w:rPr>
      </w:pPr>
    </w:p>
    <w:p w:rsidR="00C321B6" w:rsidRPr="00A75DF9" w:rsidRDefault="00A81E83" w:rsidP="00C321B6">
      <w:pPr>
        <w:spacing w:after="60"/>
        <w:ind w:left="720"/>
        <w:rPr>
          <w:rFonts w:cs="Tahoma"/>
        </w:rPr>
      </w:pPr>
      <w:r w:rsidRPr="00A75DF9">
        <w:rPr>
          <w:rFonts w:eastAsia="Calibri" w:cs="Tahoma"/>
          <w:b/>
          <w:color w:val="000000"/>
          <w:szCs w:val="18"/>
        </w:rPr>
        <w:t>Per le società con sede nella Repubblica popolare cinese, dove acquistano licenze e Software Assurance per SQL Server 2008 R2</w:t>
      </w:r>
    </w:p>
    <w:p w:rsidR="00A81E83" w:rsidRDefault="00A81E83" w:rsidP="00C321B6">
      <w:pPr>
        <w:ind w:left="720"/>
        <w:rPr>
          <w:rFonts w:cs="Tahoma"/>
        </w:rPr>
      </w:pPr>
      <w:r w:rsidRPr="00A75DF9">
        <w:rPr>
          <w:rFonts w:cs="Tahoma"/>
        </w:rPr>
        <w:t>Non si applicano i riferimenti al 1 aprile 2012 presenti in questa nota relativa alla lista dei prodotti. La data applicabile per queste società sarebbe il 1 luglio 2012.</w:t>
      </w:r>
    </w:p>
    <w:p w:rsidR="003E0F96" w:rsidRPr="003E0F96" w:rsidRDefault="003E0F96" w:rsidP="00C321B6">
      <w:pPr>
        <w:ind w:left="720"/>
        <w:rPr>
          <w:rFonts w:cs="Tahoma"/>
          <w:sz w:val="16"/>
          <w:szCs w:val="16"/>
        </w:rPr>
      </w:pPr>
    </w:p>
    <w:p w:rsidR="003E0F96" w:rsidRPr="003E0F96" w:rsidRDefault="003E0F96" w:rsidP="00C321B6">
      <w:pPr>
        <w:ind w:left="720"/>
        <w:rPr>
          <w:rFonts w:cs="Tahoma"/>
          <w:sz w:val="16"/>
          <w:szCs w:val="16"/>
        </w:rPr>
      </w:pPr>
    </w:p>
    <w:p w:rsidR="00A81E83" w:rsidRPr="00A75DF9" w:rsidRDefault="00A560B6" w:rsidP="001760D6">
      <w:pPr>
        <w:pStyle w:val="Heading3"/>
        <w:keepNext/>
        <w:rPr>
          <w:rFonts w:ascii="Tahoma" w:hAnsi="Tahoma" w:cs="Tahoma"/>
        </w:rPr>
      </w:pPr>
      <w:bookmarkStart w:id="1448" w:name="_80_SQL_Server®"/>
      <w:bookmarkStart w:id="1449" w:name="_87_SQL_Server®"/>
      <w:bookmarkStart w:id="1450" w:name="_Toc336338347"/>
      <w:bookmarkStart w:id="1451" w:name="Srv_89SQLServer2012EnterpriseCore"/>
      <w:bookmarkStart w:id="1452" w:name="_Toc368310337"/>
      <w:bookmarkEnd w:id="1448"/>
      <w:bookmarkEnd w:id="1449"/>
      <w:r w:rsidRPr="00A75DF9">
        <w:rPr>
          <w:rFonts w:ascii="Tahoma" w:hAnsi="Tahoma" w:cs="Tahoma"/>
          <w:caps/>
          <w:color w:val="F66400"/>
          <w:sz w:val="22"/>
          <w:vertAlign w:val="superscript"/>
        </w:rPr>
        <w:t xml:space="preserve">87 </w:t>
      </w:r>
      <w:r w:rsidRPr="00A75DF9">
        <w:rPr>
          <w:rFonts w:ascii="Tahoma" w:hAnsi="Tahoma" w:cs="Tahoma"/>
          <w:color w:val="F66400"/>
          <w:sz w:val="22"/>
        </w:rPr>
        <w:t>SQL Server</w:t>
      </w:r>
      <w:r w:rsidR="009D5D7B" w:rsidRPr="00A75DF9">
        <w:rPr>
          <w:rFonts w:ascii="Tahoma" w:hAnsi="Tahoma" w:cs="Tahoma"/>
          <w:color w:val="F66400"/>
          <w:sz w:val="22"/>
          <w:vertAlign w:val="superscript"/>
        </w:rPr>
        <w:t>®</w:t>
      </w:r>
      <w:r w:rsidRPr="00A75DF9">
        <w:rPr>
          <w:rFonts w:ascii="Tahoma" w:hAnsi="Tahoma" w:cs="Tahoma"/>
          <w:color w:val="F66400"/>
          <w:sz w:val="22"/>
        </w:rPr>
        <w:t xml:space="preserve"> 2012 Enterprise Core</w:t>
      </w:r>
      <w:bookmarkEnd w:id="1450"/>
      <w:bookmarkEnd w:id="1452"/>
    </w:p>
    <w:bookmarkEnd w:id="1451"/>
    <w:p w:rsidR="00A81E83" w:rsidRPr="003E0F96" w:rsidRDefault="00A81E83" w:rsidP="00C321B6">
      <w:pPr>
        <w:pStyle w:val="EndnoteText"/>
        <w:rPr>
          <w:rFonts w:ascii="Tahoma" w:hAnsi="Tahoma" w:cs="Tahoma"/>
          <w:sz w:val="16"/>
          <w:szCs w:val="16"/>
        </w:rPr>
      </w:pPr>
    </w:p>
    <w:p w:rsidR="00C321B6" w:rsidRPr="00A75DF9" w:rsidRDefault="00A81E83" w:rsidP="00C321B6">
      <w:pPr>
        <w:spacing w:after="60"/>
        <w:ind w:left="720"/>
        <w:rPr>
          <w:rFonts w:cs="Tahoma"/>
        </w:rPr>
      </w:pPr>
      <w:r w:rsidRPr="00A75DF9">
        <w:rPr>
          <w:rFonts w:eastAsia="Calibri" w:cs="Tahoma"/>
          <w:b/>
          <w:color w:val="000000"/>
          <w:szCs w:val="18"/>
        </w:rPr>
        <w:t>Estensione dei Diritti sull</w:t>
      </w:r>
      <w:r w:rsidR="00F2643E">
        <w:rPr>
          <w:rFonts w:eastAsia="Calibri" w:cs="Tahoma"/>
          <w:b/>
          <w:color w:val="000000"/>
          <w:szCs w:val="18"/>
        </w:rPr>
        <w:t>’</w:t>
      </w:r>
      <w:r w:rsidRPr="00A75DF9">
        <w:rPr>
          <w:rFonts w:eastAsia="Calibri" w:cs="Tahoma"/>
          <w:b/>
          <w:color w:val="000000"/>
          <w:szCs w:val="18"/>
        </w:rPr>
        <w:t>Utilizzo per la Virtualizzazione Illimitata per SQL Server 2008 R2 Enterprise (per processore)</w:t>
      </w:r>
    </w:p>
    <w:p w:rsidR="00A81E83" w:rsidRPr="00A75DF9" w:rsidRDefault="00A81E83" w:rsidP="005F10EF">
      <w:pPr>
        <w:ind w:left="720"/>
        <w:rPr>
          <w:rFonts w:cs="Tahoma"/>
        </w:rPr>
      </w:pPr>
      <w:r w:rsidRPr="00A75DF9">
        <w:rPr>
          <w:rFonts w:eastAsia="Calibri" w:cs="Tahoma"/>
          <w:color w:val="000000"/>
          <w:szCs w:val="18"/>
        </w:rPr>
        <w:t>Nonostante eventuali disposizioni contrarie previste nei Diritti di Utilizzo del Prodotto o nelle versioni precedenti della Lista dei Prodotti, qualora una società abbia ottenuto in licenza tutti i processori fisici su un</w:t>
      </w:r>
      <w:r w:rsidR="005F10EF">
        <w:rPr>
          <w:rFonts w:eastAsia="Calibri" w:cs="Tahoma"/>
          <w:color w:val="000000"/>
          <w:szCs w:val="18"/>
        </w:rPr>
        <w:t> </w:t>
      </w:r>
      <w:r w:rsidRPr="00A75DF9">
        <w:rPr>
          <w:rFonts w:eastAsia="Calibri" w:cs="Tahoma"/>
          <w:color w:val="000000"/>
          <w:szCs w:val="18"/>
        </w:rPr>
        <w:t>server con licenza e mantenga la copertura Software Assurance attiva su tali licenze, potrà continuare a</w:t>
      </w:r>
      <w:r w:rsidR="005F10EF">
        <w:rPr>
          <w:rFonts w:eastAsia="Calibri" w:cs="Tahoma"/>
          <w:color w:val="000000"/>
          <w:szCs w:val="18"/>
        </w:rPr>
        <w:t> </w:t>
      </w:r>
      <w:r w:rsidRPr="00A75DF9">
        <w:rPr>
          <w:rFonts w:eastAsia="Calibri" w:cs="Tahoma"/>
          <w:color w:val="000000"/>
          <w:szCs w:val="18"/>
        </w:rPr>
        <w:t xml:space="preserve">eseguire il software server in un numero illimitato di ambienti del sistema operativo su quel server. </w:t>
      </w:r>
    </w:p>
    <w:p w:rsidR="00C321B6" w:rsidRPr="003E0F96" w:rsidRDefault="00C321B6" w:rsidP="00C321B6">
      <w:pPr>
        <w:ind w:left="720"/>
        <w:rPr>
          <w:rFonts w:cs="Tahoma"/>
          <w:sz w:val="16"/>
          <w:szCs w:val="16"/>
        </w:rPr>
      </w:pPr>
    </w:p>
    <w:p w:rsidR="00C321B6" w:rsidRPr="00A75DF9" w:rsidRDefault="00A81E83" w:rsidP="00C321B6">
      <w:pPr>
        <w:spacing w:after="60"/>
        <w:ind w:left="720"/>
        <w:rPr>
          <w:rFonts w:cs="Tahoma"/>
        </w:rPr>
      </w:pPr>
      <w:r w:rsidRPr="00A75DF9">
        <w:rPr>
          <w:rFonts w:eastAsia="Calibri" w:cs="Tahoma"/>
          <w:b/>
          <w:color w:val="000000"/>
          <w:szCs w:val="18"/>
        </w:rPr>
        <w:t>Concessioni di Licenza Associate alla Variazione del Modello di Licenza</w:t>
      </w:r>
    </w:p>
    <w:p w:rsidR="00A81E83" w:rsidRPr="00A75DF9" w:rsidRDefault="00A81E83" w:rsidP="00C321B6">
      <w:pPr>
        <w:ind w:left="720"/>
        <w:rPr>
          <w:rFonts w:cs="Tahoma"/>
        </w:rPr>
      </w:pPr>
      <w:r w:rsidRPr="00A75DF9">
        <w:rPr>
          <w:rFonts w:eastAsia="Calibri" w:cs="Tahoma"/>
          <w:color w:val="000000"/>
          <w:szCs w:val="18"/>
        </w:rPr>
        <w:t>SQL Server 2008 R2 sarà l</w:t>
      </w:r>
      <w:r w:rsidR="00F2643E">
        <w:rPr>
          <w:rFonts w:eastAsia="Calibri" w:cs="Tahoma"/>
          <w:color w:val="000000"/>
          <w:szCs w:val="18"/>
        </w:rPr>
        <w:t>’</w:t>
      </w:r>
      <w:r w:rsidRPr="00A75DF9">
        <w:rPr>
          <w:rFonts w:eastAsia="Calibri" w:cs="Tahoma"/>
          <w:color w:val="000000"/>
          <w:szCs w:val="18"/>
        </w:rPr>
        <w:t>ultima versione di SQL Server concessa in licenza ai sensi del modello di licenza per processore.</w:t>
      </w:r>
      <w:r w:rsidR="009D3B41" w:rsidRPr="00A75DF9">
        <w:rPr>
          <w:rFonts w:eastAsia="Calibri" w:cs="Tahoma"/>
          <w:color w:val="000000"/>
          <w:szCs w:val="18"/>
        </w:rPr>
        <w:t xml:space="preserve"> </w:t>
      </w:r>
      <w:r w:rsidRPr="00A75DF9">
        <w:rPr>
          <w:rFonts w:eastAsia="Calibri" w:cs="Tahoma"/>
          <w:color w:val="000000"/>
          <w:szCs w:val="18"/>
        </w:rPr>
        <w:t xml:space="preserve">In via eccezionale, alle società con Contratti Multilicenza e copertura Software Assurance attiva per le licenze per processore per SQL Server 2008 R2 Enterprise in data 1 aprile 2012 (“licenze qualificanti”) vengono offerte le opzioni che seguono. Le licenze per processore per SQL Server 2008 R2 Enterprise </w:t>
      </w:r>
      <w:r w:rsidRPr="00A75DF9">
        <w:rPr>
          <w:rFonts w:cs="Tahoma"/>
          <w:bCs/>
          <w:color w:val="000000"/>
          <w:szCs w:val="18"/>
        </w:rPr>
        <w:t>acquistate successivamente nello stesso periodo di validità dell</w:t>
      </w:r>
      <w:r w:rsidR="00F2643E">
        <w:rPr>
          <w:rFonts w:cs="Tahoma"/>
          <w:bCs/>
          <w:color w:val="000000"/>
          <w:szCs w:val="18"/>
        </w:rPr>
        <w:t>’</w:t>
      </w:r>
      <w:r w:rsidRPr="00A75DF9">
        <w:rPr>
          <w:rFonts w:cs="Tahoma"/>
          <w:bCs/>
          <w:color w:val="000000"/>
          <w:szCs w:val="18"/>
        </w:rPr>
        <w:t>iscrizione, ma prima del 1 aprile 2015 nell</w:t>
      </w:r>
      <w:r w:rsidR="00F2643E">
        <w:rPr>
          <w:rFonts w:cs="Tahoma"/>
          <w:bCs/>
          <w:color w:val="000000"/>
          <w:szCs w:val="18"/>
        </w:rPr>
        <w:t>’</w:t>
      </w:r>
      <w:r w:rsidRPr="00A75DF9">
        <w:rPr>
          <w:rFonts w:cs="Tahoma"/>
          <w:bCs/>
          <w:color w:val="000000"/>
          <w:szCs w:val="18"/>
        </w:rPr>
        <w:t>ambito di una procedura pianificata di true-up della società Enterprise, Enterprise Subscription, Open Value Subscription o EES, sono anch</w:t>
      </w:r>
      <w:r w:rsidR="00F2643E">
        <w:rPr>
          <w:rFonts w:cs="Tahoma"/>
          <w:bCs/>
          <w:color w:val="000000"/>
          <w:szCs w:val="18"/>
        </w:rPr>
        <w:t>’</w:t>
      </w:r>
      <w:r w:rsidRPr="00A75DF9">
        <w:rPr>
          <w:rFonts w:cs="Tahoma"/>
          <w:bCs/>
          <w:color w:val="000000"/>
          <w:szCs w:val="18"/>
        </w:rPr>
        <w:t>esse licenze qualificanti per gli scopi previsti da tali opzioni.</w:t>
      </w:r>
      <w:r w:rsidR="009D3B41" w:rsidRPr="00A75DF9">
        <w:rPr>
          <w:rFonts w:cs="Tahoma"/>
          <w:bCs/>
          <w:color w:val="000000"/>
          <w:szCs w:val="18"/>
        </w:rPr>
        <w:t xml:space="preserve"> </w:t>
      </w:r>
      <w:r w:rsidRPr="00A75DF9">
        <w:rPr>
          <w:rFonts w:cs="Tahoma"/>
          <w:bCs/>
          <w:color w:val="000000"/>
          <w:szCs w:val="18"/>
        </w:rPr>
        <w:t>Le licenze acquistate dopo il 1 aprile 2015, o in un periodo di validità dell</w:t>
      </w:r>
      <w:r w:rsidR="00F2643E">
        <w:rPr>
          <w:rFonts w:cs="Tahoma"/>
          <w:bCs/>
          <w:color w:val="000000"/>
          <w:szCs w:val="18"/>
        </w:rPr>
        <w:t>’</w:t>
      </w:r>
      <w:r w:rsidRPr="00A75DF9">
        <w:rPr>
          <w:rFonts w:cs="Tahoma"/>
          <w:bCs/>
          <w:color w:val="000000"/>
          <w:szCs w:val="18"/>
        </w:rPr>
        <w:t>iscrizione successivo, ai sensi di un contratto distinto o di un</w:t>
      </w:r>
      <w:r w:rsidR="00F2643E">
        <w:rPr>
          <w:rFonts w:cs="Tahoma"/>
          <w:bCs/>
          <w:color w:val="000000"/>
          <w:szCs w:val="18"/>
        </w:rPr>
        <w:t>’</w:t>
      </w:r>
      <w:r w:rsidRPr="00A75DF9">
        <w:rPr>
          <w:rFonts w:cs="Tahoma"/>
          <w:bCs/>
          <w:color w:val="000000"/>
          <w:szCs w:val="18"/>
        </w:rPr>
        <w:t>iscrizione con la data di entrata in vigore posteriore al 1 aprile 2012, non sono licenze qualificanti.</w:t>
      </w:r>
    </w:p>
    <w:p w:rsidR="00C321B6" w:rsidRPr="003E0F96" w:rsidRDefault="00C321B6" w:rsidP="00C321B6">
      <w:pPr>
        <w:ind w:left="720"/>
        <w:rPr>
          <w:rFonts w:cs="Tahoma"/>
          <w:sz w:val="16"/>
          <w:szCs w:val="16"/>
        </w:rPr>
      </w:pPr>
    </w:p>
    <w:p w:rsidR="00F94F25" w:rsidRPr="00A75DF9" w:rsidRDefault="00F94F25" w:rsidP="00F94F25">
      <w:pPr>
        <w:spacing w:after="60"/>
        <w:ind w:left="720"/>
        <w:rPr>
          <w:rFonts w:cs="Tahoma"/>
        </w:rPr>
      </w:pPr>
      <w:r w:rsidRPr="00A75DF9">
        <w:rPr>
          <w:rFonts w:eastAsia="Calibri" w:cs="Tahoma"/>
          <w:b/>
          <w:color w:val="000000"/>
          <w:szCs w:val="18"/>
        </w:rPr>
        <w:t>Periodo di Validità Corrente</w:t>
      </w:r>
    </w:p>
    <w:p w:rsidR="00A81E83" w:rsidRPr="00A75DF9" w:rsidRDefault="00A81E83" w:rsidP="00F94F25">
      <w:pPr>
        <w:ind w:left="720"/>
        <w:rPr>
          <w:rFonts w:cs="Tahoma"/>
        </w:rPr>
      </w:pPr>
      <w:r w:rsidRPr="00A75DF9">
        <w:rPr>
          <w:rFonts w:eastAsia="Calibri" w:cs="Tahoma"/>
          <w:color w:val="000000"/>
          <w:szCs w:val="18"/>
        </w:rPr>
        <w:t>durante il periodo di validità corrente della copertura Software Assurance a partire dal 1 aprile 2012 le società (incluse le società titolari di contratti “subscription”) potranno, ai sensi di una licenza qualificante, effettuare l</w:t>
      </w:r>
      <w:r w:rsidR="00F2643E">
        <w:rPr>
          <w:rFonts w:eastAsia="Calibri" w:cs="Tahoma"/>
          <w:color w:val="000000"/>
          <w:szCs w:val="18"/>
        </w:rPr>
        <w:t>’</w:t>
      </w:r>
      <w:r w:rsidRPr="00A75DF9">
        <w:rPr>
          <w:rFonts w:eastAsia="Calibri" w:cs="Tahoma"/>
          <w:color w:val="000000"/>
          <w:szCs w:val="18"/>
        </w:rPr>
        <w:t xml:space="preserve">aggiornamento al software SQL Server 2012 Enterprise Core e utilizzarlo al posto di SQL Server 2008 R2 Enterprise in conformità ai diritti di utilizzo del prodotto previsti dalla licenza per processore SQL Server 2008 R2 Enterprise (come indicato nei Diritti di Utilizzo del Prodotto del mese di gennaio 2012). </w:t>
      </w:r>
    </w:p>
    <w:p w:rsidR="00F94F25" w:rsidRPr="003E0F96" w:rsidRDefault="00F94F25" w:rsidP="00F94F25">
      <w:pPr>
        <w:ind w:left="720"/>
        <w:rPr>
          <w:rFonts w:cs="Tahoma"/>
          <w:sz w:val="16"/>
          <w:szCs w:val="16"/>
        </w:rPr>
      </w:pPr>
    </w:p>
    <w:p w:rsidR="00F94F25" w:rsidRPr="00A75DF9" w:rsidRDefault="00A81E83" w:rsidP="00F94F25">
      <w:pPr>
        <w:spacing w:after="60"/>
        <w:ind w:left="720"/>
        <w:rPr>
          <w:rFonts w:cs="Tahoma"/>
        </w:rPr>
      </w:pPr>
      <w:r w:rsidRPr="00A75DF9">
        <w:rPr>
          <w:rFonts w:eastAsia="Calibri" w:cs="Tahoma"/>
          <w:b/>
          <w:color w:val="000000"/>
          <w:szCs w:val="18"/>
        </w:rPr>
        <w:t>Primo Periodo di Rinnovo (prima del 1 aprile 2015)</w:t>
      </w:r>
    </w:p>
    <w:p w:rsidR="00A81E83" w:rsidRPr="00A75DF9" w:rsidRDefault="00A81E83" w:rsidP="005F10EF">
      <w:pPr>
        <w:tabs>
          <w:tab w:val="left" w:pos="1440"/>
        </w:tabs>
        <w:ind w:left="720"/>
        <w:rPr>
          <w:rFonts w:cs="Tahoma"/>
        </w:rPr>
      </w:pPr>
      <w:r w:rsidRPr="00A75DF9">
        <w:rPr>
          <w:rFonts w:eastAsia="Calibri" w:cs="Tahoma"/>
          <w:color w:val="000000"/>
          <w:szCs w:val="18"/>
        </w:rPr>
        <w:t>in occasione del primo rinnovo di Software Assurance in data 1 aprile 2012 o successiva (ma prima del 1 aprile 2015), per ogni server che una società ha ricevuto validamente in licenza in conformità ai diritti di utilizzo del prodotto previsti dalla licenza per processore SQL Server 2008 R2, la società potrà acquistare la</w:t>
      </w:r>
      <w:r w:rsidR="005F10EF">
        <w:rPr>
          <w:rFonts w:eastAsia="Calibri" w:cs="Tahoma"/>
          <w:color w:val="000000"/>
          <w:szCs w:val="18"/>
        </w:rPr>
        <w:t> </w:t>
      </w:r>
      <w:r w:rsidRPr="00A75DF9">
        <w:rPr>
          <w:rFonts w:eastAsia="Calibri" w:cs="Tahoma"/>
          <w:color w:val="000000"/>
          <w:szCs w:val="18"/>
        </w:rPr>
        <w:t>copertura Software Assurance per le licenze core per SQL Server Enterprise senza dovere acquistare le licenze core sottostanti per un numero di licenze core pari alla somma di (a) e (b):</w:t>
      </w:r>
    </w:p>
    <w:p w:rsidR="002512D3" w:rsidRPr="003E0F96" w:rsidRDefault="002512D3">
      <w:pPr>
        <w:rPr>
          <w:rFonts w:cs="Tahoma"/>
          <w:sz w:val="16"/>
          <w:szCs w:val="16"/>
        </w:rPr>
      </w:pPr>
    </w:p>
    <w:p w:rsidR="00A81E83" w:rsidRPr="00A75DF9" w:rsidRDefault="00A81E83" w:rsidP="005F10EF">
      <w:pPr>
        <w:numPr>
          <w:ilvl w:val="0"/>
          <w:numId w:val="118"/>
        </w:numPr>
        <w:tabs>
          <w:tab w:val="left" w:pos="1800"/>
        </w:tabs>
        <w:spacing w:after="60"/>
        <w:ind w:left="1440"/>
        <w:rPr>
          <w:rFonts w:cs="Tahoma"/>
        </w:rPr>
      </w:pPr>
      <w:r w:rsidRPr="00A75DF9">
        <w:rPr>
          <w:rFonts w:eastAsia="Calibri" w:cs="Tahoma"/>
          <w:color w:val="000000"/>
          <w:szCs w:val="18"/>
        </w:rPr>
        <w:t>un numero pari al numero minore delle licenze qualificanti cedute al server o al numero totale dei</w:t>
      </w:r>
      <w:r w:rsidR="005F10EF">
        <w:rPr>
          <w:rFonts w:eastAsia="Calibri" w:cs="Tahoma"/>
          <w:color w:val="000000"/>
          <w:szCs w:val="18"/>
        </w:rPr>
        <w:t> </w:t>
      </w:r>
      <w:r w:rsidRPr="00A75DF9">
        <w:rPr>
          <w:rFonts w:eastAsia="Calibri" w:cs="Tahoma"/>
          <w:color w:val="000000"/>
          <w:szCs w:val="18"/>
        </w:rPr>
        <w:t xml:space="preserve">processori fisici sul server moltiplicato per il maggiore tra: </w:t>
      </w:r>
    </w:p>
    <w:p w:rsidR="00A81E83" w:rsidRPr="00A75DF9" w:rsidRDefault="00A81E83" w:rsidP="00346F4B">
      <w:pPr>
        <w:numPr>
          <w:ilvl w:val="3"/>
          <w:numId w:val="93"/>
        </w:numPr>
        <w:tabs>
          <w:tab w:val="left" w:pos="2160"/>
        </w:tabs>
        <w:spacing w:after="60"/>
        <w:ind w:left="2160"/>
        <w:rPr>
          <w:rFonts w:cs="Tahoma"/>
        </w:rPr>
      </w:pPr>
      <w:r w:rsidRPr="00A75DF9">
        <w:rPr>
          <w:rFonts w:eastAsia="Calibri" w:cs="Tahoma"/>
          <w:color w:val="000000"/>
          <w:szCs w:val="18"/>
        </w:rPr>
        <w:t>quattro O</w:t>
      </w:r>
    </w:p>
    <w:p w:rsidR="00A81E83" w:rsidRPr="00A75DF9" w:rsidRDefault="00A81E83" w:rsidP="00346F4B">
      <w:pPr>
        <w:numPr>
          <w:ilvl w:val="3"/>
          <w:numId w:val="93"/>
        </w:numPr>
        <w:tabs>
          <w:tab w:val="left" w:pos="2160"/>
        </w:tabs>
        <w:spacing w:after="60"/>
        <w:ind w:left="2160"/>
        <w:rPr>
          <w:rFonts w:cs="Tahoma"/>
        </w:rPr>
      </w:pPr>
      <w:r w:rsidRPr="00A75DF9">
        <w:rPr>
          <w:rFonts w:eastAsia="Calibri" w:cs="Tahoma"/>
          <w:color w:val="000000"/>
          <w:szCs w:val="18"/>
        </w:rPr>
        <w:lastRenderedPageBreak/>
        <w:t>il numero effettivo di core per processore fisico moltiplicato per il fattore core appropriato.</w:t>
      </w:r>
      <w:r w:rsidR="009D3B41" w:rsidRPr="00A75DF9">
        <w:rPr>
          <w:rFonts w:eastAsia="Calibri" w:cs="Tahoma"/>
          <w:color w:val="000000"/>
          <w:szCs w:val="18"/>
        </w:rPr>
        <w:t xml:space="preserve"> </w:t>
      </w:r>
      <w:r w:rsidRPr="00A75DF9">
        <w:rPr>
          <w:rFonts w:eastAsia="Calibri" w:cs="Tahoma"/>
          <w:color w:val="000000"/>
          <w:szCs w:val="18"/>
        </w:rPr>
        <w:t>(Nei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w:t>
      </w:r>
      <w:r w:rsidR="00F2643E">
        <w:rPr>
          <w:rFonts w:eastAsia="Calibri" w:cs="Tahoma"/>
          <w:color w:val="000000"/>
          <w:szCs w:val="18"/>
        </w:rPr>
        <w:t>’</w:t>
      </w:r>
      <w:r w:rsidRPr="00A75DF9">
        <w:rPr>
          <w:rFonts w:eastAsia="Calibri" w:cs="Tahoma"/>
          <w:color w:val="000000"/>
          <w:szCs w:val="18"/>
        </w:rPr>
        <w:t xml:space="preserve">hardware fisico che supporta tale software appena prima del rinnovo di Software Assurance utilizzando lo strumento MAP di Microsoft o un software equivalente). </w:t>
      </w:r>
    </w:p>
    <w:p w:rsidR="00A81E83" w:rsidRPr="00A75DF9" w:rsidRDefault="00A81E83" w:rsidP="005F10EF">
      <w:pPr>
        <w:numPr>
          <w:ilvl w:val="0"/>
          <w:numId w:val="118"/>
        </w:numPr>
        <w:tabs>
          <w:tab w:val="left" w:pos="1800"/>
        </w:tabs>
        <w:spacing w:after="60"/>
        <w:ind w:left="1440"/>
        <w:rPr>
          <w:rFonts w:cs="Tahoma"/>
        </w:rPr>
      </w:pPr>
      <w:r w:rsidRPr="00A75DF9">
        <w:rPr>
          <w:rFonts w:eastAsia="Calibri" w:cs="Tahoma"/>
          <w:color w:val="000000"/>
          <w:szCs w:val="18"/>
        </w:rPr>
        <w:t>un numero pari al numero di licenze qualificanti cedute al server oltre al numero effettivo di</w:t>
      </w:r>
      <w:r w:rsidR="005F10EF">
        <w:rPr>
          <w:rFonts w:eastAsia="Calibri" w:cs="Tahoma"/>
          <w:color w:val="000000"/>
          <w:szCs w:val="18"/>
        </w:rPr>
        <w:t> </w:t>
      </w:r>
      <w:r w:rsidRPr="00A75DF9">
        <w:rPr>
          <w:rFonts w:eastAsia="Calibri" w:cs="Tahoma"/>
          <w:color w:val="000000"/>
          <w:szCs w:val="18"/>
        </w:rPr>
        <w:t>processori fisici sul server moltiplicato per quattro.</w:t>
      </w:r>
    </w:p>
    <w:p w:rsidR="00F94F25" w:rsidRDefault="00F94F25" w:rsidP="00F94F25">
      <w:pPr>
        <w:tabs>
          <w:tab w:val="left" w:pos="1800"/>
        </w:tabs>
        <w:ind w:left="1080"/>
        <w:rPr>
          <w:rFonts w:cs="Tahoma"/>
        </w:rPr>
      </w:pPr>
    </w:p>
    <w:p w:rsidR="00F94F25" w:rsidRPr="00A75DF9" w:rsidRDefault="007A34E3" w:rsidP="00F94F25">
      <w:pPr>
        <w:spacing w:after="60"/>
        <w:ind w:left="720"/>
        <w:rPr>
          <w:rFonts w:cs="Tahoma"/>
        </w:rPr>
      </w:pPr>
      <w:r w:rsidRPr="00A75DF9">
        <w:rPr>
          <w:rFonts w:eastAsia="Calibri" w:cs="Tahoma"/>
          <w:b/>
          <w:color w:val="000000"/>
          <w:szCs w:val="18"/>
        </w:rPr>
        <w:t>Primo Periodo di Rinnovo in data 1 aprile 2015 o successiva</w:t>
      </w:r>
    </w:p>
    <w:p w:rsidR="00A81E83" w:rsidRPr="00A75DF9" w:rsidRDefault="00A81E83" w:rsidP="00F94F25">
      <w:pPr>
        <w:ind w:left="720"/>
        <w:rPr>
          <w:rFonts w:cs="Tahoma"/>
        </w:rPr>
      </w:pPr>
      <w:r w:rsidRPr="00A75DF9">
        <w:rPr>
          <w:rFonts w:eastAsia="Calibri" w:cs="Tahoma"/>
          <w:color w:val="000000"/>
          <w:szCs w:val="18"/>
        </w:rPr>
        <w:t>Le società che rinnovano per la prima volta la copertura in data 1 aprile 2015</w:t>
      </w:r>
      <w:r w:rsidRPr="00A75DF9">
        <w:rPr>
          <w:rFonts w:eastAsia="Calibri" w:cs="Tahoma"/>
          <w:szCs w:val="18"/>
        </w:rPr>
        <w:t xml:space="preserve"> potranno, per ogni server ottenuto in licenza in conformità ai diritti di utilizzo del prodotto previsti dalla licenza per processore SQL Server 2008 R2, acquistare la copertura Software Assurance come di seguito indicato:</w:t>
      </w:r>
    </w:p>
    <w:p w:rsidR="00F94F25" w:rsidRPr="00A75DF9" w:rsidRDefault="00F94F25" w:rsidP="00F94F25">
      <w:pPr>
        <w:ind w:left="720"/>
        <w:rPr>
          <w:rFonts w:cs="Tahoma"/>
        </w:rPr>
      </w:pPr>
    </w:p>
    <w:p w:rsidR="00A81E83" w:rsidRPr="00A75DF9" w:rsidRDefault="00A81E83" w:rsidP="00346F4B">
      <w:pPr>
        <w:numPr>
          <w:ilvl w:val="3"/>
          <w:numId w:val="94"/>
        </w:numPr>
        <w:spacing w:after="60"/>
        <w:ind w:left="1440" w:hanging="360"/>
        <w:rPr>
          <w:rFonts w:cs="Tahoma"/>
        </w:rPr>
      </w:pPr>
      <w:r w:rsidRPr="00A75DF9">
        <w:rPr>
          <w:rFonts w:eastAsia="Calibri" w:cs="Tahoma"/>
          <w:szCs w:val="18"/>
        </w:rPr>
        <w:t xml:space="preserve">come stabilito nel primo paragrafo di questa nota relativa al prodotto, le licenze acquistate prima del 1 aprile 2015 sono licenze qualificanti e le società potranno rinnovare la copertura Software Assurance in base alle condizioni riportate nel precedente Articolo “Primo Periodo di Rinnovo (prima del 1 aprile 2015)” e </w:t>
      </w:r>
    </w:p>
    <w:p w:rsidR="00A81E83" w:rsidRPr="00A75DF9" w:rsidRDefault="00A81E83" w:rsidP="00346F4B">
      <w:pPr>
        <w:numPr>
          <w:ilvl w:val="3"/>
          <w:numId w:val="94"/>
        </w:numPr>
        <w:spacing w:after="60"/>
        <w:ind w:left="1440" w:hanging="360"/>
        <w:rPr>
          <w:rFonts w:cs="Tahoma"/>
        </w:rPr>
      </w:pPr>
      <w:r w:rsidRPr="00A75DF9">
        <w:rPr>
          <w:rFonts w:eastAsia="Calibri" w:cs="Tahoma"/>
          <w:szCs w:val="18"/>
        </w:rPr>
        <w:t>per le licenze acquistate dopo il 1 aprile 2015 le società potranno rinnovare la copertura Software Assurance per quattro licenze core per SQL Server Enterprise senza dover acquistare le licenze core sottostanti per ogni licenza per processore per SQL Server 2008 R2 Enterprise. Per l</w:t>
      </w:r>
      <w:r w:rsidR="00F2643E">
        <w:rPr>
          <w:rFonts w:eastAsia="Calibri" w:cs="Tahoma"/>
          <w:szCs w:val="18"/>
        </w:rPr>
        <w:t>’</w:t>
      </w:r>
      <w:r w:rsidRPr="00A75DF9">
        <w:rPr>
          <w:rFonts w:eastAsia="Calibri" w:cs="Tahoma"/>
          <w:szCs w:val="18"/>
        </w:rPr>
        <w:t>utilizzo continuativo di SQL Server 2012 su processori che richiedono più di quattro licenze core per processore la società deve acquistare le licenze core aggiuntive.</w:t>
      </w:r>
    </w:p>
    <w:p w:rsidR="00A81E83" w:rsidRPr="00A75DF9" w:rsidRDefault="00A81E83" w:rsidP="00346F4B">
      <w:pPr>
        <w:numPr>
          <w:ilvl w:val="0"/>
          <w:numId w:val="50"/>
        </w:numPr>
        <w:spacing w:after="60"/>
        <w:ind w:left="1440"/>
        <w:rPr>
          <w:rFonts w:cs="Tahoma"/>
        </w:rPr>
      </w:pPr>
      <w:r w:rsidRPr="00A75DF9">
        <w:rPr>
          <w:rFonts w:eastAsia="Calibri" w:cs="Tahoma"/>
          <w:color w:val="000000"/>
          <w:szCs w:val="18"/>
        </w:rPr>
        <w:t xml:space="preserve">Le licenze per processore delle società non sono più valide se si acquista la copertura Software Assurance per licenze core ai sensi della presente offerta. </w:t>
      </w:r>
      <w:r w:rsidRPr="00A75DF9">
        <w:rPr>
          <w:rFonts w:eastAsia="Calibri" w:cs="Tahoma"/>
          <w:szCs w:val="18"/>
        </w:rPr>
        <w:t>L</w:t>
      </w:r>
      <w:r w:rsidR="00F2643E">
        <w:rPr>
          <w:rFonts w:eastAsia="Calibri" w:cs="Tahoma"/>
          <w:szCs w:val="18"/>
        </w:rPr>
        <w:t>’</w:t>
      </w:r>
      <w:r w:rsidRPr="00A75DF9">
        <w:rPr>
          <w:rFonts w:eastAsia="Calibri" w:cs="Tahoma"/>
          <w:szCs w:val="18"/>
        </w:rPr>
        <w:t>opzione di acquistare Software Assurance per le licenze core per SQL Server non è applicabile al rinnovo della copertura ai sensi dei programmi di sottoscrizione.</w:t>
      </w:r>
      <w:r w:rsidR="009D3B41" w:rsidRPr="00A75DF9">
        <w:rPr>
          <w:rFonts w:eastAsia="Calibri" w:cs="Tahoma"/>
          <w:szCs w:val="18"/>
        </w:rPr>
        <w:t xml:space="preserve"> </w:t>
      </w:r>
    </w:p>
    <w:p w:rsidR="00F94F25" w:rsidRPr="00A75DF9" w:rsidRDefault="00F94F25" w:rsidP="00F94F25">
      <w:pPr>
        <w:ind w:left="1440"/>
        <w:rPr>
          <w:rFonts w:cs="Tahoma"/>
        </w:rPr>
      </w:pPr>
    </w:p>
    <w:p w:rsidR="00204D6D" w:rsidRPr="00A75DF9" w:rsidRDefault="00A81E83" w:rsidP="00204D6D">
      <w:pPr>
        <w:tabs>
          <w:tab w:val="left" w:pos="1440"/>
        </w:tabs>
        <w:spacing w:after="60"/>
        <w:ind w:left="720"/>
        <w:rPr>
          <w:rFonts w:cs="Tahoma"/>
        </w:rPr>
      </w:pPr>
      <w:r w:rsidRPr="00A75DF9">
        <w:rPr>
          <w:rFonts w:eastAsia="Calibri" w:cs="Tahoma"/>
          <w:b/>
          <w:color w:val="000000"/>
          <w:szCs w:val="18"/>
        </w:rPr>
        <w:t>Per le Società con copertura Software Assurance in scadenza prima del 1 aprile 2015 che scelgono di non effettuare il rinnovo</w:t>
      </w:r>
    </w:p>
    <w:p w:rsidR="00A81E83" w:rsidRPr="00A75DF9" w:rsidRDefault="00A81E83" w:rsidP="00204D6D">
      <w:pPr>
        <w:tabs>
          <w:tab w:val="left" w:pos="1440"/>
        </w:tabs>
        <w:ind w:left="720"/>
        <w:rPr>
          <w:rFonts w:cs="Tahoma"/>
        </w:rPr>
      </w:pPr>
      <w:r w:rsidRPr="00A75DF9">
        <w:rPr>
          <w:rFonts w:eastAsia="Calibri" w:cs="Tahoma"/>
          <w:color w:val="000000"/>
          <w:szCs w:val="18"/>
        </w:rPr>
        <w:t xml:space="preserve">Le società titolari di contratti Enterprise Subscription </w:t>
      </w:r>
      <w:r w:rsidRPr="00A75DF9">
        <w:rPr>
          <w:rFonts w:cs="Tahoma"/>
          <w:bCs/>
          <w:color w:val="000000"/>
          <w:szCs w:val="18"/>
        </w:rPr>
        <w:t xml:space="preserve">e Open Value Subscription </w:t>
      </w:r>
      <w:r w:rsidRPr="00A75DF9">
        <w:rPr>
          <w:rFonts w:eastAsia="Calibri" w:cs="Tahoma"/>
          <w:color w:val="000000"/>
          <w:szCs w:val="18"/>
        </w:rPr>
        <w:t>con copertura in scadenza prima del 1 aprile 2015 che scelgono di effettuare il buy-out delle licenze per processore e altre società che acquistano licenze perpetue ai sensi del loro contratto e scelgono di non rinnovare Software Assurance potranno eseguire SQL Server 2008 R2 o SQL Server 2012 ai sensi di tali licenze come indicato sotto:</w:t>
      </w:r>
    </w:p>
    <w:p w:rsidR="00204D6D" w:rsidRPr="00A75DF9" w:rsidRDefault="00204D6D" w:rsidP="00204D6D">
      <w:pPr>
        <w:tabs>
          <w:tab w:val="left" w:pos="1440"/>
        </w:tabs>
        <w:ind w:left="720"/>
        <w:rPr>
          <w:rFonts w:cs="Tahoma"/>
        </w:rPr>
      </w:pPr>
    </w:p>
    <w:p w:rsidR="00A81E83" w:rsidRPr="00A75DF9" w:rsidRDefault="00A81E83" w:rsidP="005F10EF">
      <w:pPr>
        <w:numPr>
          <w:ilvl w:val="0"/>
          <w:numId w:val="53"/>
        </w:numPr>
        <w:spacing w:after="60"/>
        <w:ind w:left="1440"/>
        <w:rPr>
          <w:rFonts w:cs="Tahoma"/>
        </w:rPr>
      </w:pPr>
      <w:r w:rsidRPr="00A75DF9">
        <w:rPr>
          <w:rFonts w:eastAsia="Calibri" w:cs="Tahoma"/>
          <w:b/>
          <w:color w:val="000000"/>
          <w:szCs w:val="18"/>
        </w:rPr>
        <w:t>SQL Server 2008 R2 Enterprise:</w:t>
      </w:r>
      <w:r w:rsidRPr="00A75DF9">
        <w:rPr>
          <w:rFonts w:eastAsia="Calibri" w:cs="Tahoma"/>
          <w:color w:val="000000"/>
          <w:szCs w:val="18"/>
        </w:rPr>
        <w:t xml:space="preserve"> l</w:t>
      </w:r>
      <w:r w:rsidR="00F2643E">
        <w:rPr>
          <w:rFonts w:eastAsia="Calibri" w:cs="Tahoma"/>
          <w:color w:val="000000"/>
          <w:szCs w:val="18"/>
        </w:rPr>
        <w:t>’</w:t>
      </w:r>
      <w:r w:rsidRPr="00A75DF9">
        <w:rPr>
          <w:rFonts w:eastAsia="Calibri" w:cs="Tahoma"/>
          <w:color w:val="000000"/>
          <w:szCs w:val="18"/>
        </w:rPr>
        <w:t>utilizzo continuativo di questo software è soggetto ai diritti di</w:t>
      </w:r>
      <w:r w:rsidR="005F10EF">
        <w:rPr>
          <w:rFonts w:eastAsia="Calibri" w:cs="Tahoma"/>
          <w:color w:val="000000"/>
          <w:szCs w:val="18"/>
        </w:rPr>
        <w:t> </w:t>
      </w:r>
      <w:r w:rsidRPr="00A75DF9">
        <w:rPr>
          <w:rFonts w:eastAsia="Calibri" w:cs="Tahoma"/>
          <w:color w:val="000000"/>
          <w:szCs w:val="18"/>
        </w:rPr>
        <w:t>utilizzo del prodotto previsti dalla licenza per processore per SQL Server 2008 R2 Enterprise; tuttavia, le società non disporranno più di diritti sull</w:t>
      </w:r>
      <w:r w:rsidR="00F2643E">
        <w:rPr>
          <w:rFonts w:eastAsia="Calibri" w:cs="Tahoma"/>
          <w:color w:val="000000"/>
          <w:szCs w:val="18"/>
        </w:rPr>
        <w:t>’</w:t>
      </w:r>
      <w:r w:rsidRPr="00A75DF9">
        <w:rPr>
          <w:rFonts w:eastAsia="Calibri" w:cs="Tahoma"/>
          <w:color w:val="000000"/>
          <w:szCs w:val="18"/>
        </w:rPr>
        <w:t xml:space="preserve">utilizzo per la Virtualizzazione Illimitata o di Mobilità delle Licenze tramite Software Assurance. </w:t>
      </w:r>
    </w:p>
    <w:p w:rsidR="00A81E83" w:rsidRPr="00A75DF9" w:rsidRDefault="00A81E83" w:rsidP="00346F4B">
      <w:pPr>
        <w:numPr>
          <w:ilvl w:val="0"/>
          <w:numId w:val="53"/>
        </w:numPr>
        <w:tabs>
          <w:tab w:val="left" w:pos="1800"/>
        </w:tabs>
        <w:spacing w:after="60"/>
        <w:ind w:left="1440"/>
        <w:rPr>
          <w:rFonts w:cs="Tahoma"/>
        </w:rPr>
      </w:pPr>
      <w:r w:rsidRPr="00A75DF9">
        <w:rPr>
          <w:rFonts w:eastAsia="Calibri" w:cs="Tahoma"/>
          <w:b/>
          <w:color w:val="000000"/>
          <w:szCs w:val="18"/>
        </w:rPr>
        <w:t xml:space="preserve">SQL Server 2012 Enterprise Core: </w:t>
      </w:r>
      <w:r w:rsidRPr="00A75DF9">
        <w:rPr>
          <w:rFonts w:eastAsia="Calibri" w:cs="Tahoma"/>
          <w:color w:val="000000"/>
          <w:szCs w:val="18"/>
        </w:rPr>
        <w:t>l</w:t>
      </w:r>
      <w:r w:rsidR="00F2643E">
        <w:rPr>
          <w:rFonts w:eastAsia="Calibri" w:cs="Tahoma"/>
          <w:color w:val="000000"/>
          <w:szCs w:val="18"/>
        </w:rPr>
        <w:t>’</w:t>
      </w:r>
      <w:r w:rsidRPr="00A75DF9">
        <w:rPr>
          <w:rFonts w:eastAsia="Calibri" w:cs="Tahoma"/>
          <w:color w:val="000000"/>
          <w:szCs w:val="18"/>
        </w:rPr>
        <w:t xml:space="preserve">utilizzo di tale versione del software è soggetto ai diritti di utilizzo del prodotto previsti dalla licenza per processore SQL Server 2008 R2 Enterprise, tuttavia: </w:t>
      </w:r>
    </w:p>
    <w:p w:rsidR="00A81E83" w:rsidRPr="00A75DF9" w:rsidRDefault="00A81E83" w:rsidP="00346F4B">
      <w:pPr>
        <w:numPr>
          <w:ilvl w:val="1"/>
          <w:numId w:val="53"/>
        </w:numPr>
        <w:tabs>
          <w:tab w:val="left" w:pos="2160"/>
        </w:tabs>
        <w:spacing w:after="60"/>
        <w:ind w:left="2160"/>
        <w:rPr>
          <w:rFonts w:cs="Tahoma"/>
        </w:rPr>
      </w:pPr>
      <w:r w:rsidRPr="00A75DF9">
        <w:rPr>
          <w:rFonts w:eastAsia="Calibri" w:cs="Tahoma"/>
          <w:color w:val="000000"/>
          <w:szCs w:val="18"/>
        </w:rPr>
        <w:t>le società non disporranno più di diritti sull</w:t>
      </w:r>
      <w:r w:rsidR="00F2643E">
        <w:rPr>
          <w:rFonts w:eastAsia="Calibri" w:cs="Tahoma"/>
          <w:color w:val="000000"/>
          <w:szCs w:val="18"/>
        </w:rPr>
        <w:t>’</w:t>
      </w:r>
      <w:r w:rsidRPr="00A75DF9">
        <w:rPr>
          <w:rFonts w:eastAsia="Calibri" w:cs="Tahoma"/>
          <w:color w:val="000000"/>
          <w:szCs w:val="18"/>
        </w:rPr>
        <w:t>utilizzo per la Virtualizzazione Illimitata, Mobilità delle Licenze all</w:t>
      </w:r>
      <w:r w:rsidR="00F2643E">
        <w:rPr>
          <w:rFonts w:eastAsia="Calibri" w:cs="Tahoma"/>
          <w:color w:val="000000"/>
          <w:szCs w:val="18"/>
        </w:rPr>
        <w:t>’</w:t>
      </w:r>
      <w:r w:rsidRPr="00A75DF9">
        <w:rPr>
          <w:rFonts w:eastAsia="Calibri" w:cs="Tahoma"/>
          <w:color w:val="000000"/>
          <w:szCs w:val="18"/>
        </w:rPr>
        <w:t xml:space="preserve">interno di Server Farm o Mobilità delle Licenze tramite Software Assurance e </w:t>
      </w:r>
    </w:p>
    <w:p w:rsidR="00A81E83" w:rsidRPr="00A75DF9" w:rsidRDefault="00A81E83" w:rsidP="00346F4B">
      <w:pPr>
        <w:numPr>
          <w:ilvl w:val="1"/>
          <w:numId w:val="53"/>
        </w:numPr>
        <w:tabs>
          <w:tab w:val="left" w:pos="2160"/>
          <w:tab w:val="left" w:pos="2970"/>
        </w:tabs>
        <w:spacing w:after="60"/>
        <w:ind w:left="2160"/>
        <w:rPr>
          <w:rFonts w:cs="Tahoma"/>
        </w:rPr>
      </w:pPr>
      <w:r w:rsidRPr="00A75DF9">
        <w:rPr>
          <w:rFonts w:eastAsia="Calibri" w:cs="Tahoma"/>
          <w:color w:val="000000"/>
          <w:szCs w:val="18"/>
        </w:rPr>
        <w:t>l</w:t>
      </w:r>
      <w:r w:rsidR="00F2643E">
        <w:rPr>
          <w:rFonts w:eastAsia="Calibri" w:cs="Tahoma"/>
          <w:color w:val="000000"/>
          <w:szCs w:val="18"/>
        </w:rPr>
        <w:t>’</w:t>
      </w:r>
      <w:r w:rsidRPr="00A75DF9">
        <w:rPr>
          <w:rFonts w:eastAsia="Calibri" w:cs="Tahoma"/>
          <w:color w:val="000000"/>
          <w:szCs w:val="18"/>
        </w:rPr>
        <w:t>eventuale riassegnazione di licenze è soggetta ai limiti indicati nei paragrafi (i) e (ii) che seguono relativi alla loro “equivalenza di licenze core”. L</w:t>
      </w:r>
      <w:r w:rsidR="00F2643E">
        <w:rPr>
          <w:rFonts w:eastAsia="Calibri" w:cs="Tahoma"/>
          <w:color w:val="000000"/>
          <w:szCs w:val="18"/>
        </w:rPr>
        <w:t>’</w:t>
      </w:r>
      <w:r w:rsidRPr="00A75DF9">
        <w:rPr>
          <w:rFonts w:eastAsia="Calibri" w:cs="Tahoma"/>
          <w:color w:val="000000"/>
          <w:szCs w:val="18"/>
        </w:rPr>
        <w:t xml:space="preserve">equivalenza di licenze core è determinata come di seguito riportato. </w:t>
      </w:r>
    </w:p>
    <w:p w:rsidR="00A81E83" w:rsidRPr="00A75DF9" w:rsidRDefault="00A81E83" w:rsidP="00346F4B">
      <w:pPr>
        <w:numPr>
          <w:ilvl w:val="2"/>
          <w:numId w:val="53"/>
        </w:numPr>
        <w:tabs>
          <w:tab w:val="left" w:pos="2520"/>
        </w:tabs>
        <w:spacing w:after="60"/>
        <w:ind w:left="2520"/>
        <w:rPr>
          <w:rFonts w:cs="Tahoma"/>
        </w:rPr>
      </w:pPr>
      <w:r w:rsidRPr="00A75DF9">
        <w:rPr>
          <w:rFonts w:eastAsia="Calibri" w:cs="Tahoma"/>
          <w:color w:val="000000"/>
          <w:szCs w:val="18"/>
        </w:rPr>
        <w:t>Per un numero di licenze pari al numero inferiore tra (x) il numero totale di licenze per processore cedute a un server con licenza appena prima della scadenza di Software Assurance o (y) il numero totale di processori fisici su tale server, l</w:t>
      </w:r>
      <w:r w:rsidR="00F2643E">
        <w:rPr>
          <w:rFonts w:eastAsia="Calibri" w:cs="Tahoma"/>
          <w:color w:val="000000"/>
          <w:szCs w:val="18"/>
        </w:rPr>
        <w:t>’</w:t>
      </w:r>
      <w:r w:rsidRPr="00A75DF9">
        <w:rPr>
          <w:rFonts w:eastAsia="Calibri" w:cs="Tahoma"/>
          <w:color w:val="000000"/>
          <w:szCs w:val="18"/>
        </w:rPr>
        <w:t xml:space="preserve">equivalenza di licenze core è il numero maggiore tra: </w:t>
      </w:r>
    </w:p>
    <w:p w:rsidR="00A81E83" w:rsidRPr="00A75DF9" w:rsidRDefault="00A81E83" w:rsidP="00346F4B">
      <w:pPr>
        <w:numPr>
          <w:ilvl w:val="4"/>
          <w:numId w:val="50"/>
        </w:numPr>
        <w:tabs>
          <w:tab w:val="left" w:pos="2880"/>
        </w:tabs>
        <w:spacing w:after="60"/>
        <w:ind w:left="2880"/>
        <w:rPr>
          <w:rFonts w:cs="Tahoma"/>
        </w:rPr>
      </w:pPr>
      <w:r w:rsidRPr="00A75DF9">
        <w:rPr>
          <w:rFonts w:eastAsia="Calibri" w:cs="Tahoma"/>
          <w:color w:val="000000"/>
          <w:szCs w:val="18"/>
        </w:rPr>
        <w:t xml:space="preserve">quattro core per licenza per processore O </w:t>
      </w:r>
    </w:p>
    <w:p w:rsidR="00A81E83" w:rsidRPr="00A75DF9" w:rsidRDefault="00A81E83" w:rsidP="00346F4B">
      <w:pPr>
        <w:numPr>
          <w:ilvl w:val="4"/>
          <w:numId w:val="50"/>
        </w:numPr>
        <w:tabs>
          <w:tab w:val="left" w:pos="2880"/>
        </w:tabs>
        <w:spacing w:after="60"/>
        <w:ind w:left="2880"/>
        <w:rPr>
          <w:rFonts w:cs="Tahoma"/>
        </w:rPr>
      </w:pPr>
      <w:r w:rsidRPr="00A75DF9">
        <w:rPr>
          <w:rFonts w:eastAsia="Calibri" w:cs="Tahoma"/>
          <w:color w:val="000000"/>
          <w:szCs w:val="18"/>
        </w:rPr>
        <w:t xml:space="preserve">un numero di core per licenza per processore basato sul numero effettivo di core per processore fisico moltiplicato per il fattore core appropriato. (Nei casi in cui il </w:t>
      </w:r>
      <w:r w:rsidRPr="00A75DF9">
        <w:rPr>
          <w:rFonts w:eastAsia="Calibri" w:cs="Tahoma"/>
          <w:color w:val="000000"/>
          <w:szCs w:val="18"/>
        </w:rPr>
        <w:lastRenderedPageBreak/>
        <w:t>numero effettivo di core per processore fisico superi quattro, le società dovranno conservare un record della configurazione del software SQL Server in esecuzione sul server (istanze con licenza in esecuzione negli ambienti del sistema operativo sul server con licenza) e l</w:t>
      </w:r>
      <w:r w:rsidR="00F2643E">
        <w:rPr>
          <w:rFonts w:eastAsia="Calibri" w:cs="Tahoma"/>
          <w:color w:val="000000"/>
          <w:szCs w:val="18"/>
        </w:rPr>
        <w:t>’</w:t>
      </w:r>
      <w:r w:rsidRPr="00A75DF9">
        <w:rPr>
          <w:rFonts w:eastAsia="Calibri" w:cs="Tahoma"/>
          <w:color w:val="000000"/>
          <w:szCs w:val="18"/>
        </w:rPr>
        <w:t xml:space="preserve">hardware fisico che supporta tale software appena prima della scadenza di Software Assurance utilizzando lo strumento MAP di Microsoft o un software equivalente). </w:t>
      </w:r>
    </w:p>
    <w:p w:rsidR="00A81E83" w:rsidRPr="00A75DF9" w:rsidRDefault="00A81E83" w:rsidP="00346F4B">
      <w:pPr>
        <w:numPr>
          <w:ilvl w:val="2"/>
          <w:numId w:val="53"/>
        </w:numPr>
        <w:tabs>
          <w:tab w:val="left" w:pos="2520"/>
        </w:tabs>
        <w:spacing w:after="60"/>
        <w:ind w:left="2520"/>
        <w:rPr>
          <w:rFonts w:cs="Tahoma"/>
        </w:rPr>
      </w:pPr>
      <w:r w:rsidRPr="00A75DF9">
        <w:rPr>
          <w:rFonts w:eastAsia="Calibri" w:cs="Tahoma"/>
          <w:color w:val="000000"/>
          <w:szCs w:val="18"/>
        </w:rPr>
        <w:t>Per qualsiasi licenza per processore con la copertura Software Assurance in scadenza ceduta allo stesso server con licenza che ecceda il numero effettivo di processori fisici sul server, l</w:t>
      </w:r>
      <w:r w:rsidR="00F2643E">
        <w:rPr>
          <w:rFonts w:eastAsia="Calibri" w:cs="Tahoma"/>
          <w:color w:val="000000"/>
          <w:szCs w:val="18"/>
        </w:rPr>
        <w:t>’</w:t>
      </w:r>
      <w:r w:rsidRPr="00A75DF9">
        <w:rPr>
          <w:rFonts w:eastAsia="Calibri" w:cs="Tahoma"/>
          <w:color w:val="000000"/>
          <w:szCs w:val="18"/>
        </w:rPr>
        <w:t>equivalenza core è di quattro core per licenza per processore.</w:t>
      </w:r>
    </w:p>
    <w:p w:rsidR="00A81E83" w:rsidRPr="00A75DF9" w:rsidRDefault="00A81E83" w:rsidP="00346F4B">
      <w:pPr>
        <w:numPr>
          <w:ilvl w:val="1"/>
          <w:numId w:val="53"/>
        </w:numPr>
        <w:tabs>
          <w:tab w:val="left" w:pos="1800"/>
        </w:tabs>
        <w:spacing w:after="60"/>
        <w:ind w:left="1800"/>
        <w:rPr>
          <w:rFonts w:cs="Tahoma"/>
        </w:rPr>
      </w:pPr>
      <w:r w:rsidRPr="00A75DF9">
        <w:rPr>
          <w:rFonts w:eastAsia="Calibri" w:cs="Tahoma"/>
          <w:color w:val="000000"/>
          <w:szCs w:val="18"/>
        </w:rPr>
        <w:t xml:space="preserve">Le società </w:t>
      </w:r>
      <w:r w:rsidRPr="00A75DF9">
        <w:rPr>
          <w:rFonts w:eastAsia="Calibri" w:cs="Tahoma"/>
          <w:szCs w:val="18"/>
        </w:rPr>
        <w:t>potranno riassegnare le licenze a un altro server. Tuttavia, qualora la società riassegni una licenza a un altro server, dovrà attenersi ai diritti sull</w:t>
      </w:r>
      <w:r w:rsidR="00F2643E">
        <w:rPr>
          <w:rFonts w:eastAsia="Calibri" w:cs="Tahoma"/>
          <w:szCs w:val="18"/>
        </w:rPr>
        <w:t>’</w:t>
      </w:r>
      <w:r w:rsidRPr="00A75DF9">
        <w:rPr>
          <w:rFonts w:eastAsia="Calibri" w:cs="Tahoma"/>
          <w:szCs w:val="18"/>
        </w:rPr>
        <w:t>utilizzo di SQL Server 2012. Quando cede licenze core a server ai sensi dei diritti sull</w:t>
      </w:r>
      <w:r w:rsidR="00F2643E">
        <w:rPr>
          <w:rFonts w:eastAsia="Calibri" w:cs="Tahoma"/>
          <w:szCs w:val="18"/>
        </w:rPr>
        <w:t>’</w:t>
      </w:r>
      <w:r w:rsidRPr="00A75DF9">
        <w:rPr>
          <w:rFonts w:eastAsia="Calibri" w:cs="Tahoma"/>
          <w:szCs w:val="18"/>
        </w:rPr>
        <w:t>utilizzo per SQL 2012, la società potrà combinare l</w:t>
      </w:r>
      <w:r w:rsidR="00F2643E">
        <w:rPr>
          <w:rFonts w:eastAsia="Calibri" w:cs="Tahoma"/>
          <w:szCs w:val="18"/>
        </w:rPr>
        <w:t>’</w:t>
      </w:r>
      <w:r w:rsidRPr="00A75DF9">
        <w:rPr>
          <w:rFonts w:eastAsia="Calibri" w:cs="Tahoma"/>
          <w:szCs w:val="18"/>
        </w:rPr>
        <w:t>equivalenza core delle licenze esistenti con le licenze core per SQL Server 2012 aggiuntive.</w:t>
      </w:r>
    </w:p>
    <w:p w:rsidR="00A81E83" w:rsidRPr="00A75DF9" w:rsidRDefault="00A81E83" w:rsidP="00346F4B">
      <w:pPr>
        <w:numPr>
          <w:ilvl w:val="1"/>
          <w:numId w:val="53"/>
        </w:numPr>
        <w:tabs>
          <w:tab w:val="left" w:pos="1800"/>
          <w:tab w:val="left" w:pos="2970"/>
        </w:tabs>
        <w:spacing w:after="60"/>
        <w:ind w:left="1800"/>
        <w:rPr>
          <w:rFonts w:cs="Tahoma"/>
        </w:rPr>
      </w:pPr>
      <w:r w:rsidRPr="00A75DF9">
        <w:rPr>
          <w:rFonts w:eastAsia="Calibri" w:cs="Tahoma"/>
          <w:color w:val="000000"/>
          <w:szCs w:val="18"/>
        </w:rPr>
        <w:t>L</w:t>
      </w:r>
      <w:r w:rsidR="00F2643E">
        <w:rPr>
          <w:rFonts w:eastAsia="Calibri" w:cs="Tahoma"/>
          <w:color w:val="000000"/>
          <w:szCs w:val="18"/>
        </w:rPr>
        <w:t>’</w:t>
      </w:r>
      <w:r w:rsidRPr="00A75DF9">
        <w:rPr>
          <w:rFonts w:eastAsia="Calibri" w:cs="Tahoma"/>
          <w:color w:val="000000"/>
          <w:szCs w:val="18"/>
        </w:rPr>
        <w:t>equivalenza di licenze core stimata delle società non implica che esse possano cedere una licenza singola per processore a core attraverso due o più processori.</w:t>
      </w:r>
    </w:p>
    <w:p w:rsidR="00204D6D" w:rsidRPr="00A75DF9" w:rsidRDefault="00204D6D" w:rsidP="00204D6D">
      <w:pPr>
        <w:tabs>
          <w:tab w:val="left" w:pos="1800"/>
          <w:tab w:val="left" w:pos="2970"/>
        </w:tabs>
        <w:rPr>
          <w:rFonts w:cs="Tahoma"/>
        </w:rPr>
      </w:pPr>
    </w:p>
    <w:p w:rsidR="00204D6D" w:rsidRPr="00A75DF9" w:rsidRDefault="00A81E83" w:rsidP="00204D6D">
      <w:pPr>
        <w:tabs>
          <w:tab w:val="left" w:pos="720"/>
        </w:tabs>
        <w:spacing w:after="60"/>
        <w:ind w:left="720"/>
        <w:rPr>
          <w:rFonts w:cs="Tahoma"/>
        </w:rPr>
      </w:pPr>
      <w:r w:rsidRPr="00A75DF9">
        <w:rPr>
          <w:rFonts w:eastAsia="Calibri" w:cs="Tahoma"/>
          <w:b/>
          <w:color w:val="000000"/>
          <w:szCs w:val="18"/>
        </w:rPr>
        <w:t>Per le Società con copertura Software Assurance in scadenza in data 1 aprile 2015 o successiva che scelgono di non effettuare il rinnovo</w:t>
      </w:r>
    </w:p>
    <w:p w:rsidR="00A81E83" w:rsidRPr="00A75DF9" w:rsidRDefault="00A81E83" w:rsidP="00204D6D">
      <w:pPr>
        <w:tabs>
          <w:tab w:val="left" w:pos="720"/>
        </w:tabs>
        <w:ind w:left="720"/>
        <w:rPr>
          <w:rFonts w:cs="Tahoma"/>
        </w:rPr>
      </w:pPr>
      <w:r w:rsidRPr="00A75DF9">
        <w:rPr>
          <w:rFonts w:eastAsia="Calibri" w:cs="Tahoma"/>
          <w:color w:val="000000"/>
          <w:szCs w:val="18"/>
        </w:rPr>
        <w:t xml:space="preserve">Alle società titolari di contratti Enterprise Subscription </w:t>
      </w:r>
      <w:r w:rsidRPr="00A75DF9">
        <w:rPr>
          <w:rFonts w:cs="Tahoma"/>
          <w:bCs/>
          <w:color w:val="000000"/>
          <w:szCs w:val="18"/>
        </w:rPr>
        <w:t xml:space="preserve">e Open Value Subscription </w:t>
      </w:r>
      <w:r w:rsidRPr="00A75DF9">
        <w:rPr>
          <w:rFonts w:eastAsia="Calibri" w:cs="Tahoma"/>
          <w:color w:val="000000"/>
          <w:szCs w:val="18"/>
        </w:rPr>
        <w:t xml:space="preserve">con copertura in scadenza in data 1 aprile 2015 o successiva che scelgono di effettuare il buy-out delle licenze per processore e alle altre società che acquistano licenze perpetue ai sensi del loro contratto verranno offerte le seguenti opzioni: </w:t>
      </w:r>
    </w:p>
    <w:p w:rsidR="00204D6D" w:rsidRPr="00A75DF9" w:rsidRDefault="00204D6D" w:rsidP="00204D6D">
      <w:pPr>
        <w:tabs>
          <w:tab w:val="left" w:pos="720"/>
        </w:tabs>
        <w:ind w:left="720"/>
        <w:rPr>
          <w:rFonts w:cs="Tahoma"/>
        </w:rPr>
      </w:pPr>
    </w:p>
    <w:p w:rsidR="00A81E83" w:rsidRPr="00A75DF9" w:rsidRDefault="00A81E83" w:rsidP="00346F4B">
      <w:pPr>
        <w:numPr>
          <w:ilvl w:val="2"/>
          <w:numId w:val="50"/>
        </w:numPr>
        <w:spacing w:after="60"/>
        <w:ind w:left="1440"/>
        <w:rPr>
          <w:rFonts w:cs="Tahoma"/>
        </w:rPr>
      </w:pPr>
      <w:r w:rsidRPr="00A75DF9">
        <w:rPr>
          <w:rFonts w:eastAsia="Calibri" w:cs="Tahoma"/>
          <w:szCs w:val="18"/>
        </w:rPr>
        <w:t xml:space="preserve">come stabilito nel primo paragrafo di questa nota relativa al prodotto, le licenze acquistate prima del 1 aprile 2015 sono licenze qualificanti e le società potranno continuare a utilizzare SQL Server 2012 in base alle condizioni riportate nel precedente Articolo “Per le società con copertura Software Assurance in scadenza prima del 1 aprile 2015 che scelgono di non effettuare il rinnovo” e </w:t>
      </w:r>
    </w:p>
    <w:p w:rsidR="00A81E83" w:rsidRPr="00A75DF9" w:rsidRDefault="00A81E83" w:rsidP="005F10EF">
      <w:pPr>
        <w:numPr>
          <w:ilvl w:val="2"/>
          <w:numId w:val="50"/>
        </w:numPr>
        <w:spacing w:after="60"/>
        <w:ind w:left="1440"/>
        <w:rPr>
          <w:rFonts w:cs="Tahoma"/>
        </w:rPr>
      </w:pPr>
      <w:r w:rsidRPr="00A75DF9">
        <w:rPr>
          <w:rFonts w:eastAsia="Calibri" w:cs="Tahoma"/>
          <w:szCs w:val="18"/>
        </w:rPr>
        <w:t>per le licenze acquistate dopo il 1 aprile 2015 la licenza per processore delle società avrà un</w:t>
      </w:r>
      <w:r w:rsidR="00F2643E">
        <w:rPr>
          <w:rFonts w:eastAsia="Calibri" w:cs="Tahoma"/>
          <w:szCs w:val="18"/>
        </w:rPr>
        <w:t>’</w:t>
      </w:r>
      <w:r w:rsidRPr="00A75DF9">
        <w:rPr>
          <w:rFonts w:eastAsia="Calibri" w:cs="Tahoma"/>
          <w:szCs w:val="18"/>
        </w:rPr>
        <w:t>equivalenza core di quattro licenze core Enterprise per SQL Server 2012. Per l</w:t>
      </w:r>
      <w:r w:rsidR="00F2643E">
        <w:rPr>
          <w:rFonts w:eastAsia="Calibri" w:cs="Tahoma"/>
          <w:szCs w:val="18"/>
        </w:rPr>
        <w:t>’</w:t>
      </w:r>
      <w:r w:rsidRPr="00A75DF9">
        <w:rPr>
          <w:rFonts w:eastAsia="Calibri" w:cs="Tahoma"/>
          <w:szCs w:val="18"/>
        </w:rPr>
        <w:t>utilizzo continuativo di SQL Server 2012 su processori che richiedono più di quattro licenze core per</w:t>
      </w:r>
      <w:r w:rsidR="005F10EF">
        <w:rPr>
          <w:rFonts w:eastAsia="Calibri" w:cs="Tahoma"/>
          <w:szCs w:val="18"/>
        </w:rPr>
        <w:t> </w:t>
      </w:r>
      <w:r w:rsidRPr="00A75DF9">
        <w:rPr>
          <w:rFonts w:eastAsia="Calibri" w:cs="Tahoma"/>
          <w:szCs w:val="18"/>
        </w:rPr>
        <w:t>processore la società deve acquistare le licenze core aggiuntive.</w:t>
      </w:r>
    </w:p>
    <w:p w:rsidR="00204D6D" w:rsidRPr="00A75DF9" w:rsidRDefault="00204D6D" w:rsidP="00204D6D">
      <w:pPr>
        <w:ind w:left="1440"/>
        <w:rPr>
          <w:rFonts w:cs="Tahoma"/>
        </w:rPr>
      </w:pPr>
    </w:p>
    <w:p w:rsidR="00204D6D" w:rsidRPr="00A75DF9" w:rsidRDefault="00A81E83" w:rsidP="00204D6D">
      <w:pPr>
        <w:tabs>
          <w:tab w:val="left" w:pos="720"/>
        </w:tabs>
        <w:spacing w:after="60"/>
        <w:ind w:left="720"/>
        <w:rPr>
          <w:rFonts w:cs="Tahoma"/>
        </w:rPr>
      </w:pPr>
      <w:r w:rsidRPr="00A75DF9">
        <w:rPr>
          <w:rFonts w:cs="Tahoma"/>
          <w:b/>
        </w:rPr>
        <w:t>Per le società con sede nella Repubblica popolare</w:t>
      </w:r>
      <w:r w:rsidRPr="00A75DF9">
        <w:rPr>
          <w:rFonts w:cs="Tahoma"/>
        </w:rPr>
        <w:t xml:space="preserve"> </w:t>
      </w:r>
      <w:r w:rsidRPr="00A75DF9">
        <w:rPr>
          <w:rFonts w:cs="Tahoma"/>
          <w:b/>
        </w:rPr>
        <w:t>cinese, dove acquistano licenze per processore e Software Assurance per SQL Server 2008 R2</w:t>
      </w:r>
    </w:p>
    <w:p w:rsidR="00A81E83" w:rsidRPr="00A75DF9" w:rsidRDefault="00A81E83" w:rsidP="00204D6D">
      <w:pPr>
        <w:tabs>
          <w:tab w:val="left" w:pos="720"/>
        </w:tabs>
        <w:ind w:left="720"/>
        <w:rPr>
          <w:rFonts w:cs="Tahoma"/>
        </w:rPr>
      </w:pPr>
      <w:r w:rsidRPr="00A75DF9">
        <w:rPr>
          <w:rFonts w:cs="Tahoma"/>
        </w:rPr>
        <w:t>Non si applicano i riferimenti al 1 aprile 2012 e al 1 aprile 2015 presenti in questa nota relativa alla lista dei prodotti. Le date applicabili per queste società sarebbero rispettivamente il 1 luglio 2012 e il 1 luglio 2015.</w:t>
      </w:r>
    </w:p>
    <w:p w:rsidR="006E28CC" w:rsidRPr="00A75DF9" w:rsidRDefault="006E28CC" w:rsidP="00204D6D">
      <w:pPr>
        <w:tabs>
          <w:tab w:val="left" w:pos="720"/>
        </w:tabs>
        <w:ind w:left="720"/>
        <w:rPr>
          <w:rFonts w:cs="Tahoma"/>
        </w:rPr>
      </w:pPr>
    </w:p>
    <w:p w:rsidR="006E28CC" w:rsidRPr="00A75DF9" w:rsidRDefault="006E28CC" w:rsidP="00204D6D">
      <w:pPr>
        <w:tabs>
          <w:tab w:val="left" w:pos="720"/>
        </w:tabs>
        <w:ind w:left="720"/>
        <w:rPr>
          <w:rFonts w:cs="Tahoma"/>
        </w:rPr>
      </w:pPr>
    </w:p>
    <w:p w:rsidR="006E28CC" w:rsidRPr="00A75DF9" w:rsidRDefault="00A560B6" w:rsidP="006E28CC">
      <w:pPr>
        <w:pStyle w:val="Heading3"/>
        <w:rPr>
          <w:rFonts w:ascii="Tahoma" w:hAnsi="Tahoma" w:cs="Tahoma"/>
        </w:rPr>
      </w:pPr>
      <w:bookmarkStart w:id="1453" w:name="_80_SQL_Server"/>
      <w:bookmarkStart w:id="1454" w:name="_81_SQL_Server"/>
      <w:bookmarkStart w:id="1455" w:name="_88_SQL_Server"/>
      <w:bookmarkStart w:id="1456" w:name="_Toc368310338"/>
      <w:bookmarkEnd w:id="1453"/>
      <w:bookmarkEnd w:id="1454"/>
      <w:bookmarkEnd w:id="1455"/>
      <w:r w:rsidRPr="00A75DF9">
        <w:rPr>
          <w:rFonts w:ascii="Tahoma" w:hAnsi="Tahoma" w:cs="Tahoma"/>
          <w:caps/>
          <w:color w:val="F66400"/>
          <w:sz w:val="22"/>
          <w:vertAlign w:val="superscript"/>
        </w:rPr>
        <w:t>88</w:t>
      </w:r>
      <w:r w:rsidR="009D5D7B" w:rsidRPr="00A75DF9">
        <w:rPr>
          <w:rFonts w:ascii="Tahoma" w:hAnsi="Tahoma" w:cs="Tahoma"/>
          <w:color w:val="F66400"/>
          <w:sz w:val="22"/>
        </w:rPr>
        <w:t xml:space="preserve"> SQL Server</w:t>
      </w:r>
      <w:r w:rsidR="009D5D7B" w:rsidRPr="00A75DF9">
        <w:rPr>
          <w:rFonts w:ascii="Tahoma" w:hAnsi="Tahoma" w:cs="Tahoma"/>
          <w:color w:val="F66400"/>
          <w:sz w:val="22"/>
          <w:vertAlign w:val="superscript"/>
        </w:rPr>
        <w:t>®</w:t>
      </w:r>
      <w:r w:rsidRPr="00A75DF9">
        <w:rPr>
          <w:rFonts w:ascii="Tahoma" w:hAnsi="Tahoma" w:cs="Tahoma"/>
          <w:color w:val="F66400"/>
          <w:sz w:val="22"/>
        </w:rPr>
        <w:t xml:space="preserve"> 2012 Parallel Data Warehouse</w:t>
      </w:r>
      <w:bookmarkEnd w:id="1456"/>
    </w:p>
    <w:p w:rsidR="006E28CC" w:rsidRPr="00A75DF9" w:rsidRDefault="006E28CC" w:rsidP="006E28CC">
      <w:pPr>
        <w:pStyle w:val="EndnoteText"/>
        <w:rPr>
          <w:rFonts w:ascii="Tahoma" w:hAnsi="Tahoma" w:cs="Tahoma"/>
        </w:rPr>
      </w:pPr>
    </w:p>
    <w:p w:rsidR="000A30EE" w:rsidRPr="00A75DF9" w:rsidRDefault="000A30EE" w:rsidP="000A30EE">
      <w:pPr>
        <w:spacing w:after="60"/>
        <w:ind w:left="720"/>
        <w:rPr>
          <w:rFonts w:cs="Tahoma"/>
        </w:rPr>
      </w:pPr>
      <w:r w:rsidRPr="00A75DF9">
        <w:rPr>
          <w:rFonts w:eastAsia="Calibri" w:cs="Tahoma"/>
          <w:b/>
          <w:color w:val="000000"/>
          <w:szCs w:val="18"/>
        </w:rPr>
        <w:t>Concessioni di Licenza Associate alla Variazione del Modello di Licenza</w:t>
      </w:r>
    </w:p>
    <w:p w:rsidR="000A30EE" w:rsidRPr="00A75DF9" w:rsidRDefault="000A30EE" w:rsidP="005F10EF">
      <w:pPr>
        <w:ind w:left="720"/>
        <w:rPr>
          <w:rFonts w:cs="Tahoma"/>
        </w:rPr>
      </w:pPr>
      <w:r w:rsidRPr="00A75DF9">
        <w:rPr>
          <w:rFonts w:eastAsia="Calibri" w:cs="Tahoma"/>
          <w:color w:val="000000"/>
          <w:szCs w:val="18"/>
        </w:rPr>
        <w:t>SQL Server 2008 R2 sarà l</w:t>
      </w:r>
      <w:r w:rsidR="00F2643E">
        <w:rPr>
          <w:rFonts w:eastAsia="Calibri" w:cs="Tahoma"/>
          <w:color w:val="000000"/>
          <w:szCs w:val="18"/>
        </w:rPr>
        <w:t>’</w:t>
      </w:r>
      <w:r w:rsidRPr="00A75DF9">
        <w:rPr>
          <w:rFonts w:eastAsia="Calibri" w:cs="Tahoma"/>
          <w:color w:val="000000"/>
          <w:szCs w:val="18"/>
        </w:rPr>
        <w:t>ultima versione di SQL Server Parallel Data Warehouse concessa in licenza ai</w:t>
      </w:r>
      <w:r w:rsidR="005F10EF">
        <w:rPr>
          <w:rFonts w:eastAsia="Calibri" w:cs="Tahoma"/>
          <w:color w:val="000000"/>
          <w:szCs w:val="18"/>
        </w:rPr>
        <w:t> </w:t>
      </w:r>
      <w:r w:rsidRPr="00A75DF9">
        <w:rPr>
          <w:rFonts w:eastAsia="Calibri" w:cs="Tahoma"/>
          <w:color w:val="000000"/>
          <w:szCs w:val="18"/>
        </w:rPr>
        <w:t>sensi del modello di licenza per processore.</w:t>
      </w:r>
      <w:r w:rsidR="009D3B41" w:rsidRPr="00A75DF9">
        <w:rPr>
          <w:rFonts w:eastAsia="Calibri" w:cs="Tahoma"/>
          <w:color w:val="000000"/>
          <w:szCs w:val="18"/>
        </w:rPr>
        <w:t xml:space="preserve"> </w:t>
      </w:r>
      <w:r w:rsidRPr="00A75DF9">
        <w:rPr>
          <w:rFonts w:eastAsia="Calibri" w:cs="Tahoma"/>
          <w:color w:val="000000"/>
          <w:szCs w:val="18"/>
        </w:rPr>
        <w:t>In via eccezionale, alle società con Contratti Multilicenza e</w:t>
      </w:r>
      <w:r w:rsidR="005F10EF">
        <w:rPr>
          <w:rFonts w:eastAsia="Calibri" w:cs="Tahoma"/>
          <w:color w:val="000000"/>
          <w:szCs w:val="18"/>
        </w:rPr>
        <w:t> </w:t>
      </w:r>
      <w:r w:rsidRPr="00A75DF9">
        <w:rPr>
          <w:rFonts w:eastAsia="Calibri" w:cs="Tahoma"/>
          <w:color w:val="000000"/>
          <w:szCs w:val="18"/>
        </w:rPr>
        <w:t>copertura Software Assurance attiva per le licenze per SQL Server 2008 R2 Parallel Data Warehouse in data</w:t>
      </w:r>
      <w:r w:rsidR="005F10EF">
        <w:rPr>
          <w:rFonts w:eastAsia="Calibri" w:cs="Tahoma"/>
          <w:color w:val="000000"/>
          <w:szCs w:val="18"/>
        </w:rPr>
        <w:t> </w:t>
      </w:r>
      <w:r w:rsidRPr="00A75DF9">
        <w:rPr>
          <w:rFonts w:eastAsia="Calibri" w:cs="Tahoma"/>
          <w:color w:val="000000"/>
          <w:szCs w:val="18"/>
        </w:rPr>
        <w:t xml:space="preserve">1 marzo 2013 (“licenze qualificanti”) vengono offerte le opzioni che seguono. Le licenze per SQL Server 2008 R2 Parallel Data Warehouse </w:t>
      </w:r>
      <w:r w:rsidRPr="00A75DF9">
        <w:rPr>
          <w:rFonts w:cs="Tahoma"/>
          <w:bCs/>
          <w:color w:val="000000"/>
          <w:szCs w:val="18"/>
        </w:rPr>
        <w:t>acquistate successivamente nello stesso periodo di validità dell</w:t>
      </w:r>
      <w:r w:rsidR="00F2643E">
        <w:rPr>
          <w:rFonts w:cs="Tahoma"/>
          <w:bCs/>
          <w:color w:val="000000"/>
          <w:szCs w:val="18"/>
        </w:rPr>
        <w:t>’</w:t>
      </w:r>
      <w:r w:rsidRPr="00A75DF9">
        <w:rPr>
          <w:rFonts w:cs="Tahoma"/>
          <w:bCs/>
          <w:color w:val="000000"/>
          <w:szCs w:val="18"/>
        </w:rPr>
        <w:t>iscrizione nell</w:t>
      </w:r>
      <w:r w:rsidR="00F2643E">
        <w:rPr>
          <w:rFonts w:cs="Tahoma"/>
          <w:bCs/>
          <w:color w:val="000000"/>
          <w:szCs w:val="18"/>
        </w:rPr>
        <w:t>’</w:t>
      </w:r>
      <w:r w:rsidRPr="00A75DF9">
        <w:rPr>
          <w:rFonts w:cs="Tahoma"/>
          <w:bCs/>
          <w:color w:val="000000"/>
          <w:szCs w:val="18"/>
        </w:rPr>
        <w:t>ambito di una procedura pianificata di true-up della società Enterprise o Enterprise Subscription sono anch</w:t>
      </w:r>
      <w:r w:rsidR="00F2643E">
        <w:rPr>
          <w:rFonts w:cs="Tahoma"/>
          <w:bCs/>
          <w:color w:val="000000"/>
          <w:szCs w:val="18"/>
        </w:rPr>
        <w:t>’</w:t>
      </w:r>
      <w:r w:rsidRPr="00A75DF9">
        <w:rPr>
          <w:rFonts w:cs="Tahoma"/>
          <w:bCs/>
          <w:color w:val="000000"/>
          <w:szCs w:val="18"/>
        </w:rPr>
        <w:t>esse licenze qualificanti per gli scopi previsti da tali opzioni.</w:t>
      </w:r>
    </w:p>
    <w:p w:rsidR="000A30EE" w:rsidRPr="00A75DF9" w:rsidRDefault="000A30EE" w:rsidP="000A30EE">
      <w:pPr>
        <w:ind w:left="720"/>
        <w:rPr>
          <w:rFonts w:cs="Tahoma"/>
        </w:rPr>
      </w:pPr>
    </w:p>
    <w:p w:rsidR="000A30EE" w:rsidRPr="00A75DF9" w:rsidRDefault="000A30EE" w:rsidP="00346F4B">
      <w:pPr>
        <w:numPr>
          <w:ilvl w:val="0"/>
          <w:numId w:val="53"/>
        </w:numPr>
        <w:spacing w:after="60"/>
        <w:ind w:left="1440"/>
        <w:rPr>
          <w:rFonts w:cs="Tahoma"/>
        </w:rPr>
      </w:pPr>
      <w:r w:rsidRPr="00A75DF9">
        <w:rPr>
          <w:rFonts w:eastAsia="Calibri" w:cs="Tahoma"/>
          <w:color w:val="000000"/>
          <w:szCs w:val="18"/>
        </w:rPr>
        <w:t>Per ogni licenza qualificante in suo possesso, la società potrà eseguire l</w:t>
      </w:r>
      <w:r w:rsidR="00F2643E">
        <w:rPr>
          <w:rFonts w:eastAsia="Calibri" w:cs="Tahoma"/>
          <w:color w:val="000000"/>
          <w:szCs w:val="18"/>
        </w:rPr>
        <w:t>’</w:t>
      </w:r>
      <w:r w:rsidRPr="00A75DF9">
        <w:rPr>
          <w:rFonts w:eastAsia="Calibri" w:cs="Tahoma"/>
          <w:color w:val="000000"/>
          <w:szCs w:val="18"/>
        </w:rPr>
        <w:t>aggiornamento a 8 licenze core per SQL Server 2012 Parallel Data Warehouse. Eseguendo l</w:t>
      </w:r>
      <w:r w:rsidR="00F2643E">
        <w:rPr>
          <w:rFonts w:eastAsia="Calibri" w:cs="Tahoma"/>
          <w:color w:val="000000"/>
          <w:szCs w:val="18"/>
        </w:rPr>
        <w:t>’</w:t>
      </w:r>
      <w:r w:rsidRPr="00A75DF9">
        <w:rPr>
          <w:rFonts w:eastAsia="Calibri" w:cs="Tahoma"/>
          <w:color w:val="000000"/>
          <w:szCs w:val="18"/>
        </w:rPr>
        <w:t>aggiornamento a SQL Server 2012, le licenze per SQL Server 2008 R2 sottostanti delle società non saranno più valide.</w:t>
      </w:r>
    </w:p>
    <w:p w:rsidR="000A30EE" w:rsidRDefault="000A30EE" w:rsidP="000A30EE">
      <w:pPr>
        <w:rPr>
          <w:rFonts w:cs="Tahoma"/>
        </w:rPr>
      </w:pPr>
    </w:p>
    <w:p w:rsidR="003E0F96" w:rsidRDefault="003E0F96" w:rsidP="000A30EE">
      <w:pPr>
        <w:rPr>
          <w:rFonts w:cs="Tahoma"/>
        </w:rPr>
      </w:pPr>
    </w:p>
    <w:p w:rsidR="003E0F96" w:rsidRDefault="003E0F96" w:rsidP="000A30EE">
      <w:pPr>
        <w:rPr>
          <w:rFonts w:cs="Tahoma"/>
        </w:rPr>
      </w:pPr>
    </w:p>
    <w:p w:rsidR="003E0F96" w:rsidRPr="00A75DF9" w:rsidRDefault="003E0F96" w:rsidP="000A30EE">
      <w:pPr>
        <w:rPr>
          <w:rFonts w:cs="Tahoma"/>
        </w:rPr>
      </w:pPr>
    </w:p>
    <w:p w:rsidR="000A30EE" w:rsidRPr="00A75DF9" w:rsidRDefault="000A30EE" w:rsidP="000A30EE">
      <w:pPr>
        <w:spacing w:after="60"/>
        <w:ind w:left="720"/>
        <w:rPr>
          <w:rFonts w:cs="Tahoma"/>
        </w:rPr>
      </w:pPr>
      <w:r w:rsidRPr="00A75DF9">
        <w:rPr>
          <w:rFonts w:eastAsia="Calibri" w:cs="Tahoma"/>
          <w:b/>
          <w:color w:val="000000"/>
          <w:szCs w:val="18"/>
        </w:rPr>
        <w:lastRenderedPageBreak/>
        <w:t>Concessione di Licenza Standard per System Center</w:t>
      </w:r>
    </w:p>
    <w:p w:rsidR="000A30EE" w:rsidRPr="00A75DF9" w:rsidRDefault="000A30EE" w:rsidP="000A30EE">
      <w:pPr>
        <w:spacing w:after="60"/>
        <w:ind w:left="720"/>
        <w:rPr>
          <w:rFonts w:cs="Tahoma"/>
        </w:rPr>
      </w:pPr>
      <w:r w:rsidRPr="00A75DF9">
        <w:rPr>
          <w:rFonts w:eastAsia="Calibri" w:cs="Tahoma"/>
          <w:color w:val="000000"/>
          <w:szCs w:val="18"/>
        </w:rPr>
        <w:t>Le società che eseguono l</w:t>
      </w:r>
      <w:r w:rsidR="00F2643E">
        <w:rPr>
          <w:rFonts w:eastAsia="Calibri" w:cs="Tahoma"/>
          <w:color w:val="000000"/>
          <w:szCs w:val="18"/>
        </w:rPr>
        <w:t>’</w:t>
      </w:r>
      <w:r w:rsidRPr="00A75DF9">
        <w:rPr>
          <w:rFonts w:eastAsia="Calibri" w:cs="Tahoma"/>
          <w:color w:val="000000"/>
          <w:szCs w:val="18"/>
        </w:rPr>
        <w:t>aggiornamento a SQL Server 2012 Parallel Data Warehouse ai sensi delle licenze qualificanti saranno inoltre idonee alle seguenti concessioni di licenza per System Center:</w:t>
      </w:r>
    </w:p>
    <w:p w:rsidR="000A30EE" w:rsidRPr="00A75DF9" w:rsidRDefault="000A30EE" w:rsidP="005F10EF">
      <w:pPr>
        <w:numPr>
          <w:ilvl w:val="0"/>
          <w:numId w:val="53"/>
        </w:numPr>
        <w:spacing w:after="60"/>
        <w:ind w:left="1440"/>
        <w:rPr>
          <w:rFonts w:cs="Tahoma"/>
        </w:rPr>
      </w:pPr>
      <w:r w:rsidRPr="00A75DF9">
        <w:rPr>
          <w:rFonts w:eastAsia="Calibri" w:cs="Tahoma"/>
          <w:color w:val="000000"/>
          <w:szCs w:val="18"/>
        </w:rPr>
        <w:t>una licenza Standard per System Center 2012 per server per ogni server su cui è in esecuzione il</w:t>
      </w:r>
      <w:r w:rsidR="005F10EF">
        <w:rPr>
          <w:rFonts w:eastAsia="Calibri" w:cs="Tahoma"/>
          <w:color w:val="000000"/>
          <w:szCs w:val="18"/>
        </w:rPr>
        <w:t> </w:t>
      </w:r>
      <w:r w:rsidRPr="00A75DF9">
        <w:rPr>
          <w:rFonts w:eastAsia="Calibri" w:cs="Tahoma"/>
          <w:color w:val="000000"/>
          <w:szCs w:val="18"/>
        </w:rPr>
        <w:t>software SQL Server 2012 Parallel Data Warehouse</w:t>
      </w:r>
    </w:p>
    <w:p w:rsidR="000A30EE" w:rsidRPr="00A75DF9" w:rsidRDefault="000A30EE" w:rsidP="00346F4B">
      <w:pPr>
        <w:numPr>
          <w:ilvl w:val="0"/>
          <w:numId w:val="53"/>
        </w:numPr>
        <w:spacing w:after="60"/>
        <w:ind w:left="1440"/>
        <w:rPr>
          <w:rFonts w:cs="Tahoma"/>
        </w:rPr>
      </w:pPr>
      <w:r w:rsidRPr="00A75DF9">
        <w:rPr>
          <w:rFonts w:eastAsia="Calibri" w:cs="Tahoma"/>
          <w:color w:val="000000"/>
          <w:szCs w:val="18"/>
        </w:rPr>
        <w:t>due licenze Standard per System Center 2012 per server per tutti i server restanti dell</w:t>
      </w:r>
      <w:r w:rsidR="00F2643E">
        <w:rPr>
          <w:rFonts w:eastAsia="Calibri" w:cs="Tahoma"/>
          <w:color w:val="000000"/>
          <w:szCs w:val="18"/>
        </w:rPr>
        <w:t>’</w:t>
      </w:r>
      <w:r w:rsidRPr="00A75DF9">
        <w:rPr>
          <w:rFonts w:eastAsia="Calibri" w:cs="Tahoma"/>
          <w:color w:val="000000"/>
          <w:szCs w:val="18"/>
        </w:rPr>
        <w:t>Applicazione SQL Server 2012 Parallel Data Warehouse.</w:t>
      </w:r>
    </w:p>
    <w:p w:rsidR="000A30EE" w:rsidRPr="00A75DF9" w:rsidRDefault="000A30EE" w:rsidP="005F10EF">
      <w:pPr>
        <w:spacing w:after="60"/>
        <w:ind w:left="720"/>
        <w:rPr>
          <w:rFonts w:cs="Tahoma"/>
        </w:rPr>
      </w:pPr>
      <w:r w:rsidRPr="00A75DF9">
        <w:rPr>
          <w:rFonts w:eastAsia="Calibri" w:cs="Tahoma"/>
          <w:color w:val="000000"/>
          <w:szCs w:val="18"/>
        </w:rPr>
        <w:t>Il software potrà essere utilizzato esclusivamente per supportare l</w:t>
      </w:r>
      <w:r w:rsidR="00F2643E">
        <w:rPr>
          <w:rFonts w:eastAsia="Calibri" w:cs="Tahoma"/>
          <w:color w:val="000000"/>
          <w:szCs w:val="18"/>
        </w:rPr>
        <w:t>’</w:t>
      </w:r>
      <w:r w:rsidRPr="00A75DF9">
        <w:rPr>
          <w:rFonts w:eastAsia="Calibri" w:cs="Tahoma"/>
          <w:color w:val="000000"/>
          <w:szCs w:val="18"/>
        </w:rPr>
        <w:t>Applicazione SQL Server 2012 Parallel Data Warehouse.</w:t>
      </w:r>
    </w:p>
    <w:p w:rsidR="000A30EE" w:rsidRDefault="000A30EE" w:rsidP="000A30EE">
      <w:pPr>
        <w:spacing w:after="60"/>
        <w:ind w:firstLine="720"/>
        <w:rPr>
          <w:rFonts w:cs="Tahoma"/>
        </w:rPr>
      </w:pPr>
    </w:p>
    <w:p w:rsidR="000A30EE" w:rsidRPr="00A75DF9" w:rsidRDefault="000A30EE" w:rsidP="000A30EE">
      <w:pPr>
        <w:tabs>
          <w:tab w:val="left" w:pos="1440"/>
        </w:tabs>
        <w:spacing w:after="60"/>
        <w:ind w:left="720"/>
        <w:rPr>
          <w:rFonts w:cs="Tahoma"/>
        </w:rPr>
      </w:pPr>
      <w:r w:rsidRPr="00A75DF9">
        <w:rPr>
          <w:rFonts w:eastAsia="Calibri" w:cs="Tahoma"/>
          <w:b/>
          <w:color w:val="000000"/>
          <w:szCs w:val="18"/>
        </w:rPr>
        <w:t>Per le Società con copertura Software Assurance che scelgono di non effettuare il rinnovo</w:t>
      </w:r>
    </w:p>
    <w:p w:rsidR="000A30EE" w:rsidRPr="00A75DF9" w:rsidRDefault="000A30EE" w:rsidP="000A30EE">
      <w:pPr>
        <w:tabs>
          <w:tab w:val="left" w:pos="1440"/>
        </w:tabs>
        <w:ind w:left="720"/>
        <w:rPr>
          <w:rFonts w:cs="Tahoma"/>
        </w:rPr>
      </w:pPr>
      <w:r w:rsidRPr="00A75DF9">
        <w:rPr>
          <w:rFonts w:eastAsia="Calibri" w:cs="Tahoma"/>
          <w:color w:val="000000"/>
          <w:szCs w:val="18"/>
        </w:rPr>
        <w:t>Le società titolari di contratti Enterprise Subscription con copertura a partire dal 1 marzo 2013 che scelgono di effettuare il buy-out delle licenze per processore e altre società che acquistano licenze perpetue qualificanti ai sensi del loro contratto e scelgono di non rinnovare Software Assurance potranno eseguire SQL Server 2008 R2 o SQL Server 2012 ai sensi di tali licenze come indicato sotto:</w:t>
      </w:r>
    </w:p>
    <w:p w:rsidR="000A30EE" w:rsidRPr="00A75DF9" w:rsidRDefault="000A30EE" w:rsidP="000A30EE">
      <w:pPr>
        <w:tabs>
          <w:tab w:val="left" w:pos="1440"/>
        </w:tabs>
        <w:ind w:left="720"/>
        <w:rPr>
          <w:rFonts w:cs="Tahoma"/>
        </w:rPr>
      </w:pPr>
    </w:p>
    <w:p w:rsidR="000A30EE" w:rsidRPr="00A75DF9" w:rsidRDefault="000A30EE" w:rsidP="00346F4B">
      <w:pPr>
        <w:numPr>
          <w:ilvl w:val="0"/>
          <w:numId w:val="53"/>
        </w:numPr>
        <w:spacing w:after="60"/>
        <w:ind w:left="1440"/>
        <w:rPr>
          <w:rFonts w:cs="Tahoma"/>
        </w:rPr>
      </w:pPr>
      <w:r w:rsidRPr="00A75DF9">
        <w:rPr>
          <w:rFonts w:eastAsia="Calibri" w:cs="Tahoma"/>
          <w:b/>
          <w:color w:val="000000"/>
          <w:szCs w:val="18"/>
        </w:rPr>
        <w:t>SQL Server 2008 R2 Parallel Data Warehouse:</w:t>
      </w:r>
      <w:r w:rsidRPr="00A75DF9">
        <w:rPr>
          <w:rFonts w:eastAsia="Calibri" w:cs="Tahoma"/>
          <w:color w:val="000000"/>
          <w:szCs w:val="18"/>
        </w:rPr>
        <w:t xml:space="preserve"> l</w:t>
      </w:r>
      <w:r w:rsidR="00F2643E">
        <w:rPr>
          <w:rFonts w:eastAsia="Calibri" w:cs="Tahoma"/>
          <w:color w:val="000000"/>
          <w:szCs w:val="18"/>
        </w:rPr>
        <w:t>’</w:t>
      </w:r>
      <w:r w:rsidRPr="00A75DF9">
        <w:rPr>
          <w:rFonts w:eastAsia="Calibri" w:cs="Tahoma"/>
          <w:color w:val="000000"/>
          <w:szCs w:val="18"/>
        </w:rPr>
        <w:t xml:space="preserve">utilizzo continuativo di tale versione del software è soggetto ai diritti di utilizzo del prodotto previsti dalla licenza per SQL Server 2008 R2. </w:t>
      </w:r>
    </w:p>
    <w:p w:rsidR="000A30EE" w:rsidRPr="00A75DF9" w:rsidRDefault="000A30EE" w:rsidP="00346F4B">
      <w:pPr>
        <w:numPr>
          <w:ilvl w:val="0"/>
          <w:numId w:val="53"/>
        </w:numPr>
        <w:tabs>
          <w:tab w:val="left" w:pos="1800"/>
        </w:tabs>
        <w:spacing w:after="60"/>
        <w:ind w:left="1440"/>
        <w:rPr>
          <w:rFonts w:cs="Tahoma"/>
        </w:rPr>
      </w:pPr>
      <w:r w:rsidRPr="00A75DF9">
        <w:rPr>
          <w:rFonts w:eastAsia="Calibri" w:cs="Tahoma"/>
          <w:b/>
          <w:color w:val="000000"/>
          <w:szCs w:val="18"/>
        </w:rPr>
        <w:t xml:space="preserve">SQL Server 2012 Parallel Data Warehouse: </w:t>
      </w:r>
      <w:r w:rsidRPr="00A75DF9">
        <w:rPr>
          <w:rFonts w:eastAsia="Calibri" w:cs="Tahoma"/>
          <w:color w:val="000000"/>
          <w:szCs w:val="18"/>
        </w:rPr>
        <w:t>l</w:t>
      </w:r>
      <w:r w:rsidR="00F2643E">
        <w:rPr>
          <w:rFonts w:eastAsia="Calibri" w:cs="Tahoma"/>
          <w:color w:val="000000"/>
          <w:szCs w:val="18"/>
        </w:rPr>
        <w:t>’</w:t>
      </w:r>
      <w:r w:rsidRPr="00A75DF9">
        <w:rPr>
          <w:rFonts w:eastAsia="Calibri" w:cs="Tahoma"/>
          <w:color w:val="000000"/>
          <w:szCs w:val="18"/>
        </w:rPr>
        <w:t xml:space="preserve">utilizzo continuativo di tale versione del software è soggetto ai diritti di utilizzo del prodotto previsti dalla licenza per SQL Server 2012 Parallel Data Warehouse. </w:t>
      </w:r>
    </w:p>
    <w:p w:rsidR="000A30EE" w:rsidRPr="00A75DF9" w:rsidRDefault="000A30EE" w:rsidP="000A30EE">
      <w:pPr>
        <w:spacing w:after="60"/>
        <w:rPr>
          <w:rFonts w:cs="Tahoma"/>
        </w:rPr>
      </w:pPr>
    </w:p>
    <w:p w:rsidR="000A30EE" w:rsidRPr="00A75DF9" w:rsidRDefault="000A30EE" w:rsidP="000A30EE">
      <w:pPr>
        <w:ind w:left="720"/>
        <w:rPr>
          <w:rFonts w:cs="Tahoma"/>
        </w:rPr>
      </w:pPr>
      <w:r w:rsidRPr="00A75DF9">
        <w:rPr>
          <w:rFonts w:cs="Tahoma"/>
          <w:color w:val="000000"/>
          <w:szCs w:val="24"/>
        </w:rPr>
        <w:t xml:space="preserve">Tutte le licenze per SQL Server Parallel Data Warehouse e System Center concesse ai sensi della presente offerta includeranno la copertura Software Assurance. Tale copertura cesserà alla scadenza della copertura Software Assurance qualificante corrispondente. Alla scadenza della copertura, le società potranno rinnovare Software Assurance sulle licenze concesse. </w:t>
      </w:r>
    </w:p>
    <w:p w:rsidR="000A30EE" w:rsidRPr="00A75DF9" w:rsidRDefault="000A30EE" w:rsidP="000A30EE">
      <w:pPr>
        <w:ind w:left="720"/>
        <w:rPr>
          <w:rFonts w:cs="Tahoma"/>
        </w:rPr>
      </w:pPr>
    </w:p>
    <w:p w:rsidR="000A30EE" w:rsidRPr="00A75DF9" w:rsidRDefault="000A30EE" w:rsidP="005F10EF">
      <w:pPr>
        <w:ind w:left="720"/>
        <w:rPr>
          <w:rFonts w:cs="Tahoma"/>
        </w:rPr>
      </w:pPr>
      <w:r w:rsidRPr="00A75DF9">
        <w:rPr>
          <w:rFonts w:cs="Tahoma"/>
          <w:color w:val="000000"/>
          <w:szCs w:val="24"/>
        </w:rPr>
        <w:t>L</w:t>
      </w:r>
      <w:r w:rsidR="00F2643E">
        <w:rPr>
          <w:rFonts w:cs="Tahoma"/>
          <w:color w:val="000000"/>
          <w:szCs w:val="24"/>
        </w:rPr>
        <w:t>’</w:t>
      </w:r>
      <w:r w:rsidRPr="00A75DF9">
        <w:rPr>
          <w:rFonts w:cs="Tahoma"/>
          <w:color w:val="000000"/>
          <w:szCs w:val="24"/>
        </w:rPr>
        <w:t>utilizzo di software da parte della società ai sensi della presente offerta sarà soggetto alle condizioni del</w:t>
      </w:r>
      <w:r w:rsidR="005F10EF">
        <w:rPr>
          <w:rFonts w:cs="Tahoma"/>
          <w:color w:val="000000"/>
          <w:szCs w:val="24"/>
        </w:rPr>
        <w:t> </w:t>
      </w:r>
      <w:r w:rsidRPr="00A75DF9">
        <w:rPr>
          <w:rFonts w:cs="Tahoma"/>
          <w:color w:val="000000"/>
          <w:szCs w:val="24"/>
        </w:rPr>
        <w:t>relativo contratto di licenza e ai diritti di utilizzo del prodotto relativi al software. Il diritto di utilizzo del software cesserà alla scadenza del diritto di utilizzo del software ai sensi delle licenze qualificanti. Questa Nota relativa al Prodotto insieme alla prova delle licenze qualificanti attesteranno il diritto della società di utilizzare SQL Server 2012 Parallel Data Warehouse e System Center 2012 ai sensi delle condizioni della presente offerta. Le società non potranno trasferire le licenze concesse in virtù della presente offerta separatamente dalle licenze qualificanti corrispondenti.</w:t>
      </w:r>
    </w:p>
    <w:p w:rsidR="00A81E83" w:rsidRPr="00A75DF9" w:rsidRDefault="00A81E83" w:rsidP="00C321B6">
      <w:pPr>
        <w:tabs>
          <w:tab w:val="left" w:pos="2970"/>
        </w:tabs>
        <w:ind w:left="1440"/>
        <w:rPr>
          <w:rFonts w:cs="Tahoma"/>
        </w:rPr>
      </w:pPr>
      <w:bookmarkStart w:id="1457" w:name="Srv_90SQLServer2012Standard"/>
    </w:p>
    <w:p w:rsidR="004815F3" w:rsidRPr="00A75DF9" w:rsidRDefault="004815F3" w:rsidP="00C321B6">
      <w:pPr>
        <w:tabs>
          <w:tab w:val="left" w:pos="2970"/>
        </w:tabs>
        <w:ind w:left="1440"/>
        <w:rPr>
          <w:rFonts w:cs="Tahoma"/>
        </w:rPr>
      </w:pPr>
    </w:p>
    <w:p w:rsidR="00A81E83" w:rsidRPr="00A75DF9" w:rsidRDefault="00152E1B" w:rsidP="00EF5637">
      <w:pPr>
        <w:pStyle w:val="Heading3"/>
        <w:rPr>
          <w:rFonts w:ascii="Tahoma" w:hAnsi="Tahoma" w:cs="Tahoma"/>
        </w:rPr>
      </w:pPr>
      <w:bookmarkStart w:id="1458" w:name="_82_SQL_Server®"/>
      <w:bookmarkStart w:id="1459" w:name="_89_SQL_Server®"/>
      <w:bookmarkStart w:id="1460" w:name="_Toc336338348"/>
      <w:bookmarkStart w:id="1461" w:name="_Toc368310339"/>
      <w:bookmarkEnd w:id="1458"/>
      <w:bookmarkEnd w:id="1459"/>
      <w:r w:rsidRPr="00A75DF9">
        <w:rPr>
          <w:rFonts w:ascii="Tahoma" w:hAnsi="Tahoma" w:cs="Tahoma"/>
          <w:caps/>
          <w:color w:val="F66400"/>
          <w:sz w:val="22"/>
          <w:vertAlign w:val="superscript"/>
        </w:rPr>
        <w:t>89</w:t>
      </w:r>
      <w:r w:rsidRPr="00A75DF9">
        <w:rPr>
          <w:rFonts w:ascii="Tahoma" w:hAnsi="Tahoma" w:cs="Tahoma"/>
          <w:color w:val="F66400"/>
          <w:sz w:val="22"/>
        </w:rPr>
        <w:t xml:space="preserve"> SQL Server</w:t>
      </w:r>
      <w:r w:rsidR="009D5D7B" w:rsidRPr="00A75DF9">
        <w:rPr>
          <w:rFonts w:ascii="Tahoma" w:hAnsi="Tahoma" w:cs="Tahoma"/>
          <w:color w:val="F66400"/>
          <w:sz w:val="22"/>
          <w:vertAlign w:val="superscript"/>
        </w:rPr>
        <w:t>®</w:t>
      </w:r>
      <w:r w:rsidRPr="00A75DF9">
        <w:rPr>
          <w:rFonts w:ascii="Tahoma" w:hAnsi="Tahoma" w:cs="Tahoma"/>
          <w:color w:val="F66400"/>
          <w:sz w:val="22"/>
        </w:rPr>
        <w:t xml:space="preserve"> 2012 Standard</w:t>
      </w:r>
      <w:bookmarkEnd w:id="1460"/>
      <w:bookmarkEnd w:id="1461"/>
      <w:r w:rsidRPr="00A75DF9">
        <w:rPr>
          <w:rFonts w:ascii="Tahoma" w:hAnsi="Tahoma" w:cs="Tahoma"/>
          <w:color w:val="F66400"/>
          <w:sz w:val="22"/>
        </w:rPr>
        <w:t xml:space="preserve"> </w:t>
      </w:r>
    </w:p>
    <w:bookmarkEnd w:id="1457"/>
    <w:p w:rsidR="00A81E83" w:rsidRPr="00A75DF9" w:rsidRDefault="00A81E83" w:rsidP="00204D6D">
      <w:pPr>
        <w:pStyle w:val="EndnoteText"/>
        <w:ind w:left="0"/>
        <w:rPr>
          <w:rFonts w:ascii="Tahoma" w:hAnsi="Tahoma" w:cs="Tahoma"/>
        </w:rPr>
      </w:pPr>
    </w:p>
    <w:p w:rsidR="00A81E83" w:rsidRPr="00A75DF9" w:rsidRDefault="00A81E83" w:rsidP="00204D6D">
      <w:pPr>
        <w:ind w:left="720"/>
        <w:rPr>
          <w:rFonts w:cs="Tahoma"/>
        </w:rPr>
      </w:pPr>
      <w:r w:rsidRPr="00A75DF9">
        <w:rPr>
          <w:rFonts w:eastAsia="Calibri" w:cs="Tahoma"/>
          <w:szCs w:val="18"/>
        </w:rPr>
        <w:t>SQL Server 2012 Standard è la versione successiva di SQL Server Standard e la licenza CAL per SQL Server 2012 è la versione successiva della licenza CAL per SQL Server.</w:t>
      </w:r>
    </w:p>
    <w:p w:rsidR="00204D6D" w:rsidRPr="00A75DF9" w:rsidRDefault="00204D6D" w:rsidP="00204D6D">
      <w:pPr>
        <w:ind w:left="720"/>
        <w:rPr>
          <w:rFonts w:cs="Tahoma"/>
        </w:rPr>
      </w:pPr>
    </w:p>
    <w:p w:rsidR="00204D6D" w:rsidRPr="00A75DF9" w:rsidRDefault="00204D6D" w:rsidP="00204D6D">
      <w:pPr>
        <w:ind w:left="720"/>
        <w:rPr>
          <w:rFonts w:cs="Tahoma"/>
        </w:rPr>
      </w:pPr>
    </w:p>
    <w:p w:rsidR="00A81E83" w:rsidRPr="00A75DF9" w:rsidRDefault="005D753D" w:rsidP="00EF5637">
      <w:pPr>
        <w:pStyle w:val="Heading3"/>
        <w:rPr>
          <w:rFonts w:ascii="Tahoma" w:hAnsi="Tahoma" w:cs="Tahoma"/>
        </w:rPr>
      </w:pPr>
      <w:bookmarkStart w:id="1462" w:name="_85_83_SQL"/>
      <w:bookmarkStart w:id="1463" w:name="_90_SQL_Server®"/>
      <w:bookmarkStart w:id="1464" w:name="_Toc336338349"/>
      <w:bookmarkStart w:id="1465" w:name="Srv_91SQLServer2012StandardCore"/>
      <w:bookmarkStart w:id="1466" w:name="_Toc368310340"/>
      <w:bookmarkEnd w:id="1462"/>
      <w:bookmarkEnd w:id="1463"/>
      <w:r w:rsidRPr="00A75DF9">
        <w:rPr>
          <w:rFonts w:ascii="Tahoma" w:hAnsi="Tahoma" w:cs="Tahoma"/>
          <w:caps/>
          <w:color w:val="F66400"/>
          <w:sz w:val="22"/>
          <w:vertAlign w:val="superscript"/>
        </w:rPr>
        <w:t>90</w:t>
      </w:r>
      <w:r w:rsidRPr="00A75DF9">
        <w:rPr>
          <w:rFonts w:ascii="Tahoma" w:hAnsi="Tahoma" w:cs="Tahoma"/>
          <w:color w:val="F66400"/>
          <w:sz w:val="22"/>
        </w:rPr>
        <w:t xml:space="preserve"> SQL Server</w:t>
      </w:r>
      <w:r w:rsidR="009D5D7B" w:rsidRPr="00A75DF9">
        <w:rPr>
          <w:rFonts w:ascii="Tahoma" w:hAnsi="Tahoma" w:cs="Tahoma"/>
          <w:color w:val="F66400"/>
          <w:sz w:val="22"/>
          <w:vertAlign w:val="superscript"/>
        </w:rPr>
        <w:t>®</w:t>
      </w:r>
      <w:r w:rsidRPr="00A75DF9">
        <w:rPr>
          <w:rFonts w:ascii="Tahoma" w:hAnsi="Tahoma" w:cs="Tahoma"/>
          <w:color w:val="F66400"/>
          <w:sz w:val="22"/>
        </w:rPr>
        <w:t xml:space="preserve"> 2012 Standard</w:t>
      </w:r>
      <w:r w:rsidRPr="00A75DF9">
        <w:rPr>
          <w:rFonts w:ascii="Tahoma" w:eastAsia="Calibri" w:hAnsi="Tahoma" w:cs="Tahoma"/>
          <w:color w:val="F66400"/>
          <w:sz w:val="22"/>
          <w:szCs w:val="18"/>
        </w:rPr>
        <w:t xml:space="preserve"> Core</w:t>
      </w:r>
      <w:bookmarkEnd w:id="1464"/>
      <w:bookmarkEnd w:id="1466"/>
    </w:p>
    <w:bookmarkEnd w:id="1465"/>
    <w:p w:rsidR="00A81E83" w:rsidRPr="00A75DF9" w:rsidRDefault="00A81E83" w:rsidP="0026723A">
      <w:pPr>
        <w:rPr>
          <w:rFonts w:cs="Tahoma"/>
        </w:rPr>
      </w:pPr>
    </w:p>
    <w:p w:rsidR="0026723A" w:rsidRPr="00A75DF9" w:rsidRDefault="00A81E83" w:rsidP="0026723A">
      <w:pPr>
        <w:spacing w:after="60"/>
        <w:ind w:left="720"/>
        <w:rPr>
          <w:rFonts w:cs="Tahoma"/>
        </w:rPr>
      </w:pPr>
      <w:r w:rsidRPr="00A75DF9">
        <w:rPr>
          <w:rFonts w:eastAsia="Calibri" w:cs="Tahoma"/>
          <w:b/>
          <w:szCs w:val="18"/>
        </w:rPr>
        <w:t>Concessioni di Licenza Associate alla Variazione del Modello di Licenza</w:t>
      </w:r>
    </w:p>
    <w:p w:rsidR="00A81E83" w:rsidRPr="00A75DF9" w:rsidRDefault="00A81E83" w:rsidP="0026723A">
      <w:pPr>
        <w:ind w:left="720"/>
        <w:rPr>
          <w:rFonts w:cs="Tahoma"/>
        </w:rPr>
      </w:pPr>
      <w:r w:rsidRPr="00A75DF9">
        <w:rPr>
          <w:rFonts w:eastAsia="Calibri" w:cs="Tahoma"/>
          <w:color w:val="000000"/>
          <w:szCs w:val="18"/>
        </w:rPr>
        <w:t>SQL Server 2008 R2 sarà l</w:t>
      </w:r>
      <w:r w:rsidR="00F2643E">
        <w:rPr>
          <w:rFonts w:eastAsia="Calibri" w:cs="Tahoma"/>
          <w:color w:val="000000"/>
          <w:szCs w:val="18"/>
        </w:rPr>
        <w:t>’</w:t>
      </w:r>
      <w:r w:rsidRPr="00A75DF9">
        <w:rPr>
          <w:rFonts w:eastAsia="Calibri" w:cs="Tahoma"/>
          <w:color w:val="000000"/>
          <w:szCs w:val="18"/>
        </w:rPr>
        <w:t>ultima versione di SQL Server concessa in licenza ai sensi del modello di licenza per processore.</w:t>
      </w:r>
      <w:r w:rsidR="009D3B41" w:rsidRPr="00A75DF9">
        <w:rPr>
          <w:rFonts w:eastAsia="Calibri" w:cs="Tahoma"/>
          <w:color w:val="000000"/>
          <w:szCs w:val="18"/>
        </w:rPr>
        <w:t xml:space="preserve"> </w:t>
      </w:r>
      <w:r w:rsidRPr="00A75DF9">
        <w:rPr>
          <w:rFonts w:eastAsia="Calibri" w:cs="Tahoma"/>
          <w:color w:val="000000"/>
          <w:szCs w:val="18"/>
        </w:rPr>
        <w:t xml:space="preserve">In via eccezionale, alle società con Contratti Multilicenza e copertura Software Assurance attiva per le licenze per processore per SQL Server 2008 R2 Standard in data 1 aprile 2012 (“licenze qualificanti”) vengono offerte le opzioni che seguono. Le licenze per processore per SQL Server 2008 R2 Standard </w:t>
      </w:r>
      <w:r w:rsidRPr="00A75DF9">
        <w:rPr>
          <w:rFonts w:cs="Tahoma"/>
          <w:bCs/>
          <w:color w:val="000000"/>
          <w:szCs w:val="18"/>
        </w:rPr>
        <w:t>acquistate successivamente nello stesso periodo di validità dell</w:t>
      </w:r>
      <w:r w:rsidR="00F2643E">
        <w:rPr>
          <w:rFonts w:cs="Tahoma"/>
          <w:bCs/>
          <w:color w:val="000000"/>
          <w:szCs w:val="18"/>
        </w:rPr>
        <w:t>’</w:t>
      </w:r>
      <w:r w:rsidRPr="00A75DF9">
        <w:rPr>
          <w:rFonts w:cs="Tahoma"/>
          <w:bCs/>
          <w:color w:val="000000"/>
          <w:szCs w:val="18"/>
        </w:rPr>
        <w:t>iscrizione, ma prima del 1 aprile 2015 nell</w:t>
      </w:r>
      <w:r w:rsidR="00F2643E">
        <w:rPr>
          <w:rFonts w:cs="Tahoma"/>
          <w:bCs/>
          <w:color w:val="000000"/>
          <w:szCs w:val="18"/>
        </w:rPr>
        <w:t>’</w:t>
      </w:r>
      <w:r w:rsidRPr="00A75DF9">
        <w:rPr>
          <w:rFonts w:cs="Tahoma"/>
          <w:bCs/>
          <w:color w:val="000000"/>
          <w:szCs w:val="18"/>
        </w:rPr>
        <w:t>ambito di una procedura pianificata di true-up della società Enterprise, Enterprise Subscription, Open Value Subscription o EES, sono anch</w:t>
      </w:r>
      <w:r w:rsidR="00F2643E">
        <w:rPr>
          <w:rFonts w:cs="Tahoma"/>
          <w:bCs/>
          <w:color w:val="000000"/>
          <w:szCs w:val="18"/>
        </w:rPr>
        <w:t>’</w:t>
      </w:r>
      <w:r w:rsidRPr="00A75DF9">
        <w:rPr>
          <w:rFonts w:cs="Tahoma"/>
          <w:bCs/>
          <w:color w:val="000000"/>
          <w:szCs w:val="18"/>
        </w:rPr>
        <w:t>esse licenze qualificanti per gli scopi previsti da tali opzioni.</w:t>
      </w:r>
      <w:r w:rsidR="009D3B41" w:rsidRPr="00A75DF9">
        <w:rPr>
          <w:rFonts w:cs="Tahoma"/>
          <w:bCs/>
          <w:color w:val="000000"/>
          <w:szCs w:val="18"/>
        </w:rPr>
        <w:t xml:space="preserve"> </w:t>
      </w:r>
      <w:r w:rsidRPr="00A75DF9">
        <w:rPr>
          <w:rFonts w:cs="Tahoma"/>
          <w:bCs/>
          <w:color w:val="000000"/>
          <w:szCs w:val="18"/>
        </w:rPr>
        <w:t>Le licenze acquistate dopo il 1 aprile 2015, o in un periodo di validità dell</w:t>
      </w:r>
      <w:r w:rsidR="00F2643E">
        <w:rPr>
          <w:rFonts w:cs="Tahoma"/>
          <w:bCs/>
          <w:color w:val="000000"/>
          <w:szCs w:val="18"/>
        </w:rPr>
        <w:t>’</w:t>
      </w:r>
      <w:r w:rsidRPr="00A75DF9">
        <w:rPr>
          <w:rFonts w:cs="Tahoma"/>
          <w:bCs/>
          <w:color w:val="000000"/>
          <w:szCs w:val="18"/>
        </w:rPr>
        <w:t>iscrizione successivo, ai sensi di un contratto distinto o di un</w:t>
      </w:r>
      <w:r w:rsidR="00F2643E">
        <w:rPr>
          <w:rFonts w:cs="Tahoma"/>
          <w:bCs/>
          <w:color w:val="000000"/>
          <w:szCs w:val="18"/>
        </w:rPr>
        <w:t>’</w:t>
      </w:r>
      <w:r w:rsidRPr="00A75DF9">
        <w:rPr>
          <w:rFonts w:cs="Tahoma"/>
          <w:bCs/>
          <w:color w:val="000000"/>
          <w:szCs w:val="18"/>
        </w:rPr>
        <w:t>iscrizione con la data di entrata in vigore posteriore al 1 aprile 2012, non sono licenze qualificanti.</w:t>
      </w:r>
    </w:p>
    <w:p w:rsidR="0026723A" w:rsidRPr="00A75DF9" w:rsidRDefault="0026723A" w:rsidP="0026723A">
      <w:pPr>
        <w:spacing w:after="60"/>
        <w:ind w:left="720"/>
        <w:rPr>
          <w:rFonts w:cs="Tahoma"/>
        </w:rPr>
      </w:pPr>
      <w:r w:rsidRPr="00A75DF9">
        <w:rPr>
          <w:rFonts w:eastAsia="Calibri" w:cs="Tahoma"/>
          <w:b/>
          <w:szCs w:val="18"/>
        </w:rPr>
        <w:lastRenderedPageBreak/>
        <w:t>Periodo di Validità Corrente</w:t>
      </w:r>
    </w:p>
    <w:p w:rsidR="00A81E83" w:rsidRPr="00A75DF9" w:rsidRDefault="00A81E83" w:rsidP="005F10EF">
      <w:pPr>
        <w:ind w:left="720"/>
        <w:rPr>
          <w:rFonts w:cs="Tahoma"/>
        </w:rPr>
      </w:pPr>
      <w:r w:rsidRPr="00A75DF9">
        <w:rPr>
          <w:rFonts w:eastAsia="Calibri" w:cs="Tahoma"/>
          <w:szCs w:val="18"/>
        </w:rPr>
        <w:t>durante il periodo di validità corrente della copertura Software Assurance a partire dal 1 aprile 2012 le società (incluse le società titolari di contratti “subscription”) potranno, ai sensi di una licenza qualificante, effettuare l</w:t>
      </w:r>
      <w:r w:rsidR="00F2643E">
        <w:rPr>
          <w:rFonts w:eastAsia="Calibri" w:cs="Tahoma"/>
          <w:szCs w:val="18"/>
        </w:rPr>
        <w:t>’</w:t>
      </w:r>
      <w:r w:rsidRPr="00A75DF9">
        <w:rPr>
          <w:rFonts w:eastAsia="Calibri" w:cs="Tahoma"/>
          <w:szCs w:val="18"/>
        </w:rPr>
        <w:t>aggiornamento al software SQL Server 2012 Standard Core e utilizzarlo al posto di SQL Server 2008 R2 Standard in conformità ai diritti di utilizzo del prodotto previsti dalla licenza per processore SQL Server 2008 R2 Standard (come indicato nei Diritti di Utilizzo del Prodotto del mese di gennaio 2012). alle società vengono concessi diritti aggiuntivi ai sensi di Mobilità delle Licenze tramite Software Assurance e</w:t>
      </w:r>
      <w:r w:rsidR="005F10EF">
        <w:rPr>
          <w:rFonts w:eastAsia="Calibri" w:cs="Tahoma"/>
          <w:szCs w:val="18"/>
        </w:rPr>
        <w:t> </w:t>
      </w:r>
      <w:r w:rsidRPr="00A75DF9">
        <w:rPr>
          <w:rFonts w:eastAsia="Calibri" w:cs="Tahoma"/>
          <w:szCs w:val="18"/>
        </w:rPr>
        <w:t>Mobilità delle Licenze all</w:t>
      </w:r>
      <w:r w:rsidR="00F2643E">
        <w:rPr>
          <w:rFonts w:eastAsia="Calibri" w:cs="Tahoma"/>
          <w:szCs w:val="18"/>
        </w:rPr>
        <w:t>’</w:t>
      </w:r>
      <w:r w:rsidRPr="00A75DF9">
        <w:rPr>
          <w:rFonts w:eastAsia="Calibri" w:cs="Tahoma"/>
          <w:szCs w:val="18"/>
        </w:rPr>
        <w:t>interno di Server Farm.</w:t>
      </w:r>
      <w:r w:rsidR="009D3B41" w:rsidRPr="00A75DF9">
        <w:rPr>
          <w:rFonts w:eastAsia="Calibri" w:cs="Tahoma"/>
          <w:szCs w:val="18"/>
        </w:rPr>
        <w:t xml:space="preserve"> </w:t>
      </w:r>
      <w:r w:rsidRPr="00A75DF9">
        <w:rPr>
          <w:rFonts w:eastAsia="Calibri" w:cs="Tahoma"/>
          <w:szCs w:val="18"/>
        </w:rPr>
        <w:t>Le società dovranno fare riferimento ai Diritti di Utilizzo del Prodotto per SQL Server 2012 Standard Core per quanto riguarda le condizioni di licenza per Mobilità delle Licenze.</w:t>
      </w:r>
    </w:p>
    <w:p w:rsidR="0026723A" w:rsidRPr="00A75DF9" w:rsidRDefault="0026723A" w:rsidP="0026723A">
      <w:pPr>
        <w:ind w:left="720"/>
        <w:rPr>
          <w:rFonts w:cs="Tahoma"/>
        </w:rPr>
      </w:pPr>
    </w:p>
    <w:p w:rsidR="0026723A" w:rsidRPr="00A75DF9" w:rsidRDefault="00A81E83" w:rsidP="0026723A">
      <w:pPr>
        <w:spacing w:after="60"/>
        <w:ind w:left="720"/>
        <w:rPr>
          <w:rFonts w:cs="Tahoma"/>
        </w:rPr>
      </w:pPr>
      <w:r w:rsidRPr="00A75DF9">
        <w:rPr>
          <w:rFonts w:eastAsia="Calibri" w:cs="Tahoma"/>
          <w:b/>
          <w:szCs w:val="18"/>
        </w:rPr>
        <w:t>Primo Periodo di Rinnovo (prima del 1 aprile 2015)</w:t>
      </w:r>
    </w:p>
    <w:p w:rsidR="00A81E83" w:rsidRPr="00A75DF9" w:rsidRDefault="00A81E83" w:rsidP="0026723A">
      <w:pPr>
        <w:ind w:left="720"/>
        <w:rPr>
          <w:rFonts w:cs="Tahoma"/>
        </w:rPr>
      </w:pPr>
      <w:r w:rsidRPr="00A75DF9">
        <w:rPr>
          <w:rFonts w:eastAsia="Calibri" w:cs="Tahoma"/>
          <w:szCs w:val="18"/>
        </w:rPr>
        <w:t>in occasione del primo rinnovo di Software Assurance in data 1 aprile 2012 o successiva (ma prima del 1 aprile 2015), per ogni server che una società ha ricevuto validamente in licenza in conformità ai diritti di utilizzo del prodotto previsti dalla licenza per processore SQL Server 2008 R2 Standard, la società potrà acquistare la copertura Software Assurance per le licenze core per SQL Server Standard senza dovere acquistare le licenze core sottostanti per un numero di licenze core pari alla somma di (a) e (b):</w:t>
      </w:r>
    </w:p>
    <w:p w:rsidR="0026723A" w:rsidRPr="00A75DF9" w:rsidRDefault="0026723A" w:rsidP="0026723A">
      <w:pPr>
        <w:ind w:left="720"/>
        <w:rPr>
          <w:rFonts w:cs="Tahoma"/>
        </w:rPr>
      </w:pPr>
    </w:p>
    <w:p w:rsidR="0026723A" w:rsidRPr="00A75DF9" w:rsidRDefault="00A81E83" w:rsidP="00346F4B">
      <w:pPr>
        <w:numPr>
          <w:ilvl w:val="0"/>
          <w:numId w:val="119"/>
        </w:numPr>
        <w:tabs>
          <w:tab w:val="left" w:pos="1440"/>
        </w:tabs>
        <w:spacing w:after="60"/>
        <w:ind w:left="1440"/>
        <w:rPr>
          <w:rFonts w:cs="Tahoma"/>
        </w:rPr>
      </w:pPr>
      <w:r w:rsidRPr="00A75DF9">
        <w:rPr>
          <w:rFonts w:eastAsia="Calibri" w:cs="Tahoma"/>
          <w:szCs w:val="18"/>
        </w:rPr>
        <w:t xml:space="preserve">un numero pari al numero minore delle licenze qualificanti cedute al server o al numero totale dei processori fisici sul server moltiplicato per il maggiore tra: </w:t>
      </w:r>
    </w:p>
    <w:p w:rsidR="00A81E83" w:rsidRPr="00A75DF9" w:rsidRDefault="00A81E83" w:rsidP="00346F4B">
      <w:pPr>
        <w:numPr>
          <w:ilvl w:val="3"/>
          <w:numId w:val="57"/>
        </w:numPr>
        <w:spacing w:after="60"/>
        <w:ind w:left="1800"/>
        <w:rPr>
          <w:rFonts w:cs="Tahoma"/>
        </w:rPr>
      </w:pPr>
      <w:r w:rsidRPr="00A75DF9">
        <w:rPr>
          <w:rFonts w:eastAsia="Calibri" w:cs="Tahoma"/>
          <w:szCs w:val="18"/>
        </w:rPr>
        <w:t>quattro O</w:t>
      </w:r>
    </w:p>
    <w:p w:rsidR="00A81E83" w:rsidRPr="00A75DF9" w:rsidRDefault="00A81E83" w:rsidP="005F10EF">
      <w:pPr>
        <w:numPr>
          <w:ilvl w:val="3"/>
          <w:numId w:val="57"/>
        </w:numPr>
        <w:spacing w:after="60"/>
        <w:ind w:left="1800"/>
        <w:rPr>
          <w:rFonts w:cs="Tahoma"/>
        </w:rPr>
      </w:pPr>
      <w:r w:rsidRPr="00A75DF9">
        <w:rPr>
          <w:rFonts w:eastAsia="Calibri" w:cs="Tahoma"/>
          <w:szCs w:val="18"/>
        </w:rPr>
        <w:t>il numero effettivo di core per processore fisico moltiplicato per il fattore core appropriato.</w:t>
      </w:r>
      <w:r w:rsidR="009D3B41" w:rsidRPr="00A75DF9">
        <w:rPr>
          <w:rFonts w:eastAsia="Calibri" w:cs="Tahoma"/>
          <w:szCs w:val="18"/>
        </w:rPr>
        <w:t xml:space="preserve"> </w:t>
      </w:r>
      <w:r w:rsidRPr="00A75DF9">
        <w:rPr>
          <w:rFonts w:eastAsia="Calibri" w:cs="Tahoma"/>
          <w:szCs w:val="18"/>
        </w:rPr>
        <w:t>(Nei</w:t>
      </w:r>
      <w:r w:rsidR="005F10EF">
        <w:rPr>
          <w:rFonts w:eastAsia="Calibri" w:cs="Tahoma"/>
          <w:szCs w:val="18"/>
        </w:rPr>
        <w:t> </w:t>
      </w:r>
      <w:r w:rsidRPr="00A75DF9">
        <w:rPr>
          <w:rFonts w:eastAsia="Calibri" w:cs="Tahoma"/>
          <w:szCs w:val="18"/>
        </w:rPr>
        <w:t>casi in cui il numero effettivo di core per processore fisico superi quattro, le società dovranno conservare un record della configurazione del software SQL Server in esecuzione sul</w:t>
      </w:r>
      <w:r w:rsidR="005F10EF">
        <w:rPr>
          <w:rFonts w:eastAsia="Calibri" w:cs="Tahoma"/>
          <w:szCs w:val="18"/>
        </w:rPr>
        <w:t> </w:t>
      </w:r>
      <w:r w:rsidRPr="00A75DF9">
        <w:rPr>
          <w:rFonts w:eastAsia="Calibri" w:cs="Tahoma"/>
          <w:szCs w:val="18"/>
        </w:rPr>
        <w:t>server (istanze con licenza in esecuzione negli ambienti del sistema operativo sul server con licenza) e l</w:t>
      </w:r>
      <w:r w:rsidR="00F2643E">
        <w:rPr>
          <w:rFonts w:eastAsia="Calibri" w:cs="Tahoma"/>
          <w:szCs w:val="18"/>
        </w:rPr>
        <w:t>’</w:t>
      </w:r>
      <w:r w:rsidRPr="00A75DF9">
        <w:rPr>
          <w:rFonts w:eastAsia="Calibri" w:cs="Tahoma"/>
          <w:szCs w:val="18"/>
        </w:rPr>
        <w:t xml:space="preserve">hardware fisico che supporta tale software appena prima del rinnovo di Software Assurance utilizzando lo strumento MAP di Microsoft o un software equivalente). </w:t>
      </w:r>
    </w:p>
    <w:p w:rsidR="00A81E83" w:rsidRPr="00A75DF9" w:rsidRDefault="00A81E83" w:rsidP="00346F4B">
      <w:pPr>
        <w:numPr>
          <w:ilvl w:val="0"/>
          <w:numId w:val="119"/>
        </w:numPr>
        <w:tabs>
          <w:tab w:val="left" w:pos="1440"/>
        </w:tabs>
        <w:spacing w:after="60"/>
        <w:ind w:left="1440"/>
        <w:rPr>
          <w:rFonts w:cs="Tahoma"/>
        </w:rPr>
      </w:pPr>
      <w:r w:rsidRPr="00A75DF9">
        <w:rPr>
          <w:rFonts w:eastAsia="Calibri" w:cs="Tahoma"/>
          <w:szCs w:val="18"/>
        </w:rPr>
        <w:t>un numero pari al numero di licenze qualificanti cedute al server oltre al numero effettivo di processori fisici sul server moltiplicato per quattro.</w:t>
      </w:r>
    </w:p>
    <w:p w:rsidR="0026723A" w:rsidRPr="00A75DF9" w:rsidRDefault="0026723A" w:rsidP="0026723A">
      <w:pPr>
        <w:tabs>
          <w:tab w:val="left" w:pos="1440"/>
        </w:tabs>
        <w:ind w:left="1080"/>
        <w:rPr>
          <w:rFonts w:cs="Tahoma"/>
        </w:rPr>
      </w:pPr>
    </w:p>
    <w:p w:rsidR="0026723A" w:rsidRPr="00A75DF9" w:rsidRDefault="00A81E83" w:rsidP="0026723A">
      <w:pPr>
        <w:spacing w:after="60"/>
        <w:ind w:left="720"/>
        <w:rPr>
          <w:rFonts w:cs="Tahoma"/>
        </w:rPr>
      </w:pPr>
      <w:r w:rsidRPr="00A75DF9">
        <w:rPr>
          <w:rFonts w:eastAsia="Calibri" w:cs="Tahoma"/>
          <w:b/>
          <w:szCs w:val="18"/>
        </w:rPr>
        <w:t>Primo Periodo di Rinnovo (in data 1 aprile 2015 o successiva)</w:t>
      </w:r>
    </w:p>
    <w:p w:rsidR="00A81E83" w:rsidRPr="00A75DF9" w:rsidRDefault="00A81E83" w:rsidP="0026723A">
      <w:pPr>
        <w:ind w:left="720"/>
        <w:rPr>
          <w:rFonts w:cs="Tahoma"/>
        </w:rPr>
      </w:pPr>
      <w:r w:rsidRPr="00A75DF9">
        <w:rPr>
          <w:rFonts w:eastAsia="Calibri" w:cs="Tahoma"/>
          <w:color w:val="000000"/>
          <w:szCs w:val="18"/>
        </w:rPr>
        <w:t>Le società che rinnovano per la prima volta la copertura in data 1 aprile 2015</w:t>
      </w:r>
      <w:r w:rsidRPr="00A75DF9">
        <w:rPr>
          <w:rFonts w:eastAsia="Calibri" w:cs="Tahoma"/>
          <w:szCs w:val="18"/>
        </w:rPr>
        <w:t xml:space="preserve"> potranno, per ogni server ottenuto in licenza in conformità ai diritti di utilizzo del prodotto previsti dalla licenza per processore SQL Server 2008 R2, acquistare la copertura Software Assurance come di seguito indicato:</w:t>
      </w:r>
    </w:p>
    <w:p w:rsidR="0026723A" w:rsidRPr="00A75DF9" w:rsidRDefault="0026723A" w:rsidP="0026723A">
      <w:pPr>
        <w:ind w:left="720"/>
        <w:rPr>
          <w:rFonts w:cs="Tahoma"/>
        </w:rPr>
      </w:pPr>
    </w:p>
    <w:p w:rsidR="00A81E83" w:rsidRPr="00A75DF9" w:rsidRDefault="00A81E83" w:rsidP="00346F4B">
      <w:pPr>
        <w:numPr>
          <w:ilvl w:val="3"/>
          <w:numId w:val="95"/>
        </w:numPr>
        <w:spacing w:after="60"/>
        <w:ind w:left="1440"/>
        <w:rPr>
          <w:rFonts w:cs="Tahoma"/>
        </w:rPr>
      </w:pPr>
      <w:r w:rsidRPr="00A75DF9">
        <w:rPr>
          <w:rFonts w:eastAsia="Calibri" w:cs="Tahoma"/>
          <w:szCs w:val="18"/>
        </w:rPr>
        <w:t xml:space="preserve">come stabilito nel primo paragrafo di questa nota relativa al prodotto, le licenze acquistate prima del 1 aprile 2015 sono licenze qualificanti e le società potranno rinnovare la copertura Software Assurance in base alle condizioni riportate nel precedente Articolo “Primo Periodo di Rinnovo (prima del 1 aprile 2015)” e </w:t>
      </w:r>
    </w:p>
    <w:p w:rsidR="00A81E83" w:rsidRPr="00A75DF9" w:rsidRDefault="00A81E83" w:rsidP="00346F4B">
      <w:pPr>
        <w:numPr>
          <w:ilvl w:val="3"/>
          <w:numId w:val="95"/>
        </w:numPr>
        <w:spacing w:after="60"/>
        <w:ind w:left="1440"/>
        <w:rPr>
          <w:rFonts w:cs="Tahoma"/>
        </w:rPr>
      </w:pPr>
      <w:r w:rsidRPr="00A75DF9">
        <w:rPr>
          <w:rFonts w:eastAsia="Calibri" w:cs="Tahoma"/>
          <w:szCs w:val="18"/>
        </w:rPr>
        <w:t>per le licenze acquistate dopo il 1 aprile 2015 le società potranno rinnovare la copertura Software Assurance per quattro licenze core per SQL Server Standard senza dover acquistare le licenze core sottostanti per ogni licenza per processore per SQL Server 2008 R2 Standard. Per l</w:t>
      </w:r>
      <w:r w:rsidR="00F2643E">
        <w:rPr>
          <w:rFonts w:eastAsia="Calibri" w:cs="Tahoma"/>
          <w:szCs w:val="18"/>
        </w:rPr>
        <w:t>’</w:t>
      </w:r>
      <w:r w:rsidRPr="00A75DF9">
        <w:rPr>
          <w:rFonts w:eastAsia="Calibri" w:cs="Tahoma"/>
          <w:szCs w:val="18"/>
        </w:rPr>
        <w:t>utilizzo continuativo di SQL Server 2012 su processori che richiedono più di quattro licenze core per processore la società deve acquistare le licenze core aggiuntive.</w:t>
      </w:r>
    </w:p>
    <w:p w:rsidR="00A81E83" w:rsidRPr="00A75DF9" w:rsidRDefault="00A81E83" w:rsidP="00346F4B">
      <w:pPr>
        <w:numPr>
          <w:ilvl w:val="0"/>
          <w:numId w:val="50"/>
        </w:numPr>
        <w:spacing w:after="60"/>
        <w:ind w:left="1440"/>
        <w:rPr>
          <w:rFonts w:cs="Tahoma"/>
        </w:rPr>
      </w:pPr>
      <w:r w:rsidRPr="00A75DF9">
        <w:rPr>
          <w:rFonts w:eastAsia="Calibri" w:cs="Tahoma"/>
          <w:szCs w:val="18"/>
        </w:rPr>
        <w:t>Le licenze per processore delle società non sono più valide se si acquista la copertura Software Assurance per licenze core ai sensi della presente offerta. L</w:t>
      </w:r>
      <w:r w:rsidR="00F2643E">
        <w:rPr>
          <w:rFonts w:eastAsia="Calibri" w:cs="Tahoma"/>
          <w:szCs w:val="18"/>
        </w:rPr>
        <w:t>’</w:t>
      </w:r>
      <w:r w:rsidRPr="00A75DF9">
        <w:rPr>
          <w:rFonts w:eastAsia="Calibri" w:cs="Tahoma"/>
          <w:szCs w:val="18"/>
        </w:rPr>
        <w:t>opzione di acquistare Software Assurance per le licenze core per SQL Server non è applicabile al rinnovo della copertura ai sensi dei programmi di sottoscrizione.</w:t>
      </w:r>
      <w:r w:rsidR="009D3B41" w:rsidRPr="00A75DF9">
        <w:rPr>
          <w:rFonts w:eastAsia="Calibri" w:cs="Tahoma"/>
          <w:szCs w:val="18"/>
        </w:rPr>
        <w:t xml:space="preserve"> </w:t>
      </w:r>
    </w:p>
    <w:p w:rsidR="0026723A" w:rsidRPr="00A75DF9" w:rsidRDefault="0026723A" w:rsidP="0026723A">
      <w:pPr>
        <w:tabs>
          <w:tab w:val="left" w:pos="1080"/>
        </w:tabs>
        <w:ind w:left="1080"/>
        <w:rPr>
          <w:rFonts w:cs="Tahoma"/>
        </w:rPr>
      </w:pPr>
    </w:p>
    <w:p w:rsidR="0026723A" w:rsidRPr="00A75DF9" w:rsidRDefault="00A431D5" w:rsidP="0026723A">
      <w:pPr>
        <w:spacing w:after="60"/>
        <w:ind w:left="720"/>
        <w:rPr>
          <w:rFonts w:cs="Tahoma"/>
        </w:rPr>
      </w:pPr>
      <w:r w:rsidRPr="00A75DF9">
        <w:rPr>
          <w:rFonts w:eastAsia="Calibri" w:cs="Tahoma"/>
          <w:b/>
          <w:szCs w:val="18"/>
        </w:rPr>
        <w:t>Per le società che desiderano eseguire lo step-up da SQL Server Standard a SQL Server Enterprise Core</w:t>
      </w:r>
    </w:p>
    <w:p w:rsidR="00A431D5" w:rsidRPr="00A75DF9" w:rsidRDefault="00A431D5" w:rsidP="005F10EF">
      <w:pPr>
        <w:ind w:left="720"/>
        <w:rPr>
          <w:rFonts w:cs="Tahoma"/>
        </w:rPr>
      </w:pPr>
      <w:r w:rsidRPr="00A75DF9">
        <w:rPr>
          <w:rFonts w:eastAsia="Calibri" w:cs="Tahoma"/>
          <w:szCs w:val="18"/>
        </w:rPr>
        <w:t>Le società in possesso di licenze qualificanti per SQL Server 2008 R2 Standard possono eseguire lo step-up di tali licenze a SQL Server Enterprise (Per Core) in qualsiasi momento durante il periodo di validità corrente della copertura Software Assurance. Per ogni server ottenuto validamente in licenza in conformità ai diritti di</w:t>
      </w:r>
      <w:r w:rsidR="005F10EF">
        <w:rPr>
          <w:rFonts w:eastAsia="Calibri" w:cs="Tahoma"/>
          <w:szCs w:val="18"/>
        </w:rPr>
        <w:t> </w:t>
      </w:r>
      <w:r w:rsidRPr="00A75DF9">
        <w:rPr>
          <w:rFonts w:eastAsia="Calibri" w:cs="Tahoma"/>
          <w:szCs w:val="18"/>
        </w:rPr>
        <w:t xml:space="preserve">utilizzo del prodotto previsti dalla licenza per processore SQL Server 2008 R2 Standard, la società potrà </w:t>
      </w:r>
      <w:r w:rsidRPr="00A75DF9">
        <w:rPr>
          <w:rFonts w:eastAsia="Calibri" w:cs="Tahoma"/>
          <w:szCs w:val="18"/>
        </w:rPr>
        <w:lastRenderedPageBreak/>
        <w:t xml:space="preserve">acquistare un numero di Licenze di Step-Up per SQL Server Enterprise Core pari al numero totale dei processori fisici sul server moltiplicato per il maggiore tra: </w:t>
      </w:r>
    </w:p>
    <w:p w:rsidR="0026723A" w:rsidRPr="00A75DF9" w:rsidRDefault="0026723A" w:rsidP="0026723A">
      <w:pPr>
        <w:tabs>
          <w:tab w:val="left" w:pos="1080"/>
        </w:tabs>
        <w:ind w:left="1080"/>
        <w:rPr>
          <w:rFonts w:cs="Tahoma"/>
        </w:rPr>
      </w:pPr>
    </w:p>
    <w:p w:rsidR="00A431D5" w:rsidRPr="00A75DF9" w:rsidRDefault="00A431D5" w:rsidP="00346F4B">
      <w:pPr>
        <w:numPr>
          <w:ilvl w:val="3"/>
          <w:numId w:val="96"/>
        </w:numPr>
        <w:tabs>
          <w:tab w:val="left" w:pos="1440"/>
        </w:tabs>
        <w:spacing w:after="60"/>
        <w:ind w:left="1440"/>
        <w:rPr>
          <w:rFonts w:cs="Tahoma"/>
        </w:rPr>
      </w:pPr>
      <w:r w:rsidRPr="00A75DF9">
        <w:rPr>
          <w:rFonts w:eastAsia="Calibri" w:cs="Tahoma"/>
          <w:szCs w:val="18"/>
        </w:rPr>
        <w:t>quattro O</w:t>
      </w:r>
    </w:p>
    <w:p w:rsidR="00A431D5" w:rsidRPr="00A75DF9" w:rsidRDefault="00A431D5" w:rsidP="005F10EF">
      <w:pPr>
        <w:numPr>
          <w:ilvl w:val="3"/>
          <w:numId w:val="96"/>
        </w:numPr>
        <w:tabs>
          <w:tab w:val="left" w:pos="1440"/>
        </w:tabs>
        <w:spacing w:after="60"/>
        <w:ind w:left="1440"/>
        <w:rPr>
          <w:rFonts w:cs="Tahoma"/>
        </w:rPr>
      </w:pPr>
      <w:r w:rsidRPr="00A75DF9">
        <w:rPr>
          <w:rFonts w:eastAsia="Calibri" w:cs="Tahoma"/>
          <w:szCs w:val="18"/>
        </w:rPr>
        <w:t>il numero effettivo di core per processore fisico moltiplicato per il fattore core appropriato.</w:t>
      </w:r>
      <w:r w:rsidR="009D3B41" w:rsidRPr="00A75DF9">
        <w:rPr>
          <w:rFonts w:eastAsia="Calibri" w:cs="Tahoma"/>
          <w:szCs w:val="18"/>
        </w:rPr>
        <w:t xml:space="preserve"> </w:t>
      </w:r>
      <w:r w:rsidRPr="00A75DF9">
        <w:rPr>
          <w:rFonts w:eastAsia="Calibri" w:cs="Tahoma"/>
          <w:szCs w:val="18"/>
        </w:rPr>
        <w:t>(Nei</w:t>
      </w:r>
      <w:r w:rsidR="005F10EF">
        <w:rPr>
          <w:rFonts w:eastAsia="Calibri" w:cs="Tahoma"/>
          <w:szCs w:val="18"/>
        </w:rPr>
        <w:t> </w:t>
      </w:r>
      <w:r w:rsidRPr="00A75DF9">
        <w:rPr>
          <w:rFonts w:eastAsia="Calibri" w:cs="Tahoma"/>
          <w:szCs w:val="18"/>
        </w:rPr>
        <w:t>casi</w:t>
      </w:r>
      <w:r w:rsidR="005F10EF">
        <w:rPr>
          <w:rFonts w:eastAsia="Calibri" w:cs="Tahoma"/>
          <w:szCs w:val="18"/>
        </w:rPr>
        <w:t> </w:t>
      </w:r>
      <w:r w:rsidRPr="00A75DF9">
        <w:rPr>
          <w:rFonts w:eastAsia="Calibri" w:cs="Tahoma"/>
          <w:szCs w:val="18"/>
        </w:rPr>
        <w:t>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w:t>
      </w:r>
      <w:r w:rsidR="00F2643E">
        <w:rPr>
          <w:rFonts w:eastAsia="Calibri" w:cs="Tahoma"/>
          <w:szCs w:val="18"/>
        </w:rPr>
        <w:t>’</w:t>
      </w:r>
      <w:r w:rsidRPr="00A75DF9">
        <w:rPr>
          <w:rFonts w:eastAsia="Calibri" w:cs="Tahoma"/>
          <w:szCs w:val="18"/>
        </w:rPr>
        <w:t>hardware fisico che supporta tale software appena prima dell</w:t>
      </w:r>
      <w:r w:rsidR="00F2643E">
        <w:rPr>
          <w:rFonts w:eastAsia="Calibri" w:cs="Tahoma"/>
          <w:szCs w:val="18"/>
        </w:rPr>
        <w:t>’</w:t>
      </w:r>
      <w:r w:rsidRPr="00A75DF9">
        <w:rPr>
          <w:rFonts w:eastAsia="Calibri" w:cs="Tahoma"/>
          <w:szCs w:val="18"/>
        </w:rPr>
        <w:t xml:space="preserve">acquisto delle licenze di Step-Up utilizzando lo strumento MAP di Microsoft o un software equivalente). </w:t>
      </w:r>
    </w:p>
    <w:p w:rsidR="0026723A" w:rsidRPr="00A75DF9" w:rsidRDefault="0026723A" w:rsidP="0026723A">
      <w:pPr>
        <w:tabs>
          <w:tab w:val="left" w:pos="1440"/>
        </w:tabs>
        <w:ind w:left="1440"/>
        <w:rPr>
          <w:rFonts w:cs="Tahoma"/>
        </w:rPr>
      </w:pPr>
    </w:p>
    <w:p w:rsidR="00A431D5" w:rsidRPr="00A75DF9" w:rsidRDefault="00A431D5" w:rsidP="0026723A">
      <w:pPr>
        <w:ind w:left="720"/>
        <w:rPr>
          <w:rFonts w:cs="Tahoma"/>
        </w:rPr>
      </w:pPr>
      <w:r w:rsidRPr="00A75DF9">
        <w:rPr>
          <w:rFonts w:eastAsia="Calibri" w:cs="Tahoma"/>
          <w:szCs w:val="18"/>
        </w:rPr>
        <w:t>All</w:t>
      </w:r>
      <w:r w:rsidR="00F2643E">
        <w:rPr>
          <w:rFonts w:eastAsia="Calibri" w:cs="Tahoma"/>
          <w:szCs w:val="18"/>
        </w:rPr>
        <w:t>’</w:t>
      </w:r>
      <w:r w:rsidRPr="00A75DF9">
        <w:rPr>
          <w:rFonts w:eastAsia="Calibri" w:cs="Tahoma"/>
          <w:szCs w:val="18"/>
        </w:rPr>
        <w:t>acquisto nel numero appropriato di licenze di Step-Up per SQL Server Enterprise Core, la società potrà distribuire e utilizzare il software ai sensi dei diritti di utilizzo di SQL Server Enterprise Core.</w:t>
      </w:r>
      <w:r w:rsidR="009D3B41" w:rsidRPr="00A75DF9">
        <w:rPr>
          <w:rFonts w:eastAsia="Calibri" w:cs="Tahoma"/>
          <w:szCs w:val="18"/>
        </w:rPr>
        <w:t xml:space="preserve"> </w:t>
      </w:r>
      <w:r w:rsidRPr="00A75DF9">
        <w:rPr>
          <w:rFonts w:eastAsia="Calibri" w:cs="Tahoma"/>
          <w:szCs w:val="18"/>
        </w:rPr>
        <w:t>Salvo per quanto previsto al presente Articolo “Per le società che desiderano eseguire lo step-up da SQL Server Standard a SQL Server Enterprise Core”</w:t>
      </w:r>
      <w:r w:rsidRPr="00A75DF9">
        <w:rPr>
          <w:rFonts w:eastAsia="Calibri" w:cs="Tahoma"/>
          <w:b/>
          <w:szCs w:val="18"/>
        </w:rPr>
        <w:t xml:space="preserve">, </w:t>
      </w:r>
      <w:r w:rsidRPr="00A75DF9">
        <w:rPr>
          <w:rFonts w:eastAsia="Calibri" w:cs="Tahoma"/>
          <w:szCs w:val="18"/>
        </w:rPr>
        <w:t>si applicano le condizioni relative all</w:t>
      </w:r>
      <w:r w:rsidR="00F2643E">
        <w:rPr>
          <w:rFonts w:eastAsia="Calibri" w:cs="Tahoma"/>
          <w:szCs w:val="18"/>
        </w:rPr>
        <w:t>’</w:t>
      </w:r>
      <w:r w:rsidRPr="00A75DF9">
        <w:rPr>
          <w:rFonts w:eastAsia="Calibri" w:cs="Tahoma"/>
          <w:szCs w:val="18"/>
        </w:rPr>
        <w:t>acquisto di licenze di Step-Up, come descritte nell</w:t>
      </w:r>
      <w:r w:rsidR="00F2643E">
        <w:rPr>
          <w:rFonts w:eastAsia="Calibri" w:cs="Tahoma"/>
          <w:szCs w:val="18"/>
        </w:rPr>
        <w:t>’</w:t>
      </w:r>
      <w:r w:rsidRPr="00A75DF9">
        <w:rPr>
          <w:rFonts w:eastAsia="Calibri" w:cs="Tahoma"/>
          <w:szCs w:val="18"/>
        </w:rPr>
        <w:t>Articolo relativo a Software Assurance in questa Lista dei Prodotti.</w:t>
      </w:r>
      <w:r w:rsidRPr="00A75DF9">
        <w:rPr>
          <w:rFonts w:eastAsia="Calibri" w:cs="Tahoma"/>
          <w:b/>
          <w:szCs w:val="18"/>
        </w:rPr>
        <w:t xml:space="preserve"> </w:t>
      </w:r>
    </w:p>
    <w:p w:rsidR="0026723A" w:rsidRPr="00A75DF9" w:rsidRDefault="0026723A" w:rsidP="0026723A">
      <w:pPr>
        <w:tabs>
          <w:tab w:val="left" w:pos="1080"/>
        </w:tabs>
        <w:ind w:left="1080"/>
        <w:rPr>
          <w:rFonts w:cs="Tahoma"/>
        </w:rPr>
      </w:pPr>
    </w:p>
    <w:p w:rsidR="0026723A" w:rsidRPr="00A75DF9" w:rsidRDefault="00A81E83" w:rsidP="0026723A">
      <w:pPr>
        <w:spacing w:after="60"/>
        <w:ind w:left="720"/>
        <w:rPr>
          <w:rFonts w:cs="Tahoma"/>
        </w:rPr>
      </w:pPr>
      <w:r w:rsidRPr="00A75DF9">
        <w:rPr>
          <w:rFonts w:eastAsia="Calibri" w:cs="Tahoma"/>
          <w:b/>
          <w:szCs w:val="18"/>
        </w:rPr>
        <w:t>Per le Società con copertura Software Assurance in scadenza prima del 1 aprile 2015 che scelgono di non effettuare il rinnovo</w:t>
      </w:r>
    </w:p>
    <w:p w:rsidR="00A81E83" w:rsidRPr="00A75DF9" w:rsidRDefault="00A81E83" w:rsidP="007C7A9E">
      <w:pPr>
        <w:ind w:left="720"/>
        <w:rPr>
          <w:rFonts w:cs="Tahoma"/>
        </w:rPr>
      </w:pPr>
      <w:r w:rsidRPr="00A75DF9">
        <w:rPr>
          <w:rFonts w:eastAsia="Calibri" w:cs="Tahoma"/>
          <w:szCs w:val="18"/>
        </w:rPr>
        <w:t>Le società titolari di contratti Enterprise Subscription e Open Value Subscription con copertura in scadenza prima del 1 aprile 2015 che scelgono di effettuare il buy-out delle licenze per processore e altre società che</w:t>
      </w:r>
      <w:r w:rsidR="007C7A9E">
        <w:rPr>
          <w:rFonts w:eastAsia="Calibri" w:cs="Tahoma"/>
          <w:szCs w:val="18"/>
        </w:rPr>
        <w:t> </w:t>
      </w:r>
      <w:r w:rsidRPr="00A75DF9">
        <w:rPr>
          <w:rFonts w:eastAsia="Calibri" w:cs="Tahoma"/>
          <w:szCs w:val="18"/>
        </w:rPr>
        <w:t>acquistano licenze perpetue ai sensi del loro contratto e scelgono di non rinnovare Software Assurance potranno eseguire SQL Server 2008 R2 o SQL Server 2012 ai sensi di tali licenze come indicato sotto:</w:t>
      </w:r>
    </w:p>
    <w:p w:rsidR="009C7505" w:rsidRPr="00A75DF9" w:rsidRDefault="009C7505" w:rsidP="0026723A">
      <w:pPr>
        <w:ind w:left="720"/>
        <w:rPr>
          <w:rFonts w:cs="Tahoma"/>
        </w:rPr>
      </w:pPr>
    </w:p>
    <w:p w:rsidR="00A81E83" w:rsidRPr="00A75DF9" w:rsidRDefault="00A81E83" w:rsidP="007C7A9E">
      <w:pPr>
        <w:numPr>
          <w:ilvl w:val="0"/>
          <w:numId w:val="97"/>
        </w:numPr>
        <w:tabs>
          <w:tab w:val="left" w:pos="1440"/>
        </w:tabs>
        <w:spacing w:after="60"/>
        <w:ind w:left="1440"/>
        <w:rPr>
          <w:rFonts w:cs="Tahoma"/>
        </w:rPr>
      </w:pPr>
      <w:r w:rsidRPr="00A75DF9">
        <w:rPr>
          <w:rFonts w:eastAsia="Calibri" w:cs="Tahoma"/>
          <w:b/>
          <w:szCs w:val="18"/>
        </w:rPr>
        <w:t>SQL Server 2008 R2 Standard:</w:t>
      </w:r>
      <w:r w:rsidRPr="00A75DF9">
        <w:rPr>
          <w:rFonts w:eastAsia="Calibri" w:cs="Tahoma"/>
          <w:szCs w:val="18"/>
        </w:rPr>
        <w:t xml:space="preserve"> l</w:t>
      </w:r>
      <w:r w:rsidR="00F2643E">
        <w:rPr>
          <w:rFonts w:eastAsia="Calibri" w:cs="Tahoma"/>
          <w:szCs w:val="18"/>
        </w:rPr>
        <w:t>’</w:t>
      </w:r>
      <w:r w:rsidRPr="00A75DF9">
        <w:rPr>
          <w:rFonts w:eastAsia="Calibri" w:cs="Tahoma"/>
          <w:szCs w:val="18"/>
        </w:rPr>
        <w:t>utilizzo continuativo di tale versione del software è soggetto ai</w:t>
      </w:r>
      <w:r w:rsidR="007C7A9E">
        <w:rPr>
          <w:rFonts w:eastAsia="Calibri" w:cs="Tahoma"/>
          <w:szCs w:val="18"/>
        </w:rPr>
        <w:t> </w:t>
      </w:r>
      <w:r w:rsidRPr="00A75DF9">
        <w:rPr>
          <w:rFonts w:eastAsia="Calibri" w:cs="Tahoma"/>
          <w:szCs w:val="18"/>
        </w:rPr>
        <w:t>diritti di utilizzo del prodotto previsti dalla licenza per processore SQL Server 2008 R2 Standard. Le società non disporranno più di diritti ai sensi della Mobilità delle Licenze all</w:t>
      </w:r>
      <w:r w:rsidR="00F2643E">
        <w:rPr>
          <w:rFonts w:eastAsia="Calibri" w:cs="Tahoma"/>
          <w:szCs w:val="18"/>
        </w:rPr>
        <w:t>’</w:t>
      </w:r>
      <w:r w:rsidRPr="00A75DF9">
        <w:rPr>
          <w:rFonts w:eastAsia="Calibri" w:cs="Tahoma"/>
          <w:szCs w:val="18"/>
        </w:rPr>
        <w:t>interno di Server Farm o</w:t>
      </w:r>
      <w:r w:rsidR="007C7A9E">
        <w:rPr>
          <w:rFonts w:eastAsia="Calibri" w:cs="Tahoma"/>
          <w:szCs w:val="18"/>
        </w:rPr>
        <w:t> </w:t>
      </w:r>
      <w:r w:rsidRPr="00A75DF9">
        <w:rPr>
          <w:rFonts w:eastAsia="Calibri" w:cs="Tahoma"/>
          <w:szCs w:val="18"/>
        </w:rPr>
        <w:t xml:space="preserve">della Mobilità delle Licenze tramite Software Assurance. </w:t>
      </w:r>
    </w:p>
    <w:p w:rsidR="00A81E83" w:rsidRPr="00A75DF9" w:rsidRDefault="00A81E83" w:rsidP="00346F4B">
      <w:pPr>
        <w:numPr>
          <w:ilvl w:val="0"/>
          <w:numId w:val="97"/>
        </w:numPr>
        <w:tabs>
          <w:tab w:val="left" w:pos="1440"/>
        </w:tabs>
        <w:spacing w:after="60"/>
        <w:ind w:left="1440"/>
        <w:rPr>
          <w:rFonts w:cs="Tahoma"/>
        </w:rPr>
      </w:pPr>
      <w:r w:rsidRPr="00A75DF9">
        <w:rPr>
          <w:rFonts w:eastAsia="Calibri" w:cs="Tahoma"/>
          <w:b/>
          <w:szCs w:val="18"/>
        </w:rPr>
        <w:t xml:space="preserve">SQL Server 2012 Standard Core: </w:t>
      </w:r>
      <w:r w:rsidRPr="00A75DF9">
        <w:rPr>
          <w:rFonts w:eastAsia="Calibri" w:cs="Tahoma"/>
          <w:szCs w:val="18"/>
        </w:rPr>
        <w:t>l</w:t>
      </w:r>
      <w:r w:rsidR="00F2643E">
        <w:rPr>
          <w:rFonts w:eastAsia="Calibri" w:cs="Tahoma"/>
          <w:szCs w:val="18"/>
        </w:rPr>
        <w:t>’</w:t>
      </w:r>
      <w:r w:rsidRPr="00A75DF9">
        <w:rPr>
          <w:rFonts w:eastAsia="Calibri" w:cs="Tahoma"/>
          <w:szCs w:val="18"/>
        </w:rPr>
        <w:t xml:space="preserve">utilizzo di tale versione del software è soggetto ai diritti di utilizzo del prodotto previsti dalla licenza per processore SQL Server 2008 R2 Standard, tuttavia: </w:t>
      </w:r>
    </w:p>
    <w:p w:rsidR="00A81E83" w:rsidRPr="00A75DF9" w:rsidRDefault="00A81E83" w:rsidP="00346F4B">
      <w:pPr>
        <w:numPr>
          <w:ilvl w:val="1"/>
          <w:numId w:val="98"/>
        </w:numPr>
        <w:tabs>
          <w:tab w:val="left" w:pos="1800"/>
        </w:tabs>
        <w:spacing w:after="60"/>
        <w:ind w:left="1800"/>
        <w:rPr>
          <w:rFonts w:cs="Tahoma"/>
        </w:rPr>
      </w:pPr>
      <w:r w:rsidRPr="00A75DF9">
        <w:rPr>
          <w:rFonts w:eastAsia="Calibri" w:cs="Tahoma"/>
          <w:szCs w:val="18"/>
        </w:rPr>
        <w:t>le società non disporranno più di diritti ai sensi della Mobilità delle Licenze all</w:t>
      </w:r>
      <w:r w:rsidR="00F2643E">
        <w:rPr>
          <w:rFonts w:eastAsia="Calibri" w:cs="Tahoma"/>
          <w:szCs w:val="18"/>
        </w:rPr>
        <w:t>’</w:t>
      </w:r>
      <w:r w:rsidRPr="00A75DF9">
        <w:rPr>
          <w:rFonts w:eastAsia="Calibri" w:cs="Tahoma"/>
          <w:szCs w:val="18"/>
        </w:rPr>
        <w:t xml:space="preserve">interno di Server Farm o della Mobilità delle Licenze tramite Software Assurance e </w:t>
      </w:r>
    </w:p>
    <w:p w:rsidR="00A81E83" w:rsidRPr="00A75DF9" w:rsidRDefault="00A81E83" w:rsidP="00346F4B">
      <w:pPr>
        <w:numPr>
          <w:ilvl w:val="1"/>
          <w:numId w:val="98"/>
        </w:numPr>
        <w:tabs>
          <w:tab w:val="left" w:pos="1800"/>
        </w:tabs>
        <w:spacing w:after="60"/>
        <w:ind w:left="1800"/>
        <w:rPr>
          <w:rFonts w:cs="Tahoma"/>
        </w:rPr>
      </w:pPr>
      <w:r w:rsidRPr="00A75DF9">
        <w:rPr>
          <w:rFonts w:eastAsia="Calibri" w:cs="Tahoma"/>
          <w:szCs w:val="18"/>
        </w:rPr>
        <w:t>l</w:t>
      </w:r>
      <w:r w:rsidR="00F2643E">
        <w:rPr>
          <w:rFonts w:eastAsia="Calibri" w:cs="Tahoma"/>
          <w:szCs w:val="18"/>
        </w:rPr>
        <w:t>’</w:t>
      </w:r>
      <w:r w:rsidRPr="00A75DF9">
        <w:rPr>
          <w:rFonts w:eastAsia="Calibri" w:cs="Tahoma"/>
          <w:szCs w:val="18"/>
        </w:rPr>
        <w:t>eventuale riassegnazione di licenze è soggetta ai limiti indicati nei paragrafi (i) e (ii) che seguono relativi alla loro “equivalenza di licenze core”. L</w:t>
      </w:r>
      <w:r w:rsidR="00F2643E">
        <w:rPr>
          <w:rFonts w:eastAsia="Calibri" w:cs="Tahoma"/>
          <w:szCs w:val="18"/>
        </w:rPr>
        <w:t>’</w:t>
      </w:r>
      <w:r w:rsidRPr="00A75DF9">
        <w:rPr>
          <w:rFonts w:eastAsia="Calibri" w:cs="Tahoma"/>
          <w:szCs w:val="18"/>
        </w:rPr>
        <w:t xml:space="preserve">equivalenza di licenze core è determinata come di seguito riportato. </w:t>
      </w:r>
    </w:p>
    <w:p w:rsidR="00A81E83" w:rsidRPr="00A75DF9" w:rsidRDefault="00A81E83" w:rsidP="00346F4B">
      <w:pPr>
        <w:numPr>
          <w:ilvl w:val="2"/>
          <w:numId w:val="97"/>
        </w:numPr>
        <w:tabs>
          <w:tab w:val="left" w:pos="2160"/>
        </w:tabs>
        <w:spacing w:after="60"/>
        <w:ind w:hanging="360"/>
        <w:rPr>
          <w:rFonts w:cs="Tahoma"/>
        </w:rPr>
      </w:pPr>
      <w:r w:rsidRPr="00A75DF9">
        <w:rPr>
          <w:rFonts w:eastAsia="Calibri" w:cs="Tahoma"/>
          <w:szCs w:val="18"/>
        </w:rPr>
        <w:t>Per un numero di licenze pari al numero inferiore tra (x) il numero totale di licenze per processore cedute a un server con licenza appena prima della scadenza di Software Assurance o (y) il numero totale di processori fisici su tale server, l</w:t>
      </w:r>
      <w:r w:rsidR="00F2643E">
        <w:rPr>
          <w:rFonts w:eastAsia="Calibri" w:cs="Tahoma"/>
          <w:szCs w:val="18"/>
        </w:rPr>
        <w:t>’</w:t>
      </w:r>
      <w:r w:rsidRPr="00A75DF9">
        <w:rPr>
          <w:rFonts w:eastAsia="Calibri" w:cs="Tahoma"/>
          <w:szCs w:val="18"/>
        </w:rPr>
        <w:t xml:space="preserve">equivalenza di licenze core è il numero maggiore tra: </w:t>
      </w:r>
    </w:p>
    <w:p w:rsidR="00A81E83" w:rsidRPr="00A75DF9" w:rsidRDefault="00A81E83" w:rsidP="00346F4B">
      <w:pPr>
        <w:numPr>
          <w:ilvl w:val="4"/>
          <w:numId w:val="50"/>
        </w:numPr>
        <w:tabs>
          <w:tab w:val="left" w:pos="2520"/>
        </w:tabs>
        <w:spacing w:after="60"/>
        <w:ind w:left="2880"/>
        <w:rPr>
          <w:rFonts w:cs="Tahoma"/>
        </w:rPr>
      </w:pPr>
      <w:r w:rsidRPr="00A75DF9">
        <w:rPr>
          <w:rFonts w:eastAsia="Calibri" w:cs="Tahoma"/>
          <w:szCs w:val="18"/>
        </w:rPr>
        <w:t xml:space="preserve">quattro core per licenza per processore O </w:t>
      </w:r>
    </w:p>
    <w:p w:rsidR="00A81E83" w:rsidRPr="00A75DF9" w:rsidRDefault="00A81E83" w:rsidP="00346F4B">
      <w:pPr>
        <w:numPr>
          <w:ilvl w:val="4"/>
          <w:numId w:val="50"/>
        </w:numPr>
        <w:tabs>
          <w:tab w:val="left" w:pos="2520"/>
        </w:tabs>
        <w:spacing w:after="60"/>
        <w:ind w:left="2880"/>
        <w:rPr>
          <w:rFonts w:cs="Tahoma"/>
        </w:rPr>
      </w:pPr>
      <w:r w:rsidRPr="00A75DF9">
        <w:rPr>
          <w:rFonts w:eastAsia="Calibri" w:cs="Tahoma"/>
          <w:szCs w:val="18"/>
        </w:rPr>
        <w:t>un numero di core per licenza per processore basato sul numero effettivo di core per processore fisico moltiplicato per il fattore core appropriato. (Nei casi in cui il numero effettivo di core per processore fisico superi quattro, le società dovranno conservare un record della configurazione del software SQL Server in esecuzione sul server (istanze con licenza in esecuzione negli ambienti del sistema operativo sul server con licenza) e l</w:t>
      </w:r>
      <w:r w:rsidR="00F2643E">
        <w:rPr>
          <w:rFonts w:eastAsia="Calibri" w:cs="Tahoma"/>
          <w:szCs w:val="18"/>
        </w:rPr>
        <w:t>’</w:t>
      </w:r>
      <w:r w:rsidRPr="00A75DF9">
        <w:rPr>
          <w:rFonts w:eastAsia="Calibri" w:cs="Tahoma"/>
          <w:szCs w:val="18"/>
        </w:rPr>
        <w:t>hardware fisico che supporta tale software appena prima della scadenza di Software Assurance utilizzando lo strumento MAP di Microsoft o un software equivalente).</w:t>
      </w:r>
    </w:p>
    <w:p w:rsidR="00A81E83" w:rsidRPr="00A75DF9" w:rsidRDefault="00A81E83" w:rsidP="007C7A9E">
      <w:pPr>
        <w:numPr>
          <w:ilvl w:val="2"/>
          <w:numId w:val="97"/>
        </w:numPr>
        <w:tabs>
          <w:tab w:val="left" w:pos="2160"/>
        </w:tabs>
        <w:spacing w:after="60"/>
        <w:ind w:hanging="360"/>
        <w:rPr>
          <w:rFonts w:cs="Tahoma"/>
        </w:rPr>
      </w:pPr>
      <w:r w:rsidRPr="00A75DF9">
        <w:rPr>
          <w:rFonts w:eastAsia="Calibri" w:cs="Tahoma"/>
          <w:szCs w:val="18"/>
        </w:rPr>
        <w:t>Per qualsiasi licenza per processore con la copertura Software Assurance in scadenza ceduta allo stesso server con licenza che ecceda il numero effettivo di processori fisici sul</w:t>
      </w:r>
      <w:r w:rsidR="007C7A9E">
        <w:rPr>
          <w:rFonts w:eastAsia="Calibri" w:cs="Tahoma"/>
          <w:szCs w:val="18"/>
        </w:rPr>
        <w:t> </w:t>
      </w:r>
      <w:r w:rsidRPr="00A75DF9">
        <w:rPr>
          <w:rFonts w:eastAsia="Calibri" w:cs="Tahoma"/>
          <w:szCs w:val="18"/>
        </w:rPr>
        <w:t>server, l</w:t>
      </w:r>
      <w:r w:rsidR="00F2643E">
        <w:rPr>
          <w:rFonts w:eastAsia="Calibri" w:cs="Tahoma"/>
          <w:szCs w:val="18"/>
        </w:rPr>
        <w:t>’</w:t>
      </w:r>
      <w:r w:rsidRPr="00A75DF9">
        <w:rPr>
          <w:rFonts w:eastAsia="Calibri" w:cs="Tahoma"/>
          <w:szCs w:val="18"/>
        </w:rPr>
        <w:t>equivalenza core è di quattro core per licenza per processore.</w:t>
      </w:r>
    </w:p>
    <w:p w:rsidR="00A81E83" w:rsidRPr="00A75DF9" w:rsidRDefault="00A81E83" w:rsidP="00346F4B">
      <w:pPr>
        <w:numPr>
          <w:ilvl w:val="0"/>
          <w:numId w:val="53"/>
        </w:numPr>
        <w:tabs>
          <w:tab w:val="left" w:pos="1440"/>
        </w:tabs>
        <w:spacing w:after="60"/>
        <w:ind w:left="1440"/>
        <w:rPr>
          <w:rFonts w:cs="Tahoma"/>
        </w:rPr>
      </w:pPr>
      <w:r w:rsidRPr="00A75DF9">
        <w:rPr>
          <w:rFonts w:eastAsia="Calibri" w:cs="Tahoma"/>
          <w:szCs w:val="18"/>
        </w:rPr>
        <w:t>Le società potranno riassegnare le licenze a un altro server. Tuttavia, qualora la società riassegni una licenza a un altro server, dovrà attenersi ai diritti sull</w:t>
      </w:r>
      <w:r w:rsidR="00F2643E">
        <w:rPr>
          <w:rFonts w:eastAsia="Calibri" w:cs="Tahoma"/>
          <w:szCs w:val="18"/>
        </w:rPr>
        <w:t>’</w:t>
      </w:r>
      <w:r w:rsidRPr="00A75DF9">
        <w:rPr>
          <w:rFonts w:eastAsia="Calibri" w:cs="Tahoma"/>
          <w:szCs w:val="18"/>
        </w:rPr>
        <w:t>utilizzo di SQL Server 2012. Quando cede licenze core a server ai sensi dei diritti sull</w:t>
      </w:r>
      <w:r w:rsidR="00F2643E">
        <w:rPr>
          <w:rFonts w:eastAsia="Calibri" w:cs="Tahoma"/>
          <w:szCs w:val="18"/>
        </w:rPr>
        <w:t>’</w:t>
      </w:r>
      <w:r w:rsidRPr="00A75DF9">
        <w:rPr>
          <w:rFonts w:eastAsia="Calibri" w:cs="Tahoma"/>
          <w:szCs w:val="18"/>
        </w:rPr>
        <w:t>utilizzo per SQL 2012, la società potrà combinare l</w:t>
      </w:r>
      <w:r w:rsidR="00F2643E">
        <w:rPr>
          <w:rFonts w:eastAsia="Calibri" w:cs="Tahoma"/>
          <w:szCs w:val="18"/>
        </w:rPr>
        <w:t>’</w:t>
      </w:r>
      <w:r w:rsidRPr="00A75DF9">
        <w:rPr>
          <w:rFonts w:eastAsia="Calibri" w:cs="Tahoma"/>
          <w:szCs w:val="18"/>
        </w:rPr>
        <w:t>equivalenza core delle licenze esistenti con le licenze core per SQL Server 2012 aggiuntive.</w:t>
      </w:r>
    </w:p>
    <w:p w:rsidR="00A81E83" w:rsidRPr="00A75DF9" w:rsidRDefault="00A81E83" w:rsidP="00346F4B">
      <w:pPr>
        <w:numPr>
          <w:ilvl w:val="0"/>
          <w:numId w:val="53"/>
        </w:numPr>
        <w:tabs>
          <w:tab w:val="left" w:pos="1440"/>
        </w:tabs>
        <w:spacing w:after="60"/>
        <w:ind w:left="1440"/>
        <w:rPr>
          <w:rFonts w:cs="Tahoma"/>
        </w:rPr>
      </w:pPr>
      <w:r w:rsidRPr="00A75DF9">
        <w:rPr>
          <w:rFonts w:eastAsia="Calibri" w:cs="Tahoma"/>
          <w:szCs w:val="18"/>
        </w:rPr>
        <w:lastRenderedPageBreak/>
        <w:t>L</w:t>
      </w:r>
      <w:r w:rsidR="00F2643E">
        <w:rPr>
          <w:rFonts w:eastAsia="Calibri" w:cs="Tahoma"/>
          <w:szCs w:val="18"/>
        </w:rPr>
        <w:t>’</w:t>
      </w:r>
      <w:r w:rsidRPr="00A75DF9">
        <w:rPr>
          <w:rFonts w:eastAsia="Calibri" w:cs="Tahoma"/>
          <w:szCs w:val="18"/>
        </w:rPr>
        <w:t>equivalenza di licenze core stimata delle società non implica che esse possano cedere una licenza singola per processore a core attraverso due o più processori.</w:t>
      </w:r>
    </w:p>
    <w:p w:rsidR="009C7505" w:rsidRDefault="009C7505" w:rsidP="009C7505">
      <w:pPr>
        <w:tabs>
          <w:tab w:val="left" w:pos="1440"/>
        </w:tabs>
        <w:ind w:left="1080"/>
        <w:rPr>
          <w:rFonts w:cs="Tahoma"/>
        </w:rPr>
      </w:pPr>
    </w:p>
    <w:p w:rsidR="009C7505" w:rsidRPr="00A75DF9" w:rsidRDefault="00A81E83" w:rsidP="009C7505">
      <w:pPr>
        <w:tabs>
          <w:tab w:val="left" w:pos="720"/>
        </w:tabs>
        <w:spacing w:after="60"/>
        <w:ind w:left="720"/>
        <w:rPr>
          <w:rFonts w:cs="Tahoma"/>
        </w:rPr>
      </w:pPr>
      <w:r w:rsidRPr="00A75DF9">
        <w:rPr>
          <w:rFonts w:eastAsia="Calibri" w:cs="Tahoma"/>
          <w:b/>
          <w:szCs w:val="18"/>
        </w:rPr>
        <w:t>Per le Società con copertura Software Assurance in scadenza in data 1 aprile 2015 o successiva che scelgono di non effettuare il rinnovo</w:t>
      </w:r>
    </w:p>
    <w:p w:rsidR="00A81E83" w:rsidRPr="00A75DF9" w:rsidRDefault="00A81E83" w:rsidP="009C7505">
      <w:pPr>
        <w:tabs>
          <w:tab w:val="left" w:pos="720"/>
        </w:tabs>
        <w:ind w:left="720"/>
        <w:rPr>
          <w:rFonts w:cs="Tahoma"/>
        </w:rPr>
      </w:pPr>
      <w:r w:rsidRPr="00A75DF9">
        <w:rPr>
          <w:rFonts w:eastAsia="Calibri" w:cs="Tahoma"/>
          <w:color w:val="000000"/>
          <w:szCs w:val="18"/>
        </w:rPr>
        <w:t xml:space="preserve">Alle società titolari di contratti Enterprise Subscription </w:t>
      </w:r>
      <w:r w:rsidRPr="00A75DF9">
        <w:rPr>
          <w:rFonts w:eastAsia="Calibri" w:cs="Tahoma"/>
          <w:szCs w:val="18"/>
        </w:rPr>
        <w:t xml:space="preserve">e Open Value Subscription </w:t>
      </w:r>
      <w:r w:rsidRPr="00A75DF9">
        <w:rPr>
          <w:rFonts w:eastAsia="Calibri" w:cs="Tahoma"/>
          <w:color w:val="000000"/>
          <w:szCs w:val="18"/>
        </w:rPr>
        <w:t xml:space="preserve">con copertura in scadenza in data 1 aprile 2015 o successiva che scelgono di effettuare il buy-out delle licenze per processore e alle altre società che acquistano licenze perpetue ai sensi del loro contratto verranno offerte le seguenti opzioni: </w:t>
      </w:r>
    </w:p>
    <w:p w:rsidR="009C7505" w:rsidRPr="007C7A9E" w:rsidRDefault="009C7505" w:rsidP="009C7505">
      <w:pPr>
        <w:tabs>
          <w:tab w:val="left" w:pos="720"/>
        </w:tabs>
        <w:ind w:left="720"/>
        <w:rPr>
          <w:rFonts w:cs="Tahoma"/>
          <w:szCs w:val="18"/>
        </w:rPr>
      </w:pPr>
    </w:p>
    <w:p w:rsidR="00A81E83" w:rsidRPr="00A75DF9" w:rsidRDefault="00A81E83" w:rsidP="00346F4B">
      <w:pPr>
        <w:numPr>
          <w:ilvl w:val="2"/>
          <w:numId w:val="50"/>
        </w:numPr>
        <w:spacing w:after="60"/>
        <w:ind w:left="1440"/>
        <w:rPr>
          <w:rFonts w:cs="Tahoma"/>
        </w:rPr>
      </w:pPr>
      <w:r w:rsidRPr="00A75DF9">
        <w:rPr>
          <w:rFonts w:eastAsia="Calibri" w:cs="Tahoma"/>
          <w:szCs w:val="18"/>
        </w:rPr>
        <w:t xml:space="preserve">come stabilito nel primo paragrafo di questa nota relativa al prodotto, le licenze acquistate prima del 1 aprile 2015 sono licenze qualificanti e le società potranno continuare a utilizzare SQL Server 2012 in base alle condizioni riportate nel precedente Articolo “Per le società con copertura Software Assurance in scadenza prima del 1 aprile 2015 che scelgono di non effettuare il rinnovo” e </w:t>
      </w:r>
    </w:p>
    <w:p w:rsidR="00A81E83" w:rsidRPr="00A75DF9" w:rsidRDefault="00A81E83" w:rsidP="007C7A9E">
      <w:pPr>
        <w:numPr>
          <w:ilvl w:val="2"/>
          <w:numId w:val="50"/>
        </w:numPr>
        <w:spacing w:after="60"/>
        <w:ind w:left="1440"/>
        <w:rPr>
          <w:rFonts w:cs="Tahoma"/>
        </w:rPr>
      </w:pPr>
      <w:r w:rsidRPr="00A75DF9">
        <w:rPr>
          <w:rFonts w:eastAsia="Calibri" w:cs="Tahoma"/>
          <w:szCs w:val="18"/>
        </w:rPr>
        <w:t>per le licenze acquistate dopo il 1 aprile 2015 la licenza per processore delle società avrà un</w:t>
      </w:r>
      <w:r w:rsidR="00F2643E">
        <w:rPr>
          <w:rFonts w:eastAsia="Calibri" w:cs="Tahoma"/>
          <w:szCs w:val="18"/>
        </w:rPr>
        <w:t>’</w:t>
      </w:r>
      <w:r w:rsidRPr="00A75DF9">
        <w:rPr>
          <w:rFonts w:eastAsia="Calibri" w:cs="Tahoma"/>
          <w:szCs w:val="18"/>
        </w:rPr>
        <w:t>equivalenza core di quattro licenze core Standard per SQL Server 2012. Per l</w:t>
      </w:r>
      <w:r w:rsidR="00F2643E">
        <w:rPr>
          <w:rFonts w:eastAsia="Calibri" w:cs="Tahoma"/>
          <w:szCs w:val="18"/>
        </w:rPr>
        <w:t>’</w:t>
      </w:r>
      <w:r w:rsidRPr="00A75DF9">
        <w:rPr>
          <w:rFonts w:eastAsia="Calibri" w:cs="Tahoma"/>
          <w:szCs w:val="18"/>
        </w:rPr>
        <w:t>utilizzo continuativo di SQL Server 2012 su processori che richiedono più di quattro licenze core per</w:t>
      </w:r>
      <w:r w:rsidR="007C7A9E">
        <w:rPr>
          <w:rFonts w:eastAsia="Calibri" w:cs="Tahoma"/>
          <w:szCs w:val="18"/>
        </w:rPr>
        <w:t> </w:t>
      </w:r>
      <w:r w:rsidRPr="00A75DF9">
        <w:rPr>
          <w:rFonts w:eastAsia="Calibri" w:cs="Tahoma"/>
          <w:szCs w:val="18"/>
        </w:rPr>
        <w:t>processore la società deve acquistare le licenze core aggiuntive.</w:t>
      </w:r>
    </w:p>
    <w:p w:rsidR="009C7505" w:rsidRPr="007C7A9E" w:rsidRDefault="009C7505" w:rsidP="009C7505">
      <w:pPr>
        <w:ind w:left="1440"/>
        <w:rPr>
          <w:rFonts w:cs="Tahoma"/>
          <w:szCs w:val="18"/>
        </w:rPr>
      </w:pPr>
    </w:p>
    <w:p w:rsidR="009C7505" w:rsidRPr="00A75DF9" w:rsidRDefault="00A81E83" w:rsidP="009C7505">
      <w:pPr>
        <w:spacing w:after="60"/>
        <w:ind w:left="720"/>
        <w:rPr>
          <w:rFonts w:cs="Tahoma"/>
        </w:rPr>
      </w:pPr>
      <w:r w:rsidRPr="00A75DF9">
        <w:rPr>
          <w:rFonts w:cs="Tahoma"/>
          <w:b/>
        </w:rPr>
        <w:t>Per le società con sede nella Repubblica popolare</w:t>
      </w:r>
      <w:r w:rsidRPr="00A75DF9">
        <w:rPr>
          <w:rFonts w:cs="Tahoma"/>
        </w:rPr>
        <w:t xml:space="preserve"> </w:t>
      </w:r>
      <w:r w:rsidRPr="00A75DF9">
        <w:rPr>
          <w:rFonts w:cs="Tahoma"/>
          <w:b/>
        </w:rPr>
        <w:t>cinese, dove acquistano licenze per processore e Software Assurance per SQL Server 2008 R2</w:t>
      </w:r>
    </w:p>
    <w:p w:rsidR="001D7A2C" w:rsidRPr="00A75DF9" w:rsidRDefault="00A81E83" w:rsidP="009C7505">
      <w:pPr>
        <w:ind w:left="720"/>
        <w:rPr>
          <w:rFonts w:cs="Tahoma"/>
        </w:rPr>
      </w:pPr>
      <w:r w:rsidRPr="00A75DF9">
        <w:rPr>
          <w:rFonts w:cs="Tahoma"/>
        </w:rPr>
        <w:t>Non si applicano i riferimenti al 1 aprile 2012 e al 1 aprile 2015 presenti in questa nota relativa alla lista dei prodotti. Le date applicabili per queste società sarebbero rispettivamente il 1° luglio 2012 e il 1° luglio 2015.</w:t>
      </w:r>
      <w:bookmarkStart w:id="1467" w:name="_821_SQL_Server®"/>
      <w:bookmarkEnd w:id="1413"/>
      <w:bookmarkEnd w:id="1414"/>
      <w:bookmarkEnd w:id="1415"/>
      <w:bookmarkEnd w:id="1416"/>
      <w:bookmarkEnd w:id="1467"/>
    </w:p>
    <w:p w:rsidR="009C7505" w:rsidRPr="007C7A9E" w:rsidRDefault="009C7505" w:rsidP="009C7505">
      <w:pPr>
        <w:rPr>
          <w:rFonts w:cs="Tahoma"/>
          <w:szCs w:val="18"/>
        </w:rPr>
      </w:pPr>
    </w:p>
    <w:p w:rsidR="00602EF4" w:rsidRPr="007C7A9E" w:rsidRDefault="00602EF4" w:rsidP="00602EF4">
      <w:pPr>
        <w:rPr>
          <w:rFonts w:cs="Tahoma"/>
          <w:szCs w:val="18"/>
        </w:rPr>
      </w:pPr>
      <w:bookmarkStart w:id="1468" w:name="Srv_82SysCtrDataProMgr07StdSvrMgmtML"/>
      <w:bookmarkStart w:id="1469" w:name="Srv_78SysCtrDataProMgr07StdSvrMgmtML"/>
      <w:bookmarkStart w:id="1470" w:name="Srv_79SysCtrDataProMgr07StdSvrMgmtML"/>
    </w:p>
    <w:p w:rsidR="00023FE7" w:rsidRPr="00A75DF9" w:rsidRDefault="00A560B6" w:rsidP="0037081F">
      <w:pPr>
        <w:pStyle w:val="Heading3"/>
        <w:rPr>
          <w:rFonts w:ascii="Tahoma" w:hAnsi="Tahoma" w:cs="Tahoma"/>
        </w:rPr>
      </w:pPr>
      <w:bookmarkStart w:id="1471" w:name="_79_System_Center"/>
      <w:bookmarkStart w:id="1472" w:name="_86_84_System"/>
      <w:bookmarkStart w:id="1473" w:name="_Toc336338351"/>
      <w:bookmarkStart w:id="1474" w:name="Srv_79SystemCenterEssentials07"/>
      <w:bookmarkStart w:id="1475" w:name="Srv_80SystemCenterEssentials07"/>
      <w:bookmarkStart w:id="1476" w:name="Srv_83SystemCenterEssentials07"/>
      <w:bookmarkStart w:id="1477" w:name="_Toc368310341"/>
      <w:bookmarkEnd w:id="1468"/>
      <w:bookmarkEnd w:id="1469"/>
      <w:bookmarkEnd w:id="1470"/>
      <w:bookmarkEnd w:id="1471"/>
      <w:bookmarkEnd w:id="1472"/>
      <w:r w:rsidRPr="00A75DF9">
        <w:rPr>
          <w:rFonts w:ascii="Tahoma" w:hAnsi="Tahoma" w:cs="Tahoma"/>
          <w:caps/>
          <w:color w:val="F66400"/>
          <w:sz w:val="22"/>
          <w:vertAlign w:val="superscript"/>
        </w:rPr>
        <w:t>91</w:t>
      </w:r>
      <w:r w:rsidRPr="00A75DF9">
        <w:rPr>
          <w:rFonts w:ascii="Tahoma" w:hAnsi="Tahoma" w:cs="Tahoma"/>
          <w:color w:val="F66400"/>
          <w:sz w:val="22"/>
        </w:rPr>
        <w:t xml:space="preserve"> System Center Essentials 2010</w:t>
      </w:r>
      <w:bookmarkEnd w:id="1473"/>
      <w:bookmarkEnd w:id="1477"/>
    </w:p>
    <w:bookmarkEnd w:id="1474"/>
    <w:bookmarkEnd w:id="1475"/>
    <w:bookmarkEnd w:id="1476"/>
    <w:p w:rsidR="00A30254" w:rsidRPr="007C7A9E" w:rsidRDefault="00A30254" w:rsidP="00602EF4">
      <w:pPr>
        <w:spacing w:after="60"/>
        <w:ind w:left="720"/>
        <w:rPr>
          <w:rFonts w:cs="Tahoma"/>
          <w:szCs w:val="18"/>
        </w:rPr>
      </w:pPr>
    </w:p>
    <w:p w:rsidR="00A30254" w:rsidRPr="00A75DF9" w:rsidRDefault="00A30254" w:rsidP="00A30254">
      <w:pPr>
        <w:spacing w:after="60"/>
        <w:ind w:left="720"/>
        <w:rPr>
          <w:rFonts w:cs="Tahoma"/>
        </w:rPr>
      </w:pPr>
      <w:r w:rsidRPr="00A75DF9">
        <w:rPr>
          <w:rFonts w:cs="Tahoma"/>
          <w:b/>
          <w:color w:val="000000"/>
          <w:szCs w:val="20"/>
        </w:rPr>
        <w:t>Concessione di Licenza per le Società in possesso di Software Assurance per System Center Essentials 2010</w:t>
      </w:r>
    </w:p>
    <w:p w:rsidR="00A30254" w:rsidRPr="00A75DF9" w:rsidRDefault="00A30254" w:rsidP="00A30254">
      <w:pPr>
        <w:pStyle w:val="EndnoteText"/>
        <w:ind w:left="720"/>
        <w:rPr>
          <w:rFonts w:ascii="Tahoma" w:hAnsi="Tahoma" w:cs="Tahoma"/>
        </w:rPr>
      </w:pPr>
      <w:r w:rsidRPr="00A75DF9">
        <w:rPr>
          <w:rFonts w:ascii="Tahoma" w:hAnsi="Tahoma" w:cs="Tahoma"/>
          <w:sz w:val="18"/>
        </w:rPr>
        <w:t>La versione 2010 di System Center Essentials (SCE) sarà l</w:t>
      </w:r>
      <w:r w:rsidR="00F2643E">
        <w:rPr>
          <w:rFonts w:ascii="Tahoma" w:hAnsi="Tahoma" w:cs="Tahoma"/>
          <w:sz w:val="18"/>
        </w:rPr>
        <w:t>’</w:t>
      </w:r>
      <w:r w:rsidRPr="00A75DF9">
        <w:rPr>
          <w:rFonts w:ascii="Tahoma" w:hAnsi="Tahoma" w:cs="Tahoma"/>
          <w:sz w:val="18"/>
        </w:rPr>
        <w:t>ultima versione del prodotto.</w:t>
      </w:r>
      <w:r w:rsidR="009D3B41" w:rsidRPr="00A75DF9">
        <w:rPr>
          <w:rFonts w:ascii="Tahoma" w:hAnsi="Tahoma" w:cs="Tahoma"/>
          <w:sz w:val="18"/>
        </w:rPr>
        <w:t xml:space="preserve"> </w:t>
      </w:r>
      <w:r w:rsidRPr="00A75DF9">
        <w:rPr>
          <w:rFonts w:ascii="Tahoma" w:hAnsi="Tahoma" w:cs="Tahoma"/>
          <w:sz w:val="18"/>
        </w:rPr>
        <w:t>Alle società in possesso della copertura Software Assurance per SCE in data 1 marzo 2013 verranno concesse le licenze per System Center 2012 senza alcuna spesa aggiuntiva che non siano i costi (eventuali) dei supporti di memorizzazione.</w:t>
      </w:r>
      <w:r w:rsidR="009D3B41" w:rsidRPr="00A75DF9">
        <w:rPr>
          <w:rFonts w:ascii="Tahoma" w:hAnsi="Tahoma" w:cs="Tahoma"/>
          <w:sz w:val="18"/>
        </w:rPr>
        <w:t xml:space="preserve"> </w:t>
      </w:r>
      <w:r w:rsidRPr="00A75DF9">
        <w:rPr>
          <w:rFonts w:ascii="Tahoma" w:hAnsi="Tahoma" w:cs="Tahoma"/>
          <w:sz w:val="18"/>
        </w:rPr>
        <w:t>Il numero di licenze per System Center 2012, di cui sarà idonea una società ai sensi della presente offerta, varia sulla base del numero e del tipo di licenze per SCE dotate di copertura Software Assurance che la società ha acquistato.</w:t>
      </w:r>
      <w:r w:rsidR="009D3B41" w:rsidRPr="00A75DF9">
        <w:rPr>
          <w:rFonts w:ascii="Tahoma" w:hAnsi="Tahoma" w:cs="Tahoma"/>
          <w:sz w:val="18"/>
        </w:rPr>
        <w:t xml:space="preserve"> </w:t>
      </w:r>
      <w:r w:rsidRPr="00A75DF9">
        <w:rPr>
          <w:rFonts w:ascii="Tahoma" w:hAnsi="Tahoma" w:cs="Tahoma"/>
          <w:sz w:val="18"/>
        </w:rPr>
        <w:t>Per informazioni, vedere la tabella che segue.</w:t>
      </w:r>
    </w:p>
    <w:p w:rsidR="00A30254" w:rsidRPr="007C7A9E" w:rsidRDefault="00A30254" w:rsidP="00A30254">
      <w:pPr>
        <w:pStyle w:val="EndnoteText"/>
        <w:rPr>
          <w:rFonts w:ascii="Tahoma" w:hAnsi="Tahoma" w:cs="Tahoma"/>
          <w:sz w:val="18"/>
          <w:szCs w:val="18"/>
        </w:rPr>
      </w:pPr>
    </w:p>
    <w:tbl>
      <w:tblPr>
        <w:tblStyle w:val="TableGrid1"/>
        <w:tblW w:w="8553" w:type="dxa"/>
        <w:tblInd w:w="824" w:type="dxa"/>
        <w:tblLook w:val="04A0" w:firstRow="1" w:lastRow="0" w:firstColumn="1" w:lastColumn="0" w:noHBand="0" w:noVBand="1"/>
      </w:tblPr>
      <w:tblGrid>
        <w:gridCol w:w="3649"/>
        <w:gridCol w:w="4904"/>
      </w:tblGrid>
      <w:tr w:rsidR="00A30254" w:rsidRPr="00A75DF9" w:rsidTr="007C7A9E">
        <w:tc>
          <w:tcPr>
            <w:tcW w:w="3649" w:type="dxa"/>
            <w:shd w:val="clear" w:color="auto" w:fill="FABF8F"/>
            <w:hideMark/>
          </w:tcPr>
          <w:p w:rsidR="00A30254" w:rsidRPr="00A75DF9" w:rsidRDefault="00A30254" w:rsidP="007C7A9E">
            <w:pPr>
              <w:ind w:left="162"/>
              <w:jc w:val="center"/>
              <w:rPr>
                <w:rFonts w:cs="Tahoma"/>
                <w:b/>
                <w:bCs/>
                <w:color w:val="000000"/>
                <w:szCs w:val="18"/>
              </w:rPr>
            </w:pPr>
            <w:r w:rsidRPr="00A75DF9">
              <w:rPr>
                <w:rFonts w:cs="Tahoma"/>
                <w:b/>
                <w:bCs/>
                <w:color w:val="000000"/>
                <w:szCs w:val="18"/>
              </w:rPr>
              <w:t>Licenze Qualificanti con Software</w:t>
            </w:r>
            <w:r w:rsidR="007C7A9E">
              <w:rPr>
                <w:rFonts w:cs="Tahoma"/>
                <w:b/>
                <w:bCs/>
                <w:color w:val="000000"/>
                <w:szCs w:val="18"/>
              </w:rPr>
              <w:t> </w:t>
            </w:r>
            <w:r w:rsidRPr="00A75DF9">
              <w:rPr>
                <w:rFonts w:cs="Tahoma"/>
                <w:b/>
                <w:bCs/>
                <w:color w:val="000000"/>
                <w:szCs w:val="18"/>
              </w:rPr>
              <w:t>Assurance</w:t>
            </w:r>
          </w:p>
        </w:tc>
        <w:tc>
          <w:tcPr>
            <w:tcW w:w="4904" w:type="dxa"/>
            <w:shd w:val="clear" w:color="auto" w:fill="FABF8F"/>
            <w:hideMark/>
          </w:tcPr>
          <w:p w:rsidR="00A30254" w:rsidRPr="00A75DF9" w:rsidRDefault="00A30254" w:rsidP="007C7A9E">
            <w:pPr>
              <w:ind w:left="162"/>
              <w:jc w:val="center"/>
              <w:rPr>
                <w:rFonts w:cs="Tahoma"/>
                <w:b/>
                <w:bCs/>
                <w:color w:val="000000"/>
                <w:szCs w:val="18"/>
              </w:rPr>
            </w:pPr>
            <w:r w:rsidRPr="00A75DF9">
              <w:rPr>
                <w:rFonts w:cs="Tahoma"/>
                <w:b/>
                <w:bCs/>
                <w:color w:val="000000"/>
                <w:szCs w:val="18"/>
              </w:rPr>
              <w:t>Concessione di Licenza per System</w:t>
            </w:r>
            <w:r w:rsidR="007C7A9E">
              <w:rPr>
                <w:rFonts w:cs="Tahoma"/>
                <w:b/>
                <w:bCs/>
                <w:color w:val="000000"/>
                <w:szCs w:val="18"/>
              </w:rPr>
              <w:t> </w:t>
            </w:r>
            <w:r w:rsidRPr="00A75DF9">
              <w:rPr>
                <w:rFonts w:cs="Tahoma"/>
                <w:b/>
                <w:bCs/>
                <w:color w:val="000000"/>
                <w:szCs w:val="18"/>
              </w:rPr>
              <w:t>Center</w:t>
            </w:r>
            <w:r w:rsidR="007C7A9E">
              <w:rPr>
                <w:rFonts w:cs="Tahoma"/>
                <w:b/>
                <w:bCs/>
                <w:color w:val="000000"/>
                <w:szCs w:val="18"/>
              </w:rPr>
              <w:t> </w:t>
            </w:r>
            <w:r w:rsidRPr="00A75DF9">
              <w:rPr>
                <w:rFonts w:cs="Tahoma"/>
                <w:b/>
                <w:bCs/>
                <w:color w:val="000000"/>
                <w:szCs w:val="18"/>
              </w:rPr>
              <w:t>2012</w:t>
            </w:r>
          </w:p>
        </w:tc>
      </w:tr>
      <w:tr w:rsidR="00A30254" w:rsidRPr="00A75DF9" w:rsidTr="007C7A9E">
        <w:tc>
          <w:tcPr>
            <w:tcW w:w="3649" w:type="dxa"/>
            <w:hideMark/>
          </w:tcPr>
          <w:p w:rsidR="00A30254" w:rsidRPr="00A75DF9" w:rsidRDefault="00A30254" w:rsidP="00CE334A">
            <w:pPr>
              <w:ind w:left="162"/>
              <w:rPr>
                <w:rFonts w:cs="Tahoma"/>
                <w:bCs/>
                <w:color w:val="000000"/>
                <w:szCs w:val="18"/>
              </w:rPr>
            </w:pPr>
            <w:r w:rsidRPr="00A75DF9">
              <w:rPr>
                <w:rFonts w:cs="Tahoma"/>
                <w:bCs/>
                <w:color w:val="000000"/>
                <w:szCs w:val="18"/>
              </w:rPr>
              <w:t>System Center Essentials 2010</w:t>
            </w:r>
          </w:p>
        </w:tc>
        <w:tc>
          <w:tcPr>
            <w:tcW w:w="4904" w:type="dxa"/>
            <w:hideMark/>
          </w:tcPr>
          <w:p w:rsidR="00A30254" w:rsidRPr="00A75DF9" w:rsidRDefault="00A30254" w:rsidP="00CE334A">
            <w:pPr>
              <w:ind w:left="162"/>
              <w:rPr>
                <w:rFonts w:cs="Tahoma"/>
                <w:bCs/>
                <w:color w:val="000000"/>
                <w:szCs w:val="18"/>
              </w:rPr>
            </w:pPr>
            <w:r w:rsidRPr="00A75DF9">
              <w:rPr>
                <w:rFonts w:cs="Tahoma"/>
                <w:bCs/>
                <w:color w:val="000000"/>
                <w:szCs w:val="18"/>
              </w:rPr>
              <w:t>una Licenza di Gestione Server per System Center 2012 Standard per ogni otto* licenze qualificanti</w:t>
            </w:r>
          </w:p>
        </w:tc>
      </w:tr>
      <w:tr w:rsidR="00A30254" w:rsidRPr="00A75DF9" w:rsidTr="007C7A9E">
        <w:tc>
          <w:tcPr>
            <w:tcW w:w="3649" w:type="dxa"/>
            <w:hideMark/>
          </w:tcPr>
          <w:p w:rsidR="00A30254" w:rsidRPr="00A75DF9" w:rsidRDefault="00A30254" w:rsidP="00CE334A">
            <w:pPr>
              <w:ind w:left="162"/>
              <w:rPr>
                <w:rFonts w:cs="Tahoma"/>
                <w:bCs/>
                <w:color w:val="000000"/>
                <w:szCs w:val="18"/>
              </w:rPr>
            </w:pPr>
            <w:r w:rsidRPr="00A75DF9">
              <w:rPr>
                <w:rFonts w:cs="Tahoma"/>
                <w:bCs/>
                <w:color w:val="000000"/>
                <w:szCs w:val="18"/>
              </w:rPr>
              <w:t>System Center Essentials 2010 con SQL</w:t>
            </w:r>
          </w:p>
        </w:tc>
        <w:tc>
          <w:tcPr>
            <w:tcW w:w="4904" w:type="dxa"/>
            <w:hideMark/>
          </w:tcPr>
          <w:p w:rsidR="00A30254" w:rsidRPr="00A75DF9" w:rsidRDefault="00A30254" w:rsidP="00CE334A">
            <w:pPr>
              <w:ind w:left="162"/>
              <w:rPr>
                <w:rFonts w:cs="Tahoma"/>
                <w:bCs/>
                <w:color w:val="000000"/>
                <w:szCs w:val="18"/>
              </w:rPr>
            </w:pPr>
            <w:r w:rsidRPr="00A75DF9">
              <w:rPr>
                <w:rFonts w:cs="Tahoma"/>
                <w:bCs/>
                <w:color w:val="000000"/>
                <w:szCs w:val="18"/>
              </w:rPr>
              <w:t>una Licenza di Gestione Server per System Center 2012 Standard per ogni licenza qualificante</w:t>
            </w:r>
          </w:p>
        </w:tc>
      </w:tr>
      <w:tr w:rsidR="00A30254" w:rsidRPr="00A75DF9" w:rsidTr="007C7A9E">
        <w:tc>
          <w:tcPr>
            <w:tcW w:w="3649" w:type="dxa"/>
            <w:hideMark/>
          </w:tcPr>
          <w:p w:rsidR="00A30254" w:rsidRPr="00A75DF9" w:rsidRDefault="00A30254" w:rsidP="00CE334A">
            <w:pPr>
              <w:ind w:left="162"/>
              <w:rPr>
                <w:rFonts w:cs="Tahoma"/>
                <w:bCs/>
                <w:color w:val="000000"/>
                <w:szCs w:val="18"/>
              </w:rPr>
            </w:pPr>
            <w:r w:rsidRPr="00A75DF9">
              <w:rPr>
                <w:rFonts w:cs="Tahoma"/>
                <w:bCs/>
                <w:color w:val="000000"/>
                <w:szCs w:val="18"/>
              </w:rPr>
              <w:t>Licenza di Gestione Server per System Center Essentials 2010</w:t>
            </w:r>
          </w:p>
        </w:tc>
        <w:tc>
          <w:tcPr>
            <w:tcW w:w="4904" w:type="dxa"/>
            <w:hideMark/>
          </w:tcPr>
          <w:p w:rsidR="00A30254" w:rsidRPr="00A75DF9" w:rsidRDefault="00A30254" w:rsidP="00CE334A">
            <w:pPr>
              <w:ind w:left="162"/>
              <w:rPr>
                <w:rFonts w:cs="Tahoma"/>
                <w:bCs/>
                <w:color w:val="000000"/>
                <w:szCs w:val="18"/>
              </w:rPr>
            </w:pPr>
            <w:r w:rsidRPr="00A75DF9">
              <w:rPr>
                <w:rFonts w:cs="Tahoma"/>
                <w:bCs/>
                <w:color w:val="000000"/>
                <w:szCs w:val="18"/>
              </w:rPr>
              <w:t>una Licenza di Gestione Server per System Center 2012 Standard per ogni otto* licenze qualificanti</w:t>
            </w:r>
          </w:p>
        </w:tc>
      </w:tr>
      <w:tr w:rsidR="00A30254" w:rsidRPr="00A75DF9" w:rsidTr="007C7A9E">
        <w:tc>
          <w:tcPr>
            <w:tcW w:w="3649" w:type="dxa"/>
            <w:hideMark/>
          </w:tcPr>
          <w:p w:rsidR="00A30254" w:rsidRPr="00A75DF9" w:rsidRDefault="00A30254" w:rsidP="00CE334A">
            <w:pPr>
              <w:ind w:left="162"/>
              <w:rPr>
                <w:rFonts w:cs="Tahoma"/>
              </w:rPr>
            </w:pPr>
            <w:r w:rsidRPr="00A75DF9">
              <w:rPr>
                <w:rFonts w:cs="Tahoma"/>
                <w:bCs/>
                <w:color w:val="000000"/>
                <w:szCs w:val="18"/>
              </w:rPr>
              <w:t>System Center Essentials 2010 Plus</w:t>
            </w:r>
          </w:p>
          <w:p w:rsidR="00A30254" w:rsidRPr="00A75DF9" w:rsidRDefault="00A30254" w:rsidP="00CE334A">
            <w:pPr>
              <w:ind w:left="162"/>
              <w:rPr>
                <w:rFonts w:cs="Tahoma"/>
                <w:bCs/>
                <w:color w:val="000000"/>
                <w:szCs w:val="18"/>
              </w:rPr>
            </w:pPr>
            <w:r w:rsidRPr="00A75DF9">
              <w:rPr>
                <w:rFonts w:cs="Tahoma"/>
                <w:bCs/>
                <w:color w:val="000000"/>
                <w:szCs w:val="18"/>
              </w:rPr>
              <w:t>Suite di Licenze di Gestione Server</w:t>
            </w:r>
          </w:p>
        </w:tc>
        <w:tc>
          <w:tcPr>
            <w:tcW w:w="4904" w:type="dxa"/>
            <w:hideMark/>
          </w:tcPr>
          <w:p w:rsidR="00A30254" w:rsidRPr="00A75DF9" w:rsidRDefault="00A30254" w:rsidP="00CE334A">
            <w:pPr>
              <w:ind w:left="162"/>
              <w:rPr>
                <w:rFonts w:cs="Tahoma"/>
                <w:bCs/>
                <w:color w:val="000000"/>
                <w:szCs w:val="18"/>
              </w:rPr>
            </w:pPr>
            <w:r w:rsidRPr="00A75DF9">
              <w:rPr>
                <w:rFonts w:cs="Tahoma"/>
                <w:bCs/>
                <w:color w:val="000000"/>
                <w:szCs w:val="18"/>
              </w:rPr>
              <w:t>una Licenza di Gestione Server per System Center 2012 Standard per ogni due** licenze qualificanti</w:t>
            </w:r>
          </w:p>
        </w:tc>
      </w:tr>
      <w:tr w:rsidR="00A30254" w:rsidRPr="00A75DF9" w:rsidTr="007C7A9E">
        <w:tc>
          <w:tcPr>
            <w:tcW w:w="3649" w:type="dxa"/>
            <w:hideMark/>
          </w:tcPr>
          <w:p w:rsidR="00A30254" w:rsidRPr="00A75DF9" w:rsidRDefault="00A30254" w:rsidP="00CE334A">
            <w:pPr>
              <w:ind w:left="162"/>
              <w:rPr>
                <w:rFonts w:cs="Tahoma"/>
                <w:bCs/>
                <w:color w:val="000000"/>
                <w:szCs w:val="18"/>
              </w:rPr>
            </w:pPr>
            <w:r w:rsidRPr="00A75DF9">
              <w:rPr>
                <w:rFonts w:cs="Tahoma"/>
                <w:bCs/>
                <w:color w:val="000000"/>
                <w:szCs w:val="18"/>
              </w:rPr>
              <w:t>Licenza di Gestione Client per System Center Essentials 2010</w:t>
            </w:r>
          </w:p>
        </w:tc>
        <w:tc>
          <w:tcPr>
            <w:tcW w:w="4904" w:type="dxa"/>
            <w:hideMark/>
          </w:tcPr>
          <w:p w:rsidR="00A30254" w:rsidRPr="00A75DF9" w:rsidRDefault="00A30254" w:rsidP="00CE334A">
            <w:pPr>
              <w:ind w:left="162"/>
              <w:rPr>
                <w:rFonts w:cs="Tahoma"/>
                <w:bCs/>
                <w:color w:val="000000"/>
                <w:szCs w:val="18"/>
              </w:rPr>
            </w:pPr>
            <w:r w:rsidRPr="00A75DF9">
              <w:rPr>
                <w:rFonts w:cs="Tahoma"/>
                <w:bCs/>
                <w:color w:val="000000"/>
                <w:szCs w:val="18"/>
              </w:rPr>
              <w:t>una Licenza di Gestione Client per System Center 2012 Configuration Manager per ogni licenza qualificante</w:t>
            </w:r>
          </w:p>
        </w:tc>
      </w:tr>
      <w:tr w:rsidR="00A30254" w:rsidRPr="00A75DF9" w:rsidTr="007C7A9E">
        <w:tc>
          <w:tcPr>
            <w:tcW w:w="3649" w:type="dxa"/>
            <w:hideMark/>
          </w:tcPr>
          <w:p w:rsidR="00A30254" w:rsidRPr="00A75DF9" w:rsidRDefault="00A30254" w:rsidP="00CE334A">
            <w:pPr>
              <w:ind w:left="162"/>
              <w:rPr>
                <w:rFonts w:cs="Tahoma"/>
                <w:bCs/>
                <w:color w:val="000000"/>
                <w:szCs w:val="18"/>
              </w:rPr>
            </w:pPr>
            <w:r w:rsidRPr="00A75DF9">
              <w:rPr>
                <w:rFonts w:cs="Tahoma"/>
                <w:bCs/>
                <w:color w:val="000000"/>
                <w:szCs w:val="18"/>
              </w:rPr>
              <w:t>Licenza di Gestione Client per System Center Essentials 2010 Plus</w:t>
            </w:r>
          </w:p>
        </w:tc>
        <w:tc>
          <w:tcPr>
            <w:tcW w:w="4904" w:type="dxa"/>
            <w:hideMark/>
          </w:tcPr>
          <w:p w:rsidR="00A30254" w:rsidRPr="00A75DF9" w:rsidRDefault="00A30254" w:rsidP="00CE334A">
            <w:pPr>
              <w:ind w:left="162"/>
              <w:rPr>
                <w:rFonts w:cs="Tahoma"/>
                <w:bCs/>
                <w:color w:val="000000"/>
                <w:szCs w:val="18"/>
              </w:rPr>
            </w:pPr>
            <w:r w:rsidRPr="00A75DF9">
              <w:rPr>
                <w:rFonts w:cs="Tahoma"/>
                <w:bCs/>
                <w:color w:val="000000"/>
                <w:szCs w:val="18"/>
              </w:rPr>
              <w:t>una Licenza di Gestione Client per System Center 2012 Configuration Manager per ogni licenza qualificante</w:t>
            </w:r>
          </w:p>
        </w:tc>
      </w:tr>
      <w:tr w:rsidR="00A30254" w:rsidRPr="00A75DF9" w:rsidTr="007C7A9E">
        <w:tc>
          <w:tcPr>
            <w:tcW w:w="3649" w:type="dxa"/>
            <w:hideMark/>
          </w:tcPr>
          <w:p w:rsidR="00A30254" w:rsidRPr="007C7A9E" w:rsidRDefault="00A30254" w:rsidP="00CE334A">
            <w:pPr>
              <w:ind w:left="162"/>
              <w:rPr>
                <w:rFonts w:cs="Tahoma"/>
                <w:bCs/>
                <w:color w:val="000000"/>
                <w:szCs w:val="18"/>
              </w:rPr>
            </w:pPr>
            <w:r w:rsidRPr="007C7A9E">
              <w:rPr>
                <w:rFonts w:cs="Tahoma"/>
                <w:bCs/>
                <w:color w:val="000000"/>
                <w:szCs w:val="18"/>
              </w:rPr>
              <w:t>Licenza Server per Virtual Machine Manager Workgroup Edition</w:t>
            </w:r>
          </w:p>
        </w:tc>
        <w:tc>
          <w:tcPr>
            <w:tcW w:w="4904" w:type="dxa"/>
            <w:hideMark/>
          </w:tcPr>
          <w:p w:rsidR="00A30254" w:rsidRPr="00A75DF9" w:rsidRDefault="00A30254" w:rsidP="00CE334A">
            <w:pPr>
              <w:ind w:left="162"/>
              <w:rPr>
                <w:rFonts w:cs="Tahoma"/>
                <w:bCs/>
                <w:color w:val="000000"/>
                <w:szCs w:val="18"/>
              </w:rPr>
            </w:pPr>
            <w:r w:rsidRPr="00A75DF9">
              <w:rPr>
                <w:rFonts w:cs="Tahoma"/>
                <w:bCs/>
                <w:color w:val="000000"/>
                <w:szCs w:val="18"/>
              </w:rPr>
              <w:t>una Licenza di Gestione Server per System Center 2012 Standard per ogni due** licenze qualificanti</w:t>
            </w:r>
          </w:p>
        </w:tc>
      </w:tr>
    </w:tbl>
    <w:p w:rsidR="00A30254" w:rsidRPr="007C7A9E" w:rsidRDefault="00A30254" w:rsidP="00A30254">
      <w:pPr>
        <w:pStyle w:val="EndnoteText"/>
        <w:rPr>
          <w:rFonts w:ascii="Tahoma" w:hAnsi="Tahoma" w:cs="Tahoma"/>
          <w:sz w:val="16"/>
          <w:szCs w:val="16"/>
        </w:rPr>
      </w:pPr>
      <w:r w:rsidRPr="007C7A9E">
        <w:rPr>
          <w:rFonts w:ascii="Tahoma" w:hAnsi="Tahoma" w:cs="Tahoma"/>
          <w:i/>
          <w:sz w:val="16"/>
          <w:szCs w:val="16"/>
        </w:rPr>
        <w:t>*Il numero di licenze per le società con meno di otto licenze qualificanti verrà arrotondato a otto ai fini di determinare la loro concessione di licenza ai sensi della presente offerta.</w:t>
      </w:r>
      <w:r w:rsidR="009D3B41" w:rsidRPr="007C7A9E">
        <w:rPr>
          <w:rFonts w:ascii="Tahoma" w:hAnsi="Tahoma" w:cs="Tahoma"/>
          <w:i/>
          <w:sz w:val="16"/>
          <w:szCs w:val="16"/>
        </w:rPr>
        <w:t xml:space="preserve"> </w:t>
      </w:r>
      <w:r w:rsidRPr="007C7A9E">
        <w:rPr>
          <w:rFonts w:ascii="Tahoma" w:hAnsi="Tahoma" w:cs="Tahoma"/>
          <w:i/>
          <w:sz w:val="16"/>
          <w:szCs w:val="16"/>
        </w:rPr>
        <w:t>Analogamente, il numero di licenze per le società con una quantità di licenze superiori a otto verrà arrotondato al multiplo di otto più vicino ai fini di determinare la loro concessione di licenza ai sensi della presente offerta.</w:t>
      </w:r>
    </w:p>
    <w:p w:rsidR="00A30254" w:rsidRPr="007C7A9E" w:rsidRDefault="00A30254" w:rsidP="00A30254">
      <w:pPr>
        <w:pStyle w:val="EndnoteText"/>
        <w:rPr>
          <w:rFonts w:ascii="Tahoma" w:hAnsi="Tahoma" w:cs="Tahoma"/>
          <w:sz w:val="16"/>
          <w:szCs w:val="16"/>
        </w:rPr>
      </w:pPr>
    </w:p>
    <w:p w:rsidR="00A30254" w:rsidRPr="00A75DF9" w:rsidRDefault="00A30254" w:rsidP="00A30254">
      <w:pPr>
        <w:pStyle w:val="EndnoteText"/>
        <w:rPr>
          <w:rFonts w:ascii="Tahoma" w:hAnsi="Tahoma" w:cs="Tahoma"/>
        </w:rPr>
      </w:pPr>
      <w:r w:rsidRPr="00A75DF9">
        <w:rPr>
          <w:rFonts w:ascii="Tahoma" w:hAnsi="Tahoma" w:cs="Tahoma"/>
          <w:i/>
          <w:sz w:val="16"/>
          <w:szCs w:val="16"/>
        </w:rPr>
        <w:lastRenderedPageBreak/>
        <w:t>**Il numero di licenze per le società con meno di due licenze qualificanti verrà arrotondato a due ai fini di determinare la loro concessione di licenza ai sensi della presente offerta.</w:t>
      </w:r>
      <w:r w:rsidR="009D3B41" w:rsidRPr="00A75DF9">
        <w:rPr>
          <w:rFonts w:ascii="Tahoma" w:hAnsi="Tahoma" w:cs="Tahoma"/>
          <w:i/>
          <w:sz w:val="16"/>
          <w:szCs w:val="16"/>
        </w:rPr>
        <w:t xml:space="preserve"> </w:t>
      </w:r>
      <w:r w:rsidRPr="00A75DF9">
        <w:rPr>
          <w:rFonts w:ascii="Tahoma" w:hAnsi="Tahoma" w:cs="Tahoma"/>
          <w:i/>
          <w:sz w:val="16"/>
          <w:szCs w:val="16"/>
        </w:rPr>
        <w:t>Analogamente, il numero di licenze per le società con una quantità di licenze superiori a due verrà arrotondato al multiplo di due più vicino ai fini di determinare la loro concessione di licenza ai sensi della presente offerta.</w:t>
      </w:r>
    </w:p>
    <w:p w:rsidR="00A30254" w:rsidRPr="00A75DF9" w:rsidRDefault="00A30254" w:rsidP="00CE334A">
      <w:pPr>
        <w:spacing w:line="276" w:lineRule="auto"/>
        <w:rPr>
          <w:rFonts w:cs="Tahoma"/>
        </w:rPr>
      </w:pPr>
    </w:p>
    <w:p w:rsidR="00A30254" w:rsidRPr="00A75DF9" w:rsidRDefault="00A30254" w:rsidP="007C7A9E">
      <w:pPr>
        <w:pStyle w:val="EndnoteText"/>
        <w:ind w:left="720"/>
        <w:rPr>
          <w:rFonts w:ascii="Tahoma" w:hAnsi="Tahoma" w:cs="Tahoma"/>
        </w:rPr>
      </w:pPr>
      <w:r w:rsidRPr="00A75DF9">
        <w:rPr>
          <w:rFonts w:ascii="Tahoma" w:hAnsi="Tahoma" w:cs="Tahoma"/>
          <w:sz w:val="18"/>
          <w:szCs w:val="18"/>
        </w:rPr>
        <w:t>Tutte le licenze concesse ai sensi della presente offerta includeranno la copertura Software Assurance. Tale</w:t>
      </w:r>
      <w:r w:rsidR="007C7A9E">
        <w:rPr>
          <w:rFonts w:ascii="Tahoma" w:hAnsi="Tahoma" w:cs="Tahoma"/>
          <w:sz w:val="18"/>
          <w:szCs w:val="18"/>
        </w:rPr>
        <w:t> </w:t>
      </w:r>
      <w:r w:rsidRPr="00A75DF9">
        <w:rPr>
          <w:rFonts w:ascii="Tahoma" w:hAnsi="Tahoma" w:cs="Tahoma"/>
          <w:sz w:val="18"/>
          <w:szCs w:val="18"/>
        </w:rPr>
        <w:t xml:space="preserve">copertura cesserà alla scadenza della copertura per le licenze per SCE qualificanti. Alla scadenza della copertura, le società potranno rinnovare Software Assurance per le licenze per System Center 2012. </w:t>
      </w:r>
    </w:p>
    <w:p w:rsidR="00A30254" w:rsidRPr="00A75DF9" w:rsidRDefault="00A30254" w:rsidP="00CE334A">
      <w:pPr>
        <w:spacing w:line="276" w:lineRule="auto"/>
        <w:rPr>
          <w:rFonts w:cs="Tahoma"/>
        </w:rPr>
      </w:pPr>
    </w:p>
    <w:p w:rsidR="00A30254" w:rsidRPr="007C7A9E" w:rsidRDefault="00A30254" w:rsidP="007C7A9E">
      <w:pPr>
        <w:pStyle w:val="EndnoteText"/>
        <w:ind w:left="720"/>
        <w:rPr>
          <w:rFonts w:ascii="Tahoma" w:hAnsi="Tahoma" w:cs="Tahoma"/>
          <w:sz w:val="18"/>
          <w:szCs w:val="18"/>
        </w:rPr>
      </w:pPr>
      <w:r w:rsidRPr="007C7A9E">
        <w:rPr>
          <w:rFonts w:ascii="Tahoma" w:hAnsi="Tahoma" w:cs="Tahoma"/>
          <w:sz w:val="18"/>
          <w:szCs w:val="18"/>
        </w:rPr>
        <w:t>L</w:t>
      </w:r>
      <w:r w:rsidR="00F2643E">
        <w:rPr>
          <w:rFonts w:ascii="Tahoma" w:hAnsi="Tahoma" w:cs="Tahoma"/>
          <w:sz w:val="18"/>
          <w:szCs w:val="18"/>
        </w:rPr>
        <w:t>’</w:t>
      </w:r>
      <w:r w:rsidRPr="007C7A9E">
        <w:rPr>
          <w:rFonts w:ascii="Tahoma" w:hAnsi="Tahoma" w:cs="Tahoma"/>
          <w:sz w:val="18"/>
          <w:szCs w:val="18"/>
        </w:rPr>
        <w:t>utilizzo del software da parte della società ai sensi della presente offerta sarà soggetto alle condizioni del</w:t>
      </w:r>
      <w:r w:rsidR="007C7A9E" w:rsidRPr="007C7A9E">
        <w:rPr>
          <w:rFonts w:ascii="Tahoma" w:hAnsi="Tahoma" w:cs="Tahoma"/>
          <w:sz w:val="18"/>
          <w:szCs w:val="18"/>
        </w:rPr>
        <w:t> </w:t>
      </w:r>
      <w:r w:rsidRPr="007C7A9E">
        <w:rPr>
          <w:rFonts w:ascii="Tahoma" w:hAnsi="Tahoma" w:cs="Tahoma"/>
          <w:sz w:val="18"/>
          <w:szCs w:val="18"/>
        </w:rPr>
        <w:t>relativo contratto di licenza e ai diritti di utilizzo del prodotto relativi al software. Il diritto di utilizzo del software in concessione cesserà alla scadenza del diritto di utilizzo della licenza per SCE qualificante. Le società non potranno trasferire le licenze concesse ai sensi della presente offerta separatamente dalle licenze per SCE qualificanti corrispondenti.</w:t>
      </w:r>
    </w:p>
    <w:p w:rsidR="00A30254" w:rsidRPr="007C7A9E" w:rsidRDefault="00A30254" w:rsidP="00CE334A">
      <w:pPr>
        <w:pStyle w:val="EndnoteText"/>
        <w:ind w:left="720"/>
        <w:rPr>
          <w:rFonts w:ascii="Tahoma" w:hAnsi="Tahoma" w:cs="Tahoma"/>
          <w:sz w:val="18"/>
          <w:szCs w:val="18"/>
        </w:rPr>
      </w:pPr>
    </w:p>
    <w:p w:rsidR="00A30254" w:rsidRPr="007C7A9E" w:rsidRDefault="00A30254" w:rsidP="00CE334A">
      <w:pPr>
        <w:ind w:left="720"/>
        <w:rPr>
          <w:rFonts w:cs="Tahoma"/>
          <w:szCs w:val="18"/>
        </w:rPr>
      </w:pPr>
      <w:r w:rsidRPr="007C7A9E">
        <w:rPr>
          <w:rFonts w:eastAsia="Calibri" w:cs="Tahoma"/>
          <w:color w:val="000000"/>
          <w:szCs w:val="18"/>
        </w:rPr>
        <w:t>Le licenze per SCE,</w:t>
      </w:r>
      <w:r w:rsidRPr="007C7A9E">
        <w:rPr>
          <w:rFonts w:cs="Tahoma"/>
          <w:bCs/>
          <w:szCs w:val="18"/>
        </w:rPr>
        <w:t xml:space="preserve"> acquistate dopo il 1 marzo 2013 nell</w:t>
      </w:r>
      <w:r w:rsidR="00F2643E">
        <w:rPr>
          <w:rFonts w:cs="Tahoma"/>
          <w:bCs/>
          <w:szCs w:val="18"/>
        </w:rPr>
        <w:t>’</w:t>
      </w:r>
      <w:r w:rsidRPr="007C7A9E">
        <w:rPr>
          <w:rFonts w:cs="Tahoma"/>
          <w:bCs/>
          <w:szCs w:val="18"/>
        </w:rPr>
        <w:t xml:space="preserve">ambito di una procedura annuale di true-up della società per le Iscrizioni Enterprise o Enrollment for Education Solutions ai sensi delle quali le licenze per </w:t>
      </w:r>
      <w:r w:rsidRPr="007C7A9E">
        <w:rPr>
          <w:rFonts w:eastAsia="Calibri" w:cs="Tahoma"/>
          <w:color w:val="000000"/>
          <w:szCs w:val="18"/>
        </w:rPr>
        <w:t>SCE</w:t>
      </w:r>
      <w:r w:rsidRPr="007C7A9E">
        <w:rPr>
          <w:rFonts w:cs="Tahoma"/>
          <w:bCs/>
          <w:szCs w:val="18"/>
        </w:rPr>
        <w:t xml:space="preserve"> sono state inizialmente acquistate prima del 1 marzo 2013, sono anch</w:t>
      </w:r>
      <w:r w:rsidR="00F2643E">
        <w:rPr>
          <w:rFonts w:cs="Tahoma"/>
          <w:bCs/>
          <w:szCs w:val="18"/>
        </w:rPr>
        <w:t>’</w:t>
      </w:r>
      <w:r w:rsidRPr="007C7A9E">
        <w:rPr>
          <w:rFonts w:cs="Tahoma"/>
          <w:bCs/>
          <w:szCs w:val="18"/>
        </w:rPr>
        <w:t>esse licenze per SCE qualificanti ai fini della presente concessione.</w:t>
      </w:r>
    </w:p>
    <w:p w:rsidR="00A30254" w:rsidRPr="00A75DF9" w:rsidRDefault="00A30254" w:rsidP="00CE334A">
      <w:pPr>
        <w:ind w:left="720"/>
        <w:rPr>
          <w:rFonts w:cs="Tahoma"/>
        </w:rPr>
      </w:pPr>
    </w:p>
    <w:p w:rsidR="00A30254" w:rsidRPr="007C7A9E" w:rsidRDefault="00A30254" w:rsidP="00CE334A">
      <w:pPr>
        <w:ind w:left="720"/>
        <w:rPr>
          <w:rFonts w:cs="Tahoma"/>
          <w:szCs w:val="18"/>
        </w:rPr>
      </w:pPr>
      <w:r w:rsidRPr="007C7A9E">
        <w:rPr>
          <w:rFonts w:cs="Tahoma"/>
          <w:bCs/>
          <w:szCs w:val="18"/>
        </w:rPr>
        <w:t>Per le società titolari di Contratti Enrollment for Education Solutions, Enterprise Subscription, Campus e School e Open Value Subscription, gli stessi diritti verranno concessi temporaneamente fino al termine del periodo di validità dell</w:t>
      </w:r>
      <w:r w:rsidR="00F2643E">
        <w:rPr>
          <w:rFonts w:cs="Tahoma"/>
          <w:bCs/>
          <w:szCs w:val="18"/>
        </w:rPr>
        <w:t>’</w:t>
      </w:r>
      <w:r w:rsidRPr="007C7A9E">
        <w:rPr>
          <w:rFonts w:cs="Tahoma"/>
          <w:bCs/>
          <w:szCs w:val="18"/>
        </w:rPr>
        <w:t>iscrizione della licenza, purché le Licenze e la copertura Software Assurance siano valide durante il periodo di concessione e la società mantenga la copertura della sottoscrizione in via continuativa.</w:t>
      </w:r>
      <w:r w:rsidR="009D3B41" w:rsidRPr="007C7A9E">
        <w:rPr>
          <w:rFonts w:cs="Tahoma"/>
          <w:bCs/>
          <w:szCs w:val="18"/>
        </w:rPr>
        <w:t xml:space="preserve"> </w:t>
      </w:r>
      <w:r w:rsidRPr="007C7A9E">
        <w:rPr>
          <w:rFonts w:cs="Tahoma"/>
          <w:bCs/>
          <w:szCs w:val="18"/>
        </w:rPr>
        <w:t>Tali diritti diventeranno permanenti soltanto all</w:t>
      </w:r>
      <w:r w:rsidR="00F2643E">
        <w:rPr>
          <w:rFonts w:cs="Tahoma"/>
          <w:bCs/>
          <w:szCs w:val="18"/>
        </w:rPr>
        <w:t>’</w:t>
      </w:r>
      <w:r w:rsidRPr="007C7A9E">
        <w:rPr>
          <w:rFonts w:cs="Tahoma"/>
          <w:bCs/>
          <w:szCs w:val="18"/>
        </w:rPr>
        <w:t>esercizio dell</w:t>
      </w:r>
      <w:r w:rsidR="00F2643E">
        <w:rPr>
          <w:rFonts w:cs="Tahoma"/>
          <w:bCs/>
          <w:szCs w:val="18"/>
        </w:rPr>
        <w:t>’</w:t>
      </w:r>
      <w:r w:rsidRPr="007C7A9E">
        <w:rPr>
          <w:rFonts w:cs="Tahoma"/>
          <w:bCs/>
          <w:szCs w:val="18"/>
        </w:rPr>
        <w:t>opzione buy-out e resteranno soggetti a tutte le condizioni del contratto di licenza della società.</w:t>
      </w:r>
    </w:p>
    <w:p w:rsidR="00A30254" w:rsidRPr="00A75DF9" w:rsidRDefault="00A30254" w:rsidP="00602EF4">
      <w:pPr>
        <w:spacing w:after="60"/>
        <w:ind w:left="720"/>
        <w:rPr>
          <w:rFonts w:cs="Tahoma"/>
        </w:rPr>
      </w:pPr>
    </w:p>
    <w:p w:rsidR="00CE2BD2" w:rsidRPr="00A75DF9" w:rsidRDefault="00CE2BD2" w:rsidP="006D6A83">
      <w:pPr>
        <w:spacing w:after="60"/>
        <w:ind w:left="720"/>
        <w:rPr>
          <w:rFonts w:cs="Tahoma"/>
        </w:rPr>
      </w:pPr>
      <w:r w:rsidRPr="00A75DF9">
        <w:rPr>
          <w:rFonts w:cs="Tahoma"/>
          <w:b/>
          <w:color w:val="000000"/>
          <w:szCs w:val="20"/>
        </w:rPr>
        <w:t>Percorso di Migrazione da System Center Essentials 2007 (SCE 2007) a System Center Essentials 2010 (SCE 2010)</w:t>
      </w:r>
    </w:p>
    <w:p w:rsidR="00A30254" w:rsidRPr="00A75DF9" w:rsidRDefault="00A30254" w:rsidP="00A30254">
      <w:pPr>
        <w:ind w:left="720"/>
        <w:rPr>
          <w:rFonts w:cs="Tahoma"/>
        </w:rPr>
      </w:pPr>
      <w:r w:rsidRPr="00A75DF9">
        <w:rPr>
          <w:rFonts w:cs="Tahoma"/>
          <w:color w:val="000000"/>
          <w:szCs w:val="20"/>
        </w:rPr>
        <w:t>Per le condizioni che disciplinano il diritto delle società di eseguire l</w:t>
      </w:r>
      <w:r w:rsidR="00F2643E">
        <w:rPr>
          <w:rFonts w:cs="Tahoma"/>
          <w:color w:val="000000"/>
          <w:szCs w:val="20"/>
        </w:rPr>
        <w:t>’</w:t>
      </w:r>
      <w:r w:rsidRPr="00A75DF9">
        <w:rPr>
          <w:rFonts w:cs="Tahoma"/>
          <w:color w:val="000000"/>
          <w:szCs w:val="20"/>
        </w:rPr>
        <w:t>aggiornamento a SCE 2010 da SCE 2007 ai sensi della copertura Software Assurance, vedere la Lista dei Prodotti del mese di febbraio 2013.</w:t>
      </w:r>
    </w:p>
    <w:p w:rsidR="00CE2BD2" w:rsidRPr="00A75DF9" w:rsidRDefault="00CE2BD2" w:rsidP="0037081F">
      <w:pPr>
        <w:ind w:left="720"/>
        <w:rPr>
          <w:rFonts w:cs="Tahoma"/>
        </w:rPr>
      </w:pPr>
    </w:p>
    <w:p w:rsidR="00CE2BD2" w:rsidRPr="00A75DF9" w:rsidRDefault="00CE2BD2" w:rsidP="00CE2BD2">
      <w:pPr>
        <w:ind w:left="720"/>
        <w:rPr>
          <w:rFonts w:cs="Tahoma"/>
        </w:rPr>
      </w:pPr>
    </w:p>
    <w:p w:rsidR="00ED5504" w:rsidRPr="00A75DF9" w:rsidRDefault="00A560B6" w:rsidP="00ED5504">
      <w:pPr>
        <w:pStyle w:val="Heading3"/>
        <w:rPr>
          <w:rFonts w:ascii="Tahoma" w:hAnsi="Tahoma" w:cs="Tahoma"/>
        </w:rPr>
      </w:pPr>
      <w:bookmarkStart w:id="1478" w:name="_80_System_Center"/>
      <w:bookmarkStart w:id="1479" w:name="_95_System_Center"/>
      <w:bookmarkStart w:id="1480" w:name="_81_System_Center"/>
      <w:bookmarkStart w:id="1481" w:name="_82_System_Center"/>
      <w:bookmarkStart w:id="1482" w:name="_83_System_Center"/>
      <w:bookmarkStart w:id="1483" w:name="_84__System"/>
      <w:bookmarkStart w:id="1484" w:name="_87_85_System"/>
      <w:bookmarkStart w:id="1485" w:name="_92_System_Center"/>
      <w:bookmarkStart w:id="1486" w:name="_Toc336338353"/>
      <w:bookmarkStart w:id="1487" w:name="Srv_88SystemCtrReportMgr2006"/>
      <w:bookmarkStart w:id="1488" w:name="Srv_89SysCtrSvrMgmtSuiteEnterprise"/>
      <w:bookmarkStart w:id="1489" w:name="_Toc368310342"/>
      <w:bookmarkEnd w:id="1478"/>
      <w:bookmarkEnd w:id="1479"/>
      <w:bookmarkEnd w:id="1480"/>
      <w:bookmarkEnd w:id="1481"/>
      <w:bookmarkEnd w:id="1482"/>
      <w:bookmarkEnd w:id="1483"/>
      <w:bookmarkEnd w:id="1484"/>
      <w:bookmarkEnd w:id="1485"/>
      <w:r w:rsidRPr="00A75DF9">
        <w:rPr>
          <w:rFonts w:ascii="Tahoma" w:hAnsi="Tahoma" w:cs="Tahoma"/>
          <w:caps/>
          <w:color w:val="F66400"/>
          <w:sz w:val="22"/>
          <w:vertAlign w:val="superscript"/>
        </w:rPr>
        <w:t>92</w:t>
      </w:r>
      <w:r w:rsidRPr="00A75DF9">
        <w:rPr>
          <w:rFonts w:ascii="Tahoma" w:hAnsi="Tahoma" w:cs="Tahoma"/>
          <w:color w:val="F66400"/>
          <w:sz w:val="22"/>
        </w:rPr>
        <w:t xml:space="preserve"> System Center Reporting Manager 2006</w:t>
      </w:r>
      <w:bookmarkEnd w:id="1486"/>
      <w:bookmarkEnd w:id="1489"/>
    </w:p>
    <w:bookmarkEnd w:id="1487"/>
    <w:p w:rsidR="00ED5504" w:rsidRPr="007C7A9E" w:rsidRDefault="00ED5504" w:rsidP="00D511CC">
      <w:pPr>
        <w:pStyle w:val="EndnoteText"/>
        <w:ind w:left="0"/>
        <w:rPr>
          <w:rFonts w:ascii="Tahoma" w:hAnsi="Tahoma" w:cs="Tahoma"/>
          <w:sz w:val="18"/>
          <w:szCs w:val="18"/>
        </w:rPr>
      </w:pPr>
    </w:p>
    <w:p w:rsidR="00ED5504" w:rsidRPr="007C7A9E" w:rsidRDefault="00ED5504" w:rsidP="00D511CC">
      <w:pPr>
        <w:pStyle w:val="EndnoteText"/>
        <w:ind w:left="720"/>
        <w:rPr>
          <w:rFonts w:ascii="Tahoma" w:hAnsi="Tahoma" w:cs="Tahoma"/>
          <w:sz w:val="18"/>
          <w:szCs w:val="18"/>
        </w:rPr>
      </w:pPr>
      <w:r w:rsidRPr="007C7A9E">
        <w:rPr>
          <w:rFonts w:ascii="Tahoma" w:hAnsi="Tahoma" w:cs="Tahoma"/>
          <w:sz w:val="18"/>
          <w:szCs w:val="18"/>
        </w:rPr>
        <w:t>Prodotto End-Of-Life (EOL) che non verrà più offerto.</w:t>
      </w:r>
    </w:p>
    <w:p w:rsidR="00ED5504" w:rsidRPr="007C7A9E" w:rsidRDefault="00ED5504" w:rsidP="00D511CC">
      <w:pPr>
        <w:pStyle w:val="EndnoteText"/>
        <w:ind w:left="720"/>
        <w:rPr>
          <w:rFonts w:ascii="Tahoma" w:hAnsi="Tahoma" w:cs="Tahoma"/>
          <w:sz w:val="18"/>
          <w:szCs w:val="18"/>
        </w:rPr>
      </w:pPr>
    </w:p>
    <w:p w:rsidR="00ED5504" w:rsidRPr="007C7A9E" w:rsidRDefault="00ED5504" w:rsidP="00D511CC">
      <w:pPr>
        <w:pStyle w:val="EndnoteText"/>
        <w:spacing w:after="60"/>
        <w:ind w:left="720"/>
        <w:rPr>
          <w:rFonts w:ascii="Tahoma" w:hAnsi="Tahoma" w:cs="Tahoma"/>
          <w:sz w:val="18"/>
          <w:szCs w:val="18"/>
        </w:rPr>
      </w:pPr>
      <w:r w:rsidRPr="007C7A9E">
        <w:rPr>
          <w:rFonts w:ascii="Tahoma" w:hAnsi="Tahoma" w:cs="Tahoma"/>
          <w:b/>
          <w:sz w:val="18"/>
          <w:szCs w:val="18"/>
        </w:rPr>
        <w:t>Concessione di una Licenza Una Tantum ai Titolari di Licenza per System Center Reporting Manager 2006</w:t>
      </w:r>
    </w:p>
    <w:p w:rsidR="00ED5504" w:rsidRPr="007C7A9E" w:rsidRDefault="00ED5504" w:rsidP="00D511CC">
      <w:pPr>
        <w:pStyle w:val="EndnoteText"/>
        <w:ind w:left="720"/>
        <w:rPr>
          <w:rFonts w:ascii="Tahoma" w:hAnsi="Tahoma" w:cs="Tahoma"/>
          <w:sz w:val="18"/>
          <w:szCs w:val="18"/>
        </w:rPr>
      </w:pPr>
      <w:r w:rsidRPr="007C7A9E">
        <w:rPr>
          <w:rFonts w:ascii="Tahoma" w:hAnsi="Tahoma" w:cs="Tahoma"/>
          <w:sz w:val="18"/>
          <w:szCs w:val="18"/>
        </w:rPr>
        <w:t>Come eccezione una tantum legata all</w:t>
      </w:r>
      <w:r w:rsidR="00F2643E">
        <w:rPr>
          <w:rFonts w:ascii="Tahoma" w:hAnsi="Tahoma" w:cs="Tahoma"/>
          <w:sz w:val="18"/>
          <w:szCs w:val="18"/>
        </w:rPr>
        <w:t>’</w:t>
      </w:r>
      <w:r w:rsidRPr="007C7A9E">
        <w:rPr>
          <w:rFonts w:ascii="Tahoma" w:hAnsi="Tahoma" w:cs="Tahoma"/>
          <w:sz w:val="18"/>
          <w:szCs w:val="18"/>
        </w:rPr>
        <w:t>interruzione di System Center Reporting Manager 2006, Microsoft concederà alle società in possesso di contratti Select, Enterprise, Open License, Open Value e Campus e School e con copertura Software Assurance attiva per ogni licenza di System Center Reporting Manager 2006 al 31 maggio 2010, le seguenti licenze senza alcuna spesa aggiuntiva che non siano i costi (eventuali) dei supporti di memorizzazione</w:t>
      </w:r>
      <w:r w:rsidRPr="007C7A9E">
        <w:rPr>
          <w:rFonts w:ascii="Tahoma" w:hAnsi="Tahoma" w:cs="Tahoma"/>
          <w:color w:val="000000"/>
          <w:sz w:val="18"/>
          <w:szCs w:val="18"/>
        </w:rPr>
        <w:t>:</w:t>
      </w:r>
    </w:p>
    <w:p w:rsidR="00ED5504" w:rsidRPr="007C7A9E" w:rsidRDefault="00ED5504" w:rsidP="00D511CC">
      <w:pPr>
        <w:pStyle w:val="EndnoteText"/>
        <w:rPr>
          <w:rFonts w:ascii="Tahoma" w:hAnsi="Tahoma" w:cs="Tahoma"/>
          <w:sz w:val="18"/>
          <w:szCs w:val="18"/>
        </w:rPr>
      </w:pPr>
    </w:p>
    <w:p w:rsidR="00ED5504" w:rsidRPr="007C7A9E" w:rsidRDefault="00ED5504" w:rsidP="00D511CC">
      <w:pPr>
        <w:pStyle w:val="EndnoteText"/>
        <w:numPr>
          <w:ilvl w:val="0"/>
          <w:numId w:val="7"/>
        </w:numPr>
        <w:tabs>
          <w:tab w:val="left" w:pos="1440"/>
        </w:tabs>
        <w:spacing w:after="60"/>
        <w:ind w:left="1440"/>
        <w:rPr>
          <w:rFonts w:ascii="Tahoma" w:hAnsi="Tahoma" w:cs="Tahoma"/>
          <w:sz w:val="18"/>
          <w:szCs w:val="18"/>
        </w:rPr>
      </w:pPr>
      <w:r w:rsidRPr="007C7A9E">
        <w:rPr>
          <w:rFonts w:ascii="Tahoma" w:hAnsi="Tahoma" w:cs="Tahoma"/>
          <w:sz w:val="18"/>
          <w:szCs w:val="18"/>
        </w:rPr>
        <w:t>Una licenza di Gestione Server per System Center Service Manager 2010 (senza Tecnologia SQL)</w:t>
      </w:r>
    </w:p>
    <w:p w:rsidR="00ED5504" w:rsidRPr="007C7A9E" w:rsidRDefault="00ED5504" w:rsidP="00D511CC">
      <w:pPr>
        <w:pStyle w:val="EndnoteText"/>
        <w:numPr>
          <w:ilvl w:val="0"/>
          <w:numId w:val="7"/>
        </w:numPr>
        <w:spacing w:after="60"/>
        <w:ind w:left="1440"/>
        <w:rPr>
          <w:rFonts w:ascii="Tahoma" w:hAnsi="Tahoma" w:cs="Tahoma"/>
          <w:sz w:val="18"/>
          <w:szCs w:val="18"/>
        </w:rPr>
      </w:pPr>
      <w:r w:rsidRPr="007C7A9E">
        <w:rPr>
          <w:rFonts w:ascii="Tahoma" w:hAnsi="Tahoma" w:cs="Tahoma"/>
          <w:sz w:val="18"/>
          <w:szCs w:val="18"/>
        </w:rPr>
        <w:t>Cinque licenze di Gestione Server per System Center Service Manager 2010</w:t>
      </w:r>
    </w:p>
    <w:p w:rsidR="00ED5504" w:rsidRPr="007C7A9E" w:rsidRDefault="00ED5504" w:rsidP="00D511CC">
      <w:pPr>
        <w:pStyle w:val="EndnoteText"/>
        <w:numPr>
          <w:ilvl w:val="0"/>
          <w:numId w:val="7"/>
        </w:numPr>
        <w:spacing w:after="60"/>
        <w:ind w:left="1440"/>
        <w:rPr>
          <w:rFonts w:ascii="Tahoma" w:hAnsi="Tahoma" w:cs="Tahoma"/>
          <w:sz w:val="18"/>
          <w:szCs w:val="18"/>
        </w:rPr>
      </w:pPr>
      <w:r w:rsidRPr="007C7A9E">
        <w:rPr>
          <w:rFonts w:ascii="Tahoma" w:hAnsi="Tahoma" w:cs="Tahoma"/>
          <w:sz w:val="18"/>
          <w:szCs w:val="18"/>
        </w:rPr>
        <w:t>Trenta licenze di Gestione Client per System Center Service Manager 2010</w:t>
      </w:r>
    </w:p>
    <w:p w:rsidR="00ED5504" w:rsidRPr="007C7A9E" w:rsidRDefault="00ED5504" w:rsidP="00D511CC">
      <w:pPr>
        <w:pStyle w:val="EndnoteText"/>
        <w:ind w:left="0"/>
        <w:rPr>
          <w:rFonts w:ascii="Tahoma" w:hAnsi="Tahoma" w:cs="Tahoma"/>
          <w:sz w:val="18"/>
          <w:szCs w:val="18"/>
        </w:rPr>
      </w:pPr>
    </w:p>
    <w:p w:rsidR="00ED5504" w:rsidRPr="007C7A9E" w:rsidRDefault="00ED5504" w:rsidP="00D511CC">
      <w:pPr>
        <w:pStyle w:val="EndnoteText"/>
        <w:ind w:left="720"/>
        <w:rPr>
          <w:rFonts w:ascii="Tahoma" w:hAnsi="Tahoma" w:cs="Tahoma"/>
          <w:sz w:val="18"/>
          <w:szCs w:val="18"/>
        </w:rPr>
      </w:pPr>
      <w:r w:rsidRPr="007C7A9E">
        <w:rPr>
          <w:rFonts w:ascii="Tahoma" w:hAnsi="Tahoma" w:cs="Tahoma"/>
          <w:sz w:val="18"/>
          <w:szCs w:val="18"/>
        </w:rPr>
        <w:t xml:space="preserve">Tutte le licenze concesse ai sensi della presente offerta includeranno la copertura Software Assurance. Tale copertura cesserà alla scadenza della copertura System Center Reporting Manager 2006 corrispondente. Alla scadenza della copertura, le società potranno rinnovare Software Assurance sulle licenze concesse. </w:t>
      </w:r>
    </w:p>
    <w:p w:rsidR="00ED5504" w:rsidRPr="007C7A9E" w:rsidRDefault="00ED5504" w:rsidP="00D511CC">
      <w:pPr>
        <w:pStyle w:val="EndnoteText"/>
        <w:ind w:left="720"/>
        <w:rPr>
          <w:rFonts w:ascii="Tahoma" w:hAnsi="Tahoma" w:cs="Tahoma"/>
          <w:sz w:val="18"/>
          <w:szCs w:val="18"/>
        </w:rPr>
      </w:pPr>
    </w:p>
    <w:p w:rsidR="00ED5504" w:rsidRPr="007C7A9E" w:rsidRDefault="00ED5504" w:rsidP="007C7A9E">
      <w:pPr>
        <w:pStyle w:val="EndnoteText"/>
        <w:ind w:left="720"/>
        <w:rPr>
          <w:rFonts w:ascii="Tahoma" w:hAnsi="Tahoma" w:cs="Tahoma"/>
          <w:sz w:val="18"/>
          <w:szCs w:val="18"/>
        </w:rPr>
      </w:pPr>
      <w:r w:rsidRPr="007C7A9E">
        <w:rPr>
          <w:rFonts w:ascii="Tahoma" w:hAnsi="Tahoma" w:cs="Tahoma"/>
          <w:sz w:val="18"/>
          <w:szCs w:val="18"/>
        </w:rPr>
        <w:t>L</w:t>
      </w:r>
      <w:r w:rsidR="00F2643E">
        <w:rPr>
          <w:rFonts w:ascii="Tahoma" w:hAnsi="Tahoma" w:cs="Tahoma"/>
          <w:sz w:val="18"/>
          <w:szCs w:val="18"/>
        </w:rPr>
        <w:t>’</w:t>
      </w:r>
      <w:r w:rsidRPr="007C7A9E">
        <w:rPr>
          <w:rFonts w:ascii="Tahoma" w:hAnsi="Tahoma" w:cs="Tahoma"/>
          <w:sz w:val="18"/>
          <w:szCs w:val="18"/>
        </w:rPr>
        <w:t>utilizzo del software da parte della società ai sensi della presente offerta sarà soggetto alle condizioni del</w:t>
      </w:r>
      <w:r w:rsidR="007C7A9E">
        <w:rPr>
          <w:rFonts w:ascii="Tahoma" w:hAnsi="Tahoma" w:cs="Tahoma"/>
          <w:sz w:val="18"/>
          <w:szCs w:val="18"/>
        </w:rPr>
        <w:t> </w:t>
      </w:r>
      <w:r w:rsidRPr="007C7A9E">
        <w:rPr>
          <w:rFonts w:ascii="Tahoma" w:hAnsi="Tahoma" w:cs="Tahoma"/>
          <w:sz w:val="18"/>
          <w:szCs w:val="18"/>
        </w:rPr>
        <w:t>relativo contratto di licenza e ai diritti di utilizzo del prodotto relativi al software. Il diritto di utilizzo del</w:t>
      </w:r>
      <w:r w:rsidR="007C7A9E">
        <w:rPr>
          <w:rFonts w:ascii="Tahoma" w:hAnsi="Tahoma" w:cs="Tahoma"/>
          <w:sz w:val="18"/>
          <w:szCs w:val="18"/>
        </w:rPr>
        <w:t> </w:t>
      </w:r>
      <w:r w:rsidRPr="007C7A9E">
        <w:rPr>
          <w:rFonts w:ascii="Tahoma" w:hAnsi="Tahoma" w:cs="Tahoma"/>
          <w:sz w:val="18"/>
          <w:szCs w:val="18"/>
        </w:rPr>
        <w:t xml:space="preserve">software concesso scadrà alla scadenza del diritto di utilizzo della licenza per System Center Reporting </w:t>
      </w:r>
      <w:r w:rsidRPr="007C7A9E">
        <w:rPr>
          <w:rFonts w:ascii="Tahoma" w:hAnsi="Tahoma" w:cs="Tahoma"/>
          <w:sz w:val="18"/>
          <w:szCs w:val="18"/>
        </w:rPr>
        <w:lastRenderedPageBreak/>
        <w:t>Manager 2006 qualificante. Le società non potranno trasferire le licenze concesse in virtù della presente offerta separatamente dalle licenze qualificanti corrispondenti.</w:t>
      </w:r>
    </w:p>
    <w:p w:rsidR="00ED5504" w:rsidRDefault="00ED5504" w:rsidP="00D511CC">
      <w:pPr>
        <w:pStyle w:val="EndnoteText"/>
        <w:ind w:left="720"/>
        <w:rPr>
          <w:rFonts w:ascii="Tahoma" w:hAnsi="Tahoma" w:cs="Tahoma"/>
          <w:sz w:val="18"/>
          <w:szCs w:val="18"/>
        </w:rPr>
      </w:pPr>
    </w:p>
    <w:p w:rsidR="00ED5504" w:rsidRPr="00A75DF9" w:rsidRDefault="00ED5504" w:rsidP="007C7A9E">
      <w:pPr>
        <w:ind w:left="720"/>
        <w:rPr>
          <w:rFonts w:cs="Tahoma"/>
        </w:rPr>
      </w:pPr>
      <w:r w:rsidRPr="007C7A9E">
        <w:rPr>
          <w:rFonts w:eastAsia="Calibri" w:cs="Tahoma"/>
          <w:color w:val="000000"/>
          <w:szCs w:val="18"/>
        </w:rPr>
        <w:t>Le licenze per System Center Reporting Manager 2006,</w:t>
      </w:r>
      <w:r w:rsidRPr="007C7A9E">
        <w:rPr>
          <w:rFonts w:cs="Tahoma"/>
          <w:bCs/>
          <w:szCs w:val="18"/>
        </w:rPr>
        <w:t xml:space="preserve"> acquistate dopo il 31 maggio 2010 nell</w:t>
      </w:r>
      <w:r w:rsidR="00F2643E">
        <w:rPr>
          <w:rFonts w:cs="Tahoma"/>
          <w:bCs/>
          <w:szCs w:val="18"/>
        </w:rPr>
        <w:t>’</w:t>
      </w:r>
      <w:r w:rsidRPr="007C7A9E">
        <w:rPr>
          <w:rFonts w:cs="Tahoma"/>
          <w:bCs/>
          <w:szCs w:val="18"/>
        </w:rPr>
        <w:t>ambito del</w:t>
      </w:r>
      <w:r w:rsidR="007C7A9E">
        <w:rPr>
          <w:rFonts w:cs="Tahoma"/>
          <w:bCs/>
          <w:szCs w:val="18"/>
        </w:rPr>
        <w:t> </w:t>
      </w:r>
      <w:r w:rsidRPr="007C7A9E">
        <w:rPr>
          <w:rFonts w:cs="Tahoma"/>
          <w:bCs/>
          <w:szCs w:val="18"/>
        </w:rPr>
        <w:t xml:space="preserve">processo annuale di true-up per le Iscrizioni Enterprise ai sensi delle quali le licenze per </w:t>
      </w:r>
      <w:r w:rsidRPr="007C7A9E">
        <w:rPr>
          <w:rFonts w:eastAsia="Calibri" w:cs="Tahoma"/>
          <w:color w:val="000000"/>
          <w:szCs w:val="18"/>
        </w:rPr>
        <w:t>System Center Reporting Manager 2006</w:t>
      </w:r>
      <w:r w:rsidRPr="007C7A9E">
        <w:rPr>
          <w:rFonts w:cs="Tahoma"/>
          <w:bCs/>
          <w:szCs w:val="18"/>
        </w:rPr>
        <w:t xml:space="preserve"> sono state inizialmente acquistate prima del 31 maggio 2010, sono anch</w:t>
      </w:r>
      <w:r w:rsidR="00F2643E">
        <w:rPr>
          <w:rFonts w:cs="Tahoma"/>
          <w:bCs/>
          <w:szCs w:val="18"/>
        </w:rPr>
        <w:t>’</w:t>
      </w:r>
      <w:r w:rsidRPr="007C7A9E">
        <w:rPr>
          <w:rFonts w:cs="Tahoma"/>
          <w:bCs/>
          <w:szCs w:val="18"/>
        </w:rPr>
        <w:t>esse</w:t>
      </w:r>
      <w:r w:rsidRPr="00A75DF9">
        <w:rPr>
          <w:rFonts w:cs="Tahoma"/>
          <w:bCs/>
          <w:szCs w:val="18"/>
        </w:rPr>
        <w:t xml:space="preserve"> idonee a ricevere le licenze Server di Gestione per System Center Service Manager 2010 e le licenze di</w:t>
      </w:r>
      <w:r w:rsidR="007C7A9E">
        <w:rPr>
          <w:rFonts w:cs="Tahoma"/>
          <w:bCs/>
          <w:szCs w:val="18"/>
        </w:rPr>
        <w:t> </w:t>
      </w:r>
      <w:r w:rsidRPr="00A75DF9">
        <w:rPr>
          <w:rFonts w:cs="Tahoma"/>
          <w:bCs/>
          <w:szCs w:val="18"/>
        </w:rPr>
        <w:t>Gestione Client/Server in base alla presente offerta.</w:t>
      </w:r>
    </w:p>
    <w:p w:rsidR="00ED5504" w:rsidRPr="00A75DF9" w:rsidRDefault="00ED5504" w:rsidP="00D511CC">
      <w:pPr>
        <w:ind w:left="720"/>
        <w:rPr>
          <w:rFonts w:cs="Tahoma"/>
        </w:rPr>
      </w:pPr>
    </w:p>
    <w:p w:rsidR="00ED5504" w:rsidRPr="007C7A9E" w:rsidRDefault="00ED5504" w:rsidP="007C7A9E">
      <w:pPr>
        <w:pStyle w:val="EndnoteText"/>
        <w:ind w:left="720"/>
        <w:rPr>
          <w:rFonts w:ascii="Tahoma" w:hAnsi="Tahoma" w:cs="Tahoma"/>
          <w:sz w:val="18"/>
          <w:szCs w:val="18"/>
        </w:rPr>
      </w:pPr>
      <w:r w:rsidRPr="007C7A9E">
        <w:rPr>
          <w:rFonts w:ascii="Tahoma" w:hAnsi="Tahoma" w:cs="Tahoma"/>
          <w:bCs/>
          <w:sz w:val="18"/>
          <w:szCs w:val="18"/>
        </w:rPr>
        <w:t>Per Contratti Enterprise Subscription, Campus e School e Open Value Subscription, gli stessi diritti verranno concessi temporaneamente fino al termine del periodo di validità dell</w:t>
      </w:r>
      <w:r w:rsidR="00F2643E">
        <w:rPr>
          <w:rFonts w:ascii="Tahoma" w:hAnsi="Tahoma" w:cs="Tahoma"/>
          <w:bCs/>
          <w:sz w:val="18"/>
          <w:szCs w:val="18"/>
        </w:rPr>
        <w:t>’</w:t>
      </w:r>
      <w:r w:rsidRPr="007C7A9E">
        <w:rPr>
          <w:rFonts w:ascii="Tahoma" w:hAnsi="Tahoma" w:cs="Tahoma"/>
          <w:bCs/>
          <w:sz w:val="18"/>
          <w:szCs w:val="18"/>
        </w:rPr>
        <w:t>iscrizione della licenza, qualora le</w:t>
      </w:r>
      <w:r w:rsidR="007C7A9E">
        <w:rPr>
          <w:rFonts w:ascii="Tahoma" w:hAnsi="Tahoma" w:cs="Tahoma"/>
          <w:bCs/>
          <w:sz w:val="18"/>
          <w:szCs w:val="18"/>
        </w:rPr>
        <w:t> </w:t>
      </w:r>
      <w:r w:rsidRPr="007C7A9E">
        <w:rPr>
          <w:rFonts w:ascii="Tahoma" w:hAnsi="Tahoma" w:cs="Tahoma"/>
          <w:bCs/>
          <w:sz w:val="18"/>
          <w:szCs w:val="18"/>
        </w:rPr>
        <w:t>Licenze e la copertura Software Assurance siano valide durante il periodo di concessione e la società mantenga la copertura dell</w:t>
      </w:r>
      <w:r w:rsidR="00F2643E">
        <w:rPr>
          <w:rFonts w:ascii="Tahoma" w:hAnsi="Tahoma" w:cs="Tahoma"/>
          <w:bCs/>
          <w:sz w:val="18"/>
          <w:szCs w:val="18"/>
        </w:rPr>
        <w:t>’</w:t>
      </w:r>
      <w:r w:rsidRPr="007C7A9E">
        <w:rPr>
          <w:rFonts w:ascii="Tahoma" w:hAnsi="Tahoma" w:cs="Tahoma"/>
          <w:bCs/>
          <w:sz w:val="18"/>
          <w:szCs w:val="18"/>
        </w:rPr>
        <w:t>abbonamento in via continuativa.</w:t>
      </w:r>
      <w:r w:rsidR="009D3B41" w:rsidRPr="007C7A9E">
        <w:rPr>
          <w:rFonts w:ascii="Tahoma" w:hAnsi="Tahoma" w:cs="Tahoma"/>
          <w:bCs/>
          <w:sz w:val="18"/>
          <w:szCs w:val="18"/>
        </w:rPr>
        <w:t xml:space="preserve"> </w:t>
      </w:r>
      <w:r w:rsidRPr="007C7A9E">
        <w:rPr>
          <w:rFonts w:ascii="Tahoma" w:hAnsi="Tahoma" w:cs="Tahoma"/>
          <w:bCs/>
          <w:sz w:val="18"/>
          <w:szCs w:val="18"/>
        </w:rPr>
        <w:t>Tali diritti diventeranno permanenti soltanto all</w:t>
      </w:r>
      <w:r w:rsidR="00F2643E">
        <w:rPr>
          <w:rFonts w:ascii="Tahoma" w:hAnsi="Tahoma" w:cs="Tahoma"/>
          <w:bCs/>
          <w:sz w:val="18"/>
          <w:szCs w:val="18"/>
        </w:rPr>
        <w:t>’</w:t>
      </w:r>
      <w:r w:rsidRPr="007C7A9E">
        <w:rPr>
          <w:rFonts w:ascii="Tahoma" w:hAnsi="Tahoma" w:cs="Tahoma"/>
          <w:bCs/>
          <w:sz w:val="18"/>
          <w:szCs w:val="18"/>
        </w:rPr>
        <w:t>esercizio dell</w:t>
      </w:r>
      <w:r w:rsidR="00F2643E">
        <w:rPr>
          <w:rFonts w:ascii="Tahoma" w:hAnsi="Tahoma" w:cs="Tahoma"/>
          <w:bCs/>
          <w:sz w:val="18"/>
          <w:szCs w:val="18"/>
        </w:rPr>
        <w:t>’</w:t>
      </w:r>
      <w:r w:rsidRPr="007C7A9E">
        <w:rPr>
          <w:rFonts w:ascii="Tahoma" w:hAnsi="Tahoma" w:cs="Tahoma"/>
          <w:bCs/>
          <w:sz w:val="18"/>
          <w:szCs w:val="18"/>
        </w:rPr>
        <w:t>opzione buy-out e resteranno soggetti a tutte le condizioni del contratto di licenza della società.</w:t>
      </w:r>
    </w:p>
    <w:p w:rsidR="00023FE7" w:rsidRPr="007C7A9E" w:rsidRDefault="00023FE7" w:rsidP="00D511CC">
      <w:pPr>
        <w:pStyle w:val="EndnoteText"/>
        <w:rPr>
          <w:rFonts w:ascii="Tahoma" w:hAnsi="Tahoma" w:cs="Tahoma"/>
          <w:sz w:val="18"/>
          <w:szCs w:val="18"/>
        </w:rPr>
      </w:pPr>
    </w:p>
    <w:p w:rsidR="00ED5504" w:rsidRPr="007C7A9E" w:rsidRDefault="00ED5504">
      <w:pPr>
        <w:pStyle w:val="EndnoteText"/>
        <w:rPr>
          <w:rFonts w:ascii="Tahoma" w:hAnsi="Tahoma" w:cs="Tahoma"/>
          <w:sz w:val="18"/>
          <w:szCs w:val="18"/>
        </w:rPr>
      </w:pPr>
    </w:p>
    <w:p w:rsidR="00023FE7" w:rsidRPr="00A75DF9" w:rsidRDefault="00A560B6">
      <w:pPr>
        <w:pStyle w:val="Heading3"/>
        <w:rPr>
          <w:rFonts w:ascii="Tahoma" w:hAnsi="Tahoma" w:cs="Tahoma"/>
        </w:rPr>
      </w:pPr>
      <w:bookmarkStart w:id="1490" w:name="Srv_85SysCtrSvrMgmtSuiteEnterprise"/>
      <w:bookmarkStart w:id="1491" w:name="_85_System_Center"/>
      <w:bookmarkStart w:id="1492" w:name="_98_System_Center"/>
      <w:bookmarkStart w:id="1493" w:name="_93_System_Center"/>
      <w:bookmarkStart w:id="1494" w:name="_Toc336338354"/>
      <w:bookmarkStart w:id="1495" w:name="_Toc368310343"/>
      <w:bookmarkEnd w:id="1490"/>
      <w:bookmarkEnd w:id="1491"/>
      <w:bookmarkEnd w:id="1492"/>
      <w:bookmarkEnd w:id="1493"/>
      <w:r w:rsidRPr="00A75DF9">
        <w:rPr>
          <w:rFonts w:ascii="Tahoma" w:hAnsi="Tahoma" w:cs="Tahoma"/>
          <w:caps/>
          <w:color w:val="F66400"/>
          <w:sz w:val="22"/>
          <w:vertAlign w:val="superscript"/>
        </w:rPr>
        <w:t xml:space="preserve">93 </w:t>
      </w:r>
      <w:r w:rsidRPr="00A75DF9">
        <w:rPr>
          <w:rFonts w:ascii="Tahoma" w:hAnsi="Tahoma" w:cs="Tahoma"/>
          <w:color w:val="F66400"/>
          <w:sz w:val="22"/>
        </w:rPr>
        <w:t>System Center Server Management Suite Enterprise</w:t>
      </w:r>
      <w:bookmarkEnd w:id="1494"/>
      <w:bookmarkEnd w:id="1495"/>
    </w:p>
    <w:bookmarkEnd w:id="1488"/>
    <w:p w:rsidR="00023FE7" w:rsidRPr="007C7A9E" w:rsidRDefault="00023FE7" w:rsidP="00D511CC">
      <w:pPr>
        <w:pStyle w:val="EndnoteText"/>
        <w:ind w:left="720"/>
        <w:rPr>
          <w:rFonts w:ascii="Tahoma" w:hAnsi="Tahoma" w:cs="Tahoma"/>
          <w:sz w:val="18"/>
          <w:szCs w:val="18"/>
        </w:rPr>
      </w:pPr>
    </w:p>
    <w:p w:rsidR="00FF4CAB" w:rsidRPr="00A75DF9" w:rsidRDefault="00FF4CAB" w:rsidP="00D511CC">
      <w:pPr>
        <w:pStyle w:val="EndnoteText"/>
        <w:ind w:left="720"/>
        <w:rPr>
          <w:rFonts w:ascii="Tahoma" w:hAnsi="Tahoma" w:cs="Tahoma"/>
        </w:rPr>
      </w:pPr>
      <w:r w:rsidRPr="00A75DF9">
        <w:rPr>
          <w:rFonts w:ascii="Tahoma" w:hAnsi="Tahoma" w:cs="Tahoma"/>
          <w:color w:val="000000"/>
          <w:sz w:val="18"/>
        </w:rPr>
        <w:t>Prodotto End-Of-Life (EOL) che non verrà più offerto.</w:t>
      </w:r>
    </w:p>
    <w:p w:rsidR="00D511CC" w:rsidRPr="007C7A9E" w:rsidRDefault="00D511CC" w:rsidP="00D511CC">
      <w:pPr>
        <w:pStyle w:val="EndnoteText"/>
        <w:ind w:left="720"/>
        <w:rPr>
          <w:rFonts w:ascii="Tahoma" w:hAnsi="Tahoma" w:cs="Tahoma"/>
          <w:sz w:val="18"/>
          <w:szCs w:val="18"/>
        </w:rPr>
      </w:pPr>
    </w:p>
    <w:p w:rsidR="00FF4CAB" w:rsidRPr="00A75DF9" w:rsidRDefault="00FF4CAB" w:rsidP="007C7A9E">
      <w:pPr>
        <w:pStyle w:val="FootnoteBulletLevel1"/>
        <w:tabs>
          <w:tab w:val="clear" w:pos="900"/>
        </w:tabs>
        <w:spacing w:before="0" w:after="60"/>
        <w:ind w:left="720" w:firstLine="0"/>
        <w:rPr>
          <w:rFonts w:ascii="Tahoma" w:hAnsi="Tahoma" w:cs="Tahoma"/>
        </w:rPr>
      </w:pPr>
      <w:r w:rsidRPr="00A75DF9">
        <w:rPr>
          <w:rFonts w:ascii="Tahoma" w:hAnsi="Tahoma" w:cs="Tahoma"/>
          <w:b/>
          <w:sz w:val="18"/>
        </w:rPr>
        <w:t>Dettagli relativi alla Concessione di una Licenza Transitoria Una Tantum per System Center</w:t>
      </w:r>
      <w:r w:rsidR="007C7A9E">
        <w:rPr>
          <w:rFonts w:ascii="Tahoma" w:hAnsi="Tahoma" w:cs="Tahoma"/>
          <w:b/>
          <w:sz w:val="18"/>
        </w:rPr>
        <w:t> </w:t>
      </w:r>
      <w:r w:rsidRPr="00A75DF9">
        <w:rPr>
          <w:rFonts w:ascii="Tahoma" w:hAnsi="Tahoma" w:cs="Tahoma"/>
          <w:b/>
          <w:sz w:val="18"/>
        </w:rPr>
        <w:t>2012</w:t>
      </w:r>
    </w:p>
    <w:p w:rsidR="00FF4CAB" w:rsidRPr="00A75DF9" w:rsidRDefault="00FF4CAB" w:rsidP="00D511CC">
      <w:pPr>
        <w:ind w:left="720"/>
        <w:rPr>
          <w:rFonts w:cs="Tahoma"/>
        </w:rPr>
      </w:pPr>
      <w:r w:rsidRPr="00A75DF9">
        <w:rPr>
          <w:rFonts w:cs="Tahoma"/>
        </w:rPr>
        <w:t>Per dettagli sulle concessioni di licenze transitorie, fare riferimento alla nota relativa al prodotto presente nelle offerte di System Center 2012.</w:t>
      </w:r>
    </w:p>
    <w:p w:rsidR="00FF4CAB" w:rsidRPr="00A75DF9" w:rsidRDefault="00FF4CAB" w:rsidP="00D511CC">
      <w:pPr>
        <w:ind w:left="720"/>
        <w:rPr>
          <w:rFonts w:cs="Tahoma"/>
        </w:rPr>
      </w:pPr>
    </w:p>
    <w:p w:rsidR="00023FE7" w:rsidRPr="00A75DF9" w:rsidRDefault="00023FE7" w:rsidP="00D511CC">
      <w:pPr>
        <w:ind w:left="720"/>
        <w:rPr>
          <w:rFonts w:cs="Tahoma"/>
        </w:rPr>
      </w:pPr>
      <w:r w:rsidRPr="00A75DF9">
        <w:rPr>
          <w:rFonts w:cs="Tahoma"/>
          <w:szCs w:val="20"/>
        </w:rPr>
        <w:t xml:space="preserve">System Center Server Management Suite Enterprise </w:t>
      </w:r>
      <w:r w:rsidRPr="00A75DF9">
        <w:rPr>
          <w:rFonts w:cs="Tahoma"/>
          <w:color w:val="000000"/>
          <w:szCs w:val="20"/>
        </w:rPr>
        <w:t>non dispone di versioni e i diritti di utilizzo del prodotto sono determinati dallo stato della copertura Software Assurance per System Center Server Management Suite Enterprise. Qualora la copertura sia scaduta, i diritti di accesso attribuiti da licenze perpetue sono determinati sulla base dei diritti di utilizzo del prodotto in vigore prima della scadenza della copertura.</w:t>
      </w:r>
      <w:r w:rsidR="009D3B41" w:rsidRPr="00A75DF9">
        <w:rPr>
          <w:rFonts w:cs="Tahoma"/>
          <w:color w:val="000000"/>
          <w:szCs w:val="20"/>
        </w:rPr>
        <w:t xml:space="preserve"> </w:t>
      </w:r>
    </w:p>
    <w:p w:rsidR="00E72B93" w:rsidRPr="00A75DF9" w:rsidRDefault="00E72B93" w:rsidP="00D511CC">
      <w:pPr>
        <w:ind w:left="720"/>
        <w:rPr>
          <w:rFonts w:cs="Tahoma"/>
        </w:rPr>
      </w:pPr>
    </w:p>
    <w:p w:rsidR="005C164D" w:rsidRPr="00A75DF9" w:rsidRDefault="005C164D" w:rsidP="00D511CC">
      <w:pPr>
        <w:ind w:left="720"/>
        <w:jc w:val="both"/>
        <w:rPr>
          <w:rFonts w:cs="Tahoma"/>
        </w:rPr>
      </w:pPr>
      <w:r w:rsidRPr="00A75DF9">
        <w:rPr>
          <w:rFonts w:cs="Tahoma"/>
          <w:color w:val="000000"/>
          <w:szCs w:val="18"/>
        </w:rPr>
        <w:t>Al 1 novembre 2010 una licenza per System Center Server Management Suite Enterprise con copertura Software Assurance attiva fornisce i diritti di gestione server per le licenze di gestione server per System Center Enterprise relativamente a Operations Manager 2007 R2, Configuration Manager 2007 R3, Data Protection Manager 2010, Service Manager 2010 e Virtual Machine Manager 2008 R2. Inoltre, è inclusa anche la licenza server per Virtual Machine Manager 2008 R2 e Data Protection Manager 2010. La società dovrà riesaminare il documento PUR per verificare i diritti sull</w:t>
      </w:r>
      <w:r w:rsidR="00F2643E">
        <w:rPr>
          <w:rFonts w:cs="Tahoma"/>
          <w:color w:val="000000"/>
          <w:szCs w:val="18"/>
        </w:rPr>
        <w:t>’</w:t>
      </w:r>
      <w:r w:rsidRPr="00A75DF9">
        <w:rPr>
          <w:rFonts w:cs="Tahoma"/>
          <w:color w:val="000000"/>
          <w:szCs w:val="18"/>
        </w:rPr>
        <w:t>utilizzo.</w:t>
      </w:r>
    </w:p>
    <w:p w:rsidR="00023FE7" w:rsidRPr="00A75DF9" w:rsidRDefault="00023FE7" w:rsidP="00D511CC">
      <w:pPr>
        <w:ind w:left="720"/>
        <w:rPr>
          <w:rFonts w:cs="Tahoma"/>
        </w:rPr>
      </w:pPr>
    </w:p>
    <w:p w:rsidR="004323B9" w:rsidRPr="00A75DF9" w:rsidRDefault="00D511CC" w:rsidP="00D511CC">
      <w:pPr>
        <w:spacing w:after="60"/>
        <w:ind w:left="720"/>
        <w:rPr>
          <w:rFonts w:cs="Tahoma"/>
        </w:rPr>
      </w:pPr>
      <w:r w:rsidRPr="00A75DF9">
        <w:rPr>
          <w:rFonts w:cs="Tahoma"/>
          <w:b/>
          <w:szCs w:val="20"/>
        </w:rPr>
        <w:t>Concessione di Licenza</w:t>
      </w:r>
    </w:p>
    <w:p w:rsidR="004323B9" w:rsidRPr="00A75DF9" w:rsidRDefault="004323B9" w:rsidP="007C7A9E">
      <w:pPr>
        <w:pStyle w:val="FootnoteBulletLevel1"/>
        <w:tabs>
          <w:tab w:val="left" w:pos="900"/>
        </w:tabs>
        <w:spacing w:before="0" w:after="0"/>
        <w:ind w:left="720" w:firstLine="0"/>
        <w:rPr>
          <w:rFonts w:ascii="Tahoma" w:hAnsi="Tahoma" w:cs="Tahoma"/>
        </w:rPr>
      </w:pPr>
      <w:r w:rsidRPr="00A75DF9">
        <w:rPr>
          <w:rFonts w:ascii="Tahoma" w:hAnsi="Tahoma" w:cs="Tahoma"/>
          <w:sz w:val="18"/>
        </w:rPr>
        <w:t>Concessione di una Licenza Una Tantum per System Center Server Management Suite Datacenter (SMSD) ai</w:t>
      </w:r>
      <w:r w:rsidR="007C7A9E">
        <w:rPr>
          <w:rFonts w:ascii="Tahoma" w:hAnsi="Tahoma" w:cs="Tahoma"/>
          <w:sz w:val="18"/>
        </w:rPr>
        <w:t> </w:t>
      </w:r>
      <w:r w:rsidRPr="00A75DF9">
        <w:rPr>
          <w:rFonts w:ascii="Tahoma" w:hAnsi="Tahoma" w:cs="Tahoma"/>
          <w:sz w:val="18"/>
        </w:rPr>
        <w:t>Titolari di Licenza per System Center Server Management Suite Enterprise (SMSE).</w:t>
      </w:r>
    </w:p>
    <w:p w:rsidR="000A18AA" w:rsidRPr="007C7A9E" w:rsidRDefault="000A18AA" w:rsidP="00D511CC">
      <w:pPr>
        <w:pStyle w:val="FootnoteBulletLevel1"/>
        <w:tabs>
          <w:tab w:val="left" w:pos="900"/>
        </w:tabs>
        <w:spacing w:before="0" w:after="0"/>
        <w:ind w:left="720" w:firstLine="0"/>
        <w:rPr>
          <w:rFonts w:ascii="Tahoma" w:hAnsi="Tahoma" w:cs="Tahoma"/>
          <w:sz w:val="18"/>
          <w:szCs w:val="18"/>
        </w:rPr>
      </w:pPr>
    </w:p>
    <w:p w:rsidR="004323B9" w:rsidRPr="007C7A9E" w:rsidRDefault="004323B9" w:rsidP="00D511CC">
      <w:pPr>
        <w:pStyle w:val="FootnoteBulletLevel1"/>
        <w:tabs>
          <w:tab w:val="clear" w:pos="900"/>
          <w:tab w:val="left" w:pos="720"/>
        </w:tabs>
        <w:spacing w:before="0" w:after="0"/>
        <w:ind w:left="720" w:firstLine="0"/>
        <w:rPr>
          <w:rFonts w:ascii="Tahoma" w:hAnsi="Tahoma" w:cs="Tahoma"/>
          <w:sz w:val="18"/>
          <w:szCs w:val="18"/>
        </w:rPr>
      </w:pPr>
      <w:r w:rsidRPr="007C7A9E">
        <w:rPr>
          <w:rFonts w:ascii="Tahoma" w:hAnsi="Tahoma" w:cs="Tahoma"/>
          <w:sz w:val="18"/>
          <w:szCs w:val="18"/>
        </w:rPr>
        <w:t>Come eccezione una tantum legata alla transizione di SMSE* da una suite che consente la gestione di qualunque numero di OSE su un dispositivo con licenza a un suite che consente la gestione di un massimo di quattro OSE su un dispositivo con licenza, Microsoft concede alle società che hanno concluso contratti Select, Enterprise, Open License, Open Value e Campus e School e che dispongono di una copertura Software Assurance attiva su SMSE in data 1 luglio 2009 le seguenti licenze</w:t>
      </w:r>
      <w:r w:rsidRPr="007C7A9E">
        <w:rPr>
          <w:rFonts w:ascii="Tahoma" w:hAnsi="Tahoma" w:cs="Tahoma"/>
          <w:color w:val="000000"/>
          <w:sz w:val="18"/>
          <w:szCs w:val="18"/>
        </w:rPr>
        <w:t>:</w:t>
      </w:r>
    </w:p>
    <w:p w:rsidR="000A18AA" w:rsidRPr="007C7A9E" w:rsidRDefault="000A18AA" w:rsidP="00D511CC">
      <w:pPr>
        <w:pStyle w:val="FootnoteBulletLevel1"/>
        <w:tabs>
          <w:tab w:val="clear" w:pos="900"/>
          <w:tab w:val="left" w:pos="720"/>
        </w:tabs>
        <w:spacing w:before="0" w:after="0"/>
        <w:ind w:left="720" w:firstLine="0"/>
        <w:rPr>
          <w:rFonts w:ascii="Tahoma" w:hAnsi="Tahoma" w:cs="Tahoma"/>
          <w:sz w:val="18"/>
          <w:szCs w:val="18"/>
        </w:rPr>
      </w:pPr>
    </w:p>
    <w:p w:rsidR="004323B9" w:rsidRPr="00A75DF9" w:rsidRDefault="004323B9" w:rsidP="00D511CC">
      <w:pPr>
        <w:numPr>
          <w:ilvl w:val="0"/>
          <w:numId w:val="3"/>
        </w:numPr>
        <w:ind w:left="1440"/>
        <w:rPr>
          <w:rFonts w:cs="Tahoma"/>
        </w:rPr>
      </w:pPr>
      <w:r w:rsidRPr="00A75DF9">
        <w:rPr>
          <w:rFonts w:cs="Tahoma"/>
          <w:color w:val="000000"/>
          <w:szCs w:val="20"/>
        </w:rPr>
        <w:t>Quattro licenze gratuite SMSD per ogni licenza SMSE qualificante con copertura Software Assurance attiva di cui la società sia titolare al 1 luglio 2009. Ogni gruppo di quattro licenze SMSD concesse deve essere assegnato a un unico dispositivo e non può essere separato per un utilizzo su due o più dispostivi.</w:t>
      </w:r>
    </w:p>
    <w:p w:rsidR="000A18AA" w:rsidRPr="00A75DF9" w:rsidRDefault="000A18AA" w:rsidP="000A18AA">
      <w:pPr>
        <w:rPr>
          <w:rFonts w:cs="Tahoma"/>
        </w:rPr>
      </w:pPr>
    </w:p>
    <w:p w:rsidR="004323B9" w:rsidRPr="00A75DF9" w:rsidRDefault="004323B9" w:rsidP="00D511CC">
      <w:pPr>
        <w:pStyle w:val="FootnoteBulletLevel1"/>
        <w:tabs>
          <w:tab w:val="clear" w:pos="900"/>
        </w:tabs>
        <w:spacing w:before="0" w:after="0"/>
        <w:ind w:left="720" w:firstLine="0"/>
        <w:rPr>
          <w:rFonts w:ascii="Tahoma" w:hAnsi="Tahoma" w:cs="Tahoma"/>
        </w:rPr>
      </w:pPr>
      <w:r w:rsidRPr="00A75DF9">
        <w:rPr>
          <w:rFonts w:ascii="Tahoma" w:hAnsi="Tahoma" w:cs="Tahoma"/>
          <w:sz w:val="18"/>
        </w:rPr>
        <w:t>I diritti di gestione associati alle licenze gratuite SMSD sono concessi al posto dei diritti di gestione associati alla licenza SMSE qualificante.</w:t>
      </w:r>
      <w:r w:rsidR="009D3B41" w:rsidRPr="00A75DF9">
        <w:rPr>
          <w:rFonts w:ascii="Tahoma" w:hAnsi="Tahoma" w:cs="Tahoma"/>
          <w:sz w:val="18"/>
        </w:rPr>
        <w:t xml:space="preserve"> </w:t>
      </w:r>
      <w:r w:rsidRPr="00A75DF9">
        <w:rPr>
          <w:rFonts w:ascii="Tahoma" w:hAnsi="Tahoma" w:cs="Tahoma"/>
          <w:sz w:val="18"/>
        </w:rPr>
        <w:t>All</w:t>
      </w:r>
      <w:r w:rsidR="00F2643E">
        <w:rPr>
          <w:rFonts w:ascii="Tahoma" w:hAnsi="Tahoma" w:cs="Tahoma"/>
          <w:sz w:val="18"/>
        </w:rPr>
        <w:t>’</w:t>
      </w:r>
      <w:r w:rsidRPr="00A75DF9">
        <w:rPr>
          <w:rFonts w:ascii="Tahoma" w:hAnsi="Tahoma" w:cs="Tahoma"/>
          <w:sz w:val="18"/>
        </w:rPr>
        <w:t>assegnazione delle licenze SMSD concesse, la società perderà i diritti di gestione ai sensi della corrispondente licenza SMSE.</w:t>
      </w:r>
    </w:p>
    <w:p w:rsidR="004323B9" w:rsidRPr="00A75DF9" w:rsidRDefault="004323B9" w:rsidP="00D511CC">
      <w:pPr>
        <w:pStyle w:val="FootnoteBulletLevel1"/>
        <w:tabs>
          <w:tab w:val="clear" w:pos="900"/>
        </w:tabs>
        <w:spacing w:before="0" w:after="0"/>
        <w:ind w:left="720" w:firstLine="0"/>
        <w:rPr>
          <w:rFonts w:ascii="Tahoma" w:hAnsi="Tahoma" w:cs="Tahoma"/>
        </w:rPr>
      </w:pPr>
      <w:r w:rsidRPr="00A75DF9">
        <w:rPr>
          <w:rFonts w:ascii="Tahoma" w:hAnsi="Tahoma" w:cs="Tahoma"/>
          <w:sz w:val="18"/>
        </w:rPr>
        <w:t>Tutte le licenze concesse ai sensi della presente offerta sono soggette alla seguente limitazione:</w:t>
      </w:r>
      <w:r w:rsidRPr="00A75DF9">
        <w:rPr>
          <w:rFonts w:ascii="Tahoma" w:hAnsi="Tahoma" w:cs="Tahoma"/>
          <w:color w:val="000000"/>
          <w:sz w:val="18"/>
        </w:rPr>
        <w:t xml:space="preserve"> Ogni gruppo di licenze per SMSD concesse dovrà essere ceduto a un unico dispositivo</w:t>
      </w:r>
      <w:r w:rsidRPr="00A75DF9">
        <w:rPr>
          <w:rFonts w:ascii="Tahoma" w:hAnsi="Tahoma" w:cs="Tahoma"/>
          <w:sz w:val="18"/>
        </w:rPr>
        <w:t>.</w:t>
      </w:r>
    </w:p>
    <w:p w:rsidR="00CF7343" w:rsidRPr="00A75DF9" w:rsidRDefault="004323B9" w:rsidP="000A18AA">
      <w:pPr>
        <w:pStyle w:val="FootnoteBulletLevel1"/>
        <w:tabs>
          <w:tab w:val="clear" w:pos="900"/>
        </w:tabs>
        <w:spacing w:before="0" w:after="60"/>
        <w:ind w:left="720" w:firstLine="0"/>
        <w:rPr>
          <w:rFonts w:ascii="Tahoma" w:hAnsi="Tahoma" w:cs="Tahoma"/>
        </w:rPr>
      </w:pPr>
      <w:r w:rsidRPr="00A75DF9">
        <w:rPr>
          <w:rFonts w:ascii="Tahoma" w:hAnsi="Tahoma" w:cs="Tahoma"/>
          <w:b/>
          <w:color w:val="000000"/>
          <w:sz w:val="18"/>
        </w:rPr>
        <w:lastRenderedPageBreak/>
        <w:t>Opzioni di Rinnovo di Software Assurance</w:t>
      </w:r>
      <w:r w:rsidR="009D3B41" w:rsidRPr="00A75DF9">
        <w:rPr>
          <w:rFonts w:ascii="Tahoma" w:hAnsi="Tahoma" w:cs="Tahoma"/>
          <w:b/>
          <w:color w:val="000000"/>
          <w:sz w:val="18"/>
        </w:rPr>
        <w:t xml:space="preserve"> </w:t>
      </w:r>
    </w:p>
    <w:p w:rsidR="004323B9" w:rsidRPr="00A75DF9" w:rsidRDefault="004323B9" w:rsidP="00D511CC">
      <w:pPr>
        <w:pStyle w:val="FootnoteBulletLevel1"/>
        <w:tabs>
          <w:tab w:val="clear" w:pos="900"/>
        </w:tabs>
        <w:spacing w:before="0" w:after="0"/>
        <w:ind w:left="720" w:firstLine="0"/>
        <w:rPr>
          <w:rFonts w:ascii="Tahoma" w:hAnsi="Tahoma" w:cs="Tahoma"/>
        </w:rPr>
      </w:pPr>
      <w:r w:rsidRPr="00A75DF9">
        <w:rPr>
          <w:rFonts w:ascii="Tahoma" w:hAnsi="Tahoma" w:cs="Tahoma"/>
          <w:color w:val="000000"/>
          <w:sz w:val="18"/>
        </w:rPr>
        <w:t xml:space="preserve">Le licenze concesse ai sensi della presente offerta includono la Copertura Software Assurance, che cesserà alla scadenza della copertura sulle corrispondenti licenze qualificanti. </w:t>
      </w:r>
      <w:r w:rsidRPr="00A75DF9">
        <w:rPr>
          <w:rFonts w:ascii="Tahoma" w:hAnsi="Tahoma" w:cs="Tahoma"/>
          <w:sz w:val="18"/>
        </w:rPr>
        <w:t>Alla scadenza della copertura Software Assurance, le società potranno rinnovarla scegliendo tra le seguenti opzioni:</w:t>
      </w:r>
    </w:p>
    <w:p w:rsidR="000A18AA" w:rsidRPr="007C7A9E" w:rsidRDefault="000A18AA" w:rsidP="00D511CC">
      <w:pPr>
        <w:pStyle w:val="FootnoteBulletLevel1"/>
        <w:tabs>
          <w:tab w:val="clear" w:pos="900"/>
        </w:tabs>
        <w:spacing w:before="0" w:after="0"/>
        <w:ind w:left="720" w:firstLine="0"/>
        <w:rPr>
          <w:rFonts w:ascii="Tahoma" w:hAnsi="Tahoma" w:cs="Tahoma"/>
          <w:sz w:val="18"/>
          <w:szCs w:val="18"/>
        </w:rPr>
      </w:pPr>
    </w:p>
    <w:p w:rsidR="004323B9" w:rsidRPr="007C7A9E" w:rsidRDefault="004323B9" w:rsidP="000A18AA">
      <w:pPr>
        <w:pStyle w:val="FootnoteBulletLevel1"/>
        <w:numPr>
          <w:ilvl w:val="0"/>
          <w:numId w:val="13"/>
        </w:numPr>
        <w:tabs>
          <w:tab w:val="left" w:pos="720"/>
        </w:tabs>
        <w:spacing w:before="0" w:after="60"/>
        <w:ind w:left="1440"/>
        <w:rPr>
          <w:rFonts w:ascii="Tahoma" w:hAnsi="Tahoma" w:cs="Tahoma"/>
          <w:sz w:val="18"/>
          <w:szCs w:val="18"/>
        </w:rPr>
      </w:pPr>
      <w:r w:rsidRPr="007C7A9E">
        <w:rPr>
          <w:rFonts w:ascii="Tahoma" w:hAnsi="Tahoma" w:cs="Tahoma"/>
          <w:sz w:val="18"/>
          <w:szCs w:val="18"/>
        </w:rPr>
        <w:t>Le società potranno rinnovare la copertura sulla licenza SMSE originale. I diritti di gestione ai sensi della copertura Software Assurance sulla licenza SMSE saranno determinati in base ai diritti applicabili alla licenza SMSE all</w:t>
      </w:r>
      <w:r w:rsidR="00F2643E">
        <w:rPr>
          <w:rFonts w:ascii="Tahoma" w:hAnsi="Tahoma" w:cs="Tahoma"/>
          <w:sz w:val="18"/>
          <w:szCs w:val="18"/>
        </w:rPr>
        <w:t>’</w:t>
      </w:r>
      <w:r w:rsidRPr="007C7A9E">
        <w:rPr>
          <w:rFonts w:ascii="Tahoma" w:hAnsi="Tahoma" w:cs="Tahoma"/>
          <w:sz w:val="18"/>
          <w:szCs w:val="18"/>
        </w:rPr>
        <w:t>epoca del rinnovo. Rinnovando la licenza SMSE originale, la società perderà i diritti relativi alle quattro licenze SMSD gratuite.</w:t>
      </w:r>
    </w:p>
    <w:p w:rsidR="004323B9" w:rsidRPr="007C7A9E" w:rsidRDefault="004323B9" w:rsidP="000A18AA">
      <w:pPr>
        <w:pStyle w:val="FootnoteBulletLevel1"/>
        <w:numPr>
          <w:ilvl w:val="0"/>
          <w:numId w:val="14"/>
        </w:numPr>
        <w:tabs>
          <w:tab w:val="left" w:pos="720"/>
        </w:tabs>
        <w:spacing w:before="0" w:after="60"/>
        <w:ind w:left="1440"/>
        <w:rPr>
          <w:rFonts w:ascii="Tahoma" w:hAnsi="Tahoma" w:cs="Tahoma"/>
          <w:sz w:val="18"/>
          <w:szCs w:val="18"/>
        </w:rPr>
      </w:pPr>
      <w:r w:rsidRPr="007C7A9E">
        <w:rPr>
          <w:rFonts w:ascii="Tahoma" w:hAnsi="Tahoma" w:cs="Tahoma"/>
          <w:sz w:val="18"/>
          <w:szCs w:val="18"/>
        </w:rPr>
        <w:t>Le società potranno rinnovare la copertura sulle licenze SMSD gratuite.</w:t>
      </w:r>
    </w:p>
    <w:p w:rsidR="004323B9" w:rsidRPr="007C7A9E" w:rsidRDefault="004323B9" w:rsidP="000A18AA">
      <w:pPr>
        <w:pStyle w:val="FootnoteBulletLevel1"/>
        <w:numPr>
          <w:ilvl w:val="2"/>
          <w:numId w:val="15"/>
        </w:numPr>
        <w:tabs>
          <w:tab w:val="left" w:pos="720"/>
        </w:tabs>
        <w:spacing w:before="0" w:after="60"/>
        <w:ind w:left="1980"/>
        <w:rPr>
          <w:rFonts w:ascii="Tahoma" w:hAnsi="Tahoma" w:cs="Tahoma"/>
          <w:sz w:val="18"/>
          <w:szCs w:val="18"/>
        </w:rPr>
      </w:pPr>
      <w:r w:rsidRPr="007C7A9E">
        <w:rPr>
          <w:rFonts w:ascii="Tahoma" w:hAnsi="Tahoma" w:cs="Tahoma"/>
          <w:sz w:val="18"/>
          <w:szCs w:val="18"/>
        </w:rPr>
        <w:t>Le società potranno rinnovare la copertura per tutte le licenze SMSD del gruppo di quattro licenze SMSD gratuite concesse in virtù dell</w:t>
      </w:r>
      <w:r w:rsidR="00F2643E">
        <w:rPr>
          <w:rFonts w:ascii="Tahoma" w:hAnsi="Tahoma" w:cs="Tahoma"/>
          <w:sz w:val="18"/>
          <w:szCs w:val="18"/>
        </w:rPr>
        <w:t>’</w:t>
      </w:r>
      <w:r w:rsidRPr="007C7A9E">
        <w:rPr>
          <w:rFonts w:ascii="Tahoma" w:hAnsi="Tahoma" w:cs="Tahoma"/>
          <w:sz w:val="18"/>
          <w:szCs w:val="18"/>
        </w:rPr>
        <w:t>offerta. Qualora si scelta questa opzione, il requisito dell</w:t>
      </w:r>
      <w:r w:rsidR="00F2643E">
        <w:rPr>
          <w:rFonts w:ascii="Tahoma" w:hAnsi="Tahoma" w:cs="Tahoma"/>
          <w:sz w:val="18"/>
          <w:szCs w:val="18"/>
        </w:rPr>
        <w:t>’</w:t>
      </w:r>
      <w:r w:rsidRPr="007C7A9E">
        <w:rPr>
          <w:rFonts w:ascii="Tahoma" w:hAnsi="Tahoma" w:cs="Tahoma"/>
          <w:sz w:val="18"/>
          <w:szCs w:val="18"/>
        </w:rPr>
        <w:t>assegnazione del gruppo di quattro licenze a un unico dispositivo non ha più validità.</w:t>
      </w:r>
    </w:p>
    <w:p w:rsidR="004323B9" w:rsidRPr="007C7A9E" w:rsidRDefault="004323B9" w:rsidP="000A18AA">
      <w:pPr>
        <w:pStyle w:val="FootnoteBulletLevel1"/>
        <w:numPr>
          <w:ilvl w:val="2"/>
          <w:numId w:val="15"/>
        </w:numPr>
        <w:tabs>
          <w:tab w:val="left" w:pos="720"/>
        </w:tabs>
        <w:spacing w:before="0" w:after="60"/>
        <w:ind w:left="1980"/>
        <w:rPr>
          <w:rFonts w:ascii="Tahoma" w:hAnsi="Tahoma" w:cs="Tahoma"/>
          <w:sz w:val="18"/>
          <w:szCs w:val="18"/>
        </w:rPr>
      </w:pPr>
      <w:r w:rsidRPr="007C7A9E">
        <w:rPr>
          <w:rFonts w:ascii="Tahoma" w:hAnsi="Tahoma" w:cs="Tahoma"/>
          <w:sz w:val="18"/>
          <w:szCs w:val="18"/>
        </w:rPr>
        <w:t>Le società che rinnoveranno Software Assurance prima del 1 luglio 2011 potranno rinnovare la copertura per due licenze del gruppo di quattro licenze per SMSD gratuite concesse ai sensi della presente offerta. In questo caso, rinnoveranno automaticamente la copertura per le quattro licenze SMSD dello stesso gruppo.</w:t>
      </w:r>
      <w:r w:rsidR="009D3B41" w:rsidRPr="007C7A9E">
        <w:rPr>
          <w:rFonts w:ascii="Tahoma" w:hAnsi="Tahoma" w:cs="Tahoma"/>
          <w:sz w:val="18"/>
          <w:szCs w:val="18"/>
        </w:rPr>
        <w:t xml:space="preserve"> </w:t>
      </w:r>
      <w:r w:rsidRPr="007C7A9E">
        <w:rPr>
          <w:rFonts w:ascii="Tahoma" w:hAnsi="Tahoma" w:cs="Tahoma"/>
          <w:sz w:val="18"/>
          <w:szCs w:val="18"/>
        </w:rPr>
        <w:t>Qualora si scelga questa opzione, il requisito dell</w:t>
      </w:r>
      <w:r w:rsidR="00F2643E">
        <w:rPr>
          <w:rFonts w:ascii="Tahoma" w:hAnsi="Tahoma" w:cs="Tahoma"/>
          <w:sz w:val="18"/>
          <w:szCs w:val="18"/>
        </w:rPr>
        <w:t>’</w:t>
      </w:r>
      <w:r w:rsidRPr="007C7A9E">
        <w:rPr>
          <w:rFonts w:ascii="Tahoma" w:hAnsi="Tahoma" w:cs="Tahoma"/>
          <w:sz w:val="18"/>
          <w:szCs w:val="18"/>
        </w:rPr>
        <w:t>assegnazione del gruppo di quattro licenze a un unico dispositivo resterà valido anche dopo il rinnovo.</w:t>
      </w:r>
      <w:r w:rsidR="009D3B41" w:rsidRPr="007C7A9E">
        <w:rPr>
          <w:rFonts w:ascii="Tahoma" w:hAnsi="Tahoma" w:cs="Tahoma"/>
          <w:sz w:val="18"/>
          <w:szCs w:val="18"/>
        </w:rPr>
        <w:t xml:space="preserve"> </w:t>
      </w:r>
      <w:r w:rsidRPr="007C7A9E">
        <w:rPr>
          <w:rFonts w:ascii="Tahoma" w:hAnsi="Tahoma" w:cs="Tahoma"/>
          <w:sz w:val="18"/>
          <w:szCs w:val="18"/>
        </w:rPr>
        <w:t>In occasione del successivo rinnovo di Software Assurance, le società potranno rinnovare la copertura sulle licenze SMSD gratuite di ciascun gruppo di quattro licenze che occorreranno loro. In tale rinnovo successivo, diverso dal primo rinnovo, la copertura Software Assurance si estinguerà per qualsiasi licenza SMSD la cui copertura non sia stata rinnovata. Il requisito di assegnare un gruppo di quattro licenze SMSD gratuite a un unico dispositivo non si applicherà più in occasione del successivo rinnovo soltanto se verrà rinnovata la copertura per tutte e quattro le licenze SMSD.</w:t>
      </w:r>
    </w:p>
    <w:p w:rsidR="00D63733" w:rsidRPr="007C7A9E" w:rsidRDefault="00D63733" w:rsidP="00D511CC">
      <w:pPr>
        <w:pStyle w:val="FootnoteBulletLevel1"/>
        <w:tabs>
          <w:tab w:val="clear" w:pos="900"/>
          <w:tab w:val="left" w:pos="720"/>
        </w:tabs>
        <w:spacing w:before="0" w:after="0"/>
        <w:ind w:firstLine="0"/>
        <w:rPr>
          <w:rFonts w:ascii="Tahoma" w:hAnsi="Tahoma" w:cs="Tahoma"/>
          <w:sz w:val="18"/>
          <w:szCs w:val="18"/>
        </w:rPr>
      </w:pPr>
    </w:p>
    <w:p w:rsidR="00CF7343" w:rsidRPr="00A75DF9" w:rsidRDefault="004323B9" w:rsidP="000A18AA">
      <w:pPr>
        <w:pStyle w:val="FootnoteBulletLevel1"/>
        <w:tabs>
          <w:tab w:val="clear" w:pos="900"/>
          <w:tab w:val="left" w:pos="720"/>
        </w:tabs>
        <w:spacing w:before="0" w:after="60"/>
        <w:ind w:left="720" w:firstLine="0"/>
        <w:rPr>
          <w:rFonts w:ascii="Tahoma" w:hAnsi="Tahoma" w:cs="Tahoma"/>
        </w:rPr>
      </w:pPr>
      <w:r w:rsidRPr="00A75DF9">
        <w:rPr>
          <w:rFonts w:ascii="Tahoma" w:hAnsi="Tahoma" w:cs="Tahoma"/>
          <w:b/>
          <w:sz w:val="18"/>
        </w:rPr>
        <w:t xml:space="preserve">Eliminazione del vincolo di </w:t>
      </w:r>
      <w:r w:rsidRPr="00A75DF9">
        <w:rPr>
          <w:rFonts w:ascii="Tahoma" w:hAnsi="Tahoma" w:cs="Tahoma"/>
          <w:b/>
          <w:color w:val="000000"/>
          <w:sz w:val="18"/>
        </w:rPr>
        <w:t>dover cedere a un unico dispositivo ogni gruppo di licenze per SMSD concesse</w:t>
      </w:r>
    </w:p>
    <w:p w:rsidR="004323B9" w:rsidRPr="007C7A9E" w:rsidRDefault="004323B9" w:rsidP="00D511CC">
      <w:pPr>
        <w:pStyle w:val="FootnoteBulletLevel1"/>
        <w:tabs>
          <w:tab w:val="clear" w:pos="900"/>
          <w:tab w:val="left" w:pos="720"/>
        </w:tabs>
        <w:spacing w:before="0" w:after="0"/>
        <w:ind w:left="720" w:firstLine="0"/>
        <w:rPr>
          <w:rFonts w:ascii="Tahoma" w:hAnsi="Tahoma" w:cs="Tahoma"/>
          <w:sz w:val="18"/>
          <w:szCs w:val="18"/>
        </w:rPr>
      </w:pPr>
      <w:r w:rsidRPr="007C7A9E">
        <w:rPr>
          <w:rFonts w:ascii="Tahoma" w:hAnsi="Tahoma" w:cs="Tahoma"/>
          <w:sz w:val="18"/>
          <w:szCs w:val="18"/>
        </w:rPr>
        <w:t xml:space="preserve">In qualunque momento precedente al primo rinnovo di Software Assurance dopo la presente concessione le società potranno eliminare il vincolo </w:t>
      </w:r>
      <w:r w:rsidRPr="007C7A9E">
        <w:rPr>
          <w:rFonts w:ascii="Tahoma" w:hAnsi="Tahoma" w:cs="Tahoma"/>
          <w:color w:val="000000"/>
          <w:sz w:val="18"/>
          <w:szCs w:val="18"/>
        </w:rPr>
        <w:t>della cessione a un unico dispositivo di ogni gruppo di licenze per SMSD concesse. A tale scopo</w:t>
      </w:r>
      <w:r w:rsidRPr="007C7A9E">
        <w:rPr>
          <w:rFonts w:ascii="Tahoma" w:hAnsi="Tahoma" w:cs="Tahoma"/>
          <w:sz w:val="18"/>
          <w:szCs w:val="18"/>
        </w:rPr>
        <w:t xml:space="preserve"> potranno acquistare la copertura Software Assurance per due licenze per SMSD appartenenti a un dato gruppo di quattro licenze per SMSD gratuite.</w:t>
      </w:r>
      <w:r w:rsidR="009D3B41" w:rsidRPr="007C7A9E">
        <w:rPr>
          <w:rFonts w:ascii="Tahoma" w:hAnsi="Tahoma" w:cs="Tahoma"/>
          <w:sz w:val="18"/>
          <w:szCs w:val="18"/>
        </w:rPr>
        <w:t xml:space="preserve"> </w:t>
      </w:r>
    </w:p>
    <w:p w:rsidR="000A18AA" w:rsidRPr="007C7A9E" w:rsidRDefault="000A18AA" w:rsidP="00D511CC">
      <w:pPr>
        <w:pStyle w:val="FootnoteBulletLevel1"/>
        <w:tabs>
          <w:tab w:val="clear" w:pos="900"/>
          <w:tab w:val="left" w:pos="720"/>
        </w:tabs>
        <w:spacing w:before="0" w:after="0"/>
        <w:ind w:left="720" w:firstLine="0"/>
        <w:rPr>
          <w:rFonts w:ascii="Tahoma" w:hAnsi="Tahoma" w:cs="Tahoma"/>
          <w:sz w:val="18"/>
          <w:szCs w:val="18"/>
        </w:rPr>
      </w:pPr>
    </w:p>
    <w:p w:rsidR="004323B9" w:rsidRPr="007C7A9E" w:rsidRDefault="004323B9" w:rsidP="007C7A9E">
      <w:pPr>
        <w:pStyle w:val="FootnoteBulletLevel1"/>
        <w:tabs>
          <w:tab w:val="clear" w:pos="900"/>
          <w:tab w:val="left" w:pos="720"/>
        </w:tabs>
        <w:spacing w:before="0" w:after="0"/>
        <w:ind w:left="720" w:firstLine="0"/>
        <w:rPr>
          <w:rFonts w:ascii="Tahoma" w:hAnsi="Tahoma" w:cs="Tahoma"/>
          <w:sz w:val="18"/>
          <w:szCs w:val="18"/>
        </w:rPr>
      </w:pPr>
      <w:r w:rsidRPr="007C7A9E">
        <w:rPr>
          <w:rFonts w:ascii="Tahoma" w:hAnsi="Tahoma" w:cs="Tahoma"/>
          <w:sz w:val="18"/>
          <w:szCs w:val="18"/>
        </w:rPr>
        <w:t>Il diritto di utilizzo del software da parte della società ai sensi delle licenze SMSD gratuite è attestato dalla presente nota relativa alle condizioni del prodotto e dalla prova delle licenze qualificanti corrispondenti.</w:t>
      </w:r>
      <w:r w:rsidR="009D3B41" w:rsidRPr="007C7A9E">
        <w:rPr>
          <w:rFonts w:ascii="Tahoma" w:hAnsi="Tahoma" w:cs="Tahoma"/>
          <w:sz w:val="18"/>
          <w:szCs w:val="18"/>
        </w:rPr>
        <w:t xml:space="preserve"> </w:t>
      </w:r>
      <w:r w:rsidRPr="007C7A9E">
        <w:rPr>
          <w:rFonts w:ascii="Tahoma" w:hAnsi="Tahoma" w:cs="Tahoma"/>
          <w:sz w:val="18"/>
          <w:szCs w:val="18"/>
        </w:rPr>
        <w:t>L</w:t>
      </w:r>
      <w:r w:rsidR="00F2643E">
        <w:rPr>
          <w:rFonts w:ascii="Tahoma" w:hAnsi="Tahoma" w:cs="Tahoma"/>
          <w:sz w:val="18"/>
          <w:szCs w:val="18"/>
        </w:rPr>
        <w:t>’</w:t>
      </w:r>
      <w:r w:rsidRPr="007C7A9E">
        <w:rPr>
          <w:rFonts w:ascii="Tahoma" w:hAnsi="Tahoma" w:cs="Tahoma"/>
          <w:sz w:val="18"/>
          <w:szCs w:val="18"/>
        </w:rPr>
        <w:t>utilizzo del software da parte della società ai sensi della presente offerta sarà soggetto alle condizioni del</w:t>
      </w:r>
      <w:r w:rsidR="007C7A9E">
        <w:rPr>
          <w:rFonts w:ascii="Tahoma" w:hAnsi="Tahoma" w:cs="Tahoma"/>
          <w:sz w:val="18"/>
          <w:szCs w:val="18"/>
        </w:rPr>
        <w:t> </w:t>
      </w:r>
      <w:r w:rsidRPr="007C7A9E">
        <w:rPr>
          <w:rFonts w:ascii="Tahoma" w:hAnsi="Tahoma" w:cs="Tahoma"/>
          <w:sz w:val="18"/>
          <w:szCs w:val="18"/>
        </w:rPr>
        <w:t>relativo contratto di licenza e ai diritti di utilizzo del prodotto relativi al software. Il diritto di utilizzo del software ai sensi delle licenze gratuite scadrà alla scadenza del diritto di utilizzo del software ai sensi delle licenze qualificanti. Le società non potranno trasferire le licenze concesse in virtù della presente offerta separatamente dalle licenze qualificanti corrispondenti.</w:t>
      </w:r>
    </w:p>
    <w:p w:rsidR="000A18AA" w:rsidRPr="007C7A9E" w:rsidRDefault="000A18AA" w:rsidP="00D511CC">
      <w:pPr>
        <w:pStyle w:val="FootnoteBulletLevel1"/>
        <w:tabs>
          <w:tab w:val="clear" w:pos="900"/>
          <w:tab w:val="left" w:pos="720"/>
        </w:tabs>
        <w:spacing w:before="0" w:after="0"/>
        <w:ind w:left="720" w:firstLine="0"/>
        <w:rPr>
          <w:rFonts w:ascii="Tahoma" w:hAnsi="Tahoma" w:cs="Tahoma"/>
          <w:sz w:val="18"/>
          <w:szCs w:val="18"/>
        </w:rPr>
      </w:pPr>
    </w:p>
    <w:p w:rsidR="00F23A1B" w:rsidRPr="007C7A9E" w:rsidRDefault="004323B9" w:rsidP="000A18AA">
      <w:pPr>
        <w:pStyle w:val="FootnoteBulletLevel1"/>
        <w:tabs>
          <w:tab w:val="clear" w:pos="900"/>
          <w:tab w:val="left" w:pos="720"/>
        </w:tabs>
        <w:spacing w:before="0" w:after="0"/>
        <w:ind w:left="720" w:firstLine="0"/>
        <w:rPr>
          <w:rFonts w:ascii="Tahoma" w:hAnsi="Tahoma" w:cs="Tahoma"/>
          <w:sz w:val="18"/>
          <w:szCs w:val="18"/>
        </w:rPr>
      </w:pPr>
      <w:r w:rsidRPr="007C7A9E">
        <w:rPr>
          <w:rFonts w:ascii="Tahoma" w:hAnsi="Tahoma" w:cs="Tahoma"/>
          <w:sz w:val="18"/>
          <w:szCs w:val="18"/>
        </w:rPr>
        <w:t>* Le modifiche alla concessione delle licenze SMSE si applicheranno a System Center Operations Manager 2007 R2 e alle nuove versioni degli altri prodotti inclusi in System Center Server Management Suite Enterprise (ad esempio System Center Virtual Machine Manager 2008 R2).</w:t>
      </w:r>
    </w:p>
    <w:p w:rsidR="000A18AA" w:rsidRPr="007C7A9E" w:rsidRDefault="000A18AA" w:rsidP="000A18AA">
      <w:pPr>
        <w:pStyle w:val="FootnoteBulletLevel1"/>
        <w:tabs>
          <w:tab w:val="clear" w:pos="900"/>
          <w:tab w:val="left" w:pos="720"/>
        </w:tabs>
        <w:spacing w:before="0" w:after="0"/>
        <w:rPr>
          <w:rFonts w:ascii="Tahoma" w:hAnsi="Tahoma" w:cs="Tahoma"/>
          <w:sz w:val="18"/>
          <w:szCs w:val="18"/>
        </w:rPr>
      </w:pPr>
    </w:p>
    <w:p w:rsidR="000A18AA" w:rsidRPr="007C7A9E" w:rsidRDefault="000A18AA" w:rsidP="000A18AA">
      <w:pPr>
        <w:pStyle w:val="FootnoteBulletLevel1"/>
        <w:tabs>
          <w:tab w:val="clear" w:pos="900"/>
          <w:tab w:val="left" w:pos="720"/>
        </w:tabs>
        <w:spacing w:before="0" w:after="0"/>
        <w:rPr>
          <w:rFonts w:ascii="Tahoma" w:hAnsi="Tahoma" w:cs="Tahoma"/>
          <w:sz w:val="18"/>
          <w:szCs w:val="18"/>
        </w:rPr>
      </w:pPr>
    </w:p>
    <w:p w:rsidR="00F411FE" w:rsidRPr="00A75DF9" w:rsidRDefault="00A560B6" w:rsidP="0097015A">
      <w:pPr>
        <w:pStyle w:val="Heading3"/>
        <w:rPr>
          <w:rFonts w:ascii="Tahoma" w:hAnsi="Tahoma" w:cs="Tahoma"/>
        </w:rPr>
      </w:pPr>
      <w:bookmarkStart w:id="1496" w:name="_86_System_Center"/>
      <w:bookmarkStart w:id="1497" w:name="_94_System_Center"/>
      <w:bookmarkStart w:id="1498" w:name="_Toc336338355"/>
      <w:bookmarkStart w:id="1499" w:name="Srv_90SysCtrSvrMgmtSuiteDatacenter"/>
      <w:bookmarkStart w:id="1500" w:name="_Toc368310344"/>
      <w:bookmarkEnd w:id="1496"/>
      <w:bookmarkEnd w:id="1497"/>
      <w:r w:rsidRPr="00A75DF9">
        <w:rPr>
          <w:rFonts w:ascii="Tahoma" w:hAnsi="Tahoma" w:cs="Tahoma"/>
          <w:caps/>
          <w:color w:val="FF7415"/>
          <w:sz w:val="22"/>
          <w:szCs w:val="22"/>
          <w:vertAlign w:val="superscript"/>
        </w:rPr>
        <w:t xml:space="preserve">94 </w:t>
      </w:r>
      <w:r w:rsidRPr="00A75DF9">
        <w:rPr>
          <w:rFonts w:ascii="Tahoma" w:hAnsi="Tahoma" w:cs="Tahoma"/>
          <w:color w:val="FF7415"/>
          <w:sz w:val="22"/>
          <w:szCs w:val="22"/>
        </w:rPr>
        <w:t>System Center Server Management Suite Datacenter</w:t>
      </w:r>
      <w:bookmarkEnd w:id="1498"/>
      <w:bookmarkEnd w:id="1500"/>
    </w:p>
    <w:bookmarkEnd w:id="1499"/>
    <w:p w:rsidR="00F411FE" w:rsidRPr="00A75DF9" w:rsidRDefault="00F411FE" w:rsidP="00F411FE">
      <w:pPr>
        <w:ind w:left="360"/>
        <w:rPr>
          <w:rFonts w:cs="Tahoma"/>
        </w:rPr>
      </w:pPr>
    </w:p>
    <w:p w:rsidR="00FF4CAB" w:rsidRPr="00A75DF9" w:rsidRDefault="00FF4CAB" w:rsidP="000A18AA">
      <w:pPr>
        <w:pStyle w:val="EndnoteText"/>
        <w:ind w:left="720"/>
        <w:rPr>
          <w:rFonts w:ascii="Tahoma" w:hAnsi="Tahoma" w:cs="Tahoma"/>
        </w:rPr>
      </w:pPr>
      <w:r w:rsidRPr="00A75DF9">
        <w:rPr>
          <w:rFonts w:ascii="Tahoma" w:hAnsi="Tahoma" w:cs="Tahoma"/>
          <w:color w:val="000000"/>
          <w:sz w:val="18"/>
        </w:rPr>
        <w:t xml:space="preserve">Prodotto End-Of-Life (EOL) che non verrà più offerto. </w:t>
      </w:r>
    </w:p>
    <w:p w:rsidR="004F0CAE" w:rsidRPr="00A75DF9" w:rsidRDefault="004F0CAE" w:rsidP="000A18AA">
      <w:pPr>
        <w:pStyle w:val="EndnoteText"/>
        <w:ind w:left="720"/>
        <w:rPr>
          <w:rFonts w:ascii="Tahoma" w:hAnsi="Tahoma" w:cs="Tahoma"/>
        </w:rPr>
      </w:pPr>
    </w:p>
    <w:p w:rsidR="00FF4CAB" w:rsidRPr="00A75DF9" w:rsidRDefault="00FF4CAB" w:rsidP="007C7A9E">
      <w:pPr>
        <w:pStyle w:val="FootnoteBulletLevel1"/>
        <w:tabs>
          <w:tab w:val="clear" w:pos="900"/>
        </w:tabs>
        <w:spacing w:before="0" w:after="60"/>
        <w:ind w:left="720" w:firstLine="0"/>
        <w:rPr>
          <w:rFonts w:ascii="Tahoma" w:hAnsi="Tahoma" w:cs="Tahoma"/>
        </w:rPr>
      </w:pPr>
      <w:r w:rsidRPr="00A75DF9">
        <w:rPr>
          <w:rFonts w:ascii="Tahoma" w:hAnsi="Tahoma" w:cs="Tahoma"/>
          <w:b/>
          <w:sz w:val="18"/>
        </w:rPr>
        <w:t>Dettagli relativi alla Concessione di una Licenza Transitoria Una Tantum per System Center</w:t>
      </w:r>
      <w:r w:rsidR="007C7A9E">
        <w:rPr>
          <w:rFonts w:ascii="Tahoma" w:hAnsi="Tahoma" w:cs="Tahoma"/>
          <w:b/>
          <w:sz w:val="18"/>
        </w:rPr>
        <w:t> </w:t>
      </w:r>
      <w:r w:rsidRPr="00A75DF9">
        <w:rPr>
          <w:rFonts w:ascii="Tahoma" w:hAnsi="Tahoma" w:cs="Tahoma"/>
          <w:b/>
          <w:sz w:val="18"/>
        </w:rPr>
        <w:t>2012</w:t>
      </w:r>
    </w:p>
    <w:p w:rsidR="00FF4CAB" w:rsidRPr="00A75DF9" w:rsidRDefault="00FF4CAB" w:rsidP="000A18AA">
      <w:pPr>
        <w:ind w:left="720"/>
        <w:rPr>
          <w:rFonts w:cs="Tahoma"/>
        </w:rPr>
      </w:pPr>
      <w:r w:rsidRPr="00A75DF9">
        <w:rPr>
          <w:rFonts w:cs="Tahoma"/>
        </w:rPr>
        <w:t>Per dettagli sulle concessioni di licenze transitorie, fare riferimento alla nota relativa al prodotto presente nelle offerte di System Center 2012.</w:t>
      </w:r>
    </w:p>
    <w:p w:rsidR="00FF4CAB" w:rsidRPr="00A75DF9" w:rsidRDefault="00FF4CAB" w:rsidP="000A18AA">
      <w:pPr>
        <w:ind w:left="720"/>
        <w:rPr>
          <w:rFonts w:cs="Tahoma"/>
        </w:rPr>
      </w:pPr>
    </w:p>
    <w:p w:rsidR="00F411FE" w:rsidRPr="00A75DF9" w:rsidRDefault="00F411FE" w:rsidP="000A18AA">
      <w:pPr>
        <w:ind w:left="720"/>
        <w:rPr>
          <w:rFonts w:cs="Tahoma"/>
        </w:rPr>
      </w:pPr>
      <w:r w:rsidRPr="00A75DF9">
        <w:rPr>
          <w:rFonts w:cs="Tahoma"/>
          <w:szCs w:val="20"/>
        </w:rPr>
        <w:lastRenderedPageBreak/>
        <w:t>System Center Server Management Suite Datacenter non dispone di versioni e i diritti di utilizzo del prodotto sono determinati dallo stato della copertura Software Assurance per System Center Server Management Suite Datacenter. Qualora la copertura sia scaduta, i diritti di accesso attribuiti da licenze perpetue sono determinati sulla base dei diritti di utilizzo del prodotto in vigore prima della scadenza della copertura.</w:t>
      </w:r>
      <w:r w:rsidR="009D3B41" w:rsidRPr="00A75DF9">
        <w:rPr>
          <w:rFonts w:cs="Tahoma"/>
          <w:szCs w:val="20"/>
        </w:rPr>
        <w:t xml:space="preserve"> </w:t>
      </w:r>
    </w:p>
    <w:p w:rsidR="00E72B93" w:rsidRPr="00A75DF9" w:rsidRDefault="00E72B93" w:rsidP="000A18AA">
      <w:pPr>
        <w:ind w:left="720"/>
        <w:rPr>
          <w:rFonts w:cs="Tahoma"/>
        </w:rPr>
      </w:pPr>
    </w:p>
    <w:p w:rsidR="00143CF6" w:rsidRPr="00A75DF9" w:rsidRDefault="005C164D" w:rsidP="003165D6">
      <w:pPr>
        <w:ind w:left="720"/>
        <w:rPr>
          <w:rFonts w:cs="Tahoma"/>
        </w:rPr>
      </w:pPr>
      <w:r w:rsidRPr="00A75DF9">
        <w:rPr>
          <w:rFonts w:cs="Tahoma"/>
          <w:color w:val="000000"/>
          <w:szCs w:val="18"/>
        </w:rPr>
        <w:t>Al 1 novembre 2010 una licenza per System Center Server Management Suite Datacenter con copertura Software Assurance attiva fornisce i diritti di gestione server per le licenze di gestione server per System Center Enterprise relativamente a Operations Manager 2007 R2, Configuration Manager 2007 R3, Data Protection Manager 2010, Service Manager 2010 e Virtual Machine Manager 2008 R2. Inoltre, è inclusa anche la licenza server per Virtual Machine Manager 2008 R2 e Data Protection Manager 2010. La società dovrà riesaminare il documento PUR per verificare i diritti sull</w:t>
      </w:r>
      <w:r w:rsidR="00F2643E">
        <w:rPr>
          <w:rFonts w:cs="Tahoma"/>
          <w:color w:val="000000"/>
          <w:szCs w:val="18"/>
        </w:rPr>
        <w:t>’</w:t>
      </w:r>
      <w:r w:rsidRPr="00A75DF9">
        <w:rPr>
          <w:rFonts w:cs="Tahoma"/>
          <w:color w:val="000000"/>
          <w:szCs w:val="18"/>
        </w:rPr>
        <w:t>utilizzo.</w:t>
      </w:r>
      <w:bookmarkStart w:id="1501" w:name="_90_System_Center"/>
      <w:bookmarkEnd w:id="1501"/>
    </w:p>
    <w:p w:rsidR="00FF4CAB" w:rsidRPr="00A75DF9" w:rsidRDefault="00FF4CAB" w:rsidP="004F0CAE">
      <w:pPr>
        <w:rPr>
          <w:rFonts w:cs="Tahoma"/>
        </w:rPr>
      </w:pPr>
      <w:bookmarkStart w:id="1502" w:name="Srv_92TechNetPlusSingleUser"/>
    </w:p>
    <w:p w:rsidR="00FF4CAB" w:rsidRPr="00A75DF9" w:rsidRDefault="00FF4CAB" w:rsidP="004F0CAE">
      <w:pPr>
        <w:rPr>
          <w:rFonts w:cs="Tahoma"/>
        </w:rPr>
      </w:pPr>
    </w:p>
    <w:p w:rsidR="00FF4CAB" w:rsidRPr="00A75DF9" w:rsidRDefault="00A560B6" w:rsidP="007C7A9E">
      <w:pPr>
        <w:pStyle w:val="Heading3"/>
        <w:ind w:left="270" w:hanging="270"/>
        <w:rPr>
          <w:rFonts w:ascii="Tahoma" w:hAnsi="Tahoma" w:cs="Tahoma"/>
        </w:rPr>
      </w:pPr>
      <w:bookmarkStart w:id="1503" w:name="_87_System_Center"/>
      <w:bookmarkStart w:id="1504" w:name="_Toc336338357"/>
      <w:bookmarkStart w:id="1505" w:name="Srv_100SysCenterVMM2008R2"/>
      <w:bookmarkStart w:id="1506" w:name="_Toc368310345"/>
      <w:bookmarkEnd w:id="1503"/>
      <w:r w:rsidRPr="00A75DF9">
        <w:rPr>
          <w:rFonts w:ascii="Tahoma" w:hAnsi="Tahoma" w:cs="Tahoma"/>
          <w:caps/>
          <w:color w:val="FF6F0D"/>
          <w:sz w:val="22"/>
          <w:szCs w:val="22"/>
          <w:vertAlign w:val="superscript"/>
        </w:rPr>
        <w:t>95</w:t>
      </w:r>
      <w:r w:rsidRPr="00A75DF9">
        <w:rPr>
          <w:rFonts w:ascii="Tahoma" w:hAnsi="Tahoma" w:cs="Tahoma"/>
          <w:color w:val="FF6F0D"/>
          <w:sz w:val="22"/>
          <w:szCs w:val="22"/>
        </w:rPr>
        <w:t xml:space="preserve"> System Center Virtual Machine Manager 2008 R2 - Licenze di Gestione Client e</w:t>
      </w:r>
      <w:r w:rsidR="007C7A9E">
        <w:rPr>
          <w:rFonts w:ascii="Tahoma" w:hAnsi="Tahoma" w:cs="Tahoma"/>
          <w:color w:val="FF6F0D"/>
          <w:sz w:val="22"/>
          <w:szCs w:val="22"/>
        </w:rPr>
        <w:t> </w:t>
      </w:r>
      <w:r w:rsidRPr="00A75DF9">
        <w:rPr>
          <w:rFonts w:ascii="Tahoma" w:hAnsi="Tahoma" w:cs="Tahoma"/>
          <w:color w:val="FF6F0D"/>
          <w:sz w:val="22"/>
          <w:szCs w:val="22"/>
        </w:rPr>
        <w:t>Server</w:t>
      </w:r>
      <w:bookmarkEnd w:id="1504"/>
      <w:bookmarkEnd w:id="1506"/>
    </w:p>
    <w:bookmarkEnd w:id="1505"/>
    <w:p w:rsidR="00FF4CAB" w:rsidRPr="00A75DF9" w:rsidRDefault="00FF4CAB" w:rsidP="004F0CAE">
      <w:pPr>
        <w:rPr>
          <w:rFonts w:cs="Tahoma"/>
        </w:rPr>
      </w:pPr>
    </w:p>
    <w:p w:rsidR="00FF4CAB" w:rsidRPr="00A75DF9" w:rsidRDefault="00FF4CAB" w:rsidP="004F0CAE">
      <w:pPr>
        <w:ind w:left="720"/>
        <w:rPr>
          <w:rFonts w:cs="Tahoma"/>
        </w:rPr>
      </w:pPr>
      <w:r w:rsidRPr="00A75DF9">
        <w:rPr>
          <w:rFonts w:cs="Tahoma"/>
        </w:rPr>
        <w:t>Prodotti End-Of-Life (EOL) che non verranno più offerti.</w:t>
      </w:r>
    </w:p>
    <w:p w:rsidR="004F0CAE" w:rsidRPr="00A75DF9" w:rsidRDefault="004F0CAE" w:rsidP="004F0CAE">
      <w:pPr>
        <w:ind w:left="720"/>
        <w:rPr>
          <w:rFonts w:cs="Tahoma"/>
        </w:rPr>
      </w:pPr>
    </w:p>
    <w:p w:rsidR="00FF4CAB" w:rsidRPr="00A75DF9" w:rsidRDefault="00FF4CAB" w:rsidP="007C7A9E">
      <w:pPr>
        <w:adjustRightInd w:val="0"/>
        <w:spacing w:after="60"/>
        <w:ind w:left="720"/>
        <w:textAlignment w:val="baseline"/>
        <w:rPr>
          <w:rFonts w:cs="Tahoma"/>
        </w:rPr>
      </w:pPr>
      <w:r w:rsidRPr="00A75DF9">
        <w:rPr>
          <w:rFonts w:cs="Tahoma"/>
          <w:b/>
          <w:szCs w:val="20"/>
        </w:rPr>
        <w:t>Dettagli relativi alla Concessione di una Licenza Transitoria Una Tantum per System Center</w:t>
      </w:r>
      <w:r w:rsidR="007C7A9E">
        <w:rPr>
          <w:rFonts w:cs="Tahoma"/>
          <w:b/>
          <w:szCs w:val="20"/>
        </w:rPr>
        <w:t> </w:t>
      </w:r>
      <w:r w:rsidRPr="00A75DF9">
        <w:rPr>
          <w:rFonts w:cs="Tahoma"/>
          <w:b/>
          <w:szCs w:val="20"/>
        </w:rPr>
        <w:t>2012</w:t>
      </w:r>
    </w:p>
    <w:p w:rsidR="00586FCE" w:rsidRPr="00A75DF9" w:rsidRDefault="00FF4CAB" w:rsidP="004F0CAE">
      <w:pPr>
        <w:ind w:left="720"/>
        <w:rPr>
          <w:rFonts w:cs="Tahoma"/>
        </w:rPr>
      </w:pPr>
      <w:r w:rsidRPr="00A75DF9">
        <w:rPr>
          <w:rFonts w:cs="Tahoma"/>
        </w:rPr>
        <w:t>Per dettagli sulle concessioni di licenze transitorie, fare riferimento alla nota relativa al prodotto presente nelle offerte di System Center 2012</w:t>
      </w:r>
      <w:bookmarkStart w:id="1507" w:name="_Toc336338358"/>
      <w:bookmarkStart w:id="1508" w:name="Srv_101SystemCenter2012"/>
      <w:r w:rsidRPr="00A75DF9">
        <w:rPr>
          <w:rFonts w:cs="Tahoma"/>
        </w:rPr>
        <w:t>.</w:t>
      </w:r>
    </w:p>
    <w:p w:rsidR="004F0CAE" w:rsidRPr="00A75DF9" w:rsidRDefault="004F0CAE" w:rsidP="004F0CAE">
      <w:pPr>
        <w:rPr>
          <w:rFonts w:cs="Tahoma"/>
        </w:rPr>
      </w:pPr>
    </w:p>
    <w:p w:rsidR="004F0CAE" w:rsidRPr="00A75DF9" w:rsidRDefault="004F0CAE" w:rsidP="004F0CAE">
      <w:pPr>
        <w:rPr>
          <w:rFonts w:cs="Tahoma"/>
        </w:rPr>
      </w:pPr>
    </w:p>
    <w:p w:rsidR="00FF4CAB" w:rsidRPr="00A75DF9" w:rsidRDefault="00A560B6" w:rsidP="00FF4CAB">
      <w:pPr>
        <w:pStyle w:val="Heading3"/>
        <w:rPr>
          <w:rFonts w:ascii="Tahoma" w:hAnsi="Tahoma" w:cs="Tahoma"/>
        </w:rPr>
      </w:pPr>
      <w:bookmarkStart w:id="1509" w:name="_91_89_System"/>
      <w:bookmarkStart w:id="1510" w:name="_96_System_Center"/>
      <w:bookmarkStart w:id="1511" w:name="_Toc368310346"/>
      <w:bookmarkEnd w:id="1509"/>
      <w:bookmarkEnd w:id="1510"/>
      <w:r w:rsidRPr="00A75DF9">
        <w:rPr>
          <w:rFonts w:ascii="Tahoma" w:hAnsi="Tahoma" w:cs="Tahoma"/>
          <w:caps/>
          <w:color w:val="FF6F0D"/>
          <w:sz w:val="22"/>
          <w:szCs w:val="22"/>
          <w:vertAlign w:val="superscript"/>
        </w:rPr>
        <w:t>96</w:t>
      </w:r>
      <w:r w:rsidRPr="00A75DF9">
        <w:rPr>
          <w:rFonts w:ascii="Tahoma" w:hAnsi="Tahoma" w:cs="Tahoma"/>
          <w:color w:val="FF6F0D"/>
          <w:sz w:val="22"/>
          <w:szCs w:val="22"/>
        </w:rPr>
        <w:t xml:space="preserve"> System Center 2012</w:t>
      </w:r>
      <w:bookmarkEnd w:id="1507"/>
      <w:bookmarkEnd w:id="1511"/>
    </w:p>
    <w:bookmarkEnd w:id="1508"/>
    <w:p w:rsidR="00FF4CAB" w:rsidRPr="00A75DF9" w:rsidRDefault="00FF4CAB" w:rsidP="004F0CAE">
      <w:pPr>
        <w:rPr>
          <w:rFonts w:cs="Tahoma"/>
        </w:rPr>
      </w:pPr>
    </w:p>
    <w:p w:rsidR="00FF4CAB" w:rsidRPr="00A75DF9" w:rsidRDefault="00FF4CAB" w:rsidP="007C7A9E">
      <w:pPr>
        <w:ind w:left="720"/>
        <w:rPr>
          <w:rFonts w:cs="Tahoma"/>
        </w:rPr>
      </w:pPr>
      <w:r w:rsidRPr="00A75DF9">
        <w:rPr>
          <w:rFonts w:cs="Tahoma"/>
          <w:color w:val="000000"/>
          <w:szCs w:val="24"/>
        </w:rPr>
        <w:t>Le ultime versioni di System Center Data Protection Manager 2010, System Center Operations Manager 2008 R2, System Center Service Manager 2010 e System Center Virtual Machine Manager 2008 R2 non saranno disponibili.</w:t>
      </w:r>
      <w:r w:rsidR="009D3B41" w:rsidRPr="00A75DF9">
        <w:rPr>
          <w:rFonts w:cs="Tahoma"/>
          <w:color w:val="000000"/>
          <w:szCs w:val="24"/>
        </w:rPr>
        <w:t xml:space="preserve"> </w:t>
      </w:r>
      <w:r w:rsidRPr="00A75DF9">
        <w:rPr>
          <w:rFonts w:cs="Tahoma"/>
          <w:color w:val="000000"/>
          <w:szCs w:val="24"/>
        </w:rPr>
        <w:t>Analogamente, le ultime versioni di System Center Configuration Manager 2007 R3 non</w:t>
      </w:r>
      <w:r w:rsidR="007C7A9E">
        <w:rPr>
          <w:rFonts w:cs="Tahoma"/>
          <w:color w:val="000000"/>
          <w:szCs w:val="24"/>
        </w:rPr>
        <w:t> </w:t>
      </w:r>
      <w:r w:rsidRPr="00A75DF9">
        <w:rPr>
          <w:rFonts w:cs="Tahoma"/>
          <w:color w:val="000000"/>
          <w:szCs w:val="24"/>
        </w:rPr>
        <w:t>saranno disponibili ai sensi di licenze per il software separate né di licenze di gestione server. In via eccezionale, in caso di disponibilità di System Center 2012 alle società con Software Assurance attiva che sono stati titolari di una copertura sul software e di licenze di gestione per questi prodotti in data 1 aprile 2012 verranno fornite le licenze per effettuare l</w:t>
      </w:r>
      <w:r w:rsidR="00F2643E">
        <w:rPr>
          <w:rFonts w:cs="Tahoma"/>
          <w:color w:val="000000"/>
          <w:szCs w:val="24"/>
        </w:rPr>
        <w:t>’</w:t>
      </w:r>
      <w:r w:rsidRPr="00A75DF9">
        <w:rPr>
          <w:rFonts w:cs="Tahoma"/>
          <w:color w:val="000000"/>
          <w:szCs w:val="24"/>
        </w:rPr>
        <w:t>aggiornamento al software Systems Center 2012 e per utilizzarlo al posto dei prodotti che seguono.</w:t>
      </w:r>
    </w:p>
    <w:p w:rsidR="00FF4CAB" w:rsidRPr="00A75DF9" w:rsidRDefault="00FF4CAB" w:rsidP="004F0CAE">
      <w:pPr>
        <w:ind w:left="900"/>
        <w:rPr>
          <w:rFonts w:cs="Tahoma"/>
        </w:rPr>
      </w:pPr>
    </w:p>
    <w:p w:rsidR="00FF4CAB" w:rsidRPr="00A75DF9" w:rsidRDefault="00FF4CAB" w:rsidP="004F0CAE">
      <w:pPr>
        <w:ind w:left="900"/>
        <w:rPr>
          <w:rFonts w:cs="Tahoma"/>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FF4CAB" w:rsidRPr="00A75DF9" w:rsidTr="007C7A9E">
        <w:trPr>
          <w:tblHeader/>
        </w:trPr>
        <w:tc>
          <w:tcPr>
            <w:tcW w:w="3960" w:type="dxa"/>
            <w:tcBorders>
              <w:top w:val="single" w:sz="4" w:space="0" w:color="000000"/>
              <w:bottom w:val="single" w:sz="6" w:space="0" w:color="000000"/>
            </w:tcBorders>
            <w:shd w:val="clear" w:color="auto" w:fill="FABF8F"/>
          </w:tcPr>
          <w:p w:rsidR="00FF4CAB" w:rsidRPr="00A75DF9" w:rsidRDefault="00FF4CAB" w:rsidP="00FF4CAB">
            <w:pPr>
              <w:jc w:val="center"/>
              <w:rPr>
                <w:rFonts w:cs="Tahoma"/>
                <w:b/>
                <w:color w:val="000000"/>
                <w:szCs w:val="20"/>
              </w:rPr>
            </w:pPr>
            <w:r w:rsidRPr="00A75DF9">
              <w:rPr>
                <w:rFonts w:cs="Tahoma"/>
                <w:b/>
                <w:color w:val="000000"/>
                <w:szCs w:val="20"/>
              </w:rPr>
              <w:t>Licenze Qualificanti</w:t>
            </w:r>
          </w:p>
        </w:tc>
        <w:tc>
          <w:tcPr>
            <w:tcW w:w="4050" w:type="dxa"/>
            <w:tcBorders>
              <w:top w:val="single" w:sz="4" w:space="0" w:color="000000"/>
              <w:bottom w:val="single" w:sz="6" w:space="0" w:color="000000"/>
            </w:tcBorders>
            <w:shd w:val="clear" w:color="auto" w:fill="FABF8F"/>
          </w:tcPr>
          <w:p w:rsidR="00FF4CAB" w:rsidRPr="00A75DF9" w:rsidRDefault="00FF4CAB" w:rsidP="00FF4CAB">
            <w:pPr>
              <w:jc w:val="center"/>
              <w:rPr>
                <w:rFonts w:cs="Tahoma"/>
                <w:b/>
                <w:color w:val="000000"/>
                <w:szCs w:val="20"/>
              </w:rPr>
            </w:pPr>
            <w:r w:rsidRPr="00A75DF9">
              <w:rPr>
                <w:rFonts w:cs="Tahoma"/>
                <w:b/>
                <w:color w:val="000000"/>
                <w:szCs w:val="20"/>
              </w:rPr>
              <w:t>Licenze per System Center 2012:</w:t>
            </w:r>
          </w:p>
        </w:tc>
      </w:tr>
      <w:tr w:rsidR="00FF4CAB" w:rsidRPr="00A75DF9" w:rsidTr="00CA14C9">
        <w:tc>
          <w:tcPr>
            <w:tcW w:w="3960" w:type="dxa"/>
            <w:tcBorders>
              <w:top w:val="single" w:sz="6" w:space="0" w:color="000000"/>
            </w:tcBorders>
            <w:shd w:val="clear" w:color="auto" w:fill="FFFFFF"/>
          </w:tcPr>
          <w:p w:rsidR="00FF4CAB" w:rsidRPr="00A75DF9" w:rsidRDefault="00FF4CAB" w:rsidP="00FF4CAB">
            <w:pPr>
              <w:rPr>
                <w:rFonts w:cs="Tahoma"/>
                <w:color w:val="000000"/>
                <w:szCs w:val="20"/>
              </w:rPr>
            </w:pPr>
            <w:r w:rsidRPr="00A75DF9">
              <w:rPr>
                <w:rFonts w:cs="Tahoma"/>
                <w:color w:val="000000"/>
                <w:szCs w:val="20"/>
              </w:rPr>
              <w:t>System Center Client Management Suite (Client ML) per OSE</w:t>
            </w:r>
          </w:p>
        </w:tc>
        <w:tc>
          <w:tcPr>
            <w:tcW w:w="4050" w:type="dxa"/>
            <w:tcBorders>
              <w:top w:val="single" w:sz="6" w:space="0" w:color="000000"/>
            </w:tcBorders>
            <w:shd w:val="clear" w:color="auto" w:fill="FFFFFF"/>
          </w:tcPr>
          <w:p w:rsidR="00FF4CAB" w:rsidRPr="00A75DF9" w:rsidRDefault="00FF4CAB" w:rsidP="00FF4CAB">
            <w:pPr>
              <w:rPr>
                <w:rFonts w:cs="Tahoma"/>
                <w:color w:val="000000"/>
                <w:szCs w:val="20"/>
              </w:rPr>
            </w:pPr>
            <w:r w:rsidRPr="00A75DF9">
              <w:rPr>
                <w:rFonts w:cs="Tahoma"/>
                <w:color w:val="000000"/>
                <w:szCs w:val="20"/>
              </w:rPr>
              <w:t>1 System Center 2012 Client Management Suite (Client ML) per OSE</w:t>
            </w:r>
          </w:p>
        </w:tc>
      </w:tr>
      <w:tr w:rsidR="00FF4CAB" w:rsidRPr="00A75DF9" w:rsidTr="00CA14C9">
        <w:tc>
          <w:tcPr>
            <w:tcW w:w="3960" w:type="dxa"/>
            <w:shd w:val="clear" w:color="auto" w:fill="FFFFFF"/>
          </w:tcPr>
          <w:p w:rsidR="00FF4CAB" w:rsidRPr="00A75DF9" w:rsidRDefault="00FF4CAB" w:rsidP="00FF4CAB">
            <w:pPr>
              <w:rPr>
                <w:rFonts w:cs="Tahoma"/>
                <w:color w:val="000000"/>
                <w:szCs w:val="20"/>
              </w:rPr>
            </w:pPr>
            <w:r w:rsidRPr="00A75DF9">
              <w:rPr>
                <w:rFonts w:cs="Tahoma"/>
                <w:color w:val="000000"/>
                <w:szCs w:val="20"/>
              </w:rPr>
              <w:t>System Center Client Management Suite (Client ML) per Utente</w:t>
            </w:r>
          </w:p>
        </w:tc>
        <w:tc>
          <w:tcPr>
            <w:tcW w:w="4050" w:type="dxa"/>
            <w:shd w:val="clear" w:color="auto" w:fill="FFFFFF"/>
          </w:tcPr>
          <w:p w:rsidR="00FF4CAB" w:rsidRPr="00A75DF9" w:rsidRDefault="00FF4CAB" w:rsidP="00FF4CAB">
            <w:pPr>
              <w:rPr>
                <w:rFonts w:cs="Tahoma"/>
                <w:color w:val="000000"/>
                <w:szCs w:val="20"/>
              </w:rPr>
            </w:pPr>
            <w:r w:rsidRPr="00A75DF9">
              <w:rPr>
                <w:rFonts w:cs="Tahoma"/>
                <w:color w:val="000000"/>
                <w:szCs w:val="20"/>
              </w:rPr>
              <w:t>1 System Center 2012 Client Management Suite (Client ML) per Utente</w:t>
            </w:r>
          </w:p>
        </w:tc>
      </w:tr>
      <w:tr w:rsidR="00FF4CAB" w:rsidRPr="00A75DF9" w:rsidTr="00CA14C9">
        <w:tc>
          <w:tcPr>
            <w:tcW w:w="3960" w:type="dxa"/>
            <w:shd w:val="clear" w:color="auto" w:fill="FFFFFF"/>
          </w:tcPr>
          <w:p w:rsidR="00FF4CAB" w:rsidRPr="00A75DF9" w:rsidRDefault="00FF4CAB" w:rsidP="00FF4CAB">
            <w:pPr>
              <w:rPr>
                <w:rFonts w:cs="Tahoma"/>
                <w:color w:val="000000"/>
                <w:szCs w:val="20"/>
              </w:rPr>
            </w:pPr>
            <w:r w:rsidRPr="00A75DF9">
              <w:rPr>
                <w:rFonts w:cs="Tahoma"/>
                <w:color w:val="000000"/>
                <w:szCs w:val="20"/>
              </w:rPr>
              <w:t>System Center Configuration Manager 2007 R3</w:t>
            </w:r>
          </w:p>
        </w:tc>
        <w:tc>
          <w:tcPr>
            <w:tcW w:w="4050" w:type="dxa"/>
            <w:shd w:val="clear" w:color="auto" w:fill="FFFFFF"/>
          </w:tcPr>
          <w:p w:rsidR="00FF4CAB" w:rsidRPr="00A75DF9" w:rsidRDefault="00FF4CAB" w:rsidP="007C7A9E">
            <w:pPr>
              <w:rPr>
                <w:rFonts w:cs="Tahoma"/>
                <w:color w:val="000000"/>
                <w:szCs w:val="20"/>
              </w:rPr>
            </w:pPr>
            <w:r w:rsidRPr="00A75DF9">
              <w:rPr>
                <w:rFonts w:cs="Tahoma"/>
                <w:color w:val="000000"/>
                <w:szCs w:val="20"/>
              </w:rPr>
              <w:t>1 Licenza di Gestione Server (Server ML) per</w:t>
            </w:r>
            <w:r w:rsidR="007C7A9E">
              <w:rPr>
                <w:rFonts w:cs="Tahoma"/>
                <w:color w:val="000000"/>
                <w:szCs w:val="20"/>
              </w:rPr>
              <w:t> </w:t>
            </w:r>
            <w:r w:rsidRPr="00A75DF9">
              <w:rPr>
                <w:rFonts w:cs="Tahoma"/>
                <w:color w:val="000000"/>
                <w:szCs w:val="20"/>
              </w:rPr>
              <w:t>System Center 2012 Standard</w:t>
            </w:r>
          </w:p>
        </w:tc>
      </w:tr>
      <w:tr w:rsidR="00FF4CAB" w:rsidRPr="00A75DF9" w:rsidTr="00CA14C9">
        <w:tc>
          <w:tcPr>
            <w:tcW w:w="3960" w:type="dxa"/>
            <w:shd w:val="clear" w:color="auto" w:fill="FFFFFF"/>
          </w:tcPr>
          <w:p w:rsidR="00FF4CAB" w:rsidRPr="00A75DF9" w:rsidRDefault="00FF4CAB" w:rsidP="00FF4CAB">
            <w:pPr>
              <w:rPr>
                <w:rFonts w:cs="Tahoma"/>
                <w:color w:val="000000"/>
                <w:szCs w:val="20"/>
              </w:rPr>
            </w:pPr>
            <w:r w:rsidRPr="00A75DF9">
              <w:rPr>
                <w:rFonts w:cs="Tahoma"/>
                <w:color w:val="000000"/>
                <w:szCs w:val="20"/>
              </w:rPr>
              <w:t>Licenza di Gestione Client (Client ML) per OSE per System Center Configuration Manager 2007 R3</w:t>
            </w:r>
          </w:p>
        </w:tc>
        <w:tc>
          <w:tcPr>
            <w:tcW w:w="4050" w:type="dxa"/>
            <w:shd w:val="clear" w:color="auto" w:fill="FFFFFF"/>
          </w:tcPr>
          <w:p w:rsidR="00FF4CAB" w:rsidRPr="00A75DF9" w:rsidRDefault="00FF4CAB" w:rsidP="00FF4CAB">
            <w:pPr>
              <w:rPr>
                <w:rFonts w:cs="Tahoma"/>
                <w:color w:val="000000"/>
                <w:szCs w:val="20"/>
              </w:rPr>
            </w:pPr>
            <w:r w:rsidRPr="00A75DF9">
              <w:rPr>
                <w:rFonts w:cs="Tahoma"/>
                <w:szCs w:val="20"/>
              </w:rPr>
              <w:t>1 Licenza di Gestione Client (Client ML) per OSE per System Center 2012 Configuration Manager</w:t>
            </w:r>
          </w:p>
        </w:tc>
      </w:tr>
      <w:tr w:rsidR="00FF4CAB" w:rsidRPr="00A75DF9" w:rsidTr="00CA14C9">
        <w:tc>
          <w:tcPr>
            <w:tcW w:w="3960" w:type="dxa"/>
            <w:shd w:val="clear" w:color="auto" w:fill="FFFFFF"/>
          </w:tcPr>
          <w:p w:rsidR="00FF4CAB" w:rsidRPr="00A75DF9" w:rsidRDefault="00FF4CAB" w:rsidP="00FF4CAB">
            <w:pPr>
              <w:rPr>
                <w:rFonts w:cs="Tahoma"/>
                <w:color w:val="000000"/>
                <w:szCs w:val="20"/>
              </w:rPr>
            </w:pPr>
            <w:r w:rsidRPr="00A75DF9">
              <w:rPr>
                <w:rFonts w:cs="Tahoma"/>
                <w:color w:val="000000"/>
                <w:szCs w:val="20"/>
              </w:rPr>
              <w:t>Licenza di Gestione Client (Client ML) per Utente per System Center Configuration Manager 2007 R3</w:t>
            </w:r>
          </w:p>
        </w:tc>
        <w:tc>
          <w:tcPr>
            <w:tcW w:w="4050" w:type="dxa"/>
            <w:shd w:val="clear" w:color="auto" w:fill="FFFFFF"/>
          </w:tcPr>
          <w:p w:rsidR="00FF4CAB" w:rsidRPr="00A75DF9" w:rsidRDefault="00FF4CAB" w:rsidP="00FF4CAB">
            <w:pPr>
              <w:rPr>
                <w:rFonts w:cs="Tahoma"/>
                <w:color w:val="000000"/>
                <w:szCs w:val="20"/>
              </w:rPr>
            </w:pPr>
            <w:r w:rsidRPr="00A75DF9">
              <w:rPr>
                <w:rFonts w:cs="Tahoma"/>
                <w:szCs w:val="20"/>
              </w:rPr>
              <w:t>1 Licenza di Gestione Client (Client ML) per Utente per System Center 2012 Configuration Manager</w:t>
            </w:r>
          </w:p>
        </w:tc>
      </w:tr>
      <w:tr w:rsidR="00FF4CAB" w:rsidRPr="00A75DF9" w:rsidTr="00CA14C9">
        <w:tc>
          <w:tcPr>
            <w:tcW w:w="3960" w:type="dxa"/>
            <w:shd w:val="clear" w:color="auto" w:fill="FFFFFF"/>
          </w:tcPr>
          <w:p w:rsidR="00FF4CAB" w:rsidRPr="00A75DF9" w:rsidRDefault="00FF4CAB" w:rsidP="00FF4CAB">
            <w:pPr>
              <w:rPr>
                <w:rFonts w:cs="Tahoma"/>
                <w:color w:val="000000"/>
                <w:szCs w:val="20"/>
              </w:rPr>
            </w:pPr>
            <w:r w:rsidRPr="00A75DF9">
              <w:rPr>
                <w:rFonts w:cs="Tahoma"/>
                <w:color w:val="000000"/>
                <w:szCs w:val="20"/>
              </w:rPr>
              <w:t>Licenza di Gestione Client (Client ML) per System Center Configuration Manager 2007 R3 (Solo Studenti)</w:t>
            </w:r>
            <w:r w:rsidRPr="00A75DF9">
              <w:rPr>
                <w:rFonts w:cs="Tahoma"/>
                <w:color w:val="000000"/>
                <w:szCs w:val="20"/>
                <w:vertAlign w:val="superscript"/>
              </w:rPr>
              <w:t>*</w:t>
            </w:r>
          </w:p>
        </w:tc>
        <w:tc>
          <w:tcPr>
            <w:tcW w:w="4050" w:type="dxa"/>
            <w:shd w:val="clear" w:color="auto" w:fill="FFFFFF"/>
          </w:tcPr>
          <w:p w:rsidR="00FF4CAB" w:rsidRPr="00A75DF9" w:rsidRDefault="00FF4CAB" w:rsidP="00FF4CAB">
            <w:pPr>
              <w:rPr>
                <w:rFonts w:cs="Tahoma"/>
                <w:color w:val="000000"/>
                <w:szCs w:val="20"/>
              </w:rPr>
            </w:pPr>
            <w:r w:rsidRPr="00A75DF9">
              <w:rPr>
                <w:rFonts w:cs="Tahoma"/>
                <w:szCs w:val="20"/>
              </w:rPr>
              <w:t>1 Licenza di Gestione Client (Client ML) per System Center 2012 Configuration Manager (Solo Studenti)</w:t>
            </w:r>
            <w:r w:rsidRPr="00A75DF9">
              <w:rPr>
                <w:rFonts w:cs="Tahoma"/>
                <w:szCs w:val="20"/>
                <w:vertAlign w:val="superscript"/>
              </w:rPr>
              <w:t>*</w:t>
            </w:r>
          </w:p>
        </w:tc>
      </w:tr>
      <w:tr w:rsidR="00FF4CAB" w:rsidRPr="00A75DF9" w:rsidTr="00CA14C9">
        <w:tc>
          <w:tcPr>
            <w:tcW w:w="3960" w:type="dxa"/>
            <w:shd w:val="clear" w:color="auto" w:fill="FFFFFF"/>
          </w:tcPr>
          <w:p w:rsidR="00FF4CAB" w:rsidRPr="00A75DF9" w:rsidRDefault="00FF4CAB" w:rsidP="00FF4CAB">
            <w:pPr>
              <w:rPr>
                <w:rFonts w:cs="Tahoma"/>
                <w:color w:val="000000"/>
                <w:szCs w:val="20"/>
              </w:rPr>
            </w:pPr>
            <w:r w:rsidRPr="00A75DF9">
              <w:rPr>
                <w:rFonts w:cs="Tahoma"/>
                <w:color w:val="000000"/>
                <w:szCs w:val="20"/>
              </w:rPr>
              <w:t>Licenza di Gestione Server Enterprise per System Center Configuration Manager 2007 R3</w:t>
            </w:r>
          </w:p>
        </w:tc>
        <w:tc>
          <w:tcPr>
            <w:tcW w:w="4050" w:type="dxa"/>
            <w:shd w:val="clear" w:color="auto" w:fill="FFFFFF"/>
          </w:tcPr>
          <w:p w:rsidR="00FF4CAB" w:rsidRPr="00A75DF9" w:rsidRDefault="00FF4CAB" w:rsidP="007C7A9E">
            <w:pPr>
              <w:rPr>
                <w:rFonts w:cs="Tahoma"/>
                <w:color w:val="000000"/>
                <w:szCs w:val="20"/>
              </w:rPr>
            </w:pPr>
            <w:r w:rsidRPr="00A75DF9">
              <w:rPr>
                <w:rFonts w:cs="Tahoma"/>
                <w:color w:val="000000"/>
                <w:szCs w:val="20"/>
              </w:rPr>
              <w:t>1 Licenza di Gestione Server (Server ML) per</w:t>
            </w:r>
            <w:r w:rsidR="007C7A9E">
              <w:rPr>
                <w:rFonts w:cs="Tahoma"/>
                <w:color w:val="000000"/>
                <w:szCs w:val="20"/>
              </w:rPr>
              <w:t> </w:t>
            </w:r>
            <w:r w:rsidRPr="00A75DF9">
              <w:rPr>
                <w:rFonts w:cs="Tahoma"/>
                <w:color w:val="000000"/>
                <w:szCs w:val="20"/>
              </w:rPr>
              <w:t>System Center 2012 Standard</w:t>
            </w:r>
          </w:p>
        </w:tc>
      </w:tr>
      <w:tr w:rsidR="00FF4CAB" w:rsidRPr="00A75DF9" w:rsidTr="00CA14C9">
        <w:tc>
          <w:tcPr>
            <w:tcW w:w="3960" w:type="dxa"/>
            <w:shd w:val="clear" w:color="auto" w:fill="FFFFFF"/>
          </w:tcPr>
          <w:p w:rsidR="00FF4CAB" w:rsidRPr="00A75DF9" w:rsidRDefault="00FF4CAB" w:rsidP="00FF4CAB">
            <w:pPr>
              <w:rPr>
                <w:rFonts w:cs="Tahoma"/>
                <w:color w:val="000000"/>
                <w:szCs w:val="20"/>
              </w:rPr>
            </w:pPr>
            <w:r w:rsidRPr="00A75DF9">
              <w:rPr>
                <w:rFonts w:cs="Tahoma"/>
                <w:color w:val="000000"/>
                <w:szCs w:val="20"/>
              </w:rPr>
              <w:t xml:space="preserve">Licenza di Gestione Server Standard per System Center Configuration Manager 2007 R3 </w:t>
            </w:r>
          </w:p>
        </w:tc>
        <w:tc>
          <w:tcPr>
            <w:tcW w:w="4050" w:type="dxa"/>
            <w:shd w:val="clear" w:color="auto" w:fill="FFFFFF"/>
          </w:tcPr>
          <w:p w:rsidR="00FF4CAB" w:rsidRPr="00A75DF9" w:rsidRDefault="00FF4CAB" w:rsidP="007C7A9E">
            <w:pPr>
              <w:rPr>
                <w:rFonts w:cs="Tahoma"/>
                <w:color w:val="000000"/>
                <w:szCs w:val="20"/>
              </w:rPr>
            </w:pPr>
            <w:r w:rsidRPr="00A75DF9">
              <w:rPr>
                <w:rFonts w:cs="Tahoma"/>
                <w:color w:val="000000"/>
                <w:szCs w:val="20"/>
              </w:rPr>
              <w:t>1 Licenza di Gestione Server (Server ML) per</w:t>
            </w:r>
            <w:r w:rsidR="007C7A9E">
              <w:rPr>
                <w:rFonts w:cs="Tahoma"/>
                <w:color w:val="000000"/>
                <w:szCs w:val="20"/>
              </w:rPr>
              <w:t> </w:t>
            </w:r>
            <w:r w:rsidRPr="00A75DF9">
              <w:rPr>
                <w:rFonts w:cs="Tahoma"/>
                <w:color w:val="000000"/>
                <w:szCs w:val="20"/>
              </w:rPr>
              <w:t>System Center 2012 Standard</w:t>
            </w:r>
          </w:p>
        </w:tc>
      </w:tr>
      <w:tr w:rsidR="00FF4CAB" w:rsidRPr="00A75DF9" w:rsidTr="007C7A9E">
        <w:trPr>
          <w:cantSplit/>
        </w:trPr>
        <w:tc>
          <w:tcPr>
            <w:tcW w:w="3960" w:type="dxa"/>
            <w:shd w:val="clear" w:color="auto" w:fill="FFFFFF"/>
          </w:tcPr>
          <w:p w:rsidR="00FF4CAB" w:rsidRPr="00A75DF9" w:rsidRDefault="00FF4CAB" w:rsidP="00FF4CAB">
            <w:pPr>
              <w:rPr>
                <w:rFonts w:cs="Tahoma"/>
                <w:color w:val="000000"/>
                <w:szCs w:val="20"/>
              </w:rPr>
            </w:pPr>
            <w:r w:rsidRPr="00A75DF9">
              <w:rPr>
                <w:rFonts w:cs="Tahoma"/>
                <w:color w:val="000000"/>
                <w:szCs w:val="20"/>
              </w:rPr>
              <w:lastRenderedPageBreak/>
              <w:t>System Center Configuration Manager 2007 R3 con Tecnologia SQL Server 2008</w:t>
            </w:r>
          </w:p>
        </w:tc>
        <w:tc>
          <w:tcPr>
            <w:tcW w:w="4050" w:type="dxa"/>
            <w:shd w:val="clear" w:color="auto" w:fill="FFFFFF"/>
          </w:tcPr>
          <w:p w:rsidR="00FF4CAB" w:rsidRPr="00A75DF9" w:rsidRDefault="00FF4CAB" w:rsidP="007C7A9E">
            <w:pPr>
              <w:rPr>
                <w:rFonts w:cs="Tahoma"/>
                <w:color w:val="000000"/>
                <w:szCs w:val="20"/>
              </w:rPr>
            </w:pPr>
            <w:r w:rsidRPr="00A75DF9">
              <w:rPr>
                <w:rFonts w:cs="Tahoma"/>
                <w:color w:val="000000"/>
                <w:szCs w:val="20"/>
              </w:rPr>
              <w:t>1 Licenza di Gestione Server (Server ML) per</w:t>
            </w:r>
            <w:r w:rsidR="007C7A9E">
              <w:rPr>
                <w:rFonts w:cs="Tahoma"/>
                <w:color w:val="000000"/>
                <w:szCs w:val="20"/>
              </w:rPr>
              <w:t> </w:t>
            </w:r>
            <w:r w:rsidRPr="00A75DF9">
              <w:rPr>
                <w:rFonts w:cs="Tahoma"/>
                <w:color w:val="000000"/>
                <w:szCs w:val="20"/>
              </w:rPr>
              <w:t>System Center 2012 Standard</w:t>
            </w:r>
          </w:p>
        </w:tc>
      </w:tr>
      <w:tr w:rsidR="00FF4CAB" w:rsidRPr="00A75DF9" w:rsidTr="00CA14C9">
        <w:tc>
          <w:tcPr>
            <w:tcW w:w="3960" w:type="dxa"/>
            <w:shd w:val="clear" w:color="auto" w:fill="FFFFFF"/>
          </w:tcPr>
          <w:p w:rsidR="00FF4CAB" w:rsidRPr="00A75DF9" w:rsidRDefault="00FF4CAB" w:rsidP="00FF4CAB">
            <w:pPr>
              <w:rPr>
                <w:rFonts w:cs="Tahoma"/>
                <w:color w:val="000000"/>
                <w:szCs w:val="20"/>
              </w:rPr>
            </w:pPr>
            <w:r w:rsidRPr="00A75DF9">
              <w:rPr>
                <w:rFonts w:cs="Tahoma"/>
                <w:color w:val="000000"/>
                <w:szCs w:val="20"/>
              </w:rPr>
              <w:t>Licenza di Gestione Client per Utente per System Center Data Protection Manager 2010</w:t>
            </w:r>
          </w:p>
        </w:tc>
        <w:tc>
          <w:tcPr>
            <w:tcW w:w="4050" w:type="dxa"/>
            <w:shd w:val="clear" w:color="auto" w:fill="FFFFFF"/>
          </w:tcPr>
          <w:p w:rsidR="00FF4CAB" w:rsidRPr="00A75DF9" w:rsidRDefault="00FF4CAB" w:rsidP="00FF4CAB">
            <w:pPr>
              <w:rPr>
                <w:rFonts w:cs="Tahoma"/>
                <w:color w:val="000000"/>
                <w:szCs w:val="20"/>
              </w:rPr>
            </w:pPr>
            <w:r w:rsidRPr="00A75DF9">
              <w:rPr>
                <w:rFonts w:cs="Tahoma"/>
                <w:color w:val="000000"/>
                <w:szCs w:val="20"/>
              </w:rPr>
              <w:t>1 System Center 2012 Client Management Suite (Client ML) per Utente</w:t>
            </w:r>
          </w:p>
        </w:tc>
      </w:tr>
      <w:tr w:rsidR="00FF4CAB" w:rsidRPr="00A75DF9" w:rsidTr="00CA14C9">
        <w:tc>
          <w:tcPr>
            <w:tcW w:w="3960" w:type="dxa"/>
            <w:shd w:val="clear" w:color="auto" w:fill="FFFFFF"/>
          </w:tcPr>
          <w:p w:rsidR="00FF4CAB" w:rsidRPr="00A75DF9" w:rsidRDefault="00FF4CAB" w:rsidP="00FF4CAB">
            <w:pPr>
              <w:rPr>
                <w:rFonts w:cs="Tahoma"/>
                <w:color w:val="000000"/>
                <w:szCs w:val="20"/>
              </w:rPr>
            </w:pPr>
            <w:r w:rsidRPr="00A75DF9">
              <w:rPr>
                <w:rFonts w:cs="Tahoma"/>
                <w:color w:val="000000"/>
                <w:szCs w:val="20"/>
              </w:rPr>
              <w:t>Licenza di Gestione Client per OSE per System Center Data Protection Manager 2010</w:t>
            </w:r>
          </w:p>
        </w:tc>
        <w:tc>
          <w:tcPr>
            <w:tcW w:w="4050" w:type="dxa"/>
            <w:shd w:val="clear" w:color="auto" w:fill="FFFFFF"/>
          </w:tcPr>
          <w:p w:rsidR="00FF4CAB" w:rsidRPr="00A75DF9" w:rsidRDefault="00FF4CAB" w:rsidP="00FF4CAB">
            <w:pPr>
              <w:rPr>
                <w:rFonts w:cs="Tahoma"/>
                <w:color w:val="000000"/>
                <w:szCs w:val="20"/>
              </w:rPr>
            </w:pPr>
            <w:r w:rsidRPr="00A75DF9">
              <w:rPr>
                <w:rFonts w:cs="Tahoma"/>
                <w:color w:val="000000"/>
                <w:szCs w:val="20"/>
              </w:rPr>
              <w:t>1 System Center 2012 Client Management Suite (Client ML) per OSE</w:t>
            </w:r>
          </w:p>
        </w:tc>
      </w:tr>
      <w:tr w:rsidR="00FF4CAB" w:rsidRPr="00A75DF9" w:rsidTr="00CA14C9">
        <w:tc>
          <w:tcPr>
            <w:tcW w:w="3960" w:type="dxa"/>
            <w:shd w:val="clear" w:color="auto" w:fill="FFFFFF"/>
          </w:tcPr>
          <w:p w:rsidR="00FF4CAB" w:rsidRPr="00A75DF9" w:rsidRDefault="00FF4CAB" w:rsidP="00FF4CAB">
            <w:pPr>
              <w:rPr>
                <w:rFonts w:cs="Tahoma"/>
                <w:color w:val="000000"/>
                <w:szCs w:val="20"/>
              </w:rPr>
            </w:pPr>
            <w:r w:rsidRPr="00A75DF9">
              <w:rPr>
                <w:rFonts w:cs="Tahoma"/>
                <w:color w:val="000000"/>
                <w:szCs w:val="20"/>
              </w:rPr>
              <w:t>Licenza di Gestione Server Enterprise per System Center Data Protection Manager 2010</w:t>
            </w:r>
          </w:p>
        </w:tc>
        <w:tc>
          <w:tcPr>
            <w:tcW w:w="4050" w:type="dxa"/>
            <w:shd w:val="clear" w:color="auto" w:fill="FFFFFF"/>
          </w:tcPr>
          <w:p w:rsidR="00FF4CAB" w:rsidRPr="00A75DF9" w:rsidRDefault="00FF4CAB" w:rsidP="007C7A9E">
            <w:pPr>
              <w:rPr>
                <w:rFonts w:cs="Tahoma"/>
                <w:color w:val="000000"/>
                <w:szCs w:val="20"/>
              </w:rPr>
            </w:pPr>
            <w:r w:rsidRPr="00A75DF9">
              <w:rPr>
                <w:rFonts w:cs="Tahoma"/>
                <w:color w:val="000000"/>
                <w:szCs w:val="20"/>
              </w:rPr>
              <w:t>1 Licenza di Gestione Server (Server ML) per</w:t>
            </w:r>
            <w:r w:rsidR="007C7A9E">
              <w:rPr>
                <w:rFonts w:cs="Tahoma"/>
                <w:color w:val="000000"/>
                <w:szCs w:val="20"/>
              </w:rPr>
              <w:t> </w:t>
            </w:r>
            <w:r w:rsidRPr="00A75DF9">
              <w:rPr>
                <w:rFonts w:cs="Tahoma"/>
                <w:color w:val="000000"/>
                <w:szCs w:val="20"/>
              </w:rPr>
              <w:t>System Center 2012 Standard</w:t>
            </w:r>
          </w:p>
        </w:tc>
      </w:tr>
      <w:tr w:rsidR="00FF4CAB" w:rsidRPr="00A75DF9" w:rsidTr="00CA14C9">
        <w:tc>
          <w:tcPr>
            <w:tcW w:w="3960" w:type="dxa"/>
            <w:shd w:val="clear" w:color="auto" w:fill="FFFFFF"/>
          </w:tcPr>
          <w:p w:rsidR="00FF4CAB" w:rsidRPr="00A75DF9" w:rsidRDefault="00FF4CAB" w:rsidP="00FF4CAB">
            <w:pPr>
              <w:rPr>
                <w:rFonts w:cs="Tahoma"/>
                <w:color w:val="000000"/>
                <w:szCs w:val="20"/>
              </w:rPr>
            </w:pPr>
            <w:r w:rsidRPr="00A75DF9">
              <w:rPr>
                <w:rFonts w:cs="Tahoma"/>
                <w:color w:val="000000"/>
                <w:szCs w:val="20"/>
              </w:rPr>
              <w:t>Licenza di Gestione Server Standard per System Center Data Protection Manager 2010</w:t>
            </w:r>
          </w:p>
        </w:tc>
        <w:tc>
          <w:tcPr>
            <w:tcW w:w="4050" w:type="dxa"/>
            <w:shd w:val="clear" w:color="auto" w:fill="FFFFFF"/>
          </w:tcPr>
          <w:p w:rsidR="00FF4CAB" w:rsidRPr="00A75DF9" w:rsidRDefault="00FF4CAB" w:rsidP="007C7A9E">
            <w:pPr>
              <w:rPr>
                <w:rFonts w:cs="Tahoma"/>
                <w:color w:val="000000"/>
                <w:szCs w:val="20"/>
              </w:rPr>
            </w:pPr>
            <w:r w:rsidRPr="00A75DF9">
              <w:rPr>
                <w:rFonts w:cs="Tahoma"/>
                <w:color w:val="000000"/>
                <w:szCs w:val="20"/>
              </w:rPr>
              <w:t>1 Licenza di Gestione Server (Server ML) per</w:t>
            </w:r>
            <w:r w:rsidR="007C7A9E">
              <w:rPr>
                <w:rFonts w:cs="Tahoma"/>
                <w:color w:val="000000"/>
                <w:szCs w:val="20"/>
              </w:rPr>
              <w:t> </w:t>
            </w:r>
            <w:r w:rsidRPr="00A75DF9">
              <w:rPr>
                <w:rFonts w:cs="Tahoma"/>
                <w:color w:val="000000"/>
                <w:szCs w:val="20"/>
              </w:rPr>
              <w:t>System Center 2012 Standard</w:t>
            </w:r>
          </w:p>
        </w:tc>
      </w:tr>
      <w:tr w:rsidR="00FF4CAB" w:rsidRPr="00A75DF9" w:rsidTr="00CA14C9">
        <w:tc>
          <w:tcPr>
            <w:tcW w:w="3960" w:type="dxa"/>
            <w:shd w:val="clear" w:color="auto" w:fill="FFFFFF"/>
          </w:tcPr>
          <w:p w:rsidR="00FF4CAB" w:rsidRPr="00A75DF9" w:rsidRDefault="00FF4CAB" w:rsidP="00FF4CAB">
            <w:pPr>
              <w:rPr>
                <w:rFonts w:cs="Tahoma"/>
                <w:color w:val="000000"/>
                <w:szCs w:val="20"/>
              </w:rPr>
            </w:pPr>
            <w:r w:rsidRPr="00A75DF9">
              <w:rPr>
                <w:rFonts w:cs="Tahoma"/>
                <w:color w:val="000000"/>
                <w:szCs w:val="20"/>
              </w:rPr>
              <w:t>System Center Operations Manager 2007 R2</w:t>
            </w:r>
          </w:p>
        </w:tc>
        <w:tc>
          <w:tcPr>
            <w:tcW w:w="4050" w:type="dxa"/>
            <w:shd w:val="clear" w:color="auto" w:fill="FFFFFF"/>
          </w:tcPr>
          <w:p w:rsidR="00FF4CAB" w:rsidRPr="00A75DF9" w:rsidRDefault="00FF4CAB" w:rsidP="007C7A9E">
            <w:pPr>
              <w:rPr>
                <w:rFonts w:cs="Tahoma"/>
                <w:color w:val="000000"/>
                <w:szCs w:val="20"/>
              </w:rPr>
            </w:pPr>
            <w:r w:rsidRPr="00A75DF9">
              <w:rPr>
                <w:rFonts w:cs="Tahoma"/>
                <w:color w:val="000000"/>
                <w:szCs w:val="20"/>
              </w:rPr>
              <w:t>1 Licenza di Gestione Server (Server ML) per</w:t>
            </w:r>
            <w:r w:rsidR="007C7A9E">
              <w:rPr>
                <w:rFonts w:cs="Tahoma"/>
                <w:color w:val="000000"/>
                <w:szCs w:val="20"/>
              </w:rPr>
              <w:t> </w:t>
            </w:r>
            <w:r w:rsidRPr="00A75DF9">
              <w:rPr>
                <w:rFonts w:cs="Tahoma"/>
                <w:color w:val="000000"/>
                <w:szCs w:val="20"/>
              </w:rPr>
              <w:t>System Center 2012 Standard</w:t>
            </w:r>
          </w:p>
        </w:tc>
      </w:tr>
      <w:tr w:rsidR="00FF4CAB" w:rsidRPr="00A75DF9" w:rsidTr="00CA14C9">
        <w:tc>
          <w:tcPr>
            <w:tcW w:w="3960" w:type="dxa"/>
            <w:shd w:val="clear" w:color="auto" w:fill="FFFFFF"/>
          </w:tcPr>
          <w:p w:rsidR="00FF4CAB" w:rsidRPr="00A75DF9" w:rsidRDefault="00FF4CAB" w:rsidP="00FF4CAB">
            <w:pPr>
              <w:rPr>
                <w:rFonts w:cs="Tahoma"/>
                <w:color w:val="000000"/>
                <w:szCs w:val="20"/>
              </w:rPr>
            </w:pPr>
            <w:r w:rsidRPr="00A75DF9">
              <w:rPr>
                <w:rFonts w:cs="Tahoma"/>
                <w:color w:val="000000"/>
                <w:szCs w:val="20"/>
              </w:rPr>
              <w:t>System Center Operations Manager 2007 R2 con Tecnologia SQL Server 2008</w:t>
            </w:r>
          </w:p>
        </w:tc>
        <w:tc>
          <w:tcPr>
            <w:tcW w:w="4050" w:type="dxa"/>
            <w:shd w:val="clear" w:color="auto" w:fill="FFFFFF"/>
          </w:tcPr>
          <w:p w:rsidR="00FF4CAB" w:rsidRPr="00A75DF9" w:rsidRDefault="00FF4CAB" w:rsidP="007C7A9E">
            <w:pPr>
              <w:rPr>
                <w:rFonts w:cs="Tahoma"/>
                <w:color w:val="000000"/>
                <w:szCs w:val="20"/>
              </w:rPr>
            </w:pPr>
            <w:r w:rsidRPr="00A75DF9">
              <w:rPr>
                <w:rFonts w:cs="Tahoma"/>
                <w:color w:val="000000"/>
                <w:szCs w:val="20"/>
              </w:rPr>
              <w:t>1 Licenza di Gestione Server (Server ML) per</w:t>
            </w:r>
            <w:r w:rsidR="007C7A9E">
              <w:rPr>
                <w:rFonts w:cs="Tahoma"/>
                <w:color w:val="000000"/>
                <w:szCs w:val="20"/>
              </w:rPr>
              <w:t> </w:t>
            </w:r>
            <w:r w:rsidRPr="00A75DF9">
              <w:rPr>
                <w:rFonts w:cs="Tahoma"/>
                <w:color w:val="000000"/>
                <w:szCs w:val="20"/>
              </w:rPr>
              <w:t>System Center 2012 Standard</w:t>
            </w:r>
          </w:p>
        </w:tc>
      </w:tr>
      <w:tr w:rsidR="00FF4CAB" w:rsidRPr="00A75DF9" w:rsidTr="00CA14C9">
        <w:tc>
          <w:tcPr>
            <w:tcW w:w="3960" w:type="dxa"/>
            <w:shd w:val="clear" w:color="auto" w:fill="FFFFFF"/>
          </w:tcPr>
          <w:p w:rsidR="00FF4CAB" w:rsidRPr="00A75DF9" w:rsidRDefault="00FF4CAB" w:rsidP="00FF4CAB">
            <w:pPr>
              <w:rPr>
                <w:rFonts w:cs="Tahoma"/>
                <w:color w:val="000000"/>
                <w:szCs w:val="20"/>
              </w:rPr>
            </w:pPr>
            <w:r w:rsidRPr="00A75DF9">
              <w:rPr>
                <w:rFonts w:cs="Tahoma"/>
                <w:color w:val="000000"/>
                <w:szCs w:val="20"/>
              </w:rPr>
              <w:t>Licenza di Gestione Server Standard per System Center Operations Manager 2007 R2</w:t>
            </w:r>
          </w:p>
        </w:tc>
        <w:tc>
          <w:tcPr>
            <w:tcW w:w="4050" w:type="dxa"/>
            <w:shd w:val="clear" w:color="auto" w:fill="FFFFFF"/>
          </w:tcPr>
          <w:p w:rsidR="00FF4CAB" w:rsidRPr="00A75DF9" w:rsidRDefault="00FF4CAB" w:rsidP="007C7A9E">
            <w:pPr>
              <w:rPr>
                <w:rFonts w:cs="Tahoma"/>
                <w:color w:val="000000"/>
                <w:szCs w:val="20"/>
              </w:rPr>
            </w:pPr>
            <w:r w:rsidRPr="00A75DF9">
              <w:rPr>
                <w:rFonts w:cs="Tahoma"/>
                <w:color w:val="000000"/>
                <w:szCs w:val="20"/>
              </w:rPr>
              <w:t>1 Licenza di Gestione Server (Server ML) per</w:t>
            </w:r>
            <w:r w:rsidR="007C7A9E">
              <w:rPr>
                <w:rFonts w:cs="Tahoma"/>
                <w:color w:val="000000"/>
                <w:szCs w:val="20"/>
              </w:rPr>
              <w:t> </w:t>
            </w:r>
            <w:r w:rsidRPr="00A75DF9">
              <w:rPr>
                <w:rFonts w:cs="Tahoma"/>
                <w:color w:val="000000"/>
                <w:szCs w:val="20"/>
              </w:rPr>
              <w:t>System Center 2012 Standard</w:t>
            </w:r>
          </w:p>
        </w:tc>
      </w:tr>
      <w:tr w:rsidR="00FF4CAB" w:rsidRPr="00A75DF9" w:rsidTr="00CA14C9">
        <w:tc>
          <w:tcPr>
            <w:tcW w:w="3960" w:type="dxa"/>
            <w:shd w:val="clear" w:color="auto" w:fill="FFFFFF"/>
          </w:tcPr>
          <w:p w:rsidR="00FF4CAB" w:rsidRPr="00A75DF9" w:rsidRDefault="00FF4CAB" w:rsidP="00FF4CAB">
            <w:pPr>
              <w:rPr>
                <w:rFonts w:cs="Tahoma"/>
                <w:color w:val="000000"/>
                <w:szCs w:val="20"/>
              </w:rPr>
            </w:pPr>
            <w:r w:rsidRPr="00A75DF9">
              <w:rPr>
                <w:rFonts w:cs="Tahoma"/>
                <w:color w:val="000000"/>
                <w:szCs w:val="20"/>
              </w:rPr>
              <w:t>Licenza di Gestione Server Enterprise per System Center Operations Manager 2007 R2</w:t>
            </w:r>
          </w:p>
        </w:tc>
        <w:tc>
          <w:tcPr>
            <w:tcW w:w="4050" w:type="dxa"/>
            <w:shd w:val="clear" w:color="auto" w:fill="FFFFFF"/>
          </w:tcPr>
          <w:p w:rsidR="00FF4CAB" w:rsidRPr="00A75DF9" w:rsidRDefault="00FF4CAB" w:rsidP="007C7A9E">
            <w:pPr>
              <w:rPr>
                <w:rFonts w:cs="Tahoma"/>
                <w:color w:val="000000"/>
                <w:szCs w:val="20"/>
              </w:rPr>
            </w:pPr>
            <w:r w:rsidRPr="00A75DF9">
              <w:rPr>
                <w:rFonts w:cs="Tahoma"/>
                <w:color w:val="000000"/>
                <w:szCs w:val="20"/>
              </w:rPr>
              <w:t>1 Licenza di Gestione Server (Server ML) per</w:t>
            </w:r>
            <w:r w:rsidR="007C7A9E">
              <w:rPr>
                <w:rFonts w:cs="Tahoma"/>
                <w:color w:val="000000"/>
                <w:szCs w:val="20"/>
              </w:rPr>
              <w:t> </w:t>
            </w:r>
            <w:r w:rsidRPr="00A75DF9">
              <w:rPr>
                <w:rFonts w:cs="Tahoma"/>
                <w:color w:val="000000"/>
                <w:szCs w:val="20"/>
              </w:rPr>
              <w:t>System Center 2012 Standard</w:t>
            </w:r>
          </w:p>
        </w:tc>
      </w:tr>
      <w:tr w:rsidR="00FF4CAB" w:rsidRPr="00A75DF9" w:rsidTr="00CA14C9">
        <w:tc>
          <w:tcPr>
            <w:tcW w:w="3960" w:type="dxa"/>
            <w:shd w:val="clear" w:color="auto" w:fill="FFFFFF"/>
          </w:tcPr>
          <w:p w:rsidR="00FF4CAB" w:rsidRPr="00A75DF9" w:rsidRDefault="00FF4CAB" w:rsidP="00FF4CAB">
            <w:pPr>
              <w:rPr>
                <w:rFonts w:cs="Tahoma"/>
                <w:color w:val="000000"/>
                <w:szCs w:val="20"/>
              </w:rPr>
            </w:pPr>
            <w:r w:rsidRPr="00A75DF9">
              <w:rPr>
                <w:rFonts w:cs="Tahoma"/>
                <w:color w:val="000000"/>
                <w:szCs w:val="20"/>
              </w:rPr>
              <w:t>Licenza di Gestione Client per OSE per System Center Operations Manager 2007 R2</w:t>
            </w:r>
          </w:p>
        </w:tc>
        <w:tc>
          <w:tcPr>
            <w:tcW w:w="4050" w:type="dxa"/>
            <w:shd w:val="clear" w:color="auto" w:fill="FFFFFF"/>
          </w:tcPr>
          <w:p w:rsidR="00FF4CAB" w:rsidRPr="00A75DF9" w:rsidRDefault="00FF4CAB" w:rsidP="00FF4CAB">
            <w:pPr>
              <w:rPr>
                <w:rFonts w:cs="Tahoma"/>
                <w:color w:val="000000"/>
                <w:szCs w:val="20"/>
              </w:rPr>
            </w:pPr>
            <w:r w:rsidRPr="00A75DF9">
              <w:rPr>
                <w:rFonts w:cs="Tahoma"/>
                <w:color w:val="000000"/>
                <w:szCs w:val="20"/>
              </w:rPr>
              <w:t>1 System Center 2012 Client Management Suite (Client ML) per OSE</w:t>
            </w:r>
          </w:p>
        </w:tc>
      </w:tr>
      <w:tr w:rsidR="00FF4CAB" w:rsidRPr="00A75DF9" w:rsidTr="00CA14C9">
        <w:tc>
          <w:tcPr>
            <w:tcW w:w="3960" w:type="dxa"/>
            <w:shd w:val="clear" w:color="auto" w:fill="FFFFFF"/>
          </w:tcPr>
          <w:p w:rsidR="00FF4CAB" w:rsidRPr="00A75DF9" w:rsidRDefault="00FF4CAB" w:rsidP="00FF4CAB">
            <w:pPr>
              <w:rPr>
                <w:rFonts w:cs="Tahoma"/>
                <w:color w:val="000000"/>
                <w:szCs w:val="20"/>
              </w:rPr>
            </w:pPr>
            <w:r w:rsidRPr="00A75DF9">
              <w:rPr>
                <w:rFonts w:cs="Tahoma"/>
                <w:color w:val="000000"/>
                <w:szCs w:val="20"/>
              </w:rPr>
              <w:t>Licenza di Gestione Client per Utente per System Center Operations Manager 2007 R2</w:t>
            </w:r>
          </w:p>
        </w:tc>
        <w:tc>
          <w:tcPr>
            <w:tcW w:w="4050" w:type="dxa"/>
            <w:shd w:val="clear" w:color="auto" w:fill="FFFFFF"/>
          </w:tcPr>
          <w:p w:rsidR="00FF4CAB" w:rsidRPr="00A75DF9" w:rsidRDefault="00FF4CAB" w:rsidP="00FF4CAB">
            <w:pPr>
              <w:rPr>
                <w:rFonts w:cs="Tahoma"/>
                <w:color w:val="000000"/>
                <w:szCs w:val="20"/>
              </w:rPr>
            </w:pPr>
            <w:r w:rsidRPr="00A75DF9">
              <w:rPr>
                <w:rFonts w:cs="Tahoma"/>
                <w:color w:val="000000"/>
                <w:szCs w:val="20"/>
              </w:rPr>
              <w:t>1 System Center 2012 Client Management Suite (Client ML) per Utente</w:t>
            </w:r>
          </w:p>
        </w:tc>
      </w:tr>
      <w:tr w:rsidR="00FF4CAB" w:rsidRPr="00A75DF9" w:rsidTr="00CA14C9">
        <w:tc>
          <w:tcPr>
            <w:tcW w:w="3960" w:type="dxa"/>
            <w:shd w:val="clear" w:color="auto" w:fill="FFFFFF"/>
          </w:tcPr>
          <w:p w:rsidR="00FF4CAB" w:rsidRPr="00A75DF9" w:rsidRDefault="00FF4CAB" w:rsidP="00FF4CAB">
            <w:pPr>
              <w:rPr>
                <w:rFonts w:cs="Tahoma"/>
                <w:color w:val="000000"/>
                <w:szCs w:val="20"/>
              </w:rPr>
            </w:pPr>
            <w:r w:rsidRPr="00A75DF9">
              <w:rPr>
                <w:rFonts w:cs="Tahoma"/>
                <w:color w:val="000000"/>
                <w:szCs w:val="20"/>
              </w:rPr>
              <w:t>System Center Server Management Suite Enterprise</w:t>
            </w:r>
          </w:p>
        </w:tc>
        <w:tc>
          <w:tcPr>
            <w:tcW w:w="4050" w:type="dxa"/>
            <w:shd w:val="clear" w:color="auto" w:fill="FFFFFF"/>
          </w:tcPr>
          <w:p w:rsidR="00FF4CAB" w:rsidRPr="00A75DF9" w:rsidRDefault="00FF4CAB" w:rsidP="007C7A9E">
            <w:pPr>
              <w:rPr>
                <w:rFonts w:cs="Tahoma"/>
                <w:color w:val="000000"/>
                <w:szCs w:val="20"/>
              </w:rPr>
            </w:pPr>
            <w:r w:rsidRPr="00A75DF9">
              <w:rPr>
                <w:rFonts w:cs="Tahoma"/>
                <w:color w:val="000000"/>
                <w:szCs w:val="20"/>
              </w:rPr>
              <w:t>2 Licenze di Gestione Server (Server ML) per</w:t>
            </w:r>
            <w:r w:rsidR="007C7A9E">
              <w:rPr>
                <w:rFonts w:cs="Tahoma"/>
                <w:color w:val="000000"/>
                <w:szCs w:val="20"/>
              </w:rPr>
              <w:t> </w:t>
            </w:r>
            <w:r w:rsidRPr="00A75DF9">
              <w:rPr>
                <w:rFonts w:cs="Tahoma"/>
                <w:color w:val="000000"/>
                <w:szCs w:val="20"/>
              </w:rPr>
              <w:t>System Center 2012</w:t>
            </w:r>
          </w:p>
        </w:tc>
      </w:tr>
      <w:tr w:rsidR="00FF4CAB" w:rsidRPr="00A75DF9" w:rsidTr="00CA14C9">
        <w:tc>
          <w:tcPr>
            <w:tcW w:w="3960" w:type="dxa"/>
            <w:shd w:val="clear" w:color="auto" w:fill="FFFFFF"/>
          </w:tcPr>
          <w:p w:rsidR="00FF4CAB" w:rsidRPr="00A75DF9" w:rsidRDefault="00FF4CAB" w:rsidP="00FF4CAB">
            <w:pPr>
              <w:rPr>
                <w:rFonts w:cs="Tahoma"/>
                <w:color w:val="000000"/>
                <w:szCs w:val="20"/>
              </w:rPr>
            </w:pPr>
            <w:r w:rsidRPr="00A75DF9">
              <w:rPr>
                <w:rFonts w:cs="Tahoma"/>
                <w:color w:val="000000"/>
                <w:szCs w:val="20"/>
              </w:rPr>
              <w:t>System Center Server Management Suite Datacenter</w:t>
            </w:r>
          </w:p>
        </w:tc>
        <w:tc>
          <w:tcPr>
            <w:tcW w:w="4050" w:type="dxa"/>
            <w:shd w:val="clear" w:color="auto" w:fill="FFFFFF"/>
          </w:tcPr>
          <w:p w:rsidR="00FF4CAB" w:rsidRPr="00A75DF9" w:rsidRDefault="00FF4CAB" w:rsidP="007C7A9E">
            <w:pPr>
              <w:rPr>
                <w:rFonts w:cs="Tahoma"/>
                <w:color w:val="000000"/>
                <w:szCs w:val="20"/>
              </w:rPr>
            </w:pPr>
            <w:r w:rsidRPr="00A75DF9">
              <w:rPr>
                <w:rFonts w:cs="Tahoma"/>
                <w:color w:val="000000"/>
                <w:szCs w:val="20"/>
              </w:rPr>
              <w:t>1 Licenza di Gestione Server (Server ML) per</w:t>
            </w:r>
            <w:r w:rsidR="007C7A9E">
              <w:rPr>
                <w:rFonts w:cs="Tahoma"/>
                <w:color w:val="000000"/>
                <w:szCs w:val="20"/>
              </w:rPr>
              <w:t> </w:t>
            </w:r>
            <w:r w:rsidRPr="00A75DF9">
              <w:rPr>
                <w:rFonts w:cs="Tahoma"/>
                <w:color w:val="000000"/>
                <w:szCs w:val="20"/>
              </w:rPr>
              <w:t>System Center 2012 Datacenter per ogni 2 licenze qualificanti per System Center Server Management Suite Datacenter</w:t>
            </w:r>
          </w:p>
        </w:tc>
      </w:tr>
      <w:tr w:rsidR="00FF4CAB" w:rsidRPr="00A75DF9" w:rsidTr="00CA14C9">
        <w:tc>
          <w:tcPr>
            <w:tcW w:w="3960" w:type="dxa"/>
            <w:shd w:val="clear" w:color="auto" w:fill="FFFFFF"/>
          </w:tcPr>
          <w:p w:rsidR="00FF4CAB" w:rsidRPr="00A75DF9" w:rsidRDefault="00FF4CAB" w:rsidP="00FF4CAB">
            <w:pPr>
              <w:rPr>
                <w:rFonts w:cs="Tahoma"/>
                <w:color w:val="000000"/>
                <w:szCs w:val="20"/>
              </w:rPr>
            </w:pPr>
            <w:r w:rsidRPr="00A75DF9">
              <w:rPr>
                <w:rFonts w:cs="Tahoma"/>
                <w:color w:val="000000"/>
                <w:szCs w:val="20"/>
              </w:rPr>
              <w:t>System Center Service Manager 2010</w:t>
            </w:r>
          </w:p>
        </w:tc>
        <w:tc>
          <w:tcPr>
            <w:tcW w:w="4050" w:type="dxa"/>
            <w:shd w:val="clear" w:color="auto" w:fill="FFFFFF"/>
          </w:tcPr>
          <w:p w:rsidR="00FF4CAB" w:rsidRPr="00A75DF9" w:rsidRDefault="00FF4CAB" w:rsidP="00FF4CAB">
            <w:pPr>
              <w:rPr>
                <w:rFonts w:cs="Tahoma"/>
                <w:color w:val="000000"/>
                <w:szCs w:val="20"/>
              </w:rPr>
            </w:pPr>
            <w:r w:rsidRPr="00A75DF9">
              <w:rPr>
                <w:rFonts w:cs="Tahoma"/>
                <w:color w:val="000000"/>
                <w:szCs w:val="20"/>
              </w:rPr>
              <w:t>1 Licenza di Gestione Server (Server ML) per System Center 2012 Standard</w:t>
            </w:r>
          </w:p>
        </w:tc>
      </w:tr>
      <w:tr w:rsidR="00FF4CAB" w:rsidRPr="00A75DF9" w:rsidTr="00CA14C9">
        <w:tc>
          <w:tcPr>
            <w:tcW w:w="3960" w:type="dxa"/>
            <w:shd w:val="clear" w:color="auto" w:fill="FFFFFF"/>
          </w:tcPr>
          <w:p w:rsidR="00FF4CAB" w:rsidRPr="00A75DF9" w:rsidRDefault="00FF4CAB" w:rsidP="00FF4CAB">
            <w:pPr>
              <w:rPr>
                <w:rFonts w:cs="Tahoma"/>
                <w:color w:val="000000"/>
                <w:szCs w:val="20"/>
              </w:rPr>
            </w:pPr>
            <w:r w:rsidRPr="00A75DF9">
              <w:rPr>
                <w:rFonts w:cs="Tahoma"/>
                <w:color w:val="000000"/>
                <w:szCs w:val="20"/>
              </w:rPr>
              <w:t>System Center Service Manager 2010 con Tecnologia SQL Server 2008</w:t>
            </w:r>
          </w:p>
        </w:tc>
        <w:tc>
          <w:tcPr>
            <w:tcW w:w="4050" w:type="dxa"/>
            <w:shd w:val="clear" w:color="auto" w:fill="FFFFFF"/>
          </w:tcPr>
          <w:p w:rsidR="00FF4CAB" w:rsidRPr="00A75DF9" w:rsidRDefault="00FF4CAB" w:rsidP="007C7A9E">
            <w:pPr>
              <w:rPr>
                <w:rFonts w:cs="Tahoma"/>
                <w:color w:val="000000"/>
                <w:szCs w:val="20"/>
              </w:rPr>
            </w:pPr>
            <w:r w:rsidRPr="00A75DF9">
              <w:rPr>
                <w:rFonts w:cs="Tahoma"/>
                <w:color w:val="000000"/>
                <w:szCs w:val="20"/>
              </w:rPr>
              <w:t>1 Licenza di Gestione Server (Server ML) per</w:t>
            </w:r>
            <w:r w:rsidR="007C7A9E">
              <w:rPr>
                <w:rFonts w:cs="Tahoma"/>
                <w:color w:val="000000"/>
                <w:szCs w:val="20"/>
              </w:rPr>
              <w:t> </w:t>
            </w:r>
            <w:r w:rsidRPr="00A75DF9">
              <w:rPr>
                <w:rFonts w:cs="Tahoma"/>
                <w:color w:val="000000"/>
                <w:szCs w:val="20"/>
              </w:rPr>
              <w:t>System Center 2012 Standard</w:t>
            </w:r>
          </w:p>
        </w:tc>
      </w:tr>
      <w:tr w:rsidR="00FF4CAB" w:rsidRPr="00A75DF9" w:rsidTr="00CA14C9">
        <w:tc>
          <w:tcPr>
            <w:tcW w:w="3960" w:type="dxa"/>
            <w:shd w:val="clear" w:color="auto" w:fill="FFFFFF"/>
          </w:tcPr>
          <w:p w:rsidR="00FF4CAB" w:rsidRPr="00A75DF9" w:rsidRDefault="00FF4CAB" w:rsidP="00FF4CAB">
            <w:pPr>
              <w:rPr>
                <w:rFonts w:cs="Tahoma"/>
                <w:color w:val="000000"/>
                <w:szCs w:val="20"/>
              </w:rPr>
            </w:pPr>
            <w:r w:rsidRPr="00A75DF9">
              <w:rPr>
                <w:rFonts w:cs="Tahoma"/>
                <w:color w:val="000000"/>
                <w:szCs w:val="20"/>
              </w:rPr>
              <w:t>Licenza di Gestione Client (Client ML) per OSE per System Center Service Manager 2010</w:t>
            </w:r>
          </w:p>
        </w:tc>
        <w:tc>
          <w:tcPr>
            <w:tcW w:w="4050" w:type="dxa"/>
            <w:shd w:val="clear" w:color="auto" w:fill="FFFFFF"/>
          </w:tcPr>
          <w:p w:rsidR="00FF4CAB" w:rsidRPr="00A75DF9" w:rsidRDefault="00FF4CAB" w:rsidP="00FF4CAB">
            <w:pPr>
              <w:rPr>
                <w:rFonts w:cs="Tahoma"/>
                <w:color w:val="000000"/>
                <w:szCs w:val="20"/>
              </w:rPr>
            </w:pPr>
            <w:r w:rsidRPr="00A75DF9">
              <w:rPr>
                <w:rFonts w:cs="Tahoma"/>
                <w:color w:val="000000"/>
                <w:szCs w:val="20"/>
              </w:rPr>
              <w:t>1 System Center 2012 Client Management Suite (Client ML) per OSE</w:t>
            </w:r>
          </w:p>
        </w:tc>
      </w:tr>
      <w:tr w:rsidR="00FF4CAB" w:rsidRPr="00A75DF9" w:rsidTr="00CA14C9">
        <w:tc>
          <w:tcPr>
            <w:tcW w:w="3960" w:type="dxa"/>
            <w:shd w:val="clear" w:color="auto" w:fill="FFFFFF"/>
          </w:tcPr>
          <w:p w:rsidR="00FF4CAB" w:rsidRPr="00A75DF9" w:rsidRDefault="00FF4CAB" w:rsidP="00FF4CAB">
            <w:pPr>
              <w:rPr>
                <w:rFonts w:cs="Tahoma"/>
                <w:color w:val="000000"/>
                <w:szCs w:val="20"/>
              </w:rPr>
            </w:pPr>
            <w:r w:rsidRPr="00A75DF9">
              <w:rPr>
                <w:rFonts w:cs="Tahoma"/>
                <w:color w:val="000000"/>
                <w:szCs w:val="20"/>
              </w:rPr>
              <w:t>Licenza di Gestione Client (Client ML) per Utente per System Center Service Manager 2010</w:t>
            </w:r>
          </w:p>
        </w:tc>
        <w:tc>
          <w:tcPr>
            <w:tcW w:w="4050" w:type="dxa"/>
            <w:shd w:val="clear" w:color="auto" w:fill="FFFFFF"/>
          </w:tcPr>
          <w:p w:rsidR="00FF4CAB" w:rsidRPr="00A75DF9" w:rsidRDefault="00FF4CAB" w:rsidP="00FF4CAB">
            <w:pPr>
              <w:rPr>
                <w:rFonts w:cs="Tahoma"/>
                <w:color w:val="000000"/>
                <w:szCs w:val="20"/>
              </w:rPr>
            </w:pPr>
            <w:r w:rsidRPr="00A75DF9">
              <w:rPr>
                <w:rFonts w:cs="Tahoma"/>
                <w:color w:val="000000"/>
                <w:szCs w:val="20"/>
              </w:rPr>
              <w:t>1 System Center 2012 Client Management Suite (Client ML) per Utente</w:t>
            </w:r>
          </w:p>
        </w:tc>
      </w:tr>
      <w:tr w:rsidR="00FF4CAB" w:rsidRPr="00A75DF9" w:rsidTr="00CA14C9">
        <w:tc>
          <w:tcPr>
            <w:tcW w:w="3960" w:type="dxa"/>
            <w:shd w:val="clear" w:color="auto" w:fill="FFFFFF"/>
          </w:tcPr>
          <w:p w:rsidR="00FF4CAB" w:rsidRPr="00A75DF9" w:rsidRDefault="00FF4CAB" w:rsidP="00FF4CAB">
            <w:pPr>
              <w:rPr>
                <w:rFonts w:cs="Tahoma"/>
                <w:color w:val="000000"/>
                <w:szCs w:val="20"/>
              </w:rPr>
            </w:pPr>
            <w:r w:rsidRPr="00A75DF9">
              <w:rPr>
                <w:rFonts w:cs="Tahoma"/>
                <w:color w:val="000000"/>
                <w:szCs w:val="20"/>
              </w:rPr>
              <w:t xml:space="preserve">Licenza di Gestione Server (Server ML) per System Center Service Manager 2010 </w:t>
            </w:r>
          </w:p>
        </w:tc>
        <w:tc>
          <w:tcPr>
            <w:tcW w:w="4050" w:type="dxa"/>
            <w:shd w:val="clear" w:color="auto" w:fill="FFFFFF"/>
          </w:tcPr>
          <w:p w:rsidR="00FF4CAB" w:rsidRPr="00A75DF9" w:rsidRDefault="00FF4CAB" w:rsidP="007C7A9E">
            <w:pPr>
              <w:rPr>
                <w:rFonts w:cs="Tahoma"/>
                <w:color w:val="000000"/>
                <w:szCs w:val="20"/>
              </w:rPr>
            </w:pPr>
            <w:r w:rsidRPr="00A75DF9">
              <w:rPr>
                <w:rFonts w:cs="Tahoma"/>
                <w:color w:val="000000"/>
                <w:szCs w:val="20"/>
              </w:rPr>
              <w:t>1 Licenza di Gestione Server (Server ML) per</w:t>
            </w:r>
            <w:r w:rsidR="007C7A9E">
              <w:rPr>
                <w:rFonts w:cs="Tahoma"/>
                <w:color w:val="000000"/>
                <w:szCs w:val="20"/>
              </w:rPr>
              <w:t> </w:t>
            </w:r>
            <w:r w:rsidRPr="00A75DF9">
              <w:rPr>
                <w:rFonts w:cs="Tahoma"/>
                <w:color w:val="000000"/>
                <w:szCs w:val="20"/>
              </w:rPr>
              <w:t>System Center 2012 Standard</w:t>
            </w:r>
          </w:p>
        </w:tc>
      </w:tr>
      <w:tr w:rsidR="00FF4CAB" w:rsidRPr="00A75DF9" w:rsidTr="00CA14C9">
        <w:tc>
          <w:tcPr>
            <w:tcW w:w="3960" w:type="dxa"/>
            <w:shd w:val="clear" w:color="auto" w:fill="FFFFFF"/>
          </w:tcPr>
          <w:p w:rsidR="00FF4CAB" w:rsidRPr="00A75DF9" w:rsidRDefault="00FF4CAB" w:rsidP="00FF4CAB">
            <w:pPr>
              <w:rPr>
                <w:rFonts w:cs="Tahoma"/>
                <w:color w:val="000000"/>
                <w:szCs w:val="20"/>
              </w:rPr>
            </w:pPr>
            <w:r w:rsidRPr="00A75DF9">
              <w:rPr>
                <w:rFonts w:cs="Tahoma"/>
                <w:color w:val="000000"/>
                <w:szCs w:val="20"/>
              </w:rPr>
              <w:t>Licenza di Gestione Client per OSE per System Center Virtual Machine Manager 2008 R2</w:t>
            </w:r>
          </w:p>
        </w:tc>
        <w:tc>
          <w:tcPr>
            <w:tcW w:w="4050" w:type="dxa"/>
            <w:shd w:val="clear" w:color="auto" w:fill="FFFFFF"/>
          </w:tcPr>
          <w:p w:rsidR="00FF4CAB" w:rsidRPr="00A75DF9" w:rsidRDefault="00FF4CAB" w:rsidP="00FF4CAB">
            <w:pPr>
              <w:rPr>
                <w:rFonts w:cs="Tahoma"/>
                <w:color w:val="000000"/>
                <w:szCs w:val="20"/>
              </w:rPr>
            </w:pPr>
            <w:r w:rsidRPr="00A75DF9">
              <w:rPr>
                <w:rFonts w:cs="Tahoma"/>
                <w:color w:val="000000"/>
                <w:szCs w:val="20"/>
              </w:rPr>
              <w:t>1 Licenza di Gestione Client (Client ML) per OSE per System Center Configuration Manager</w:t>
            </w:r>
          </w:p>
        </w:tc>
      </w:tr>
      <w:tr w:rsidR="00FF4CAB" w:rsidRPr="00A75DF9" w:rsidTr="00CA14C9">
        <w:tc>
          <w:tcPr>
            <w:tcW w:w="3960" w:type="dxa"/>
            <w:shd w:val="clear" w:color="auto" w:fill="FFFFFF"/>
          </w:tcPr>
          <w:p w:rsidR="00FF4CAB" w:rsidRPr="00A75DF9" w:rsidRDefault="00FF4CAB" w:rsidP="00FF4CAB">
            <w:pPr>
              <w:rPr>
                <w:rFonts w:cs="Tahoma"/>
                <w:color w:val="000000"/>
                <w:szCs w:val="20"/>
              </w:rPr>
            </w:pPr>
            <w:r w:rsidRPr="00A75DF9">
              <w:rPr>
                <w:rFonts w:cs="Tahoma"/>
                <w:color w:val="000000"/>
                <w:szCs w:val="20"/>
              </w:rPr>
              <w:t>Licenza di Gestione Client per Utente per System Center Virtual Machine Manager 2008 R2</w:t>
            </w:r>
          </w:p>
        </w:tc>
        <w:tc>
          <w:tcPr>
            <w:tcW w:w="4050" w:type="dxa"/>
            <w:shd w:val="clear" w:color="auto" w:fill="FFFFFF"/>
          </w:tcPr>
          <w:p w:rsidR="00FF4CAB" w:rsidRPr="00A75DF9" w:rsidRDefault="00FF4CAB" w:rsidP="007C7A9E">
            <w:pPr>
              <w:rPr>
                <w:rFonts w:cs="Tahoma"/>
                <w:color w:val="000000"/>
                <w:szCs w:val="20"/>
              </w:rPr>
            </w:pPr>
            <w:r w:rsidRPr="00A75DF9">
              <w:rPr>
                <w:rFonts w:cs="Tahoma"/>
                <w:color w:val="000000"/>
                <w:szCs w:val="20"/>
              </w:rPr>
              <w:t>1 Licenza di Gestione Client (Client ML) per</w:t>
            </w:r>
            <w:r w:rsidR="007C7A9E">
              <w:rPr>
                <w:rFonts w:cs="Tahoma"/>
                <w:color w:val="000000"/>
                <w:szCs w:val="20"/>
              </w:rPr>
              <w:t> </w:t>
            </w:r>
            <w:r w:rsidRPr="00A75DF9">
              <w:rPr>
                <w:rFonts w:cs="Tahoma"/>
                <w:color w:val="000000"/>
                <w:szCs w:val="20"/>
              </w:rPr>
              <w:t>Utente per System Center Configuration Manager</w:t>
            </w:r>
          </w:p>
        </w:tc>
      </w:tr>
      <w:tr w:rsidR="00FF4CAB" w:rsidRPr="00A75DF9" w:rsidTr="00CA14C9">
        <w:tc>
          <w:tcPr>
            <w:tcW w:w="3960" w:type="dxa"/>
            <w:shd w:val="clear" w:color="auto" w:fill="FFFFFF"/>
          </w:tcPr>
          <w:p w:rsidR="00FF4CAB" w:rsidRPr="00A75DF9" w:rsidRDefault="00FF4CAB" w:rsidP="00FF4CAB">
            <w:pPr>
              <w:rPr>
                <w:rFonts w:cs="Tahoma"/>
                <w:color w:val="000000"/>
                <w:szCs w:val="20"/>
              </w:rPr>
            </w:pPr>
            <w:r w:rsidRPr="00A75DF9">
              <w:rPr>
                <w:rFonts w:cs="Tahoma"/>
                <w:color w:val="000000"/>
                <w:szCs w:val="20"/>
              </w:rPr>
              <w:t>Licenza di Gestione Server per System Center Virtual Machine Manager 2008 R2 Enterprise</w:t>
            </w:r>
          </w:p>
        </w:tc>
        <w:tc>
          <w:tcPr>
            <w:tcW w:w="4050" w:type="dxa"/>
            <w:shd w:val="clear" w:color="auto" w:fill="FFFFFF"/>
          </w:tcPr>
          <w:p w:rsidR="00FF4CAB" w:rsidRPr="00A75DF9" w:rsidRDefault="00FF4CAB" w:rsidP="007C7A9E">
            <w:pPr>
              <w:rPr>
                <w:rFonts w:cs="Tahoma"/>
                <w:color w:val="000000"/>
                <w:szCs w:val="20"/>
              </w:rPr>
            </w:pPr>
            <w:r w:rsidRPr="00A75DF9">
              <w:rPr>
                <w:rFonts w:cs="Tahoma"/>
                <w:color w:val="000000"/>
                <w:szCs w:val="20"/>
              </w:rPr>
              <w:t>1 Licenza di Gestione Server (Server ML) per</w:t>
            </w:r>
            <w:r w:rsidR="007C7A9E">
              <w:rPr>
                <w:rFonts w:cs="Tahoma"/>
                <w:color w:val="000000"/>
                <w:szCs w:val="20"/>
              </w:rPr>
              <w:t> </w:t>
            </w:r>
            <w:r w:rsidRPr="00A75DF9">
              <w:rPr>
                <w:rFonts w:cs="Tahoma"/>
                <w:color w:val="000000"/>
                <w:szCs w:val="20"/>
              </w:rPr>
              <w:t>System Center 2012 Datacenter</w:t>
            </w:r>
          </w:p>
        </w:tc>
      </w:tr>
    </w:tbl>
    <w:p w:rsidR="00FF4CAB" w:rsidRPr="00A75DF9" w:rsidRDefault="00FF4CAB" w:rsidP="00376D4B">
      <w:pPr>
        <w:ind w:left="720"/>
        <w:rPr>
          <w:rFonts w:cs="Tahoma"/>
        </w:rPr>
      </w:pPr>
      <w:r w:rsidRPr="00A75DF9">
        <w:rPr>
          <w:rFonts w:cs="Tahoma"/>
          <w:i/>
          <w:color w:val="000000"/>
          <w:sz w:val="16"/>
          <w:szCs w:val="24"/>
          <w:vertAlign w:val="superscript"/>
        </w:rPr>
        <w:t>*</w:t>
      </w:r>
      <w:r w:rsidRPr="00A75DF9">
        <w:rPr>
          <w:rFonts w:cs="Tahoma"/>
          <w:i/>
          <w:szCs w:val="20"/>
        </w:rPr>
        <w:t xml:space="preserve"> </w:t>
      </w:r>
      <w:r w:rsidRPr="00A75DF9">
        <w:rPr>
          <w:rFonts w:cs="Tahoma"/>
          <w:i/>
          <w:color w:val="000000"/>
          <w:sz w:val="16"/>
          <w:szCs w:val="24"/>
        </w:rPr>
        <w:t>Le Client ML Solo per Studenti sono disponibili per i PC di proprietà dello studente titolare della licenza o per i PC di proprietà dell</w:t>
      </w:r>
      <w:r w:rsidR="00F2643E">
        <w:rPr>
          <w:rFonts w:cs="Tahoma"/>
          <w:i/>
          <w:color w:val="000000"/>
          <w:sz w:val="16"/>
          <w:szCs w:val="24"/>
        </w:rPr>
        <w:t>’</w:t>
      </w:r>
      <w:r w:rsidRPr="00A75DF9">
        <w:rPr>
          <w:rFonts w:cs="Tahoma"/>
          <w:i/>
          <w:color w:val="000000"/>
          <w:sz w:val="16"/>
          <w:szCs w:val="24"/>
        </w:rPr>
        <w:t>istituto che siano assegnati solo a un singolo studente e non siano utilizzati nei laboratori o in classe</w:t>
      </w:r>
    </w:p>
    <w:p w:rsidR="00FF4CAB" w:rsidRPr="00A75DF9" w:rsidRDefault="00FF4CAB" w:rsidP="00376D4B">
      <w:pPr>
        <w:ind w:left="720"/>
        <w:rPr>
          <w:rFonts w:cs="Tahoma"/>
        </w:rPr>
      </w:pPr>
    </w:p>
    <w:p w:rsidR="00FF4CAB" w:rsidRPr="00A75DF9" w:rsidRDefault="00FF4CAB" w:rsidP="007C7A9E">
      <w:pPr>
        <w:ind w:left="720"/>
        <w:rPr>
          <w:rFonts w:cs="Tahoma"/>
        </w:rPr>
      </w:pPr>
      <w:r w:rsidRPr="00A75DF9">
        <w:rPr>
          <w:rFonts w:cs="Tahoma"/>
          <w:color w:val="000000"/>
          <w:szCs w:val="24"/>
        </w:rPr>
        <w:t>Tutte le licenze concesse ai sensi della presente offerta includeranno la copertura Software Assurance. Tale</w:t>
      </w:r>
      <w:r w:rsidR="007C7A9E">
        <w:rPr>
          <w:rFonts w:cs="Tahoma"/>
          <w:color w:val="000000"/>
          <w:szCs w:val="24"/>
        </w:rPr>
        <w:t> </w:t>
      </w:r>
      <w:r w:rsidRPr="00A75DF9">
        <w:rPr>
          <w:rFonts w:cs="Tahoma"/>
          <w:color w:val="000000"/>
          <w:szCs w:val="24"/>
        </w:rPr>
        <w:t>copertura cesserà alla scadenza della copertura Software Assurance qualificante corrispondente. Alla</w:t>
      </w:r>
      <w:r w:rsidR="007C7A9E">
        <w:rPr>
          <w:rFonts w:cs="Tahoma"/>
          <w:color w:val="000000"/>
          <w:szCs w:val="24"/>
        </w:rPr>
        <w:t> </w:t>
      </w:r>
      <w:r w:rsidRPr="00A75DF9">
        <w:rPr>
          <w:rFonts w:cs="Tahoma"/>
          <w:color w:val="000000"/>
          <w:szCs w:val="24"/>
        </w:rPr>
        <w:t xml:space="preserve">scadenza della copertura, le società potranno rinnovare Software Assurance sulle licenze concesse. </w:t>
      </w:r>
    </w:p>
    <w:p w:rsidR="00FF4CAB" w:rsidRDefault="00FF4CAB" w:rsidP="00376D4B">
      <w:pPr>
        <w:ind w:left="720"/>
        <w:rPr>
          <w:rFonts w:cs="Tahoma"/>
        </w:rPr>
      </w:pPr>
    </w:p>
    <w:p w:rsidR="007C7A9E" w:rsidRDefault="007C7A9E" w:rsidP="00376D4B">
      <w:pPr>
        <w:ind w:left="720"/>
        <w:rPr>
          <w:rFonts w:cs="Tahoma"/>
        </w:rPr>
      </w:pPr>
    </w:p>
    <w:p w:rsidR="007C7A9E" w:rsidRDefault="007C7A9E" w:rsidP="00376D4B">
      <w:pPr>
        <w:ind w:left="720"/>
        <w:rPr>
          <w:rFonts w:cs="Tahoma"/>
        </w:rPr>
      </w:pPr>
    </w:p>
    <w:p w:rsidR="007C7A9E" w:rsidRPr="00A75DF9" w:rsidRDefault="007C7A9E" w:rsidP="00376D4B">
      <w:pPr>
        <w:ind w:left="720"/>
        <w:rPr>
          <w:rFonts w:cs="Tahoma"/>
        </w:rPr>
      </w:pPr>
    </w:p>
    <w:p w:rsidR="00FF4CAB" w:rsidRPr="00A75DF9" w:rsidRDefault="00FF4CAB" w:rsidP="007C7A9E">
      <w:pPr>
        <w:ind w:left="720"/>
        <w:rPr>
          <w:rFonts w:cs="Tahoma"/>
        </w:rPr>
      </w:pPr>
      <w:r w:rsidRPr="00A75DF9">
        <w:rPr>
          <w:rFonts w:cs="Tahoma"/>
          <w:color w:val="000000"/>
          <w:szCs w:val="24"/>
        </w:rPr>
        <w:lastRenderedPageBreak/>
        <w:t>L</w:t>
      </w:r>
      <w:r w:rsidR="00F2643E">
        <w:rPr>
          <w:rFonts w:cs="Tahoma"/>
          <w:color w:val="000000"/>
          <w:szCs w:val="24"/>
        </w:rPr>
        <w:t>’</w:t>
      </w:r>
      <w:r w:rsidRPr="00A75DF9">
        <w:rPr>
          <w:rFonts w:cs="Tahoma"/>
          <w:color w:val="000000"/>
          <w:szCs w:val="24"/>
        </w:rPr>
        <w:t>utilizzo del software da parte della società ai sensi della presente offerta sarà soggetto alle condizioni del</w:t>
      </w:r>
      <w:r w:rsidR="007C7A9E">
        <w:rPr>
          <w:rFonts w:cs="Tahoma"/>
          <w:color w:val="000000"/>
          <w:szCs w:val="24"/>
        </w:rPr>
        <w:t> </w:t>
      </w:r>
      <w:r w:rsidRPr="00A75DF9">
        <w:rPr>
          <w:rFonts w:cs="Tahoma"/>
          <w:color w:val="000000"/>
          <w:szCs w:val="24"/>
        </w:rPr>
        <w:t>relativo contratto di licenza e ai diritti di utilizzo del prodotto relativi al software. Il diritto di utilizzo del software cesserà alla scadenza del diritto di utilizzo del software ai sensi delle licenze qualificanti. Questa Nota relativa al Prodotto insieme alla prova delle licenze qualificanti attesteranno il diritto della società di utilizzare System Center 2012 ai sensi delle condizioni della presente offerta. La società non avrà più il diritto</w:t>
      </w:r>
      <w:r w:rsidR="007C7A9E">
        <w:rPr>
          <w:rFonts w:cs="Tahoma"/>
          <w:color w:val="000000"/>
          <w:szCs w:val="24"/>
        </w:rPr>
        <w:t> </w:t>
      </w:r>
      <w:r w:rsidRPr="00A75DF9">
        <w:rPr>
          <w:rFonts w:cs="Tahoma"/>
          <w:color w:val="000000"/>
          <w:szCs w:val="24"/>
        </w:rPr>
        <w:t>di utilizzo del software ai sensi di licenze qualificanti cedute al server al momento dell</w:t>
      </w:r>
      <w:r w:rsidR="00F2643E">
        <w:rPr>
          <w:rFonts w:cs="Tahoma"/>
          <w:color w:val="000000"/>
          <w:szCs w:val="24"/>
        </w:rPr>
        <w:t>’</w:t>
      </w:r>
      <w:r w:rsidRPr="00A75DF9">
        <w:rPr>
          <w:rFonts w:cs="Tahoma"/>
          <w:color w:val="000000"/>
          <w:szCs w:val="24"/>
        </w:rPr>
        <w:t>aggiornamento a</w:t>
      </w:r>
      <w:r w:rsidR="007C7A9E">
        <w:rPr>
          <w:rFonts w:cs="Tahoma"/>
          <w:color w:val="000000"/>
          <w:szCs w:val="24"/>
        </w:rPr>
        <w:t> </w:t>
      </w:r>
      <w:r w:rsidRPr="00A75DF9">
        <w:rPr>
          <w:rFonts w:cs="Tahoma"/>
          <w:color w:val="000000"/>
          <w:szCs w:val="24"/>
        </w:rPr>
        <w:t>System Center 2012. Le società non potranno trasferire le licenze ottenute in base alla presente offerta separatamente dalle licenze qualificanti corrispondenti.</w:t>
      </w:r>
    </w:p>
    <w:p w:rsidR="00FF4CAB" w:rsidRPr="00A75DF9" w:rsidRDefault="00FF4CAB" w:rsidP="00376D4B">
      <w:pPr>
        <w:ind w:left="720"/>
        <w:rPr>
          <w:rFonts w:cs="Tahoma"/>
        </w:rPr>
      </w:pPr>
    </w:p>
    <w:p w:rsidR="00924690" w:rsidRPr="00A75DF9" w:rsidRDefault="00924690" w:rsidP="00924690">
      <w:pPr>
        <w:spacing w:after="60"/>
        <w:ind w:left="720"/>
        <w:rPr>
          <w:rFonts w:cs="Tahoma"/>
        </w:rPr>
      </w:pPr>
      <w:r w:rsidRPr="00A75DF9">
        <w:rPr>
          <w:rFonts w:eastAsia="Calibri" w:cs="Tahoma"/>
          <w:b/>
          <w:color w:val="000000"/>
          <w:szCs w:val="18"/>
        </w:rPr>
        <w:t>Per le Società con Contratti Enterprise</w:t>
      </w:r>
    </w:p>
    <w:p w:rsidR="00A3706D" w:rsidRPr="00A75DF9" w:rsidRDefault="00A3706D" w:rsidP="007C7A9E">
      <w:pPr>
        <w:ind w:left="720"/>
        <w:rPr>
          <w:rFonts w:cs="Tahoma"/>
        </w:rPr>
      </w:pPr>
      <w:r w:rsidRPr="00A75DF9">
        <w:rPr>
          <w:rFonts w:eastAsia="Calibri" w:cs="Tahoma"/>
          <w:color w:val="000000"/>
          <w:szCs w:val="18"/>
        </w:rPr>
        <w:t>Le licenze</w:t>
      </w:r>
      <w:r w:rsidRPr="00A75DF9">
        <w:rPr>
          <w:rFonts w:eastAsia="Calibri" w:cs="Tahoma"/>
          <w:b/>
          <w:bCs/>
          <w:color w:val="000000"/>
          <w:szCs w:val="18"/>
          <w:vertAlign w:val="superscript"/>
        </w:rPr>
        <w:t xml:space="preserve">* </w:t>
      </w:r>
      <w:r w:rsidRPr="00A75DF9">
        <w:rPr>
          <w:rFonts w:eastAsia="Calibri" w:cs="Tahoma"/>
          <w:color w:val="000000"/>
          <w:szCs w:val="18"/>
        </w:rPr>
        <w:t>acquistate il giorno stesso o in un giorno precedente la prima ricorrenza della data di entrata in vigore dell</w:t>
      </w:r>
      <w:r w:rsidR="00F2643E">
        <w:rPr>
          <w:rFonts w:eastAsia="Calibri" w:cs="Tahoma"/>
          <w:color w:val="000000"/>
          <w:szCs w:val="18"/>
        </w:rPr>
        <w:t>’</w:t>
      </w:r>
      <w:r w:rsidRPr="00A75DF9">
        <w:rPr>
          <w:rFonts w:eastAsia="Calibri" w:cs="Tahoma"/>
          <w:color w:val="000000"/>
          <w:szCs w:val="18"/>
        </w:rPr>
        <w:t>iscrizione di una società dopo il 17 gennaio 2012 nell</w:t>
      </w:r>
      <w:r w:rsidR="00F2643E">
        <w:rPr>
          <w:rFonts w:eastAsia="Calibri" w:cs="Tahoma"/>
          <w:color w:val="000000"/>
          <w:szCs w:val="18"/>
        </w:rPr>
        <w:t>’</w:t>
      </w:r>
      <w:r w:rsidRPr="00A75DF9">
        <w:rPr>
          <w:rFonts w:eastAsia="Calibri" w:cs="Tahoma"/>
          <w:color w:val="000000"/>
          <w:szCs w:val="18"/>
        </w:rPr>
        <w:t>ambito della procedura annuale di true-up di</w:t>
      </w:r>
      <w:r w:rsidR="007C7A9E">
        <w:rPr>
          <w:rFonts w:eastAsia="Calibri" w:cs="Tahoma"/>
          <w:color w:val="000000"/>
          <w:szCs w:val="18"/>
        </w:rPr>
        <w:t> </w:t>
      </w:r>
      <w:r w:rsidRPr="00A75DF9">
        <w:rPr>
          <w:rFonts w:eastAsia="Calibri" w:cs="Tahoma"/>
          <w:color w:val="000000"/>
          <w:szCs w:val="18"/>
        </w:rPr>
        <w:t>una società si qualificano per la concessione di licenze descritta sopra. Le licenze acquistate dopo tale data non si qualificheranno per alcuna concessione di licenze per System Center 2012 a</w:t>
      </w:r>
      <w:r w:rsidR="007C7A9E">
        <w:rPr>
          <w:rFonts w:eastAsia="Calibri" w:cs="Tahoma"/>
          <w:color w:val="000000"/>
          <w:szCs w:val="18"/>
        </w:rPr>
        <w:t>i sensi della presente offerta.</w:t>
      </w:r>
    </w:p>
    <w:p w:rsidR="00924690" w:rsidRPr="00A75DF9" w:rsidRDefault="00924690" w:rsidP="00376D4B">
      <w:pPr>
        <w:ind w:left="720"/>
        <w:rPr>
          <w:rFonts w:cs="Tahoma"/>
        </w:rPr>
      </w:pPr>
    </w:p>
    <w:p w:rsidR="00A3706D" w:rsidRPr="00A75DF9" w:rsidRDefault="00A3706D" w:rsidP="00376D4B">
      <w:pPr>
        <w:ind w:left="720"/>
        <w:rPr>
          <w:rFonts w:cs="Tahoma"/>
        </w:rPr>
      </w:pPr>
      <w:r w:rsidRPr="00A75DF9">
        <w:rPr>
          <w:rFonts w:eastAsia="Calibri" w:cs="Tahoma"/>
          <w:b/>
          <w:bCs/>
          <w:color w:val="000000"/>
          <w:szCs w:val="18"/>
          <w:vertAlign w:val="superscript"/>
        </w:rPr>
        <w:t>*</w:t>
      </w:r>
      <w:r w:rsidRPr="00A75DF9">
        <w:rPr>
          <w:rFonts w:eastAsia="Calibri" w:cs="Tahoma"/>
          <w:color w:val="000000"/>
          <w:szCs w:val="18"/>
        </w:rPr>
        <w:t>Per quanto riguarda System Center Server Management Suite Enterprise, System Center Server Management Suite Datacenter, System Center Client Management Suite e System Center Configuration Manager Client Management License, tutte le licenze acquistate fino alla scadenza del contratto si qualificano per la concessione.</w:t>
      </w:r>
    </w:p>
    <w:p w:rsidR="00FF4CAB" w:rsidRPr="00A75DF9" w:rsidRDefault="00FF4CAB" w:rsidP="00376D4B">
      <w:pPr>
        <w:ind w:left="720"/>
        <w:rPr>
          <w:rFonts w:cs="Tahoma"/>
        </w:rPr>
      </w:pPr>
    </w:p>
    <w:p w:rsidR="00924690" w:rsidRPr="00A75DF9" w:rsidRDefault="00FF4CAB" w:rsidP="007C7A9E">
      <w:pPr>
        <w:spacing w:after="60"/>
        <w:ind w:left="720"/>
        <w:rPr>
          <w:rFonts w:cs="Tahoma"/>
        </w:rPr>
      </w:pPr>
      <w:r w:rsidRPr="00A75DF9">
        <w:rPr>
          <w:rFonts w:eastAsia="Calibri" w:cs="Tahoma"/>
          <w:b/>
          <w:color w:val="000000"/>
          <w:szCs w:val="18"/>
        </w:rPr>
        <w:t>Per le Società con Contratti Enterprise Subscription, Campus e School (tra cui Enrollment for</w:t>
      </w:r>
      <w:r w:rsidR="007C7A9E">
        <w:rPr>
          <w:rFonts w:eastAsia="Calibri" w:cs="Tahoma"/>
          <w:b/>
          <w:color w:val="000000"/>
          <w:szCs w:val="18"/>
        </w:rPr>
        <w:t> </w:t>
      </w:r>
      <w:r w:rsidRPr="00A75DF9">
        <w:rPr>
          <w:rFonts w:eastAsia="Calibri" w:cs="Tahoma"/>
          <w:b/>
          <w:color w:val="000000"/>
          <w:szCs w:val="18"/>
        </w:rPr>
        <w:t>Education Solutions) e Open Value Subscription</w:t>
      </w:r>
    </w:p>
    <w:p w:rsidR="00FF4CAB" w:rsidRPr="00A75DF9" w:rsidRDefault="00FF4CAB" w:rsidP="007C7A9E">
      <w:pPr>
        <w:ind w:left="720"/>
        <w:rPr>
          <w:rFonts w:cs="Tahoma"/>
        </w:rPr>
      </w:pPr>
      <w:r w:rsidRPr="00A75DF9">
        <w:rPr>
          <w:rFonts w:cs="Tahoma"/>
          <w:bCs/>
          <w:color w:val="000000"/>
          <w:szCs w:val="18"/>
        </w:rPr>
        <w:t>Le licenze sono concesse ai sensi delle medesime condizioni, ma temporaneamente, fino al termine del</w:t>
      </w:r>
      <w:r w:rsidR="007C7A9E">
        <w:rPr>
          <w:rFonts w:cs="Tahoma"/>
          <w:bCs/>
          <w:color w:val="000000"/>
          <w:szCs w:val="18"/>
        </w:rPr>
        <w:t> </w:t>
      </w:r>
      <w:r w:rsidRPr="00A75DF9">
        <w:rPr>
          <w:rFonts w:cs="Tahoma"/>
          <w:bCs/>
          <w:color w:val="000000"/>
          <w:szCs w:val="18"/>
        </w:rPr>
        <w:t>periodo di validità dell</w:t>
      </w:r>
      <w:r w:rsidR="00F2643E">
        <w:rPr>
          <w:rFonts w:cs="Tahoma"/>
          <w:bCs/>
          <w:color w:val="000000"/>
          <w:szCs w:val="18"/>
        </w:rPr>
        <w:t>’</w:t>
      </w:r>
      <w:r w:rsidRPr="00A75DF9">
        <w:rPr>
          <w:rFonts w:cs="Tahoma"/>
          <w:bCs/>
          <w:color w:val="000000"/>
          <w:szCs w:val="18"/>
        </w:rPr>
        <w:t>iscrizione Enterprise Subscription, del contratto Campus, School o Open Value Subscription oppure di Enrollment for Education Solutions, a condizione che la società mantenga la copertura della sottoscrizione in via continuativa.</w:t>
      </w:r>
      <w:r w:rsidR="009D3B41" w:rsidRPr="00A75DF9">
        <w:rPr>
          <w:rFonts w:cs="Tahoma"/>
          <w:bCs/>
          <w:color w:val="000000"/>
          <w:szCs w:val="18"/>
        </w:rPr>
        <w:t xml:space="preserve"> </w:t>
      </w:r>
      <w:r w:rsidRPr="00A75DF9">
        <w:rPr>
          <w:rFonts w:cs="Tahoma"/>
          <w:bCs/>
          <w:color w:val="000000"/>
          <w:szCs w:val="18"/>
        </w:rPr>
        <w:t>Le società che scelgono di eseguire il buy-out delle licenze hanno due opzioni.</w:t>
      </w:r>
      <w:r w:rsidR="009D3B41" w:rsidRPr="00A75DF9">
        <w:rPr>
          <w:rFonts w:cs="Tahoma"/>
          <w:bCs/>
          <w:color w:val="000000"/>
          <w:szCs w:val="18"/>
        </w:rPr>
        <w:t xml:space="preserve"> </w:t>
      </w:r>
    </w:p>
    <w:p w:rsidR="00FF4CAB" w:rsidRPr="00A75DF9" w:rsidRDefault="00FF4CAB" w:rsidP="00376D4B">
      <w:pPr>
        <w:ind w:left="720"/>
        <w:rPr>
          <w:rFonts w:cs="Tahoma"/>
        </w:rPr>
      </w:pPr>
    </w:p>
    <w:p w:rsidR="00FF4CAB" w:rsidRPr="00A75DF9" w:rsidRDefault="00FF4CAB" w:rsidP="00376D4B">
      <w:pPr>
        <w:ind w:left="720"/>
        <w:rPr>
          <w:rFonts w:cs="Tahoma"/>
        </w:rPr>
      </w:pPr>
      <w:r w:rsidRPr="00A75DF9">
        <w:rPr>
          <w:rFonts w:cs="Tahoma"/>
          <w:bCs/>
          <w:color w:val="000000"/>
          <w:szCs w:val="18"/>
        </w:rPr>
        <w:t>Opzione 1: acquistare licenze per i prodotti System Center corrispondenti alle licenze qualificanti della società. In base a questa opzione la società non sarà idonea ad aggiungere Software Assurance alla licenza o a utilizzare System Center 2012 o qualsiasi altra versione successiva del software System Center.</w:t>
      </w:r>
    </w:p>
    <w:p w:rsidR="00FF4CAB" w:rsidRPr="00A75DF9" w:rsidRDefault="00FF4CAB" w:rsidP="00376D4B">
      <w:pPr>
        <w:ind w:left="720"/>
        <w:rPr>
          <w:rFonts w:cs="Tahoma"/>
        </w:rPr>
      </w:pPr>
    </w:p>
    <w:p w:rsidR="00FF4CAB" w:rsidRPr="00A75DF9" w:rsidRDefault="00FF4CAB" w:rsidP="007C7A9E">
      <w:pPr>
        <w:ind w:left="720"/>
        <w:rPr>
          <w:rFonts w:cs="Tahoma"/>
        </w:rPr>
      </w:pPr>
      <w:r w:rsidRPr="00A75DF9">
        <w:rPr>
          <w:rFonts w:cs="Tahoma"/>
          <w:bCs/>
          <w:color w:val="000000"/>
          <w:szCs w:val="18"/>
        </w:rPr>
        <w:t>Opzione 2: acquistare licenze per System Center 2012 corrispondenti alle licenze qualificanti della società.</w:t>
      </w:r>
      <w:r w:rsidR="009D3B41" w:rsidRPr="00A75DF9">
        <w:rPr>
          <w:rFonts w:cs="Tahoma"/>
          <w:bCs/>
          <w:color w:val="000000"/>
          <w:szCs w:val="18"/>
        </w:rPr>
        <w:t xml:space="preserve"> </w:t>
      </w:r>
      <w:r w:rsidRPr="00A75DF9">
        <w:rPr>
          <w:rFonts w:cs="Tahoma"/>
          <w:bCs/>
          <w:color w:val="000000"/>
          <w:szCs w:val="18"/>
        </w:rPr>
        <w:t>In</w:t>
      </w:r>
      <w:r w:rsidR="007C7A9E">
        <w:rPr>
          <w:rFonts w:cs="Tahoma"/>
          <w:bCs/>
          <w:color w:val="000000"/>
          <w:szCs w:val="18"/>
        </w:rPr>
        <w:t> </w:t>
      </w:r>
      <w:r w:rsidRPr="00A75DF9">
        <w:rPr>
          <w:rFonts w:cs="Tahoma"/>
          <w:bCs/>
          <w:color w:val="000000"/>
          <w:szCs w:val="18"/>
        </w:rPr>
        <w:t>base a questa opzione la società sarà idonea ad aggiungere Software Assurance.</w:t>
      </w:r>
    </w:p>
    <w:p w:rsidR="00FF4CAB" w:rsidRPr="00A75DF9" w:rsidRDefault="00FF4CAB" w:rsidP="00376D4B">
      <w:pPr>
        <w:ind w:left="720"/>
        <w:rPr>
          <w:rFonts w:cs="Tahoma"/>
        </w:rPr>
      </w:pPr>
    </w:p>
    <w:p w:rsidR="00924690" w:rsidRPr="00A75DF9" w:rsidRDefault="00FF4CAB" w:rsidP="00924690">
      <w:pPr>
        <w:spacing w:after="60"/>
        <w:ind w:left="720"/>
        <w:rPr>
          <w:rFonts w:cs="Tahoma"/>
        </w:rPr>
      </w:pPr>
      <w:r w:rsidRPr="00A75DF9">
        <w:rPr>
          <w:rFonts w:eastAsia="Calibri" w:cs="Tahoma"/>
          <w:b/>
          <w:color w:val="000000"/>
          <w:szCs w:val="18"/>
        </w:rPr>
        <w:t>Concessione di Licenza Alternativa per System Center 2012 Standard per le Società in possesso di Server con Più di Due Processori</w:t>
      </w:r>
    </w:p>
    <w:p w:rsidR="00FF4CAB" w:rsidRPr="00A75DF9" w:rsidRDefault="00FF4CAB" w:rsidP="007C7A9E">
      <w:pPr>
        <w:ind w:left="720"/>
        <w:rPr>
          <w:rFonts w:cs="Tahoma"/>
        </w:rPr>
      </w:pPr>
      <w:r w:rsidRPr="00A75DF9">
        <w:rPr>
          <w:rFonts w:cs="Tahoma"/>
          <w:szCs w:val="18"/>
        </w:rPr>
        <w:t>Ciascuna Server ML per System Center 2012 Standard copre fino a due processori di un server fisico.</w:t>
      </w:r>
      <w:r w:rsidR="009D3B41" w:rsidRPr="00A75DF9">
        <w:rPr>
          <w:rFonts w:cs="Tahoma"/>
          <w:szCs w:val="18"/>
        </w:rPr>
        <w:t xml:space="preserve"> </w:t>
      </w:r>
      <w:r w:rsidRPr="00A75DF9">
        <w:rPr>
          <w:rFonts w:cs="Tahoma"/>
          <w:szCs w:val="18"/>
        </w:rPr>
        <w:t>Le</w:t>
      </w:r>
      <w:r w:rsidR="007C7A9E">
        <w:rPr>
          <w:rFonts w:cs="Tahoma"/>
          <w:szCs w:val="18"/>
        </w:rPr>
        <w:t> </w:t>
      </w:r>
      <w:r w:rsidRPr="00A75DF9">
        <w:rPr>
          <w:rFonts w:cs="Tahoma"/>
          <w:szCs w:val="18"/>
        </w:rPr>
        <w:t>società titolari di licenze qualificanti cedute a server con più di due processori in data 1 aprile 2012 o</w:t>
      </w:r>
      <w:r w:rsidR="007C7A9E">
        <w:rPr>
          <w:rFonts w:cs="Tahoma"/>
          <w:szCs w:val="18"/>
        </w:rPr>
        <w:t> </w:t>
      </w:r>
      <w:r w:rsidRPr="00A75DF9">
        <w:rPr>
          <w:rFonts w:cs="Tahoma"/>
          <w:szCs w:val="18"/>
        </w:rPr>
        <w:t>alla</w:t>
      </w:r>
      <w:r w:rsidR="007C7A9E">
        <w:rPr>
          <w:rFonts w:cs="Tahoma"/>
          <w:szCs w:val="18"/>
        </w:rPr>
        <w:t> </w:t>
      </w:r>
      <w:r w:rsidRPr="00A75DF9">
        <w:rPr>
          <w:rFonts w:cs="Tahoma"/>
          <w:szCs w:val="18"/>
        </w:rPr>
        <w:t>prima ricorrenza annuale della società dopo il 17 gennaio 2012, a seconda di quale delle due date si verificherà per ultima, potranno scegliere una concessione alternativa di un numero di Server ML per System Center 2012 Standard pari al numero di processori fisici sul server gestito diviso per due.</w:t>
      </w:r>
      <w:r w:rsidR="009D3B41" w:rsidRPr="00A75DF9">
        <w:rPr>
          <w:rFonts w:cs="Tahoma"/>
          <w:szCs w:val="18"/>
        </w:rPr>
        <w:t xml:space="preserve"> </w:t>
      </w:r>
      <w:r w:rsidRPr="00A75DF9">
        <w:rPr>
          <w:rFonts w:cs="Tahoma"/>
          <w:szCs w:val="18"/>
        </w:rPr>
        <w:t>Il server dovrà disporre di una licenza completa per consentire la gestione degli ambienti del sistema operativo sul quel server ai sensi delle condizioni delle licenze qualificanti al momento della concessione.</w:t>
      </w:r>
      <w:r w:rsidR="009D3B41" w:rsidRPr="00A75DF9">
        <w:rPr>
          <w:rFonts w:cs="Tahoma"/>
          <w:szCs w:val="18"/>
        </w:rPr>
        <w:t xml:space="preserve"> </w:t>
      </w:r>
      <w:r w:rsidRPr="00A75DF9">
        <w:rPr>
          <w:rFonts w:cs="Tahoma"/>
          <w:szCs w:val="18"/>
        </w:rPr>
        <w:t>La concessione alternativa garantisce che i server della società continuino a disporre di una licenza completa per tutto il</w:t>
      </w:r>
      <w:r w:rsidR="007C7A9E">
        <w:rPr>
          <w:rFonts w:cs="Tahoma"/>
          <w:szCs w:val="18"/>
        </w:rPr>
        <w:t> </w:t>
      </w:r>
      <w:r w:rsidRPr="00A75DF9">
        <w:rPr>
          <w:rFonts w:cs="Tahoma"/>
          <w:szCs w:val="18"/>
        </w:rPr>
        <w:t>periodo della transizione. La società dovrà documentare il numero di processori fisici presenti nel server gestito utilizzando lo strumento Microsoft MAP o un software equivalente.</w:t>
      </w:r>
      <w:r w:rsidR="009D3B41" w:rsidRPr="00A75DF9">
        <w:rPr>
          <w:rFonts w:cs="Tahoma"/>
          <w:szCs w:val="18"/>
        </w:rPr>
        <w:t xml:space="preserve"> </w:t>
      </w:r>
      <w:r w:rsidRPr="00A75DF9">
        <w:rPr>
          <w:rFonts w:cs="Tahoma"/>
          <w:szCs w:val="18"/>
        </w:rPr>
        <w:t>Questa documentazione insieme alla prova delle licenze qualificanti e alla presente Nota relativa al Prodotto attesteranno il diritto della società di utilizzare System Center 2012 ai sensi delle condizioni della presente offerta. La società non avrà</w:t>
      </w:r>
      <w:r w:rsidR="007C7A9E">
        <w:rPr>
          <w:rFonts w:cs="Tahoma"/>
          <w:szCs w:val="18"/>
        </w:rPr>
        <w:t> </w:t>
      </w:r>
      <w:r w:rsidRPr="00A75DF9">
        <w:rPr>
          <w:rFonts w:cs="Tahoma"/>
          <w:szCs w:val="18"/>
        </w:rPr>
        <w:t>più il diritto di utilizzo del software ai sensi di licenze qualificanti cedute al server al momento dell</w:t>
      </w:r>
      <w:r w:rsidR="00F2643E">
        <w:rPr>
          <w:rFonts w:cs="Tahoma"/>
          <w:szCs w:val="18"/>
        </w:rPr>
        <w:t>’</w:t>
      </w:r>
      <w:r w:rsidRPr="00A75DF9">
        <w:rPr>
          <w:rFonts w:cs="Tahoma"/>
          <w:szCs w:val="18"/>
        </w:rPr>
        <w:t>aggiornamento a System Center 2012.</w:t>
      </w:r>
      <w:r w:rsidRPr="00A75DF9">
        <w:rPr>
          <w:rFonts w:cs="Tahoma"/>
          <w:color w:val="000000"/>
        </w:rPr>
        <w:t xml:space="preserve"> Le società non potranno trasferire le licenze ottenute in base alla</w:t>
      </w:r>
      <w:r w:rsidR="007C7A9E">
        <w:rPr>
          <w:rFonts w:cs="Tahoma"/>
          <w:color w:val="000000"/>
        </w:rPr>
        <w:t> </w:t>
      </w:r>
      <w:r w:rsidRPr="00A75DF9">
        <w:rPr>
          <w:rFonts w:cs="Tahoma"/>
          <w:color w:val="000000"/>
        </w:rPr>
        <w:t>presente offerta separatamente dalle licenze qualificanti corrispondenti.</w:t>
      </w:r>
    </w:p>
    <w:p w:rsidR="00FF4CAB" w:rsidRDefault="00FF4CAB" w:rsidP="00376D4B">
      <w:pPr>
        <w:tabs>
          <w:tab w:val="left" w:pos="2970"/>
        </w:tabs>
        <w:ind w:left="720"/>
        <w:contextualSpacing/>
        <w:rPr>
          <w:rFonts w:cs="Tahoma"/>
        </w:rPr>
      </w:pPr>
    </w:p>
    <w:p w:rsidR="007C7A9E" w:rsidRDefault="007C7A9E" w:rsidP="00376D4B">
      <w:pPr>
        <w:tabs>
          <w:tab w:val="left" w:pos="2970"/>
        </w:tabs>
        <w:ind w:left="720"/>
        <w:contextualSpacing/>
        <w:rPr>
          <w:rFonts w:cs="Tahoma"/>
        </w:rPr>
      </w:pPr>
    </w:p>
    <w:p w:rsidR="007C7A9E" w:rsidRDefault="007C7A9E" w:rsidP="00376D4B">
      <w:pPr>
        <w:tabs>
          <w:tab w:val="left" w:pos="2970"/>
        </w:tabs>
        <w:ind w:left="720"/>
        <w:contextualSpacing/>
        <w:rPr>
          <w:rFonts w:cs="Tahoma"/>
        </w:rPr>
      </w:pPr>
    </w:p>
    <w:p w:rsidR="007C7A9E" w:rsidRDefault="007C7A9E" w:rsidP="00376D4B">
      <w:pPr>
        <w:tabs>
          <w:tab w:val="left" w:pos="2970"/>
        </w:tabs>
        <w:ind w:left="720"/>
        <w:contextualSpacing/>
        <w:rPr>
          <w:rFonts w:cs="Tahoma"/>
        </w:rPr>
      </w:pPr>
    </w:p>
    <w:p w:rsidR="007C7A9E" w:rsidRPr="00A75DF9" w:rsidRDefault="007C7A9E" w:rsidP="00376D4B">
      <w:pPr>
        <w:tabs>
          <w:tab w:val="left" w:pos="2970"/>
        </w:tabs>
        <w:ind w:left="720"/>
        <w:contextualSpacing/>
        <w:rPr>
          <w:rFonts w:cs="Tahoma"/>
        </w:rPr>
      </w:pPr>
    </w:p>
    <w:p w:rsidR="00924690" w:rsidRPr="00A75DF9" w:rsidRDefault="00FF4CAB" w:rsidP="00924690">
      <w:pPr>
        <w:spacing w:after="60"/>
        <w:ind w:left="720"/>
        <w:rPr>
          <w:rFonts w:cs="Tahoma"/>
        </w:rPr>
      </w:pPr>
      <w:r w:rsidRPr="00A75DF9">
        <w:rPr>
          <w:rFonts w:eastAsia="Calibri" w:cs="Tahoma"/>
          <w:b/>
          <w:color w:val="000000"/>
          <w:szCs w:val="18"/>
        </w:rPr>
        <w:lastRenderedPageBreak/>
        <w:t>Concessione di Licenza Alternativa per System Center 2012 Datacenter per le Società in possesso di licenze qualificanti per Virtual Machine Manager (Enterprise Server ML per VMM)</w:t>
      </w:r>
    </w:p>
    <w:p w:rsidR="00FF4CAB" w:rsidRPr="00A75DF9" w:rsidRDefault="00FF4CAB" w:rsidP="007C7A9E">
      <w:pPr>
        <w:tabs>
          <w:tab w:val="left" w:pos="2970"/>
        </w:tabs>
        <w:ind w:left="720"/>
        <w:contextualSpacing/>
        <w:rPr>
          <w:rFonts w:cs="Tahoma"/>
        </w:rPr>
      </w:pPr>
      <w:r w:rsidRPr="00A75DF9">
        <w:rPr>
          <w:rFonts w:cs="Tahoma"/>
          <w:szCs w:val="18"/>
        </w:rPr>
        <w:t>Le società titolari di Enterprise Server ML qualificanti per VMM cedute a server con più di due processori in data 1 aprile 2012 o alla prima ricorrenza annuale della società dopo il 17 gennaio 2012, a seconda di quale delle due date si verificherà per ultima, potranno scegliere una concessione alternativa di un numero di Server ML per System Center 2012 Datacenter pari al numero di processori fisici sul server gestito diviso per</w:t>
      </w:r>
      <w:r w:rsidR="007C7A9E">
        <w:rPr>
          <w:rFonts w:cs="Tahoma"/>
          <w:szCs w:val="18"/>
        </w:rPr>
        <w:t> </w:t>
      </w:r>
      <w:r w:rsidRPr="00A75DF9">
        <w:rPr>
          <w:rFonts w:cs="Tahoma"/>
          <w:szCs w:val="18"/>
        </w:rPr>
        <w:t>due.</w:t>
      </w:r>
      <w:r w:rsidR="009D3B41" w:rsidRPr="00A75DF9">
        <w:rPr>
          <w:rFonts w:cs="Tahoma"/>
          <w:szCs w:val="18"/>
        </w:rPr>
        <w:t xml:space="preserve"> </w:t>
      </w:r>
      <w:r w:rsidRPr="00A75DF9">
        <w:rPr>
          <w:rFonts w:cs="Tahoma"/>
          <w:szCs w:val="18"/>
        </w:rPr>
        <w:t>La concessione alternativa garantisce che i server della società continuino a disporre di una licenza completa per tutto il periodo della transizione. La società dovrà documentare il numero di processori fisici presenti nel server gestito utilizzando lo strumento Microsoft MAP o un software equivalente.</w:t>
      </w:r>
      <w:r w:rsidR="009D3B41" w:rsidRPr="00A75DF9">
        <w:rPr>
          <w:rFonts w:cs="Tahoma"/>
          <w:szCs w:val="18"/>
        </w:rPr>
        <w:t xml:space="preserve"> </w:t>
      </w:r>
      <w:r w:rsidRPr="00A75DF9">
        <w:rPr>
          <w:rFonts w:cs="Tahoma"/>
          <w:szCs w:val="18"/>
        </w:rPr>
        <w:t>Questa documentazione insieme alla prova delle licenze qualificanti e alla presente Nota relativa al Prodotto attesteranno il diritto della società di utilizzare System Center 2012 ai sensi delle condizioni della presente offerta. La società non avrà più il diritto di utilizzo del software ai sensi di licenze qualificanti cedute al server al momento dell</w:t>
      </w:r>
      <w:r w:rsidR="00F2643E">
        <w:rPr>
          <w:rFonts w:cs="Tahoma"/>
          <w:szCs w:val="18"/>
        </w:rPr>
        <w:t>’</w:t>
      </w:r>
      <w:r w:rsidRPr="00A75DF9">
        <w:rPr>
          <w:rFonts w:cs="Tahoma"/>
          <w:szCs w:val="18"/>
        </w:rPr>
        <w:t>aggiornamento a System Center 2012.</w:t>
      </w:r>
      <w:r w:rsidRPr="00A75DF9">
        <w:rPr>
          <w:rFonts w:cs="Tahoma"/>
          <w:color w:val="000000"/>
          <w:szCs w:val="24"/>
        </w:rPr>
        <w:t xml:space="preserve"> Le società non potranno trasferire le licenze ottenute in base alla presente offerta separatamente dalle licenze qualificanti corrispondenti.</w:t>
      </w:r>
    </w:p>
    <w:p w:rsidR="00FF4CAB" w:rsidRPr="00A75DF9" w:rsidRDefault="00FF4CAB" w:rsidP="00376D4B">
      <w:pPr>
        <w:ind w:left="720"/>
        <w:rPr>
          <w:rFonts w:cs="Tahoma"/>
        </w:rPr>
      </w:pPr>
    </w:p>
    <w:p w:rsidR="009B12B7" w:rsidRPr="00A75DF9" w:rsidRDefault="00FF4CAB" w:rsidP="00924690">
      <w:pPr>
        <w:spacing w:after="60"/>
        <w:ind w:left="720"/>
        <w:rPr>
          <w:rFonts w:cs="Tahoma"/>
        </w:rPr>
      </w:pPr>
      <w:r w:rsidRPr="00A75DF9">
        <w:rPr>
          <w:rFonts w:eastAsia="Calibri" w:cs="Tahoma"/>
          <w:b/>
          <w:color w:val="000000"/>
          <w:szCs w:val="18"/>
        </w:rPr>
        <w:t>Società che Rinnovano Software Assurance Prima del 1 Ottobre 2012</w:t>
      </w:r>
    </w:p>
    <w:p w:rsidR="009B12B7" w:rsidRPr="00A75DF9" w:rsidRDefault="00DC4FEC" w:rsidP="007C7A9E">
      <w:pPr>
        <w:ind w:left="720"/>
        <w:rPr>
          <w:rFonts w:cs="Tahoma"/>
        </w:rPr>
      </w:pPr>
      <w:r w:rsidRPr="00A75DF9">
        <w:rPr>
          <w:rFonts w:cs="Tahoma"/>
          <w:color w:val="000000"/>
          <w:szCs w:val="18"/>
        </w:rPr>
        <w:t xml:space="preserve">Le società titolari di contratti Academic, Open e Open Value </w:t>
      </w:r>
      <w:r w:rsidRPr="00A75DF9">
        <w:rPr>
          <w:rFonts w:cs="Tahoma"/>
          <w:szCs w:val="18"/>
        </w:rPr>
        <w:t>che rinnovano Software Assurance per System</w:t>
      </w:r>
      <w:r w:rsidR="007C7A9E">
        <w:rPr>
          <w:rFonts w:cs="Tahoma"/>
          <w:szCs w:val="18"/>
        </w:rPr>
        <w:t> </w:t>
      </w:r>
      <w:r w:rsidRPr="00A75DF9">
        <w:rPr>
          <w:rFonts w:cs="Tahoma"/>
          <w:szCs w:val="18"/>
        </w:rPr>
        <w:t>Center 2012 prima del 1 ottobre 2012 saranno idonee a rinnovare la copertura</w:t>
      </w:r>
      <w:r w:rsidRPr="00A75DF9">
        <w:rPr>
          <w:rFonts w:cs="Tahoma"/>
          <w:color w:val="000000"/>
          <w:szCs w:val="18"/>
        </w:rPr>
        <w:t xml:space="preserve"> per le licenze che li</w:t>
      </w:r>
      <w:r w:rsidR="007C7A9E">
        <w:rPr>
          <w:rFonts w:cs="Tahoma"/>
          <w:color w:val="000000"/>
          <w:szCs w:val="18"/>
        </w:rPr>
        <w:t> </w:t>
      </w:r>
      <w:r w:rsidRPr="00A75DF9">
        <w:rPr>
          <w:rFonts w:cs="Tahoma"/>
          <w:color w:val="000000"/>
          <w:szCs w:val="18"/>
        </w:rPr>
        <w:t>qualificano per la concessione di licenza per System Center 2012 (ciascuna, una “licenza qualificante”).</w:t>
      </w:r>
      <w:r w:rsidR="009D3B41" w:rsidRPr="00A75DF9">
        <w:rPr>
          <w:rFonts w:cs="Tahoma"/>
          <w:color w:val="000000"/>
          <w:szCs w:val="18"/>
        </w:rPr>
        <w:t xml:space="preserve"> </w:t>
      </w:r>
      <w:r w:rsidRPr="00A75DF9">
        <w:rPr>
          <w:rFonts w:cs="Tahoma"/>
          <w:color w:val="000000"/>
          <w:szCs w:val="18"/>
        </w:rPr>
        <w:t>Rinnovando la copertura per una licenza qualificante, una società rinnoverà automaticamente la copertura per la licenza o le licenze per System Center 2012 corrispondenti fornite attraverso la concessione.</w:t>
      </w:r>
      <w:r w:rsidR="009D3B41" w:rsidRPr="00A75DF9">
        <w:rPr>
          <w:rFonts w:cs="Tahoma"/>
          <w:color w:val="000000"/>
          <w:szCs w:val="18"/>
        </w:rPr>
        <w:t xml:space="preserve"> </w:t>
      </w:r>
      <w:r w:rsidRPr="00A75DF9">
        <w:rPr>
          <w:rFonts w:cs="Tahoma"/>
          <w:color w:val="000000"/>
          <w:szCs w:val="18"/>
        </w:rPr>
        <w:t>Di</w:t>
      </w:r>
      <w:r w:rsidR="007C7A9E">
        <w:rPr>
          <w:rFonts w:cs="Tahoma"/>
          <w:color w:val="000000"/>
          <w:szCs w:val="18"/>
        </w:rPr>
        <w:t> </w:t>
      </w:r>
      <w:r w:rsidRPr="00A75DF9">
        <w:rPr>
          <w:rFonts w:cs="Tahoma"/>
          <w:color w:val="000000"/>
          <w:szCs w:val="18"/>
        </w:rPr>
        <w:t>conseguenza, la società sarà idonea per qualsiasi versione successiva di System Center 2012 resa disponibile durante il periodo di validità rinnovato della copertura Software Assurance e sarà altresì idonea a</w:t>
      </w:r>
      <w:r w:rsidR="007C7A9E">
        <w:rPr>
          <w:rFonts w:cs="Tahoma"/>
          <w:color w:val="000000"/>
          <w:szCs w:val="18"/>
        </w:rPr>
        <w:t> </w:t>
      </w:r>
      <w:r w:rsidRPr="00A75DF9">
        <w:rPr>
          <w:rFonts w:cs="Tahoma"/>
          <w:color w:val="000000"/>
          <w:szCs w:val="18"/>
        </w:rPr>
        <w:t>rinnovare la copertura per System Center 2012 sulla base dei prezzi per il rinnovo di System Center 2012 in vigore in quel momento, alla scadenza della copertura ordinata ai sensi della presente offerta. Nonostante il rinnovo di Software Assurance per le licenze qualificanti, le condizioni della concessione di licenza per System Center 2012 rimangono pienamente vincolanti ed efficaci.</w:t>
      </w:r>
      <w:r w:rsidR="009D3B41" w:rsidRPr="00A75DF9">
        <w:rPr>
          <w:rFonts w:cs="Tahoma"/>
          <w:color w:val="000000"/>
          <w:szCs w:val="18"/>
        </w:rPr>
        <w:t xml:space="preserve"> </w:t>
      </w:r>
      <w:r w:rsidRPr="00A75DF9">
        <w:rPr>
          <w:rFonts w:cs="Tahoma"/>
          <w:color w:val="000000"/>
          <w:szCs w:val="18"/>
        </w:rPr>
        <w:t>Di conseguenza, le società non potranno utilizzare contemporaneamente software ai sensi sia di una licenza qualificante che delle licenze corrispondenti per System Center 2012.</w:t>
      </w:r>
      <w:r w:rsidR="009D3B41" w:rsidRPr="00A75DF9">
        <w:rPr>
          <w:rFonts w:cs="Tahoma"/>
          <w:color w:val="000000"/>
          <w:szCs w:val="18"/>
        </w:rPr>
        <w:t xml:space="preserve"> </w:t>
      </w:r>
      <w:r w:rsidRPr="00A75DF9">
        <w:rPr>
          <w:rFonts w:cs="Tahoma"/>
          <w:color w:val="000000"/>
          <w:szCs w:val="18"/>
        </w:rPr>
        <w:t>Licenza e Software Assurance (L&amp;SA) per le nuove licenze acquistate in occasione del rinnovo dovrà essere ordinata sulla base dei prezzi per System Center 2012. </w:t>
      </w:r>
    </w:p>
    <w:p w:rsidR="009B12B7" w:rsidRPr="00A75DF9" w:rsidRDefault="009B12B7" w:rsidP="00376D4B">
      <w:pPr>
        <w:ind w:left="720"/>
        <w:rPr>
          <w:rFonts w:cs="Tahoma"/>
        </w:rPr>
      </w:pPr>
    </w:p>
    <w:p w:rsidR="00FF4CAB" w:rsidRPr="00A75DF9" w:rsidRDefault="009B12B7" w:rsidP="007C7A9E">
      <w:pPr>
        <w:ind w:left="720"/>
        <w:rPr>
          <w:rFonts w:cs="Tahoma"/>
        </w:rPr>
      </w:pPr>
      <w:r w:rsidRPr="00A75DF9">
        <w:rPr>
          <w:rFonts w:cs="Tahoma"/>
          <w:szCs w:val="18"/>
        </w:rPr>
        <w:t>Analogamente qualsiasi altra società che rinnovi Software Assurance prima del 1 ottobre 2012 per le licenze per System Center 2012 concesse ai sensi della presente offerta potrà essere idonea a rinnovare la copertura, sulla base dei prezzi per Software Assurance, per le licenze che li qualificano per la concessione.</w:t>
      </w:r>
      <w:r w:rsidR="009D3B41" w:rsidRPr="00A75DF9">
        <w:rPr>
          <w:rFonts w:cs="Tahoma"/>
          <w:szCs w:val="18"/>
        </w:rPr>
        <w:t xml:space="preserve"> </w:t>
      </w:r>
      <w:r w:rsidRPr="00A75DF9">
        <w:rPr>
          <w:rFonts w:cs="Tahoma"/>
          <w:szCs w:val="18"/>
        </w:rPr>
        <w:t>Per dettagli, le società dovranno contattare il proprio rivenditore o l</w:t>
      </w:r>
      <w:r w:rsidR="00F2643E">
        <w:rPr>
          <w:rFonts w:cs="Tahoma"/>
          <w:szCs w:val="18"/>
        </w:rPr>
        <w:t>’</w:t>
      </w:r>
      <w:r w:rsidRPr="00A75DF9">
        <w:rPr>
          <w:rFonts w:cs="Tahoma"/>
          <w:szCs w:val="18"/>
        </w:rPr>
        <w:t>account manager designato da Microsoft.</w:t>
      </w:r>
      <w:r w:rsidR="009D3B41" w:rsidRPr="00A75DF9">
        <w:rPr>
          <w:rFonts w:cs="Tahoma"/>
          <w:szCs w:val="18"/>
        </w:rPr>
        <w:t xml:space="preserve"> </w:t>
      </w:r>
      <w:r w:rsidRPr="00A75DF9">
        <w:rPr>
          <w:rFonts w:cs="Tahoma"/>
          <w:szCs w:val="18"/>
        </w:rPr>
        <w:t>Tale offerta non si applica al rinnovo di Software Assurance per le licenze di gestione client per</w:t>
      </w:r>
      <w:r w:rsidR="007C7A9E">
        <w:rPr>
          <w:rFonts w:cs="Tahoma"/>
          <w:szCs w:val="18"/>
        </w:rPr>
        <w:t> </w:t>
      </w:r>
      <w:r w:rsidRPr="00A75DF9">
        <w:rPr>
          <w:rFonts w:cs="Tahoma"/>
          <w:szCs w:val="18"/>
        </w:rPr>
        <w:t>System Center Client Management Suite e System Center Configuration Manager.</w:t>
      </w:r>
    </w:p>
    <w:p w:rsidR="00FF4CAB" w:rsidRPr="00A75DF9" w:rsidRDefault="00FF4CAB" w:rsidP="00924690">
      <w:pPr>
        <w:rPr>
          <w:rFonts w:cs="Tahoma"/>
        </w:rPr>
      </w:pPr>
    </w:p>
    <w:p w:rsidR="00FF4CAB" w:rsidRPr="00A75DF9" w:rsidRDefault="00FF4CAB" w:rsidP="00FF4CAB">
      <w:pPr>
        <w:rPr>
          <w:rFonts w:cs="Tahoma"/>
        </w:rPr>
      </w:pPr>
    </w:p>
    <w:p w:rsidR="00916E81" w:rsidRPr="00A75DF9" w:rsidRDefault="00A560B6" w:rsidP="002D35ED">
      <w:pPr>
        <w:pStyle w:val="Heading3"/>
        <w:rPr>
          <w:rFonts w:ascii="Tahoma" w:hAnsi="Tahoma" w:cs="Tahoma"/>
        </w:rPr>
      </w:pPr>
      <w:bookmarkStart w:id="1512" w:name="_103_System_Center"/>
      <w:bookmarkStart w:id="1513" w:name="_91_System_Center"/>
      <w:bookmarkStart w:id="1514" w:name="_97_System_Center"/>
      <w:bookmarkStart w:id="1515" w:name="Srv_102SysCtr2012EndpointProt"/>
      <w:bookmarkStart w:id="1516" w:name="_Toc336338359"/>
      <w:bookmarkStart w:id="1517" w:name="_Toc368310347"/>
      <w:bookmarkEnd w:id="1512"/>
      <w:bookmarkEnd w:id="1513"/>
      <w:bookmarkEnd w:id="1514"/>
      <w:r w:rsidRPr="00A75DF9">
        <w:rPr>
          <w:rFonts w:ascii="Tahoma" w:hAnsi="Tahoma" w:cs="Tahoma"/>
          <w:caps/>
          <w:color w:val="F66400"/>
          <w:sz w:val="22"/>
          <w:szCs w:val="22"/>
          <w:vertAlign w:val="superscript"/>
        </w:rPr>
        <w:t>97</w:t>
      </w:r>
      <w:r w:rsidRPr="00A75DF9">
        <w:rPr>
          <w:rFonts w:ascii="Tahoma" w:hAnsi="Tahoma" w:cs="Tahoma"/>
          <w:color w:val="F66400"/>
          <w:sz w:val="22"/>
          <w:szCs w:val="22"/>
        </w:rPr>
        <w:t xml:space="preserve"> System Center 2012 Endpoint Protection</w:t>
      </w:r>
      <w:bookmarkEnd w:id="1515"/>
      <w:bookmarkEnd w:id="1516"/>
      <w:bookmarkEnd w:id="1517"/>
    </w:p>
    <w:p w:rsidR="00916E81" w:rsidRPr="00A75DF9" w:rsidRDefault="00916E81" w:rsidP="00C21BCF">
      <w:pPr>
        <w:ind w:left="720"/>
        <w:rPr>
          <w:rFonts w:cs="Tahoma"/>
        </w:rPr>
      </w:pPr>
    </w:p>
    <w:p w:rsidR="00C21BCF" w:rsidRPr="00A75DF9" w:rsidRDefault="00A0581B" w:rsidP="00A0581B">
      <w:pPr>
        <w:spacing w:after="60"/>
        <w:ind w:left="720"/>
        <w:rPr>
          <w:rFonts w:cs="Tahoma"/>
        </w:rPr>
      </w:pPr>
      <w:r w:rsidRPr="00A75DF9">
        <w:rPr>
          <w:rFonts w:eastAsia="Calibri" w:cs="Tahoma"/>
          <w:b/>
          <w:szCs w:val="18"/>
        </w:rPr>
        <w:t>Aggiornamenti/Downgrade</w:t>
      </w:r>
    </w:p>
    <w:p w:rsidR="00C21BCF" w:rsidRPr="00A75DF9" w:rsidRDefault="00C21BCF" w:rsidP="00C21BCF">
      <w:pPr>
        <w:ind w:left="720"/>
        <w:rPr>
          <w:rFonts w:cs="Tahoma"/>
        </w:rPr>
      </w:pPr>
      <w:r w:rsidRPr="00A75DF9">
        <w:rPr>
          <w:rFonts w:eastAsia="Calibri" w:cs="Tahoma"/>
          <w:szCs w:val="18"/>
        </w:rPr>
        <w:t>A partire dal 1 aprile 2012 l</w:t>
      </w:r>
      <w:r w:rsidR="00F2643E">
        <w:rPr>
          <w:rFonts w:eastAsia="Calibri" w:cs="Tahoma"/>
          <w:szCs w:val="18"/>
        </w:rPr>
        <w:t>’</w:t>
      </w:r>
      <w:r w:rsidRPr="00A75DF9">
        <w:rPr>
          <w:rFonts w:eastAsia="Calibri" w:cs="Tahoma"/>
          <w:szCs w:val="18"/>
        </w:rPr>
        <w:t>applicazione Forefront Endpoint Protection è diventata System Center 2012 Endpoint Protection. System Center 2012 Endpoint Protection, trattandosi di un</w:t>
      </w:r>
      <w:r w:rsidR="00F2643E">
        <w:rPr>
          <w:rFonts w:eastAsia="Calibri" w:cs="Tahoma"/>
          <w:szCs w:val="18"/>
        </w:rPr>
        <w:t>’</w:t>
      </w:r>
      <w:r w:rsidRPr="00A75DF9">
        <w:rPr>
          <w:rFonts w:eastAsia="Calibri" w:cs="Tahoma"/>
          <w:szCs w:val="18"/>
        </w:rPr>
        <w:t>offerta standalone, conferisce diritti sull</w:t>
      </w:r>
      <w:r w:rsidR="00F2643E">
        <w:rPr>
          <w:rFonts w:eastAsia="Calibri" w:cs="Tahoma"/>
          <w:szCs w:val="18"/>
        </w:rPr>
        <w:t>’</w:t>
      </w:r>
      <w:r w:rsidRPr="00A75DF9">
        <w:rPr>
          <w:rFonts w:eastAsia="Calibri" w:cs="Tahoma"/>
          <w:szCs w:val="18"/>
        </w:rPr>
        <w:t>utilizzo solo per proteggere i dispositivi client. I diritti sull</w:t>
      </w:r>
      <w:r w:rsidR="00F2643E">
        <w:rPr>
          <w:rFonts w:eastAsia="Calibri" w:cs="Tahoma"/>
          <w:szCs w:val="18"/>
        </w:rPr>
        <w:t>’</w:t>
      </w:r>
      <w:r w:rsidRPr="00A75DF9">
        <w:rPr>
          <w:rFonts w:eastAsia="Calibri" w:cs="Tahoma"/>
          <w:szCs w:val="18"/>
        </w:rPr>
        <w:t>utilizzo per la protezione dei dispositivi server possono essere acquistati solo tramite l</w:t>
      </w:r>
      <w:r w:rsidR="00F2643E">
        <w:rPr>
          <w:rFonts w:eastAsia="Calibri" w:cs="Tahoma"/>
          <w:szCs w:val="18"/>
        </w:rPr>
        <w:t>’</w:t>
      </w:r>
      <w:r w:rsidRPr="00A75DF9">
        <w:rPr>
          <w:rFonts w:eastAsia="Calibri" w:cs="Tahoma"/>
          <w:szCs w:val="18"/>
        </w:rPr>
        <w:t>acquisto di licenze di gestione server per System Center 2012 Standard o Datacenter.</w:t>
      </w:r>
    </w:p>
    <w:p w:rsidR="00C21BCF" w:rsidRPr="00A75DF9" w:rsidRDefault="00C21BCF" w:rsidP="00C21BCF">
      <w:pPr>
        <w:ind w:left="720"/>
        <w:rPr>
          <w:rFonts w:cs="Tahoma"/>
        </w:rPr>
      </w:pPr>
    </w:p>
    <w:p w:rsidR="00C21BCF" w:rsidRPr="00A75DF9" w:rsidRDefault="00C21BCF" w:rsidP="00C21BCF">
      <w:pPr>
        <w:ind w:left="720"/>
        <w:rPr>
          <w:rFonts w:cs="Tahoma"/>
        </w:rPr>
      </w:pPr>
      <w:r w:rsidRPr="00A75DF9">
        <w:rPr>
          <w:rFonts w:eastAsia="Calibri" w:cs="Tahoma"/>
          <w:szCs w:val="18"/>
        </w:rPr>
        <w:t>Gli utenti con sottoscrizioni di Forefront Endpoint Protection attive che utilizzano il servizio per proteggere i dispositivi client possono effettuare l</w:t>
      </w:r>
      <w:r w:rsidR="00F2643E">
        <w:rPr>
          <w:rFonts w:eastAsia="Calibri" w:cs="Tahoma"/>
          <w:szCs w:val="18"/>
        </w:rPr>
        <w:t>’</w:t>
      </w:r>
      <w:r w:rsidRPr="00A75DF9">
        <w:rPr>
          <w:rFonts w:eastAsia="Calibri" w:cs="Tahoma"/>
          <w:szCs w:val="18"/>
        </w:rPr>
        <w:t>aggiornamento a System Center 2012 Endpoint Protection e utilizzare l</w:t>
      </w:r>
      <w:r w:rsidR="00F2643E">
        <w:rPr>
          <w:rFonts w:eastAsia="Calibri" w:cs="Tahoma"/>
          <w:szCs w:val="18"/>
        </w:rPr>
        <w:t>’</w:t>
      </w:r>
      <w:r w:rsidRPr="00A75DF9">
        <w:rPr>
          <w:rFonts w:eastAsia="Calibri" w:cs="Tahoma"/>
          <w:szCs w:val="18"/>
        </w:rPr>
        <w:t>applicazione per lo stesso scopo. Le società in possesso di sottoscrizioni di System Center 2012 Endpoint Protection potranno anche effettuare il downgrade a Forefront Endpoint Protection.</w:t>
      </w:r>
    </w:p>
    <w:p w:rsidR="00C21BCF" w:rsidRDefault="00C21BCF" w:rsidP="00C21BCF">
      <w:pPr>
        <w:ind w:left="720"/>
        <w:rPr>
          <w:rFonts w:cs="Tahoma"/>
        </w:rPr>
      </w:pPr>
    </w:p>
    <w:p w:rsidR="00C21BCF" w:rsidRPr="00A75DF9" w:rsidRDefault="00C21BCF" w:rsidP="00C21BCF">
      <w:pPr>
        <w:ind w:left="720"/>
        <w:rPr>
          <w:rFonts w:cs="Tahoma"/>
        </w:rPr>
      </w:pPr>
      <w:r w:rsidRPr="00A75DF9">
        <w:rPr>
          <w:rFonts w:eastAsia="Calibri" w:cs="Tahoma"/>
          <w:szCs w:val="18"/>
        </w:rPr>
        <w:t>System Center 2012 Configuration Manager è la console di gestione di System Center 2012 Endpoint Protection. Le società dovranno avere la licenza per System Center 2012 Configuration Manager per fornire funzionalità di gestione a System Center 2012 Endpoint Protection. In alternativa, System Center 2012 Endpoint Protection può essere utilizzato senza funzionalità di gestione e senza dovere acquistare la licenza per System Center 2012 Configuration Manager.</w:t>
      </w:r>
      <w:r w:rsidR="009D3B41" w:rsidRPr="00A75DF9">
        <w:rPr>
          <w:rFonts w:eastAsia="Calibri" w:cs="Tahoma"/>
          <w:szCs w:val="18"/>
        </w:rPr>
        <w:t xml:space="preserve"> </w:t>
      </w:r>
    </w:p>
    <w:p w:rsidR="00C21BCF" w:rsidRPr="00A75DF9" w:rsidRDefault="00A0581B" w:rsidP="00A0581B">
      <w:pPr>
        <w:spacing w:after="60"/>
        <w:ind w:left="720"/>
        <w:rPr>
          <w:rFonts w:cs="Tahoma"/>
        </w:rPr>
      </w:pPr>
      <w:r w:rsidRPr="00A75DF9">
        <w:rPr>
          <w:rFonts w:eastAsia="Calibri" w:cs="Tahoma"/>
          <w:b/>
          <w:szCs w:val="18"/>
        </w:rPr>
        <w:lastRenderedPageBreak/>
        <w:t>Home Use Program</w:t>
      </w:r>
    </w:p>
    <w:p w:rsidR="00FF4CAB" w:rsidRPr="00A75DF9" w:rsidRDefault="00C21BCF" w:rsidP="00A0581B">
      <w:pPr>
        <w:ind w:left="720"/>
        <w:rPr>
          <w:rFonts w:cs="Tahoma"/>
        </w:rPr>
      </w:pPr>
      <w:r w:rsidRPr="00A75DF9">
        <w:rPr>
          <w:rFonts w:eastAsia="Calibri" w:cs="Tahoma"/>
          <w:szCs w:val="18"/>
        </w:rPr>
        <w:t>Le società in possesso di Licenze “Subscription” per Utente attive per System Center 2012 Endpoint Protection si qualificano per il programma Home Use Program.</w:t>
      </w:r>
    </w:p>
    <w:p w:rsidR="00A0581B" w:rsidRPr="00C35F6B" w:rsidRDefault="00A0581B" w:rsidP="00A0581B">
      <w:pPr>
        <w:rPr>
          <w:rFonts w:cs="Tahoma"/>
          <w:sz w:val="16"/>
          <w:szCs w:val="16"/>
        </w:rPr>
      </w:pPr>
    </w:p>
    <w:p w:rsidR="001704C2" w:rsidRPr="00C35F6B" w:rsidRDefault="001704C2" w:rsidP="001704C2">
      <w:pPr>
        <w:rPr>
          <w:rFonts w:cs="Tahoma"/>
          <w:sz w:val="16"/>
          <w:szCs w:val="16"/>
        </w:rPr>
      </w:pPr>
      <w:bookmarkStart w:id="1518" w:name="_91_TechNet_Plus"/>
      <w:bookmarkStart w:id="1519" w:name="_98_TechNet_Plus"/>
      <w:bookmarkEnd w:id="1502"/>
      <w:bookmarkEnd w:id="1518"/>
      <w:bookmarkEnd w:id="1519"/>
    </w:p>
    <w:p w:rsidR="00FF4CAB" w:rsidRPr="00A75DF9" w:rsidRDefault="00A2524E" w:rsidP="00FF4CAB">
      <w:pPr>
        <w:pStyle w:val="Heading3"/>
        <w:rPr>
          <w:rFonts w:ascii="Tahoma" w:hAnsi="Tahoma" w:cs="Tahoma"/>
        </w:rPr>
      </w:pPr>
      <w:bookmarkStart w:id="1520" w:name="_92_Visual_Studio"/>
      <w:bookmarkStart w:id="1521" w:name="_90_VDI_Standard"/>
      <w:bookmarkStart w:id="1522" w:name="_99_VDI_Standard"/>
      <w:bookmarkStart w:id="1523" w:name="_Toc336338361"/>
      <w:bookmarkStart w:id="1524" w:name="Srv_105VDIStandardandPremiumSuites"/>
      <w:bookmarkStart w:id="1525" w:name="Srv_94VSLoadTestVirtualUserPack10"/>
      <w:bookmarkStart w:id="1526" w:name="_Toc368310348"/>
      <w:bookmarkEnd w:id="1520"/>
      <w:bookmarkEnd w:id="1521"/>
      <w:bookmarkEnd w:id="1522"/>
      <w:r w:rsidRPr="00A75DF9">
        <w:rPr>
          <w:rFonts w:ascii="Tahoma" w:hAnsi="Tahoma" w:cs="Tahoma"/>
          <w:caps/>
          <w:color w:val="FF7415"/>
          <w:sz w:val="22"/>
          <w:szCs w:val="22"/>
          <w:vertAlign w:val="superscript"/>
        </w:rPr>
        <w:t xml:space="preserve">98 </w:t>
      </w:r>
      <w:r w:rsidRPr="00A75DF9">
        <w:rPr>
          <w:rFonts w:ascii="Tahoma" w:hAnsi="Tahoma" w:cs="Tahoma"/>
          <w:color w:val="FF7415"/>
          <w:sz w:val="22"/>
          <w:szCs w:val="22"/>
        </w:rPr>
        <w:t>VDI Standard e Premium Suite</w:t>
      </w:r>
      <w:bookmarkEnd w:id="1523"/>
      <w:bookmarkEnd w:id="1526"/>
    </w:p>
    <w:bookmarkEnd w:id="1524"/>
    <w:p w:rsidR="00FF4CAB" w:rsidRPr="00C35F6B" w:rsidRDefault="00FF4CAB" w:rsidP="00B76943">
      <w:pPr>
        <w:rPr>
          <w:rFonts w:cs="Tahoma"/>
          <w:sz w:val="16"/>
          <w:szCs w:val="16"/>
        </w:rPr>
      </w:pPr>
    </w:p>
    <w:p w:rsidR="00FF4CAB" w:rsidRPr="00A75DF9" w:rsidRDefault="00FF4CAB" w:rsidP="00B76943">
      <w:pPr>
        <w:pStyle w:val="EndnoteText"/>
        <w:ind w:left="720"/>
        <w:rPr>
          <w:rFonts w:ascii="Tahoma" w:hAnsi="Tahoma" w:cs="Tahoma"/>
        </w:rPr>
      </w:pPr>
      <w:r w:rsidRPr="00A75DF9">
        <w:rPr>
          <w:rFonts w:ascii="Tahoma" w:hAnsi="Tahoma" w:cs="Tahoma"/>
          <w:color w:val="000000"/>
          <w:sz w:val="18"/>
        </w:rPr>
        <w:t>Prodotti End-Of-Life (EOL) che non verranno più offerti. Le società con Contratto Enterprise possono fare riferimento alle versioni precedenti dei Diritti di Utilizzo del Prodotto per informazioni sui diritti sull</w:t>
      </w:r>
      <w:r w:rsidR="00F2643E">
        <w:rPr>
          <w:rFonts w:ascii="Tahoma" w:hAnsi="Tahoma" w:cs="Tahoma"/>
          <w:color w:val="000000"/>
          <w:sz w:val="18"/>
        </w:rPr>
        <w:t>’</w:t>
      </w:r>
      <w:r w:rsidRPr="00A75DF9">
        <w:rPr>
          <w:rFonts w:ascii="Tahoma" w:hAnsi="Tahoma" w:cs="Tahoma"/>
          <w:color w:val="000000"/>
          <w:sz w:val="18"/>
        </w:rPr>
        <w:t>utilizzo.</w:t>
      </w:r>
    </w:p>
    <w:p w:rsidR="00B54C21" w:rsidRPr="00C35F6B" w:rsidRDefault="00B54C21" w:rsidP="00B76943">
      <w:pPr>
        <w:pStyle w:val="EndnoteText"/>
        <w:ind w:left="0"/>
        <w:rPr>
          <w:rFonts w:ascii="Tahoma" w:hAnsi="Tahoma" w:cs="Tahoma"/>
          <w:sz w:val="16"/>
          <w:szCs w:val="16"/>
        </w:rPr>
      </w:pPr>
      <w:bookmarkStart w:id="1527" w:name="_91_Vexcel_Server,"/>
      <w:bookmarkEnd w:id="1527"/>
    </w:p>
    <w:p w:rsidR="00EA31A6" w:rsidRPr="00C35F6B" w:rsidRDefault="00EA31A6" w:rsidP="00B76943">
      <w:pPr>
        <w:pStyle w:val="EndnoteText"/>
        <w:ind w:left="0"/>
        <w:rPr>
          <w:rFonts w:ascii="Tahoma" w:hAnsi="Tahoma" w:cs="Tahoma"/>
          <w:sz w:val="16"/>
          <w:szCs w:val="16"/>
        </w:rPr>
      </w:pPr>
    </w:p>
    <w:p w:rsidR="00E8145C" w:rsidRPr="00A75DF9" w:rsidRDefault="005B4D93" w:rsidP="00E8145C">
      <w:pPr>
        <w:pStyle w:val="Heading2"/>
        <w:ind w:left="0"/>
        <w:rPr>
          <w:rFonts w:ascii="Tahoma" w:hAnsi="Tahoma" w:cs="Tahoma"/>
        </w:rPr>
      </w:pPr>
      <w:bookmarkStart w:id="1528" w:name="_105_Windows_Azure"/>
      <w:bookmarkStart w:id="1529" w:name="_100_Windows_Azure"/>
      <w:bookmarkStart w:id="1530" w:name="_Toc336338362"/>
      <w:bookmarkStart w:id="1531" w:name="_Toc368310349"/>
      <w:bookmarkEnd w:id="1528"/>
      <w:bookmarkEnd w:id="1529"/>
      <w:r w:rsidRPr="00A75DF9">
        <w:rPr>
          <w:rFonts w:ascii="Tahoma" w:hAnsi="Tahoma" w:cs="Tahoma"/>
          <w:caps/>
          <w:color w:val="EE6000"/>
          <w:sz w:val="22"/>
          <w:szCs w:val="18"/>
          <w:vertAlign w:val="superscript"/>
        </w:rPr>
        <w:t xml:space="preserve">99 </w:t>
      </w:r>
      <w:r w:rsidRPr="00A75DF9">
        <w:rPr>
          <w:rFonts w:ascii="Tahoma" w:hAnsi="Tahoma" w:cs="Tahoma"/>
          <w:color w:val="F8701C"/>
          <w:sz w:val="22"/>
          <w:szCs w:val="22"/>
        </w:rPr>
        <w:t>Servizi Windows Azure</w:t>
      </w:r>
      <w:bookmarkEnd w:id="1530"/>
      <w:bookmarkEnd w:id="1531"/>
    </w:p>
    <w:p w:rsidR="00E8145C" w:rsidRPr="00C35F6B" w:rsidRDefault="00E8145C" w:rsidP="00B76943">
      <w:pPr>
        <w:widowControl w:val="0"/>
        <w:jc w:val="both"/>
        <w:rPr>
          <w:rFonts w:cs="Tahoma"/>
          <w:sz w:val="16"/>
          <w:szCs w:val="16"/>
        </w:rPr>
      </w:pPr>
    </w:p>
    <w:p w:rsidR="00B76943" w:rsidRPr="00A75DF9" w:rsidRDefault="00E8145C" w:rsidP="00B76943">
      <w:pPr>
        <w:widowControl w:val="0"/>
        <w:spacing w:after="60"/>
        <w:ind w:left="720"/>
        <w:jc w:val="both"/>
        <w:rPr>
          <w:rFonts w:cs="Tahoma"/>
        </w:rPr>
      </w:pPr>
      <w:r w:rsidRPr="00A75DF9">
        <w:rPr>
          <w:rFonts w:cs="Tahoma"/>
          <w:b/>
          <w:color w:val="000000"/>
        </w:rPr>
        <w:t>Impegno in termini di Risorse di Calcolo per Windows Azure</w:t>
      </w:r>
    </w:p>
    <w:p w:rsidR="00E8145C" w:rsidRPr="00A75DF9" w:rsidRDefault="00E8145C" w:rsidP="00B76943">
      <w:pPr>
        <w:widowControl w:val="0"/>
        <w:ind w:left="720"/>
        <w:jc w:val="both"/>
        <w:rPr>
          <w:rFonts w:cs="Tahoma"/>
        </w:rPr>
      </w:pPr>
      <w:r w:rsidRPr="00A75DF9">
        <w:rPr>
          <w:rFonts w:cs="Tahoma"/>
        </w:rPr>
        <w:t>Per il servizio Calcolo di Windows Azure, Microsoft accetta di fornire alla società un Impegno in termini di Risorse di Calcolo. L</w:t>
      </w:r>
      <w:r w:rsidR="00F2643E">
        <w:rPr>
          <w:rFonts w:cs="Tahoma"/>
        </w:rPr>
        <w:t>’</w:t>
      </w:r>
      <w:r w:rsidRPr="00A75DF9">
        <w:rPr>
          <w:rFonts w:cs="Tahoma"/>
        </w:rPr>
        <w:t xml:space="preserve">Impegno in termini di Risorse di Calcolo sarà pari al maggiore tra (1) </w:t>
      </w:r>
      <w:r w:rsidRPr="00A75DF9">
        <w:rPr>
          <w:rFonts w:eastAsia="Times New Roman" w:cs="Tahoma"/>
          <w:color w:val="000000"/>
        </w:rPr>
        <w:t xml:space="preserve">50 istanze di calcolo di piccole dimensioni concorrenti al mese oppure (2) </w:t>
      </w:r>
      <w:r w:rsidRPr="00A75DF9">
        <w:rPr>
          <w:rFonts w:cs="Tahoma"/>
        </w:rPr>
        <w:t>il 125% dell</w:t>
      </w:r>
      <w:r w:rsidR="00F2643E">
        <w:rPr>
          <w:rFonts w:cs="Tahoma"/>
        </w:rPr>
        <w:t>’</w:t>
      </w:r>
      <w:r w:rsidRPr="00A75DF9">
        <w:rPr>
          <w:rFonts w:cs="Tahoma"/>
        </w:rPr>
        <w:t xml:space="preserve">Utilizzo Stimato del Calcolo della società (come indicato di seguito). </w:t>
      </w:r>
    </w:p>
    <w:p w:rsidR="00B76943" w:rsidRPr="00C35F6B" w:rsidRDefault="00B76943" w:rsidP="00B76943">
      <w:pPr>
        <w:widowControl w:val="0"/>
        <w:ind w:left="720"/>
        <w:jc w:val="both"/>
        <w:rPr>
          <w:rFonts w:cs="Tahoma"/>
          <w:sz w:val="16"/>
          <w:szCs w:val="16"/>
        </w:rPr>
      </w:pPr>
    </w:p>
    <w:p w:rsidR="00E8145C" w:rsidRPr="00A75DF9" w:rsidRDefault="00E8145C" w:rsidP="00B76943">
      <w:pPr>
        <w:widowControl w:val="0"/>
        <w:ind w:left="720"/>
        <w:jc w:val="both"/>
        <w:rPr>
          <w:rFonts w:cs="Tahoma"/>
        </w:rPr>
      </w:pPr>
      <w:r w:rsidRPr="00A75DF9">
        <w:rPr>
          <w:rFonts w:cs="Tahoma"/>
        </w:rPr>
        <w:t>L</w:t>
      </w:r>
      <w:r w:rsidR="00F2643E">
        <w:rPr>
          <w:rFonts w:cs="Tahoma"/>
        </w:rPr>
        <w:t>’</w:t>
      </w:r>
      <w:r w:rsidRPr="00A75DF9">
        <w:rPr>
          <w:rFonts w:cs="Tahoma"/>
        </w:rPr>
        <w:t>“Utilizzo Stimato del Calcolo” viene calcolato dividendo l</w:t>
      </w:r>
      <w:r w:rsidR="00F2643E">
        <w:rPr>
          <w:rFonts w:cs="Tahoma"/>
        </w:rPr>
        <w:t>’</w:t>
      </w:r>
      <w:r w:rsidRPr="00A75DF9">
        <w:rPr>
          <w:rFonts w:cs="Tahoma"/>
        </w:rPr>
        <w:t>Impegno Monetario della società per il numero di mesi coperti da tale Impegno Monetario (12 mesi oppure il numero di mesi residui dell</w:t>
      </w:r>
      <w:r w:rsidR="00F2643E">
        <w:rPr>
          <w:rFonts w:cs="Tahoma"/>
        </w:rPr>
        <w:t>’</w:t>
      </w:r>
      <w:r w:rsidRPr="00A75DF9">
        <w:rPr>
          <w:rFonts w:cs="Tahoma"/>
        </w:rPr>
        <w:t>Iscrizione della società, a seconda che la società scelga l</w:t>
      </w:r>
      <w:r w:rsidR="00F2643E">
        <w:rPr>
          <w:rFonts w:cs="Tahoma"/>
        </w:rPr>
        <w:t>’</w:t>
      </w:r>
      <w:r w:rsidRPr="00A75DF9">
        <w:rPr>
          <w:rFonts w:cs="Tahoma"/>
        </w:rPr>
        <w:t>Opzione “Subscription” annuale o l</w:t>
      </w:r>
      <w:r w:rsidR="00F2643E">
        <w:rPr>
          <w:rFonts w:cs="Tahoma"/>
        </w:rPr>
        <w:t>’</w:t>
      </w:r>
      <w:r w:rsidRPr="00A75DF9">
        <w:rPr>
          <w:rFonts w:cs="Tahoma"/>
        </w:rPr>
        <w:t xml:space="preserve">opzione “Subscription” </w:t>
      </w:r>
      <w:r w:rsidRPr="00A75DF9">
        <w:rPr>
          <w:rFonts w:cs="Tahoma"/>
          <w:szCs w:val="18"/>
        </w:rPr>
        <w:t>con scadenza identica</w:t>
      </w:r>
      <w:r w:rsidRPr="00A75DF9">
        <w:rPr>
          <w:rFonts w:cs="Tahoma"/>
        </w:rPr>
        <w:t>) e dividendo la cifra risultante per la Tariffa di Impegno relativa al Calcolo di Windows Azure. Qualora, nel corso del periodo di validità dell</w:t>
      </w:r>
      <w:r w:rsidR="00F2643E">
        <w:rPr>
          <w:rFonts w:cs="Tahoma"/>
        </w:rPr>
        <w:t>’</w:t>
      </w:r>
      <w:r w:rsidRPr="00A75DF9">
        <w:rPr>
          <w:rFonts w:cs="Tahoma"/>
        </w:rPr>
        <w:t>iscrizione, la società aggiunga fondi al proprio Impegno Monetario, l</w:t>
      </w:r>
      <w:r w:rsidR="00F2643E">
        <w:rPr>
          <w:rFonts w:cs="Tahoma"/>
        </w:rPr>
        <w:t>’</w:t>
      </w:r>
      <w:r w:rsidRPr="00A75DF9">
        <w:rPr>
          <w:rFonts w:cs="Tahoma"/>
        </w:rPr>
        <w:t>Utilizzo Stimato del Calcolo verrà ricalcolato di conseguenza. Qualora l</w:t>
      </w:r>
      <w:r w:rsidR="00F2643E">
        <w:rPr>
          <w:rFonts w:cs="Tahoma"/>
        </w:rPr>
        <w:t>’</w:t>
      </w:r>
      <w:r w:rsidRPr="00A75DF9">
        <w:rPr>
          <w:rFonts w:cs="Tahoma"/>
        </w:rPr>
        <w:t>Impegno Monetario residuo della società scenda al di sotto del valore monetario dell</w:t>
      </w:r>
      <w:r w:rsidR="00F2643E">
        <w:rPr>
          <w:rFonts w:cs="Tahoma"/>
        </w:rPr>
        <w:t>’</w:t>
      </w:r>
      <w:r w:rsidRPr="00A75DF9">
        <w:rPr>
          <w:rFonts w:cs="Tahoma"/>
        </w:rPr>
        <w:t>Utilizzo Stimato del Calcolo, l</w:t>
      </w:r>
      <w:r w:rsidR="00F2643E">
        <w:rPr>
          <w:rFonts w:cs="Tahoma"/>
        </w:rPr>
        <w:t>’</w:t>
      </w:r>
      <w:r w:rsidRPr="00A75DF9">
        <w:rPr>
          <w:rFonts w:cs="Tahoma"/>
        </w:rPr>
        <w:t>Utilizzo Stimato del Calcolo verrà ridotto proporzionalmente in modo che l</w:t>
      </w:r>
      <w:r w:rsidR="00F2643E">
        <w:rPr>
          <w:rFonts w:cs="Tahoma"/>
        </w:rPr>
        <w:t>’</w:t>
      </w:r>
      <w:r w:rsidRPr="00A75DF9">
        <w:rPr>
          <w:rFonts w:cs="Tahoma"/>
        </w:rPr>
        <w:t>Impegno Monetario residuo sia pari al valore monetario dell</w:t>
      </w:r>
      <w:r w:rsidR="00F2643E">
        <w:rPr>
          <w:rFonts w:cs="Tahoma"/>
        </w:rPr>
        <w:t>’</w:t>
      </w:r>
      <w:r w:rsidRPr="00A75DF9">
        <w:rPr>
          <w:rFonts w:cs="Tahoma"/>
        </w:rPr>
        <w:t>Utilizzo Stimato del Calcolo.</w:t>
      </w:r>
    </w:p>
    <w:p w:rsidR="00B76943" w:rsidRPr="00C35F6B" w:rsidRDefault="00B76943" w:rsidP="00B76943">
      <w:pPr>
        <w:widowControl w:val="0"/>
        <w:ind w:left="720"/>
        <w:jc w:val="both"/>
        <w:rPr>
          <w:rFonts w:cs="Tahoma"/>
          <w:sz w:val="16"/>
          <w:szCs w:val="16"/>
        </w:rPr>
      </w:pPr>
    </w:p>
    <w:p w:rsidR="00E8145C" w:rsidRPr="00A75DF9" w:rsidRDefault="00E8145C" w:rsidP="00B76943">
      <w:pPr>
        <w:widowControl w:val="0"/>
        <w:ind w:left="720"/>
        <w:jc w:val="both"/>
        <w:rPr>
          <w:rFonts w:cs="Tahoma"/>
        </w:rPr>
      </w:pPr>
      <w:r w:rsidRPr="00A75DF9">
        <w:rPr>
          <w:rFonts w:cs="Tahoma"/>
        </w:rPr>
        <w:t>Qualora Microsoft non faccia fronte all</w:t>
      </w:r>
      <w:r w:rsidR="00F2643E">
        <w:rPr>
          <w:rFonts w:cs="Tahoma"/>
        </w:rPr>
        <w:t>’</w:t>
      </w:r>
      <w:r w:rsidRPr="00A75DF9">
        <w:rPr>
          <w:rFonts w:cs="Tahoma"/>
        </w:rPr>
        <w:t>Impegno in termini di Risorse di Calcolo, la società riceverà un credito pari al 25% del valore monetario del servizio Calcolo di Windows Azure in questione, alla Tariffa di Impegno. Tale credito non potrà superare il valore monetario totale dell</w:t>
      </w:r>
      <w:r w:rsidR="00F2643E">
        <w:rPr>
          <w:rFonts w:cs="Tahoma"/>
        </w:rPr>
        <w:t>’</w:t>
      </w:r>
      <w:r w:rsidRPr="00A75DF9">
        <w:rPr>
          <w:rFonts w:cs="Tahoma"/>
        </w:rPr>
        <w:t>Impegno Monetario residuo della società. Qualora tale indisponibilità qualifichi la società anche per un Credito di Servizio ai sensi del Contratto di Servizio (vedere il precedente l</w:t>
      </w:r>
      <w:r w:rsidR="00F2643E">
        <w:rPr>
          <w:rFonts w:cs="Tahoma"/>
        </w:rPr>
        <w:t>’</w:t>
      </w:r>
      <w:r w:rsidRPr="00A75DF9">
        <w:rPr>
          <w:rFonts w:cs="Tahoma"/>
        </w:rPr>
        <w:t>Articolo 2.c), la società riceverà esclusivamente il rimedio con il valore monetario più elevato.</w:t>
      </w:r>
    </w:p>
    <w:p w:rsidR="00E8145C" w:rsidRPr="00A75DF9" w:rsidRDefault="00E8145C" w:rsidP="00B76943">
      <w:pPr>
        <w:widowControl w:val="0"/>
        <w:ind w:left="720"/>
        <w:jc w:val="both"/>
        <w:rPr>
          <w:rFonts w:cs="Tahoma"/>
        </w:rPr>
      </w:pPr>
      <w:r w:rsidRPr="00A75DF9">
        <w:rPr>
          <w:rFonts w:cs="Tahoma"/>
        </w:rPr>
        <w:t>L</w:t>
      </w:r>
      <w:r w:rsidR="00F2643E">
        <w:rPr>
          <w:rFonts w:cs="Tahoma"/>
        </w:rPr>
        <w:t>’</w:t>
      </w:r>
      <w:r w:rsidRPr="00A75DF9">
        <w:rPr>
          <w:rFonts w:cs="Tahoma"/>
        </w:rPr>
        <w:t>utilizzo globale del Calcolo di Windows Azure al di sopra dell</w:t>
      </w:r>
      <w:r w:rsidR="00F2643E">
        <w:rPr>
          <w:rFonts w:cs="Tahoma"/>
        </w:rPr>
        <w:t>’</w:t>
      </w:r>
      <w:r w:rsidRPr="00A75DF9">
        <w:rPr>
          <w:rFonts w:cs="Tahoma"/>
        </w:rPr>
        <w:t>Impegno in termini di Risorse di Calcolo avverrà in base alla disponibilità. L</w:t>
      </w:r>
      <w:r w:rsidR="00F2643E">
        <w:rPr>
          <w:rFonts w:cs="Tahoma"/>
        </w:rPr>
        <w:t>’</w:t>
      </w:r>
      <w:r w:rsidRPr="00A75DF9">
        <w:rPr>
          <w:rFonts w:cs="Tahoma"/>
        </w:rPr>
        <w:t xml:space="preserve">utilizzo globale di qualsiasi Servizio di Windows Azure diverso dal Calcolo di Windows Azure avverrà in base alla disponibilità. </w:t>
      </w:r>
    </w:p>
    <w:p w:rsidR="00152361" w:rsidRPr="00C35F6B" w:rsidRDefault="00152361" w:rsidP="00B76943">
      <w:pPr>
        <w:pStyle w:val="EndnoteText"/>
        <w:ind w:left="720"/>
        <w:rPr>
          <w:rFonts w:ascii="Tahoma" w:hAnsi="Tahoma" w:cs="Tahoma"/>
          <w:sz w:val="16"/>
          <w:szCs w:val="16"/>
        </w:rPr>
      </w:pPr>
    </w:p>
    <w:p w:rsidR="00FF4CAB" w:rsidRPr="00C35F6B" w:rsidRDefault="00FF4CAB" w:rsidP="00376D4B">
      <w:pPr>
        <w:pStyle w:val="EndnoteText"/>
        <w:ind w:left="720"/>
        <w:rPr>
          <w:rFonts w:ascii="Tahoma" w:hAnsi="Tahoma" w:cs="Tahoma"/>
          <w:sz w:val="16"/>
          <w:szCs w:val="16"/>
        </w:rPr>
      </w:pPr>
    </w:p>
    <w:p w:rsidR="00ED12C0" w:rsidRPr="00A75DF9" w:rsidRDefault="00A560B6" w:rsidP="00ED12C0">
      <w:pPr>
        <w:pStyle w:val="Heading2"/>
        <w:ind w:left="0"/>
        <w:rPr>
          <w:rFonts w:ascii="Tahoma" w:hAnsi="Tahoma" w:cs="Tahoma"/>
        </w:rPr>
      </w:pPr>
      <w:bookmarkStart w:id="1532" w:name="_98_Windows_Embedded"/>
      <w:bookmarkStart w:id="1533" w:name="_101_Windows_Embedded"/>
      <w:bookmarkStart w:id="1534" w:name="Srv_107WindowsEmbeddedDeviceMgr2011"/>
      <w:bookmarkStart w:id="1535" w:name="_Toc336338363"/>
      <w:bookmarkStart w:id="1536" w:name="Srv_93SBS2008PremiumEdition"/>
      <w:bookmarkStart w:id="1537" w:name="_Toc368310350"/>
      <w:bookmarkEnd w:id="1525"/>
      <w:bookmarkEnd w:id="1532"/>
      <w:bookmarkEnd w:id="1533"/>
      <w:r w:rsidRPr="00A75DF9">
        <w:rPr>
          <w:rFonts w:ascii="Tahoma" w:hAnsi="Tahoma" w:cs="Tahoma"/>
          <w:caps/>
          <w:color w:val="FF6600"/>
          <w:sz w:val="22"/>
          <w:vertAlign w:val="superscript"/>
        </w:rPr>
        <w:t>100</w:t>
      </w:r>
      <w:r w:rsidRPr="00A75DF9">
        <w:rPr>
          <w:rFonts w:ascii="Tahoma" w:hAnsi="Tahoma" w:cs="Tahoma"/>
          <w:color w:val="FF6600"/>
        </w:rPr>
        <w:t xml:space="preserve"> </w:t>
      </w:r>
      <w:r w:rsidRPr="00A75DF9">
        <w:rPr>
          <w:rFonts w:ascii="Tahoma" w:hAnsi="Tahoma" w:cs="Tahoma"/>
          <w:color w:val="FF6600"/>
          <w:sz w:val="22"/>
        </w:rPr>
        <w:t>Licenza Server di Gestione per Windows Embedded Device Manager 2011</w:t>
      </w:r>
      <w:bookmarkEnd w:id="1534"/>
      <w:bookmarkEnd w:id="1535"/>
      <w:bookmarkEnd w:id="1537"/>
    </w:p>
    <w:p w:rsidR="00ED12C0" w:rsidRPr="00C35F6B" w:rsidRDefault="00ED12C0" w:rsidP="00B76943">
      <w:pPr>
        <w:rPr>
          <w:rFonts w:cs="Tahoma"/>
          <w:sz w:val="16"/>
          <w:szCs w:val="16"/>
        </w:rPr>
      </w:pPr>
    </w:p>
    <w:p w:rsidR="00ED12C0" w:rsidRPr="00A75DF9" w:rsidRDefault="00ED12C0" w:rsidP="00B76943">
      <w:pPr>
        <w:pStyle w:val="EndnoteText"/>
        <w:ind w:left="720"/>
        <w:rPr>
          <w:rFonts w:ascii="Tahoma" w:hAnsi="Tahoma" w:cs="Tahoma"/>
        </w:rPr>
      </w:pPr>
      <w:r w:rsidRPr="00A75DF9">
        <w:rPr>
          <w:rFonts w:ascii="Tahoma" w:hAnsi="Tahoma" w:cs="Tahoma"/>
          <w:color w:val="000000"/>
          <w:sz w:val="18"/>
        </w:rPr>
        <w:t>Prodotto End-Of-Life (EOL) che non verrà più offerto.</w:t>
      </w:r>
    </w:p>
    <w:p w:rsidR="00ED12C0" w:rsidRPr="00C35F6B" w:rsidRDefault="00ED12C0" w:rsidP="00B76943">
      <w:pPr>
        <w:pStyle w:val="EndnoteText"/>
        <w:ind w:left="720"/>
        <w:rPr>
          <w:rFonts w:ascii="Tahoma" w:hAnsi="Tahoma" w:cs="Tahoma"/>
          <w:sz w:val="16"/>
          <w:szCs w:val="16"/>
        </w:rPr>
      </w:pPr>
    </w:p>
    <w:p w:rsidR="00ED12C0" w:rsidRPr="00A75DF9" w:rsidRDefault="00ED12C0" w:rsidP="00B76943">
      <w:pPr>
        <w:pStyle w:val="EndnoteText"/>
        <w:spacing w:after="60"/>
        <w:ind w:left="720"/>
        <w:rPr>
          <w:rFonts w:ascii="Tahoma" w:hAnsi="Tahoma" w:cs="Tahoma"/>
        </w:rPr>
      </w:pPr>
      <w:r w:rsidRPr="00A75DF9">
        <w:rPr>
          <w:rFonts w:ascii="Tahoma" w:hAnsi="Tahoma" w:cs="Tahoma"/>
          <w:b/>
          <w:color w:val="000000"/>
          <w:sz w:val="18"/>
        </w:rPr>
        <w:t>Concessione di una Licenza Una Tantum ai Titolari di Licenza per Windows Embedded Device Manager 2011 con Software Assurance Attiva</w:t>
      </w:r>
    </w:p>
    <w:p w:rsidR="002512D3" w:rsidRPr="007C7A9E" w:rsidRDefault="00ED12C0" w:rsidP="003165D6">
      <w:pPr>
        <w:pStyle w:val="EndnoteText"/>
        <w:ind w:left="720"/>
        <w:rPr>
          <w:rFonts w:ascii="Tahoma" w:hAnsi="Tahoma" w:cs="Tahoma"/>
          <w:sz w:val="18"/>
          <w:szCs w:val="18"/>
        </w:rPr>
      </w:pPr>
      <w:r w:rsidRPr="007C7A9E">
        <w:rPr>
          <w:rFonts w:ascii="Tahoma" w:hAnsi="Tahoma" w:cs="Tahoma"/>
          <w:color w:val="000000"/>
          <w:sz w:val="18"/>
          <w:szCs w:val="18"/>
        </w:rPr>
        <w:t>In via di eccezione una tantum legata all</w:t>
      </w:r>
      <w:r w:rsidR="00F2643E">
        <w:rPr>
          <w:rFonts w:ascii="Tahoma" w:hAnsi="Tahoma" w:cs="Tahoma"/>
          <w:color w:val="000000"/>
          <w:sz w:val="18"/>
          <w:szCs w:val="18"/>
        </w:rPr>
        <w:t>’</w:t>
      </w:r>
      <w:r w:rsidRPr="007C7A9E">
        <w:rPr>
          <w:rFonts w:ascii="Tahoma" w:hAnsi="Tahoma" w:cs="Tahoma"/>
          <w:color w:val="000000"/>
          <w:sz w:val="18"/>
          <w:szCs w:val="18"/>
        </w:rPr>
        <w:t>interruzione di licenze di server di gestione per Windows Embedded Device Manager 2011, alle società in possesso di Software Assurance con copertura attiva al 1 aprile 2012 verranno fornite le licenze di gestione client come di seguito indicato:</w:t>
      </w:r>
    </w:p>
    <w:p w:rsidR="00ED12C0" w:rsidRPr="00C35F6B" w:rsidRDefault="00ED12C0" w:rsidP="00B76943">
      <w:pPr>
        <w:pStyle w:val="EndnoteText"/>
        <w:ind w:left="720"/>
        <w:rPr>
          <w:rFonts w:ascii="Tahoma" w:hAnsi="Tahoma" w:cs="Tahoma"/>
          <w:sz w:val="16"/>
          <w:szCs w:val="16"/>
        </w:rPr>
      </w:pPr>
    </w:p>
    <w:p w:rsidR="00ED12C0" w:rsidRPr="00C35F6B" w:rsidRDefault="00ED12C0" w:rsidP="00B76943">
      <w:pPr>
        <w:pStyle w:val="EndnoteText"/>
        <w:rPr>
          <w:rFonts w:ascii="Tahoma" w:hAnsi="Tahoma" w:cs="Tahoma"/>
          <w:sz w:val="16"/>
          <w:szCs w:val="16"/>
        </w:rPr>
      </w:pPr>
    </w:p>
    <w:tbl>
      <w:tblPr>
        <w:tblW w:w="0" w:type="auto"/>
        <w:tblInd w:w="878"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shd w:val="clear" w:color="auto" w:fill="FFFFFF"/>
        <w:tblLook w:val="04A0" w:firstRow="1" w:lastRow="0" w:firstColumn="1" w:lastColumn="0" w:noHBand="0" w:noVBand="1"/>
      </w:tblPr>
      <w:tblGrid>
        <w:gridCol w:w="3960"/>
        <w:gridCol w:w="4050"/>
      </w:tblGrid>
      <w:tr w:rsidR="00ED12C0" w:rsidRPr="00A75DF9" w:rsidTr="00CA14C9">
        <w:tc>
          <w:tcPr>
            <w:tcW w:w="3960" w:type="dxa"/>
            <w:tcBorders>
              <w:top w:val="single" w:sz="4" w:space="0" w:color="000000"/>
              <w:bottom w:val="single" w:sz="6" w:space="0" w:color="000000"/>
            </w:tcBorders>
            <w:shd w:val="clear" w:color="auto" w:fill="FABF8F"/>
          </w:tcPr>
          <w:p w:rsidR="00ED12C0" w:rsidRPr="00A75DF9" w:rsidRDefault="00ED12C0" w:rsidP="004342E4">
            <w:pPr>
              <w:jc w:val="center"/>
              <w:rPr>
                <w:rFonts w:cs="Tahoma"/>
                <w:b/>
                <w:color w:val="000000"/>
                <w:szCs w:val="20"/>
              </w:rPr>
            </w:pPr>
            <w:r w:rsidRPr="00A75DF9">
              <w:rPr>
                <w:rFonts w:cs="Tahoma"/>
                <w:b/>
                <w:color w:val="000000"/>
                <w:szCs w:val="20"/>
              </w:rPr>
              <w:t>Licenze Qualificanti</w:t>
            </w:r>
          </w:p>
        </w:tc>
        <w:tc>
          <w:tcPr>
            <w:tcW w:w="4050" w:type="dxa"/>
            <w:tcBorders>
              <w:top w:val="single" w:sz="4" w:space="0" w:color="000000"/>
              <w:bottom w:val="single" w:sz="6" w:space="0" w:color="000000"/>
            </w:tcBorders>
            <w:shd w:val="clear" w:color="auto" w:fill="FABF8F"/>
          </w:tcPr>
          <w:p w:rsidR="00ED12C0" w:rsidRPr="00A75DF9" w:rsidRDefault="00ED12C0" w:rsidP="004342E4">
            <w:pPr>
              <w:jc w:val="center"/>
              <w:rPr>
                <w:rFonts w:cs="Tahoma"/>
                <w:b/>
                <w:color w:val="000000"/>
                <w:szCs w:val="20"/>
              </w:rPr>
            </w:pPr>
            <w:r w:rsidRPr="00A75DF9">
              <w:rPr>
                <w:rFonts w:cs="Tahoma"/>
                <w:color w:val="000000"/>
              </w:rPr>
              <w:t>Licenze di Gestione Client per Windows Embedded Device Manager 2011</w:t>
            </w:r>
          </w:p>
        </w:tc>
      </w:tr>
      <w:tr w:rsidR="00ED12C0" w:rsidRPr="00A75DF9" w:rsidTr="00CA14C9">
        <w:tc>
          <w:tcPr>
            <w:tcW w:w="3960" w:type="dxa"/>
            <w:tcBorders>
              <w:top w:val="single" w:sz="6" w:space="0" w:color="000000"/>
            </w:tcBorders>
            <w:shd w:val="clear" w:color="auto" w:fill="FFFFFF"/>
          </w:tcPr>
          <w:p w:rsidR="00ED12C0" w:rsidRPr="00A75DF9" w:rsidRDefault="00ED12C0" w:rsidP="004342E4">
            <w:pPr>
              <w:rPr>
                <w:rFonts w:cs="Tahoma"/>
                <w:color w:val="000000"/>
                <w:szCs w:val="20"/>
              </w:rPr>
            </w:pPr>
            <w:r w:rsidRPr="00A75DF9">
              <w:rPr>
                <w:rFonts w:cs="Tahoma"/>
                <w:color w:val="000000"/>
                <w:szCs w:val="20"/>
              </w:rPr>
              <w:t>Licenza per Windows Embedded Device Manager 2011 Server</w:t>
            </w:r>
          </w:p>
        </w:tc>
        <w:tc>
          <w:tcPr>
            <w:tcW w:w="4050" w:type="dxa"/>
            <w:tcBorders>
              <w:top w:val="single" w:sz="6" w:space="0" w:color="000000"/>
            </w:tcBorders>
            <w:shd w:val="clear" w:color="auto" w:fill="FFFFFF"/>
          </w:tcPr>
          <w:p w:rsidR="00ED12C0" w:rsidRPr="00A75DF9" w:rsidRDefault="00ED12C0" w:rsidP="004342E4">
            <w:pPr>
              <w:rPr>
                <w:rFonts w:cs="Tahoma"/>
                <w:color w:val="000000"/>
                <w:szCs w:val="20"/>
              </w:rPr>
            </w:pPr>
            <w:r w:rsidRPr="00A75DF9">
              <w:rPr>
                <w:rFonts w:cs="Tahoma"/>
                <w:color w:val="000000"/>
                <w:szCs w:val="20"/>
              </w:rPr>
              <w:t>13 Licenze di Gestione Client per Windows Embedded Device Manager 2011</w:t>
            </w:r>
          </w:p>
        </w:tc>
      </w:tr>
      <w:tr w:rsidR="00ED12C0" w:rsidRPr="00A75DF9" w:rsidTr="00CA14C9">
        <w:tc>
          <w:tcPr>
            <w:tcW w:w="3960" w:type="dxa"/>
            <w:shd w:val="clear" w:color="auto" w:fill="FFFFFF"/>
          </w:tcPr>
          <w:p w:rsidR="00ED12C0" w:rsidRPr="00A75DF9" w:rsidRDefault="00ED12C0" w:rsidP="004342E4">
            <w:pPr>
              <w:rPr>
                <w:rFonts w:cs="Tahoma"/>
                <w:color w:val="000000"/>
                <w:szCs w:val="20"/>
              </w:rPr>
            </w:pPr>
            <w:r w:rsidRPr="00A75DF9">
              <w:rPr>
                <w:rFonts w:cs="Tahoma"/>
                <w:color w:val="000000"/>
                <w:szCs w:val="20"/>
              </w:rPr>
              <w:t>Licenza per Windows Embedded Device Manager 2011 Server con Tecnologia SQL Server 2008</w:t>
            </w:r>
          </w:p>
        </w:tc>
        <w:tc>
          <w:tcPr>
            <w:tcW w:w="4050" w:type="dxa"/>
            <w:shd w:val="clear" w:color="auto" w:fill="FFFFFF"/>
          </w:tcPr>
          <w:p w:rsidR="00ED12C0" w:rsidRPr="00A75DF9" w:rsidRDefault="00ED12C0" w:rsidP="004342E4">
            <w:pPr>
              <w:rPr>
                <w:rFonts w:cs="Tahoma"/>
                <w:color w:val="000000"/>
                <w:szCs w:val="20"/>
              </w:rPr>
            </w:pPr>
            <w:r w:rsidRPr="00A75DF9">
              <w:rPr>
                <w:rFonts w:cs="Tahoma"/>
                <w:color w:val="000000"/>
                <w:szCs w:val="20"/>
              </w:rPr>
              <w:t>30 Licenze di Gestione Client per Windows Embedded Device Manager 2011</w:t>
            </w:r>
          </w:p>
        </w:tc>
      </w:tr>
    </w:tbl>
    <w:p w:rsidR="00ED12C0" w:rsidRPr="007C7A9E" w:rsidRDefault="00ED12C0" w:rsidP="00ED12C0">
      <w:pPr>
        <w:pStyle w:val="EndnoteText"/>
        <w:ind w:left="0"/>
        <w:rPr>
          <w:rFonts w:ascii="Tahoma" w:hAnsi="Tahoma" w:cs="Tahoma"/>
          <w:sz w:val="18"/>
          <w:szCs w:val="18"/>
        </w:rPr>
      </w:pPr>
    </w:p>
    <w:p w:rsidR="00ED12C0" w:rsidRPr="007C7A9E" w:rsidRDefault="00ED12C0" w:rsidP="00376D4B">
      <w:pPr>
        <w:pStyle w:val="EndnoteText"/>
        <w:ind w:left="720"/>
        <w:rPr>
          <w:rFonts w:ascii="Tahoma" w:hAnsi="Tahoma" w:cs="Tahoma"/>
          <w:sz w:val="18"/>
          <w:szCs w:val="18"/>
        </w:rPr>
      </w:pPr>
      <w:r w:rsidRPr="007C7A9E">
        <w:rPr>
          <w:rFonts w:ascii="Tahoma" w:hAnsi="Tahoma" w:cs="Tahoma"/>
          <w:color w:val="000000"/>
          <w:sz w:val="18"/>
          <w:szCs w:val="18"/>
        </w:rPr>
        <w:lastRenderedPageBreak/>
        <w:t xml:space="preserve">Tutte le licenze concesse ai sensi della presente offerta includeranno la copertura Software Assurance. Tale copertura cesserà alla scadenza della copertura per le licenze qualificanti. Alla scadenza della copertura, le società potranno rinnovare Software Assurance sulle licenze concesse. </w:t>
      </w:r>
    </w:p>
    <w:p w:rsidR="00ED12C0" w:rsidRPr="007C7A9E" w:rsidRDefault="00ED12C0" w:rsidP="00376D4B">
      <w:pPr>
        <w:pStyle w:val="EndnoteText"/>
        <w:ind w:left="720"/>
        <w:rPr>
          <w:rFonts w:ascii="Tahoma" w:hAnsi="Tahoma" w:cs="Tahoma"/>
          <w:sz w:val="18"/>
          <w:szCs w:val="18"/>
        </w:rPr>
      </w:pPr>
    </w:p>
    <w:p w:rsidR="00ED12C0" w:rsidRPr="007C7A9E" w:rsidRDefault="00ED12C0" w:rsidP="0012364E">
      <w:pPr>
        <w:pStyle w:val="EndnoteText"/>
        <w:ind w:left="720"/>
        <w:rPr>
          <w:rFonts w:ascii="Tahoma" w:hAnsi="Tahoma" w:cs="Tahoma"/>
          <w:sz w:val="18"/>
          <w:szCs w:val="18"/>
        </w:rPr>
      </w:pPr>
      <w:r w:rsidRPr="007C7A9E">
        <w:rPr>
          <w:rFonts w:ascii="Tahoma" w:hAnsi="Tahoma" w:cs="Tahoma"/>
          <w:color w:val="000000"/>
          <w:sz w:val="18"/>
          <w:szCs w:val="18"/>
        </w:rPr>
        <w:t>L</w:t>
      </w:r>
      <w:r w:rsidR="00F2643E">
        <w:rPr>
          <w:rFonts w:ascii="Tahoma" w:hAnsi="Tahoma" w:cs="Tahoma"/>
          <w:color w:val="000000"/>
          <w:sz w:val="18"/>
          <w:szCs w:val="18"/>
        </w:rPr>
        <w:t>’</w:t>
      </w:r>
      <w:r w:rsidRPr="007C7A9E">
        <w:rPr>
          <w:rFonts w:ascii="Tahoma" w:hAnsi="Tahoma" w:cs="Tahoma"/>
          <w:color w:val="000000"/>
          <w:sz w:val="18"/>
          <w:szCs w:val="18"/>
        </w:rPr>
        <w:t>utilizzo del software da parte della società ai sensi della presente offerta sarà soggetto alle condizioni del relativo contratto di licenza e ai diritti di utilizzo del prodotto relativi al software. Il diritto di utilizzo del software in concessione scadrà alla scadenza del diritto di utilizzo del software ai sensi della licenza qualificante per Windows Embedded Device Manager 2011. Questa Nota relativa al Prodotto insieme alla prova delle licenze qualificanti attesteranno il diritto della società di utilizzare Windows Embedded Device Manager 2011 ai sensi delle condizioni della presente offerta. La società non avrà più il diritto di utilizzo del</w:t>
      </w:r>
      <w:r w:rsidR="0012364E">
        <w:rPr>
          <w:rFonts w:ascii="Tahoma" w:hAnsi="Tahoma" w:cs="Tahoma"/>
          <w:color w:val="000000"/>
          <w:sz w:val="18"/>
          <w:szCs w:val="18"/>
        </w:rPr>
        <w:t> </w:t>
      </w:r>
      <w:r w:rsidRPr="007C7A9E">
        <w:rPr>
          <w:rFonts w:ascii="Tahoma" w:hAnsi="Tahoma" w:cs="Tahoma"/>
          <w:color w:val="000000"/>
          <w:sz w:val="18"/>
          <w:szCs w:val="18"/>
        </w:rPr>
        <w:t>software ai sensi di licenze qualificanti cedute al server al momento dell</w:t>
      </w:r>
      <w:r w:rsidR="00F2643E">
        <w:rPr>
          <w:rFonts w:ascii="Tahoma" w:hAnsi="Tahoma" w:cs="Tahoma"/>
          <w:color w:val="000000"/>
          <w:sz w:val="18"/>
          <w:szCs w:val="18"/>
        </w:rPr>
        <w:t>’</w:t>
      </w:r>
      <w:r w:rsidRPr="007C7A9E">
        <w:rPr>
          <w:rFonts w:ascii="Tahoma" w:hAnsi="Tahoma" w:cs="Tahoma"/>
          <w:color w:val="000000"/>
          <w:sz w:val="18"/>
          <w:szCs w:val="18"/>
        </w:rPr>
        <w:t>uso del software in base alla presente offerta. Le società non potranno trasferire le licenze concesse in virtù della presente offerta separatamente dalle licenze qualificanti corrispondenti.</w:t>
      </w:r>
    </w:p>
    <w:p w:rsidR="00ED12C0" w:rsidRPr="007C7A9E" w:rsidRDefault="00ED12C0" w:rsidP="00376D4B">
      <w:pPr>
        <w:pStyle w:val="EndnoteText"/>
        <w:ind w:left="720"/>
        <w:rPr>
          <w:rFonts w:ascii="Tahoma" w:hAnsi="Tahoma" w:cs="Tahoma"/>
          <w:sz w:val="18"/>
          <w:szCs w:val="18"/>
        </w:rPr>
      </w:pPr>
    </w:p>
    <w:p w:rsidR="00ED12C0" w:rsidRPr="007C7A9E" w:rsidRDefault="00ED12C0" w:rsidP="00376D4B">
      <w:pPr>
        <w:ind w:left="720"/>
        <w:rPr>
          <w:rFonts w:cs="Tahoma"/>
          <w:szCs w:val="18"/>
        </w:rPr>
      </w:pPr>
      <w:r w:rsidRPr="007C7A9E">
        <w:rPr>
          <w:rFonts w:cs="Tahoma"/>
          <w:color w:val="000000"/>
          <w:szCs w:val="18"/>
        </w:rPr>
        <w:t>Le licenze per Windows Embedded Device Manager 2011, acquistate dopo il 1 aprile 2012 nell</w:t>
      </w:r>
      <w:r w:rsidR="00F2643E">
        <w:rPr>
          <w:rFonts w:cs="Tahoma"/>
          <w:color w:val="000000"/>
          <w:szCs w:val="18"/>
        </w:rPr>
        <w:t>’</w:t>
      </w:r>
      <w:r w:rsidRPr="007C7A9E">
        <w:rPr>
          <w:rFonts w:cs="Tahoma"/>
          <w:color w:val="000000"/>
          <w:szCs w:val="18"/>
        </w:rPr>
        <w:t>ambito della procedura annuale di true-up di una società per le Iscrizioni Enterprise, ai sensi delle quali le licenze per Windows Embedded Device Manager 2011 sono state inizialmente acquistate prima del 1 aprile 2012, sono anch</w:t>
      </w:r>
      <w:r w:rsidR="00F2643E">
        <w:rPr>
          <w:rFonts w:cs="Tahoma"/>
          <w:color w:val="000000"/>
          <w:szCs w:val="18"/>
        </w:rPr>
        <w:t>’</w:t>
      </w:r>
      <w:r w:rsidRPr="007C7A9E">
        <w:rPr>
          <w:rFonts w:cs="Tahoma"/>
          <w:color w:val="000000"/>
          <w:szCs w:val="18"/>
        </w:rPr>
        <w:t>esse idonee a ricevere Client ML per Windows Embedded Device Manager 2011 in base alla presente offerta.</w:t>
      </w:r>
    </w:p>
    <w:p w:rsidR="00ED12C0" w:rsidRPr="007C7A9E" w:rsidRDefault="00ED12C0" w:rsidP="00376D4B">
      <w:pPr>
        <w:ind w:left="720"/>
        <w:rPr>
          <w:rFonts w:cs="Tahoma"/>
          <w:szCs w:val="18"/>
        </w:rPr>
      </w:pPr>
    </w:p>
    <w:p w:rsidR="00ED12C0" w:rsidRPr="007C7A9E" w:rsidRDefault="00ED12C0" w:rsidP="00376D4B">
      <w:pPr>
        <w:ind w:left="720"/>
        <w:rPr>
          <w:rFonts w:cs="Tahoma"/>
          <w:szCs w:val="18"/>
        </w:rPr>
      </w:pPr>
      <w:r w:rsidRPr="007C7A9E">
        <w:rPr>
          <w:rFonts w:cs="Tahoma"/>
          <w:color w:val="000000"/>
          <w:szCs w:val="18"/>
        </w:rPr>
        <w:t>Per Contratti Enterprise Subscription, Campus e School e Open Value Subscription, gli stessi diritti verranno concessi temporaneamente fino al termine del periodo di validità dell</w:t>
      </w:r>
      <w:r w:rsidR="00F2643E">
        <w:rPr>
          <w:rFonts w:cs="Tahoma"/>
          <w:color w:val="000000"/>
          <w:szCs w:val="18"/>
        </w:rPr>
        <w:t>’</w:t>
      </w:r>
      <w:r w:rsidRPr="007C7A9E">
        <w:rPr>
          <w:rFonts w:cs="Tahoma"/>
          <w:color w:val="000000"/>
          <w:szCs w:val="18"/>
        </w:rPr>
        <w:t>iscrizione della licenza, qualora le Licenze e la copertura Software Assurance siano valide durante il periodo di concessione e la società mantenga la copertura dell</w:t>
      </w:r>
      <w:r w:rsidR="00F2643E">
        <w:rPr>
          <w:rFonts w:cs="Tahoma"/>
          <w:color w:val="000000"/>
          <w:szCs w:val="18"/>
        </w:rPr>
        <w:t>’</w:t>
      </w:r>
      <w:r w:rsidRPr="007C7A9E">
        <w:rPr>
          <w:rFonts w:cs="Tahoma"/>
          <w:color w:val="000000"/>
          <w:szCs w:val="18"/>
        </w:rPr>
        <w:t>abbonamento in via continuativa.</w:t>
      </w:r>
      <w:r w:rsidR="009D3B41" w:rsidRPr="007C7A9E">
        <w:rPr>
          <w:rFonts w:cs="Tahoma"/>
          <w:color w:val="000000"/>
          <w:szCs w:val="18"/>
        </w:rPr>
        <w:t xml:space="preserve"> </w:t>
      </w:r>
      <w:r w:rsidRPr="007C7A9E">
        <w:rPr>
          <w:rFonts w:cs="Tahoma"/>
          <w:color w:val="000000"/>
          <w:szCs w:val="18"/>
        </w:rPr>
        <w:t>Tali diritti diventeranno permanenti soltanto all</w:t>
      </w:r>
      <w:r w:rsidR="00F2643E">
        <w:rPr>
          <w:rFonts w:cs="Tahoma"/>
          <w:color w:val="000000"/>
          <w:szCs w:val="18"/>
        </w:rPr>
        <w:t>’</w:t>
      </w:r>
      <w:r w:rsidRPr="007C7A9E">
        <w:rPr>
          <w:rFonts w:cs="Tahoma"/>
          <w:color w:val="000000"/>
          <w:szCs w:val="18"/>
        </w:rPr>
        <w:t>esercizio dell</w:t>
      </w:r>
      <w:r w:rsidR="00F2643E">
        <w:rPr>
          <w:rFonts w:cs="Tahoma"/>
          <w:color w:val="000000"/>
          <w:szCs w:val="18"/>
        </w:rPr>
        <w:t>’</w:t>
      </w:r>
      <w:r w:rsidRPr="007C7A9E">
        <w:rPr>
          <w:rFonts w:cs="Tahoma"/>
          <w:color w:val="000000"/>
          <w:szCs w:val="18"/>
        </w:rPr>
        <w:t>opzione buy-out e resteranno soggetti a tutte le condizioni del contratto di licenza della società.</w:t>
      </w:r>
    </w:p>
    <w:p w:rsidR="00A40838" w:rsidRPr="007C7A9E" w:rsidRDefault="00A40838" w:rsidP="00376D4B">
      <w:pPr>
        <w:ind w:left="720"/>
        <w:rPr>
          <w:rFonts w:cs="Tahoma"/>
          <w:szCs w:val="18"/>
        </w:rPr>
      </w:pPr>
    </w:p>
    <w:p w:rsidR="005D5C95" w:rsidRPr="00A75DF9" w:rsidRDefault="005D5C95" w:rsidP="00376D4B">
      <w:pPr>
        <w:ind w:left="720"/>
        <w:rPr>
          <w:rFonts w:cs="Tahoma"/>
        </w:rPr>
      </w:pPr>
    </w:p>
    <w:p w:rsidR="005D5C95" w:rsidRPr="00A75DF9" w:rsidRDefault="00A560B6" w:rsidP="00076947">
      <w:pPr>
        <w:pStyle w:val="Heading2"/>
        <w:keepNext/>
        <w:ind w:left="0"/>
        <w:rPr>
          <w:rFonts w:ascii="Tahoma" w:hAnsi="Tahoma" w:cs="Tahoma"/>
        </w:rPr>
      </w:pPr>
      <w:bookmarkStart w:id="1538" w:name="_96_Windows_Embedded"/>
      <w:bookmarkStart w:id="1539" w:name="_99_Windows_Embedded"/>
      <w:bookmarkStart w:id="1540" w:name="_102_Windows_Embedded"/>
      <w:bookmarkStart w:id="1541" w:name="Srv_108EBS2008StandardPrem"/>
      <w:bookmarkStart w:id="1542" w:name="_Toc368310351"/>
      <w:bookmarkEnd w:id="1538"/>
      <w:bookmarkEnd w:id="1539"/>
      <w:bookmarkEnd w:id="1540"/>
      <w:r w:rsidRPr="00A75DF9">
        <w:rPr>
          <w:rFonts w:ascii="Tahoma" w:hAnsi="Tahoma" w:cs="Tahoma"/>
          <w:caps/>
          <w:color w:val="FF6600"/>
          <w:sz w:val="22"/>
          <w:vertAlign w:val="superscript"/>
        </w:rPr>
        <w:t>101</w:t>
      </w:r>
      <w:r w:rsidRPr="00A75DF9">
        <w:rPr>
          <w:rFonts w:ascii="Tahoma" w:hAnsi="Tahoma" w:cs="Tahoma"/>
          <w:color w:val="FF6600"/>
        </w:rPr>
        <w:t xml:space="preserve"> </w:t>
      </w:r>
      <w:r w:rsidRPr="00A75DF9">
        <w:rPr>
          <w:rFonts w:ascii="Tahoma" w:hAnsi="Tahoma" w:cs="Tahoma"/>
          <w:color w:val="FF6600"/>
          <w:sz w:val="22"/>
        </w:rPr>
        <w:t>Licenza di Gestione Client per Windows Embedded Device Manager 2011</w:t>
      </w:r>
      <w:bookmarkEnd w:id="1542"/>
    </w:p>
    <w:p w:rsidR="005D5C95" w:rsidRPr="00A75DF9" w:rsidRDefault="005D5C95" w:rsidP="00076947">
      <w:pPr>
        <w:keepNext/>
        <w:rPr>
          <w:rFonts w:cs="Tahoma"/>
        </w:rPr>
      </w:pPr>
    </w:p>
    <w:p w:rsidR="005D5C95" w:rsidRPr="00A75DF9" w:rsidRDefault="005D5C95" w:rsidP="00076947">
      <w:pPr>
        <w:pStyle w:val="EndnoteText"/>
        <w:keepNext/>
        <w:ind w:left="720"/>
        <w:rPr>
          <w:rFonts w:ascii="Tahoma" w:hAnsi="Tahoma" w:cs="Tahoma"/>
        </w:rPr>
      </w:pPr>
      <w:r w:rsidRPr="00A75DF9">
        <w:rPr>
          <w:rFonts w:ascii="Tahoma" w:hAnsi="Tahoma" w:cs="Tahoma"/>
          <w:color w:val="000000"/>
          <w:sz w:val="18"/>
        </w:rPr>
        <w:t>Prodotto End-Of-Life (EOL) che non verrà più offerto.</w:t>
      </w:r>
    </w:p>
    <w:p w:rsidR="005D5C95" w:rsidRPr="0012364E" w:rsidRDefault="005D5C95" w:rsidP="005D5C95">
      <w:pPr>
        <w:pStyle w:val="EndnoteText"/>
        <w:ind w:left="720"/>
        <w:rPr>
          <w:rFonts w:ascii="Tahoma" w:hAnsi="Tahoma" w:cs="Tahoma"/>
          <w:sz w:val="18"/>
          <w:szCs w:val="18"/>
        </w:rPr>
      </w:pPr>
    </w:p>
    <w:p w:rsidR="005D5C95" w:rsidRPr="0012364E" w:rsidRDefault="005D5C95" w:rsidP="007A34E3">
      <w:pPr>
        <w:pStyle w:val="EndnoteText"/>
        <w:spacing w:after="60"/>
        <w:ind w:left="720"/>
        <w:rPr>
          <w:rFonts w:ascii="Tahoma" w:hAnsi="Tahoma" w:cs="Tahoma"/>
          <w:sz w:val="18"/>
          <w:szCs w:val="18"/>
        </w:rPr>
      </w:pPr>
      <w:r w:rsidRPr="0012364E">
        <w:rPr>
          <w:rFonts w:ascii="Tahoma" w:hAnsi="Tahoma" w:cs="Tahoma"/>
          <w:b/>
          <w:color w:val="000000"/>
          <w:sz w:val="18"/>
          <w:szCs w:val="18"/>
        </w:rPr>
        <w:t>Concessione di una Licenza di Gestione Client Una Tantum ai Titolari di Licenza per Windows Embedded Device Manager 2011 con Software Assurance Attiva</w:t>
      </w:r>
    </w:p>
    <w:p w:rsidR="005D5C95" w:rsidRPr="0012364E" w:rsidRDefault="005D5C95" w:rsidP="005D5C95">
      <w:pPr>
        <w:pStyle w:val="EndnoteText"/>
        <w:ind w:left="720"/>
        <w:rPr>
          <w:rFonts w:ascii="Tahoma" w:hAnsi="Tahoma" w:cs="Tahoma"/>
          <w:sz w:val="18"/>
          <w:szCs w:val="18"/>
        </w:rPr>
      </w:pPr>
      <w:r w:rsidRPr="0012364E">
        <w:rPr>
          <w:rFonts w:ascii="Tahoma" w:hAnsi="Tahoma" w:cs="Tahoma"/>
          <w:color w:val="000000"/>
          <w:sz w:val="18"/>
          <w:szCs w:val="18"/>
        </w:rPr>
        <w:t>In via di eccezione una tantum legata all</w:t>
      </w:r>
      <w:r w:rsidR="00F2643E">
        <w:rPr>
          <w:rFonts w:ascii="Tahoma" w:hAnsi="Tahoma" w:cs="Tahoma"/>
          <w:color w:val="000000"/>
          <w:sz w:val="18"/>
          <w:szCs w:val="18"/>
        </w:rPr>
        <w:t>’</w:t>
      </w:r>
      <w:r w:rsidRPr="0012364E">
        <w:rPr>
          <w:rFonts w:ascii="Tahoma" w:hAnsi="Tahoma" w:cs="Tahoma"/>
          <w:color w:val="000000"/>
          <w:sz w:val="18"/>
          <w:szCs w:val="18"/>
        </w:rPr>
        <w:t>interruzione di licenze di Gestione Client per Windows Embedded Device Manager 2011 (per OSE/Utente), alle società in possesso di Software Assurance con copertura attiva al 1 gennaio 2013 verrà fornito lo stesso numero di licenze di Gestione Client per System Center 2012 Configuration Manager (per OSE/Utente).</w:t>
      </w:r>
    </w:p>
    <w:p w:rsidR="005D5C95" w:rsidRPr="0012364E" w:rsidRDefault="005D5C95" w:rsidP="005D5C95">
      <w:pPr>
        <w:pStyle w:val="EndnoteText"/>
        <w:ind w:left="0"/>
        <w:rPr>
          <w:rFonts w:ascii="Tahoma" w:hAnsi="Tahoma" w:cs="Tahoma"/>
          <w:sz w:val="18"/>
          <w:szCs w:val="18"/>
        </w:rPr>
      </w:pPr>
    </w:p>
    <w:p w:rsidR="005D5C95" w:rsidRPr="0012364E" w:rsidRDefault="005D5C95" w:rsidP="005D5C95">
      <w:pPr>
        <w:pStyle w:val="EndnoteText"/>
        <w:ind w:left="720"/>
        <w:rPr>
          <w:rFonts w:ascii="Tahoma" w:hAnsi="Tahoma" w:cs="Tahoma"/>
          <w:sz w:val="18"/>
          <w:szCs w:val="18"/>
        </w:rPr>
      </w:pPr>
      <w:r w:rsidRPr="0012364E">
        <w:rPr>
          <w:rFonts w:ascii="Tahoma" w:hAnsi="Tahoma" w:cs="Tahoma"/>
          <w:color w:val="000000"/>
          <w:sz w:val="18"/>
          <w:szCs w:val="18"/>
        </w:rPr>
        <w:t xml:space="preserve">Tutte le licenze concesse ai sensi della presente offerta includeranno la copertura Software Assurance. Tale copertura cesserà alla scadenza della copertura per le licenze qualificanti. Alla scadenza della copertura, le società potranno rinnovare Software Assurance sulle licenze concesse. </w:t>
      </w:r>
    </w:p>
    <w:p w:rsidR="005D5C95" w:rsidRPr="0012364E" w:rsidRDefault="005D5C95" w:rsidP="005D5C95">
      <w:pPr>
        <w:pStyle w:val="EndnoteText"/>
        <w:ind w:left="720"/>
        <w:rPr>
          <w:rFonts w:ascii="Tahoma" w:hAnsi="Tahoma" w:cs="Tahoma"/>
          <w:sz w:val="18"/>
          <w:szCs w:val="18"/>
        </w:rPr>
      </w:pPr>
    </w:p>
    <w:p w:rsidR="005D5C95" w:rsidRPr="0012364E" w:rsidRDefault="005D5C95" w:rsidP="005D5C95">
      <w:pPr>
        <w:pStyle w:val="EndnoteText"/>
        <w:ind w:left="720"/>
        <w:rPr>
          <w:rFonts w:ascii="Tahoma" w:hAnsi="Tahoma" w:cs="Tahoma"/>
          <w:sz w:val="18"/>
          <w:szCs w:val="18"/>
        </w:rPr>
      </w:pPr>
      <w:r w:rsidRPr="0012364E">
        <w:rPr>
          <w:rFonts w:ascii="Tahoma" w:hAnsi="Tahoma" w:cs="Tahoma"/>
          <w:color w:val="000000"/>
          <w:sz w:val="18"/>
          <w:szCs w:val="18"/>
        </w:rPr>
        <w:t>L</w:t>
      </w:r>
      <w:r w:rsidR="00F2643E">
        <w:rPr>
          <w:rFonts w:ascii="Tahoma" w:hAnsi="Tahoma" w:cs="Tahoma"/>
          <w:color w:val="000000"/>
          <w:sz w:val="18"/>
          <w:szCs w:val="18"/>
        </w:rPr>
        <w:t>’</w:t>
      </w:r>
      <w:r w:rsidRPr="0012364E">
        <w:rPr>
          <w:rFonts w:ascii="Tahoma" w:hAnsi="Tahoma" w:cs="Tahoma"/>
          <w:color w:val="000000"/>
          <w:sz w:val="18"/>
          <w:szCs w:val="18"/>
        </w:rPr>
        <w:t>utilizzo del software da parte della società ai sensi della presente offerta sarà soggetto alle condizioni del relativo contratto di licenza e ai diritti di utilizzo del prodotto relativi al software. Il diritto di utilizzo del software in concessione scadrà alla scadenza del diritto di utilizzo del software ai sensi della licenza qualificante di Gestione Client per Windows Embedded Device Manager 2011. Questa Nota relativa al Prodotto insieme alla prova delle licenze qualificanti attesteranno il diritto della società di utilizzare la licenza di Gestione Client per System Center 2012 Configuration Manager ai sensi delle condizioni della presente offerta. La società non avrà più il diritto di utilizzo del software ai sensi di licenze qualificanti cedute al server al momento dell</w:t>
      </w:r>
      <w:r w:rsidR="00F2643E">
        <w:rPr>
          <w:rFonts w:ascii="Tahoma" w:hAnsi="Tahoma" w:cs="Tahoma"/>
          <w:color w:val="000000"/>
          <w:sz w:val="18"/>
          <w:szCs w:val="18"/>
        </w:rPr>
        <w:t>’</w:t>
      </w:r>
      <w:r w:rsidRPr="0012364E">
        <w:rPr>
          <w:rFonts w:ascii="Tahoma" w:hAnsi="Tahoma" w:cs="Tahoma"/>
          <w:color w:val="000000"/>
          <w:sz w:val="18"/>
          <w:szCs w:val="18"/>
        </w:rPr>
        <w:t>uso del software in base alla presente offerta. Le società non potranno trasferire le licenze concesse in virtù della presente offerta separatamente dalle licenze qualificanti corrispondenti.</w:t>
      </w:r>
    </w:p>
    <w:p w:rsidR="005D5C95" w:rsidRPr="0012364E" w:rsidRDefault="005D5C95" w:rsidP="005D5C95">
      <w:pPr>
        <w:pStyle w:val="EndnoteText"/>
        <w:ind w:left="720"/>
        <w:rPr>
          <w:rFonts w:ascii="Tahoma" w:hAnsi="Tahoma" w:cs="Tahoma"/>
          <w:sz w:val="18"/>
          <w:szCs w:val="18"/>
        </w:rPr>
      </w:pPr>
    </w:p>
    <w:p w:rsidR="005D5C95" w:rsidRPr="00A75DF9" w:rsidRDefault="005D5C95" w:rsidP="005D5C95">
      <w:pPr>
        <w:ind w:left="720"/>
        <w:rPr>
          <w:rFonts w:cs="Tahoma"/>
        </w:rPr>
      </w:pPr>
      <w:r w:rsidRPr="00A75DF9">
        <w:rPr>
          <w:rFonts w:cs="Tahoma"/>
          <w:color w:val="000000"/>
          <w:szCs w:val="24"/>
        </w:rPr>
        <w:t>Le licenze di Gestione Client per Windows Embedded Device Manager 2011, acquistate dopo il 1 gennaio 2013 nell</w:t>
      </w:r>
      <w:r w:rsidR="00F2643E">
        <w:rPr>
          <w:rFonts w:cs="Tahoma"/>
          <w:color w:val="000000"/>
          <w:szCs w:val="24"/>
        </w:rPr>
        <w:t>’</w:t>
      </w:r>
      <w:r w:rsidRPr="00A75DF9">
        <w:rPr>
          <w:rFonts w:cs="Tahoma"/>
          <w:color w:val="000000"/>
          <w:szCs w:val="24"/>
        </w:rPr>
        <w:t>ambito della procedura annuale di true-up di una società per le Iscrizioni Enterprise ai sensi delle quali le licenze di Gestione Client per Windows Embedded Device Manager 2011 sono state inizialmente acquistate prima del 1 gennaio 2013, sono anch</w:t>
      </w:r>
      <w:r w:rsidR="00F2643E">
        <w:rPr>
          <w:rFonts w:cs="Tahoma"/>
          <w:color w:val="000000"/>
          <w:szCs w:val="24"/>
        </w:rPr>
        <w:t>’</w:t>
      </w:r>
      <w:r w:rsidRPr="00A75DF9">
        <w:rPr>
          <w:rFonts w:cs="Tahoma"/>
          <w:color w:val="000000"/>
          <w:szCs w:val="24"/>
        </w:rPr>
        <w:t>esse idonee a ricevere le Client ML per System Center 2012 Configuration Manager in base alla presente offerta.</w:t>
      </w:r>
    </w:p>
    <w:p w:rsidR="005D5C95" w:rsidRPr="00A75DF9" w:rsidRDefault="005D5C95" w:rsidP="005D5C95">
      <w:pPr>
        <w:ind w:left="720"/>
        <w:rPr>
          <w:rFonts w:cs="Tahoma"/>
        </w:rPr>
      </w:pPr>
    </w:p>
    <w:p w:rsidR="005D5C95" w:rsidRPr="00A75DF9" w:rsidRDefault="005D5C95" w:rsidP="0012364E">
      <w:pPr>
        <w:ind w:left="720"/>
        <w:rPr>
          <w:rFonts w:cs="Tahoma"/>
        </w:rPr>
      </w:pPr>
      <w:r w:rsidRPr="00A75DF9">
        <w:rPr>
          <w:rFonts w:cs="Tahoma"/>
          <w:color w:val="000000"/>
          <w:szCs w:val="24"/>
        </w:rPr>
        <w:lastRenderedPageBreak/>
        <w:t>Per Contratti Enterprise Subscription, Campus e School e Open Value Subscription, gli stessi diritti verranno concessi temporaneamente fino al termine del periodo di validità dell</w:t>
      </w:r>
      <w:r w:rsidR="00F2643E">
        <w:rPr>
          <w:rFonts w:cs="Tahoma"/>
          <w:color w:val="000000"/>
          <w:szCs w:val="24"/>
        </w:rPr>
        <w:t>’</w:t>
      </w:r>
      <w:r w:rsidRPr="00A75DF9">
        <w:rPr>
          <w:rFonts w:cs="Tahoma"/>
          <w:color w:val="000000"/>
          <w:szCs w:val="24"/>
        </w:rPr>
        <w:t>iscrizione della licenza, qualora le Licenze e la copertura Software Assurance siano valide durante il periodo di concessione e la società mantenga la copertura dell</w:t>
      </w:r>
      <w:r w:rsidR="00F2643E">
        <w:rPr>
          <w:rFonts w:cs="Tahoma"/>
          <w:color w:val="000000"/>
          <w:szCs w:val="24"/>
        </w:rPr>
        <w:t>’</w:t>
      </w:r>
      <w:r w:rsidRPr="00A75DF9">
        <w:rPr>
          <w:rFonts w:cs="Tahoma"/>
          <w:color w:val="000000"/>
          <w:szCs w:val="24"/>
        </w:rPr>
        <w:t>abbonamento in via continuativa.</w:t>
      </w:r>
      <w:r w:rsidR="009D3B41" w:rsidRPr="00A75DF9">
        <w:rPr>
          <w:rFonts w:cs="Tahoma"/>
          <w:color w:val="000000"/>
          <w:szCs w:val="24"/>
        </w:rPr>
        <w:t xml:space="preserve"> </w:t>
      </w:r>
      <w:r w:rsidRPr="00A75DF9">
        <w:rPr>
          <w:rFonts w:cs="Tahoma"/>
          <w:color w:val="000000"/>
          <w:szCs w:val="24"/>
        </w:rPr>
        <w:t>Tali diritti diventeranno permanenti soltanto all</w:t>
      </w:r>
      <w:r w:rsidR="00F2643E">
        <w:rPr>
          <w:rFonts w:cs="Tahoma"/>
          <w:color w:val="000000"/>
          <w:szCs w:val="24"/>
        </w:rPr>
        <w:t>’</w:t>
      </w:r>
      <w:r w:rsidRPr="00A75DF9">
        <w:rPr>
          <w:rFonts w:cs="Tahoma"/>
          <w:color w:val="000000"/>
          <w:szCs w:val="24"/>
        </w:rPr>
        <w:t>esercizio dell</w:t>
      </w:r>
      <w:r w:rsidR="00F2643E">
        <w:rPr>
          <w:rFonts w:cs="Tahoma"/>
          <w:color w:val="000000"/>
          <w:szCs w:val="24"/>
        </w:rPr>
        <w:t>’</w:t>
      </w:r>
      <w:r w:rsidRPr="00A75DF9">
        <w:rPr>
          <w:rFonts w:cs="Tahoma"/>
          <w:color w:val="000000"/>
          <w:szCs w:val="24"/>
        </w:rPr>
        <w:t>opzione buy-out e resteranno soggetti a tutte le condizioni del contratto di licenza della</w:t>
      </w:r>
      <w:r w:rsidR="0012364E">
        <w:rPr>
          <w:rFonts w:cs="Tahoma"/>
          <w:color w:val="000000"/>
          <w:szCs w:val="24"/>
        </w:rPr>
        <w:t> </w:t>
      </w:r>
      <w:r w:rsidRPr="00A75DF9">
        <w:rPr>
          <w:rFonts w:cs="Tahoma"/>
          <w:color w:val="000000"/>
          <w:szCs w:val="24"/>
        </w:rPr>
        <w:t>società.</w:t>
      </w:r>
    </w:p>
    <w:p w:rsidR="005D5C95" w:rsidRPr="00A75DF9" w:rsidRDefault="005D5C95" w:rsidP="005D5C95">
      <w:pPr>
        <w:ind w:left="720"/>
        <w:rPr>
          <w:rFonts w:cs="Tahoma"/>
        </w:rPr>
      </w:pPr>
    </w:p>
    <w:p w:rsidR="005D5C95" w:rsidRPr="00A75DF9" w:rsidRDefault="005D5C95" w:rsidP="005D5C95">
      <w:pPr>
        <w:ind w:left="720"/>
        <w:rPr>
          <w:rFonts w:cs="Tahoma"/>
        </w:rPr>
      </w:pPr>
      <w:r w:rsidRPr="00A75DF9">
        <w:rPr>
          <w:rFonts w:cs="Tahoma"/>
          <w:color w:val="000000"/>
          <w:szCs w:val="24"/>
        </w:rPr>
        <w:t>I diritti di downgrade della versione sono applicabili a tutte le licenze di Gestione Client per System Center 2012 Configuration Manager concesse.</w:t>
      </w:r>
    </w:p>
    <w:p w:rsidR="00ED12C0" w:rsidRPr="00A75DF9" w:rsidRDefault="00ED12C0" w:rsidP="00ED12C0">
      <w:pPr>
        <w:ind w:left="900"/>
        <w:rPr>
          <w:rFonts w:cs="Tahoma"/>
        </w:rPr>
      </w:pPr>
    </w:p>
    <w:p w:rsidR="007B35CE" w:rsidRPr="00A75DF9" w:rsidRDefault="007B35CE" w:rsidP="00ED12C0">
      <w:pPr>
        <w:ind w:left="900"/>
        <w:rPr>
          <w:rFonts w:cs="Tahoma"/>
        </w:rPr>
      </w:pPr>
    </w:p>
    <w:p w:rsidR="00A6493D" w:rsidRPr="00A75DF9" w:rsidRDefault="00A560B6" w:rsidP="00A6493D">
      <w:pPr>
        <w:pStyle w:val="Heading3"/>
        <w:rPr>
          <w:rFonts w:ascii="Tahoma" w:hAnsi="Tahoma" w:cs="Tahoma"/>
        </w:rPr>
      </w:pPr>
      <w:bookmarkStart w:id="1543" w:name="_100_Windows_EBS"/>
      <w:bookmarkStart w:id="1544" w:name="_103_Windows_EBS"/>
      <w:bookmarkStart w:id="1545" w:name="_Toc336338364"/>
      <w:bookmarkStart w:id="1546" w:name="Srv_101WindowsEssBusSvrStdPrem"/>
      <w:bookmarkStart w:id="1547" w:name="_Toc368310352"/>
      <w:bookmarkEnd w:id="1543"/>
      <w:bookmarkEnd w:id="1544"/>
      <w:r w:rsidRPr="00A75DF9">
        <w:rPr>
          <w:rFonts w:ascii="Tahoma" w:hAnsi="Tahoma" w:cs="Tahoma"/>
          <w:caps/>
          <w:color w:val="FF6600"/>
          <w:sz w:val="22"/>
          <w:szCs w:val="24"/>
          <w:vertAlign w:val="superscript"/>
        </w:rPr>
        <w:t>102</w:t>
      </w:r>
      <w:r w:rsidRPr="00A75DF9">
        <w:rPr>
          <w:rFonts w:ascii="Tahoma" w:hAnsi="Tahoma" w:cs="Tahoma"/>
          <w:caps/>
          <w:color w:val="F66400"/>
          <w:sz w:val="24"/>
          <w:vertAlign w:val="superscript"/>
        </w:rPr>
        <w:t xml:space="preserve"> </w:t>
      </w:r>
      <w:r w:rsidRPr="00A75DF9">
        <w:rPr>
          <w:rFonts w:ascii="Tahoma" w:hAnsi="Tahoma" w:cs="Tahoma"/>
          <w:color w:val="F66400"/>
          <w:sz w:val="22"/>
          <w:szCs w:val="22"/>
        </w:rPr>
        <w:t>Windows EBS 2008 Standard ed EBS 2008 Premium</w:t>
      </w:r>
      <w:bookmarkEnd w:id="1541"/>
      <w:bookmarkEnd w:id="1545"/>
      <w:bookmarkEnd w:id="1547"/>
    </w:p>
    <w:bookmarkEnd w:id="1536"/>
    <w:bookmarkEnd w:id="1546"/>
    <w:p w:rsidR="00113634" w:rsidRPr="00A75DF9" w:rsidRDefault="00113634" w:rsidP="00113634">
      <w:pPr>
        <w:rPr>
          <w:rFonts w:cs="Tahoma"/>
        </w:rPr>
      </w:pPr>
    </w:p>
    <w:p w:rsidR="00113634" w:rsidRPr="0012364E" w:rsidRDefault="00113634" w:rsidP="00376D4B">
      <w:pPr>
        <w:pStyle w:val="EndnoteText"/>
        <w:ind w:left="720"/>
        <w:rPr>
          <w:rFonts w:ascii="Tahoma" w:hAnsi="Tahoma" w:cs="Tahoma"/>
          <w:sz w:val="18"/>
          <w:szCs w:val="18"/>
        </w:rPr>
      </w:pPr>
      <w:r w:rsidRPr="0012364E">
        <w:rPr>
          <w:rFonts w:ascii="Tahoma" w:hAnsi="Tahoma" w:cs="Tahoma"/>
          <w:sz w:val="18"/>
          <w:szCs w:val="18"/>
        </w:rPr>
        <w:t>Prodotti End-Of-Life (EOL) che non verranno più offerti.</w:t>
      </w:r>
    </w:p>
    <w:p w:rsidR="00113634" w:rsidRPr="0012364E" w:rsidRDefault="00113634" w:rsidP="00376D4B">
      <w:pPr>
        <w:pStyle w:val="EndnoteText"/>
        <w:ind w:left="720"/>
        <w:rPr>
          <w:rFonts w:ascii="Tahoma" w:hAnsi="Tahoma" w:cs="Tahoma"/>
          <w:sz w:val="18"/>
          <w:szCs w:val="18"/>
        </w:rPr>
      </w:pPr>
    </w:p>
    <w:p w:rsidR="00113634" w:rsidRPr="0012364E" w:rsidRDefault="00113634" w:rsidP="00B76943">
      <w:pPr>
        <w:pStyle w:val="EndnoteText"/>
        <w:spacing w:after="60"/>
        <w:ind w:left="720"/>
        <w:rPr>
          <w:rFonts w:ascii="Tahoma" w:hAnsi="Tahoma" w:cs="Tahoma"/>
          <w:sz w:val="18"/>
          <w:szCs w:val="18"/>
        </w:rPr>
      </w:pPr>
      <w:r w:rsidRPr="0012364E">
        <w:rPr>
          <w:rFonts w:ascii="Tahoma" w:hAnsi="Tahoma" w:cs="Tahoma"/>
          <w:b/>
          <w:sz w:val="18"/>
          <w:szCs w:val="18"/>
        </w:rPr>
        <w:t>Concessione di una Licenza Una Tantum ai Titolari di Licenza per EBS 2008 Standard ed EBS 2008 Premium</w:t>
      </w:r>
    </w:p>
    <w:p w:rsidR="00113634" w:rsidRPr="0012364E" w:rsidRDefault="00113634" w:rsidP="00B76943">
      <w:pPr>
        <w:pStyle w:val="ListParagraph"/>
        <w:contextualSpacing w:val="0"/>
        <w:rPr>
          <w:rFonts w:ascii="Tahoma" w:hAnsi="Tahoma" w:cs="Tahoma"/>
          <w:sz w:val="18"/>
          <w:szCs w:val="18"/>
        </w:rPr>
      </w:pPr>
      <w:r w:rsidRPr="0012364E">
        <w:rPr>
          <w:rFonts w:ascii="Tahoma" w:hAnsi="Tahoma" w:cs="Tahoma"/>
          <w:sz w:val="18"/>
          <w:szCs w:val="18"/>
          <w:u w:val="single"/>
        </w:rPr>
        <w:t>Tutte le società che hanno stipulato Contratti Multilicenza per Windows Essential Business Server 2008 (EBS) Standard e Premium</w:t>
      </w:r>
      <w:r w:rsidRPr="0012364E">
        <w:rPr>
          <w:rFonts w:ascii="Tahoma" w:hAnsi="Tahoma" w:cs="Tahoma"/>
          <w:b/>
          <w:sz w:val="18"/>
          <w:szCs w:val="18"/>
        </w:rPr>
        <w:t xml:space="preserve"> </w:t>
      </w:r>
      <w:r w:rsidRPr="0012364E">
        <w:rPr>
          <w:rFonts w:ascii="Tahoma" w:hAnsi="Tahoma" w:cs="Tahoma"/>
          <w:sz w:val="18"/>
          <w:szCs w:val="18"/>
        </w:rPr>
        <w:t>sono idonee a ricevere le seguenti licenze gratuite per ogni licenza per EBS 2008 Standard o Premium posseduta al 1 luglio 2010:</w:t>
      </w:r>
    </w:p>
    <w:p w:rsidR="00A6493D" w:rsidRPr="0012364E" w:rsidRDefault="00A6493D" w:rsidP="00E63984">
      <w:pPr>
        <w:pStyle w:val="ListParagraph"/>
        <w:ind w:left="1260"/>
        <w:contextualSpacing w:val="0"/>
        <w:rPr>
          <w:rFonts w:ascii="Tahoma" w:hAnsi="Tahoma" w:cs="Tahoma"/>
          <w:sz w:val="18"/>
          <w:szCs w:val="18"/>
        </w:rPr>
      </w:pPr>
    </w:p>
    <w:p w:rsidR="00113634" w:rsidRPr="0012364E" w:rsidRDefault="00113634" w:rsidP="00346F4B">
      <w:pPr>
        <w:pStyle w:val="ListParagraph"/>
        <w:numPr>
          <w:ilvl w:val="0"/>
          <w:numId w:val="24"/>
        </w:numPr>
        <w:spacing w:after="60"/>
        <w:ind w:left="1440"/>
        <w:contextualSpacing w:val="0"/>
        <w:rPr>
          <w:rFonts w:ascii="Tahoma" w:hAnsi="Tahoma" w:cs="Tahoma"/>
          <w:sz w:val="18"/>
          <w:szCs w:val="18"/>
        </w:rPr>
      </w:pPr>
      <w:r w:rsidRPr="0012364E">
        <w:rPr>
          <w:rFonts w:ascii="Tahoma" w:hAnsi="Tahoma" w:cs="Tahoma"/>
          <w:sz w:val="18"/>
          <w:szCs w:val="18"/>
        </w:rPr>
        <w:t>3 licenze software per Windows Server 2008 Standard</w:t>
      </w:r>
    </w:p>
    <w:p w:rsidR="00113634" w:rsidRPr="0012364E" w:rsidRDefault="00113634" w:rsidP="00346F4B">
      <w:pPr>
        <w:pStyle w:val="ListParagraph"/>
        <w:numPr>
          <w:ilvl w:val="0"/>
          <w:numId w:val="24"/>
        </w:numPr>
        <w:spacing w:after="60"/>
        <w:ind w:left="1440"/>
        <w:contextualSpacing w:val="0"/>
        <w:rPr>
          <w:rFonts w:ascii="Tahoma" w:hAnsi="Tahoma" w:cs="Tahoma"/>
          <w:sz w:val="18"/>
          <w:szCs w:val="18"/>
        </w:rPr>
      </w:pPr>
      <w:r w:rsidRPr="0012364E">
        <w:rPr>
          <w:rFonts w:ascii="Tahoma" w:hAnsi="Tahoma" w:cs="Tahoma"/>
          <w:sz w:val="18"/>
          <w:szCs w:val="18"/>
        </w:rPr>
        <w:t>2 licenze software per Exchange Server 2007 Standard</w:t>
      </w:r>
    </w:p>
    <w:p w:rsidR="00113634" w:rsidRPr="0012364E" w:rsidRDefault="00113634" w:rsidP="00346F4B">
      <w:pPr>
        <w:pStyle w:val="ListParagraph"/>
        <w:numPr>
          <w:ilvl w:val="0"/>
          <w:numId w:val="24"/>
        </w:numPr>
        <w:spacing w:after="60"/>
        <w:ind w:left="1440"/>
        <w:contextualSpacing w:val="0"/>
        <w:rPr>
          <w:rFonts w:ascii="Tahoma" w:hAnsi="Tahoma" w:cs="Tahoma"/>
          <w:sz w:val="18"/>
          <w:szCs w:val="18"/>
        </w:rPr>
      </w:pPr>
      <w:r w:rsidRPr="0012364E">
        <w:rPr>
          <w:rFonts w:ascii="Tahoma" w:hAnsi="Tahoma" w:cs="Tahoma"/>
          <w:sz w:val="18"/>
          <w:szCs w:val="18"/>
        </w:rPr>
        <w:t>1 licenza software per System Center Essentials 2007 e 10 licenze di gestione Server e 50 di gestione Client</w:t>
      </w:r>
    </w:p>
    <w:p w:rsidR="00113634" w:rsidRPr="00A75DF9" w:rsidRDefault="00113634" w:rsidP="00E63984">
      <w:pPr>
        <w:ind w:left="1260"/>
        <w:rPr>
          <w:rFonts w:cs="Tahoma"/>
        </w:rPr>
      </w:pPr>
    </w:p>
    <w:p w:rsidR="00113634" w:rsidRPr="0012364E" w:rsidRDefault="00113634" w:rsidP="00B76943">
      <w:pPr>
        <w:ind w:left="720"/>
        <w:rPr>
          <w:rFonts w:cs="Tahoma"/>
          <w:szCs w:val="18"/>
        </w:rPr>
      </w:pPr>
      <w:r w:rsidRPr="0012364E">
        <w:rPr>
          <w:rFonts w:cs="Tahoma"/>
          <w:szCs w:val="18"/>
        </w:rPr>
        <w:t>Le licenze gratuite sono attestate dal Contratto Multilicenza della società e dalla presente nota relativa alle condizioni del prodotto.</w:t>
      </w:r>
      <w:r w:rsidR="009D3B41" w:rsidRPr="0012364E">
        <w:rPr>
          <w:rFonts w:cs="Tahoma"/>
          <w:szCs w:val="18"/>
        </w:rPr>
        <w:t xml:space="preserve"> </w:t>
      </w:r>
      <w:r w:rsidRPr="0012364E">
        <w:rPr>
          <w:rFonts w:cs="Tahoma"/>
          <w:szCs w:val="18"/>
        </w:rPr>
        <w:t>L</w:t>
      </w:r>
      <w:r w:rsidR="00F2643E">
        <w:rPr>
          <w:rFonts w:cs="Tahoma"/>
          <w:szCs w:val="18"/>
        </w:rPr>
        <w:t>’</w:t>
      </w:r>
      <w:r w:rsidRPr="0012364E">
        <w:rPr>
          <w:rFonts w:cs="Tahoma"/>
          <w:szCs w:val="18"/>
        </w:rPr>
        <w:t>utilizzo del software ai sensi delle licenze gratuite è soggetto alle condizioni del contratto della società e ai diritti di utilizzo del prodotto per i prodotti individuali.</w:t>
      </w:r>
      <w:r w:rsidR="009D3B41" w:rsidRPr="0012364E">
        <w:rPr>
          <w:rFonts w:cs="Tahoma"/>
          <w:szCs w:val="18"/>
        </w:rPr>
        <w:t xml:space="preserve"> </w:t>
      </w:r>
      <w:r w:rsidRPr="0012364E">
        <w:rPr>
          <w:rFonts w:cs="Tahoma"/>
          <w:szCs w:val="18"/>
        </w:rPr>
        <w:t>Il diritto di utilizzo del software ai sensi delle licenze gratuite scadrà alla scadenza del diritto di utilizzo del software ai sensi delle licenze qualificanti.</w:t>
      </w:r>
      <w:r w:rsidR="009D3B41" w:rsidRPr="0012364E">
        <w:rPr>
          <w:rFonts w:cs="Tahoma"/>
          <w:szCs w:val="18"/>
        </w:rPr>
        <w:t xml:space="preserve"> </w:t>
      </w:r>
      <w:r w:rsidRPr="0012364E">
        <w:rPr>
          <w:rFonts w:cs="Tahoma"/>
          <w:szCs w:val="18"/>
        </w:rPr>
        <w:t>Le licenze gratuite non possono essere trasferite separatamente dalle licenze qualificanti.</w:t>
      </w:r>
    </w:p>
    <w:p w:rsidR="00113634" w:rsidRDefault="00113634" w:rsidP="00957DE8">
      <w:pPr>
        <w:ind w:left="720"/>
        <w:rPr>
          <w:rFonts w:cs="Tahoma"/>
        </w:rPr>
      </w:pPr>
    </w:p>
    <w:p w:rsidR="00113634" w:rsidRPr="0012364E" w:rsidRDefault="00113634" w:rsidP="00957DE8">
      <w:pPr>
        <w:pStyle w:val="ListParagraph"/>
        <w:contextualSpacing w:val="0"/>
        <w:rPr>
          <w:rFonts w:ascii="Tahoma" w:hAnsi="Tahoma" w:cs="Tahoma"/>
          <w:sz w:val="18"/>
          <w:szCs w:val="18"/>
        </w:rPr>
      </w:pPr>
      <w:r w:rsidRPr="0012364E">
        <w:rPr>
          <w:rFonts w:ascii="Tahoma" w:hAnsi="Tahoma" w:cs="Tahoma"/>
          <w:sz w:val="18"/>
          <w:szCs w:val="18"/>
          <w:u w:val="single"/>
        </w:rPr>
        <w:t>Le società con Contratti Multilicenza per Windows Essential Business Server (EBS) 2008 Standard</w:t>
      </w:r>
      <w:r w:rsidRPr="0012364E">
        <w:rPr>
          <w:rFonts w:ascii="Tahoma" w:hAnsi="Tahoma" w:cs="Tahoma"/>
          <w:b/>
          <w:sz w:val="18"/>
          <w:szCs w:val="18"/>
        </w:rPr>
        <w:t xml:space="preserve"> </w:t>
      </w:r>
      <w:r w:rsidRPr="0012364E">
        <w:rPr>
          <w:rFonts w:ascii="Tahoma" w:hAnsi="Tahoma" w:cs="Tahoma"/>
          <w:sz w:val="18"/>
          <w:szCs w:val="18"/>
        </w:rPr>
        <w:t>sono anche idonee a ricevere le seguenti licenze gratuite per ogni licenza per EBS 2008 Standard con Software Assurance attiva posseduta al 1 luglio 2010:</w:t>
      </w:r>
    </w:p>
    <w:p w:rsidR="00A6493D" w:rsidRPr="0012364E" w:rsidRDefault="00A6493D" w:rsidP="00E63984">
      <w:pPr>
        <w:pStyle w:val="ListParagraph"/>
        <w:ind w:left="1260"/>
        <w:contextualSpacing w:val="0"/>
        <w:rPr>
          <w:rFonts w:ascii="Tahoma" w:hAnsi="Tahoma" w:cs="Tahoma"/>
          <w:sz w:val="18"/>
          <w:szCs w:val="18"/>
        </w:rPr>
      </w:pPr>
    </w:p>
    <w:p w:rsidR="00113634" w:rsidRPr="0012364E" w:rsidRDefault="00113634" w:rsidP="00346F4B">
      <w:pPr>
        <w:pStyle w:val="ListParagraph"/>
        <w:numPr>
          <w:ilvl w:val="0"/>
          <w:numId w:val="25"/>
        </w:numPr>
        <w:spacing w:after="60"/>
        <w:ind w:left="1440"/>
        <w:contextualSpacing w:val="0"/>
        <w:rPr>
          <w:rFonts w:ascii="Tahoma" w:hAnsi="Tahoma" w:cs="Tahoma"/>
          <w:sz w:val="18"/>
          <w:szCs w:val="18"/>
        </w:rPr>
      </w:pPr>
      <w:r w:rsidRPr="0012364E">
        <w:rPr>
          <w:rFonts w:ascii="Tahoma" w:hAnsi="Tahoma" w:cs="Tahoma"/>
          <w:sz w:val="18"/>
          <w:szCs w:val="18"/>
        </w:rPr>
        <w:t>3 licenze software per Windows Server 2008 R2 Standard</w:t>
      </w:r>
    </w:p>
    <w:p w:rsidR="00113634" w:rsidRPr="0012364E" w:rsidRDefault="00113634" w:rsidP="00346F4B">
      <w:pPr>
        <w:pStyle w:val="ListParagraph"/>
        <w:numPr>
          <w:ilvl w:val="0"/>
          <w:numId w:val="25"/>
        </w:numPr>
        <w:spacing w:after="60"/>
        <w:ind w:left="1440"/>
        <w:contextualSpacing w:val="0"/>
        <w:rPr>
          <w:rFonts w:ascii="Tahoma" w:hAnsi="Tahoma" w:cs="Tahoma"/>
          <w:sz w:val="18"/>
          <w:szCs w:val="18"/>
        </w:rPr>
      </w:pPr>
      <w:r w:rsidRPr="0012364E">
        <w:rPr>
          <w:rFonts w:ascii="Tahoma" w:hAnsi="Tahoma" w:cs="Tahoma"/>
          <w:sz w:val="18"/>
          <w:szCs w:val="18"/>
        </w:rPr>
        <w:t>1 licenza software per Exchange Server 2010 Standard</w:t>
      </w:r>
    </w:p>
    <w:p w:rsidR="00113634" w:rsidRPr="0012364E" w:rsidRDefault="00113634" w:rsidP="00346F4B">
      <w:pPr>
        <w:pStyle w:val="ListParagraph"/>
        <w:numPr>
          <w:ilvl w:val="0"/>
          <w:numId w:val="25"/>
        </w:numPr>
        <w:spacing w:after="60"/>
        <w:ind w:left="1440"/>
        <w:contextualSpacing w:val="0"/>
        <w:rPr>
          <w:rFonts w:ascii="Tahoma" w:hAnsi="Tahoma" w:cs="Tahoma"/>
          <w:sz w:val="18"/>
          <w:szCs w:val="18"/>
        </w:rPr>
      </w:pPr>
      <w:r w:rsidRPr="0012364E">
        <w:rPr>
          <w:rFonts w:ascii="Tahoma" w:hAnsi="Tahoma" w:cs="Tahoma"/>
          <w:sz w:val="18"/>
          <w:szCs w:val="18"/>
        </w:rPr>
        <w:t>1 licenza software per System Center Essentials 2010 e 10 licenze di gestione Server e 50 di gestione Client</w:t>
      </w:r>
    </w:p>
    <w:p w:rsidR="00113634" w:rsidRPr="0012364E" w:rsidRDefault="00113634" w:rsidP="00346F4B">
      <w:pPr>
        <w:pStyle w:val="ListParagraph"/>
        <w:numPr>
          <w:ilvl w:val="0"/>
          <w:numId w:val="25"/>
        </w:numPr>
        <w:spacing w:after="60"/>
        <w:ind w:left="1440"/>
        <w:contextualSpacing w:val="0"/>
        <w:rPr>
          <w:rFonts w:ascii="Tahoma" w:hAnsi="Tahoma" w:cs="Tahoma"/>
          <w:sz w:val="18"/>
          <w:szCs w:val="18"/>
        </w:rPr>
      </w:pPr>
      <w:r w:rsidRPr="0012364E">
        <w:rPr>
          <w:rFonts w:ascii="Tahoma" w:hAnsi="Tahoma" w:cs="Tahoma"/>
          <w:sz w:val="18"/>
          <w:szCs w:val="18"/>
        </w:rPr>
        <w:t>1 licenza software per Forefront Threat Management Gateway Medium Business Edition 2010</w:t>
      </w:r>
    </w:p>
    <w:p w:rsidR="00113634" w:rsidRPr="0012364E" w:rsidRDefault="00113634" w:rsidP="00E63984">
      <w:pPr>
        <w:pStyle w:val="ListParagraph"/>
        <w:ind w:left="1260"/>
        <w:rPr>
          <w:rFonts w:ascii="Tahoma" w:hAnsi="Tahoma" w:cs="Tahoma"/>
          <w:sz w:val="18"/>
          <w:szCs w:val="18"/>
        </w:rPr>
      </w:pPr>
    </w:p>
    <w:p w:rsidR="00113634" w:rsidRPr="0012364E" w:rsidRDefault="00113634" w:rsidP="00957DE8">
      <w:pPr>
        <w:pStyle w:val="ListParagraph"/>
        <w:rPr>
          <w:rFonts w:ascii="Tahoma" w:hAnsi="Tahoma" w:cs="Tahoma"/>
          <w:sz w:val="18"/>
          <w:szCs w:val="18"/>
        </w:rPr>
      </w:pPr>
      <w:r w:rsidRPr="0012364E">
        <w:rPr>
          <w:rFonts w:ascii="Tahoma" w:hAnsi="Tahoma" w:cs="Tahoma"/>
          <w:sz w:val="18"/>
          <w:szCs w:val="18"/>
        </w:rPr>
        <w:t>(qualora sia disponibile una nuova versione di uno qualsiasi dei prodotti di cui sopra in base al Programma per i Contratti Multilicenza ai sensi del quale una società ha acquistato le licenze qualificanti prima della fine della copertura Software Assurance attiva per la licenza per EBS 2008 Standard, la società sarà idonea a utilizzare la nuova versione al posto della versione specificata sopra).</w:t>
      </w:r>
    </w:p>
    <w:p w:rsidR="00113634" w:rsidRPr="0012364E" w:rsidRDefault="00113634" w:rsidP="00957DE8">
      <w:pPr>
        <w:pStyle w:val="ListParagraph"/>
        <w:rPr>
          <w:rFonts w:ascii="Tahoma" w:hAnsi="Tahoma" w:cs="Tahoma"/>
          <w:sz w:val="18"/>
          <w:szCs w:val="18"/>
        </w:rPr>
      </w:pPr>
    </w:p>
    <w:p w:rsidR="00113634" w:rsidRPr="0012364E" w:rsidRDefault="00113634" w:rsidP="00957DE8">
      <w:pPr>
        <w:ind w:left="720"/>
        <w:rPr>
          <w:rFonts w:cs="Tahoma"/>
          <w:szCs w:val="18"/>
        </w:rPr>
      </w:pPr>
      <w:r w:rsidRPr="0012364E">
        <w:rPr>
          <w:rFonts w:cs="Tahoma"/>
          <w:szCs w:val="18"/>
        </w:rPr>
        <w:t>Le licenze gratuite sono attestate dal Contratto Multilicenza della società e dalla presente nota relativa alle condizioni del prodotto.</w:t>
      </w:r>
      <w:r w:rsidR="009D3B41" w:rsidRPr="0012364E">
        <w:rPr>
          <w:rFonts w:cs="Tahoma"/>
          <w:szCs w:val="18"/>
        </w:rPr>
        <w:t xml:space="preserve"> </w:t>
      </w:r>
      <w:r w:rsidRPr="0012364E">
        <w:rPr>
          <w:rFonts w:cs="Tahoma"/>
          <w:szCs w:val="18"/>
        </w:rPr>
        <w:t>L</w:t>
      </w:r>
      <w:r w:rsidR="00F2643E">
        <w:rPr>
          <w:rFonts w:cs="Tahoma"/>
          <w:szCs w:val="18"/>
        </w:rPr>
        <w:t>’</w:t>
      </w:r>
      <w:r w:rsidRPr="0012364E">
        <w:rPr>
          <w:rFonts w:cs="Tahoma"/>
          <w:szCs w:val="18"/>
        </w:rPr>
        <w:t>utilizzo del software ai sensi delle licenze gratuite è soggetto alle condizioni del contratto della società e ai diritti di utilizzo del prodotto per i prodotti individuali.</w:t>
      </w:r>
      <w:r w:rsidR="009D3B41" w:rsidRPr="0012364E">
        <w:rPr>
          <w:rFonts w:cs="Tahoma"/>
          <w:szCs w:val="18"/>
        </w:rPr>
        <w:t xml:space="preserve"> </w:t>
      </w:r>
      <w:r w:rsidRPr="0012364E">
        <w:rPr>
          <w:rFonts w:cs="Tahoma"/>
          <w:szCs w:val="18"/>
        </w:rPr>
        <w:t>Tranne per Forefront Protection for Exchange Server 2010, il diritto di utilizzo del software ai sensi delle licenze gratuite scadrà alla scadenza del diritto di utilizzo del software ai sensi delle licenze qualificanti.</w:t>
      </w:r>
      <w:r w:rsidR="009D3B41" w:rsidRPr="0012364E">
        <w:rPr>
          <w:rFonts w:cs="Tahoma"/>
          <w:szCs w:val="18"/>
        </w:rPr>
        <w:t xml:space="preserve"> </w:t>
      </w:r>
      <w:r w:rsidRPr="0012364E">
        <w:rPr>
          <w:rFonts w:cs="Tahoma"/>
          <w:szCs w:val="18"/>
        </w:rPr>
        <w:t>Il diritto di utilizzo di Forefront Protection for Exchange Server 2010 scadrà alla scadenza della copertura Software Assurance sulle licenze qualificanti.</w:t>
      </w:r>
      <w:r w:rsidR="009D3B41" w:rsidRPr="0012364E">
        <w:rPr>
          <w:rFonts w:cs="Tahoma"/>
          <w:szCs w:val="18"/>
        </w:rPr>
        <w:t xml:space="preserve"> </w:t>
      </w:r>
      <w:r w:rsidRPr="0012364E">
        <w:rPr>
          <w:rFonts w:cs="Tahoma"/>
          <w:szCs w:val="18"/>
        </w:rPr>
        <w:t>Le licenze gratuite non possono in nessun caso essere trasferite separatamente dalle licenze qualificanti.</w:t>
      </w:r>
    </w:p>
    <w:p w:rsidR="00113634" w:rsidRPr="0012364E" w:rsidRDefault="00113634" w:rsidP="00E63984">
      <w:pPr>
        <w:pStyle w:val="ListParagraph"/>
        <w:ind w:left="1260"/>
        <w:rPr>
          <w:rFonts w:ascii="Tahoma" w:hAnsi="Tahoma" w:cs="Tahoma"/>
          <w:sz w:val="18"/>
          <w:szCs w:val="18"/>
        </w:rPr>
      </w:pPr>
    </w:p>
    <w:p w:rsidR="00113634" w:rsidRPr="0012364E" w:rsidRDefault="00113634" w:rsidP="00957DE8">
      <w:pPr>
        <w:tabs>
          <w:tab w:val="left" w:pos="1260"/>
        </w:tabs>
        <w:ind w:left="720"/>
        <w:rPr>
          <w:rFonts w:cs="Tahoma"/>
          <w:szCs w:val="18"/>
        </w:rPr>
      </w:pPr>
      <w:r w:rsidRPr="0012364E">
        <w:rPr>
          <w:rFonts w:cs="Tahoma"/>
          <w:szCs w:val="18"/>
          <w:u w:val="single"/>
        </w:rPr>
        <w:lastRenderedPageBreak/>
        <w:t>Le società con Contratti Multilicenza per Windows Essential Business Server (EBS) 2008 Premium</w:t>
      </w:r>
      <w:r w:rsidRPr="0012364E">
        <w:rPr>
          <w:rFonts w:cs="Tahoma"/>
          <w:szCs w:val="18"/>
        </w:rPr>
        <w:t xml:space="preserve"> sono anche idonee a ricevere le seguenti licenze gratuite per ogni licenza per EBS 2008 Premium con copertura Software Assurance attiva posseduta al 1 luglio 2010:</w:t>
      </w:r>
    </w:p>
    <w:p w:rsidR="00A6493D" w:rsidRPr="0012364E" w:rsidRDefault="00A6493D" w:rsidP="00E63984">
      <w:pPr>
        <w:pStyle w:val="ListParagraph"/>
        <w:ind w:left="1620"/>
        <w:contextualSpacing w:val="0"/>
        <w:rPr>
          <w:rFonts w:ascii="Tahoma" w:hAnsi="Tahoma" w:cs="Tahoma"/>
          <w:sz w:val="18"/>
          <w:szCs w:val="18"/>
        </w:rPr>
      </w:pPr>
    </w:p>
    <w:p w:rsidR="00113634" w:rsidRPr="0012364E" w:rsidRDefault="00113634" w:rsidP="00346F4B">
      <w:pPr>
        <w:pStyle w:val="ListParagraph"/>
        <w:numPr>
          <w:ilvl w:val="0"/>
          <w:numId w:val="26"/>
        </w:numPr>
        <w:spacing w:after="60"/>
        <w:contextualSpacing w:val="0"/>
        <w:rPr>
          <w:rFonts w:ascii="Tahoma" w:hAnsi="Tahoma" w:cs="Tahoma"/>
          <w:sz w:val="18"/>
          <w:szCs w:val="18"/>
        </w:rPr>
      </w:pPr>
      <w:r w:rsidRPr="0012364E">
        <w:rPr>
          <w:rFonts w:ascii="Tahoma" w:hAnsi="Tahoma" w:cs="Tahoma"/>
          <w:sz w:val="18"/>
          <w:szCs w:val="18"/>
        </w:rPr>
        <w:t>4 licenze software per Windows Server 2008 R2 Standard</w:t>
      </w:r>
    </w:p>
    <w:p w:rsidR="00113634" w:rsidRPr="0012364E" w:rsidRDefault="00113634" w:rsidP="00346F4B">
      <w:pPr>
        <w:pStyle w:val="ListParagraph"/>
        <w:numPr>
          <w:ilvl w:val="0"/>
          <w:numId w:val="26"/>
        </w:numPr>
        <w:spacing w:after="60"/>
        <w:contextualSpacing w:val="0"/>
        <w:rPr>
          <w:rFonts w:ascii="Tahoma" w:hAnsi="Tahoma" w:cs="Tahoma"/>
          <w:sz w:val="18"/>
          <w:szCs w:val="18"/>
        </w:rPr>
      </w:pPr>
      <w:r w:rsidRPr="0012364E">
        <w:rPr>
          <w:rFonts w:ascii="Tahoma" w:hAnsi="Tahoma" w:cs="Tahoma"/>
          <w:sz w:val="18"/>
          <w:szCs w:val="18"/>
        </w:rPr>
        <w:t>1 licenza software per SQL Server 2008 R2 Standard</w:t>
      </w:r>
    </w:p>
    <w:p w:rsidR="00113634" w:rsidRPr="0012364E" w:rsidRDefault="00113634" w:rsidP="00346F4B">
      <w:pPr>
        <w:pStyle w:val="ListParagraph"/>
        <w:numPr>
          <w:ilvl w:val="0"/>
          <w:numId w:val="26"/>
        </w:numPr>
        <w:spacing w:after="60"/>
        <w:contextualSpacing w:val="0"/>
        <w:rPr>
          <w:rFonts w:ascii="Tahoma" w:hAnsi="Tahoma" w:cs="Tahoma"/>
          <w:sz w:val="18"/>
          <w:szCs w:val="18"/>
        </w:rPr>
      </w:pPr>
      <w:r w:rsidRPr="0012364E">
        <w:rPr>
          <w:rFonts w:ascii="Tahoma" w:hAnsi="Tahoma" w:cs="Tahoma"/>
          <w:sz w:val="18"/>
          <w:szCs w:val="18"/>
        </w:rPr>
        <w:t>2 licenze software per Exchange Server 2010 Standard</w:t>
      </w:r>
    </w:p>
    <w:p w:rsidR="00113634" w:rsidRPr="0012364E" w:rsidRDefault="00113634" w:rsidP="00346F4B">
      <w:pPr>
        <w:pStyle w:val="ListParagraph"/>
        <w:numPr>
          <w:ilvl w:val="0"/>
          <w:numId w:val="26"/>
        </w:numPr>
        <w:spacing w:after="60"/>
        <w:contextualSpacing w:val="0"/>
        <w:rPr>
          <w:rFonts w:ascii="Tahoma" w:hAnsi="Tahoma" w:cs="Tahoma"/>
          <w:sz w:val="18"/>
          <w:szCs w:val="18"/>
        </w:rPr>
      </w:pPr>
      <w:r w:rsidRPr="0012364E">
        <w:rPr>
          <w:rFonts w:ascii="Tahoma" w:hAnsi="Tahoma" w:cs="Tahoma"/>
          <w:sz w:val="18"/>
          <w:szCs w:val="18"/>
        </w:rPr>
        <w:t>1 licenza software per System Center Essentials 2010 e 10 licenze di gestione Server e 50 di gestione Client</w:t>
      </w:r>
    </w:p>
    <w:p w:rsidR="00113634" w:rsidRPr="0012364E" w:rsidRDefault="00113634" w:rsidP="00346F4B">
      <w:pPr>
        <w:pStyle w:val="ListParagraph"/>
        <w:numPr>
          <w:ilvl w:val="0"/>
          <w:numId w:val="26"/>
        </w:numPr>
        <w:spacing w:after="60"/>
        <w:contextualSpacing w:val="0"/>
        <w:rPr>
          <w:rFonts w:ascii="Tahoma" w:hAnsi="Tahoma" w:cs="Tahoma"/>
          <w:sz w:val="18"/>
          <w:szCs w:val="18"/>
        </w:rPr>
      </w:pPr>
      <w:r w:rsidRPr="0012364E">
        <w:rPr>
          <w:rFonts w:ascii="Tahoma" w:hAnsi="Tahoma" w:cs="Tahoma"/>
          <w:sz w:val="18"/>
          <w:szCs w:val="18"/>
        </w:rPr>
        <w:t>1 licenza software per Forefront Threat Management Gateway Medium Business Edition 2010</w:t>
      </w:r>
    </w:p>
    <w:p w:rsidR="00113634" w:rsidRPr="0012364E" w:rsidRDefault="00113634" w:rsidP="00E63984">
      <w:pPr>
        <w:pStyle w:val="ListParagraph"/>
        <w:ind w:left="1620"/>
        <w:rPr>
          <w:rFonts w:ascii="Tahoma" w:hAnsi="Tahoma" w:cs="Tahoma"/>
          <w:sz w:val="18"/>
          <w:szCs w:val="18"/>
        </w:rPr>
      </w:pPr>
    </w:p>
    <w:p w:rsidR="00113634" w:rsidRPr="0012364E" w:rsidRDefault="00113634" w:rsidP="0012364E">
      <w:pPr>
        <w:pStyle w:val="ListParagraph"/>
        <w:rPr>
          <w:rFonts w:ascii="Tahoma" w:hAnsi="Tahoma" w:cs="Tahoma"/>
          <w:sz w:val="18"/>
          <w:szCs w:val="18"/>
        </w:rPr>
      </w:pPr>
      <w:r w:rsidRPr="0012364E">
        <w:rPr>
          <w:rFonts w:ascii="Tahoma" w:hAnsi="Tahoma" w:cs="Tahoma"/>
          <w:sz w:val="18"/>
          <w:szCs w:val="18"/>
        </w:rPr>
        <w:t>(Qualora sia disponibile una nuova versione di uno qualsiasi dei prodotti di cui sopra in base al Programma per i Contratti Multilicenza ai sensi del quale una società ha acquistato le licenze qualificanti prima della fine della copertura Software Assurance attiva per la licenza per EBS 2008 Premium, la società sarà idonea a</w:t>
      </w:r>
      <w:r w:rsidR="0012364E">
        <w:rPr>
          <w:rFonts w:ascii="Tahoma" w:hAnsi="Tahoma" w:cs="Tahoma"/>
          <w:sz w:val="18"/>
          <w:szCs w:val="18"/>
        </w:rPr>
        <w:t> </w:t>
      </w:r>
      <w:r w:rsidRPr="0012364E">
        <w:rPr>
          <w:rFonts w:ascii="Tahoma" w:hAnsi="Tahoma" w:cs="Tahoma"/>
          <w:sz w:val="18"/>
          <w:szCs w:val="18"/>
        </w:rPr>
        <w:t>utilizzare la nuova versione al posto della versione specificata sopra).</w:t>
      </w:r>
    </w:p>
    <w:p w:rsidR="00113634" w:rsidRPr="0012364E" w:rsidRDefault="00113634" w:rsidP="00EF2279">
      <w:pPr>
        <w:pStyle w:val="ListParagraph"/>
        <w:ind w:left="1260"/>
        <w:rPr>
          <w:rFonts w:ascii="Tahoma" w:hAnsi="Tahoma" w:cs="Tahoma"/>
          <w:sz w:val="18"/>
          <w:szCs w:val="18"/>
        </w:rPr>
      </w:pPr>
    </w:p>
    <w:p w:rsidR="00113634" w:rsidRPr="0012364E" w:rsidRDefault="00113634" w:rsidP="00957DE8">
      <w:pPr>
        <w:ind w:left="720"/>
        <w:rPr>
          <w:rFonts w:cs="Tahoma"/>
          <w:szCs w:val="18"/>
        </w:rPr>
      </w:pPr>
      <w:r w:rsidRPr="0012364E">
        <w:rPr>
          <w:rFonts w:cs="Tahoma"/>
          <w:szCs w:val="18"/>
        </w:rPr>
        <w:t>Le licenze gratuite sono attestate dal Contratto Multilicenza della società e dalla presente nota relativa alle condizioni del prodotto.</w:t>
      </w:r>
      <w:r w:rsidR="009D3B41" w:rsidRPr="0012364E">
        <w:rPr>
          <w:rFonts w:cs="Tahoma"/>
          <w:szCs w:val="18"/>
        </w:rPr>
        <w:t xml:space="preserve"> </w:t>
      </w:r>
      <w:r w:rsidRPr="0012364E">
        <w:rPr>
          <w:rFonts w:cs="Tahoma"/>
          <w:szCs w:val="18"/>
        </w:rPr>
        <w:t>L</w:t>
      </w:r>
      <w:r w:rsidR="00F2643E">
        <w:rPr>
          <w:rFonts w:cs="Tahoma"/>
          <w:szCs w:val="18"/>
        </w:rPr>
        <w:t>’</w:t>
      </w:r>
      <w:r w:rsidRPr="0012364E">
        <w:rPr>
          <w:rFonts w:cs="Tahoma"/>
          <w:szCs w:val="18"/>
        </w:rPr>
        <w:t>utilizzo del software ai sensi delle licenze gratuite è soggetto alle condizioni del contratto della società e ai diritti di utilizzo del prodotto per i prodotti individuali.</w:t>
      </w:r>
      <w:r w:rsidR="009D3B41" w:rsidRPr="0012364E">
        <w:rPr>
          <w:rFonts w:cs="Tahoma"/>
          <w:szCs w:val="18"/>
        </w:rPr>
        <w:t xml:space="preserve"> </w:t>
      </w:r>
      <w:r w:rsidRPr="0012364E">
        <w:rPr>
          <w:rFonts w:cs="Tahoma"/>
          <w:szCs w:val="18"/>
        </w:rPr>
        <w:t>Tranne per Forefront Protection for Exchange Server 2010, il diritto di utilizzo del software ai sensi delle licenze gratuite scadrà alla scadenza del diritto di utilizzo del software ai sensi delle licenze qualificanti.</w:t>
      </w:r>
      <w:r w:rsidR="009D3B41" w:rsidRPr="0012364E">
        <w:rPr>
          <w:rFonts w:cs="Tahoma"/>
          <w:szCs w:val="18"/>
        </w:rPr>
        <w:t xml:space="preserve"> </w:t>
      </w:r>
      <w:r w:rsidRPr="0012364E">
        <w:rPr>
          <w:rFonts w:cs="Tahoma"/>
          <w:szCs w:val="18"/>
        </w:rPr>
        <w:t>Il diritto di utilizzo di Forefront Protection for Exchange Server 2010 scadrà alla scadenza della copertura Software Assurance sulle licenze qualificanti.</w:t>
      </w:r>
      <w:r w:rsidR="009D3B41" w:rsidRPr="0012364E">
        <w:rPr>
          <w:rFonts w:cs="Tahoma"/>
          <w:szCs w:val="18"/>
        </w:rPr>
        <w:t xml:space="preserve"> </w:t>
      </w:r>
      <w:r w:rsidRPr="0012364E">
        <w:rPr>
          <w:rFonts w:cs="Tahoma"/>
          <w:szCs w:val="18"/>
        </w:rPr>
        <w:t>Le licenze gratuite non possono in nessun caso essere trasferite separatamente dalle licenze qualificanti.</w:t>
      </w:r>
    </w:p>
    <w:p w:rsidR="00C41189" w:rsidRDefault="00C41189">
      <w:pPr>
        <w:rPr>
          <w:rFonts w:cs="Tahoma"/>
        </w:rPr>
      </w:pPr>
    </w:p>
    <w:p w:rsidR="00113634" w:rsidRPr="00A75DF9" w:rsidRDefault="00113634" w:rsidP="0012364E">
      <w:pPr>
        <w:pStyle w:val="ListParagraph"/>
        <w:spacing w:after="60"/>
        <w:contextualSpacing w:val="0"/>
        <w:rPr>
          <w:rFonts w:ascii="Tahoma" w:hAnsi="Tahoma" w:cs="Tahoma"/>
        </w:rPr>
      </w:pPr>
      <w:r w:rsidRPr="00A75DF9">
        <w:rPr>
          <w:rFonts w:ascii="Tahoma" w:hAnsi="Tahoma" w:cs="Tahoma"/>
          <w:b/>
          <w:sz w:val="18"/>
          <w:szCs w:val="18"/>
        </w:rPr>
        <w:t>Diritti di utilizzo aggiuntivi per le licenze CAL per Windows Essential Business Server (EBS)</w:t>
      </w:r>
      <w:r w:rsidR="0012364E">
        <w:rPr>
          <w:rFonts w:ascii="Tahoma" w:hAnsi="Tahoma" w:cs="Tahoma"/>
          <w:b/>
          <w:sz w:val="18"/>
          <w:szCs w:val="18"/>
        </w:rPr>
        <w:t> </w:t>
      </w:r>
      <w:r w:rsidRPr="00A75DF9">
        <w:rPr>
          <w:rFonts w:ascii="Tahoma" w:hAnsi="Tahoma" w:cs="Tahoma"/>
          <w:b/>
          <w:sz w:val="18"/>
          <w:szCs w:val="18"/>
        </w:rPr>
        <w:t>2008</w:t>
      </w:r>
    </w:p>
    <w:p w:rsidR="00113634" w:rsidRPr="00A75DF9" w:rsidRDefault="00113634" w:rsidP="00957DE8">
      <w:pPr>
        <w:ind w:left="720"/>
        <w:rPr>
          <w:rFonts w:cs="Tahoma"/>
        </w:rPr>
      </w:pPr>
      <w:r w:rsidRPr="00A75DF9">
        <w:rPr>
          <w:rFonts w:cs="Tahoma"/>
          <w:szCs w:val="18"/>
        </w:rPr>
        <w:t>Nonostante eventuali disposizioni contrarie dei diritti di utilizzo del prodotto per Windows Server 2008 ed Exchange Server 2007 Standard, le società possono utilizzare EBS 2008 CAL Suite ed EBS 2008 CAL Suite per Utenti o Dispositivi Premium per accedere alle istanze in licenza del software all</w:t>
      </w:r>
      <w:r w:rsidR="00F2643E">
        <w:rPr>
          <w:rFonts w:cs="Tahoma"/>
          <w:szCs w:val="18"/>
        </w:rPr>
        <w:t>’</w:t>
      </w:r>
      <w:r w:rsidRPr="00A75DF9">
        <w:rPr>
          <w:rFonts w:cs="Tahoma"/>
          <w:szCs w:val="18"/>
        </w:rPr>
        <w:t>interno o all</w:t>
      </w:r>
      <w:r w:rsidR="00F2643E">
        <w:rPr>
          <w:rFonts w:cs="Tahoma"/>
          <w:szCs w:val="18"/>
        </w:rPr>
        <w:t>’</w:t>
      </w:r>
      <w:r w:rsidRPr="00A75DF9">
        <w:rPr>
          <w:rFonts w:cs="Tahoma"/>
          <w:szCs w:val="18"/>
        </w:rPr>
        <w:t>esterno del loro dominio EBS 2008. Inoltre, nonostante eventuali disposizioni contrarie dei diritti di utilizzo del prodotto per SQL Server 2008 Standard, le società possono utilizzare EBS 2008 CAL Suite per Utenti o Dispositivi Premium per accedere alle istanze in licenza di SQL Server 2008 Standard all</w:t>
      </w:r>
      <w:r w:rsidR="00F2643E">
        <w:rPr>
          <w:rFonts w:cs="Tahoma"/>
          <w:szCs w:val="18"/>
        </w:rPr>
        <w:t>’</w:t>
      </w:r>
      <w:r w:rsidRPr="00A75DF9">
        <w:rPr>
          <w:rFonts w:cs="Tahoma"/>
          <w:szCs w:val="18"/>
        </w:rPr>
        <w:t>interno o all</w:t>
      </w:r>
      <w:r w:rsidR="00F2643E">
        <w:rPr>
          <w:rFonts w:cs="Tahoma"/>
          <w:szCs w:val="18"/>
        </w:rPr>
        <w:t>’</w:t>
      </w:r>
      <w:r w:rsidRPr="00A75DF9">
        <w:rPr>
          <w:rFonts w:cs="Tahoma"/>
          <w:szCs w:val="18"/>
        </w:rPr>
        <w:t>esterno del loro dominio EBS 2008.</w:t>
      </w:r>
    </w:p>
    <w:p w:rsidR="00113634" w:rsidRPr="00A75DF9" w:rsidRDefault="00113634" w:rsidP="00EF2279">
      <w:pPr>
        <w:tabs>
          <w:tab w:val="left" w:pos="1260"/>
        </w:tabs>
        <w:ind w:left="1260"/>
        <w:rPr>
          <w:rFonts w:cs="Tahoma"/>
        </w:rPr>
      </w:pPr>
    </w:p>
    <w:p w:rsidR="00113634" w:rsidRPr="00A75DF9" w:rsidRDefault="00113634" w:rsidP="00957DE8">
      <w:pPr>
        <w:tabs>
          <w:tab w:val="left" w:pos="1260"/>
        </w:tabs>
        <w:ind w:left="720"/>
        <w:rPr>
          <w:rFonts w:cs="Tahoma"/>
        </w:rPr>
      </w:pPr>
      <w:r w:rsidRPr="00A75DF9">
        <w:rPr>
          <w:rFonts w:cs="Tahoma"/>
          <w:szCs w:val="18"/>
        </w:rPr>
        <w:t>Per le società con copertura Software Assurance attiva per CAL per Windows Essential Business Server (EBS) 2008 al 1 luglio 2010 è previsto quanto segue:</w:t>
      </w:r>
    </w:p>
    <w:p w:rsidR="00A6493D" w:rsidRPr="0012364E" w:rsidRDefault="00A6493D" w:rsidP="00EF2279">
      <w:pPr>
        <w:pStyle w:val="ListParagraph"/>
        <w:tabs>
          <w:tab w:val="left" w:pos="1260"/>
        </w:tabs>
        <w:ind w:left="1260"/>
        <w:contextualSpacing w:val="0"/>
        <w:rPr>
          <w:rFonts w:ascii="Tahoma" w:hAnsi="Tahoma" w:cs="Tahoma"/>
          <w:sz w:val="18"/>
          <w:szCs w:val="18"/>
        </w:rPr>
      </w:pPr>
    </w:p>
    <w:p w:rsidR="00113634" w:rsidRPr="0012364E" w:rsidRDefault="00113634" w:rsidP="00346F4B">
      <w:pPr>
        <w:pStyle w:val="ListParagraph"/>
        <w:numPr>
          <w:ilvl w:val="0"/>
          <w:numId w:val="120"/>
        </w:numPr>
        <w:tabs>
          <w:tab w:val="left" w:pos="1440"/>
        </w:tabs>
        <w:spacing w:after="60"/>
        <w:contextualSpacing w:val="0"/>
        <w:rPr>
          <w:rFonts w:ascii="Tahoma" w:hAnsi="Tahoma" w:cs="Tahoma"/>
          <w:sz w:val="18"/>
          <w:szCs w:val="18"/>
        </w:rPr>
      </w:pPr>
      <w:r w:rsidRPr="0012364E">
        <w:rPr>
          <w:rFonts w:ascii="Tahoma" w:hAnsi="Tahoma" w:cs="Tahoma"/>
          <w:sz w:val="18"/>
          <w:szCs w:val="18"/>
        </w:rPr>
        <w:t>Per ogni EBS 2008 CAL Suite con copertura Software Assurance attiva in data 1 luglio 2010 in possesso di una società, tale società sarà idonea a ricevere le seguenti licenze gratuite:</w:t>
      </w:r>
    </w:p>
    <w:p w:rsidR="00113634" w:rsidRPr="0012364E"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12364E">
        <w:rPr>
          <w:rFonts w:ascii="Tahoma" w:hAnsi="Tahoma" w:cs="Tahoma"/>
          <w:sz w:val="18"/>
          <w:szCs w:val="18"/>
        </w:rPr>
        <w:t>1 licenza CAL per Windows Server 2008</w:t>
      </w:r>
    </w:p>
    <w:p w:rsidR="00113634" w:rsidRPr="0012364E"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12364E">
        <w:rPr>
          <w:rFonts w:ascii="Tahoma" w:hAnsi="Tahoma" w:cs="Tahoma"/>
          <w:sz w:val="18"/>
          <w:szCs w:val="18"/>
        </w:rPr>
        <w:t>1 Standard CAL per Exchange Server 2010</w:t>
      </w:r>
    </w:p>
    <w:p w:rsidR="00113634" w:rsidRPr="0012364E"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12364E">
        <w:rPr>
          <w:rFonts w:ascii="Tahoma" w:hAnsi="Tahoma" w:cs="Tahoma"/>
          <w:sz w:val="18"/>
          <w:szCs w:val="18"/>
        </w:rPr>
        <w:t>1 licenza “Subscription” per utente o dispositivo per Forefront Protection for Exchange Server 2010</w:t>
      </w:r>
    </w:p>
    <w:p w:rsidR="00A6493D" w:rsidRPr="0012364E" w:rsidRDefault="00A6493D" w:rsidP="00A434A4">
      <w:pPr>
        <w:pStyle w:val="ListParagraph"/>
        <w:tabs>
          <w:tab w:val="num" w:pos="1800"/>
        </w:tabs>
        <w:spacing w:after="60"/>
        <w:ind w:left="1800"/>
        <w:contextualSpacing w:val="0"/>
        <w:rPr>
          <w:rFonts w:ascii="Tahoma" w:hAnsi="Tahoma" w:cs="Tahoma"/>
          <w:sz w:val="18"/>
          <w:szCs w:val="18"/>
        </w:rPr>
      </w:pPr>
    </w:p>
    <w:p w:rsidR="00113634" w:rsidRPr="0012364E" w:rsidRDefault="00113634" w:rsidP="00346F4B">
      <w:pPr>
        <w:pStyle w:val="ListParagraph"/>
        <w:numPr>
          <w:ilvl w:val="0"/>
          <w:numId w:val="120"/>
        </w:numPr>
        <w:tabs>
          <w:tab w:val="left" w:pos="1440"/>
        </w:tabs>
        <w:spacing w:after="60"/>
        <w:contextualSpacing w:val="0"/>
        <w:rPr>
          <w:rFonts w:ascii="Tahoma" w:hAnsi="Tahoma" w:cs="Tahoma"/>
          <w:sz w:val="18"/>
          <w:szCs w:val="18"/>
        </w:rPr>
      </w:pPr>
      <w:r w:rsidRPr="0012364E">
        <w:rPr>
          <w:rFonts w:ascii="Tahoma" w:hAnsi="Tahoma" w:cs="Tahoma"/>
          <w:sz w:val="18"/>
          <w:szCs w:val="18"/>
        </w:rPr>
        <w:t>Per ogni EBS 2008 CAL Suite per Utenti e Dispositivi Premium con copertura Software Assurance attiva in data 1 luglio 2010 in possesso di una società, tale società sarà idonea a ricevere le seguenti licenze gratuite:</w:t>
      </w:r>
    </w:p>
    <w:p w:rsidR="00113634" w:rsidRPr="0012364E"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12364E">
        <w:rPr>
          <w:rFonts w:ascii="Tahoma" w:hAnsi="Tahoma" w:cs="Tahoma"/>
          <w:sz w:val="18"/>
          <w:szCs w:val="18"/>
        </w:rPr>
        <w:t>licenza CAL per Windows Server 2008</w:t>
      </w:r>
    </w:p>
    <w:p w:rsidR="00113634" w:rsidRPr="0012364E"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12364E">
        <w:rPr>
          <w:rFonts w:ascii="Tahoma" w:hAnsi="Tahoma" w:cs="Tahoma"/>
          <w:sz w:val="18"/>
          <w:szCs w:val="18"/>
        </w:rPr>
        <w:t>Standard CAL per Exchange Server 2010</w:t>
      </w:r>
    </w:p>
    <w:p w:rsidR="002512D3" w:rsidRPr="0012364E"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12364E">
        <w:rPr>
          <w:rFonts w:ascii="Tahoma" w:hAnsi="Tahoma" w:cs="Tahoma"/>
          <w:sz w:val="18"/>
          <w:szCs w:val="18"/>
        </w:rPr>
        <w:t>licenza CAL per SQL Server 2008 R2</w:t>
      </w:r>
    </w:p>
    <w:p w:rsidR="00113634" w:rsidRPr="0012364E" w:rsidRDefault="00113634" w:rsidP="00346F4B">
      <w:pPr>
        <w:pStyle w:val="ListParagraph"/>
        <w:numPr>
          <w:ilvl w:val="1"/>
          <w:numId w:val="121"/>
        </w:numPr>
        <w:tabs>
          <w:tab w:val="clear" w:pos="720"/>
        </w:tabs>
        <w:spacing w:after="60"/>
        <w:ind w:left="1980"/>
        <w:contextualSpacing w:val="0"/>
        <w:rPr>
          <w:rFonts w:ascii="Tahoma" w:hAnsi="Tahoma" w:cs="Tahoma"/>
          <w:sz w:val="18"/>
          <w:szCs w:val="18"/>
        </w:rPr>
      </w:pPr>
      <w:r w:rsidRPr="0012364E">
        <w:rPr>
          <w:rFonts w:ascii="Tahoma" w:hAnsi="Tahoma" w:cs="Tahoma"/>
          <w:sz w:val="18"/>
          <w:szCs w:val="18"/>
        </w:rPr>
        <w:t>1 licenza “Subscription” per utente o dispositivo per Forefront Protection for Exchange Server 2010</w:t>
      </w:r>
    </w:p>
    <w:p w:rsidR="00113634" w:rsidRPr="0012364E" w:rsidRDefault="00113634" w:rsidP="00A434A4">
      <w:pPr>
        <w:pStyle w:val="ListParagraph"/>
        <w:spacing w:after="60"/>
        <w:ind w:left="1980"/>
        <w:contextualSpacing w:val="0"/>
        <w:rPr>
          <w:rFonts w:ascii="Tahoma" w:hAnsi="Tahoma" w:cs="Tahoma"/>
          <w:sz w:val="18"/>
          <w:szCs w:val="18"/>
        </w:rPr>
      </w:pPr>
      <w:r w:rsidRPr="0012364E">
        <w:rPr>
          <w:rFonts w:ascii="Tahoma" w:hAnsi="Tahoma" w:cs="Tahoma"/>
          <w:sz w:val="18"/>
          <w:szCs w:val="18"/>
        </w:rPr>
        <w:lastRenderedPageBreak/>
        <w:t>(Qualora sia disponibile una nuova versione di tali prodotti ai sensi del Programma per i Contratti Multilicenza in base al quale una società ha acquistato le licenze qualificanti prima della fine della copertura Software Assurance attiva per la licenza CAL qualificante per EBS 2008, la società invece sarà idonea a ricevere le licenze CAL corrispondenti a quella versione).</w:t>
      </w:r>
    </w:p>
    <w:p w:rsidR="00113634" w:rsidRPr="00A75DF9" w:rsidRDefault="00113634" w:rsidP="00113634">
      <w:pPr>
        <w:rPr>
          <w:rFonts w:cs="Tahoma"/>
        </w:rPr>
      </w:pPr>
    </w:p>
    <w:p w:rsidR="001E3F07" w:rsidRPr="00A75DF9" w:rsidRDefault="00113634" w:rsidP="0012364E">
      <w:pPr>
        <w:ind w:left="720"/>
        <w:rPr>
          <w:rFonts w:cs="Tahoma"/>
        </w:rPr>
      </w:pPr>
      <w:r w:rsidRPr="00A75DF9">
        <w:rPr>
          <w:rFonts w:cs="Tahoma"/>
          <w:szCs w:val="18"/>
        </w:rPr>
        <w:t>Le CAL gratuite sono attestate dal contratto multilicenza (Volume Licensing) della società e dalla presente nota relativa alle condizioni del prodotto.</w:t>
      </w:r>
      <w:r w:rsidR="009D3B41" w:rsidRPr="00A75DF9">
        <w:rPr>
          <w:rFonts w:cs="Tahoma"/>
          <w:szCs w:val="18"/>
        </w:rPr>
        <w:t xml:space="preserve"> </w:t>
      </w:r>
      <w:r w:rsidRPr="00A75DF9">
        <w:rPr>
          <w:rFonts w:cs="Tahoma"/>
          <w:szCs w:val="18"/>
        </w:rPr>
        <w:t>L</w:t>
      </w:r>
      <w:r w:rsidR="00F2643E">
        <w:rPr>
          <w:rFonts w:cs="Tahoma"/>
          <w:szCs w:val="18"/>
        </w:rPr>
        <w:t>’</w:t>
      </w:r>
      <w:r w:rsidRPr="00A75DF9">
        <w:rPr>
          <w:rFonts w:cs="Tahoma"/>
          <w:szCs w:val="18"/>
        </w:rPr>
        <w:t>utilizzo del software ai sensi delle CAL gratuite è soggetto alle condizioni del contratto della società e ai diritti di utilizzo del prodotto per i prodotti individuali.</w:t>
      </w:r>
      <w:r w:rsidR="009D3B41" w:rsidRPr="00A75DF9">
        <w:rPr>
          <w:rFonts w:cs="Tahoma"/>
          <w:szCs w:val="18"/>
        </w:rPr>
        <w:t xml:space="preserve"> </w:t>
      </w:r>
      <w:r w:rsidRPr="00A75DF9">
        <w:rPr>
          <w:rFonts w:cs="Tahoma"/>
          <w:szCs w:val="18"/>
        </w:rPr>
        <w:t>Il diritto di</w:t>
      </w:r>
      <w:r w:rsidR="0012364E">
        <w:rPr>
          <w:rFonts w:cs="Tahoma"/>
          <w:szCs w:val="18"/>
        </w:rPr>
        <w:t> </w:t>
      </w:r>
      <w:r w:rsidRPr="00A75DF9">
        <w:rPr>
          <w:rFonts w:cs="Tahoma"/>
          <w:szCs w:val="18"/>
        </w:rPr>
        <w:t>utilizzo del software ai sensi delle CAL gratuite scadrà alla scadenza del diritto di utilizzo del software ai</w:t>
      </w:r>
      <w:r w:rsidR="0012364E">
        <w:rPr>
          <w:rFonts w:cs="Tahoma"/>
          <w:szCs w:val="18"/>
        </w:rPr>
        <w:t> </w:t>
      </w:r>
      <w:r w:rsidRPr="00A75DF9">
        <w:rPr>
          <w:rFonts w:cs="Tahoma"/>
          <w:szCs w:val="18"/>
        </w:rPr>
        <w:t>sensi delle CAL qualificanti.</w:t>
      </w:r>
      <w:r w:rsidR="009D3B41" w:rsidRPr="00A75DF9">
        <w:rPr>
          <w:rFonts w:cs="Tahoma"/>
          <w:szCs w:val="18"/>
        </w:rPr>
        <w:t xml:space="preserve"> </w:t>
      </w:r>
      <w:r w:rsidRPr="00A75DF9">
        <w:rPr>
          <w:rFonts w:cs="Tahoma"/>
          <w:szCs w:val="18"/>
        </w:rPr>
        <w:t>Le CAL gratuite non possono in nessun caso essere trasferite separatamente dalle CAL qualificanti.</w:t>
      </w:r>
      <w:bookmarkStart w:id="1548" w:name="_107_Windows_Azure"/>
      <w:bookmarkEnd w:id="1548"/>
    </w:p>
    <w:p w:rsidR="00113634" w:rsidRPr="00A75DF9" w:rsidRDefault="00113634" w:rsidP="00113634">
      <w:pPr>
        <w:rPr>
          <w:rFonts w:cs="Tahoma"/>
        </w:rPr>
      </w:pPr>
    </w:p>
    <w:p w:rsidR="00DE0D10" w:rsidRPr="00A75DF9" w:rsidRDefault="00DE0D10" w:rsidP="00957DE8">
      <w:pPr>
        <w:rPr>
          <w:rFonts w:cs="Tahoma"/>
        </w:rPr>
      </w:pPr>
    </w:p>
    <w:p w:rsidR="00023FE7" w:rsidRPr="00A75DF9" w:rsidRDefault="00A560B6" w:rsidP="00EF2279">
      <w:pPr>
        <w:pStyle w:val="Heading3"/>
        <w:rPr>
          <w:rFonts w:ascii="Tahoma" w:hAnsi="Tahoma" w:cs="Tahoma"/>
        </w:rPr>
      </w:pPr>
      <w:bookmarkStart w:id="1549" w:name="_104_Windows_HPC"/>
      <w:bookmarkStart w:id="1550" w:name="Srv_109HPCServer2008_R2Suite"/>
      <w:bookmarkStart w:id="1551" w:name="_Toc336338365"/>
      <w:bookmarkStart w:id="1552" w:name="Srv_96WindowsHighPerfCompSvr08"/>
      <w:bookmarkStart w:id="1553" w:name="Srv_94HPCServer2008_R2Suite"/>
      <w:bookmarkStart w:id="1554" w:name="Srv_106HPCServer2008_R2Suite"/>
      <w:bookmarkStart w:id="1555" w:name="_Toc368310353"/>
      <w:bookmarkEnd w:id="1549"/>
      <w:r w:rsidRPr="00A75DF9">
        <w:rPr>
          <w:rFonts w:ascii="Tahoma" w:hAnsi="Tahoma" w:cs="Tahoma"/>
          <w:caps/>
          <w:color w:val="F66400"/>
          <w:sz w:val="22"/>
          <w:vertAlign w:val="superscript"/>
        </w:rPr>
        <w:t xml:space="preserve">103 </w:t>
      </w:r>
      <w:r w:rsidRPr="00A75DF9">
        <w:rPr>
          <w:rFonts w:ascii="Tahoma" w:hAnsi="Tahoma" w:cs="Tahoma"/>
          <w:color w:val="F66400"/>
          <w:sz w:val="22"/>
        </w:rPr>
        <w:t>Windows HPC Server 2008 R2 Suite</w:t>
      </w:r>
      <w:bookmarkEnd w:id="1550"/>
      <w:bookmarkEnd w:id="1551"/>
      <w:bookmarkEnd w:id="1555"/>
    </w:p>
    <w:bookmarkEnd w:id="1552"/>
    <w:bookmarkEnd w:id="1553"/>
    <w:bookmarkEnd w:id="1554"/>
    <w:p w:rsidR="00023FE7" w:rsidRPr="00A75DF9" w:rsidRDefault="00023FE7" w:rsidP="00A434A4">
      <w:pPr>
        <w:pStyle w:val="EndnoteText"/>
        <w:rPr>
          <w:rFonts w:ascii="Tahoma" w:hAnsi="Tahoma" w:cs="Tahoma"/>
        </w:rPr>
      </w:pPr>
    </w:p>
    <w:p w:rsidR="00A434A4" w:rsidRPr="00A75DF9" w:rsidRDefault="001978C7" w:rsidP="00A434A4">
      <w:pPr>
        <w:spacing w:after="60"/>
        <w:ind w:left="720"/>
        <w:rPr>
          <w:rFonts w:cs="Tahoma"/>
        </w:rPr>
      </w:pPr>
      <w:r w:rsidRPr="00A75DF9">
        <w:rPr>
          <w:rFonts w:cs="Tahoma"/>
          <w:b/>
          <w:color w:val="000000"/>
        </w:rPr>
        <w:t>Concessioni di licenza associate alla fine del ciclo di vita di HPC Server Suite</w:t>
      </w:r>
    </w:p>
    <w:p w:rsidR="001978C7" w:rsidRPr="00A75DF9" w:rsidRDefault="001978C7" w:rsidP="00A434A4">
      <w:pPr>
        <w:ind w:left="720"/>
        <w:rPr>
          <w:rFonts w:cs="Tahoma"/>
        </w:rPr>
      </w:pPr>
      <w:r w:rsidRPr="00A75DF9">
        <w:rPr>
          <w:rFonts w:cs="Tahoma"/>
          <w:color w:val="000000"/>
        </w:rPr>
        <w:t>HPC Server Suite 2008 R2 sarà l</w:t>
      </w:r>
      <w:r w:rsidR="00F2643E">
        <w:rPr>
          <w:rFonts w:cs="Tahoma"/>
          <w:color w:val="000000"/>
        </w:rPr>
        <w:t>’</w:t>
      </w:r>
      <w:r w:rsidRPr="00A75DF9">
        <w:rPr>
          <w:rFonts w:cs="Tahoma"/>
          <w:color w:val="000000"/>
        </w:rPr>
        <w:t>ultima versione di HPC Server Suite. Le società titolari di Contratti Multilicenza con copertura Software Assurance attiva per le licenze per HPC Server Suite in data 1 settembre 2012 o in occasione della prima disponibilità di Windows Server 2012 per il download dal sito Web Volume Licensing Service Center, a seconda di quale evento si verificherà per primo, (“Licenze Qualificanti”) saranno autorizzate a</w:t>
      </w:r>
      <w:r w:rsidRPr="00A75DF9">
        <w:rPr>
          <w:rFonts w:eastAsia="Calibri" w:cs="Tahoma"/>
          <w:szCs w:val="18"/>
        </w:rPr>
        <w:t xml:space="preserve"> effettuare l</w:t>
      </w:r>
      <w:r w:rsidR="00F2643E">
        <w:rPr>
          <w:rFonts w:eastAsia="Calibri" w:cs="Tahoma"/>
          <w:szCs w:val="18"/>
        </w:rPr>
        <w:t>’</w:t>
      </w:r>
      <w:r w:rsidRPr="00A75DF9">
        <w:rPr>
          <w:rFonts w:eastAsia="Calibri" w:cs="Tahoma"/>
          <w:szCs w:val="18"/>
        </w:rPr>
        <w:t>aggiornamento al software Windows Server 2012 Standard e a utilizzarlo al posto di HPC Server Suite. Per agevolare tale aggiornamento, per ogni Licenza Qualificante in suo possesso, alla società verrà concessa una licenza per processore per Windows Server 2012 Standard in base alla disponibilità di Windows Server 2012.</w:t>
      </w:r>
    </w:p>
    <w:p w:rsidR="00A434A4" w:rsidRPr="00A75DF9" w:rsidRDefault="00A434A4" w:rsidP="00A434A4">
      <w:pPr>
        <w:ind w:left="720"/>
        <w:rPr>
          <w:rFonts w:cs="Tahoma"/>
        </w:rPr>
      </w:pPr>
    </w:p>
    <w:p w:rsidR="001978C7" w:rsidRPr="00A75DF9" w:rsidRDefault="001978C7" w:rsidP="00346F4B">
      <w:pPr>
        <w:numPr>
          <w:ilvl w:val="0"/>
          <w:numId w:val="52"/>
        </w:numPr>
        <w:tabs>
          <w:tab w:val="left" w:pos="1440"/>
        </w:tabs>
        <w:spacing w:after="60"/>
        <w:ind w:left="1440"/>
        <w:rPr>
          <w:rFonts w:cs="Tahoma"/>
        </w:rPr>
      </w:pPr>
      <w:r w:rsidRPr="00A75DF9">
        <w:rPr>
          <w:rFonts w:eastAsia="Calibri" w:cs="Tahoma"/>
          <w:szCs w:val="18"/>
        </w:rPr>
        <w:t>Le licenze acquistate ai sensi della presente concessione includono la copertura Software Assurance.</w:t>
      </w:r>
      <w:r w:rsidR="009D3B41" w:rsidRPr="00A75DF9">
        <w:rPr>
          <w:rFonts w:eastAsia="Calibri" w:cs="Tahoma"/>
          <w:szCs w:val="18"/>
        </w:rPr>
        <w:t xml:space="preserve"> </w:t>
      </w:r>
      <w:r w:rsidRPr="00A75DF9">
        <w:rPr>
          <w:rFonts w:eastAsia="Calibri" w:cs="Tahoma"/>
          <w:szCs w:val="18"/>
        </w:rPr>
        <w:t>Tale copertura cessa alla scadenza della corrispondente copertura per le Licenze Qualificanti.</w:t>
      </w:r>
    </w:p>
    <w:p w:rsidR="001978C7" w:rsidRPr="00A75DF9" w:rsidRDefault="001978C7" w:rsidP="00346F4B">
      <w:pPr>
        <w:numPr>
          <w:ilvl w:val="0"/>
          <w:numId w:val="52"/>
        </w:numPr>
        <w:tabs>
          <w:tab w:val="left" w:pos="1440"/>
        </w:tabs>
        <w:spacing w:after="60"/>
        <w:ind w:left="1440"/>
        <w:rPr>
          <w:rFonts w:cs="Tahoma"/>
        </w:rPr>
      </w:pPr>
      <w:r w:rsidRPr="00A75DF9">
        <w:rPr>
          <w:rFonts w:eastAsia="Calibri" w:cs="Tahoma"/>
          <w:szCs w:val="18"/>
        </w:rPr>
        <w:t>Nel caso in cui le società abbiano acquistato diritti perpetui di utilizzo del software ai sensi di Licenze Qualificanti, le licenze acquistate ai sensi della presente concessione saranno anch</w:t>
      </w:r>
      <w:r w:rsidR="00F2643E">
        <w:rPr>
          <w:rFonts w:eastAsia="Calibri" w:cs="Tahoma"/>
          <w:szCs w:val="18"/>
        </w:rPr>
        <w:t>’</w:t>
      </w:r>
      <w:r w:rsidRPr="00A75DF9">
        <w:rPr>
          <w:rFonts w:eastAsia="Calibri" w:cs="Tahoma"/>
          <w:szCs w:val="18"/>
        </w:rPr>
        <w:t>esse perpetue; diversamente, le licenze acquistate ai sensi della presente concessione cesseranno alla scadenza delle Licenze Qualificanti sottostanti.</w:t>
      </w:r>
    </w:p>
    <w:p w:rsidR="001978C7" w:rsidRPr="00A75DF9" w:rsidRDefault="001978C7" w:rsidP="00346F4B">
      <w:pPr>
        <w:numPr>
          <w:ilvl w:val="0"/>
          <w:numId w:val="52"/>
        </w:numPr>
        <w:tabs>
          <w:tab w:val="left" w:pos="1440"/>
        </w:tabs>
        <w:spacing w:after="60"/>
        <w:ind w:left="1440"/>
        <w:rPr>
          <w:rFonts w:cs="Tahoma"/>
        </w:rPr>
      </w:pPr>
      <w:r w:rsidRPr="00A75DF9">
        <w:rPr>
          <w:rFonts w:eastAsia="Calibri" w:cs="Tahoma"/>
          <w:szCs w:val="18"/>
        </w:rPr>
        <w:t>Eseguendo l</w:t>
      </w:r>
      <w:r w:rsidR="00F2643E">
        <w:rPr>
          <w:rFonts w:eastAsia="Calibri" w:cs="Tahoma"/>
          <w:szCs w:val="18"/>
        </w:rPr>
        <w:t>’</w:t>
      </w:r>
      <w:r w:rsidRPr="00A75DF9">
        <w:rPr>
          <w:rFonts w:eastAsia="Calibri" w:cs="Tahoma"/>
          <w:szCs w:val="18"/>
        </w:rPr>
        <w:t>aggiornamento a Windows Server 2012 Standard ai sensi della presente concessione, le Licenze Qualificanti in essere per HPC Server Suite non saranno più valide.</w:t>
      </w:r>
    </w:p>
    <w:p w:rsidR="001978C7" w:rsidRPr="00A75DF9" w:rsidRDefault="001978C7" w:rsidP="00346F4B">
      <w:pPr>
        <w:numPr>
          <w:ilvl w:val="0"/>
          <w:numId w:val="56"/>
        </w:numPr>
        <w:tabs>
          <w:tab w:val="left" w:pos="1440"/>
        </w:tabs>
        <w:spacing w:after="60"/>
        <w:ind w:left="1440"/>
        <w:rPr>
          <w:rFonts w:cs="Tahoma"/>
        </w:rPr>
      </w:pPr>
      <w:r w:rsidRPr="00A75DF9">
        <w:rPr>
          <w:rFonts w:cs="Tahoma"/>
        </w:rPr>
        <w:t xml:space="preserve">Le licenze per </w:t>
      </w:r>
      <w:r w:rsidRPr="00A75DF9">
        <w:rPr>
          <w:rFonts w:cs="Tahoma"/>
          <w:color w:val="000000"/>
        </w:rPr>
        <w:t>HPC Server Suite</w:t>
      </w:r>
      <w:r w:rsidR="009D3B41" w:rsidRPr="00A75DF9">
        <w:rPr>
          <w:rFonts w:cs="Tahoma"/>
          <w:color w:val="000000"/>
        </w:rPr>
        <w:t xml:space="preserve"> </w:t>
      </w:r>
      <w:r w:rsidRPr="00A75DF9">
        <w:rPr>
          <w:rFonts w:cs="Tahoma"/>
          <w:bCs/>
          <w:color w:val="000000"/>
          <w:szCs w:val="18"/>
        </w:rPr>
        <w:t>acquistate successivamente nello stesso periodo di validità dell</w:t>
      </w:r>
      <w:r w:rsidR="00F2643E">
        <w:rPr>
          <w:rFonts w:cs="Tahoma"/>
          <w:bCs/>
          <w:color w:val="000000"/>
          <w:szCs w:val="18"/>
        </w:rPr>
        <w:t>’</w:t>
      </w:r>
      <w:r w:rsidRPr="00A75DF9">
        <w:rPr>
          <w:rFonts w:cs="Tahoma"/>
          <w:bCs/>
          <w:color w:val="000000"/>
          <w:szCs w:val="18"/>
        </w:rPr>
        <w:t>iscrizione nell</w:t>
      </w:r>
      <w:r w:rsidR="00F2643E">
        <w:rPr>
          <w:rFonts w:cs="Tahoma"/>
          <w:bCs/>
          <w:color w:val="000000"/>
          <w:szCs w:val="18"/>
        </w:rPr>
        <w:t>’</w:t>
      </w:r>
      <w:r w:rsidRPr="00A75DF9">
        <w:rPr>
          <w:rFonts w:cs="Tahoma"/>
          <w:bCs/>
          <w:color w:val="000000"/>
          <w:szCs w:val="18"/>
        </w:rPr>
        <w:t>ambito di una procedura pianificata di true-up di una società Enterprise, Enterprise Subscription, Open Value Subscription o EES sono anch</w:t>
      </w:r>
      <w:r w:rsidR="00F2643E">
        <w:rPr>
          <w:rFonts w:cs="Tahoma"/>
          <w:bCs/>
          <w:color w:val="000000"/>
          <w:szCs w:val="18"/>
        </w:rPr>
        <w:t>’</w:t>
      </w:r>
      <w:r w:rsidRPr="00A75DF9">
        <w:rPr>
          <w:rFonts w:cs="Tahoma"/>
          <w:bCs/>
          <w:color w:val="000000"/>
          <w:szCs w:val="18"/>
        </w:rPr>
        <w:t xml:space="preserve">esse Licenze Qualificanti per gli scopi previsti dalla suddetta concessione. </w:t>
      </w:r>
    </w:p>
    <w:p w:rsidR="001978C7" w:rsidRPr="00A75DF9" w:rsidRDefault="001978C7" w:rsidP="00346F4B">
      <w:pPr>
        <w:numPr>
          <w:ilvl w:val="0"/>
          <w:numId w:val="56"/>
        </w:numPr>
        <w:tabs>
          <w:tab w:val="left" w:pos="1440"/>
        </w:tabs>
        <w:spacing w:after="60"/>
        <w:ind w:left="1440"/>
        <w:rPr>
          <w:rFonts w:cs="Tahoma"/>
        </w:rPr>
      </w:pPr>
      <w:r w:rsidRPr="00A75DF9">
        <w:rPr>
          <w:rFonts w:cs="Tahoma"/>
          <w:bCs/>
          <w:color w:val="000000"/>
          <w:szCs w:val="18"/>
        </w:rPr>
        <w:t>Nonostante la concessione di licenze per Windows Server 2012 Standard e di aggiornamenti per tale versione, le obbligazioni di pagamento degli importi scaduti e dovuti per le Licenze Qualificanti e la copertura rimangono pienamente vincolanti ed efficaci.</w:t>
      </w:r>
    </w:p>
    <w:p w:rsidR="00DE4110" w:rsidRPr="00A75DF9" w:rsidRDefault="001978C7" w:rsidP="00346F4B">
      <w:pPr>
        <w:numPr>
          <w:ilvl w:val="0"/>
          <w:numId w:val="56"/>
        </w:numPr>
        <w:tabs>
          <w:tab w:val="left" w:pos="1440"/>
        </w:tabs>
        <w:spacing w:after="60"/>
        <w:ind w:left="1440"/>
        <w:rPr>
          <w:rFonts w:cs="Tahoma"/>
        </w:rPr>
      </w:pPr>
      <w:r w:rsidRPr="00A75DF9">
        <w:rPr>
          <w:rFonts w:cs="Tahoma"/>
          <w:bCs/>
          <w:color w:val="000000"/>
          <w:szCs w:val="18"/>
        </w:rPr>
        <w:t>Fare anche riferimento alle note della lista dei prodotti per Windows Server 2008 R2 HPC Edition e HPC Pack 2008 R2 Enterprise.</w:t>
      </w:r>
      <w:bookmarkStart w:id="1556" w:name="_109_Windows®_Intune"/>
      <w:bookmarkEnd w:id="1556"/>
    </w:p>
    <w:p w:rsidR="00A434A4" w:rsidRPr="00A75DF9" w:rsidRDefault="00A434A4" w:rsidP="00A434A4">
      <w:pPr>
        <w:tabs>
          <w:tab w:val="left" w:pos="1440"/>
        </w:tabs>
        <w:ind w:left="1080"/>
        <w:contextualSpacing/>
        <w:rPr>
          <w:rFonts w:cs="Tahoma"/>
        </w:rPr>
      </w:pPr>
    </w:p>
    <w:p w:rsidR="00A434A4" w:rsidRPr="00A75DF9" w:rsidRDefault="00A434A4" w:rsidP="00376D4B">
      <w:pPr>
        <w:ind w:left="720"/>
        <w:rPr>
          <w:rFonts w:cs="Tahoma"/>
        </w:rPr>
      </w:pPr>
    </w:p>
    <w:p w:rsidR="008779BC" w:rsidRPr="00A75DF9" w:rsidRDefault="00A560B6" w:rsidP="00A434A4">
      <w:pPr>
        <w:pStyle w:val="Heading2"/>
        <w:ind w:left="0"/>
        <w:rPr>
          <w:rFonts w:ascii="Tahoma" w:hAnsi="Tahoma" w:cs="Tahoma"/>
        </w:rPr>
      </w:pPr>
      <w:bookmarkStart w:id="1557" w:name="_105_Windows_Multipoint"/>
      <w:bookmarkStart w:id="1558" w:name="_Toc336338367"/>
      <w:bookmarkStart w:id="1559" w:name="_Toc368310354"/>
      <w:bookmarkEnd w:id="1557"/>
      <w:r w:rsidRPr="00A75DF9">
        <w:rPr>
          <w:rFonts w:ascii="Tahoma" w:hAnsi="Tahoma" w:cs="Tahoma"/>
          <w:caps/>
          <w:color w:val="FA6500"/>
          <w:sz w:val="22"/>
          <w:vertAlign w:val="superscript"/>
        </w:rPr>
        <w:t xml:space="preserve">104 </w:t>
      </w:r>
      <w:r w:rsidRPr="00A75DF9">
        <w:rPr>
          <w:rFonts w:ascii="Tahoma" w:hAnsi="Tahoma" w:cs="Tahoma"/>
          <w:color w:val="FA6500"/>
          <w:sz w:val="22"/>
        </w:rPr>
        <w:t xml:space="preserve">Windows Multipoint Server </w:t>
      </w:r>
      <w:bookmarkEnd w:id="1558"/>
      <w:r w:rsidRPr="00A75DF9">
        <w:rPr>
          <w:rFonts w:ascii="Tahoma" w:hAnsi="Tahoma" w:cs="Tahoma"/>
          <w:color w:val="FA6500"/>
          <w:sz w:val="22"/>
        </w:rPr>
        <w:t>2012 Standard</w:t>
      </w:r>
      <w:bookmarkEnd w:id="1559"/>
      <w:r w:rsidRPr="00A75DF9">
        <w:rPr>
          <w:rFonts w:ascii="Tahoma" w:hAnsi="Tahoma" w:cs="Tahoma"/>
          <w:color w:val="FA6500"/>
          <w:sz w:val="22"/>
        </w:rPr>
        <w:t xml:space="preserve"> </w:t>
      </w:r>
    </w:p>
    <w:p w:rsidR="00A434A4" w:rsidRPr="00A75DF9" w:rsidRDefault="00A434A4" w:rsidP="00A434A4">
      <w:pPr>
        <w:rPr>
          <w:rFonts w:cs="Tahoma"/>
        </w:rPr>
      </w:pPr>
    </w:p>
    <w:p w:rsidR="00F745E1" w:rsidRPr="00A75DF9" w:rsidRDefault="008779BC" w:rsidP="00A434A4">
      <w:pPr>
        <w:ind w:left="720"/>
        <w:rPr>
          <w:rFonts w:cs="Tahoma"/>
        </w:rPr>
      </w:pPr>
      <w:r w:rsidRPr="00A75DF9">
        <w:rPr>
          <w:rFonts w:eastAsia="Calibri" w:cs="Tahoma"/>
          <w:color w:val="000000"/>
          <w:szCs w:val="18"/>
        </w:rPr>
        <w:t>Windows Multipoint Server 2012 Standard è la versione successiva di Windows Multipoint Server 2011 Standard.</w:t>
      </w:r>
    </w:p>
    <w:p w:rsidR="00A434A4" w:rsidRPr="00A75DF9" w:rsidRDefault="00A434A4" w:rsidP="00A434A4">
      <w:pPr>
        <w:rPr>
          <w:rFonts w:cs="Tahoma"/>
        </w:rPr>
      </w:pPr>
    </w:p>
    <w:p w:rsidR="00A434A4" w:rsidRPr="00A75DF9" w:rsidRDefault="00A434A4" w:rsidP="00A434A4">
      <w:pPr>
        <w:rPr>
          <w:rFonts w:cs="Tahoma"/>
        </w:rPr>
      </w:pPr>
    </w:p>
    <w:p w:rsidR="00092F30" w:rsidRPr="00A75DF9" w:rsidRDefault="00A560B6" w:rsidP="00A434A4">
      <w:pPr>
        <w:pStyle w:val="Heading2"/>
        <w:ind w:left="0"/>
        <w:rPr>
          <w:rFonts w:ascii="Tahoma" w:hAnsi="Tahoma" w:cs="Tahoma"/>
        </w:rPr>
      </w:pPr>
      <w:bookmarkStart w:id="1560" w:name="_106_Windows_Multipoint"/>
      <w:bookmarkStart w:id="1561" w:name="_Toc336338368"/>
      <w:bookmarkStart w:id="1562" w:name="Srv_103WinMultipointSvr2011Premium"/>
      <w:bookmarkStart w:id="1563" w:name="Srv_107WinMultipointSvr2011Premium"/>
      <w:bookmarkStart w:id="1564" w:name="Srv_111WinMultipointSvr2011Premium"/>
      <w:bookmarkStart w:id="1565" w:name="_Toc368310355"/>
      <w:bookmarkEnd w:id="1560"/>
      <w:r w:rsidRPr="00A75DF9">
        <w:rPr>
          <w:rFonts w:ascii="Tahoma" w:hAnsi="Tahoma" w:cs="Tahoma"/>
          <w:caps/>
          <w:color w:val="FA6500"/>
          <w:sz w:val="22"/>
          <w:szCs w:val="22"/>
          <w:vertAlign w:val="superscript"/>
        </w:rPr>
        <w:t>105</w:t>
      </w:r>
      <w:r w:rsidRPr="00A75DF9">
        <w:rPr>
          <w:rFonts w:ascii="Tahoma" w:hAnsi="Tahoma" w:cs="Tahoma"/>
          <w:caps/>
          <w:color w:val="FA6500"/>
          <w:sz w:val="22"/>
          <w:vertAlign w:val="superscript"/>
        </w:rPr>
        <w:t xml:space="preserve"> </w:t>
      </w:r>
      <w:r w:rsidRPr="00A75DF9">
        <w:rPr>
          <w:rFonts w:ascii="Tahoma" w:hAnsi="Tahoma" w:cs="Tahoma"/>
          <w:color w:val="FA6500"/>
          <w:sz w:val="22"/>
        </w:rPr>
        <w:t xml:space="preserve">Windows Multipoint Server </w:t>
      </w:r>
      <w:bookmarkEnd w:id="1561"/>
      <w:r w:rsidRPr="00A75DF9">
        <w:rPr>
          <w:rFonts w:ascii="Tahoma" w:hAnsi="Tahoma" w:cs="Tahoma"/>
          <w:color w:val="FA6500"/>
          <w:sz w:val="22"/>
        </w:rPr>
        <w:t>2012 Premium</w:t>
      </w:r>
      <w:bookmarkEnd w:id="1565"/>
      <w:r w:rsidRPr="00A75DF9">
        <w:rPr>
          <w:rFonts w:ascii="Tahoma" w:hAnsi="Tahoma" w:cs="Tahoma"/>
          <w:color w:val="FA6500"/>
          <w:sz w:val="22"/>
        </w:rPr>
        <w:t xml:space="preserve"> </w:t>
      </w:r>
      <w:bookmarkEnd w:id="1562"/>
      <w:bookmarkEnd w:id="1563"/>
      <w:bookmarkEnd w:id="1564"/>
    </w:p>
    <w:p w:rsidR="00A434A4" w:rsidRPr="00A75DF9" w:rsidRDefault="00A434A4" w:rsidP="00A434A4">
      <w:pPr>
        <w:rPr>
          <w:rFonts w:cs="Tahoma"/>
        </w:rPr>
      </w:pPr>
    </w:p>
    <w:p w:rsidR="00F745E1" w:rsidRPr="00A75DF9" w:rsidRDefault="00092F30" w:rsidP="00A434A4">
      <w:pPr>
        <w:ind w:left="720"/>
        <w:rPr>
          <w:rFonts w:cs="Tahoma"/>
        </w:rPr>
      </w:pPr>
      <w:r w:rsidRPr="00A75DF9">
        <w:rPr>
          <w:rFonts w:eastAsia="Calibri" w:cs="Tahoma"/>
          <w:color w:val="000000"/>
          <w:szCs w:val="18"/>
        </w:rPr>
        <w:t>Windows Multipoint Server 2012 Premium è la versione successiva di Windows Multipoint Server 2011 Premium.</w:t>
      </w:r>
      <w:bookmarkStart w:id="1566" w:name="_Toc280612355"/>
    </w:p>
    <w:p w:rsidR="00092F30" w:rsidRPr="00A75DF9" w:rsidRDefault="00A560B6" w:rsidP="00092F30">
      <w:pPr>
        <w:pStyle w:val="Heading2"/>
        <w:ind w:left="0"/>
        <w:rPr>
          <w:rFonts w:ascii="Tahoma" w:hAnsi="Tahoma" w:cs="Tahoma"/>
        </w:rPr>
      </w:pPr>
      <w:bookmarkStart w:id="1567" w:name="Srv_104WinMultipointSvr2011CAL"/>
      <w:bookmarkStart w:id="1568" w:name="Srv_108WinMultipointSvr2011CAL"/>
      <w:bookmarkStart w:id="1569" w:name="Srv_112WinMultipointSvr2011CAL"/>
      <w:bookmarkStart w:id="1570" w:name="_Toc368310356"/>
      <w:r w:rsidRPr="00A75DF9">
        <w:rPr>
          <w:rFonts w:ascii="Tahoma" w:hAnsi="Tahoma" w:cs="Tahoma"/>
          <w:caps/>
          <w:color w:val="FA6500"/>
          <w:sz w:val="22"/>
          <w:szCs w:val="22"/>
          <w:vertAlign w:val="superscript"/>
        </w:rPr>
        <w:lastRenderedPageBreak/>
        <w:t>106</w:t>
      </w:r>
      <w:r w:rsidRPr="00A75DF9">
        <w:rPr>
          <w:rFonts w:ascii="Tahoma" w:hAnsi="Tahoma" w:cs="Tahoma"/>
          <w:color w:val="FA6500"/>
          <w:sz w:val="22"/>
          <w:szCs w:val="22"/>
        </w:rPr>
        <w:t xml:space="preserve"> Licenza CAL per Windows </w:t>
      </w:r>
      <w:bookmarkEnd w:id="1566"/>
      <w:r w:rsidRPr="00A75DF9">
        <w:rPr>
          <w:rFonts w:ascii="Tahoma" w:hAnsi="Tahoma" w:cs="Tahoma"/>
          <w:color w:val="FA6500"/>
          <w:sz w:val="22"/>
          <w:szCs w:val="22"/>
        </w:rPr>
        <w:t>Multipoint Server 2012</w:t>
      </w:r>
      <w:bookmarkEnd w:id="1570"/>
    </w:p>
    <w:bookmarkEnd w:id="1567"/>
    <w:bookmarkEnd w:id="1568"/>
    <w:bookmarkEnd w:id="1569"/>
    <w:p w:rsidR="00092F30" w:rsidRPr="00A75DF9" w:rsidRDefault="00092F30" w:rsidP="00092F30">
      <w:pPr>
        <w:ind w:firstLine="360"/>
        <w:rPr>
          <w:rFonts w:cs="Tahoma"/>
        </w:rPr>
      </w:pPr>
    </w:p>
    <w:p w:rsidR="0008452D" w:rsidRPr="00A75DF9" w:rsidRDefault="00092F30" w:rsidP="00A434A4">
      <w:pPr>
        <w:ind w:left="720"/>
        <w:rPr>
          <w:rFonts w:cs="Tahoma"/>
        </w:rPr>
      </w:pPr>
      <w:r w:rsidRPr="00A75DF9">
        <w:rPr>
          <w:rFonts w:eastAsia="Calibri" w:cs="Tahoma"/>
          <w:color w:val="000000"/>
          <w:szCs w:val="18"/>
        </w:rPr>
        <w:t>La CAL per Windows MultiPoint Server 2012 è la versione successiva della CAL per Windows Multipoint Server 2011.</w:t>
      </w:r>
    </w:p>
    <w:p w:rsidR="00A434A4" w:rsidRPr="00A75DF9" w:rsidRDefault="00A434A4" w:rsidP="00A434A4">
      <w:pPr>
        <w:rPr>
          <w:rFonts w:cs="Tahoma"/>
        </w:rPr>
      </w:pPr>
    </w:p>
    <w:p w:rsidR="00A434A4" w:rsidRPr="00A75DF9" w:rsidRDefault="00A434A4" w:rsidP="00A434A4">
      <w:pPr>
        <w:rPr>
          <w:rFonts w:cs="Tahoma"/>
        </w:rPr>
      </w:pPr>
    </w:p>
    <w:p w:rsidR="00023FE7" w:rsidRPr="00A75DF9" w:rsidRDefault="00A560B6" w:rsidP="00EF2279">
      <w:pPr>
        <w:pStyle w:val="Heading3"/>
        <w:ind w:left="360" w:hanging="360"/>
        <w:rPr>
          <w:rFonts w:ascii="Tahoma" w:hAnsi="Tahoma" w:cs="Tahoma"/>
        </w:rPr>
      </w:pPr>
      <w:bookmarkStart w:id="1571" w:name="_108_Windows_Server"/>
      <w:bookmarkStart w:id="1572" w:name="_Toc336338369"/>
      <w:bookmarkStart w:id="1573" w:name="Srv_97WinSvr08HighPerfCompandHyperV"/>
      <w:bookmarkStart w:id="1574" w:name="Srv_98WinSvr08HighPerfCompandHyperV"/>
      <w:bookmarkStart w:id="1575" w:name="Srv_110WinSvr08R2HPC"/>
      <w:bookmarkStart w:id="1576" w:name="Srv_114WinSvr08R2HPC"/>
      <w:bookmarkStart w:id="1577" w:name="_Toc368310357"/>
      <w:bookmarkEnd w:id="1571"/>
      <w:r w:rsidRPr="00A75DF9">
        <w:rPr>
          <w:rFonts w:ascii="Tahoma" w:hAnsi="Tahoma" w:cs="Tahoma"/>
          <w:caps/>
          <w:color w:val="F66400"/>
          <w:sz w:val="22"/>
          <w:vertAlign w:val="superscript"/>
        </w:rPr>
        <w:t>107</w:t>
      </w:r>
      <w:r w:rsidRPr="00A75DF9">
        <w:rPr>
          <w:rFonts w:ascii="Tahoma" w:hAnsi="Tahoma" w:cs="Tahoma"/>
          <w:color w:val="F66400"/>
          <w:sz w:val="22"/>
        </w:rPr>
        <w:t xml:space="preserve"> Windows Server 2008 R2 HPC</w:t>
      </w:r>
      <w:r w:rsidRPr="00A75DF9">
        <w:rPr>
          <w:rStyle w:val="Heading3Char"/>
          <w:rFonts w:ascii="Tahoma" w:hAnsi="Tahoma" w:cs="Tahoma"/>
          <w:b/>
          <w:color w:val="F66400"/>
          <w:sz w:val="22"/>
        </w:rPr>
        <w:t xml:space="preserve"> Edition</w:t>
      </w:r>
      <w:bookmarkEnd w:id="1572"/>
      <w:bookmarkEnd w:id="1577"/>
      <w:r w:rsidRPr="00A75DF9">
        <w:rPr>
          <w:rStyle w:val="Heading3Char"/>
          <w:rFonts w:ascii="Tahoma" w:hAnsi="Tahoma" w:cs="Tahoma"/>
          <w:b/>
          <w:color w:val="F66400"/>
          <w:sz w:val="22"/>
        </w:rPr>
        <w:t xml:space="preserve"> </w:t>
      </w:r>
    </w:p>
    <w:bookmarkEnd w:id="1573"/>
    <w:bookmarkEnd w:id="1574"/>
    <w:bookmarkEnd w:id="1575"/>
    <w:bookmarkEnd w:id="1576"/>
    <w:p w:rsidR="00023FE7" w:rsidRPr="00A75DF9" w:rsidRDefault="00023FE7" w:rsidP="00A434A4">
      <w:pPr>
        <w:rPr>
          <w:rFonts w:cs="Tahoma"/>
        </w:rPr>
      </w:pPr>
    </w:p>
    <w:p w:rsidR="00A434A4" w:rsidRPr="00A75DF9" w:rsidRDefault="001978C7" w:rsidP="00A434A4">
      <w:pPr>
        <w:spacing w:after="60"/>
        <w:ind w:left="720"/>
        <w:rPr>
          <w:rFonts w:cs="Tahoma"/>
        </w:rPr>
      </w:pPr>
      <w:r w:rsidRPr="00A75DF9">
        <w:rPr>
          <w:rFonts w:cs="Tahoma"/>
          <w:b/>
          <w:color w:val="000000"/>
        </w:rPr>
        <w:t>Concessioni di licenza associate alla fine del ciclo di vita di Windows Server HPC Edition</w:t>
      </w:r>
    </w:p>
    <w:p w:rsidR="001978C7" w:rsidRPr="00A75DF9" w:rsidRDefault="001978C7" w:rsidP="00A434A4">
      <w:pPr>
        <w:ind w:left="720"/>
        <w:rPr>
          <w:rFonts w:cs="Tahoma"/>
        </w:rPr>
      </w:pPr>
      <w:r w:rsidRPr="00A75DF9">
        <w:rPr>
          <w:rFonts w:cs="Tahoma"/>
          <w:color w:val="000000"/>
        </w:rPr>
        <w:t>Windows Server 2008 R2 sarà l</w:t>
      </w:r>
      <w:r w:rsidR="00F2643E">
        <w:rPr>
          <w:rFonts w:cs="Tahoma"/>
          <w:color w:val="000000"/>
        </w:rPr>
        <w:t>’</w:t>
      </w:r>
      <w:r w:rsidRPr="00A75DF9">
        <w:rPr>
          <w:rFonts w:cs="Tahoma"/>
          <w:color w:val="000000"/>
        </w:rPr>
        <w:t xml:space="preserve">ultima versione di Windows Server HPC Edition. Le società titolari di Contratti Multilicenza con copertura Software Assurance attiva per le licenze per Windows Server 2008 R2 HPC Edition in data 1 settembre 2012 o in occasione della prima disponibilità di Windows Server 2012 per il download dal sito Web Volume Licensing Service Center, a seconda di quale evento si verificherà per primo, (“Licenze Qualificanti”) saranno autorizzate a </w:t>
      </w:r>
      <w:r w:rsidRPr="00A75DF9">
        <w:rPr>
          <w:rFonts w:eastAsia="Calibri" w:cs="Tahoma"/>
          <w:szCs w:val="18"/>
        </w:rPr>
        <w:t xml:space="preserve">utilizzare il software Windows Server 2012 Standard. Per agevolare tale utilizzo, per ogni due Licenze Qualificanti in suo possesso, alla società verrà concessa una licenza per processore per Windows Server 2012 Standard in base alla disponibilità di Windows Server 2012. </w:t>
      </w:r>
    </w:p>
    <w:p w:rsidR="00A434A4" w:rsidRPr="00A75DF9" w:rsidRDefault="00A434A4" w:rsidP="00A434A4">
      <w:pPr>
        <w:ind w:left="720"/>
        <w:rPr>
          <w:rFonts w:cs="Tahoma"/>
        </w:rPr>
      </w:pPr>
    </w:p>
    <w:p w:rsidR="001978C7" w:rsidRPr="0012364E" w:rsidRDefault="001978C7" w:rsidP="00346F4B">
      <w:pPr>
        <w:numPr>
          <w:ilvl w:val="0"/>
          <w:numId w:val="56"/>
        </w:numPr>
        <w:tabs>
          <w:tab w:val="clear" w:pos="360"/>
          <w:tab w:val="num" w:pos="1440"/>
        </w:tabs>
        <w:spacing w:after="60"/>
        <w:ind w:left="1440"/>
        <w:rPr>
          <w:rFonts w:cs="Tahoma"/>
          <w:szCs w:val="18"/>
        </w:rPr>
      </w:pPr>
      <w:r w:rsidRPr="0012364E">
        <w:rPr>
          <w:rFonts w:cs="Tahoma"/>
          <w:color w:val="000000"/>
          <w:szCs w:val="18"/>
        </w:rPr>
        <w:t>Qualora una società disponga di un numero dispari di licenze per Windows Server HPC Edition, dovrà arrotondarle al successivo numero pari per determinare la quantità concessa.</w:t>
      </w:r>
      <w:r w:rsidR="009D3B41" w:rsidRPr="0012364E">
        <w:rPr>
          <w:rFonts w:cs="Tahoma"/>
          <w:color w:val="000000"/>
          <w:szCs w:val="18"/>
        </w:rPr>
        <w:t xml:space="preserve"> </w:t>
      </w:r>
      <w:r w:rsidRPr="0012364E">
        <w:rPr>
          <w:rFonts w:cs="Tahoma"/>
          <w:color w:val="000000"/>
          <w:szCs w:val="18"/>
        </w:rPr>
        <w:t>Ad esempio, una società titolare di tre licenze per Windows Server HPC Edition riceverà in totale due licenze per Windows Server 2012 Standard.</w:t>
      </w:r>
    </w:p>
    <w:p w:rsidR="001978C7" w:rsidRPr="0012364E" w:rsidRDefault="001978C7" w:rsidP="00346F4B">
      <w:pPr>
        <w:pStyle w:val="ListParagraph"/>
        <w:numPr>
          <w:ilvl w:val="0"/>
          <w:numId w:val="56"/>
        </w:numPr>
        <w:tabs>
          <w:tab w:val="clear" w:pos="360"/>
          <w:tab w:val="num" w:pos="1440"/>
        </w:tabs>
        <w:spacing w:after="60"/>
        <w:ind w:left="1440"/>
        <w:contextualSpacing w:val="0"/>
        <w:rPr>
          <w:rFonts w:ascii="Tahoma" w:hAnsi="Tahoma" w:cs="Tahoma"/>
          <w:sz w:val="18"/>
          <w:szCs w:val="18"/>
        </w:rPr>
      </w:pPr>
      <w:r w:rsidRPr="0012364E">
        <w:rPr>
          <w:rFonts w:ascii="Tahoma" w:eastAsia="Calibri" w:hAnsi="Tahoma" w:cs="Tahoma"/>
          <w:sz w:val="18"/>
          <w:szCs w:val="18"/>
        </w:rPr>
        <w:t>Le licenze acquistate ai sensi della presente concessione includono la copertura Software Assurance.</w:t>
      </w:r>
      <w:r w:rsidR="009D3B41" w:rsidRPr="0012364E">
        <w:rPr>
          <w:rFonts w:ascii="Tahoma" w:eastAsia="Calibri" w:hAnsi="Tahoma" w:cs="Tahoma"/>
          <w:sz w:val="18"/>
          <w:szCs w:val="18"/>
        </w:rPr>
        <w:t xml:space="preserve"> </w:t>
      </w:r>
      <w:r w:rsidRPr="0012364E">
        <w:rPr>
          <w:rFonts w:ascii="Tahoma" w:eastAsia="Calibri" w:hAnsi="Tahoma" w:cs="Tahoma"/>
          <w:sz w:val="18"/>
          <w:szCs w:val="18"/>
        </w:rPr>
        <w:t>Tale copertura cessa alla scadenza della corrispondente copertura per le Licenze Qualificanti.</w:t>
      </w:r>
    </w:p>
    <w:p w:rsidR="001978C7" w:rsidRPr="0012364E" w:rsidRDefault="001978C7" w:rsidP="00346F4B">
      <w:pPr>
        <w:pStyle w:val="ListParagraph"/>
        <w:numPr>
          <w:ilvl w:val="0"/>
          <w:numId w:val="56"/>
        </w:numPr>
        <w:tabs>
          <w:tab w:val="clear" w:pos="360"/>
          <w:tab w:val="num" w:pos="1440"/>
        </w:tabs>
        <w:spacing w:after="60"/>
        <w:ind w:left="1440"/>
        <w:contextualSpacing w:val="0"/>
        <w:rPr>
          <w:rFonts w:ascii="Tahoma" w:hAnsi="Tahoma" w:cs="Tahoma"/>
          <w:sz w:val="18"/>
          <w:szCs w:val="18"/>
        </w:rPr>
      </w:pPr>
      <w:r w:rsidRPr="0012364E">
        <w:rPr>
          <w:rFonts w:ascii="Tahoma" w:eastAsia="Calibri" w:hAnsi="Tahoma" w:cs="Tahoma"/>
          <w:sz w:val="18"/>
          <w:szCs w:val="18"/>
        </w:rPr>
        <w:t>Nel caso in cui le società abbiano acquistato diritti perpetui per utilizzare software ai sensi di Licenze Qualificanti, le licenze acquistate ai sensi della presente concessione saranno anch</w:t>
      </w:r>
      <w:r w:rsidR="00F2643E">
        <w:rPr>
          <w:rFonts w:ascii="Tahoma" w:eastAsia="Calibri" w:hAnsi="Tahoma" w:cs="Tahoma"/>
          <w:sz w:val="18"/>
          <w:szCs w:val="18"/>
        </w:rPr>
        <w:t>’</w:t>
      </w:r>
      <w:r w:rsidRPr="0012364E">
        <w:rPr>
          <w:rFonts w:ascii="Tahoma" w:eastAsia="Calibri" w:hAnsi="Tahoma" w:cs="Tahoma"/>
          <w:sz w:val="18"/>
          <w:szCs w:val="18"/>
        </w:rPr>
        <w:t>esse perpetue; diversamente, le licenze acquistate ai sensi della presente concessione cesseranno alla scadenza delle Licenze Qualificanti sottostanti.</w:t>
      </w:r>
    </w:p>
    <w:p w:rsidR="001978C7" w:rsidRPr="0012364E" w:rsidRDefault="001978C7" w:rsidP="00346F4B">
      <w:pPr>
        <w:numPr>
          <w:ilvl w:val="0"/>
          <w:numId w:val="56"/>
        </w:numPr>
        <w:tabs>
          <w:tab w:val="clear" w:pos="360"/>
          <w:tab w:val="num" w:pos="1440"/>
          <w:tab w:val="left" w:pos="2160"/>
        </w:tabs>
        <w:spacing w:after="60"/>
        <w:ind w:left="1440"/>
        <w:rPr>
          <w:rFonts w:cs="Tahoma"/>
          <w:szCs w:val="18"/>
        </w:rPr>
      </w:pPr>
      <w:r w:rsidRPr="0012364E">
        <w:rPr>
          <w:rFonts w:eastAsia="Calibri" w:cs="Tahoma"/>
          <w:szCs w:val="18"/>
        </w:rPr>
        <w:t>Eseguendo l</w:t>
      </w:r>
      <w:r w:rsidR="00F2643E">
        <w:rPr>
          <w:rFonts w:eastAsia="Calibri" w:cs="Tahoma"/>
          <w:szCs w:val="18"/>
        </w:rPr>
        <w:t>’</w:t>
      </w:r>
      <w:r w:rsidRPr="0012364E">
        <w:rPr>
          <w:rFonts w:eastAsia="Calibri" w:cs="Tahoma"/>
          <w:szCs w:val="18"/>
        </w:rPr>
        <w:t xml:space="preserve">aggiornamento a Windows Server 2012 Standard ai sensi della presente concessione, le licenze in essere per </w:t>
      </w:r>
      <w:r w:rsidRPr="0012364E">
        <w:rPr>
          <w:rFonts w:cs="Tahoma"/>
          <w:color w:val="000000"/>
          <w:szCs w:val="18"/>
        </w:rPr>
        <w:t>Windows Server 2008 R2 HPC Edition</w:t>
      </w:r>
      <w:r w:rsidRPr="0012364E">
        <w:rPr>
          <w:rFonts w:eastAsia="Calibri" w:cs="Tahoma"/>
          <w:szCs w:val="18"/>
        </w:rPr>
        <w:t xml:space="preserve"> rimangono valide.</w:t>
      </w:r>
    </w:p>
    <w:p w:rsidR="001978C7" w:rsidRPr="0012364E" w:rsidRDefault="001978C7" w:rsidP="00346F4B">
      <w:pPr>
        <w:numPr>
          <w:ilvl w:val="0"/>
          <w:numId w:val="56"/>
        </w:numPr>
        <w:tabs>
          <w:tab w:val="clear" w:pos="360"/>
          <w:tab w:val="num" w:pos="1440"/>
        </w:tabs>
        <w:spacing w:after="60"/>
        <w:ind w:left="1440"/>
        <w:rPr>
          <w:rFonts w:cs="Tahoma"/>
          <w:szCs w:val="18"/>
        </w:rPr>
      </w:pPr>
      <w:r w:rsidRPr="0012364E">
        <w:rPr>
          <w:rFonts w:cs="Tahoma"/>
          <w:szCs w:val="18"/>
        </w:rPr>
        <w:t xml:space="preserve">Le licenze per </w:t>
      </w:r>
      <w:r w:rsidRPr="0012364E">
        <w:rPr>
          <w:rFonts w:cs="Tahoma"/>
          <w:color w:val="000000"/>
          <w:szCs w:val="18"/>
        </w:rPr>
        <w:t xml:space="preserve">Windows Server 2008 R2 HPC Edition </w:t>
      </w:r>
      <w:r w:rsidRPr="0012364E">
        <w:rPr>
          <w:rFonts w:cs="Tahoma"/>
          <w:bCs/>
          <w:color w:val="000000"/>
          <w:szCs w:val="18"/>
        </w:rPr>
        <w:t>acquistate successivamente nello stesso periodo di validità dell</w:t>
      </w:r>
      <w:r w:rsidR="00F2643E">
        <w:rPr>
          <w:rFonts w:cs="Tahoma"/>
          <w:bCs/>
          <w:color w:val="000000"/>
          <w:szCs w:val="18"/>
        </w:rPr>
        <w:t>’</w:t>
      </w:r>
      <w:r w:rsidRPr="0012364E">
        <w:rPr>
          <w:rFonts w:cs="Tahoma"/>
          <w:bCs/>
          <w:color w:val="000000"/>
          <w:szCs w:val="18"/>
        </w:rPr>
        <w:t>iscrizione nell</w:t>
      </w:r>
      <w:r w:rsidR="00F2643E">
        <w:rPr>
          <w:rFonts w:cs="Tahoma"/>
          <w:bCs/>
          <w:color w:val="000000"/>
          <w:szCs w:val="18"/>
        </w:rPr>
        <w:t>’</w:t>
      </w:r>
      <w:r w:rsidRPr="0012364E">
        <w:rPr>
          <w:rFonts w:cs="Tahoma"/>
          <w:bCs/>
          <w:color w:val="000000"/>
          <w:szCs w:val="18"/>
        </w:rPr>
        <w:t>ambito di una procedura pianificata di true-up di una società Enterprise, Enterprise Subscription, Open Value Subscription o EES sono anch</w:t>
      </w:r>
      <w:r w:rsidR="00F2643E">
        <w:rPr>
          <w:rFonts w:cs="Tahoma"/>
          <w:bCs/>
          <w:color w:val="000000"/>
          <w:szCs w:val="18"/>
        </w:rPr>
        <w:t>’</w:t>
      </w:r>
      <w:r w:rsidRPr="0012364E">
        <w:rPr>
          <w:rFonts w:cs="Tahoma"/>
          <w:bCs/>
          <w:color w:val="000000"/>
          <w:szCs w:val="18"/>
        </w:rPr>
        <w:t xml:space="preserve">esse Licenze Qualificanti per gli scopi previsti dalla suddetta concessione. </w:t>
      </w:r>
    </w:p>
    <w:p w:rsidR="001978C7" w:rsidRPr="0012364E" w:rsidRDefault="001978C7" w:rsidP="00346F4B">
      <w:pPr>
        <w:numPr>
          <w:ilvl w:val="0"/>
          <w:numId w:val="56"/>
        </w:numPr>
        <w:tabs>
          <w:tab w:val="clear" w:pos="360"/>
          <w:tab w:val="num" w:pos="1440"/>
        </w:tabs>
        <w:spacing w:after="60"/>
        <w:ind w:left="1440"/>
        <w:rPr>
          <w:rFonts w:cs="Tahoma"/>
          <w:szCs w:val="18"/>
        </w:rPr>
      </w:pPr>
      <w:r w:rsidRPr="0012364E">
        <w:rPr>
          <w:rFonts w:cs="Tahoma"/>
          <w:bCs/>
          <w:color w:val="000000"/>
          <w:szCs w:val="18"/>
        </w:rPr>
        <w:t>Nonostante la concessione di licenze per Windows Server 2012 Standard e di aggiornamenti per tale versione, le obbligazioni di pagamento degli importi scaduti e dovuti per le Licenze Qualificanti e la copertura rimangono pienamente vincolanti ed efficaci.</w:t>
      </w:r>
    </w:p>
    <w:p w:rsidR="00A434A4" w:rsidRPr="00A75DF9" w:rsidRDefault="00A434A4" w:rsidP="00A434A4">
      <w:pPr>
        <w:contextualSpacing/>
        <w:rPr>
          <w:rFonts w:cs="Tahoma"/>
        </w:rPr>
      </w:pPr>
    </w:p>
    <w:p w:rsidR="008C2FF8" w:rsidRPr="00A75DF9" w:rsidRDefault="001978C7" w:rsidP="0012364E">
      <w:pPr>
        <w:spacing w:after="60"/>
        <w:ind w:left="720"/>
        <w:rPr>
          <w:rFonts w:cs="Tahoma"/>
        </w:rPr>
      </w:pPr>
      <w:r w:rsidRPr="00A75DF9">
        <w:rPr>
          <w:rFonts w:eastAsia="Calibri" w:cs="Tahoma"/>
          <w:b/>
          <w:szCs w:val="18"/>
        </w:rPr>
        <w:t>Informazioni aggiuntive sull</w:t>
      </w:r>
      <w:r w:rsidR="00F2643E">
        <w:rPr>
          <w:rFonts w:eastAsia="Calibri" w:cs="Tahoma"/>
          <w:b/>
          <w:szCs w:val="18"/>
        </w:rPr>
        <w:t>’</w:t>
      </w:r>
      <w:r w:rsidRPr="00A75DF9">
        <w:rPr>
          <w:rFonts w:eastAsia="Calibri" w:cs="Tahoma"/>
          <w:b/>
          <w:szCs w:val="18"/>
        </w:rPr>
        <w:t>utilizzo di Windows Server 2012 High Performance Computing</w:t>
      </w:r>
      <w:r w:rsidR="0012364E">
        <w:rPr>
          <w:rFonts w:eastAsia="Calibri" w:cs="Tahoma"/>
          <w:b/>
          <w:szCs w:val="18"/>
        </w:rPr>
        <w:t> </w:t>
      </w:r>
      <w:r w:rsidRPr="00A75DF9">
        <w:rPr>
          <w:rFonts w:eastAsia="Calibri" w:cs="Tahoma"/>
          <w:b/>
          <w:szCs w:val="18"/>
        </w:rPr>
        <w:t>(HPC)</w:t>
      </w:r>
    </w:p>
    <w:p w:rsidR="002F7203" w:rsidRPr="00A75DF9" w:rsidRDefault="001978C7" w:rsidP="008C2FF8">
      <w:pPr>
        <w:ind w:left="720"/>
        <w:contextualSpacing/>
        <w:rPr>
          <w:rFonts w:cs="Tahoma"/>
        </w:rPr>
      </w:pPr>
      <w:r w:rsidRPr="00A75DF9">
        <w:rPr>
          <w:rFonts w:eastAsia="Calibri" w:cs="Tahoma"/>
          <w:szCs w:val="18"/>
        </w:rPr>
        <w:t>Quando Windows Server 2012 Standard o Datacenter viene utilizzato per High Performance Computing, non servono licenze CAL per accedere al software. Un “</w:t>
      </w:r>
      <w:r w:rsidRPr="00A75DF9">
        <w:rPr>
          <w:rFonts w:cs="Tahoma"/>
        </w:rPr>
        <w:t>Carico di Lavoro High Performance Computing (“HPC”)”</w:t>
      </w:r>
      <w:r w:rsidRPr="00A75DF9">
        <w:rPr>
          <w:rFonts w:cs="Tahoma"/>
          <w:b/>
          <w:bCs/>
        </w:rPr>
        <w:t xml:space="preserve"> </w:t>
      </w:r>
      <w:r w:rsidRPr="00A75DF9">
        <w:rPr>
          <w:rFonts w:cs="Tahoma"/>
        </w:rPr>
        <w:t xml:space="preserve">indica un carico di lavoro nel quale il software server </w:t>
      </w:r>
      <w:r w:rsidRPr="00A75DF9">
        <w:rPr>
          <w:rFonts w:cs="Tahoma"/>
          <w:u w:val="single"/>
        </w:rPr>
        <w:t>viene utilizzato</w:t>
      </w:r>
      <w:r w:rsidRPr="0012364E">
        <w:rPr>
          <w:rFonts w:cs="Tahoma"/>
        </w:rPr>
        <w:t xml:space="preserve"> </w:t>
      </w:r>
      <w:r w:rsidRPr="00A75DF9">
        <w:rPr>
          <w:rFonts w:cs="Tahoma"/>
        </w:rPr>
        <w:t>per eseguire un Nodo del Cluster e per consentire, insieme ad altro software, la gestione dei sistemi, la gestione della protezione e dell</w:t>
      </w:r>
      <w:r w:rsidR="00F2643E">
        <w:rPr>
          <w:rFonts w:cs="Tahoma"/>
        </w:rPr>
        <w:t>’</w:t>
      </w:r>
      <w:r w:rsidRPr="00A75DF9">
        <w:rPr>
          <w:rFonts w:cs="Tahoma"/>
        </w:rPr>
        <w:t>archiviazione o il miglioramento delle prestazioni in un nodo del cluster allo scopo di supportare le Applicazioni HPC con cluster.</w:t>
      </w:r>
      <w:r w:rsidRPr="00A75DF9">
        <w:rPr>
          <w:rFonts w:eastAsia="Calibri" w:cs="Tahoma"/>
          <w:szCs w:val="18"/>
        </w:rPr>
        <w:t xml:space="preserve"> Ulteriori dettagli sono disponibili nei Diritti di Utilizzo del Prodotto.</w:t>
      </w:r>
      <w:bookmarkStart w:id="1578" w:name="Srv_1120WinSvr08R2Enterprise"/>
    </w:p>
    <w:p w:rsidR="008C2FF8" w:rsidRPr="00A75DF9" w:rsidRDefault="008C2FF8" w:rsidP="008C2FF8">
      <w:pPr>
        <w:contextualSpacing/>
        <w:rPr>
          <w:rFonts w:cs="Tahoma"/>
        </w:rPr>
      </w:pPr>
    </w:p>
    <w:p w:rsidR="002512D3" w:rsidRPr="00A75DF9" w:rsidRDefault="002512D3">
      <w:pPr>
        <w:rPr>
          <w:rFonts w:cs="Tahoma"/>
        </w:rPr>
      </w:pPr>
      <w:bookmarkStart w:id="1579" w:name="_97_Windows_Server"/>
      <w:bookmarkStart w:id="1580" w:name="_98_Windows_Server"/>
      <w:bookmarkStart w:id="1581" w:name="_Toc336338370"/>
      <w:bookmarkStart w:id="1582" w:name="Srv_116WinSvr08R2Enterprise"/>
      <w:bookmarkStart w:id="1583" w:name="Srv_100WinSvr08R2Enterprise"/>
      <w:bookmarkEnd w:id="1579"/>
      <w:bookmarkEnd w:id="1580"/>
    </w:p>
    <w:p w:rsidR="006D0B36" w:rsidRPr="00A75DF9" w:rsidRDefault="00A560B6" w:rsidP="007B35CE">
      <w:pPr>
        <w:pStyle w:val="Heading3"/>
        <w:keepNext/>
        <w:ind w:left="360" w:hanging="360"/>
        <w:rPr>
          <w:rFonts w:ascii="Tahoma" w:hAnsi="Tahoma" w:cs="Tahoma"/>
        </w:rPr>
      </w:pPr>
      <w:bookmarkStart w:id="1584" w:name="_109_Windows_Server"/>
      <w:bookmarkStart w:id="1585" w:name="_Toc368310358"/>
      <w:bookmarkEnd w:id="1584"/>
      <w:r w:rsidRPr="00A75DF9">
        <w:rPr>
          <w:rFonts w:ascii="Tahoma" w:hAnsi="Tahoma" w:cs="Tahoma"/>
          <w:caps/>
          <w:color w:val="F66400"/>
          <w:sz w:val="22"/>
          <w:vertAlign w:val="superscript"/>
        </w:rPr>
        <w:t>108</w:t>
      </w:r>
      <w:r w:rsidRPr="00A75DF9">
        <w:rPr>
          <w:rFonts w:ascii="Tahoma" w:hAnsi="Tahoma" w:cs="Tahoma"/>
          <w:color w:val="F66400"/>
          <w:sz w:val="22"/>
        </w:rPr>
        <w:t xml:space="preserve"> Windows Server 2008 R2 Enterprise</w:t>
      </w:r>
      <w:bookmarkEnd w:id="1581"/>
      <w:bookmarkEnd w:id="1585"/>
      <w:r w:rsidRPr="00A75DF9">
        <w:rPr>
          <w:rFonts w:ascii="Tahoma" w:hAnsi="Tahoma" w:cs="Tahoma"/>
          <w:color w:val="F66400"/>
          <w:sz w:val="22"/>
        </w:rPr>
        <w:t xml:space="preserve"> </w:t>
      </w:r>
      <w:bookmarkEnd w:id="1582"/>
    </w:p>
    <w:bookmarkEnd w:id="1578"/>
    <w:bookmarkEnd w:id="1583"/>
    <w:p w:rsidR="00156AE7" w:rsidRPr="00A75DF9" w:rsidRDefault="00156AE7" w:rsidP="008C2FF8">
      <w:pPr>
        <w:ind w:left="900"/>
        <w:rPr>
          <w:rFonts w:cs="Tahoma"/>
        </w:rPr>
      </w:pPr>
    </w:p>
    <w:p w:rsidR="00171927" w:rsidRPr="00A75DF9" w:rsidRDefault="00156AE7" w:rsidP="00171927">
      <w:pPr>
        <w:spacing w:after="60"/>
        <w:ind w:left="720"/>
        <w:rPr>
          <w:rFonts w:cs="Tahoma"/>
        </w:rPr>
      </w:pPr>
      <w:r w:rsidRPr="00A75DF9">
        <w:rPr>
          <w:rFonts w:cs="Tahoma"/>
          <w:b/>
          <w:color w:val="000000"/>
        </w:rPr>
        <w:t>Concessioni di licenza associate alla fine del ciclo di vita di Windows Server Enterprise</w:t>
      </w:r>
    </w:p>
    <w:p w:rsidR="00156AE7" w:rsidRPr="00A75DF9" w:rsidRDefault="00156AE7" w:rsidP="0012364E">
      <w:pPr>
        <w:ind w:left="720"/>
        <w:rPr>
          <w:rFonts w:cs="Tahoma"/>
        </w:rPr>
      </w:pPr>
      <w:r w:rsidRPr="00A75DF9">
        <w:rPr>
          <w:rFonts w:cs="Tahoma"/>
          <w:color w:val="000000"/>
        </w:rPr>
        <w:t>Windows Server 2008 R2 sarà l</w:t>
      </w:r>
      <w:r w:rsidR="00F2643E">
        <w:rPr>
          <w:rFonts w:cs="Tahoma"/>
          <w:color w:val="000000"/>
        </w:rPr>
        <w:t>’</w:t>
      </w:r>
      <w:r w:rsidRPr="00A75DF9">
        <w:rPr>
          <w:rFonts w:cs="Tahoma"/>
          <w:color w:val="000000"/>
        </w:rPr>
        <w:t>ultima versione di Windows Server Enterprise.</w:t>
      </w:r>
      <w:r w:rsidR="009D3B41" w:rsidRPr="00A75DF9">
        <w:rPr>
          <w:rFonts w:cs="Tahoma"/>
          <w:color w:val="000000"/>
        </w:rPr>
        <w:t xml:space="preserve"> </w:t>
      </w:r>
      <w:r w:rsidRPr="00A75DF9">
        <w:rPr>
          <w:rFonts w:cs="Tahoma"/>
          <w:color w:val="000000"/>
        </w:rPr>
        <w:t xml:space="preserve">Le società titolari di Contratti Multilicenza con copertura Software Assurance attiva per le licenze per Windows Server 2008 R2 Enterprise in data 1 settembre 2012 o in occasione della prima disponibilità di Windows Server 2012 per il download dal sito Web Volume Licensing Service Center, a seconda di quale evento si verificherà per primo, (“Licenze Qualificanti”) </w:t>
      </w:r>
      <w:r w:rsidRPr="00A75DF9">
        <w:rPr>
          <w:rFonts w:eastAsia="Calibri" w:cs="Tahoma"/>
          <w:szCs w:val="18"/>
        </w:rPr>
        <w:t>saranno autorizzate a effettuare l</w:t>
      </w:r>
      <w:r w:rsidR="00F2643E">
        <w:rPr>
          <w:rFonts w:eastAsia="Calibri" w:cs="Tahoma"/>
          <w:szCs w:val="18"/>
        </w:rPr>
        <w:t>’</w:t>
      </w:r>
      <w:r w:rsidRPr="00A75DF9">
        <w:rPr>
          <w:rFonts w:eastAsia="Calibri" w:cs="Tahoma"/>
          <w:szCs w:val="18"/>
        </w:rPr>
        <w:t xml:space="preserve">aggiornamento al software Windows Server 2012 Standard </w:t>
      </w:r>
      <w:r w:rsidRPr="00A75DF9">
        <w:rPr>
          <w:rFonts w:eastAsia="Calibri" w:cs="Tahoma"/>
          <w:szCs w:val="18"/>
        </w:rPr>
        <w:lastRenderedPageBreak/>
        <w:t>e</w:t>
      </w:r>
      <w:r w:rsidR="0012364E">
        <w:rPr>
          <w:rFonts w:eastAsia="Calibri" w:cs="Tahoma"/>
          <w:szCs w:val="18"/>
        </w:rPr>
        <w:t> </w:t>
      </w:r>
      <w:r w:rsidRPr="00A75DF9">
        <w:rPr>
          <w:rFonts w:eastAsia="Calibri" w:cs="Tahoma"/>
          <w:szCs w:val="18"/>
        </w:rPr>
        <w:t>a utilizzarlo al posto di Windows Server 2008 R2 Enterprise. Per agevolare tale aggiornamento, per ogni Licenza Qualificante in suo possesso, alla società verrà concesso quanto segue in base alla disponibilità di</w:t>
      </w:r>
      <w:r w:rsidR="0012364E">
        <w:rPr>
          <w:rFonts w:eastAsia="Calibri" w:cs="Tahoma"/>
          <w:szCs w:val="18"/>
        </w:rPr>
        <w:t> </w:t>
      </w:r>
      <w:r w:rsidRPr="00A75DF9">
        <w:rPr>
          <w:rFonts w:eastAsia="Calibri" w:cs="Tahoma"/>
          <w:szCs w:val="18"/>
        </w:rPr>
        <w:t>Windows Server 2012:</w:t>
      </w:r>
    </w:p>
    <w:p w:rsidR="00171927" w:rsidRPr="00A75DF9" w:rsidRDefault="00171927" w:rsidP="00171927">
      <w:pPr>
        <w:spacing w:after="60"/>
        <w:ind w:left="720"/>
        <w:rPr>
          <w:rFonts w:cs="Tahoma"/>
        </w:rPr>
      </w:pPr>
    </w:p>
    <w:p w:rsidR="00156AE7" w:rsidRPr="00A75DF9" w:rsidRDefault="00156AE7" w:rsidP="00346F4B">
      <w:pPr>
        <w:numPr>
          <w:ilvl w:val="0"/>
          <w:numId w:val="52"/>
        </w:numPr>
        <w:spacing w:after="60"/>
        <w:ind w:left="1440"/>
        <w:rPr>
          <w:rFonts w:cs="Tahoma"/>
        </w:rPr>
      </w:pPr>
      <w:r w:rsidRPr="00A75DF9">
        <w:rPr>
          <w:rFonts w:eastAsia="Calibri" w:cs="Tahoma"/>
          <w:szCs w:val="18"/>
        </w:rPr>
        <w:t>due licenze per Windows Server 2012 Standard o</w:t>
      </w:r>
    </w:p>
    <w:p w:rsidR="00156AE7" w:rsidRPr="00A75DF9" w:rsidRDefault="00156AE7" w:rsidP="00346F4B">
      <w:pPr>
        <w:numPr>
          <w:ilvl w:val="0"/>
          <w:numId w:val="52"/>
        </w:numPr>
        <w:spacing w:after="60"/>
        <w:ind w:left="1440"/>
        <w:rPr>
          <w:rFonts w:cs="Tahoma"/>
        </w:rPr>
      </w:pPr>
      <w:r w:rsidRPr="00A75DF9">
        <w:rPr>
          <w:rFonts w:eastAsia="Calibri" w:cs="Tahoma"/>
          <w:szCs w:val="18"/>
        </w:rPr>
        <w:t>tre, nel caso di Licenze Qualificanti acquistate con la copertura SA o rinnovate nel periodo 1 aprile - 31 agosto 2012 o</w:t>
      </w:r>
    </w:p>
    <w:p w:rsidR="00156AE7" w:rsidRPr="00A75DF9" w:rsidRDefault="00156AE7" w:rsidP="00346F4B">
      <w:pPr>
        <w:numPr>
          <w:ilvl w:val="0"/>
          <w:numId w:val="52"/>
        </w:numPr>
        <w:spacing w:after="60"/>
        <w:ind w:left="1440"/>
        <w:rPr>
          <w:rFonts w:cs="Tahoma"/>
        </w:rPr>
      </w:pPr>
      <w:r w:rsidRPr="00A75DF9">
        <w:rPr>
          <w:rFonts w:eastAsia="Calibri" w:cs="Tahoma"/>
          <w:szCs w:val="18"/>
        </w:rPr>
        <w:t>quatto licenze per Windows Server 2012 Standard, qualora il numero effettivo di processori fisici sul server al quale viene ceduta la Licenza Qualificante sia maggiore di quattro. (In questi casi le società dovranno creare un record della configurazione dell</w:t>
      </w:r>
      <w:r w:rsidR="00F2643E">
        <w:rPr>
          <w:rFonts w:eastAsia="Calibri" w:cs="Tahoma"/>
          <w:szCs w:val="18"/>
        </w:rPr>
        <w:t>’</w:t>
      </w:r>
      <w:r w:rsidRPr="00A75DF9">
        <w:rPr>
          <w:rFonts w:eastAsia="Calibri" w:cs="Tahoma"/>
          <w:szCs w:val="18"/>
        </w:rPr>
        <w:t>hardware fisico che supporta tale software prima della scadenza della copertura Software Assurance per le Licenze Qualificanti ai sensi del presente contratto, utilizzando lo strumento MAP di Microsoft o qualsiasi software equivalente. La presente concessione è disponibile solo per una Licenza Qualificante per server).</w:t>
      </w:r>
    </w:p>
    <w:p w:rsidR="00156AE7" w:rsidRPr="00A75DF9" w:rsidRDefault="00156AE7" w:rsidP="00346F4B">
      <w:pPr>
        <w:numPr>
          <w:ilvl w:val="0"/>
          <w:numId w:val="52"/>
        </w:numPr>
        <w:spacing w:after="60"/>
        <w:ind w:left="1440"/>
        <w:rPr>
          <w:rFonts w:cs="Tahoma"/>
        </w:rPr>
      </w:pPr>
      <w:r w:rsidRPr="00A75DF9">
        <w:rPr>
          <w:rFonts w:eastAsia="Calibri" w:cs="Tahoma"/>
          <w:szCs w:val="18"/>
        </w:rPr>
        <w:t>Le licenze acquistate ai sensi della presente concessione includono la copertura Software Assurance.</w:t>
      </w:r>
      <w:r w:rsidR="009D3B41" w:rsidRPr="00A75DF9">
        <w:rPr>
          <w:rFonts w:eastAsia="Calibri" w:cs="Tahoma"/>
          <w:szCs w:val="18"/>
        </w:rPr>
        <w:t xml:space="preserve"> </w:t>
      </w:r>
      <w:r w:rsidRPr="00A75DF9">
        <w:rPr>
          <w:rFonts w:eastAsia="Calibri" w:cs="Tahoma"/>
          <w:szCs w:val="18"/>
        </w:rPr>
        <w:t>Tale copertura cessa alla scadenza della corrispondente copertura per le Licenze Qualificanti.</w:t>
      </w:r>
    </w:p>
    <w:p w:rsidR="00156AE7" w:rsidRPr="00A75DF9" w:rsidRDefault="00156AE7" w:rsidP="00346F4B">
      <w:pPr>
        <w:numPr>
          <w:ilvl w:val="0"/>
          <w:numId w:val="52"/>
        </w:numPr>
        <w:spacing w:after="60"/>
        <w:ind w:left="1440"/>
        <w:rPr>
          <w:rFonts w:cs="Tahoma"/>
        </w:rPr>
      </w:pPr>
      <w:r w:rsidRPr="00A75DF9">
        <w:rPr>
          <w:rFonts w:eastAsia="Calibri" w:cs="Tahoma"/>
          <w:szCs w:val="18"/>
        </w:rPr>
        <w:t>Nel caso in cui le società abbiano acquistato diritti perpetui di utilizzo del software ai sensi di Licenze Qualificanti, le licenze acquistate ai sensi della presente concessione saranno anch</w:t>
      </w:r>
      <w:r w:rsidR="00F2643E">
        <w:rPr>
          <w:rFonts w:eastAsia="Calibri" w:cs="Tahoma"/>
          <w:szCs w:val="18"/>
        </w:rPr>
        <w:t>’</w:t>
      </w:r>
      <w:r w:rsidRPr="00A75DF9">
        <w:rPr>
          <w:rFonts w:eastAsia="Calibri" w:cs="Tahoma"/>
          <w:szCs w:val="18"/>
        </w:rPr>
        <w:t>esse perpetue; diversamente, le licenze acquistate ai sensi della presente concessione cesseranno alla scadenza delle Licenze Qualificanti sottostanti.</w:t>
      </w:r>
      <w:r w:rsidR="009D3B41" w:rsidRPr="00A75DF9">
        <w:rPr>
          <w:rFonts w:eastAsia="Calibri" w:cs="Tahoma"/>
          <w:szCs w:val="18"/>
        </w:rPr>
        <w:t xml:space="preserve"> </w:t>
      </w:r>
    </w:p>
    <w:p w:rsidR="00156AE7" w:rsidRPr="00A75DF9" w:rsidRDefault="00156AE7" w:rsidP="00346F4B">
      <w:pPr>
        <w:numPr>
          <w:ilvl w:val="0"/>
          <w:numId w:val="52"/>
        </w:numPr>
        <w:spacing w:after="60"/>
        <w:ind w:left="1440"/>
        <w:rPr>
          <w:rFonts w:cs="Tahoma"/>
        </w:rPr>
      </w:pPr>
      <w:r w:rsidRPr="00A75DF9">
        <w:rPr>
          <w:rFonts w:eastAsia="Calibri" w:cs="Tahoma"/>
          <w:szCs w:val="18"/>
        </w:rPr>
        <w:t>Eseguendo l</w:t>
      </w:r>
      <w:r w:rsidR="00F2643E">
        <w:rPr>
          <w:rFonts w:eastAsia="Calibri" w:cs="Tahoma"/>
          <w:szCs w:val="18"/>
        </w:rPr>
        <w:t>’</w:t>
      </w:r>
      <w:r w:rsidRPr="00A75DF9">
        <w:rPr>
          <w:rFonts w:eastAsia="Calibri" w:cs="Tahoma"/>
          <w:szCs w:val="18"/>
        </w:rPr>
        <w:t>aggiornamento a Windows Server 2012 Standard ai sensi della presente concessione, le Licenze Qualificanti in essere per Windows Server Enterprise non saranno più valide.</w:t>
      </w:r>
    </w:p>
    <w:p w:rsidR="00156AE7" w:rsidRPr="00A75DF9" w:rsidRDefault="00156AE7" w:rsidP="00346F4B">
      <w:pPr>
        <w:numPr>
          <w:ilvl w:val="0"/>
          <w:numId w:val="52"/>
        </w:numPr>
        <w:spacing w:after="60"/>
        <w:ind w:left="1440"/>
        <w:rPr>
          <w:rFonts w:cs="Tahoma"/>
        </w:rPr>
      </w:pPr>
      <w:r w:rsidRPr="00A75DF9">
        <w:rPr>
          <w:rFonts w:eastAsia="Calibri" w:cs="Tahoma"/>
          <w:szCs w:val="18"/>
        </w:rPr>
        <w:t>Le licenze per Windows Server 2008 R2 Enterprise acquistate successivamente nello stesso periodo di validità dell</w:t>
      </w:r>
      <w:r w:rsidR="00F2643E">
        <w:rPr>
          <w:rFonts w:eastAsia="Calibri" w:cs="Tahoma"/>
          <w:szCs w:val="18"/>
        </w:rPr>
        <w:t>’</w:t>
      </w:r>
      <w:r w:rsidRPr="00A75DF9">
        <w:rPr>
          <w:rFonts w:eastAsia="Calibri" w:cs="Tahoma"/>
          <w:szCs w:val="18"/>
        </w:rPr>
        <w:t>iscrizione nell</w:t>
      </w:r>
      <w:r w:rsidR="00F2643E">
        <w:rPr>
          <w:rFonts w:eastAsia="Calibri" w:cs="Tahoma"/>
          <w:szCs w:val="18"/>
        </w:rPr>
        <w:t>’</w:t>
      </w:r>
      <w:r w:rsidRPr="00A75DF9">
        <w:rPr>
          <w:rFonts w:eastAsia="Calibri" w:cs="Tahoma"/>
          <w:szCs w:val="18"/>
        </w:rPr>
        <w:t>ambito di una procedura pianificata di true-up di una società Enterprise, Enterprise Subscription, Open Value Subscription o EES sono anch</w:t>
      </w:r>
      <w:r w:rsidR="00F2643E">
        <w:rPr>
          <w:rFonts w:eastAsia="Calibri" w:cs="Tahoma"/>
          <w:szCs w:val="18"/>
        </w:rPr>
        <w:t>’</w:t>
      </w:r>
      <w:r w:rsidRPr="00A75DF9">
        <w:rPr>
          <w:rFonts w:eastAsia="Calibri" w:cs="Tahoma"/>
          <w:szCs w:val="18"/>
        </w:rPr>
        <w:t>esse Licenze Qualificanti per gli scopi previsti dalla suddetta concessione di licenze.</w:t>
      </w:r>
      <w:r w:rsidR="009D3B41" w:rsidRPr="00A75DF9">
        <w:rPr>
          <w:rFonts w:eastAsia="Calibri" w:cs="Tahoma"/>
          <w:szCs w:val="18"/>
        </w:rPr>
        <w:t xml:space="preserve"> </w:t>
      </w:r>
    </w:p>
    <w:p w:rsidR="00156AE7" w:rsidRPr="00A75DF9" w:rsidRDefault="00156AE7" w:rsidP="00346F4B">
      <w:pPr>
        <w:numPr>
          <w:ilvl w:val="0"/>
          <w:numId w:val="52"/>
        </w:numPr>
        <w:spacing w:after="60"/>
        <w:ind w:left="1440"/>
        <w:rPr>
          <w:rFonts w:cs="Tahoma"/>
        </w:rPr>
      </w:pPr>
      <w:r w:rsidRPr="00A75DF9">
        <w:rPr>
          <w:rFonts w:eastAsia="Calibri" w:cs="Tahoma"/>
          <w:szCs w:val="18"/>
        </w:rPr>
        <w:t>Nonostante la concessione di licenze per Windows Server 2012 Standard e di aggiornamenti per tale versione, le obbligazioni di pagamento degli importi scaduti e dovuti per le Licenze Qualificanti e la copertura rimangono pienamente vincolanti ed efficaci.</w:t>
      </w:r>
    </w:p>
    <w:p w:rsidR="00047339" w:rsidRPr="0012364E" w:rsidRDefault="00047339" w:rsidP="00171927">
      <w:pPr>
        <w:pStyle w:val="EndnoteText"/>
        <w:ind w:left="0"/>
        <w:rPr>
          <w:rFonts w:ascii="Tahoma" w:hAnsi="Tahoma" w:cs="Tahoma"/>
          <w:sz w:val="18"/>
          <w:szCs w:val="18"/>
        </w:rPr>
      </w:pPr>
    </w:p>
    <w:p w:rsidR="00171927" w:rsidRPr="0012364E" w:rsidRDefault="00171927" w:rsidP="00171927">
      <w:pPr>
        <w:pStyle w:val="EndnoteText"/>
        <w:ind w:left="0"/>
        <w:rPr>
          <w:rFonts w:ascii="Tahoma" w:hAnsi="Tahoma" w:cs="Tahoma"/>
          <w:sz w:val="18"/>
          <w:szCs w:val="18"/>
        </w:rPr>
      </w:pPr>
    </w:p>
    <w:p w:rsidR="00EF1978" w:rsidRPr="00A75DF9" w:rsidRDefault="00A560B6" w:rsidP="00A9151E">
      <w:pPr>
        <w:pStyle w:val="Heading3"/>
        <w:keepNext/>
        <w:ind w:left="360" w:hanging="360"/>
        <w:rPr>
          <w:rFonts w:ascii="Tahoma" w:hAnsi="Tahoma" w:cs="Tahoma"/>
        </w:rPr>
      </w:pPr>
      <w:bookmarkStart w:id="1586" w:name="_110_Windows_Server_1"/>
      <w:bookmarkStart w:id="1587" w:name="Srv_1102WinSvr08R2Itanium"/>
      <w:bookmarkStart w:id="1588" w:name="_Toc336338371"/>
      <w:bookmarkStart w:id="1589" w:name="Srv_1132WinSvr08R2Itanium"/>
      <w:bookmarkStart w:id="1590" w:name="Srv_117WinSvr08R2Itanium"/>
      <w:bookmarkStart w:id="1591" w:name="Srv_98WinSvr08StdandHyperV"/>
      <w:bookmarkStart w:id="1592" w:name="Srv_99WinSvr08StdandHyperV"/>
      <w:bookmarkStart w:id="1593" w:name="_Toc368310359"/>
      <w:bookmarkEnd w:id="1586"/>
      <w:r w:rsidRPr="00A75DF9">
        <w:rPr>
          <w:rFonts w:ascii="Tahoma" w:hAnsi="Tahoma" w:cs="Tahoma"/>
          <w:caps/>
          <w:color w:val="F66400"/>
          <w:sz w:val="22"/>
          <w:vertAlign w:val="superscript"/>
        </w:rPr>
        <w:t>109</w:t>
      </w:r>
      <w:r w:rsidRPr="00A75DF9">
        <w:rPr>
          <w:rFonts w:ascii="Tahoma" w:hAnsi="Tahoma" w:cs="Tahoma"/>
          <w:b w:val="0"/>
          <w:caps/>
          <w:vertAlign w:val="superscript"/>
        </w:rPr>
        <w:t xml:space="preserve"> </w:t>
      </w:r>
      <w:r w:rsidRPr="00A75DF9">
        <w:rPr>
          <w:rFonts w:ascii="Tahoma" w:hAnsi="Tahoma" w:cs="Tahoma"/>
          <w:color w:val="F66400"/>
          <w:sz w:val="22"/>
        </w:rPr>
        <w:t>Windows Server 2008 R2 per Sistemi Itanium</w:t>
      </w:r>
      <w:bookmarkEnd w:id="1587"/>
      <w:bookmarkEnd w:id="1588"/>
      <w:bookmarkEnd w:id="1593"/>
    </w:p>
    <w:bookmarkEnd w:id="1589"/>
    <w:bookmarkEnd w:id="1590"/>
    <w:p w:rsidR="00376D4B" w:rsidRPr="00A75DF9" w:rsidRDefault="00376D4B" w:rsidP="007E3162">
      <w:pPr>
        <w:ind w:left="360"/>
        <w:rPr>
          <w:rFonts w:cs="Tahoma"/>
        </w:rPr>
      </w:pPr>
    </w:p>
    <w:p w:rsidR="007E3162" w:rsidRPr="00A75DF9" w:rsidRDefault="006533DF" w:rsidP="007E3162">
      <w:pPr>
        <w:spacing w:after="60"/>
        <w:ind w:left="720"/>
        <w:rPr>
          <w:rFonts w:cs="Tahoma"/>
        </w:rPr>
      </w:pPr>
      <w:r w:rsidRPr="00A75DF9">
        <w:rPr>
          <w:rFonts w:cs="Tahoma"/>
          <w:b/>
          <w:color w:val="000000"/>
        </w:rPr>
        <w:t>Concessioni di licenza associate alla fine del ciclo di vita di Windows Server per i Sistemi Itanium</w:t>
      </w:r>
    </w:p>
    <w:p w:rsidR="006533DF" w:rsidRPr="00A75DF9" w:rsidRDefault="006533DF" w:rsidP="0012364E">
      <w:pPr>
        <w:ind w:left="720"/>
        <w:rPr>
          <w:rFonts w:cs="Tahoma"/>
        </w:rPr>
      </w:pPr>
      <w:r w:rsidRPr="00A75DF9">
        <w:rPr>
          <w:rFonts w:cs="Tahoma"/>
          <w:color w:val="000000"/>
        </w:rPr>
        <w:t>Windows Server 2008 R2 sarà l</w:t>
      </w:r>
      <w:r w:rsidR="00F2643E">
        <w:rPr>
          <w:rFonts w:cs="Tahoma"/>
          <w:color w:val="000000"/>
        </w:rPr>
        <w:t>’</w:t>
      </w:r>
      <w:r w:rsidRPr="00A75DF9">
        <w:rPr>
          <w:rFonts w:cs="Tahoma"/>
          <w:color w:val="000000"/>
        </w:rPr>
        <w:t>ultima versione di Windows Server per Sistemi Itanium.</w:t>
      </w:r>
      <w:r w:rsidR="009D3B41" w:rsidRPr="00A75DF9">
        <w:rPr>
          <w:rFonts w:cs="Tahoma"/>
          <w:color w:val="000000"/>
        </w:rPr>
        <w:t xml:space="preserve"> </w:t>
      </w:r>
      <w:r w:rsidRPr="00A75DF9">
        <w:rPr>
          <w:rFonts w:cs="Tahoma"/>
          <w:color w:val="000000"/>
        </w:rPr>
        <w:t>Le società titolari di</w:t>
      </w:r>
      <w:r w:rsidR="0012364E">
        <w:rPr>
          <w:rFonts w:cs="Tahoma"/>
          <w:color w:val="000000"/>
        </w:rPr>
        <w:t> </w:t>
      </w:r>
      <w:r w:rsidRPr="00A75DF9">
        <w:rPr>
          <w:rFonts w:cs="Tahoma"/>
          <w:color w:val="000000"/>
        </w:rPr>
        <w:t>Contratti Multilicenza con copertura Software Assurance attiva per le licenze per Windows Server 2008 R2 per Sistemi Itanium in data 1 settembre 2012 o in occasione della prima disponibilità di Windows Server 2012 per il download dal sito Web Volume Licensing Service Center, a seconda di quale evento si verificherà per primo, (“Licenze Qualificanti”) saranno autorizzate a</w:t>
      </w:r>
      <w:r w:rsidRPr="00A75DF9">
        <w:rPr>
          <w:rFonts w:eastAsia="Calibri" w:cs="Tahoma"/>
          <w:szCs w:val="18"/>
        </w:rPr>
        <w:t xml:space="preserve"> effettuare l</w:t>
      </w:r>
      <w:r w:rsidR="00F2643E">
        <w:rPr>
          <w:rFonts w:eastAsia="Calibri" w:cs="Tahoma"/>
          <w:szCs w:val="18"/>
        </w:rPr>
        <w:t>’</w:t>
      </w:r>
      <w:r w:rsidRPr="00A75DF9">
        <w:rPr>
          <w:rFonts w:eastAsia="Calibri" w:cs="Tahoma"/>
          <w:szCs w:val="18"/>
        </w:rPr>
        <w:t>aggiornamento al software Windows Server 2012 Datacenter e a utilizzarlo al posto di Windows Server 2008 R2 per Sistemi Itanium. Per agevolare tale aggiornamento, per due Licenze Qualificanti in suo possesso, alla società verrà concessa una</w:t>
      </w:r>
      <w:r w:rsidR="0012364E">
        <w:rPr>
          <w:rFonts w:eastAsia="Calibri" w:cs="Tahoma"/>
          <w:szCs w:val="18"/>
        </w:rPr>
        <w:t> </w:t>
      </w:r>
      <w:r w:rsidRPr="00A75DF9">
        <w:rPr>
          <w:rFonts w:eastAsia="Calibri" w:cs="Tahoma"/>
          <w:szCs w:val="18"/>
        </w:rPr>
        <w:t>licenza per processore per Windows Server 2012 Datacenter in base alla disponibilità di Windows Server</w:t>
      </w:r>
      <w:r w:rsidR="0012364E">
        <w:rPr>
          <w:rFonts w:eastAsia="Calibri" w:cs="Tahoma"/>
          <w:szCs w:val="18"/>
        </w:rPr>
        <w:t> </w:t>
      </w:r>
      <w:r w:rsidRPr="00A75DF9">
        <w:rPr>
          <w:rFonts w:eastAsia="Calibri" w:cs="Tahoma"/>
          <w:szCs w:val="18"/>
        </w:rPr>
        <w:t xml:space="preserve">2012. </w:t>
      </w:r>
    </w:p>
    <w:p w:rsidR="007E3162" w:rsidRPr="00A75DF9" w:rsidRDefault="007E3162" w:rsidP="007E3162">
      <w:pPr>
        <w:ind w:left="720"/>
        <w:rPr>
          <w:rFonts w:cs="Tahoma"/>
        </w:rPr>
      </w:pPr>
    </w:p>
    <w:p w:rsidR="006533DF" w:rsidRPr="0012364E" w:rsidRDefault="006533DF" w:rsidP="00346F4B">
      <w:pPr>
        <w:numPr>
          <w:ilvl w:val="0"/>
          <w:numId w:val="56"/>
        </w:numPr>
        <w:tabs>
          <w:tab w:val="clear" w:pos="360"/>
          <w:tab w:val="num" w:pos="1440"/>
        </w:tabs>
        <w:spacing w:after="60"/>
        <w:ind w:left="1440"/>
        <w:rPr>
          <w:rFonts w:cs="Tahoma"/>
          <w:szCs w:val="18"/>
        </w:rPr>
      </w:pPr>
      <w:r w:rsidRPr="0012364E">
        <w:rPr>
          <w:rFonts w:cs="Tahoma"/>
          <w:color w:val="000000"/>
          <w:szCs w:val="18"/>
        </w:rPr>
        <w:t>Qualora una società disponga di un numero dispari di Licenze Qualificanti, dovrà arrotondarle per difetto al numero pari più vicino per determinare la quantità concessa.</w:t>
      </w:r>
      <w:r w:rsidR="009D3B41" w:rsidRPr="0012364E">
        <w:rPr>
          <w:rFonts w:cs="Tahoma"/>
          <w:color w:val="000000"/>
          <w:szCs w:val="18"/>
        </w:rPr>
        <w:t xml:space="preserve"> </w:t>
      </w:r>
      <w:r w:rsidRPr="0012364E">
        <w:rPr>
          <w:rFonts w:cs="Tahoma"/>
          <w:color w:val="000000"/>
          <w:szCs w:val="18"/>
        </w:rPr>
        <w:t xml:space="preserve">Ad esempio, una società titolare di tre Licenze Qualificanti riceverà in totale una licenza per Windows Server 2012 Datacenter. </w:t>
      </w:r>
    </w:p>
    <w:p w:rsidR="006533DF" w:rsidRPr="0012364E" w:rsidRDefault="006533DF" w:rsidP="00346F4B">
      <w:pPr>
        <w:pStyle w:val="ListParagraph"/>
        <w:numPr>
          <w:ilvl w:val="0"/>
          <w:numId w:val="56"/>
        </w:numPr>
        <w:tabs>
          <w:tab w:val="clear" w:pos="360"/>
          <w:tab w:val="num" w:pos="1440"/>
        </w:tabs>
        <w:spacing w:after="60"/>
        <w:ind w:left="1440"/>
        <w:contextualSpacing w:val="0"/>
        <w:rPr>
          <w:rFonts w:ascii="Tahoma" w:hAnsi="Tahoma" w:cs="Tahoma"/>
          <w:sz w:val="18"/>
          <w:szCs w:val="18"/>
        </w:rPr>
      </w:pPr>
      <w:r w:rsidRPr="0012364E">
        <w:rPr>
          <w:rFonts w:ascii="Tahoma" w:eastAsia="Calibri" w:hAnsi="Tahoma" w:cs="Tahoma"/>
          <w:sz w:val="18"/>
          <w:szCs w:val="18"/>
        </w:rPr>
        <w:t>Le licenze acquistate ai sensi della presente concessione includono la copertura Software Assurance.</w:t>
      </w:r>
      <w:r w:rsidR="009D3B41" w:rsidRPr="0012364E">
        <w:rPr>
          <w:rFonts w:ascii="Tahoma" w:eastAsia="Calibri" w:hAnsi="Tahoma" w:cs="Tahoma"/>
          <w:sz w:val="18"/>
          <w:szCs w:val="18"/>
        </w:rPr>
        <w:t xml:space="preserve"> </w:t>
      </w:r>
      <w:r w:rsidRPr="0012364E">
        <w:rPr>
          <w:rFonts w:ascii="Tahoma" w:eastAsia="Calibri" w:hAnsi="Tahoma" w:cs="Tahoma"/>
          <w:sz w:val="18"/>
          <w:szCs w:val="18"/>
        </w:rPr>
        <w:t>Tale copertura cessa alla scadenza della corrispondente copertura per le Licenze Qualificanti.</w:t>
      </w:r>
    </w:p>
    <w:p w:rsidR="006533DF" w:rsidRPr="0012364E" w:rsidRDefault="006533DF" w:rsidP="00346F4B">
      <w:pPr>
        <w:pStyle w:val="ListParagraph"/>
        <w:numPr>
          <w:ilvl w:val="0"/>
          <w:numId w:val="56"/>
        </w:numPr>
        <w:tabs>
          <w:tab w:val="clear" w:pos="360"/>
          <w:tab w:val="num" w:pos="1440"/>
        </w:tabs>
        <w:spacing w:after="60"/>
        <w:ind w:left="1440"/>
        <w:contextualSpacing w:val="0"/>
        <w:rPr>
          <w:rFonts w:ascii="Tahoma" w:hAnsi="Tahoma" w:cs="Tahoma"/>
          <w:sz w:val="18"/>
          <w:szCs w:val="18"/>
        </w:rPr>
      </w:pPr>
      <w:r w:rsidRPr="0012364E">
        <w:rPr>
          <w:rFonts w:ascii="Tahoma" w:eastAsia="Calibri" w:hAnsi="Tahoma" w:cs="Tahoma"/>
          <w:sz w:val="18"/>
          <w:szCs w:val="18"/>
        </w:rPr>
        <w:t>Nel caso in cui le società abbiano acquistato diritti perpetui di utilizzo del software ai sensi di Licenze Qualificanti, le licenze acquistate ai sensi della presente concessione saranno anch</w:t>
      </w:r>
      <w:r w:rsidR="00F2643E">
        <w:rPr>
          <w:rFonts w:ascii="Tahoma" w:eastAsia="Calibri" w:hAnsi="Tahoma" w:cs="Tahoma"/>
          <w:sz w:val="18"/>
          <w:szCs w:val="18"/>
        </w:rPr>
        <w:t>’</w:t>
      </w:r>
      <w:r w:rsidRPr="0012364E">
        <w:rPr>
          <w:rFonts w:ascii="Tahoma" w:eastAsia="Calibri" w:hAnsi="Tahoma" w:cs="Tahoma"/>
          <w:sz w:val="18"/>
          <w:szCs w:val="18"/>
        </w:rPr>
        <w:t xml:space="preserve">esse </w:t>
      </w:r>
      <w:r w:rsidRPr="0012364E">
        <w:rPr>
          <w:rFonts w:ascii="Tahoma" w:eastAsia="Calibri" w:hAnsi="Tahoma" w:cs="Tahoma"/>
          <w:sz w:val="18"/>
          <w:szCs w:val="18"/>
        </w:rPr>
        <w:lastRenderedPageBreak/>
        <w:t>perpetue; diversamente, le licenze acquistate ai sensi della presente concessione cesseranno alla scadenza delle Licenze Qualificanti sottostanti.</w:t>
      </w:r>
    </w:p>
    <w:p w:rsidR="006533DF" w:rsidRPr="0012364E" w:rsidRDefault="006533DF" w:rsidP="0012364E">
      <w:pPr>
        <w:numPr>
          <w:ilvl w:val="0"/>
          <w:numId w:val="56"/>
        </w:numPr>
        <w:tabs>
          <w:tab w:val="clear" w:pos="360"/>
          <w:tab w:val="num" w:pos="1440"/>
        </w:tabs>
        <w:spacing w:after="60"/>
        <w:ind w:left="1440"/>
        <w:rPr>
          <w:rFonts w:cs="Tahoma"/>
          <w:szCs w:val="18"/>
        </w:rPr>
      </w:pPr>
      <w:r w:rsidRPr="0012364E">
        <w:rPr>
          <w:rFonts w:eastAsia="Calibri" w:cs="Tahoma"/>
          <w:szCs w:val="18"/>
        </w:rPr>
        <w:t>Eseguendo l</w:t>
      </w:r>
      <w:r w:rsidR="00F2643E">
        <w:rPr>
          <w:rFonts w:eastAsia="Calibri" w:cs="Tahoma"/>
          <w:szCs w:val="18"/>
        </w:rPr>
        <w:t>’</w:t>
      </w:r>
      <w:r w:rsidRPr="0012364E">
        <w:rPr>
          <w:rFonts w:eastAsia="Calibri" w:cs="Tahoma"/>
          <w:szCs w:val="18"/>
        </w:rPr>
        <w:t>aggiornamento a Windows Server 2012 Datacenter ai sensi della presente concessione, le Licenze Qualificanti in essere per Windows Server 2008 R2 per Sistemi Itanium non</w:t>
      </w:r>
      <w:r w:rsidR="0012364E">
        <w:rPr>
          <w:rFonts w:eastAsia="Calibri" w:cs="Tahoma"/>
          <w:szCs w:val="18"/>
        </w:rPr>
        <w:t> </w:t>
      </w:r>
      <w:r w:rsidRPr="0012364E">
        <w:rPr>
          <w:rFonts w:eastAsia="Calibri" w:cs="Tahoma"/>
          <w:szCs w:val="18"/>
        </w:rPr>
        <w:t>saranno più valide.</w:t>
      </w:r>
    </w:p>
    <w:p w:rsidR="006533DF" w:rsidRPr="0012364E" w:rsidRDefault="006533DF" w:rsidP="00346F4B">
      <w:pPr>
        <w:numPr>
          <w:ilvl w:val="0"/>
          <w:numId w:val="56"/>
        </w:numPr>
        <w:tabs>
          <w:tab w:val="clear" w:pos="360"/>
          <w:tab w:val="num" w:pos="1440"/>
        </w:tabs>
        <w:spacing w:after="60"/>
        <w:ind w:left="1440"/>
        <w:rPr>
          <w:rFonts w:cs="Tahoma"/>
          <w:szCs w:val="18"/>
        </w:rPr>
      </w:pPr>
      <w:r w:rsidRPr="0012364E">
        <w:rPr>
          <w:rFonts w:cs="Tahoma"/>
          <w:szCs w:val="18"/>
        </w:rPr>
        <w:t xml:space="preserve">Le licenze per </w:t>
      </w:r>
      <w:r w:rsidRPr="0012364E">
        <w:rPr>
          <w:rFonts w:cs="Tahoma"/>
          <w:color w:val="000000"/>
          <w:szCs w:val="18"/>
        </w:rPr>
        <w:t xml:space="preserve">Windows Server 2008 R2 per Sistemi Itanium </w:t>
      </w:r>
      <w:r w:rsidRPr="0012364E">
        <w:rPr>
          <w:rFonts w:cs="Tahoma"/>
          <w:bCs/>
          <w:color w:val="000000"/>
          <w:szCs w:val="18"/>
        </w:rPr>
        <w:t>acquistate successivamente nello stesso periodo di validità dell</w:t>
      </w:r>
      <w:r w:rsidR="00F2643E">
        <w:rPr>
          <w:rFonts w:cs="Tahoma"/>
          <w:bCs/>
          <w:color w:val="000000"/>
          <w:szCs w:val="18"/>
        </w:rPr>
        <w:t>’</w:t>
      </w:r>
      <w:r w:rsidRPr="0012364E">
        <w:rPr>
          <w:rFonts w:cs="Tahoma"/>
          <w:bCs/>
          <w:color w:val="000000"/>
          <w:szCs w:val="18"/>
        </w:rPr>
        <w:t>iscrizione nell</w:t>
      </w:r>
      <w:r w:rsidR="00F2643E">
        <w:rPr>
          <w:rFonts w:cs="Tahoma"/>
          <w:bCs/>
          <w:color w:val="000000"/>
          <w:szCs w:val="18"/>
        </w:rPr>
        <w:t>’</w:t>
      </w:r>
      <w:r w:rsidRPr="0012364E">
        <w:rPr>
          <w:rFonts w:cs="Tahoma"/>
          <w:bCs/>
          <w:color w:val="000000"/>
          <w:szCs w:val="18"/>
        </w:rPr>
        <w:t>ambito di una procedura pianificata di true-up della società Enterprise, Enterprise Subscription, Open Value Subscription o EES sono anch</w:t>
      </w:r>
      <w:r w:rsidR="00F2643E">
        <w:rPr>
          <w:rFonts w:cs="Tahoma"/>
          <w:bCs/>
          <w:color w:val="000000"/>
          <w:szCs w:val="18"/>
        </w:rPr>
        <w:t>’</w:t>
      </w:r>
      <w:r w:rsidRPr="0012364E">
        <w:rPr>
          <w:rFonts w:cs="Tahoma"/>
          <w:bCs/>
          <w:color w:val="000000"/>
          <w:szCs w:val="18"/>
        </w:rPr>
        <w:t>esse Licenze Qualificanti per gli scopi previsti dalla suddetta concessione.</w:t>
      </w:r>
      <w:r w:rsidR="009D3B41" w:rsidRPr="0012364E">
        <w:rPr>
          <w:rFonts w:cs="Tahoma"/>
          <w:bCs/>
          <w:color w:val="000000"/>
          <w:szCs w:val="18"/>
        </w:rPr>
        <w:t xml:space="preserve"> </w:t>
      </w:r>
    </w:p>
    <w:p w:rsidR="006533DF" w:rsidRPr="0012364E" w:rsidRDefault="006533DF" w:rsidP="00346F4B">
      <w:pPr>
        <w:numPr>
          <w:ilvl w:val="0"/>
          <w:numId w:val="56"/>
        </w:numPr>
        <w:tabs>
          <w:tab w:val="clear" w:pos="360"/>
          <w:tab w:val="num" w:pos="1440"/>
        </w:tabs>
        <w:spacing w:after="60"/>
        <w:ind w:left="1440"/>
        <w:rPr>
          <w:rFonts w:cs="Tahoma"/>
          <w:szCs w:val="18"/>
        </w:rPr>
      </w:pPr>
      <w:r w:rsidRPr="0012364E">
        <w:rPr>
          <w:rFonts w:cs="Tahoma"/>
          <w:bCs/>
          <w:color w:val="000000"/>
          <w:szCs w:val="18"/>
        </w:rPr>
        <w:t>Nonostante la concessione di licenze per Windows Server 2012 Datacenter e di aggiornamenti per tale versione, le obbligazioni di pagamento degli importi scaduti e dovuti per le Licenze Qualificanti e la copertura rimangono pienamente vincolanti ed efficaci.</w:t>
      </w:r>
    </w:p>
    <w:p w:rsidR="00D63C1B" w:rsidRPr="00A75DF9" w:rsidRDefault="00D63C1B" w:rsidP="007E3162">
      <w:pPr>
        <w:rPr>
          <w:rFonts w:cs="Tahoma"/>
        </w:rPr>
      </w:pPr>
      <w:bookmarkStart w:id="1594" w:name="_117_Windows_Server"/>
      <w:bookmarkEnd w:id="1591"/>
      <w:bookmarkEnd w:id="1592"/>
      <w:bookmarkEnd w:id="1594"/>
    </w:p>
    <w:p w:rsidR="00586FCE" w:rsidRDefault="00586FCE" w:rsidP="00EF2279">
      <w:pPr>
        <w:rPr>
          <w:rFonts w:cs="Tahoma"/>
        </w:rPr>
      </w:pPr>
    </w:p>
    <w:p w:rsidR="00FE1A01" w:rsidRPr="00A75DF9" w:rsidRDefault="00A560B6" w:rsidP="00EF2279">
      <w:pPr>
        <w:pStyle w:val="Heading3"/>
        <w:rPr>
          <w:rFonts w:ascii="Tahoma" w:hAnsi="Tahoma" w:cs="Tahoma"/>
        </w:rPr>
      </w:pPr>
      <w:bookmarkStart w:id="1595" w:name="_116_Windows_Server"/>
      <w:bookmarkStart w:id="1596" w:name="_111_Windows_Server"/>
      <w:bookmarkStart w:id="1597" w:name="_Toc336338372"/>
      <w:bookmarkStart w:id="1598" w:name="Srv_101Win2008RemoteCALandExtConn"/>
      <w:bookmarkStart w:id="1599" w:name="Srv_115Win2008RemoteCALandExtConn"/>
      <w:bookmarkStart w:id="1600" w:name="Srv_119Win2008RemoteCALandExtConn"/>
      <w:bookmarkStart w:id="1601" w:name="Srv_101WindowsSvr2008RemoteDesktop"/>
      <w:bookmarkStart w:id="1602" w:name="_Toc368310360"/>
      <w:bookmarkEnd w:id="1595"/>
      <w:bookmarkEnd w:id="1596"/>
      <w:r w:rsidRPr="00A75DF9">
        <w:rPr>
          <w:rStyle w:val="Heading3Char"/>
          <w:rFonts w:ascii="Tahoma" w:hAnsi="Tahoma" w:cs="Tahoma"/>
          <w:b/>
          <w:caps/>
          <w:color w:val="F66400"/>
          <w:sz w:val="22"/>
          <w:vertAlign w:val="superscript"/>
        </w:rPr>
        <w:t xml:space="preserve">110 </w:t>
      </w:r>
      <w:r w:rsidRPr="00A75DF9">
        <w:rPr>
          <w:rFonts w:ascii="Tahoma" w:hAnsi="Tahoma" w:cs="Tahoma"/>
          <w:color w:val="F66400"/>
          <w:sz w:val="22"/>
        </w:rPr>
        <w:t>CAL per Windows Server 2012</w:t>
      </w:r>
      <w:bookmarkEnd w:id="1597"/>
      <w:bookmarkEnd w:id="1602"/>
    </w:p>
    <w:p w:rsidR="00FE1A01" w:rsidRPr="00A75DF9" w:rsidRDefault="00FE1A01" w:rsidP="002A01C2">
      <w:pPr>
        <w:rPr>
          <w:rFonts w:cs="Tahoma"/>
        </w:rPr>
      </w:pPr>
    </w:p>
    <w:p w:rsidR="00FE1A01" w:rsidRPr="00A75DF9" w:rsidRDefault="00FE1A01" w:rsidP="002A01C2">
      <w:pPr>
        <w:ind w:left="720"/>
        <w:rPr>
          <w:rFonts w:cs="Tahoma"/>
        </w:rPr>
      </w:pPr>
      <w:r w:rsidRPr="00A75DF9">
        <w:rPr>
          <w:rFonts w:cs="Tahoma"/>
          <w:szCs w:val="18"/>
        </w:rPr>
        <w:t>La CAL per Windows Server 2012 è la versione successiva della CAL per Windows Server 2008.</w:t>
      </w:r>
    </w:p>
    <w:p w:rsidR="002A01C2" w:rsidRPr="00A75DF9" w:rsidRDefault="002A01C2" w:rsidP="002A01C2">
      <w:pPr>
        <w:ind w:left="720"/>
        <w:rPr>
          <w:rFonts w:cs="Tahoma"/>
        </w:rPr>
      </w:pPr>
    </w:p>
    <w:p w:rsidR="002A01C2" w:rsidRPr="00A75DF9" w:rsidRDefault="00FE1A01" w:rsidP="002A01C2">
      <w:pPr>
        <w:spacing w:after="60"/>
        <w:ind w:left="720"/>
        <w:rPr>
          <w:rFonts w:cs="Tahoma"/>
        </w:rPr>
      </w:pPr>
      <w:r w:rsidRPr="00A75DF9">
        <w:rPr>
          <w:rFonts w:eastAsia="Calibri" w:cs="Tahoma"/>
          <w:b/>
          <w:szCs w:val="18"/>
        </w:rPr>
        <w:t>Utilizzo di Windows Server 2012 come Server Web</w:t>
      </w:r>
    </w:p>
    <w:p w:rsidR="00FE1A01" w:rsidRPr="00A75DF9" w:rsidRDefault="00FE1A01" w:rsidP="002A01C2">
      <w:pPr>
        <w:ind w:left="720"/>
        <w:rPr>
          <w:rFonts w:cs="Tahoma"/>
        </w:rPr>
      </w:pPr>
      <w:r w:rsidRPr="00A75DF9">
        <w:rPr>
          <w:rFonts w:cs="Tahoma"/>
          <w:color w:val="000000"/>
          <w:szCs w:val="18"/>
        </w:rPr>
        <w:t>Quando Windows Server 2012 Standard o Datacenter viene utilizzato come Server Web, non servono licenze CAL per accedere al software. Un “Carico di Lavoro Web” indica:</w:t>
      </w:r>
    </w:p>
    <w:p w:rsidR="002A01C2" w:rsidRPr="0012364E" w:rsidRDefault="002A01C2" w:rsidP="002A01C2">
      <w:pPr>
        <w:pStyle w:val="PURBody-Indented"/>
        <w:spacing w:after="0"/>
        <w:ind w:left="720"/>
        <w:rPr>
          <w:rFonts w:ascii="Tahoma" w:hAnsi="Tahoma" w:cs="Tahoma"/>
          <w:sz w:val="18"/>
          <w:szCs w:val="18"/>
        </w:rPr>
      </w:pPr>
    </w:p>
    <w:p w:rsidR="002A01C2" w:rsidRPr="00A75DF9" w:rsidRDefault="006707A3" w:rsidP="002A01C2">
      <w:pPr>
        <w:pStyle w:val="PURBody-Indented"/>
        <w:spacing w:after="60"/>
        <w:ind w:left="720"/>
        <w:rPr>
          <w:rFonts w:ascii="Tahoma" w:hAnsi="Tahoma" w:cs="Tahoma"/>
        </w:rPr>
      </w:pPr>
      <w:r w:rsidRPr="00A75DF9">
        <w:rPr>
          <w:rFonts w:ascii="Tahoma" w:hAnsi="Tahoma" w:cs="Tahoma"/>
          <w:b/>
          <w:bCs/>
          <w:sz w:val="18"/>
          <w:szCs w:val="18"/>
        </w:rPr>
        <w:t>Carico di Lavoro Web</w:t>
      </w:r>
      <w:r w:rsidRPr="00A75DF9">
        <w:rPr>
          <w:rFonts w:ascii="Tahoma" w:hAnsi="Tahoma" w:cs="Tahoma"/>
          <w:b/>
          <w:sz w:val="18"/>
          <w:szCs w:val="18"/>
        </w:rPr>
        <w:t xml:space="preserve"> (Soluzioni per il Web su Internet)</w:t>
      </w:r>
    </w:p>
    <w:p w:rsidR="006707A3" w:rsidRPr="0012364E" w:rsidRDefault="006707A3" w:rsidP="0012364E">
      <w:pPr>
        <w:pStyle w:val="PURBody-Indented"/>
        <w:spacing w:after="0"/>
        <w:ind w:left="720"/>
        <w:rPr>
          <w:rFonts w:ascii="Tahoma" w:hAnsi="Tahoma" w:cs="Tahoma"/>
          <w:sz w:val="18"/>
          <w:szCs w:val="18"/>
        </w:rPr>
      </w:pPr>
      <w:r w:rsidRPr="0012364E">
        <w:rPr>
          <w:rFonts w:ascii="Tahoma" w:hAnsi="Tahoma" w:cs="Tahoma"/>
          <w:sz w:val="18"/>
          <w:szCs w:val="18"/>
        </w:rPr>
        <w:t>Le “soluzioni per il Web su Internet” sono accessibili pubblicamente e consistono esclusivamente di pagine Web, siti Web, applicazioni Web, servizi Web e/o servizi di posta POP3. Per maggiore chiarezza, l</w:t>
      </w:r>
      <w:r w:rsidR="00F2643E">
        <w:rPr>
          <w:rFonts w:ascii="Tahoma" w:hAnsi="Tahoma" w:cs="Tahoma"/>
          <w:sz w:val="18"/>
          <w:szCs w:val="18"/>
        </w:rPr>
        <w:t>’</w:t>
      </w:r>
      <w:r w:rsidRPr="0012364E">
        <w:rPr>
          <w:rFonts w:ascii="Tahoma" w:hAnsi="Tahoma" w:cs="Tahoma"/>
          <w:sz w:val="18"/>
          <w:szCs w:val="18"/>
        </w:rPr>
        <w:t>accesso al</w:t>
      </w:r>
      <w:r w:rsidR="0012364E">
        <w:rPr>
          <w:rFonts w:ascii="Tahoma" w:hAnsi="Tahoma" w:cs="Tahoma"/>
          <w:sz w:val="18"/>
          <w:szCs w:val="18"/>
        </w:rPr>
        <w:t> </w:t>
      </w:r>
      <w:r w:rsidRPr="0012364E">
        <w:rPr>
          <w:rFonts w:ascii="Tahoma" w:hAnsi="Tahoma" w:cs="Tahoma"/>
          <w:sz w:val="18"/>
          <w:szCs w:val="18"/>
        </w:rPr>
        <w:t xml:space="preserve">contenuto, alle informazioni e alle applicazioni gestiti dal software in una soluzione per il Web su Internet non è limitata ai dipendenti del licenziatario o delle consociate del licenziatario. </w:t>
      </w:r>
    </w:p>
    <w:p w:rsidR="002A01C2" w:rsidRPr="0012364E" w:rsidRDefault="002A01C2" w:rsidP="002A01C2">
      <w:pPr>
        <w:pStyle w:val="PURBody-Indented"/>
        <w:spacing w:after="0"/>
        <w:ind w:firstLine="450"/>
        <w:rPr>
          <w:rFonts w:ascii="Tahoma" w:hAnsi="Tahoma" w:cs="Tahoma"/>
          <w:sz w:val="18"/>
          <w:szCs w:val="18"/>
        </w:rPr>
      </w:pPr>
    </w:p>
    <w:p w:rsidR="006707A3" w:rsidRPr="0012364E" w:rsidRDefault="006707A3" w:rsidP="002A01C2">
      <w:pPr>
        <w:pStyle w:val="PURBody-Indented"/>
        <w:spacing w:after="0"/>
        <w:ind w:firstLine="450"/>
        <w:rPr>
          <w:rFonts w:ascii="Tahoma" w:hAnsi="Tahoma" w:cs="Tahoma"/>
          <w:sz w:val="18"/>
          <w:szCs w:val="18"/>
        </w:rPr>
      </w:pPr>
      <w:r w:rsidRPr="0012364E">
        <w:rPr>
          <w:rFonts w:ascii="Tahoma" w:hAnsi="Tahoma" w:cs="Tahoma"/>
          <w:sz w:val="18"/>
          <w:szCs w:val="18"/>
        </w:rPr>
        <w:t>Il licenziatario potrà utilizzare il software delle “Soluzioni per il Web su Internet” per eseguire:</w:t>
      </w:r>
    </w:p>
    <w:p w:rsidR="002A01C2" w:rsidRPr="0012364E" w:rsidRDefault="002A01C2" w:rsidP="002A01C2">
      <w:pPr>
        <w:pStyle w:val="PURBody-Indented"/>
        <w:spacing w:after="0"/>
        <w:ind w:firstLine="450"/>
        <w:rPr>
          <w:rFonts w:ascii="Tahoma" w:hAnsi="Tahoma" w:cs="Tahoma"/>
          <w:sz w:val="18"/>
          <w:szCs w:val="18"/>
        </w:rPr>
      </w:pPr>
    </w:p>
    <w:p w:rsidR="006707A3" w:rsidRPr="0012364E" w:rsidRDefault="006707A3" w:rsidP="0012364E">
      <w:pPr>
        <w:pStyle w:val="PURBullet-Indented"/>
        <w:numPr>
          <w:ilvl w:val="0"/>
          <w:numId w:val="122"/>
        </w:numPr>
        <w:spacing w:after="60" w:line="240" w:lineRule="auto"/>
        <w:ind w:left="1440" w:hanging="360"/>
        <w:contextualSpacing w:val="0"/>
        <w:rPr>
          <w:rFonts w:ascii="Tahoma" w:hAnsi="Tahoma" w:cs="Tahoma"/>
          <w:sz w:val="18"/>
          <w:szCs w:val="18"/>
        </w:rPr>
      </w:pPr>
      <w:r w:rsidRPr="0012364E">
        <w:rPr>
          <w:rFonts w:ascii="Tahoma" w:hAnsi="Tahoma" w:cs="Tahoma"/>
          <w:sz w:val="18"/>
          <w:szCs w:val="18"/>
        </w:rPr>
        <w:t>software server Web (ad esempio, Microsoft Internet Information Services) e agenti di gestione o</w:t>
      </w:r>
      <w:r w:rsidR="0012364E">
        <w:rPr>
          <w:rFonts w:ascii="Tahoma" w:hAnsi="Tahoma" w:cs="Tahoma"/>
          <w:sz w:val="18"/>
          <w:szCs w:val="18"/>
        </w:rPr>
        <w:t> </w:t>
      </w:r>
      <w:r w:rsidRPr="0012364E">
        <w:rPr>
          <w:rFonts w:ascii="Tahoma" w:hAnsi="Tahoma" w:cs="Tahoma"/>
          <w:sz w:val="18"/>
          <w:szCs w:val="18"/>
        </w:rPr>
        <w:t>di sicurezza (ad esempio l</w:t>
      </w:r>
      <w:r w:rsidR="00F2643E">
        <w:rPr>
          <w:rFonts w:ascii="Tahoma" w:hAnsi="Tahoma" w:cs="Tahoma"/>
          <w:sz w:val="18"/>
          <w:szCs w:val="18"/>
        </w:rPr>
        <w:t>’</w:t>
      </w:r>
      <w:r w:rsidRPr="0012364E">
        <w:rPr>
          <w:rFonts w:ascii="Tahoma" w:hAnsi="Tahoma" w:cs="Tahoma"/>
          <w:sz w:val="18"/>
          <w:szCs w:val="18"/>
        </w:rPr>
        <w:t>agente System Center Operations Manager);</w:t>
      </w:r>
    </w:p>
    <w:p w:rsidR="006707A3" w:rsidRPr="0012364E" w:rsidRDefault="006707A3" w:rsidP="00346F4B">
      <w:pPr>
        <w:pStyle w:val="PURBullet-Indented"/>
        <w:numPr>
          <w:ilvl w:val="0"/>
          <w:numId w:val="122"/>
        </w:numPr>
        <w:spacing w:after="60" w:line="240" w:lineRule="auto"/>
        <w:ind w:left="1440" w:hanging="360"/>
        <w:contextualSpacing w:val="0"/>
        <w:rPr>
          <w:rFonts w:ascii="Tahoma" w:hAnsi="Tahoma" w:cs="Tahoma"/>
          <w:sz w:val="18"/>
          <w:szCs w:val="18"/>
        </w:rPr>
      </w:pPr>
      <w:r w:rsidRPr="0012364E">
        <w:rPr>
          <w:rFonts w:ascii="Tahoma" w:hAnsi="Tahoma" w:cs="Tahoma"/>
          <w:sz w:val="18"/>
          <w:szCs w:val="18"/>
        </w:rPr>
        <w:t xml:space="preserve">software del motore di database (ad esempio, Microsoft SQL Server) esclusivamente per supportare le soluzioni per il Web su Internet; </w:t>
      </w:r>
    </w:p>
    <w:p w:rsidR="006707A3" w:rsidRPr="0012364E" w:rsidRDefault="006707A3" w:rsidP="0012364E">
      <w:pPr>
        <w:pStyle w:val="PURBullet-Indented"/>
        <w:numPr>
          <w:ilvl w:val="0"/>
          <w:numId w:val="122"/>
        </w:numPr>
        <w:spacing w:after="60" w:line="240" w:lineRule="auto"/>
        <w:ind w:left="1440" w:hanging="360"/>
        <w:contextualSpacing w:val="0"/>
        <w:rPr>
          <w:rFonts w:ascii="Tahoma" w:hAnsi="Tahoma" w:cs="Tahoma"/>
          <w:sz w:val="18"/>
          <w:szCs w:val="18"/>
        </w:rPr>
      </w:pPr>
      <w:r w:rsidRPr="0012364E">
        <w:rPr>
          <w:rFonts w:ascii="Tahoma" w:hAnsi="Tahoma" w:cs="Tahoma"/>
          <w:sz w:val="18"/>
          <w:szCs w:val="18"/>
        </w:rPr>
        <w:t>il servizio Domain Name System (DNS) per fornire la risoluzione dei nomi Internet agli indirizzi IP a</w:t>
      </w:r>
      <w:r w:rsidR="0012364E">
        <w:rPr>
          <w:rFonts w:ascii="Tahoma" w:hAnsi="Tahoma" w:cs="Tahoma"/>
          <w:sz w:val="18"/>
          <w:szCs w:val="18"/>
        </w:rPr>
        <w:t> </w:t>
      </w:r>
      <w:r w:rsidRPr="0012364E">
        <w:rPr>
          <w:rFonts w:ascii="Tahoma" w:hAnsi="Tahoma" w:cs="Tahoma"/>
          <w:sz w:val="18"/>
          <w:szCs w:val="18"/>
        </w:rPr>
        <w:t>condizione che non sia l</w:t>
      </w:r>
      <w:r w:rsidR="00F2643E">
        <w:rPr>
          <w:rFonts w:ascii="Tahoma" w:hAnsi="Tahoma" w:cs="Tahoma"/>
          <w:sz w:val="18"/>
          <w:szCs w:val="18"/>
        </w:rPr>
        <w:t>’</w:t>
      </w:r>
      <w:r w:rsidRPr="0012364E">
        <w:rPr>
          <w:rFonts w:ascii="Tahoma" w:hAnsi="Tahoma" w:cs="Tahoma"/>
          <w:sz w:val="18"/>
          <w:szCs w:val="18"/>
        </w:rPr>
        <w:t>unica funzione di quell</w:t>
      </w:r>
      <w:r w:rsidR="00F2643E">
        <w:rPr>
          <w:rFonts w:ascii="Tahoma" w:hAnsi="Tahoma" w:cs="Tahoma"/>
          <w:sz w:val="18"/>
          <w:szCs w:val="18"/>
        </w:rPr>
        <w:t>’</w:t>
      </w:r>
      <w:r w:rsidRPr="0012364E">
        <w:rPr>
          <w:rFonts w:ascii="Tahoma" w:hAnsi="Tahoma" w:cs="Tahoma"/>
          <w:sz w:val="18"/>
          <w:szCs w:val="18"/>
        </w:rPr>
        <w:t>istanza del software.</w:t>
      </w:r>
    </w:p>
    <w:p w:rsidR="00F1020A" w:rsidRPr="00A75DF9" w:rsidRDefault="00F1020A">
      <w:pPr>
        <w:rPr>
          <w:rFonts w:cs="Tahoma"/>
        </w:rPr>
      </w:pPr>
    </w:p>
    <w:p w:rsidR="002A01C2" w:rsidRPr="00A75DF9" w:rsidRDefault="00FE1A01" w:rsidP="002A01C2">
      <w:pPr>
        <w:spacing w:after="60"/>
        <w:ind w:left="720"/>
        <w:rPr>
          <w:rFonts w:cs="Tahoma"/>
        </w:rPr>
      </w:pPr>
      <w:r w:rsidRPr="00A75DF9">
        <w:rPr>
          <w:rFonts w:eastAsia="Calibri" w:cs="Tahoma"/>
          <w:b/>
          <w:szCs w:val="18"/>
        </w:rPr>
        <w:t>Utilizzo di Windows Server 2012 per High Performance Computing (HPC)</w:t>
      </w:r>
    </w:p>
    <w:p w:rsidR="00376D4B" w:rsidRPr="00A75DF9" w:rsidRDefault="00FE1A01" w:rsidP="002A01C2">
      <w:pPr>
        <w:ind w:left="720"/>
        <w:rPr>
          <w:rFonts w:cs="Tahoma"/>
        </w:rPr>
      </w:pPr>
      <w:r w:rsidRPr="00A75DF9">
        <w:rPr>
          <w:rFonts w:cs="Tahoma"/>
          <w:color w:val="000000"/>
        </w:rPr>
        <w:t>Quando Windows Server 2012 Standard o Datacenter viene utilizzato per High Performance Computing, non servono licenze CAL per accedere al software. Un “Carico di Lavoro High Performance Computing (“HPC”)” indica un carico di lavoro nel quale il software server viene utilizzato per eseguire un Nodo del Cluster e per consentire, insieme ad altro software, la gestione dei sistemi, la gestione della protezione e dell</w:t>
      </w:r>
      <w:r w:rsidR="00F2643E">
        <w:rPr>
          <w:rFonts w:cs="Tahoma"/>
          <w:color w:val="000000"/>
        </w:rPr>
        <w:t>’</w:t>
      </w:r>
      <w:r w:rsidRPr="00A75DF9">
        <w:rPr>
          <w:rFonts w:cs="Tahoma"/>
          <w:color w:val="000000"/>
        </w:rPr>
        <w:t>archiviazione o il miglioramento delle prestazioni in un nodo del cluster allo scopo di supportare le Applicazioni HPC con cluster. Ulteriori dettagli sono disponibili nei Diritti di Utilizzo del Prodotto.</w:t>
      </w:r>
      <w:bookmarkEnd w:id="1598"/>
      <w:bookmarkEnd w:id="1599"/>
      <w:bookmarkEnd w:id="1600"/>
    </w:p>
    <w:p w:rsidR="00376D4B" w:rsidRPr="0012364E" w:rsidRDefault="00376D4B" w:rsidP="002A01C2">
      <w:pPr>
        <w:pStyle w:val="ListParagraph"/>
        <w:ind w:left="0"/>
        <w:contextualSpacing w:val="0"/>
        <w:rPr>
          <w:rFonts w:ascii="Tahoma" w:hAnsi="Tahoma" w:cs="Tahoma"/>
          <w:sz w:val="18"/>
          <w:szCs w:val="18"/>
        </w:rPr>
      </w:pPr>
    </w:p>
    <w:p w:rsidR="00F745E1" w:rsidRPr="0012364E" w:rsidRDefault="00F745E1" w:rsidP="002A01C2">
      <w:pPr>
        <w:rPr>
          <w:rFonts w:cs="Tahoma"/>
          <w:szCs w:val="18"/>
        </w:rPr>
      </w:pPr>
    </w:p>
    <w:p w:rsidR="00F745E1" w:rsidRPr="00A75DF9" w:rsidRDefault="00A560B6" w:rsidP="00F745E1">
      <w:pPr>
        <w:pStyle w:val="Heading3"/>
        <w:ind w:left="360" w:hanging="360"/>
        <w:rPr>
          <w:rFonts w:ascii="Tahoma" w:hAnsi="Tahoma" w:cs="Tahoma"/>
        </w:rPr>
      </w:pPr>
      <w:bookmarkStart w:id="1603" w:name="_114_Windows_Server"/>
      <w:bookmarkStart w:id="1604" w:name="_112_Windows_Server"/>
      <w:bookmarkStart w:id="1605" w:name="_Toc336338373"/>
      <w:bookmarkStart w:id="1606" w:name="Srv_111WinSvr08R2Datacenter"/>
      <w:bookmarkStart w:id="1607" w:name="Srv_115WinSvr08R2Datacenter"/>
      <w:bookmarkStart w:id="1608" w:name="_Toc368310361"/>
      <w:bookmarkEnd w:id="1603"/>
      <w:bookmarkEnd w:id="1604"/>
      <w:r w:rsidRPr="00A75DF9">
        <w:rPr>
          <w:rFonts w:ascii="Tahoma" w:hAnsi="Tahoma" w:cs="Tahoma"/>
          <w:caps/>
          <w:color w:val="F66400"/>
          <w:sz w:val="22"/>
          <w:vertAlign w:val="superscript"/>
        </w:rPr>
        <w:t xml:space="preserve">111 </w:t>
      </w:r>
      <w:r w:rsidRPr="00A75DF9">
        <w:rPr>
          <w:rFonts w:ascii="Tahoma" w:hAnsi="Tahoma" w:cs="Tahoma"/>
          <w:color w:val="F66400"/>
          <w:sz w:val="22"/>
        </w:rPr>
        <w:t>Windows Server 2008 R2 Datacenter</w:t>
      </w:r>
      <w:bookmarkEnd w:id="1605"/>
      <w:bookmarkEnd w:id="1608"/>
      <w:r w:rsidRPr="00A75DF9">
        <w:rPr>
          <w:rFonts w:ascii="Tahoma" w:hAnsi="Tahoma" w:cs="Tahoma"/>
          <w:color w:val="F66400"/>
          <w:sz w:val="22"/>
        </w:rPr>
        <w:t xml:space="preserve"> </w:t>
      </w:r>
    </w:p>
    <w:bookmarkEnd w:id="1606"/>
    <w:bookmarkEnd w:id="1607"/>
    <w:p w:rsidR="00F745E1" w:rsidRPr="00A75DF9" w:rsidRDefault="00F745E1" w:rsidP="00F745E1">
      <w:pPr>
        <w:ind w:left="900"/>
        <w:rPr>
          <w:rFonts w:cs="Tahoma"/>
        </w:rPr>
      </w:pPr>
    </w:p>
    <w:p w:rsidR="002A01C2" w:rsidRPr="00A75DF9" w:rsidRDefault="00F745E1" w:rsidP="002A01C2">
      <w:pPr>
        <w:spacing w:after="60"/>
        <w:ind w:left="720"/>
        <w:rPr>
          <w:rFonts w:cs="Tahoma"/>
        </w:rPr>
      </w:pPr>
      <w:r w:rsidRPr="00A75DF9">
        <w:rPr>
          <w:rFonts w:cs="Tahoma"/>
          <w:b/>
          <w:color w:val="000000"/>
        </w:rPr>
        <w:t>Concessioni di licenza associate alla variazione del modello di licenza per Windows Server Datacenter</w:t>
      </w:r>
    </w:p>
    <w:p w:rsidR="00F745E1" w:rsidRPr="00A75DF9" w:rsidRDefault="00F745E1" w:rsidP="00F745E1">
      <w:pPr>
        <w:spacing w:after="200"/>
        <w:ind w:left="720"/>
        <w:rPr>
          <w:rFonts w:cs="Tahoma"/>
        </w:rPr>
      </w:pPr>
      <w:r w:rsidRPr="00A75DF9">
        <w:rPr>
          <w:rFonts w:cs="Tahoma"/>
          <w:color w:val="000000"/>
        </w:rPr>
        <w:t xml:space="preserve">Windows Server 2012 Datacenter sarà concesso in licenza ai sensi di un nuovo modello di licenza in base al quale ciascuna licenza può coprire fino a due processori fisici. Le società titolari di Contratti Multilicenza con copertura Software Assurance attiva per le licenze per Windows Server 2008 R2 Datacenter in data 1 settembre 2012 o in occasione della prima disponibilità di Windows Server 2012 per il download dal sito Web Volume Licensing Service Center, a seconda di quale evento si verificherà per primo, (“Licenze </w:t>
      </w:r>
      <w:r w:rsidRPr="00A75DF9">
        <w:rPr>
          <w:rFonts w:cs="Tahoma"/>
          <w:color w:val="000000"/>
        </w:rPr>
        <w:lastRenderedPageBreak/>
        <w:t>Qualificanti”) saranno autorizzate a</w:t>
      </w:r>
      <w:r w:rsidRPr="00A75DF9">
        <w:rPr>
          <w:rFonts w:eastAsia="Calibri" w:cs="Tahoma"/>
          <w:szCs w:val="18"/>
        </w:rPr>
        <w:t xml:space="preserve"> effettuare l</w:t>
      </w:r>
      <w:r w:rsidR="00F2643E">
        <w:rPr>
          <w:rFonts w:eastAsia="Calibri" w:cs="Tahoma"/>
          <w:szCs w:val="18"/>
        </w:rPr>
        <w:t>’</w:t>
      </w:r>
      <w:r w:rsidRPr="00A75DF9">
        <w:rPr>
          <w:rFonts w:eastAsia="Calibri" w:cs="Tahoma"/>
          <w:szCs w:val="18"/>
        </w:rPr>
        <w:t xml:space="preserve">aggiornamento al software Windows Server 2012 Datacenter e a utilizzarlo al posto di Windows Server 2008 R2 Datacenter. Per agevolare tale aggiornamento, per due Licenze Qualificanti in suo possesso, alla società verrà concessa una licenza per processore per Windows Server 2012 Datacenter in base alla disponibilità di Windows Server 2012. </w:t>
      </w:r>
    </w:p>
    <w:p w:rsidR="00F745E1" w:rsidRPr="0012364E" w:rsidRDefault="00F745E1" w:rsidP="008B1245">
      <w:pPr>
        <w:numPr>
          <w:ilvl w:val="0"/>
          <w:numId w:val="52"/>
        </w:numPr>
        <w:spacing w:afterLines="60" w:after="144"/>
        <w:ind w:left="1440" w:hanging="274"/>
        <w:rPr>
          <w:rFonts w:cs="Tahoma"/>
          <w:szCs w:val="18"/>
        </w:rPr>
      </w:pPr>
      <w:r w:rsidRPr="0012364E">
        <w:rPr>
          <w:rFonts w:cs="Tahoma"/>
          <w:color w:val="000000"/>
          <w:szCs w:val="18"/>
        </w:rPr>
        <w:t>Qualora una società disponga di un numero dispari di Licenze Qualificanti, dovrà arrotondarle per difetto al numero pari più vicino per determinare la quantità concessa.</w:t>
      </w:r>
      <w:r w:rsidR="009D3B41" w:rsidRPr="0012364E">
        <w:rPr>
          <w:rFonts w:cs="Tahoma"/>
          <w:color w:val="000000"/>
          <w:szCs w:val="18"/>
        </w:rPr>
        <w:t xml:space="preserve"> </w:t>
      </w:r>
      <w:r w:rsidRPr="0012364E">
        <w:rPr>
          <w:rFonts w:cs="Tahoma"/>
          <w:color w:val="000000"/>
          <w:szCs w:val="18"/>
        </w:rPr>
        <w:t xml:space="preserve">Ad esempio, una società titolare di tre Licenze Qualificanti riceverà in totale una licenza per Windows Server 2012 Datacenter. </w:t>
      </w:r>
    </w:p>
    <w:p w:rsidR="00F745E1" w:rsidRPr="0012364E" w:rsidRDefault="00F745E1" w:rsidP="008B1245">
      <w:pPr>
        <w:numPr>
          <w:ilvl w:val="0"/>
          <w:numId w:val="52"/>
        </w:numPr>
        <w:tabs>
          <w:tab w:val="left" w:pos="990"/>
        </w:tabs>
        <w:spacing w:afterLines="60" w:after="144"/>
        <w:ind w:left="1440" w:hanging="274"/>
        <w:rPr>
          <w:rFonts w:cs="Tahoma"/>
          <w:szCs w:val="18"/>
        </w:rPr>
      </w:pPr>
      <w:r w:rsidRPr="0012364E">
        <w:rPr>
          <w:rFonts w:eastAsia="Calibri" w:cs="Tahoma"/>
          <w:szCs w:val="18"/>
        </w:rPr>
        <w:t>Le licenze acquistate ai sensi della presente concessione includono la copertura Software Assurance.</w:t>
      </w:r>
      <w:r w:rsidR="009D3B41" w:rsidRPr="0012364E">
        <w:rPr>
          <w:rFonts w:eastAsia="Calibri" w:cs="Tahoma"/>
          <w:szCs w:val="18"/>
        </w:rPr>
        <w:t xml:space="preserve"> </w:t>
      </w:r>
      <w:r w:rsidRPr="0012364E">
        <w:rPr>
          <w:rFonts w:eastAsia="Calibri" w:cs="Tahoma"/>
          <w:szCs w:val="18"/>
        </w:rPr>
        <w:t>Tale copertura cessa alla scadenza della corrispondente copertura per le Licenze Qualificanti.</w:t>
      </w:r>
    </w:p>
    <w:p w:rsidR="00F745E1" w:rsidRPr="0012364E" w:rsidRDefault="00F745E1" w:rsidP="008B1245">
      <w:pPr>
        <w:numPr>
          <w:ilvl w:val="0"/>
          <w:numId w:val="52"/>
        </w:numPr>
        <w:tabs>
          <w:tab w:val="left" w:pos="990"/>
        </w:tabs>
        <w:spacing w:afterLines="60" w:after="144"/>
        <w:ind w:left="1440" w:hanging="274"/>
        <w:rPr>
          <w:rFonts w:cs="Tahoma"/>
          <w:szCs w:val="18"/>
        </w:rPr>
      </w:pPr>
      <w:r w:rsidRPr="0012364E">
        <w:rPr>
          <w:rFonts w:eastAsia="Calibri" w:cs="Tahoma"/>
          <w:szCs w:val="18"/>
        </w:rPr>
        <w:t>Nel caso in cui le società abbiano acquistato diritti perpetui di utilizzo del software ai sensi di Licenze Qualificanti, le licenze acquistate ai sensi della presente concessione saranno anch</w:t>
      </w:r>
      <w:r w:rsidR="00F2643E">
        <w:rPr>
          <w:rFonts w:eastAsia="Calibri" w:cs="Tahoma"/>
          <w:szCs w:val="18"/>
        </w:rPr>
        <w:t>’</w:t>
      </w:r>
      <w:r w:rsidRPr="0012364E">
        <w:rPr>
          <w:rFonts w:eastAsia="Calibri" w:cs="Tahoma"/>
          <w:szCs w:val="18"/>
        </w:rPr>
        <w:t>esse perpetue; diversamente, le licenze acquistate ai sensi della presente concessione cesseranno alla scadenza delle Licenze Qualificanti sottostanti.</w:t>
      </w:r>
    </w:p>
    <w:p w:rsidR="00F745E1" w:rsidRPr="00A75DF9" w:rsidRDefault="00F745E1" w:rsidP="008B1245">
      <w:pPr>
        <w:numPr>
          <w:ilvl w:val="0"/>
          <w:numId w:val="56"/>
        </w:numPr>
        <w:spacing w:afterLines="60" w:after="144"/>
        <w:ind w:left="1440" w:hanging="274"/>
        <w:rPr>
          <w:rFonts w:cs="Tahoma"/>
        </w:rPr>
      </w:pPr>
      <w:r w:rsidRPr="00A75DF9">
        <w:rPr>
          <w:rFonts w:eastAsia="Calibri" w:cs="Tahoma"/>
          <w:szCs w:val="18"/>
        </w:rPr>
        <w:t>Eseguendo l</w:t>
      </w:r>
      <w:r w:rsidR="00F2643E">
        <w:rPr>
          <w:rFonts w:eastAsia="Calibri" w:cs="Tahoma"/>
          <w:szCs w:val="18"/>
        </w:rPr>
        <w:t>’</w:t>
      </w:r>
      <w:r w:rsidRPr="00A75DF9">
        <w:rPr>
          <w:rFonts w:eastAsia="Calibri" w:cs="Tahoma"/>
          <w:szCs w:val="18"/>
        </w:rPr>
        <w:t>aggiornamento a Windows Server 2012 Datacenter ai sensi della presente concessione, le Licenze Qualificanti in essere per Windows Server 2008 R2 Datacenter non saranno più valide.</w:t>
      </w:r>
    </w:p>
    <w:p w:rsidR="00F745E1" w:rsidRPr="00A75DF9" w:rsidRDefault="00F745E1" w:rsidP="008B1245">
      <w:pPr>
        <w:numPr>
          <w:ilvl w:val="0"/>
          <w:numId w:val="56"/>
        </w:numPr>
        <w:spacing w:afterLines="60" w:after="144"/>
        <w:ind w:left="1440" w:hanging="274"/>
        <w:rPr>
          <w:rFonts w:cs="Tahoma"/>
        </w:rPr>
      </w:pPr>
      <w:r w:rsidRPr="00A75DF9">
        <w:rPr>
          <w:rFonts w:cs="Tahoma"/>
        </w:rPr>
        <w:t xml:space="preserve">Le licenze per </w:t>
      </w:r>
      <w:r w:rsidRPr="00A75DF9">
        <w:rPr>
          <w:rFonts w:cs="Tahoma"/>
          <w:color w:val="000000"/>
        </w:rPr>
        <w:t xml:space="preserve">Windows Server 2008 R2 Datacenter </w:t>
      </w:r>
      <w:r w:rsidRPr="00A75DF9">
        <w:rPr>
          <w:rFonts w:cs="Tahoma"/>
          <w:bCs/>
          <w:color w:val="000000"/>
          <w:szCs w:val="18"/>
        </w:rPr>
        <w:t>acquistate successivamente nello stesso periodo di validità dell</w:t>
      </w:r>
      <w:r w:rsidR="00F2643E">
        <w:rPr>
          <w:rFonts w:cs="Tahoma"/>
          <w:bCs/>
          <w:color w:val="000000"/>
          <w:szCs w:val="18"/>
        </w:rPr>
        <w:t>’</w:t>
      </w:r>
      <w:r w:rsidRPr="00A75DF9">
        <w:rPr>
          <w:rFonts w:cs="Tahoma"/>
          <w:bCs/>
          <w:color w:val="000000"/>
          <w:szCs w:val="18"/>
        </w:rPr>
        <w:t>iscrizione nell</w:t>
      </w:r>
      <w:r w:rsidR="00F2643E">
        <w:rPr>
          <w:rFonts w:cs="Tahoma"/>
          <w:bCs/>
          <w:color w:val="000000"/>
          <w:szCs w:val="18"/>
        </w:rPr>
        <w:t>’</w:t>
      </w:r>
      <w:r w:rsidRPr="00A75DF9">
        <w:rPr>
          <w:rFonts w:cs="Tahoma"/>
          <w:bCs/>
          <w:color w:val="000000"/>
          <w:szCs w:val="18"/>
        </w:rPr>
        <w:t>ambito di una procedura pianificata di true-up di una società Enterprise, Enterprise Subscription, Open Value Subscription o EES sono anch</w:t>
      </w:r>
      <w:r w:rsidR="00F2643E">
        <w:rPr>
          <w:rFonts w:cs="Tahoma"/>
          <w:bCs/>
          <w:color w:val="000000"/>
          <w:szCs w:val="18"/>
        </w:rPr>
        <w:t>’</w:t>
      </w:r>
      <w:r w:rsidRPr="00A75DF9">
        <w:rPr>
          <w:rFonts w:cs="Tahoma"/>
          <w:bCs/>
          <w:color w:val="000000"/>
          <w:szCs w:val="18"/>
        </w:rPr>
        <w:t>esse Licenze Qualificanti per gli scopi previsti dalla suddetta concessione.</w:t>
      </w:r>
      <w:r w:rsidR="009D3B41" w:rsidRPr="00A75DF9">
        <w:rPr>
          <w:rFonts w:cs="Tahoma"/>
          <w:bCs/>
          <w:color w:val="000000"/>
          <w:szCs w:val="18"/>
        </w:rPr>
        <w:t xml:space="preserve"> </w:t>
      </w:r>
    </w:p>
    <w:p w:rsidR="00FD1141" w:rsidRPr="00A75DF9" w:rsidRDefault="00FD1141" w:rsidP="008B1245">
      <w:pPr>
        <w:numPr>
          <w:ilvl w:val="0"/>
          <w:numId w:val="56"/>
        </w:numPr>
        <w:spacing w:afterLines="60" w:after="144"/>
        <w:ind w:left="1440" w:hanging="274"/>
        <w:rPr>
          <w:rFonts w:cs="Tahoma"/>
        </w:rPr>
      </w:pPr>
      <w:r w:rsidRPr="00A75DF9">
        <w:rPr>
          <w:rFonts w:cs="Tahoma"/>
        </w:rPr>
        <w:t>Le licenze per processore singolo per Windows Server Datacenter acquistate dopo il 1 settembre 2012 con copertura Software Assurance sono anch</w:t>
      </w:r>
      <w:r w:rsidR="00F2643E">
        <w:rPr>
          <w:rFonts w:cs="Tahoma"/>
        </w:rPr>
        <w:t>’</w:t>
      </w:r>
      <w:r w:rsidRPr="00A75DF9">
        <w:rPr>
          <w:rFonts w:cs="Tahoma"/>
        </w:rPr>
        <w:t>esse Licenze Qualificanti per gli scopi previsti dalla suddetta concessione. </w:t>
      </w:r>
    </w:p>
    <w:p w:rsidR="00F745E1" w:rsidRPr="00A75DF9" w:rsidRDefault="00F745E1" w:rsidP="008B1245">
      <w:pPr>
        <w:numPr>
          <w:ilvl w:val="0"/>
          <w:numId w:val="56"/>
        </w:numPr>
        <w:spacing w:afterLines="60" w:after="144"/>
        <w:ind w:left="1440" w:hanging="274"/>
        <w:rPr>
          <w:rFonts w:cs="Tahoma"/>
        </w:rPr>
      </w:pPr>
      <w:r w:rsidRPr="00A75DF9">
        <w:rPr>
          <w:rFonts w:cs="Tahoma"/>
          <w:bCs/>
          <w:color w:val="000000"/>
          <w:szCs w:val="18"/>
        </w:rPr>
        <w:t>Nonostante la concessione di licenze per Windows Server 2012 Datacenter e di aggiornamenti per tale versione, le obbligazioni di pagamento degli importi scaduti e dovuti per le Licenze Qualificanti e la copertura rimangono pienamente vincolanti ed efficaci.</w:t>
      </w:r>
    </w:p>
    <w:p w:rsidR="00376D4B" w:rsidRPr="00A75DF9" w:rsidRDefault="00376D4B" w:rsidP="00376D4B">
      <w:pPr>
        <w:ind w:left="720"/>
        <w:rPr>
          <w:rFonts w:cs="Tahoma"/>
        </w:rPr>
      </w:pPr>
    </w:p>
    <w:p w:rsidR="00FD1141" w:rsidRPr="00A75DF9" w:rsidRDefault="00BF7C75" w:rsidP="0012364E">
      <w:pPr>
        <w:ind w:left="720"/>
        <w:rPr>
          <w:rFonts w:cs="Tahoma"/>
        </w:rPr>
      </w:pPr>
      <w:r w:rsidRPr="00A75DF9">
        <w:rPr>
          <w:rFonts w:cs="Tahoma"/>
          <w:color w:val="000000"/>
          <w:szCs w:val="18"/>
        </w:rPr>
        <w:t>Windows Server 2012 Datacenter: SKU della Licenza per 1 Processore; Windows Server 2012 sta passando a un modello di licenza Plus CAL per Processore, con ciascuna licenza per 2 processori. L</w:t>
      </w:r>
      <w:r w:rsidR="00F2643E">
        <w:rPr>
          <w:rFonts w:cs="Tahoma"/>
          <w:color w:val="000000"/>
          <w:szCs w:val="18"/>
        </w:rPr>
        <w:t>’</w:t>
      </w:r>
      <w:r w:rsidRPr="00A75DF9">
        <w:rPr>
          <w:rFonts w:cs="Tahoma"/>
          <w:color w:val="000000"/>
          <w:szCs w:val="18"/>
        </w:rPr>
        <w:t>offerta n. P71-01031 era stata inclusa erroneamente nel listino prezzi di settembre e deve essere utilizzata esclusivamente per i contratti SPLA. Tale offerta riguarda solo un processore singolo; le società che l</w:t>
      </w:r>
      <w:r w:rsidR="00F2643E">
        <w:rPr>
          <w:rFonts w:cs="Tahoma"/>
          <w:color w:val="000000"/>
          <w:szCs w:val="18"/>
        </w:rPr>
        <w:t>’</w:t>
      </w:r>
      <w:r w:rsidRPr="00A75DF9">
        <w:rPr>
          <w:rFonts w:cs="Tahoma"/>
          <w:color w:val="000000"/>
          <w:szCs w:val="18"/>
        </w:rPr>
        <w:t>acquistano non saranno coperte dai diritti sull</w:t>
      </w:r>
      <w:r w:rsidR="00F2643E">
        <w:rPr>
          <w:rFonts w:cs="Tahoma"/>
          <w:color w:val="000000"/>
          <w:szCs w:val="18"/>
        </w:rPr>
        <w:t>’</w:t>
      </w:r>
      <w:r w:rsidRPr="00A75DF9">
        <w:rPr>
          <w:rFonts w:cs="Tahoma"/>
          <w:color w:val="000000"/>
          <w:szCs w:val="18"/>
        </w:rPr>
        <w:t>utilizzo correnti. La presente SKU deve essere utilizzata solo da società titolari di contratti SPLA. L</w:t>
      </w:r>
      <w:r w:rsidR="00F2643E">
        <w:rPr>
          <w:rFonts w:cs="Tahoma"/>
          <w:color w:val="000000"/>
          <w:szCs w:val="18"/>
        </w:rPr>
        <w:t>’</w:t>
      </w:r>
      <w:r w:rsidRPr="00A75DF9">
        <w:rPr>
          <w:rFonts w:cs="Tahoma"/>
          <w:color w:val="000000"/>
          <w:szCs w:val="18"/>
        </w:rPr>
        <w:t xml:space="preserve">offerta corretta per tutti gli altri programmi </w:t>
      </w:r>
      <w:r w:rsidRPr="00A75DF9">
        <w:rPr>
          <w:rFonts w:cs="Tahoma"/>
          <w:szCs w:val="18"/>
        </w:rPr>
        <w:t>che non prevedono contratti SPLA è la n. P71-07280. Per le società che hanno già acquistato l</w:t>
      </w:r>
      <w:r w:rsidR="00F2643E">
        <w:rPr>
          <w:rFonts w:cs="Tahoma"/>
          <w:szCs w:val="18"/>
        </w:rPr>
        <w:t>’</w:t>
      </w:r>
      <w:r w:rsidRPr="00A75DF9">
        <w:rPr>
          <w:rFonts w:cs="Tahoma"/>
          <w:szCs w:val="18"/>
        </w:rPr>
        <w:t>offerta n. P71-01031 è disponibile la concessione per la</w:t>
      </w:r>
      <w:r w:rsidR="0012364E">
        <w:rPr>
          <w:rFonts w:cs="Tahoma"/>
          <w:szCs w:val="18"/>
        </w:rPr>
        <w:t> </w:t>
      </w:r>
      <w:r w:rsidRPr="00A75DF9">
        <w:rPr>
          <w:rFonts w:cs="Tahoma"/>
          <w:szCs w:val="18"/>
        </w:rPr>
        <w:t>migrazione di cui sopra.</w:t>
      </w:r>
    </w:p>
    <w:p w:rsidR="00202A44" w:rsidRPr="00A75DF9" w:rsidRDefault="00202A44" w:rsidP="00376D4B">
      <w:pPr>
        <w:ind w:left="720"/>
        <w:rPr>
          <w:rFonts w:cs="Tahoma"/>
        </w:rPr>
      </w:pPr>
    </w:p>
    <w:p w:rsidR="00F745E1" w:rsidRPr="00A75DF9" w:rsidRDefault="00202A44" w:rsidP="00BA1490">
      <w:pPr>
        <w:pStyle w:val="PURBody-Indented"/>
        <w:ind w:left="720"/>
        <w:rPr>
          <w:rFonts w:ascii="Tahoma" w:hAnsi="Tahoma" w:cs="Tahoma"/>
        </w:rPr>
      </w:pPr>
      <w:r w:rsidRPr="00A75DF9">
        <w:rPr>
          <w:rFonts w:ascii="Tahoma" w:hAnsi="Tahoma" w:cs="Tahoma"/>
          <w:color w:val="000000"/>
          <w:sz w:val="18"/>
          <w:szCs w:val="18"/>
        </w:rPr>
        <w:t xml:space="preserve">Windows Server 2012 Datacenter: </w:t>
      </w:r>
      <w:r w:rsidRPr="00A75DF9">
        <w:rPr>
          <w:rFonts w:ascii="Tahoma" w:hAnsi="Tahoma" w:cs="Tahoma"/>
          <w:sz w:val="18"/>
          <w:szCs w:val="18"/>
        </w:rPr>
        <w:t>Il licenziatario potrà eseguire un</w:t>
      </w:r>
      <w:r w:rsidR="00F2643E">
        <w:rPr>
          <w:rFonts w:ascii="Tahoma" w:hAnsi="Tahoma" w:cs="Tahoma"/>
          <w:sz w:val="18"/>
          <w:szCs w:val="18"/>
        </w:rPr>
        <w:t>’</w:t>
      </w:r>
      <w:r w:rsidRPr="00A75DF9">
        <w:rPr>
          <w:rFonts w:ascii="Tahoma" w:hAnsi="Tahoma" w:cs="Tahoma"/>
          <w:sz w:val="18"/>
          <w:szCs w:val="18"/>
        </w:rPr>
        <w:t>istanza di Windows Server Datacenter, Enterprise, Standard o Essentials (versione identica o qualsiasi versione precedente) al posto di Windows Server 2012 Datacenter in qualunque OSE sul server con licenza.</w:t>
      </w:r>
    </w:p>
    <w:p w:rsidR="00BF7C75" w:rsidRPr="0012364E" w:rsidRDefault="00BF7C75" w:rsidP="00F745E1">
      <w:pPr>
        <w:pStyle w:val="ListParagraph"/>
        <w:ind w:left="0"/>
        <w:contextualSpacing w:val="0"/>
        <w:rPr>
          <w:rFonts w:ascii="Tahoma" w:hAnsi="Tahoma" w:cs="Tahoma"/>
          <w:sz w:val="18"/>
          <w:szCs w:val="18"/>
        </w:rPr>
      </w:pPr>
    </w:p>
    <w:p w:rsidR="002A01C2" w:rsidRPr="0012364E" w:rsidRDefault="002A01C2" w:rsidP="00F745E1">
      <w:pPr>
        <w:pStyle w:val="ListParagraph"/>
        <w:ind w:left="0"/>
        <w:contextualSpacing w:val="0"/>
        <w:rPr>
          <w:rFonts w:ascii="Tahoma" w:hAnsi="Tahoma" w:cs="Tahoma"/>
          <w:sz w:val="18"/>
          <w:szCs w:val="18"/>
        </w:rPr>
      </w:pPr>
    </w:p>
    <w:p w:rsidR="00F745E1" w:rsidRPr="00A75DF9" w:rsidRDefault="00A560B6" w:rsidP="00F745E1">
      <w:pPr>
        <w:pStyle w:val="Heading3"/>
        <w:rPr>
          <w:rFonts w:ascii="Tahoma" w:hAnsi="Tahoma" w:cs="Tahoma"/>
        </w:rPr>
      </w:pPr>
      <w:bookmarkStart w:id="1609" w:name="_118_Windows_Server"/>
      <w:bookmarkStart w:id="1610" w:name="_110_Windows_Server"/>
      <w:bookmarkStart w:id="1611" w:name="_113_Windows_Server"/>
      <w:bookmarkStart w:id="1612" w:name="_Toc336338374"/>
      <w:bookmarkStart w:id="1613" w:name="Srv_102WindowsSvr08R2Std"/>
      <w:bookmarkStart w:id="1614" w:name="Srv_114WindowsSvr08R2Std"/>
      <w:bookmarkStart w:id="1615" w:name="Srv_118WindowsSvr08R2Std"/>
      <w:bookmarkStart w:id="1616" w:name="Srv_99WindowsSvr08R2ItaniumSys"/>
      <w:bookmarkStart w:id="1617" w:name="Srv_100WindowsSvr08R2ItaniumSys"/>
      <w:bookmarkStart w:id="1618" w:name="_Toc368310362"/>
      <w:bookmarkEnd w:id="1609"/>
      <w:bookmarkEnd w:id="1610"/>
      <w:bookmarkEnd w:id="1611"/>
      <w:r w:rsidRPr="00A75DF9">
        <w:rPr>
          <w:rStyle w:val="Heading3Char"/>
          <w:rFonts w:ascii="Tahoma" w:hAnsi="Tahoma" w:cs="Tahoma"/>
          <w:b/>
          <w:caps/>
          <w:color w:val="F66400"/>
          <w:sz w:val="22"/>
          <w:vertAlign w:val="superscript"/>
        </w:rPr>
        <w:t xml:space="preserve">112 </w:t>
      </w:r>
      <w:r w:rsidRPr="00A75DF9">
        <w:rPr>
          <w:rStyle w:val="Heading3Char"/>
          <w:rFonts w:ascii="Tahoma" w:hAnsi="Tahoma" w:cs="Tahoma"/>
          <w:b/>
          <w:color w:val="F66400"/>
          <w:sz w:val="22"/>
        </w:rPr>
        <w:t>Windows Server 2008 R2 Standard</w:t>
      </w:r>
      <w:bookmarkEnd w:id="1612"/>
      <w:bookmarkEnd w:id="1618"/>
      <w:r w:rsidRPr="00A75DF9">
        <w:rPr>
          <w:rStyle w:val="Heading3Char"/>
          <w:rFonts w:ascii="Tahoma" w:hAnsi="Tahoma" w:cs="Tahoma"/>
          <w:b/>
          <w:color w:val="F66400"/>
          <w:sz w:val="22"/>
        </w:rPr>
        <w:t xml:space="preserve"> </w:t>
      </w:r>
    </w:p>
    <w:bookmarkEnd w:id="1613"/>
    <w:bookmarkEnd w:id="1614"/>
    <w:bookmarkEnd w:id="1615"/>
    <w:p w:rsidR="00376D4B" w:rsidRPr="00A75DF9" w:rsidRDefault="00376D4B" w:rsidP="002A01C2">
      <w:pPr>
        <w:tabs>
          <w:tab w:val="left" w:pos="360"/>
        </w:tabs>
        <w:ind w:left="360"/>
        <w:rPr>
          <w:rFonts w:cs="Tahoma"/>
        </w:rPr>
      </w:pPr>
    </w:p>
    <w:p w:rsidR="002A01C2" w:rsidRPr="00A75DF9" w:rsidRDefault="00F745E1" w:rsidP="002A01C2">
      <w:pPr>
        <w:spacing w:after="60"/>
        <w:ind w:left="720"/>
        <w:rPr>
          <w:rFonts w:cs="Tahoma"/>
        </w:rPr>
      </w:pPr>
      <w:r w:rsidRPr="00A75DF9">
        <w:rPr>
          <w:rFonts w:cs="Tahoma"/>
          <w:b/>
          <w:color w:val="000000"/>
        </w:rPr>
        <w:t>Concessioni di licenza associate alla variazione del modello di licenza per Windows Server Standard</w:t>
      </w:r>
    </w:p>
    <w:p w:rsidR="00F745E1" w:rsidRPr="00A75DF9" w:rsidRDefault="00F745E1" w:rsidP="0012364E">
      <w:pPr>
        <w:numPr>
          <w:ilvl w:val="0"/>
          <w:numId w:val="52"/>
        </w:numPr>
        <w:tabs>
          <w:tab w:val="left" w:pos="1260"/>
          <w:tab w:val="left" w:pos="1440"/>
        </w:tabs>
        <w:ind w:left="1440"/>
        <w:rPr>
          <w:rFonts w:cs="Tahoma"/>
        </w:rPr>
      </w:pPr>
      <w:r w:rsidRPr="00A75DF9">
        <w:rPr>
          <w:rFonts w:cs="Tahoma"/>
          <w:color w:val="000000"/>
        </w:rPr>
        <w:t>Windows Server 2008 R2 Standard sarà l</w:t>
      </w:r>
      <w:r w:rsidR="00F2643E">
        <w:rPr>
          <w:rFonts w:cs="Tahoma"/>
          <w:color w:val="000000"/>
        </w:rPr>
        <w:t>’</w:t>
      </w:r>
      <w:r w:rsidRPr="00A75DF9">
        <w:rPr>
          <w:rFonts w:cs="Tahoma"/>
          <w:color w:val="000000"/>
        </w:rPr>
        <w:t>ultima versione di Windows Server concessa in licenza ai</w:t>
      </w:r>
      <w:r w:rsidR="0012364E">
        <w:rPr>
          <w:rFonts w:cs="Tahoma"/>
          <w:color w:val="000000"/>
        </w:rPr>
        <w:t> </w:t>
      </w:r>
      <w:r w:rsidRPr="00A75DF9">
        <w:rPr>
          <w:rFonts w:cs="Tahoma"/>
          <w:color w:val="000000"/>
        </w:rPr>
        <w:t xml:space="preserve">sensi del modello di licenza Server/CAL. Windows Server 2012 Standard sarà concesso in licenza ai sensi di un nuovo modello di licenza in base al quale ciascuna licenza può coprire fino a due processori fisici. Le società titolari di Contratti Multilicenza con copertura Software Assurance attiva per le licenze Standard per Windows Server 2008 R2 in data 1 settembre 2012 o in occasione della </w:t>
      </w:r>
      <w:r w:rsidRPr="00A75DF9">
        <w:rPr>
          <w:rFonts w:cs="Tahoma"/>
          <w:color w:val="000000"/>
        </w:rPr>
        <w:lastRenderedPageBreak/>
        <w:t>prima disponibilità di Windows Server 2012 per il download dal sito Web Volume Licensing Service Center, a seconda di quale evento si verificherà per primo, (“Licenze Qualificanti”) saranno autorizzate a</w:t>
      </w:r>
      <w:r w:rsidRPr="00A75DF9">
        <w:rPr>
          <w:rFonts w:eastAsia="Calibri" w:cs="Tahoma"/>
          <w:szCs w:val="18"/>
        </w:rPr>
        <w:t xml:space="preserve"> effettuare l</w:t>
      </w:r>
      <w:r w:rsidR="00F2643E">
        <w:rPr>
          <w:rFonts w:eastAsia="Calibri" w:cs="Tahoma"/>
          <w:szCs w:val="18"/>
        </w:rPr>
        <w:t>’</w:t>
      </w:r>
      <w:r w:rsidRPr="00A75DF9">
        <w:rPr>
          <w:rFonts w:eastAsia="Calibri" w:cs="Tahoma"/>
          <w:szCs w:val="18"/>
        </w:rPr>
        <w:t>aggiornamento al software Windows Server 2012 Standard e a utilizzarlo al posto di Windows Server 2008 R2 Standard. Per agevolare tale aggiornamento, per ogni Licenza Qualificante in suo possesso, alla società verrà concesso quanto segue in base alla disponibilità di</w:t>
      </w:r>
      <w:r w:rsidR="0012364E">
        <w:rPr>
          <w:rFonts w:eastAsia="Calibri" w:cs="Tahoma"/>
          <w:szCs w:val="18"/>
        </w:rPr>
        <w:t> </w:t>
      </w:r>
      <w:r w:rsidRPr="00A75DF9">
        <w:rPr>
          <w:rFonts w:eastAsia="Calibri" w:cs="Tahoma"/>
          <w:szCs w:val="18"/>
        </w:rPr>
        <w:t>Windows Server 2012:</w:t>
      </w:r>
    </w:p>
    <w:p w:rsidR="00F745E1" w:rsidRPr="00A75DF9" w:rsidRDefault="00F745E1" w:rsidP="00346F4B">
      <w:pPr>
        <w:numPr>
          <w:ilvl w:val="0"/>
          <w:numId w:val="52"/>
        </w:numPr>
        <w:tabs>
          <w:tab w:val="left" w:pos="1260"/>
          <w:tab w:val="left" w:pos="1440"/>
        </w:tabs>
        <w:ind w:left="1440"/>
        <w:rPr>
          <w:rFonts w:cs="Tahoma"/>
        </w:rPr>
      </w:pPr>
      <w:r w:rsidRPr="00A75DF9">
        <w:rPr>
          <w:rFonts w:eastAsia="Calibri" w:cs="Tahoma"/>
          <w:szCs w:val="18"/>
        </w:rPr>
        <w:t>una licenza per Windows Server 2012 Standard o</w:t>
      </w:r>
    </w:p>
    <w:p w:rsidR="00F745E1" w:rsidRPr="00A75DF9" w:rsidRDefault="00F745E1" w:rsidP="0012364E">
      <w:pPr>
        <w:numPr>
          <w:ilvl w:val="0"/>
          <w:numId w:val="52"/>
        </w:numPr>
        <w:tabs>
          <w:tab w:val="left" w:pos="1260"/>
          <w:tab w:val="left" w:pos="1440"/>
        </w:tabs>
        <w:ind w:left="1440"/>
        <w:rPr>
          <w:rFonts w:cs="Tahoma"/>
        </w:rPr>
      </w:pPr>
      <w:r w:rsidRPr="00A75DF9">
        <w:rPr>
          <w:rFonts w:eastAsia="Calibri" w:cs="Tahoma"/>
          <w:szCs w:val="18"/>
        </w:rPr>
        <w:t>due licenze per Windows Server 2012 Standard, qualora il numero effettivo di processori fisici sul server al quale viene ceduta la Licenza Qualificante sia maggiore di due. (In questi casi le società dovranno creare un record della configurazione dell</w:t>
      </w:r>
      <w:r w:rsidR="00F2643E">
        <w:rPr>
          <w:rFonts w:eastAsia="Calibri" w:cs="Tahoma"/>
          <w:szCs w:val="18"/>
        </w:rPr>
        <w:t>’</w:t>
      </w:r>
      <w:r w:rsidRPr="00A75DF9">
        <w:rPr>
          <w:rFonts w:eastAsia="Calibri" w:cs="Tahoma"/>
          <w:szCs w:val="18"/>
        </w:rPr>
        <w:t>hardware fisico che supporta tale software prima della scadenza della copertura Software Assurance ai sensi del presente contratto, utilizzando lo strumento MAP di Microsoft o qualsiasi software equivalente. La presente concessione</w:t>
      </w:r>
      <w:r w:rsidR="0012364E">
        <w:rPr>
          <w:rFonts w:eastAsia="Calibri" w:cs="Tahoma"/>
          <w:szCs w:val="18"/>
        </w:rPr>
        <w:t> </w:t>
      </w:r>
      <w:r w:rsidRPr="00A75DF9">
        <w:rPr>
          <w:rFonts w:eastAsia="Calibri" w:cs="Tahoma"/>
          <w:szCs w:val="18"/>
        </w:rPr>
        <w:t>è disponibile solo per una Licenza Qualificante per server).</w:t>
      </w:r>
    </w:p>
    <w:p w:rsidR="00F745E1" w:rsidRPr="00A75DF9" w:rsidRDefault="00F745E1" w:rsidP="00346F4B">
      <w:pPr>
        <w:numPr>
          <w:ilvl w:val="0"/>
          <w:numId w:val="52"/>
        </w:numPr>
        <w:tabs>
          <w:tab w:val="left" w:pos="1260"/>
          <w:tab w:val="left" w:pos="1440"/>
        </w:tabs>
        <w:ind w:left="1440"/>
        <w:rPr>
          <w:rFonts w:cs="Tahoma"/>
        </w:rPr>
      </w:pPr>
      <w:r w:rsidRPr="00A75DF9">
        <w:rPr>
          <w:rFonts w:eastAsia="Calibri" w:cs="Tahoma"/>
          <w:szCs w:val="18"/>
        </w:rPr>
        <w:t>Le licenze acquistate ai sensi della presente concessione includono la copertura Software Assurance.</w:t>
      </w:r>
      <w:r w:rsidR="009D3B41" w:rsidRPr="00A75DF9">
        <w:rPr>
          <w:rFonts w:eastAsia="Calibri" w:cs="Tahoma"/>
          <w:szCs w:val="18"/>
        </w:rPr>
        <w:t xml:space="preserve"> </w:t>
      </w:r>
      <w:r w:rsidRPr="00A75DF9">
        <w:rPr>
          <w:rFonts w:eastAsia="Calibri" w:cs="Tahoma"/>
          <w:szCs w:val="18"/>
        </w:rPr>
        <w:t>Tale copertura cessa alla scadenza della corrispondente copertura per le Licenze Qualificanti.</w:t>
      </w:r>
    </w:p>
    <w:p w:rsidR="00F745E1" w:rsidRPr="00A75DF9" w:rsidRDefault="00F745E1" w:rsidP="00346F4B">
      <w:pPr>
        <w:numPr>
          <w:ilvl w:val="0"/>
          <w:numId w:val="52"/>
        </w:numPr>
        <w:tabs>
          <w:tab w:val="left" w:pos="1260"/>
          <w:tab w:val="left" w:pos="1440"/>
        </w:tabs>
        <w:ind w:left="1440"/>
        <w:rPr>
          <w:rFonts w:cs="Tahoma"/>
        </w:rPr>
      </w:pPr>
      <w:r w:rsidRPr="00A75DF9">
        <w:rPr>
          <w:rFonts w:eastAsia="Calibri" w:cs="Tahoma"/>
          <w:szCs w:val="18"/>
        </w:rPr>
        <w:t>Nel caso in cui le società abbiano acquistato diritti perpetui di utilizzo del software ai sensi di Licenze Qualificanti, le licenze acquistate ai sensi della presente concessione saranno anch</w:t>
      </w:r>
      <w:r w:rsidR="00F2643E">
        <w:rPr>
          <w:rFonts w:eastAsia="Calibri" w:cs="Tahoma"/>
          <w:szCs w:val="18"/>
        </w:rPr>
        <w:t>’</w:t>
      </w:r>
      <w:r w:rsidRPr="00A75DF9">
        <w:rPr>
          <w:rFonts w:eastAsia="Calibri" w:cs="Tahoma"/>
          <w:szCs w:val="18"/>
        </w:rPr>
        <w:t>esse perpetue; diversamente, le licenze acquistate ai sensi della presente concessione cesseranno alla scadenza delle Licenze Qualificanti sottostanti.</w:t>
      </w:r>
    </w:p>
    <w:p w:rsidR="00F745E1" w:rsidRPr="00A75DF9" w:rsidRDefault="00F745E1" w:rsidP="00346F4B">
      <w:pPr>
        <w:numPr>
          <w:ilvl w:val="0"/>
          <w:numId w:val="52"/>
        </w:numPr>
        <w:tabs>
          <w:tab w:val="left" w:pos="1260"/>
          <w:tab w:val="left" w:pos="1440"/>
        </w:tabs>
        <w:ind w:left="1440"/>
        <w:rPr>
          <w:rFonts w:cs="Tahoma"/>
        </w:rPr>
      </w:pPr>
      <w:r w:rsidRPr="00A75DF9">
        <w:rPr>
          <w:rFonts w:eastAsia="Calibri" w:cs="Tahoma"/>
          <w:szCs w:val="18"/>
        </w:rPr>
        <w:t>Eseguendo l</w:t>
      </w:r>
      <w:r w:rsidR="00F2643E">
        <w:rPr>
          <w:rFonts w:eastAsia="Calibri" w:cs="Tahoma"/>
          <w:szCs w:val="18"/>
        </w:rPr>
        <w:t>’</w:t>
      </w:r>
      <w:r w:rsidRPr="00A75DF9">
        <w:rPr>
          <w:rFonts w:eastAsia="Calibri" w:cs="Tahoma"/>
          <w:szCs w:val="18"/>
        </w:rPr>
        <w:t>aggiornamento a Windows Server 2012 Standard ai sensi della presente concessione, le licenze in essere per Windows Server 2008 R2 Standard non saranno più valide.</w:t>
      </w:r>
    </w:p>
    <w:p w:rsidR="00F745E1" w:rsidRPr="00A75DF9" w:rsidRDefault="00F745E1" w:rsidP="00346F4B">
      <w:pPr>
        <w:numPr>
          <w:ilvl w:val="0"/>
          <w:numId w:val="56"/>
        </w:numPr>
        <w:tabs>
          <w:tab w:val="left" w:pos="1440"/>
        </w:tabs>
        <w:ind w:left="1440"/>
        <w:rPr>
          <w:rFonts w:cs="Tahoma"/>
        </w:rPr>
      </w:pPr>
      <w:r w:rsidRPr="00A75DF9">
        <w:rPr>
          <w:rFonts w:cs="Tahoma"/>
        </w:rPr>
        <w:t xml:space="preserve">Le licenze per </w:t>
      </w:r>
      <w:r w:rsidRPr="00A75DF9">
        <w:rPr>
          <w:rFonts w:cs="Tahoma"/>
          <w:color w:val="000000"/>
        </w:rPr>
        <w:t xml:space="preserve">Windows Server 2008 R2 Standard </w:t>
      </w:r>
      <w:r w:rsidRPr="00A75DF9">
        <w:rPr>
          <w:rFonts w:cs="Tahoma"/>
          <w:bCs/>
          <w:color w:val="000000"/>
          <w:szCs w:val="18"/>
        </w:rPr>
        <w:t>acquistate successivamente nello stesso periodo di validità dell</w:t>
      </w:r>
      <w:r w:rsidR="00F2643E">
        <w:rPr>
          <w:rFonts w:cs="Tahoma"/>
          <w:bCs/>
          <w:color w:val="000000"/>
          <w:szCs w:val="18"/>
        </w:rPr>
        <w:t>’</w:t>
      </w:r>
      <w:r w:rsidRPr="00A75DF9">
        <w:rPr>
          <w:rFonts w:cs="Tahoma"/>
          <w:bCs/>
          <w:color w:val="000000"/>
          <w:szCs w:val="18"/>
        </w:rPr>
        <w:t>iscrizione nell</w:t>
      </w:r>
      <w:r w:rsidR="00F2643E">
        <w:rPr>
          <w:rFonts w:cs="Tahoma"/>
          <w:bCs/>
          <w:color w:val="000000"/>
          <w:szCs w:val="18"/>
        </w:rPr>
        <w:t>’</w:t>
      </w:r>
      <w:r w:rsidRPr="00A75DF9">
        <w:rPr>
          <w:rFonts w:cs="Tahoma"/>
          <w:bCs/>
          <w:color w:val="000000"/>
          <w:szCs w:val="18"/>
        </w:rPr>
        <w:t>ambito di una procedura pianificata di true-up della società Enterprise, Enterprise Subscription, Open Value Subscription o EES sono anch</w:t>
      </w:r>
      <w:r w:rsidR="00F2643E">
        <w:rPr>
          <w:rFonts w:cs="Tahoma"/>
          <w:bCs/>
          <w:color w:val="000000"/>
          <w:szCs w:val="18"/>
        </w:rPr>
        <w:t>’</w:t>
      </w:r>
      <w:r w:rsidRPr="00A75DF9">
        <w:rPr>
          <w:rFonts w:cs="Tahoma"/>
          <w:bCs/>
          <w:color w:val="000000"/>
          <w:szCs w:val="18"/>
        </w:rPr>
        <w:t>esse Licenze Qualificanti per gli scopi previsti dalla suddetta concessione di licenze.</w:t>
      </w:r>
    </w:p>
    <w:p w:rsidR="00F745E1" w:rsidRPr="00A75DF9" w:rsidRDefault="00F745E1" w:rsidP="00346F4B">
      <w:pPr>
        <w:numPr>
          <w:ilvl w:val="0"/>
          <w:numId w:val="56"/>
        </w:numPr>
        <w:tabs>
          <w:tab w:val="left" w:pos="1440"/>
        </w:tabs>
        <w:ind w:left="1440"/>
        <w:rPr>
          <w:rFonts w:cs="Tahoma"/>
        </w:rPr>
      </w:pPr>
      <w:r w:rsidRPr="00A75DF9">
        <w:rPr>
          <w:rFonts w:cs="Tahoma"/>
          <w:bCs/>
          <w:color w:val="000000"/>
          <w:szCs w:val="18"/>
        </w:rPr>
        <w:t>Nonostante la concessione di licenze per Windows Server 2012 Standard e di aggiornamenti per tale versione, le obbligazioni di pagamento degli importi scaduti e dovuti per le Licenze Qualificanti e la copertura rimangono pienamente vincolanti ed efficaci.</w:t>
      </w:r>
    </w:p>
    <w:p w:rsidR="00F745E1" w:rsidRPr="00A75DF9" w:rsidRDefault="00F745E1" w:rsidP="002A01C2">
      <w:pPr>
        <w:tabs>
          <w:tab w:val="left" w:pos="1440"/>
        </w:tabs>
        <w:ind w:left="1440"/>
        <w:rPr>
          <w:rFonts w:cs="Tahoma"/>
        </w:rPr>
      </w:pPr>
    </w:p>
    <w:bookmarkEnd w:id="1616"/>
    <w:bookmarkEnd w:id="1617"/>
    <w:p w:rsidR="002A01C2" w:rsidRPr="00A75DF9" w:rsidRDefault="005403C8" w:rsidP="002A01C2">
      <w:pPr>
        <w:pStyle w:val="PURBody-Indented"/>
        <w:spacing w:after="60"/>
        <w:ind w:left="720"/>
        <w:rPr>
          <w:rFonts w:ascii="Tahoma" w:hAnsi="Tahoma" w:cs="Tahoma"/>
        </w:rPr>
      </w:pPr>
      <w:r w:rsidRPr="00A75DF9">
        <w:rPr>
          <w:rFonts w:ascii="Tahoma" w:hAnsi="Tahoma" w:cs="Tahoma"/>
          <w:b/>
          <w:color w:val="000000"/>
          <w:sz w:val="18"/>
          <w:szCs w:val="18"/>
        </w:rPr>
        <w:t>Windows Server 2012 Standard</w:t>
      </w:r>
    </w:p>
    <w:p w:rsidR="005403C8" w:rsidRPr="00A75DF9" w:rsidRDefault="005403C8" w:rsidP="002A01C2">
      <w:pPr>
        <w:pStyle w:val="PURBody-Indented"/>
        <w:spacing w:after="0"/>
        <w:ind w:left="720"/>
        <w:rPr>
          <w:rFonts w:ascii="Tahoma" w:hAnsi="Tahoma" w:cs="Tahoma"/>
        </w:rPr>
      </w:pPr>
      <w:r w:rsidRPr="00A75DF9">
        <w:rPr>
          <w:rFonts w:ascii="Tahoma" w:hAnsi="Tahoma" w:cs="Tahoma"/>
          <w:sz w:val="18"/>
        </w:rPr>
        <w:t>Il licenziatario potrà eseguire un</w:t>
      </w:r>
      <w:r w:rsidR="00F2643E">
        <w:rPr>
          <w:rFonts w:ascii="Tahoma" w:hAnsi="Tahoma" w:cs="Tahoma"/>
          <w:sz w:val="18"/>
        </w:rPr>
        <w:t>’</w:t>
      </w:r>
      <w:r w:rsidRPr="00A75DF9">
        <w:rPr>
          <w:rFonts w:ascii="Tahoma" w:hAnsi="Tahoma" w:cs="Tahoma"/>
          <w:sz w:val="18"/>
        </w:rPr>
        <w:t>istanza di Windows Server Enterprise, Standard o Essentials (versione identica o qualsiasi versione precedente) al posto di Windows Server 2012 Standard in qualunque OSE sul server con licenza.</w:t>
      </w:r>
    </w:p>
    <w:p w:rsidR="00816F76" w:rsidRPr="00A75DF9" w:rsidRDefault="00816F76" w:rsidP="00CE7FAD">
      <w:pPr>
        <w:rPr>
          <w:rFonts w:cs="Tahoma"/>
        </w:rPr>
      </w:pPr>
      <w:bookmarkStart w:id="1619" w:name="_119_Windows_Web"/>
      <w:bookmarkStart w:id="1620" w:name="_111_Windows_Web"/>
      <w:bookmarkStart w:id="1621" w:name="_114_Windows_Web"/>
      <w:bookmarkStart w:id="1622" w:name="Srv_111WinSmallBizSVR2011Addon"/>
      <w:bookmarkStart w:id="1623" w:name="Srv_116WinSmallBizSVR2011Addon"/>
      <w:bookmarkStart w:id="1624" w:name="Srv_120WinSmallBizSVR2011Addon"/>
      <w:bookmarkEnd w:id="1601"/>
      <w:bookmarkEnd w:id="1619"/>
      <w:bookmarkEnd w:id="1620"/>
      <w:bookmarkEnd w:id="1621"/>
    </w:p>
    <w:p w:rsidR="002512D3" w:rsidRPr="00A75DF9" w:rsidRDefault="002512D3">
      <w:pPr>
        <w:rPr>
          <w:rFonts w:cs="Tahoma"/>
        </w:rPr>
      </w:pPr>
      <w:bookmarkStart w:id="1625" w:name="_Toc336338376"/>
    </w:p>
    <w:p w:rsidR="00532ABF" w:rsidRPr="00A75DF9" w:rsidRDefault="00A560B6" w:rsidP="007B35CE">
      <w:pPr>
        <w:pStyle w:val="Heading2"/>
        <w:keepNext/>
        <w:ind w:hanging="720"/>
        <w:rPr>
          <w:rFonts w:ascii="Tahoma" w:hAnsi="Tahoma" w:cs="Tahoma"/>
        </w:rPr>
      </w:pPr>
      <w:bookmarkStart w:id="1626" w:name="_112_Windows_Small_1"/>
      <w:bookmarkStart w:id="1627" w:name="_115_Windows_Small"/>
      <w:bookmarkStart w:id="1628" w:name="_Toc368310363"/>
      <w:bookmarkEnd w:id="1626"/>
      <w:bookmarkEnd w:id="1627"/>
      <w:r w:rsidRPr="00A75DF9">
        <w:rPr>
          <w:rFonts w:ascii="Tahoma" w:hAnsi="Tahoma" w:cs="Tahoma"/>
          <w:caps/>
          <w:color w:val="F8701C"/>
          <w:sz w:val="22"/>
          <w:szCs w:val="22"/>
          <w:vertAlign w:val="superscript"/>
        </w:rPr>
        <w:t>113</w:t>
      </w:r>
      <w:r w:rsidRPr="00A75DF9">
        <w:rPr>
          <w:rFonts w:ascii="Tahoma" w:hAnsi="Tahoma" w:cs="Tahoma"/>
          <w:color w:val="F8701C"/>
          <w:sz w:val="22"/>
          <w:szCs w:val="22"/>
        </w:rPr>
        <w:t xml:space="preserve"> Windows Small Business Server (SBS) 2008 Premium</w:t>
      </w:r>
      <w:bookmarkEnd w:id="1625"/>
      <w:bookmarkEnd w:id="1628"/>
    </w:p>
    <w:bookmarkEnd w:id="1622"/>
    <w:bookmarkEnd w:id="1623"/>
    <w:bookmarkEnd w:id="1624"/>
    <w:p w:rsidR="00515A83" w:rsidRPr="00A75DF9" w:rsidRDefault="00515A83" w:rsidP="007B35CE">
      <w:pPr>
        <w:keepNext/>
        <w:ind w:left="907"/>
        <w:rPr>
          <w:rFonts w:cs="Tahoma"/>
        </w:rPr>
      </w:pPr>
    </w:p>
    <w:p w:rsidR="00532ABF" w:rsidRPr="00A75DF9" w:rsidRDefault="00532ABF" w:rsidP="0012364E">
      <w:pPr>
        <w:ind w:left="720"/>
        <w:rPr>
          <w:rFonts w:cs="Tahoma"/>
        </w:rPr>
      </w:pPr>
      <w:r w:rsidRPr="00A75DF9">
        <w:rPr>
          <w:rFonts w:cs="Tahoma"/>
        </w:rPr>
        <w:t>Le società con copertura Software Assurance attiva per licenze di SBS 2008 Premium in data 1 gennaio 2011, sono idonee a effettuare l</w:t>
      </w:r>
      <w:r w:rsidR="00F2643E">
        <w:rPr>
          <w:rFonts w:cs="Tahoma"/>
        </w:rPr>
        <w:t>’</w:t>
      </w:r>
      <w:r w:rsidRPr="00A75DF9">
        <w:rPr>
          <w:rFonts w:cs="Tahoma"/>
        </w:rPr>
        <w:t xml:space="preserve">aggiornamento a e utilizzare i software SBS 2011 Standard e Premium </w:t>
      </w:r>
      <w:r w:rsidR="0012364E">
        <w:rPr>
          <w:rFonts w:cs="Tahoma"/>
        </w:rPr>
        <w:br/>
      </w:r>
      <w:r w:rsidRPr="00A75DF9">
        <w:rPr>
          <w:rFonts w:cs="Tahoma"/>
        </w:rPr>
        <w:t>Add-on per Windows SBS 2011 (o per una qualsiasi versione successiva resa disponibile durante il periodo di</w:t>
      </w:r>
      <w:r w:rsidR="0012364E">
        <w:rPr>
          <w:rFonts w:cs="Tahoma"/>
        </w:rPr>
        <w:t> </w:t>
      </w:r>
      <w:r w:rsidRPr="00A75DF9">
        <w:rPr>
          <w:rFonts w:cs="Tahoma"/>
        </w:rPr>
        <w:t>validità della copertura Software Assurance) al posto del software SBS2008 Premium. Per ogni licenza qualificata posseduta al 1 gennaio 2011, le società saranno considerate titolari di una licenza SBS 2011 Standard e di una licenza per Add-on Premium per SBS 2011 con copertura Software Assurance attiva.</w:t>
      </w:r>
      <w:r w:rsidR="009D3B41" w:rsidRPr="00A75DF9">
        <w:rPr>
          <w:rFonts w:cs="Tahoma"/>
        </w:rPr>
        <w:t xml:space="preserve"> </w:t>
      </w:r>
    </w:p>
    <w:p w:rsidR="00532ABF" w:rsidRPr="00A75DF9" w:rsidRDefault="00532ABF" w:rsidP="00376D4B">
      <w:pPr>
        <w:ind w:left="720"/>
        <w:rPr>
          <w:rFonts w:cs="Tahoma"/>
        </w:rPr>
      </w:pPr>
    </w:p>
    <w:p w:rsidR="00532ABF" w:rsidRPr="00A75DF9" w:rsidRDefault="00532ABF" w:rsidP="00376D4B">
      <w:pPr>
        <w:ind w:left="720"/>
        <w:rPr>
          <w:rFonts w:cs="Tahoma"/>
        </w:rPr>
      </w:pPr>
      <w:r w:rsidRPr="00A75DF9">
        <w:rPr>
          <w:rFonts w:cs="Tahoma"/>
        </w:rPr>
        <w:t xml:space="preserve">Le società con copertura Software Assurance attiva per le CAL Suite per SBS 2008 per Utenti e Dispositivi Premium in data 1 gennaio 2011 sono idonee ad accedere a SBS 2011 Standard e Premium Add-on per Windows SBS 2011 (o per una qualsiasi versione successiva resa disponibile durante il periodo di validità della copertura Software Assurance). Per ogni licenza qualificante CAL Suite per SBS 2008 per Utenti e Dispositivi Premium posseduta al 1 gennaio 2011, le società saranno considerate titolari di una licenza CAL Suite per SBS 2011 e di una licenza per Premium Add-on CAL Suite per SBS 2011 con copertura Software Assurance attiva. </w:t>
      </w:r>
    </w:p>
    <w:p w:rsidR="00532ABF" w:rsidRPr="00A75DF9" w:rsidRDefault="00532ABF" w:rsidP="00376D4B">
      <w:pPr>
        <w:ind w:left="720"/>
        <w:rPr>
          <w:rFonts w:cs="Tahoma"/>
        </w:rPr>
      </w:pPr>
    </w:p>
    <w:p w:rsidR="00532ABF" w:rsidRPr="00A75DF9" w:rsidRDefault="00532ABF" w:rsidP="0012364E">
      <w:pPr>
        <w:ind w:left="720"/>
        <w:rPr>
          <w:rFonts w:cs="Tahoma"/>
        </w:rPr>
      </w:pPr>
      <w:r w:rsidRPr="00A75DF9">
        <w:rPr>
          <w:rFonts w:cs="Tahoma"/>
        </w:rPr>
        <w:t>Il diritto di utilizzo del software ai sensi della presente offerta scadrà alla scadenza del diritto di utilizzo del</w:t>
      </w:r>
      <w:r w:rsidR="0012364E">
        <w:rPr>
          <w:rFonts w:cs="Tahoma"/>
        </w:rPr>
        <w:t> </w:t>
      </w:r>
      <w:r w:rsidRPr="00A75DF9">
        <w:rPr>
          <w:rFonts w:cs="Tahoma"/>
        </w:rPr>
        <w:t>software ai sensi della Licenza Qualificante. L</w:t>
      </w:r>
      <w:r w:rsidR="00F2643E">
        <w:rPr>
          <w:rFonts w:cs="Tahoma"/>
        </w:rPr>
        <w:t>’</w:t>
      </w:r>
      <w:r w:rsidRPr="00A75DF9">
        <w:rPr>
          <w:rFonts w:cs="Tahoma"/>
        </w:rPr>
        <w:t>utilizzo del software da parte della società è soggetto alle condizioni del Contratto Multilicenza e ai diritti di utilizzo del prodotto per il software SBS 2011 Standard e</w:t>
      </w:r>
      <w:r w:rsidR="0012364E">
        <w:rPr>
          <w:rFonts w:cs="Tahoma"/>
        </w:rPr>
        <w:t> </w:t>
      </w:r>
      <w:r w:rsidRPr="00A75DF9">
        <w:rPr>
          <w:rFonts w:cs="Tahoma"/>
        </w:rPr>
        <w:t xml:space="preserve">Premium Add-on per SBS 2011 e alle presenti condizioni. La presente nota, relativa alle condizioni del prodotto, unitamente alla prova delle licenze qualificanti attestano i diritti concessi ai sensi della presente </w:t>
      </w:r>
      <w:r w:rsidRPr="00A75DF9">
        <w:rPr>
          <w:rFonts w:cs="Tahoma"/>
        </w:rPr>
        <w:lastRenderedPageBreak/>
        <w:t>offerta. Allo scadere della copertura della licenza qualificante, la società avrà diritto di rinnovare Software Assurance per le licenze degli Add-on SBS Premium e per le Suite CAL.</w:t>
      </w:r>
    </w:p>
    <w:p w:rsidR="00296B89" w:rsidRPr="00A75DF9" w:rsidRDefault="00296B89" w:rsidP="00EF2279">
      <w:pPr>
        <w:ind w:left="900"/>
        <w:rPr>
          <w:rFonts w:cs="Tahoma"/>
        </w:rPr>
      </w:pPr>
    </w:p>
    <w:p w:rsidR="00D16723" w:rsidRPr="00A75DF9" w:rsidRDefault="00D16723">
      <w:pPr>
        <w:rPr>
          <w:rFonts w:cs="Tahoma"/>
        </w:rPr>
      </w:pPr>
      <w:bookmarkStart w:id="1629" w:name="_119_Windows_Small"/>
      <w:bookmarkStart w:id="1630" w:name="_100_SBS_2008"/>
      <w:bookmarkStart w:id="1631" w:name="_101_SBS_2008"/>
      <w:bookmarkStart w:id="1632" w:name="_105_SBS_2008"/>
      <w:bookmarkStart w:id="1633" w:name="_125_Windows_Web"/>
      <w:bookmarkEnd w:id="1629"/>
      <w:bookmarkEnd w:id="1630"/>
      <w:bookmarkEnd w:id="1631"/>
      <w:bookmarkEnd w:id="1632"/>
      <w:bookmarkEnd w:id="1633"/>
    </w:p>
    <w:p w:rsidR="00C066B5" w:rsidRPr="00A75DF9" w:rsidRDefault="0012364E" w:rsidP="0012364E">
      <w:pPr>
        <w:pStyle w:val="Heading3"/>
        <w:rPr>
          <w:rFonts w:ascii="Tahoma" w:hAnsi="Tahoma" w:cs="Tahoma"/>
        </w:rPr>
      </w:pPr>
      <w:bookmarkStart w:id="1634" w:name="_114_Windows_Small_1"/>
      <w:bookmarkStart w:id="1635" w:name="_Toc336338377"/>
      <w:bookmarkStart w:id="1636" w:name="_Toc357669625"/>
      <w:bookmarkStart w:id="1637" w:name="Srv_117WinSmallBizSVR2011Addon"/>
      <w:bookmarkStart w:id="1638" w:name="Srv_121WinSmallBizSVR2011Addon"/>
      <w:bookmarkStart w:id="1639" w:name="_Toc368310364"/>
      <w:bookmarkEnd w:id="1634"/>
      <w:r w:rsidRPr="00A75DF9">
        <w:rPr>
          <w:rFonts w:ascii="Tahoma" w:hAnsi="Tahoma" w:cs="Tahoma"/>
          <w:caps/>
          <w:color w:val="F8701C"/>
          <w:sz w:val="22"/>
          <w:szCs w:val="22"/>
          <w:vertAlign w:val="superscript"/>
        </w:rPr>
        <w:t>11</w:t>
      </w:r>
      <w:r>
        <w:rPr>
          <w:rFonts w:ascii="Tahoma" w:hAnsi="Tahoma" w:cs="Tahoma"/>
          <w:caps/>
          <w:color w:val="F8701C"/>
          <w:sz w:val="22"/>
          <w:szCs w:val="22"/>
          <w:vertAlign w:val="superscript"/>
        </w:rPr>
        <w:t>4</w:t>
      </w:r>
      <w:r w:rsidR="00C066B5" w:rsidRPr="00A75DF9">
        <w:rPr>
          <w:rFonts w:ascii="Tahoma" w:hAnsi="Tahoma" w:cs="Tahoma"/>
          <w:color w:val="FF6D09"/>
          <w:sz w:val="22"/>
        </w:rPr>
        <w:t xml:space="preserve"> Windows Small Business Server (2011)</w:t>
      </w:r>
      <w:r w:rsidR="009D3B41" w:rsidRPr="00A75DF9">
        <w:rPr>
          <w:rFonts w:ascii="Tahoma" w:hAnsi="Tahoma" w:cs="Tahoma"/>
          <w:color w:val="FF6D09"/>
          <w:sz w:val="22"/>
        </w:rPr>
        <w:t xml:space="preserve"> </w:t>
      </w:r>
      <w:r w:rsidR="00C066B5" w:rsidRPr="00A75DF9">
        <w:rPr>
          <w:rFonts w:ascii="Tahoma" w:hAnsi="Tahoma" w:cs="Tahoma"/>
        </w:rPr>
        <w:t>Standard</w:t>
      </w:r>
      <w:bookmarkEnd w:id="1635"/>
      <w:bookmarkEnd w:id="1636"/>
      <w:bookmarkEnd w:id="1639"/>
    </w:p>
    <w:bookmarkEnd w:id="1637"/>
    <w:bookmarkEnd w:id="1638"/>
    <w:p w:rsidR="00C066B5" w:rsidRPr="00A75DF9" w:rsidRDefault="00C066B5" w:rsidP="00C066B5">
      <w:pPr>
        <w:ind w:left="900"/>
        <w:rPr>
          <w:rFonts w:cs="Tahoma"/>
        </w:rPr>
      </w:pPr>
    </w:p>
    <w:p w:rsidR="00C066B5" w:rsidRPr="00A75DF9" w:rsidRDefault="00C066B5" w:rsidP="00C066B5">
      <w:pPr>
        <w:spacing w:after="60"/>
        <w:ind w:left="720"/>
        <w:rPr>
          <w:rFonts w:cs="Tahoma"/>
        </w:rPr>
      </w:pPr>
      <w:r w:rsidRPr="00A75DF9">
        <w:rPr>
          <w:rFonts w:cs="Tahoma"/>
          <w:b/>
          <w:color w:val="000000"/>
        </w:rPr>
        <w:t>Concessioni di licenza associate alla fine del ciclo di vita di SBS 2011 Standard</w:t>
      </w:r>
    </w:p>
    <w:p w:rsidR="00C066B5" w:rsidRDefault="00C066B5" w:rsidP="000D43E1">
      <w:pPr>
        <w:ind w:left="720"/>
        <w:rPr>
          <w:rFonts w:eastAsia="Calibri" w:cs="Tahoma"/>
          <w:szCs w:val="18"/>
        </w:rPr>
      </w:pPr>
      <w:r w:rsidRPr="00A75DF9">
        <w:rPr>
          <w:rFonts w:cs="Tahoma"/>
          <w:color w:val="000000"/>
        </w:rPr>
        <w:t>SBS 2011 Standard sarà l</w:t>
      </w:r>
      <w:r w:rsidR="00F2643E">
        <w:rPr>
          <w:rFonts w:cs="Tahoma"/>
          <w:color w:val="000000"/>
        </w:rPr>
        <w:t>’</w:t>
      </w:r>
      <w:r w:rsidRPr="00A75DF9">
        <w:rPr>
          <w:rFonts w:cs="Tahoma"/>
          <w:color w:val="000000"/>
        </w:rPr>
        <w:t>ultima versione di SBS Standard. Alle società titolari di contratti multilicenza con</w:t>
      </w:r>
      <w:r w:rsidR="000D43E1">
        <w:rPr>
          <w:rFonts w:cs="Tahoma"/>
          <w:color w:val="000000"/>
        </w:rPr>
        <w:t> </w:t>
      </w:r>
      <w:r w:rsidRPr="00A75DF9">
        <w:rPr>
          <w:rFonts w:cs="Tahoma"/>
          <w:color w:val="000000"/>
        </w:rPr>
        <w:t>copertura Software Assurance attiva per le licenze Standard per SBS 2011 (“Licenze Qualificanti”) sarà consentito effettuare l</w:t>
      </w:r>
      <w:r w:rsidR="00F2643E">
        <w:rPr>
          <w:rFonts w:cs="Tahoma"/>
          <w:color w:val="000000"/>
        </w:rPr>
        <w:t>’</w:t>
      </w:r>
      <w:r w:rsidRPr="00A75DF9">
        <w:rPr>
          <w:rFonts w:cs="Tahoma"/>
          <w:color w:val="000000"/>
        </w:rPr>
        <w:t xml:space="preserve">aggiornamento ai prodotti software Windows Server Standard ed Exchange Server Standard e a </w:t>
      </w:r>
      <w:r w:rsidRPr="00A75DF9">
        <w:rPr>
          <w:rFonts w:eastAsia="Calibri" w:cs="Tahoma"/>
          <w:szCs w:val="18"/>
        </w:rPr>
        <w:t>utilizzarli al posto di SBS 2011. Per agevolare tale utilizzo, per ogni Licenza Qualificante in suo</w:t>
      </w:r>
      <w:r w:rsidR="000D43E1">
        <w:rPr>
          <w:rFonts w:eastAsia="Calibri" w:cs="Tahoma"/>
          <w:szCs w:val="18"/>
        </w:rPr>
        <w:t> </w:t>
      </w:r>
      <w:r w:rsidRPr="00A75DF9">
        <w:rPr>
          <w:rFonts w:eastAsia="Calibri" w:cs="Tahoma"/>
          <w:szCs w:val="18"/>
        </w:rPr>
        <w:t xml:space="preserve">possesso, alla società verranno concesse due licenze per Windows Server Standard e una licenza per Exchange Server 2010 Standard, come illustrato nella tabella che segue. </w:t>
      </w:r>
    </w:p>
    <w:p w:rsidR="00C35F6B" w:rsidRPr="00A75DF9" w:rsidRDefault="00C35F6B" w:rsidP="000D43E1">
      <w:pPr>
        <w:ind w:left="720"/>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53"/>
        <w:gridCol w:w="4669"/>
      </w:tblGrid>
      <w:tr w:rsidR="00C066B5" w:rsidRPr="00A75DF9" w:rsidTr="00FC080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C066B5" w:rsidRPr="00A75DF9" w:rsidRDefault="00C066B5" w:rsidP="00FC0808">
            <w:pPr>
              <w:spacing w:after="200" w:line="276" w:lineRule="auto"/>
              <w:rPr>
                <w:rFonts w:eastAsia="Calibri" w:cs="Tahoma"/>
                <w:szCs w:val="18"/>
              </w:rPr>
            </w:pPr>
            <w:r w:rsidRPr="00A75DF9">
              <w:rPr>
                <w:rFonts w:cs="Tahoma"/>
                <w:b/>
                <w:color w:val="000000"/>
              </w:rPr>
              <w:t>Licenze Qualificanti</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C066B5" w:rsidRPr="00A75DF9" w:rsidRDefault="00C066B5" w:rsidP="00FC0808">
            <w:pPr>
              <w:spacing w:after="200" w:line="276" w:lineRule="auto"/>
              <w:rPr>
                <w:rFonts w:eastAsia="Calibri" w:cs="Tahoma"/>
                <w:szCs w:val="18"/>
              </w:rPr>
            </w:pPr>
            <w:r w:rsidRPr="00A75DF9">
              <w:rPr>
                <w:rFonts w:cs="Tahoma"/>
                <w:b/>
                <w:color w:val="000000"/>
              </w:rPr>
              <w:t>Concessione di Licenza</w:t>
            </w:r>
          </w:p>
        </w:tc>
      </w:tr>
      <w:tr w:rsidR="00C066B5" w:rsidRPr="00A75DF9" w:rsidTr="00FC080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C066B5" w:rsidRPr="00A75DF9" w:rsidRDefault="00C066B5" w:rsidP="00FC0808">
            <w:pPr>
              <w:spacing w:line="276" w:lineRule="auto"/>
              <w:rPr>
                <w:rFonts w:eastAsia="Calibri" w:cs="Tahoma"/>
                <w:szCs w:val="18"/>
              </w:rPr>
            </w:pPr>
            <w:r w:rsidRPr="00A75DF9">
              <w:rPr>
                <w:rFonts w:eastAsia="Calibri" w:cs="Tahoma"/>
                <w:szCs w:val="18"/>
              </w:rPr>
              <w:t>SBS 2011 Standard con copertura Software Assurance fino al 31 luglio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C066B5" w:rsidRPr="00A75DF9" w:rsidRDefault="00C066B5" w:rsidP="00FC0808">
            <w:pPr>
              <w:spacing w:line="276" w:lineRule="auto"/>
              <w:rPr>
                <w:rFonts w:cs="Tahoma"/>
              </w:rPr>
            </w:pPr>
            <w:r w:rsidRPr="00A75DF9">
              <w:rPr>
                <w:rFonts w:eastAsia="Calibri" w:cs="Tahoma"/>
                <w:szCs w:val="18"/>
              </w:rPr>
              <w:t>Due licenze per Windows Server 2008 R2 con Software Assurance</w:t>
            </w:r>
          </w:p>
          <w:p w:rsidR="00C066B5" w:rsidRPr="00A75DF9" w:rsidRDefault="00C066B5" w:rsidP="000D43E1">
            <w:pPr>
              <w:spacing w:line="276" w:lineRule="auto"/>
              <w:rPr>
                <w:rFonts w:eastAsia="Calibri" w:cs="Tahoma"/>
                <w:szCs w:val="18"/>
              </w:rPr>
            </w:pPr>
            <w:r w:rsidRPr="00A75DF9">
              <w:rPr>
                <w:rFonts w:eastAsia="Calibri" w:cs="Tahoma"/>
                <w:szCs w:val="18"/>
              </w:rPr>
              <w:t>Una licenza per Exchange Server 2010 Standard con</w:t>
            </w:r>
            <w:r w:rsidR="000D43E1">
              <w:rPr>
                <w:rFonts w:eastAsia="Calibri" w:cs="Tahoma"/>
                <w:szCs w:val="18"/>
              </w:rPr>
              <w:t> </w:t>
            </w:r>
            <w:r w:rsidRPr="00A75DF9">
              <w:rPr>
                <w:rFonts w:eastAsia="Calibri" w:cs="Tahoma"/>
                <w:szCs w:val="18"/>
              </w:rPr>
              <w:t>Software Assurance</w:t>
            </w:r>
          </w:p>
        </w:tc>
      </w:tr>
      <w:tr w:rsidR="00C066B5" w:rsidRPr="00A75DF9" w:rsidTr="00FC080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C066B5" w:rsidRPr="00A75DF9" w:rsidRDefault="00C066B5" w:rsidP="00FC0808">
            <w:pPr>
              <w:spacing w:line="276" w:lineRule="auto"/>
              <w:rPr>
                <w:rFonts w:eastAsia="Calibri" w:cs="Tahoma"/>
                <w:szCs w:val="18"/>
              </w:rPr>
            </w:pPr>
            <w:r w:rsidRPr="00A75DF9">
              <w:rPr>
                <w:rFonts w:eastAsia="Calibri" w:cs="Tahoma"/>
                <w:szCs w:val="18"/>
              </w:rPr>
              <w:t>SBS 2011 Standard con copertura Software Assurance in data 1 agosto 2012 o successiva</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C066B5" w:rsidRPr="00A75DF9" w:rsidRDefault="00C066B5" w:rsidP="000D43E1">
            <w:pPr>
              <w:spacing w:line="276" w:lineRule="auto"/>
              <w:rPr>
                <w:rFonts w:cs="Tahoma"/>
              </w:rPr>
            </w:pPr>
            <w:r w:rsidRPr="00A75DF9">
              <w:rPr>
                <w:rFonts w:eastAsia="Calibri" w:cs="Tahoma"/>
                <w:szCs w:val="18"/>
              </w:rPr>
              <w:t>Due licenze per Windows Server 2012 con Software</w:t>
            </w:r>
            <w:r w:rsidR="000D43E1">
              <w:rPr>
                <w:rFonts w:eastAsia="Calibri" w:cs="Tahoma"/>
                <w:szCs w:val="18"/>
              </w:rPr>
              <w:t> </w:t>
            </w:r>
            <w:r w:rsidRPr="00A75DF9">
              <w:rPr>
                <w:rFonts w:eastAsia="Calibri" w:cs="Tahoma"/>
                <w:szCs w:val="18"/>
              </w:rPr>
              <w:t>Assurance</w:t>
            </w:r>
          </w:p>
          <w:p w:rsidR="00C066B5" w:rsidRPr="00A75DF9" w:rsidRDefault="00C066B5" w:rsidP="000D43E1">
            <w:pPr>
              <w:spacing w:line="276" w:lineRule="auto"/>
              <w:rPr>
                <w:rFonts w:eastAsia="Calibri" w:cs="Tahoma"/>
                <w:szCs w:val="18"/>
              </w:rPr>
            </w:pPr>
            <w:r w:rsidRPr="00A75DF9">
              <w:rPr>
                <w:rFonts w:eastAsia="Calibri" w:cs="Tahoma"/>
                <w:szCs w:val="18"/>
              </w:rPr>
              <w:t>Una licenza per Exchange Server 2010 Standard con</w:t>
            </w:r>
            <w:r w:rsidR="000D43E1">
              <w:rPr>
                <w:rFonts w:eastAsia="Calibri" w:cs="Tahoma"/>
                <w:szCs w:val="18"/>
              </w:rPr>
              <w:t> </w:t>
            </w:r>
            <w:r w:rsidRPr="00A75DF9">
              <w:rPr>
                <w:rFonts w:eastAsia="Calibri" w:cs="Tahoma"/>
                <w:szCs w:val="18"/>
              </w:rPr>
              <w:t>Software Assurance</w:t>
            </w:r>
          </w:p>
        </w:tc>
      </w:tr>
    </w:tbl>
    <w:p w:rsidR="00C066B5" w:rsidRPr="00A75DF9" w:rsidRDefault="00C066B5" w:rsidP="00C066B5">
      <w:pPr>
        <w:spacing w:after="100" w:afterAutospacing="1" w:line="276" w:lineRule="auto"/>
        <w:ind w:left="720"/>
        <w:contextualSpacing/>
        <w:rPr>
          <w:rFonts w:cs="Tahoma"/>
        </w:rPr>
      </w:pPr>
    </w:p>
    <w:p w:rsidR="00C066B5" w:rsidRPr="00A75DF9" w:rsidRDefault="00C066B5" w:rsidP="00C066B5">
      <w:pPr>
        <w:ind w:left="720"/>
        <w:rPr>
          <w:rFonts w:cs="Tahoma"/>
        </w:rPr>
      </w:pPr>
      <w:r w:rsidRPr="00A75DF9">
        <w:rPr>
          <w:rFonts w:eastAsia="Calibri" w:cs="Tahoma"/>
          <w:szCs w:val="18"/>
        </w:rPr>
        <w:t>La copertura Software Assurance inclusa nella suddetta concessione scade alla scadenza della corrispondente copertura per le Licenze Qualificanti. In via eccezionale, le società con copertura Software Assurance attiva per le Licenze Qualificanti hanno la possibilità fino al 31 dicembre 2012 di rinnovare la copertura per le licenze per Windows Server ed Exchange Server ricevute in concessione ai sensi della presente offerta.</w:t>
      </w:r>
    </w:p>
    <w:p w:rsidR="00C066B5" w:rsidRPr="000D43E1" w:rsidRDefault="00C066B5" w:rsidP="00C066B5">
      <w:pPr>
        <w:pStyle w:val="ListParagraph"/>
        <w:contextualSpacing w:val="0"/>
        <w:rPr>
          <w:rFonts w:ascii="Tahoma" w:hAnsi="Tahoma" w:cs="Tahoma"/>
          <w:sz w:val="18"/>
          <w:szCs w:val="18"/>
        </w:rPr>
      </w:pPr>
    </w:p>
    <w:p w:rsidR="00C066B5" w:rsidRPr="000D43E1" w:rsidRDefault="00C066B5" w:rsidP="00C066B5">
      <w:pPr>
        <w:pStyle w:val="ListParagraph"/>
        <w:contextualSpacing w:val="0"/>
        <w:rPr>
          <w:rFonts w:ascii="Tahoma" w:hAnsi="Tahoma" w:cs="Tahoma"/>
          <w:sz w:val="18"/>
          <w:szCs w:val="18"/>
        </w:rPr>
      </w:pPr>
      <w:r w:rsidRPr="000D43E1">
        <w:rPr>
          <w:rFonts w:ascii="Tahoma" w:eastAsia="Calibri" w:hAnsi="Tahoma" w:cs="Tahoma"/>
          <w:sz w:val="18"/>
          <w:szCs w:val="18"/>
        </w:rPr>
        <w:t>Nel caso in cui le società abbiano acquistato diritti perpetui per utilizzare software ai sensi di Licenze Qualificanti, le licenze acquistate ai sensi della presente concessione saranno anch</w:t>
      </w:r>
      <w:r w:rsidR="00F2643E">
        <w:rPr>
          <w:rFonts w:ascii="Tahoma" w:eastAsia="Calibri" w:hAnsi="Tahoma" w:cs="Tahoma"/>
          <w:sz w:val="18"/>
          <w:szCs w:val="18"/>
        </w:rPr>
        <w:t>’</w:t>
      </w:r>
      <w:r w:rsidRPr="000D43E1">
        <w:rPr>
          <w:rFonts w:ascii="Tahoma" w:eastAsia="Calibri" w:hAnsi="Tahoma" w:cs="Tahoma"/>
          <w:sz w:val="18"/>
          <w:szCs w:val="18"/>
        </w:rPr>
        <w:t>esse perpetue; diversamente, le licenze acquistate ai sensi della presente concessione cesseranno alla scadenza delle Licenze Qualificanti sottostanti.</w:t>
      </w:r>
    </w:p>
    <w:p w:rsidR="00C066B5" w:rsidRPr="000D43E1" w:rsidRDefault="00C066B5" w:rsidP="00C066B5">
      <w:pPr>
        <w:pStyle w:val="ListParagraph"/>
        <w:contextualSpacing w:val="0"/>
        <w:rPr>
          <w:rFonts w:ascii="Tahoma" w:hAnsi="Tahoma" w:cs="Tahoma"/>
          <w:sz w:val="18"/>
          <w:szCs w:val="18"/>
        </w:rPr>
      </w:pPr>
    </w:p>
    <w:p w:rsidR="00C066B5" w:rsidRPr="000D43E1" w:rsidRDefault="00C066B5" w:rsidP="00C066B5">
      <w:pPr>
        <w:pStyle w:val="ListParagraph"/>
        <w:contextualSpacing w:val="0"/>
        <w:rPr>
          <w:rFonts w:ascii="Tahoma" w:hAnsi="Tahoma" w:cs="Tahoma"/>
          <w:sz w:val="18"/>
          <w:szCs w:val="18"/>
        </w:rPr>
      </w:pPr>
      <w:r w:rsidRPr="000D43E1">
        <w:rPr>
          <w:rFonts w:ascii="Tahoma" w:eastAsia="Calibri" w:hAnsi="Tahoma" w:cs="Tahoma"/>
          <w:sz w:val="18"/>
          <w:szCs w:val="18"/>
        </w:rPr>
        <w:t>Per ogni Licenza Qualificante acquistata ai sensi del contratto Open Value Subscription, una società potrà eseguire il buy-out di una licenza per SBS 2011 Standard come indicato o di:</w:t>
      </w:r>
    </w:p>
    <w:p w:rsidR="00C066B5" w:rsidRPr="000D43E1" w:rsidRDefault="00C066B5" w:rsidP="00C066B5">
      <w:pPr>
        <w:pStyle w:val="ListParagraph"/>
        <w:contextualSpacing w:val="0"/>
        <w:rPr>
          <w:rFonts w:ascii="Tahoma" w:hAnsi="Tahoma" w:cs="Tahoma"/>
          <w:sz w:val="18"/>
          <w:szCs w:val="18"/>
        </w:rPr>
      </w:pPr>
    </w:p>
    <w:p w:rsidR="00C066B5" w:rsidRPr="000D43E1" w:rsidRDefault="00C066B5" w:rsidP="00C066B5">
      <w:pPr>
        <w:pStyle w:val="ListParagraph"/>
        <w:numPr>
          <w:ilvl w:val="1"/>
          <w:numId w:val="100"/>
        </w:numPr>
        <w:tabs>
          <w:tab w:val="clear" w:pos="1440"/>
        </w:tabs>
        <w:contextualSpacing w:val="0"/>
        <w:rPr>
          <w:rFonts w:ascii="Tahoma" w:hAnsi="Tahoma" w:cs="Tahoma"/>
          <w:sz w:val="18"/>
          <w:szCs w:val="18"/>
        </w:rPr>
      </w:pPr>
      <w:r w:rsidRPr="000D43E1">
        <w:rPr>
          <w:rFonts w:ascii="Tahoma" w:eastAsia="Calibri" w:hAnsi="Tahoma" w:cs="Tahoma"/>
          <w:sz w:val="18"/>
          <w:szCs w:val="18"/>
        </w:rPr>
        <w:t>Due licenze per Windows Server 2012 Standard e una licenza per Exchange Server 2010 Standard per i contratti in scadenza in data 1 agosto 2012 o successiva oppure</w:t>
      </w:r>
    </w:p>
    <w:p w:rsidR="00C066B5" w:rsidRPr="000D43E1" w:rsidRDefault="00C066B5" w:rsidP="00C066B5">
      <w:pPr>
        <w:pStyle w:val="ListParagraph"/>
        <w:numPr>
          <w:ilvl w:val="1"/>
          <w:numId w:val="100"/>
        </w:numPr>
        <w:tabs>
          <w:tab w:val="clear" w:pos="1440"/>
        </w:tabs>
        <w:contextualSpacing w:val="0"/>
        <w:rPr>
          <w:rFonts w:ascii="Tahoma" w:hAnsi="Tahoma" w:cs="Tahoma"/>
          <w:sz w:val="18"/>
          <w:szCs w:val="18"/>
        </w:rPr>
      </w:pPr>
      <w:r w:rsidRPr="000D43E1">
        <w:rPr>
          <w:rFonts w:ascii="Tahoma" w:eastAsia="Calibri" w:hAnsi="Tahoma" w:cs="Tahoma"/>
          <w:sz w:val="18"/>
          <w:szCs w:val="18"/>
        </w:rPr>
        <w:t>Due licenze per Windows Server 2008 R2 Standard e una licenza per Exchange Server 2010 Standard per i contratti in scadenza in data 1 luglio 2012.</w:t>
      </w:r>
    </w:p>
    <w:p w:rsidR="00C066B5" w:rsidRPr="00A75DF9" w:rsidRDefault="00C066B5" w:rsidP="00C066B5">
      <w:pPr>
        <w:ind w:left="720"/>
        <w:rPr>
          <w:rFonts w:cs="Tahoma"/>
        </w:rPr>
      </w:pPr>
    </w:p>
    <w:p w:rsidR="00C066B5" w:rsidRPr="00A75DF9" w:rsidRDefault="00C066B5" w:rsidP="00C066B5">
      <w:pPr>
        <w:ind w:left="720"/>
        <w:rPr>
          <w:rFonts w:cs="Tahoma"/>
        </w:rPr>
      </w:pPr>
      <w:r w:rsidRPr="00A75DF9">
        <w:rPr>
          <w:rFonts w:eastAsia="Calibri" w:cs="Tahoma"/>
          <w:szCs w:val="18"/>
        </w:rPr>
        <w:t>Eseguendo l</w:t>
      </w:r>
      <w:r w:rsidR="00F2643E">
        <w:rPr>
          <w:rFonts w:eastAsia="Calibri" w:cs="Tahoma"/>
          <w:szCs w:val="18"/>
        </w:rPr>
        <w:t>’</w:t>
      </w:r>
      <w:r w:rsidRPr="00A75DF9">
        <w:rPr>
          <w:rFonts w:eastAsia="Calibri" w:cs="Tahoma"/>
          <w:szCs w:val="18"/>
        </w:rPr>
        <w:t>aggiornamento a Windows Server Standard ed Exchange Server 2010 Standard ai sensi della presente concessione, le Licenze Qualificanti in essere per SBS Standard non saranno più valide.</w:t>
      </w:r>
    </w:p>
    <w:p w:rsidR="00C066B5" w:rsidRPr="00A75DF9" w:rsidRDefault="00C066B5" w:rsidP="00C066B5">
      <w:pPr>
        <w:ind w:left="720"/>
        <w:rPr>
          <w:rFonts w:cs="Tahoma"/>
        </w:rPr>
      </w:pPr>
    </w:p>
    <w:p w:rsidR="00C066B5" w:rsidRPr="00A75DF9" w:rsidRDefault="00C066B5" w:rsidP="00C066B5">
      <w:pPr>
        <w:ind w:left="720"/>
        <w:rPr>
          <w:rFonts w:cs="Tahoma"/>
        </w:rPr>
      </w:pPr>
      <w:r w:rsidRPr="00A75DF9">
        <w:rPr>
          <w:rFonts w:cs="Tahoma"/>
        </w:rPr>
        <w:t xml:space="preserve">Le licenze Standard per </w:t>
      </w:r>
      <w:r w:rsidRPr="00A75DF9">
        <w:rPr>
          <w:rFonts w:cs="Tahoma"/>
          <w:color w:val="000000"/>
        </w:rPr>
        <w:t xml:space="preserve">SBS 2011 </w:t>
      </w:r>
      <w:r w:rsidRPr="00A75DF9">
        <w:rPr>
          <w:rFonts w:cs="Tahoma"/>
          <w:bCs/>
          <w:color w:val="000000"/>
          <w:szCs w:val="18"/>
        </w:rPr>
        <w:t>acquistate successivamente nello stesso periodo di validità dell</w:t>
      </w:r>
      <w:r w:rsidR="00F2643E">
        <w:rPr>
          <w:rFonts w:cs="Tahoma"/>
          <w:bCs/>
          <w:color w:val="000000"/>
          <w:szCs w:val="18"/>
        </w:rPr>
        <w:t>’</w:t>
      </w:r>
      <w:r w:rsidRPr="00A75DF9">
        <w:rPr>
          <w:rFonts w:cs="Tahoma"/>
          <w:bCs/>
          <w:color w:val="000000"/>
          <w:szCs w:val="18"/>
        </w:rPr>
        <w:t>iscrizione nell</w:t>
      </w:r>
      <w:r w:rsidR="00F2643E">
        <w:rPr>
          <w:rFonts w:cs="Tahoma"/>
          <w:bCs/>
          <w:color w:val="000000"/>
          <w:szCs w:val="18"/>
        </w:rPr>
        <w:t>’</w:t>
      </w:r>
      <w:r w:rsidRPr="00A75DF9">
        <w:rPr>
          <w:rFonts w:cs="Tahoma"/>
          <w:bCs/>
          <w:color w:val="000000"/>
          <w:szCs w:val="18"/>
        </w:rPr>
        <w:t>ambito di una procedura pianificata di true-up di una società Open Value Subscription o EES sono anch</w:t>
      </w:r>
      <w:r w:rsidR="00F2643E">
        <w:rPr>
          <w:rFonts w:cs="Tahoma"/>
          <w:bCs/>
          <w:color w:val="000000"/>
          <w:szCs w:val="18"/>
        </w:rPr>
        <w:t>’</w:t>
      </w:r>
      <w:r w:rsidRPr="00A75DF9">
        <w:rPr>
          <w:rFonts w:cs="Tahoma"/>
          <w:bCs/>
          <w:color w:val="000000"/>
          <w:szCs w:val="18"/>
        </w:rPr>
        <w:t>esse Licenze Qualificanti per gli scopi previsti dalla suddetta concessione.</w:t>
      </w:r>
    </w:p>
    <w:p w:rsidR="00C066B5" w:rsidRPr="00A75DF9" w:rsidRDefault="00C066B5">
      <w:pPr>
        <w:rPr>
          <w:rFonts w:cs="Tahoma"/>
        </w:rPr>
      </w:pPr>
    </w:p>
    <w:p w:rsidR="00C066B5" w:rsidRDefault="00C066B5">
      <w:pPr>
        <w:rPr>
          <w:rFonts w:cs="Tahoma"/>
        </w:rPr>
      </w:pPr>
    </w:p>
    <w:p w:rsidR="00C35F6B" w:rsidRDefault="00C35F6B">
      <w:pPr>
        <w:rPr>
          <w:rFonts w:cs="Tahoma"/>
        </w:rPr>
      </w:pPr>
    </w:p>
    <w:p w:rsidR="00C35F6B" w:rsidRDefault="00C35F6B">
      <w:pPr>
        <w:rPr>
          <w:rFonts w:cs="Tahoma"/>
        </w:rPr>
      </w:pPr>
    </w:p>
    <w:p w:rsidR="00C35F6B" w:rsidRDefault="00C35F6B">
      <w:pPr>
        <w:rPr>
          <w:rFonts w:cs="Tahoma"/>
        </w:rPr>
      </w:pPr>
    </w:p>
    <w:p w:rsidR="00C35F6B" w:rsidRDefault="00C35F6B">
      <w:pPr>
        <w:rPr>
          <w:rFonts w:cs="Tahoma"/>
        </w:rPr>
      </w:pPr>
    </w:p>
    <w:p w:rsidR="00C35F6B" w:rsidRPr="00A75DF9" w:rsidRDefault="00C35F6B">
      <w:pPr>
        <w:rPr>
          <w:rFonts w:cs="Tahoma"/>
        </w:rPr>
      </w:pPr>
    </w:p>
    <w:p w:rsidR="00E06578" w:rsidRPr="00A75DF9" w:rsidRDefault="00A560B6" w:rsidP="00EF2279">
      <w:pPr>
        <w:pStyle w:val="Heading2"/>
        <w:ind w:left="0"/>
        <w:rPr>
          <w:rFonts w:ascii="Tahoma" w:hAnsi="Tahoma" w:cs="Tahoma"/>
        </w:rPr>
      </w:pPr>
      <w:bookmarkStart w:id="1640" w:name="_122_Windows_Small"/>
      <w:bookmarkStart w:id="1641" w:name="_120_Windows_Small"/>
      <w:bookmarkStart w:id="1642" w:name="_110_Windows_Small"/>
      <w:bookmarkStart w:id="1643" w:name="_116_Windows_Small"/>
      <w:bookmarkStart w:id="1644" w:name="_Toc336338378"/>
      <w:bookmarkStart w:id="1645" w:name="_Toc368310365"/>
      <w:bookmarkEnd w:id="1640"/>
      <w:bookmarkEnd w:id="1641"/>
      <w:bookmarkEnd w:id="1642"/>
      <w:bookmarkEnd w:id="1643"/>
      <w:r w:rsidRPr="00A75DF9">
        <w:rPr>
          <w:rFonts w:ascii="Tahoma" w:hAnsi="Tahoma" w:cs="Tahoma"/>
          <w:caps/>
          <w:color w:val="EE6000"/>
          <w:sz w:val="22"/>
          <w:szCs w:val="18"/>
          <w:vertAlign w:val="superscript"/>
        </w:rPr>
        <w:lastRenderedPageBreak/>
        <w:t xml:space="preserve">115 </w:t>
      </w:r>
      <w:r w:rsidRPr="00A75DF9">
        <w:rPr>
          <w:rFonts w:ascii="Tahoma" w:hAnsi="Tahoma" w:cs="Tahoma"/>
          <w:color w:val="F8701C"/>
          <w:sz w:val="22"/>
          <w:szCs w:val="22"/>
        </w:rPr>
        <w:t>CAL Suite per Windows Small Business Server (SBS) 2011</w:t>
      </w:r>
      <w:bookmarkEnd w:id="1644"/>
      <w:bookmarkEnd w:id="1645"/>
    </w:p>
    <w:p w:rsidR="00E06578" w:rsidRPr="00A75DF9" w:rsidRDefault="00E06578" w:rsidP="000F0F4D">
      <w:pPr>
        <w:ind w:left="900"/>
        <w:rPr>
          <w:rFonts w:cs="Tahoma"/>
        </w:rPr>
      </w:pPr>
    </w:p>
    <w:p w:rsidR="000F0F4D" w:rsidRPr="00A75DF9" w:rsidRDefault="00836655" w:rsidP="000F0F4D">
      <w:pPr>
        <w:spacing w:after="60"/>
        <w:ind w:left="720"/>
        <w:rPr>
          <w:rFonts w:cs="Tahoma"/>
        </w:rPr>
      </w:pPr>
      <w:r w:rsidRPr="00A75DF9">
        <w:rPr>
          <w:rFonts w:cs="Tahoma"/>
          <w:b/>
          <w:color w:val="000000"/>
        </w:rPr>
        <w:t>Concessioni di licenza associate alla fine del ciclo di vita della CAL Suite per SBS 2011</w:t>
      </w:r>
    </w:p>
    <w:p w:rsidR="00836655" w:rsidRPr="00A75DF9" w:rsidRDefault="00836655" w:rsidP="000D43E1">
      <w:pPr>
        <w:ind w:left="720"/>
        <w:rPr>
          <w:rFonts w:cs="Tahoma"/>
        </w:rPr>
      </w:pPr>
      <w:r w:rsidRPr="00A75DF9">
        <w:rPr>
          <w:rFonts w:cs="Tahoma"/>
        </w:rPr>
        <w:t>Le società con copertura Software Assurance attiva per CAL Suite per SBS 2011 (“Licenze Qualificanti”) sono</w:t>
      </w:r>
      <w:r w:rsidR="000D43E1">
        <w:rPr>
          <w:rFonts w:cs="Tahoma"/>
        </w:rPr>
        <w:t> </w:t>
      </w:r>
      <w:r w:rsidRPr="00A75DF9">
        <w:rPr>
          <w:rFonts w:cs="Tahoma"/>
        </w:rPr>
        <w:t xml:space="preserve">idonee ad accedere al software Windows Server Standard ed Exchange Server 2010. </w:t>
      </w:r>
      <w:r w:rsidRPr="00A75DF9">
        <w:rPr>
          <w:rFonts w:eastAsia="Calibri" w:cs="Tahoma"/>
          <w:szCs w:val="18"/>
        </w:rPr>
        <w:t xml:space="preserve">Per agevolare tale utilizzo, per ogni licenza CAL Qualificante in suo possesso, alla società verrà concessa una licenza CAL per Windows Server Standard e una per Exchange Server 2010, come illustrato nella tabella che segue. </w:t>
      </w:r>
    </w:p>
    <w:p w:rsidR="000F0F4D" w:rsidRPr="00A75DF9" w:rsidRDefault="000F0F4D" w:rsidP="00155B9B">
      <w:pPr>
        <w:rPr>
          <w:rFonts w:cs="Tahoma"/>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1"/>
        <w:gridCol w:w="4661"/>
      </w:tblGrid>
      <w:tr w:rsidR="00836655" w:rsidRPr="00A75DF9"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A75DF9" w:rsidRDefault="00836655" w:rsidP="000A5032">
            <w:pPr>
              <w:spacing w:after="200" w:line="276" w:lineRule="auto"/>
              <w:rPr>
                <w:rFonts w:eastAsia="Calibri" w:cs="Tahoma"/>
                <w:szCs w:val="18"/>
              </w:rPr>
            </w:pPr>
            <w:r w:rsidRPr="00A75DF9">
              <w:rPr>
                <w:rFonts w:cs="Tahoma"/>
                <w:b/>
                <w:color w:val="000000"/>
              </w:rPr>
              <w:t>Licenze Qualificanti</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A75DF9" w:rsidRDefault="00836655" w:rsidP="000A5032">
            <w:pPr>
              <w:spacing w:after="200" w:line="276" w:lineRule="auto"/>
              <w:rPr>
                <w:rFonts w:eastAsia="Calibri" w:cs="Tahoma"/>
                <w:szCs w:val="18"/>
              </w:rPr>
            </w:pPr>
            <w:r w:rsidRPr="00A75DF9">
              <w:rPr>
                <w:rFonts w:cs="Tahoma"/>
                <w:b/>
                <w:color w:val="000000"/>
              </w:rPr>
              <w:t>Concessione di Licenza</w:t>
            </w:r>
          </w:p>
        </w:tc>
      </w:tr>
      <w:tr w:rsidR="00836655" w:rsidRPr="00A75DF9"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A75DF9" w:rsidRDefault="00836655" w:rsidP="00CA14C9">
            <w:pPr>
              <w:spacing w:line="276" w:lineRule="auto"/>
              <w:rPr>
                <w:rFonts w:eastAsia="Calibri" w:cs="Tahoma"/>
                <w:szCs w:val="18"/>
              </w:rPr>
            </w:pPr>
            <w:r w:rsidRPr="00A75DF9">
              <w:rPr>
                <w:rFonts w:eastAsia="Calibri" w:cs="Tahoma"/>
                <w:szCs w:val="18"/>
              </w:rPr>
              <w:t>CAL Suite per SBS 2011 con copertura Software Assurance fino al 31 luglio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A75DF9" w:rsidRDefault="00836655" w:rsidP="00CA14C9">
            <w:pPr>
              <w:spacing w:line="276" w:lineRule="auto"/>
              <w:rPr>
                <w:rFonts w:cs="Tahoma"/>
              </w:rPr>
            </w:pPr>
            <w:r w:rsidRPr="00A75DF9">
              <w:rPr>
                <w:rFonts w:eastAsia="Calibri" w:cs="Tahoma"/>
                <w:szCs w:val="18"/>
              </w:rPr>
              <w:t>Licenza CAL per Windows Server 2008 R2</w:t>
            </w:r>
          </w:p>
          <w:p w:rsidR="00836655" w:rsidRPr="00A75DF9" w:rsidRDefault="00836655" w:rsidP="00CA14C9">
            <w:pPr>
              <w:spacing w:line="276" w:lineRule="auto"/>
              <w:rPr>
                <w:rFonts w:eastAsia="Calibri" w:cs="Tahoma"/>
                <w:szCs w:val="18"/>
              </w:rPr>
            </w:pPr>
            <w:r w:rsidRPr="00A75DF9">
              <w:rPr>
                <w:rFonts w:eastAsia="Calibri" w:cs="Tahoma"/>
                <w:szCs w:val="18"/>
              </w:rPr>
              <w:t>Licenza CAL per Exchange Server 2010</w:t>
            </w:r>
          </w:p>
        </w:tc>
      </w:tr>
      <w:tr w:rsidR="00836655" w:rsidRPr="00A75DF9"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A75DF9" w:rsidRDefault="00836655" w:rsidP="00CA14C9">
            <w:pPr>
              <w:spacing w:line="276" w:lineRule="auto"/>
              <w:rPr>
                <w:rFonts w:eastAsia="Calibri" w:cs="Tahoma"/>
                <w:szCs w:val="18"/>
              </w:rPr>
            </w:pPr>
            <w:r w:rsidRPr="00A75DF9">
              <w:rPr>
                <w:rFonts w:eastAsia="Calibri" w:cs="Tahoma"/>
                <w:szCs w:val="18"/>
              </w:rPr>
              <w:t>CAL Suite per SBS 2011 con copertura Software Assurance in data 1 agosto 2012 o successiva</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A75DF9" w:rsidRDefault="00836655" w:rsidP="00CA14C9">
            <w:pPr>
              <w:spacing w:line="276" w:lineRule="auto"/>
              <w:rPr>
                <w:rFonts w:cs="Tahoma"/>
              </w:rPr>
            </w:pPr>
            <w:r w:rsidRPr="00A75DF9">
              <w:rPr>
                <w:rFonts w:eastAsia="Calibri" w:cs="Tahoma"/>
                <w:szCs w:val="18"/>
              </w:rPr>
              <w:t>Licenza CAL per Windows Server 2012 con Software Assurance</w:t>
            </w:r>
          </w:p>
          <w:p w:rsidR="00836655" w:rsidRPr="00A75DF9" w:rsidRDefault="00836655" w:rsidP="00CA14C9">
            <w:pPr>
              <w:spacing w:line="276" w:lineRule="auto"/>
              <w:rPr>
                <w:rFonts w:eastAsia="Calibri" w:cs="Tahoma"/>
                <w:szCs w:val="18"/>
              </w:rPr>
            </w:pPr>
            <w:r w:rsidRPr="00A75DF9">
              <w:rPr>
                <w:rFonts w:eastAsia="Calibri" w:cs="Tahoma"/>
                <w:szCs w:val="18"/>
              </w:rPr>
              <w:t>CAL per Exchange Server 2010 con Software Assurance</w:t>
            </w:r>
          </w:p>
        </w:tc>
      </w:tr>
    </w:tbl>
    <w:p w:rsidR="000F0F4D" w:rsidRDefault="000F0F4D" w:rsidP="000F0F4D">
      <w:pPr>
        <w:pStyle w:val="ListParagraph"/>
        <w:contextualSpacing w:val="0"/>
        <w:rPr>
          <w:rFonts w:ascii="Tahoma" w:hAnsi="Tahoma" w:cs="Tahoma"/>
          <w:sz w:val="18"/>
          <w:szCs w:val="18"/>
        </w:rPr>
      </w:pPr>
    </w:p>
    <w:p w:rsidR="000D43E1" w:rsidRPr="000D43E1" w:rsidRDefault="000D43E1" w:rsidP="000F0F4D">
      <w:pPr>
        <w:pStyle w:val="ListParagraph"/>
        <w:contextualSpacing w:val="0"/>
        <w:rPr>
          <w:rFonts w:ascii="Tahoma" w:hAnsi="Tahoma" w:cs="Tahoma"/>
          <w:sz w:val="18"/>
          <w:szCs w:val="18"/>
        </w:rPr>
      </w:pPr>
    </w:p>
    <w:p w:rsidR="00836655" w:rsidRPr="000D43E1" w:rsidRDefault="00836655" w:rsidP="000F0F4D">
      <w:pPr>
        <w:pStyle w:val="ListParagraph"/>
        <w:contextualSpacing w:val="0"/>
        <w:rPr>
          <w:rFonts w:ascii="Tahoma" w:hAnsi="Tahoma" w:cs="Tahoma"/>
          <w:sz w:val="18"/>
          <w:szCs w:val="18"/>
        </w:rPr>
      </w:pPr>
      <w:r w:rsidRPr="000D43E1">
        <w:rPr>
          <w:rFonts w:ascii="Tahoma" w:eastAsia="Calibri" w:hAnsi="Tahoma" w:cs="Tahoma"/>
          <w:sz w:val="18"/>
          <w:szCs w:val="18"/>
        </w:rPr>
        <w:t>La copertura Software Assurance inclusa nella suddetta concessione scade alla scadenza della corrispondente copertura per le CAL Qualificanti. In via eccezionale, le società con copertura Software Assurance attiva per le Licenze CAL Qualificanti in scadenza nel mese di agosto 2012 hanno la possibilità fino al 31 dicembre 2012 di rinnovare la copertura per le CAL ricevute in concessione ai sensi della presente offerta. Le società con copertura Software Assurance attiva per le Licenze CAL Qualificanti in scadenza nel mese di luglio 2012 hanno la possibilità fino al 31 dicembre 2012 di acquistare la copertura per le Licenze CAL ricevute in concessione ai sensi della presente offerta.</w:t>
      </w:r>
    </w:p>
    <w:p w:rsidR="000F0F4D" w:rsidRPr="000D43E1" w:rsidRDefault="000F0F4D" w:rsidP="000F0F4D">
      <w:pPr>
        <w:pStyle w:val="ListParagraph"/>
        <w:contextualSpacing w:val="0"/>
        <w:rPr>
          <w:rFonts w:ascii="Tahoma" w:hAnsi="Tahoma" w:cs="Tahoma"/>
          <w:sz w:val="18"/>
          <w:szCs w:val="18"/>
        </w:rPr>
      </w:pPr>
    </w:p>
    <w:p w:rsidR="00836655" w:rsidRPr="000D43E1" w:rsidRDefault="00836655" w:rsidP="000F0F4D">
      <w:pPr>
        <w:pStyle w:val="ListParagraph"/>
        <w:contextualSpacing w:val="0"/>
        <w:rPr>
          <w:rFonts w:ascii="Tahoma" w:hAnsi="Tahoma" w:cs="Tahoma"/>
          <w:sz w:val="18"/>
          <w:szCs w:val="18"/>
        </w:rPr>
      </w:pPr>
      <w:r w:rsidRPr="000D43E1">
        <w:rPr>
          <w:rFonts w:ascii="Tahoma" w:eastAsia="Calibri" w:hAnsi="Tahoma" w:cs="Tahoma"/>
          <w:sz w:val="18"/>
          <w:szCs w:val="18"/>
        </w:rPr>
        <w:t>Nel caso in cui le società abbiano acquistato diritti perpetui previsti dalle CAL qualificanti, le CAL acquistate ai sensi della presente concessione saranno anch</w:t>
      </w:r>
      <w:r w:rsidR="00F2643E">
        <w:rPr>
          <w:rFonts w:ascii="Tahoma" w:eastAsia="Calibri" w:hAnsi="Tahoma" w:cs="Tahoma"/>
          <w:sz w:val="18"/>
          <w:szCs w:val="18"/>
        </w:rPr>
        <w:t>’</w:t>
      </w:r>
      <w:r w:rsidRPr="000D43E1">
        <w:rPr>
          <w:rFonts w:ascii="Tahoma" w:eastAsia="Calibri" w:hAnsi="Tahoma" w:cs="Tahoma"/>
          <w:sz w:val="18"/>
          <w:szCs w:val="18"/>
        </w:rPr>
        <w:t>esse perpetue; diversamente, le CAL acquistate ai sensi della presente concessione cesseranno alla scadenza delle CAL Qualificanti sottostanti.</w:t>
      </w:r>
    </w:p>
    <w:p w:rsidR="000F0F4D" w:rsidRPr="000D43E1" w:rsidRDefault="000F0F4D" w:rsidP="000F0F4D">
      <w:pPr>
        <w:pStyle w:val="ListParagraph"/>
        <w:contextualSpacing w:val="0"/>
        <w:rPr>
          <w:rFonts w:ascii="Tahoma" w:hAnsi="Tahoma" w:cs="Tahoma"/>
          <w:sz w:val="18"/>
          <w:szCs w:val="18"/>
        </w:rPr>
      </w:pPr>
    </w:p>
    <w:p w:rsidR="00836655" w:rsidRPr="000D43E1" w:rsidRDefault="00836655" w:rsidP="000F0F4D">
      <w:pPr>
        <w:pStyle w:val="ListParagraph"/>
        <w:contextualSpacing w:val="0"/>
        <w:rPr>
          <w:rFonts w:ascii="Tahoma" w:hAnsi="Tahoma" w:cs="Tahoma"/>
          <w:sz w:val="18"/>
          <w:szCs w:val="18"/>
        </w:rPr>
      </w:pPr>
      <w:r w:rsidRPr="000D43E1">
        <w:rPr>
          <w:rFonts w:ascii="Tahoma" w:eastAsia="Calibri" w:hAnsi="Tahoma" w:cs="Tahoma"/>
          <w:sz w:val="18"/>
          <w:szCs w:val="18"/>
        </w:rPr>
        <w:t>Per ogni CAL Qualificante acquistata ai sensi del contratto Open Value Subscription, una società potrà eseguire il buy-out di una CAL Suite per SBS 2011 come indicato o di:</w:t>
      </w:r>
    </w:p>
    <w:p w:rsidR="000F0F4D" w:rsidRPr="000D43E1" w:rsidRDefault="000F0F4D" w:rsidP="000F0F4D">
      <w:pPr>
        <w:pStyle w:val="ListParagraph"/>
        <w:contextualSpacing w:val="0"/>
        <w:rPr>
          <w:rFonts w:ascii="Tahoma" w:hAnsi="Tahoma" w:cs="Tahoma"/>
          <w:sz w:val="18"/>
          <w:szCs w:val="18"/>
        </w:rPr>
      </w:pPr>
    </w:p>
    <w:p w:rsidR="00836655" w:rsidRPr="000D43E1" w:rsidRDefault="00836655" w:rsidP="000D43E1">
      <w:pPr>
        <w:pStyle w:val="ListParagraph"/>
        <w:numPr>
          <w:ilvl w:val="1"/>
          <w:numId w:val="100"/>
        </w:numPr>
        <w:tabs>
          <w:tab w:val="clear" w:pos="1440"/>
        </w:tabs>
        <w:spacing w:after="60"/>
        <w:ind w:left="1800"/>
        <w:contextualSpacing w:val="0"/>
        <w:rPr>
          <w:rFonts w:ascii="Tahoma" w:hAnsi="Tahoma" w:cs="Tahoma"/>
          <w:sz w:val="18"/>
          <w:szCs w:val="18"/>
        </w:rPr>
      </w:pPr>
      <w:r w:rsidRPr="000D43E1">
        <w:rPr>
          <w:rFonts w:ascii="Tahoma" w:eastAsia="Calibri" w:hAnsi="Tahoma" w:cs="Tahoma"/>
          <w:sz w:val="18"/>
          <w:szCs w:val="18"/>
        </w:rPr>
        <w:t>Una Licenza CAL per Windows Server 2012 e una per Exchange Server 2010 Standard per i</w:t>
      </w:r>
      <w:r w:rsidR="000D43E1">
        <w:rPr>
          <w:rFonts w:ascii="Tahoma" w:eastAsia="Calibri" w:hAnsi="Tahoma" w:cs="Tahoma"/>
          <w:sz w:val="18"/>
          <w:szCs w:val="18"/>
        </w:rPr>
        <w:t> </w:t>
      </w:r>
      <w:r w:rsidRPr="000D43E1">
        <w:rPr>
          <w:rFonts w:ascii="Tahoma" w:eastAsia="Calibri" w:hAnsi="Tahoma" w:cs="Tahoma"/>
          <w:sz w:val="18"/>
          <w:szCs w:val="18"/>
        </w:rPr>
        <w:t>contratti in scadenza in data 1 agosto 2012 o successiva e</w:t>
      </w:r>
    </w:p>
    <w:p w:rsidR="00836655" w:rsidRPr="000D43E1" w:rsidRDefault="00836655" w:rsidP="000D43E1">
      <w:pPr>
        <w:pStyle w:val="ListParagraph"/>
        <w:numPr>
          <w:ilvl w:val="1"/>
          <w:numId w:val="100"/>
        </w:numPr>
        <w:tabs>
          <w:tab w:val="clear" w:pos="1440"/>
        </w:tabs>
        <w:spacing w:after="60"/>
        <w:ind w:left="1800"/>
        <w:contextualSpacing w:val="0"/>
        <w:rPr>
          <w:rFonts w:ascii="Tahoma" w:hAnsi="Tahoma" w:cs="Tahoma"/>
          <w:sz w:val="18"/>
          <w:szCs w:val="18"/>
        </w:rPr>
      </w:pPr>
      <w:r w:rsidRPr="000D43E1">
        <w:rPr>
          <w:rFonts w:ascii="Tahoma" w:eastAsia="Calibri" w:hAnsi="Tahoma" w:cs="Tahoma"/>
          <w:sz w:val="18"/>
          <w:szCs w:val="18"/>
        </w:rPr>
        <w:t>Una Licenza CAL per Windows Server 2008 e una per Exchange Server 2010 Standard per i</w:t>
      </w:r>
      <w:r w:rsidR="000D43E1">
        <w:rPr>
          <w:rFonts w:ascii="Tahoma" w:eastAsia="Calibri" w:hAnsi="Tahoma" w:cs="Tahoma"/>
          <w:sz w:val="18"/>
          <w:szCs w:val="18"/>
        </w:rPr>
        <w:t> </w:t>
      </w:r>
      <w:r w:rsidRPr="000D43E1">
        <w:rPr>
          <w:rFonts w:ascii="Tahoma" w:eastAsia="Calibri" w:hAnsi="Tahoma" w:cs="Tahoma"/>
          <w:sz w:val="18"/>
          <w:szCs w:val="18"/>
        </w:rPr>
        <w:t>contratti in scadenza nel mese di luglio 2012.</w:t>
      </w:r>
    </w:p>
    <w:p w:rsidR="000F0F4D" w:rsidRPr="00A75DF9" w:rsidRDefault="000F0F4D" w:rsidP="000F0F4D">
      <w:pPr>
        <w:ind w:left="720"/>
        <w:rPr>
          <w:rFonts w:cs="Tahoma"/>
        </w:rPr>
      </w:pPr>
    </w:p>
    <w:p w:rsidR="00836655" w:rsidRPr="00A75DF9" w:rsidRDefault="00836655" w:rsidP="000F0F4D">
      <w:pPr>
        <w:ind w:left="720"/>
        <w:rPr>
          <w:rFonts w:cs="Tahoma"/>
        </w:rPr>
      </w:pPr>
      <w:r w:rsidRPr="00A75DF9">
        <w:rPr>
          <w:rFonts w:eastAsia="Calibri" w:cs="Tahoma"/>
          <w:szCs w:val="18"/>
        </w:rPr>
        <w:t>Utilizzando la Licenza CAL per Windows Server e la Licenza Standard CAL per Exchange Server 2010 ai sensi della presente concessione, le Licenze CAL Qualificanti delle società per la CAL Suite in essere per SBS 2011 non saranno più valide.</w:t>
      </w:r>
    </w:p>
    <w:p w:rsidR="000F0F4D" w:rsidRPr="00A75DF9" w:rsidRDefault="000F0F4D" w:rsidP="000F0F4D">
      <w:pPr>
        <w:ind w:left="720"/>
        <w:rPr>
          <w:rFonts w:cs="Tahoma"/>
        </w:rPr>
      </w:pPr>
    </w:p>
    <w:p w:rsidR="00836655" w:rsidRPr="00A75DF9" w:rsidRDefault="00836655" w:rsidP="000F0F4D">
      <w:pPr>
        <w:ind w:left="720"/>
        <w:rPr>
          <w:rFonts w:cs="Tahoma"/>
        </w:rPr>
      </w:pPr>
      <w:r w:rsidRPr="00A75DF9">
        <w:rPr>
          <w:rFonts w:cs="Tahoma"/>
          <w:color w:val="000000"/>
        </w:rPr>
        <w:t>La CAL Suite per SBS 2011</w:t>
      </w:r>
      <w:r w:rsidRPr="00A75DF9">
        <w:rPr>
          <w:rFonts w:cs="Tahoma"/>
          <w:bCs/>
          <w:color w:val="000000"/>
          <w:szCs w:val="18"/>
        </w:rPr>
        <w:t xml:space="preserve"> acquistata successivamente nello stesso periodo di validità dell</w:t>
      </w:r>
      <w:r w:rsidR="00F2643E">
        <w:rPr>
          <w:rFonts w:cs="Tahoma"/>
          <w:bCs/>
          <w:color w:val="000000"/>
          <w:szCs w:val="18"/>
        </w:rPr>
        <w:t>’</w:t>
      </w:r>
      <w:r w:rsidRPr="00A75DF9">
        <w:rPr>
          <w:rFonts w:cs="Tahoma"/>
          <w:bCs/>
          <w:color w:val="000000"/>
          <w:szCs w:val="18"/>
        </w:rPr>
        <w:t>iscrizione nell</w:t>
      </w:r>
      <w:r w:rsidR="00F2643E">
        <w:rPr>
          <w:rFonts w:cs="Tahoma"/>
          <w:bCs/>
          <w:color w:val="000000"/>
          <w:szCs w:val="18"/>
        </w:rPr>
        <w:t>’</w:t>
      </w:r>
      <w:r w:rsidRPr="00A75DF9">
        <w:rPr>
          <w:rFonts w:cs="Tahoma"/>
          <w:bCs/>
          <w:color w:val="000000"/>
          <w:szCs w:val="18"/>
        </w:rPr>
        <w:t>ambito di una procedura pianificata di true-up di una società Open Value Subscription o EES sono anch</w:t>
      </w:r>
      <w:r w:rsidR="00F2643E">
        <w:rPr>
          <w:rFonts w:cs="Tahoma"/>
          <w:bCs/>
          <w:color w:val="000000"/>
          <w:szCs w:val="18"/>
        </w:rPr>
        <w:t>’</w:t>
      </w:r>
      <w:r w:rsidRPr="00A75DF9">
        <w:rPr>
          <w:rFonts w:cs="Tahoma"/>
          <w:bCs/>
          <w:color w:val="000000"/>
          <w:szCs w:val="18"/>
        </w:rPr>
        <w:t>esse CAL Qualificanti per gli scopi previsti dalla suddetta concessione.</w:t>
      </w:r>
      <w:r w:rsidRPr="00A75DF9">
        <w:rPr>
          <w:rFonts w:eastAsia="Calibri" w:cs="Tahoma"/>
          <w:szCs w:val="18"/>
        </w:rPr>
        <w:t xml:space="preserve"> </w:t>
      </w:r>
    </w:p>
    <w:p w:rsidR="009B1D83" w:rsidRPr="00A75DF9" w:rsidRDefault="009B1D83" w:rsidP="000F0F4D">
      <w:pPr>
        <w:ind w:left="900"/>
        <w:rPr>
          <w:rFonts w:cs="Tahoma"/>
        </w:rPr>
      </w:pPr>
    </w:p>
    <w:p w:rsidR="00C066B5" w:rsidRPr="00A75DF9" w:rsidRDefault="00C066B5" w:rsidP="000F0F4D">
      <w:pPr>
        <w:ind w:left="900"/>
        <w:rPr>
          <w:rFonts w:cs="Tahoma"/>
        </w:rPr>
      </w:pPr>
    </w:p>
    <w:p w:rsidR="00C066B5" w:rsidRPr="00A75DF9" w:rsidRDefault="00C066B5" w:rsidP="00C066B5">
      <w:pPr>
        <w:pStyle w:val="Heading2"/>
        <w:ind w:hanging="720"/>
        <w:rPr>
          <w:rFonts w:ascii="Tahoma" w:hAnsi="Tahoma" w:cs="Tahoma"/>
        </w:rPr>
      </w:pPr>
      <w:bookmarkStart w:id="1646" w:name="_116_Premium_Add-on"/>
      <w:bookmarkStart w:id="1647" w:name="Srv_122WinSmallBizSVR2011Addon"/>
      <w:bookmarkStart w:id="1648" w:name="_Toc336338379"/>
      <w:bookmarkStart w:id="1649" w:name="_Toc357669627"/>
      <w:bookmarkStart w:id="1650" w:name="Srv_112WinSmallBizSVR2011Addon"/>
      <w:bookmarkStart w:id="1651" w:name="Srv_118WinSmallBizSVR2011Addon"/>
      <w:bookmarkStart w:id="1652" w:name="_Toc368310366"/>
      <w:bookmarkEnd w:id="1646"/>
      <w:r w:rsidRPr="00A75DF9">
        <w:rPr>
          <w:rFonts w:ascii="Tahoma" w:hAnsi="Tahoma" w:cs="Tahoma"/>
          <w:caps/>
          <w:color w:val="EE6000"/>
          <w:sz w:val="22"/>
          <w:szCs w:val="18"/>
          <w:vertAlign w:val="superscript"/>
        </w:rPr>
        <w:t xml:space="preserve">116 </w:t>
      </w:r>
      <w:r w:rsidRPr="00A75DF9">
        <w:rPr>
          <w:rFonts w:ascii="Tahoma" w:hAnsi="Tahoma" w:cs="Tahoma"/>
          <w:color w:val="EE6000"/>
          <w:sz w:val="22"/>
          <w:szCs w:val="18"/>
        </w:rPr>
        <w:t>Premium Add-on per Windows Small Business Server (SBS) 2011</w:t>
      </w:r>
      <w:bookmarkEnd w:id="1647"/>
      <w:bookmarkEnd w:id="1648"/>
      <w:bookmarkEnd w:id="1649"/>
      <w:bookmarkEnd w:id="1652"/>
    </w:p>
    <w:bookmarkEnd w:id="1650"/>
    <w:bookmarkEnd w:id="1651"/>
    <w:p w:rsidR="00C066B5" w:rsidRPr="00A75DF9" w:rsidRDefault="00C066B5" w:rsidP="00C066B5">
      <w:pPr>
        <w:ind w:left="900"/>
        <w:rPr>
          <w:rFonts w:cs="Tahoma"/>
        </w:rPr>
      </w:pPr>
    </w:p>
    <w:p w:rsidR="00C066B5" w:rsidRPr="00A75DF9" w:rsidRDefault="00C066B5" w:rsidP="00C066B5">
      <w:pPr>
        <w:spacing w:after="60"/>
        <w:ind w:left="720"/>
        <w:rPr>
          <w:rFonts w:cs="Tahoma"/>
        </w:rPr>
      </w:pPr>
      <w:r w:rsidRPr="00A75DF9">
        <w:rPr>
          <w:rFonts w:cs="Tahoma"/>
          <w:b/>
          <w:color w:val="000000"/>
        </w:rPr>
        <w:t>Concessioni di licenza associate alla fine del ciclo di vita di SBS 2011 Premium Add-on</w:t>
      </w:r>
    </w:p>
    <w:p w:rsidR="00C066B5" w:rsidRPr="00A75DF9" w:rsidRDefault="00C066B5" w:rsidP="000D43E1">
      <w:pPr>
        <w:ind w:left="720"/>
        <w:rPr>
          <w:rFonts w:cs="Tahoma"/>
        </w:rPr>
      </w:pPr>
      <w:r w:rsidRPr="00A75DF9">
        <w:rPr>
          <w:rFonts w:cs="Tahoma"/>
          <w:color w:val="000000"/>
        </w:rPr>
        <w:t>SBS 2011 Premium Add-on sarà l</w:t>
      </w:r>
      <w:r w:rsidR="00F2643E">
        <w:rPr>
          <w:rFonts w:cs="Tahoma"/>
          <w:color w:val="000000"/>
        </w:rPr>
        <w:t>’</w:t>
      </w:r>
      <w:r w:rsidRPr="00A75DF9">
        <w:rPr>
          <w:rFonts w:cs="Tahoma"/>
          <w:color w:val="000000"/>
        </w:rPr>
        <w:t>ultima versione di SBS Premium Add-on. Alle società titolari di contratti multilicenza con copertura Software Assurance per le licenze SBS 2011 Premium Add-on (“Licenze Qualificanti”) sarà consentito effettuare l</w:t>
      </w:r>
      <w:r w:rsidR="00F2643E">
        <w:rPr>
          <w:rFonts w:cs="Tahoma"/>
          <w:color w:val="000000"/>
        </w:rPr>
        <w:t>’</w:t>
      </w:r>
      <w:r w:rsidRPr="00A75DF9">
        <w:rPr>
          <w:rFonts w:cs="Tahoma"/>
          <w:color w:val="000000"/>
        </w:rPr>
        <w:t>aggiornamento ai prodotti software Windows Server Standard e</w:t>
      </w:r>
      <w:r w:rsidR="000D43E1">
        <w:rPr>
          <w:rFonts w:cs="Tahoma"/>
          <w:color w:val="000000"/>
        </w:rPr>
        <w:t> </w:t>
      </w:r>
      <w:r w:rsidRPr="00A75DF9">
        <w:rPr>
          <w:rFonts w:cs="Tahoma"/>
          <w:color w:val="000000"/>
        </w:rPr>
        <w:t xml:space="preserve">SQL Server 2012 Standard e </w:t>
      </w:r>
      <w:r w:rsidRPr="00A75DF9">
        <w:rPr>
          <w:rFonts w:eastAsia="Calibri" w:cs="Tahoma"/>
          <w:szCs w:val="18"/>
        </w:rPr>
        <w:t xml:space="preserve">utilizzarli al posto di SBS 2011 Premium. Per agevolare tale utilizzo, per ogni licenza Qualificante in suo possesso, alla società verrà concessa una licenza per Windows Server e una per SQL Server 2012 (secondo il modello Server/CAL), come illustrato nella tabella che segue. </w:t>
      </w:r>
    </w:p>
    <w:p w:rsidR="00C066B5" w:rsidRPr="00A75DF9" w:rsidRDefault="00C066B5" w:rsidP="00C066B5">
      <w:pPr>
        <w:ind w:left="720"/>
        <w:rPr>
          <w:rFonts w:cs="Tahoma"/>
        </w:rPr>
      </w:pPr>
    </w:p>
    <w:tbl>
      <w:tblPr>
        <w:tblW w:w="8748" w:type="dxa"/>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90"/>
        <w:gridCol w:w="4058"/>
      </w:tblGrid>
      <w:tr w:rsidR="00C066B5" w:rsidRPr="00A75DF9" w:rsidTr="00FC0808">
        <w:tc>
          <w:tcPr>
            <w:tcW w:w="469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C066B5" w:rsidRPr="00A75DF9" w:rsidRDefault="00C066B5" w:rsidP="00FC0808">
            <w:pPr>
              <w:keepNext/>
              <w:spacing w:after="200" w:line="276" w:lineRule="auto"/>
              <w:rPr>
                <w:rFonts w:eastAsia="Calibri" w:cs="Tahoma"/>
                <w:szCs w:val="18"/>
              </w:rPr>
            </w:pPr>
            <w:r w:rsidRPr="00A75DF9">
              <w:rPr>
                <w:rFonts w:cs="Tahoma"/>
                <w:b/>
                <w:color w:val="000000"/>
              </w:rPr>
              <w:lastRenderedPageBreak/>
              <w:t>Licenze Qualificanti</w:t>
            </w:r>
          </w:p>
        </w:tc>
        <w:tc>
          <w:tcPr>
            <w:tcW w:w="405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C066B5" w:rsidRPr="00A75DF9" w:rsidRDefault="00C066B5" w:rsidP="00FC0808">
            <w:pPr>
              <w:keepNext/>
              <w:spacing w:after="200" w:line="276" w:lineRule="auto"/>
              <w:rPr>
                <w:rFonts w:eastAsia="Calibri" w:cs="Tahoma"/>
                <w:szCs w:val="18"/>
              </w:rPr>
            </w:pPr>
            <w:r w:rsidRPr="00A75DF9">
              <w:rPr>
                <w:rFonts w:cs="Tahoma"/>
                <w:b/>
                <w:color w:val="000000"/>
              </w:rPr>
              <w:t>Concessione di Licenza</w:t>
            </w:r>
          </w:p>
        </w:tc>
      </w:tr>
      <w:tr w:rsidR="00C066B5" w:rsidRPr="00A75DF9" w:rsidTr="00FC0808">
        <w:tc>
          <w:tcPr>
            <w:tcW w:w="4690" w:type="dxa"/>
            <w:tcBorders>
              <w:top w:val="single" w:sz="4" w:space="0" w:color="auto"/>
              <w:left w:val="single" w:sz="4" w:space="0" w:color="auto"/>
              <w:bottom w:val="single" w:sz="4" w:space="0" w:color="auto"/>
              <w:right w:val="single" w:sz="4" w:space="0" w:color="auto"/>
            </w:tcBorders>
            <w:shd w:val="clear" w:color="auto" w:fill="auto"/>
            <w:hideMark/>
          </w:tcPr>
          <w:p w:rsidR="00C066B5" w:rsidRPr="00A75DF9" w:rsidRDefault="00C066B5" w:rsidP="00FC0808">
            <w:pPr>
              <w:keepNext/>
              <w:spacing w:line="276" w:lineRule="auto"/>
              <w:rPr>
                <w:rFonts w:eastAsia="Calibri" w:cs="Tahoma"/>
                <w:szCs w:val="18"/>
              </w:rPr>
            </w:pPr>
            <w:r w:rsidRPr="00A75DF9">
              <w:rPr>
                <w:rFonts w:eastAsia="Calibri" w:cs="Tahoma"/>
                <w:szCs w:val="18"/>
              </w:rPr>
              <w:t>SBS 2011 Premium Add-on con copertura Software Assurance fino al 31 luglio 2012</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rsidR="00C066B5" w:rsidRPr="00A75DF9" w:rsidRDefault="00C066B5" w:rsidP="00FC0808">
            <w:pPr>
              <w:keepNext/>
              <w:spacing w:line="276" w:lineRule="auto"/>
              <w:rPr>
                <w:rFonts w:cs="Tahoma"/>
              </w:rPr>
            </w:pPr>
            <w:r w:rsidRPr="00A75DF9">
              <w:rPr>
                <w:rFonts w:eastAsia="Calibri" w:cs="Tahoma"/>
                <w:szCs w:val="18"/>
              </w:rPr>
              <w:t xml:space="preserve">Windows Server 2008 R2 </w:t>
            </w:r>
          </w:p>
          <w:p w:rsidR="00C066B5" w:rsidRPr="00A75DF9" w:rsidRDefault="00C066B5" w:rsidP="00FC0808">
            <w:pPr>
              <w:keepNext/>
              <w:spacing w:line="276" w:lineRule="auto"/>
              <w:rPr>
                <w:rFonts w:eastAsia="Calibri" w:cs="Tahoma"/>
                <w:szCs w:val="18"/>
              </w:rPr>
            </w:pPr>
            <w:r w:rsidRPr="00A75DF9">
              <w:rPr>
                <w:rFonts w:eastAsia="Calibri" w:cs="Tahoma"/>
                <w:szCs w:val="18"/>
              </w:rPr>
              <w:t xml:space="preserve">SQL Server 2012 </w:t>
            </w:r>
          </w:p>
        </w:tc>
      </w:tr>
      <w:tr w:rsidR="00C066B5" w:rsidRPr="00A75DF9" w:rsidTr="00FC0808">
        <w:tc>
          <w:tcPr>
            <w:tcW w:w="4690" w:type="dxa"/>
            <w:tcBorders>
              <w:top w:val="single" w:sz="4" w:space="0" w:color="auto"/>
              <w:left w:val="single" w:sz="4" w:space="0" w:color="auto"/>
              <w:bottom w:val="single" w:sz="4" w:space="0" w:color="auto"/>
              <w:right w:val="single" w:sz="4" w:space="0" w:color="auto"/>
            </w:tcBorders>
            <w:shd w:val="clear" w:color="auto" w:fill="auto"/>
            <w:hideMark/>
          </w:tcPr>
          <w:p w:rsidR="00C066B5" w:rsidRPr="00A75DF9" w:rsidRDefault="00C066B5" w:rsidP="00FC0808">
            <w:pPr>
              <w:keepNext/>
              <w:spacing w:line="276" w:lineRule="auto"/>
              <w:rPr>
                <w:rFonts w:eastAsia="Calibri" w:cs="Tahoma"/>
                <w:szCs w:val="18"/>
              </w:rPr>
            </w:pPr>
            <w:r w:rsidRPr="00A75DF9">
              <w:rPr>
                <w:rFonts w:eastAsia="Calibri" w:cs="Tahoma"/>
                <w:szCs w:val="18"/>
              </w:rPr>
              <w:t>SBS 2011 Premium Add-on con copertura Software Assurance in data 1 agosto 2012 o successiva</w:t>
            </w:r>
          </w:p>
        </w:tc>
        <w:tc>
          <w:tcPr>
            <w:tcW w:w="4058" w:type="dxa"/>
            <w:tcBorders>
              <w:top w:val="single" w:sz="4" w:space="0" w:color="auto"/>
              <w:left w:val="single" w:sz="4" w:space="0" w:color="auto"/>
              <w:bottom w:val="single" w:sz="4" w:space="0" w:color="auto"/>
              <w:right w:val="single" w:sz="4" w:space="0" w:color="auto"/>
            </w:tcBorders>
            <w:shd w:val="clear" w:color="auto" w:fill="auto"/>
            <w:hideMark/>
          </w:tcPr>
          <w:p w:rsidR="00C066B5" w:rsidRPr="00A75DF9" w:rsidRDefault="00C066B5" w:rsidP="00FC0808">
            <w:pPr>
              <w:keepNext/>
              <w:spacing w:line="276" w:lineRule="auto"/>
              <w:rPr>
                <w:rFonts w:cs="Tahoma"/>
              </w:rPr>
            </w:pPr>
            <w:r w:rsidRPr="00A75DF9">
              <w:rPr>
                <w:rFonts w:eastAsia="Calibri" w:cs="Tahoma"/>
                <w:szCs w:val="18"/>
              </w:rPr>
              <w:t>Windows Server 2012 con Software Assurance</w:t>
            </w:r>
          </w:p>
          <w:p w:rsidR="00C066B5" w:rsidRPr="00A75DF9" w:rsidRDefault="00C066B5" w:rsidP="00FC0808">
            <w:pPr>
              <w:keepNext/>
              <w:spacing w:line="276" w:lineRule="auto"/>
              <w:rPr>
                <w:rFonts w:eastAsia="Calibri" w:cs="Tahoma"/>
                <w:szCs w:val="18"/>
              </w:rPr>
            </w:pPr>
            <w:r w:rsidRPr="00A75DF9">
              <w:rPr>
                <w:rFonts w:eastAsia="Calibri" w:cs="Tahoma"/>
                <w:szCs w:val="18"/>
              </w:rPr>
              <w:t>SQL Server 2012 con Software Assurance</w:t>
            </w:r>
          </w:p>
        </w:tc>
      </w:tr>
    </w:tbl>
    <w:p w:rsidR="00C066B5" w:rsidRPr="000D43E1" w:rsidRDefault="00C066B5" w:rsidP="00C066B5">
      <w:pPr>
        <w:pStyle w:val="ListParagraph"/>
        <w:spacing w:after="100" w:afterAutospacing="1"/>
        <w:rPr>
          <w:rFonts w:ascii="Tahoma" w:hAnsi="Tahoma" w:cs="Tahoma"/>
          <w:sz w:val="18"/>
          <w:szCs w:val="18"/>
        </w:rPr>
      </w:pPr>
    </w:p>
    <w:p w:rsidR="00C066B5" w:rsidRPr="000D43E1" w:rsidRDefault="00C066B5" w:rsidP="000D43E1">
      <w:pPr>
        <w:pStyle w:val="ListParagraph"/>
        <w:contextualSpacing w:val="0"/>
        <w:rPr>
          <w:rFonts w:ascii="Tahoma" w:hAnsi="Tahoma" w:cs="Tahoma"/>
          <w:sz w:val="18"/>
          <w:szCs w:val="18"/>
        </w:rPr>
      </w:pPr>
      <w:r w:rsidRPr="000D43E1">
        <w:rPr>
          <w:rFonts w:ascii="Tahoma" w:eastAsia="Calibri" w:hAnsi="Tahoma" w:cs="Tahoma"/>
          <w:sz w:val="18"/>
          <w:szCs w:val="18"/>
        </w:rPr>
        <w:t xml:space="preserve">La copertura Software Assurance inclusa nella suddetta concessione scade alla scadenza della corrispondente copertura per le Licenze Qualificanti. In via eccezionale, le società con copertura Software Assurance attiva per le Licenze Qualificanti in scadenza nel mese di </w:t>
      </w:r>
      <w:r w:rsidRPr="000D43E1">
        <w:rPr>
          <w:rStyle w:val="CommentReference"/>
          <w:rFonts w:ascii="Tahoma" w:hAnsi="Tahoma" w:cs="Tahoma"/>
          <w:sz w:val="18"/>
          <w:szCs w:val="18"/>
        </w:rPr>
        <w:t>agosto</w:t>
      </w:r>
      <w:r w:rsidRPr="000D43E1">
        <w:rPr>
          <w:rFonts w:ascii="Tahoma" w:eastAsia="Calibri" w:hAnsi="Tahoma" w:cs="Tahoma"/>
          <w:sz w:val="18"/>
          <w:szCs w:val="18"/>
        </w:rPr>
        <w:t xml:space="preserve"> 2012 hanno la possibilità fino al</w:t>
      </w:r>
      <w:r w:rsidR="000D43E1">
        <w:rPr>
          <w:rFonts w:ascii="Tahoma" w:eastAsia="Calibri" w:hAnsi="Tahoma" w:cs="Tahoma"/>
          <w:sz w:val="18"/>
          <w:szCs w:val="18"/>
        </w:rPr>
        <w:t> </w:t>
      </w:r>
      <w:r w:rsidRPr="000D43E1">
        <w:rPr>
          <w:rFonts w:ascii="Tahoma" w:eastAsia="Calibri" w:hAnsi="Tahoma" w:cs="Tahoma"/>
          <w:sz w:val="18"/>
          <w:szCs w:val="18"/>
        </w:rPr>
        <w:t>31 dicembre 2012 di rinnovare la copertura per le licenze ottenute ai sensi della presente offerta.</w:t>
      </w:r>
    </w:p>
    <w:p w:rsidR="00C066B5" w:rsidRPr="000D43E1" w:rsidRDefault="00C066B5" w:rsidP="00C066B5">
      <w:pPr>
        <w:pStyle w:val="ListParagraph"/>
        <w:contextualSpacing w:val="0"/>
        <w:rPr>
          <w:rFonts w:ascii="Tahoma" w:hAnsi="Tahoma" w:cs="Tahoma"/>
          <w:sz w:val="18"/>
          <w:szCs w:val="18"/>
        </w:rPr>
      </w:pPr>
    </w:p>
    <w:p w:rsidR="00C066B5" w:rsidRPr="000D43E1" w:rsidRDefault="00C066B5" w:rsidP="00C066B5">
      <w:pPr>
        <w:spacing w:line="276" w:lineRule="auto"/>
        <w:ind w:left="720"/>
        <w:rPr>
          <w:rFonts w:cs="Tahoma"/>
          <w:szCs w:val="18"/>
        </w:rPr>
      </w:pPr>
      <w:r w:rsidRPr="000D43E1">
        <w:rPr>
          <w:rFonts w:cs="Tahoma"/>
          <w:color w:val="000000"/>
          <w:szCs w:val="18"/>
        </w:rPr>
        <w:t xml:space="preserve">Le società con copertura Software Assurance attiva per le Licenze Qualificanti in scadenza nel mese di luglio 2012 hanno la possibilità </w:t>
      </w:r>
      <w:r w:rsidRPr="000D43E1">
        <w:rPr>
          <w:rFonts w:eastAsia="Calibri" w:cs="Tahoma"/>
          <w:szCs w:val="18"/>
        </w:rPr>
        <w:t>fino al 31 dicembre 2012 di acquistare la copertura per le licenze ricevute in concessione ai sensi della presente offerta.</w:t>
      </w:r>
    </w:p>
    <w:p w:rsidR="00C066B5" w:rsidRPr="000D43E1" w:rsidRDefault="00C066B5" w:rsidP="00C066B5">
      <w:pPr>
        <w:spacing w:line="276" w:lineRule="auto"/>
        <w:ind w:left="720"/>
        <w:rPr>
          <w:rFonts w:cs="Tahoma"/>
          <w:szCs w:val="18"/>
        </w:rPr>
      </w:pPr>
    </w:p>
    <w:p w:rsidR="00C066B5" w:rsidRPr="000D43E1" w:rsidRDefault="00C066B5" w:rsidP="00C066B5">
      <w:pPr>
        <w:pStyle w:val="ListParagraph"/>
        <w:contextualSpacing w:val="0"/>
        <w:rPr>
          <w:rFonts w:ascii="Tahoma" w:hAnsi="Tahoma" w:cs="Tahoma"/>
          <w:sz w:val="18"/>
          <w:szCs w:val="18"/>
        </w:rPr>
      </w:pPr>
      <w:r w:rsidRPr="000D43E1">
        <w:rPr>
          <w:rFonts w:ascii="Tahoma" w:eastAsia="Calibri" w:hAnsi="Tahoma" w:cs="Tahoma"/>
          <w:sz w:val="18"/>
          <w:szCs w:val="18"/>
        </w:rPr>
        <w:t>Nel caso in cui le società abbiano acquistato diritti perpetui per utilizzare software ai sensi di Licenze Qualificanti, le licenze acquistate ai sensi della presente concessione saranno anch</w:t>
      </w:r>
      <w:r w:rsidR="00F2643E">
        <w:rPr>
          <w:rFonts w:ascii="Tahoma" w:eastAsia="Calibri" w:hAnsi="Tahoma" w:cs="Tahoma"/>
          <w:sz w:val="18"/>
          <w:szCs w:val="18"/>
        </w:rPr>
        <w:t>’</w:t>
      </w:r>
      <w:r w:rsidRPr="000D43E1">
        <w:rPr>
          <w:rFonts w:ascii="Tahoma" w:eastAsia="Calibri" w:hAnsi="Tahoma" w:cs="Tahoma"/>
          <w:sz w:val="18"/>
          <w:szCs w:val="18"/>
        </w:rPr>
        <w:t>esse perpetue; diversamente, le licenze acquistate ai sensi della presente concessione cesseranno alla scadenza delle Licenze Qualificanti sottostanti.</w:t>
      </w:r>
    </w:p>
    <w:p w:rsidR="00C066B5" w:rsidRPr="000D43E1" w:rsidRDefault="00C066B5" w:rsidP="00C066B5">
      <w:pPr>
        <w:pStyle w:val="ListParagraph"/>
        <w:contextualSpacing w:val="0"/>
        <w:rPr>
          <w:rFonts w:ascii="Tahoma" w:hAnsi="Tahoma" w:cs="Tahoma"/>
          <w:sz w:val="18"/>
          <w:szCs w:val="18"/>
        </w:rPr>
      </w:pPr>
    </w:p>
    <w:p w:rsidR="00C066B5" w:rsidRPr="000D43E1" w:rsidRDefault="00C066B5" w:rsidP="00C066B5">
      <w:pPr>
        <w:pStyle w:val="ListParagraph"/>
        <w:contextualSpacing w:val="0"/>
        <w:rPr>
          <w:rFonts w:ascii="Tahoma" w:hAnsi="Tahoma" w:cs="Tahoma"/>
          <w:sz w:val="18"/>
          <w:szCs w:val="18"/>
        </w:rPr>
      </w:pPr>
      <w:r w:rsidRPr="000D43E1">
        <w:rPr>
          <w:rFonts w:ascii="Tahoma" w:eastAsia="Calibri" w:hAnsi="Tahoma" w:cs="Tahoma"/>
          <w:sz w:val="18"/>
          <w:szCs w:val="18"/>
        </w:rPr>
        <w:t>Per ogni Licenza Qualificante acquistata ai sensi del contratto Open Value Subscription, una società potrà eseguire il buy-out di una licenza per SBS 2011 Premium Add-on come indicato o di:</w:t>
      </w:r>
    </w:p>
    <w:p w:rsidR="00C066B5" w:rsidRPr="000D43E1" w:rsidRDefault="00C066B5" w:rsidP="00C066B5">
      <w:pPr>
        <w:pStyle w:val="ListParagraph"/>
        <w:contextualSpacing w:val="0"/>
        <w:rPr>
          <w:rFonts w:ascii="Tahoma" w:hAnsi="Tahoma" w:cs="Tahoma"/>
          <w:sz w:val="18"/>
          <w:szCs w:val="18"/>
        </w:rPr>
      </w:pPr>
    </w:p>
    <w:p w:rsidR="00C066B5" w:rsidRPr="000D43E1" w:rsidRDefault="00C066B5" w:rsidP="000D43E1">
      <w:pPr>
        <w:pStyle w:val="ListParagraph"/>
        <w:numPr>
          <w:ilvl w:val="1"/>
          <w:numId w:val="100"/>
        </w:numPr>
        <w:tabs>
          <w:tab w:val="clear" w:pos="1440"/>
        </w:tabs>
        <w:spacing w:after="60"/>
        <w:contextualSpacing w:val="0"/>
        <w:rPr>
          <w:rFonts w:ascii="Tahoma" w:hAnsi="Tahoma" w:cs="Tahoma"/>
          <w:sz w:val="18"/>
          <w:szCs w:val="18"/>
        </w:rPr>
      </w:pPr>
      <w:r w:rsidRPr="000D43E1">
        <w:rPr>
          <w:rFonts w:ascii="Tahoma" w:eastAsia="Calibri" w:hAnsi="Tahoma" w:cs="Tahoma"/>
          <w:sz w:val="18"/>
          <w:szCs w:val="18"/>
        </w:rPr>
        <w:t>Una licenza per Windows Server 2012 Standard e una per SQL Server 2012 Standard (ricevute in</w:t>
      </w:r>
      <w:r w:rsidR="000D43E1">
        <w:rPr>
          <w:rFonts w:ascii="Tahoma" w:eastAsia="Calibri" w:hAnsi="Tahoma" w:cs="Tahoma"/>
          <w:sz w:val="18"/>
          <w:szCs w:val="18"/>
        </w:rPr>
        <w:t> </w:t>
      </w:r>
      <w:r w:rsidRPr="000D43E1">
        <w:rPr>
          <w:rFonts w:ascii="Tahoma" w:eastAsia="Calibri" w:hAnsi="Tahoma" w:cs="Tahoma"/>
          <w:sz w:val="18"/>
          <w:szCs w:val="18"/>
        </w:rPr>
        <w:t>licenza secondo il modello Server/CAL) per i contratti in scadenza in data 1 agosto 2012 o</w:t>
      </w:r>
      <w:r w:rsidR="000D43E1">
        <w:rPr>
          <w:rFonts w:ascii="Tahoma" w:eastAsia="Calibri" w:hAnsi="Tahoma" w:cs="Tahoma"/>
          <w:sz w:val="18"/>
          <w:szCs w:val="18"/>
        </w:rPr>
        <w:t> </w:t>
      </w:r>
      <w:r w:rsidRPr="000D43E1">
        <w:rPr>
          <w:rFonts w:ascii="Tahoma" w:eastAsia="Calibri" w:hAnsi="Tahoma" w:cs="Tahoma"/>
          <w:sz w:val="18"/>
          <w:szCs w:val="18"/>
        </w:rPr>
        <w:t>successiva oppure</w:t>
      </w:r>
    </w:p>
    <w:p w:rsidR="00C066B5" w:rsidRPr="000D43E1" w:rsidRDefault="00C066B5" w:rsidP="00C066B5">
      <w:pPr>
        <w:pStyle w:val="ListParagraph"/>
        <w:numPr>
          <w:ilvl w:val="1"/>
          <w:numId w:val="100"/>
        </w:numPr>
        <w:tabs>
          <w:tab w:val="clear" w:pos="1440"/>
        </w:tabs>
        <w:spacing w:after="60"/>
        <w:contextualSpacing w:val="0"/>
        <w:rPr>
          <w:rFonts w:ascii="Tahoma" w:hAnsi="Tahoma" w:cs="Tahoma"/>
          <w:sz w:val="18"/>
          <w:szCs w:val="18"/>
        </w:rPr>
      </w:pPr>
      <w:r w:rsidRPr="000D43E1">
        <w:rPr>
          <w:rFonts w:ascii="Tahoma" w:eastAsia="Calibri" w:hAnsi="Tahoma" w:cs="Tahoma"/>
          <w:sz w:val="18"/>
          <w:szCs w:val="18"/>
        </w:rPr>
        <w:t>Una licenza per Windows Server 2008 R2 Standard e una per SQL Server 2012 Standard (ricevute in licenza secondo il modello Server/CAL) per i contratti in scadenza nel mese di luglio 2012.</w:t>
      </w:r>
    </w:p>
    <w:p w:rsidR="00C066B5" w:rsidRPr="000D43E1" w:rsidRDefault="00C066B5" w:rsidP="00C066B5">
      <w:pPr>
        <w:spacing w:line="276" w:lineRule="auto"/>
        <w:ind w:left="720"/>
        <w:rPr>
          <w:rFonts w:cs="Tahoma"/>
          <w:szCs w:val="18"/>
        </w:rPr>
      </w:pPr>
    </w:p>
    <w:p w:rsidR="00C066B5" w:rsidRPr="00A75DF9" w:rsidRDefault="00C066B5" w:rsidP="00C066B5">
      <w:pPr>
        <w:spacing w:line="276" w:lineRule="auto"/>
        <w:ind w:left="720"/>
        <w:rPr>
          <w:rFonts w:cs="Tahoma"/>
        </w:rPr>
      </w:pPr>
      <w:r w:rsidRPr="00A75DF9">
        <w:rPr>
          <w:rFonts w:eastAsia="Calibri" w:cs="Tahoma"/>
          <w:szCs w:val="18"/>
        </w:rPr>
        <w:t>Eseguendo l</w:t>
      </w:r>
      <w:r w:rsidR="00F2643E">
        <w:rPr>
          <w:rFonts w:eastAsia="Calibri" w:cs="Tahoma"/>
          <w:szCs w:val="18"/>
        </w:rPr>
        <w:t>’</w:t>
      </w:r>
      <w:r w:rsidRPr="00A75DF9">
        <w:rPr>
          <w:rFonts w:eastAsia="Calibri" w:cs="Tahoma"/>
          <w:szCs w:val="18"/>
        </w:rPr>
        <w:t>aggiornamento a Windows Server Standard e a SQL Server 2012 Standard ai sensi della presente concessione, le Licenze Qualificanti in essere per SBS Premium Add-on non saranno più valide.</w:t>
      </w:r>
    </w:p>
    <w:p w:rsidR="00C066B5" w:rsidRPr="00A75DF9" w:rsidRDefault="00C066B5" w:rsidP="00C066B5">
      <w:pPr>
        <w:spacing w:line="276" w:lineRule="auto"/>
        <w:ind w:left="720"/>
        <w:rPr>
          <w:rFonts w:cs="Tahoma"/>
        </w:rPr>
      </w:pPr>
    </w:p>
    <w:p w:rsidR="00C066B5" w:rsidRPr="00A75DF9" w:rsidRDefault="00C066B5" w:rsidP="000D43E1">
      <w:pPr>
        <w:spacing w:line="276" w:lineRule="auto"/>
        <w:ind w:left="720"/>
        <w:rPr>
          <w:rFonts w:cs="Tahoma"/>
        </w:rPr>
      </w:pPr>
      <w:r w:rsidRPr="00A75DF9">
        <w:rPr>
          <w:rFonts w:eastAsia="Calibri" w:cs="Tahoma"/>
          <w:szCs w:val="18"/>
        </w:rPr>
        <w:t>Le licenze per SBS 2011 Premium Add-on acquistate successivamente nello stesso periodo di validità dell</w:t>
      </w:r>
      <w:r w:rsidR="00F2643E">
        <w:rPr>
          <w:rFonts w:eastAsia="Calibri" w:cs="Tahoma"/>
          <w:szCs w:val="18"/>
        </w:rPr>
        <w:t>’</w:t>
      </w:r>
      <w:r w:rsidRPr="00A75DF9">
        <w:rPr>
          <w:rFonts w:eastAsia="Calibri" w:cs="Tahoma"/>
          <w:szCs w:val="18"/>
        </w:rPr>
        <w:t>iscrizione nell</w:t>
      </w:r>
      <w:r w:rsidR="00F2643E">
        <w:rPr>
          <w:rFonts w:eastAsia="Calibri" w:cs="Tahoma"/>
          <w:szCs w:val="18"/>
        </w:rPr>
        <w:t>’</w:t>
      </w:r>
      <w:r w:rsidRPr="00A75DF9">
        <w:rPr>
          <w:rFonts w:eastAsia="Calibri" w:cs="Tahoma"/>
          <w:szCs w:val="18"/>
        </w:rPr>
        <w:t>ambito di una procedura pianificata di true-up di una società Open Value Subscription o</w:t>
      </w:r>
      <w:r w:rsidR="000D43E1">
        <w:rPr>
          <w:rFonts w:eastAsia="Calibri" w:cs="Tahoma"/>
          <w:szCs w:val="18"/>
        </w:rPr>
        <w:t> </w:t>
      </w:r>
      <w:r w:rsidRPr="00A75DF9">
        <w:rPr>
          <w:rFonts w:eastAsia="Calibri" w:cs="Tahoma"/>
          <w:szCs w:val="18"/>
        </w:rPr>
        <w:t>EES sono anch</w:t>
      </w:r>
      <w:r w:rsidR="00F2643E">
        <w:rPr>
          <w:rFonts w:eastAsia="Calibri" w:cs="Tahoma"/>
          <w:szCs w:val="18"/>
        </w:rPr>
        <w:t>’</w:t>
      </w:r>
      <w:r w:rsidRPr="00A75DF9">
        <w:rPr>
          <w:rFonts w:eastAsia="Calibri" w:cs="Tahoma"/>
          <w:szCs w:val="18"/>
        </w:rPr>
        <w:t>esse Licenze Qualificanti per gli scopi previsti dalla suddetta concessione.</w:t>
      </w:r>
    </w:p>
    <w:p w:rsidR="00C066B5" w:rsidRPr="00A75DF9" w:rsidRDefault="00C066B5" w:rsidP="000F0F4D">
      <w:pPr>
        <w:ind w:left="900"/>
        <w:rPr>
          <w:rFonts w:cs="Tahoma"/>
        </w:rPr>
      </w:pPr>
    </w:p>
    <w:p w:rsidR="00C066B5" w:rsidRPr="00A75DF9" w:rsidRDefault="00C066B5" w:rsidP="000F0F4D">
      <w:pPr>
        <w:ind w:left="900"/>
        <w:rPr>
          <w:rFonts w:cs="Tahoma"/>
        </w:rPr>
      </w:pPr>
    </w:p>
    <w:p w:rsidR="00E06578" w:rsidRPr="00A75DF9" w:rsidRDefault="00A560B6" w:rsidP="00EF2279">
      <w:pPr>
        <w:pStyle w:val="Heading2"/>
        <w:ind w:left="0"/>
        <w:rPr>
          <w:rFonts w:ascii="Tahoma" w:hAnsi="Tahoma" w:cs="Tahoma"/>
        </w:rPr>
      </w:pPr>
      <w:bookmarkStart w:id="1653" w:name="_124_Windows_Small"/>
      <w:bookmarkStart w:id="1654" w:name="_112_Windows_Small"/>
      <w:bookmarkStart w:id="1655" w:name="_117_Windows_Small"/>
      <w:bookmarkStart w:id="1656" w:name="_Toc336338380"/>
      <w:bookmarkStart w:id="1657" w:name="_Toc368310367"/>
      <w:bookmarkEnd w:id="1653"/>
      <w:bookmarkEnd w:id="1654"/>
      <w:bookmarkEnd w:id="1655"/>
      <w:r w:rsidRPr="00A75DF9">
        <w:rPr>
          <w:rFonts w:ascii="Tahoma" w:hAnsi="Tahoma" w:cs="Tahoma"/>
          <w:caps/>
          <w:color w:val="EE6000"/>
          <w:sz w:val="22"/>
          <w:szCs w:val="18"/>
          <w:vertAlign w:val="superscript"/>
        </w:rPr>
        <w:t>117</w:t>
      </w:r>
      <w:r w:rsidRPr="00A75DF9">
        <w:rPr>
          <w:rFonts w:ascii="Tahoma" w:hAnsi="Tahoma" w:cs="Tahoma"/>
          <w:color w:val="EE6000"/>
          <w:sz w:val="22"/>
          <w:szCs w:val="18"/>
        </w:rPr>
        <w:t xml:space="preserve"> </w:t>
      </w:r>
      <w:r w:rsidRPr="00A75DF9">
        <w:rPr>
          <w:rFonts w:ascii="Tahoma" w:hAnsi="Tahoma" w:cs="Tahoma"/>
          <w:color w:val="F8701C"/>
          <w:sz w:val="22"/>
          <w:szCs w:val="22"/>
        </w:rPr>
        <w:t>Premium Add-on CAL Suite per Windows Small Business Server (SBS) 2011</w:t>
      </w:r>
      <w:bookmarkEnd w:id="1656"/>
      <w:bookmarkEnd w:id="1657"/>
    </w:p>
    <w:p w:rsidR="00E06578" w:rsidRPr="00A75DF9" w:rsidRDefault="00E06578" w:rsidP="00910113">
      <w:pPr>
        <w:ind w:left="720"/>
        <w:rPr>
          <w:rFonts w:cs="Tahoma"/>
        </w:rPr>
      </w:pPr>
    </w:p>
    <w:p w:rsidR="00910113" w:rsidRPr="00A75DF9" w:rsidRDefault="00836655" w:rsidP="00910113">
      <w:pPr>
        <w:spacing w:after="60"/>
        <w:ind w:left="720"/>
        <w:rPr>
          <w:rFonts w:cs="Tahoma"/>
        </w:rPr>
      </w:pPr>
      <w:r w:rsidRPr="00A75DF9">
        <w:rPr>
          <w:rFonts w:cs="Tahoma"/>
          <w:b/>
          <w:color w:val="000000"/>
        </w:rPr>
        <w:t>Concessioni di licenza associate alla fine del ciclo di vita della Premium Add-on CAL Suite per SBS 2011</w:t>
      </w:r>
    </w:p>
    <w:p w:rsidR="002512D3" w:rsidRPr="00A75DF9" w:rsidRDefault="00836655" w:rsidP="000D43E1">
      <w:pPr>
        <w:ind w:left="720"/>
        <w:rPr>
          <w:rFonts w:cs="Tahoma"/>
        </w:rPr>
      </w:pPr>
      <w:r w:rsidRPr="00A75DF9">
        <w:rPr>
          <w:rFonts w:cs="Tahoma"/>
        </w:rPr>
        <w:t>Le società con copertura Software Assurance attiva per la Premium Add-on CAL Suite per SBS 2011 (“Licenze CAL Qualificanti”) sono idonee ad accedere al software Windows Server Standard e SQL Server 2012 Standard. Per ogni Premium Add-on CAL Suite per SBS 2011 qualificante in suo possesso in data 1 agosto 2012, alla società verrà concessa una licenza CAL per Windows Server 2012 e una licenza CAL per</w:t>
      </w:r>
      <w:r w:rsidR="000D43E1">
        <w:rPr>
          <w:rFonts w:cs="Tahoma"/>
        </w:rPr>
        <w:t> </w:t>
      </w:r>
      <w:r w:rsidRPr="00A75DF9">
        <w:rPr>
          <w:rFonts w:cs="Tahoma"/>
        </w:rPr>
        <w:t xml:space="preserve">SQL Server 2012 con copertura Software Assurance. </w:t>
      </w:r>
      <w:r w:rsidRPr="00A75DF9">
        <w:rPr>
          <w:rFonts w:eastAsia="Calibri" w:cs="Tahoma"/>
          <w:szCs w:val="18"/>
        </w:rPr>
        <w:t>Per agevolare tale utilizzo, per ogni Licenza Qualificante in suo possesso, alla società verrà concessa una licenza CAL per Windows Server e una per</w:t>
      </w:r>
      <w:r w:rsidR="000D43E1">
        <w:rPr>
          <w:rFonts w:eastAsia="Calibri" w:cs="Tahoma"/>
          <w:szCs w:val="18"/>
        </w:rPr>
        <w:t> </w:t>
      </w:r>
      <w:r w:rsidRPr="00A75DF9">
        <w:rPr>
          <w:rFonts w:eastAsia="Calibri" w:cs="Tahoma"/>
          <w:szCs w:val="18"/>
        </w:rPr>
        <w:t>SQL</w:t>
      </w:r>
      <w:r w:rsidR="000D43E1">
        <w:rPr>
          <w:rFonts w:eastAsia="Calibri" w:cs="Tahoma"/>
          <w:szCs w:val="18"/>
        </w:rPr>
        <w:t> </w:t>
      </w:r>
      <w:r w:rsidRPr="00A75DF9">
        <w:rPr>
          <w:rFonts w:eastAsia="Calibri" w:cs="Tahoma"/>
          <w:szCs w:val="18"/>
        </w:rPr>
        <w:t xml:space="preserve">Server 2012 (secondo il modello Server/SQL), come illustrato nella tabella che segue. </w:t>
      </w:r>
    </w:p>
    <w:p w:rsidR="00836655" w:rsidRDefault="00836655" w:rsidP="00910113">
      <w:pPr>
        <w:ind w:left="720"/>
        <w:rPr>
          <w:rFonts w:cs="Tahoma"/>
          <w:szCs w:val="18"/>
        </w:rPr>
      </w:pPr>
    </w:p>
    <w:p w:rsidR="00C35F6B" w:rsidRDefault="00C35F6B" w:rsidP="00910113">
      <w:pPr>
        <w:ind w:left="720"/>
        <w:rPr>
          <w:rFonts w:cs="Tahoma"/>
          <w:szCs w:val="18"/>
        </w:rPr>
      </w:pPr>
    </w:p>
    <w:p w:rsidR="00C35F6B" w:rsidRDefault="00C35F6B" w:rsidP="00910113">
      <w:pPr>
        <w:ind w:left="720"/>
        <w:rPr>
          <w:rFonts w:cs="Tahoma"/>
          <w:szCs w:val="18"/>
        </w:rPr>
      </w:pPr>
    </w:p>
    <w:p w:rsidR="00C35F6B" w:rsidRPr="000D43E1" w:rsidRDefault="00C35F6B" w:rsidP="00910113">
      <w:pPr>
        <w:ind w:left="720"/>
        <w:rPr>
          <w:rFonts w:cs="Tahoma"/>
          <w:szCs w:val="18"/>
        </w:rPr>
      </w:pPr>
    </w:p>
    <w:p w:rsidR="00910113" w:rsidRPr="000D43E1" w:rsidRDefault="00910113" w:rsidP="00910113">
      <w:pPr>
        <w:ind w:left="720"/>
        <w:rPr>
          <w:rFonts w:cs="Tahoma"/>
          <w:szCs w:val="18"/>
        </w:rPr>
      </w:pPr>
    </w:p>
    <w:tbl>
      <w:tblPr>
        <w:tblW w:w="0" w:type="auto"/>
        <w:tblInd w:w="8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61"/>
        <w:gridCol w:w="4661"/>
      </w:tblGrid>
      <w:tr w:rsidR="00836655" w:rsidRPr="00A75DF9" w:rsidTr="006E5A58">
        <w:tc>
          <w:tcPr>
            <w:tcW w:w="3960"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A75DF9" w:rsidRDefault="00836655" w:rsidP="000A5032">
            <w:pPr>
              <w:spacing w:after="200" w:line="276" w:lineRule="auto"/>
              <w:rPr>
                <w:rFonts w:eastAsia="Calibri" w:cs="Tahoma"/>
                <w:szCs w:val="18"/>
              </w:rPr>
            </w:pPr>
            <w:r w:rsidRPr="00A75DF9">
              <w:rPr>
                <w:rFonts w:cs="Tahoma"/>
                <w:b/>
                <w:color w:val="000000"/>
              </w:rPr>
              <w:lastRenderedPageBreak/>
              <w:t>Licenze Qualificanti</w:t>
            </w:r>
          </w:p>
        </w:tc>
        <w:tc>
          <w:tcPr>
            <w:tcW w:w="4788" w:type="dxa"/>
            <w:tcBorders>
              <w:top w:val="single" w:sz="4" w:space="0" w:color="auto"/>
              <w:left w:val="single" w:sz="4" w:space="0" w:color="auto"/>
              <w:bottom w:val="single" w:sz="4" w:space="0" w:color="auto"/>
              <w:right w:val="single" w:sz="4" w:space="0" w:color="auto"/>
            </w:tcBorders>
            <w:shd w:val="clear" w:color="auto" w:fill="F4B083" w:themeFill="accent2" w:themeFillTint="99"/>
            <w:hideMark/>
          </w:tcPr>
          <w:p w:rsidR="00836655" w:rsidRPr="00A75DF9" w:rsidRDefault="00836655" w:rsidP="000A5032">
            <w:pPr>
              <w:spacing w:after="200" w:line="276" w:lineRule="auto"/>
              <w:rPr>
                <w:rFonts w:eastAsia="Calibri" w:cs="Tahoma"/>
                <w:szCs w:val="18"/>
              </w:rPr>
            </w:pPr>
            <w:r w:rsidRPr="00A75DF9">
              <w:rPr>
                <w:rFonts w:cs="Tahoma"/>
                <w:b/>
                <w:color w:val="000000"/>
              </w:rPr>
              <w:t>Concessione di Licenza</w:t>
            </w:r>
          </w:p>
        </w:tc>
      </w:tr>
      <w:tr w:rsidR="00836655" w:rsidRPr="00A75DF9"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0D43E1" w:rsidRDefault="00836655" w:rsidP="00CA14C9">
            <w:pPr>
              <w:spacing w:line="276" w:lineRule="auto"/>
              <w:rPr>
                <w:rFonts w:eastAsia="Calibri" w:cs="Tahoma"/>
                <w:szCs w:val="18"/>
              </w:rPr>
            </w:pPr>
            <w:r w:rsidRPr="000D43E1">
              <w:rPr>
                <w:rFonts w:eastAsia="Calibri" w:cs="Tahoma"/>
                <w:szCs w:val="18"/>
              </w:rPr>
              <w:t>CAL Suite per SBS 2011 Premium Add-on con copertura Software Assurance fino al 31 luglio 2012</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0D43E1" w:rsidRDefault="00836655" w:rsidP="00CA14C9">
            <w:pPr>
              <w:spacing w:line="276" w:lineRule="auto"/>
              <w:rPr>
                <w:rFonts w:cs="Tahoma"/>
                <w:szCs w:val="18"/>
              </w:rPr>
            </w:pPr>
            <w:r w:rsidRPr="000D43E1">
              <w:rPr>
                <w:rFonts w:eastAsia="Calibri" w:cs="Tahoma"/>
                <w:szCs w:val="18"/>
              </w:rPr>
              <w:t>Licenza CAL per Windows Server 2008 R2</w:t>
            </w:r>
          </w:p>
          <w:p w:rsidR="00836655" w:rsidRPr="000D43E1" w:rsidRDefault="00836655" w:rsidP="00CA14C9">
            <w:pPr>
              <w:spacing w:line="276" w:lineRule="auto"/>
              <w:rPr>
                <w:rFonts w:eastAsia="Calibri" w:cs="Tahoma"/>
                <w:szCs w:val="18"/>
              </w:rPr>
            </w:pPr>
            <w:r w:rsidRPr="000D43E1">
              <w:rPr>
                <w:rFonts w:eastAsia="Calibri" w:cs="Tahoma"/>
                <w:szCs w:val="18"/>
              </w:rPr>
              <w:t>Licenza CAL per SQL Server 2012</w:t>
            </w:r>
          </w:p>
        </w:tc>
      </w:tr>
      <w:tr w:rsidR="00836655" w:rsidRPr="00A75DF9" w:rsidTr="006E5A58">
        <w:tc>
          <w:tcPr>
            <w:tcW w:w="3960" w:type="dxa"/>
            <w:tcBorders>
              <w:top w:val="single" w:sz="4" w:space="0" w:color="auto"/>
              <w:left w:val="single" w:sz="4" w:space="0" w:color="auto"/>
              <w:bottom w:val="single" w:sz="4" w:space="0" w:color="auto"/>
              <w:right w:val="single" w:sz="4" w:space="0" w:color="auto"/>
            </w:tcBorders>
            <w:shd w:val="clear" w:color="auto" w:fill="auto"/>
            <w:hideMark/>
          </w:tcPr>
          <w:p w:rsidR="00836655" w:rsidRPr="000D43E1" w:rsidRDefault="00836655" w:rsidP="00CA14C9">
            <w:pPr>
              <w:spacing w:line="276" w:lineRule="auto"/>
              <w:rPr>
                <w:rFonts w:eastAsia="Calibri" w:cs="Tahoma"/>
                <w:szCs w:val="18"/>
              </w:rPr>
            </w:pPr>
            <w:r w:rsidRPr="000D43E1">
              <w:rPr>
                <w:rFonts w:eastAsia="Calibri" w:cs="Tahoma"/>
                <w:szCs w:val="18"/>
              </w:rPr>
              <w:t>CAL Suite per SBS 2011 Premium Add-on con copertura Software Assurance in data 1 agosto 2012 o successiva</w:t>
            </w:r>
          </w:p>
        </w:tc>
        <w:tc>
          <w:tcPr>
            <w:tcW w:w="4788" w:type="dxa"/>
            <w:tcBorders>
              <w:top w:val="single" w:sz="4" w:space="0" w:color="auto"/>
              <w:left w:val="single" w:sz="4" w:space="0" w:color="auto"/>
              <w:bottom w:val="single" w:sz="4" w:space="0" w:color="auto"/>
              <w:right w:val="single" w:sz="4" w:space="0" w:color="auto"/>
            </w:tcBorders>
            <w:shd w:val="clear" w:color="auto" w:fill="auto"/>
            <w:hideMark/>
          </w:tcPr>
          <w:p w:rsidR="00836655" w:rsidRPr="000D43E1" w:rsidRDefault="00836655" w:rsidP="00CA14C9">
            <w:pPr>
              <w:spacing w:line="276" w:lineRule="auto"/>
              <w:rPr>
                <w:rFonts w:cs="Tahoma"/>
                <w:szCs w:val="18"/>
              </w:rPr>
            </w:pPr>
            <w:r w:rsidRPr="000D43E1">
              <w:rPr>
                <w:rFonts w:eastAsia="Calibri" w:cs="Tahoma"/>
                <w:szCs w:val="18"/>
              </w:rPr>
              <w:t>Licenza CAL per Windows Server 2012 con Software Assurance</w:t>
            </w:r>
          </w:p>
          <w:p w:rsidR="00836655" w:rsidRPr="000D43E1" w:rsidRDefault="00836655" w:rsidP="00CA14C9">
            <w:pPr>
              <w:spacing w:line="276" w:lineRule="auto"/>
              <w:rPr>
                <w:rFonts w:eastAsia="Calibri" w:cs="Tahoma"/>
                <w:szCs w:val="18"/>
              </w:rPr>
            </w:pPr>
            <w:r w:rsidRPr="000D43E1">
              <w:rPr>
                <w:rFonts w:eastAsia="Calibri" w:cs="Tahoma"/>
                <w:szCs w:val="18"/>
              </w:rPr>
              <w:t>Licenza CAL per SQL Server 2012 con Software Assurance</w:t>
            </w:r>
          </w:p>
        </w:tc>
      </w:tr>
    </w:tbl>
    <w:p w:rsidR="00836655" w:rsidRPr="00A75DF9" w:rsidRDefault="00836655" w:rsidP="00910113">
      <w:pPr>
        <w:rPr>
          <w:rFonts w:cs="Tahoma"/>
        </w:rPr>
      </w:pPr>
    </w:p>
    <w:p w:rsidR="00836655" w:rsidRPr="000D43E1" w:rsidRDefault="00836655" w:rsidP="000D43E1">
      <w:pPr>
        <w:pStyle w:val="ListParagraph"/>
        <w:contextualSpacing w:val="0"/>
        <w:rPr>
          <w:rFonts w:ascii="Tahoma" w:hAnsi="Tahoma" w:cs="Tahoma"/>
          <w:sz w:val="18"/>
          <w:szCs w:val="18"/>
        </w:rPr>
      </w:pPr>
      <w:r w:rsidRPr="000D43E1">
        <w:rPr>
          <w:rFonts w:ascii="Tahoma" w:eastAsia="Calibri" w:hAnsi="Tahoma" w:cs="Tahoma"/>
          <w:sz w:val="18"/>
          <w:szCs w:val="18"/>
        </w:rPr>
        <w:t>La copertura Software Assurance inclusa nella suddetta concessione scade alla scadenza della corrispondente copertura per le CAL Qualificanti. In via eccezionale, le società con copertura Software Assurance attiva per le CAL Qualificanti in scadenza nel mese di agosto 2012 hanno la possibilità fino al</w:t>
      </w:r>
      <w:r w:rsidR="000D43E1">
        <w:rPr>
          <w:rFonts w:ascii="Tahoma" w:eastAsia="Calibri" w:hAnsi="Tahoma" w:cs="Tahoma"/>
          <w:sz w:val="18"/>
          <w:szCs w:val="18"/>
        </w:rPr>
        <w:t> </w:t>
      </w:r>
      <w:r w:rsidRPr="000D43E1">
        <w:rPr>
          <w:rFonts w:ascii="Tahoma" w:eastAsia="Calibri" w:hAnsi="Tahoma" w:cs="Tahoma"/>
          <w:sz w:val="18"/>
          <w:szCs w:val="18"/>
        </w:rPr>
        <w:t>31</w:t>
      </w:r>
      <w:r w:rsidR="000D43E1">
        <w:rPr>
          <w:rFonts w:ascii="Tahoma" w:eastAsia="Calibri" w:hAnsi="Tahoma" w:cs="Tahoma"/>
          <w:sz w:val="18"/>
          <w:szCs w:val="18"/>
        </w:rPr>
        <w:t> </w:t>
      </w:r>
      <w:r w:rsidRPr="000D43E1">
        <w:rPr>
          <w:rFonts w:ascii="Tahoma" w:eastAsia="Calibri" w:hAnsi="Tahoma" w:cs="Tahoma"/>
          <w:sz w:val="18"/>
          <w:szCs w:val="18"/>
        </w:rPr>
        <w:t>dicembre 2012 di rinnovare la copertura per le CAL ricevute in concessione ai sensi della presente offerta.</w:t>
      </w:r>
      <w:r w:rsidR="009D3B41" w:rsidRPr="000D43E1">
        <w:rPr>
          <w:rFonts w:ascii="Tahoma" w:eastAsia="Calibri" w:hAnsi="Tahoma" w:cs="Tahoma"/>
          <w:sz w:val="18"/>
          <w:szCs w:val="18"/>
        </w:rPr>
        <w:t xml:space="preserve"> </w:t>
      </w:r>
      <w:r w:rsidRPr="000D43E1">
        <w:rPr>
          <w:rFonts w:ascii="Tahoma" w:eastAsia="Calibri" w:hAnsi="Tahoma" w:cs="Tahoma"/>
          <w:sz w:val="18"/>
          <w:szCs w:val="18"/>
        </w:rPr>
        <w:t>Le società con copertura Software Assurance attiva per le Licenze CAL Qualificanti in scadenza nel mese di</w:t>
      </w:r>
      <w:r w:rsidR="000D43E1">
        <w:rPr>
          <w:rFonts w:ascii="Tahoma" w:eastAsia="Calibri" w:hAnsi="Tahoma" w:cs="Tahoma"/>
          <w:sz w:val="18"/>
          <w:szCs w:val="18"/>
        </w:rPr>
        <w:t> </w:t>
      </w:r>
      <w:r w:rsidRPr="000D43E1">
        <w:rPr>
          <w:rFonts w:ascii="Tahoma" w:eastAsia="Calibri" w:hAnsi="Tahoma" w:cs="Tahoma"/>
          <w:sz w:val="18"/>
          <w:szCs w:val="18"/>
        </w:rPr>
        <w:t>luglio 2012 hanno la possibilità fino al 31 dicembre 2012 di acquistare la copertura per le Licenze CAL ricevute in concessione ai sensi della presente offerta.</w:t>
      </w:r>
    </w:p>
    <w:p w:rsidR="00910113" w:rsidRDefault="00910113" w:rsidP="00910113">
      <w:pPr>
        <w:pStyle w:val="ListParagraph"/>
        <w:contextualSpacing w:val="0"/>
        <w:rPr>
          <w:rFonts w:ascii="Tahoma" w:hAnsi="Tahoma" w:cs="Tahoma"/>
          <w:sz w:val="18"/>
          <w:szCs w:val="18"/>
        </w:rPr>
      </w:pPr>
    </w:p>
    <w:p w:rsidR="00836655" w:rsidRPr="000D43E1" w:rsidRDefault="00836655" w:rsidP="00910113">
      <w:pPr>
        <w:pStyle w:val="ListParagraph"/>
        <w:contextualSpacing w:val="0"/>
        <w:rPr>
          <w:rFonts w:ascii="Tahoma" w:hAnsi="Tahoma" w:cs="Tahoma"/>
          <w:sz w:val="18"/>
          <w:szCs w:val="18"/>
        </w:rPr>
      </w:pPr>
      <w:r w:rsidRPr="000D43E1">
        <w:rPr>
          <w:rFonts w:ascii="Tahoma" w:eastAsia="Calibri" w:hAnsi="Tahoma" w:cs="Tahoma"/>
          <w:sz w:val="18"/>
          <w:szCs w:val="18"/>
        </w:rPr>
        <w:t>Nel caso in cui le società abbiano acquistato diritti perpetui previsti dalle CAL qualificanti, le CAL acquistate ai sensi della presente concessione saranno anch</w:t>
      </w:r>
      <w:r w:rsidR="00F2643E">
        <w:rPr>
          <w:rFonts w:ascii="Tahoma" w:eastAsia="Calibri" w:hAnsi="Tahoma" w:cs="Tahoma"/>
          <w:sz w:val="18"/>
          <w:szCs w:val="18"/>
        </w:rPr>
        <w:t>’</w:t>
      </w:r>
      <w:r w:rsidRPr="000D43E1">
        <w:rPr>
          <w:rFonts w:ascii="Tahoma" w:eastAsia="Calibri" w:hAnsi="Tahoma" w:cs="Tahoma"/>
          <w:sz w:val="18"/>
          <w:szCs w:val="18"/>
        </w:rPr>
        <w:t>esse perpetue; diversamente, le CAL acquistate ai sensi della presente concessione cesseranno alla scadenza delle CAL Qualificanti sottostanti.</w:t>
      </w:r>
    </w:p>
    <w:p w:rsidR="00910113" w:rsidRPr="000D43E1" w:rsidRDefault="00910113" w:rsidP="00910113">
      <w:pPr>
        <w:pStyle w:val="ListParagraph"/>
        <w:contextualSpacing w:val="0"/>
        <w:rPr>
          <w:rFonts w:ascii="Tahoma" w:hAnsi="Tahoma" w:cs="Tahoma"/>
          <w:sz w:val="18"/>
          <w:szCs w:val="18"/>
        </w:rPr>
      </w:pPr>
    </w:p>
    <w:p w:rsidR="00836655" w:rsidRPr="000D43E1" w:rsidRDefault="00836655" w:rsidP="00910113">
      <w:pPr>
        <w:pStyle w:val="ListParagraph"/>
        <w:contextualSpacing w:val="0"/>
        <w:rPr>
          <w:rFonts w:ascii="Tahoma" w:hAnsi="Tahoma" w:cs="Tahoma"/>
          <w:sz w:val="18"/>
          <w:szCs w:val="18"/>
        </w:rPr>
      </w:pPr>
      <w:r w:rsidRPr="000D43E1">
        <w:rPr>
          <w:rFonts w:ascii="Tahoma" w:eastAsia="Calibri" w:hAnsi="Tahoma" w:cs="Tahoma"/>
          <w:sz w:val="18"/>
          <w:szCs w:val="18"/>
        </w:rPr>
        <w:t>Per ogni CAL Qualificante acquistata ai sensi del contratto Open Value Subscription, una società potrà eseguire il buy-out di una CAL Suite per SBS 2011 Premium Add-on come indicato o di:</w:t>
      </w:r>
    </w:p>
    <w:p w:rsidR="00910113" w:rsidRPr="000D43E1" w:rsidRDefault="00910113" w:rsidP="00910113">
      <w:pPr>
        <w:pStyle w:val="ListParagraph"/>
        <w:contextualSpacing w:val="0"/>
        <w:rPr>
          <w:rFonts w:ascii="Tahoma" w:hAnsi="Tahoma" w:cs="Tahoma"/>
          <w:sz w:val="18"/>
          <w:szCs w:val="18"/>
        </w:rPr>
      </w:pPr>
    </w:p>
    <w:p w:rsidR="00836655" w:rsidRPr="000D43E1" w:rsidRDefault="00836655" w:rsidP="00346F4B">
      <w:pPr>
        <w:pStyle w:val="ListParagraph"/>
        <w:numPr>
          <w:ilvl w:val="1"/>
          <w:numId w:val="100"/>
        </w:numPr>
        <w:tabs>
          <w:tab w:val="clear" w:pos="1440"/>
        </w:tabs>
        <w:spacing w:after="60"/>
        <w:ind w:hanging="274"/>
        <w:contextualSpacing w:val="0"/>
        <w:rPr>
          <w:rFonts w:ascii="Tahoma" w:hAnsi="Tahoma" w:cs="Tahoma"/>
          <w:sz w:val="18"/>
          <w:szCs w:val="18"/>
        </w:rPr>
      </w:pPr>
      <w:r w:rsidRPr="000D43E1">
        <w:rPr>
          <w:rFonts w:ascii="Tahoma" w:eastAsia="Calibri" w:hAnsi="Tahoma" w:cs="Tahoma"/>
          <w:sz w:val="18"/>
          <w:szCs w:val="18"/>
        </w:rPr>
        <w:t>Una Licenza CAL per Windows Server 2012 e una per SQL Server 2012 per i contratti in scadenza in data 1 agosto 2012 o successiva oppure</w:t>
      </w:r>
    </w:p>
    <w:p w:rsidR="00836655" w:rsidRPr="000D43E1" w:rsidRDefault="00836655" w:rsidP="00346F4B">
      <w:pPr>
        <w:pStyle w:val="ListParagraph"/>
        <w:numPr>
          <w:ilvl w:val="1"/>
          <w:numId w:val="100"/>
        </w:numPr>
        <w:tabs>
          <w:tab w:val="clear" w:pos="1440"/>
        </w:tabs>
        <w:spacing w:after="60"/>
        <w:ind w:hanging="274"/>
        <w:contextualSpacing w:val="0"/>
        <w:rPr>
          <w:rFonts w:ascii="Tahoma" w:hAnsi="Tahoma" w:cs="Tahoma"/>
          <w:sz w:val="18"/>
          <w:szCs w:val="18"/>
        </w:rPr>
      </w:pPr>
      <w:r w:rsidRPr="000D43E1">
        <w:rPr>
          <w:rFonts w:ascii="Tahoma" w:eastAsia="Calibri" w:hAnsi="Tahoma" w:cs="Tahoma"/>
          <w:sz w:val="18"/>
          <w:szCs w:val="18"/>
        </w:rPr>
        <w:t>Una Licenza CAL per Windows Server 2008 e una per SQL Server 2012 per i contratti in scadenza nel mese di luglio 2012.</w:t>
      </w:r>
    </w:p>
    <w:p w:rsidR="00910113" w:rsidRPr="000D43E1" w:rsidRDefault="00910113" w:rsidP="00910113">
      <w:pPr>
        <w:pStyle w:val="ListParagraph"/>
        <w:ind w:left="1800"/>
        <w:contextualSpacing w:val="0"/>
        <w:rPr>
          <w:rFonts w:ascii="Tahoma" w:hAnsi="Tahoma" w:cs="Tahoma"/>
          <w:sz w:val="18"/>
          <w:szCs w:val="18"/>
        </w:rPr>
      </w:pPr>
    </w:p>
    <w:p w:rsidR="00836655" w:rsidRPr="00A75DF9" w:rsidRDefault="00836655" w:rsidP="00910113">
      <w:pPr>
        <w:ind w:left="720"/>
        <w:rPr>
          <w:rFonts w:cs="Tahoma"/>
        </w:rPr>
      </w:pPr>
      <w:r w:rsidRPr="00A75DF9">
        <w:rPr>
          <w:rFonts w:eastAsia="Calibri" w:cs="Tahoma"/>
          <w:szCs w:val="18"/>
        </w:rPr>
        <w:t>Utilizzando le Licenze CAL per Windows Server 2012 e le Licenze CAL per SQL Server 2012 ai sensi della presente concessione, le Premium Add-on CAL Suite Qualificanti per SBS delle società in essere non saranno più valide.</w:t>
      </w:r>
    </w:p>
    <w:p w:rsidR="00910113" w:rsidRPr="00A75DF9" w:rsidRDefault="00910113" w:rsidP="00910113">
      <w:pPr>
        <w:ind w:left="720"/>
        <w:rPr>
          <w:rFonts w:cs="Tahoma"/>
        </w:rPr>
      </w:pPr>
    </w:p>
    <w:p w:rsidR="00836655" w:rsidRPr="00A75DF9" w:rsidRDefault="00836655" w:rsidP="000D43E1">
      <w:pPr>
        <w:ind w:left="720"/>
        <w:rPr>
          <w:rFonts w:cs="Tahoma"/>
        </w:rPr>
      </w:pPr>
      <w:r w:rsidRPr="00A75DF9">
        <w:rPr>
          <w:rFonts w:cs="Tahoma"/>
        </w:rPr>
        <w:t xml:space="preserve">Le </w:t>
      </w:r>
      <w:r w:rsidRPr="00A75DF9">
        <w:rPr>
          <w:rFonts w:cs="Tahoma"/>
          <w:color w:val="000000"/>
        </w:rPr>
        <w:t>Premium Add-on CAL Suite per SBS 2011</w:t>
      </w:r>
      <w:r w:rsidRPr="00A75DF9">
        <w:rPr>
          <w:rFonts w:cs="Tahoma"/>
          <w:bCs/>
          <w:color w:val="000000"/>
          <w:szCs w:val="18"/>
        </w:rPr>
        <w:t xml:space="preserve"> acquistate successivamente nello stesso periodo di validità dell</w:t>
      </w:r>
      <w:r w:rsidR="00F2643E">
        <w:rPr>
          <w:rFonts w:cs="Tahoma"/>
          <w:bCs/>
          <w:color w:val="000000"/>
          <w:szCs w:val="18"/>
        </w:rPr>
        <w:t>’</w:t>
      </w:r>
      <w:r w:rsidRPr="00A75DF9">
        <w:rPr>
          <w:rFonts w:cs="Tahoma"/>
          <w:bCs/>
          <w:color w:val="000000"/>
          <w:szCs w:val="18"/>
        </w:rPr>
        <w:t>iscrizione nell</w:t>
      </w:r>
      <w:r w:rsidR="00F2643E">
        <w:rPr>
          <w:rFonts w:cs="Tahoma"/>
          <w:bCs/>
          <w:color w:val="000000"/>
          <w:szCs w:val="18"/>
        </w:rPr>
        <w:t>’</w:t>
      </w:r>
      <w:r w:rsidRPr="00A75DF9">
        <w:rPr>
          <w:rFonts w:cs="Tahoma"/>
          <w:bCs/>
          <w:color w:val="000000"/>
          <w:szCs w:val="18"/>
        </w:rPr>
        <w:t>ambito di una procedura pianificata di true-up di una società Open Value Subscription o</w:t>
      </w:r>
      <w:r w:rsidR="000D43E1">
        <w:rPr>
          <w:rFonts w:cs="Tahoma"/>
          <w:bCs/>
          <w:color w:val="000000"/>
          <w:szCs w:val="18"/>
        </w:rPr>
        <w:t> </w:t>
      </w:r>
      <w:r w:rsidRPr="00A75DF9">
        <w:rPr>
          <w:rFonts w:cs="Tahoma"/>
          <w:bCs/>
          <w:color w:val="000000"/>
          <w:szCs w:val="18"/>
        </w:rPr>
        <w:t>EES sono anch</w:t>
      </w:r>
      <w:r w:rsidR="00F2643E">
        <w:rPr>
          <w:rFonts w:cs="Tahoma"/>
          <w:bCs/>
          <w:color w:val="000000"/>
          <w:szCs w:val="18"/>
        </w:rPr>
        <w:t>’</w:t>
      </w:r>
      <w:r w:rsidRPr="00A75DF9">
        <w:rPr>
          <w:rFonts w:cs="Tahoma"/>
          <w:bCs/>
          <w:color w:val="000000"/>
          <w:szCs w:val="18"/>
        </w:rPr>
        <w:t>esse Licenze CAL Qualificanti per gli scopi previsti dalla suddetta concessione.</w:t>
      </w:r>
      <w:r w:rsidRPr="00A75DF9">
        <w:rPr>
          <w:rFonts w:eastAsia="Calibri" w:cs="Tahoma"/>
          <w:szCs w:val="18"/>
        </w:rPr>
        <w:t xml:space="preserve"> </w:t>
      </w:r>
    </w:p>
    <w:p w:rsidR="00836655" w:rsidRPr="00A75DF9" w:rsidRDefault="00836655" w:rsidP="00910113">
      <w:pPr>
        <w:rPr>
          <w:rFonts w:cs="Tahoma"/>
        </w:rPr>
      </w:pPr>
    </w:p>
    <w:p w:rsidR="00836655" w:rsidRPr="00A75DF9" w:rsidRDefault="00836655" w:rsidP="00910113">
      <w:pPr>
        <w:widowControl w:val="0"/>
        <w:jc w:val="both"/>
        <w:rPr>
          <w:rFonts w:cs="Tahoma"/>
        </w:rPr>
      </w:pPr>
      <w:bookmarkStart w:id="1658" w:name="_123_Windows_Azure"/>
      <w:bookmarkEnd w:id="1658"/>
    </w:p>
    <w:p w:rsidR="00836655" w:rsidRPr="00A75DF9" w:rsidRDefault="00A560B6" w:rsidP="007B35CE">
      <w:pPr>
        <w:pStyle w:val="Heading2"/>
        <w:keepNext/>
        <w:ind w:left="0"/>
        <w:rPr>
          <w:rFonts w:ascii="Tahoma" w:hAnsi="Tahoma" w:cs="Tahoma"/>
        </w:rPr>
      </w:pPr>
      <w:bookmarkStart w:id="1659" w:name="_124_Windows_Small_1"/>
      <w:bookmarkStart w:id="1660" w:name="_114_Windows_Small"/>
      <w:bookmarkStart w:id="1661" w:name="_118_Windows_Small"/>
      <w:bookmarkStart w:id="1662" w:name="_Toc336338381"/>
      <w:bookmarkStart w:id="1663" w:name="_Toc368310368"/>
      <w:bookmarkEnd w:id="1659"/>
      <w:bookmarkEnd w:id="1660"/>
      <w:bookmarkEnd w:id="1661"/>
      <w:r w:rsidRPr="00A75DF9">
        <w:rPr>
          <w:rFonts w:ascii="Tahoma" w:hAnsi="Tahoma" w:cs="Tahoma"/>
          <w:color w:val="F8701C"/>
          <w:sz w:val="22"/>
          <w:szCs w:val="22"/>
          <w:vertAlign w:val="superscript"/>
        </w:rPr>
        <w:t xml:space="preserve">118 </w:t>
      </w:r>
      <w:r w:rsidRPr="00A75DF9">
        <w:rPr>
          <w:rFonts w:ascii="Tahoma" w:hAnsi="Tahoma" w:cs="Tahoma"/>
          <w:color w:val="F8701C"/>
          <w:sz w:val="22"/>
          <w:szCs w:val="22"/>
        </w:rPr>
        <w:t>Windows Small Business Server 2011 Essentials</w:t>
      </w:r>
      <w:bookmarkEnd w:id="1662"/>
      <w:bookmarkEnd w:id="1663"/>
    </w:p>
    <w:p w:rsidR="003C1BA8" w:rsidRPr="00A75DF9" w:rsidRDefault="003C1BA8" w:rsidP="007B35CE">
      <w:pPr>
        <w:keepNext/>
        <w:rPr>
          <w:rFonts w:cs="Tahoma"/>
        </w:rPr>
      </w:pPr>
    </w:p>
    <w:p w:rsidR="00910113" w:rsidRPr="00A75DF9" w:rsidRDefault="00836655" w:rsidP="00910113">
      <w:pPr>
        <w:spacing w:after="60"/>
        <w:ind w:left="720"/>
        <w:rPr>
          <w:rFonts w:cs="Tahoma"/>
        </w:rPr>
      </w:pPr>
      <w:r w:rsidRPr="00A75DF9">
        <w:rPr>
          <w:rFonts w:cs="Tahoma"/>
          <w:b/>
          <w:bCs/>
          <w:color w:val="000000"/>
        </w:rPr>
        <w:t>Concessioni di Licenza associate alla fine del ciclo di vita di Windows Small Business Server (SBS) 2011 Essentials</w:t>
      </w:r>
      <w:r w:rsidRPr="00A75DF9">
        <w:rPr>
          <w:rFonts w:cs="Tahoma"/>
          <w:color w:val="000000"/>
        </w:rPr>
        <w:t xml:space="preserve"> </w:t>
      </w:r>
    </w:p>
    <w:p w:rsidR="00836655" w:rsidRPr="00A75DF9" w:rsidRDefault="00836655" w:rsidP="000D43E1">
      <w:pPr>
        <w:ind w:left="720"/>
        <w:rPr>
          <w:rFonts w:cs="Tahoma"/>
        </w:rPr>
      </w:pPr>
      <w:r w:rsidRPr="00A75DF9">
        <w:rPr>
          <w:rFonts w:cs="Tahoma"/>
        </w:rPr>
        <w:t>Windows SBS 2011 Essentials sarà l</w:t>
      </w:r>
      <w:r w:rsidR="00F2643E">
        <w:rPr>
          <w:rFonts w:cs="Tahoma"/>
        </w:rPr>
        <w:t>’</w:t>
      </w:r>
      <w:r w:rsidRPr="00A75DF9">
        <w:rPr>
          <w:rFonts w:cs="Tahoma"/>
        </w:rPr>
        <w:t xml:space="preserve">ultima versione di Windows SBS Essentials. Le società titolari di Contratti Multilicenza con copertura Software Assurance attiva per le licenze per Windows SBS 2011 Essentials in data 1 novembre 2012 o in occasione della prima disponibilità di Windows Server 2012 Essentials per il download dal sito Web Volume Licensing Service Center, a seconda di quale evento si verificherà per primo, (“Licenze Qualificanti”) saranno autorizzate a </w:t>
      </w:r>
      <w:r w:rsidRPr="00A75DF9">
        <w:rPr>
          <w:rFonts w:cs="Tahoma"/>
          <w:u w:val="single"/>
        </w:rPr>
        <w:t>effettuare l</w:t>
      </w:r>
      <w:r w:rsidR="00F2643E">
        <w:rPr>
          <w:rFonts w:cs="Tahoma"/>
          <w:u w:val="single"/>
        </w:rPr>
        <w:t>’</w:t>
      </w:r>
      <w:r w:rsidRPr="00A75DF9">
        <w:rPr>
          <w:rFonts w:cs="Tahoma"/>
          <w:u w:val="single"/>
        </w:rPr>
        <w:t>aggiornamento al software Windows Server 2012 Essentials e a</w:t>
      </w:r>
      <w:r w:rsidRPr="00A75DF9">
        <w:rPr>
          <w:rFonts w:cs="Tahoma"/>
        </w:rPr>
        <w:t xml:space="preserve"> utilizzarlo </w:t>
      </w:r>
      <w:r w:rsidRPr="00A75DF9">
        <w:rPr>
          <w:rFonts w:cs="Tahoma"/>
          <w:u w:val="single"/>
        </w:rPr>
        <w:t>al posto di SBS Essentials</w:t>
      </w:r>
      <w:r w:rsidRPr="00A75DF9">
        <w:rPr>
          <w:rFonts w:cs="Tahoma"/>
        </w:rPr>
        <w:t>. Per agevolare tale utilizzo, per ogni Licenza Qualificante in suo possesso, alla società verrà concessa una licenza per Windows Server 2012 Essentials in base alla disponibilità di Windows Server 2012 Essentials. L</w:t>
      </w:r>
      <w:r w:rsidR="00F2643E">
        <w:rPr>
          <w:rFonts w:cs="Tahoma"/>
        </w:rPr>
        <w:t>’</w:t>
      </w:r>
      <w:r w:rsidRPr="00A75DF9">
        <w:rPr>
          <w:rFonts w:cs="Tahoma"/>
        </w:rPr>
        <w:t>utilizzo di Windows Server 2012 Essentials sarà disciplinato ai sensi delle condizioni di licenza per tale prodotto contenute nei Diritti di Utilizzo</w:t>
      </w:r>
      <w:r w:rsidR="000D43E1">
        <w:rPr>
          <w:rFonts w:cs="Tahoma"/>
        </w:rPr>
        <w:t> </w:t>
      </w:r>
      <w:r w:rsidRPr="00A75DF9">
        <w:rPr>
          <w:rFonts w:cs="Tahoma"/>
        </w:rPr>
        <w:t>del Prodotto e alle condizioni dei Contratti Multilicenza della società.</w:t>
      </w:r>
    </w:p>
    <w:p w:rsidR="00836655" w:rsidRDefault="00836655" w:rsidP="00910113">
      <w:pPr>
        <w:ind w:left="720"/>
        <w:rPr>
          <w:rFonts w:cs="Tahoma"/>
        </w:rPr>
      </w:pPr>
    </w:p>
    <w:p w:rsidR="00C35F6B" w:rsidRDefault="00C35F6B" w:rsidP="00910113">
      <w:pPr>
        <w:ind w:left="720"/>
        <w:rPr>
          <w:rFonts w:cs="Tahoma"/>
        </w:rPr>
      </w:pPr>
    </w:p>
    <w:p w:rsidR="00C35F6B" w:rsidRPr="00A75DF9" w:rsidRDefault="00C35F6B" w:rsidP="00910113">
      <w:pPr>
        <w:ind w:left="720"/>
        <w:rPr>
          <w:rFonts w:cs="Tahoma"/>
        </w:rPr>
      </w:pPr>
    </w:p>
    <w:p w:rsidR="00836655" w:rsidRPr="00A75DF9" w:rsidRDefault="00836655" w:rsidP="00910113">
      <w:pPr>
        <w:ind w:left="720"/>
        <w:rPr>
          <w:rFonts w:cs="Tahoma"/>
        </w:rPr>
      </w:pPr>
      <w:r w:rsidRPr="00A75DF9">
        <w:rPr>
          <w:rFonts w:cs="Tahoma"/>
        </w:rPr>
        <w:lastRenderedPageBreak/>
        <w:t>Nel caso in cui le società abbiano acquistato diritti perpetui per utilizzare software ai sensi di Licenze Qualificanti, le licenze acquistate ai sensi della presente concessione saranno anch</w:t>
      </w:r>
      <w:r w:rsidR="00F2643E">
        <w:rPr>
          <w:rFonts w:cs="Tahoma"/>
        </w:rPr>
        <w:t>’</w:t>
      </w:r>
      <w:r w:rsidRPr="00A75DF9">
        <w:rPr>
          <w:rFonts w:cs="Tahoma"/>
        </w:rPr>
        <w:t>esse perpetue; diversamente, le licenze acquistate ai sensi della presente concessione cesseranno alla scadenza delle Licenze Qualificanti sottostanti.</w:t>
      </w:r>
    </w:p>
    <w:p w:rsidR="00836655" w:rsidRPr="00A75DF9" w:rsidRDefault="00836655" w:rsidP="00910113">
      <w:pPr>
        <w:ind w:left="720"/>
        <w:rPr>
          <w:rFonts w:cs="Tahoma"/>
        </w:rPr>
      </w:pPr>
    </w:p>
    <w:p w:rsidR="00836655" w:rsidRPr="00A75DF9" w:rsidRDefault="00836655" w:rsidP="000D43E1">
      <w:pPr>
        <w:ind w:left="720"/>
        <w:rPr>
          <w:rFonts w:cs="Tahoma"/>
        </w:rPr>
      </w:pPr>
      <w:r w:rsidRPr="00A75DF9">
        <w:rPr>
          <w:rFonts w:cs="Tahoma"/>
        </w:rPr>
        <w:t>Eseguendo l</w:t>
      </w:r>
      <w:r w:rsidR="00F2643E">
        <w:rPr>
          <w:rFonts w:cs="Tahoma"/>
        </w:rPr>
        <w:t>’</w:t>
      </w:r>
      <w:r w:rsidRPr="00A75DF9">
        <w:rPr>
          <w:rFonts w:cs="Tahoma"/>
        </w:rPr>
        <w:t>aggiornamento a Windows Server 2012 Essentials ai sensi della presente concessione, le</w:t>
      </w:r>
      <w:r w:rsidR="000D43E1">
        <w:rPr>
          <w:rFonts w:cs="Tahoma"/>
        </w:rPr>
        <w:t> </w:t>
      </w:r>
      <w:r w:rsidRPr="00A75DF9">
        <w:rPr>
          <w:rFonts w:cs="Tahoma"/>
        </w:rPr>
        <w:t>Licenze Qualificanti delle società in essere per SBS Essentials non saranno più valide.</w:t>
      </w:r>
    </w:p>
    <w:p w:rsidR="00836655" w:rsidRPr="00A75DF9" w:rsidRDefault="00836655" w:rsidP="00910113">
      <w:pPr>
        <w:ind w:left="720"/>
        <w:rPr>
          <w:rFonts w:cs="Tahoma"/>
        </w:rPr>
      </w:pPr>
    </w:p>
    <w:p w:rsidR="00836655" w:rsidRPr="00A75DF9" w:rsidRDefault="00836655" w:rsidP="00D16723">
      <w:pPr>
        <w:ind w:left="720"/>
        <w:rPr>
          <w:rFonts w:cs="Tahoma"/>
        </w:rPr>
      </w:pPr>
      <w:r w:rsidRPr="00A75DF9">
        <w:rPr>
          <w:rFonts w:cs="Tahoma"/>
        </w:rPr>
        <w:t>Le licenze per SBS Essentials acquistate successivamente nello stesso periodo di validità dell</w:t>
      </w:r>
      <w:r w:rsidR="00F2643E">
        <w:rPr>
          <w:rFonts w:cs="Tahoma"/>
        </w:rPr>
        <w:t>’</w:t>
      </w:r>
      <w:r w:rsidRPr="00A75DF9">
        <w:rPr>
          <w:rFonts w:cs="Tahoma"/>
        </w:rPr>
        <w:t>iscrizione nell</w:t>
      </w:r>
      <w:r w:rsidR="00F2643E">
        <w:rPr>
          <w:rFonts w:cs="Tahoma"/>
        </w:rPr>
        <w:t>’</w:t>
      </w:r>
      <w:r w:rsidRPr="00A75DF9">
        <w:rPr>
          <w:rFonts w:cs="Tahoma"/>
        </w:rPr>
        <w:t>ambito di una procedura pianificata di true-up di una società Open Value Subscription o EES sono anch</w:t>
      </w:r>
      <w:r w:rsidR="00F2643E">
        <w:rPr>
          <w:rFonts w:cs="Tahoma"/>
        </w:rPr>
        <w:t>’</w:t>
      </w:r>
      <w:r w:rsidRPr="00A75DF9">
        <w:rPr>
          <w:rFonts w:cs="Tahoma"/>
        </w:rPr>
        <w:t>esse Licenze Qualificanti per gli scopi previsti dalla suddetta concessione.</w:t>
      </w:r>
    </w:p>
    <w:p w:rsidR="00C066B5" w:rsidRPr="00A75DF9" w:rsidRDefault="00C066B5" w:rsidP="00D16723">
      <w:pPr>
        <w:ind w:left="720"/>
        <w:rPr>
          <w:rFonts w:cs="Tahoma"/>
        </w:rPr>
      </w:pPr>
    </w:p>
    <w:p w:rsidR="00C066B5" w:rsidRDefault="00C066B5" w:rsidP="00D16723">
      <w:pPr>
        <w:ind w:left="720"/>
        <w:rPr>
          <w:rFonts w:cs="Tahoma"/>
        </w:rPr>
      </w:pPr>
    </w:p>
    <w:p w:rsidR="00C066B5" w:rsidRPr="00A75DF9" w:rsidRDefault="00C066B5" w:rsidP="00C066B5">
      <w:pPr>
        <w:pStyle w:val="Heading3"/>
        <w:rPr>
          <w:rFonts w:ascii="Tahoma" w:hAnsi="Tahoma" w:cs="Tahoma"/>
        </w:rPr>
      </w:pPr>
      <w:bookmarkStart w:id="1664" w:name="_119_Windows_Web_1"/>
      <w:bookmarkStart w:id="1665" w:name="_Toc368310369"/>
      <w:bookmarkEnd w:id="1664"/>
      <w:r w:rsidRPr="00A75DF9">
        <w:rPr>
          <w:rFonts w:ascii="Tahoma" w:hAnsi="Tahoma" w:cs="Tahoma"/>
          <w:caps/>
          <w:color w:val="EE6000"/>
          <w:sz w:val="22"/>
          <w:szCs w:val="18"/>
          <w:vertAlign w:val="superscript"/>
        </w:rPr>
        <w:t>119</w:t>
      </w:r>
      <w:r w:rsidRPr="00A75DF9">
        <w:rPr>
          <w:rFonts w:ascii="Tahoma" w:hAnsi="Tahoma" w:cs="Tahoma"/>
          <w:color w:val="EE6000"/>
          <w:sz w:val="22"/>
          <w:szCs w:val="18"/>
        </w:rPr>
        <w:t xml:space="preserve"> </w:t>
      </w:r>
      <w:r w:rsidRPr="00A75DF9">
        <w:rPr>
          <w:rFonts w:ascii="Tahoma" w:hAnsi="Tahoma" w:cs="Tahoma"/>
          <w:color w:val="F66400"/>
          <w:sz w:val="22"/>
        </w:rPr>
        <w:t>Windows Web Server</w:t>
      </w:r>
      <w:r w:rsidR="009D5D7B" w:rsidRPr="00A75DF9">
        <w:rPr>
          <w:rFonts w:ascii="Tahoma" w:hAnsi="Tahoma" w:cs="Tahoma"/>
          <w:color w:val="F66400"/>
          <w:sz w:val="22"/>
          <w:vertAlign w:val="superscript"/>
        </w:rPr>
        <w:t>®</w:t>
      </w:r>
      <w:r w:rsidRPr="00A75DF9">
        <w:rPr>
          <w:rFonts w:ascii="Tahoma" w:hAnsi="Tahoma" w:cs="Tahoma"/>
          <w:color w:val="F66400"/>
          <w:sz w:val="22"/>
        </w:rPr>
        <w:t xml:space="preserve"> 2008 R2</w:t>
      </w:r>
      <w:bookmarkEnd w:id="1665"/>
    </w:p>
    <w:p w:rsidR="00C066B5" w:rsidRPr="00A75DF9" w:rsidRDefault="00C066B5" w:rsidP="00C066B5">
      <w:pPr>
        <w:rPr>
          <w:rFonts w:cs="Tahoma"/>
        </w:rPr>
      </w:pPr>
    </w:p>
    <w:p w:rsidR="00C066B5" w:rsidRPr="00A75DF9" w:rsidRDefault="00C066B5" w:rsidP="00C066B5">
      <w:pPr>
        <w:tabs>
          <w:tab w:val="left" w:pos="720"/>
        </w:tabs>
        <w:spacing w:after="60"/>
        <w:ind w:left="720"/>
        <w:rPr>
          <w:rFonts w:cs="Tahoma"/>
        </w:rPr>
      </w:pPr>
      <w:r w:rsidRPr="00A75DF9">
        <w:rPr>
          <w:rFonts w:cs="Tahoma"/>
          <w:b/>
          <w:color w:val="000000"/>
        </w:rPr>
        <w:t>Concessioni di licenza associate alla fine del ciclo di vita di Windows Web Server</w:t>
      </w:r>
    </w:p>
    <w:p w:rsidR="00C066B5" w:rsidRPr="00A75DF9" w:rsidRDefault="00C066B5" w:rsidP="00C066B5">
      <w:pPr>
        <w:tabs>
          <w:tab w:val="left" w:pos="720"/>
        </w:tabs>
        <w:ind w:left="720"/>
        <w:rPr>
          <w:rFonts w:cs="Tahoma"/>
        </w:rPr>
      </w:pPr>
      <w:r w:rsidRPr="00A75DF9">
        <w:rPr>
          <w:rFonts w:cs="Tahoma"/>
          <w:color w:val="000000"/>
        </w:rPr>
        <w:t>Windows Server 2008 R2 sarà l</w:t>
      </w:r>
      <w:r w:rsidR="00F2643E">
        <w:rPr>
          <w:rFonts w:cs="Tahoma"/>
          <w:color w:val="000000"/>
        </w:rPr>
        <w:t>’</w:t>
      </w:r>
      <w:r w:rsidRPr="00A75DF9">
        <w:rPr>
          <w:rFonts w:cs="Tahoma"/>
          <w:color w:val="000000"/>
        </w:rPr>
        <w:t xml:space="preserve">ultima versione di Windows Web Server. Le società titolari di Contratti Multilicenza con copertura Software Assurance attiva per le licenze per Windows Web Server 2008 R2 in data 1 settembre 2012 o in occasione della prima disponibilità di Windows Server 2012 per il download dal sito Web Volume Licensing Service Center, a seconda di quale evento si verificherà per primo, (“Licenze Qualificanti”) saranno autorizzate a </w:t>
      </w:r>
      <w:r w:rsidRPr="00A75DF9">
        <w:rPr>
          <w:rFonts w:eastAsia="Calibri" w:cs="Tahoma"/>
          <w:szCs w:val="18"/>
        </w:rPr>
        <w:t xml:space="preserve">utilizzare il software Windows Server 2012 Standard. Per agevolare tale utilizzo, per ogni due Licenze Qualificanti in suo possesso, alla società verrà concessa una licenza per processore per Windows Server 2012 Standard in base alla disponibilità di Windows Server 2012. </w:t>
      </w:r>
    </w:p>
    <w:p w:rsidR="00C066B5" w:rsidRPr="00A75DF9" w:rsidRDefault="00C066B5" w:rsidP="00C066B5">
      <w:pPr>
        <w:tabs>
          <w:tab w:val="left" w:pos="720"/>
        </w:tabs>
        <w:ind w:left="720"/>
        <w:rPr>
          <w:rFonts w:cs="Tahoma"/>
        </w:rPr>
      </w:pPr>
    </w:p>
    <w:p w:rsidR="00C066B5" w:rsidRPr="000D43E1" w:rsidRDefault="00C066B5" w:rsidP="00C066B5">
      <w:pPr>
        <w:numPr>
          <w:ilvl w:val="0"/>
          <w:numId w:val="56"/>
        </w:numPr>
        <w:tabs>
          <w:tab w:val="clear" w:pos="360"/>
          <w:tab w:val="num" w:pos="1440"/>
        </w:tabs>
        <w:spacing w:after="60"/>
        <w:ind w:left="1440"/>
        <w:rPr>
          <w:rFonts w:cs="Tahoma"/>
          <w:szCs w:val="18"/>
        </w:rPr>
      </w:pPr>
      <w:r w:rsidRPr="000D43E1">
        <w:rPr>
          <w:rFonts w:cs="Tahoma"/>
          <w:color w:val="000000"/>
          <w:szCs w:val="18"/>
        </w:rPr>
        <w:t>Qualora una società disponga di un numero dispari di licenze per Web Server, dovrà arrotondarle al successivo numero pari per determinare la quantità concessa.</w:t>
      </w:r>
      <w:r w:rsidR="009D3B41" w:rsidRPr="000D43E1">
        <w:rPr>
          <w:rFonts w:cs="Tahoma"/>
          <w:color w:val="000000"/>
          <w:szCs w:val="18"/>
        </w:rPr>
        <w:t xml:space="preserve"> </w:t>
      </w:r>
      <w:r w:rsidRPr="000D43E1">
        <w:rPr>
          <w:rFonts w:cs="Tahoma"/>
          <w:color w:val="000000"/>
          <w:szCs w:val="18"/>
        </w:rPr>
        <w:t>Ad esempio, una società titolare di tre licenze per Web Server riceverà in totale due licenze per Windows Server 2012 Standard.</w:t>
      </w:r>
    </w:p>
    <w:p w:rsidR="00C066B5" w:rsidRPr="000D43E1" w:rsidRDefault="00C066B5" w:rsidP="00C066B5">
      <w:pPr>
        <w:numPr>
          <w:ilvl w:val="0"/>
          <w:numId w:val="56"/>
        </w:numPr>
        <w:tabs>
          <w:tab w:val="clear" w:pos="360"/>
          <w:tab w:val="num" w:pos="1440"/>
        </w:tabs>
        <w:spacing w:after="60"/>
        <w:ind w:left="1440"/>
        <w:rPr>
          <w:rFonts w:cs="Tahoma"/>
          <w:szCs w:val="18"/>
        </w:rPr>
      </w:pPr>
      <w:r w:rsidRPr="000D43E1">
        <w:rPr>
          <w:rFonts w:eastAsia="Calibri" w:cs="Tahoma"/>
          <w:szCs w:val="18"/>
        </w:rPr>
        <w:t>Eseguendo l</w:t>
      </w:r>
      <w:r w:rsidR="00F2643E">
        <w:rPr>
          <w:rFonts w:eastAsia="Calibri" w:cs="Tahoma"/>
          <w:szCs w:val="18"/>
        </w:rPr>
        <w:t>’</w:t>
      </w:r>
      <w:r w:rsidRPr="000D43E1">
        <w:rPr>
          <w:rFonts w:eastAsia="Calibri" w:cs="Tahoma"/>
          <w:szCs w:val="18"/>
        </w:rPr>
        <w:t>aggiornamento a Windows Server 2012 Standard ai sensi della presente concessione, le licenze in essere per Windows Web Server 2008 R2 rimangono valide.</w:t>
      </w:r>
    </w:p>
    <w:p w:rsidR="00C066B5" w:rsidRPr="000D43E1" w:rsidRDefault="00C066B5" w:rsidP="00C066B5">
      <w:pPr>
        <w:pStyle w:val="ListParagraph"/>
        <w:numPr>
          <w:ilvl w:val="0"/>
          <w:numId w:val="56"/>
        </w:numPr>
        <w:tabs>
          <w:tab w:val="clear" w:pos="360"/>
          <w:tab w:val="num" w:pos="1440"/>
        </w:tabs>
        <w:spacing w:after="60"/>
        <w:ind w:left="1440"/>
        <w:contextualSpacing w:val="0"/>
        <w:rPr>
          <w:rFonts w:ascii="Tahoma" w:hAnsi="Tahoma" w:cs="Tahoma"/>
          <w:sz w:val="18"/>
          <w:szCs w:val="18"/>
        </w:rPr>
      </w:pPr>
      <w:r w:rsidRPr="000D43E1">
        <w:rPr>
          <w:rFonts w:ascii="Tahoma" w:eastAsia="Calibri" w:hAnsi="Tahoma" w:cs="Tahoma"/>
          <w:sz w:val="18"/>
          <w:szCs w:val="18"/>
        </w:rPr>
        <w:t>Le licenze acquistate ai sensi della presente concessione includono la copertura Software Assurance.</w:t>
      </w:r>
      <w:r w:rsidR="009D3B41" w:rsidRPr="000D43E1">
        <w:rPr>
          <w:rFonts w:ascii="Tahoma" w:eastAsia="Calibri" w:hAnsi="Tahoma" w:cs="Tahoma"/>
          <w:sz w:val="18"/>
          <w:szCs w:val="18"/>
        </w:rPr>
        <w:t xml:space="preserve"> </w:t>
      </w:r>
      <w:r w:rsidRPr="000D43E1">
        <w:rPr>
          <w:rFonts w:ascii="Tahoma" w:eastAsia="Calibri" w:hAnsi="Tahoma" w:cs="Tahoma"/>
          <w:sz w:val="18"/>
          <w:szCs w:val="18"/>
        </w:rPr>
        <w:t>Tale copertura cessa alla scadenza della corrispondente copertura per le Licenze Qualificanti.</w:t>
      </w:r>
    </w:p>
    <w:p w:rsidR="00C066B5" w:rsidRPr="000D43E1" w:rsidRDefault="00C066B5" w:rsidP="00C066B5">
      <w:pPr>
        <w:pStyle w:val="ListParagraph"/>
        <w:numPr>
          <w:ilvl w:val="0"/>
          <w:numId w:val="56"/>
        </w:numPr>
        <w:tabs>
          <w:tab w:val="clear" w:pos="360"/>
          <w:tab w:val="num" w:pos="1440"/>
        </w:tabs>
        <w:spacing w:after="60"/>
        <w:ind w:left="1440"/>
        <w:contextualSpacing w:val="0"/>
        <w:rPr>
          <w:rFonts w:ascii="Tahoma" w:hAnsi="Tahoma" w:cs="Tahoma"/>
          <w:sz w:val="18"/>
          <w:szCs w:val="18"/>
        </w:rPr>
      </w:pPr>
      <w:r w:rsidRPr="000D43E1">
        <w:rPr>
          <w:rFonts w:ascii="Tahoma" w:eastAsia="Calibri" w:hAnsi="Tahoma" w:cs="Tahoma"/>
          <w:sz w:val="18"/>
          <w:szCs w:val="18"/>
        </w:rPr>
        <w:t>Nel caso in cui le società abbiano acquistato diritti perpetui per utilizzare software ai sensi di Licenze Qualificanti, le licenze acquistate ai sensi della presente concessione saranno anch</w:t>
      </w:r>
      <w:r w:rsidR="00F2643E">
        <w:rPr>
          <w:rFonts w:ascii="Tahoma" w:eastAsia="Calibri" w:hAnsi="Tahoma" w:cs="Tahoma"/>
          <w:sz w:val="18"/>
          <w:szCs w:val="18"/>
        </w:rPr>
        <w:t>’</w:t>
      </w:r>
      <w:r w:rsidRPr="000D43E1">
        <w:rPr>
          <w:rFonts w:ascii="Tahoma" w:eastAsia="Calibri" w:hAnsi="Tahoma" w:cs="Tahoma"/>
          <w:sz w:val="18"/>
          <w:szCs w:val="18"/>
        </w:rPr>
        <w:t>esse perpetue; diversamente, le licenze acquistate ai sensi della presente concessione cesseranno alla scadenza delle Licenze Qualificanti sottostanti.</w:t>
      </w:r>
    </w:p>
    <w:p w:rsidR="00C066B5" w:rsidRPr="000D43E1" w:rsidRDefault="00C066B5" w:rsidP="00C066B5">
      <w:pPr>
        <w:numPr>
          <w:ilvl w:val="0"/>
          <w:numId w:val="56"/>
        </w:numPr>
        <w:tabs>
          <w:tab w:val="clear" w:pos="360"/>
          <w:tab w:val="num" w:pos="1440"/>
        </w:tabs>
        <w:spacing w:after="60"/>
        <w:ind w:left="1440"/>
        <w:rPr>
          <w:rFonts w:cs="Tahoma"/>
          <w:szCs w:val="18"/>
        </w:rPr>
      </w:pPr>
      <w:r w:rsidRPr="000D43E1">
        <w:rPr>
          <w:rFonts w:cs="Tahoma"/>
          <w:szCs w:val="18"/>
        </w:rPr>
        <w:t xml:space="preserve">Le licenze per </w:t>
      </w:r>
      <w:r w:rsidRPr="000D43E1">
        <w:rPr>
          <w:rFonts w:cs="Tahoma"/>
          <w:color w:val="000000"/>
          <w:szCs w:val="18"/>
        </w:rPr>
        <w:t xml:space="preserve">Windows Web Server 2008 R2 </w:t>
      </w:r>
      <w:r w:rsidRPr="000D43E1">
        <w:rPr>
          <w:rFonts w:cs="Tahoma"/>
          <w:bCs/>
          <w:color w:val="000000"/>
          <w:szCs w:val="18"/>
        </w:rPr>
        <w:t>acquistate successivamente nello stesso periodo di validità dell</w:t>
      </w:r>
      <w:r w:rsidR="00F2643E">
        <w:rPr>
          <w:rFonts w:cs="Tahoma"/>
          <w:bCs/>
          <w:color w:val="000000"/>
          <w:szCs w:val="18"/>
        </w:rPr>
        <w:t>’</w:t>
      </w:r>
      <w:r w:rsidRPr="000D43E1">
        <w:rPr>
          <w:rFonts w:cs="Tahoma"/>
          <w:bCs/>
          <w:color w:val="000000"/>
          <w:szCs w:val="18"/>
        </w:rPr>
        <w:t>iscrizione nell</w:t>
      </w:r>
      <w:r w:rsidR="00F2643E">
        <w:rPr>
          <w:rFonts w:cs="Tahoma"/>
          <w:bCs/>
          <w:color w:val="000000"/>
          <w:szCs w:val="18"/>
        </w:rPr>
        <w:t>’</w:t>
      </w:r>
      <w:r w:rsidRPr="000D43E1">
        <w:rPr>
          <w:rFonts w:cs="Tahoma"/>
          <w:bCs/>
          <w:color w:val="000000"/>
          <w:szCs w:val="18"/>
        </w:rPr>
        <w:t>ambito di una procedura pianificata di true-up di una società Enterprise, Enterprise Subscription, Open Value Subscription o EES sono anch</w:t>
      </w:r>
      <w:r w:rsidR="00F2643E">
        <w:rPr>
          <w:rFonts w:cs="Tahoma"/>
          <w:bCs/>
          <w:color w:val="000000"/>
          <w:szCs w:val="18"/>
        </w:rPr>
        <w:t>’</w:t>
      </w:r>
      <w:r w:rsidRPr="000D43E1">
        <w:rPr>
          <w:rFonts w:cs="Tahoma"/>
          <w:bCs/>
          <w:color w:val="000000"/>
          <w:szCs w:val="18"/>
        </w:rPr>
        <w:t xml:space="preserve">esse Licenze Qualificanti per gli scopi previsti dalla suddetta concessione. </w:t>
      </w:r>
    </w:p>
    <w:p w:rsidR="00C066B5" w:rsidRPr="000D43E1" w:rsidRDefault="00C066B5" w:rsidP="00C066B5">
      <w:pPr>
        <w:numPr>
          <w:ilvl w:val="0"/>
          <w:numId w:val="56"/>
        </w:numPr>
        <w:tabs>
          <w:tab w:val="clear" w:pos="360"/>
          <w:tab w:val="num" w:pos="1440"/>
        </w:tabs>
        <w:spacing w:after="60"/>
        <w:ind w:left="1440"/>
        <w:rPr>
          <w:rFonts w:cs="Tahoma"/>
          <w:szCs w:val="18"/>
        </w:rPr>
      </w:pPr>
      <w:r w:rsidRPr="000D43E1">
        <w:rPr>
          <w:rFonts w:cs="Tahoma"/>
          <w:bCs/>
          <w:color w:val="000000"/>
          <w:szCs w:val="18"/>
        </w:rPr>
        <w:t>Nonostante la concessione di licenze per Windows Server 2012 Standard e di aggiornamenti per tale versione, le obbligazioni di pagamento degli importi scaduti e dovuti per le Licenze Qualificanti e la copertura rimangono pienamente vincolanti ed efficaci.</w:t>
      </w:r>
    </w:p>
    <w:p w:rsidR="00C066B5" w:rsidRPr="00A75DF9" w:rsidRDefault="00C066B5" w:rsidP="00C066B5">
      <w:pPr>
        <w:ind w:left="1440"/>
        <w:rPr>
          <w:rFonts w:cs="Tahoma"/>
        </w:rPr>
      </w:pPr>
    </w:p>
    <w:p w:rsidR="00C066B5" w:rsidRPr="00A75DF9" w:rsidRDefault="00C066B5" w:rsidP="00C066B5">
      <w:pPr>
        <w:spacing w:after="60"/>
        <w:ind w:left="720"/>
        <w:rPr>
          <w:rFonts w:cs="Tahoma"/>
        </w:rPr>
      </w:pPr>
      <w:r w:rsidRPr="00A75DF9">
        <w:rPr>
          <w:rFonts w:eastAsia="Calibri" w:cs="Tahoma"/>
          <w:b/>
          <w:szCs w:val="18"/>
        </w:rPr>
        <w:t>Informazioni aggiuntive sull</w:t>
      </w:r>
      <w:r w:rsidR="00F2643E">
        <w:rPr>
          <w:rFonts w:eastAsia="Calibri" w:cs="Tahoma"/>
          <w:b/>
          <w:szCs w:val="18"/>
        </w:rPr>
        <w:t>’</w:t>
      </w:r>
      <w:r w:rsidRPr="00A75DF9">
        <w:rPr>
          <w:rFonts w:eastAsia="Calibri" w:cs="Tahoma"/>
          <w:b/>
          <w:szCs w:val="18"/>
        </w:rPr>
        <w:t>utilizzo di Windows Server 2012 come Server Web</w:t>
      </w:r>
    </w:p>
    <w:p w:rsidR="00C066B5" w:rsidRPr="00A75DF9" w:rsidRDefault="00C066B5" w:rsidP="000D43E1">
      <w:pPr>
        <w:ind w:left="720"/>
        <w:rPr>
          <w:rFonts w:cs="Tahoma"/>
        </w:rPr>
      </w:pPr>
      <w:r w:rsidRPr="00A75DF9">
        <w:rPr>
          <w:rFonts w:eastAsia="Calibri" w:cs="Tahoma"/>
          <w:szCs w:val="18"/>
        </w:rPr>
        <w:t xml:space="preserve">Quando Windows Server 2012 Standard o Datacenter viene utilizzato come Server Web, non servono licenze CAL per accedere al software. Un </w:t>
      </w:r>
      <w:r w:rsidRPr="00A75DF9">
        <w:rPr>
          <w:rFonts w:cs="Tahoma"/>
        </w:rPr>
        <w:t>“Carico di Lavoro Web” indica un carico di lavoro nel quale</w:t>
      </w:r>
      <w:r w:rsidRPr="00A75DF9">
        <w:rPr>
          <w:rFonts w:cs="Tahoma"/>
          <w:bCs/>
        </w:rPr>
        <w:t xml:space="preserve"> </w:t>
      </w:r>
      <w:r w:rsidRPr="00A75DF9">
        <w:rPr>
          <w:rFonts w:cs="Tahoma"/>
        </w:rPr>
        <w:t>il software viene utilizzato come server Web front-end per lo sviluppo e la distribuzione di pagine Web accessibili su</w:t>
      </w:r>
      <w:r w:rsidR="000D43E1">
        <w:rPr>
          <w:rFonts w:cs="Tahoma"/>
        </w:rPr>
        <w:t> </w:t>
      </w:r>
      <w:r w:rsidRPr="00A75DF9">
        <w:rPr>
          <w:rFonts w:cs="Tahoma"/>
        </w:rPr>
        <w:t>Internet, siti Web, applicazioni Web e servizi Web e nel quale il servizio di posta POP3 e l</w:t>
      </w:r>
      <w:r w:rsidR="00F2643E">
        <w:rPr>
          <w:rFonts w:cs="Tahoma"/>
        </w:rPr>
        <w:t>’</w:t>
      </w:r>
      <w:r w:rsidRPr="00A75DF9">
        <w:rPr>
          <w:rFonts w:cs="Tahoma"/>
        </w:rPr>
        <w:t>accesso a</w:t>
      </w:r>
      <w:r w:rsidR="000D43E1">
        <w:rPr>
          <w:rFonts w:cs="Tahoma"/>
        </w:rPr>
        <w:t> </w:t>
      </w:r>
      <w:r w:rsidRPr="00A75DF9">
        <w:rPr>
          <w:rFonts w:cs="Tahoma"/>
        </w:rPr>
        <w:t>contenuti, informazioni e applicazioni servite dal software non</w:t>
      </w:r>
      <w:r w:rsidRPr="00A75DF9">
        <w:rPr>
          <w:rFonts w:cs="Tahoma"/>
          <w:u w:val="single"/>
        </w:rPr>
        <w:t xml:space="preserve"> </w:t>
      </w:r>
      <w:r w:rsidRPr="00A75DF9">
        <w:rPr>
          <w:rFonts w:cs="Tahoma"/>
        </w:rPr>
        <w:t>sono limitati ai dipendenti.</w:t>
      </w:r>
      <w:r w:rsidR="009D3B41" w:rsidRPr="00A75DF9">
        <w:rPr>
          <w:rFonts w:cs="Tahoma"/>
        </w:rPr>
        <w:t xml:space="preserve"> </w:t>
      </w:r>
      <w:r w:rsidRPr="00A75DF9">
        <w:rPr>
          <w:rFonts w:eastAsia="Calibri" w:cs="Tahoma"/>
          <w:szCs w:val="18"/>
        </w:rPr>
        <w:t>Ulteriori dettagli sono disponibili nei Diritti di Utilizzo del Prodotto.</w:t>
      </w:r>
    </w:p>
    <w:sectPr w:rsidR="00C066B5" w:rsidRPr="00A75DF9" w:rsidSect="00B40674">
      <w:footerReference w:type="default" r:id="rId54"/>
      <w:headerReference w:type="first" r:id="rId55"/>
      <w:footerReference w:type="first" r:id="rId56"/>
      <w:endnotePr>
        <w:numFmt w:val="decimal"/>
      </w:endnotePr>
      <w:pgSz w:w="12240" w:h="15840" w:code="1"/>
      <w:pgMar w:top="117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54770" w:rsidRDefault="00B54770">
      <w:r>
        <w:separator/>
      </w:r>
    </w:p>
  </w:endnote>
  <w:endnote w:type="continuationSeparator" w:id="0">
    <w:p w:rsidR="00B54770" w:rsidRDefault="00B54770">
      <w:r>
        <w:continuationSeparator/>
      </w:r>
    </w:p>
  </w:endnote>
  <w:endnote w:type="continuationNotice" w:id="1">
    <w:p w:rsidR="00B54770" w:rsidRDefault="00B5477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ebdings">
    <w:panose1 w:val="05030102010509060703"/>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3"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S UI Gothic">
    <w:panose1 w:val="020B0600070205080204"/>
    <w:charset w:val="80"/>
    <w:family w:val="swiss"/>
    <w:pitch w:val="variable"/>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C5829" w:rsidRDefault="001C5829" w:rsidP="00791108">
    <w:pPr>
      <w:pStyle w:val="Footer"/>
      <w:pBdr>
        <w:top w:val="single" w:sz="6" w:space="1" w:color="808080"/>
      </w:pBdr>
      <w:tabs>
        <w:tab w:val="clear" w:pos="5155"/>
        <w:tab w:val="clear" w:pos="10325"/>
        <w:tab w:val="right" w:pos="10620"/>
      </w:tabs>
      <w:ind w:left="-540"/>
      <w:rPr>
        <w:rFonts w:ascii="Trebuchet MS" w:hAnsi="Trebuchet MS"/>
        <w:color w:val="808080"/>
        <w:sz w:val="14"/>
      </w:rPr>
    </w:pPr>
    <w:r>
      <w:rPr>
        <w:rFonts w:ascii="Trebuchet MS" w:hAnsi="Trebuchet MS"/>
        <w:color w:val="808080"/>
        <w:sz w:val="14"/>
      </w:rPr>
      <w:t xml:space="preserve">© 2009 Microsoft Corporation. </w:t>
    </w:r>
    <w:proofErr w:type="spellStart"/>
    <w:r>
      <w:rPr>
        <w:rFonts w:ascii="Trebuchet MS" w:hAnsi="Trebuchet MS"/>
        <w:color w:val="808080"/>
        <w:sz w:val="14"/>
      </w:rPr>
      <w:t>Tutti</w:t>
    </w:r>
    <w:proofErr w:type="spellEnd"/>
    <w:r>
      <w:rPr>
        <w:rFonts w:ascii="Trebuchet MS" w:hAnsi="Trebuchet MS"/>
        <w:color w:val="808080"/>
        <w:sz w:val="14"/>
      </w:rPr>
      <w:t xml:space="preserve"> </w:t>
    </w:r>
    <w:proofErr w:type="spellStart"/>
    <w:r>
      <w:rPr>
        <w:rFonts w:ascii="Trebuchet MS" w:hAnsi="Trebuchet MS"/>
        <w:color w:val="808080"/>
        <w:sz w:val="14"/>
      </w:rPr>
      <w:t>i</w:t>
    </w:r>
    <w:proofErr w:type="spellEnd"/>
    <w:r>
      <w:rPr>
        <w:rFonts w:ascii="Trebuchet MS" w:hAnsi="Trebuchet MS"/>
        <w:color w:val="808080"/>
        <w:sz w:val="14"/>
      </w:rPr>
      <w:t xml:space="preserve"> </w:t>
    </w:r>
    <w:proofErr w:type="spellStart"/>
    <w:r>
      <w:rPr>
        <w:rFonts w:ascii="Trebuchet MS" w:hAnsi="Trebuchet MS"/>
        <w:color w:val="808080"/>
        <w:sz w:val="14"/>
      </w:rPr>
      <w:t>diritti</w:t>
    </w:r>
    <w:proofErr w:type="spellEnd"/>
    <w:r>
      <w:rPr>
        <w:rFonts w:ascii="Trebuchet MS" w:hAnsi="Trebuchet MS"/>
        <w:color w:val="808080"/>
        <w:sz w:val="14"/>
      </w:rPr>
      <w:t xml:space="preserve"> </w:t>
    </w:r>
    <w:proofErr w:type="spellStart"/>
    <w:r>
      <w:rPr>
        <w:rFonts w:ascii="Trebuchet MS" w:hAnsi="Trebuchet MS"/>
        <w:color w:val="808080"/>
        <w:sz w:val="14"/>
      </w:rPr>
      <w:t>riservati</w:t>
    </w:r>
    <w:proofErr w:type="spellEnd"/>
    <w:r>
      <w:rPr>
        <w:rFonts w:ascii="Trebuchet MS" w:hAnsi="Trebuchet MS"/>
        <w:color w:val="808080"/>
        <w:sz w:val="14"/>
      </w:rPr>
      <w:t>.</w:t>
    </w:r>
    <w:r>
      <w:rPr>
        <w:rFonts w:ascii="Trebuchet MS" w:hAnsi="Trebuchet MS"/>
        <w:color w:val="808080"/>
        <w:sz w:val="14"/>
      </w:rPr>
      <w:tab/>
    </w:r>
    <w:proofErr w:type="spellStart"/>
    <w:r>
      <w:rPr>
        <w:rFonts w:ascii="Trebuchet MS" w:hAnsi="Trebuchet MS"/>
        <w:color w:val="808080"/>
        <w:sz w:val="14"/>
      </w:rPr>
      <w:t>Pagina</w:t>
    </w:r>
    <w:proofErr w:type="spellEnd"/>
    <w:r>
      <w:rPr>
        <w:rFonts w:ascii="Trebuchet MS" w:hAnsi="Trebuchet MS"/>
        <w:color w:val="808080"/>
        <w:sz w:val="14"/>
      </w:rPr>
      <w:t xml:space="preserve"> </w:t>
    </w:r>
    <w:r>
      <w:fldChar w:fldCharType="begin"/>
    </w:r>
    <w:r>
      <w:instrText xml:space="preserve"> PAGE </w:instrText>
    </w:r>
    <w:r>
      <w:fldChar w:fldCharType="separate"/>
    </w:r>
    <w:r>
      <w:rPr>
        <w:noProof/>
      </w:rPr>
      <w:t>2</w:t>
    </w:r>
    <w:r>
      <w:fldChar w:fldCharType="end"/>
    </w:r>
    <w:r>
      <w:rPr>
        <w:rFonts w:ascii="Trebuchet MS" w:hAnsi="Trebuchet MS"/>
        <w:color w:val="808080"/>
        <w:sz w:val="14"/>
      </w:rPr>
      <w:t xml:space="preserve"> di </w:t>
    </w:r>
    <w:r w:rsidR="00B54770">
      <w:fldChar w:fldCharType="begin"/>
    </w:r>
    <w:r w:rsidR="00B54770">
      <w:instrText xml:space="preserve"> NUMPAGES </w:instrText>
    </w:r>
    <w:r w:rsidR="00B54770">
      <w:fldChar w:fldCharType="separate"/>
    </w:r>
    <w:r w:rsidR="00C76E1D">
      <w:rPr>
        <w:noProof/>
      </w:rPr>
      <w:t>203</w:t>
    </w:r>
    <w:r w:rsidR="00B54770">
      <w:rPr>
        <w:noProof/>
      </w:rPr>
      <w:fldChar w:fldCharType="end"/>
    </w:r>
    <w:r>
      <w:t xml:space="preserve"> </w:t>
    </w:r>
    <w:proofErr w:type="spellStart"/>
    <w:r>
      <w:t>Pubblicato</w:t>
    </w:r>
    <w:proofErr w:type="spellEnd"/>
    <w:r>
      <w:t xml:space="preserve"> </w:t>
    </w:r>
    <w:proofErr w:type="spellStart"/>
    <w:r>
      <w:t>ad</w:t>
    </w:r>
    <w:proofErr w:type="spellEnd"/>
    <w:r>
      <w:t xml:space="preserve"> </w:t>
    </w:r>
    <w:proofErr w:type="spellStart"/>
    <w:r>
      <w:t>aprile</w:t>
    </w:r>
    <w:proofErr w:type="spellEnd"/>
    <w:r>
      <w:t xml:space="preserve"> 2009</w:t>
    </w:r>
  </w:p>
  <w:p w:rsidR="001C5829" w:rsidRDefault="001C5829">
    <w:pPr>
      <w:pStyle w:val="Footer"/>
      <w:pBdr>
        <w:top w:val="single" w:sz="6" w:space="1" w:color="808080"/>
      </w:pBdr>
      <w:tabs>
        <w:tab w:val="clear" w:pos="5155"/>
        <w:tab w:val="clear" w:pos="10325"/>
        <w:tab w:val="right" w:pos="10620"/>
      </w:tabs>
      <w:ind w:left="-540"/>
      <w:rPr>
        <w:rFonts w:ascii="Verdana" w:hAnsi="Verdana"/>
        <w:color w:val="808080"/>
        <w:sz w:val="16"/>
      </w:rPr>
    </w:pPr>
    <w:r>
      <w:rPr>
        <w:rFonts w:ascii="Trebuchet MS" w:hAnsi="Trebuchet MS"/>
        <w:color w:val="808080"/>
        <w:sz w:val="14"/>
      </w:rPr>
      <w:t xml:space="preserve"> Microsoft è un </w:t>
    </w:r>
    <w:proofErr w:type="spellStart"/>
    <w:r>
      <w:rPr>
        <w:rFonts w:ascii="Trebuchet MS" w:hAnsi="Trebuchet MS"/>
        <w:color w:val="808080"/>
        <w:sz w:val="14"/>
      </w:rPr>
      <w:t>marchio</w:t>
    </w:r>
    <w:proofErr w:type="spellEnd"/>
    <w:r>
      <w:rPr>
        <w:rFonts w:ascii="Trebuchet MS" w:hAnsi="Trebuchet MS"/>
        <w:color w:val="808080"/>
        <w:sz w:val="14"/>
      </w:rPr>
      <w:t xml:space="preserve"> </w:t>
    </w:r>
    <w:proofErr w:type="spellStart"/>
    <w:r>
      <w:rPr>
        <w:rFonts w:ascii="Trebuchet MS" w:hAnsi="Trebuchet MS"/>
        <w:color w:val="808080"/>
        <w:sz w:val="14"/>
      </w:rPr>
      <w:t>registrato</w:t>
    </w:r>
    <w:proofErr w:type="spellEnd"/>
    <w:r>
      <w:rPr>
        <w:rFonts w:ascii="Trebuchet MS" w:hAnsi="Trebuchet MS"/>
        <w:color w:val="808080"/>
        <w:sz w:val="14"/>
      </w:rPr>
      <w:t xml:space="preserve"> di Microsoft Corporation </w:t>
    </w:r>
    <w:proofErr w:type="spellStart"/>
    <w:r>
      <w:rPr>
        <w:rFonts w:ascii="Trebuchet MS" w:hAnsi="Trebuchet MS"/>
        <w:color w:val="808080"/>
        <w:sz w:val="14"/>
      </w:rPr>
      <w:t>negli</w:t>
    </w:r>
    <w:proofErr w:type="spellEnd"/>
    <w:r>
      <w:rPr>
        <w:rFonts w:ascii="Trebuchet MS" w:hAnsi="Trebuchet MS"/>
        <w:color w:val="808080"/>
        <w:sz w:val="14"/>
      </w:rPr>
      <w:t xml:space="preserve"> </w:t>
    </w:r>
    <w:proofErr w:type="spellStart"/>
    <w:r>
      <w:rPr>
        <w:rFonts w:ascii="Trebuchet MS" w:hAnsi="Trebuchet MS"/>
        <w:color w:val="808080"/>
        <w:sz w:val="14"/>
      </w:rPr>
      <w:t>Stati</w:t>
    </w:r>
    <w:proofErr w:type="spellEnd"/>
    <w:r>
      <w:rPr>
        <w:rFonts w:ascii="Trebuchet MS" w:hAnsi="Trebuchet MS"/>
        <w:color w:val="808080"/>
        <w:sz w:val="14"/>
      </w:rPr>
      <w:t xml:space="preserve"> </w:t>
    </w:r>
    <w:proofErr w:type="spellStart"/>
    <w:r>
      <w:rPr>
        <w:rFonts w:ascii="Trebuchet MS" w:hAnsi="Trebuchet MS"/>
        <w:color w:val="808080"/>
        <w:sz w:val="14"/>
      </w:rPr>
      <w:t>Uniti</w:t>
    </w:r>
    <w:proofErr w:type="spellEnd"/>
    <w:r>
      <w:rPr>
        <w:rFonts w:ascii="Trebuchet MS" w:hAnsi="Trebuchet MS"/>
        <w:color w:val="808080"/>
        <w:sz w:val="14"/>
      </w:rPr>
      <w:t xml:space="preserve"> e/o </w:t>
    </w:r>
    <w:proofErr w:type="spellStart"/>
    <w:r>
      <w:rPr>
        <w:rFonts w:ascii="Trebuchet MS" w:hAnsi="Trebuchet MS"/>
        <w:color w:val="808080"/>
        <w:sz w:val="14"/>
      </w:rPr>
      <w:t>negli</w:t>
    </w:r>
    <w:proofErr w:type="spellEnd"/>
    <w:r>
      <w:rPr>
        <w:rFonts w:ascii="Trebuchet MS" w:hAnsi="Trebuchet MS"/>
        <w:color w:val="808080"/>
        <w:sz w:val="14"/>
      </w:rPr>
      <w:t xml:space="preserve"> </w:t>
    </w:r>
    <w:proofErr w:type="spellStart"/>
    <w:r>
      <w:rPr>
        <w:rFonts w:ascii="Trebuchet MS" w:hAnsi="Trebuchet MS"/>
        <w:color w:val="808080"/>
        <w:sz w:val="14"/>
      </w:rPr>
      <w:t>altri</w:t>
    </w:r>
    <w:proofErr w:type="spellEnd"/>
    <w:r>
      <w:rPr>
        <w:rFonts w:ascii="Trebuchet MS" w:hAnsi="Trebuchet MS"/>
        <w:color w:val="808080"/>
        <w:sz w:val="14"/>
      </w:rPr>
      <w:t xml:space="preserve"> </w:t>
    </w:r>
    <w:proofErr w:type="spellStart"/>
    <w:r>
      <w:rPr>
        <w:rFonts w:ascii="Trebuchet MS" w:hAnsi="Trebuchet MS"/>
        <w:color w:val="808080"/>
        <w:sz w:val="14"/>
      </w:rPr>
      <w:t>paesi</w:t>
    </w:r>
    <w:proofErr w:type="spellEnd"/>
    <w:r>
      <w:rPr>
        <w:rFonts w:ascii="Trebuchet MS" w:hAnsi="Trebuchet MS"/>
        <w:color w:val="808080"/>
        <w:sz w:val="14"/>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C5829" w:rsidRDefault="001C5829"/>
  <w:p w:rsidR="001C5829" w:rsidRPr="00FC5A72" w:rsidRDefault="001C5829" w:rsidP="00FC5A72">
    <w:pPr>
      <w:pStyle w:val="Footer"/>
      <w:pBdr>
        <w:top w:val="single" w:sz="6" w:space="1" w:color="808080"/>
      </w:pBdr>
      <w:tabs>
        <w:tab w:val="clear" w:pos="5155"/>
        <w:tab w:val="clear" w:pos="10325"/>
        <w:tab w:val="right" w:pos="9360"/>
      </w:tabs>
      <w:rPr>
        <w:rFonts w:ascii="Trebuchet MS" w:hAnsi="Trebuchet MS"/>
        <w:color w:val="808080"/>
        <w:sz w:val="14"/>
        <w:lang w:val="it-IT"/>
      </w:rPr>
    </w:pPr>
    <w:r w:rsidRPr="00FC5A72">
      <w:rPr>
        <w:rFonts w:ascii="Trebuchet MS" w:hAnsi="Trebuchet MS"/>
        <w:color w:val="808080"/>
        <w:sz w:val="14"/>
        <w:lang w:val="it-IT"/>
      </w:rPr>
      <w:t xml:space="preserve">© </w:t>
    </w:r>
    <w:r w:rsidRPr="00FC5A72">
      <w:rPr>
        <w:rFonts w:ascii="Trebuchet MS" w:hAnsi="Trebuchet MS"/>
        <w:color w:val="808080"/>
        <w:sz w:val="14"/>
        <w:lang w:val="it-IT"/>
      </w:rPr>
      <w:t>2013 Microsoft Corporation. Tutti i diritti riservati.</w:t>
    </w:r>
    <w:r>
      <w:rPr>
        <w:rFonts w:ascii="Trebuchet MS" w:hAnsi="Trebuchet MS"/>
        <w:color w:val="808080"/>
        <w:sz w:val="14"/>
        <w:lang w:val="it-IT"/>
      </w:rPr>
      <w:tab/>
    </w:r>
    <w:r w:rsidRPr="00FC5A72">
      <w:rPr>
        <w:rFonts w:ascii="Trebuchet MS" w:hAnsi="Trebuchet MS"/>
        <w:color w:val="808080"/>
        <w:sz w:val="14"/>
        <w:lang w:val="it-IT"/>
      </w:rPr>
      <w:t xml:space="preserve">Pagina </w:t>
    </w:r>
    <w:r w:rsidRPr="00FC5A72">
      <w:rPr>
        <w:noProof/>
        <w:color w:val="000000" w:themeColor="text1"/>
        <w:szCs w:val="18"/>
        <w:lang w:val="it-IT"/>
      </w:rPr>
      <w:fldChar w:fldCharType="begin"/>
    </w:r>
    <w:r w:rsidRPr="00FC5A72">
      <w:rPr>
        <w:noProof/>
        <w:color w:val="000000" w:themeColor="text1"/>
        <w:szCs w:val="18"/>
        <w:lang w:val="it-IT"/>
      </w:rPr>
      <w:instrText xml:space="preserve"> PAGE </w:instrText>
    </w:r>
    <w:r w:rsidRPr="00FC5A72">
      <w:rPr>
        <w:noProof/>
        <w:color w:val="000000" w:themeColor="text1"/>
        <w:szCs w:val="18"/>
        <w:lang w:val="it-IT"/>
      </w:rPr>
      <w:fldChar w:fldCharType="separate"/>
    </w:r>
    <w:r w:rsidR="00376B4E">
      <w:rPr>
        <w:noProof/>
        <w:color w:val="000000" w:themeColor="text1"/>
        <w:szCs w:val="18"/>
        <w:lang w:val="it-IT"/>
      </w:rPr>
      <w:t>1</w:t>
    </w:r>
    <w:r w:rsidRPr="00FC5A72">
      <w:rPr>
        <w:noProof/>
        <w:color w:val="000000" w:themeColor="text1"/>
        <w:szCs w:val="18"/>
        <w:lang w:val="it-IT"/>
      </w:rPr>
      <w:fldChar w:fldCharType="end"/>
    </w:r>
    <w:r w:rsidRPr="00FC5A72">
      <w:rPr>
        <w:rFonts w:ascii="Trebuchet MS" w:hAnsi="Trebuchet MS"/>
        <w:color w:val="808080"/>
        <w:sz w:val="14"/>
        <w:lang w:val="it-IT"/>
      </w:rPr>
      <w:t xml:space="preserve"> di </w:t>
    </w:r>
    <w:r w:rsidRPr="00FC5A72">
      <w:rPr>
        <w:noProof/>
        <w:color w:val="000000" w:themeColor="text1"/>
        <w:szCs w:val="18"/>
        <w:lang w:val="it-IT"/>
      </w:rPr>
      <w:fldChar w:fldCharType="begin"/>
    </w:r>
    <w:r w:rsidRPr="00FC5A72">
      <w:rPr>
        <w:noProof/>
        <w:color w:val="000000" w:themeColor="text1"/>
        <w:szCs w:val="18"/>
        <w:lang w:val="it-IT"/>
      </w:rPr>
      <w:instrText xml:space="preserve"> NUMPAGES </w:instrText>
    </w:r>
    <w:r w:rsidRPr="00FC5A72">
      <w:rPr>
        <w:noProof/>
        <w:color w:val="000000" w:themeColor="text1"/>
        <w:szCs w:val="18"/>
        <w:lang w:val="it-IT"/>
      </w:rPr>
      <w:fldChar w:fldCharType="separate"/>
    </w:r>
    <w:r w:rsidR="00376B4E">
      <w:rPr>
        <w:noProof/>
        <w:color w:val="000000" w:themeColor="text1"/>
        <w:szCs w:val="18"/>
        <w:lang w:val="it-IT"/>
      </w:rPr>
      <w:t>203</w:t>
    </w:r>
    <w:r w:rsidRPr="00FC5A72">
      <w:rPr>
        <w:noProof/>
        <w:color w:val="000000" w:themeColor="text1"/>
        <w:szCs w:val="18"/>
        <w:lang w:val="it-IT"/>
      </w:rPr>
      <w:fldChar w:fldCharType="end"/>
    </w:r>
    <w:r w:rsidRPr="00FC5A72">
      <w:rPr>
        <w:rFonts w:ascii="Trebuchet MS" w:hAnsi="Trebuchet MS"/>
        <w:color w:val="808080"/>
        <w:sz w:val="14"/>
        <w:lang w:val="it-IT"/>
      </w:rPr>
      <w:t xml:space="preserve"> Pubblicato a Ottobre 2013</w:t>
    </w:r>
  </w:p>
  <w:p w:rsidR="001C5829" w:rsidRPr="00FC5A72" w:rsidRDefault="001C5829" w:rsidP="00FC5A72">
    <w:pPr>
      <w:pStyle w:val="Footer"/>
      <w:pBdr>
        <w:top w:val="single" w:sz="6" w:space="1" w:color="808080"/>
      </w:pBdr>
      <w:tabs>
        <w:tab w:val="clear" w:pos="5155"/>
        <w:tab w:val="clear" w:pos="10325"/>
        <w:tab w:val="right" w:pos="9360"/>
      </w:tabs>
      <w:rPr>
        <w:rFonts w:ascii="Trebuchet MS" w:hAnsi="Trebuchet MS"/>
        <w:color w:val="808080"/>
        <w:sz w:val="14"/>
        <w:lang w:val="it-IT"/>
      </w:rPr>
    </w:pPr>
    <w:r w:rsidRPr="00FC5A72">
      <w:rPr>
        <w:rFonts w:ascii="Trebuchet MS" w:hAnsi="Trebuchet MS"/>
        <w:color w:val="808080"/>
        <w:sz w:val="14"/>
        <w:lang w:val="it-IT"/>
      </w:rPr>
      <w:t>Microsoft è un marchio registrato di Microsoft Corporation negli Stati Uniti e/o negli altri paesi.</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C5829" w:rsidRDefault="001C5829" w:rsidP="00FC5A72"/>
  <w:p w:rsidR="001C5829" w:rsidRPr="00FC5A72" w:rsidRDefault="001C5829" w:rsidP="00FC5A72">
    <w:pPr>
      <w:pStyle w:val="Footer"/>
      <w:pBdr>
        <w:top w:val="single" w:sz="6" w:space="1" w:color="808080"/>
      </w:pBdr>
      <w:tabs>
        <w:tab w:val="clear" w:pos="5155"/>
        <w:tab w:val="clear" w:pos="10325"/>
        <w:tab w:val="right" w:pos="9360"/>
      </w:tabs>
      <w:rPr>
        <w:rFonts w:ascii="Trebuchet MS" w:hAnsi="Trebuchet MS"/>
        <w:color w:val="808080"/>
        <w:sz w:val="14"/>
        <w:lang w:val="it-IT"/>
      </w:rPr>
    </w:pPr>
    <w:r w:rsidRPr="00FC5A72">
      <w:rPr>
        <w:rFonts w:ascii="Trebuchet MS" w:hAnsi="Trebuchet MS"/>
        <w:color w:val="808080"/>
        <w:sz w:val="14"/>
        <w:lang w:val="it-IT"/>
      </w:rPr>
      <w:t xml:space="preserve">© 2013 </w:t>
    </w:r>
    <w:r w:rsidRPr="00FC5A72">
      <w:rPr>
        <w:rFonts w:ascii="Trebuchet MS" w:hAnsi="Trebuchet MS"/>
        <w:color w:val="808080"/>
        <w:sz w:val="14"/>
        <w:lang w:val="it-IT"/>
      </w:rPr>
      <w:t>Microsoft Corporation. Tutti i diritti riservati.</w:t>
    </w:r>
    <w:r>
      <w:rPr>
        <w:rFonts w:ascii="Trebuchet MS" w:hAnsi="Trebuchet MS"/>
        <w:color w:val="808080"/>
        <w:sz w:val="14"/>
        <w:lang w:val="it-IT"/>
      </w:rPr>
      <w:tab/>
    </w:r>
    <w:r w:rsidRPr="00FC5A72">
      <w:rPr>
        <w:rFonts w:ascii="Trebuchet MS" w:hAnsi="Trebuchet MS"/>
        <w:color w:val="808080"/>
        <w:sz w:val="14"/>
        <w:lang w:val="it-IT"/>
      </w:rPr>
      <w:t xml:space="preserve">Pagina </w:t>
    </w:r>
    <w:r w:rsidRPr="00FC5A72">
      <w:rPr>
        <w:noProof/>
        <w:color w:val="000000" w:themeColor="text1"/>
        <w:szCs w:val="18"/>
        <w:lang w:val="it-IT"/>
      </w:rPr>
      <w:fldChar w:fldCharType="begin"/>
    </w:r>
    <w:r w:rsidRPr="00FC5A72">
      <w:rPr>
        <w:noProof/>
        <w:color w:val="000000" w:themeColor="text1"/>
        <w:szCs w:val="18"/>
        <w:lang w:val="it-IT"/>
      </w:rPr>
      <w:instrText xml:space="preserve"> PAGE </w:instrText>
    </w:r>
    <w:r w:rsidRPr="00FC5A72">
      <w:rPr>
        <w:noProof/>
        <w:color w:val="000000" w:themeColor="text1"/>
        <w:szCs w:val="18"/>
        <w:lang w:val="it-IT"/>
      </w:rPr>
      <w:fldChar w:fldCharType="separate"/>
    </w:r>
    <w:r w:rsidR="00376B4E">
      <w:rPr>
        <w:noProof/>
        <w:color w:val="000000" w:themeColor="text1"/>
        <w:szCs w:val="18"/>
        <w:lang w:val="it-IT"/>
      </w:rPr>
      <w:t>2</w:t>
    </w:r>
    <w:r w:rsidRPr="00FC5A72">
      <w:rPr>
        <w:noProof/>
        <w:color w:val="000000" w:themeColor="text1"/>
        <w:szCs w:val="18"/>
        <w:lang w:val="it-IT"/>
      </w:rPr>
      <w:fldChar w:fldCharType="end"/>
    </w:r>
    <w:r w:rsidRPr="00FC5A72">
      <w:rPr>
        <w:rFonts w:ascii="Trebuchet MS" w:hAnsi="Trebuchet MS"/>
        <w:color w:val="808080"/>
        <w:sz w:val="14"/>
        <w:lang w:val="it-IT"/>
      </w:rPr>
      <w:t xml:space="preserve"> di </w:t>
    </w:r>
    <w:r w:rsidRPr="00FC5A72">
      <w:rPr>
        <w:noProof/>
        <w:color w:val="000000" w:themeColor="text1"/>
        <w:szCs w:val="18"/>
        <w:lang w:val="it-IT"/>
      </w:rPr>
      <w:fldChar w:fldCharType="begin"/>
    </w:r>
    <w:r w:rsidRPr="00FC5A72">
      <w:rPr>
        <w:noProof/>
        <w:color w:val="000000" w:themeColor="text1"/>
        <w:szCs w:val="18"/>
        <w:lang w:val="it-IT"/>
      </w:rPr>
      <w:instrText xml:space="preserve"> NUMPAGES </w:instrText>
    </w:r>
    <w:r w:rsidRPr="00FC5A72">
      <w:rPr>
        <w:noProof/>
        <w:color w:val="000000" w:themeColor="text1"/>
        <w:szCs w:val="18"/>
        <w:lang w:val="it-IT"/>
      </w:rPr>
      <w:fldChar w:fldCharType="separate"/>
    </w:r>
    <w:r w:rsidR="00376B4E">
      <w:rPr>
        <w:noProof/>
        <w:color w:val="000000" w:themeColor="text1"/>
        <w:szCs w:val="18"/>
        <w:lang w:val="it-IT"/>
      </w:rPr>
      <w:t>203</w:t>
    </w:r>
    <w:r w:rsidRPr="00FC5A72">
      <w:rPr>
        <w:noProof/>
        <w:color w:val="000000" w:themeColor="text1"/>
        <w:szCs w:val="18"/>
        <w:lang w:val="it-IT"/>
      </w:rPr>
      <w:fldChar w:fldCharType="end"/>
    </w:r>
    <w:r w:rsidRPr="00FC5A72">
      <w:rPr>
        <w:rFonts w:ascii="Trebuchet MS" w:hAnsi="Trebuchet MS"/>
        <w:color w:val="808080"/>
        <w:sz w:val="14"/>
        <w:lang w:val="it-IT"/>
      </w:rPr>
      <w:t xml:space="preserve"> Pubblicato a Ottobre 2013</w:t>
    </w:r>
  </w:p>
  <w:p w:rsidR="001C5829" w:rsidRPr="00FC5A72" w:rsidRDefault="001C5829" w:rsidP="00FC5A72">
    <w:pPr>
      <w:pStyle w:val="Footer"/>
      <w:pBdr>
        <w:top w:val="single" w:sz="6" w:space="1" w:color="808080"/>
      </w:pBdr>
      <w:tabs>
        <w:tab w:val="clear" w:pos="5155"/>
        <w:tab w:val="clear" w:pos="10325"/>
        <w:tab w:val="right" w:pos="9360"/>
      </w:tabs>
      <w:rPr>
        <w:rFonts w:ascii="Trebuchet MS" w:hAnsi="Trebuchet MS"/>
        <w:color w:val="808080"/>
        <w:sz w:val="14"/>
        <w:lang w:val="it-IT"/>
      </w:rPr>
    </w:pPr>
    <w:r w:rsidRPr="00FC5A72">
      <w:rPr>
        <w:rFonts w:ascii="Trebuchet MS" w:hAnsi="Trebuchet MS"/>
        <w:color w:val="808080"/>
        <w:sz w:val="14"/>
        <w:lang w:val="it-IT"/>
      </w:rPr>
      <w:t>Microsoft è un marchio registrato di Microsoft Corporation negli Stati Uniti e/o negli altri paesi.</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C5829" w:rsidRDefault="001C5829"/>
  <w:p w:rsidR="001C5829" w:rsidRDefault="001C5829">
    <w:pPr>
      <w:pStyle w:val="Footer"/>
      <w:pBdr>
        <w:top w:val="single" w:sz="6" w:space="1" w:color="808080"/>
      </w:pBdr>
      <w:tabs>
        <w:tab w:val="clear" w:pos="5155"/>
        <w:tab w:val="clear" w:pos="10325"/>
        <w:tab w:val="right" w:pos="10620"/>
      </w:tabs>
      <w:rPr>
        <w:rFonts w:ascii="Trebuchet MS" w:hAnsi="Trebuchet MS"/>
        <w:color w:val="808080"/>
        <w:sz w:val="14"/>
      </w:rPr>
    </w:pPr>
    <w:r>
      <w:rPr>
        <w:rFonts w:ascii="Trebuchet MS" w:hAnsi="Trebuchet MS"/>
        <w:color w:val="808080"/>
        <w:sz w:val="14"/>
      </w:rPr>
      <w:t xml:space="preserve">© 2009 Microsoft Corporation. </w:t>
    </w:r>
    <w:proofErr w:type="spellStart"/>
    <w:r>
      <w:rPr>
        <w:rFonts w:ascii="Trebuchet MS" w:hAnsi="Trebuchet MS"/>
        <w:color w:val="808080"/>
        <w:sz w:val="14"/>
      </w:rPr>
      <w:t>Tutti</w:t>
    </w:r>
    <w:proofErr w:type="spellEnd"/>
    <w:r>
      <w:rPr>
        <w:rFonts w:ascii="Trebuchet MS" w:hAnsi="Trebuchet MS"/>
        <w:color w:val="808080"/>
        <w:sz w:val="14"/>
      </w:rPr>
      <w:t xml:space="preserve"> </w:t>
    </w:r>
    <w:proofErr w:type="spellStart"/>
    <w:r>
      <w:rPr>
        <w:rFonts w:ascii="Trebuchet MS" w:hAnsi="Trebuchet MS"/>
        <w:color w:val="808080"/>
        <w:sz w:val="14"/>
      </w:rPr>
      <w:t>i</w:t>
    </w:r>
    <w:proofErr w:type="spellEnd"/>
    <w:r>
      <w:rPr>
        <w:rFonts w:ascii="Trebuchet MS" w:hAnsi="Trebuchet MS"/>
        <w:color w:val="808080"/>
        <w:sz w:val="14"/>
      </w:rPr>
      <w:t xml:space="preserve"> </w:t>
    </w:r>
    <w:proofErr w:type="spellStart"/>
    <w:r>
      <w:rPr>
        <w:rFonts w:ascii="Trebuchet MS" w:hAnsi="Trebuchet MS"/>
        <w:color w:val="808080"/>
        <w:sz w:val="14"/>
      </w:rPr>
      <w:t>diritti</w:t>
    </w:r>
    <w:proofErr w:type="spellEnd"/>
    <w:r>
      <w:rPr>
        <w:rFonts w:ascii="Trebuchet MS" w:hAnsi="Trebuchet MS"/>
        <w:color w:val="808080"/>
        <w:sz w:val="14"/>
      </w:rPr>
      <w:t xml:space="preserve"> </w:t>
    </w:r>
    <w:proofErr w:type="spellStart"/>
    <w:r>
      <w:rPr>
        <w:rFonts w:ascii="Trebuchet MS" w:hAnsi="Trebuchet MS"/>
        <w:color w:val="808080"/>
        <w:sz w:val="14"/>
      </w:rPr>
      <w:t>riservati</w:t>
    </w:r>
    <w:proofErr w:type="spellEnd"/>
    <w:r>
      <w:rPr>
        <w:rFonts w:ascii="Trebuchet MS" w:hAnsi="Trebuchet MS"/>
        <w:color w:val="808080"/>
        <w:sz w:val="14"/>
      </w:rPr>
      <w:t xml:space="preserve">.                                          </w:t>
    </w:r>
    <w:proofErr w:type="spellStart"/>
    <w:r>
      <w:rPr>
        <w:rFonts w:ascii="Trebuchet MS" w:hAnsi="Trebuchet MS"/>
        <w:color w:val="808080"/>
        <w:sz w:val="14"/>
      </w:rPr>
      <w:t>Pagina</w:t>
    </w:r>
    <w:proofErr w:type="spellEnd"/>
    <w:r>
      <w:rPr>
        <w:rFonts w:ascii="Trebuchet MS" w:hAnsi="Trebuchet MS"/>
        <w:color w:val="808080"/>
        <w:sz w:val="14"/>
      </w:rPr>
      <w:t xml:space="preserve"> </w:t>
    </w:r>
    <w:r>
      <w:fldChar w:fldCharType="begin"/>
    </w:r>
    <w:r>
      <w:instrText xml:space="preserve"> PAGE </w:instrText>
    </w:r>
    <w:r>
      <w:fldChar w:fldCharType="separate"/>
    </w:r>
    <w:r>
      <w:rPr>
        <w:noProof/>
      </w:rPr>
      <w:t>1</w:t>
    </w:r>
    <w:r>
      <w:fldChar w:fldCharType="end"/>
    </w:r>
    <w:r>
      <w:rPr>
        <w:rFonts w:ascii="Trebuchet MS" w:hAnsi="Trebuchet MS"/>
        <w:color w:val="808080"/>
        <w:sz w:val="14"/>
      </w:rPr>
      <w:t xml:space="preserve"> di </w:t>
    </w:r>
    <w:r w:rsidR="00B54770">
      <w:fldChar w:fldCharType="begin"/>
    </w:r>
    <w:r w:rsidR="00B54770">
      <w:instrText xml:space="preserve"> NUMPAGES </w:instrText>
    </w:r>
    <w:r w:rsidR="00B54770">
      <w:fldChar w:fldCharType="separate"/>
    </w:r>
    <w:r w:rsidR="00C76E1D">
      <w:rPr>
        <w:noProof/>
      </w:rPr>
      <w:t>203</w:t>
    </w:r>
    <w:r w:rsidR="00B54770">
      <w:rPr>
        <w:noProof/>
      </w:rPr>
      <w:fldChar w:fldCharType="end"/>
    </w:r>
    <w:r>
      <w:t xml:space="preserve"> </w:t>
    </w:r>
    <w:proofErr w:type="spellStart"/>
    <w:r>
      <w:t>Pubblicato</w:t>
    </w:r>
    <w:proofErr w:type="spellEnd"/>
    <w:r>
      <w:t xml:space="preserve"> a </w:t>
    </w:r>
    <w:proofErr w:type="spellStart"/>
    <w:r>
      <w:t>maggio</w:t>
    </w:r>
    <w:proofErr w:type="spellEnd"/>
    <w:r>
      <w:t xml:space="preserve"> 2009</w:t>
    </w:r>
  </w:p>
  <w:p w:rsidR="001C5829" w:rsidRDefault="001C5829">
    <w:pPr>
      <w:pStyle w:val="Footer"/>
      <w:rPr>
        <w:rFonts w:ascii="Verdana" w:hAnsi="Verdana"/>
        <w:color w:val="808080"/>
        <w:sz w:val="16"/>
      </w:rPr>
    </w:pPr>
    <w:r>
      <w:rPr>
        <w:rFonts w:ascii="Trebuchet MS" w:hAnsi="Trebuchet MS"/>
        <w:color w:val="808080"/>
        <w:sz w:val="14"/>
      </w:rPr>
      <w:t xml:space="preserve">Microsoft è un </w:t>
    </w:r>
    <w:proofErr w:type="spellStart"/>
    <w:r>
      <w:rPr>
        <w:rFonts w:ascii="Trebuchet MS" w:hAnsi="Trebuchet MS"/>
        <w:color w:val="808080"/>
        <w:sz w:val="14"/>
      </w:rPr>
      <w:t>marchio</w:t>
    </w:r>
    <w:proofErr w:type="spellEnd"/>
    <w:r>
      <w:rPr>
        <w:rFonts w:ascii="Trebuchet MS" w:hAnsi="Trebuchet MS"/>
        <w:color w:val="808080"/>
        <w:sz w:val="14"/>
      </w:rPr>
      <w:t xml:space="preserve"> </w:t>
    </w:r>
    <w:proofErr w:type="spellStart"/>
    <w:r>
      <w:rPr>
        <w:rFonts w:ascii="Trebuchet MS" w:hAnsi="Trebuchet MS"/>
        <w:color w:val="808080"/>
        <w:sz w:val="14"/>
      </w:rPr>
      <w:t>registrato</w:t>
    </w:r>
    <w:proofErr w:type="spellEnd"/>
    <w:r>
      <w:rPr>
        <w:rFonts w:ascii="Trebuchet MS" w:hAnsi="Trebuchet MS"/>
        <w:color w:val="808080"/>
        <w:sz w:val="14"/>
      </w:rPr>
      <w:t xml:space="preserve"> di Microsoft Corporation </w:t>
    </w:r>
    <w:proofErr w:type="spellStart"/>
    <w:r>
      <w:rPr>
        <w:rFonts w:ascii="Trebuchet MS" w:hAnsi="Trebuchet MS"/>
        <w:color w:val="808080"/>
        <w:sz w:val="14"/>
      </w:rPr>
      <w:t>negli</w:t>
    </w:r>
    <w:proofErr w:type="spellEnd"/>
    <w:r>
      <w:rPr>
        <w:rFonts w:ascii="Trebuchet MS" w:hAnsi="Trebuchet MS"/>
        <w:color w:val="808080"/>
        <w:sz w:val="14"/>
      </w:rPr>
      <w:t xml:space="preserve"> </w:t>
    </w:r>
    <w:proofErr w:type="spellStart"/>
    <w:r>
      <w:rPr>
        <w:rFonts w:ascii="Trebuchet MS" w:hAnsi="Trebuchet MS"/>
        <w:color w:val="808080"/>
        <w:sz w:val="14"/>
      </w:rPr>
      <w:t>Stati</w:t>
    </w:r>
    <w:proofErr w:type="spellEnd"/>
    <w:r>
      <w:rPr>
        <w:rFonts w:ascii="Trebuchet MS" w:hAnsi="Trebuchet MS"/>
        <w:color w:val="808080"/>
        <w:sz w:val="14"/>
      </w:rPr>
      <w:t xml:space="preserve"> </w:t>
    </w:r>
    <w:proofErr w:type="spellStart"/>
    <w:r>
      <w:rPr>
        <w:rFonts w:ascii="Trebuchet MS" w:hAnsi="Trebuchet MS"/>
        <w:color w:val="808080"/>
        <w:sz w:val="14"/>
      </w:rPr>
      <w:t>Uniti</w:t>
    </w:r>
    <w:proofErr w:type="spellEnd"/>
    <w:r>
      <w:rPr>
        <w:rFonts w:ascii="Trebuchet MS" w:hAnsi="Trebuchet MS"/>
        <w:color w:val="808080"/>
        <w:sz w:val="14"/>
      </w:rPr>
      <w:t xml:space="preserve"> e/o </w:t>
    </w:r>
    <w:proofErr w:type="spellStart"/>
    <w:r>
      <w:rPr>
        <w:rFonts w:ascii="Trebuchet MS" w:hAnsi="Trebuchet MS"/>
        <w:color w:val="808080"/>
        <w:sz w:val="14"/>
      </w:rPr>
      <w:t>negli</w:t>
    </w:r>
    <w:proofErr w:type="spellEnd"/>
    <w:r>
      <w:rPr>
        <w:rFonts w:ascii="Trebuchet MS" w:hAnsi="Trebuchet MS"/>
        <w:color w:val="808080"/>
        <w:sz w:val="14"/>
      </w:rPr>
      <w:t xml:space="preserve"> </w:t>
    </w:r>
    <w:proofErr w:type="spellStart"/>
    <w:r>
      <w:rPr>
        <w:rFonts w:ascii="Trebuchet MS" w:hAnsi="Trebuchet MS"/>
        <w:color w:val="808080"/>
        <w:sz w:val="14"/>
      </w:rPr>
      <w:t>altri</w:t>
    </w:r>
    <w:proofErr w:type="spellEnd"/>
    <w:r>
      <w:rPr>
        <w:rFonts w:ascii="Trebuchet MS" w:hAnsi="Trebuchet MS"/>
        <w:color w:val="808080"/>
        <w:sz w:val="14"/>
      </w:rPr>
      <w:t xml:space="preserve"> </w:t>
    </w:r>
    <w:proofErr w:type="spellStart"/>
    <w:r>
      <w:rPr>
        <w:rFonts w:ascii="Trebuchet MS" w:hAnsi="Trebuchet MS"/>
        <w:color w:val="808080"/>
        <w:sz w:val="14"/>
      </w:rPr>
      <w:t>paesi</w:t>
    </w:r>
    <w:proofErr w:type="spellEnd"/>
    <w:r>
      <w:rPr>
        <w:rFonts w:ascii="Trebuchet MS" w:hAnsi="Trebuchet MS"/>
        <w:color w:val="808080"/>
        <w:sz w:val="14"/>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54770" w:rsidRDefault="00B54770">
      <w:r>
        <w:separator/>
      </w:r>
    </w:p>
  </w:footnote>
  <w:footnote w:type="continuationSeparator" w:id="0">
    <w:p w:rsidR="00B54770" w:rsidRDefault="00B54770">
      <w:r>
        <w:continuationSeparator/>
      </w:r>
    </w:p>
  </w:footnote>
  <w:footnote w:type="continuationNotice" w:id="1">
    <w:p w:rsidR="00B54770" w:rsidRDefault="00B54770"/>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C5829" w:rsidRDefault="000B31FC" w:rsidP="00FC5A72">
    <w:pPr>
      <w:pStyle w:val="Header"/>
      <w:tabs>
        <w:tab w:val="clear" w:pos="3240"/>
        <w:tab w:val="left" w:pos="2970"/>
      </w:tabs>
      <w:ind w:firstLine="2160"/>
    </w:pPr>
    <w:r>
      <w:rPr>
        <w:noProof/>
      </w:rPr>
      <mc:AlternateContent>
        <mc:Choice Requires="wps">
          <w:drawing>
            <wp:anchor distT="0" distB="0" distL="114300" distR="114300" simplePos="0" relativeHeight="251662848" behindDoc="0" locked="0" layoutInCell="0" allowOverlap="1">
              <wp:simplePos x="0" y="0"/>
              <wp:positionH relativeFrom="column">
                <wp:posOffset>-314325</wp:posOffset>
              </wp:positionH>
              <wp:positionV relativeFrom="paragraph">
                <wp:posOffset>-139700</wp:posOffset>
              </wp:positionV>
              <wp:extent cx="2228850" cy="574675"/>
              <wp:effectExtent l="0" t="0" r="0" b="0"/>
              <wp:wrapNone/>
              <wp:docPr id="10"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8850" cy="574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C5829" w:rsidRDefault="001C5829" w:rsidP="00FC5A72">
                          <w:r>
                            <w:rPr>
                              <w:noProof/>
                            </w:rPr>
                            <w:drawing>
                              <wp:inline distT="0" distB="0" distL="0" distR="0" wp14:anchorId="1AA96D56" wp14:editId="70D446DE">
                                <wp:extent cx="1952625" cy="495300"/>
                                <wp:effectExtent l="0" t="0" r="9525" b="0"/>
                                <wp:docPr id="8" name="Picture 24" descr="Description: logo(I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cription: logo(ITA).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52625" cy="495300"/>
                                        </a:xfrm>
                                        <a:prstGeom prst="rect">
                                          <a:avLst/>
                                        </a:prstGeom>
                                        <a:noFill/>
                                        <a:ln>
                                          <a:noFill/>
                                        </a:ln>
                                      </pic:spPr>
                                    </pic:pic>
                                  </a:graphicData>
                                </a:graphic>
                              </wp:inline>
                            </w:drawing>
                          </w:r>
                          <w:r>
                            <w:rPr>
                              <w:noProof/>
                            </w:rPr>
                            <w:drawing>
                              <wp:inline distT="0" distB="0" distL="0" distR="0" wp14:anchorId="1AAFAF8E" wp14:editId="60EEACA1">
                                <wp:extent cx="1911985" cy="510540"/>
                                <wp:effectExtent l="0" t="0" r="0" b="3810"/>
                                <wp:docPr id="9" name="Picture 4"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oductlist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911985" cy="51054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30" type="#_x0000_t202" style="position:absolute;left:0;text-align:left;margin-left:-24.75pt;margin-top:-11pt;width:175.5pt;height:45.2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" o:allowincell="f" filled="f" stroked="f">
              <v:textbox>
                <w:txbxContent>
                  <w:p w:rsidR="001C5829" w:rsidRDefault="001C5829" w:rsidP="00FC5A72">
                    <w:r>
                      <w:rPr>
                        <w:noProof/>
                      </w:rPr>
                      <w:drawing>
                        <wp:inline distT="0" distB="0" distL="0" distR="0" wp14:anchorId="1AA96D56" wp14:editId="70D446DE">
                          <wp:extent cx="1952625" cy="495300"/>
                          <wp:effectExtent l="0" t="0" r="9525" b="0"/>
                          <wp:docPr id="8" name="Picture 24" descr="Description: logo(IT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escription: logo(ITA).jpg"/>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952625" cy="495300"/>
                                  </a:xfrm>
                                  <a:prstGeom prst="rect">
                                    <a:avLst/>
                                  </a:prstGeom>
                                  <a:noFill/>
                                  <a:ln>
                                    <a:noFill/>
                                  </a:ln>
                                </pic:spPr>
                              </pic:pic>
                            </a:graphicData>
                          </a:graphic>
                        </wp:inline>
                      </w:drawing>
                    </w:r>
                    <w:r>
                      <w:rPr>
                        <w:noProof/>
                      </w:rPr>
                      <w:drawing>
                        <wp:inline distT="0" distB="0" distL="0" distR="0" wp14:anchorId="1AAFAF8E" wp14:editId="60EEACA1">
                          <wp:extent cx="1911985" cy="510540"/>
                          <wp:effectExtent l="0" t="0" r="0" b="3810"/>
                          <wp:docPr id="9" name="Picture 4" descr="productlist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productlist0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911985" cy="510540"/>
                                  </a:xfrm>
                                  <a:prstGeom prst="rect">
                                    <a:avLst/>
                                  </a:prstGeom>
                                  <a:noFill/>
                                  <a:ln>
                                    <a:noFill/>
                                  </a:ln>
                                </pic:spPr>
                              </pic:pic>
                            </a:graphicData>
                          </a:graphic>
                        </wp:inline>
                      </w:drawing>
                    </w:r>
                  </w:p>
                </w:txbxContent>
              </v:textbox>
            </v:shape>
          </w:pict>
        </mc:Fallback>
      </mc:AlternateContent>
    </w:r>
  </w:p>
  <w:p w:rsidR="001C5829" w:rsidRDefault="000B31FC">
    <w:r>
      <w:rPr>
        <w:noProof/>
      </w:rPr>
      <mc:AlternateContent>
        <mc:Choice Requires="wps">
          <w:drawing>
            <wp:anchor distT="4294967295" distB="4294967295" distL="114300" distR="114300" simplePos="0" relativeHeight="251658752" behindDoc="0" locked="0" layoutInCell="0" allowOverlap="1">
              <wp:simplePos x="0" y="0"/>
              <wp:positionH relativeFrom="column">
                <wp:posOffset>-23495</wp:posOffset>
              </wp:positionH>
              <wp:positionV relativeFrom="paragraph">
                <wp:posOffset>70484</wp:posOffset>
              </wp:positionV>
              <wp:extent cx="6931025" cy="0"/>
              <wp:effectExtent l="0" t="0" r="22225" b="19050"/>
              <wp:wrapNone/>
              <wp:docPr id="1"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931025"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7DD6101" id="Line 5" o:spid="_x0000_s1026" style="position:absolute;z-index:2516587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5pt,5.55pt" to="543.9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J137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" o:allowincell="f" strokeweight=".25pt"/>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C5829" w:rsidRDefault="001C5829" w:rsidP="00290FC1">
    <w:pPr>
      <w:ind w:rightChars="185" w:right="333"/>
    </w:pPr>
  </w:p>
  <w:p w:rsidR="001C5829" w:rsidRDefault="001C5829" w:rsidP="00290FC1">
    <w:pPr>
      <w:ind w:rightChars="185" w:right="333"/>
    </w:pPr>
  </w:p>
  <w:p w:rsidR="001C5829" w:rsidRDefault="001C5829" w:rsidP="00290FC1">
    <w:pPr>
      <w:ind w:rightChars="185" w:right="333"/>
    </w:pPr>
    <w:r>
      <w:rPr>
        <w:noProof/>
      </w:rPr>
      <w:drawing>
        <wp:anchor distT="0" distB="0" distL="114300" distR="114300" simplePos="0" relativeHeight="251661824" behindDoc="0" locked="0" layoutInCell="1" allowOverlap="1" wp14:anchorId="09F1DF46" wp14:editId="1F0F3EFF">
          <wp:simplePos x="0" y="0"/>
          <wp:positionH relativeFrom="margin">
            <wp:align>center</wp:align>
          </wp:positionH>
          <wp:positionV relativeFrom="paragraph">
            <wp:posOffset>15240</wp:posOffset>
          </wp:positionV>
          <wp:extent cx="5734050" cy="561975"/>
          <wp:effectExtent l="0" t="0" r="0" b="9525"/>
          <wp:wrapNone/>
          <wp:docPr id="14" name="Picture 1" descr="Description: C:\Users\v-elibro\Desktop\Watermark\Banner for Agreement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v-elibro\Desktop\Watermark\Banner for Agreements.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34050" cy="561975"/>
                  </a:xfrm>
                  <a:prstGeom prst="rect">
                    <a:avLst/>
                  </a:prstGeom>
                  <a:noFill/>
                </pic:spPr>
              </pic:pic>
            </a:graphicData>
          </a:graphic>
        </wp:anchor>
      </w:drawing>
    </w:r>
  </w:p>
  <w:p w:rsidR="001C5829" w:rsidRDefault="001C5829" w:rsidP="009D5D7B">
    <w:pPr>
      <w:pStyle w:val="Header"/>
      <w:tabs>
        <w:tab w:val="left" w:pos="8550"/>
        <w:tab w:val="left" w:pos="12600"/>
      </w:tabs>
      <w:ind w:right="-178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C5829" w:rsidRDefault="001C5829" w:rsidP="00F8080D">
    <w:pPr>
      <w:ind w:rightChars="185" w:right="333"/>
    </w:pPr>
  </w:p>
  <w:p w:rsidR="001C5829" w:rsidRDefault="001C5829">
    <w:pPr>
      <w:pStyle w:val="Header"/>
      <w:tabs>
        <w:tab w:val="left" w:pos="8550"/>
        <w:tab w:val="left" w:pos="12600"/>
      </w:tabs>
      <w:ind w:right="-1788"/>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945EA5"/>
    <w:multiLevelType w:val="hybridMultilevel"/>
    <w:tmpl w:val="66263754"/>
    <w:lvl w:ilvl="0" w:tplc="D902DDBC">
      <w:start w:val="1"/>
      <w:numFmt w:val="bullet"/>
      <w:lvlText w:val=""/>
      <w:lvlJc w:val="left"/>
      <w:pPr>
        <w:ind w:left="1080" w:hanging="360"/>
      </w:pPr>
      <w:rPr>
        <w:rFonts w:ascii="Webdings" w:hAnsi="Webdings" w:hint="default"/>
        <w:b w:val="0"/>
        <w:i w:val="0"/>
        <w:color w:val="FF6600"/>
        <w:sz w:val="24"/>
        <w:szCs w:val="24"/>
      </w:rPr>
    </w:lvl>
    <w:lvl w:ilvl="1" w:tplc="04090003" w:tentative="1">
      <w:start w:val="1"/>
      <w:numFmt w:val="bullet"/>
      <w:lvlText w:val="o"/>
      <w:lvlJc w:val="left"/>
      <w:pPr>
        <w:ind w:left="1800" w:hanging="360"/>
      </w:pPr>
      <w:rPr>
        <w:rFonts w:ascii="Courier New" w:hAnsi="Courier New" w:cs="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Wingdings"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Wingdings"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932142"/>
    <w:multiLevelType w:val="hybridMultilevel"/>
    <w:tmpl w:val="42B4535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hint="default"/>
      </w:rPr>
    </w:lvl>
    <w:lvl w:ilvl="2" w:tplc="04090005" w:tentative="1">
      <w:start w:val="1"/>
      <w:numFmt w:val="bullet"/>
      <w:lvlText w:val=""/>
      <w:lvlJc w:val="left"/>
      <w:pPr>
        <w:ind w:left="3067" w:hanging="360"/>
      </w:pPr>
      <w:rPr>
        <w:rFonts w:ascii="Wingdings" w:hAnsi="Wingdings" w:hint="default"/>
      </w:rPr>
    </w:lvl>
    <w:lvl w:ilvl="3" w:tplc="04090001" w:tentative="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2">
    <w:nsid w:val="02505610"/>
    <w:multiLevelType w:val="hybridMultilevel"/>
    <w:tmpl w:val="C30E9EC8"/>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1">
      <w:start w:val="1"/>
      <w:numFmt w:val="bullet"/>
      <w:lvlText w:val=""/>
      <w:lvlJc w:val="left"/>
      <w:pPr>
        <w:ind w:left="2700" w:hanging="360"/>
      </w:pPr>
      <w:rPr>
        <w:rFonts w:ascii="Symbol" w:hAnsi="Symbol"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
    <w:nsid w:val="027A3D7F"/>
    <w:multiLevelType w:val="hybridMultilevel"/>
    <w:tmpl w:val="D108C94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D902DDBC">
      <w:start w:val="1"/>
      <w:numFmt w:val="bullet"/>
      <w:lvlText w:val=""/>
      <w:lvlJc w:val="left"/>
      <w:pPr>
        <w:ind w:left="3780" w:hanging="360"/>
      </w:pPr>
      <w:rPr>
        <w:rFonts w:ascii="Webdings" w:hAnsi="Webdings" w:hint="default"/>
        <w:b w:val="0"/>
        <w:i w:val="0"/>
        <w:color w:val="FF6600"/>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4">
    <w:nsid w:val="036608B4"/>
    <w:multiLevelType w:val="hybridMultilevel"/>
    <w:tmpl w:val="1FD807DE"/>
    <w:lvl w:ilvl="0" w:tplc="49CEB1AC">
      <w:start w:val="1"/>
      <w:numFmt w:val="bullet"/>
      <w:lvlText w:val=""/>
      <w:lvlJc w:val="left"/>
      <w:pPr>
        <w:ind w:left="720" w:hanging="360"/>
      </w:pPr>
      <w:rPr>
        <w:rFonts w:ascii="Webdings" w:hAnsi="Webdings" w:hint="default"/>
        <w:b w:val="0"/>
        <w:i w:val="0"/>
        <w:color w:val="FF6600"/>
        <w:sz w:val="24"/>
      </w:rPr>
    </w:lvl>
    <w:lvl w:ilvl="1" w:tplc="47143CFC">
      <w:start w:val="1"/>
      <w:numFmt w:val="bullet"/>
      <w:lvlText w:val=""/>
      <w:lvlJc w:val="left"/>
      <w:pPr>
        <w:ind w:left="1440" w:hanging="360"/>
      </w:pPr>
      <w:rPr>
        <w:rFonts w:ascii="Symbol" w:hAnsi="Symbol" w:hint="default"/>
        <w:b w:val="0"/>
        <w:i w:val="0"/>
        <w:color w:val="auto"/>
        <w:sz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38362F9"/>
    <w:multiLevelType w:val="hybridMultilevel"/>
    <w:tmpl w:val="9CB2E654"/>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6">
    <w:nsid w:val="04030D64"/>
    <w:multiLevelType w:val="hybridMultilevel"/>
    <w:tmpl w:val="C81C5BEA"/>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7">
    <w:nsid w:val="04DD508A"/>
    <w:multiLevelType w:val="hybridMultilevel"/>
    <w:tmpl w:val="EA3CB742"/>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8">
    <w:nsid w:val="059544C6"/>
    <w:multiLevelType w:val="multilevel"/>
    <w:tmpl w:val="8072F2AE"/>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lowerLetter"/>
      <w:lvlText w:val="%3)"/>
      <w:lvlJc w:val="left"/>
      <w:pPr>
        <w:tabs>
          <w:tab w:val="num" w:pos="1080"/>
        </w:tabs>
        <w:ind w:left="1080" w:hanging="360"/>
      </w:pPr>
      <w:rPr>
        <w:rFonts w:hint="default"/>
        <w:b/>
        <w:color w:val="auto"/>
      </w:rPr>
    </w:lvl>
    <w:lvl w:ilvl="3">
      <w:start w:val="1"/>
      <w:numFmt w:val="bullet"/>
      <w:lvlText w:val=""/>
      <w:lvlJc w:val="left"/>
      <w:pPr>
        <w:tabs>
          <w:tab w:val="num" w:pos="1440"/>
        </w:tabs>
        <w:ind w:left="1800" w:hanging="360"/>
      </w:pPr>
      <w:rPr>
        <w:rFonts w:ascii="Webdings" w:hAnsi="Webdings" w:hint="default"/>
        <w:b w:val="0"/>
        <w:i w:val="0"/>
        <w:color w:val="FF6600"/>
        <w:sz w:val="24"/>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9">
    <w:nsid w:val="06132704"/>
    <w:multiLevelType w:val="multilevel"/>
    <w:tmpl w:val="18AA9E0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0">
    <w:nsid w:val="06F33AE8"/>
    <w:multiLevelType w:val="hybridMultilevel"/>
    <w:tmpl w:val="0FFA52C0"/>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9B34B15"/>
    <w:multiLevelType w:val="hybridMultilevel"/>
    <w:tmpl w:val="EDF686DE"/>
    <w:lvl w:ilvl="0" w:tplc="D902DDBC">
      <w:start w:val="1"/>
      <w:numFmt w:val="bullet"/>
      <w:lvlText w:val=""/>
      <w:lvlJc w:val="left"/>
      <w:pPr>
        <w:ind w:left="1710" w:hanging="360"/>
      </w:pPr>
      <w:rPr>
        <w:rFonts w:ascii="Webdings" w:hAnsi="Webdings" w:hint="default"/>
        <w:b w:val="0"/>
        <w:i w:val="0"/>
        <w:color w:val="FF6600"/>
        <w:sz w:val="24"/>
      </w:rPr>
    </w:lvl>
    <w:lvl w:ilvl="1" w:tplc="04090003" w:tentative="1">
      <w:start w:val="1"/>
      <w:numFmt w:val="bullet"/>
      <w:lvlText w:val="o"/>
      <w:lvlJc w:val="left"/>
      <w:pPr>
        <w:ind w:left="2430" w:hanging="360"/>
      </w:pPr>
      <w:rPr>
        <w:rFonts w:ascii="Courier New" w:hAnsi="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2">
    <w:nsid w:val="0B1B37C2"/>
    <w:multiLevelType w:val="hybridMultilevel"/>
    <w:tmpl w:val="7874971C"/>
    <w:lvl w:ilvl="0" w:tplc="04090017">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13">
    <w:nsid w:val="0B277AB0"/>
    <w:multiLevelType w:val="hybridMultilevel"/>
    <w:tmpl w:val="1D78F30C"/>
    <w:lvl w:ilvl="0" w:tplc="D924BEEC">
      <w:start w:val="1"/>
      <w:numFmt w:val="bullet"/>
      <w:lvlText w:val=""/>
      <w:lvlJc w:val="left"/>
      <w:pPr>
        <w:ind w:left="720" w:hanging="360"/>
      </w:pPr>
      <w:rPr>
        <w:rFonts w:ascii="Webdings" w:hAnsi="Webdings" w:hint="default"/>
        <w:b w:val="0"/>
        <w:i w:val="0"/>
        <w:color w:val="FF6600"/>
        <w:sz w:val="24"/>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BD7575C"/>
    <w:multiLevelType w:val="hybridMultilevel"/>
    <w:tmpl w:val="4454D8E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C210039"/>
    <w:multiLevelType w:val="hybridMultilevel"/>
    <w:tmpl w:val="9142107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CDA38D4"/>
    <w:multiLevelType w:val="hybridMultilevel"/>
    <w:tmpl w:val="D4B0F45A"/>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CC9645FA">
      <w:start w:val="1"/>
      <w:numFmt w:val="bullet"/>
      <w:lvlText w:val=""/>
      <w:lvlJc w:val="left"/>
      <w:pPr>
        <w:ind w:left="3780" w:hanging="360"/>
      </w:pPr>
      <w:rPr>
        <w:rFonts w:ascii="Webdings" w:hAnsi="Webdings" w:hint="default"/>
        <w:b w:val="0"/>
        <w:i w:val="0"/>
        <w:color w:val="auto"/>
        <w:sz w:val="24"/>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7">
    <w:nsid w:val="0D510CED"/>
    <w:multiLevelType w:val="hybridMultilevel"/>
    <w:tmpl w:val="64382FD2"/>
    <w:lvl w:ilvl="0" w:tplc="D902DDBC">
      <w:start w:val="1"/>
      <w:numFmt w:val="bullet"/>
      <w:lvlText w:val=""/>
      <w:lvlJc w:val="left"/>
      <w:pPr>
        <w:ind w:left="1440" w:hanging="360"/>
      </w:pPr>
      <w:rPr>
        <w:rFonts w:ascii="Webdings" w:hAnsi="Webdings" w:hint="default"/>
        <w:b w:val="0"/>
        <w:i w:val="0"/>
        <w:color w:val="FF6600"/>
        <w:sz w:val="24"/>
      </w:rPr>
    </w:lvl>
    <w:lvl w:ilvl="1" w:tplc="189A2A2A">
      <w:start w:val="1"/>
      <w:numFmt w:val="bullet"/>
      <w:lvlText w:val=""/>
      <w:lvlJc w:val="left"/>
      <w:pPr>
        <w:ind w:left="2160" w:hanging="360"/>
      </w:pPr>
      <w:rPr>
        <w:rFonts w:ascii="Symbol" w:hAnsi="Symbol" w:hint="default"/>
        <w:b w:val="0"/>
        <w:i w:val="0"/>
        <w:color w:val="auto"/>
        <w:sz w:val="18"/>
        <w:szCs w:val="18"/>
      </w:rPr>
    </w:lvl>
    <w:lvl w:ilvl="2" w:tplc="0826EDFE">
      <w:start w:val="1"/>
      <w:numFmt w:val="bullet"/>
      <w:lvlText w:val=""/>
      <w:lvlJc w:val="left"/>
      <w:pPr>
        <w:ind w:left="3060" w:hanging="180"/>
      </w:pPr>
      <w:rPr>
        <w:rFonts w:ascii="Webdings" w:hAnsi="Webdings" w:hint="default"/>
        <w:b w:val="0"/>
        <w:i w:val="0"/>
        <w:color w:val="auto"/>
        <w:sz w:val="18"/>
        <w:szCs w:val="18"/>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nsid w:val="0E404D25"/>
    <w:multiLevelType w:val="hybridMultilevel"/>
    <w:tmpl w:val="98F45ED4"/>
    <w:lvl w:ilvl="0" w:tplc="D902DDBC">
      <w:start w:val="1"/>
      <w:numFmt w:val="bullet"/>
      <w:lvlText w:val=""/>
      <w:lvlJc w:val="left"/>
      <w:pPr>
        <w:ind w:left="720" w:hanging="360"/>
      </w:pPr>
      <w:rPr>
        <w:rFonts w:ascii="Webdings" w:hAnsi="Webdings" w:hint="default"/>
        <w:b w:val="0"/>
        <w:i w:val="0"/>
        <w:color w:val="FF6600"/>
        <w:sz w:val="24"/>
        <w:szCs w:val="18"/>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0EDE0312"/>
    <w:multiLevelType w:val="hybridMultilevel"/>
    <w:tmpl w:val="5B86BF0A"/>
    <w:lvl w:ilvl="0" w:tplc="49CEB1AC">
      <w:start w:val="1"/>
      <w:numFmt w:val="bullet"/>
      <w:lvlText w:val=""/>
      <w:lvlJc w:val="left"/>
      <w:pPr>
        <w:ind w:left="720" w:hanging="360"/>
      </w:pPr>
      <w:rPr>
        <w:rFonts w:ascii="Webdings" w:hAnsi="Webdings" w:hint="default"/>
        <w:b w:val="0"/>
        <w:i w:val="0"/>
        <w:color w:val="FF6600"/>
        <w:sz w:val="24"/>
      </w:rPr>
    </w:lvl>
    <w:lvl w:ilvl="1" w:tplc="646CEBF4">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0F723A4C"/>
    <w:multiLevelType w:val="hybridMultilevel"/>
    <w:tmpl w:val="65328D06"/>
    <w:lvl w:ilvl="0" w:tplc="D902DDBC">
      <w:start w:val="1"/>
      <w:numFmt w:val="bullet"/>
      <w:lvlText w:val=""/>
      <w:lvlJc w:val="left"/>
      <w:pPr>
        <w:ind w:left="1140" w:hanging="360"/>
      </w:pPr>
      <w:rPr>
        <w:rFonts w:ascii="Webdings" w:hAnsi="Webdings" w:hint="default"/>
        <w:b w:val="0"/>
        <w:i w:val="0"/>
        <w:color w:val="FF6600"/>
        <w:sz w:val="24"/>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21">
    <w:nsid w:val="0FBA1539"/>
    <w:multiLevelType w:val="hybridMultilevel"/>
    <w:tmpl w:val="23AA7F12"/>
    <w:lvl w:ilvl="0" w:tplc="04090001">
      <w:start w:val="1"/>
      <w:numFmt w:val="bullet"/>
      <w:lvlText w:val=""/>
      <w:lvlJc w:val="left"/>
      <w:pPr>
        <w:ind w:left="1620" w:hanging="360"/>
      </w:pPr>
      <w:rPr>
        <w:rFonts w:ascii="Symbol" w:hAnsi="Symbol" w:hint="default"/>
      </w:rPr>
    </w:lvl>
    <w:lvl w:ilvl="1" w:tplc="04090017">
      <w:start w:val="1"/>
      <w:numFmt w:val="lowerLetter"/>
      <w:lvlText w:val="%2)"/>
      <w:lvlJc w:val="left"/>
      <w:pPr>
        <w:ind w:left="2340" w:hanging="360"/>
      </w:pPr>
      <w:rPr>
        <w:rFonts w:hint="default"/>
      </w:rPr>
    </w:lvl>
    <w:lvl w:ilvl="2" w:tplc="04090001">
      <w:start w:val="1"/>
      <w:numFmt w:val="bullet"/>
      <w:lvlText w:val=""/>
      <w:lvlJc w:val="left"/>
      <w:pPr>
        <w:ind w:left="3060" w:hanging="360"/>
      </w:pPr>
      <w:rPr>
        <w:rFonts w:ascii="Symbol" w:hAnsi="Symbol"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2">
    <w:nsid w:val="11646DC6"/>
    <w:multiLevelType w:val="multilevel"/>
    <w:tmpl w:val="E2A43F42"/>
    <w:lvl w:ilvl="0">
      <w:start w:val="1"/>
      <w:numFmt w:val="upperRoman"/>
      <w:lvlText w:val="%1)"/>
      <w:lvlJc w:val="left"/>
      <w:pPr>
        <w:tabs>
          <w:tab w:val="num" w:pos="360"/>
        </w:tabs>
        <w:ind w:left="360" w:hanging="360"/>
      </w:pPr>
      <w:rPr>
        <w:rFonts w:ascii="Trebuchet MS" w:hAnsi="Trebuchet MS" w:cs="Times New Roman"/>
        <w:b/>
        <w:sz w:val="18"/>
      </w:rPr>
    </w:lvl>
    <w:lvl w:ilvl="1">
      <w:start w:val="1"/>
      <w:numFmt w:val="bullet"/>
      <w:lvlText w:val=""/>
      <w:lvlJc w:val="left"/>
      <w:pPr>
        <w:tabs>
          <w:tab w:val="num" w:pos="720"/>
        </w:tabs>
        <w:ind w:left="720" w:hanging="360"/>
      </w:pPr>
      <w:rPr>
        <w:rFonts w:ascii="Symbol" w:hAnsi="Symbol" w:hint="default"/>
        <w:b w:val="0"/>
        <w:i w:val="0"/>
        <w:color w:val="auto"/>
        <w:sz w:val="18"/>
        <w:szCs w:val="18"/>
      </w:rPr>
    </w:lvl>
    <w:lvl w:ilvl="2">
      <w:start w:val="1"/>
      <w:numFmt w:val="lowerLetter"/>
      <w:lvlText w:val="%3)"/>
      <w:lvlJc w:val="left"/>
      <w:pPr>
        <w:tabs>
          <w:tab w:val="num" w:pos="1080"/>
        </w:tabs>
        <w:ind w:left="1080" w:hanging="360"/>
      </w:pPr>
      <w:rPr>
        <w:rFonts w:hint="default"/>
        <w:b/>
        <w:color w:val="auto"/>
      </w:rPr>
    </w:lvl>
    <w:lvl w:ilvl="3">
      <w:start w:val="1"/>
      <w:numFmt w:val="lowerLetter"/>
      <w:lvlText w:val="%4)"/>
      <w:lvlJc w:val="left"/>
      <w:pPr>
        <w:tabs>
          <w:tab w:val="num" w:pos="1440"/>
        </w:tabs>
        <w:ind w:left="1800" w:hanging="360"/>
      </w:pPr>
      <w:rPr>
        <w:b w:val="0"/>
        <w:sz w:val="18"/>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3">
    <w:nsid w:val="13611A28"/>
    <w:multiLevelType w:val="hybridMultilevel"/>
    <w:tmpl w:val="3DE4C1D0"/>
    <w:lvl w:ilvl="0" w:tplc="D902DDBC">
      <w:start w:val="1"/>
      <w:numFmt w:val="bullet"/>
      <w:lvlText w:val=""/>
      <w:lvlJc w:val="left"/>
      <w:pPr>
        <w:ind w:left="1080" w:hanging="360"/>
      </w:pPr>
      <w:rPr>
        <w:rFonts w:ascii="Webdings" w:hAnsi="Webdings" w:hint="default"/>
        <w:b w:val="0"/>
        <w:i w:val="0"/>
        <w:color w:val="FF6600"/>
        <w:sz w:val="2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140D755A"/>
    <w:multiLevelType w:val="multilevel"/>
    <w:tmpl w:val="C328561A"/>
    <w:lvl w:ilvl="0">
      <w:start w:val="1"/>
      <w:numFmt w:val="lowerLetter"/>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142326E3"/>
    <w:multiLevelType w:val="multilevel"/>
    <w:tmpl w:val="1EB676A4"/>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26">
    <w:nsid w:val="150B0B26"/>
    <w:multiLevelType w:val="hybridMultilevel"/>
    <w:tmpl w:val="AC0CB6A8"/>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7">
    <w:nsid w:val="15FF1D91"/>
    <w:multiLevelType w:val="hybridMultilevel"/>
    <w:tmpl w:val="E2F4378A"/>
    <w:lvl w:ilvl="0" w:tplc="FD6CCB12">
      <w:start w:val="1"/>
      <w:numFmt w:val="decimal"/>
      <w:lvlText w:val="%1."/>
      <w:lvlJc w:val="left"/>
      <w:pPr>
        <w:ind w:left="1440" w:hanging="360"/>
      </w:pPr>
      <w:rPr>
        <w:sz w:val="18"/>
        <w:szCs w:val="18"/>
      </w:rPr>
    </w:lvl>
    <w:lvl w:ilvl="1" w:tplc="04090019">
      <w:start w:val="1"/>
      <w:numFmt w:val="decimal"/>
      <w:lvlText w:val="%2."/>
      <w:lvlJc w:val="left"/>
      <w:pPr>
        <w:tabs>
          <w:tab w:val="num" w:pos="2160"/>
        </w:tabs>
        <w:ind w:left="2160" w:hanging="360"/>
      </w:pPr>
    </w:lvl>
    <w:lvl w:ilvl="2" w:tplc="0409001B">
      <w:start w:val="1"/>
      <w:numFmt w:val="decimal"/>
      <w:lvlText w:val="%3."/>
      <w:lvlJc w:val="left"/>
      <w:pPr>
        <w:tabs>
          <w:tab w:val="num" w:pos="2880"/>
        </w:tabs>
        <w:ind w:left="2880" w:hanging="360"/>
      </w:pPr>
    </w:lvl>
    <w:lvl w:ilvl="3" w:tplc="0409000F">
      <w:start w:val="1"/>
      <w:numFmt w:val="decimal"/>
      <w:lvlText w:val="%4."/>
      <w:lvlJc w:val="left"/>
      <w:pPr>
        <w:tabs>
          <w:tab w:val="num" w:pos="3600"/>
        </w:tabs>
        <w:ind w:left="3600" w:hanging="360"/>
      </w:pPr>
    </w:lvl>
    <w:lvl w:ilvl="4" w:tplc="04090019">
      <w:start w:val="1"/>
      <w:numFmt w:val="decimal"/>
      <w:lvlText w:val="%5."/>
      <w:lvlJc w:val="left"/>
      <w:pPr>
        <w:tabs>
          <w:tab w:val="num" w:pos="4320"/>
        </w:tabs>
        <w:ind w:left="4320" w:hanging="360"/>
      </w:pPr>
    </w:lvl>
    <w:lvl w:ilvl="5" w:tplc="0409001B">
      <w:start w:val="1"/>
      <w:numFmt w:val="decimal"/>
      <w:lvlText w:val="%6."/>
      <w:lvlJc w:val="left"/>
      <w:pPr>
        <w:tabs>
          <w:tab w:val="num" w:pos="5040"/>
        </w:tabs>
        <w:ind w:left="5040" w:hanging="360"/>
      </w:pPr>
    </w:lvl>
    <w:lvl w:ilvl="6" w:tplc="0409000F">
      <w:start w:val="1"/>
      <w:numFmt w:val="decimal"/>
      <w:lvlText w:val="%7."/>
      <w:lvlJc w:val="left"/>
      <w:pPr>
        <w:tabs>
          <w:tab w:val="num" w:pos="5760"/>
        </w:tabs>
        <w:ind w:left="5760" w:hanging="360"/>
      </w:pPr>
    </w:lvl>
    <w:lvl w:ilvl="7" w:tplc="04090019">
      <w:start w:val="1"/>
      <w:numFmt w:val="decimal"/>
      <w:lvlText w:val="%8."/>
      <w:lvlJc w:val="left"/>
      <w:pPr>
        <w:tabs>
          <w:tab w:val="num" w:pos="6480"/>
        </w:tabs>
        <w:ind w:left="6480" w:hanging="360"/>
      </w:pPr>
    </w:lvl>
    <w:lvl w:ilvl="8" w:tplc="0409001B">
      <w:start w:val="1"/>
      <w:numFmt w:val="decimal"/>
      <w:lvlText w:val="%9."/>
      <w:lvlJc w:val="left"/>
      <w:pPr>
        <w:tabs>
          <w:tab w:val="num" w:pos="7200"/>
        </w:tabs>
        <w:ind w:left="7200" w:hanging="360"/>
      </w:pPr>
    </w:lvl>
  </w:abstractNum>
  <w:abstractNum w:abstractNumId="28">
    <w:nsid w:val="17F24134"/>
    <w:multiLevelType w:val="hybridMultilevel"/>
    <w:tmpl w:val="6456A7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nsid w:val="1A461F1F"/>
    <w:multiLevelType w:val="hybridMultilevel"/>
    <w:tmpl w:val="539040CA"/>
    <w:lvl w:ilvl="0" w:tplc="952C4BD0">
      <w:start w:val="1"/>
      <w:numFmt w:val="lowerLetter"/>
      <w:lvlText w:val="%1)"/>
      <w:lvlJc w:val="left"/>
      <w:pPr>
        <w:ind w:left="720" w:hanging="360"/>
      </w:pPr>
      <w:rPr>
        <w:rFonts w:hint="default"/>
        <w:b w:val="0"/>
        <w:i w:val="0"/>
        <w:color w:val="000000"/>
        <w:sz w:val="18"/>
        <w:szCs w:val="18"/>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1BBE07DA"/>
    <w:multiLevelType w:val="hybridMultilevel"/>
    <w:tmpl w:val="C2FCE78E"/>
    <w:lvl w:ilvl="0" w:tplc="D902DDBC">
      <w:start w:val="1"/>
      <w:numFmt w:val="bullet"/>
      <w:lvlText w:val=""/>
      <w:lvlJc w:val="left"/>
      <w:pPr>
        <w:ind w:left="1260" w:hanging="360"/>
      </w:pPr>
      <w:rPr>
        <w:rFonts w:ascii="Webdings" w:hAnsi="Webdings" w:hint="default"/>
        <w:b w:val="0"/>
        <w:i w:val="0"/>
        <w:color w:val="FF6600"/>
        <w:sz w:val="24"/>
      </w:rPr>
    </w:lvl>
    <w:lvl w:ilvl="1" w:tplc="D902DDBC">
      <w:start w:val="1"/>
      <w:numFmt w:val="bullet"/>
      <w:lvlText w:val=""/>
      <w:lvlJc w:val="left"/>
      <w:pPr>
        <w:ind w:left="1980" w:hanging="360"/>
      </w:pPr>
      <w:rPr>
        <w:rFonts w:ascii="Webdings" w:hAnsi="Webdings" w:hint="default"/>
        <w:b w:val="0"/>
        <w:i w:val="0"/>
        <w:color w:val="FF6600"/>
        <w:sz w:val="24"/>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31">
    <w:nsid w:val="1BC87612"/>
    <w:multiLevelType w:val="hybridMultilevel"/>
    <w:tmpl w:val="D0943268"/>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1BEF6207"/>
    <w:multiLevelType w:val="hybridMultilevel"/>
    <w:tmpl w:val="EBA82102"/>
    <w:lvl w:ilvl="0" w:tplc="D902DDBC">
      <w:start w:val="1"/>
      <w:numFmt w:val="bullet"/>
      <w:lvlText w:val=""/>
      <w:lvlJc w:val="left"/>
      <w:pPr>
        <w:ind w:left="3312" w:hanging="360"/>
      </w:pPr>
      <w:rPr>
        <w:rFonts w:ascii="Webdings" w:hAnsi="Webdings" w:hint="default"/>
        <w:b w:val="0"/>
        <w:i w:val="0"/>
        <w:color w:val="FF6600"/>
        <w:sz w:val="24"/>
      </w:rPr>
    </w:lvl>
    <w:lvl w:ilvl="1" w:tplc="04090003">
      <w:start w:val="1"/>
      <w:numFmt w:val="bullet"/>
      <w:lvlText w:val="o"/>
      <w:lvlJc w:val="left"/>
      <w:pPr>
        <w:ind w:left="4032" w:hanging="360"/>
      </w:pPr>
      <w:rPr>
        <w:rFonts w:ascii="Courier New" w:hAnsi="Courier New" w:hint="default"/>
      </w:rPr>
    </w:lvl>
    <w:lvl w:ilvl="2" w:tplc="04090005" w:tentative="1">
      <w:start w:val="1"/>
      <w:numFmt w:val="bullet"/>
      <w:lvlText w:val=""/>
      <w:lvlJc w:val="left"/>
      <w:pPr>
        <w:ind w:left="4752" w:hanging="360"/>
      </w:pPr>
      <w:rPr>
        <w:rFonts w:ascii="Wingdings" w:hAnsi="Wingdings" w:hint="default"/>
      </w:rPr>
    </w:lvl>
    <w:lvl w:ilvl="3" w:tplc="04090001" w:tentative="1">
      <w:start w:val="1"/>
      <w:numFmt w:val="bullet"/>
      <w:lvlText w:val=""/>
      <w:lvlJc w:val="left"/>
      <w:pPr>
        <w:ind w:left="5472" w:hanging="360"/>
      </w:pPr>
      <w:rPr>
        <w:rFonts w:ascii="Symbol" w:hAnsi="Symbol" w:hint="default"/>
      </w:rPr>
    </w:lvl>
    <w:lvl w:ilvl="4" w:tplc="04090003" w:tentative="1">
      <w:start w:val="1"/>
      <w:numFmt w:val="bullet"/>
      <w:lvlText w:val="o"/>
      <w:lvlJc w:val="left"/>
      <w:pPr>
        <w:ind w:left="6192" w:hanging="360"/>
      </w:pPr>
      <w:rPr>
        <w:rFonts w:ascii="Courier New" w:hAnsi="Courier New" w:hint="default"/>
      </w:rPr>
    </w:lvl>
    <w:lvl w:ilvl="5" w:tplc="04090005" w:tentative="1">
      <w:start w:val="1"/>
      <w:numFmt w:val="bullet"/>
      <w:lvlText w:val=""/>
      <w:lvlJc w:val="left"/>
      <w:pPr>
        <w:ind w:left="6912" w:hanging="360"/>
      </w:pPr>
      <w:rPr>
        <w:rFonts w:ascii="Wingdings" w:hAnsi="Wingdings" w:hint="default"/>
      </w:rPr>
    </w:lvl>
    <w:lvl w:ilvl="6" w:tplc="04090001" w:tentative="1">
      <w:start w:val="1"/>
      <w:numFmt w:val="bullet"/>
      <w:lvlText w:val=""/>
      <w:lvlJc w:val="left"/>
      <w:pPr>
        <w:ind w:left="7632" w:hanging="360"/>
      </w:pPr>
      <w:rPr>
        <w:rFonts w:ascii="Symbol" w:hAnsi="Symbol" w:hint="default"/>
      </w:rPr>
    </w:lvl>
    <w:lvl w:ilvl="7" w:tplc="04090003" w:tentative="1">
      <w:start w:val="1"/>
      <w:numFmt w:val="bullet"/>
      <w:lvlText w:val="o"/>
      <w:lvlJc w:val="left"/>
      <w:pPr>
        <w:ind w:left="8352" w:hanging="360"/>
      </w:pPr>
      <w:rPr>
        <w:rFonts w:ascii="Courier New" w:hAnsi="Courier New" w:hint="default"/>
      </w:rPr>
    </w:lvl>
    <w:lvl w:ilvl="8" w:tplc="04090005" w:tentative="1">
      <w:start w:val="1"/>
      <w:numFmt w:val="bullet"/>
      <w:lvlText w:val=""/>
      <w:lvlJc w:val="left"/>
      <w:pPr>
        <w:ind w:left="9072" w:hanging="360"/>
      </w:pPr>
      <w:rPr>
        <w:rFonts w:ascii="Wingdings" w:hAnsi="Wingdings" w:hint="default"/>
      </w:rPr>
    </w:lvl>
  </w:abstractNum>
  <w:abstractNum w:abstractNumId="33">
    <w:nsid w:val="1C4F47D3"/>
    <w:multiLevelType w:val="hybridMultilevel"/>
    <w:tmpl w:val="38FEE8EC"/>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1CC30CCB"/>
    <w:multiLevelType w:val="hybridMultilevel"/>
    <w:tmpl w:val="0BC60840"/>
    <w:lvl w:ilvl="0" w:tplc="C4C44152">
      <w:start w:val="1"/>
      <w:numFmt w:val="bullet"/>
      <w:lvlText w:val=""/>
      <w:lvlJc w:val="left"/>
      <w:pPr>
        <w:ind w:left="720" w:hanging="360"/>
      </w:pPr>
      <w:rPr>
        <w:rFonts w:ascii="Symbol" w:hAnsi="Symbol" w:hint="default"/>
        <w:b w:val="0"/>
        <w:i w:val="0"/>
        <w:color w:val="auto"/>
        <w:sz w:val="18"/>
        <w:szCs w:val="18"/>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1FA1126D"/>
    <w:multiLevelType w:val="hybridMultilevel"/>
    <w:tmpl w:val="D16843E0"/>
    <w:lvl w:ilvl="0" w:tplc="D902DDBC">
      <w:start w:val="1"/>
      <w:numFmt w:val="bullet"/>
      <w:lvlText w:val=""/>
      <w:lvlJc w:val="left"/>
      <w:pPr>
        <w:tabs>
          <w:tab w:val="num" w:pos="1440"/>
        </w:tabs>
        <w:ind w:left="1440" w:hanging="360"/>
      </w:pPr>
      <w:rPr>
        <w:rFonts w:ascii="Webdings" w:hAnsi="Webdings" w:hint="default"/>
        <w:b w:val="0"/>
        <w:i w:val="0"/>
        <w:color w:val="FF6600"/>
        <w:sz w:val="24"/>
      </w:rPr>
    </w:lvl>
    <w:lvl w:ilvl="1" w:tplc="04090003">
      <w:start w:val="1"/>
      <w:numFmt w:val="decimal"/>
      <w:lvlText w:val="%2."/>
      <w:lvlJc w:val="left"/>
      <w:pPr>
        <w:tabs>
          <w:tab w:val="num" w:pos="2520"/>
        </w:tabs>
        <w:ind w:left="2520" w:hanging="360"/>
      </w:pPr>
      <w:rPr>
        <w:rFonts w:cs="Times New Roman"/>
      </w:rPr>
    </w:lvl>
    <w:lvl w:ilvl="2" w:tplc="04090005">
      <w:start w:val="1"/>
      <w:numFmt w:val="decimal"/>
      <w:lvlText w:val="%3."/>
      <w:lvlJc w:val="left"/>
      <w:pPr>
        <w:tabs>
          <w:tab w:val="num" w:pos="3240"/>
        </w:tabs>
        <w:ind w:left="3240" w:hanging="360"/>
      </w:pPr>
      <w:rPr>
        <w:rFonts w:cs="Times New Roman"/>
      </w:rPr>
    </w:lvl>
    <w:lvl w:ilvl="3" w:tplc="04090001">
      <w:start w:val="1"/>
      <w:numFmt w:val="decimal"/>
      <w:lvlText w:val="%4."/>
      <w:lvlJc w:val="left"/>
      <w:pPr>
        <w:tabs>
          <w:tab w:val="num" w:pos="3960"/>
        </w:tabs>
        <w:ind w:left="3960" w:hanging="360"/>
      </w:pPr>
      <w:rPr>
        <w:rFonts w:cs="Times New Roman"/>
      </w:rPr>
    </w:lvl>
    <w:lvl w:ilvl="4" w:tplc="04090003">
      <w:start w:val="1"/>
      <w:numFmt w:val="decimal"/>
      <w:lvlText w:val="%5."/>
      <w:lvlJc w:val="left"/>
      <w:pPr>
        <w:tabs>
          <w:tab w:val="num" w:pos="4680"/>
        </w:tabs>
        <w:ind w:left="4680" w:hanging="360"/>
      </w:pPr>
      <w:rPr>
        <w:rFonts w:cs="Times New Roman"/>
      </w:rPr>
    </w:lvl>
    <w:lvl w:ilvl="5" w:tplc="04090005">
      <w:start w:val="1"/>
      <w:numFmt w:val="decimal"/>
      <w:lvlText w:val="%6."/>
      <w:lvlJc w:val="left"/>
      <w:pPr>
        <w:tabs>
          <w:tab w:val="num" w:pos="5400"/>
        </w:tabs>
        <w:ind w:left="5400" w:hanging="360"/>
      </w:pPr>
      <w:rPr>
        <w:rFonts w:cs="Times New Roman"/>
      </w:rPr>
    </w:lvl>
    <w:lvl w:ilvl="6" w:tplc="04090001">
      <w:start w:val="1"/>
      <w:numFmt w:val="decimal"/>
      <w:lvlText w:val="%7."/>
      <w:lvlJc w:val="left"/>
      <w:pPr>
        <w:tabs>
          <w:tab w:val="num" w:pos="6120"/>
        </w:tabs>
        <w:ind w:left="6120" w:hanging="360"/>
      </w:pPr>
      <w:rPr>
        <w:rFonts w:cs="Times New Roman"/>
      </w:rPr>
    </w:lvl>
    <w:lvl w:ilvl="7" w:tplc="04090003">
      <w:start w:val="1"/>
      <w:numFmt w:val="decimal"/>
      <w:lvlText w:val="%8."/>
      <w:lvlJc w:val="left"/>
      <w:pPr>
        <w:tabs>
          <w:tab w:val="num" w:pos="6840"/>
        </w:tabs>
        <w:ind w:left="6840" w:hanging="360"/>
      </w:pPr>
      <w:rPr>
        <w:rFonts w:cs="Times New Roman"/>
      </w:rPr>
    </w:lvl>
    <w:lvl w:ilvl="8" w:tplc="04090005">
      <w:start w:val="1"/>
      <w:numFmt w:val="decimal"/>
      <w:lvlText w:val="%9."/>
      <w:lvlJc w:val="left"/>
      <w:pPr>
        <w:tabs>
          <w:tab w:val="num" w:pos="7560"/>
        </w:tabs>
        <w:ind w:left="7560" w:hanging="360"/>
      </w:pPr>
      <w:rPr>
        <w:rFonts w:cs="Times New Roman"/>
      </w:rPr>
    </w:lvl>
  </w:abstractNum>
  <w:abstractNum w:abstractNumId="36">
    <w:nsid w:val="22BD523E"/>
    <w:multiLevelType w:val="hybridMultilevel"/>
    <w:tmpl w:val="DBF00120"/>
    <w:lvl w:ilvl="0" w:tplc="D902DDBC">
      <w:start w:val="1"/>
      <w:numFmt w:val="bullet"/>
      <w:lvlText w:val=""/>
      <w:lvlJc w:val="left"/>
      <w:pPr>
        <w:ind w:left="882" w:hanging="360"/>
      </w:pPr>
      <w:rPr>
        <w:rFonts w:ascii="Webdings" w:hAnsi="Webdings" w:hint="default"/>
        <w:b w:val="0"/>
        <w:i w:val="0"/>
        <w:color w:val="FF6600"/>
        <w:sz w:val="24"/>
      </w:rPr>
    </w:lvl>
    <w:lvl w:ilvl="1" w:tplc="04090003" w:tentative="1">
      <w:start w:val="1"/>
      <w:numFmt w:val="bullet"/>
      <w:lvlText w:val="o"/>
      <w:lvlJc w:val="left"/>
      <w:pPr>
        <w:ind w:left="1602" w:hanging="360"/>
      </w:pPr>
      <w:rPr>
        <w:rFonts w:ascii="Courier New" w:hAnsi="Courier New" w:cs="Courier New" w:hint="default"/>
      </w:rPr>
    </w:lvl>
    <w:lvl w:ilvl="2" w:tplc="04090005" w:tentative="1">
      <w:start w:val="1"/>
      <w:numFmt w:val="bullet"/>
      <w:lvlText w:val=""/>
      <w:lvlJc w:val="left"/>
      <w:pPr>
        <w:ind w:left="2322" w:hanging="360"/>
      </w:pPr>
      <w:rPr>
        <w:rFonts w:ascii="Wingdings" w:hAnsi="Wingdings" w:hint="default"/>
      </w:rPr>
    </w:lvl>
    <w:lvl w:ilvl="3" w:tplc="04090001" w:tentative="1">
      <w:start w:val="1"/>
      <w:numFmt w:val="bullet"/>
      <w:lvlText w:val=""/>
      <w:lvlJc w:val="left"/>
      <w:pPr>
        <w:ind w:left="3042" w:hanging="360"/>
      </w:pPr>
      <w:rPr>
        <w:rFonts w:ascii="Symbol" w:hAnsi="Symbol" w:hint="default"/>
      </w:rPr>
    </w:lvl>
    <w:lvl w:ilvl="4" w:tplc="04090003" w:tentative="1">
      <w:start w:val="1"/>
      <w:numFmt w:val="bullet"/>
      <w:lvlText w:val="o"/>
      <w:lvlJc w:val="left"/>
      <w:pPr>
        <w:ind w:left="3762" w:hanging="360"/>
      </w:pPr>
      <w:rPr>
        <w:rFonts w:ascii="Courier New" w:hAnsi="Courier New" w:cs="Courier New" w:hint="default"/>
      </w:rPr>
    </w:lvl>
    <w:lvl w:ilvl="5" w:tplc="04090005" w:tentative="1">
      <w:start w:val="1"/>
      <w:numFmt w:val="bullet"/>
      <w:lvlText w:val=""/>
      <w:lvlJc w:val="left"/>
      <w:pPr>
        <w:ind w:left="4482" w:hanging="360"/>
      </w:pPr>
      <w:rPr>
        <w:rFonts w:ascii="Wingdings" w:hAnsi="Wingdings" w:hint="default"/>
      </w:rPr>
    </w:lvl>
    <w:lvl w:ilvl="6" w:tplc="04090001" w:tentative="1">
      <w:start w:val="1"/>
      <w:numFmt w:val="bullet"/>
      <w:lvlText w:val=""/>
      <w:lvlJc w:val="left"/>
      <w:pPr>
        <w:ind w:left="5202" w:hanging="360"/>
      </w:pPr>
      <w:rPr>
        <w:rFonts w:ascii="Symbol" w:hAnsi="Symbol" w:hint="default"/>
      </w:rPr>
    </w:lvl>
    <w:lvl w:ilvl="7" w:tplc="04090003" w:tentative="1">
      <w:start w:val="1"/>
      <w:numFmt w:val="bullet"/>
      <w:lvlText w:val="o"/>
      <w:lvlJc w:val="left"/>
      <w:pPr>
        <w:ind w:left="5922" w:hanging="360"/>
      </w:pPr>
      <w:rPr>
        <w:rFonts w:ascii="Courier New" w:hAnsi="Courier New" w:cs="Courier New" w:hint="default"/>
      </w:rPr>
    </w:lvl>
    <w:lvl w:ilvl="8" w:tplc="04090005" w:tentative="1">
      <w:start w:val="1"/>
      <w:numFmt w:val="bullet"/>
      <w:lvlText w:val=""/>
      <w:lvlJc w:val="left"/>
      <w:pPr>
        <w:ind w:left="6642" w:hanging="360"/>
      </w:pPr>
      <w:rPr>
        <w:rFonts w:ascii="Wingdings" w:hAnsi="Wingdings" w:hint="default"/>
      </w:rPr>
    </w:lvl>
  </w:abstractNum>
  <w:abstractNum w:abstractNumId="37">
    <w:nsid w:val="23F65B89"/>
    <w:multiLevelType w:val="hybridMultilevel"/>
    <w:tmpl w:val="B3847BF4"/>
    <w:lvl w:ilvl="0" w:tplc="D902DDBC">
      <w:start w:val="1"/>
      <w:numFmt w:val="bullet"/>
      <w:lvlText w:val=""/>
      <w:lvlJc w:val="left"/>
      <w:pPr>
        <w:ind w:left="1800" w:hanging="360"/>
      </w:pPr>
      <w:rPr>
        <w:rFonts w:ascii="Webdings" w:hAnsi="Webdings" w:hint="default"/>
        <w:b w:val="0"/>
        <w:i w:val="0"/>
        <w:color w:val="FF6600"/>
        <w:sz w:val="24"/>
        <w:szCs w:val="18"/>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38">
    <w:nsid w:val="253F157C"/>
    <w:multiLevelType w:val="hybridMultilevel"/>
    <w:tmpl w:val="CAB8AB2E"/>
    <w:lvl w:ilvl="0" w:tplc="D902DDBC">
      <w:start w:val="1"/>
      <w:numFmt w:val="bullet"/>
      <w:lvlText w:val=""/>
      <w:lvlJc w:val="left"/>
      <w:pPr>
        <w:ind w:left="1800" w:hanging="360"/>
      </w:pPr>
      <w:rPr>
        <w:rFonts w:ascii="Webdings" w:hAnsi="Webdings" w:hint="default"/>
        <w:b w:val="0"/>
        <w:i w:val="0"/>
        <w:color w:val="FF6600"/>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9">
    <w:nsid w:val="274079DD"/>
    <w:multiLevelType w:val="hybridMultilevel"/>
    <w:tmpl w:val="EEB2D384"/>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40">
    <w:nsid w:val="28AE539D"/>
    <w:multiLevelType w:val="hybridMultilevel"/>
    <w:tmpl w:val="2B2A7604"/>
    <w:lvl w:ilvl="0" w:tplc="D902DDBC">
      <w:start w:val="1"/>
      <w:numFmt w:val="bullet"/>
      <w:lvlText w:val=""/>
      <w:lvlJc w:val="left"/>
      <w:pPr>
        <w:ind w:left="720" w:hanging="360"/>
      </w:pPr>
      <w:rPr>
        <w:rFonts w:ascii="Webdings" w:hAnsi="Webdings" w:hint="default"/>
        <w:b w:val="0"/>
        <w:i w:val="0"/>
        <w:color w:val="FF6600"/>
        <w:sz w:val="24"/>
        <w:szCs w:val="18"/>
      </w:rPr>
    </w:lvl>
    <w:lvl w:ilvl="1" w:tplc="04090001">
      <w:start w:val="1"/>
      <w:numFmt w:val="bullet"/>
      <w:lvlText w:val=""/>
      <w:lvlJc w:val="left"/>
      <w:pPr>
        <w:ind w:left="1440" w:hanging="360"/>
      </w:pPr>
      <w:rPr>
        <w:rFonts w:ascii="Symbol" w:hAnsi="Symbol" w:hint="default"/>
      </w:rPr>
    </w:lvl>
    <w:lvl w:ilvl="2" w:tplc="F4DA1104">
      <w:start w:val="1"/>
      <w:numFmt w:val="bullet"/>
      <w:lvlText w:val=""/>
      <w:lvlJc w:val="left"/>
      <w:pPr>
        <w:ind w:left="2160" w:hanging="360"/>
      </w:pPr>
      <w:rPr>
        <w:rFonts w:ascii="Webdings" w:hAnsi="Webdings" w:hint="default"/>
        <w:b w:val="0"/>
        <w:i w:val="0"/>
        <w:color w:val="auto"/>
        <w:sz w:val="18"/>
        <w:szCs w:val="18"/>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29706942"/>
    <w:multiLevelType w:val="hybridMultilevel"/>
    <w:tmpl w:val="8C6A57C8"/>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1BCE2F50">
      <w:start w:val="1"/>
      <w:numFmt w:val="bullet"/>
      <w:lvlText w:val=""/>
      <w:lvlJc w:val="left"/>
      <w:pPr>
        <w:ind w:left="2160" w:hanging="360"/>
      </w:pPr>
      <w:rPr>
        <w:rFonts w:ascii="Symbol" w:hAnsi="Symbol" w:hint="default"/>
        <w:b w:val="0"/>
        <w:i w:val="0"/>
        <w:color w:val="auto"/>
        <w:sz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2A7A4778"/>
    <w:multiLevelType w:val="hybridMultilevel"/>
    <w:tmpl w:val="0A14FDDC"/>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3">
    <w:nsid w:val="2BAC17D4"/>
    <w:multiLevelType w:val="hybridMultilevel"/>
    <w:tmpl w:val="BDA0285A"/>
    <w:lvl w:ilvl="0" w:tplc="D902DDBC">
      <w:start w:val="1"/>
      <w:numFmt w:val="bullet"/>
      <w:lvlText w:val=""/>
      <w:lvlJc w:val="left"/>
      <w:pPr>
        <w:ind w:left="2160" w:hanging="360"/>
      </w:pPr>
      <w:rPr>
        <w:rFonts w:ascii="Webdings" w:hAnsi="Webdings" w:hint="default"/>
        <w:b w:val="0"/>
        <w:i w:val="0"/>
        <w:color w:val="FF6600"/>
        <w:sz w:val="24"/>
      </w:rPr>
    </w:lvl>
    <w:lvl w:ilvl="1" w:tplc="58D2010E">
      <w:start w:val="1"/>
      <w:numFmt w:val="bullet"/>
      <w:lvlText w:val=""/>
      <w:lvlJc w:val="left"/>
      <w:pPr>
        <w:ind w:left="1890" w:hanging="360"/>
      </w:pPr>
      <w:rPr>
        <w:rFonts w:ascii="Symbol" w:hAnsi="Symbol" w:hint="default"/>
        <w:b w:val="0"/>
        <w:i w:val="0"/>
        <w:color w:val="auto"/>
        <w:sz w:val="18"/>
        <w:szCs w:val="18"/>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4">
    <w:nsid w:val="2C0446D3"/>
    <w:multiLevelType w:val="hybridMultilevel"/>
    <w:tmpl w:val="C342546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5">
    <w:nsid w:val="2D86166F"/>
    <w:multiLevelType w:val="hybridMultilevel"/>
    <w:tmpl w:val="CB7CED1C"/>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2E3D2824"/>
    <w:multiLevelType w:val="hybridMultilevel"/>
    <w:tmpl w:val="D542D3AC"/>
    <w:lvl w:ilvl="0" w:tplc="D902DDBC">
      <w:start w:val="1"/>
      <w:numFmt w:val="bullet"/>
      <w:lvlText w:val=""/>
      <w:lvlJc w:val="left"/>
      <w:pPr>
        <w:ind w:left="1170" w:hanging="360"/>
      </w:pPr>
      <w:rPr>
        <w:rFonts w:ascii="Webdings" w:hAnsi="Webdings" w:hint="default"/>
        <w:b w:val="0"/>
        <w:i w:val="0"/>
        <w:color w:val="FF6600"/>
        <w:sz w:val="24"/>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47">
    <w:nsid w:val="2F9821DB"/>
    <w:multiLevelType w:val="multilevel"/>
    <w:tmpl w:val="E20EEB6E"/>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48">
    <w:nsid w:val="2FAE75D2"/>
    <w:multiLevelType w:val="hybridMultilevel"/>
    <w:tmpl w:val="A91AD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301264BE"/>
    <w:multiLevelType w:val="hybridMultilevel"/>
    <w:tmpl w:val="53648A18"/>
    <w:lvl w:ilvl="0" w:tplc="EC8EAD0E">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D902DDBC">
      <w:start w:val="1"/>
      <w:numFmt w:val="bullet"/>
      <w:lvlText w:val=""/>
      <w:lvlJc w:val="left"/>
      <w:pPr>
        <w:ind w:left="3600" w:hanging="360"/>
      </w:pPr>
      <w:rPr>
        <w:rFonts w:ascii="Webdings" w:hAnsi="Webdings" w:hint="default"/>
        <w:b w:val="0"/>
        <w:i w:val="0"/>
        <w:color w:val="FF6600"/>
        <w:sz w:val="24"/>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nsid w:val="30E74D6D"/>
    <w:multiLevelType w:val="hybridMultilevel"/>
    <w:tmpl w:val="120EE1C2"/>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330E61E8"/>
    <w:multiLevelType w:val="hybridMultilevel"/>
    <w:tmpl w:val="A12CBECC"/>
    <w:lvl w:ilvl="0" w:tplc="A54E29D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337F56D0"/>
    <w:multiLevelType w:val="hybridMultilevel"/>
    <w:tmpl w:val="5316FA16"/>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3">
    <w:nsid w:val="34335258"/>
    <w:multiLevelType w:val="hybridMultilevel"/>
    <w:tmpl w:val="B75A781E"/>
    <w:lvl w:ilvl="0" w:tplc="49CEB1AC">
      <w:start w:val="1"/>
      <w:numFmt w:val="bullet"/>
      <w:lvlText w:val=""/>
      <w:lvlJc w:val="left"/>
      <w:pPr>
        <w:ind w:left="720" w:hanging="360"/>
      </w:pPr>
      <w:rPr>
        <w:rFonts w:ascii="Webdings" w:hAnsi="Webdings" w:hint="default"/>
        <w:b w:val="0"/>
        <w:i w:val="0"/>
        <w:color w:val="FF6600"/>
        <w:sz w:val="24"/>
      </w:rPr>
    </w:lvl>
    <w:lvl w:ilvl="1" w:tplc="B1AEDF88">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34F431EF"/>
    <w:multiLevelType w:val="hybridMultilevel"/>
    <w:tmpl w:val="C9D2F146"/>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D902DDBC">
      <w:start w:val="1"/>
      <w:numFmt w:val="bullet"/>
      <w:lvlText w:val=""/>
      <w:lvlJc w:val="left"/>
      <w:pPr>
        <w:ind w:left="2880" w:hanging="360"/>
      </w:pPr>
      <w:rPr>
        <w:rFonts w:ascii="Webdings" w:hAnsi="Webdings" w:hint="default"/>
        <w:b w:val="0"/>
        <w:i w:val="0"/>
        <w:color w:val="FF6600"/>
        <w:sz w:val="24"/>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35ED0E22"/>
    <w:multiLevelType w:val="hybridMultilevel"/>
    <w:tmpl w:val="B886947E"/>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Wingdings"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Wingdings"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36C55435"/>
    <w:multiLevelType w:val="hybridMultilevel"/>
    <w:tmpl w:val="84D2CB3A"/>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7">
    <w:nsid w:val="37335173"/>
    <w:multiLevelType w:val="hybridMultilevel"/>
    <w:tmpl w:val="DD56ADBC"/>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8">
    <w:nsid w:val="37A85924"/>
    <w:multiLevelType w:val="hybridMultilevel"/>
    <w:tmpl w:val="22B4A304"/>
    <w:lvl w:ilvl="0" w:tplc="D902DDBC">
      <w:start w:val="1"/>
      <w:numFmt w:val="bullet"/>
      <w:lvlText w:val=""/>
      <w:lvlJc w:val="left"/>
      <w:pPr>
        <w:ind w:left="720" w:hanging="360"/>
      </w:pPr>
      <w:rPr>
        <w:rFonts w:ascii="Webdings" w:hAnsi="Webdings" w:hint="default"/>
        <w:b w:val="0"/>
        <w:i w:val="0"/>
        <w:color w:val="FF6600"/>
        <w:sz w:val="24"/>
      </w:rPr>
    </w:lvl>
    <w:lvl w:ilvl="1" w:tplc="D902DDBC">
      <w:start w:val="1"/>
      <w:numFmt w:val="bullet"/>
      <w:lvlText w:val=""/>
      <w:lvlJc w:val="left"/>
      <w:pPr>
        <w:ind w:left="1440" w:hanging="360"/>
      </w:pPr>
      <w:rPr>
        <w:rFonts w:ascii="Webdings" w:hAnsi="Webdings" w:hint="default"/>
        <w:b w:val="0"/>
        <w:i w:val="0"/>
        <w:color w:val="FF6600"/>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37D46ECF"/>
    <w:multiLevelType w:val="hybridMultilevel"/>
    <w:tmpl w:val="8C26096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38F419FA"/>
    <w:multiLevelType w:val="multilevel"/>
    <w:tmpl w:val="95184C38"/>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61">
    <w:nsid w:val="3A806EA4"/>
    <w:multiLevelType w:val="hybridMultilevel"/>
    <w:tmpl w:val="7BECA1CA"/>
    <w:lvl w:ilvl="0" w:tplc="0152F0C0">
      <w:start w:val="1"/>
      <w:numFmt w:val="bullet"/>
      <w:lvlText w:val=""/>
      <w:lvlJc w:val="left"/>
      <w:pPr>
        <w:ind w:left="720" w:hanging="360"/>
      </w:pPr>
      <w:rPr>
        <w:rFonts w:ascii="Webdings" w:hAnsi="Webdings" w:hint="default"/>
        <w:b w:val="0"/>
        <w:i w:val="0"/>
        <w:color w:val="FF6600"/>
        <w:sz w:val="22"/>
      </w:rPr>
    </w:lvl>
    <w:lvl w:ilvl="1" w:tplc="04090001">
      <w:start w:val="1"/>
      <w:numFmt w:val="bullet"/>
      <w:lvlText w:val=""/>
      <w:lvlJc w:val="left"/>
      <w:pPr>
        <w:ind w:left="1440" w:hanging="360"/>
      </w:pPr>
      <w:rPr>
        <w:rFonts w:ascii="Symbol" w:hAnsi="Symbol" w:hint="default"/>
      </w:rPr>
    </w:lvl>
    <w:lvl w:ilvl="2" w:tplc="3886FCEC">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3C3908C6"/>
    <w:multiLevelType w:val="hybridMultilevel"/>
    <w:tmpl w:val="68C49B16"/>
    <w:lvl w:ilvl="0" w:tplc="D902DDBC">
      <w:start w:val="1"/>
      <w:numFmt w:val="bullet"/>
      <w:lvlText w:val=""/>
      <w:lvlJc w:val="left"/>
      <w:pPr>
        <w:tabs>
          <w:tab w:val="num" w:pos="720"/>
        </w:tabs>
        <w:ind w:left="720" w:hanging="360"/>
      </w:pPr>
      <w:rPr>
        <w:rFonts w:ascii="Webdings" w:hAnsi="Webdings" w:hint="default"/>
        <w:b w:val="0"/>
        <w:i w:val="0"/>
        <w:color w:val="FF6600"/>
        <w:sz w:val="24"/>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3">
    <w:nsid w:val="3DA476BA"/>
    <w:multiLevelType w:val="hybridMultilevel"/>
    <w:tmpl w:val="7CC40FCA"/>
    <w:lvl w:ilvl="0" w:tplc="1C7644F6">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3E353A66"/>
    <w:multiLevelType w:val="hybridMultilevel"/>
    <w:tmpl w:val="18886C44"/>
    <w:lvl w:ilvl="0" w:tplc="D422C300">
      <w:start w:val="1"/>
      <w:numFmt w:val="decimal"/>
      <w:lvlText w:val="%1."/>
      <w:lvlJc w:val="lef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nsid w:val="3F8A623C"/>
    <w:multiLevelType w:val="hybridMultilevel"/>
    <w:tmpl w:val="D5F6E6C8"/>
    <w:lvl w:ilvl="0" w:tplc="04090019">
      <w:start w:val="1"/>
      <w:numFmt w:val="lowerLetter"/>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6">
    <w:nsid w:val="3FAD0CE4"/>
    <w:multiLevelType w:val="hybridMultilevel"/>
    <w:tmpl w:val="840EA4DE"/>
    <w:lvl w:ilvl="0" w:tplc="D902DDBC">
      <w:start w:val="1"/>
      <w:numFmt w:val="bullet"/>
      <w:lvlText w:val=""/>
      <w:lvlJc w:val="left"/>
      <w:pPr>
        <w:ind w:left="1800" w:hanging="360"/>
      </w:pPr>
      <w:rPr>
        <w:rFonts w:ascii="Webdings" w:hAnsi="Webdings" w:hint="default"/>
        <w:b w:val="0"/>
        <w:i w:val="0"/>
        <w:color w:val="FF6600"/>
        <w:sz w:val="24"/>
      </w:rPr>
    </w:lvl>
    <w:lvl w:ilvl="1" w:tplc="8C10D200">
      <w:start w:val="1"/>
      <w:numFmt w:val="bullet"/>
      <w:lvlText w:val=""/>
      <w:lvlJc w:val="left"/>
      <w:pPr>
        <w:ind w:left="2520" w:hanging="360"/>
      </w:pPr>
      <w:rPr>
        <w:rFonts w:ascii="Symbol" w:hAnsi="Symbol" w:hint="default"/>
        <w:b w:val="0"/>
        <w:i w:val="0"/>
        <w:color w:val="auto"/>
        <w:sz w:val="18"/>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7">
    <w:nsid w:val="40152C41"/>
    <w:multiLevelType w:val="hybridMultilevel"/>
    <w:tmpl w:val="F914246C"/>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8">
    <w:nsid w:val="40FC36E1"/>
    <w:multiLevelType w:val="hybridMultilevel"/>
    <w:tmpl w:val="1BCEF858"/>
    <w:lvl w:ilvl="0" w:tplc="D902DDBC">
      <w:start w:val="1"/>
      <w:numFmt w:val="bullet"/>
      <w:lvlText w:val=""/>
      <w:lvlJc w:val="left"/>
      <w:pPr>
        <w:ind w:left="1627" w:hanging="360"/>
      </w:pPr>
      <w:rPr>
        <w:rFonts w:ascii="Webdings" w:hAnsi="Webdings" w:hint="default"/>
        <w:b w:val="0"/>
        <w:i w:val="0"/>
        <w:color w:val="FF6600"/>
        <w:sz w:val="24"/>
      </w:rPr>
    </w:lvl>
    <w:lvl w:ilvl="1" w:tplc="D902DDBC">
      <w:start w:val="1"/>
      <w:numFmt w:val="bullet"/>
      <w:lvlText w:val=""/>
      <w:lvlJc w:val="left"/>
      <w:pPr>
        <w:ind w:left="2347" w:hanging="360"/>
      </w:pPr>
      <w:rPr>
        <w:rFonts w:ascii="Webdings" w:hAnsi="Webdings" w:hint="default"/>
        <w:b w:val="0"/>
        <w:i w:val="0"/>
        <w:color w:val="FF6600"/>
        <w:sz w:val="24"/>
      </w:rPr>
    </w:lvl>
    <w:lvl w:ilvl="2" w:tplc="04090005">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69">
    <w:nsid w:val="4125733E"/>
    <w:multiLevelType w:val="hybridMultilevel"/>
    <w:tmpl w:val="E92E17B8"/>
    <w:lvl w:ilvl="0" w:tplc="D902DDB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42A16218"/>
    <w:multiLevelType w:val="hybridMultilevel"/>
    <w:tmpl w:val="42E241C4"/>
    <w:lvl w:ilvl="0" w:tplc="49CEB1AC">
      <w:start w:val="1"/>
      <w:numFmt w:val="bullet"/>
      <w:lvlText w:val=""/>
      <w:lvlJc w:val="left"/>
      <w:pPr>
        <w:ind w:left="720" w:hanging="360"/>
      </w:pPr>
      <w:rPr>
        <w:rFonts w:ascii="Webdings" w:hAnsi="Webdings" w:hint="default"/>
        <w:b w:val="0"/>
        <w:i w:val="0"/>
        <w:color w:val="FF6600"/>
        <w:sz w:val="24"/>
      </w:rPr>
    </w:lvl>
    <w:lvl w:ilvl="1" w:tplc="56BCC4C6">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nsid w:val="43EA2CBE"/>
    <w:multiLevelType w:val="hybridMultilevel"/>
    <w:tmpl w:val="83062008"/>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5">
      <w:start w:val="1"/>
      <w:numFmt w:val="bullet"/>
      <w:lvlText w:val=""/>
      <w:lvlJc w:val="left"/>
      <w:pPr>
        <w:ind w:left="3067" w:hanging="360"/>
      </w:pPr>
      <w:rPr>
        <w:rFonts w:ascii="Wingdings" w:hAnsi="Wingdings" w:hint="default"/>
      </w:rPr>
    </w:lvl>
    <w:lvl w:ilvl="3" w:tplc="D902DDBC">
      <w:start w:val="1"/>
      <w:numFmt w:val="bullet"/>
      <w:lvlText w:val=""/>
      <w:lvlJc w:val="left"/>
      <w:pPr>
        <w:ind w:left="3787" w:hanging="360"/>
      </w:pPr>
      <w:rPr>
        <w:rFonts w:ascii="Webdings" w:hAnsi="Webdings" w:hint="default"/>
        <w:b w:val="0"/>
        <w:i w:val="0"/>
        <w:color w:val="FF6600"/>
        <w:sz w:val="24"/>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72">
    <w:nsid w:val="46EF72CA"/>
    <w:multiLevelType w:val="hybridMultilevel"/>
    <w:tmpl w:val="126AB6F8"/>
    <w:lvl w:ilvl="0" w:tplc="0409000F">
      <w:start w:val="1"/>
      <w:numFmt w:val="decimal"/>
      <w:lvlText w:val="%1."/>
      <w:lvlJc w:val="left"/>
      <w:pPr>
        <w:ind w:left="900" w:hanging="360"/>
      </w:pPr>
      <w:rPr>
        <w:rFonts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3">
    <w:nsid w:val="47E60953"/>
    <w:multiLevelType w:val="hybridMultilevel"/>
    <w:tmpl w:val="9C9A5AAE"/>
    <w:lvl w:ilvl="0" w:tplc="604470B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74">
    <w:nsid w:val="481516AF"/>
    <w:multiLevelType w:val="hybridMultilevel"/>
    <w:tmpl w:val="D9B6952C"/>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5">
    <w:nsid w:val="48E70778"/>
    <w:multiLevelType w:val="hybridMultilevel"/>
    <w:tmpl w:val="72EE7AFE"/>
    <w:lvl w:ilvl="0" w:tplc="D902DDBC">
      <w:start w:val="1"/>
      <w:numFmt w:val="bullet"/>
      <w:lvlText w:val=""/>
      <w:lvlJc w:val="left"/>
      <w:pPr>
        <w:ind w:left="720" w:hanging="360"/>
      </w:pPr>
      <w:rPr>
        <w:rFonts w:ascii="Webdings" w:hAnsi="Webdings" w:hint="default"/>
        <w:b w:val="0"/>
        <w:i w:val="0"/>
        <w:color w:val="FF6600"/>
        <w:sz w:val="24"/>
        <w:szCs w:val="18"/>
      </w:rPr>
    </w:lvl>
    <w:lvl w:ilvl="1" w:tplc="D902DDBC">
      <w:start w:val="1"/>
      <w:numFmt w:val="bullet"/>
      <w:lvlText w:val=""/>
      <w:lvlJc w:val="left"/>
      <w:pPr>
        <w:ind w:left="1440" w:hanging="360"/>
      </w:pPr>
      <w:rPr>
        <w:rFonts w:ascii="Webdings" w:hAnsi="Webdings" w:hint="default"/>
        <w:b w:val="0"/>
        <w:i w:val="0"/>
        <w:color w:val="FF6600"/>
        <w:sz w:val="24"/>
      </w:rPr>
    </w:lvl>
    <w:lvl w:ilvl="2" w:tplc="0A5CAFB0">
      <w:start w:val="1"/>
      <w:numFmt w:val="bullet"/>
      <w:lvlText w:val=""/>
      <w:lvlJc w:val="left"/>
      <w:pPr>
        <w:ind w:left="2160" w:hanging="360"/>
      </w:pPr>
      <w:rPr>
        <w:rFonts w:ascii="Webdings" w:hAnsi="Webdings" w:hint="default"/>
        <w:b w:val="0"/>
        <w:i w:val="0"/>
        <w:color w:val="auto"/>
        <w:sz w:val="18"/>
        <w:szCs w:val="18"/>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4D7006C8"/>
    <w:multiLevelType w:val="hybridMultilevel"/>
    <w:tmpl w:val="C16A7552"/>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77">
    <w:nsid w:val="4EB52FCC"/>
    <w:multiLevelType w:val="hybridMultilevel"/>
    <w:tmpl w:val="CEDA2E28"/>
    <w:lvl w:ilvl="0" w:tplc="04090017">
      <w:start w:val="1"/>
      <w:numFmt w:val="low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78">
    <w:nsid w:val="4EEF6A4B"/>
    <w:multiLevelType w:val="hybridMultilevel"/>
    <w:tmpl w:val="65585854"/>
    <w:lvl w:ilvl="0" w:tplc="2F1A7CE4">
      <w:start w:val="1"/>
      <w:numFmt w:val="bullet"/>
      <w:lvlText w:val=""/>
      <w:lvlJc w:val="left"/>
      <w:pPr>
        <w:ind w:left="720" w:hanging="360"/>
      </w:pPr>
      <w:rPr>
        <w:rFonts w:ascii="Symbol" w:hAnsi="Symbol" w:hint="default"/>
        <w:b w:val="0"/>
        <w:i w:val="0"/>
        <w:color w:val="auto"/>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4FD7328F"/>
    <w:multiLevelType w:val="multilevel"/>
    <w:tmpl w:val="C40EC506"/>
    <w:lvl w:ilvl="0">
      <w:start w:val="1"/>
      <w:numFmt w:val="bullet"/>
      <w:lvlText w:val=""/>
      <w:lvlJc w:val="left"/>
      <w:pPr>
        <w:ind w:left="936" w:hanging="216"/>
      </w:pPr>
      <w:rPr>
        <w:rFonts w:ascii="Webdings" w:hAnsi="Webdings" w:hint="default"/>
        <w:b w:val="0"/>
        <w:i w:val="0"/>
        <w:color w:val="FF6600"/>
        <w:sz w:val="24"/>
      </w:rPr>
    </w:lvl>
    <w:lvl w:ilvl="1">
      <w:numFmt w:val="decimal"/>
      <w:lvlText w:val=""/>
      <w:lvlJc w:val="left"/>
      <w:pPr>
        <w:ind w:left="432" w:firstLine="0"/>
      </w:pPr>
    </w:lvl>
    <w:lvl w:ilvl="2">
      <w:numFmt w:val="decimal"/>
      <w:lvlText w:val=""/>
      <w:lvlJc w:val="left"/>
      <w:pPr>
        <w:ind w:left="432" w:firstLine="0"/>
      </w:pPr>
    </w:lvl>
    <w:lvl w:ilvl="3">
      <w:numFmt w:val="decimal"/>
      <w:lvlText w:val=""/>
      <w:lvlJc w:val="left"/>
      <w:pPr>
        <w:ind w:left="432" w:firstLine="0"/>
      </w:pPr>
    </w:lvl>
    <w:lvl w:ilvl="4">
      <w:numFmt w:val="decimal"/>
      <w:lvlText w:val=""/>
      <w:lvlJc w:val="left"/>
      <w:pPr>
        <w:ind w:left="432" w:firstLine="0"/>
      </w:pPr>
    </w:lvl>
    <w:lvl w:ilvl="5">
      <w:numFmt w:val="decimal"/>
      <w:lvlText w:val=""/>
      <w:lvlJc w:val="left"/>
      <w:pPr>
        <w:ind w:left="432" w:firstLine="0"/>
      </w:pPr>
    </w:lvl>
    <w:lvl w:ilvl="6">
      <w:numFmt w:val="decimal"/>
      <w:lvlText w:val=""/>
      <w:lvlJc w:val="left"/>
      <w:pPr>
        <w:ind w:left="432" w:firstLine="0"/>
      </w:pPr>
    </w:lvl>
    <w:lvl w:ilvl="7">
      <w:numFmt w:val="decimal"/>
      <w:lvlText w:val=""/>
      <w:lvlJc w:val="left"/>
      <w:pPr>
        <w:ind w:left="432" w:firstLine="0"/>
      </w:pPr>
    </w:lvl>
    <w:lvl w:ilvl="8">
      <w:numFmt w:val="decimal"/>
      <w:lvlText w:val=""/>
      <w:lvlJc w:val="left"/>
      <w:pPr>
        <w:ind w:left="432" w:firstLine="0"/>
      </w:pPr>
    </w:lvl>
  </w:abstractNum>
  <w:abstractNum w:abstractNumId="80">
    <w:nsid w:val="503C62BB"/>
    <w:multiLevelType w:val="hybridMultilevel"/>
    <w:tmpl w:val="DE04F0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50BD352C"/>
    <w:multiLevelType w:val="hybridMultilevel"/>
    <w:tmpl w:val="4A504C80"/>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82">
    <w:nsid w:val="50D40E2E"/>
    <w:multiLevelType w:val="multilevel"/>
    <w:tmpl w:val="42E00246"/>
    <w:lvl w:ilvl="0">
      <w:start w:val="1"/>
      <w:numFmt w:val="decimal"/>
      <w:lvlText w:val="%1."/>
      <w:lvlJc w:val="left"/>
      <w:pPr>
        <w:ind w:left="504" w:hanging="216"/>
      </w:pPr>
      <w:rPr>
        <w:rFonts w:hint="default"/>
        <w:sz w:val="18"/>
        <w:szCs w:val="18"/>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83">
    <w:nsid w:val="517F365B"/>
    <w:multiLevelType w:val="hybridMultilevel"/>
    <w:tmpl w:val="2EBC5F2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4">
    <w:nsid w:val="51DC36AE"/>
    <w:multiLevelType w:val="hybridMultilevel"/>
    <w:tmpl w:val="715651AC"/>
    <w:lvl w:ilvl="0" w:tplc="CBBCAA52">
      <w:start w:val="1"/>
      <w:numFmt w:val="bullet"/>
      <w:lvlText w:val=""/>
      <w:lvlJc w:val="left"/>
      <w:pPr>
        <w:ind w:left="1620" w:hanging="360"/>
      </w:pPr>
      <w:rPr>
        <w:rFonts w:ascii="Symbol" w:hAnsi="Symbol" w:hint="default"/>
        <w:b w:val="0"/>
        <w:i w:val="0"/>
        <w:color w:val="auto"/>
        <w:sz w:val="18"/>
        <w:szCs w:val="18"/>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85">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6">
    <w:nsid w:val="528323F4"/>
    <w:multiLevelType w:val="hybridMultilevel"/>
    <w:tmpl w:val="00E2335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546E5471"/>
    <w:multiLevelType w:val="hybridMultilevel"/>
    <w:tmpl w:val="EFF8C1CE"/>
    <w:lvl w:ilvl="0" w:tplc="0409000F">
      <w:start w:val="1"/>
      <w:numFmt w:val="decimal"/>
      <w:lvlText w:val="%1."/>
      <w:lvlJc w:val="left"/>
      <w:pPr>
        <w:ind w:left="360" w:hanging="360"/>
      </w:pPr>
    </w:lvl>
    <w:lvl w:ilvl="1" w:tplc="A9605C92">
      <w:start w:val="1"/>
      <w:numFmt w:val="lowerLetter"/>
      <w:lvlText w:val="%2."/>
      <w:lvlJc w:val="left"/>
      <w:pPr>
        <w:ind w:left="1710" w:hanging="360"/>
      </w:pPr>
      <w:rPr>
        <w:b/>
      </w:r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88">
    <w:nsid w:val="57F33DF5"/>
    <w:multiLevelType w:val="hybridMultilevel"/>
    <w:tmpl w:val="D3E0C982"/>
    <w:lvl w:ilvl="0" w:tplc="49CEB1AC">
      <w:start w:val="1"/>
      <w:numFmt w:val="bullet"/>
      <w:lvlText w:val=""/>
      <w:lvlJc w:val="left"/>
      <w:pPr>
        <w:ind w:left="720" w:hanging="360"/>
      </w:pPr>
      <w:rPr>
        <w:rFonts w:ascii="Webdings" w:hAnsi="Webdings" w:hint="default"/>
        <w:b w:val="0"/>
        <w:i w:val="0"/>
        <w:color w:val="FF6600"/>
        <w:sz w:val="24"/>
      </w:rPr>
    </w:lvl>
    <w:lvl w:ilvl="1" w:tplc="F8D23ECE">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9">
    <w:nsid w:val="58FB6F88"/>
    <w:multiLevelType w:val="hybridMultilevel"/>
    <w:tmpl w:val="F6802B46"/>
    <w:lvl w:ilvl="0" w:tplc="D902DDBC">
      <w:start w:val="1"/>
      <w:numFmt w:val="bullet"/>
      <w:lvlText w:val=""/>
      <w:lvlJc w:val="left"/>
      <w:pPr>
        <w:ind w:left="1800" w:hanging="360"/>
      </w:pPr>
      <w:rPr>
        <w:rFonts w:ascii="Webdings" w:hAnsi="Webdings" w:hint="default"/>
        <w:b w:val="0"/>
        <w:i w:val="0"/>
        <w:color w:val="FF6600"/>
        <w:sz w:val="24"/>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0">
    <w:nsid w:val="58FF7176"/>
    <w:multiLevelType w:val="hybridMultilevel"/>
    <w:tmpl w:val="E522DC24"/>
    <w:lvl w:ilvl="0" w:tplc="D902DDBC">
      <w:start w:val="1"/>
      <w:numFmt w:val="bullet"/>
      <w:lvlText w:val=""/>
      <w:lvlJc w:val="left"/>
      <w:pPr>
        <w:ind w:left="1440" w:hanging="360"/>
      </w:pPr>
      <w:rPr>
        <w:rFonts w:ascii="Webdings" w:hAnsi="Webdings" w:hint="default"/>
        <w:b w:val="0"/>
        <w:i w:val="0"/>
        <w:color w:val="FF6600"/>
        <w:sz w:val="24"/>
        <w:szCs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1">
    <w:nsid w:val="59780705"/>
    <w:multiLevelType w:val="hybridMultilevel"/>
    <w:tmpl w:val="F21CD68E"/>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92">
    <w:nsid w:val="5AC90FCF"/>
    <w:multiLevelType w:val="hybridMultilevel"/>
    <w:tmpl w:val="6F1E6F6A"/>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3">
    <w:nsid w:val="5B477C59"/>
    <w:multiLevelType w:val="hybridMultilevel"/>
    <w:tmpl w:val="743237D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nsid w:val="5BB27E92"/>
    <w:multiLevelType w:val="hybridMultilevel"/>
    <w:tmpl w:val="FF6EA6D6"/>
    <w:lvl w:ilvl="0" w:tplc="04090017">
      <w:start w:val="1"/>
      <w:numFmt w:val="lowerLetter"/>
      <w:lvlText w:val="%1)"/>
      <w:lvlJc w:val="left"/>
      <w:pPr>
        <w:ind w:left="1440" w:hanging="360"/>
      </w:p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5">
    <w:nsid w:val="5CD36762"/>
    <w:multiLevelType w:val="hybridMultilevel"/>
    <w:tmpl w:val="DABE3E9E"/>
    <w:lvl w:ilvl="0" w:tplc="D902DDBC">
      <w:start w:val="1"/>
      <w:numFmt w:val="bullet"/>
      <w:lvlText w:val=""/>
      <w:lvlJc w:val="left"/>
      <w:pPr>
        <w:ind w:left="720" w:hanging="360"/>
      </w:pPr>
      <w:rPr>
        <w:rFonts w:ascii="Webdings" w:hAnsi="Webdings" w:hint="default"/>
        <w:b w:val="0"/>
        <w:i w:val="0"/>
        <w:color w:val="FF6600"/>
        <w:sz w:val="24"/>
        <w:szCs w:val="18"/>
      </w:rPr>
    </w:lvl>
    <w:lvl w:ilvl="1" w:tplc="04090019">
      <w:start w:val="1"/>
      <w:numFmt w:val="lowerLetter"/>
      <w:lvlText w:val="%2."/>
      <w:lvlJc w:val="left"/>
      <w:pPr>
        <w:ind w:left="1440" w:hanging="360"/>
      </w:pPr>
    </w:lvl>
    <w:lvl w:ilvl="2" w:tplc="8F96F1DE">
      <w:start w:val="1"/>
      <w:numFmt w:val="bullet"/>
      <w:lvlText w:val=""/>
      <w:lvlJc w:val="left"/>
      <w:pPr>
        <w:ind w:left="2160" w:hanging="180"/>
      </w:pPr>
      <w:rPr>
        <w:rFonts w:ascii="Webdings" w:hAnsi="Webdings" w:hint="default"/>
        <w:b w:val="0"/>
        <w:i w:val="0"/>
        <w:color w:val="auto"/>
        <w:sz w:val="18"/>
        <w:szCs w:val="18"/>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nsid w:val="5D607222"/>
    <w:multiLevelType w:val="hybridMultilevel"/>
    <w:tmpl w:val="49603F68"/>
    <w:lvl w:ilvl="0" w:tplc="E02EFEBE">
      <w:start w:val="1"/>
      <w:numFmt w:val="bullet"/>
      <w:lvlText w:val=""/>
      <w:lvlJc w:val="left"/>
      <w:pPr>
        <w:ind w:left="720" w:hanging="360"/>
      </w:pPr>
      <w:rPr>
        <w:rFonts w:ascii="Symbol" w:hAnsi="Symbol" w:hint="default"/>
        <w:b w:val="0"/>
        <w:i w:val="0"/>
        <w:color w:val="000000"/>
        <w:sz w:val="18"/>
        <w:szCs w:val="18"/>
      </w:rPr>
    </w:lvl>
    <w:lvl w:ilvl="1" w:tplc="04090003" w:tentative="1">
      <w:start w:val="1"/>
      <w:numFmt w:val="bullet"/>
      <w:lvlText w:val="o"/>
      <w:lvlJc w:val="left"/>
      <w:pPr>
        <w:ind w:left="720" w:hanging="360"/>
      </w:pPr>
      <w:rPr>
        <w:rFonts w:ascii="Courier New" w:hAnsi="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97">
    <w:nsid w:val="5DCE6C60"/>
    <w:multiLevelType w:val="hybridMultilevel"/>
    <w:tmpl w:val="1C6008A6"/>
    <w:lvl w:ilvl="0" w:tplc="0409000F">
      <w:start w:val="1"/>
      <w:numFmt w:val="decimal"/>
      <w:lvlText w:val="%1."/>
      <w:lvlJc w:val="left"/>
      <w:pPr>
        <w:ind w:left="630" w:hanging="360"/>
      </w:p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98">
    <w:nsid w:val="5DFB3544"/>
    <w:multiLevelType w:val="multilevel"/>
    <w:tmpl w:val="4F5A7E4A"/>
    <w:lvl w:ilvl="0">
      <w:start w:val="1"/>
      <w:numFmt w:val="decimal"/>
      <w:lvlText w:val="%1."/>
      <w:lvlJc w:val="left"/>
      <w:pPr>
        <w:ind w:left="504" w:hanging="216"/>
      </w:pPr>
      <w:rPr>
        <w:rFonts w:hint="default"/>
        <w:sz w:val="18"/>
        <w:szCs w:val="18"/>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60427CEF"/>
    <w:multiLevelType w:val="hybridMultilevel"/>
    <w:tmpl w:val="61905A72"/>
    <w:lvl w:ilvl="0" w:tplc="D902DDBC">
      <w:start w:val="1"/>
      <w:numFmt w:val="bullet"/>
      <w:lvlText w:val=""/>
      <w:lvlJc w:val="left"/>
      <w:pPr>
        <w:ind w:left="1440" w:hanging="360"/>
      </w:pPr>
      <w:rPr>
        <w:rFonts w:ascii="Webdings" w:hAnsi="Webdings" w:hint="default"/>
        <w:b w:val="0"/>
        <w:i w:val="0"/>
        <w:color w:val="FF6600"/>
        <w:sz w:val="24"/>
      </w:rPr>
    </w:lvl>
    <w:lvl w:ilvl="1" w:tplc="04090011">
      <w:start w:val="1"/>
      <w:numFmt w:val="decimal"/>
      <w:lvlText w:val="%2)"/>
      <w:lvlJc w:val="left"/>
      <w:pPr>
        <w:ind w:left="2160" w:hanging="360"/>
      </w:pPr>
      <w:rPr>
        <w:rFonts w:hint="default"/>
      </w:rPr>
    </w:lvl>
    <w:lvl w:ilvl="2" w:tplc="0409001B">
      <w:start w:val="1"/>
      <w:numFmt w:val="lowerRoman"/>
      <w:lvlText w:val="%3."/>
      <w:lvlJc w:val="right"/>
      <w:pPr>
        <w:ind w:left="3060" w:hanging="180"/>
      </w:pPr>
      <w:rPr>
        <w:rFonts w:hint="default"/>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0">
    <w:nsid w:val="60667AC2"/>
    <w:multiLevelType w:val="hybridMultilevel"/>
    <w:tmpl w:val="5ED0A8E6"/>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nsid w:val="6171729C"/>
    <w:multiLevelType w:val="hybridMultilevel"/>
    <w:tmpl w:val="5046F2A0"/>
    <w:lvl w:ilvl="0" w:tplc="D902DDBC">
      <w:start w:val="1"/>
      <w:numFmt w:val="bullet"/>
      <w:lvlText w:val=""/>
      <w:lvlJc w:val="left"/>
      <w:pPr>
        <w:ind w:left="901" w:hanging="360"/>
      </w:pPr>
      <w:rPr>
        <w:rFonts w:ascii="Webdings" w:hAnsi="Webdings" w:hint="default"/>
        <w:b w:val="0"/>
        <w:i w:val="0"/>
        <w:color w:val="FF6600"/>
        <w:sz w:val="24"/>
      </w:rPr>
    </w:lvl>
    <w:lvl w:ilvl="1" w:tplc="04090003" w:tentative="1">
      <w:start w:val="1"/>
      <w:numFmt w:val="bullet"/>
      <w:lvlText w:val="o"/>
      <w:lvlJc w:val="left"/>
      <w:pPr>
        <w:ind w:left="1621" w:hanging="360"/>
      </w:pPr>
      <w:rPr>
        <w:rFonts w:ascii="Courier New" w:hAnsi="Courier New" w:cs="Courier New" w:hint="default"/>
      </w:rPr>
    </w:lvl>
    <w:lvl w:ilvl="2" w:tplc="04090005" w:tentative="1">
      <w:start w:val="1"/>
      <w:numFmt w:val="bullet"/>
      <w:lvlText w:val=""/>
      <w:lvlJc w:val="left"/>
      <w:pPr>
        <w:ind w:left="2341" w:hanging="360"/>
      </w:pPr>
      <w:rPr>
        <w:rFonts w:ascii="Wingdings" w:hAnsi="Wingdings" w:hint="default"/>
      </w:rPr>
    </w:lvl>
    <w:lvl w:ilvl="3" w:tplc="04090001" w:tentative="1">
      <w:start w:val="1"/>
      <w:numFmt w:val="bullet"/>
      <w:lvlText w:val=""/>
      <w:lvlJc w:val="left"/>
      <w:pPr>
        <w:ind w:left="3061" w:hanging="360"/>
      </w:pPr>
      <w:rPr>
        <w:rFonts w:ascii="Symbol" w:hAnsi="Symbol" w:hint="default"/>
      </w:rPr>
    </w:lvl>
    <w:lvl w:ilvl="4" w:tplc="04090003" w:tentative="1">
      <w:start w:val="1"/>
      <w:numFmt w:val="bullet"/>
      <w:lvlText w:val="o"/>
      <w:lvlJc w:val="left"/>
      <w:pPr>
        <w:ind w:left="3781" w:hanging="360"/>
      </w:pPr>
      <w:rPr>
        <w:rFonts w:ascii="Courier New" w:hAnsi="Courier New" w:cs="Courier New" w:hint="default"/>
      </w:rPr>
    </w:lvl>
    <w:lvl w:ilvl="5" w:tplc="04090005" w:tentative="1">
      <w:start w:val="1"/>
      <w:numFmt w:val="bullet"/>
      <w:lvlText w:val=""/>
      <w:lvlJc w:val="left"/>
      <w:pPr>
        <w:ind w:left="4501" w:hanging="360"/>
      </w:pPr>
      <w:rPr>
        <w:rFonts w:ascii="Wingdings" w:hAnsi="Wingdings" w:hint="default"/>
      </w:rPr>
    </w:lvl>
    <w:lvl w:ilvl="6" w:tplc="04090001" w:tentative="1">
      <w:start w:val="1"/>
      <w:numFmt w:val="bullet"/>
      <w:lvlText w:val=""/>
      <w:lvlJc w:val="left"/>
      <w:pPr>
        <w:ind w:left="5221" w:hanging="360"/>
      </w:pPr>
      <w:rPr>
        <w:rFonts w:ascii="Symbol" w:hAnsi="Symbol" w:hint="default"/>
      </w:rPr>
    </w:lvl>
    <w:lvl w:ilvl="7" w:tplc="04090003" w:tentative="1">
      <w:start w:val="1"/>
      <w:numFmt w:val="bullet"/>
      <w:lvlText w:val="o"/>
      <w:lvlJc w:val="left"/>
      <w:pPr>
        <w:ind w:left="5941" w:hanging="360"/>
      </w:pPr>
      <w:rPr>
        <w:rFonts w:ascii="Courier New" w:hAnsi="Courier New" w:cs="Courier New" w:hint="default"/>
      </w:rPr>
    </w:lvl>
    <w:lvl w:ilvl="8" w:tplc="04090005" w:tentative="1">
      <w:start w:val="1"/>
      <w:numFmt w:val="bullet"/>
      <w:lvlText w:val=""/>
      <w:lvlJc w:val="left"/>
      <w:pPr>
        <w:ind w:left="6661" w:hanging="360"/>
      </w:pPr>
      <w:rPr>
        <w:rFonts w:ascii="Wingdings" w:hAnsi="Wingdings" w:hint="default"/>
      </w:rPr>
    </w:lvl>
  </w:abstractNum>
  <w:abstractNum w:abstractNumId="102">
    <w:nsid w:val="62186EB7"/>
    <w:multiLevelType w:val="hybridMultilevel"/>
    <w:tmpl w:val="751E751C"/>
    <w:lvl w:ilvl="0" w:tplc="D902DDBC">
      <w:start w:val="1"/>
      <w:numFmt w:val="bullet"/>
      <w:lvlText w:val=""/>
      <w:lvlJc w:val="left"/>
      <w:pPr>
        <w:ind w:left="2220" w:hanging="360"/>
      </w:pPr>
      <w:rPr>
        <w:rFonts w:ascii="Webdings" w:hAnsi="Webdings" w:hint="default"/>
        <w:b w:val="0"/>
        <w:i w:val="0"/>
        <w:color w:val="FF6600"/>
        <w:sz w:val="24"/>
      </w:rPr>
    </w:lvl>
    <w:lvl w:ilvl="1" w:tplc="04090003">
      <w:start w:val="1"/>
      <w:numFmt w:val="bullet"/>
      <w:lvlText w:val="o"/>
      <w:lvlJc w:val="left"/>
      <w:pPr>
        <w:ind w:left="2940" w:hanging="360"/>
      </w:pPr>
      <w:rPr>
        <w:rFonts w:ascii="Courier New" w:hAnsi="Courier New" w:cs="Times New Roman" w:hint="default"/>
      </w:rPr>
    </w:lvl>
    <w:lvl w:ilvl="2" w:tplc="04090005">
      <w:start w:val="1"/>
      <w:numFmt w:val="bullet"/>
      <w:lvlText w:val=""/>
      <w:lvlJc w:val="left"/>
      <w:pPr>
        <w:ind w:left="3660" w:hanging="360"/>
      </w:pPr>
      <w:rPr>
        <w:rFonts w:ascii="Wingdings" w:hAnsi="Wingdings" w:hint="default"/>
      </w:rPr>
    </w:lvl>
    <w:lvl w:ilvl="3" w:tplc="04090001">
      <w:start w:val="1"/>
      <w:numFmt w:val="bullet"/>
      <w:lvlText w:val=""/>
      <w:lvlJc w:val="left"/>
      <w:pPr>
        <w:ind w:left="4380" w:hanging="360"/>
      </w:pPr>
      <w:rPr>
        <w:rFonts w:ascii="Symbol" w:hAnsi="Symbol" w:hint="default"/>
      </w:rPr>
    </w:lvl>
    <w:lvl w:ilvl="4" w:tplc="04090003">
      <w:start w:val="1"/>
      <w:numFmt w:val="bullet"/>
      <w:lvlText w:val="o"/>
      <w:lvlJc w:val="left"/>
      <w:pPr>
        <w:ind w:left="5100" w:hanging="360"/>
      </w:pPr>
      <w:rPr>
        <w:rFonts w:ascii="Courier New" w:hAnsi="Courier New" w:cs="Times New Roman" w:hint="default"/>
      </w:rPr>
    </w:lvl>
    <w:lvl w:ilvl="5" w:tplc="04090005">
      <w:start w:val="1"/>
      <w:numFmt w:val="bullet"/>
      <w:lvlText w:val=""/>
      <w:lvlJc w:val="left"/>
      <w:pPr>
        <w:ind w:left="5820" w:hanging="360"/>
      </w:pPr>
      <w:rPr>
        <w:rFonts w:ascii="Wingdings" w:hAnsi="Wingdings" w:hint="default"/>
      </w:rPr>
    </w:lvl>
    <w:lvl w:ilvl="6" w:tplc="04090001">
      <w:start w:val="1"/>
      <w:numFmt w:val="bullet"/>
      <w:lvlText w:val=""/>
      <w:lvlJc w:val="left"/>
      <w:pPr>
        <w:ind w:left="6540" w:hanging="360"/>
      </w:pPr>
      <w:rPr>
        <w:rFonts w:ascii="Symbol" w:hAnsi="Symbol" w:hint="default"/>
      </w:rPr>
    </w:lvl>
    <w:lvl w:ilvl="7" w:tplc="04090003">
      <w:start w:val="1"/>
      <w:numFmt w:val="bullet"/>
      <w:lvlText w:val="o"/>
      <w:lvlJc w:val="left"/>
      <w:pPr>
        <w:ind w:left="7260" w:hanging="360"/>
      </w:pPr>
      <w:rPr>
        <w:rFonts w:ascii="Courier New" w:hAnsi="Courier New" w:cs="Times New Roman" w:hint="default"/>
      </w:rPr>
    </w:lvl>
    <w:lvl w:ilvl="8" w:tplc="04090005">
      <w:start w:val="1"/>
      <w:numFmt w:val="bullet"/>
      <w:lvlText w:val=""/>
      <w:lvlJc w:val="left"/>
      <w:pPr>
        <w:ind w:left="7980" w:hanging="360"/>
      </w:pPr>
      <w:rPr>
        <w:rFonts w:ascii="Wingdings" w:hAnsi="Wingdings" w:hint="default"/>
      </w:rPr>
    </w:lvl>
  </w:abstractNum>
  <w:abstractNum w:abstractNumId="103">
    <w:nsid w:val="63A57996"/>
    <w:multiLevelType w:val="hybridMultilevel"/>
    <w:tmpl w:val="99CE1804"/>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4">
    <w:nsid w:val="65107640"/>
    <w:multiLevelType w:val="hybridMultilevel"/>
    <w:tmpl w:val="9EACD7B6"/>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5">
    <w:nsid w:val="65681004"/>
    <w:multiLevelType w:val="hybridMultilevel"/>
    <w:tmpl w:val="E6C83A62"/>
    <w:lvl w:ilvl="0" w:tplc="D902DDBC">
      <w:start w:val="1"/>
      <w:numFmt w:val="bullet"/>
      <w:lvlText w:val=""/>
      <w:lvlJc w:val="left"/>
      <w:pPr>
        <w:tabs>
          <w:tab w:val="num" w:pos="360"/>
        </w:tabs>
        <w:ind w:left="360" w:hanging="360"/>
      </w:pPr>
      <w:rPr>
        <w:rFonts w:ascii="Webdings" w:hAnsi="Webdings" w:hint="default"/>
        <w:b w:val="0"/>
        <w:i w:val="0"/>
        <w:color w:val="FF6600"/>
        <w:sz w:val="24"/>
        <w:szCs w:val="20"/>
      </w:rPr>
    </w:lvl>
    <w:lvl w:ilvl="1" w:tplc="D902DDBC">
      <w:start w:val="1"/>
      <w:numFmt w:val="bullet"/>
      <w:lvlText w:val=""/>
      <w:lvlJc w:val="left"/>
      <w:pPr>
        <w:tabs>
          <w:tab w:val="num" w:pos="1440"/>
        </w:tabs>
        <w:ind w:left="1440" w:hanging="360"/>
      </w:pPr>
      <w:rPr>
        <w:rFonts w:ascii="Webdings" w:hAnsi="Webdings" w:hint="default"/>
        <w:b w:val="0"/>
        <w:i w:val="0"/>
        <w:color w:val="FF6600"/>
        <w:sz w:val="24"/>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06">
    <w:nsid w:val="67AA356D"/>
    <w:multiLevelType w:val="hybridMultilevel"/>
    <w:tmpl w:val="EC3EB1E2"/>
    <w:lvl w:ilvl="0" w:tplc="D902DDBC">
      <w:start w:val="1"/>
      <w:numFmt w:val="bullet"/>
      <w:lvlText w:val=""/>
      <w:lvlJc w:val="left"/>
      <w:pPr>
        <w:ind w:left="1440" w:hanging="360"/>
      </w:pPr>
      <w:rPr>
        <w:rFonts w:ascii="Webdings" w:hAnsi="Webdings" w:hint="default"/>
        <w:b w:val="0"/>
        <w:i w:val="0"/>
        <w:color w:val="FF6600"/>
        <w:sz w:val="24"/>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7">
    <w:nsid w:val="67C5344F"/>
    <w:multiLevelType w:val="hybridMultilevel"/>
    <w:tmpl w:val="F2567C40"/>
    <w:lvl w:ilvl="0" w:tplc="D902DDBC">
      <w:start w:val="1"/>
      <w:numFmt w:val="bullet"/>
      <w:lvlText w:val=""/>
      <w:lvlJc w:val="left"/>
      <w:pPr>
        <w:ind w:left="3960" w:hanging="360"/>
      </w:pPr>
      <w:rPr>
        <w:rFonts w:ascii="Webdings" w:hAnsi="Webdings" w:hint="default"/>
        <w:b w:val="0"/>
        <w:i w:val="0"/>
        <w:color w:val="FF6600"/>
        <w:sz w:val="24"/>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08">
    <w:nsid w:val="68BA008F"/>
    <w:multiLevelType w:val="hybridMultilevel"/>
    <w:tmpl w:val="508C935A"/>
    <w:lvl w:ilvl="0" w:tplc="D902DDBC">
      <w:start w:val="1"/>
      <w:numFmt w:val="bullet"/>
      <w:lvlText w:val=""/>
      <w:lvlJc w:val="left"/>
      <w:pPr>
        <w:ind w:left="1260" w:hanging="360"/>
      </w:pPr>
      <w:rPr>
        <w:rFonts w:ascii="Webdings" w:hAnsi="Webdings" w:hint="default"/>
        <w:b w:val="0"/>
        <w:i w:val="0"/>
        <w:color w:val="FF6600"/>
        <w:sz w:val="24"/>
      </w:rPr>
    </w:lvl>
    <w:lvl w:ilvl="1" w:tplc="04090003">
      <w:start w:val="1"/>
      <w:numFmt w:val="bullet"/>
      <w:lvlText w:val="o"/>
      <w:lvlJc w:val="left"/>
      <w:pPr>
        <w:ind w:left="1980" w:hanging="360"/>
      </w:pPr>
      <w:rPr>
        <w:rFonts w:ascii="Courier New" w:hAnsi="Courier New" w:hint="default"/>
      </w:rPr>
    </w:lvl>
    <w:lvl w:ilvl="2" w:tplc="04090005">
      <w:start w:val="1"/>
      <w:numFmt w:val="bullet"/>
      <w:lvlText w:val=""/>
      <w:lvlJc w:val="left"/>
      <w:pPr>
        <w:ind w:left="2700" w:hanging="360"/>
      </w:pPr>
      <w:rPr>
        <w:rFonts w:ascii="Wingdings" w:hAnsi="Wingdings" w:hint="default"/>
      </w:rPr>
    </w:lvl>
    <w:lvl w:ilvl="3" w:tplc="0409000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09">
    <w:nsid w:val="69FB7F38"/>
    <w:multiLevelType w:val="hybridMultilevel"/>
    <w:tmpl w:val="D4DA68B2"/>
    <w:lvl w:ilvl="0" w:tplc="D902DDBC">
      <w:start w:val="1"/>
      <w:numFmt w:val="bullet"/>
      <w:lvlText w:val=""/>
      <w:lvlJc w:val="left"/>
      <w:pPr>
        <w:ind w:left="1440" w:hanging="360"/>
      </w:pPr>
      <w:rPr>
        <w:rFonts w:ascii="Webdings" w:hAnsi="Webdings" w:hint="default"/>
        <w:b w:val="0"/>
        <w:i w:val="0"/>
        <w:color w:val="FF6600"/>
        <w:sz w:val="24"/>
      </w:rPr>
    </w:lvl>
    <w:lvl w:ilvl="1" w:tplc="D902DDBC">
      <w:start w:val="1"/>
      <w:numFmt w:val="bullet"/>
      <w:lvlText w:val=""/>
      <w:lvlJc w:val="left"/>
      <w:pPr>
        <w:ind w:left="2160" w:hanging="360"/>
      </w:pPr>
      <w:rPr>
        <w:rFonts w:ascii="Webdings" w:hAnsi="Webdings" w:hint="default"/>
        <w:b w:val="0"/>
        <w:i w:val="0"/>
        <w:color w:val="FF6600"/>
        <w:sz w:val="24"/>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0">
    <w:nsid w:val="6ABA2A6A"/>
    <w:multiLevelType w:val="multilevel"/>
    <w:tmpl w:val="C8C275EA"/>
    <w:lvl w:ilvl="0">
      <w:start w:val="1"/>
      <w:numFmt w:val="bullet"/>
      <w:lvlText w:val=""/>
      <w:lvlJc w:val="left"/>
      <w:pPr>
        <w:tabs>
          <w:tab w:val="num" w:pos="360"/>
        </w:tabs>
        <w:ind w:left="360" w:hanging="360"/>
      </w:pPr>
      <w:rPr>
        <w:rFonts w:ascii="Webdings" w:hAnsi="Webdings" w:hint="default"/>
        <w:b w:val="0"/>
        <w:i w:val="0"/>
        <w:color w:val="FF6600"/>
        <w:sz w:val="24"/>
        <w:szCs w:val="24"/>
      </w:rPr>
    </w:lvl>
    <w:lvl w:ilvl="1">
      <w:start w:val="1"/>
      <w:numFmt w:val="lowerLetter"/>
      <w:lvlText w:val="%2)"/>
      <w:lvlJc w:val="left"/>
      <w:pPr>
        <w:tabs>
          <w:tab w:val="num" w:pos="720"/>
        </w:tabs>
        <w:ind w:left="720" w:hanging="360"/>
      </w:pPr>
      <w:rPr>
        <w:rFonts w:ascii="Trebuchet MS" w:hAnsi="Trebuchet MS" w:cs="Times New Roman"/>
        <w:sz w:val="18"/>
      </w:rPr>
    </w:lvl>
    <w:lvl w:ilvl="2">
      <w:start w:val="1"/>
      <w:numFmt w:val="bullet"/>
      <w:lvlText w:val=""/>
      <w:lvlJc w:val="left"/>
      <w:pPr>
        <w:tabs>
          <w:tab w:val="num" w:pos="1080"/>
        </w:tabs>
        <w:ind w:left="1080" w:hanging="360"/>
      </w:pPr>
      <w:rPr>
        <w:rFonts w:ascii="Symbol" w:hAnsi="Symbol" w:hint="default"/>
        <w:color w:val="auto"/>
      </w:rPr>
    </w:lvl>
    <w:lvl w:ilvl="3">
      <w:start w:val="1"/>
      <w:numFmt w:val="decimal"/>
      <w:lvlText w:val="(%4)"/>
      <w:lvlJc w:val="left"/>
      <w:pPr>
        <w:tabs>
          <w:tab w:val="num" w:pos="1440"/>
        </w:tabs>
        <w:ind w:left="1800" w:hanging="360"/>
      </w:pPr>
      <w:rPr>
        <w:rFonts w:ascii="Trebuchet MS" w:hAnsi="Trebuchet MS" w:cs="Times New Roman"/>
        <w:sz w:val="18"/>
      </w:rPr>
    </w:lvl>
    <w:lvl w:ilvl="4">
      <w:start w:val="1"/>
      <w:numFmt w:val="lowerLetter"/>
      <w:lvlText w:val="(%5)"/>
      <w:lvlJc w:val="left"/>
      <w:pPr>
        <w:tabs>
          <w:tab w:val="num" w:pos="1800"/>
        </w:tabs>
        <w:ind w:left="1800" w:hanging="360"/>
      </w:pPr>
      <w:rPr>
        <w:rFonts w:cs="Times New Roman"/>
      </w:rPr>
    </w:lvl>
    <w:lvl w:ilvl="5">
      <w:start w:val="1"/>
      <w:numFmt w:val="bullet"/>
      <w:lvlText w:val=""/>
      <w:lvlJc w:val="left"/>
      <w:pPr>
        <w:tabs>
          <w:tab w:val="num" w:pos="2160"/>
        </w:tabs>
        <w:ind w:left="2160" w:hanging="360"/>
      </w:pPr>
      <w:rPr>
        <w:rFonts w:ascii="Webdings" w:hAnsi="Webdings" w:hint="default"/>
        <w:b w:val="0"/>
        <w:i w:val="0"/>
        <w:color w:val="FF6600"/>
        <w:sz w:val="24"/>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11">
    <w:nsid w:val="6AC71F0B"/>
    <w:multiLevelType w:val="hybridMultilevel"/>
    <w:tmpl w:val="EACE8F22"/>
    <w:lvl w:ilvl="0" w:tplc="49CEB1AC">
      <w:start w:val="1"/>
      <w:numFmt w:val="bullet"/>
      <w:lvlText w:val=""/>
      <w:lvlJc w:val="left"/>
      <w:pPr>
        <w:ind w:left="720" w:hanging="360"/>
      </w:pPr>
      <w:rPr>
        <w:rFonts w:ascii="Webdings" w:hAnsi="Webdings" w:hint="default"/>
        <w:b w:val="0"/>
        <w:i w:val="0"/>
        <w:color w:val="FF6600"/>
        <w:sz w:val="24"/>
      </w:rPr>
    </w:lvl>
    <w:lvl w:ilvl="1" w:tplc="6D9084A0">
      <w:start w:val="1"/>
      <w:numFmt w:val="bullet"/>
      <w:lvlText w:val=""/>
      <w:lvlJc w:val="left"/>
      <w:pPr>
        <w:ind w:left="1440" w:hanging="360"/>
      </w:pPr>
      <w:rPr>
        <w:rFonts w:ascii="Symbol" w:hAnsi="Symbol" w:hint="default"/>
        <w:b w:val="0"/>
        <w:i w:val="0"/>
        <w:color w:val="auto"/>
        <w:sz w:val="18"/>
        <w:szCs w:val="18"/>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nsid w:val="6ADF308B"/>
    <w:multiLevelType w:val="hybridMultilevel"/>
    <w:tmpl w:val="34202B2E"/>
    <w:lvl w:ilvl="0" w:tplc="A0C64A96">
      <w:start w:val="1"/>
      <w:numFmt w:val="bullet"/>
      <w:lvlText w:val=""/>
      <w:lvlJc w:val="left"/>
      <w:pPr>
        <w:ind w:left="720" w:hanging="360"/>
      </w:pPr>
      <w:rPr>
        <w:rFonts w:ascii="Webdings" w:hAnsi="Webdings" w:hint="default"/>
        <w:b w:val="0"/>
        <w:i w:val="0"/>
        <w:color w:val="000000" w:themeColor="text1"/>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3">
    <w:nsid w:val="6B154436"/>
    <w:multiLevelType w:val="hybridMultilevel"/>
    <w:tmpl w:val="37AC117C"/>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nsid w:val="6B2C4D22"/>
    <w:multiLevelType w:val="hybridMultilevel"/>
    <w:tmpl w:val="CA74705A"/>
    <w:lvl w:ilvl="0" w:tplc="D902DDBC">
      <w:start w:val="1"/>
      <w:numFmt w:val="bullet"/>
      <w:lvlText w:val=""/>
      <w:lvlJc w:val="left"/>
      <w:pPr>
        <w:ind w:left="720" w:hanging="360"/>
      </w:pPr>
      <w:rPr>
        <w:rFonts w:ascii="Webdings" w:hAnsi="Webdings" w:hint="default"/>
        <w:b w:val="0"/>
        <w:i w:val="0"/>
        <w:color w:val="FF6600"/>
        <w:sz w:val="24"/>
      </w:rPr>
    </w:lvl>
    <w:lvl w:ilvl="1" w:tplc="C9FA2158">
      <w:start w:val="1"/>
      <w:numFmt w:val="decimal"/>
      <w:lvlText w:val="%2."/>
      <w:lvlJc w:val="left"/>
      <w:pPr>
        <w:tabs>
          <w:tab w:val="num" w:pos="1440"/>
        </w:tabs>
        <w:ind w:left="1440" w:hanging="360"/>
      </w:pPr>
      <w:rPr>
        <w:b/>
        <w:bCs/>
      </w:r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5">
    <w:nsid w:val="6CA417C6"/>
    <w:multiLevelType w:val="hybridMultilevel"/>
    <w:tmpl w:val="6B60C67A"/>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6DD00F62"/>
    <w:multiLevelType w:val="hybridMultilevel"/>
    <w:tmpl w:val="A7560B60"/>
    <w:lvl w:ilvl="0" w:tplc="D902DDBC">
      <w:start w:val="1"/>
      <w:numFmt w:val="bullet"/>
      <w:lvlText w:val=""/>
      <w:lvlJc w:val="left"/>
      <w:pPr>
        <w:ind w:left="1627" w:hanging="360"/>
      </w:pPr>
      <w:rPr>
        <w:rFonts w:ascii="Webdings" w:hAnsi="Webdings" w:hint="default"/>
        <w:b w:val="0"/>
        <w:i w:val="0"/>
        <w:color w:val="FF6600"/>
        <w:sz w:val="24"/>
      </w:rPr>
    </w:lvl>
    <w:lvl w:ilvl="1" w:tplc="04090003" w:tentative="1">
      <w:start w:val="1"/>
      <w:numFmt w:val="bullet"/>
      <w:lvlText w:val="o"/>
      <w:lvlJc w:val="left"/>
      <w:pPr>
        <w:ind w:left="2347" w:hanging="360"/>
      </w:pPr>
      <w:rPr>
        <w:rFonts w:ascii="Courier New" w:hAnsi="Courier New" w:cs="Courier New" w:hint="default"/>
      </w:rPr>
    </w:lvl>
    <w:lvl w:ilvl="2" w:tplc="04090005" w:tentative="1">
      <w:start w:val="1"/>
      <w:numFmt w:val="bullet"/>
      <w:lvlText w:val=""/>
      <w:lvlJc w:val="left"/>
      <w:pPr>
        <w:ind w:left="3067" w:hanging="360"/>
      </w:pPr>
      <w:rPr>
        <w:rFonts w:ascii="Wingdings" w:hAnsi="Wingdings" w:hint="default"/>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17">
    <w:nsid w:val="6EC543B6"/>
    <w:multiLevelType w:val="hybridMultilevel"/>
    <w:tmpl w:val="260634CC"/>
    <w:lvl w:ilvl="0" w:tplc="CC2C34EC">
      <w:start w:val="1"/>
      <w:numFmt w:val="bullet"/>
      <w:lvlText w:val=""/>
      <w:lvlJc w:val="left"/>
      <w:pPr>
        <w:tabs>
          <w:tab w:val="num" w:pos="720"/>
        </w:tabs>
        <w:ind w:left="720" w:hanging="360"/>
      </w:pPr>
      <w:rPr>
        <w:rFonts w:ascii="Webdings" w:hAnsi="Webdings" w:hint="default"/>
        <w:b w:val="0"/>
        <w:i w:val="0"/>
        <w:color w:val="FF6600"/>
        <w:sz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8">
    <w:nsid w:val="708D3122"/>
    <w:multiLevelType w:val="hybridMultilevel"/>
    <w:tmpl w:val="5EFA17E8"/>
    <w:lvl w:ilvl="0" w:tplc="D902DDBC">
      <w:start w:val="1"/>
      <w:numFmt w:val="bullet"/>
      <w:lvlText w:val=""/>
      <w:lvlJc w:val="left"/>
      <w:pPr>
        <w:ind w:left="1440" w:hanging="360"/>
      </w:pPr>
      <w:rPr>
        <w:rFonts w:ascii="Webdings" w:hAnsi="Webdings" w:hint="default"/>
        <w:b w:val="0"/>
        <w:i w:val="0"/>
        <w:color w:val="FF6600"/>
        <w:sz w:val="24"/>
      </w:rPr>
    </w:lvl>
    <w:lvl w:ilvl="1" w:tplc="04090003" w:tentative="1">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nsid w:val="72AB5EE6"/>
    <w:multiLevelType w:val="multilevel"/>
    <w:tmpl w:val="D3EED718"/>
    <w:lvl w:ilvl="0">
      <w:start w:val="1"/>
      <w:numFmt w:val="bullet"/>
      <w:lvlText w:val=""/>
      <w:lvlJc w:val="left"/>
      <w:pPr>
        <w:tabs>
          <w:tab w:val="num" w:pos="1080"/>
        </w:tabs>
        <w:ind w:left="1080" w:hanging="360"/>
      </w:pPr>
      <w:rPr>
        <w:rFonts w:ascii="Webdings" w:hAnsi="Webdings" w:hint="default"/>
        <w:b w:val="0"/>
        <w:i w:val="0"/>
        <w:color w:val="FF6600"/>
        <w:sz w:val="24"/>
      </w:rPr>
    </w:lvl>
    <w:lvl w:ilvl="1">
      <w:start w:val="1"/>
      <w:numFmt w:val="decimal"/>
      <w:lvlText w:val="%2."/>
      <w:lvlJc w:val="left"/>
      <w:pPr>
        <w:tabs>
          <w:tab w:val="num" w:pos="1800"/>
        </w:tabs>
        <w:ind w:left="1800" w:hanging="360"/>
      </w:pPr>
      <w:rPr>
        <w:rFonts w:cs="Times New Roman"/>
      </w:rPr>
    </w:lvl>
    <w:lvl w:ilvl="2">
      <w:start w:val="1"/>
      <w:numFmt w:val="decimal"/>
      <w:lvlText w:val="%3."/>
      <w:lvlJc w:val="left"/>
      <w:pPr>
        <w:tabs>
          <w:tab w:val="num" w:pos="2520"/>
        </w:tabs>
        <w:ind w:left="2520" w:hanging="360"/>
      </w:pPr>
      <w:rPr>
        <w:rFonts w:cs="Times New Roman"/>
      </w:rPr>
    </w:lvl>
    <w:lvl w:ilvl="3">
      <w:start w:val="1"/>
      <w:numFmt w:val="decimal"/>
      <w:lvlText w:val="%4."/>
      <w:lvlJc w:val="left"/>
      <w:pPr>
        <w:tabs>
          <w:tab w:val="num" w:pos="3240"/>
        </w:tabs>
        <w:ind w:left="3240" w:hanging="360"/>
      </w:pPr>
      <w:rPr>
        <w:rFonts w:cs="Times New Roman"/>
      </w:rPr>
    </w:lvl>
    <w:lvl w:ilvl="4">
      <w:start w:val="1"/>
      <w:numFmt w:val="decimal"/>
      <w:lvlText w:val="%5."/>
      <w:lvlJc w:val="left"/>
      <w:pPr>
        <w:tabs>
          <w:tab w:val="num" w:pos="3960"/>
        </w:tabs>
        <w:ind w:left="3960" w:hanging="360"/>
      </w:pPr>
      <w:rPr>
        <w:rFonts w:cs="Times New Roman"/>
      </w:rPr>
    </w:lvl>
    <w:lvl w:ilvl="5">
      <w:start w:val="1"/>
      <w:numFmt w:val="decimal"/>
      <w:lvlText w:val="%6."/>
      <w:lvlJc w:val="left"/>
      <w:pPr>
        <w:tabs>
          <w:tab w:val="num" w:pos="4680"/>
        </w:tabs>
        <w:ind w:left="4680" w:hanging="360"/>
      </w:pPr>
      <w:rPr>
        <w:rFonts w:cs="Times New Roman"/>
      </w:rPr>
    </w:lvl>
    <w:lvl w:ilvl="6">
      <w:start w:val="1"/>
      <w:numFmt w:val="decimal"/>
      <w:lvlText w:val="%7."/>
      <w:lvlJc w:val="left"/>
      <w:pPr>
        <w:tabs>
          <w:tab w:val="num" w:pos="5400"/>
        </w:tabs>
        <w:ind w:left="5400" w:hanging="360"/>
      </w:pPr>
      <w:rPr>
        <w:rFonts w:cs="Times New Roman"/>
      </w:rPr>
    </w:lvl>
    <w:lvl w:ilvl="7">
      <w:start w:val="1"/>
      <w:numFmt w:val="decimal"/>
      <w:lvlText w:val="%8."/>
      <w:lvlJc w:val="left"/>
      <w:pPr>
        <w:tabs>
          <w:tab w:val="num" w:pos="6120"/>
        </w:tabs>
        <w:ind w:left="6120" w:hanging="360"/>
      </w:pPr>
      <w:rPr>
        <w:rFonts w:cs="Times New Roman"/>
      </w:rPr>
    </w:lvl>
    <w:lvl w:ilvl="8">
      <w:start w:val="1"/>
      <w:numFmt w:val="decimal"/>
      <w:lvlText w:val="%9."/>
      <w:lvlJc w:val="left"/>
      <w:pPr>
        <w:tabs>
          <w:tab w:val="num" w:pos="6840"/>
        </w:tabs>
        <w:ind w:left="6840" w:hanging="360"/>
      </w:pPr>
      <w:rPr>
        <w:rFonts w:cs="Times New Roman"/>
      </w:rPr>
    </w:lvl>
  </w:abstractNum>
  <w:abstractNum w:abstractNumId="120">
    <w:nsid w:val="755E6803"/>
    <w:multiLevelType w:val="hybridMultilevel"/>
    <w:tmpl w:val="5AC24D7A"/>
    <w:lvl w:ilvl="0" w:tplc="D902DDBC">
      <w:start w:val="1"/>
      <w:numFmt w:val="bullet"/>
      <w:lvlText w:val=""/>
      <w:lvlJc w:val="left"/>
      <w:pPr>
        <w:ind w:left="1440" w:hanging="360"/>
      </w:pPr>
      <w:rPr>
        <w:rFonts w:ascii="Webdings" w:hAnsi="Webdings" w:hint="default"/>
        <w:b w:val="0"/>
        <w:i w:val="0"/>
        <w:color w:val="FF6600"/>
        <w:sz w:val="24"/>
      </w:rPr>
    </w:lvl>
    <w:lvl w:ilvl="1" w:tplc="BCDCC7D8">
      <w:numFmt w:val="bullet"/>
      <w:lvlText w:val="•"/>
      <w:lvlJc w:val="left"/>
      <w:pPr>
        <w:ind w:left="2520" w:hanging="720"/>
      </w:pPr>
      <w:rPr>
        <w:rFonts w:ascii="Tahoma" w:eastAsia="MS Mincho" w:hAnsi="Tahoma" w:cs="Tahoma" w:hint="default"/>
      </w:rPr>
    </w:lvl>
    <w:lvl w:ilvl="2" w:tplc="04090005" w:tentative="1">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1">
    <w:nsid w:val="75EA50C0"/>
    <w:multiLevelType w:val="hybridMultilevel"/>
    <w:tmpl w:val="4BA46372"/>
    <w:lvl w:ilvl="0" w:tplc="99D4E280">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2">
    <w:nsid w:val="75FB62CB"/>
    <w:multiLevelType w:val="hybridMultilevel"/>
    <w:tmpl w:val="B30AF6B0"/>
    <w:lvl w:ilvl="0" w:tplc="D902DDBC">
      <w:start w:val="1"/>
      <w:numFmt w:val="bullet"/>
      <w:lvlText w:val=""/>
      <w:lvlJc w:val="left"/>
      <w:pPr>
        <w:ind w:left="3600" w:hanging="360"/>
      </w:pPr>
      <w:rPr>
        <w:rFonts w:ascii="Webdings" w:hAnsi="Webdings" w:hint="default"/>
        <w:b w:val="0"/>
        <w:i w:val="0"/>
        <w:color w:val="FF6600"/>
        <w:sz w:val="24"/>
      </w:rPr>
    </w:lvl>
    <w:lvl w:ilvl="1" w:tplc="04090003" w:tentative="1">
      <w:start w:val="1"/>
      <w:numFmt w:val="bullet"/>
      <w:lvlText w:val="o"/>
      <w:lvlJc w:val="left"/>
      <w:pPr>
        <w:ind w:left="3600" w:hanging="360"/>
      </w:pPr>
      <w:rPr>
        <w:rFonts w:ascii="Courier New" w:hAnsi="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23">
    <w:nsid w:val="76155754"/>
    <w:multiLevelType w:val="hybridMultilevel"/>
    <w:tmpl w:val="0A74674E"/>
    <w:lvl w:ilvl="0" w:tplc="B99AE6E2">
      <w:start w:val="1"/>
      <w:numFmt w:val="lowerLetter"/>
      <w:lvlText w:val="%1."/>
      <w:lvlJc w:val="left"/>
      <w:pPr>
        <w:ind w:left="720" w:hanging="360"/>
      </w:pPr>
      <w:rPr>
        <w:rFonts w:hint="default"/>
        <w:b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4">
    <w:nsid w:val="765E36FC"/>
    <w:multiLevelType w:val="hybridMultilevel"/>
    <w:tmpl w:val="C6901C10"/>
    <w:lvl w:ilvl="0" w:tplc="0152F0C0">
      <w:start w:val="1"/>
      <w:numFmt w:val="bullet"/>
      <w:lvlText w:val=""/>
      <w:lvlJc w:val="left"/>
      <w:pPr>
        <w:ind w:left="720" w:hanging="360"/>
      </w:pPr>
      <w:rPr>
        <w:rFonts w:ascii="Webdings" w:hAnsi="Webdings" w:hint="default"/>
        <w:b w:val="0"/>
        <w:i w:val="0"/>
        <w:color w:val="FF6600"/>
        <w:sz w:val="22"/>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nsid w:val="77014573"/>
    <w:multiLevelType w:val="hybridMultilevel"/>
    <w:tmpl w:val="6192B40C"/>
    <w:lvl w:ilvl="0" w:tplc="D902DDBC">
      <w:start w:val="1"/>
      <w:numFmt w:val="bullet"/>
      <w:lvlText w:val=""/>
      <w:lvlJc w:val="left"/>
      <w:pPr>
        <w:ind w:left="1987" w:hanging="360"/>
      </w:pPr>
      <w:rPr>
        <w:rFonts w:ascii="Webdings" w:hAnsi="Webdings" w:hint="default"/>
        <w:b w:val="0"/>
        <w:i w:val="0"/>
        <w:color w:val="FF6600"/>
        <w:sz w:val="24"/>
        <w:szCs w:val="18"/>
      </w:rPr>
    </w:lvl>
    <w:lvl w:ilvl="1" w:tplc="04090003">
      <w:start w:val="1"/>
      <w:numFmt w:val="bullet"/>
      <w:lvlText w:val="o"/>
      <w:lvlJc w:val="left"/>
      <w:pPr>
        <w:ind w:left="2707" w:hanging="360"/>
      </w:pPr>
      <w:rPr>
        <w:rFonts w:ascii="Courier New" w:hAnsi="Courier New" w:hint="default"/>
      </w:rPr>
    </w:lvl>
    <w:lvl w:ilvl="2" w:tplc="04090005">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26">
    <w:nsid w:val="770A0548"/>
    <w:multiLevelType w:val="hybridMultilevel"/>
    <w:tmpl w:val="B01EEB14"/>
    <w:lvl w:ilvl="0" w:tplc="D902DDBC">
      <w:start w:val="1"/>
      <w:numFmt w:val="bullet"/>
      <w:lvlText w:val=""/>
      <w:lvlJc w:val="left"/>
      <w:pPr>
        <w:ind w:left="1627" w:hanging="360"/>
      </w:pPr>
      <w:rPr>
        <w:rFonts w:ascii="Webdings" w:hAnsi="Webdings" w:hint="default"/>
        <w:b w:val="0"/>
        <w:i w:val="0"/>
        <w:color w:val="FF6600"/>
        <w:sz w:val="24"/>
      </w:rPr>
    </w:lvl>
    <w:lvl w:ilvl="1" w:tplc="04090003">
      <w:start w:val="1"/>
      <w:numFmt w:val="bullet"/>
      <w:lvlText w:val="o"/>
      <w:lvlJc w:val="left"/>
      <w:pPr>
        <w:ind w:left="2347" w:hanging="360"/>
      </w:pPr>
      <w:rPr>
        <w:rFonts w:ascii="Courier New" w:hAnsi="Courier New" w:cs="Courier New" w:hint="default"/>
      </w:rPr>
    </w:lvl>
    <w:lvl w:ilvl="2" w:tplc="04090001">
      <w:start w:val="1"/>
      <w:numFmt w:val="bullet"/>
      <w:lvlText w:val=""/>
      <w:lvlJc w:val="left"/>
      <w:pPr>
        <w:ind w:left="3067" w:hanging="360"/>
      </w:pPr>
      <w:rPr>
        <w:rFonts w:ascii="Symbol" w:hAnsi="Symbol" w:hint="default"/>
        <w:b w:val="0"/>
        <w:i w:val="0"/>
        <w:color w:val="auto"/>
        <w:sz w:val="18"/>
      </w:rPr>
    </w:lvl>
    <w:lvl w:ilvl="3" w:tplc="04090001">
      <w:start w:val="1"/>
      <w:numFmt w:val="bullet"/>
      <w:lvlText w:val=""/>
      <w:lvlJc w:val="left"/>
      <w:pPr>
        <w:ind w:left="3787" w:hanging="360"/>
      </w:pPr>
      <w:rPr>
        <w:rFonts w:ascii="Symbol" w:hAnsi="Symbol" w:hint="default"/>
      </w:rPr>
    </w:lvl>
    <w:lvl w:ilvl="4" w:tplc="04090003" w:tentative="1">
      <w:start w:val="1"/>
      <w:numFmt w:val="bullet"/>
      <w:lvlText w:val="o"/>
      <w:lvlJc w:val="left"/>
      <w:pPr>
        <w:ind w:left="4507" w:hanging="360"/>
      </w:pPr>
      <w:rPr>
        <w:rFonts w:ascii="Courier New" w:hAnsi="Courier New" w:cs="Courier New" w:hint="default"/>
      </w:rPr>
    </w:lvl>
    <w:lvl w:ilvl="5" w:tplc="04090005" w:tentative="1">
      <w:start w:val="1"/>
      <w:numFmt w:val="bullet"/>
      <w:lvlText w:val=""/>
      <w:lvlJc w:val="left"/>
      <w:pPr>
        <w:ind w:left="5227" w:hanging="360"/>
      </w:pPr>
      <w:rPr>
        <w:rFonts w:ascii="Wingdings" w:hAnsi="Wingdings" w:hint="default"/>
      </w:rPr>
    </w:lvl>
    <w:lvl w:ilvl="6" w:tplc="04090001" w:tentative="1">
      <w:start w:val="1"/>
      <w:numFmt w:val="bullet"/>
      <w:lvlText w:val=""/>
      <w:lvlJc w:val="left"/>
      <w:pPr>
        <w:ind w:left="5947" w:hanging="360"/>
      </w:pPr>
      <w:rPr>
        <w:rFonts w:ascii="Symbol" w:hAnsi="Symbol" w:hint="default"/>
      </w:rPr>
    </w:lvl>
    <w:lvl w:ilvl="7" w:tplc="04090003" w:tentative="1">
      <w:start w:val="1"/>
      <w:numFmt w:val="bullet"/>
      <w:lvlText w:val="o"/>
      <w:lvlJc w:val="left"/>
      <w:pPr>
        <w:ind w:left="6667" w:hanging="360"/>
      </w:pPr>
      <w:rPr>
        <w:rFonts w:ascii="Courier New" w:hAnsi="Courier New" w:cs="Courier New" w:hint="default"/>
      </w:rPr>
    </w:lvl>
    <w:lvl w:ilvl="8" w:tplc="04090005" w:tentative="1">
      <w:start w:val="1"/>
      <w:numFmt w:val="bullet"/>
      <w:lvlText w:val=""/>
      <w:lvlJc w:val="left"/>
      <w:pPr>
        <w:ind w:left="7387" w:hanging="360"/>
      </w:pPr>
      <w:rPr>
        <w:rFonts w:ascii="Wingdings" w:hAnsi="Wingdings" w:hint="default"/>
      </w:rPr>
    </w:lvl>
  </w:abstractNum>
  <w:abstractNum w:abstractNumId="127">
    <w:nsid w:val="77C042DD"/>
    <w:multiLevelType w:val="hybridMultilevel"/>
    <w:tmpl w:val="245A0BCE"/>
    <w:lvl w:ilvl="0" w:tplc="49CEB1AC">
      <w:start w:val="1"/>
      <w:numFmt w:val="bullet"/>
      <w:lvlText w:val=""/>
      <w:lvlJc w:val="left"/>
      <w:pPr>
        <w:ind w:left="720" w:hanging="360"/>
      </w:pPr>
      <w:rPr>
        <w:rFonts w:ascii="Webdings" w:hAnsi="Webdings" w:hint="default"/>
        <w:b w:val="0"/>
        <w:i w:val="0"/>
        <w:color w:val="FF6600"/>
        <w:sz w:val="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nsid w:val="7A113F27"/>
    <w:multiLevelType w:val="hybridMultilevel"/>
    <w:tmpl w:val="D940F3E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9">
    <w:nsid w:val="7A8C29F5"/>
    <w:multiLevelType w:val="hybridMultilevel"/>
    <w:tmpl w:val="A4A604B8"/>
    <w:lvl w:ilvl="0" w:tplc="D902DDBC">
      <w:start w:val="1"/>
      <w:numFmt w:val="bullet"/>
      <w:lvlText w:val=""/>
      <w:lvlJc w:val="left"/>
      <w:pPr>
        <w:ind w:left="1620" w:hanging="360"/>
      </w:pPr>
      <w:rPr>
        <w:rFonts w:ascii="Webdings" w:hAnsi="Webdings" w:hint="default"/>
        <w:b w:val="0"/>
        <w:i w:val="0"/>
        <w:color w:val="FF6600"/>
        <w:sz w:val="24"/>
      </w:rPr>
    </w:lvl>
    <w:lvl w:ilvl="1" w:tplc="04090003" w:tentative="1">
      <w:start w:val="1"/>
      <w:numFmt w:val="bullet"/>
      <w:lvlText w:val="o"/>
      <w:lvlJc w:val="left"/>
      <w:pPr>
        <w:ind w:left="2340" w:hanging="360"/>
      </w:pPr>
      <w:rPr>
        <w:rFonts w:ascii="Courier New" w:hAnsi="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0">
    <w:nsid w:val="7A9452DC"/>
    <w:multiLevelType w:val="hybridMultilevel"/>
    <w:tmpl w:val="28105810"/>
    <w:lvl w:ilvl="0" w:tplc="E676EEA4">
      <w:start w:val="1"/>
      <w:numFmt w:val="bullet"/>
      <w:lvlText w:val=""/>
      <w:lvlJc w:val="left"/>
      <w:pPr>
        <w:ind w:left="1620" w:hanging="360"/>
      </w:pPr>
      <w:rPr>
        <w:rFonts w:ascii="Webdings" w:hAnsi="Webdings" w:hint="default"/>
        <w:b w:val="0"/>
        <w:i w:val="0"/>
        <w:color w:val="FF6600"/>
        <w:sz w:val="24"/>
        <w:szCs w:val="24"/>
      </w:rPr>
    </w:lvl>
    <w:lvl w:ilvl="1" w:tplc="04090017">
      <w:start w:val="1"/>
      <w:numFmt w:val="lowerLetter"/>
      <w:lvlText w:val="%2)"/>
      <w:lvlJc w:val="left"/>
      <w:pPr>
        <w:ind w:left="2340" w:hanging="360"/>
      </w:pPr>
      <w:rPr>
        <w:rFonts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31">
    <w:nsid w:val="7DA45650"/>
    <w:multiLevelType w:val="hybridMultilevel"/>
    <w:tmpl w:val="EFC4C22E"/>
    <w:lvl w:ilvl="0" w:tplc="D902DDBC">
      <w:start w:val="1"/>
      <w:numFmt w:val="bullet"/>
      <w:lvlText w:val=""/>
      <w:lvlJc w:val="left"/>
      <w:pPr>
        <w:ind w:left="720" w:hanging="360"/>
      </w:pPr>
      <w:rPr>
        <w:rFonts w:ascii="Webdings" w:hAnsi="Webdings" w:hint="default"/>
        <w:b w:val="0"/>
        <w:i w:val="0"/>
        <w:color w:val="FF6600"/>
        <w:sz w:val="24"/>
      </w:rPr>
    </w:lvl>
    <w:lvl w:ilvl="1" w:tplc="04090017">
      <w:start w:val="1"/>
      <w:numFmt w:val="lowerLetter"/>
      <w:lvlText w:val="%2)"/>
      <w:lvlJc w:val="left"/>
      <w:pPr>
        <w:ind w:left="1440" w:hanging="360"/>
      </w:pPr>
      <w:rPr>
        <w:rFonts w:hint="default"/>
      </w:rPr>
    </w:lvl>
    <w:lvl w:ilvl="2" w:tplc="D902DDBC">
      <w:start w:val="1"/>
      <w:numFmt w:val="bullet"/>
      <w:lvlText w:val=""/>
      <w:lvlJc w:val="left"/>
      <w:pPr>
        <w:ind w:left="2160" w:hanging="360"/>
      </w:pPr>
      <w:rPr>
        <w:rFonts w:ascii="Webdings" w:hAnsi="Webdings" w:hint="default"/>
        <w:b w:val="0"/>
        <w:i w:val="0"/>
        <w:color w:val="FF6600"/>
        <w:sz w:val="24"/>
      </w:rPr>
    </w:lvl>
    <w:lvl w:ilvl="3" w:tplc="D902DDBC">
      <w:start w:val="1"/>
      <w:numFmt w:val="bullet"/>
      <w:lvlText w:val=""/>
      <w:lvlJc w:val="left"/>
      <w:pPr>
        <w:ind w:left="2880" w:hanging="360"/>
      </w:pPr>
      <w:rPr>
        <w:rFonts w:ascii="Webdings" w:hAnsi="Webdings" w:hint="default"/>
        <w:b w:val="0"/>
        <w:i w:val="0"/>
        <w:color w:val="FF6600"/>
        <w:sz w:val="24"/>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2">
    <w:nsid w:val="7ECB0344"/>
    <w:multiLevelType w:val="hybridMultilevel"/>
    <w:tmpl w:val="FB28CD4E"/>
    <w:lvl w:ilvl="0" w:tplc="D902DDBC">
      <w:start w:val="1"/>
      <w:numFmt w:val="bullet"/>
      <w:lvlText w:val=""/>
      <w:lvlJc w:val="left"/>
      <w:pPr>
        <w:ind w:left="1987" w:hanging="360"/>
      </w:pPr>
      <w:rPr>
        <w:rFonts w:ascii="Webdings" w:hAnsi="Webdings" w:hint="default"/>
        <w:b w:val="0"/>
        <w:i w:val="0"/>
        <w:color w:val="FF6600"/>
        <w:sz w:val="24"/>
      </w:rPr>
    </w:lvl>
    <w:lvl w:ilvl="1" w:tplc="04090003" w:tentative="1">
      <w:start w:val="1"/>
      <w:numFmt w:val="bullet"/>
      <w:lvlText w:val="o"/>
      <w:lvlJc w:val="left"/>
      <w:pPr>
        <w:ind w:left="2707" w:hanging="360"/>
      </w:pPr>
      <w:rPr>
        <w:rFonts w:ascii="Courier New" w:hAnsi="Courier New" w:hint="default"/>
      </w:rPr>
    </w:lvl>
    <w:lvl w:ilvl="2" w:tplc="04090005" w:tentative="1">
      <w:start w:val="1"/>
      <w:numFmt w:val="bullet"/>
      <w:lvlText w:val=""/>
      <w:lvlJc w:val="left"/>
      <w:pPr>
        <w:ind w:left="3427" w:hanging="360"/>
      </w:pPr>
      <w:rPr>
        <w:rFonts w:ascii="Wingdings" w:hAnsi="Wingdings" w:hint="default"/>
      </w:rPr>
    </w:lvl>
    <w:lvl w:ilvl="3" w:tplc="04090001" w:tentative="1">
      <w:start w:val="1"/>
      <w:numFmt w:val="bullet"/>
      <w:lvlText w:val=""/>
      <w:lvlJc w:val="left"/>
      <w:pPr>
        <w:ind w:left="4147" w:hanging="360"/>
      </w:pPr>
      <w:rPr>
        <w:rFonts w:ascii="Symbol" w:hAnsi="Symbol" w:hint="default"/>
      </w:rPr>
    </w:lvl>
    <w:lvl w:ilvl="4" w:tplc="04090003" w:tentative="1">
      <w:start w:val="1"/>
      <w:numFmt w:val="bullet"/>
      <w:lvlText w:val="o"/>
      <w:lvlJc w:val="left"/>
      <w:pPr>
        <w:ind w:left="4867" w:hanging="360"/>
      </w:pPr>
      <w:rPr>
        <w:rFonts w:ascii="Courier New" w:hAnsi="Courier New" w:hint="default"/>
      </w:rPr>
    </w:lvl>
    <w:lvl w:ilvl="5" w:tplc="04090005" w:tentative="1">
      <w:start w:val="1"/>
      <w:numFmt w:val="bullet"/>
      <w:lvlText w:val=""/>
      <w:lvlJc w:val="left"/>
      <w:pPr>
        <w:ind w:left="5587" w:hanging="360"/>
      </w:pPr>
      <w:rPr>
        <w:rFonts w:ascii="Wingdings" w:hAnsi="Wingdings" w:hint="default"/>
      </w:rPr>
    </w:lvl>
    <w:lvl w:ilvl="6" w:tplc="04090001" w:tentative="1">
      <w:start w:val="1"/>
      <w:numFmt w:val="bullet"/>
      <w:lvlText w:val=""/>
      <w:lvlJc w:val="left"/>
      <w:pPr>
        <w:ind w:left="6307" w:hanging="360"/>
      </w:pPr>
      <w:rPr>
        <w:rFonts w:ascii="Symbol" w:hAnsi="Symbol" w:hint="default"/>
      </w:rPr>
    </w:lvl>
    <w:lvl w:ilvl="7" w:tplc="04090003" w:tentative="1">
      <w:start w:val="1"/>
      <w:numFmt w:val="bullet"/>
      <w:lvlText w:val="o"/>
      <w:lvlJc w:val="left"/>
      <w:pPr>
        <w:ind w:left="7027" w:hanging="360"/>
      </w:pPr>
      <w:rPr>
        <w:rFonts w:ascii="Courier New" w:hAnsi="Courier New" w:hint="default"/>
      </w:rPr>
    </w:lvl>
    <w:lvl w:ilvl="8" w:tplc="04090005" w:tentative="1">
      <w:start w:val="1"/>
      <w:numFmt w:val="bullet"/>
      <w:lvlText w:val=""/>
      <w:lvlJc w:val="left"/>
      <w:pPr>
        <w:ind w:left="7747" w:hanging="360"/>
      </w:pPr>
      <w:rPr>
        <w:rFonts w:ascii="Wingdings" w:hAnsi="Wingdings" w:hint="default"/>
      </w:rPr>
    </w:lvl>
  </w:abstractNum>
  <w:abstractNum w:abstractNumId="133">
    <w:nsid w:val="7F374449"/>
    <w:multiLevelType w:val="hybridMultilevel"/>
    <w:tmpl w:val="C58E851C"/>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4">
    <w:nsid w:val="7F5B2598"/>
    <w:multiLevelType w:val="hybridMultilevel"/>
    <w:tmpl w:val="FC18ED98"/>
    <w:lvl w:ilvl="0" w:tplc="D902DDBC">
      <w:start w:val="1"/>
      <w:numFmt w:val="bullet"/>
      <w:lvlText w:val=""/>
      <w:lvlJc w:val="left"/>
      <w:pPr>
        <w:ind w:left="720" w:hanging="360"/>
      </w:pPr>
      <w:rPr>
        <w:rFonts w:ascii="Webdings" w:hAnsi="Webdings" w:hint="default"/>
        <w:b w:val="0"/>
        <w:i w:val="0"/>
        <w:color w:val="FF6600"/>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D902DDBC">
      <w:start w:val="1"/>
      <w:numFmt w:val="bullet"/>
      <w:lvlText w:val=""/>
      <w:lvlJc w:val="left"/>
      <w:pPr>
        <w:ind w:left="2880" w:hanging="360"/>
      </w:pPr>
      <w:rPr>
        <w:rFonts w:ascii="Webdings" w:hAnsi="Webdings" w:hint="default"/>
        <w:b w:val="0"/>
        <w:i w:val="0"/>
        <w:color w:val="FF6600"/>
        <w:sz w:val="24"/>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5">
    <w:nsid w:val="7FD144C3"/>
    <w:multiLevelType w:val="multilevel"/>
    <w:tmpl w:val="3D36A41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bullet"/>
      <w:lvlText w:val=""/>
      <w:lvlJc w:val="left"/>
      <w:pPr>
        <w:ind w:left="2160" w:hanging="720"/>
      </w:pPr>
      <w:rPr>
        <w:rFonts w:ascii="Webdings" w:hAnsi="Webdings" w:hint="default"/>
        <w:b w:val="0"/>
        <w:i w:val="0"/>
        <w:color w:val="FF6600"/>
        <w:sz w:val="24"/>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36">
    <w:nsid w:val="7FE70403"/>
    <w:multiLevelType w:val="hybridMultilevel"/>
    <w:tmpl w:val="37041110"/>
    <w:lvl w:ilvl="0" w:tplc="971C9212">
      <w:start w:val="1"/>
      <w:numFmt w:val="bullet"/>
      <w:lvlText w:val=""/>
      <w:lvlJc w:val="left"/>
      <w:pPr>
        <w:ind w:left="1440" w:hanging="360"/>
      </w:pPr>
      <w:rPr>
        <w:rFonts w:ascii="Webdings" w:hAnsi="Webdings" w:hint="default"/>
        <w:b w:val="0"/>
        <w:i w:val="0"/>
        <w:color w:val="FF6600"/>
        <w:sz w:val="22"/>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2"/>
  </w:num>
  <w:num w:numId="2">
    <w:abstractNumId w:val="35"/>
  </w:num>
  <w:num w:numId="3">
    <w:abstractNumId w:val="119"/>
  </w:num>
  <w:num w:numId="4">
    <w:abstractNumId w:val="1"/>
  </w:num>
  <w:num w:numId="5">
    <w:abstractNumId w:val="11"/>
  </w:num>
  <w:num w:numId="6">
    <w:abstractNumId w:val="129"/>
  </w:num>
  <w:num w:numId="7">
    <w:abstractNumId w:val="0"/>
  </w:num>
  <w:num w:numId="8">
    <w:abstractNumId w:val="122"/>
  </w:num>
  <w:num w:numId="9">
    <w:abstractNumId w:val="63"/>
  </w:num>
  <w:num w:numId="10">
    <w:abstractNumId w:val="136"/>
  </w:num>
  <w:num w:numId="11">
    <w:abstractNumId w:val="127"/>
  </w:num>
  <w:num w:numId="12">
    <w:abstractNumId w:val="108"/>
    <w:lvlOverride w:ilvl="0"/>
    <w:lvlOverride w:ilvl="1"/>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30"/>
  </w:num>
  <w:num w:numId="14">
    <w:abstractNumId w:val="73"/>
  </w:num>
  <w:num w:numId="15">
    <w:abstractNumId w:val="21"/>
  </w:num>
  <w:num w:numId="16">
    <w:abstractNumId w:val="27"/>
  </w:num>
  <w:num w:numId="17">
    <w:abstractNumId w:val="120"/>
  </w:num>
  <w:num w:numId="18">
    <w:abstractNumId w:val="1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8"/>
  </w:num>
  <w:num w:numId="20">
    <w:abstractNumId w:val="46"/>
  </w:num>
  <w:num w:numId="21">
    <w:abstractNumId w:val="74"/>
  </w:num>
  <w:num w:numId="22">
    <w:abstractNumId w:val="103"/>
  </w:num>
  <w:num w:numId="23">
    <w:abstractNumId w:val="42"/>
  </w:num>
  <w:num w:numId="24">
    <w:abstractNumId w:val="57"/>
  </w:num>
  <w:num w:numId="25">
    <w:abstractNumId w:val="55"/>
  </w:num>
  <w:num w:numId="26">
    <w:abstractNumId w:val="38"/>
  </w:num>
  <w:num w:numId="27">
    <w:abstractNumId w:val="8"/>
  </w:num>
  <w:num w:numId="28">
    <w:abstractNumId w:val="108"/>
  </w:num>
  <w:num w:numId="29">
    <w:abstractNumId w:val="106"/>
  </w:num>
  <w:num w:numId="30">
    <w:abstractNumId w:val="84"/>
  </w:num>
  <w:num w:numId="31">
    <w:abstractNumId w:val="43"/>
  </w:num>
  <w:num w:numId="32">
    <w:abstractNumId w:val="132"/>
  </w:num>
  <w:num w:numId="33">
    <w:abstractNumId w:val="125"/>
  </w:num>
  <w:num w:numId="34">
    <w:abstractNumId w:val="116"/>
  </w:num>
  <w:num w:numId="35">
    <w:abstractNumId w:val="7"/>
  </w:num>
  <w:num w:numId="36">
    <w:abstractNumId w:val="101"/>
  </w:num>
  <w:num w:numId="37">
    <w:abstractNumId w:val="15"/>
  </w:num>
  <w:num w:numId="38">
    <w:abstractNumId w:val="36"/>
  </w:num>
  <w:num w:numId="39">
    <w:abstractNumId w:val="45"/>
  </w:num>
  <w:num w:numId="40">
    <w:abstractNumId w:val="23"/>
  </w:num>
  <w:num w:numId="41">
    <w:abstractNumId w:val="32"/>
  </w:num>
  <w:num w:numId="42">
    <w:abstractNumId w:val="83"/>
  </w:num>
  <w:num w:numId="43">
    <w:abstractNumId w:val="30"/>
  </w:num>
  <w:num w:numId="44">
    <w:abstractNumId w:val="80"/>
  </w:num>
  <w:num w:numId="45">
    <w:abstractNumId w:val="124"/>
  </w:num>
  <w:num w:numId="46">
    <w:abstractNumId w:val="115"/>
  </w:num>
  <w:num w:numId="47">
    <w:abstractNumId w:val="107"/>
  </w:num>
  <w:num w:numId="48">
    <w:abstractNumId w:val="41"/>
  </w:num>
  <w:num w:numId="49">
    <w:abstractNumId w:val="86"/>
  </w:num>
  <w:num w:numId="50">
    <w:abstractNumId w:val="33"/>
  </w:num>
  <w:num w:numId="51">
    <w:abstractNumId w:val="17"/>
  </w:num>
  <w:num w:numId="52">
    <w:abstractNumId w:val="61"/>
  </w:num>
  <w:num w:numId="53">
    <w:abstractNumId w:val="31"/>
  </w:num>
  <w:num w:numId="54">
    <w:abstractNumId w:val="94"/>
  </w:num>
  <w:num w:numId="55">
    <w:abstractNumId w:val="2"/>
  </w:num>
  <w:num w:numId="56">
    <w:abstractNumId w:val="10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93"/>
  </w:num>
  <w:num w:numId="58">
    <w:abstractNumId w:val="40"/>
  </w:num>
  <w:num w:numId="59">
    <w:abstractNumId w:val="56"/>
  </w:num>
  <w:num w:numId="60">
    <w:abstractNumId w:val="110"/>
  </w:num>
  <w:num w:numId="61">
    <w:abstractNumId w:val="25"/>
  </w:num>
  <w:num w:numId="62">
    <w:abstractNumId w:val="9"/>
  </w:num>
  <w:num w:numId="63">
    <w:abstractNumId w:val="20"/>
  </w:num>
  <w:num w:numId="64">
    <w:abstractNumId w:val="133"/>
  </w:num>
  <w:num w:numId="65">
    <w:abstractNumId w:val="72"/>
  </w:num>
  <w:num w:numId="66">
    <w:abstractNumId w:val="114"/>
  </w:num>
  <w:num w:numId="67">
    <w:abstractNumId w:val="67"/>
  </w:num>
  <w:num w:numId="68">
    <w:abstractNumId w:val="52"/>
  </w:num>
  <w:num w:numId="69">
    <w:abstractNumId w:val="99"/>
  </w:num>
  <w:num w:numId="70">
    <w:abstractNumId w:val="96"/>
  </w:num>
  <w:num w:numId="71">
    <w:abstractNumId w:val="10"/>
  </w:num>
  <w:num w:numId="72">
    <w:abstractNumId w:val="92"/>
  </w:num>
  <w:num w:numId="73">
    <w:abstractNumId w:val="109"/>
  </w:num>
  <w:num w:numId="74">
    <w:abstractNumId w:val="113"/>
  </w:num>
  <w:num w:numId="75">
    <w:abstractNumId w:val="81"/>
  </w:num>
  <w:num w:numId="76">
    <w:abstractNumId w:val="102"/>
  </w:num>
  <w:num w:numId="77">
    <w:abstractNumId w:val="76"/>
  </w:num>
  <w:num w:numId="78">
    <w:abstractNumId w:val="131"/>
  </w:num>
  <w:num w:numId="79">
    <w:abstractNumId w:val="69"/>
  </w:num>
  <w:num w:numId="80">
    <w:abstractNumId w:val="78"/>
  </w:num>
  <w:num w:numId="81">
    <w:abstractNumId w:val="16"/>
  </w:num>
  <w:num w:numId="82">
    <w:abstractNumId w:val="58"/>
  </w:num>
  <w:num w:numId="83">
    <w:abstractNumId w:val="14"/>
  </w:num>
  <w:num w:numId="84">
    <w:abstractNumId w:val="39"/>
  </w:num>
  <w:num w:numId="85">
    <w:abstractNumId w:val="126"/>
  </w:num>
  <w:num w:numId="86">
    <w:abstractNumId w:val="68"/>
  </w:num>
  <w:num w:numId="87">
    <w:abstractNumId w:val="34"/>
  </w:num>
  <w:num w:numId="88">
    <w:abstractNumId w:val="85"/>
  </w:num>
  <w:num w:numId="89">
    <w:abstractNumId w:val="49"/>
  </w:num>
  <w:num w:numId="90">
    <w:abstractNumId w:val="18"/>
  </w:num>
  <w:num w:numId="91">
    <w:abstractNumId w:val="54"/>
  </w:num>
  <w:num w:numId="92">
    <w:abstractNumId w:val="135"/>
  </w:num>
  <w:num w:numId="93">
    <w:abstractNumId w:val="134"/>
  </w:num>
  <w:num w:numId="94">
    <w:abstractNumId w:val="60"/>
  </w:num>
  <w:num w:numId="95">
    <w:abstractNumId w:val="71"/>
  </w:num>
  <w:num w:numId="96">
    <w:abstractNumId w:val="3"/>
  </w:num>
  <w:num w:numId="97">
    <w:abstractNumId w:val="95"/>
  </w:num>
  <w:num w:numId="98">
    <w:abstractNumId w:val="29"/>
  </w:num>
  <w:num w:numId="99">
    <w:abstractNumId w:val="123"/>
  </w:num>
  <w:num w:numId="100">
    <w:abstractNumId w:val="105"/>
  </w:num>
  <w:num w:numId="101">
    <w:abstractNumId w:val="5"/>
  </w:num>
  <w:num w:numId="102">
    <w:abstractNumId w:val="132"/>
  </w:num>
  <w:num w:numId="103">
    <w:abstractNumId w:val="89"/>
  </w:num>
  <w:num w:numId="104">
    <w:abstractNumId w:val="66"/>
  </w:num>
  <w:num w:numId="105">
    <w:abstractNumId w:val="4"/>
  </w:num>
  <w:num w:numId="106">
    <w:abstractNumId w:val="53"/>
  </w:num>
  <w:num w:numId="107">
    <w:abstractNumId w:val="70"/>
  </w:num>
  <w:num w:numId="108">
    <w:abstractNumId w:val="88"/>
  </w:num>
  <w:num w:numId="109">
    <w:abstractNumId w:val="111"/>
  </w:num>
  <w:num w:numId="110">
    <w:abstractNumId w:val="19"/>
  </w:num>
  <w:num w:numId="111">
    <w:abstractNumId w:val="104"/>
  </w:num>
  <w:num w:numId="112">
    <w:abstractNumId w:val="117"/>
  </w:num>
  <w:num w:numId="113">
    <w:abstractNumId w:val="13"/>
  </w:num>
  <w:num w:numId="114">
    <w:abstractNumId w:val="112"/>
  </w:num>
  <w:num w:numId="115">
    <w:abstractNumId w:val="37"/>
  </w:num>
  <w:num w:numId="116">
    <w:abstractNumId w:val="128"/>
  </w:num>
  <w:num w:numId="117">
    <w:abstractNumId w:val="91"/>
  </w:num>
  <w:num w:numId="118">
    <w:abstractNumId w:val="6"/>
  </w:num>
  <w:num w:numId="119">
    <w:abstractNumId w:val="12"/>
  </w:num>
  <w:num w:numId="120">
    <w:abstractNumId w:val="100"/>
  </w:num>
  <w:num w:numId="121">
    <w:abstractNumId w:val="22"/>
  </w:num>
  <w:num w:numId="122">
    <w:abstractNumId w:val="79"/>
  </w:num>
  <w:num w:numId="123">
    <w:abstractNumId w:val="59"/>
  </w:num>
  <w:num w:numId="124">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5">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6">
    <w:abstractNumId w:val="33"/>
    <w:lvlOverride w:ilvl="0"/>
    <w:lvlOverride w:ilvl="1">
      <w:startOverride w:val="1"/>
    </w:lvlOverride>
    <w:lvlOverride w:ilvl="2"/>
    <w:lvlOverride w:ilvl="3"/>
    <w:lvlOverride w:ilvl="4"/>
    <w:lvlOverride w:ilvl="5"/>
    <w:lvlOverride w:ilvl="6"/>
    <w:lvlOverride w:ilvl="7"/>
    <w:lvlOverride w:ilvl="8"/>
  </w:num>
  <w:num w:numId="127">
    <w:abstractNumId w:val="75"/>
  </w:num>
  <w:num w:numId="128">
    <w:abstractNumId w:val="50"/>
  </w:num>
  <w:num w:numId="129">
    <w:abstractNumId w:val="87"/>
  </w:num>
  <w:num w:numId="130">
    <w:abstractNumId w:val="121"/>
  </w:num>
  <w:num w:numId="131">
    <w:abstractNumId w:val="65"/>
  </w:num>
  <w:num w:numId="132">
    <w:abstractNumId w:val="24"/>
  </w:num>
  <w:num w:numId="133">
    <w:abstractNumId w:val="98"/>
  </w:num>
  <w:num w:numId="134">
    <w:abstractNumId w:val="97"/>
  </w:num>
  <w:num w:numId="135">
    <w:abstractNumId w:val="64"/>
  </w:num>
  <w:num w:numId="136">
    <w:abstractNumId w:val="82"/>
  </w:num>
  <w:num w:numId="137">
    <w:abstractNumId w:val="51"/>
  </w:num>
  <w:num w:numId="138">
    <w:abstractNumId w:val="47"/>
  </w:num>
  <w:num w:numId="139">
    <w:abstractNumId w:val="48"/>
  </w:num>
  <w:num w:numId="140">
    <w:abstractNumId w:val="28"/>
  </w:num>
  <w:num w:numId="141">
    <w:abstractNumId w:val="90"/>
  </w:num>
  <w:num w:numId="142">
    <w:abstractNumId w:val="77"/>
  </w:num>
  <w:numIdMacAtCleanup w:val="1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proofState w:spelling="clean" w:grammar="clean"/>
  <w:documentProtection w:edit="readOnly" w:formatting="1" w:enforcement="1" w:cryptProviderType="rsaAES" w:cryptAlgorithmClass="hash" w:cryptAlgorithmType="typeAny" w:cryptAlgorithmSid="14" w:cryptSpinCount="100000" w:hash="ChG1mmBRxR6eb4GwzRvUV8gv5tGsKoCTZ6smPckze83+EhWFrl2e5VZoTkb5/e/CkZOnA9eOOy6xADv867hfmg==" w:salt="mCw0v/9BSNf3OCeq3Dy9TA=="/>
  <w:defaultTabStop w:val="720"/>
  <w:drawingGridHorizontalSpacing w:val="110"/>
  <w:displayHorizontalDrawingGridEvery w:val="2"/>
  <w:characterSpacingControl w:val="doNotCompress"/>
  <w:hdrShapeDefaults>
    <o:shapedefaults v:ext="edit" spidmax="2049">
      <v:textbox inset="5.85pt,.7pt,5.85pt,.7pt"/>
    </o:shapedefaults>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181A"/>
    <w:rsid w:val="0000059A"/>
    <w:rsid w:val="00000F2B"/>
    <w:rsid w:val="00001517"/>
    <w:rsid w:val="00001A9A"/>
    <w:rsid w:val="00002C0B"/>
    <w:rsid w:val="00003601"/>
    <w:rsid w:val="00003D41"/>
    <w:rsid w:val="00004568"/>
    <w:rsid w:val="00004998"/>
    <w:rsid w:val="0000615E"/>
    <w:rsid w:val="00006372"/>
    <w:rsid w:val="00007875"/>
    <w:rsid w:val="000100BC"/>
    <w:rsid w:val="00010442"/>
    <w:rsid w:val="000114ED"/>
    <w:rsid w:val="00011E31"/>
    <w:rsid w:val="00012D48"/>
    <w:rsid w:val="00013F1B"/>
    <w:rsid w:val="00014083"/>
    <w:rsid w:val="000148B4"/>
    <w:rsid w:val="00014EAD"/>
    <w:rsid w:val="000150D5"/>
    <w:rsid w:val="000158EE"/>
    <w:rsid w:val="0002020C"/>
    <w:rsid w:val="00021544"/>
    <w:rsid w:val="000225E7"/>
    <w:rsid w:val="00022FBE"/>
    <w:rsid w:val="000232D9"/>
    <w:rsid w:val="00023FE7"/>
    <w:rsid w:val="00024C3C"/>
    <w:rsid w:val="00024DF4"/>
    <w:rsid w:val="00024FB1"/>
    <w:rsid w:val="00025419"/>
    <w:rsid w:val="00026546"/>
    <w:rsid w:val="0003011A"/>
    <w:rsid w:val="0003031D"/>
    <w:rsid w:val="000306B4"/>
    <w:rsid w:val="00031547"/>
    <w:rsid w:val="00031ABF"/>
    <w:rsid w:val="00032193"/>
    <w:rsid w:val="00032263"/>
    <w:rsid w:val="0003250E"/>
    <w:rsid w:val="000334F1"/>
    <w:rsid w:val="0003388B"/>
    <w:rsid w:val="00033B0F"/>
    <w:rsid w:val="00033D02"/>
    <w:rsid w:val="000345A0"/>
    <w:rsid w:val="00035663"/>
    <w:rsid w:val="00036150"/>
    <w:rsid w:val="000365B0"/>
    <w:rsid w:val="00036631"/>
    <w:rsid w:val="00036A4A"/>
    <w:rsid w:val="00036B96"/>
    <w:rsid w:val="00037C05"/>
    <w:rsid w:val="0004051B"/>
    <w:rsid w:val="00040ADC"/>
    <w:rsid w:val="00041F5A"/>
    <w:rsid w:val="0004299F"/>
    <w:rsid w:val="000429EF"/>
    <w:rsid w:val="00043114"/>
    <w:rsid w:val="0004313E"/>
    <w:rsid w:val="0004388E"/>
    <w:rsid w:val="00043A75"/>
    <w:rsid w:val="000449AA"/>
    <w:rsid w:val="000449B4"/>
    <w:rsid w:val="00044BFB"/>
    <w:rsid w:val="00045687"/>
    <w:rsid w:val="00045907"/>
    <w:rsid w:val="00045A0E"/>
    <w:rsid w:val="0004652A"/>
    <w:rsid w:val="000466E8"/>
    <w:rsid w:val="00047061"/>
    <w:rsid w:val="00047280"/>
    <w:rsid w:val="00047339"/>
    <w:rsid w:val="00047745"/>
    <w:rsid w:val="00047838"/>
    <w:rsid w:val="00047874"/>
    <w:rsid w:val="00047B21"/>
    <w:rsid w:val="00050F9B"/>
    <w:rsid w:val="0005132C"/>
    <w:rsid w:val="00051AA6"/>
    <w:rsid w:val="0005221F"/>
    <w:rsid w:val="00052441"/>
    <w:rsid w:val="00052BF4"/>
    <w:rsid w:val="00052DA2"/>
    <w:rsid w:val="00053F31"/>
    <w:rsid w:val="00054811"/>
    <w:rsid w:val="000553EE"/>
    <w:rsid w:val="0005574D"/>
    <w:rsid w:val="00055EFD"/>
    <w:rsid w:val="00056DDF"/>
    <w:rsid w:val="00056E58"/>
    <w:rsid w:val="00060238"/>
    <w:rsid w:val="00060959"/>
    <w:rsid w:val="00061A45"/>
    <w:rsid w:val="00061A6E"/>
    <w:rsid w:val="000626C8"/>
    <w:rsid w:val="00063577"/>
    <w:rsid w:val="000658AA"/>
    <w:rsid w:val="00066528"/>
    <w:rsid w:val="00066697"/>
    <w:rsid w:val="00067AB1"/>
    <w:rsid w:val="00070945"/>
    <w:rsid w:val="0007160C"/>
    <w:rsid w:val="00071922"/>
    <w:rsid w:val="0007218F"/>
    <w:rsid w:val="000731D9"/>
    <w:rsid w:val="00073E15"/>
    <w:rsid w:val="0007499D"/>
    <w:rsid w:val="00074BB0"/>
    <w:rsid w:val="00074E4E"/>
    <w:rsid w:val="0007557E"/>
    <w:rsid w:val="000756F1"/>
    <w:rsid w:val="0007693E"/>
    <w:rsid w:val="00076947"/>
    <w:rsid w:val="00076CB4"/>
    <w:rsid w:val="000773D2"/>
    <w:rsid w:val="00077BAC"/>
    <w:rsid w:val="00077CE5"/>
    <w:rsid w:val="0008036A"/>
    <w:rsid w:val="00080982"/>
    <w:rsid w:val="00080B33"/>
    <w:rsid w:val="00081AEC"/>
    <w:rsid w:val="00081C19"/>
    <w:rsid w:val="00082458"/>
    <w:rsid w:val="00082CBC"/>
    <w:rsid w:val="0008414D"/>
    <w:rsid w:val="000841C9"/>
    <w:rsid w:val="0008452D"/>
    <w:rsid w:val="00084B9E"/>
    <w:rsid w:val="00085002"/>
    <w:rsid w:val="00085C3C"/>
    <w:rsid w:val="00087380"/>
    <w:rsid w:val="000907C7"/>
    <w:rsid w:val="000908B0"/>
    <w:rsid w:val="00090A32"/>
    <w:rsid w:val="0009153E"/>
    <w:rsid w:val="00091558"/>
    <w:rsid w:val="000916C1"/>
    <w:rsid w:val="000916C5"/>
    <w:rsid w:val="00092855"/>
    <w:rsid w:val="00092E9E"/>
    <w:rsid w:val="00092F30"/>
    <w:rsid w:val="000937BB"/>
    <w:rsid w:val="00094035"/>
    <w:rsid w:val="000945E1"/>
    <w:rsid w:val="00096CB5"/>
    <w:rsid w:val="00097B90"/>
    <w:rsid w:val="00097C8C"/>
    <w:rsid w:val="000A0435"/>
    <w:rsid w:val="000A090F"/>
    <w:rsid w:val="000A0D35"/>
    <w:rsid w:val="000A18AA"/>
    <w:rsid w:val="000A1CD9"/>
    <w:rsid w:val="000A2519"/>
    <w:rsid w:val="000A2923"/>
    <w:rsid w:val="000A297A"/>
    <w:rsid w:val="000A29B6"/>
    <w:rsid w:val="000A305F"/>
    <w:rsid w:val="000A30EE"/>
    <w:rsid w:val="000A35F8"/>
    <w:rsid w:val="000A3C7D"/>
    <w:rsid w:val="000A3CF8"/>
    <w:rsid w:val="000A5032"/>
    <w:rsid w:val="000A5857"/>
    <w:rsid w:val="000A6EF5"/>
    <w:rsid w:val="000A6FAA"/>
    <w:rsid w:val="000B0696"/>
    <w:rsid w:val="000B0A08"/>
    <w:rsid w:val="000B0A66"/>
    <w:rsid w:val="000B0B0D"/>
    <w:rsid w:val="000B0C6D"/>
    <w:rsid w:val="000B2451"/>
    <w:rsid w:val="000B2DFF"/>
    <w:rsid w:val="000B31FC"/>
    <w:rsid w:val="000B326B"/>
    <w:rsid w:val="000B3EED"/>
    <w:rsid w:val="000B4C49"/>
    <w:rsid w:val="000B4E0C"/>
    <w:rsid w:val="000B536E"/>
    <w:rsid w:val="000B5A31"/>
    <w:rsid w:val="000B5EFD"/>
    <w:rsid w:val="000B668F"/>
    <w:rsid w:val="000B6DE0"/>
    <w:rsid w:val="000B7662"/>
    <w:rsid w:val="000B780A"/>
    <w:rsid w:val="000C03F3"/>
    <w:rsid w:val="000C0FBE"/>
    <w:rsid w:val="000C185F"/>
    <w:rsid w:val="000C2842"/>
    <w:rsid w:val="000C2964"/>
    <w:rsid w:val="000C32C3"/>
    <w:rsid w:val="000C3CB1"/>
    <w:rsid w:val="000C4911"/>
    <w:rsid w:val="000C622E"/>
    <w:rsid w:val="000C676D"/>
    <w:rsid w:val="000C6865"/>
    <w:rsid w:val="000C6A47"/>
    <w:rsid w:val="000C6C07"/>
    <w:rsid w:val="000C6DBC"/>
    <w:rsid w:val="000C6E3D"/>
    <w:rsid w:val="000C72FC"/>
    <w:rsid w:val="000C79A2"/>
    <w:rsid w:val="000C7C7E"/>
    <w:rsid w:val="000D158E"/>
    <w:rsid w:val="000D17D6"/>
    <w:rsid w:val="000D2804"/>
    <w:rsid w:val="000D399F"/>
    <w:rsid w:val="000D4008"/>
    <w:rsid w:val="000D43E1"/>
    <w:rsid w:val="000D454E"/>
    <w:rsid w:val="000D4ECA"/>
    <w:rsid w:val="000D5E2F"/>
    <w:rsid w:val="000D5F24"/>
    <w:rsid w:val="000D747C"/>
    <w:rsid w:val="000D76F0"/>
    <w:rsid w:val="000D77DE"/>
    <w:rsid w:val="000E04C0"/>
    <w:rsid w:val="000E1409"/>
    <w:rsid w:val="000E1C1F"/>
    <w:rsid w:val="000E260B"/>
    <w:rsid w:val="000E29CF"/>
    <w:rsid w:val="000E3AE4"/>
    <w:rsid w:val="000E485A"/>
    <w:rsid w:val="000E5145"/>
    <w:rsid w:val="000E6103"/>
    <w:rsid w:val="000E658A"/>
    <w:rsid w:val="000E6728"/>
    <w:rsid w:val="000E6B57"/>
    <w:rsid w:val="000E6E21"/>
    <w:rsid w:val="000F0642"/>
    <w:rsid w:val="000F0F4D"/>
    <w:rsid w:val="000F11BD"/>
    <w:rsid w:val="000F1BE7"/>
    <w:rsid w:val="000F1ECA"/>
    <w:rsid w:val="000F200C"/>
    <w:rsid w:val="000F4095"/>
    <w:rsid w:val="000F4E3B"/>
    <w:rsid w:val="000F51BC"/>
    <w:rsid w:val="000F59F6"/>
    <w:rsid w:val="000F6E5D"/>
    <w:rsid w:val="000F76E5"/>
    <w:rsid w:val="000F798B"/>
    <w:rsid w:val="00101859"/>
    <w:rsid w:val="00101CDD"/>
    <w:rsid w:val="00102035"/>
    <w:rsid w:val="00102195"/>
    <w:rsid w:val="001026FD"/>
    <w:rsid w:val="001039B4"/>
    <w:rsid w:val="00103AD5"/>
    <w:rsid w:val="00103B11"/>
    <w:rsid w:val="00104195"/>
    <w:rsid w:val="00104475"/>
    <w:rsid w:val="00104DE2"/>
    <w:rsid w:val="001051D1"/>
    <w:rsid w:val="00105321"/>
    <w:rsid w:val="001062A0"/>
    <w:rsid w:val="00106361"/>
    <w:rsid w:val="001063EC"/>
    <w:rsid w:val="001106F5"/>
    <w:rsid w:val="00110AFB"/>
    <w:rsid w:val="00110E1D"/>
    <w:rsid w:val="001123CB"/>
    <w:rsid w:val="001126E7"/>
    <w:rsid w:val="00112BE6"/>
    <w:rsid w:val="0011332E"/>
    <w:rsid w:val="001134F8"/>
    <w:rsid w:val="00113634"/>
    <w:rsid w:val="00113665"/>
    <w:rsid w:val="001136F4"/>
    <w:rsid w:val="00113EC1"/>
    <w:rsid w:val="001140EF"/>
    <w:rsid w:val="001154B5"/>
    <w:rsid w:val="00116222"/>
    <w:rsid w:val="00116978"/>
    <w:rsid w:val="00116EDC"/>
    <w:rsid w:val="00117112"/>
    <w:rsid w:val="00117255"/>
    <w:rsid w:val="001178E8"/>
    <w:rsid w:val="00117B4A"/>
    <w:rsid w:val="00120E91"/>
    <w:rsid w:val="00122092"/>
    <w:rsid w:val="00122483"/>
    <w:rsid w:val="00122830"/>
    <w:rsid w:val="00123558"/>
    <w:rsid w:val="0012364E"/>
    <w:rsid w:val="001253FF"/>
    <w:rsid w:val="00125604"/>
    <w:rsid w:val="00125610"/>
    <w:rsid w:val="00126292"/>
    <w:rsid w:val="001265B4"/>
    <w:rsid w:val="001279BA"/>
    <w:rsid w:val="00127FA7"/>
    <w:rsid w:val="00130278"/>
    <w:rsid w:val="0013031A"/>
    <w:rsid w:val="00131042"/>
    <w:rsid w:val="001310D5"/>
    <w:rsid w:val="001319AE"/>
    <w:rsid w:val="001323B9"/>
    <w:rsid w:val="001327D3"/>
    <w:rsid w:val="00132E08"/>
    <w:rsid w:val="00133069"/>
    <w:rsid w:val="0013361B"/>
    <w:rsid w:val="00133A4B"/>
    <w:rsid w:val="00133C80"/>
    <w:rsid w:val="00134960"/>
    <w:rsid w:val="00135D5F"/>
    <w:rsid w:val="001363A0"/>
    <w:rsid w:val="00136585"/>
    <w:rsid w:val="0013786B"/>
    <w:rsid w:val="00140080"/>
    <w:rsid w:val="00140178"/>
    <w:rsid w:val="001409EF"/>
    <w:rsid w:val="00140B67"/>
    <w:rsid w:val="001414E7"/>
    <w:rsid w:val="00141DA5"/>
    <w:rsid w:val="001422CD"/>
    <w:rsid w:val="00142FC4"/>
    <w:rsid w:val="0014313B"/>
    <w:rsid w:val="001432C4"/>
    <w:rsid w:val="00143512"/>
    <w:rsid w:val="00143CF6"/>
    <w:rsid w:val="00145507"/>
    <w:rsid w:val="00145E67"/>
    <w:rsid w:val="00145EAD"/>
    <w:rsid w:val="0014632E"/>
    <w:rsid w:val="00146FC7"/>
    <w:rsid w:val="001472CD"/>
    <w:rsid w:val="001475EA"/>
    <w:rsid w:val="00151496"/>
    <w:rsid w:val="00152361"/>
    <w:rsid w:val="00152E1B"/>
    <w:rsid w:val="00152FCC"/>
    <w:rsid w:val="001538D0"/>
    <w:rsid w:val="00154676"/>
    <w:rsid w:val="00155B9B"/>
    <w:rsid w:val="00155ECD"/>
    <w:rsid w:val="00156AE7"/>
    <w:rsid w:val="00156B3C"/>
    <w:rsid w:val="0016067A"/>
    <w:rsid w:val="00160C27"/>
    <w:rsid w:val="00162A93"/>
    <w:rsid w:val="00163658"/>
    <w:rsid w:val="00163848"/>
    <w:rsid w:val="00164103"/>
    <w:rsid w:val="00164CEB"/>
    <w:rsid w:val="0016502C"/>
    <w:rsid w:val="001652F4"/>
    <w:rsid w:val="001660B8"/>
    <w:rsid w:val="001665D9"/>
    <w:rsid w:val="00166F21"/>
    <w:rsid w:val="00167B61"/>
    <w:rsid w:val="00170085"/>
    <w:rsid w:val="001704C2"/>
    <w:rsid w:val="0017091C"/>
    <w:rsid w:val="00170933"/>
    <w:rsid w:val="00170ABC"/>
    <w:rsid w:val="00170CFB"/>
    <w:rsid w:val="001712B4"/>
    <w:rsid w:val="00171817"/>
    <w:rsid w:val="00171927"/>
    <w:rsid w:val="00172CBA"/>
    <w:rsid w:val="0017320F"/>
    <w:rsid w:val="00173A20"/>
    <w:rsid w:val="00174410"/>
    <w:rsid w:val="001744C9"/>
    <w:rsid w:val="001748E9"/>
    <w:rsid w:val="00174DCD"/>
    <w:rsid w:val="0017535D"/>
    <w:rsid w:val="001754AD"/>
    <w:rsid w:val="00175615"/>
    <w:rsid w:val="001758DD"/>
    <w:rsid w:val="00175CDF"/>
    <w:rsid w:val="00175FBE"/>
    <w:rsid w:val="001760D6"/>
    <w:rsid w:val="00176237"/>
    <w:rsid w:val="00176313"/>
    <w:rsid w:val="00177824"/>
    <w:rsid w:val="00177D4C"/>
    <w:rsid w:val="00180075"/>
    <w:rsid w:val="00180424"/>
    <w:rsid w:val="00180E25"/>
    <w:rsid w:val="00180F86"/>
    <w:rsid w:val="001812AF"/>
    <w:rsid w:val="00181545"/>
    <w:rsid w:val="00181EAB"/>
    <w:rsid w:val="001820B4"/>
    <w:rsid w:val="00183E7C"/>
    <w:rsid w:val="0018541C"/>
    <w:rsid w:val="001858AD"/>
    <w:rsid w:val="001866F1"/>
    <w:rsid w:val="00186EDB"/>
    <w:rsid w:val="00186F02"/>
    <w:rsid w:val="001870C2"/>
    <w:rsid w:val="00187499"/>
    <w:rsid w:val="00187AF7"/>
    <w:rsid w:val="00190F66"/>
    <w:rsid w:val="00192764"/>
    <w:rsid w:val="00192935"/>
    <w:rsid w:val="00192C6E"/>
    <w:rsid w:val="001933C6"/>
    <w:rsid w:val="0019370F"/>
    <w:rsid w:val="00193F9C"/>
    <w:rsid w:val="00194002"/>
    <w:rsid w:val="0019497E"/>
    <w:rsid w:val="00194DAF"/>
    <w:rsid w:val="00196024"/>
    <w:rsid w:val="00196176"/>
    <w:rsid w:val="00196F45"/>
    <w:rsid w:val="0019770C"/>
    <w:rsid w:val="0019788A"/>
    <w:rsid w:val="001978C7"/>
    <w:rsid w:val="001979E9"/>
    <w:rsid w:val="001A2663"/>
    <w:rsid w:val="001A3069"/>
    <w:rsid w:val="001A3367"/>
    <w:rsid w:val="001A5D12"/>
    <w:rsid w:val="001A5DFA"/>
    <w:rsid w:val="001A63C6"/>
    <w:rsid w:val="001A7C63"/>
    <w:rsid w:val="001B035A"/>
    <w:rsid w:val="001B0B76"/>
    <w:rsid w:val="001B15A5"/>
    <w:rsid w:val="001B1DB9"/>
    <w:rsid w:val="001B1F6A"/>
    <w:rsid w:val="001B3397"/>
    <w:rsid w:val="001B413E"/>
    <w:rsid w:val="001B4E4D"/>
    <w:rsid w:val="001B4F17"/>
    <w:rsid w:val="001B5BBA"/>
    <w:rsid w:val="001B6FC8"/>
    <w:rsid w:val="001B7453"/>
    <w:rsid w:val="001B7889"/>
    <w:rsid w:val="001B7CC3"/>
    <w:rsid w:val="001B7E60"/>
    <w:rsid w:val="001C032E"/>
    <w:rsid w:val="001C076E"/>
    <w:rsid w:val="001C0B01"/>
    <w:rsid w:val="001C123D"/>
    <w:rsid w:val="001C1727"/>
    <w:rsid w:val="001C17FF"/>
    <w:rsid w:val="001C20C9"/>
    <w:rsid w:val="001C310B"/>
    <w:rsid w:val="001C369B"/>
    <w:rsid w:val="001C38D4"/>
    <w:rsid w:val="001C3A4A"/>
    <w:rsid w:val="001C451E"/>
    <w:rsid w:val="001C4AC1"/>
    <w:rsid w:val="001C5084"/>
    <w:rsid w:val="001C5829"/>
    <w:rsid w:val="001C5F2F"/>
    <w:rsid w:val="001C600A"/>
    <w:rsid w:val="001C61C9"/>
    <w:rsid w:val="001C67C8"/>
    <w:rsid w:val="001C6D08"/>
    <w:rsid w:val="001C776C"/>
    <w:rsid w:val="001C7F24"/>
    <w:rsid w:val="001D0A5E"/>
    <w:rsid w:val="001D0D87"/>
    <w:rsid w:val="001D100C"/>
    <w:rsid w:val="001D1F41"/>
    <w:rsid w:val="001D1FFD"/>
    <w:rsid w:val="001D214E"/>
    <w:rsid w:val="001D2CFE"/>
    <w:rsid w:val="001D3F04"/>
    <w:rsid w:val="001D4103"/>
    <w:rsid w:val="001D4FDC"/>
    <w:rsid w:val="001D5585"/>
    <w:rsid w:val="001D5998"/>
    <w:rsid w:val="001D6143"/>
    <w:rsid w:val="001D63C2"/>
    <w:rsid w:val="001D6B0C"/>
    <w:rsid w:val="001D7A2C"/>
    <w:rsid w:val="001D7CCF"/>
    <w:rsid w:val="001D7FAC"/>
    <w:rsid w:val="001E0933"/>
    <w:rsid w:val="001E2538"/>
    <w:rsid w:val="001E2E9C"/>
    <w:rsid w:val="001E3257"/>
    <w:rsid w:val="001E3357"/>
    <w:rsid w:val="001E385C"/>
    <w:rsid w:val="001E397B"/>
    <w:rsid w:val="001E3F07"/>
    <w:rsid w:val="001E3F7D"/>
    <w:rsid w:val="001E4504"/>
    <w:rsid w:val="001E49BB"/>
    <w:rsid w:val="001E4FB3"/>
    <w:rsid w:val="001E5519"/>
    <w:rsid w:val="001E6281"/>
    <w:rsid w:val="001E68E2"/>
    <w:rsid w:val="001E6946"/>
    <w:rsid w:val="001E6B57"/>
    <w:rsid w:val="001E7990"/>
    <w:rsid w:val="001E79DE"/>
    <w:rsid w:val="001E7B2F"/>
    <w:rsid w:val="001E7C5F"/>
    <w:rsid w:val="001F09EE"/>
    <w:rsid w:val="001F3114"/>
    <w:rsid w:val="001F45C4"/>
    <w:rsid w:val="001F52D2"/>
    <w:rsid w:val="001F63D6"/>
    <w:rsid w:val="001F67F9"/>
    <w:rsid w:val="001F71F2"/>
    <w:rsid w:val="0020051A"/>
    <w:rsid w:val="00201361"/>
    <w:rsid w:val="002015BC"/>
    <w:rsid w:val="00202A44"/>
    <w:rsid w:val="002030E1"/>
    <w:rsid w:val="00204AFE"/>
    <w:rsid w:val="00204D6D"/>
    <w:rsid w:val="00205C65"/>
    <w:rsid w:val="002065C2"/>
    <w:rsid w:val="0020722E"/>
    <w:rsid w:val="00207514"/>
    <w:rsid w:val="00207CB0"/>
    <w:rsid w:val="00210104"/>
    <w:rsid w:val="002101B4"/>
    <w:rsid w:val="00210C37"/>
    <w:rsid w:val="00210C85"/>
    <w:rsid w:val="0021235A"/>
    <w:rsid w:val="00212C87"/>
    <w:rsid w:val="00212CC6"/>
    <w:rsid w:val="002147C1"/>
    <w:rsid w:val="002150B5"/>
    <w:rsid w:val="00215176"/>
    <w:rsid w:val="002153AF"/>
    <w:rsid w:val="00215BB0"/>
    <w:rsid w:val="002160EB"/>
    <w:rsid w:val="0021637C"/>
    <w:rsid w:val="00216779"/>
    <w:rsid w:val="002169A8"/>
    <w:rsid w:val="00216BFE"/>
    <w:rsid w:val="002171BB"/>
    <w:rsid w:val="002171C3"/>
    <w:rsid w:val="0021735C"/>
    <w:rsid w:val="002202DB"/>
    <w:rsid w:val="002213E6"/>
    <w:rsid w:val="00221971"/>
    <w:rsid w:val="00221A57"/>
    <w:rsid w:val="00222404"/>
    <w:rsid w:val="00222641"/>
    <w:rsid w:val="00222B90"/>
    <w:rsid w:val="0022394B"/>
    <w:rsid w:val="00223A77"/>
    <w:rsid w:val="0022500A"/>
    <w:rsid w:val="002253A3"/>
    <w:rsid w:val="00226CF6"/>
    <w:rsid w:val="00226DE5"/>
    <w:rsid w:val="00226E5F"/>
    <w:rsid w:val="002278A3"/>
    <w:rsid w:val="00230134"/>
    <w:rsid w:val="00230C60"/>
    <w:rsid w:val="00230E01"/>
    <w:rsid w:val="00230E06"/>
    <w:rsid w:val="00231EAF"/>
    <w:rsid w:val="00232756"/>
    <w:rsid w:val="00232775"/>
    <w:rsid w:val="00232DA9"/>
    <w:rsid w:val="002333B5"/>
    <w:rsid w:val="00233A1E"/>
    <w:rsid w:val="00233B9E"/>
    <w:rsid w:val="0023411E"/>
    <w:rsid w:val="002347F5"/>
    <w:rsid w:val="002367D3"/>
    <w:rsid w:val="00237686"/>
    <w:rsid w:val="00237C63"/>
    <w:rsid w:val="00241434"/>
    <w:rsid w:val="00241602"/>
    <w:rsid w:val="00241674"/>
    <w:rsid w:val="00241885"/>
    <w:rsid w:val="00242218"/>
    <w:rsid w:val="00242B11"/>
    <w:rsid w:val="002435BA"/>
    <w:rsid w:val="00243B33"/>
    <w:rsid w:val="00243E0C"/>
    <w:rsid w:val="00244608"/>
    <w:rsid w:val="00244E57"/>
    <w:rsid w:val="0024509C"/>
    <w:rsid w:val="00245448"/>
    <w:rsid w:val="002460AD"/>
    <w:rsid w:val="00246341"/>
    <w:rsid w:val="002463ED"/>
    <w:rsid w:val="00246B25"/>
    <w:rsid w:val="00246BBF"/>
    <w:rsid w:val="00246DB2"/>
    <w:rsid w:val="00247A55"/>
    <w:rsid w:val="0025016C"/>
    <w:rsid w:val="0025087E"/>
    <w:rsid w:val="00251243"/>
    <w:rsid w:val="0025128E"/>
    <w:rsid w:val="002512D3"/>
    <w:rsid w:val="00252230"/>
    <w:rsid w:val="00252F56"/>
    <w:rsid w:val="002531FE"/>
    <w:rsid w:val="00253288"/>
    <w:rsid w:val="002541AE"/>
    <w:rsid w:val="002543B0"/>
    <w:rsid w:val="0025464E"/>
    <w:rsid w:val="00255158"/>
    <w:rsid w:val="0025569A"/>
    <w:rsid w:val="00255A83"/>
    <w:rsid w:val="00255E45"/>
    <w:rsid w:val="00256434"/>
    <w:rsid w:val="0025645E"/>
    <w:rsid w:val="002565A3"/>
    <w:rsid w:val="00256616"/>
    <w:rsid w:val="00257170"/>
    <w:rsid w:val="00257298"/>
    <w:rsid w:val="00257CF3"/>
    <w:rsid w:val="00260693"/>
    <w:rsid w:val="0026153D"/>
    <w:rsid w:val="00261A2C"/>
    <w:rsid w:val="002620FA"/>
    <w:rsid w:val="00263B62"/>
    <w:rsid w:val="00264630"/>
    <w:rsid w:val="0026584E"/>
    <w:rsid w:val="00265AC3"/>
    <w:rsid w:val="0026606F"/>
    <w:rsid w:val="00266AF5"/>
    <w:rsid w:val="00266F0E"/>
    <w:rsid w:val="0026723A"/>
    <w:rsid w:val="002677F5"/>
    <w:rsid w:val="0027028A"/>
    <w:rsid w:val="002705FC"/>
    <w:rsid w:val="00270612"/>
    <w:rsid w:val="00270641"/>
    <w:rsid w:val="00270850"/>
    <w:rsid w:val="00270EBE"/>
    <w:rsid w:val="00270F92"/>
    <w:rsid w:val="00271E9A"/>
    <w:rsid w:val="00272869"/>
    <w:rsid w:val="00272E63"/>
    <w:rsid w:val="00273685"/>
    <w:rsid w:val="00273C3F"/>
    <w:rsid w:val="00273EB9"/>
    <w:rsid w:val="002751F6"/>
    <w:rsid w:val="00276586"/>
    <w:rsid w:val="002765CF"/>
    <w:rsid w:val="00277145"/>
    <w:rsid w:val="0028033C"/>
    <w:rsid w:val="00280A25"/>
    <w:rsid w:val="00281082"/>
    <w:rsid w:val="00281B6E"/>
    <w:rsid w:val="0028230A"/>
    <w:rsid w:val="00283A4E"/>
    <w:rsid w:val="002849A2"/>
    <w:rsid w:val="002854D4"/>
    <w:rsid w:val="00285547"/>
    <w:rsid w:val="0028591B"/>
    <w:rsid w:val="00285E3D"/>
    <w:rsid w:val="00285EE8"/>
    <w:rsid w:val="002868EB"/>
    <w:rsid w:val="00287571"/>
    <w:rsid w:val="00287725"/>
    <w:rsid w:val="00287758"/>
    <w:rsid w:val="00287C64"/>
    <w:rsid w:val="00290203"/>
    <w:rsid w:val="00290AF3"/>
    <w:rsid w:val="00290BBF"/>
    <w:rsid w:val="00290FC1"/>
    <w:rsid w:val="002914A1"/>
    <w:rsid w:val="002917A6"/>
    <w:rsid w:val="00292088"/>
    <w:rsid w:val="0029223A"/>
    <w:rsid w:val="0029286E"/>
    <w:rsid w:val="00292C42"/>
    <w:rsid w:val="00292C57"/>
    <w:rsid w:val="00292E78"/>
    <w:rsid w:val="002932AB"/>
    <w:rsid w:val="00293B24"/>
    <w:rsid w:val="002948B7"/>
    <w:rsid w:val="002956DE"/>
    <w:rsid w:val="00296925"/>
    <w:rsid w:val="00296B89"/>
    <w:rsid w:val="00297F37"/>
    <w:rsid w:val="00297FA5"/>
    <w:rsid w:val="002A01C2"/>
    <w:rsid w:val="002A0D4F"/>
    <w:rsid w:val="002A1564"/>
    <w:rsid w:val="002A1F73"/>
    <w:rsid w:val="002A3022"/>
    <w:rsid w:val="002A3AE6"/>
    <w:rsid w:val="002A4105"/>
    <w:rsid w:val="002A4AA5"/>
    <w:rsid w:val="002A4C2F"/>
    <w:rsid w:val="002A4C9D"/>
    <w:rsid w:val="002A5CC2"/>
    <w:rsid w:val="002A6416"/>
    <w:rsid w:val="002A6E97"/>
    <w:rsid w:val="002A7214"/>
    <w:rsid w:val="002A732F"/>
    <w:rsid w:val="002A760F"/>
    <w:rsid w:val="002A77B9"/>
    <w:rsid w:val="002B131B"/>
    <w:rsid w:val="002B1778"/>
    <w:rsid w:val="002B1F45"/>
    <w:rsid w:val="002B202E"/>
    <w:rsid w:val="002B2A1D"/>
    <w:rsid w:val="002B2F57"/>
    <w:rsid w:val="002B327C"/>
    <w:rsid w:val="002B4A9E"/>
    <w:rsid w:val="002B4E5D"/>
    <w:rsid w:val="002B547C"/>
    <w:rsid w:val="002B5C31"/>
    <w:rsid w:val="002B60CA"/>
    <w:rsid w:val="002B7094"/>
    <w:rsid w:val="002B75CB"/>
    <w:rsid w:val="002C0225"/>
    <w:rsid w:val="002C0CE1"/>
    <w:rsid w:val="002C1015"/>
    <w:rsid w:val="002C1048"/>
    <w:rsid w:val="002C1899"/>
    <w:rsid w:val="002C1A50"/>
    <w:rsid w:val="002C3AB1"/>
    <w:rsid w:val="002C3D8E"/>
    <w:rsid w:val="002C4982"/>
    <w:rsid w:val="002C509B"/>
    <w:rsid w:val="002C5316"/>
    <w:rsid w:val="002C5924"/>
    <w:rsid w:val="002C6D27"/>
    <w:rsid w:val="002C74CF"/>
    <w:rsid w:val="002C7622"/>
    <w:rsid w:val="002C7FD6"/>
    <w:rsid w:val="002D0218"/>
    <w:rsid w:val="002D02B9"/>
    <w:rsid w:val="002D03E6"/>
    <w:rsid w:val="002D0D89"/>
    <w:rsid w:val="002D0DC4"/>
    <w:rsid w:val="002D0FAC"/>
    <w:rsid w:val="002D1020"/>
    <w:rsid w:val="002D1186"/>
    <w:rsid w:val="002D1594"/>
    <w:rsid w:val="002D19B7"/>
    <w:rsid w:val="002D1A9C"/>
    <w:rsid w:val="002D1E18"/>
    <w:rsid w:val="002D1E42"/>
    <w:rsid w:val="002D25C8"/>
    <w:rsid w:val="002D2868"/>
    <w:rsid w:val="002D29C7"/>
    <w:rsid w:val="002D2B17"/>
    <w:rsid w:val="002D2F62"/>
    <w:rsid w:val="002D32B4"/>
    <w:rsid w:val="002D35ED"/>
    <w:rsid w:val="002D3790"/>
    <w:rsid w:val="002D44E5"/>
    <w:rsid w:val="002D4631"/>
    <w:rsid w:val="002D49FA"/>
    <w:rsid w:val="002D4B5C"/>
    <w:rsid w:val="002D4F11"/>
    <w:rsid w:val="002D5129"/>
    <w:rsid w:val="002D69ED"/>
    <w:rsid w:val="002D6DBC"/>
    <w:rsid w:val="002D7A4B"/>
    <w:rsid w:val="002D7B73"/>
    <w:rsid w:val="002E0D98"/>
    <w:rsid w:val="002E125F"/>
    <w:rsid w:val="002E2254"/>
    <w:rsid w:val="002E2A3F"/>
    <w:rsid w:val="002E2ABD"/>
    <w:rsid w:val="002E4298"/>
    <w:rsid w:val="002E57CF"/>
    <w:rsid w:val="002E593F"/>
    <w:rsid w:val="002E59B1"/>
    <w:rsid w:val="002E5D03"/>
    <w:rsid w:val="002E5D6D"/>
    <w:rsid w:val="002E5E33"/>
    <w:rsid w:val="002E5F5A"/>
    <w:rsid w:val="002E6007"/>
    <w:rsid w:val="002E7045"/>
    <w:rsid w:val="002F0729"/>
    <w:rsid w:val="002F0DD0"/>
    <w:rsid w:val="002F2102"/>
    <w:rsid w:val="002F2267"/>
    <w:rsid w:val="002F3152"/>
    <w:rsid w:val="002F357B"/>
    <w:rsid w:val="002F3836"/>
    <w:rsid w:val="002F39A5"/>
    <w:rsid w:val="002F4C7C"/>
    <w:rsid w:val="002F529F"/>
    <w:rsid w:val="002F5899"/>
    <w:rsid w:val="002F6A24"/>
    <w:rsid w:val="002F7203"/>
    <w:rsid w:val="002F72EC"/>
    <w:rsid w:val="002F7FB8"/>
    <w:rsid w:val="003009F1"/>
    <w:rsid w:val="00301E95"/>
    <w:rsid w:val="00302B84"/>
    <w:rsid w:val="00303BEB"/>
    <w:rsid w:val="00306549"/>
    <w:rsid w:val="00306664"/>
    <w:rsid w:val="0030687E"/>
    <w:rsid w:val="00306CDF"/>
    <w:rsid w:val="00306DA8"/>
    <w:rsid w:val="0030700C"/>
    <w:rsid w:val="0030704B"/>
    <w:rsid w:val="00307298"/>
    <w:rsid w:val="00307969"/>
    <w:rsid w:val="00307B1A"/>
    <w:rsid w:val="003101BF"/>
    <w:rsid w:val="00310EBB"/>
    <w:rsid w:val="00311089"/>
    <w:rsid w:val="003110BE"/>
    <w:rsid w:val="003113FB"/>
    <w:rsid w:val="00311733"/>
    <w:rsid w:val="003124DA"/>
    <w:rsid w:val="0031394C"/>
    <w:rsid w:val="00313B0C"/>
    <w:rsid w:val="003151E6"/>
    <w:rsid w:val="00315993"/>
    <w:rsid w:val="00315E11"/>
    <w:rsid w:val="003165D1"/>
    <w:rsid w:val="003165D6"/>
    <w:rsid w:val="003166AD"/>
    <w:rsid w:val="00316AE2"/>
    <w:rsid w:val="00316E24"/>
    <w:rsid w:val="003171B3"/>
    <w:rsid w:val="00320142"/>
    <w:rsid w:val="003205B6"/>
    <w:rsid w:val="00320613"/>
    <w:rsid w:val="0032113C"/>
    <w:rsid w:val="003219D2"/>
    <w:rsid w:val="00321EFB"/>
    <w:rsid w:val="00322128"/>
    <w:rsid w:val="00322275"/>
    <w:rsid w:val="003225E4"/>
    <w:rsid w:val="003234A7"/>
    <w:rsid w:val="00324479"/>
    <w:rsid w:val="0032469E"/>
    <w:rsid w:val="00325BA0"/>
    <w:rsid w:val="00325E60"/>
    <w:rsid w:val="00326833"/>
    <w:rsid w:val="00326BBD"/>
    <w:rsid w:val="00326C6A"/>
    <w:rsid w:val="00326EF7"/>
    <w:rsid w:val="00326F85"/>
    <w:rsid w:val="00330CD4"/>
    <w:rsid w:val="00331198"/>
    <w:rsid w:val="0033167A"/>
    <w:rsid w:val="00333A0E"/>
    <w:rsid w:val="00333F5B"/>
    <w:rsid w:val="00334E27"/>
    <w:rsid w:val="00335046"/>
    <w:rsid w:val="0033513B"/>
    <w:rsid w:val="00335DFB"/>
    <w:rsid w:val="00336BCA"/>
    <w:rsid w:val="0033725C"/>
    <w:rsid w:val="00337A7D"/>
    <w:rsid w:val="0034016E"/>
    <w:rsid w:val="00340532"/>
    <w:rsid w:val="00341566"/>
    <w:rsid w:val="003418C5"/>
    <w:rsid w:val="0034219A"/>
    <w:rsid w:val="00342491"/>
    <w:rsid w:val="00342DA2"/>
    <w:rsid w:val="0034327C"/>
    <w:rsid w:val="003434E6"/>
    <w:rsid w:val="00343704"/>
    <w:rsid w:val="00343766"/>
    <w:rsid w:val="00343942"/>
    <w:rsid w:val="00343FB1"/>
    <w:rsid w:val="003440F5"/>
    <w:rsid w:val="003444EE"/>
    <w:rsid w:val="003459B2"/>
    <w:rsid w:val="0034661A"/>
    <w:rsid w:val="00346961"/>
    <w:rsid w:val="00346E96"/>
    <w:rsid w:val="00346F4B"/>
    <w:rsid w:val="003479E5"/>
    <w:rsid w:val="00350D2E"/>
    <w:rsid w:val="00350DD3"/>
    <w:rsid w:val="00351735"/>
    <w:rsid w:val="00352135"/>
    <w:rsid w:val="00352A3A"/>
    <w:rsid w:val="00352C7B"/>
    <w:rsid w:val="00352CAD"/>
    <w:rsid w:val="0035314F"/>
    <w:rsid w:val="003537B9"/>
    <w:rsid w:val="00353C5E"/>
    <w:rsid w:val="003540FA"/>
    <w:rsid w:val="00354AE9"/>
    <w:rsid w:val="00354DAE"/>
    <w:rsid w:val="00356611"/>
    <w:rsid w:val="00356FF4"/>
    <w:rsid w:val="003573CD"/>
    <w:rsid w:val="00360354"/>
    <w:rsid w:val="0036063B"/>
    <w:rsid w:val="00360EB5"/>
    <w:rsid w:val="00361638"/>
    <w:rsid w:val="00361D7F"/>
    <w:rsid w:val="003623C3"/>
    <w:rsid w:val="00362445"/>
    <w:rsid w:val="0036280B"/>
    <w:rsid w:val="00363AFF"/>
    <w:rsid w:val="003649D6"/>
    <w:rsid w:val="00365312"/>
    <w:rsid w:val="0036588D"/>
    <w:rsid w:val="00365BAB"/>
    <w:rsid w:val="00365DF7"/>
    <w:rsid w:val="00366502"/>
    <w:rsid w:val="0036654E"/>
    <w:rsid w:val="00366B48"/>
    <w:rsid w:val="0036768F"/>
    <w:rsid w:val="003678D7"/>
    <w:rsid w:val="00367AD0"/>
    <w:rsid w:val="00367CCF"/>
    <w:rsid w:val="00367D38"/>
    <w:rsid w:val="00370049"/>
    <w:rsid w:val="0037031E"/>
    <w:rsid w:val="0037071B"/>
    <w:rsid w:val="00370775"/>
    <w:rsid w:val="0037081F"/>
    <w:rsid w:val="00370CA7"/>
    <w:rsid w:val="00371299"/>
    <w:rsid w:val="003714D3"/>
    <w:rsid w:val="00371BBA"/>
    <w:rsid w:val="00371D64"/>
    <w:rsid w:val="0037219A"/>
    <w:rsid w:val="003721D1"/>
    <w:rsid w:val="00372812"/>
    <w:rsid w:val="00372AA7"/>
    <w:rsid w:val="00372F16"/>
    <w:rsid w:val="0037362E"/>
    <w:rsid w:val="00373800"/>
    <w:rsid w:val="00374924"/>
    <w:rsid w:val="00374A12"/>
    <w:rsid w:val="003750F8"/>
    <w:rsid w:val="00376971"/>
    <w:rsid w:val="00376B4E"/>
    <w:rsid w:val="00376D4B"/>
    <w:rsid w:val="003778C4"/>
    <w:rsid w:val="00380363"/>
    <w:rsid w:val="00380B94"/>
    <w:rsid w:val="00380E04"/>
    <w:rsid w:val="0038120B"/>
    <w:rsid w:val="00381B33"/>
    <w:rsid w:val="00381F2E"/>
    <w:rsid w:val="0038336A"/>
    <w:rsid w:val="00383917"/>
    <w:rsid w:val="00384940"/>
    <w:rsid w:val="00384B84"/>
    <w:rsid w:val="003856C2"/>
    <w:rsid w:val="00385965"/>
    <w:rsid w:val="00385C82"/>
    <w:rsid w:val="00386BEC"/>
    <w:rsid w:val="00387529"/>
    <w:rsid w:val="003878D1"/>
    <w:rsid w:val="00390C51"/>
    <w:rsid w:val="00391057"/>
    <w:rsid w:val="00391582"/>
    <w:rsid w:val="00391808"/>
    <w:rsid w:val="00391D38"/>
    <w:rsid w:val="003929D1"/>
    <w:rsid w:val="00392C7E"/>
    <w:rsid w:val="00393979"/>
    <w:rsid w:val="00393D1D"/>
    <w:rsid w:val="00394278"/>
    <w:rsid w:val="003949A0"/>
    <w:rsid w:val="00394D2B"/>
    <w:rsid w:val="00394D71"/>
    <w:rsid w:val="003959F5"/>
    <w:rsid w:val="003967CE"/>
    <w:rsid w:val="003971A9"/>
    <w:rsid w:val="0039729F"/>
    <w:rsid w:val="003979B4"/>
    <w:rsid w:val="003A018B"/>
    <w:rsid w:val="003A0416"/>
    <w:rsid w:val="003A1126"/>
    <w:rsid w:val="003A1942"/>
    <w:rsid w:val="003A1B3A"/>
    <w:rsid w:val="003A1CA4"/>
    <w:rsid w:val="003A31B1"/>
    <w:rsid w:val="003A3231"/>
    <w:rsid w:val="003A458C"/>
    <w:rsid w:val="003A49DB"/>
    <w:rsid w:val="003A49FF"/>
    <w:rsid w:val="003A4BBE"/>
    <w:rsid w:val="003A5169"/>
    <w:rsid w:val="003A51E7"/>
    <w:rsid w:val="003A5ABA"/>
    <w:rsid w:val="003A5C76"/>
    <w:rsid w:val="003A6F89"/>
    <w:rsid w:val="003A70F2"/>
    <w:rsid w:val="003B0C77"/>
    <w:rsid w:val="003B0EE7"/>
    <w:rsid w:val="003B2A44"/>
    <w:rsid w:val="003B31D9"/>
    <w:rsid w:val="003B51F2"/>
    <w:rsid w:val="003B5406"/>
    <w:rsid w:val="003B662E"/>
    <w:rsid w:val="003B6B28"/>
    <w:rsid w:val="003B700F"/>
    <w:rsid w:val="003B7853"/>
    <w:rsid w:val="003B7B3B"/>
    <w:rsid w:val="003C0F0E"/>
    <w:rsid w:val="003C1510"/>
    <w:rsid w:val="003C1698"/>
    <w:rsid w:val="003C1BA8"/>
    <w:rsid w:val="003C206D"/>
    <w:rsid w:val="003C207C"/>
    <w:rsid w:val="003C23A4"/>
    <w:rsid w:val="003C2D30"/>
    <w:rsid w:val="003C30E5"/>
    <w:rsid w:val="003C3A72"/>
    <w:rsid w:val="003C494C"/>
    <w:rsid w:val="003C56F1"/>
    <w:rsid w:val="003C5DC1"/>
    <w:rsid w:val="003C5E0F"/>
    <w:rsid w:val="003C5E74"/>
    <w:rsid w:val="003C62DA"/>
    <w:rsid w:val="003C64D1"/>
    <w:rsid w:val="003C65F4"/>
    <w:rsid w:val="003C6BA5"/>
    <w:rsid w:val="003C75C8"/>
    <w:rsid w:val="003D0252"/>
    <w:rsid w:val="003D1150"/>
    <w:rsid w:val="003D1247"/>
    <w:rsid w:val="003D1E74"/>
    <w:rsid w:val="003D2CC8"/>
    <w:rsid w:val="003D2E23"/>
    <w:rsid w:val="003D30FE"/>
    <w:rsid w:val="003D5C46"/>
    <w:rsid w:val="003D6FBE"/>
    <w:rsid w:val="003E03F4"/>
    <w:rsid w:val="003E0F96"/>
    <w:rsid w:val="003E12EE"/>
    <w:rsid w:val="003E2151"/>
    <w:rsid w:val="003E2317"/>
    <w:rsid w:val="003E3FAF"/>
    <w:rsid w:val="003E450D"/>
    <w:rsid w:val="003E4B2F"/>
    <w:rsid w:val="003E5902"/>
    <w:rsid w:val="003E59A4"/>
    <w:rsid w:val="003E606C"/>
    <w:rsid w:val="003F1A34"/>
    <w:rsid w:val="003F1CB9"/>
    <w:rsid w:val="003F1FE0"/>
    <w:rsid w:val="003F2CC6"/>
    <w:rsid w:val="003F3395"/>
    <w:rsid w:val="003F4204"/>
    <w:rsid w:val="003F46E2"/>
    <w:rsid w:val="003F47CB"/>
    <w:rsid w:val="003F518F"/>
    <w:rsid w:val="003F5594"/>
    <w:rsid w:val="003F704E"/>
    <w:rsid w:val="003F74CA"/>
    <w:rsid w:val="003F775B"/>
    <w:rsid w:val="003F7C2C"/>
    <w:rsid w:val="004000C7"/>
    <w:rsid w:val="004001C8"/>
    <w:rsid w:val="00403042"/>
    <w:rsid w:val="004030D1"/>
    <w:rsid w:val="004031C2"/>
    <w:rsid w:val="0040483A"/>
    <w:rsid w:val="00404F05"/>
    <w:rsid w:val="004055B8"/>
    <w:rsid w:val="00405AFC"/>
    <w:rsid w:val="0040633A"/>
    <w:rsid w:val="0040640C"/>
    <w:rsid w:val="004069A4"/>
    <w:rsid w:val="00406C4D"/>
    <w:rsid w:val="00406CB0"/>
    <w:rsid w:val="0040728D"/>
    <w:rsid w:val="0040741A"/>
    <w:rsid w:val="0041078A"/>
    <w:rsid w:val="004127FF"/>
    <w:rsid w:val="00412AB4"/>
    <w:rsid w:val="00413D8A"/>
    <w:rsid w:val="00413E22"/>
    <w:rsid w:val="00414BFD"/>
    <w:rsid w:val="00415DD4"/>
    <w:rsid w:val="00415DDA"/>
    <w:rsid w:val="00416294"/>
    <w:rsid w:val="004162C6"/>
    <w:rsid w:val="0041691B"/>
    <w:rsid w:val="00417910"/>
    <w:rsid w:val="00417BCF"/>
    <w:rsid w:val="0042122F"/>
    <w:rsid w:val="00421658"/>
    <w:rsid w:val="00421D4A"/>
    <w:rsid w:val="004226E4"/>
    <w:rsid w:val="00423037"/>
    <w:rsid w:val="004233A7"/>
    <w:rsid w:val="00423932"/>
    <w:rsid w:val="004239C6"/>
    <w:rsid w:val="00424658"/>
    <w:rsid w:val="00425511"/>
    <w:rsid w:val="00426DA7"/>
    <w:rsid w:val="00427571"/>
    <w:rsid w:val="00427B69"/>
    <w:rsid w:val="00430C3B"/>
    <w:rsid w:val="0043109C"/>
    <w:rsid w:val="0043190C"/>
    <w:rsid w:val="00431BC1"/>
    <w:rsid w:val="004320D3"/>
    <w:rsid w:val="004323B9"/>
    <w:rsid w:val="0043242A"/>
    <w:rsid w:val="0043356D"/>
    <w:rsid w:val="00433F5F"/>
    <w:rsid w:val="004342E4"/>
    <w:rsid w:val="0043570B"/>
    <w:rsid w:val="00435C04"/>
    <w:rsid w:val="00435C70"/>
    <w:rsid w:val="00436016"/>
    <w:rsid w:val="00436DB5"/>
    <w:rsid w:val="0043735F"/>
    <w:rsid w:val="004376EF"/>
    <w:rsid w:val="004400D1"/>
    <w:rsid w:val="004403C3"/>
    <w:rsid w:val="00440467"/>
    <w:rsid w:val="00441451"/>
    <w:rsid w:val="00442076"/>
    <w:rsid w:val="00442B9E"/>
    <w:rsid w:val="004441AA"/>
    <w:rsid w:val="00444705"/>
    <w:rsid w:val="00444DBD"/>
    <w:rsid w:val="004459F7"/>
    <w:rsid w:val="00445EDB"/>
    <w:rsid w:val="0044693F"/>
    <w:rsid w:val="0044720D"/>
    <w:rsid w:val="004475DC"/>
    <w:rsid w:val="004479EA"/>
    <w:rsid w:val="00447A83"/>
    <w:rsid w:val="00447EFD"/>
    <w:rsid w:val="004501E3"/>
    <w:rsid w:val="004503B5"/>
    <w:rsid w:val="00450E9B"/>
    <w:rsid w:val="00450ECC"/>
    <w:rsid w:val="00451119"/>
    <w:rsid w:val="004534A2"/>
    <w:rsid w:val="00453CAC"/>
    <w:rsid w:val="00453E57"/>
    <w:rsid w:val="00454646"/>
    <w:rsid w:val="00454725"/>
    <w:rsid w:val="0045507F"/>
    <w:rsid w:val="0045538F"/>
    <w:rsid w:val="0045566F"/>
    <w:rsid w:val="00455EBA"/>
    <w:rsid w:val="00456002"/>
    <w:rsid w:val="004562D0"/>
    <w:rsid w:val="00456DA0"/>
    <w:rsid w:val="004574E9"/>
    <w:rsid w:val="00457812"/>
    <w:rsid w:val="00460103"/>
    <w:rsid w:val="00460F50"/>
    <w:rsid w:val="00461127"/>
    <w:rsid w:val="00461A75"/>
    <w:rsid w:val="00461CA9"/>
    <w:rsid w:val="00461DCE"/>
    <w:rsid w:val="00462493"/>
    <w:rsid w:val="004627EA"/>
    <w:rsid w:val="004640EC"/>
    <w:rsid w:val="004641BD"/>
    <w:rsid w:val="004641FD"/>
    <w:rsid w:val="004648B5"/>
    <w:rsid w:val="00465757"/>
    <w:rsid w:val="00465ECA"/>
    <w:rsid w:val="004668D9"/>
    <w:rsid w:val="00466D83"/>
    <w:rsid w:val="0047054A"/>
    <w:rsid w:val="004705FE"/>
    <w:rsid w:val="004710F7"/>
    <w:rsid w:val="004718AA"/>
    <w:rsid w:val="00471E00"/>
    <w:rsid w:val="00471E7E"/>
    <w:rsid w:val="00472642"/>
    <w:rsid w:val="00472D3F"/>
    <w:rsid w:val="00472DFD"/>
    <w:rsid w:val="00473147"/>
    <w:rsid w:val="004743D2"/>
    <w:rsid w:val="00475147"/>
    <w:rsid w:val="004759C6"/>
    <w:rsid w:val="00475BDD"/>
    <w:rsid w:val="004768FA"/>
    <w:rsid w:val="00477B4D"/>
    <w:rsid w:val="00480342"/>
    <w:rsid w:val="00480790"/>
    <w:rsid w:val="00481427"/>
    <w:rsid w:val="004815F3"/>
    <w:rsid w:val="00482570"/>
    <w:rsid w:val="004829AF"/>
    <w:rsid w:val="00482DE6"/>
    <w:rsid w:val="00483440"/>
    <w:rsid w:val="00483643"/>
    <w:rsid w:val="004839BE"/>
    <w:rsid w:val="00483B3D"/>
    <w:rsid w:val="00485D95"/>
    <w:rsid w:val="0048622D"/>
    <w:rsid w:val="00486715"/>
    <w:rsid w:val="00486CB6"/>
    <w:rsid w:val="00486E38"/>
    <w:rsid w:val="00486E5E"/>
    <w:rsid w:val="00487E86"/>
    <w:rsid w:val="0049002C"/>
    <w:rsid w:val="00490295"/>
    <w:rsid w:val="004915E2"/>
    <w:rsid w:val="0049160B"/>
    <w:rsid w:val="00491DAC"/>
    <w:rsid w:val="004923F4"/>
    <w:rsid w:val="00492CC9"/>
    <w:rsid w:val="00492D0E"/>
    <w:rsid w:val="00492E6C"/>
    <w:rsid w:val="004941B2"/>
    <w:rsid w:val="004945FA"/>
    <w:rsid w:val="004952CF"/>
    <w:rsid w:val="00495319"/>
    <w:rsid w:val="00495425"/>
    <w:rsid w:val="00495E53"/>
    <w:rsid w:val="00496B43"/>
    <w:rsid w:val="00496B5E"/>
    <w:rsid w:val="0049721F"/>
    <w:rsid w:val="00497ADA"/>
    <w:rsid w:val="00497FE7"/>
    <w:rsid w:val="004A2541"/>
    <w:rsid w:val="004A2FC2"/>
    <w:rsid w:val="004A3509"/>
    <w:rsid w:val="004A4D28"/>
    <w:rsid w:val="004A7161"/>
    <w:rsid w:val="004B1508"/>
    <w:rsid w:val="004B18A8"/>
    <w:rsid w:val="004B1F7C"/>
    <w:rsid w:val="004B24A1"/>
    <w:rsid w:val="004B26A3"/>
    <w:rsid w:val="004B2B65"/>
    <w:rsid w:val="004B2EFF"/>
    <w:rsid w:val="004B345D"/>
    <w:rsid w:val="004B3534"/>
    <w:rsid w:val="004B42EB"/>
    <w:rsid w:val="004B45C9"/>
    <w:rsid w:val="004B4A25"/>
    <w:rsid w:val="004B4C79"/>
    <w:rsid w:val="004B4FB2"/>
    <w:rsid w:val="004B52C0"/>
    <w:rsid w:val="004B54F7"/>
    <w:rsid w:val="004B6AE3"/>
    <w:rsid w:val="004B6D8C"/>
    <w:rsid w:val="004B6FB5"/>
    <w:rsid w:val="004C02A6"/>
    <w:rsid w:val="004C044B"/>
    <w:rsid w:val="004C0807"/>
    <w:rsid w:val="004C0863"/>
    <w:rsid w:val="004C08A3"/>
    <w:rsid w:val="004C1BE9"/>
    <w:rsid w:val="004C2C8D"/>
    <w:rsid w:val="004C303E"/>
    <w:rsid w:val="004C3222"/>
    <w:rsid w:val="004C3498"/>
    <w:rsid w:val="004C426F"/>
    <w:rsid w:val="004C4510"/>
    <w:rsid w:val="004C5BA4"/>
    <w:rsid w:val="004C5DAD"/>
    <w:rsid w:val="004C6855"/>
    <w:rsid w:val="004C6967"/>
    <w:rsid w:val="004C6C84"/>
    <w:rsid w:val="004C76CE"/>
    <w:rsid w:val="004C7AD8"/>
    <w:rsid w:val="004D0019"/>
    <w:rsid w:val="004D013C"/>
    <w:rsid w:val="004D0693"/>
    <w:rsid w:val="004D0C83"/>
    <w:rsid w:val="004D0CEB"/>
    <w:rsid w:val="004D0EB0"/>
    <w:rsid w:val="004D199A"/>
    <w:rsid w:val="004D2744"/>
    <w:rsid w:val="004D2B62"/>
    <w:rsid w:val="004D2DE9"/>
    <w:rsid w:val="004D35C8"/>
    <w:rsid w:val="004D4D43"/>
    <w:rsid w:val="004D5959"/>
    <w:rsid w:val="004D6031"/>
    <w:rsid w:val="004D62D9"/>
    <w:rsid w:val="004D6777"/>
    <w:rsid w:val="004D6A4B"/>
    <w:rsid w:val="004D700D"/>
    <w:rsid w:val="004D7614"/>
    <w:rsid w:val="004D7623"/>
    <w:rsid w:val="004D776B"/>
    <w:rsid w:val="004D7976"/>
    <w:rsid w:val="004E0773"/>
    <w:rsid w:val="004E0852"/>
    <w:rsid w:val="004E12B8"/>
    <w:rsid w:val="004E1FF6"/>
    <w:rsid w:val="004E292A"/>
    <w:rsid w:val="004E3869"/>
    <w:rsid w:val="004E39EB"/>
    <w:rsid w:val="004E47C0"/>
    <w:rsid w:val="004E500E"/>
    <w:rsid w:val="004E51E2"/>
    <w:rsid w:val="004E53C5"/>
    <w:rsid w:val="004E5CA1"/>
    <w:rsid w:val="004E5F2F"/>
    <w:rsid w:val="004E6530"/>
    <w:rsid w:val="004E68DB"/>
    <w:rsid w:val="004E71FA"/>
    <w:rsid w:val="004F0CAE"/>
    <w:rsid w:val="004F0EC1"/>
    <w:rsid w:val="004F2028"/>
    <w:rsid w:val="004F235C"/>
    <w:rsid w:val="004F2699"/>
    <w:rsid w:val="004F2A57"/>
    <w:rsid w:val="004F3ACA"/>
    <w:rsid w:val="004F4191"/>
    <w:rsid w:val="004F477D"/>
    <w:rsid w:val="004F4C82"/>
    <w:rsid w:val="004F4E1C"/>
    <w:rsid w:val="004F4E3E"/>
    <w:rsid w:val="004F4F12"/>
    <w:rsid w:val="004F5490"/>
    <w:rsid w:val="004F5F68"/>
    <w:rsid w:val="004F614B"/>
    <w:rsid w:val="004F64BC"/>
    <w:rsid w:val="004F6DBA"/>
    <w:rsid w:val="004F746C"/>
    <w:rsid w:val="00500078"/>
    <w:rsid w:val="005005BD"/>
    <w:rsid w:val="00500991"/>
    <w:rsid w:val="00500C5B"/>
    <w:rsid w:val="00500CD4"/>
    <w:rsid w:val="00500F34"/>
    <w:rsid w:val="0050116B"/>
    <w:rsid w:val="00501264"/>
    <w:rsid w:val="00501629"/>
    <w:rsid w:val="00502827"/>
    <w:rsid w:val="00502B35"/>
    <w:rsid w:val="00505148"/>
    <w:rsid w:val="00506100"/>
    <w:rsid w:val="0050647F"/>
    <w:rsid w:val="00506F04"/>
    <w:rsid w:val="005072B0"/>
    <w:rsid w:val="0051046C"/>
    <w:rsid w:val="005108D1"/>
    <w:rsid w:val="00510F6B"/>
    <w:rsid w:val="00511357"/>
    <w:rsid w:val="00511DE4"/>
    <w:rsid w:val="00513265"/>
    <w:rsid w:val="00513534"/>
    <w:rsid w:val="00513CEA"/>
    <w:rsid w:val="005144F2"/>
    <w:rsid w:val="00514BD6"/>
    <w:rsid w:val="005151C7"/>
    <w:rsid w:val="00515631"/>
    <w:rsid w:val="00515A83"/>
    <w:rsid w:val="00515ABC"/>
    <w:rsid w:val="0051604B"/>
    <w:rsid w:val="0051664E"/>
    <w:rsid w:val="00516E09"/>
    <w:rsid w:val="005170F6"/>
    <w:rsid w:val="00517228"/>
    <w:rsid w:val="00517602"/>
    <w:rsid w:val="00517645"/>
    <w:rsid w:val="0051768A"/>
    <w:rsid w:val="00517CA2"/>
    <w:rsid w:val="0052392B"/>
    <w:rsid w:val="0052396A"/>
    <w:rsid w:val="00523BAF"/>
    <w:rsid w:val="005242EC"/>
    <w:rsid w:val="00524896"/>
    <w:rsid w:val="00524E8F"/>
    <w:rsid w:val="00526303"/>
    <w:rsid w:val="005263D9"/>
    <w:rsid w:val="00526480"/>
    <w:rsid w:val="00526ADC"/>
    <w:rsid w:val="005272FA"/>
    <w:rsid w:val="00527D48"/>
    <w:rsid w:val="00527E76"/>
    <w:rsid w:val="0053106B"/>
    <w:rsid w:val="005312F5"/>
    <w:rsid w:val="00532266"/>
    <w:rsid w:val="005327A0"/>
    <w:rsid w:val="00532ABF"/>
    <w:rsid w:val="00532DA7"/>
    <w:rsid w:val="005339E8"/>
    <w:rsid w:val="0053437B"/>
    <w:rsid w:val="005347E9"/>
    <w:rsid w:val="0053527A"/>
    <w:rsid w:val="00535341"/>
    <w:rsid w:val="00536261"/>
    <w:rsid w:val="00536751"/>
    <w:rsid w:val="00536D3F"/>
    <w:rsid w:val="00536DE4"/>
    <w:rsid w:val="0053721D"/>
    <w:rsid w:val="0053725A"/>
    <w:rsid w:val="0053746E"/>
    <w:rsid w:val="005403C8"/>
    <w:rsid w:val="00540A41"/>
    <w:rsid w:val="00540AE3"/>
    <w:rsid w:val="00540BCE"/>
    <w:rsid w:val="00541611"/>
    <w:rsid w:val="00541898"/>
    <w:rsid w:val="00541ED5"/>
    <w:rsid w:val="005427B6"/>
    <w:rsid w:val="00543542"/>
    <w:rsid w:val="00543693"/>
    <w:rsid w:val="00543AD9"/>
    <w:rsid w:val="005447B0"/>
    <w:rsid w:val="00544D50"/>
    <w:rsid w:val="0054507B"/>
    <w:rsid w:val="00545EC6"/>
    <w:rsid w:val="0054609D"/>
    <w:rsid w:val="00546475"/>
    <w:rsid w:val="00546749"/>
    <w:rsid w:val="00547FE0"/>
    <w:rsid w:val="005500D9"/>
    <w:rsid w:val="00551367"/>
    <w:rsid w:val="00551705"/>
    <w:rsid w:val="00551EAB"/>
    <w:rsid w:val="0055283C"/>
    <w:rsid w:val="00553066"/>
    <w:rsid w:val="0055371B"/>
    <w:rsid w:val="0055378E"/>
    <w:rsid w:val="00553E7E"/>
    <w:rsid w:val="0055442E"/>
    <w:rsid w:val="0055452D"/>
    <w:rsid w:val="00554A35"/>
    <w:rsid w:val="00554A7E"/>
    <w:rsid w:val="0055558B"/>
    <w:rsid w:val="00555986"/>
    <w:rsid w:val="0055611F"/>
    <w:rsid w:val="00556199"/>
    <w:rsid w:val="00556BD3"/>
    <w:rsid w:val="0055736D"/>
    <w:rsid w:val="005579B8"/>
    <w:rsid w:val="00560523"/>
    <w:rsid w:val="005607D7"/>
    <w:rsid w:val="00560A10"/>
    <w:rsid w:val="005614CA"/>
    <w:rsid w:val="005626ED"/>
    <w:rsid w:val="00562901"/>
    <w:rsid w:val="00562D59"/>
    <w:rsid w:val="005634CD"/>
    <w:rsid w:val="00563625"/>
    <w:rsid w:val="00564246"/>
    <w:rsid w:val="005648A8"/>
    <w:rsid w:val="00565005"/>
    <w:rsid w:val="005658ED"/>
    <w:rsid w:val="0056594B"/>
    <w:rsid w:val="0057005F"/>
    <w:rsid w:val="005708F0"/>
    <w:rsid w:val="0057135E"/>
    <w:rsid w:val="0057194A"/>
    <w:rsid w:val="005720DF"/>
    <w:rsid w:val="00572128"/>
    <w:rsid w:val="005735B6"/>
    <w:rsid w:val="00573A2D"/>
    <w:rsid w:val="00573BA8"/>
    <w:rsid w:val="00573F9E"/>
    <w:rsid w:val="0057497D"/>
    <w:rsid w:val="0057503E"/>
    <w:rsid w:val="00575BBE"/>
    <w:rsid w:val="005763B4"/>
    <w:rsid w:val="00576B12"/>
    <w:rsid w:val="00577519"/>
    <w:rsid w:val="0058158C"/>
    <w:rsid w:val="00582176"/>
    <w:rsid w:val="0058242F"/>
    <w:rsid w:val="00582D5A"/>
    <w:rsid w:val="00582F72"/>
    <w:rsid w:val="0058377E"/>
    <w:rsid w:val="005837D7"/>
    <w:rsid w:val="00585151"/>
    <w:rsid w:val="0058566A"/>
    <w:rsid w:val="00585899"/>
    <w:rsid w:val="0058590A"/>
    <w:rsid w:val="00586333"/>
    <w:rsid w:val="00586385"/>
    <w:rsid w:val="00586FCE"/>
    <w:rsid w:val="005873E5"/>
    <w:rsid w:val="00587D23"/>
    <w:rsid w:val="00587ECB"/>
    <w:rsid w:val="005910E9"/>
    <w:rsid w:val="00591CC6"/>
    <w:rsid w:val="00591D02"/>
    <w:rsid w:val="00592129"/>
    <w:rsid w:val="005935A5"/>
    <w:rsid w:val="00593695"/>
    <w:rsid w:val="005937B6"/>
    <w:rsid w:val="00593CD7"/>
    <w:rsid w:val="00593FBD"/>
    <w:rsid w:val="00594055"/>
    <w:rsid w:val="00594271"/>
    <w:rsid w:val="00595A75"/>
    <w:rsid w:val="00595EB3"/>
    <w:rsid w:val="0059600B"/>
    <w:rsid w:val="00596386"/>
    <w:rsid w:val="00596F59"/>
    <w:rsid w:val="005974AE"/>
    <w:rsid w:val="005A141F"/>
    <w:rsid w:val="005A172B"/>
    <w:rsid w:val="005A1B25"/>
    <w:rsid w:val="005A22B1"/>
    <w:rsid w:val="005A23F4"/>
    <w:rsid w:val="005A2441"/>
    <w:rsid w:val="005A309E"/>
    <w:rsid w:val="005A36EF"/>
    <w:rsid w:val="005A3E25"/>
    <w:rsid w:val="005A4740"/>
    <w:rsid w:val="005A4AA2"/>
    <w:rsid w:val="005A4CB8"/>
    <w:rsid w:val="005A4D14"/>
    <w:rsid w:val="005A4D82"/>
    <w:rsid w:val="005A531A"/>
    <w:rsid w:val="005A5C92"/>
    <w:rsid w:val="005B0791"/>
    <w:rsid w:val="005B0A14"/>
    <w:rsid w:val="005B0F04"/>
    <w:rsid w:val="005B107E"/>
    <w:rsid w:val="005B297B"/>
    <w:rsid w:val="005B31F0"/>
    <w:rsid w:val="005B372B"/>
    <w:rsid w:val="005B387C"/>
    <w:rsid w:val="005B48E5"/>
    <w:rsid w:val="005B4D93"/>
    <w:rsid w:val="005B5E8D"/>
    <w:rsid w:val="005B6FFF"/>
    <w:rsid w:val="005B7493"/>
    <w:rsid w:val="005B7E3A"/>
    <w:rsid w:val="005C0183"/>
    <w:rsid w:val="005C06BC"/>
    <w:rsid w:val="005C0A6B"/>
    <w:rsid w:val="005C11D1"/>
    <w:rsid w:val="005C164D"/>
    <w:rsid w:val="005C173F"/>
    <w:rsid w:val="005C18C5"/>
    <w:rsid w:val="005C1B2A"/>
    <w:rsid w:val="005C1C24"/>
    <w:rsid w:val="005C1FDE"/>
    <w:rsid w:val="005C2896"/>
    <w:rsid w:val="005C382A"/>
    <w:rsid w:val="005C3CCD"/>
    <w:rsid w:val="005C3F52"/>
    <w:rsid w:val="005C485C"/>
    <w:rsid w:val="005C4CF6"/>
    <w:rsid w:val="005C55EB"/>
    <w:rsid w:val="005C5A27"/>
    <w:rsid w:val="005C6388"/>
    <w:rsid w:val="005C63C4"/>
    <w:rsid w:val="005C647E"/>
    <w:rsid w:val="005C6C70"/>
    <w:rsid w:val="005C7030"/>
    <w:rsid w:val="005D0FC6"/>
    <w:rsid w:val="005D1327"/>
    <w:rsid w:val="005D14F0"/>
    <w:rsid w:val="005D1A15"/>
    <w:rsid w:val="005D1AD1"/>
    <w:rsid w:val="005D1BAF"/>
    <w:rsid w:val="005D2031"/>
    <w:rsid w:val="005D204F"/>
    <w:rsid w:val="005D2680"/>
    <w:rsid w:val="005D2E88"/>
    <w:rsid w:val="005D2F0F"/>
    <w:rsid w:val="005D346C"/>
    <w:rsid w:val="005D38A7"/>
    <w:rsid w:val="005D41CC"/>
    <w:rsid w:val="005D46BA"/>
    <w:rsid w:val="005D484B"/>
    <w:rsid w:val="005D4DAB"/>
    <w:rsid w:val="005D4F1F"/>
    <w:rsid w:val="005D5C95"/>
    <w:rsid w:val="005D6039"/>
    <w:rsid w:val="005D6C1F"/>
    <w:rsid w:val="005D6E25"/>
    <w:rsid w:val="005D753D"/>
    <w:rsid w:val="005D777A"/>
    <w:rsid w:val="005D7F61"/>
    <w:rsid w:val="005E0391"/>
    <w:rsid w:val="005E047F"/>
    <w:rsid w:val="005E0743"/>
    <w:rsid w:val="005E0970"/>
    <w:rsid w:val="005E09A4"/>
    <w:rsid w:val="005E0CA4"/>
    <w:rsid w:val="005E0D68"/>
    <w:rsid w:val="005E1285"/>
    <w:rsid w:val="005E136C"/>
    <w:rsid w:val="005E13D7"/>
    <w:rsid w:val="005E3B5E"/>
    <w:rsid w:val="005E439B"/>
    <w:rsid w:val="005E4C78"/>
    <w:rsid w:val="005E4D82"/>
    <w:rsid w:val="005E5DE0"/>
    <w:rsid w:val="005E706E"/>
    <w:rsid w:val="005E70EF"/>
    <w:rsid w:val="005F0406"/>
    <w:rsid w:val="005F089F"/>
    <w:rsid w:val="005F10EF"/>
    <w:rsid w:val="005F2463"/>
    <w:rsid w:val="005F2D59"/>
    <w:rsid w:val="005F3056"/>
    <w:rsid w:val="005F3F78"/>
    <w:rsid w:val="005F4658"/>
    <w:rsid w:val="005F48CC"/>
    <w:rsid w:val="005F52C6"/>
    <w:rsid w:val="005F53B5"/>
    <w:rsid w:val="005F584F"/>
    <w:rsid w:val="005F5E9D"/>
    <w:rsid w:val="005F761E"/>
    <w:rsid w:val="005F7C38"/>
    <w:rsid w:val="00600678"/>
    <w:rsid w:val="00601418"/>
    <w:rsid w:val="00602AEE"/>
    <w:rsid w:val="00602D6A"/>
    <w:rsid w:val="00602EF4"/>
    <w:rsid w:val="00603D26"/>
    <w:rsid w:val="00605434"/>
    <w:rsid w:val="006060A8"/>
    <w:rsid w:val="006064CF"/>
    <w:rsid w:val="0060663A"/>
    <w:rsid w:val="00606873"/>
    <w:rsid w:val="006068C9"/>
    <w:rsid w:val="00607FE8"/>
    <w:rsid w:val="00610160"/>
    <w:rsid w:val="006104D7"/>
    <w:rsid w:val="00610A43"/>
    <w:rsid w:val="00611058"/>
    <w:rsid w:val="006112C0"/>
    <w:rsid w:val="006119F4"/>
    <w:rsid w:val="006127A9"/>
    <w:rsid w:val="00612FCC"/>
    <w:rsid w:val="00613063"/>
    <w:rsid w:val="0061393F"/>
    <w:rsid w:val="00613966"/>
    <w:rsid w:val="00613BBB"/>
    <w:rsid w:val="00614DFC"/>
    <w:rsid w:val="0061605E"/>
    <w:rsid w:val="0061645A"/>
    <w:rsid w:val="0061752B"/>
    <w:rsid w:val="0062012A"/>
    <w:rsid w:val="00620185"/>
    <w:rsid w:val="00620472"/>
    <w:rsid w:val="00620E40"/>
    <w:rsid w:val="00620E8B"/>
    <w:rsid w:val="00622DE2"/>
    <w:rsid w:val="0062436E"/>
    <w:rsid w:val="00624548"/>
    <w:rsid w:val="00624A9A"/>
    <w:rsid w:val="00624E65"/>
    <w:rsid w:val="006257CE"/>
    <w:rsid w:val="0062587C"/>
    <w:rsid w:val="006263D7"/>
    <w:rsid w:val="00626688"/>
    <w:rsid w:val="00626C99"/>
    <w:rsid w:val="0062725E"/>
    <w:rsid w:val="006272E0"/>
    <w:rsid w:val="00627361"/>
    <w:rsid w:val="006273AE"/>
    <w:rsid w:val="006273C9"/>
    <w:rsid w:val="00627BCB"/>
    <w:rsid w:val="0063063A"/>
    <w:rsid w:val="006307AC"/>
    <w:rsid w:val="00630ED6"/>
    <w:rsid w:val="00630FC8"/>
    <w:rsid w:val="0063120C"/>
    <w:rsid w:val="00631C23"/>
    <w:rsid w:val="00631D01"/>
    <w:rsid w:val="006325D8"/>
    <w:rsid w:val="00632973"/>
    <w:rsid w:val="00633357"/>
    <w:rsid w:val="0063466C"/>
    <w:rsid w:val="00634905"/>
    <w:rsid w:val="00634E16"/>
    <w:rsid w:val="006352C4"/>
    <w:rsid w:val="00635A31"/>
    <w:rsid w:val="00635D8F"/>
    <w:rsid w:val="00635F6C"/>
    <w:rsid w:val="006362B0"/>
    <w:rsid w:val="00637914"/>
    <w:rsid w:val="006408AF"/>
    <w:rsid w:val="00640CE4"/>
    <w:rsid w:val="0064257F"/>
    <w:rsid w:val="00643249"/>
    <w:rsid w:val="00643573"/>
    <w:rsid w:val="00643D74"/>
    <w:rsid w:val="0064463E"/>
    <w:rsid w:val="00644FD3"/>
    <w:rsid w:val="00645FC1"/>
    <w:rsid w:val="00646484"/>
    <w:rsid w:val="0064651F"/>
    <w:rsid w:val="00646603"/>
    <w:rsid w:val="006468BB"/>
    <w:rsid w:val="00646BA0"/>
    <w:rsid w:val="00646E12"/>
    <w:rsid w:val="00647923"/>
    <w:rsid w:val="00647BB8"/>
    <w:rsid w:val="00647E1E"/>
    <w:rsid w:val="0065119A"/>
    <w:rsid w:val="00651709"/>
    <w:rsid w:val="0065196E"/>
    <w:rsid w:val="00652053"/>
    <w:rsid w:val="00652366"/>
    <w:rsid w:val="0065274B"/>
    <w:rsid w:val="00652B0A"/>
    <w:rsid w:val="00652B91"/>
    <w:rsid w:val="006533DF"/>
    <w:rsid w:val="0065382D"/>
    <w:rsid w:val="00653A20"/>
    <w:rsid w:val="00653A42"/>
    <w:rsid w:val="00654471"/>
    <w:rsid w:val="00655039"/>
    <w:rsid w:val="00655FC5"/>
    <w:rsid w:val="006562FC"/>
    <w:rsid w:val="00656592"/>
    <w:rsid w:val="00656B16"/>
    <w:rsid w:val="006571B7"/>
    <w:rsid w:val="00657DCB"/>
    <w:rsid w:val="006615A9"/>
    <w:rsid w:val="006615D1"/>
    <w:rsid w:val="006622B5"/>
    <w:rsid w:val="006623D3"/>
    <w:rsid w:val="00662997"/>
    <w:rsid w:val="00662A44"/>
    <w:rsid w:val="00663E4F"/>
    <w:rsid w:val="006640D1"/>
    <w:rsid w:val="00664EE9"/>
    <w:rsid w:val="00664EEB"/>
    <w:rsid w:val="00665832"/>
    <w:rsid w:val="00665A44"/>
    <w:rsid w:val="00665CC8"/>
    <w:rsid w:val="00666A13"/>
    <w:rsid w:val="00667807"/>
    <w:rsid w:val="00667FDA"/>
    <w:rsid w:val="00670296"/>
    <w:rsid w:val="006705D4"/>
    <w:rsid w:val="006707A3"/>
    <w:rsid w:val="0067080E"/>
    <w:rsid w:val="006714D8"/>
    <w:rsid w:val="006721D5"/>
    <w:rsid w:val="006723FB"/>
    <w:rsid w:val="00672DE1"/>
    <w:rsid w:val="00672E44"/>
    <w:rsid w:val="00673183"/>
    <w:rsid w:val="006734A8"/>
    <w:rsid w:val="006735B2"/>
    <w:rsid w:val="006738F6"/>
    <w:rsid w:val="0067458B"/>
    <w:rsid w:val="00675017"/>
    <w:rsid w:val="0067535C"/>
    <w:rsid w:val="006754E7"/>
    <w:rsid w:val="00675BBE"/>
    <w:rsid w:val="0067627F"/>
    <w:rsid w:val="006765D4"/>
    <w:rsid w:val="00676723"/>
    <w:rsid w:val="006769C5"/>
    <w:rsid w:val="00677114"/>
    <w:rsid w:val="006771C8"/>
    <w:rsid w:val="0067725A"/>
    <w:rsid w:val="006776DF"/>
    <w:rsid w:val="00680715"/>
    <w:rsid w:val="0068103C"/>
    <w:rsid w:val="006829F7"/>
    <w:rsid w:val="00682E27"/>
    <w:rsid w:val="00683224"/>
    <w:rsid w:val="00684265"/>
    <w:rsid w:val="00684AF9"/>
    <w:rsid w:val="00684C4D"/>
    <w:rsid w:val="00684C60"/>
    <w:rsid w:val="00685009"/>
    <w:rsid w:val="00685107"/>
    <w:rsid w:val="00685775"/>
    <w:rsid w:val="00685A49"/>
    <w:rsid w:val="006860D2"/>
    <w:rsid w:val="006864A1"/>
    <w:rsid w:val="00686685"/>
    <w:rsid w:val="00686D5F"/>
    <w:rsid w:val="00687970"/>
    <w:rsid w:val="00687F64"/>
    <w:rsid w:val="006900D9"/>
    <w:rsid w:val="00690165"/>
    <w:rsid w:val="00690404"/>
    <w:rsid w:val="006905EB"/>
    <w:rsid w:val="00690659"/>
    <w:rsid w:val="00691648"/>
    <w:rsid w:val="006933F8"/>
    <w:rsid w:val="00693524"/>
    <w:rsid w:val="00693C3E"/>
    <w:rsid w:val="006949F0"/>
    <w:rsid w:val="00694A6D"/>
    <w:rsid w:val="00695A3C"/>
    <w:rsid w:val="00695C01"/>
    <w:rsid w:val="00696E39"/>
    <w:rsid w:val="00697E59"/>
    <w:rsid w:val="006A0156"/>
    <w:rsid w:val="006A02DC"/>
    <w:rsid w:val="006A0A7E"/>
    <w:rsid w:val="006A0B9E"/>
    <w:rsid w:val="006A0F87"/>
    <w:rsid w:val="006A10F4"/>
    <w:rsid w:val="006A137B"/>
    <w:rsid w:val="006A1A85"/>
    <w:rsid w:val="006A1CF0"/>
    <w:rsid w:val="006A2B52"/>
    <w:rsid w:val="006A2F66"/>
    <w:rsid w:val="006A33F3"/>
    <w:rsid w:val="006A3C64"/>
    <w:rsid w:val="006A4009"/>
    <w:rsid w:val="006A4498"/>
    <w:rsid w:val="006A507B"/>
    <w:rsid w:val="006A59F4"/>
    <w:rsid w:val="006A5DAE"/>
    <w:rsid w:val="006A63D7"/>
    <w:rsid w:val="006B0EC3"/>
    <w:rsid w:val="006B1423"/>
    <w:rsid w:val="006B19E5"/>
    <w:rsid w:val="006B1A76"/>
    <w:rsid w:val="006B1B97"/>
    <w:rsid w:val="006B1BAF"/>
    <w:rsid w:val="006B1F3F"/>
    <w:rsid w:val="006B263A"/>
    <w:rsid w:val="006B28B3"/>
    <w:rsid w:val="006B2B6C"/>
    <w:rsid w:val="006B304B"/>
    <w:rsid w:val="006B37C0"/>
    <w:rsid w:val="006B3EEA"/>
    <w:rsid w:val="006B4EC3"/>
    <w:rsid w:val="006B5174"/>
    <w:rsid w:val="006B5A36"/>
    <w:rsid w:val="006B605F"/>
    <w:rsid w:val="006B615D"/>
    <w:rsid w:val="006B65DF"/>
    <w:rsid w:val="006B6862"/>
    <w:rsid w:val="006B6D38"/>
    <w:rsid w:val="006B71CE"/>
    <w:rsid w:val="006B7291"/>
    <w:rsid w:val="006B777B"/>
    <w:rsid w:val="006B7DEF"/>
    <w:rsid w:val="006B7FF7"/>
    <w:rsid w:val="006C08B2"/>
    <w:rsid w:val="006C174D"/>
    <w:rsid w:val="006C177D"/>
    <w:rsid w:val="006C295D"/>
    <w:rsid w:val="006C2A69"/>
    <w:rsid w:val="006C2B58"/>
    <w:rsid w:val="006C3A1B"/>
    <w:rsid w:val="006C465D"/>
    <w:rsid w:val="006C4BAA"/>
    <w:rsid w:val="006C568B"/>
    <w:rsid w:val="006C5A0F"/>
    <w:rsid w:val="006C5A92"/>
    <w:rsid w:val="006C633E"/>
    <w:rsid w:val="006C73D7"/>
    <w:rsid w:val="006C7B24"/>
    <w:rsid w:val="006D022D"/>
    <w:rsid w:val="006D032B"/>
    <w:rsid w:val="006D0B36"/>
    <w:rsid w:val="006D12CB"/>
    <w:rsid w:val="006D1802"/>
    <w:rsid w:val="006D1AA6"/>
    <w:rsid w:val="006D207A"/>
    <w:rsid w:val="006D33A5"/>
    <w:rsid w:val="006D3457"/>
    <w:rsid w:val="006D356F"/>
    <w:rsid w:val="006D3AEC"/>
    <w:rsid w:val="006D440C"/>
    <w:rsid w:val="006D494D"/>
    <w:rsid w:val="006D4958"/>
    <w:rsid w:val="006D4ECD"/>
    <w:rsid w:val="006D4F1D"/>
    <w:rsid w:val="006D5161"/>
    <w:rsid w:val="006D58DB"/>
    <w:rsid w:val="006D5B20"/>
    <w:rsid w:val="006D6A83"/>
    <w:rsid w:val="006D6BED"/>
    <w:rsid w:val="006E1BCB"/>
    <w:rsid w:val="006E1CD2"/>
    <w:rsid w:val="006E28CC"/>
    <w:rsid w:val="006E4875"/>
    <w:rsid w:val="006E5645"/>
    <w:rsid w:val="006E5A58"/>
    <w:rsid w:val="006E62DA"/>
    <w:rsid w:val="006E7054"/>
    <w:rsid w:val="006E7166"/>
    <w:rsid w:val="006E76E8"/>
    <w:rsid w:val="006E7D7A"/>
    <w:rsid w:val="006F0E0F"/>
    <w:rsid w:val="006F0EF5"/>
    <w:rsid w:val="006F114F"/>
    <w:rsid w:val="006F19B0"/>
    <w:rsid w:val="006F201C"/>
    <w:rsid w:val="006F2217"/>
    <w:rsid w:val="006F2411"/>
    <w:rsid w:val="006F2B51"/>
    <w:rsid w:val="006F34D0"/>
    <w:rsid w:val="006F4670"/>
    <w:rsid w:val="006F4D54"/>
    <w:rsid w:val="006F50DD"/>
    <w:rsid w:val="006F59C1"/>
    <w:rsid w:val="006F5C81"/>
    <w:rsid w:val="006F60D9"/>
    <w:rsid w:val="006F693F"/>
    <w:rsid w:val="006F741C"/>
    <w:rsid w:val="006F76A9"/>
    <w:rsid w:val="006F7961"/>
    <w:rsid w:val="006F79E4"/>
    <w:rsid w:val="007002E0"/>
    <w:rsid w:val="00700A3E"/>
    <w:rsid w:val="00700C31"/>
    <w:rsid w:val="00700CF2"/>
    <w:rsid w:val="00700F2D"/>
    <w:rsid w:val="007015CC"/>
    <w:rsid w:val="00701735"/>
    <w:rsid w:val="007022C1"/>
    <w:rsid w:val="00702931"/>
    <w:rsid w:val="00702AEF"/>
    <w:rsid w:val="00703595"/>
    <w:rsid w:val="00703EB2"/>
    <w:rsid w:val="007045C0"/>
    <w:rsid w:val="00704723"/>
    <w:rsid w:val="0070485B"/>
    <w:rsid w:val="007049D1"/>
    <w:rsid w:val="00704B3A"/>
    <w:rsid w:val="007064CF"/>
    <w:rsid w:val="00706E33"/>
    <w:rsid w:val="0070705D"/>
    <w:rsid w:val="00707A19"/>
    <w:rsid w:val="00707A4C"/>
    <w:rsid w:val="00707D44"/>
    <w:rsid w:val="00710279"/>
    <w:rsid w:val="00710584"/>
    <w:rsid w:val="0071258F"/>
    <w:rsid w:val="00713A6C"/>
    <w:rsid w:val="00714962"/>
    <w:rsid w:val="00714F49"/>
    <w:rsid w:val="007171EA"/>
    <w:rsid w:val="007177A5"/>
    <w:rsid w:val="00717B8D"/>
    <w:rsid w:val="0072020C"/>
    <w:rsid w:val="007208A6"/>
    <w:rsid w:val="007223F4"/>
    <w:rsid w:val="00722472"/>
    <w:rsid w:val="007224CE"/>
    <w:rsid w:val="00722522"/>
    <w:rsid w:val="00723101"/>
    <w:rsid w:val="00723599"/>
    <w:rsid w:val="00723859"/>
    <w:rsid w:val="007240FE"/>
    <w:rsid w:val="00724CEB"/>
    <w:rsid w:val="007250E6"/>
    <w:rsid w:val="00725DE7"/>
    <w:rsid w:val="007268B8"/>
    <w:rsid w:val="007269E6"/>
    <w:rsid w:val="007304D7"/>
    <w:rsid w:val="007311E1"/>
    <w:rsid w:val="007316A1"/>
    <w:rsid w:val="00731885"/>
    <w:rsid w:val="0073207B"/>
    <w:rsid w:val="00732AEF"/>
    <w:rsid w:val="00732D70"/>
    <w:rsid w:val="007336B9"/>
    <w:rsid w:val="007337A0"/>
    <w:rsid w:val="007339D8"/>
    <w:rsid w:val="00733F61"/>
    <w:rsid w:val="0073424F"/>
    <w:rsid w:val="007348E7"/>
    <w:rsid w:val="00734B17"/>
    <w:rsid w:val="00734CEA"/>
    <w:rsid w:val="00734CF4"/>
    <w:rsid w:val="0073502B"/>
    <w:rsid w:val="00735622"/>
    <w:rsid w:val="00736C73"/>
    <w:rsid w:val="00737427"/>
    <w:rsid w:val="00737831"/>
    <w:rsid w:val="00737AED"/>
    <w:rsid w:val="00737CFC"/>
    <w:rsid w:val="007403BA"/>
    <w:rsid w:val="00740A66"/>
    <w:rsid w:val="00740B19"/>
    <w:rsid w:val="00741B73"/>
    <w:rsid w:val="0074329C"/>
    <w:rsid w:val="00744F0F"/>
    <w:rsid w:val="00745179"/>
    <w:rsid w:val="007466F6"/>
    <w:rsid w:val="00746F8A"/>
    <w:rsid w:val="00747265"/>
    <w:rsid w:val="00747474"/>
    <w:rsid w:val="0075068E"/>
    <w:rsid w:val="00751573"/>
    <w:rsid w:val="007515DF"/>
    <w:rsid w:val="007516AC"/>
    <w:rsid w:val="00751F50"/>
    <w:rsid w:val="00752DFD"/>
    <w:rsid w:val="00752E78"/>
    <w:rsid w:val="00752EB2"/>
    <w:rsid w:val="0075377C"/>
    <w:rsid w:val="0075467E"/>
    <w:rsid w:val="00754E40"/>
    <w:rsid w:val="007555A9"/>
    <w:rsid w:val="00755633"/>
    <w:rsid w:val="007560E0"/>
    <w:rsid w:val="007564D3"/>
    <w:rsid w:val="00756F07"/>
    <w:rsid w:val="007570BE"/>
    <w:rsid w:val="00757B92"/>
    <w:rsid w:val="00757E6D"/>
    <w:rsid w:val="0076025D"/>
    <w:rsid w:val="00761E3B"/>
    <w:rsid w:val="00762183"/>
    <w:rsid w:val="007627B7"/>
    <w:rsid w:val="00762BDF"/>
    <w:rsid w:val="00762DA9"/>
    <w:rsid w:val="0076312D"/>
    <w:rsid w:val="007631EF"/>
    <w:rsid w:val="00763344"/>
    <w:rsid w:val="00763936"/>
    <w:rsid w:val="00763F00"/>
    <w:rsid w:val="00764636"/>
    <w:rsid w:val="00764BA4"/>
    <w:rsid w:val="00764CA2"/>
    <w:rsid w:val="00764D99"/>
    <w:rsid w:val="00765482"/>
    <w:rsid w:val="007658FF"/>
    <w:rsid w:val="00766C40"/>
    <w:rsid w:val="0076704E"/>
    <w:rsid w:val="007672EA"/>
    <w:rsid w:val="00767C4D"/>
    <w:rsid w:val="00767DA4"/>
    <w:rsid w:val="00767F9E"/>
    <w:rsid w:val="00770FEF"/>
    <w:rsid w:val="00771009"/>
    <w:rsid w:val="007711EE"/>
    <w:rsid w:val="0077167D"/>
    <w:rsid w:val="00771F32"/>
    <w:rsid w:val="00772B52"/>
    <w:rsid w:val="00772CAE"/>
    <w:rsid w:val="00772DA5"/>
    <w:rsid w:val="007731AC"/>
    <w:rsid w:val="007731FE"/>
    <w:rsid w:val="00773626"/>
    <w:rsid w:val="00773DF5"/>
    <w:rsid w:val="00774C18"/>
    <w:rsid w:val="00775255"/>
    <w:rsid w:val="00776244"/>
    <w:rsid w:val="00776E3B"/>
    <w:rsid w:val="007771A3"/>
    <w:rsid w:val="00777FF7"/>
    <w:rsid w:val="00781A60"/>
    <w:rsid w:val="007826D0"/>
    <w:rsid w:val="0078325A"/>
    <w:rsid w:val="0078331B"/>
    <w:rsid w:val="00783E17"/>
    <w:rsid w:val="0078519A"/>
    <w:rsid w:val="007853A8"/>
    <w:rsid w:val="007854A8"/>
    <w:rsid w:val="007876AC"/>
    <w:rsid w:val="00787978"/>
    <w:rsid w:val="00790519"/>
    <w:rsid w:val="00791108"/>
    <w:rsid w:val="0079143A"/>
    <w:rsid w:val="00791D18"/>
    <w:rsid w:val="00792371"/>
    <w:rsid w:val="00792825"/>
    <w:rsid w:val="00792D1E"/>
    <w:rsid w:val="00793560"/>
    <w:rsid w:val="00793CBD"/>
    <w:rsid w:val="0079422B"/>
    <w:rsid w:val="0079439D"/>
    <w:rsid w:val="00794495"/>
    <w:rsid w:val="007948A2"/>
    <w:rsid w:val="007957CB"/>
    <w:rsid w:val="00795A88"/>
    <w:rsid w:val="00796355"/>
    <w:rsid w:val="00796FF5"/>
    <w:rsid w:val="00797AC9"/>
    <w:rsid w:val="00797D1C"/>
    <w:rsid w:val="007A0510"/>
    <w:rsid w:val="007A0919"/>
    <w:rsid w:val="007A100E"/>
    <w:rsid w:val="007A19C9"/>
    <w:rsid w:val="007A1F1C"/>
    <w:rsid w:val="007A2978"/>
    <w:rsid w:val="007A34E3"/>
    <w:rsid w:val="007A4659"/>
    <w:rsid w:val="007A4DCC"/>
    <w:rsid w:val="007A54A5"/>
    <w:rsid w:val="007A5DB8"/>
    <w:rsid w:val="007A5EAF"/>
    <w:rsid w:val="007A61F6"/>
    <w:rsid w:val="007A6691"/>
    <w:rsid w:val="007A672B"/>
    <w:rsid w:val="007A7316"/>
    <w:rsid w:val="007A73DF"/>
    <w:rsid w:val="007B0714"/>
    <w:rsid w:val="007B087F"/>
    <w:rsid w:val="007B0DDA"/>
    <w:rsid w:val="007B157C"/>
    <w:rsid w:val="007B1706"/>
    <w:rsid w:val="007B1734"/>
    <w:rsid w:val="007B1947"/>
    <w:rsid w:val="007B19D3"/>
    <w:rsid w:val="007B1AC7"/>
    <w:rsid w:val="007B2C93"/>
    <w:rsid w:val="007B301B"/>
    <w:rsid w:val="007B35CE"/>
    <w:rsid w:val="007B35CF"/>
    <w:rsid w:val="007B39DA"/>
    <w:rsid w:val="007B3BE9"/>
    <w:rsid w:val="007B3C86"/>
    <w:rsid w:val="007B3F15"/>
    <w:rsid w:val="007B4641"/>
    <w:rsid w:val="007B48BC"/>
    <w:rsid w:val="007B4CDB"/>
    <w:rsid w:val="007B553A"/>
    <w:rsid w:val="007B5652"/>
    <w:rsid w:val="007B675E"/>
    <w:rsid w:val="007B699C"/>
    <w:rsid w:val="007C05C1"/>
    <w:rsid w:val="007C0DA4"/>
    <w:rsid w:val="007C1213"/>
    <w:rsid w:val="007C1D14"/>
    <w:rsid w:val="007C2512"/>
    <w:rsid w:val="007C264B"/>
    <w:rsid w:val="007C26F4"/>
    <w:rsid w:val="007C2AD9"/>
    <w:rsid w:val="007C2D60"/>
    <w:rsid w:val="007C2F29"/>
    <w:rsid w:val="007C482A"/>
    <w:rsid w:val="007C49C5"/>
    <w:rsid w:val="007C4ADB"/>
    <w:rsid w:val="007C4B1E"/>
    <w:rsid w:val="007C578A"/>
    <w:rsid w:val="007C5840"/>
    <w:rsid w:val="007C6582"/>
    <w:rsid w:val="007C6ABA"/>
    <w:rsid w:val="007C7643"/>
    <w:rsid w:val="007C7687"/>
    <w:rsid w:val="007C76EC"/>
    <w:rsid w:val="007C799F"/>
    <w:rsid w:val="007C7A9E"/>
    <w:rsid w:val="007C7DB8"/>
    <w:rsid w:val="007D0AD4"/>
    <w:rsid w:val="007D181A"/>
    <w:rsid w:val="007D1966"/>
    <w:rsid w:val="007D1AEF"/>
    <w:rsid w:val="007D2714"/>
    <w:rsid w:val="007D2EB5"/>
    <w:rsid w:val="007D3380"/>
    <w:rsid w:val="007D344A"/>
    <w:rsid w:val="007D402F"/>
    <w:rsid w:val="007D4770"/>
    <w:rsid w:val="007D516A"/>
    <w:rsid w:val="007D5647"/>
    <w:rsid w:val="007D5BA0"/>
    <w:rsid w:val="007D6208"/>
    <w:rsid w:val="007D62D8"/>
    <w:rsid w:val="007D77D8"/>
    <w:rsid w:val="007E0ACB"/>
    <w:rsid w:val="007E0CC6"/>
    <w:rsid w:val="007E1338"/>
    <w:rsid w:val="007E2DBF"/>
    <w:rsid w:val="007E2FDE"/>
    <w:rsid w:val="007E3162"/>
    <w:rsid w:val="007E36C8"/>
    <w:rsid w:val="007E3EED"/>
    <w:rsid w:val="007E4138"/>
    <w:rsid w:val="007E42BC"/>
    <w:rsid w:val="007E4515"/>
    <w:rsid w:val="007E466C"/>
    <w:rsid w:val="007E66CC"/>
    <w:rsid w:val="007E710C"/>
    <w:rsid w:val="007E724F"/>
    <w:rsid w:val="007E75F9"/>
    <w:rsid w:val="007E7FA6"/>
    <w:rsid w:val="007F16CE"/>
    <w:rsid w:val="007F36E5"/>
    <w:rsid w:val="007F430D"/>
    <w:rsid w:val="007F447D"/>
    <w:rsid w:val="007F52A9"/>
    <w:rsid w:val="007F53EA"/>
    <w:rsid w:val="007F54B6"/>
    <w:rsid w:val="007F574F"/>
    <w:rsid w:val="007F58DB"/>
    <w:rsid w:val="007F5C20"/>
    <w:rsid w:val="007F620E"/>
    <w:rsid w:val="007F6648"/>
    <w:rsid w:val="007F6692"/>
    <w:rsid w:val="007F769C"/>
    <w:rsid w:val="00803203"/>
    <w:rsid w:val="0080323A"/>
    <w:rsid w:val="0080380B"/>
    <w:rsid w:val="008045B0"/>
    <w:rsid w:val="00804794"/>
    <w:rsid w:val="00804847"/>
    <w:rsid w:val="0080493D"/>
    <w:rsid w:val="008049CB"/>
    <w:rsid w:val="00805364"/>
    <w:rsid w:val="008057CC"/>
    <w:rsid w:val="00805A36"/>
    <w:rsid w:val="00806487"/>
    <w:rsid w:val="00806515"/>
    <w:rsid w:val="00806FEA"/>
    <w:rsid w:val="00807368"/>
    <w:rsid w:val="00807CBD"/>
    <w:rsid w:val="00807E94"/>
    <w:rsid w:val="00810479"/>
    <w:rsid w:val="00810A00"/>
    <w:rsid w:val="008112AA"/>
    <w:rsid w:val="00811920"/>
    <w:rsid w:val="00812672"/>
    <w:rsid w:val="00813519"/>
    <w:rsid w:val="00813D10"/>
    <w:rsid w:val="00813E1F"/>
    <w:rsid w:val="008140D8"/>
    <w:rsid w:val="00814DAA"/>
    <w:rsid w:val="008156F0"/>
    <w:rsid w:val="00815976"/>
    <w:rsid w:val="00815CF7"/>
    <w:rsid w:val="00815D5C"/>
    <w:rsid w:val="00816DFF"/>
    <w:rsid w:val="00816F76"/>
    <w:rsid w:val="0082086A"/>
    <w:rsid w:val="00820B7B"/>
    <w:rsid w:val="008214E4"/>
    <w:rsid w:val="00821966"/>
    <w:rsid w:val="00822307"/>
    <w:rsid w:val="00822466"/>
    <w:rsid w:val="00822871"/>
    <w:rsid w:val="00822EAE"/>
    <w:rsid w:val="008230CB"/>
    <w:rsid w:val="008230F3"/>
    <w:rsid w:val="008233B3"/>
    <w:rsid w:val="00824025"/>
    <w:rsid w:val="008241F4"/>
    <w:rsid w:val="00824201"/>
    <w:rsid w:val="00824A57"/>
    <w:rsid w:val="00825E55"/>
    <w:rsid w:val="00826291"/>
    <w:rsid w:val="00827D38"/>
    <w:rsid w:val="00827F06"/>
    <w:rsid w:val="00827F71"/>
    <w:rsid w:val="00830B1E"/>
    <w:rsid w:val="00831791"/>
    <w:rsid w:val="00832066"/>
    <w:rsid w:val="00833433"/>
    <w:rsid w:val="008335B9"/>
    <w:rsid w:val="00833877"/>
    <w:rsid w:val="00833FE0"/>
    <w:rsid w:val="00834000"/>
    <w:rsid w:val="00834233"/>
    <w:rsid w:val="00834507"/>
    <w:rsid w:val="00834C8F"/>
    <w:rsid w:val="008357AC"/>
    <w:rsid w:val="008358AA"/>
    <w:rsid w:val="00836655"/>
    <w:rsid w:val="008368B4"/>
    <w:rsid w:val="00836988"/>
    <w:rsid w:val="00836D9F"/>
    <w:rsid w:val="0083748D"/>
    <w:rsid w:val="00837AE2"/>
    <w:rsid w:val="0084072C"/>
    <w:rsid w:val="00840B13"/>
    <w:rsid w:val="00842F32"/>
    <w:rsid w:val="008432CC"/>
    <w:rsid w:val="008434B8"/>
    <w:rsid w:val="00843AD9"/>
    <w:rsid w:val="00843C48"/>
    <w:rsid w:val="0084456B"/>
    <w:rsid w:val="008446D1"/>
    <w:rsid w:val="00844BAF"/>
    <w:rsid w:val="00845771"/>
    <w:rsid w:val="00846611"/>
    <w:rsid w:val="008477AF"/>
    <w:rsid w:val="0085061F"/>
    <w:rsid w:val="00850837"/>
    <w:rsid w:val="00851B29"/>
    <w:rsid w:val="00851DBA"/>
    <w:rsid w:val="00852E22"/>
    <w:rsid w:val="00853BB6"/>
    <w:rsid w:val="00853E11"/>
    <w:rsid w:val="00853FEC"/>
    <w:rsid w:val="00854170"/>
    <w:rsid w:val="00854A28"/>
    <w:rsid w:val="00854CC2"/>
    <w:rsid w:val="008558DC"/>
    <w:rsid w:val="00855B26"/>
    <w:rsid w:val="00855BA5"/>
    <w:rsid w:val="00856696"/>
    <w:rsid w:val="00856858"/>
    <w:rsid w:val="00856ABB"/>
    <w:rsid w:val="008570F4"/>
    <w:rsid w:val="008571B7"/>
    <w:rsid w:val="00857382"/>
    <w:rsid w:val="0085774C"/>
    <w:rsid w:val="00857CCB"/>
    <w:rsid w:val="00857EF7"/>
    <w:rsid w:val="00860903"/>
    <w:rsid w:val="00860B3A"/>
    <w:rsid w:val="00860CF0"/>
    <w:rsid w:val="0086142A"/>
    <w:rsid w:val="00861A33"/>
    <w:rsid w:val="00861C29"/>
    <w:rsid w:val="00862623"/>
    <w:rsid w:val="00862ED4"/>
    <w:rsid w:val="0086350B"/>
    <w:rsid w:val="008638CF"/>
    <w:rsid w:val="00863AB3"/>
    <w:rsid w:val="00863E6B"/>
    <w:rsid w:val="00864361"/>
    <w:rsid w:val="008643A3"/>
    <w:rsid w:val="0086495B"/>
    <w:rsid w:val="00864B8A"/>
    <w:rsid w:val="00865A60"/>
    <w:rsid w:val="00865F0E"/>
    <w:rsid w:val="00866F29"/>
    <w:rsid w:val="0086733A"/>
    <w:rsid w:val="00870095"/>
    <w:rsid w:val="008700FF"/>
    <w:rsid w:val="008701BA"/>
    <w:rsid w:val="008710C9"/>
    <w:rsid w:val="008714DC"/>
    <w:rsid w:val="00871AE2"/>
    <w:rsid w:val="00872F81"/>
    <w:rsid w:val="0087388A"/>
    <w:rsid w:val="008741E0"/>
    <w:rsid w:val="008744A3"/>
    <w:rsid w:val="00875F3B"/>
    <w:rsid w:val="00876599"/>
    <w:rsid w:val="008779BC"/>
    <w:rsid w:val="00877DF8"/>
    <w:rsid w:val="0088022F"/>
    <w:rsid w:val="008803E5"/>
    <w:rsid w:val="00880CA1"/>
    <w:rsid w:val="0088185F"/>
    <w:rsid w:val="00881897"/>
    <w:rsid w:val="0088192F"/>
    <w:rsid w:val="00881CA5"/>
    <w:rsid w:val="0088225B"/>
    <w:rsid w:val="00882B11"/>
    <w:rsid w:val="0088311C"/>
    <w:rsid w:val="008838ED"/>
    <w:rsid w:val="00883D1F"/>
    <w:rsid w:val="00884289"/>
    <w:rsid w:val="008843EF"/>
    <w:rsid w:val="00884478"/>
    <w:rsid w:val="0088525D"/>
    <w:rsid w:val="00885286"/>
    <w:rsid w:val="00885A48"/>
    <w:rsid w:val="008864C6"/>
    <w:rsid w:val="00886719"/>
    <w:rsid w:val="008904D2"/>
    <w:rsid w:val="00890A37"/>
    <w:rsid w:val="0089130D"/>
    <w:rsid w:val="008914B0"/>
    <w:rsid w:val="00891F36"/>
    <w:rsid w:val="008925CF"/>
    <w:rsid w:val="00892D47"/>
    <w:rsid w:val="008937F1"/>
    <w:rsid w:val="0089387B"/>
    <w:rsid w:val="00894479"/>
    <w:rsid w:val="00894563"/>
    <w:rsid w:val="0089552C"/>
    <w:rsid w:val="008959FD"/>
    <w:rsid w:val="00895F2D"/>
    <w:rsid w:val="008969EA"/>
    <w:rsid w:val="00897CAE"/>
    <w:rsid w:val="00897EF1"/>
    <w:rsid w:val="008A0671"/>
    <w:rsid w:val="008A085B"/>
    <w:rsid w:val="008A1262"/>
    <w:rsid w:val="008A13C8"/>
    <w:rsid w:val="008A15A8"/>
    <w:rsid w:val="008A1637"/>
    <w:rsid w:val="008A1A57"/>
    <w:rsid w:val="008A1FD6"/>
    <w:rsid w:val="008A24D7"/>
    <w:rsid w:val="008A27B5"/>
    <w:rsid w:val="008A2D37"/>
    <w:rsid w:val="008A31AE"/>
    <w:rsid w:val="008A36D8"/>
    <w:rsid w:val="008A4B74"/>
    <w:rsid w:val="008A5D64"/>
    <w:rsid w:val="008A6812"/>
    <w:rsid w:val="008A7529"/>
    <w:rsid w:val="008A7860"/>
    <w:rsid w:val="008A7B14"/>
    <w:rsid w:val="008B0B3C"/>
    <w:rsid w:val="008B1245"/>
    <w:rsid w:val="008B15B4"/>
    <w:rsid w:val="008B1D08"/>
    <w:rsid w:val="008B2755"/>
    <w:rsid w:val="008B2AA7"/>
    <w:rsid w:val="008B2CEB"/>
    <w:rsid w:val="008B4397"/>
    <w:rsid w:val="008B4B94"/>
    <w:rsid w:val="008B560F"/>
    <w:rsid w:val="008B5F9A"/>
    <w:rsid w:val="008B6C9E"/>
    <w:rsid w:val="008B6EDD"/>
    <w:rsid w:val="008B720F"/>
    <w:rsid w:val="008C0608"/>
    <w:rsid w:val="008C0C2B"/>
    <w:rsid w:val="008C2C92"/>
    <w:rsid w:val="008C2FF8"/>
    <w:rsid w:val="008C3088"/>
    <w:rsid w:val="008C35F6"/>
    <w:rsid w:val="008C3BDD"/>
    <w:rsid w:val="008C3DFD"/>
    <w:rsid w:val="008C4052"/>
    <w:rsid w:val="008C441A"/>
    <w:rsid w:val="008C725D"/>
    <w:rsid w:val="008D0051"/>
    <w:rsid w:val="008D15D0"/>
    <w:rsid w:val="008D1962"/>
    <w:rsid w:val="008D1E2D"/>
    <w:rsid w:val="008D2C42"/>
    <w:rsid w:val="008D4398"/>
    <w:rsid w:val="008D5290"/>
    <w:rsid w:val="008D5507"/>
    <w:rsid w:val="008E0ECA"/>
    <w:rsid w:val="008E1345"/>
    <w:rsid w:val="008E1BE5"/>
    <w:rsid w:val="008E2798"/>
    <w:rsid w:val="008E35B0"/>
    <w:rsid w:val="008E3763"/>
    <w:rsid w:val="008E3B4D"/>
    <w:rsid w:val="008E3FD0"/>
    <w:rsid w:val="008E4238"/>
    <w:rsid w:val="008E4B2C"/>
    <w:rsid w:val="008E4CFA"/>
    <w:rsid w:val="008E4F2D"/>
    <w:rsid w:val="008E517B"/>
    <w:rsid w:val="008E5789"/>
    <w:rsid w:val="008E5A07"/>
    <w:rsid w:val="008E5A1F"/>
    <w:rsid w:val="008E6723"/>
    <w:rsid w:val="008E699C"/>
    <w:rsid w:val="008E7914"/>
    <w:rsid w:val="008F1656"/>
    <w:rsid w:val="008F186B"/>
    <w:rsid w:val="008F3C03"/>
    <w:rsid w:val="008F3DA4"/>
    <w:rsid w:val="008F4487"/>
    <w:rsid w:val="008F575D"/>
    <w:rsid w:val="008F59E5"/>
    <w:rsid w:val="008F5F61"/>
    <w:rsid w:val="008F6AA2"/>
    <w:rsid w:val="008F752C"/>
    <w:rsid w:val="009011FD"/>
    <w:rsid w:val="00901E0D"/>
    <w:rsid w:val="00902862"/>
    <w:rsid w:val="00902C48"/>
    <w:rsid w:val="00902ECB"/>
    <w:rsid w:val="00904239"/>
    <w:rsid w:val="00904467"/>
    <w:rsid w:val="00904A23"/>
    <w:rsid w:val="00904B8D"/>
    <w:rsid w:val="009055B7"/>
    <w:rsid w:val="00905AE0"/>
    <w:rsid w:val="0090699E"/>
    <w:rsid w:val="009075F6"/>
    <w:rsid w:val="00910113"/>
    <w:rsid w:val="0091016D"/>
    <w:rsid w:val="009103C7"/>
    <w:rsid w:val="009107CB"/>
    <w:rsid w:val="00910A3F"/>
    <w:rsid w:val="009114A1"/>
    <w:rsid w:val="009115D6"/>
    <w:rsid w:val="0091160C"/>
    <w:rsid w:val="0091195E"/>
    <w:rsid w:val="009124DC"/>
    <w:rsid w:val="00912C18"/>
    <w:rsid w:val="00913B84"/>
    <w:rsid w:val="00913F3F"/>
    <w:rsid w:val="009141A3"/>
    <w:rsid w:val="009144B6"/>
    <w:rsid w:val="00916499"/>
    <w:rsid w:val="00916E81"/>
    <w:rsid w:val="0091793D"/>
    <w:rsid w:val="00920340"/>
    <w:rsid w:val="00920402"/>
    <w:rsid w:val="00920499"/>
    <w:rsid w:val="0092069E"/>
    <w:rsid w:val="009207CD"/>
    <w:rsid w:val="009210DE"/>
    <w:rsid w:val="00922683"/>
    <w:rsid w:val="009233CA"/>
    <w:rsid w:val="00924690"/>
    <w:rsid w:val="00924D0F"/>
    <w:rsid w:val="0092546A"/>
    <w:rsid w:val="00925DBB"/>
    <w:rsid w:val="0092602C"/>
    <w:rsid w:val="00926069"/>
    <w:rsid w:val="00926DCD"/>
    <w:rsid w:val="0092732E"/>
    <w:rsid w:val="00927331"/>
    <w:rsid w:val="009275A3"/>
    <w:rsid w:val="00927C5F"/>
    <w:rsid w:val="00930055"/>
    <w:rsid w:val="0093046D"/>
    <w:rsid w:val="00931C0A"/>
    <w:rsid w:val="009329C1"/>
    <w:rsid w:val="00932DD0"/>
    <w:rsid w:val="0093301B"/>
    <w:rsid w:val="00933244"/>
    <w:rsid w:val="00933492"/>
    <w:rsid w:val="00933674"/>
    <w:rsid w:val="00933B31"/>
    <w:rsid w:val="009346B3"/>
    <w:rsid w:val="00934C9A"/>
    <w:rsid w:val="00936C19"/>
    <w:rsid w:val="009374D2"/>
    <w:rsid w:val="009407FE"/>
    <w:rsid w:val="0094112A"/>
    <w:rsid w:val="00942C57"/>
    <w:rsid w:val="009447FB"/>
    <w:rsid w:val="00944BDF"/>
    <w:rsid w:val="00944DAD"/>
    <w:rsid w:val="00944EE1"/>
    <w:rsid w:val="0094529C"/>
    <w:rsid w:val="0094574D"/>
    <w:rsid w:val="009464CE"/>
    <w:rsid w:val="00946D45"/>
    <w:rsid w:val="00947901"/>
    <w:rsid w:val="009504CA"/>
    <w:rsid w:val="00951490"/>
    <w:rsid w:val="00951852"/>
    <w:rsid w:val="009518B1"/>
    <w:rsid w:val="009526C0"/>
    <w:rsid w:val="00952A87"/>
    <w:rsid w:val="00952ABB"/>
    <w:rsid w:val="00953616"/>
    <w:rsid w:val="00953C63"/>
    <w:rsid w:val="00954586"/>
    <w:rsid w:val="00954BF1"/>
    <w:rsid w:val="00955003"/>
    <w:rsid w:val="00955424"/>
    <w:rsid w:val="00955685"/>
    <w:rsid w:val="00955DF1"/>
    <w:rsid w:val="0095607F"/>
    <w:rsid w:val="00956432"/>
    <w:rsid w:val="00956822"/>
    <w:rsid w:val="0095686B"/>
    <w:rsid w:val="00956A46"/>
    <w:rsid w:val="00956FAF"/>
    <w:rsid w:val="0095763C"/>
    <w:rsid w:val="009578A2"/>
    <w:rsid w:val="009579EF"/>
    <w:rsid w:val="00957DE8"/>
    <w:rsid w:val="009601DD"/>
    <w:rsid w:val="009608CB"/>
    <w:rsid w:val="00961088"/>
    <w:rsid w:val="009635AC"/>
    <w:rsid w:val="00965679"/>
    <w:rsid w:val="0096634F"/>
    <w:rsid w:val="00966401"/>
    <w:rsid w:val="009673FE"/>
    <w:rsid w:val="0096780A"/>
    <w:rsid w:val="00967DC7"/>
    <w:rsid w:val="0097015A"/>
    <w:rsid w:val="00970586"/>
    <w:rsid w:val="0097063B"/>
    <w:rsid w:val="00970F6F"/>
    <w:rsid w:val="009714BB"/>
    <w:rsid w:val="00973712"/>
    <w:rsid w:val="00973A93"/>
    <w:rsid w:val="00974188"/>
    <w:rsid w:val="00974969"/>
    <w:rsid w:val="009763F8"/>
    <w:rsid w:val="00980240"/>
    <w:rsid w:val="0098068F"/>
    <w:rsid w:val="00982110"/>
    <w:rsid w:val="00982A40"/>
    <w:rsid w:val="009832D3"/>
    <w:rsid w:val="0098395B"/>
    <w:rsid w:val="0098415A"/>
    <w:rsid w:val="009843D2"/>
    <w:rsid w:val="00984919"/>
    <w:rsid w:val="009870CB"/>
    <w:rsid w:val="00987115"/>
    <w:rsid w:val="009876E3"/>
    <w:rsid w:val="00987D07"/>
    <w:rsid w:val="009917CD"/>
    <w:rsid w:val="00991DD4"/>
    <w:rsid w:val="00992120"/>
    <w:rsid w:val="00992534"/>
    <w:rsid w:val="00993B81"/>
    <w:rsid w:val="0099402E"/>
    <w:rsid w:val="009943B7"/>
    <w:rsid w:val="00994C3B"/>
    <w:rsid w:val="009956B3"/>
    <w:rsid w:val="00996781"/>
    <w:rsid w:val="00997034"/>
    <w:rsid w:val="009970ED"/>
    <w:rsid w:val="0099746B"/>
    <w:rsid w:val="00997631"/>
    <w:rsid w:val="0099769C"/>
    <w:rsid w:val="00997972"/>
    <w:rsid w:val="00997D81"/>
    <w:rsid w:val="009A015E"/>
    <w:rsid w:val="009A14A4"/>
    <w:rsid w:val="009A2401"/>
    <w:rsid w:val="009A2885"/>
    <w:rsid w:val="009A2DF4"/>
    <w:rsid w:val="009A3284"/>
    <w:rsid w:val="009A3FB8"/>
    <w:rsid w:val="009A52A3"/>
    <w:rsid w:val="009A5491"/>
    <w:rsid w:val="009A5604"/>
    <w:rsid w:val="009A5D6F"/>
    <w:rsid w:val="009A63EF"/>
    <w:rsid w:val="009A65DC"/>
    <w:rsid w:val="009A727E"/>
    <w:rsid w:val="009B0A8C"/>
    <w:rsid w:val="009B12B7"/>
    <w:rsid w:val="009B1BFC"/>
    <w:rsid w:val="009B1D83"/>
    <w:rsid w:val="009B2474"/>
    <w:rsid w:val="009B2BF1"/>
    <w:rsid w:val="009B369E"/>
    <w:rsid w:val="009B3A14"/>
    <w:rsid w:val="009B3A44"/>
    <w:rsid w:val="009B3FA2"/>
    <w:rsid w:val="009B434E"/>
    <w:rsid w:val="009B47EB"/>
    <w:rsid w:val="009B4A6A"/>
    <w:rsid w:val="009B6439"/>
    <w:rsid w:val="009B78AB"/>
    <w:rsid w:val="009B7D12"/>
    <w:rsid w:val="009C015A"/>
    <w:rsid w:val="009C070D"/>
    <w:rsid w:val="009C0A44"/>
    <w:rsid w:val="009C0DC9"/>
    <w:rsid w:val="009C1BF6"/>
    <w:rsid w:val="009C2B6B"/>
    <w:rsid w:val="009C2D27"/>
    <w:rsid w:val="009C3006"/>
    <w:rsid w:val="009C3A55"/>
    <w:rsid w:val="009C3D6C"/>
    <w:rsid w:val="009C4345"/>
    <w:rsid w:val="009C535B"/>
    <w:rsid w:val="009C5477"/>
    <w:rsid w:val="009C5AA8"/>
    <w:rsid w:val="009C5D30"/>
    <w:rsid w:val="009C6D1C"/>
    <w:rsid w:val="009C7505"/>
    <w:rsid w:val="009C779A"/>
    <w:rsid w:val="009C7B23"/>
    <w:rsid w:val="009D184D"/>
    <w:rsid w:val="009D1C99"/>
    <w:rsid w:val="009D20A2"/>
    <w:rsid w:val="009D2697"/>
    <w:rsid w:val="009D26EE"/>
    <w:rsid w:val="009D2F88"/>
    <w:rsid w:val="009D3013"/>
    <w:rsid w:val="009D3144"/>
    <w:rsid w:val="009D367F"/>
    <w:rsid w:val="009D3B41"/>
    <w:rsid w:val="009D3F77"/>
    <w:rsid w:val="009D3FB6"/>
    <w:rsid w:val="009D43FB"/>
    <w:rsid w:val="009D4F59"/>
    <w:rsid w:val="009D5D7B"/>
    <w:rsid w:val="009D6548"/>
    <w:rsid w:val="009D6A54"/>
    <w:rsid w:val="009D7C8E"/>
    <w:rsid w:val="009E0689"/>
    <w:rsid w:val="009E094A"/>
    <w:rsid w:val="009E0AB4"/>
    <w:rsid w:val="009E115F"/>
    <w:rsid w:val="009E1FC5"/>
    <w:rsid w:val="009E224B"/>
    <w:rsid w:val="009E22D0"/>
    <w:rsid w:val="009E2BDF"/>
    <w:rsid w:val="009E3460"/>
    <w:rsid w:val="009E3486"/>
    <w:rsid w:val="009E35BC"/>
    <w:rsid w:val="009E3A4C"/>
    <w:rsid w:val="009E3F68"/>
    <w:rsid w:val="009E4001"/>
    <w:rsid w:val="009E44F4"/>
    <w:rsid w:val="009E4A3A"/>
    <w:rsid w:val="009E4FDD"/>
    <w:rsid w:val="009E535C"/>
    <w:rsid w:val="009E5BF9"/>
    <w:rsid w:val="009E5FF1"/>
    <w:rsid w:val="009E713F"/>
    <w:rsid w:val="009E71F7"/>
    <w:rsid w:val="009E77DA"/>
    <w:rsid w:val="009E7BA5"/>
    <w:rsid w:val="009F001E"/>
    <w:rsid w:val="009F0AB2"/>
    <w:rsid w:val="009F18E9"/>
    <w:rsid w:val="009F19FE"/>
    <w:rsid w:val="009F1A2B"/>
    <w:rsid w:val="009F207B"/>
    <w:rsid w:val="009F254F"/>
    <w:rsid w:val="009F3CA8"/>
    <w:rsid w:val="009F5AA6"/>
    <w:rsid w:val="009F5CDD"/>
    <w:rsid w:val="009F5F37"/>
    <w:rsid w:val="009F629E"/>
    <w:rsid w:val="009F670F"/>
    <w:rsid w:val="00A00733"/>
    <w:rsid w:val="00A00D42"/>
    <w:rsid w:val="00A01320"/>
    <w:rsid w:val="00A01B66"/>
    <w:rsid w:val="00A0353B"/>
    <w:rsid w:val="00A043FC"/>
    <w:rsid w:val="00A04495"/>
    <w:rsid w:val="00A0550D"/>
    <w:rsid w:val="00A0581B"/>
    <w:rsid w:val="00A05A1C"/>
    <w:rsid w:val="00A0765A"/>
    <w:rsid w:val="00A0794D"/>
    <w:rsid w:val="00A10280"/>
    <w:rsid w:val="00A114EE"/>
    <w:rsid w:val="00A12176"/>
    <w:rsid w:val="00A13300"/>
    <w:rsid w:val="00A13BC3"/>
    <w:rsid w:val="00A13C98"/>
    <w:rsid w:val="00A13E82"/>
    <w:rsid w:val="00A14025"/>
    <w:rsid w:val="00A15092"/>
    <w:rsid w:val="00A15CF5"/>
    <w:rsid w:val="00A15E2F"/>
    <w:rsid w:val="00A16C45"/>
    <w:rsid w:val="00A1729A"/>
    <w:rsid w:val="00A17E03"/>
    <w:rsid w:val="00A2058E"/>
    <w:rsid w:val="00A206C8"/>
    <w:rsid w:val="00A2083B"/>
    <w:rsid w:val="00A20FA1"/>
    <w:rsid w:val="00A226F0"/>
    <w:rsid w:val="00A22B27"/>
    <w:rsid w:val="00A22C66"/>
    <w:rsid w:val="00A22E83"/>
    <w:rsid w:val="00A237D8"/>
    <w:rsid w:val="00A2524E"/>
    <w:rsid w:val="00A25D59"/>
    <w:rsid w:val="00A26614"/>
    <w:rsid w:val="00A2724A"/>
    <w:rsid w:val="00A30254"/>
    <w:rsid w:val="00A30C15"/>
    <w:rsid w:val="00A30F0B"/>
    <w:rsid w:val="00A3154F"/>
    <w:rsid w:val="00A315D0"/>
    <w:rsid w:val="00A31A6D"/>
    <w:rsid w:val="00A32052"/>
    <w:rsid w:val="00A32F15"/>
    <w:rsid w:val="00A32FE7"/>
    <w:rsid w:val="00A33112"/>
    <w:rsid w:val="00A33592"/>
    <w:rsid w:val="00A33C26"/>
    <w:rsid w:val="00A33CB0"/>
    <w:rsid w:val="00A33CF7"/>
    <w:rsid w:val="00A341D6"/>
    <w:rsid w:val="00A3706D"/>
    <w:rsid w:val="00A375DC"/>
    <w:rsid w:val="00A4054A"/>
    <w:rsid w:val="00A40838"/>
    <w:rsid w:val="00A40B43"/>
    <w:rsid w:val="00A4121E"/>
    <w:rsid w:val="00A41DC9"/>
    <w:rsid w:val="00A41DFC"/>
    <w:rsid w:val="00A424A3"/>
    <w:rsid w:val="00A42868"/>
    <w:rsid w:val="00A42F5B"/>
    <w:rsid w:val="00A42F94"/>
    <w:rsid w:val="00A431D5"/>
    <w:rsid w:val="00A434A4"/>
    <w:rsid w:val="00A43956"/>
    <w:rsid w:val="00A44342"/>
    <w:rsid w:val="00A446E2"/>
    <w:rsid w:val="00A44757"/>
    <w:rsid w:val="00A44CC0"/>
    <w:rsid w:val="00A45145"/>
    <w:rsid w:val="00A45174"/>
    <w:rsid w:val="00A45C68"/>
    <w:rsid w:val="00A45E13"/>
    <w:rsid w:val="00A46969"/>
    <w:rsid w:val="00A47403"/>
    <w:rsid w:val="00A47BFD"/>
    <w:rsid w:val="00A50530"/>
    <w:rsid w:val="00A5175F"/>
    <w:rsid w:val="00A51838"/>
    <w:rsid w:val="00A51C49"/>
    <w:rsid w:val="00A5282D"/>
    <w:rsid w:val="00A52FB2"/>
    <w:rsid w:val="00A53269"/>
    <w:rsid w:val="00A53298"/>
    <w:rsid w:val="00A541F8"/>
    <w:rsid w:val="00A543C5"/>
    <w:rsid w:val="00A55BA0"/>
    <w:rsid w:val="00A560B6"/>
    <w:rsid w:val="00A5626B"/>
    <w:rsid w:val="00A56348"/>
    <w:rsid w:val="00A5643F"/>
    <w:rsid w:val="00A56C99"/>
    <w:rsid w:val="00A578E0"/>
    <w:rsid w:val="00A57A73"/>
    <w:rsid w:val="00A57DFC"/>
    <w:rsid w:val="00A61080"/>
    <w:rsid w:val="00A61336"/>
    <w:rsid w:val="00A6185F"/>
    <w:rsid w:val="00A61C5B"/>
    <w:rsid w:val="00A62049"/>
    <w:rsid w:val="00A62487"/>
    <w:rsid w:val="00A63863"/>
    <w:rsid w:val="00A63948"/>
    <w:rsid w:val="00A6404D"/>
    <w:rsid w:val="00A6493D"/>
    <w:rsid w:val="00A65414"/>
    <w:rsid w:val="00A65EC5"/>
    <w:rsid w:val="00A664E0"/>
    <w:rsid w:val="00A66614"/>
    <w:rsid w:val="00A66AB3"/>
    <w:rsid w:val="00A66B35"/>
    <w:rsid w:val="00A66B58"/>
    <w:rsid w:val="00A66BD2"/>
    <w:rsid w:val="00A66C7C"/>
    <w:rsid w:val="00A66EE2"/>
    <w:rsid w:val="00A673F7"/>
    <w:rsid w:val="00A677E9"/>
    <w:rsid w:val="00A7003F"/>
    <w:rsid w:val="00A70443"/>
    <w:rsid w:val="00A70464"/>
    <w:rsid w:val="00A708D5"/>
    <w:rsid w:val="00A70EAE"/>
    <w:rsid w:val="00A71FCC"/>
    <w:rsid w:val="00A72466"/>
    <w:rsid w:val="00A72517"/>
    <w:rsid w:val="00A726EE"/>
    <w:rsid w:val="00A731E3"/>
    <w:rsid w:val="00A739D8"/>
    <w:rsid w:val="00A73BDB"/>
    <w:rsid w:val="00A73DBD"/>
    <w:rsid w:val="00A742B7"/>
    <w:rsid w:val="00A745BC"/>
    <w:rsid w:val="00A7548A"/>
    <w:rsid w:val="00A75AEC"/>
    <w:rsid w:val="00A75DF9"/>
    <w:rsid w:val="00A76038"/>
    <w:rsid w:val="00A768BD"/>
    <w:rsid w:val="00A76A85"/>
    <w:rsid w:val="00A76BC6"/>
    <w:rsid w:val="00A77957"/>
    <w:rsid w:val="00A8084C"/>
    <w:rsid w:val="00A81E83"/>
    <w:rsid w:val="00A83600"/>
    <w:rsid w:val="00A83A52"/>
    <w:rsid w:val="00A84DF7"/>
    <w:rsid w:val="00A8592B"/>
    <w:rsid w:val="00A8613A"/>
    <w:rsid w:val="00A86267"/>
    <w:rsid w:val="00A8629B"/>
    <w:rsid w:val="00A862BA"/>
    <w:rsid w:val="00A86677"/>
    <w:rsid w:val="00A867BC"/>
    <w:rsid w:val="00A86BEB"/>
    <w:rsid w:val="00A9013C"/>
    <w:rsid w:val="00A9099B"/>
    <w:rsid w:val="00A90B0F"/>
    <w:rsid w:val="00A9151E"/>
    <w:rsid w:val="00A932BB"/>
    <w:rsid w:val="00A936B5"/>
    <w:rsid w:val="00A954A1"/>
    <w:rsid w:val="00A96D60"/>
    <w:rsid w:val="00A97702"/>
    <w:rsid w:val="00AA018E"/>
    <w:rsid w:val="00AA0329"/>
    <w:rsid w:val="00AA1732"/>
    <w:rsid w:val="00AA1833"/>
    <w:rsid w:val="00AA19FE"/>
    <w:rsid w:val="00AA1E8E"/>
    <w:rsid w:val="00AA1F6D"/>
    <w:rsid w:val="00AA31F2"/>
    <w:rsid w:val="00AA3B53"/>
    <w:rsid w:val="00AA3E39"/>
    <w:rsid w:val="00AA502B"/>
    <w:rsid w:val="00AA52F0"/>
    <w:rsid w:val="00AA6903"/>
    <w:rsid w:val="00AA69C5"/>
    <w:rsid w:val="00AA715A"/>
    <w:rsid w:val="00AA7D30"/>
    <w:rsid w:val="00AB0CCA"/>
    <w:rsid w:val="00AB0E4F"/>
    <w:rsid w:val="00AB24BD"/>
    <w:rsid w:val="00AB2D54"/>
    <w:rsid w:val="00AB31D6"/>
    <w:rsid w:val="00AB3E3F"/>
    <w:rsid w:val="00AB4C80"/>
    <w:rsid w:val="00AB4D9D"/>
    <w:rsid w:val="00AB5138"/>
    <w:rsid w:val="00AB558A"/>
    <w:rsid w:val="00AB6D99"/>
    <w:rsid w:val="00AB7127"/>
    <w:rsid w:val="00AB73C1"/>
    <w:rsid w:val="00AB7AC2"/>
    <w:rsid w:val="00AC0ED2"/>
    <w:rsid w:val="00AC1997"/>
    <w:rsid w:val="00AC204F"/>
    <w:rsid w:val="00AC246A"/>
    <w:rsid w:val="00AC28C0"/>
    <w:rsid w:val="00AC2A24"/>
    <w:rsid w:val="00AC42B6"/>
    <w:rsid w:val="00AC4485"/>
    <w:rsid w:val="00AC4772"/>
    <w:rsid w:val="00AC4969"/>
    <w:rsid w:val="00AC5200"/>
    <w:rsid w:val="00AC57DC"/>
    <w:rsid w:val="00AC5C70"/>
    <w:rsid w:val="00AC5E77"/>
    <w:rsid w:val="00AC6943"/>
    <w:rsid w:val="00AC69AA"/>
    <w:rsid w:val="00AC6DB3"/>
    <w:rsid w:val="00AC7195"/>
    <w:rsid w:val="00AC7705"/>
    <w:rsid w:val="00AC7C0C"/>
    <w:rsid w:val="00AC7D40"/>
    <w:rsid w:val="00AD08B0"/>
    <w:rsid w:val="00AD19DE"/>
    <w:rsid w:val="00AD3A03"/>
    <w:rsid w:val="00AD481C"/>
    <w:rsid w:val="00AD4C5F"/>
    <w:rsid w:val="00AD51E7"/>
    <w:rsid w:val="00AD56BD"/>
    <w:rsid w:val="00AD5DCD"/>
    <w:rsid w:val="00AD69BD"/>
    <w:rsid w:val="00AD6AD6"/>
    <w:rsid w:val="00AD7823"/>
    <w:rsid w:val="00AE1762"/>
    <w:rsid w:val="00AE1EA1"/>
    <w:rsid w:val="00AE208C"/>
    <w:rsid w:val="00AE2107"/>
    <w:rsid w:val="00AE2303"/>
    <w:rsid w:val="00AE255F"/>
    <w:rsid w:val="00AE2963"/>
    <w:rsid w:val="00AE3665"/>
    <w:rsid w:val="00AE406D"/>
    <w:rsid w:val="00AE41EE"/>
    <w:rsid w:val="00AE5A9F"/>
    <w:rsid w:val="00AE6177"/>
    <w:rsid w:val="00AE68C0"/>
    <w:rsid w:val="00AE73AB"/>
    <w:rsid w:val="00AE7BC2"/>
    <w:rsid w:val="00AF0689"/>
    <w:rsid w:val="00AF1D88"/>
    <w:rsid w:val="00AF1FD9"/>
    <w:rsid w:val="00AF219D"/>
    <w:rsid w:val="00AF21CC"/>
    <w:rsid w:val="00AF2678"/>
    <w:rsid w:val="00AF2A7C"/>
    <w:rsid w:val="00AF3250"/>
    <w:rsid w:val="00AF38E8"/>
    <w:rsid w:val="00AF3928"/>
    <w:rsid w:val="00AF3B19"/>
    <w:rsid w:val="00AF43D7"/>
    <w:rsid w:val="00AF479B"/>
    <w:rsid w:val="00AF4B24"/>
    <w:rsid w:val="00AF4B30"/>
    <w:rsid w:val="00AF5338"/>
    <w:rsid w:val="00AF539A"/>
    <w:rsid w:val="00AF6526"/>
    <w:rsid w:val="00AF714C"/>
    <w:rsid w:val="00AF7294"/>
    <w:rsid w:val="00AF7309"/>
    <w:rsid w:val="00AF7323"/>
    <w:rsid w:val="00B0036E"/>
    <w:rsid w:val="00B003D1"/>
    <w:rsid w:val="00B00423"/>
    <w:rsid w:val="00B0058B"/>
    <w:rsid w:val="00B0065F"/>
    <w:rsid w:val="00B00B92"/>
    <w:rsid w:val="00B00C72"/>
    <w:rsid w:val="00B017B7"/>
    <w:rsid w:val="00B019E9"/>
    <w:rsid w:val="00B01A3F"/>
    <w:rsid w:val="00B025C3"/>
    <w:rsid w:val="00B02ADE"/>
    <w:rsid w:val="00B03653"/>
    <w:rsid w:val="00B04668"/>
    <w:rsid w:val="00B04741"/>
    <w:rsid w:val="00B04B55"/>
    <w:rsid w:val="00B04B81"/>
    <w:rsid w:val="00B04C01"/>
    <w:rsid w:val="00B057E6"/>
    <w:rsid w:val="00B05BA5"/>
    <w:rsid w:val="00B05E38"/>
    <w:rsid w:val="00B0650B"/>
    <w:rsid w:val="00B0658B"/>
    <w:rsid w:val="00B06AAC"/>
    <w:rsid w:val="00B06FB2"/>
    <w:rsid w:val="00B07E07"/>
    <w:rsid w:val="00B1054F"/>
    <w:rsid w:val="00B10635"/>
    <w:rsid w:val="00B10A0D"/>
    <w:rsid w:val="00B10F79"/>
    <w:rsid w:val="00B1148B"/>
    <w:rsid w:val="00B116F5"/>
    <w:rsid w:val="00B11997"/>
    <w:rsid w:val="00B1205D"/>
    <w:rsid w:val="00B12557"/>
    <w:rsid w:val="00B12996"/>
    <w:rsid w:val="00B13D5F"/>
    <w:rsid w:val="00B1475C"/>
    <w:rsid w:val="00B147AB"/>
    <w:rsid w:val="00B14C46"/>
    <w:rsid w:val="00B14DEC"/>
    <w:rsid w:val="00B1513C"/>
    <w:rsid w:val="00B16FF7"/>
    <w:rsid w:val="00B1779F"/>
    <w:rsid w:val="00B17BCD"/>
    <w:rsid w:val="00B17EFB"/>
    <w:rsid w:val="00B201E8"/>
    <w:rsid w:val="00B20EAC"/>
    <w:rsid w:val="00B20F02"/>
    <w:rsid w:val="00B21811"/>
    <w:rsid w:val="00B2182D"/>
    <w:rsid w:val="00B21FED"/>
    <w:rsid w:val="00B232D4"/>
    <w:rsid w:val="00B23712"/>
    <w:rsid w:val="00B23BE6"/>
    <w:rsid w:val="00B24200"/>
    <w:rsid w:val="00B2420A"/>
    <w:rsid w:val="00B2460D"/>
    <w:rsid w:val="00B2469E"/>
    <w:rsid w:val="00B24768"/>
    <w:rsid w:val="00B24C9D"/>
    <w:rsid w:val="00B24D2C"/>
    <w:rsid w:val="00B24E8F"/>
    <w:rsid w:val="00B251AE"/>
    <w:rsid w:val="00B251B8"/>
    <w:rsid w:val="00B25BF8"/>
    <w:rsid w:val="00B26237"/>
    <w:rsid w:val="00B270F1"/>
    <w:rsid w:val="00B272F7"/>
    <w:rsid w:val="00B27742"/>
    <w:rsid w:val="00B279F5"/>
    <w:rsid w:val="00B27F12"/>
    <w:rsid w:val="00B30E15"/>
    <w:rsid w:val="00B30EF1"/>
    <w:rsid w:val="00B311A9"/>
    <w:rsid w:val="00B31BB3"/>
    <w:rsid w:val="00B31F3B"/>
    <w:rsid w:val="00B3201B"/>
    <w:rsid w:val="00B32853"/>
    <w:rsid w:val="00B32AB1"/>
    <w:rsid w:val="00B3310A"/>
    <w:rsid w:val="00B33D0E"/>
    <w:rsid w:val="00B33F0B"/>
    <w:rsid w:val="00B34059"/>
    <w:rsid w:val="00B34D82"/>
    <w:rsid w:val="00B350C6"/>
    <w:rsid w:val="00B35D10"/>
    <w:rsid w:val="00B35E56"/>
    <w:rsid w:val="00B363C7"/>
    <w:rsid w:val="00B367F4"/>
    <w:rsid w:val="00B368E3"/>
    <w:rsid w:val="00B40144"/>
    <w:rsid w:val="00B40674"/>
    <w:rsid w:val="00B412B9"/>
    <w:rsid w:val="00B41377"/>
    <w:rsid w:val="00B415AD"/>
    <w:rsid w:val="00B42A20"/>
    <w:rsid w:val="00B43362"/>
    <w:rsid w:val="00B4350B"/>
    <w:rsid w:val="00B435C3"/>
    <w:rsid w:val="00B43818"/>
    <w:rsid w:val="00B43C8E"/>
    <w:rsid w:val="00B4487A"/>
    <w:rsid w:val="00B4677F"/>
    <w:rsid w:val="00B47724"/>
    <w:rsid w:val="00B47893"/>
    <w:rsid w:val="00B47F06"/>
    <w:rsid w:val="00B5071D"/>
    <w:rsid w:val="00B50A5B"/>
    <w:rsid w:val="00B5223A"/>
    <w:rsid w:val="00B52890"/>
    <w:rsid w:val="00B52F10"/>
    <w:rsid w:val="00B53C3C"/>
    <w:rsid w:val="00B54770"/>
    <w:rsid w:val="00B54C21"/>
    <w:rsid w:val="00B552C5"/>
    <w:rsid w:val="00B56BEB"/>
    <w:rsid w:val="00B56F1D"/>
    <w:rsid w:val="00B57278"/>
    <w:rsid w:val="00B57705"/>
    <w:rsid w:val="00B62865"/>
    <w:rsid w:val="00B63107"/>
    <w:rsid w:val="00B638ED"/>
    <w:rsid w:val="00B63DDB"/>
    <w:rsid w:val="00B644BE"/>
    <w:rsid w:val="00B64DC7"/>
    <w:rsid w:val="00B65F04"/>
    <w:rsid w:val="00B65F35"/>
    <w:rsid w:val="00B660EF"/>
    <w:rsid w:val="00B663CE"/>
    <w:rsid w:val="00B66401"/>
    <w:rsid w:val="00B6650E"/>
    <w:rsid w:val="00B66574"/>
    <w:rsid w:val="00B66AC8"/>
    <w:rsid w:val="00B672EC"/>
    <w:rsid w:val="00B7048F"/>
    <w:rsid w:val="00B70B6E"/>
    <w:rsid w:val="00B72699"/>
    <w:rsid w:val="00B739A4"/>
    <w:rsid w:val="00B73A46"/>
    <w:rsid w:val="00B743D7"/>
    <w:rsid w:val="00B75269"/>
    <w:rsid w:val="00B754AD"/>
    <w:rsid w:val="00B75885"/>
    <w:rsid w:val="00B75DEA"/>
    <w:rsid w:val="00B76713"/>
    <w:rsid w:val="00B76943"/>
    <w:rsid w:val="00B81259"/>
    <w:rsid w:val="00B82A66"/>
    <w:rsid w:val="00B82E11"/>
    <w:rsid w:val="00B83AEE"/>
    <w:rsid w:val="00B842EC"/>
    <w:rsid w:val="00B844A4"/>
    <w:rsid w:val="00B850B6"/>
    <w:rsid w:val="00B85D3C"/>
    <w:rsid w:val="00B86DF9"/>
    <w:rsid w:val="00B871D7"/>
    <w:rsid w:val="00B8786B"/>
    <w:rsid w:val="00B87B49"/>
    <w:rsid w:val="00B87CA3"/>
    <w:rsid w:val="00B902F6"/>
    <w:rsid w:val="00B909F2"/>
    <w:rsid w:val="00B91AB4"/>
    <w:rsid w:val="00B92910"/>
    <w:rsid w:val="00B934F7"/>
    <w:rsid w:val="00B938A6"/>
    <w:rsid w:val="00B939A4"/>
    <w:rsid w:val="00B947E4"/>
    <w:rsid w:val="00B954E3"/>
    <w:rsid w:val="00B95B9A"/>
    <w:rsid w:val="00B9607F"/>
    <w:rsid w:val="00B9674D"/>
    <w:rsid w:val="00B96A49"/>
    <w:rsid w:val="00B97270"/>
    <w:rsid w:val="00B97D66"/>
    <w:rsid w:val="00B97EB5"/>
    <w:rsid w:val="00BA0666"/>
    <w:rsid w:val="00BA0707"/>
    <w:rsid w:val="00BA1490"/>
    <w:rsid w:val="00BA1F88"/>
    <w:rsid w:val="00BA23E1"/>
    <w:rsid w:val="00BA2600"/>
    <w:rsid w:val="00BA29A7"/>
    <w:rsid w:val="00BA3004"/>
    <w:rsid w:val="00BA32A7"/>
    <w:rsid w:val="00BA3C13"/>
    <w:rsid w:val="00BA4512"/>
    <w:rsid w:val="00BA4C27"/>
    <w:rsid w:val="00BA68A6"/>
    <w:rsid w:val="00BA7399"/>
    <w:rsid w:val="00BA741C"/>
    <w:rsid w:val="00BA756F"/>
    <w:rsid w:val="00BA794E"/>
    <w:rsid w:val="00BA79B0"/>
    <w:rsid w:val="00BA7A56"/>
    <w:rsid w:val="00BB0250"/>
    <w:rsid w:val="00BB0C2F"/>
    <w:rsid w:val="00BB0E5C"/>
    <w:rsid w:val="00BB13BC"/>
    <w:rsid w:val="00BB205E"/>
    <w:rsid w:val="00BB2304"/>
    <w:rsid w:val="00BB2DDD"/>
    <w:rsid w:val="00BB31B0"/>
    <w:rsid w:val="00BB3BDF"/>
    <w:rsid w:val="00BB45D6"/>
    <w:rsid w:val="00BB4720"/>
    <w:rsid w:val="00BB4A94"/>
    <w:rsid w:val="00BB4AC1"/>
    <w:rsid w:val="00BB4AE8"/>
    <w:rsid w:val="00BB4D73"/>
    <w:rsid w:val="00BB516F"/>
    <w:rsid w:val="00BB54E8"/>
    <w:rsid w:val="00BB6A1F"/>
    <w:rsid w:val="00BB76DE"/>
    <w:rsid w:val="00BB7769"/>
    <w:rsid w:val="00BB79CD"/>
    <w:rsid w:val="00BB7D5F"/>
    <w:rsid w:val="00BC10BD"/>
    <w:rsid w:val="00BC10CD"/>
    <w:rsid w:val="00BC1157"/>
    <w:rsid w:val="00BC286E"/>
    <w:rsid w:val="00BC3A25"/>
    <w:rsid w:val="00BC485C"/>
    <w:rsid w:val="00BC4B23"/>
    <w:rsid w:val="00BC56A6"/>
    <w:rsid w:val="00BC5F47"/>
    <w:rsid w:val="00BC5F57"/>
    <w:rsid w:val="00BC62D4"/>
    <w:rsid w:val="00BC692A"/>
    <w:rsid w:val="00BD0C73"/>
    <w:rsid w:val="00BD19C4"/>
    <w:rsid w:val="00BD1A6A"/>
    <w:rsid w:val="00BD1B09"/>
    <w:rsid w:val="00BD1C97"/>
    <w:rsid w:val="00BD22EF"/>
    <w:rsid w:val="00BD2AB9"/>
    <w:rsid w:val="00BD2BE7"/>
    <w:rsid w:val="00BD372C"/>
    <w:rsid w:val="00BD40E2"/>
    <w:rsid w:val="00BD46F8"/>
    <w:rsid w:val="00BD4A4E"/>
    <w:rsid w:val="00BD4B91"/>
    <w:rsid w:val="00BD5039"/>
    <w:rsid w:val="00BD573F"/>
    <w:rsid w:val="00BD5ADA"/>
    <w:rsid w:val="00BD6C2C"/>
    <w:rsid w:val="00BD7513"/>
    <w:rsid w:val="00BD7A5E"/>
    <w:rsid w:val="00BD7DF7"/>
    <w:rsid w:val="00BD7F35"/>
    <w:rsid w:val="00BE0481"/>
    <w:rsid w:val="00BE0798"/>
    <w:rsid w:val="00BE0FA0"/>
    <w:rsid w:val="00BE1924"/>
    <w:rsid w:val="00BE230B"/>
    <w:rsid w:val="00BE248C"/>
    <w:rsid w:val="00BE2A7F"/>
    <w:rsid w:val="00BE2DEA"/>
    <w:rsid w:val="00BE2E58"/>
    <w:rsid w:val="00BE30E6"/>
    <w:rsid w:val="00BE3268"/>
    <w:rsid w:val="00BE332E"/>
    <w:rsid w:val="00BE3DEA"/>
    <w:rsid w:val="00BE3FBC"/>
    <w:rsid w:val="00BE3FD9"/>
    <w:rsid w:val="00BE4D27"/>
    <w:rsid w:val="00BE6271"/>
    <w:rsid w:val="00BE7645"/>
    <w:rsid w:val="00BE7A36"/>
    <w:rsid w:val="00BE7AC3"/>
    <w:rsid w:val="00BE7C01"/>
    <w:rsid w:val="00BF0FC3"/>
    <w:rsid w:val="00BF183D"/>
    <w:rsid w:val="00BF1889"/>
    <w:rsid w:val="00BF2FFA"/>
    <w:rsid w:val="00BF3086"/>
    <w:rsid w:val="00BF3612"/>
    <w:rsid w:val="00BF4B1C"/>
    <w:rsid w:val="00BF5C56"/>
    <w:rsid w:val="00BF63BF"/>
    <w:rsid w:val="00BF6761"/>
    <w:rsid w:val="00BF784B"/>
    <w:rsid w:val="00BF7986"/>
    <w:rsid w:val="00BF7A97"/>
    <w:rsid w:val="00BF7C75"/>
    <w:rsid w:val="00BF7FDE"/>
    <w:rsid w:val="00C012D7"/>
    <w:rsid w:val="00C018D5"/>
    <w:rsid w:val="00C031FA"/>
    <w:rsid w:val="00C03332"/>
    <w:rsid w:val="00C03555"/>
    <w:rsid w:val="00C036B8"/>
    <w:rsid w:val="00C03D8A"/>
    <w:rsid w:val="00C041C3"/>
    <w:rsid w:val="00C044A3"/>
    <w:rsid w:val="00C04EB6"/>
    <w:rsid w:val="00C06255"/>
    <w:rsid w:val="00C065C2"/>
    <w:rsid w:val="00C06646"/>
    <w:rsid w:val="00C066B5"/>
    <w:rsid w:val="00C066F9"/>
    <w:rsid w:val="00C06C70"/>
    <w:rsid w:val="00C06D40"/>
    <w:rsid w:val="00C07009"/>
    <w:rsid w:val="00C070D8"/>
    <w:rsid w:val="00C10AE3"/>
    <w:rsid w:val="00C10E55"/>
    <w:rsid w:val="00C10FB6"/>
    <w:rsid w:val="00C117E4"/>
    <w:rsid w:val="00C11978"/>
    <w:rsid w:val="00C12608"/>
    <w:rsid w:val="00C128E2"/>
    <w:rsid w:val="00C12D4C"/>
    <w:rsid w:val="00C1325C"/>
    <w:rsid w:val="00C134F1"/>
    <w:rsid w:val="00C14E34"/>
    <w:rsid w:val="00C151FB"/>
    <w:rsid w:val="00C15789"/>
    <w:rsid w:val="00C1697E"/>
    <w:rsid w:val="00C175DE"/>
    <w:rsid w:val="00C177EF"/>
    <w:rsid w:val="00C2130B"/>
    <w:rsid w:val="00C21BCF"/>
    <w:rsid w:val="00C21F5A"/>
    <w:rsid w:val="00C21FA0"/>
    <w:rsid w:val="00C22D58"/>
    <w:rsid w:val="00C231AB"/>
    <w:rsid w:val="00C24A31"/>
    <w:rsid w:val="00C24CBE"/>
    <w:rsid w:val="00C24E47"/>
    <w:rsid w:val="00C265DB"/>
    <w:rsid w:val="00C2685A"/>
    <w:rsid w:val="00C269C5"/>
    <w:rsid w:val="00C26C63"/>
    <w:rsid w:val="00C26FB7"/>
    <w:rsid w:val="00C2711E"/>
    <w:rsid w:val="00C27278"/>
    <w:rsid w:val="00C3058D"/>
    <w:rsid w:val="00C31598"/>
    <w:rsid w:val="00C321B6"/>
    <w:rsid w:val="00C32EB9"/>
    <w:rsid w:val="00C32FD1"/>
    <w:rsid w:val="00C33D3D"/>
    <w:rsid w:val="00C349AE"/>
    <w:rsid w:val="00C34B2E"/>
    <w:rsid w:val="00C353DE"/>
    <w:rsid w:val="00C358B7"/>
    <w:rsid w:val="00C35F6B"/>
    <w:rsid w:val="00C3613B"/>
    <w:rsid w:val="00C3711E"/>
    <w:rsid w:val="00C37D62"/>
    <w:rsid w:val="00C37E9D"/>
    <w:rsid w:val="00C40168"/>
    <w:rsid w:val="00C40AEE"/>
    <w:rsid w:val="00C41189"/>
    <w:rsid w:val="00C4126C"/>
    <w:rsid w:val="00C41ACD"/>
    <w:rsid w:val="00C428E6"/>
    <w:rsid w:val="00C42E54"/>
    <w:rsid w:val="00C42F28"/>
    <w:rsid w:val="00C433AB"/>
    <w:rsid w:val="00C4373F"/>
    <w:rsid w:val="00C4383D"/>
    <w:rsid w:val="00C443F9"/>
    <w:rsid w:val="00C44AEB"/>
    <w:rsid w:val="00C45066"/>
    <w:rsid w:val="00C45135"/>
    <w:rsid w:val="00C45E6D"/>
    <w:rsid w:val="00C46051"/>
    <w:rsid w:val="00C46089"/>
    <w:rsid w:val="00C465B7"/>
    <w:rsid w:val="00C4660F"/>
    <w:rsid w:val="00C466C0"/>
    <w:rsid w:val="00C4684B"/>
    <w:rsid w:val="00C46DD9"/>
    <w:rsid w:val="00C5152A"/>
    <w:rsid w:val="00C5197C"/>
    <w:rsid w:val="00C51D6F"/>
    <w:rsid w:val="00C52FC6"/>
    <w:rsid w:val="00C530A9"/>
    <w:rsid w:val="00C5333C"/>
    <w:rsid w:val="00C53572"/>
    <w:rsid w:val="00C535B1"/>
    <w:rsid w:val="00C5411F"/>
    <w:rsid w:val="00C54835"/>
    <w:rsid w:val="00C562C9"/>
    <w:rsid w:val="00C56D67"/>
    <w:rsid w:val="00C571BD"/>
    <w:rsid w:val="00C572EF"/>
    <w:rsid w:val="00C574C9"/>
    <w:rsid w:val="00C575BA"/>
    <w:rsid w:val="00C579FB"/>
    <w:rsid w:val="00C57C12"/>
    <w:rsid w:val="00C57C5E"/>
    <w:rsid w:val="00C60100"/>
    <w:rsid w:val="00C625E6"/>
    <w:rsid w:val="00C6298B"/>
    <w:rsid w:val="00C6316E"/>
    <w:rsid w:val="00C632F6"/>
    <w:rsid w:val="00C6358E"/>
    <w:rsid w:val="00C646B3"/>
    <w:rsid w:val="00C64D48"/>
    <w:rsid w:val="00C65612"/>
    <w:rsid w:val="00C65D66"/>
    <w:rsid w:val="00C6721E"/>
    <w:rsid w:val="00C703E5"/>
    <w:rsid w:val="00C70D7D"/>
    <w:rsid w:val="00C71A7F"/>
    <w:rsid w:val="00C726E3"/>
    <w:rsid w:val="00C730A6"/>
    <w:rsid w:val="00C737B6"/>
    <w:rsid w:val="00C744BC"/>
    <w:rsid w:val="00C7634A"/>
    <w:rsid w:val="00C7675B"/>
    <w:rsid w:val="00C76773"/>
    <w:rsid w:val="00C76E1D"/>
    <w:rsid w:val="00C778DB"/>
    <w:rsid w:val="00C77A88"/>
    <w:rsid w:val="00C80194"/>
    <w:rsid w:val="00C801C3"/>
    <w:rsid w:val="00C805A4"/>
    <w:rsid w:val="00C807CF"/>
    <w:rsid w:val="00C80AB8"/>
    <w:rsid w:val="00C81507"/>
    <w:rsid w:val="00C82136"/>
    <w:rsid w:val="00C831EC"/>
    <w:rsid w:val="00C834BB"/>
    <w:rsid w:val="00C845CA"/>
    <w:rsid w:val="00C8471C"/>
    <w:rsid w:val="00C85BA5"/>
    <w:rsid w:val="00C85BE8"/>
    <w:rsid w:val="00C85F7C"/>
    <w:rsid w:val="00C8706B"/>
    <w:rsid w:val="00C870E0"/>
    <w:rsid w:val="00C87808"/>
    <w:rsid w:val="00C8780F"/>
    <w:rsid w:val="00C9008A"/>
    <w:rsid w:val="00C90149"/>
    <w:rsid w:val="00C90612"/>
    <w:rsid w:val="00C9153C"/>
    <w:rsid w:val="00C91702"/>
    <w:rsid w:val="00C917F4"/>
    <w:rsid w:val="00C92960"/>
    <w:rsid w:val="00C92E03"/>
    <w:rsid w:val="00C9378D"/>
    <w:rsid w:val="00C938FF"/>
    <w:rsid w:val="00C95EE3"/>
    <w:rsid w:val="00C963D9"/>
    <w:rsid w:val="00C96860"/>
    <w:rsid w:val="00C96B16"/>
    <w:rsid w:val="00C96BAE"/>
    <w:rsid w:val="00C972FF"/>
    <w:rsid w:val="00C97DAD"/>
    <w:rsid w:val="00CA0E2D"/>
    <w:rsid w:val="00CA12DC"/>
    <w:rsid w:val="00CA14C9"/>
    <w:rsid w:val="00CA2583"/>
    <w:rsid w:val="00CA2C96"/>
    <w:rsid w:val="00CA2F5A"/>
    <w:rsid w:val="00CA3884"/>
    <w:rsid w:val="00CA395A"/>
    <w:rsid w:val="00CA4488"/>
    <w:rsid w:val="00CA474E"/>
    <w:rsid w:val="00CA52FE"/>
    <w:rsid w:val="00CA5796"/>
    <w:rsid w:val="00CA606E"/>
    <w:rsid w:val="00CA6072"/>
    <w:rsid w:val="00CA60ED"/>
    <w:rsid w:val="00CA6122"/>
    <w:rsid w:val="00CA6273"/>
    <w:rsid w:val="00CA7670"/>
    <w:rsid w:val="00CA7816"/>
    <w:rsid w:val="00CA7AB6"/>
    <w:rsid w:val="00CB0262"/>
    <w:rsid w:val="00CB02DF"/>
    <w:rsid w:val="00CB038A"/>
    <w:rsid w:val="00CB06DC"/>
    <w:rsid w:val="00CB08E1"/>
    <w:rsid w:val="00CB0AAD"/>
    <w:rsid w:val="00CB0C53"/>
    <w:rsid w:val="00CB11CE"/>
    <w:rsid w:val="00CB228A"/>
    <w:rsid w:val="00CB2AFD"/>
    <w:rsid w:val="00CB2CE5"/>
    <w:rsid w:val="00CB4307"/>
    <w:rsid w:val="00CB436E"/>
    <w:rsid w:val="00CB48E4"/>
    <w:rsid w:val="00CB4959"/>
    <w:rsid w:val="00CB4A7D"/>
    <w:rsid w:val="00CB500D"/>
    <w:rsid w:val="00CB5082"/>
    <w:rsid w:val="00CB5661"/>
    <w:rsid w:val="00CB5745"/>
    <w:rsid w:val="00CB6B7A"/>
    <w:rsid w:val="00CB7342"/>
    <w:rsid w:val="00CB7378"/>
    <w:rsid w:val="00CC0892"/>
    <w:rsid w:val="00CC0B79"/>
    <w:rsid w:val="00CC196E"/>
    <w:rsid w:val="00CC19FC"/>
    <w:rsid w:val="00CC1B99"/>
    <w:rsid w:val="00CC1E5B"/>
    <w:rsid w:val="00CC2EF6"/>
    <w:rsid w:val="00CC323E"/>
    <w:rsid w:val="00CC3681"/>
    <w:rsid w:val="00CC3864"/>
    <w:rsid w:val="00CC4602"/>
    <w:rsid w:val="00CC4AC7"/>
    <w:rsid w:val="00CC4C9E"/>
    <w:rsid w:val="00CC5223"/>
    <w:rsid w:val="00CC5B84"/>
    <w:rsid w:val="00CC5D76"/>
    <w:rsid w:val="00CC66A0"/>
    <w:rsid w:val="00CC6AEE"/>
    <w:rsid w:val="00CC6F4E"/>
    <w:rsid w:val="00CC7741"/>
    <w:rsid w:val="00CC7D81"/>
    <w:rsid w:val="00CD0D74"/>
    <w:rsid w:val="00CD0E70"/>
    <w:rsid w:val="00CD0EBF"/>
    <w:rsid w:val="00CD16CF"/>
    <w:rsid w:val="00CD2437"/>
    <w:rsid w:val="00CD27D4"/>
    <w:rsid w:val="00CD37F8"/>
    <w:rsid w:val="00CD4F9A"/>
    <w:rsid w:val="00CD6B77"/>
    <w:rsid w:val="00CD6BE6"/>
    <w:rsid w:val="00CD6ECF"/>
    <w:rsid w:val="00CD7EA6"/>
    <w:rsid w:val="00CE0167"/>
    <w:rsid w:val="00CE0756"/>
    <w:rsid w:val="00CE0C60"/>
    <w:rsid w:val="00CE1716"/>
    <w:rsid w:val="00CE2718"/>
    <w:rsid w:val="00CE2BD2"/>
    <w:rsid w:val="00CE2CE0"/>
    <w:rsid w:val="00CE334A"/>
    <w:rsid w:val="00CE3768"/>
    <w:rsid w:val="00CE377C"/>
    <w:rsid w:val="00CE3B7D"/>
    <w:rsid w:val="00CE44E3"/>
    <w:rsid w:val="00CE49CC"/>
    <w:rsid w:val="00CE4A39"/>
    <w:rsid w:val="00CE4F65"/>
    <w:rsid w:val="00CE5AB1"/>
    <w:rsid w:val="00CE63B4"/>
    <w:rsid w:val="00CE6613"/>
    <w:rsid w:val="00CE68D4"/>
    <w:rsid w:val="00CE7FAD"/>
    <w:rsid w:val="00CF0BEE"/>
    <w:rsid w:val="00CF0EF0"/>
    <w:rsid w:val="00CF15E7"/>
    <w:rsid w:val="00CF208E"/>
    <w:rsid w:val="00CF3FEE"/>
    <w:rsid w:val="00CF4241"/>
    <w:rsid w:val="00CF4D72"/>
    <w:rsid w:val="00CF4E4B"/>
    <w:rsid w:val="00CF7343"/>
    <w:rsid w:val="00D0068A"/>
    <w:rsid w:val="00D008DC"/>
    <w:rsid w:val="00D0148E"/>
    <w:rsid w:val="00D015CA"/>
    <w:rsid w:val="00D02999"/>
    <w:rsid w:val="00D02D7A"/>
    <w:rsid w:val="00D030F2"/>
    <w:rsid w:val="00D035AD"/>
    <w:rsid w:val="00D04131"/>
    <w:rsid w:val="00D050E2"/>
    <w:rsid w:val="00D05F45"/>
    <w:rsid w:val="00D06270"/>
    <w:rsid w:val="00D07248"/>
    <w:rsid w:val="00D07BCE"/>
    <w:rsid w:val="00D10A8A"/>
    <w:rsid w:val="00D11241"/>
    <w:rsid w:val="00D112A6"/>
    <w:rsid w:val="00D11457"/>
    <w:rsid w:val="00D125D2"/>
    <w:rsid w:val="00D12DB0"/>
    <w:rsid w:val="00D13FD5"/>
    <w:rsid w:val="00D14532"/>
    <w:rsid w:val="00D15A8B"/>
    <w:rsid w:val="00D15BAA"/>
    <w:rsid w:val="00D1628A"/>
    <w:rsid w:val="00D16723"/>
    <w:rsid w:val="00D16C5F"/>
    <w:rsid w:val="00D16E82"/>
    <w:rsid w:val="00D16EA8"/>
    <w:rsid w:val="00D176ED"/>
    <w:rsid w:val="00D17A91"/>
    <w:rsid w:val="00D202A9"/>
    <w:rsid w:val="00D20F3D"/>
    <w:rsid w:val="00D214B4"/>
    <w:rsid w:val="00D219F2"/>
    <w:rsid w:val="00D21E5F"/>
    <w:rsid w:val="00D238E0"/>
    <w:rsid w:val="00D238ED"/>
    <w:rsid w:val="00D23D62"/>
    <w:rsid w:val="00D2429E"/>
    <w:rsid w:val="00D246DF"/>
    <w:rsid w:val="00D24E3C"/>
    <w:rsid w:val="00D2651A"/>
    <w:rsid w:val="00D27C1C"/>
    <w:rsid w:val="00D308C4"/>
    <w:rsid w:val="00D30A4F"/>
    <w:rsid w:val="00D30D3F"/>
    <w:rsid w:val="00D31281"/>
    <w:rsid w:val="00D31591"/>
    <w:rsid w:val="00D3250D"/>
    <w:rsid w:val="00D3250F"/>
    <w:rsid w:val="00D33D18"/>
    <w:rsid w:val="00D33D44"/>
    <w:rsid w:val="00D343C8"/>
    <w:rsid w:val="00D353E6"/>
    <w:rsid w:val="00D35AC9"/>
    <w:rsid w:val="00D363C8"/>
    <w:rsid w:val="00D36B97"/>
    <w:rsid w:val="00D409E4"/>
    <w:rsid w:val="00D40DF3"/>
    <w:rsid w:val="00D4177D"/>
    <w:rsid w:val="00D41BCF"/>
    <w:rsid w:val="00D41D75"/>
    <w:rsid w:val="00D41E38"/>
    <w:rsid w:val="00D41F45"/>
    <w:rsid w:val="00D433AC"/>
    <w:rsid w:val="00D4456A"/>
    <w:rsid w:val="00D44FEE"/>
    <w:rsid w:val="00D45F18"/>
    <w:rsid w:val="00D47417"/>
    <w:rsid w:val="00D47CAA"/>
    <w:rsid w:val="00D511CC"/>
    <w:rsid w:val="00D513A8"/>
    <w:rsid w:val="00D52A7B"/>
    <w:rsid w:val="00D54384"/>
    <w:rsid w:val="00D543E9"/>
    <w:rsid w:val="00D55040"/>
    <w:rsid w:val="00D55AB9"/>
    <w:rsid w:val="00D568ED"/>
    <w:rsid w:val="00D57009"/>
    <w:rsid w:val="00D572D6"/>
    <w:rsid w:val="00D578B9"/>
    <w:rsid w:val="00D57D2B"/>
    <w:rsid w:val="00D6156A"/>
    <w:rsid w:val="00D624B9"/>
    <w:rsid w:val="00D62592"/>
    <w:rsid w:val="00D62681"/>
    <w:rsid w:val="00D62701"/>
    <w:rsid w:val="00D62E98"/>
    <w:rsid w:val="00D62EFA"/>
    <w:rsid w:val="00D635E8"/>
    <w:rsid w:val="00D63733"/>
    <w:rsid w:val="00D63BF1"/>
    <w:rsid w:val="00D63C1B"/>
    <w:rsid w:val="00D643BE"/>
    <w:rsid w:val="00D64ECF"/>
    <w:rsid w:val="00D6538A"/>
    <w:rsid w:val="00D6552A"/>
    <w:rsid w:val="00D66335"/>
    <w:rsid w:val="00D66AFE"/>
    <w:rsid w:val="00D66F68"/>
    <w:rsid w:val="00D66FDE"/>
    <w:rsid w:val="00D670AC"/>
    <w:rsid w:val="00D70D2C"/>
    <w:rsid w:val="00D70F83"/>
    <w:rsid w:val="00D7167B"/>
    <w:rsid w:val="00D7273E"/>
    <w:rsid w:val="00D7292E"/>
    <w:rsid w:val="00D73853"/>
    <w:rsid w:val="00D739E6"/>
    <w:rsid w:val="00D74119"/>
    <w:rsid w:val="00D744FF"/>
    <w:rsid w:val="00D746A9"/>
    <w:rsid w:val="00D757A6"/>
    <w:rsid w:val="00D75F9F"/>
    <w:rsid w:val="00D76030"/>
    <w:rsid w:val="00D765A6"/>
    <w:rsid w:val="00D76795"/>
    <w:rsid w:val="00D8064F"/>
    <w:rsid w:val="00D80F2D"/>
    <w:rsid w:val="00D81474"/>
    <w:rsid w:val="00D814AB"/>
    <w:rsid w:val="00D81B96"/>
    <w:rsid w:val="00D81F79"/>
    <w:rsid w:val="00D821C0"/>
    <w:rsid w:val="00D822BE"/>
    <w:rsid w:val="00D824E9"/>
    <w:rsid w:val="00D82FA6"/>
    <w:rsid w:val="00D8428A"/>
    <w:rsid w:val="00D849C1"/>
    <w:rsid w:val="00D84F2C"/>
    <w:rsid w:val="00D8521B"/>
    <w:rsid w:val="00D85FDD"/>
    <w:rsid w:val="00D905EA"/>
    <w:rsid w:val="00D90B00"/>
    <w:rsid w:val="00D912E8"/>
    <w:rsid w:val="00D91350"/>
    <w:rsid w:val="00D9188C"/>
    <w:rsid w:val="00D9212F"/>
    <w:rsid w:val="00D922C3"/>
    <w:rsid w:val="00D93080"/>
    <w:rsid w:val="00D94745"/>
    <w:rsid w:val="00D948A7"/>
    <w:rsid w:val="00D94BF5"/>
    <w:rsid w:val="00D95BF4"/>
    <w:rsid w:val="00DA20DB"/>
    <w:rsid w:val="00DA264A"/>
    <w:rsid w:val="00DA2788"/>
    <w:rsid w:val="00DA364B"/>
    <w:rsid w:val="00DA37BA"/>
    <w:rsid w:val="00DA3AEC"/>
    <w:rsid w:val="00DA46D5"/>
    <w:rsid w:val="00DA4AA4"/>
    <w:rsid w:val="00DA5063"/>
    <w:rsid w:val="00DA5352"/>
    <w:rsid w:val="00DA5721"/>
    <w:rsid w:val="00DA7284"/>
    <w:rsid w:val="00DA78F3"/>
    <w:rsid w:val="00DA7FE7"/>
    <w:rsid w:val="00DB01E8"/>
    <w:rsid w:val="00DB1239"/>
    <w:rsid w:val="00DB2B7A"/>
    <w:rsid w:val="00DB2D1E"/>
    <w:rsid w:val="00DB2F89"/>
    <w:rsid w:val="00DB3ECB"/>
    <w:rsid w:val="00DB3FEA"/>
    <w:rsid w:val="00DB42FA"/>
    <w:rsid w:val="00DB46B9"/>
    <w:rsid w:val="00DB4827"/>
    <w:rsid w:val="00DB5A77"/>
    <w:rsid w:val="00DB6279"/>
    <w:rsid w:val="00DB6980"/>
    <w:rsid w:val="00DB7520"/>
    <w:rsid w:val="00DB7BD1"/>
    <w:rsid w:val="00DC00BC"/>
    <w:rsid w:val="00DC0853"/>
    <w:rsid w:val="00DC10DF"/>
    <w:rsid w:val="00DC1B1B"/>
    <w:rsid w:val="00DC2291"/>
    <w:rsid w:val="00DC2DAE"/>
    <w:rsid w:val="00DC3D78"/>
    <w:rsid w:val="00DC3E36"/>
    <w:rsid w:val="00DC414A"/>
    <w:rsid w:val="00DC4FA0"/>
    <w:rsid w:val="00DC4FEC"/>
    <w:rsid w:val="00DC5AE8"/>
    <w:rsid w:val="00DC6938"/>
    <w:rsid w:val="00DC712B"/>
    <w:rsid w:val="00DC7894"/>
    <w:rsid w:val="00DD0F58"/>
    <w:rsid w:val="00DD1054"/>
    <w:rsid w:val="00DD14E6"/>
    <w:rsid w:val="00DD290C"/>
    <w:rsid w:val="00DD367D"/>
    <w:rsid w:val="00DD39C7"/>
    <w:rsid w:val="00DD4360"/>
    <w:rsid w:val="00DD4C58"/>
    <w:rsid w:val="00DD6311"/>
    <w:rsid w:val="00DD7A56"/>
    <w:rsid w:val="00DD7F8E"/>
    <w:rsid w:val="00DE051B"/>
    <w:rsid w:val="00DE0D10"/>
    <w:rsid w:val="00DE0DD8"/>
    <w:rsid w:val="00DE10A5"/>
    <w:rsid w:val="00DE17E6"/>
    <w:rsid w:val="00DE1AF7"/>
    <w:rsid w:val="00DE2254"/>
    <w:rsid w:val="00DE28FE"/>
    <w:rsid w:val="00DE2906"/>
    <w:rsid w:val="00DE34FD"/>
    <w:rsid w:val="00DE4110"/>
    <w:rsid w:val="00DE520D"/>
    <w:rsid w:val="00DE5682"/>
    <w:rsid w:val="00DE6D2B"/>
    <w:rsid w:val="00DE73D4"/>
    <w:rsid w:val="00DE7811"/>
    <w:rsid w:val="00DF0C2E"/>
    <w:rsid w:val="00DF0E39"/>
    <w:rsid w:val="00DF118B"/>
    <w:rsid w:val="00DF15CA"/>
    <w:rsid w:val="00DF1738"/>
    <w:rsid w:val="00DF28F2"/>
    <w:rsid w:val="00DF2FC3"/>
    <w:rsid w:val="00DF3AED"/>
    <w:rsid w:val="00DF3CEE"/>
    <w:rsid w:val="00DF400D"/>
    <w:rsid w:val="00DF48E9"/>
    <w:rsid w:val="00DF4A8C"/>
    <w:rsid w:val="00DF4B04"/>
    <w:rsid w:val="00DF4EB7"/>
    <w:rsid w:val="00DF6F3F"/>
    <w:rsid w:val="00DF75CC"/>
    <w:rsid w:val="00DF7888"/>
    <w:rsid w:val="00E0310E"/>
    <w:rsid w:val="00E031A2"/>
    <w:rsid w:val="00E035D3"/>
    <w:rsid w:val="00E03856"/>
    <w:rsid w:val="00E03D87"/>
    <w:rsid w:val="00E03E2C"/>
    <w:rsid w:val="00E0507D"/>
    <w:rsid w:val="00E053A0"/>
    <w:rsid w:val="00E06050"/>
    <w:rsid w:val="00E06578"/>
    <w:rsid w:val="00E06FE8"/>
    <w:rsid w:val="00E0729E"/>
    <w:rsid w:val="00E072E8"/>
    <w:rsid w:val="00E07BB2"/>
    <w:rsid w:val="00E106AF"/>
    <w:rsid w:val="00E10A4B"/>
    <w:rsid w:val="00E129B7"/>
    <w:rsid w:val="00E134AB"/>
    <w:rsid w:val="00E13599"/>
    <w:rsid w:val="00E14562"/>
    <w:rsid w:val="00E14FF2"/>
    <w:rsid w:val="00E154DF"/>
    <w:rsid w:val="00E156E8"/>
    <w:rsid w:val="00E161AF"/>
    <w:rsid w:val="00E17556"/>
    <w:rsid w:val="00E20102"/>
    <w:rsid w:val="00E20DB7"/>
    <w:rsid w:val="00E20EAD"/>
    <w:rsid w:val="00E22E94"/>
    <w:rsid w:val="00E23D7B"/>
    <w:rsid w:val="00E23D9C"/>
    <w:rsid w:val="00E23E08"/>
    <w:rsid w:val="00E24267"/>
    <w:rsid w:val="00E251C4"/>
    <w:rsid w:val="00E254DE"/>
    <w:rsid w:val="00E25F23"/>
    <w:rsid w:val="00E26657"/>
    <w:rsid w:val="00E26AEB"/>
    <w:rsid w:val="00E26FB5"/>
    <w:rsid w:val="00E27537"/>
    <w:rsid w:val="00E27A85"/>
    <w:rsid w:val="00E27BCD"/>
    <w:rsid w:val="00E27FDC"/>
    <w:rsid w:val="00E30E2F"/>
    <w:rsid w:val="00E316C2"/>
    <w:rsid w:val="00E318B1"/>
    <w:rsid w:val="00E319F9"/>
    <w:rsid w:val="00E31C0B"/>
    <w:rsid w:val="00E31CC0"/>
    <w:rsid w:val="00E3259C"/>
    <w:rsid w:val="00E3263C"/>
    <w:rsid w:val="00E32DD5"/>
    <w:rsid w:val="00E33156"/>
    <w:rsid w:val="00E33A4B"/>
    <w:rsid w:val="00E33C07"/>
    <w:rsid w:val="00E345B7"/>
    <w:rsid w:val="00E34973"/>
    <w:rsid w:val="00E34B9D"/>
    <w:rsid w:val="00E357D3"/>
    <w:rsid w:val="00E35CB6"/>
    <w:rsid w:val="00E35CF5"/>
    <w:rsid w:val="00E35E95"/>
    <w:rsid w:val="00E37171"/>
    <w:rsid w:val="00E4006A"/>
    <w:rsid w:val="00E41068"/>
    <w:rsid w:val="00E41167"/>
    <w:rsid w:val="00E41259"/>
    <w:rsid w:val="00E42F02"/>
    <w:rsid w:val="00E431D1"/>
    <w:rsid w:val="00E43B83"/>
    <w:rsid w:val="00E44BAA"/>
    <w:rsid w:val="00E46F60"/>
    <w:rsid w:val="00E472E9"/>
    <w:rsid w:val="00E5029B"/>
    <w:rsid w:val="00E50460"/>
    <w:rsid w:val="00E508C1"/>
    <w:rsid w:val="00E52A26"/>
    <w:rsid w:val="00E52E72"/>
    <w:rsid w:val="00E5334D"/>
    <w:rsid w:val="00E534E4"/>
    <w:rsid w:val="00E53C35"/>
    <w:rsid w:val="00E53EFA"/>
    <w:rsid w:val="00E544B3"/>
    <w:rsid w:val="00E54987"/>
    <w:rsid w:val="00E55393"/>
    <w:rsid w:val="00E55475"/>
    <w:rsid w:val="00E5582D"/>
    <w:rsid w:val="00E564C0"/>
    <w:rsid w:val="00E56D21"/>
    <w:rsid w:val="00E579CD"/>
    <w:rsid w:val="00E600D3"/>
    <w:rsid w:val="00E61255"/>
    <w:rsid w:val="00E6206A"/>
    <w:rsid w:val="00E62BC4"/>
    <w:rsid w:val="00E63984"/>
    <w:rsid w:val="00E64551"/>
    <w:rsid w:val="00E646F9"/>
    <w:rsid w:val="00E64830"/>
    <w:rsid w:val="00E64CCC"/>
    <w:rsid w:val="00E65F5F"/>
    <w:rsid w:val="00E66087"/>
    <w:rsid w:val="00E67091"/>
    <w:rsid w:val="00E67B25"/>
    <w:rsid w:val="00E702AC"/>
    <w:rsid w:val="00E702E0"/>
    <w:rsid w:val="00E70DDA"/>
    <w:rsid w:val="00E7100E"/>
    <w:rsid w:val="00E710DF"/>
    <w:rsid w:val="00E7196C"/>
    <w:rsid w:val="00E71EB9"/>
    <w:rsid w:val="00E721EC"/>
    <w:rsid w:val="00E72607"/>
    <w:rsid w:val="00E72B93"/>
    <w:rsid w:val="00E72B9D"/>
    <w:rsid w:val="00E72E76"/>
    <w:rsid w:val="00E72E77"/>
    <w:rsid w:val="00E72EFE"/>
    <w:rsid w:val="00E7419A"/>
    <w:rsid w:val="00E74270"/>
    <w:rsid w:val="00E748B7"/>
    <w:rsid w:val="00E74E0D"/>
    <w:rsid w:val="00E7500D"/>
    <w:rsid w:val="00E7558B"/>
    <w:rsid w:val="00E75687"/>
    <w:rsid w:val="00E7620C"/>
    <w:rsid w:val="00E762F8"/>
    <w:rsid w:val="00E766EB"/>
    <w:rsid w:val="00E76AEF"/>
    <w:rsid w:val="00E77153"/>
    <w:rsid w:val="00E77288"/>
    <w:rsid w:val="00E7767D"/>
    <w:rsid w:val="00E77F1E"/>
    <w:rsid w:val="00E804FE"/>
    <w:rsid w:val="00E80675"/>
    <w:rsid w:val="00E8080C"/>
    <w:rsid w:val="00E80C25"/>
    <w:rsid w:val="00E80F06"/>
    <w:rsid w:val="00E8102F"/>
    <w:rsid w:val="00E8145C"/>
    <w:rsid w:val="00E81BC1"/>
    <w:rsid w:val="00E822D9"/>
    <w:rsid w:val="00E85257"/>
    <w:rsid w:val="00E85394"/>
    <w:rsid w:val="00E85A8C"/>
    <w:rsid w:val="00E86E33"/>
    <w:rsid w:val="00E87953"/>
    <w:rsid w:val="00E87D4D"/>
    <w:rsid w:val="00E90027"/>
    <w:rsid w:val="00E90485"/>
    <w:rsid w:val="00E906C1"/>
    <w:rsid w:val="00E90839"/>
    <w:rsid w:val="00E90B6F"/>
    <w:rsid w:val="00E917F5"/>
    <w:rsid w:val="00E92222"/>
    <w:rsid w:val="00E9231A"/>
    <w:rsid w:val="00E92A4A"/>
    <w:rsid w:val="00E9323B"/>
    <w:rsid w:val="00E93598"/>
    <w:rsid w:val="00E93A30"/>
    <w:rsid w:val="00E9432A"/>
    <w:rsid w:val="00E947A1"/>
    <w:rsid w:val="00E952D9"/>
    <w:rsid w:val="00E95AFA"/>
    <w:rsid w:val="00E97819"/>
    <w:rsid w:val="00EA0C12"/>
    <w:rsid w:val="00EA0C6C"/>
    <w:rsid w:val="00EA0F2B"/>
    <w:rsid w:val="00EA13B8"/>
    <w:rsid w:val="00EA19D3"/>
    <w:rsid w:val="00EA1A1E"/>
    <w:rsid w:val="00EA1A71"/>
    <w:rsid w:val="00EA1A82"/>
    <w:rsid w:val="00EA1BE9"/>
    <w:rsid w:val="00EA2A32"/>
    <w:rsid w:val="00EA31A6"/>
    <w:rsid w:val="00EA31D5"/>
    <w:rsid w:val="00EA35EC"/>
    <w:rsid w:val="00EA38BA"/>
    <w:rsid w:val="00EA3E9A"/>
    <w:rsid w:val="00EA41CB"/>
    <w:rsid w:val="00EA4575"/>
    <w:rsid w:val="00EA466D"/>
    <w:rsid w:val="00EA4AE5"/>
    <w:rsid w:val="00EA4B2C"/>
    <w:rsid w:val="00EA61BC"/>
    <w:rsid w:val="00EA6918"/>
    <w:rsid w:val="00EB0AE5"/>
    <w:rsid w:val="00EB0E46"/>
    <w:rsid w:val="00EB18FB"/>
    <w:rsid w:val="00EB1A89"/>
    <w:rsid w:val="00EB1C31"/>
    <w:rsid w:val="00EB2124"/>
    <w:rsid w:val="00EB2234"/>
    <w:rsid w:val="00EB2905"/>
    <w:rsid w:val="00EB2AD8"/>
    <w:rsid w:val="00EB2B3F"/>
    <w:rsid w:val="00EB3514"/>
    <w:rsid w:val="00EB37F5"/>
    <w:rsid w:val="00EB3E62"/>
    <w:rsid w:val="00EB42F3"/>
    <w:rsid w:val="00EB4DA8"/>
    <w:rsid w:val="00EB5877"/>
    <w:rsid w:val="00EB5B79"/>
    <w:rsid w:val="00EB65CA"/>
    <w:rsid w:val="00EB6C66"/>
    <w:rsid w:val="00EC05F0"/>
    <w:rsid w:val="00EC16BB"/>
    <w:rsid w:val="00EC1C09"/>
    <w:rsid w:val="00EC1F23"/>
    <w:rsid w:val="00EC2E49"/>
    <w:rsid w:val="00EC36C8"/>
    <w:rsid w:val="00EC3F66"/>
    <w:rsid w:val="00EC4C52"/>
    <w:rsid w:val="00EC5B54"/>
    <w:rsid w:val="00EC5BFE"/>
    <w:rsid w:val="00EC5C9D"/>
    <w:rsid w:val="00EC699A"/>
    <w:rsid w:val="00EC6ACF"/>
    <w:rsid w:val="00EC6DA4"/>
    <w:rsid w:val="00ED0F02"/>
    <w:rsid w:val="00ED12C0"/>
    <w:rsid w:val="00ED13E7"/>
    <w:rsid w:val="00ED1DE2"/>
    <w:rsid w:val="00ED1E1D"/>
    <w:rsid w:val="00ED2410"/>
    <w:rsid w:val="00ED3854"/>
    <w:rsid w:val="00ED3FD8"/>
    <w:rsid w:val="00ED40BF"/>
    <w:rsid w:val="00ED5504"/>
    <w:rsid w:val="00ED589D"/>
    <w:rsid w:val="00ED67C0"/>
    <w:rsid w:val="00ED67E8"/>
    <w:rsid w:val="00ED6F81"/>
    <w:rsid w:val="00ED76AC"/>
    <w:rsid w:val="00EE0216"/>
    <w:rsid w:val="00EE035D"/>
    <w:rsid w:val="00EE06AF"/>
    <w:rsid w:val="00EE13B0"/>
    <w:rsid w:val="00EE19D2"/>
    <w:rsid w:val="00EE30F1"/>
    <w:rsid w:val="00EE3432"/>
    <w:rsid w:val="00EE43E1"/>
    <w:rsid w:val="00EE450B"/>
    <w:rsid w:val="00EE45C1"/>
    <w:rsid w:val="00EE52D4"/>
    <w:rsid w:val="00EE53FF"/>
    <w:rsid w:val="00EE5562"/>
    <w:rsid w:val="00EE5D3F"/>
    <w:rsid w:val="00EE7EA5"/>
    <w:rsid w:val="00EE7F26"/>
    <w:rsid w:val="00EF018B"/>
    <w:rsid w:val="00EF02A6"/>
    <w:rsid w:val="00EF0595"/>
    <w:rsid w:val="00EF05F4"/>
    <w:rsid w:val="00EF0917"/>
    <w:rsid w:val="00EF0ACF"/>
    <w:rsid w:val="00EF0B6B"/>
    <w:rsid w:val="00EF0EFD"/>
    <w:rsid w:val="00EF1978"/>
    <w:rsid w:val="00EF1D71"/>
    <w:rsid w:val="00EF2279"/>
    <w:rsid w:val="00EF228F"/>
    <w:rsid w:val="00EF2E07"/>
    <w:rsid w:val="00EF2EE6"/>
    <w:rsid w:val="00EF4590"/>
    <w:rsid w:val="00EF49C7"/>
    <w:rsid w:val="00EF5637"/>
    <w:rsid w:val="00EF56BF"/>
    <w:rsid w:val="00EF69A0"/>
    <w:rsid w:val="00EF6A68"/>
    <w:rsid w:val="00EF6AE8"/>
    <w:rsid w:val="00EF762C"/>
    <w:rsid w:val="00EF7CDD"/>
    <w:rsid w:val="00EF7D7B"/>
    <w:rsid w:val="00EF7EF4"/>
    <w:rsid w:val="00F003C2"/>
    <w:rsid w:val="00F0154C"/>
    <w:rsid w:val="00F0182C"/>
    <w:rsid w:val="00F0242E"/>
    <w:rsid w:val="00F02E9F"/>
    <w:rsid w:val="00F039AC"/>
    <w:rsid w:val="00F043EA"/>
    <w:rsid w:val="00F05845"/>
    <w:rsid w:val="00F0652C"/>
    <w:rsid w:val="00F06EC5"/>
    <w:rsid w:val="00F07323"/>
    <w:rsid w:val="00F079FA"/>
    <w:rsid w:val="00F07ACA"/>
    <w:rsid w:val="00F1020A"/>
    <w:rsid w:val="00F10B26"/>
    <w:rsid w:val="00F11BEC"/>
    <w:rsid w:val="00F1314F"/>
    <w:rsid w:val="00F135DC"/>
    <w:rsid w:val="00F14B59"/>
    <w:rsid w:val="00F15585"/>
    <w:rsid w:val="00F20EA0"/>
    <w:rsid w:val="00F21F1B"/>
    <w:rsid w:val="00F227E2"/>
    <w:rsid w:val="00F22928"/>
    <w:rsid w:val="00F23A1B"/>
    <w:rsid w:val="00F23DD6"/>
    <w:rsid w:val="00F249BF"/>
    <w:rsid w:val="00F25A10"/>
    <w:rsid w:val="00F2643E"/>
    <w:rsid w:val="00F26A30"/>
    <w:rsid w:val="00F26AF3"/>
    <w:rsid w:val="00F27B29"/>
    <w:rsid w:val="00F30075"/>
    <w:rsid w:val="00F30F9F"/>
    <w:rsid w:val="00F321C8"/>
    <w:rsid w:val="00F3254C"/>
    <w:rsid w:val="00F33098"/>
    <w:rsid w:val="00F34056"/>
    <w:rsid w:val="00F34253"/>
    <w:rsid w:val="00F3503A"/>
    <w:rsid w:val="00F3616A"/>
    <w:rsid w:val="00F36BF4"/>
    <w:rsid w:val="00F37A95"/>
    <w:rsid w:val="00F40608"/>
    <w:rsid w:val="00F406F4"/>
    <w:rsid w:val="00F40C90"/>
    <w:rsid w:val="00F410B5"/>
    <w:rsid w:val="00F411FE"/>
    <w:rsid w:val="00F41CAA"/>
    <w:rsid w:val="00F42FB8"/>
    <w:rsid w:val="00F42FD5"/>
    <w:rsid w:val="00F440FF"/>
    <w:rsid w:val="00F445DF"/>
    <w:rsid w:val="00F44961"/>
    <w:rsid w:val="00F4544C"/>
    <w:rsid w:val="00F4563D"/>
    <w:rsid w:val="00F463AB"/>
    <w:rsid w:val="00F46A5E"/>
    <w:rsid w:val="00F4773C"/>
    <w:rsid w:val="00F4796F"/>
    <w:rsid w:val="00F5030D"/>
    <w:rsid w:val="00F50AE8"/>
    <w:rsid w:val="00F51051"/>
    <w:rsid w:val="00F515B3"/>
    <w:rsid w:val="00F515DB"/>
    <w:rsid w:val="00F51B49"/>
    <w:rsid w:val="00F5260D"/>
    <w:rsid w:val="00F528E5"/>
    <w:rsid w:val="00F530ED"/>
    <w:rsid w:val="00F5340E"/>
    <w:rsid w:val="00F53459"/>
    <w:rsid w:val="00F53BF1"/>
    <w:rsid w:val="00F54CE5"/>
    <w:rsid w:val="00F5527B"/>
    <w:rsid w:val="00F55792"/>
    <w:rsid w:val="00F55EC8"/>
    <w:rsid w:val="00F567A4"/>
    <w:rsid w:val="00F56A44"/>
    <w:rsid w:val="00F56FC9"/>
    <w:rsid w:val="00F57514"/>
    <w:rsid w:val="00F57D44"/>
    <w:rsid w:val="00F611A6"/>
    <w:rsid w:val="00F613DA"/>
    <w:rsid w:val="00F61D29"/>
    <w:rsid w:val="00F6226C"/>
    <w:rsid w:val="00F6243F"/>
    <w:rsid w:val="00F62841"/>
    <w:rsid w:val="00F62B9E"/>
    <w:rsid w:val="00F62BB2"/>
    <w:rsid w:val="00F62BED"/>
    <w:rsid w:val="00F63129"/>
    <w:rsid w:val="00F6352F"/>
    <w:rsid w:val="00F643B6"/>
    <w:rsid w:val="00F64A35"/>
    <w:rsid w:val="00F64A8C"/>
    <w:rsid w:val="00F64C27"/>
    <w:rsid w:val="00F64DEA"/>
    <w:rsid w:val="00F6565C"/>
    <w:rsid w:val="00F65CCC"/>
    <w:rsid w:val="00F65D05"/>
    <w:rsid w:val="00F66FB0"/>
    <w:rsid w:val="00F67139"/>
    <w:rsid w:val="00F7005D"/>
    <w:rsid w:val="00F7027D"/>
    <w:rsid w:val="00F70479"/>
    <w:rsid w:val="00F705F6"/>
    <w:rsid w:val="00F71C84"/>
    <w:rsid w:val="00F73587"/>
    <w:rsid w:val="00F73F9F"/>
    <w:rsid w:val="00F74167"/>
    <w:rsid w:val="00F745E1"/>
    <w:rsid w:val="00F754FE"/>
    <w:rsid w:val="00F7568A"/>
    <w:rsid w:val="00F75701"/>
    <w:rsid w:val="00F75C4D"/>
    <w:rsid w:val="00F76E0E"/>
    <w:rsid w:val="00F76ED4"/>
    <w:rsid w:val="00F778D9"/>
    <w:rsid w:val="00F77BFA"/>
    <w:rsid w:val="00F77C13"/>
    <w:rsid w:val="00F77D20"/>
    <w:rsid w:val="00F8080D"/>
    <w:rsid w:val="00F8100D"/>
    <w:rsid w:val="00F81543"/>
    <w:rsid w:val="00F815AC"/>
    <w:rsid w:val="00F818F4"/>
    <w:rsid w:val="00F81E37"/>
    <w:rsid w:val="00F822BB"/>
    <w:rsid w:val="00F8303F"/>
    <w:rsid w:val="00F84628"/>
    <w:rsid w:val="00F846D7"/>
    <w:rsid w:val="00F84FA6"/>
    <w:rsid w:val="00F858D8"/>
    <w:rsid w:val="00F85B9E"/>
    <w:rsid w:val="00F86B84"/>
    <w:rsid w:val="00F86E06"/>
    <w:rsid w:val="00F86F65"/>
    <w:rsid w:val="00F9041A"/>
    <w:rsid w:val="00F90F21"/>
    <w:rsid w:val="00F914BE"/>
    <w:rsid w:val="00F91562"/>
    <w:rsid w:val="00F91835"/>
    <w:rsid w:val="00F91EEB"/>
    <w:rsid w:val="00F9276A"/>
    <w:rsid w:val="00F92A6C"/>
    <w:rsid w:val="00F93617"/>
    <w:rsid w:val="00F94F25"/>
    <w:rsid w:val="00F9515B"/>
    <w:rsid w:val="00F954CB"/>
    <w:rsid w:val="00F95B1B"/>
    <w:rsid w:val="00F9639A"/>
    <w:rsid w:val="00F96682"/>
    <w:rsid w:val="00F9705E"/>
    <w:rsid w:val="00F9755C"/>
    <w:rsid w:val="00F97D54"/>
    <w:rsid w:val="00FA19CB"/>
    <w:rsid w:val="00FA1B15"/>
    <w:rsid w:val="00FA3E46"/>
    <w:rsid w:val="00FA4070"/>
    <w:rsid w:val="00FA4A63"/>
    <w:rsid w:val="00FA4ABC"/>
    <w:rsid w:val="00FA4D81"/>
    <w:rsid w:val="00FA508F"/>
    <w:rsid w:val="00FA5EBA"/>
    <w:rsid w:val="00FA6250"/>
    <w:rsid w:val="00FA6395"/>
    <w:rsid w:val="00FA643D"/>
    <w:rsid w:val="00FA6CB9"/>
    <w:rsid w:val="00FA73F8"/>
    <w:rsid w:val="00FB03CE"/>
    <w:rsid w:val="00FB1E38"/>
    <w:rsid w:val="00FB2068"/>
    <w:rsid w:val="00FB28DC"/>
    <w:rsid w:val="00FB3ABC"/>
    <w:rsid w:val="00FB3CBC"/>
    <w:rsid w:val="00FB3DC2"/>
    <w:rsid w:val="00FB45A4"/>
    <w:rsid w:val="00FB57A5"/>
    <w:rsid w:val="00FB5B40"/>
    <w:rsid w:val="00FC0808"/>
    <w:rsid w:val="00FC0957"/>
    <w:rsid w:val="00FC114C"/>
    <w:rsid w:val="00FC31B7"/>
    <w:rsid w:val="00FC36C8"/>
    <w:rsid w:val="00FC42ED"/>
    <w:rsid w:val="00FC4741"/>
    <w:rsid w:val="00FC5200"/>
    <w:rsid w:val="00FC52FF"/>
    <w:rsid w:val="00FC5A72"/>
    <w:rsid w:val="00FC5ED5"/>
    <w:rsid w:val="00FC69DF"/>
    <w:rsid w:val="00FC71D1"/>
    <w:rsid w:val="00FC7674"/>
    <w:rsid w:val="00FC79F6"/>
    <w:rsid w:val="00FC7DE9"/>
    <w:rsid w:val="00FC7FF3"/>
    <w:rsid w:val="00FD00BE"/>
    <w:rsid w:val="00FD03DA"/>
    <w:rsid w:val="00FD093D"/>
    <w:rsid w:val="00FD1141"/>
    <w:rsid w:val="00FD27BC"/>
    <w:rsid w:val="00FD33A0"/>
    <w:rsid w:val="00FD33BD"/>
    <w:rsid w:val="00FD4210"/>
    <w:rsid w:val="00FD4919"/>
    <w:rsid w:val="00FD4ADE"/>
    <w:rsid w:val="00FD4E7E"/>
    <w:rsid w:val="00FD50C7"/>
    <w:rsid w:val="00FD553B"/>
    <w:rsid w:val="00FD57CC"/>
    <w:rsid w:val="00FD5D32"/>
    <w:rsid w:val="00FD5E20"/>
    <w:rsid w:val="00FD5FBA"/>
    <w:rsid w:val="00FD7344"/>
    <w:rsid w:val="00FD79B0"/>
    <w:rsid w:val="00FE0EAB"/>
    <w:rsid w:val="00FE1A01"/>
    <w:rsid w:val="00FE20C3"/>
    <w:rsid w:val="00FE2419"/>
    <w:rsid w:val="00FE3510"/>
    <w:rsid w:val="00FE38E6"/>
    <w:rsid w:val="00FE3BE2"/>
    <w:rsid w:val="00FE43DA"/>
    <w:rsid w:val="00FE5CF4"/>
    <w:rsid w:val="00FE5F1D"/>
    <w:rsid w:val="00FE6488"/>
    <w:rsid w:val="00FE6797"/>
    <w:rsid w:val="00FE7FDD"/>
    <w:rsid w:val="00FF02F6"/>
    <w:rsid w:val="00FF0411"/>
    <w:rsid w:val="00FF0D73"/>
    <w:rsid w:val="00FF1783"/>
    <w:rsid w:val="00FF1B2B"/>
    <w:rsid w:val="00FF2AF4"/>
    <w:rsid w:val="00FF3343"/>
    <w:rsid w:val="00FF4AF4"/>
    <w:rsid w:val="00FF4CAB"/>
    <w:rsid w:val="00FF599C"/>
    <w:rsid w:val="00FF623D"/>
    <w:rsid w:val="00FF6463"/>
    <w:rsid w:val="00FF73C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docId w15:val="{FB00DC46-DA99-4A2E-AB8D-5D2BF1E501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MS Mincho" w:hAnsi="Calibri"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iPriority="99" w:unhideWhenUsed="1"/>
    <w:lsdException w:name="endnote reference" w:semiHidden="1" w:uiPriority="99" w:unhideWhenUsed="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iPriority="99"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qFormat="1"/>
    <w:lsdException w:name="Document Map" w:semiHidden="1" w:uiPriority="99"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75DF9"/>
    <w:rPr>
      <w:rFonts w:ascii="Tahoma" w:hAnsi="Tahoma"/>
      <w:sz w:val="18"/>
      <w:szCs w:val="22"/>
    </w:rPr>
  </w:style>
  <w:style w:type="paragraph" w:styleId="Heading1">
    <w:name w:val="heading 1"/>
    <w:basedOn w:val="Normal"/>
    <w:next w:val="Normal"/>
    <w:link w:val="Heading1Char"/>
    <w:uiPriority w:val="9"/>
    <w:qFormat/>
    <w:rsid w:val="00B0065F"/>
    <w:pPr>
      <w:keepNext/>
      <w:spacing w:before="200" w:after="120"/>
      <w:outlineLvl w:val="0"/>
    </w:pPr>
    <w:rPr>
      <w:b/>
      <w:bCs/>
      <w:caps/>
      <w:color w:val="000000"/>
      <w:sz w:val="36"/>
      <w:szCs w:val="36"/>
    </w:rPr>
  </w:style>
  <w:style w:type="paragraph" w:styleId="Heading2">
    <w:name w:val="heading 2"/>
    <w:basedOn w:val="Normal"/>
    <w:next w:val="Normal"/>
    <w:link w:val="Heading2Char"/>
    <w:uiPriority w:val="9"/>
    <w:qFormat/>
    <w:rsid w:val="00DA37BA"/>
    <w:pPr>
      <w:ind w:left="720"/>
      <w:outlineLvl w:val="1"/>
    </w:pPr>
    <w:rPr>
      <w:rFonts w:ascii="Trebuchet MS" w:hAnsi="Trebuchet MS"/>
      <w:b/>
      <w:sz w:val="24"/>
      <w:szCs w:val="24"/>
    </w:rPr>
  </w:style>
  <w:style w:type="paragraph" w:styleId="Heading3">
    <w:name w:val="heading 3"/>
    <w:basedOn w:val="Heading2"/>
    <w:next w:val="Normal"/>
    <w:link w:val="Heading3Char"/>
    <w:uiPriority w:val="9"/>
    <w:qFormat/>
    <w:rsid w:val="00DA37BA"/>
    <w:pPr>
      <w:ind w:left="0"/>
      <w:outlineLvl w:val="2"/>
    </w:pPr>
    <w:rPr>
      <w:sz w:val="20"/>
      <w:szCs w:val="20"/>
    </w:rPr>
  </w:style>
  <w:style w:type="paragraph" w:styleId="Heading4">
    <w:name w:val="heading 4"/>
    <w:basedOn w:val="Normal"/>
    <w:next w:val="Normal"/>
    <w:link w:val="Heading4Char"/>
    <w:uiPriority w:val="9"/>
    <w:qFormat/>
    <w:rsid w:val="00DA37BA"/>
    <w:pPr>
      <w:keepNext/>
      <w:tabs>
        <w:tab w:val="num" w:pos="720"/>
      </w:tabs>
      <w:spacing w:before="60"/>
      <w:ind w:left="720" w:hanging="360"/>
      <w:outlineLvl w:val="3"/>
    </w:pPr>
    <w:rPr>
      <w:rFonts w:ascii="Trebuchet MS" w:hAnsi="Trebuchet MS"/>
      <w:b/>
      <w:sz w:val="20"/>
      <w:szCs w:val="20"/>
    </w:rPr>
  </w:style>
  <w:style w:type="paragraph" w:styleId="Heading5">
    <w:name w:val="heading 5"/>
    <w:basedOn w:val="AppendixIndent"/>
    <w:next w:val="Normal"/>
    <w:link w:val="Heading5Char"/>
    <w:uiPriority w:val="9"/>
    <w:qFormat/>
    <w:rsid w:val="00DA37BA"/>
    <w:pPr>
      <w:outlineLvl w:val="4"/>
    </w:pPr>
    <w:rPr>
      <w:u w:val="single"/>
    </w:rPr>
  </w:style>
  <w:style w:type="paragraph" w:styleId="Heading6">
    <w:name w:val="heading 6"/>
    <w:basedOn w:val="Body"/>
    <w:next w:val="Normal"/>
    <w:link w:val="Heading6Char"/>
    <w:uiPriority w:val="9"/>
    <w:qFormat/>
    <w:rsid w:val="00DA37BA"/>
    <w:pPr>
      <w:spacing w:after="120"/>
      <w:ind w:left="0"/>
      <w:outlineLvl w:val="5"/>
    </w:pPr>
    <w:rPr>
      <w:b/>
      <w:color w:val="FF6600"/>
      <w:szCs w:val="20"/>
    </w:rPr>
  </w:style>
  <w:style w:type="paragraph" w:styleId="Heading7">
    <w:name w:val="heading 7"/>
    <w:basedOn w:val="Heading3"/>
    <w:next w:val="Normal"/>
    <w:link w:val="Heading7Char"/>
    <w:uiPriority w:val="9"/>
    <w:qFormat/>
    <w:rsid w:val="00DA37BA"/>
    <w:pPr>
      <w:outlineLvl w:val="6"/>
    </w:pPr>
  </w:style>
  <w:style w:type="paragraph" w:styleId="Heading8">
    <w:name w:val="heading 8"/>
    <w:basedOn w:val="Normal"/>
    <w:next w:val="Normal"/>
    <w:link w:val="Heading8Char"/>
    <w:uiPriority w:val="9"/>
    <w:qFormat/>
    <w:rsid w:val="00DA37BA"/>
    <w:pPr>
      <w:spacing w:before="240" w:after="60"/>
      <w:outlineLvl w:val="7"/>
    </w:pPr>
    <w:rPr>
      <w:rFonts w:ascii="Times New Roman" w:hAnsi="Times New Roman"/>
      <w:i/>
      <w:iCs/>
      <w:sz w:val="24"/>
      <w:szCs w:val="24"/>
    </w:rPr>
  </w:style>
  <w:style w:type="paragraph" w:styleId="Heading9">
    <w:name w:val="heading 9"/>
    <w:basedOn w:val="Normal"/>
    <w:next w:val="Normal"/>
    <w:link w:val="Heading9Char"/>
    <w:uiPriority w:val="9"/>
    <w:qFormat/>
    <w:rsid w:val="00DA37BA"/>
    <w:pPr>
      <w:spacing w:before="240" w:after="60"/>
      <w:outlineLvl w:val="8"/>
    </w:pPr>
    <w:rPr>
      <w:rFonts w:ascii="Arial" w:hAnsi="Arial"/>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B0065F"/>
    <w:rPr>
      <w:rFonts w:ascii="Tahoma" w:hAnsi="Tahoma"/>
      <w:b/>
      <w:bCs/>
      <w:caps/>
      <w:color w:val="000000"/>
      <w:sz w:val="36"/>
      <w:szCs w:val="36"/>
    </w:rPr>
  </w:style>
  <w:style w:type="character" w:customStyle="1" w:styleId="Heading2Char">
    <w:name w:val="Heading 2 Char"/>
    <w:link w:val="Heading2"/>
    <w:uiPriority w:val="9"/>
    <w:rsid w:val="00DA37BA"/>
    <w:rPr>
      <w:rFonts w:ascii="Trebuchet MS" w:eastAsia="MS Mincho" w:hAnsi="Trebuchet MS" w:cs="Times New Roman"/>
      <w:b/>
      <w:sz w:val="24"/>
      <w:szCs w:val="24"/>
    </w:rPr>
  </w:style>
  <w:style w:type="character" w:customStyle="1" w:styleId="Heading3Char">
    <w:name w:val="Heading 3 Char"/>
    <w:link w:val="Heading3"/>
    <w:uiPriority w:val="9"/>
    <w:rsid w:val="00DA37BA"/>
    <w:rPr>
      <w:rFonts w:ascii="Trebuchet MS" w:eastAsia="MS Mincho" w:hAnsi="Trebuchet MS" w:cs="Times New Roman"/>
      <w:b/>
      <w:sz w:val="20"/>
      <w:szCs w:val="20"/>
    </w:rPr>
  </w:style>
  <w:style w:type="character" w:customStyle="1" w:styleId="Heading4Char">
    <w:name w:val="Heading 4 Char"/>
    <w:link w:val="Heading4"/>
    <w:uiPriority w:val="9"/>
    <w:rsid w:val="00DA37BA"/>
    <w:rPr>
      <w:rFonts w:ascii="Trebuchet MS" w:eastAsia="MS Mincho" w:hAnsi="Trebuchet MS" w:cs="Times New Roman"/>
      <w:b/>
      <w:sz w:val="20"/>
      <w:szCs w:val="20"/>
    </w:rPr>
  </w:style>
  <w:style w:type="paragraph" w:customStyle="1" w:styleId="AppendixIndent">
    <w:name w:val="Appendix Indent"/>
    <w:basedOn w:val="Normal"/>
    <w:rsid w:val="00DA37BA"/>
    <w:pPr>
      <w:spacing w:before="60"/>
      <w:ind w:left="360"/>
    </w:pPr>
    <w:rPr>
      <w:rFonts w:ascii="Trebuchet MS" w:hAnsi="Trebuchet MS"/>
      <w:sz w:val="20"/>
      <w:szCs w:val="20"/>
    </w:rPr>
  </w:style>
  <w:style w:type="character" w:customStyle="1" w:styleId="Heading5Char">
    <w:name w:val="Heading 5 Char"/>
    <w:link w:val="Heading5"/>
    <w:uiPriority w:val="9"/>
    <w:rsid w:val="00DA37BA"/>
    <w:rPr>
      <w:rFonts w:ascii="Trebuchet MS" w:eastAsia="MS Mincho" w:hAnsi="Trebuchet MS" w:cs="Times New Roman"/>
      <w:sz w:val="20"/>
      <w:szCs w:val="20"/>
      <w:u w:val="single"/>
    </w:rPr>
  </w:style>
  <w:style w:type="paragraph" w:customStyle="1" w:styleId="Body">
    <w:name w:val="Body"/>
    <w:basedOn w:val="Normal"/>
    <w:rsid w:val="00DA37BA"/>
    <w:pPr>
      <w:ind w:left="720"/>
    </w:pPr>
    <w:rPr>
      <w:rFonts w:ascii="Trebuchet MS" w:hAnsi="Trebuchet MS"/>
      <w:sz w:val="20"/>
      <w:szCs w:val="24"/>
    </w:rPr>
  </w:style>
  <w:style w:type="character" w:customStyle="1" w:styleId="Heading6Char">
    <w:name w:val="Heading 6 Char"/>
    <w:link w:val="Heading6"/>
    <w:uiPriority w:val="9"/>
    <w:rsid w:val="00DA37BA"/>
    <w:rPr>
      <w:rFonts w:ascii="Trebuchet MS" w:eastAsia="MS Mincho" w:hAnsi="Trebuchet MS" w:cs="Times New Roman"/>
      <w:b/>
      <w:color w:val="FF6600"/>
      <w:sz w:val="20"/>
      <w:szCs w:val="20"/>
    </w:rPr>
  </w:style>
  <w:style w:type="character" w:customStyle="1" w:styleId="Heading7Char">
    <w:name w:val="Heading 7 Char"/>
    <w:link w:val="Heading7"/>
    <w:uiPriority w:val="9"/>
    <w:rsid w:val="00DA37BA"/>
    <w:rPr>
      <w:rFonts w:ascii="Trebuchet MS" w:eastAsia="MS Mincho" w:hAnsi="Trebuchet MS" w:cs="Times New Roman"/>
      <w:b/>
      <w:sz w:val="20"/>
      <w:szCs w:val="20"/>
    </w:rPr>
  </w:style>
  <w:style w:type="character" w:customStyle="1" w:styleId="Heading8Char">
    <w:name w:val="Heading 8 Char"/>
    <w:link w:val="Heading8"/>
    <w:uiPriority w:val="9"/>
    <w:rsid w:val="00DA37BA"/>
    <w:rPr>
      <w:rFonts w:ascii="Times New Roman" w:eastAsia="MS Mincho" w:hAnsi="Times New Roman" w:cs="Times New Roman"/>
      <w:i/>
      <w:iCs/>
      <w:sz w:val="24"/>
      <w:szCs w:val="24"/>
    </w:rPr>
  </w:style>
  <w:style w:type="character" w:customStyle="1" w:styleId="Heading9Char">
    <w:name w:val="Heading 9 Char"/>
    <w:link w:val="Heading9"/>
    <w:uiPriority w:val="9"/>
    <w:rsid w:val="00DA37BA"/>
    <w:rPr>
      <w:rFonts w:ascii="Arial" w:eastAsia="MS Mincho" w:hAnsi="Arial" w:cs="Arial"/>
    </w:rPr>
  </w:style>
  <w:style w:type="character" w:styleId="Hyperlink">
    <w:name w:val="Hyperlink"/>
    <w:uiPriority w:val="99"/>
    <w:unhideWhenUsed/>
    <w:rsid w:val="00DA37BA"/>
    <w:rPr>
      <w:rFonts w:cs="Times New Roman"/>
      <w:color w:val="0000FF"/>
      <w:u w:val="single"/>
    </w:rPr>
  </w:style>
  <w:style w:type="character" w:customStyle="1" w:styleId="BodyChar">
    <w:name w:val="Body Char"/>
    <w:rsid w:val="00DA37BA"/>
    <w:rPr>
      <w:rFonts w:ascii="Trebuchet MS" w:hAnsi="Trebuchet MS" w:cs="Times New Roman"/>
      <w:sz w:val="24"/>
      <w:szCs w:val="24"/>
      <w:lang w:val="en-US" w:eastAsia="en-US" w:bidi="ar-SA"/>
    </w:rPr>
  </w:style>
  <w:style w:type="paragraph" w:customStyle="1" w:styleId="Char">
    <w:name w:val="Char"/>
    <w:basedOn w:val="Normal"/>
    <w:rsid w:val="00DA37BA"/>
    <w:pPr>
      <w:spacing w:after="160" w:line="240" w:lineRule="exact"/>
    </w:pPr>
    <w:rPr>
      <w:sz w:val="20"/>
      <w:szCs w:val="20"/>
    </w:rPr>
  </w:style>
  <w:style w:type="paragraph" w:customStyle="1" w:styleId="ProductNames">
    <w:name w:val="Product Names"/>
    <w:basedOn w:val="Normal"/>
    <w:rsid w:val="00DA37BA"/>
    <w:pPr>
      <w:keepLines/>
      <w:spacing w:before="20" w:after="20"/>
    </w:pPr>
    <w:rPr>
      <w:rFonts w:ascii="Trebuchet MS" w:hAnsi="Trebuchet MS" w:cs="Arial"/>
      <w:position w:val="-11"/>
      <w:sz w:val="16"/>
      <w:szCs w:val="16"/>
    </w:rPr>
  </w:style>
  <w:style w:type="character" w:customStyle="1" w:styleId="ProductNamesChar">
    <w:name w:val="Product Names Char"/>
    <w:rsid w:val="00DA37BA"/>
    <w:rPr>
      <w:rFonts w:ascii="Trebuchet MS" w:hAnsi="Trebuchet MS" w:cs="Arial"/>
      <w:position w:val="-11"/>
      <w:sz w:val="16"/>
      <w:szCs w:val="16"/>
    </w:rPr>
  </w:style>
  <w:style w:type="paragraph" w:customStyle="1" w:styleId="ChartKeyHeadings">
    <w:name w:val="ChartKey Headings"/>
    <w:basedOn w:val="Normal"/>
    <w:rsid w:val="00DA37BA"/>
    <w:pPr>
      <w:ind w:left="720"/>
    </w:pPr>
    <w:rPr>
      <w:rFonts w:ascii="Trebuchet MS" w:hAnsi="Trebuchet MS" w:cs="Arial"/>
      <w:b/>
      <w:sz w:val="24"/>
      <w:szCs w:val="20"/>
    </w:rPr>
  </w:style>
  <w:style w:type="character" w:styleId="FollowedHyperlink">
    <w:name w:val="FollowedHyperlink"/>
    <w:uiPriority w:val="99"/>
    <w:rsid w:val="00DA37BA"/>
    <w:rPr>
      <w:rFonts w:cs="Times New Roman"/>
      <w:color w:val="800080"/>
      <w:u w:val="single"/>
    </w:rPr>
  </w:style>
  <w:style w:type="paragraph" w:styleId="Header">
    <w:name w:val="header"/>
    <w:basedOn w:val="Normal"/>
    <w:link w:val="HeaderChar"/>
    <w:uiPriority w:val="99"/>
    <w:rsid w:val="00DA37BA"/>
    <w:pPr>
      <w:tabs>
        <w:tab w:val="left" w:pos="3240"/>
      </w:tabs>
      <w:spacing w:before="400"/>
      <w:ind w:right="-187"/>
      <w:jc w:val="center"/>
    </w:pPr>
    <w:rPr>
      <w:rFonts w:ascii="Trebuchet MS" w:hAnsi="Trebuchet MS"/>
      <w:sz w:val="15"/>
      <w:szCs w:val="15"/>
    </w:rPr>
  </w:style>
  <w:style w:type="character" w:customStyle="1" w:styleId="HeaderChar">
    <w:name w:val="Header Char"/>
    <w:link w:val="Header"/>
    <w:uiPriority w:val="99"/>
    <w:rsid w:val="00DA37BA"/>
    <w:rPr>
      <w:rFonts w:ascii="Trebuchet MS" w:eastAsia="MS Mincho" w:hAnsi="Trebuchet MS" w:cs="Arial"/>
      <w:sz w:val="15"/>
      <w:szCs w:val="15"/>
    </w:rPr>
  </w:style>
  <w:style w:type="paragraph" w:styleId="Footer">
    <w:name w:val="footer"/>
    <w:basedOn w:val="Normal"/>
    <w:link w:val="FooterChar"/>
    <w:uiPriority w:val="99"/>
    <w:rsid w:val="00DA37BA"/>
    <w:pPr>
      <w:tabs>
        <w:tab w:val="center" w:pos="5155"/>
        <w:tab w:val="right" w:pos="10325"/>
      </w:tabs>
      <w:spacing w:line="210" w:lineRule="exact"/>
    </w:pPr>
    <w:rPr>
      <w:rFonts w:ascii="Arial Narrow" w:hAnsi="Arial Narrow"/>
      <w:szCs w:val="20"/>
    </w:rPr>
  </w:style>
  <w:style w:type="character" w:customStyle="1" w:styleId="FooterChar">
    <w:name w:val="Footer Char"/>
    <w:link w:val="Footer"/>
    <w:uiPriority w:val="99"/>
    <w:rsid w:val="00DA37BA"/>
    <w:rPr>
      <w:rFonts w:ascii="Arial Narrow" w:eastAsia="MS Mincho" w:hAnsi="Arial Narrow" w:cs="Arial"/>
      <w:sz w:val="18"/>
      <w:szCs w:val="20"/>
    </w:rPr>
  </w:style>
  <w:style w:type="paragraph" w:customStyle="1" w:styleId="PublishDate">
    <w:name w:val="Publish Date"/>
    <w:basedOn w:val="Normal"/>
    <w:rsid w:val="00DA37BA"/>
    <w:pPr>
      <w:jc w:val="right"/>
    </w:pPr>
    <w:rPr>
      <w:rFonts w:ascii="Trebuchet MS" w:hAnsi="Trebuchet MS" w:cs="Arial"/>
      <w:color w:val="808080"/>
      <w:sz w:val="20"/>
      <w:szCs w:val="20"/>
    </w:rPr>
  </w:style>
  <w:style w:type="character" w:customStyle="1" w:styleId="ProductEndnoteChar">
    <w:name w:val="Product Endnote Char"/>
    <w:link w:val="ProductEndnote"/>
    <w:uiPriority w:val="99"/>
    <w:locked/>
    <w:rsid w:val="00DA37BA"/>
    <w:rPr>
      <w:rFonts w:ascii="Trebuchet MS" w:hAnsi="Trebuchet MS" w:cs="Times New Roman"/>
      <w:b/>
      <w:color w:val="FF6600"/>
      <w:sz w:val="24"/>
      <w:szCs w:val="24"/>
    </w:rPr>
  </w:style>
  <w:style w:type="paragraph" w:customStyle="1" w:styleId="ProductEndnote">
    <w:name w:val="Product Endnote"/>
    <w:basedOn w:val="Normal"/>
    <w:link w:val="ProductEndnoteChar"/>
    <w:uiPriority w:val="99"/>
    <w:rsid w:val="00DA37BA"/>
    <w:pPr>
      <w:keepNext/>
      <w:spacing w:after="120"/>
      <w:ind w:left="216" w:hanging="216"/>
    </w:pPr>
    <w:rPr>
      <w:rFonts w:ascii="Trebuchet MS" w:hAnsi="Trebuchet MS"/>
      <w:b/>
      <w:color w:val="FF6600"/>
      <w:sz w:val="24"/>
      <w:szCs w:val="24"/>
    </w:rPr>
  </w:style>
  <w:style w:type="paragraph" w:styleId="TOC1">
    <w:name w:val="toc 1"/>
    <w:basedOn w:val="Normal"/>
    <w:next w:val="Normal"/>
    <w:uiPriority w:val="39"/>
    <w:rsid w:val="0051046C"/>
    <w:pPr>
      <w:keepNext/>
      <w:tabs>
        <w:tab w:val="right" w:leader="dot" w:pos="9360"/>
      </w:tabs>
      <w:spacing w:before="120"/>
      <w:ind w:right="-187"/>
    </w:pPr>
    <w:rPr>
      <w:rFonts w:cs="Tahoma"/>
      <w:b/>
      <w:caps/>
      <w:noProof/>
      <w:color w:val="000000"/>
      <w:sz w:val="22"/>
      <w:szCs w:val="18"/>
    </w:rPr>
  </w:style>
  <w:style w:type="paragraph" w:customStyle="1" w:styleId="BulletedList">
    <w:name w:val="Bulleted List"/>
    <w:basedOn w:val="Normal"/>
    <w:rsid w:val="00DA37BA"/>
    <w:pPr>
      <w:tabs>
        <w:tab w:val="num" w:pos="1080"/>
      </w:tabs>
      <w:ind w:left="720"/>
    </w:pPr>
    <w:rPr>
      <w:rFonts w:ascii="Trebuchet MS" w:hAnsi="Trebuchet MS"/>
      <w:sz w:val="20"/>
      <w:szCs w:val="24"/>
    </w:rPr>
  </w:style>
  <w:style w:type="paragraph" w:customStyle="1" w:styleId="Bodywithspace">
    <w:name w:val="Body with space"/>
    <w:basedOn w:val="Normal"/>
    <w:rsid w:val="00DA37BA"/>
    <w:pPr>
      <w:spacing w:before="80" w:after="80"/>
      <w:ind w:left="720"/>
    </w:pPr>
    <w:rPr>
      <w:rFonts w:ascii="Trebuchet MS" w:hAnsi="Trebuchet MS" w:cs="Arial"/>
      <w:sz w:val="20"/>
      <w:szCs w:val="20"/>
    </w:rPr>
  </w:style>
  <w:style w:type="paragraph" w:customStyle="1" w:styleId="TableHeadingsGreen">
    <w:name w:val="Table Headings Green"/>
    <w:basedOn w:val="Normal"/>
    <w:rsid w:val="00DA37BA"/>
    <w:pPr>
      <w:spacing w:before="40"/>
      <w:jc w:val="center"/>
    </w:pPr>
    <w:rPr>
      <w:rFonts w:ascii="Trebuchet MS" w:hAnsi="Trebuchet MS"/>
      <w:b/>
      <w:bCs/>
      <w:color w:val="008000"/>
      <w:sz w:val="11"/>
      <w:szCs w:val="20"/>
    </w:rPr>
  </w:style>
  <w:style w:type="paragraph" w:customStyle="1" w:styleId="NumberedSteps">
    <w:name w:val="Numbered Steps"/>
    <w:basedOn w:val="Body"/>
    <w:rsid w:val="00DA37BA"/>
    <w:pPr>
      <w:spacing w:before="200" w:after="200"/>
    </w:pPr>
    <w:rPr>
      <w:bCs/>
    </w:rPr>
  </w:style>
  <w:style w:type="paragraph" w:styleId="EndnoteText">
    <w:name w:val="endnote text"/>
    <w:basedOn w:val="Normal"/>
    <w:link w:val="EndnoteTextChar1"/>
    <w:uiPriority w:val="99"/>
    <w:rsid w:val="00DA37BA"/>
    <w:pPr>
      <w:ind w:left="900"/>
    </w:pPr>
    <w:rPr>
      <w:rFonts w:ascii="Trebuchet MS" w:hAnsi="Trebuchet MS"/>
      <w:sz w:val="20"/>
      <w:szCs w:val="24"/>
    </w:rPr>
  </w:style>
  <w:style w:type="character" w:customStyle="1" w:styleId="EndnoteTextChar1">
    <w:name w:val="Endnote Text Char1"/>
    <w:link w:val="EndnoteText"/>
    <w:uiPriority w:val="99"/>
    <w:locked/>
    <w:rsid w:val="00DA37BA"/>
    <w:rPr>
      <w:rFonts w:ascii="Trebuchet MS" w:eastAsia="MS Mincho" w:hAnsi="Trebuchet MS" w:cs="Times New Roman"/>
      <w:sz w:val="20"/>
      <w:szCs w:val="24"/>
    </w:rPr>
  </w:style>
  <w:style w:type="character" w:customStyle="1" w:styleId="EndnoteTextChar">
    <w:name w:val="Endnote Text Char"/>
    <w:uiPriority w:val="99"/>
    <w:rsid w:val="00DA37BA"/>
    <w:rPr>
      <w:rFonts w:ascii="Calibri" w:eastAsia="MS Mincho" w:hAnsi="Calibri" w:cs="Times New Roman"/>
      <w:sz w:val="20"/>
      <w:szCs w:val="20"/>
    </w:rPr>
  </w:style>
  <w:style w:type="character" w:styleId="EndnoteReference">
    <w:name w:val="endnote reference"/>
    <w:uiPriority w:val="99"/>
    <w:semiHidden/>
    <w:rsid w:val="00DA37BA"/>
    <w:rPr>
      <w:rFonts w:ascii="Trebuchet MS" w:hAnsi="Trebuchet MS" w:cs="Times New Roman"/>
      <w:b/>
      <w:color w:val="FF0000"/>
      <w:sz w:val="18"/>
      <w:vertAlign w:val="superscript"/>
    </w:rPr>
  </w:style>
  <w:style w:type="paragraph" w:customStyle="1" w:styleId="TableVerticalText">
    <w:name w:val="Table Vertical Text"/>
    <w:basedOn w:val="Normal"/>
    <w:rsid w:val="00DA37BA"/>
    <w:pPr>
      <w:ind w:left="115" w:right="115"/>
      <w:jc w:val="center"/>
    </w:pPr>
    <w:rPr>
      <w:rFonts w:ascii="Trebuchet MS" w:hAnsi="Trebuchet MS"/>
      <w:sz w:val="11"/>
      <w:szCs w:val="20"/>
    </w:rPr>
  </w:style>
  <w:style w:type="paragraph" w:customStyle="1" w:styleId="TableHeadingsBlack">
    <w:name w:val="Table Headings Black"/>
    <w:basedOn w:val="Normal"/>
    <w:rsid w:val="00DA37BA"/>
    <w:pPr>
      <w:spacing w:before="40"/>
      <w:jc w:val="center"/>
    </w:pPr>
    <w:rPr>
      <w:rFonts w:ascii="Trebuchet MS" w:hAnsi="Trebuchet MS"/>
      <w:sz w:val="11"/>
      <w:szCs w:val="20"/>
    </w:rPr>
  </w:style>
  <w:style w:type="paragraph" w:customStyle="1" w:styleId="TableHeadingsBlue">
    <w:name w:val="Table Headings Blue"/>
    <w:basedOn w:val="Normal"/>
    <w:rsid w:val="00DA37BA"/>
    <w:pPr>
      <w:spacing w:before="40"/>
      <w:jc w:val="center"/>
    </w:pPr>
    <w:rPr>
      <w:rFonts w:ascii="Trebuchet MS" w:hAnsi="Trebuchet MS"/>
      <w:b/>
      <w:bCs/>
      <w:color w:val="0000FF"/>
      <w:sz w:val="11"/>
      <w:szCs w:val="20"/>
    </w:rPr>
  </w:style>
  <w:style w:type="paragraph" w:customStyle="1" w:styleId="TableHeadingsRed">
    <w:name w:val="Table Headings Red"/>
    <w:basedOn w:val="Normal"/>
    <w:rsid w:val="00DA37BA"/>
    <w:pPr>
      <w:spacing w:before="40"/>
      <w:jc w:val="center"/>
    </w:pPr>
    <w:rPr>
      <w:rFonts w:ascii="Trebuchet MS" w:hAnsi="Trebuchet MS"/>
      <w:b/>
      <w:bCs/>
      <w:color w:val="FF0000"/>
      <w:sz w:val="11"/>
      <w:szCs w:val="20"/>
    </w:rPr>
  </w:style>
  <w:style w:type="paragraph" w:customStyle="1" w:styleId="TableText">
    <w:name w:val="Table Text"/>
    <w:basedOn w:val="Heading3"/>
    <w:rsid w:val="00DA37BA"/>
    <w:pPr>
      <w:jc w:val="center"/>
      <w:outlineLvl w:val="9"/>
    </w:pPr>
    <w:rPr>
      <w:b w:val="0"/>
      <w:sz w:val="15"/>
      <w:szCs w:val="15"/>
    </w:rPr>
  </w:style>
  <w:style w:type="paragraph" w:customStyle="1" w:styleId="AppendixTableHeadings">
    <w:name w:val="Appendix Table Headings"/>
    <w:basedOn w:val="AppendixTableText"/>
    <w:rsid w:val="00DA37BA"/>
    <w:rPr>
      <w:b/>
      <w:bCs/>
    </w:rPr>
  </w:style>
  <w:style w:type="paragraph" w:customStyle="1" w:styleId="AppendixTableText">
    <w:name w:val="Appendix Table Text"/>
    <w:basedOn w:val="Normal"/>
    <w:rsid w:val="00DA37BA"/>
    <w:pPr>
      <w:spacing w:line="240" w:lineRule="atLeast"/>
      <w:jc w:val="center"/>
    </w:pPr>
    <w:rPr>
      <w:rFonts w:ascii="Trebuchet MS" w:hAnsi="Trebuchet MS" w:cs="Arial"/>
      <w:szCs w:val="18"/>
    </w:rPr>
  </w:style>
  <w:style w:type="paragraph" w:styleId="TOC2">
    <w:name w:val="toc 2"/>
    <w:basedOn w:val="Normal"/>
    <w:next w:val="Normal"/>
    <w:uiPriority w:val="39"/>
    <w:rsid w:val="00DA37BA"/>
    <w:pPr>
      <w:tabs>
        <w:tab w:val="right" w:leader="dot" w:pos="9360"/>
      </w:tabs>
    </w:pPr>
    <w:rPr>
      <w:noProof/>
      <w:szCs w:val="20"/>
    </w:rPr>
  </w:style>
  <w:style w:type="paragraph" w:customStyle="1" w:styleId="FootnoteBulletLevel2">
    <w:name w:val="Footnote Bullet Level 2"/>
    <w:basedOn w:val="Normal"/>
    <w:rsid w:val="00DA37BA"/>
    <w:pPr>
      <w:tabs>
        <w:tab w:val="num" w:pos="1260"/>
      </w:tabs>
      <w:adjustRightInd w:val="0"/>
      <w:snapToGrid w:val="0"/>
      <w:spacing w:before="120"/>
      <w:ind w:left="1267" w:hanging="360"/>
      <w:textAlignment w:val="baseline"/>
    </w:pPr>
    <w:rPr>
      <w:rFonts w:ascii="Trebuchet MS" w:hAnsi="Trebuchet MS"/>
      <w:sz w:val="20"/>
      <w:szCs w:val="24"/>
      <w:lang w:eastAsia="ja-JP"/>
    </w:rPr>
  </w:style>
  <w:style w:type="paragraph" w:customStyle="1" w:styleId="Footnotedash">
    <w:name w:val="Footnote dash"/>
    <w:basedOn w:val="Normal"/>
    <w:rsid w:val="00DA37BA"/>
    <w:pPr>
      <w:tabs>
        <w:tab w:val="num" w:pos="1620"/>
      </w:tabs>
      <w:adjustRightInd w:val="0"/>
      <w:snapToGrid w:val="0"/>
      <w:spacing w:before="60" w:after="60"/>
      <w:ind w:left="1627" w:hanging="360"/>
      <w:textAlignment w:val="baseline"/>
    </w:pPr>
    <w:rPr>
      <w:rFonts w:ascii="Trebuchet MS" w:hAnsi="Trebuchet MS" w:cs="Arial"/>
      <w:sz w:val="20"/>
      <w:szCs w:val="20"/>
    </w:rPr>
  </w:style>
  <w:style w:type="paragraph" w:customStyle="1" w:styleId="AppendixBodyText">
    <w:name w:val="Appendix Body Text"/>
    <w:basedOn w:val="Normal"/>
    <w:uiPriority w:val="99"/>
    <w:rsid w:val="00DA37BA"/>
    <w:pPr>
      <w:spacing w:after="60"/>
    </w:pPr>
    <w:rPr>
      <w:rFonts w:ascii="Trebuchet MS" w:hAnsi="Trebuchet MS" w:cs="Arial"/>
      <w:sz w:val="20"/>
      <w:szCs w:val="20"/>
    </w:rPr>
  </w:style>
  <w:style w:type="character" w:customStyle="1" w:styleId="ProductEndnoteCharChar">
    <w:name w:val="Product Endnote Char Char"/>
    <w:rsid w:val="00DA37BA"/>
    <w:rPr>
      <w:rFonts w:ascii="Trebuchet MS" w:hAnsi="Trebuchet MS" w:cs="Arial"/>
      <w:b/>
      <w:color w:val="FF6600"/>
      <w:sz w:val="24"/>
      <w:szCs w:val="24"/>
    </w:rPr>
  </w:style>
  <w:style w:type="paragraph" w:customStyle="1" w:styleId="FootnoteBulletLevel1">
    <w:name w:val="Footnote Bullet Level 1"/>
    <w:basedOn w:val="Normal"/>
    <w:rsid w:val="00DA37BA"/>
    <w:pPr>
      <w:tabs>
        <w:tab w:val="num" w:pos="900"/>
      </w:tabs>
      <w:adjustRightInd w:val="0"/>
      <w:spacing w:before="120" w:after="120"/>
      <w:ind w:left="900" w:hanging="360"/>
      <w:textAlignment w:val="baseline"/>
    </w:pPr>
    <w:rPr>
      <w:rFonts w:ascii="Trebuchet MS" w:hAnsi="Trebuchet MS" w:cs="Arial"/>
      <w:sz w:val="20"/>
      <w:szCs w:val="20"/>
    </w:rPr>
  </w:style>
  <w:style w:type="character" w:customStyle="1" w:styleId="FootnoteBulletLevel1CharChar">
    <w:name w:val="Footnote Bullet Level 1 Char Char"/>
    <w:rsid w:val="00DA37BA"/>
    <w:rPr>
      <w:rFonts w:ascii="Trebuchet MS" w:hAnsi="Trebuchet MS" w:cs="Arial"/>
    </w:rPr>
  </w:style>
  <w:style w:type="paragraph" w:styleId="TOC3">
    <w:name w:val="toc 3"/>
    <w:basedOn w:val="Normal"/>
    <w:next w:val="Normal"/>
    <w:uiPriority w:val="39"/>
    <w:rsid w:val="00836D9F"/>
    <w:pPr>
      <w:tabs>
        <w:tab w:val="right" w:leader="dot" w:pos="9360"/>
      </w:tabs>
    </w:pPr>
    <w:rPr>
      <w:rFonts w:cs="Tahoma"/>
      <w:bCs/>
      <w:noProof/>
      <w:color w:val="000000"/>
      <w:szCs w:val="18"/>
    </w:rPr>
  </w:style>
  <w:style w:type="paragraph" w:customStyle="1" w:styleId="Footnotenumberedlist">
    <w:name w:val="Footnote numbered list"/>
    <w:basedOn w:val="FootnoteBulletLevel2"/>
    <w:rsid w:val="00DA37BA"/>
    <w:pPr>
      <w:ind w:left="1260"/>
    </w:pPr>
  </w:style>
  <w:style w:type="paragraph" w:styleId="TOC4">
    <w:name w:val="toc 4"/>
    <w:basedOn w:val="Normal"/>
    <w:next w:val="Normal"/>
    <w:autoRedefine/>
    <w:uiPriority w:val="39"/>
    <w:rsid w:val="00DA37BA"/>
    <w:pPr>
      <w:tabs>
        <w:tab w:val="right" w:leader="dot" w:pos="9360"/>
      </w:tabs>
    </w:pPr>
    <w:rPr>
      <w:szCs w:val="24"/>
    </w:rPr>
  </w:style>
  <w:style w:type="paragraph" w:styleId="TOC5">
    <w:name w:val="toc 5"/>
    <w:basedOn w:val="Normal"/>
    <w:next w:val="Normal"/>
    <w:autoRedefine/>
    <w:uiPriority w:val="39"/>
    <w:rsid w:val="00DA37BA"/>
    <w:pPr>
      <w:ind w:left="960"/>
    </w:pPr>
    <w:rPr>
      <w:rFonts w:ascii="Times New Roman" w:hAnsi="Times New Roman"/>
      <w:sz w:val="24"/>
      <w:szCs w:val="24"/>
    </w:rPr>
  </w:style>
  <w:style w:type="paragraph" w:styleId="TOC6">
    <w:name w:val="toc 6"/>
    <w:basedOn w:val="Normal"/>
    <w:next w:val="Normal"/>
    <w:autoRedefine/>
    <w:uiPriority w:val="39"/>
    <w:rsid w:val="00DA37BA"/>
    <w:pPr>
      <w:ind w:left="1200"/>
    </w:pPr>
    <w:rPr>
      <w:rFonts w:ascii="Times New Roman" w:hAnsi="Times New Roman"/>
      <w:sz w:val="24"/>
      <w:szCs w:val="24"/>
    </w:rPr>
  </w:style>
  <w:style w:type="paragraph" w:styleId="TOC7">
    <w:name w:val="toc 7"/>
    <w:basedOn w:val="Normal"/>
    <w:next w:val="Normal"/>
    <w:autoRedefine/>
    <w:uiPriority w:val="39"/>
    <w:rsid w:val="00DA37BA"/>
    <w:pPr>
      <w:ind w:left="1440"/>
    </w:pPr>
    <w:rPr>
      <w:rFonts w:ascii="Times New Roman" w:hAnsi="Times New Roman"/>
      <w:sz w:val="24"/>
      <w:szCs w:val="24"/>
    </w:rPr>
  </w:style>
  <w:style w:type="paragraph" w:styleId="TOC8">
    <w:name w:val="toc 8"/>
    <w:basedOn w:val="Normal"/>
    <w:next w:val="Normal"/>
    <w:autoRedefine/>
    <w:uiPriority w:val="39"/>
    <w:rsid w:val="00DA37BA"/>
    <w:pPr>
      <w:ind w:left="1680"/>
    </w:pPr>
    <w:rPr>
      <w:rFonts w:ascii="Times New Roman" w:hAnsi="Times New Roman"/>
      <w:sz w:val="24"/>
      <w:szCs w:val="24"/>
    </w:rPr>
  </w:style>
  <w:style w:type="paragraph" w:styleId="TOC9">
    <w:name w:val="toc 9"/>
    <w:basedOn w:val="Normal"/>
    <w:next w:val="Normal"/>
    <w:autoRedefine/>
    <w:uiPriority w:val="39"/>
    <w:rsid w:val="00DA37BA"/>
    <w:pPr>
      <w:ind w:left="1920"/>
    </w:pPr>
    <w:rPr>
      <w:rFonts w:ascii="Times New Roman" w:hAnsi="Times New Roman"/>
      <w:sz w:val="24"/>
      <w:szCs w:val="24"/>
    </w:rPr>
  </w:style>
  <w:style w:type="paragraph" w:customStyle="1" w:styleId="AppendixBulletIndent">
    <w:name w:val="Appendix Bullet Indent"/>
    <w:basedOn w:val="AppendixFlushBulletedList"/>
    <w:rsid w:val="00DA37BA"/>
    <w:pPr>
      <w:tabs>
        <w:tab w:val="clear" w:pos="360"/>
        <w:tab w:val="num" w:pos="720"/>
      </w:tabs>
      <w:ind w:left="720"/>
    </w:pPr>
  </w:style>
  <w:style w:type="paragraph" w:customStyle="1" w:styleId="AppendixFlushBulletedList">
    <w:name w:val="Appendix Flush Bulleted List"/>
    <w:basedOn w:val="Normal"/>
    <w:rsid w:val="00DA37BA"/>
    <w:pPr>
      <w:tabs>
        <w:tab w:val="num" w:pos="360"/>
      </w:tabs>
      <w:ind w:left="360" w:hanging="360"/>
    </w:pPr>
    <w:rPr>
      <w:rFonts w:ascii="Trebuchet MS" w:hAnsi="Trebuchet MS" w:cs="Arial"/>
      <w:sz w:val="20"/>
      <w:szCs w:val="20"/>
    </w:rPr>
  </w:style>
  <w:style w:type="paragraph" w:customStyle="1" w:styleId="ProductPool">
    <w:name w:val="Product Pool"/>
    <w:basedOn w:val="Heading3"/>
    <w:rsid w:val="00DA37BA"/>
  </w:style>
  <w:style w:type="paragraph" w:customStyle="1" w:styleId="AppendixTabbedList">
    <w:name w:val="Appendix Tabbed List"/>
    <w:basedOn w:val="AppendixBodyText"/>
    <w:rsid w:val="00DA37BA"/>
    <w:pPr>
      <w:tabs>
        <w:tab w:val="left" w:pos="2520"/>
      </w:tabs>
    </w:pPr>
  </w:style>
  <w:style w:type="paragraph" w:customStyle="1" w:styleId="ProductNote">
    <w:name w:val="Product Note"/>
    <w:basedOn w:val="ProductNames"/>
    <w:rsid w:val="00DA37BA"/>
    <w:pPr>
      <w:spacing w:before="0" w:after="0"/>
    </w:pPr>
    <w:rPr>
      <w:sz w:val="12"/>
      <w:szCs w:val="12"/>
    </w:rPr>
  </w:style>
  <w:style w:type="character" w:customStyle="1" w:styleId="ProductNoteCharChar">
    <w:name w:val="Product Note Char Char"/>
    <w:rsid w:val="00DA37BA"/>
    <w:rPr>
      <w:rFonts w:ascii="Trebuchet MS" w:hAnsi="Trebuchet MS" w:cs="Arial"/>
      <w:position w:val="-11"/>
      <w:sz w:val="12"/>
      <w:szCs w:val="12"/>
    </w:rPr>
  </w:style>
  <w:style w:type="paragraph" w:customStyle="1" w:styleId="Bulletedlistflush">
    <w:name w:val="Bulleted list flush"/>
    <w:basedOn w:val="BulletedList"/>
    <w:rsid w:val="00DA37BA"/>
    <w:pPr>
      <w:tabs>
        <w:tab w:val="clear" w:pos="1080"/>
        <w:tab w:val="num" w:pos="360"/>
      </w:tabs>
      <w:ind w:left="360" w:hanging="360"/>
    </w:pPr>
  </w:style>
  <w:style w:type="paragraph" w:styleId="BalloonText">
    <w:name w:val="Balloon Text"/>
    <w:basedOn w:val="Normal"/>
    <w:link w:val="BalloonTextChar"/>
    <w:uiPriority w:val="99"/>
    <w:semiHidden/>
    <w:rsid w:val="00DA37BA"/>
    <w:rPr>
      <w:sz w:val="16"/>
      <w:szCs w:val="16"/>
    </w:rPr>
  </w:style>
  <w:style w:type="character" w:customStyle="1" w:styleId="BalloonTextChar">
    <w:name w:val="Balloon Text Char"/>
    <w:link w:val="BalloonText"/>
    <w:uiPriority w:val="99"/>
    <w:semiHidden/>
    <w:rsid w:val="00DA37BA"/>
    <w:rPr>
      <w:rFonts w:ascii="Tahoma" w:eastAsia="MS Mincho" w:hAnsi="Tahoma" w:cs="Tahoma"/>
      <w:sz w:val="16"/>
      <w:szCs w:val="16"/>
    </w:rPr>
  </w:style>
  <w:style w:type="paragraph" w:customStyle="1" w:styleId="StyleHeading22Left138Firstline0">
    <w:name w:val="Style Heading 2 #2 + Left:  1.38&quot; First line:  0&quot;"/>
    <w:basedOn w:val="Normal"/>
    <w:rsid w:val="00DA37BA"/>
    <w:pPr>
      <w:ind w:left="1008"/>
      <w:jc w:val="both"/>
    </w:pPr>
    <w:rPr>
      <w:rFonts w:ascii="Arial" w:hAnsi="Arial"/>
      <w:sz w:val="20"/>
      <w:szCs w:val="20"/>
    </w:rPr>
  </w:style>
  <w:style w:type="paragraph" w:customStyle="1" w:styleId="AppendIndent">
    <w:name w:val="Append_Indent"/>
    <w:basedOn w:val="Normal"/>
    <w:rsid w:val="00DA37BA"/>
    <w:pPr>
      <w:tabs>
        <w:tab w:val="num" w:pos="720"/>
      </w:tabs>
      <w:ind w:left="720" w:hanging="360"/>
    </w:pPr>
    <w:rPr>
      <w:rFonts w:ascii="Trebuchet MS" w:hAnsi="Trebuchet MS"/>
      <w:b/>
      <w:sz w:val="20"/>
      <w:szCs w:val="20"/>
    </w:rPr>
  </w:style>
  <w:style w:type="paragraph" w:customStyle="1" w:styleId="AppendIndentSub">
    <w:name w:val="Append_Indent_Sub"/>
    <w:basedOn w:val="StyleHeading22Left138Firstline0"/>
    <w:rsid w:val="00DA37BA"/>
    <w:pPr>
      <w:jc w:val="left"/>
    </w:pPr>
    <w:rPr>
      <w:rFonts w:ascii="Trebuchet MS" w:hAnsi="Trebuchet MS"/>
    </w:rPr>
  </w:style>
  <w:style w:type="paragraph" w:customStyle="1" w:styleId="styleheading22left138firstline00">
    <w:name w:val="styleheading22left138firstline0"/>
    <w:basedOn w:val="Normal"/>
    <w:rsid w:val="00DA37BA"/>
    <w:pPr>
      <w:ind w:left="1008"/>
      <w:jc w:val="both"/>
    </w:pPr>
    <w:rPr>
      <w:rFonts w:ascii="Arial" w:hAnsi="Arial" w:cs="Arial"/>
      <w:sz w:val="20"/>
      <w:szCs w:val="20"/>
    </w:rPr>
  </w:style>
  <w:style w:type="paragraph" w:customStyle="1" w:styleId="Char1">
    <w:name w:val="Char1"/>
    <w:basedOn w:val="Normal"/>
    <w:rsid w:val="00DA37BA"/>
    <w:pPr>
      <w:spacing w:after="160" w:line="240" w:lineRule="exact"/>
    </w:pPr>
    <w:rPr>
      <w:sz w:val="20"/>
      <w:szCs w:val="20"/>
    </w:rPr>
  </w:style>
  <w:style w:type="paragraph" w:customStyle="1" w:styleId="StyleHeading22Left025Firstline0">
    <w:name w:val="Style Heading 2 #2 + Left:  0.25&quot; First line:  0&quot;"/>
    <w:basedOn w:val="Normal"/>
    <w:rsid w:val="00DA37BA"/>
    <w:pPr>
      <w:tabs>
        <w:tab w:val="num" w:pos="720"/>
      </w:tabs>
      <w:ind w:left="720" w:hanging="360"/>
      <w:jc w:val="both"/>
    </w:pPr>
    <w:rPr>
      <w:rFonts w:ascii="Arial" w:hAnsi="Arial"/>
      <w:b/>
      <w:sz w:val="20"/>
      <w:szCs w:val="20"/>
    </w:rPr>
  </w:style>
  <w:style w:type="character" w:styleId="CommentReference">
    <w:name w:val="annotation reference"/>
    <w:uiPriority w:val="99"/>
    <w:rsid w:val="00DA37BA"/>
    <w:rPr>
      <w:rFonts w:cs="Times New Roman"/>
      <w:sz w:val="16"/>
      <w:szCs w:val="16"/>
    </w:rPr>
  </w:style>
  <w:style w:type="character" w:styleId="PageNumber">
    <w:name w:val="page number"/>
    <w:uiPriority w:val="99"/>
    <w:rsid w:val="00DA37BA"/>
    <w:rPr>
      <w:rFonts w:cs="Times New Roman"/>
    </w:rPr>
  </w:style>
  <w:style w:type="paragraph" w:styleId="ListBullet3">
    <w:name w:val="List Bullet 3"/>
    <w:basedOn w:val="Normal"/>
    <w:uiPriority w:val="99"/>
    <w:rsid w:val="00DA37BA"/>
    <w:pPr>
      <w:tabs>
        <w:tab w:val="num" w:pos="1080"/>
      </w:tabs>
      <w:ind w:left="1080" w:hanging="360"/>
    </w:pPr>
    <w:rPr>
      <w:rFonts w:ascii="Arial" w:hAnsi="Arial" w:cs="Arial"/>
      <w:sz w:val="20"/>
      <w:szCs w:val="20"/>
    </w:rPr>
  </w:style>
  <w:style w:type="paragraph" w:customStyle="1" w:styleId="appendixbodytext0">
    <w:name w:val="appendixbodytext"/>
    <w:basedOn w:val="Normal"/>
    <w:rsid w:val="00DA37BA"/>
    <w:pPr>
      <w:spacing w:after="60"/>
    </w:pPr>
    <w:rPr>
      <w:rFonts w:ascii="Trebuchet MS" w:hAnsi="Trebuchet MS"/>
      <w:sz w:val="20"/>
      <w:szCs w:val="20"/>
    </w:rPr>
  </w:style>
  <w:style w:type="paragraph" w:customStyle="1" w:styleId="tableclose">
    <w:name w:val="tableclose"/>
    <w:basedOn w:val="Normal"/>
    <w:rsid w:val="00DA37BA"/>
    <w:rPr>
      <w:rFonts w:ascii="Arial" w:hAnsi="Arial" w:cs="Arial"/>
      <w:sz w:val="20"/>
      <w:szCs w:val="20"/>
    </w:rPr>
  </w:style>
  <w:style w:type="paragraph" w:customStyle="1" w:styleId="appendindent0">
    <w:name w:val="appendindent"/>
    <w:basedOn w:val="Normal"/>
    <w:rsid w:val="00DA37BA"/>
    <w:pPr>
      <w:ind w:left="720" w:hanging="360"/>
    </w:pPr>
    <w:rPr>
      <w:rFonts w:ascii="Trebuchet MS" w:hAnsi="Trebuchet MS"/>
      <w:b/>
      <w:bCs/>
      <w:sz w:val="20"/>
      <w:szCs w:val="20"/>
    </w:rPr>
  </w:style>
  <w:style w:type="paragraph" w:customStyle="1" w:styleId="productnames0">
    <w:name w:val="productnames"/>
    <w:basedOn w:val="Normal"/>
    <w:rsid w:val="00DA37BA"/>
    <w:pPr>
      <w:spacing w:before="20" w:after="20"/>
    </w:pPr>
    <w:rPr>
      <w:rFonts w:ascii="Trebuchet MS" w:hAnsi="Trebuchet MS"/>
      <w:position w:val="-11"/>
      <w:sz w:val="16"/>
      <w:szCs w:val="16"/>
    </w:rPr>
  </w:style>
  <w:style w:type="paragraph" w:customStyle="1" w:styleId="Char3">
    <w:name w:val="Char3"/>
    <w:basedOn w:val="Normal"/>
    <w:rsid w:val="00DA37BA"/>
    <w:pPr>
      <w:spacing w:after="160" w:line="240" w:lineRule="exact"/>
    </w:pPr>
    <w:rPr>
      <w:sz w:val="20"/>
      <w:szCs w:val="20"/>
    </w:rPr>
  </w:style>
  <w:style w:type="paragraph" w:customStyle="1" w:styleId="exceptionbody">
    <w:name w:val="exception body"/>
    <w:uiPriority w:val="99"/>
    <w:rsid w:val="00DA37BA"/>
    <w:pPr>
      <w:spacing w:after="60" w:line="255" w:lineRule="exact"/>
      <w:ind w:left="216"/>
    </w:pPr>
    <w:rPr>
      <w:rFonts w:ascii="Trebuchet MS" w:eastAsia="MS PGothic" w:hAnsi="Trebuchet MS" w:cs="Tahoma"/>
      <w:iCs/>
      <w:color w:val="000000"/>
      <w:sz w:val="18"/>
      <w:szCs w:val="18"/>
      <w:lang w:eastAsia="ja-JP"/>
    </w:rPr>
  </w:style>
  <w:style w:type="character" w:customStyle="1" w:styleId="FootnoteTextChar">
    <w:name w:val="Footnote Text Char"/>
    <w:link w:val="FootnoteText"/>
    <w:semiHidden/>
    <w:locked/>
    <w:rsid w:val="00DA37BA"/>
    <w:rPr>
      <w:rFonts w:ascii="Trebuchet MS" w:hAnsi="Trebuchet MS" w:cs="Arial"/>
    </w:rPr>
  </w:style>
  <w:style w:type="paragraph" w:styleId="FootnoteText">
    <w:name w:val="footnote text"/>
    <w:basedOn w:val="Normal"/>
    <w:link w:val="FootnoteTextChar"/>
    <w:semiHidden/>
    <w:rsid w:val="00DA37BA"/>
    <w:rPr>
      <w:rFonts w:ascii="Trebuchet MS" w:hAnsi="Trebuchet MS"/>
      <w:sz w:val="20"/>
      <w:szCs w:val="20"/>
    </w:rPr>
  </w:style>
  <w:style w:type="character" w:customStyle="1" w:styleId="FootnoteTextChar1">
    <w:name w:val="Footnote Text Char1"/>
    <w:uiPriority w:val="99"/>
    <w:semiHidden/>
    <w:rsid w:val="00DA37BA"/>
    <w:rPr>
      <w:rFonts w:ascii="Calibri" w:eastAsia="MS Mincho" w:hAnsi="Calibri" w:cs="Times New Roman"/>
      <w:sz w:val="20"/>
      <w:szCs w:val="20"/>
    </w:rPr>
  </w:style>
  <w:style w:type="paragraph" w:customStyle="1" w:styleId="ColorfulList-Accent11">
    <w:name w:val="Colorful List - Accent 11"/>
    <w:basedOn w:val="Normal"/>
    <w:uiPriority w:val="34"/>
    <w:qFormat/>
    <w:rsid w:val="00DA37BA"/>
    <w:pPr>
      <w:ind w:left="720"/>
      <w:contextualSpacing/>
    </w:pPr>
    <w:rPr>
      <w:rFonts w:ascii="Times New Roman" w:hAnsi="Times New Roman"/>
      <w:sz w:val="24"/>
      <w:szCs w:val="24"/>
    </w:rPr>
  </w:style>
  <w:style w:type="paragraph" w:customStyle="1" w:styleId="bodywithspace0">
    <w:name w:val="bodywithspace"/>
    <w:basedOn w:val="Normal"/>
    <w:rsid w:val="00DA37BA"/>
    <w:pPr>
      <w:spacing w:before="80" w:after="80"/>
      <w:ind w:left="720"/>
    </w:pPr>
    <w:rPr>
      <w:rFonts w:ascii="Trebuchet MS" w:hAnsi="Trebuchet MS"/>
      <w:sz w:val="20"/>
      <w:szCs w:val="20"/>
    </w:rPr>
  </w:style>
  <w:style w:type="paragraph" w:customStyle="1" w:styleId="appendixtabletext0">
    <w:name w:val="appendixtabletext"/>
    <w:basedOn w:val="Normal"/>
    <w:uiPriority w:val="99"/>
    <w:rsid w:val="00DA37BA"/>
    <w:pPr>
      <w:spacing w:line="240" w:lineRule="atLeast"/>
      <w:jc w:val="center"/>
    </w:pPr>
    <w:rPr>
      <w:rFonts w:ascii="Trebuchet MS" w:hAnsi="Trebuchet MS"/>
      <w:szCs w:val="18"/>
    </w:rPr>
  </w:style>
  <w:style w:type="paragraph" w:customStyle="1" w:styleId="appendixtableheadings0">
    <w:name w:val="appendixtableheadings"/>
    <w:basedOn w:val="Normal"/>
    <w:uiPriority w:val="99"/>
    <w:rsid w:val="00DA37BA"/>
    <w:pPr>
      <w:spacing w:line="240" w:lineRule="atLeast"/>
      <w:jc w:val="center"/>
    </w:pPr>
    <w:rPr>
      <w:rFonts w:ascii="Trebuchet MS" w:hAnsi="Trebuchet MS"/>
      <w:b/>
      <w:bCs/>
      <w:szCs w:val="18"/>
    </w:rPr>
  </w:style>
  <w:style w:type="paragraph" w:customStyle="1" w:styleId="footnotebulletlevel10">
    <w:name w:val="footnotebulletlevel1"/>
    <w:basedOn w:val="Normal"/>
    <w:uiPriority w:val="99"/>
    <w:rsid w:val="00DA37BA"/>
    <w:pPr>
      <w:tabs>
        <w:tab w:val="num" w:pos="360"/>
      </w:tabs>
      <w:spacing w:before="120" w:after="120"/>
    </w:pPr>
    <w:rPr>
      <w:rFonts w:ascii="Trebuchet MS" w:hAnsi="Trebuchet MS"/>
      <w:sz w:val="20"/>
      <w:szCs w:val="20"/>
    </w:rPr>
  </w:style>
  <w:style w:type="paragraph" w:styleId="DocumentMap">
    <w:name w:val="Document Map"/>
    <w:basedOn w:val="Normal"/>
    <w:link w:val="DocumentMapChar"/>
    <w:uiPriority w:val="99"/>
    <w:rsid w:val="00DA37BA"/>
    <w:rPr>
      <w:sz w:val="16"/>
      <w:szCs w:val="16"/>
    </w:rPr>
  </w:style>
  <w:style w:type="character" w:customStyle="1" w:styleId="DocumentMapChar">
    <w:name w:val="Document Map Char"/>
    <w:link w:val="DocumentMap"/>
    <w:uiPriority w:val="99"/>
    <w:rsid w:val="00DA37BA"/>
    <w:rPr>
      <w:rFonts w:ascii="Tahoma" w:eastAsia="MS Mincho" w:hAnsi="Tahoma" w:cs="Tahoma"/>
      <w:sz w:val="16"/>
      <w:szCs w:val="16"/>
    </w:rPr>
  </w:style>
  <w:style w:type="paragraph" w:customStyle="1" w:styleId="NoSpacing1">
    <w:name w:val="No Spacing1"/>
    <w:basedOn w:val="Normal"/>
    <w:link w:val="NoSpacingChar"/>
    <w:uiPriority w:val="1"/>
    <w:qFormat/>
    <w:rsid w:val="00DA37BA"/>
    <w:rPr>
      <w:rFonts w:ascii="Calibri" w:hAnsi="Calibri"/>
      <w:sz w:val="20"/>
      <w:szCs w:val="20"/>
      <w:lang w:eastAsia="zh-TW"/>
    </w:rPr>
  </w:style>
  <w:style w:type="character" w:customStyle="1" w:styleId="NoSpacingChar">
    <w:name w:val="No Spacing Char"/>
    <w:link w:val="NoSpacing1"/>
    <w:uiPriority w:val="1"/>
    <w:locked/>
    <w:rsid w:val="00DA37BA"/>
    <w:rPr>
      <w:rFonts w:ascii="Calibri" w:eastAsia="MS Mincho" w:hAnsi="Calibri" w:cs="Calibri"/>
      <w:lang w:eastAsia="zh-TW"/>
    </w:rPr>
  </w:style>
  <w:style w:type="paragraph" w:customStyle="1" w:styleId="footnotebulletlevel20">
    <w:name w:val="footnotebulletlevel2"/>
    <w:basedOn w:val="Normal"/>
    <w:rsid w:val="00DA37BA"/>
    <w:pPr>
      <w:tabs>
        <w:tab w:val="num" w:pos="900"/>
      </w:tabs>
      <w:snapToGrid w:val="0"/>
      <w:spacing w:before="120"/>
      <w:ind w:left="1267" w:hanging="360"/>
    </w:pPr>
    <w:rPr>
      <w:rFonts w:ascii="Trebuchet MS" w:hAnsi="Trebuchet MS"/>
      <w:sz w:val="20"/>
      <w:szCs w:val="20"/>
    </w:rPr>
  </w:style>
  <w:style w:type="character" w:customStyle="1" w:styleId="CommentTextChar">
    <w:name w:val="Comment Text Char"/>
    <w:link w:val="CommentText"/>
    <w:locked/>
    <w:rsid w:val="00DA37BA"/>
    <w:rPr>
      <w:rFonts w:ascii="Trebuchet MS" w:hAnsi="Trebuchet MS" w:cs="Arial"/>
    </w:rPr>
  </w:style>
  <w:style w:type="paragraph" w:styleId="CommentText">
    <w:name w:val="annotation text"/>
    <w:basedOn w:val="Normal"/>
    <w:link w:val="CommentTextChar"/>
    <w:rsid w:val="00DA37BA"/>
    <w:rPr>
      <w:rFonts w:ascii="Trebuchet MS" w:hAnsi="Trebuchet MS"/>
      <w:sz w:val="20"/>
      <w:szCs w:val="20"/>
    </w:rPr>
  </w:style>
  <w:style w:type="character" w:customStyle="1" w:styleId="CommentTextChar1">
    <w:name w:val="Comment Text Char1"/>
    <w:uiPriority w:val="99"/>
    <w:semiHidden/>
    <w:rsid w:val="00DA37BA"/>
    <w:rPr>
      <w:rFonts w:ascii="Calibri" w:eastAsia="MS Mincho" w:hAnsi="Calibri" w:cs="Times New Roman"/>
      <w:sz w:val="20"/>
      <w:szCs w:val="20"/>
    </w:rPr>
  </w:style>
  <w:style w:type="character" w:customStyle="1" w:styleId="CommentSubjectChar">
    <w:name w:val="Comment Subject Char"/>
    <w:link w:val="CommentSubject"/>
    <w:semiHidden/>
    <w:locked/>
    <w:rsid w:val="00DA37BA"/>
    <w:rPr>
      <w:rFonts w:ascii="Trebuchet MS" w:hAnsi="Trebuchet MS" w:cs="Arial"/>
      <w:b/>
      <w:bCs/>
    </w:rPr>
  </w:style>
  <w:style w:type="paragraph" w:styleId="CommentSubject">
    <w:name w:val="annotation subject"/>
    <w:basedOn w:val="CommentText"/>
    <w:next w:val="CommentText"/>
    <w:link w:val="CommentSubjectChar"/>
    <w:semiHidden/>
    <w:rsid w:val="00DA37BA"/>
    <w:rPr>
      <w:b/>
      <w:bCs/>
    </w:rPr>
  </w:style>
  <w:style w:type="character" w:customStyle="1" w:styleId="CommentSubjectChar1">
    <w:name w:val="Comment Subject Char1"/>
    <w:uiPriority w:val="99"/>
    <w:semiHidden/>
    <w:rsid w:val="00DA37BA"/>
    <w:rPr>
      <w:rFonts w:ascii="Calibri" w:eastAsia="MS Mincho" w:hAnsi="Calibri" w:cs="Times New Roman"/>
      <w:b/>
      <w:bCs/>
      <w:sz w:val="20"/>
      <w:szCs w:val="20"/>
    </w:rPr>
  </w:style>
  <w:style w:type="character" w:styleId="Strong">
    <w:name w:val="Strong"/>
    <w:uiPriority w:val="22"/>
    <w:qFormat/>
    <w:rsid w:val="00DA37BA"/>
    <w:rPr>
      <w:rFonts w:cs="Times New Roman"/>
      <w:b/>
      <w:bCs/>
    </w:rPr>
  </w:style>
  <w:style w:type="paragraph" w:styleId="NormalWeb">
    <w:name w:val="Normal (Web)"/>
    <w:basedOn w:val="Normal"/>
    <w:uiPriority w:val="99"/>
    <w:unhideWhenUsed/>
    <w:rsid w:val="00DA37BA"/>
    <w:pPr>
      <w:spacing w:before="100" w:beforeAutospacing="1" w:after="100" w:afterAutospacing="1"/>
    </w:pPr>
    <w:rPr>
      <w:rFonts w:ascii="Times New Roman" w:hAnsi="Times New Roman"/>
      <w:sz w:val="24"/>
      <w:szCs w:val="24"/>
    </w:rPr>
  </w:style>
  <w:style w:type="paragraph" w:customStyle="1" w:styleId="footnotebulletlevel100">
    <w:name w:val="footnotebulletlevel10"/>
    <w:basedOn w:val="Normal"/>
    <w:uiPriority w:val="99"/>
    <w:rsid w:val="00DA37BA"/>
    <w:pPr>
      <w:tabs>
        <w:tab w:val="num" w:pos="900"/>
      </w:tabs>
      <w:spacing w:before="120" w:after="120"/>
      <w:ind w:left="900" w:hanging="360"/>
    </w:pPr>
    <w:rPr>
      <w:rFonts w:ascii="Trebuchet MS" w:hAnsi="Trebuchet MS"/>
      <w:sz w:val="20"/>
      <w:szCs w:val="20"/>
    </w:rPr>
  </w:style>
  <w:style w:type="character" w:styleId="FootnoteReference">
    <w:name w:val="footnote reference"/>
    <w:uiPriority w:val="99"/>
    <w:rsid w:val="00DA37BA"/>
    <w:rPr>
      <w:rFonts w:cs="Times New Roman"/>
      <w:vertAlign w:val="superscript"/>
    </w:rPr>
  </w:style>
  <w:style w:type="paragraph" w:styleId="PlainText">
    <w:name w:val="Plain Text"/>
    <w:basedOn w:val="Normal"/>
    <w:link w:val="PlainTextChar"/>
    <w:uiPriority w:val="99"/>
    <w:unhideWhenUsed/>
    <w:rsid w:val="00DA37BA"/>
    <w:rPr>
      <w:rFonts w:ascii="Consolas" w:hAnsi="Consolas"/>
      <w:sz w:val="21"/>
      <w:szCs w:val="21"/>
    </w:rPr>
  </w:style>
  <w:style w:type="character" w:customStyle="1" w:styleId="PlainTextChar">
    <w:name w:val="Plain Text Char"/>
    <w:link w:val="PlainText"/>
    <w:uiPriority w:val="99"/>
    <w:rsid w:val="00DA37BA"/>
    <w:rPr>
      <w:rFonts w:ascii="Consolas" w:eastAsia="MS Mincho" w:hAnsi="Consolas" w:cs="Times New Roman"/>
      <w:sz w:val="21"/>
      <w:szCs w:val="21"/>
    </w:rPr>
  </w:style>
  <w:style w:type="paragraph" w:customStyle="1" w:styleId="productendnote0">
    <w:name w:val="productendnote"/>
    <w:basedOn w:val="Normal"/>
    <w:rsid w:val="00DA37BA"/>
    <w:pPr>
      <w:keepNext/>
      <w:spacing w:after="120"/>
      <w:ind w:left="216" w:hanging="216"/>
    </w:pPr>
    <w:rPr>
      <w:rFonts w:ascii="Trebuchet MS" w:hAnsi="Trebuchet MS"/>
      <w:b/>
      <w:bCs/>
      <w:color w:val="FF6600"/>
      <w:sz w:val="24"/>
      <w:szCs w:val="24"/>
    </w:rPr>
  </w:style>
  <w:style w:type="paragraph" w:customStyle="1" w:styleId="exceptionbody0">
    <w:name w:val="exceptionbody"/>
    <w:basedOn w:val="Normal"/>
    <w:rsid w:val="00DA37BA"/>
    <w:pPr>
      <w:spacing w:after="60" w:line="255" w:lineRule="atLeast"/>
      <w:ind w:left="216"/>
    </w:pPr>
    <w:rPr>
      <w:rFonts w:ascii="Trebuchet MS" w:hAnsi="Trebuchet MS"/>
      <w:color w:val="000000"/>
      <w:szCs w:val="18"/>
    </w:rPr>
  </w:style>
  <w:style w:type="paragraph" w:customStyle="1" w:styleId="appendindentsub0">
    <w:name w:val="appendindentsub"/>
    <w:basedOn w:val="Normal"/>
    <w:uiPriority w:val="99"/>
    <w:rsid w:val="00DA37BA"/>
    <w:rPr>
      <w:rFonts w:ascii="Times New Roman" w:hAnsi="Times New Roman"/>
      <w:sz w:val="24"/>
      <w:szCs w:val="24"/>
    </w:rPr>
  </w:style>
  <w:style w:type="paragraph" w:styleId="BodyText">
    <w:name w:val="Body Text"/>
    <w:basedOn w:val="Normal"/>
    <w:link w:val="BodyTextChar1"/>
    <w:uiPriority w:val="99"/>
    <w:unhideWhenUsed/>
    <w:rsid w:val="00DA37BA"/>
    <w:pPr>
      <w:spacing w:before="100" w:after="180" w:line="260" w:lineRule="exact"/>
    </w:pPr>
    <w:rPr>
      <w:rFonts w:ascii="Verdana" w:hAnsi="Verdana"/>
      <w:color w:val="000000"/>
      <w:sz w:val="20"/>
      <w:szCs w:val="20"/>
    </w:rPr>
  </w:style>
  <w:style w:type="character" w:customStyle="1" w:styleId="BodyTextChar1">
    <w:name w:val="Body Text Char1"/>
    <w:link w:val="BodyText"/>
    <w:uiPriority w:val="99"/>
    <w:locked/>
    <w:rsid w:val="00DA37BA"/>
    <w:rPr>
      <w:rFonts w:ascii="Verdana" w:eastAsia="MS Mincho" w:hAnsi="Verdana" w:cs="Times New Roman"/>
      <w:color w:val="000000"/>
    </w:rPr>
  </w:style>
  <w:style w:type="character" w:customStyle="1" w:styleId="BodyTextChar">
    <w:name w:val="Body Text Char"/>
    <w:uiPriority w:val="99"/>
    <w:semiHidden/>
    <w:rsid w:val="00DA37BA"/>
    <w:rPr>
      <w:rFonts w:ascii="Calibri" w:eastAsia="MS Mincho" w:hAnsi="Calibri" w:cs="Times New Roman"/>
    </w:rPr>
  </w:style>
  <w:style w:type="paragraph" w:customStyle="1" w:styleId="ColorfulShading-Accent11">
    <w:name w:val="Colorful Shading - Accent 11"/>
    <w:hidden/>
    <w:uiPriority w:val="99"/>
    <w:semiHidden/>
    <w:rsid w:val="00DA37BA"/>
    <w:rPr>
      <w:sz w:val="22"/>
      <w:szCs w:val="22"/>
    </w:rPr>
  </w:style>
  <w:style w:type="paragraph" w:styleId="BodyText2">
    <w:name w:val="Body Text 2"/>
    <w:basedOn w:val="Normal"/>
    <w:link w:val="BodyText2Char"/>
    <w:uiPriority w:val="99"/>
    <w:semiHidden/>
    <w:unhideWhenUsed/>
    <w:rsid w:val="00DA37BA"/>
    <w:pPr>
      <w:spacing w:after="120" w:line="480" w:lineRule="auto"/>
    </w:pPr>
    <w:rPr>
      <w:rFonts w:ascii="Calibri" w:hAnsi="Calibri"/>
      <w:sz w:val="22"/>
    </w:rPr>
  </w:style>
  <w:style w:type="character" w:customStyle="1" w:styleId="BodyText2Char">
    <w:name w:val="Body Text 2 Char"/>
    <w:link w:val="BodyText2"/>
    <w:uiPriority w:val="99"/>
    <w:semiHidden/>
    <w:rsid w:val="00DA37BA"/>
    <w:rPr>
      <w:sz w:val="22"/>
      <w:szCs w:val="22"/>
    </w:rPr>
  </w:style>
  <w:style w:type="paragraph" w:customStyle="1" w:styleId="normal1">
    <w:name w:val="normal1"/>
    <w:basedOn w:val="Normal"/>
    <w:rsid w:val="00DA37BA"/>
    <w:rPr>
      <w:rFonts w:ascii="Arial" w:eastAsia="Calibri" w:hAnsi="Arial" w:cs="Arial"/>
      <w:sz w:val="20"/>
      <w:szCs w:val="20"/>
    </w:rPr>
  </w:style>
  <w:style w:type="paragraph" w:customStyle="1" w:styleId="normal195">
    <w:name w:val="normal1 9.5"/>
    <w:basedOn w:val="Normal"/>
    <w:rsid w:val="00DA37BA"/>
    <w:pPr>
      <w:ind w:left="720"/>
      <w:jc w:val="both"/>
    </w:pPr>
    <w:rPr>
      <w:rFonts w:ascii="Arial" w:eastAsia="Calibri" w:hAnsi="Arial" w:cs="Arial"/>
      <w:sz w:val="19"/>
      <w:szCs w:val="19"/>
    </w:rPr>
  </w:style>
  <w:style w:type="character" w:customStyle="1" w:styleId="Head1Char">
    <w:name w:val="Head 1 Char"/>
    <w:link w:val="Head1"/>
    <w:locked/>
    <w:rsid w:val="00DA37BA"/>
    <w:rPr>
      <w:rFonts w:ascii="Arial" w:hAnsi="Arial" w:cs="Arial"/>
      <w:b/>
      <w:bCs/>
      <w:i/>
      <w:iCs/>
    </w:rPr>
  </w:style>
  <w:style w:type="paragraph" w:customStyle="1" w:styleId="Head1">
    <w:name w:val="Head 1"/>
    <w:basedOn w:val="Normal"/>
    <w:link w:val="Head1Char"/>
    <w:rsid w:val="00DA37BA"/>
    <w:pPr>
      <w:spacing w:before="120" w:after="120"/>
      <w:jc w:val="both"/>
    </w:pPr>
    <w:rPr>
      <w:rFonts w:ascii="Arial" w:hAnsi="Arial"/>
      <w:b/>
      <w:bCs/>
      <w:i/>
      <w:iCs/>
      <w:sz w:val="20"/>
      <w:szCs w:val="20"/>
    </w:rPr>
  </w:style>
  <w:style w:type="table" w:styleId="TableGrid">
    <w:name w:val="Table Grid"/>
    <w:basedOn w:val="TableNormal"/>
    <w:uiPriority w:val="59"/>
    <w:rsid w:val="00DA37B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Title1">
    <w:name w:val="Title1"/>
    <w:basedOn w:val="Normal"/>
    <w:uiPriority w:val="99"/>
    <w:rsid w:val="00DA37BA"/>
    <w:pPr>
      <w:jc w:val="center"/>
    </w:pPr>
    <w:rPr>
      <w:rFonts w:ascii="Trebuchet MS" w:hAnsi="Trebuchet MS" w:cs="Tahoma"/>
      <w:b/>
      <w:sz w:val="40"/>
      <w:szCs w:val="72"/>
    </w:rPr>
  </w:style>
  <w:style w:type="paragraph" w:styleId="ListParagraph">
    <w:name w:val="List Paragraph"/>
    <w:aliases w:val="Bullet List,numbered,FooterText,List Paragraph1,Paragraphe de liste1,Foot"/>
    <w:basedOn w:val="Normal"/>
    <w:link w:val="ListParagraphChar"/>
    <w:uiPriority w:val="34"/>
    <w:qFormat/>
    <w:rsid w:val="00DA37BA"/>
    <w:pPr>
      <w:ind w:left="720"/>
      <w:contextualSpacing/>
    </w:pPr>
    <w:rPr>
      <w:rFonts w:ascii="Times New Roman" w:hAnsi="Times New Roman"/>
      <w:sz w:val="24"/>
      <w:szCs w:val="24"/>
    </w:rPr>
  </w:style>
  <w:style w:type="paragraph" w:styleId="Revision">
    <w:name w:val="Revision"/>
    <w:hidden/>
    <w:uiPriority w:val="99"/>
    <w:semiHidden/>
    <w:rsid w:val="007631EF"/>
    <w:rPr>
      <w:sz w:val="22"/>
      <w:szCs w:val="22"/>
    </w:rPr>
  </w:style>
  <w:style w:type="paragraph" w:styleId="Title">
    <w:name w:val="Title"/>
    <w:basedOn w:val="Normal"/>
    <w:next w:val="Normal"/>
    <w:link w:val="TitleChar"/>
    <w:qFormat/>
    <w:rsid w:val="0041078A"/>
    <w:pPr>
      <w:spacing w:before="240" w:after="60"/>
      <w:jc w:val="center"/>
      <w:outlineLvl w:val="0"/>
    </w:pPr>
    <w:rPr>
      <w:rFonts w:ascii="Cambria" w:eastAsia="Times New Roman" w:hAnsi="Cambria"/>
      <w:b/>
      <w:bCs/>
      <w:kern w:val="28"/>
      <w:sz w:val="32"/>
      <w:szCs w:val="32"/>
    </w:rPr>
  </w:style>
  <w:style w:type="character" w:customStyle="1" w:styleId="TitleChar">
    <w:name w:val="Title Char"/>
    <w:link w:val="Title"/>
    <w:rsid w:val="0041078A"/>
    <w:rPr>
      <w:rFonts w:ascii="Cambria" w:eastAsia="Times New Roman" w:hAnsi="Cambria" w:cs="Times New Roman"/>
      <w:b/>
      <w:bCs/>
      <w:kern w:val="28"/>
      <w:sz w:val="32"/>
      <w:szCs w:val="32"/>
    </w:rPr>
  </w:style>
  <w:style w:type="paragraph" w:customStyle="1" w:styleId="productlist">
    <w:name w:val="product list"/>
    <w:basedOn w:val="Normal"/>
    <w:uiPriority w:val="99"/>
    <w:rsid w:val="004F2A57"/>
    <w:pPr>
      <w:spacing w:after="80" w:line="180" w:lineRule="exact"/>
      <w:ind w:left="115"/>
    </w:pPr>
    <w:rPr>
      <w:rFonts w:ascii="Trebuchet MS" w:eastAsia="MS PGothic" w:hAnsi="Trebuchet MS" w:cs="MS PGothic"/>
      <w:szCs w:val="18"/>
      <w:lang w:eastAsia="ja-JP"/>
    </w:rPr>
  </w:style>
  <w:style w:type="paragraph" w:customStyle="1" w:styleId="bulletedlistflush0">
    <w:name w:val="bulletedlistflush"/>
    <w:basedOn w:val="Normal"/>
    <w:rsid w:val="00600678"/>
    <w:pPr>
      <w:spacing w:before="100" w:beforeAutospacing="1" w:after="100" w:afterAutospacing="1"/>
    </w:pPr>
    <w:rPr>
      <w:rFonts w:ascii="Times New Roman" w:eastAsia="Calibri" w:hAnsi="Times New Roman"/>
      <w:sz w:val="24"/>
      <w:szCs w:val="24"/>
    </w:rPr>
  </w:style>
  <w:style w:type="character" w:styleId="Emphasis">
    <w:name w:val="Emphasis"/>
    <w:qFormat/>
    <w:rsid w:val="00A424A3"/>
    <w:rPr>
      <w:i/>
      <w:iCs/>
    </w:rPr>
  </w:style>
  <w:style w:type="paragraph" w:styleId="Subtitle">
    <w:name w:val="Subtitle"/>
    <w:basedOn w:val="Normal"/>
    <w:next w:val="Normal"/>
    <w:link w:val="SubtitleChar"/>
    <w:qFormat/>
    <w:rsid w:val="00A424A3"/>
    <w:pPr>
      <w:spacing w:after="60"/>
      <w:jc w:val="center"/>
      <w:outlineLvl w:val="1"/>
    </w:pPr>
    <w:rPr>
      <w:rFonts w:ascii="Cambria" w:eastAsia="Times New Roman" w:hAnsi="Cambria"/>
      <w:sz w:val="24"/>
      <w:szCs w:val="24"/>
    </w:rPr>
  </w:style>
  <w:style w:type="character" w:customStyle="1" w:styleId="SubtitleChar">
    <w:name w:val="Subtitle Char"/>
    <w:link w:val="Subtitle"/>
    <w:rsid w:val="00A424A3"/>
    <w:rPr>
      <w:rFonts w:ascii="Cambria" w:eastAsia="Times New Roman" w:hAnsi="Cambria" w:cs="Times New Roman"/>
      <w:sz w:val="24"/>
      <w:szCs w:val="24"/>
    </w:rPr>
  </w:style>
  <w:style w:type="paragraph" w:styleId="NoSpacing">
    <w:name w:val="No Spacing"/>
    <w:uiPriority w:val="1"/>
    <w:qFormat/>
    <w:rsid w:val="00A424A3"/>
    <w:rPr>
      <w:sz w:val="22"/>
      <w:szCs w:val="22"/>
    </w:rPr>
  </w:style>
  <w:style w:type="character" w:customStyle="1" w:styleId="formelementblack1">
    <w:name w:val="formelement_black1"/>
    <w:rsid w:val="003124DA"/>
    <w:rPr>
      <w:rFonts w:ascii="Verdana" w:hAnsi="Verdana" w:hint="default"/>
      <w:b w:val="0"/>
      <w:bCs w:val="0"/>
      <w:color w:val="000000"/>
      <w:sz w:val="17"/>
      <w:szCs w:val="17"/>
    </w:rPr>
  </w:style>
  <w:style w:type="character" w:customStyle="1" w:styleId="ListParagraphChar">
    <w:name w:val="List Paragraph Char"/>
    <w:aliases w:val="Bullet List Char,numbered Char,FooterText Char,List Paragraph1 Char,Paragraphe de liste1 Char,Foot Char"/>
    <w:link w:val="ListParagraph"/>
    <w:uiPriority w:val="34"/>
    <w:locked/>
    <w:rsid w:val="008230F3"/>
    <w:rPr>
      <w:rFonts w:ascii="Times New Roman" w:hAnsi="Times New Roman"/>
      <w:sz w:val="24"/>
      <w:szCs w:val="24"/>
    </w:rPr>
  </w:style>
  <w:style w:type="paragraph" w:customStyle="1" w:styleId="3iNumbered2ndlevel">
    <w:name w:val="3i. Numbered 2nd level"/>
    <w:basedOn w:val="Normal"/>
    <w:uiPriority w:val="99"/>
    <w:rsid w:val="00B73A46"/>
    <w:pPr>
      <w:spacing w:before="60" w:line="160" w:lineRule="exact"/>
      <w:ind w:left="624" w:hanging="340"/>
    </w:pPr>
    <w:rPr>
      <w:rFonts w:eastAsia="Calibri" w:cs="Tahoma"/>
      <w:color w:val="000000"/>
      <w:sz w:val="14"/>
      <w:szCs w:val="14"/>
    </w:rPr>
  </w:style>
  <w:style w:type="character" w:customStyle="1" w:styleId="emailstyle28">
    <w:name w:val="emailstyle28"/>
    <w:semiHidden/>
    <w:rsid w:val="00D31591"/>
    <w:rPr>
      <w:rFonts w:ascii="Calibri" w:hAnsi="Calibri" w:cs="Calibri" w:hint="default"/>
      <w:b w:val="0"/>
      <w:bCs w:val="0"/>
      <w:i w:val="0"/>
      <w:iCs w:val="0"/>
      <w:color w:val="1F497D"/>
    </w:rPr>
  </w:style>
  <w:style w:type="character" w:customStyle="1" w:styleId="emailstyle25">
    <w:name w:val="emailstyle25"/>
    <w:semiHidden/>
    <w:rsid w:val="00D31591"/>
    <w:rPr>
      <w:rFonts w:ascii="Calibri" w:hAnsi="Calibri" w:cs="Calibri" w:hint="default"/>
      <w:color w:val="auto"/>
    </w:rPr>
  </w:style>
  <w:style w:type="table" w:customStyle="1" w:styleId="TableGrid1">
    <w:name w:val="Table Grid1"/>
    <w:basedOn w:val="TableNormal"/>
    <w:next w:val="TableGrid"/>
    <w:uiPriority w:val="59"/>
    <w:rsid w:val="00EC1F23"/>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ootnotedash0">
    <w:name w:val="footnotedash"/>
    <w:basedOn w:val="Normal"/>
    <w:rsid w:val="00CD27D4"/>
    <w:pPr>
      <w:snapToGrid w:val="0"/>
      <w:spacing w:before="60" w:after="60"/>
      <w:ind w:left="1627" w:hanging="360"/>
    </w:pPr>
    <w:rPr>
      <w:rFonts w:ascii="Trebuchet MS" w:eastAsia="Calibri" w:hAnsi="Trebuchet MS"/>
      <w:sz w:val="20"/>
      <w:szCs w:val="20"/>
    </w:rPr>
  </w:style>
  <w:style w:type="table" w:customStyle="1" w:styleId="TableGrid2">
    <w:name w:val="Table Grid2"/>
    <w:basedOn w:val="TableNormal"/>
    <w:next w:val="TableGrid"/>
    <w:uiPriority w:val="59"/>
    <w:rsid w:val="00194DA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Heading">
    <w:name w:val="Table Heading"/>
    <w:basedOn w:val="BodyText"/>
    <w:next w:val="Normal"/>
    <w:rsid w:val="0033725C"/>
    <w:pPr>
      <w:spacing w:before="60" w:after="60" w:line="240" w:lineRule="auto"/>
      <w:ind w:left="72" w:right="72"/>
    </w:pPr>
    <w:rPr>
      <w:rFonts w:ascii="Arial" w:eastAsia="Times New Roman" w:hAnsi="Arial" w:cs="Arial"/>
      <w:b/>
      <w:bCs/>
      <w:color w:val="FFFFFF"/>
    </w:rPr>
  </w:style>
  <w:style w:type="table" w:customStyle="1" w:styleId="TableGrid3">
    <w:name w:val="Table Grid3"/>
    <w:basedOn w:val="TableNormal"/>
    <w:next w:val="TableGrid"/>
    <w:uiPriority w:val="59"/>
    <w:rsid w:val="00B24E8F"/>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basedOn w:val="TableNormal"/>
    <w:next w:val="TableGrid"/>
    <w:uiPriority w:val="59"/>
    <w:rsid w:val="009E224B"/>
    <w:rPr>
      <w:rFonts w:eastAsia="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ProductName">
    <w:name w:val="PUR Product Name"/>
    <w:basedOn w:val="Normal"/>
    <w:link w:val="PURProductNameChar"/>
    <w:uiPriority w:val="3"/>
    <w:qFormat/>
    <w:rsid w:val="00047874"/>
    <w:pPr>
      <w:keepNext/>
      <w:keepLines/>
      <w:pBdr>
        <w:bottom w:val="single" w:sz="8" w:space="1" w:color="404040"/>
      </w:pBdr>
      <w:spacing w:before="240"/>
    </w:pPr>
    <w:rPr>
      <w:rFonts w:ascii="Arial" w:eastAsia="Arial" w:hAnsi="Arial"/>
      <w:sz w:val="28"/>
      <w:szCs w:val="20"/>
    </w:rPr>
  </w:style>
  <w:style w:type="character" w:customStyle="1" w:styleId="PURProductNameChar">
    <w:name w:val="PUR Product Name Char"/>
    <w:link w:val="PURProductName"/>
    <w:uiPriority w:val="3"/>
    <w:rsid w:val="00047874"/>
    <w:rPr>
      <w:rFonts w:ascii="Arial" w:eastAsia="Arial" w:hAnsi="Arial"/>
      <w:sz w:val="28"/>
    </w:rPr>
  </w:style>
  <w:style w:type="character" w:customStyle="1" w:styleId="PURBlueStrong-IndentedChar">
    <w:name w:val="PUR Blue Strong - Indented Char"/>
    <w:link w:val="PURBlueStrong-Indented"/>
    <w:uiPriority w:val="3"/>
    <w:locked/>
    <w:rsid w:val="00ED6F81"/>
    <w:rPr>
      <w:rFonts w:ascii="Arial" w:hAnsi="Arial" w:cs="Arial"/>
      <w:smallCaps/>
      <w:color w:val="1F497D"/>
      <w:spacing w:val="-4"/>
    </w:rPr>
  </w:style>
  <w:style w:type="paragraph" w:customStyle="1" w:styleId="PURBlueStrong-Indented">
    <w:name w:val="PUR Blue Strong - Indented"/>
    <w:basedOn w:val="Normal"/>
    <w:link w:val="PURBlueStrong-IndentedChar"/>
    <w:uiPriority w:val="3"/>
    <w:qFormat/>
    <w:rsid w:val="00ED6F81"/>
    <w:pPr>
      <w:keepNext/>
      <w:spacing w:after="60" w:line="240" w:lineRule="exact"/>
      <w:ind w:left="270"/>
    </w:pPr>
    <w:rPr>
      <w:rFonts w:ascii="Arial" w:hAnsi="Arial" w:cs="Arial"/>
      <w:smallCaps/>
      <w:color w:val="1F497D"/>
      <w:spacing w:val="-4"/>
      <w:sz w:val="20"/>
      <w:szCs w:val="20"/>
    </w:rPr>
  </w:style>
  <w:style w:type="paragraph" w:customStyle="1" w:styleId="hangindent195">
    <w:name w:val="hang indent1 9.5"/>
    <w:basedOn w:val="Normal"/>
    <w:rsid w:val="00180424"/>
    <w:pPr>
      <w:ind w:left="1440" w:hanging="720"/>
      <w:jc w:val="both"/>
    </w:pPr>
    <w:rPr>
      <w:rFonts w:ascii="Arial" w:eastAsia="Times New Roman" w:hAnsi="Arial" w:cs="Arial"/>
      <w:sz w:val="19"/>
      <w:szCs w:val="19"/>
    </w:rPr>
  </w:style>
  <w:style w:type="character" w:customStyle="1" w:styleId="PURBody-IndentedChar">
    <w:name w:val="PUR Body - Indented Char"/>
    <w:link w:val="PURBody-Indented"/>
    <w:uiPriority w:val="3"/>
    <w:locked/>
    <w:rsid w:val="005403C8"/>
  </w:style>
  <w:style w:type="paragraph" w:customStyle="1" w:styleId="PURBody-Indented">
    <w:name w:val="PUR Body - Indented"/>
    <w:basedOn w:val="Normal"/>
    <w:link w:val="PURBody-IndentedChar"/>
    <w:uiPriority w:val="3"/>
    <w:qFormat/>
    <w:rsid w:val="005403C8"/>
    <w:pPr>
      <w:spacing w:after="120"/>
      <w:ind w:left="270"/>
    </w:pPr>
    <w:rPr>
      <w:rFonts w:ascii="Calibri" w:hAnsi="Calibri"/>
      <w:sz w:val="20"/>
      <w:szCs w:val="20"/>
    </w:rPr>
  </w:style>
  <w:style w:type="character" w:customStyle="1" w:styleId="PURBullet-IndentedChar">
    <w:name w:val="PUR Bullet- Indented Char"/>
    <w:link w:val="PURBullet-Indented"/>
    <w:uiPriority w:val="3"/>
    <w:locked/>
    <w:rsid w:val="006707A3"/>
  </w:style>
  <w:style w:type="paragraph" w:customStyle="1" w:styleId="PURBullet-Indented">
    <w:name w:val="PUR Bullet- Indented"/>
    <w:basedOn w:val="Normal"/>
    <w:link w:val="PURBullet-IndentedChar"/>
    <w:uiPriority w:val="3"/>
    <w:qFormat/>
    <w:rsid w:val="006707A3"/>
    <w:pPr>
      <w:spacing w:after="120" w:line="240" w:lineRule="exact"/>
      <w:ind w:left="540" w:hanging="360"/>
      <w:contextualSpacing/>
    </w:pPr>
    <w:rPr>
      <w:rFonts w:ascii="Calibri" w:hAnsi="Calibri"/>
      <w:sz w:val="20"/>
      <w:szCs w:val="20"/>
    </w:rPr>
  </w:style>
  <w:style w:type="paragraph" w:customStyle="1" w:styleId="PURBody">
    <w:name w:val="PUR Body"/>
    <w:link w:val="PURBodyChar"/>
    <w:qFormat/>
    <w:rsid w:val="00630ED6"/>
    <w:pPr>
      <w:spacing w:after="120"/>
    </w:pPr>
    <w:rPr>
      <w:rFonts w:ascii="Arial" w:eastAsiaTheme="minorHAnsi" w:hAnsi="Arial" w:cstheme="minorBidi"/>
      <w:sz w:val="18"/>
    </w:rPr>
  </w:style>
  <w:style w:type="character" w:customStyle="1" w:styleId="PURBodyChar">
    <w:name w:val="PUR Body Char"/>
    <w:basedOn w:val="DefaultParagraphFont"/>
    <w:link w:val="PURBody"/>
    <w:rsid w:val="00630ED6"/>
    <w:rPr>
      <w:rFonts w:ascii="Arial" w:eastAsiaTheme="minorHAnsi" w:hAnsi="Arial" w:cstheme="minorBidi"/>
      <w:sz w:val="18"/>
    </w:rPr>
  </w:style>
  <w:style w:type="character" w:customStyle="1" w:styleId="LogoportMarkup">
    <w:name w:val="LogoportMarkup"/>
    <w:basedOn w:val="DefaultParagraphFont"/>
    <w:rsid w:val="00987115"/>
    <w:rPr>
      <w:rFonts w:ascii="Courier New" w:hAnsi="Courier New" w:cs="Courier New"/>
      <w:b w:val="0"/>
      <w:i w:val="0"/>
      <w:color w:val="FF0000"/>
      <w:sz w:val="18"/>
      <w:szCs w:val="76"/>
    </w:rPr>
  </w:style>
  <w:style w:type="character" w:customStyle="1" w:styleId="LogoportDoNotTranslate">
    <w:name w:val="LogoportDoNotTranslate"/>
    <w:basedOn w:val="DefaultParagraphFont"/>
    <w:rsid w:val="00987115"/>
    <w:rPr>
      <w:rFonts w:ascii="Courier New" w:hAnsi="Courier New" w:cs="Courier New"/>
      <w:b w:val="0"/>
      <w:i w:val="0"/>
      <w:color w:val="808080"/>
      <w:sz w:val="18"/>
      <w:szCs w:val="7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63671">
      <w:bodyDiv w:val="1"/>
      <w:marLeft w:val="0"/>
      <w:marRight w:val="0"/>
      <w:marTop w:val="0"/>
      <w:marBottom w:val="0"/>
      <w:divBdr>
        <w:top w:val="none" w:sz="0" w:space="0" w:color="auto"/>
        <w:left w:val="none" w:sz="0" w:space="0" w:color="auto"/>
        <w:bottom w:val="none" w:sz="0" w:space="0" w:color="auto"/>
        <w:right w:val="none" w:sz="0" w:space="0" w:color="auto"/>
      </w:divBdr>
    </w:div>
    <w:div w:id="14229553">
      <w:bodyDiv w:val="1"/>
      <w:marLeft w:val="0"/>
      <w:marRight w:val="0"/>
      <w:marTop w:val="0"/>
      <w:marBottom w:val="0"/>
      <w:divBdr>
        <w:top w:val="none" w:sz="0" w:space="0" w:color="auto"/>
        <w:left w:val="none" w:sz="0" w:space="0" w:color="auto"/>
        <w:bottom w:val="none" w:sz="0" w:space="0" w:color="auto"/>
        <w:right w:val="none" w:sz="0" w:space="0" w:color="auto"/>
      </w:divBdr>
    </w:div>
    <w:div w:id="16204850">
      <w:bodyDiv w:val="1"/>
      <w:marLeft w:val="0"/>
      <w:marRight w:val="0"/>
      <w:marTop w:val="0"/>
      <w:marBottom w:val="0"/>
      <w:divBdr>
        <w:top w:val="none" w:sz="0" w:space="0" w:color="auto"/>
        <w:left w:val="none" w:sz="0" w:space="0" w:color="auto"/>
        <w:bottom w:val="none" w:sz="0" w:space="0" w:color="auto"/>
        <w:right w:val="none" w:sz="0" w:space="0" w:color="auto"/>
      </w:divBdr>
    </w:div>
    <w:div w:id="32199022">
      <w:bodyDiv w:val="1"/>
      <w:marLeft w:val="0"/>
      <w:marRight w:val="0"/>
      <w:marTop w:val="0"/>
      <w:marBottom w:val="0"/>
      <w:divBdr>
        <w:top w:val="none" w:sz="0" w:space="0" w:color="auto"/>
        <w:left w:val="none" w:sz="0" w:space="0" w:color="auto"/>
        <w:bottom w:val="none" w:sz="0" w:space="0" w:color="auto"/>
        <w:right w:val="none" w:sz="0" w:space="0" w:color="auto"/>
      </w:divBdr>
    </w:div>
    <w:div w:id="34087638">
      <w:bodyDiv w:val="1"/>
      <w:marLeft w:val="0"/>
      <w:marRight w:val="0"/>
      <w:marTop w:val="0"/>
      <w:marBottom w:val="0"/>
      <w:divBdr>
        <w:top w:val="none" w:sz="0" w:space="0" w:color="auto"/>
        <w:left w:val="none" w:sz="0" w:space="0" w:color="auto"/>
        <w:bottom w:val="none" w:sz="0" w:space="0" w:color="auto"/>
        <w:right w:val="none" w:sz="0" w:space="0" w:color="auto"/>
      </w:divBdr>
    </w:div>
    <w:div w:id="38016223">
      <w:bodyDiv w:val="1"/>
      <w:marLeft w:val="0"/>
      <w:marRight w:val="0"/>
      <w:marTop w:val="0"/>
      <w:marBottom w:val="0"/>
      <w:divBdr>
        <w:top w:val="none" w:sz="0" w:space="0" w:color="auto"/>
        <w:left w:val="none" w:sz="0" w:space="0" w:color="auto"/>
        <w:bottom w:val="none" w:sz="0" w:space="0" w:color="auto"/>
        <w:right w:val="none" w:sz="0" w:space="0" w:color="auto"/>
      </w:divBdr>
    </w:div>
    <w:div w:id="57629765">
      <w:bodyDiv w:val="1"/>
      <w:marLeft w:val="0"/>
      <w:marRight w:val="0"/>
      <w:marTop w:val="0"/>
      <w:marBottom w:val="0"/>
      <w:divBdr>
        <w:top w:val="none" w:sz="0" w:space="0" w:color="auto"/>
        <w:left w:val="none" w:sz="0" w:space="0" w:color="auto"/>
        <w:bottom w:val="none" w:sz="0" w:space="0" w:color="auto"/>
        <w:right w:val="none" w:sz="0" w:space="0" w:color="auto"/>
      </w:divBdr>
    </w:div>
    <w:div w:id="59597712">
      <w:bodyDiv w:val="1"/>
      <w:marLeft w:val="0"/>
      <w:marRight w:val="0"/>
      <w:marTop w:val="0"/>
      <w:marBottom w:val="0"/>
      <w:divBdr>
        <w:top w:val="none" w:sz="0" w:space="0" w:color="auto"/>
        <w:left w:val="none" w:sz="0" w:space="0" w:color="auto"/>
        <w:bottom w:val="none" w:sz="0" w:space="0" w:color="auto"/>
        <w:right w:val="none" w:sz="0" w:space="0" w:color="auto"/>
      </w:divBdr>
    </w:div>
    <w:div w:id="67312750">
      <w:bodyDiv w:val="1"/>
      <w:marLeft w:val="0"/>
      <w:marRight w:val="0"/>
      <w:marTop w:val="0"/>
      <w:marBottom w:val="0"/>
      <w:divBdr>
        <w:top w:val="none" w:sz="0" w:space="0" w:color="auto"/>
        <w:left w:val="none" w:sz="0" w:space="0" w:color="auto"/>
        <w:bottom w:val="none" w:sz="0" w:space="0" w:color="auto"/>
        <w:right w:val="none" w:sz="0" w:space="0" w:color="auto"/>
      </w:divBdr>
    </w:div>
    <w:div w:id="122963018">
      <w:bodyDiv w:val="1"/>
      <w:marLeft w:val="0"/>
      <w:marRight w:val="0"/>
      <w:marTop w:val="0"/>
      <w:marBottom w:val="0"/>
      <w:divBdr>
        <w:top w:val="none" w:sz="0" w:space="0" w:color="auto"/>
        <w:left w:val="none" w:sz="0" w:space="0" w:color="auto"/>
        <w:bottom w:val="none" w:sz="0" w:space="0" w:color="auto"/>
        <w:right w:val="none" w:sz="0" w:space="0" w:color="auto"/>
      </w:divBdr>
    </w:div>
    <w:div w:id="124587262">
      <w:bodyDiv w:val="1"/>
      <w:marLeft w:val="0"/>
      <w:marRight w:val="0"/>
      <w:marTop w:val="0"/>
      <w:marBottom w:val="0"/>
      <w:divBdr>
        <w:top w:val="none" w:sz="0" w:space="0" w:color="auto"/>
        <w:left w:val="none" w:sz="0" w:space="0" w:color="auto"/>
        <w:bottom w:val="none" w:sz="0" w:space="0" w:color="auto"/>
        <w:right w:val="none" w:sz="0" w:space="0" w:color="auto"/>
      </w:divBdr>
    </w:div>
    <w:div w:id="161430361">
      <w:bodyDiv w:val="1"/>
      <w:marLeft w:val="0"/>
      <w:marRight w:val="0"/>
      <w:marTop w:val="0"/>
      <w:marBottom w:val="0"/>
      <w:divBdr>
        <w:top w:val="none" w:sz="0" w:space="0" w:color="auto"/>
        <w:left w:val="none" w:sz="0" w:space="0" w:color="auto"/>
        <w:bottom w:val="none" w:sz="0" w:space="0" w:color="auto"/>
        <w:right w:val="none" w:sz="0" w:space="0" w:color="auto"/>
      </w:divBdr>
    </w:div>
    <w:div w:id="171116778">
      <w:bodyDiv w:val="1"/>
      <w:marLeft w:val="0"/>
      <w:marRight w:val="0"/>
      <w:marTop w:val="0"/>
      <w:marBottom w:val="0"/>
      <w:divBdr>
        <w:top w:val="none" w:sz="0" w:space="0" w:color="auto"/>
        <w:left w:val="none" w:sz="0" w:space="0" w:color="auto"/>
        <w:bottom w:val="none" w:sz="0" w:space="0" w:color="auto"/>
        <w:right w:val="none" w:sz="0" w:space="0" w:color="auto"/>
      </w:divBdr>
    </w:div>
    <w:div w:id="177353008">
      <w:bodyDiv w:val="1"/>
      <w:marLeft w:val="0"/>
      <w:marRight w:val="0"/>
      <w:marTop w:val="0"/>
      <w:marBottom w:val="0"/>
      <w:divBdr>
        <w:top w:val="none" w:sz="0" w:space="0" w:color="auto"/>
        <w:left w:val="none" w:sz="0" w:space="0" w:color="auto"/>
        <w:bottom w:val="none" w:sz="0" w:space="0" w:color="auto"/>
        <w:right w:val="none" w:sz="0" w:space="0" w:color="auto"/>
      </w:divBdr>
    </w:div>
    <w:div w:id="185951345">
      <w:bodyDiv w:val="1"/>
      <w:marLeft w:val="0"/>
      <w:marRight w:val="0"/>
      <w:marTop w:val="0"/>
      <w:marBottom w:val="0"/>
      <w:divBdr>
        <w:top w:val="none" w:sz="0" w:space="0" w:color="auto"/>
        <w:left w:val="none" w:sz="0" w:space="0" w:color="auto"/>
        <w:bottom w:val="none" w:sz="0" w:space="0" w:color="auto"/>
        <w:right w:val="none" w:sz="0" w:space="0" w:color="auto"/>
      </w:divBdr>
    </w:div>
    <w:div w:id="190147263">
      <w:bodyDiv w:val="1"/>
      <w:marLeft w:val="0"/>
      <w:marRight w:val="0"/>
      <w:marTop w:val="0"/>
      <w:marBottom w:val="0"/>
      <w:divBdr>
        <w:top w:val="none" w:sz="0" w:space="0" w:color="auto"/>
        <w:left w:val="none" w:sz="0" w:space="0" w:color="auto"/>
        <w:bottom w:val="none" w:sz="0" w:space="0" w:color="auto"/>
        <w:right w:val="none" w:sz="0" w:space="0" w:color="auto"/>
      </w:divBdr>
    </w:div>
    <w:div w:id="203639538">
      <w:bodyDiv w:val="1"/>
      <w:marLeft w:val="0"/>
      <w:marRight w:val="0"/>
      <w:marTop w:val="0"/>
      <w:marBottom w:val="0"/>
      <w:divBdr>
        <w:top w:val="none" w:sz="0" w:space="0" w:color="auto"/>
        <w:left w:val="none" w:sz="0" w:space="0" w:color="auto"/>
        <w:bottom w:val="none" w:sz="0" w:space="0" w:color="auto"/>
        <w:right w:val="none" w:sz="0" w:space="0" w:color="auto"/>
      </w:divBdr>
    </w:div>
    <w:div w:id="215243253">
      <w:bodyDiv w:val="1"/>
      <w:marLeft w:val="0"/>
      <w:marRight w:val="0"/>
      <w:marTop w:val="0"/>
      <w:marBottom w:val="0"/>
      <w:divBdr>
        <w:top w:val="none" w:sz="0" w:space="0" w:color="auto"/>
        <w:left w:val="none" w:sz="0" w:space="0" w:color="auto"/>
        <w:bottom w:val="none" w:sz="0" w:space="0" w:color="auto"/>
        <w:right w:val="none" w:sz="0" w:space="0" w:color="auto"/>
      </w:divBdr>
    </w:div>
    <w:div w:id="247665039">
      <w:bodyDiv w:val="1"/>
      <w:marLeft w:val="0"/>
      <w:marRight w:val="0"/>
      <w:marTop w:val="0"/>
      <w:marBottom w:val="0"/>
      <w:divBdr>
        <w:top w:val="none" w:sz="0" w:space="0" w:color="auto"/>
        <w:left w:val="none" w:sz="0" w:space="0" w:color="auto"/>
        <w:bottom w:val="none" w:sz="0" w:space="0" w:color="auto"/>
        <w:right w:val="none" w:sz="0" w:space="0" w:color="auto"/>
      </w:divBdr>
    </w:div>
    <w:div w:id="263618231">
      <w:bodyDiv w:val="1"/>
      <w:marLeft w:val="0"/>
      <w:marRight w:val="0"/>
      <w:marTop w:val="0"/>
      <w:marBottom w:val="0"/>
      <w:divBdr>
        <w:top w:val="none" w:sz="0" w:space="0" w:color="auto"/>
        <w:left w:val="none" w:sz="0" w:space="0" w:color="auto"/>
        <w:bottom w:val="none" w:sz="0" w:space="0" w:color="auto"/>
        <w:right w:val="none" w:sz="0" w:space="0" w:color="auto"/>
      </w:divBdr>
    </w:div>
    <w:div w:id="283738018">
      <w:bodyDiv w:val="1"/>
      <w:marLeft w:val="0"/>
      <w:marRight w:val="0"/>
      <w:marTop w:val="0"/>
      <w:marBottom w:val="0"/>
      <w:divBdr>
        <w:top w:val="none" w:sz="0" w:space="0" w:color="auto"/>
        <w:left w:val="none" w:sz="0" w:space="0" w:color="auto"/>
        <w:bottom w:val="none" w:sz="0" w:space="0" w:color="auto"/>
        <w:right w:val="none" w:sz="0" w:space="0" w:color="auto"/>
      </w:divBdr>
    </w:div>
    <w:div w:id="287056880">
      <w:bodyDiv w:val="1"/>
      <w:marLeft w:val="0"/>
      <w:marRight w:val="0"/>
      <w:marTop w:val="0"/>
      <w:marBottom w:val="0"/>
      <w:divBdr>
        <w:top w:val="none" w:sz="0" w:space="0" w:color="auto"/>
        <w:left w:val="none" w:sz="0" w:space="0" w:color="auto"/>
        <w:bottom w:val="none" w:sz="0" w:space="0" w:color="auto"/>
        <w:right w:val="none" w:sz="0" w:space="0" w:color="auto"/>
      </w:divBdr>
    </w:div>
    <w:div w:id="295795062">
      <w:bodyDiv w:val="1"/>
      <w:marLeft w:val="0"/>
      <w:marRight w:val="0"/>
      <w:marTop w:val="0"/>
      <w:marBottom w:val="0"/>
      <w:divBdr>
        <w:top w:val="none" w:sz="0" w:space="0" w:color="auto"/>
        <w:left w:val="none" w:sz="0" w:space="0" w:color="auto"/>
        <w:bottom w:val="none" w:sz="0" w:space="0" w:color="auto"/>
        <w:right w:val="none" w:sz="0" w:space="0" w:color="auto"/>
      </w:divBdr>
    </w:div>
    <w:div w:id="302348060">
      <w:bodyDiv w:val="1"/>
      <w:marLeft w:val="0"/>
      <w:marRight w:val="0"/>
      <w:marTop w:val="0"/>
      <w:marBottom w:val="0"/>
      <w:divBdr>
        <w:top w:val="none" w:sz="0" w:space="0" w:color="auto"/>
        <w:left w:val="none" w:sz="0" w:space="0" w:color="auto"/>
        <w:bottom w:val="none" w:sz="0" w:space="0" w:color="auto"/>
        <w:right w:val="none" w:sz="0" w:space="0" w:color="auto"/>
      </w:divBdr>
    </w:div>
    <w:div w:id="340087135">
      <w:bodyDiv w:val="1"/>
      <w:marLeft w:val="0"/>
      <w:marRight w:val="0"/>
      <w:marTop w:val="0"/>
      <w:marBottom w:val="0"/>
      <w:divBdr>
        <w:top w:val="none" w:sz="0" w:space="0" w:color="auto"/>
        <w:left w:val="none" w:sz="0" w:space="0" w:color="auto"/>
        <w:bottom w:val="none" w:sz="0" w:space="0" w:color="auto"/>
        <w:right w:val="none" w:sz="0" w:space="0" w:color="auto"/>
      </w:divBdr>
    </w:div>
    <w:div w:id="355616417">
      <w:bodyDiv w:val="1"/>
      <w:marLeft w:val="0"/>
      <w:marRight w:val="0"/>
      <w:marTop w:val="0"/>
      <w:marBottom w:val="0"/>
      <w:divBdr>
        <w:top w:val="none" w:sz="0" w:space="0" w:color="auto"/>
        <w:left w:val="none" w:sz="0" w:space="0" w:color="auto"/>
        <w:bottom w:val="none" w:sz="0" w:space="0" w:color="auto"/>
        <w:right w:val="none" w:sz="0" w:space="0" w:color="auto"/>
      </w:divBdr>
    </w:div>
    <w:div w:id="359084622">
      <w:bodyDiv w:val="1"/>
      <w:marLeft w:val="0"/>
      <w:marRight w:val="0"/>
      <w:marTop w:val="0"/>
      <w:marBottom w:val="0"/>
      <w:divBdr>
        <w:top w:val="none" w:sz="0" w:space="0" w:color="auto"/>
        <w:left w:val="none" w:sz="0" w:space="0" w:color="auto"/>
        <w:bottom w:val="none" w:sz="0" w:space="0" w:color="auto"/>
        <w:right w:val="none" w:sz="0" w:space="0" w:color="auto"/>
      </w:divBdr>
    </w:div>
    <w:div w:id="381517381">
      <w:bodyDiv w:val="1"/>
      <w:marLeft w:val="0"/>
      <w:marRight w:val="0"/>
      <w:marTop w:val="0"/>
      <w:marBottom w:val="0"/>
      <w:divBdr>
        <w:top w:val="none" w:sz="0" w:space="0" w:color="auto"/>
        <w:left w:val="none" w:sz="0" w:space="0" w:color="auto"/>
        <w:bottom w:val="none" w:sz="0" w:space="0" w:color="auto"/>
        <w:right w:val="none" w:sz="0" w:space="0" w:color="auto"/>
      </w:divBdr>
    </w:div>
    <w:div w:id="383068648">
      <w:bodyDiv w:val="1"/>
      <w:marLeft w:val="0"/>
      <w:marRight w:val="0"/>
      <w:marTop w:val="0"/>
      <w:marBottom w:val="0"/>
      <w:divBdr>
        <w:top w:val="none" w:sz="0" w:space="0" w:color="auto"/>
        <w:left w:val="none" w:sz="0" w:space="0" w:color="auto"/>
        <w:bottom w:val="none" w:sz="0" w:space="0" w:color="auto"/>
        <w:right w:val="none" w:sz="0" w:space="0" w:color="auto"/>
      </w:divBdr>
    </w:div>
    <w:div w:id="452749850">
      <w:bodyDiv w:val="1"/>
      <w:marLeft w:val="0"/>
      <w:marRight w:val="0"/>
      <w:marTop w:val="0"/>
      <w:marBottom w:val="0"/>
      <w:divBdr>
        <w:top w:val="none" w:sz="0" w:space="0" w:color="auto"/>
        <w:left w:val="none" w:sz="0" w:space="0" w:color="auto"/>
        <w:bottom w:val="none" w:sz="0" w:space="0" w:color="auto"/>
        <w:right w:val="none" w:sz="0" w:space="0" w:color="auto"/>
      </w:divBdr>
    </w:div>
    <w:div w:id="457338001">
      <w:bodyDiv w:val="1"/>
      <w:marLeft w:val="0"/>
      <w:marRight w:val="0"/>
      <w:marTop w:val="0"/>
      <w:marBottom w:val="0"/>
      <w:divBdr>
        <w:top w:val="none" w:sz="0" w:space="0" w:color="auto"/>
        <w:left w:val="none" w:sz="0" w:space="0" w:color="auto"/>
        <w:bottom w:val="none" w:sz="0" w:space="0" w:color="auto"/>
        <w:right w:val="none" w:sz="0" w:space="0" w:color="auto"/>
      </w:divBdr>
    </w:div>
    <w:div w:id="458497729">
      <w:bodyDiv w:val="1"/>
      <w:marLeft w:val="0"/>
      <w:marRight w:val="0"/>
      <w:marTop w:val="0"/>
      <w:marBottom w:val="0"/>
      <w:divBdr>
        <w:top w:val="none" w:sz="0" w:space="0" w:color="auto"/>
        <w:left w:val="none" w:sz="0" w:space="0" w:color="auto"/>
        <w:bottom w:val="none" w:sz="0" w:space="0" w:color="auto"/>
        <w:right w:val="none" w:sz="0" w:space="0" w:color="auto"/>
      </w:divBdr>
    </w:div>
    <w:div w:id="537084097">
      <w:bodyDiv w:val="1"/>
      <w:marLeft w:val="0"/>
      <w:marRight w:val="0"/>
      <w:marTop w:val="0"/>
      <w:marBottom w:val="0"/>
      <w:divBdr>
        <w:top w:val="none" w:sz="0" w:space="0" w:color="auto"/>
        <w:left w:val="none" w:sz="0" w:space="0" w:color="auto"/>
        <w:bottom w:val="none" w:sz="0" w:space="0" w:color="auto"/>
        <w:right w:val="none" w:sz="0" w:space="0" w:color="auto"/>
      </w:divBdr>
    </w:div>
    <w:div w:id="589192804">
      <w:bodyDiv w:val="1"/>
      <w:marLeft w:val="0"/>
      <w:marRight w:val="0"/>
      <w:marTop w:val="0"/>
      <w:marBottom w:val="0"/>
      <w:divBdr>
        <w:top w:val="none" w:sz="0" w:space="0" w:color="auto"/>
        <w:left w:val="none" w:sz="0" w:space="0" w:color="auto"/>
        <w:bottom w:val="none" w:sz="0" w:space="0" w:color="auto"/>
        <w:right w:val="none" w:sz="0" w:space="0" w:color="auto"/>
      </w:divBdr>
    </w:div>
    <w:div w:id="610623406">
      <w:bodyDiv w:val="1"/>
      <w:marLeft w:val="0"/>
      <w:marRight w:val="0"/>
      <w:marTop w:val="0"/>
      <w:marBottom w:val="0"/>
      <w:divBdr>
        <w:top w:val="none" w:sz="0" w:space="0" w:color="auto"/>
        <w:left w:val="none" w:sz="0" w:space="0" w:color="auto"/>
        <w:bottom w:val="none" w:sz="0" w:space="0" w:color="auto"/>
        <w:right w:val="none" w:sz="0" w:space="0" w:color="auto"/>
      </w:divBdr>
    </w:div>
    <w:div w:id="619994156">
      <w:bodyDiv w:val="1"/>
      <w:marLeft w:val="0"/>
      <w:marRight w:val="0"/>
      <w:marTop w:val="0"/>
      <w:marBottom w:val="0"/>
      <w:divBdr>
        <w:top w:val="none" w:sz="0" w:space="0" w:color="auto"/>
        <w:left w:val="none" w:sz="0" w:space="0" w:color="auto"/>
        <w:bottom w:val="none" w:sz="0" w:space="0" w:color="auto"/>
        <w:right w:val="none" w:sz="0" w:space="0" w:color="auto"/>
      </w:divBdr>
    </w:div>
    <w:div w:id="620653638">
      <w:bodyDiv w:val="1"/>
      <w:marLeft w:val="0"/>
      <w:marRight w:val="0"/>
      <w:marTop w:val="0"/>
      <w:marBottom w:val="0"/>
      <w:divBdr>
        <w:top w:val="none" w:sz="0" w:space="0" w:color="auto"/>
        <w:left w:val="none" w:sz="0" w:space="0" w:color="auto"/>
        <w:bottom w:val="none" w:sz="0" w:space="0" w:color="auto"/>
        <w:right w:val="none" w:sz="0" w:space="0" w:color="auto"/>
      </w:divBdr>
    </w:div>
    <w:div w:id="621569765">
      <w:bodyDiv w:val="1"/>
      <w:marLeft w:val="0"/>
      <w:marRight w:val="0"/>
      <w:marTop w:val="0"/>
      <w:marBottom w:val="0"/>
      <w:divBdr>
        <w:top w:val="none" w:sz="0" w:space="0" w:color="auto"/>
        <w:left w:val="none" w:sz="0" w:space="0" w:color="auto"/>
        <w:bottom w:val="none" w:sz="0" w:space="0" w:color="auto"/>
        <w:right w:val="none" w:sz="0" w:space="0" w:color="auto"/>
      </w:divBdr>
    </w:div>
    <w:div w:id="653990615">
      <w:bodyDiv w:val="1"/>
      <w:marLeft w:val="0"/>
      <w:marRight w:val="0"/>
      <w:marTop w:val="0"/>
      <w:marBottom w:val="0"/>
      <w:divBdr>
        <w:top w:val="none" w:sz="0" w:space="0" w:color="auto"/>
        <w:left w:val="none" w:sz="0" w:space="0" w:color="auto"/>
        <w:bottom w:val="none" w:sz="0" w:space="0" w:color="auto"/>
        <w:right w:val="none" w:sz="0" w:space="0" w:color="auto"/>
      </w:divBdr>
    </w:div>
    <w:div w:id="662900518">
      <w:bodyDiv w:val="1"/>
      <w:marLeft w:val="0"/>
      <w:marRight w:val="0"/>
      <w:marTop w:val="0"/>
      <w:marBottom w:val="0"/>
      <w:divBdr>
        <w:top w:val="none" w:sz="0" w:space="0" w:color="auto"/>
        <w:left w:val="none" w:sz="0" w:space="0" w:color="auto"/>
        <w:bottom w:val="none" w:sz="0" w:space="0" w:color="auto"/>
        <w:right w:val="none" w:sz="0" w:space="0" w:color="auto"/>
      </w:divBdr>
    </w:div>
    <w:div w:id="665669680">
      <w:bodyDiv w:val="1"/>
      <w:marLeft w:val="0"/>
      <w:marRight w:val="0"/>
      <w:marTop w:val="0"/>
      <w:marBottom w:val="0"/>
      <w:divBdr>
        <w:top w:val="none" w:sz="0" w:space="0" w:color="auto"/>
        <w:left w:val="none" w:sz="0" w:space="0" w:color="auto"/>
        <w:bottom w:val="none" w:sz="0" w:space="0" w:color="auto"/>
        <w:right w:val="none" w:sz="0" w:space="0" w:color="auto"/>
      </w:divBdr>
    </w:div>
    <w:div w:id="669024254">
      <w:bodyDiv w:val="1"/>
      <w:marLeft w:val="0"/>
      <w:marRight w:val="0"/>
      <w:marTop w:val="0"/>
      <w:marBottom w:val="0"/>
      <w:divBdr>
        <w:top w:val="none" w:sz="0" w:space="0" w:color="auto"/>
        <w:left w:val="none" w:sz="0" w:space="0" w:color="auto"/>
        <w:bottom w:val="none" w:sz="0" w:space="0" w:color="auto"/>
        <w:right w:val="none" w:sz="0" w:space="0" w:color="auto"/>
      </w:divBdr>
    </w:div>
    <w:div w:id="687411271">
      <w:bodyDiv w:val="1"/>
      <w:marLeft w:val="0"/>
      <w:marRight w:val="0"/>
      <w:marTop w:val="0"/>
      <w:marBottom w:val="0"/>
      <w:divBdr>
        <w:top w:val="none" w:sz="0" w:space="0" w:color="auto"/>
        <w:left w:val="none" w:sz="0" w:space="0" w:color="auto"/>
        <w:bottom w:val="none" w:sz="0" w:space="0" w:color="auto"/>
        <w:right w:val="none" w:sz="0" w:space="0" w:color="auto"/>
      </w:divBdr>
    </w:div>
    <w:div w:id="704715220">
      <w:bodyDiv w:val="1"/>
      <w:marLeft w:val="0"/>
      <w:marRight w:val="0"/>
      <w:marTop w:val="0"/>
      <w:marBottom w:val="0"/>
      <w:divBdr>
        <w:top w:val="none" w:sz="0" w:space="0" w:color="auto"/>
        <w:left w:val="none" w:sz="0" w:space="0" w:color="auto"/>
        <w:bottom w:val="none" w:sz="0" w:space="0" w:color="auto"/>
        <w:right w:val="none" w:sz="0" w:space="0" w:color="auto"/>
      </w:divBdr>
    </w:div>
    <w:div w:id="729815610">
      <w:bodyDiv w:val="1"/>
      <w:marLeft w:val="0"/>
      <w:marRight w:val="0"/>
      <w:marTop w:val="0"/>
      <w:marBottom w:val="0"/>
      <w:divBdr>
        <w:top w:val="none" w:sz="0" w:space="0" w:color="auto"/>
        <w:left w:val="none" w:sz="0" w:space="0" w:color="auto"/>
        <w:bottom w:val="none" w:sz="0" w:space="0" w:color="auto"/>
        <w:right w:val="none" w:sz="0" w:space="0" w:color="auto"/>
      </w:divBdr>
    </w:div>
    <w:div w:id="731541459">
      <w:bodyDiv w:val="1"/>
      <w:marLeft w:val="0"/>
      <w:marRight w:val="0"/>
      <w:marTop w:val="0"/>
      <w:marBottom w:val="0"/>
      <w:divBdr>
        <w:top w:val="none" w:sz="0" w:space="0" w:color="auto"/>
        <w:left w:val="none" w:sz="0" w:space="0" w:color="auto"/>
        <w:bottom w:val="none" w:sz="0" w:space="0" w:color="auto"/>
        <w:right w:val="none" w:sz="0" w:space="0" w:color="auto"/>
      </w:divBdr>
    </w:div>
    <w:div w:id="754013327">
      <w:bodyDiv w:val="1"/>
      <w:marLeft w:val="0"/>
      <w:marRight w:val="0"/>
      <w:marTop w:val="0"/>
      <w:marBottom w:val="0"/>
      <w:divBdr>
        <w:top w:val="none" w:sz="0" w:space="0" w:color="auto"/>
        <w:left w:val="none" w:sz="0" w:space="0" w:color="auto"/>
        <w:bottom w:val="none" w:sz="0" w:space="0" w:color="auto"/>
        <w:right w:val="none" w:sz="0" w:space="0" w:color="auto"/>
      </w:divBdr>
    </w:div>
    <w:div w:id="757678183">
      <w:bodyDiv w:val="1"/>
      <w:marLeft w:val="0"/>
      <w:marRight w:val="0"/>
      <w:marTop w:val="0"/>
      <w:marBottom w:val="0"/>
      <w:divBdr>
        <w:top w:val="none" w:sz="0" w:space="0" w:color="auto"/>
        <w:left w:val="none" w:sz="0" w:space="0" w:color="auto"/>
        <w:bottom w:val="none" w:sz="0" w:space="0" w:color="auto"/>
        <w:right w:val="none" w:sz="0" w:space="0" w:color="auto"/>
      </w:divBdr>
    </w:div>
    <w:div w:id="758020990">
      <w:bodyDiv w:val="1"/>
      <w:marLeft w:val="0"/>
      <w:marRight w:val="0"/>
      <w:marTop w:val="0"/>
      <w:marBottom w:val="0"/>
      <w:divBdr>
        <w:top w:val="none" w:sz="0" w:space="0" w:color="auto"/>
        <w:left w:val="none" w:sz="0" w:space="0" w:color="auto"/>
        <w:bottom w:val="none" w:sz="0" w:space="0" w:color="auto"/>
        <w:right w:val="none" w:sz="0" w:space="0" w:color="auto"/>
      </w:divBdr>
    </w:div>
    <w:div w:id="765736809">
      <w:bodyDiv w:val="1"/>
      <w:marLeft w:val="0"/>
      <w:marRight w:val="0"/>
      <w:marTop w:val="0"/>
      <w:marBottom w:val="0"/>
      <w:divBdr>
        <w:top w:val="none" w:sz="0" w:space="0" w:color="auto"/>
        <w:left w:val="none" w:sz="0" w:space="0" w:color="auto"/>
        <w:bottom w:val="none" w:sz="0" w:space="0" w:color="auto"/>
        <w:right w:val="none" w:sz="0" w:space="0" w:color="auto"/>
      </w:divBdr>
    </w:div>
    <w:div w:id="766077663">
      <w:bodyDiv w:val="1"/>
      <w:marLeft w:val="0"/>
      <w:marRight w:val="0"/>
      <w:marTop w:val="0"/>
      <w:marBottom w:val="0"/>
      <w:divBdr>
        <w:top w:val="none" w:sz="0" w:space="0" w:color="auto"/>
        <w:left w:val="none" w:sz="0" w:space="0" w:color="auto"/>
        <w:bottom w:val="none" w:sz="0" w:space="0" w:color="auto"/>
        <w:right w:val="none" w:sz="0" w:space="0" w:color="auto"/>
      </w:divBdr>
    </w:div>
    <w:div w:id="767895662">
      <w:bodyDiv w:val="1"/>
      <w:marLeft w:val="0"/>
      <w:marRight w:val="0"/>
      <w:marTop w:val="0"/>
      <w:marBottom w:val="0"/>
      <w:divBdr>
        <w:top w:val="none" w:sz="0" w:space="0" w:color="auto"/>
        <w:left w:val="none" w:sz="0" w:space="0" w:color="auto"/>
        <w:bottom w:val="none" w:sz="0" w:space="0" w:color="auto"/>
        <w:right w:val="none" w:sz="0" w:space="0" w:color="auto"/>
      </w:divBdr>
    </w:div>
    <w:div w:id="774056928">
      <w:bodyDiv w:val="1"/>
      <w:marLeft w:val="0"/>
      <w:marRight w:val="0"/>
      <w:marTop w:val="0"/>
      <w:marBottom w:val="0"/>
      <w:divBdr>
        <w:top w:val="none" w:sz="0" w:space="0" w:color="auto"/>
        <w:left w:val="none" w:sz="0" w:space="0" w:color="auto"/>
        <w:bottom w:val="none" w:sz="0" w:space="0" w:color="auto"/>
        <w:right w:val="none" w:sz="0" w:space="0" w:color="auto"/>
      </w:divBdr>
    </w:div>
    <w:div w:id="784690266">
      <w:bodyDiv w:val="1"/>
      <w:marLeft w:val="0"/>
      <w:marRight w:val="0"/>
      <w:marTop w:val="0"/>
      <w:marBottom w:val="0"/>
      <w:divBdr>
        <w:top w:val="none" w:sz="0" w:space="0" w:color="auto"/>
        <w:left w:val="none" w:sz="0" w:space="0" w:color="auto"/>
        <w:bottom w:val="none" w:sz="0" w:space="0" w:color="auto"/>
        <w:right w:val="none" w:sz="0" w:space="0" w:color="auto"/>
      </w:divBdr>
    </w:div>
    <w:div w:id="784808907">
      <w:bodyDiv w:val="1"/>
      <w:marLeft w:val="0"/>
      <w:marRight w:val="0"/>
      <w:marTop w:val="0"/>
      <w:marBottom w:val="0"/>
      <w:divBdr>
        <w:top w:val="none" w:sz="0" w:space="0" w:color="auto"/>
        <w:left w:val="none" w:sz="0" w:space="0" w:color="auto"/>
        <w:bottom w:val="none" w:sz="0" w:space="0" w:color="auto"/>
        <w:right w:val="none" w:sz="0" w:space="0" w:color="auto"/>
      </w:divBdr>
    </w:div>
    <w:div w:id="787820269">
      <w:bodyDiv w:val="1"/>
      <w:marLeft w:val="0"/>
      <w:marRight w:val="0"/>
      <w:marTop w:val="0"/>
      <w:marBottom w:val="0"/>
      <w:divBdr>
        <w:top w:val="none" w:sz="0" w:space="0" w:color="auto"/>
        <w:left w:val="none" w:sz="0" w:space="0" w:color="auto"/>
        <w:bottom w:val="none" w:sz="0" w:space="0" w:color="auto"/>
        <w:right w:val="none" w:sz="0" w:space="0" w:color="auto"/>
      </w:divBdr>
    </w:div>
    <w:div w:id="802818580">
      <w:bodyDiv w:val="1"/>
      <w:marLeft w:val="0"/>
      <w:marRight w:val="0"/>
      <w:marTop w:val="0"/>
      <w:marBottom w:val="0"/>
      <w:divBdr>
        <w:top w:val="none" w:sz="0" w:space="0" w:color="auto"/>
        <w:left w:val="none" w:sz="0" w:space="0" w:color="auto"/>
        <w:bottom w:val="none" w:sz="0" w:space="0" w:color="auto"/>
        <w:right w:val="none" w:sz="0" w:space="0" w:color="auto"/>
      </w:divBdr>
    </w:div>
    <w:div w:id="807554178">
      <w:bodyDiv w:val="1"/>
      <w:marLeft w:val="0"/>
      <w:marRight w:val="0"/>
      <w:marTop w:val="0"/>
      <w:marBottom w:val="0"/>
      <w:divBdr>
        <w:top w:val="none" w:sz="0" w:space="0" w:color="auto"/>
        <w:left w:val="none" w:sz="0" w:space="0" w:color="auto"/>
        <w:bottom w:val="none" w:sz="0" w:space="0" w:color="auto"/>
        <w:right w:val="none" w:sz="0" w:space="0" w:color="auto"/>
      </w:divBdr>
    </w:div>
    <w:div w:id="842428771">
      <w:bodyDiv w:val="1"/>
      <w:marLeft w:val="0"/>
      <w:marRight w:val="0"/>
      <w:marTop w:val="0"/>
      <w:marBottom w:val="0"/>
      <w:divBdr>
        <w:top w:val="none" w:sz="0" w:space="0" w:color="auto"/>
        <w:left w:val="none" w:sz="0" w:space="0" w:color="auto"/>
        <w:bottom w:val="none" w:sz="0" w:space="0" w:color="auto"/>
        <w:right w:val="none" w:sz="0" w:space="0" w:color="auto"/>
      </w:divBdr>
    </w:div>
    <w:div w:id="857081516">
      <w:bodyDiv w:val="1"/>
      <w:marLeft w:val="0"/>
      <w:marRight w:val="0"/>
      <w:marTop w:val="0"/>
      <w:marBottom w:val="0"/>
      <w:divBdr>
        <w:top w:val="none" w:sz="0" w:space="0" w:color="auto"/>
        <w:left w:val="none" w:sz="0" w:space="0" w:color="auto"/>
        <w:bottom w:val="none" w:sz="0" w:space="0" w:color="auto"/>
        <w:right w:val="none" w:sz="0" w:space="0" w:color="auto"/>
      </w:divBdr>
    </w:div>
    <w:div w:id="879434959">
      <w:bodyDiv w:val="1"/>
      <w:marLeft w:val="0"/>
      <w:marRight w:val="0"/>
      <w:marTop w:val="0"/>
      <w:marBottom w:val="0"/>
      <w:divBdr>
        <w:top w:val="none" w:sz="0" w:space="0" w:color="auto"/>
        <w:left w:val="none" w:sz="0" w:space="0" w:color="auto"/>
        <w:bottom w:val="none" w:sz="0" w:space="0" w:color="auto"/>
        <w:right w:val="none" w:sz="0" w:space="0" w:color="auto"/>
      </w:divBdr>
    </w:div>
    <w:div w:id="880704308">
      <w:bodyDiv w:val="1"/>
      <w:marLeft w:val="0"/>
      <w:marRight w:val="0"/>
      <w:marTop w:val="0"/>
      <w:marBottom w:val="0"/>
      <w:divBdr>
        <w:top w:val="none" w:sz="0" w:space="0" w:color="auto"/>
        <w:left w:val="none" w:sz="0" w:space="0" w:color="auto"/>
        <w:bottom w:val="none" w:sz="0" w:space="0" w:color="auto"/>
        <w:right w:val="none" w:sz="0" w:space="0" w:color="auto"/>
      </w:divBdr>
    </w:div>
    <w:div w:id="897667558">
      <w:bodyDiv w:val="1"/>
      <w:marLeft w:val="0"/>
      <w:marRight w:val="0"/>
      <w:marTop w:val="0"/>
      <w:marBottom w:val="0"/>
      <w:divBdr>
        <w:top w:val="none" w:sz="0" w:space="0" w:color="auto"/>
        <w:left w:val="none" w:sz="0" w:space="0" w:color="auto"/>
        <w:bottom w:val="none" w:sz="0" w:space="0" w:color="auto"/>
        <w:right w:val="none" w:sz="0" w:space="0" w:color="auto"/>
      </w:divBdr>
    </w:div>
    <w:div w:id="897935719">
      <w:bodyDiv w:val="1"/>
      <w:marLeft w:val="0"/>
      <w:marRight w:val="0"/>
      <w:marTop w:val="0"/>
      <w:marBottom w:val="0"/>
      <w:divBdr>
        <w:top w:val="none" w:sz="0" w:space="0" w:color="auto"/>
        <w:left w:val="none" w:sz="0" w:space="0" w:color="auto"/>
        <w:bottom w:val="none" w:sz="0" w:space="0" w:color="auto"/>
        <w:right w:val="none" w:sz="0" w:space="0" w:color="auto"/>
      </w:divBdr>
    </w:div>
    <w:div w:id="907958645">
      <w:bodyDiv w:val="1"/>
      <w:marLeft w:val="0"/>
      <w:marRight w:val="0"/>
      <w:marTop w:val="0"/>
      <w:marBottom w:val="0"/>
      <w:divBdr>
        <w:top w:val="none" w:sz="0" w:space="0" w:color="auto"/>
        <w:left w:val="none" w:sz="0" w:space="0" w:color="auto"/>
        <w:bottom w:val="none" w:sz="0" w:space="0" w:color="auto"/>
        <w:right w:val="none" w:sz="0" w:space="0" w:color="auto"/>
      </w:divBdr>
    </w:div>
    <w:div w:id="933173865">
      <w:bodyDiv w:val="1"/>
      <w:marLeft w:val="0"/>
      <w:marRight w:val="0"/>
      <w:marTop w:val="0"/>
      <w:marBottom w:val="0"/>
      <w:divBdr>
        <w:top w:val="none" w:sz="0" w:space="0" w:color="auto"/>
        <w:left w:val="none" w:sz="0" w:space="0" w:color="auto"/>
        <w:bottom w:val="none" w:sz="0" w:space="0" w:color="auto"/>
        <w:right w:val="none" w:sz="0" w:space="0" w:color="auto"/>
      </w:divBdr>
    </w:div>
    <w:div w:id="948664437">
      <w:bodyDiv w:val="1"/>
      <w:marLeft w:val="0"/>
      <w:marRight w:val="0"/>
      <w:marTop w:val="0"/>
      <w:marBottom w:val="0"/>
      <w:divBdr>
        <w:top w:val="none" w:sz="0" w:space="0" w:color="auto"/>
        <w:left w:val="none" w:sz="0" w:space="0" w:color="auto"/>
        <w:bottom w:val="none" w:sz="0" w:space="0" w:color="auto"/>
        <w:right w:val="none" w:sz="0" w:space="0" w:color="auto"/>
      </w:divBdr>
    </w:div>
    <w:div w:id="949628491">
      <w:bodyDiv w:val="1"/>
      <w:marLeft w:val="0"/>
      <w:marRight w:val="0"/>
      <w:marTop w:val="0"/>
      <w:marBottom w:val="0"/>
      <w:divBdr>
        <w:top w:val="none" w:sz="0" w:space="0" w:color="auto"/>
        <w:left w:val="none" w:sz="0" w:space="0" w:color="auto"/>
        <w:bottom w:val="none" w:sz="0" w:space="0" w:color="auto"/>
        <w:right w:val="none" w:sz="0" w:space="0" w:color="auto"/>
      </w:divBdr>
    </w:div>
    <w:div w:id="950092484">
      <w:bodyDiv w:val="1"/>
      <w:marLeft w:val="0"/>
      <w:marRight w:val="0"/>
      <w:marTop w:val="0"/>
      <w:marBottom w:val="0"/>
      <w:divBdr>
        <w:top w:val="none" w:sz="0" w:space="0" w:color="auto"/>
        <w:left w:val="none" w:sz="0" w:space="0" w:color="auto"/>
        <w:bottom w:val="none" w:sz="0" w:space="0" w:color="auto"/>
        <w:right w:val="none" w:sz="0" w:space="0" w:color="auto"/>
      </w:divBdr>
    </w:div>
    <w:div w:id="1017120898">
      <w:bodyDiv w:val="1"/>
      <w:marLeft w:val="0"/>
      <w:marRight w:val="0"/>
      <w:marTop w:val="0"/>
      <w:marBottom w:val="0"/>
      <w:divBdr>
        <w:top w:val="none" w:sz="0" w:space="0" w:color="auto"/>
        <w:left w:val="none" w:sz="0" w:space="0" w:color="auto"/>
        <w:bottom w:val="none" w:sz="0" w:space="0" w:color="auto"/>
        <w:right w:val="none" w:sz="0" w:space="0" w:color="auto"/>
      </w:divBdr>
    </w:div>
    <w:div w:id="1035037148">
      <w:bodyDiv w:val="1"/>
      <w:marLeft w:val="0"/>
      <w:marRight w:val="0"/>
      <w:marTop w:val="0"/>
      <w:marBottom w:val="0"/>
      <w:divBdr>
        <w:top w:val="none" w:sz="0" w:space="0" w:color="auto"/>
        <w:left w:val="none" w:sz="0" w:space="0" w:color="auto"/>
        <w:bottom w:val="none" w:sz="0" w:space="0" w:color="auto"/>
        <w:right w:val="none" w:sz="0" w:space="0" w:color="auto"/>
      </w:divBdr>
    </w:div>
    <w:div w:id="1041051030">
      <w:bodyDiv w:val="1"/>
      <w:marLeft w:val="0"/>
      <w:marRight w:val="0"/>
      <w:marTop w:val="0"/>
      <w:marBottom w:val="0"/>
      <w:divBdr>
        <w:top w:val="none" w:sz="0" w:space="0" w:color="auto"/>
        <w:left w:val="none" w:sz="0" w:space="0" w:color="auto"/>
        <w:bottom w:val="none" w:sz="0" w:space="0" w:color="auto"/>
        <w:right w:val="none" w:sz="0" w:space="0" w:color="auto"/>
      </w:divBdr>
    </w:div>
    <w:div w:id="1043990725">
      <w:bodyDiv w:val="1"/>
      <w:marLeft w:val="0"/>
      <w:marRight w:val="0"/>
      <w:marTop w:val="0"/>
      <w:marBottom w:val="0"/>
      <w:divBdr>
        <w:top w:val="none" w:sz="0" w:space="0" w:color="auto"/>
        <w:left w:val="none" w:sz="0" w:space="0" w:color="auto"/>
        <w:bottom w:val="none" w:sz="0" w:space="0" w:color="auto"/>
        <w:right w:val="none" w:sz="0" w:space="0" w:color="auto"/>
      </w:divBdr>
    </w:div>
    <w:div w:id="1048577362">
      <w:bodyDiv w:val="1"/>
      <w:marLeft w:val="0"/>
      <w:marRight w:val="0"/>
      <w:marTop w:val="0"/>
      <w:marBottom w:val="0"/>
      <w:divBdr>
        <w:top w:val="none" w:sz="0" w:space="0" w:color="auto"/>
        <w:left w:val="none" w:sz="0" w:space="0" w:color="auto"/>
        <w:bottom w:val="none" w:sz="0" w:space="0" w:color="auto"/>
        <w:right w:val="none" w:sz="0" w:space="0" w:color="auto"/>
      </w:divBdr>
    </w:div>
    <w:div w:id="1072970485">
      <w:bodyDiv w:val="1"/>
      <w:marLeft w:val="0"/>
      <w:marRight w:val="0"/>
      <w:marTop w:val="0"/>
      <w:marBottom w:val="0"/>
      <w:divBdr>
        <w:top w:val="none" w:sz="0" w:space="0" w:color="auto"/>
        <w:left w:val="none" w:sz="0" w:space="0" w:color="auto"/>
        <w:bottom w:val="none" w:sz="0" w:space="0" w:color="auto"/>
        <w:right w:val="none" w:sz="0" w:space="0" w:color="auto"/>
      </w:divBdr>
    </w:div>
    <w:div w:id="1083797878">
      <w:bodyDiv w:val="1"/>
      <w:marLeft w:val="0"/>
      <w:marRight w:val="0"/>
      <w:marTop w:val="0"/>
      <w:marBottom w:val="0"/>
      <w:divBdr>
        <w:top w:val="none" w:sz="0" w:space="0" w:color="auto"/>
        <w:left w:val="none" w:sz="0" w:space="0" w:color="auto"/>
        <w:bottom w:val="none" w:sz="0" w:space="0" w:color="auto"/>
        <w:right w:val="none" w:sz="0" w:space="0" w:color="auto"/>
      </w:divBdr>
    </w:div>
    <w:div w:id="1085960459">
      <w:bodyDiv w:val="1"/>
      <w:marLeft w:val="0"/>
      <w:marRight w:val="0"/>
      <w:marTop w:val="0"/>
      <w:marBottom w:val="0"/>
      <w:divBdr>
        <w:top w:val="none" w:sz="0" w:space="0" w:color="auto"/>
        <w:left w:val="none" w:sz="0" w:space="0" w:color="auto"/>
        <w:bottom w:val="none" w:sz="0" w:space="0" w:color="auto"/>
        <w:right w:val="none" w:sz="0" w:space="0" w:color="auto"/>
      </w:divBdr>
      <w:divsChild>
        <w:div w:id="1483353750">
          <w:marLeft w:val="0"/>
          <w:marRight w:val="0"/>
          <w:marTop w:val="0"/>
          <w:marBottom w:val="0"/>
          <w:divBdr>
            <w:top w:val="none" w:sz="0" w:space="0" w:color="auto"/>
            <w:left w:val="none" w:sz="0" w:space="0" w:color="auto"/>
            <w:bottom w:val="none" w:sz="0" w:space="0" w:color="auto"/>
            <w:right w:val="none" w:sz="0" w:space="0" w:color="auto"/>
          </w:divBdr>
          <w:divsChild>
            <w:div w:id="2076392111">
              <w:marLeft w:val="0"/>
              <w:marRight w:val="0"/>
              <w:marTop w:val="0"/>
              <w:marBottom w:val="0"/>
              <w:divBdr>
                <w:top w:val="none" w:sz="0" w:space="0" w:color="auto"/>
                <w:left w:val="none" w:sz="0" w:space="0" w:color="auto"/>
                <w:bottom w:val="none" w:sz="0" w:space="0" w:color="auto"/>
                <w:right w:val="none" w:sz="0" w:space="0" w:color="auto"/>
              </w:divBdr>
              <w:divsChild>
                <w:div w:id="1676221739">
                  <w:marLeft w:val="0"/>
                  <w:marRight w:val="0"/>
                  <w:marTop w:val="0"/>
                  <w:marBottom w:val="0"/>
                  <w:divBdr>
                    <w:top w:val="none" w:sz="0" w:space="0" w:color="auto"/>
                    <w:left w:val="none" w:sz="0" w:space="0" w:color="auto"/>
                    <w:bottom w:val="none" w:sz="0" w:space="0" w:color="auto"/>
                    <w:right w:val="none" w:sz="0" w:space="0" w:color="auto"/>
                  </w:divBdr>
                  <w:divsChild>
                    <w:div w:id="506746922">
                      <w:marLeft w:val="0"/>
                      <w:marRight w:val="0"/>
                      <w:marTop w:val="0"/>
                      <w:marBottom w:val="0"/>
                      <w:divBdr>
                        <w:top w:val="none" w:sz="0" w:space="0" w:color="auto"/>
                        <w:left w:val="none" w:sz="0" w:space="0" w:color="auto"/>
                        <w:bottom w:val="none" w:sz="0" w:space="0" w:color="auto"/>
                        <w:right w:val="none" w:sz="0" w:space="0" w:color="auto"/>
                      </w:divBdr>
                      <w:divsChild>
                        <w:div w:id="1981572080">
                          <w:marLeft w:val="0"/>
                          <w:marRight w:val="0"/>
                          <w:marTop w:val="0"/>
                          <w:marBottom w:val="0"/>
                          <w:divBdr>
                            <w:top w:val="none" w:sz="0" w:space="0" w:color="auto"/>
                            <w:left w:val="none" w:sz="0" w:space="0" w:color="auto"/>
                            <w:bottom w:val="none" w:sz="0" w:space="0" w:color="auto"/>
                            <w:right w:val="none" w:sz="0" w:space="0" w:color="auto"/>
                          </w:divBdr>
                          <w:divsChild>
                            <w:div w:id="1286737317">
                              <w:marLeft w:val="0"/>
                              <w:marRight w:val="0"/>
                              <w:marTop w:val="0"/>
                              <w:marBottom w:val="0"/>
                              <w:divBdr>
                                <w:top w:val="none" w:sz="0" w:space="0" w:color="auto"/>
                                <w:left w:val="none" w:sz="0" w:space="0" w:color="auto"/>
                                <w:bottom w:val="none" w:sz="0" w:space="0" w:color="auto"/>
                                <w:right w:val="none" w:sz="0" w:space="0" w:color="auto"/>
                              </w:divBdr>
                              <w:divsChild>
                                <w:div w:id="2105763108">
                                  <w:marLeft w:val="0"/>
                                  <w:marRight w:val="0"/>
                                  <w:marTop w:val="0"/>
                                  <w:marBottom w:val="0"/>
                                  <w:divBdr>
                                    <w:top w:val="none" w:sz="0" w:space="0" w:color="auto"/>
                                    <w:left w:val="none" w:sz="0" w:space="0" w:color="auto"/>
                                    <w:bottom w:val="none" w:sz="0" w:space="0" w:color="auto"/>
                                    <w:right w:val="none" w:sz="0" w:space="0" w:color="auto"/>
                                  </w:divBdr>
                                  <w:divsChild>
                                    <w:div w:id="554003437">
                                      <w:marLeft w:val="0"/>
                                      <w:marRight w:val="0"/>
                                      <w:marTop w:val="0"/>
                                      <w:marBottom w:val="0"/>
                                      <w:divBdr>
                                        <w:top w:val="none" w:sz="0" w:space="0" w:color="auto"/>
                                        <w:left w:val="none" w:sz="0" w:space="0" w:color="auto"/>
                                        <w:bottom w:val="none" w:sz="0" w:space="0" w:color="auto"/>
                                        <w:right w:val="none" w:sz="0" w:space="0" w:color="auto"/>
                                      </w:divBdr>
                                      <w:divsChild>
                                        <w:div w:id="1241257814">
                                          <w:marLeft w:val="0"/>
                                          <w:marRight w:val="0"/>
                                          <w:marTop w:val="0"/>
                                          <w:marBottom w:val="0"/>
                                          <w:divBdr>
                                            <w:top w:val="none" w:sz="0" w:space="0" w:color="auto"/>
                                            <w:left w:val="none" w:sz="0" w:space="0" w:color="auto"/>
                                            <w:bottom w:val="none" w:sz="0" w:space="0" w:color="auto"/>
                                            <w:right w:val="none" w:sz="0" w:space="0" w:color="auto"/>
                                          </w:divBdr>
                                          <w:divsChild>
                                            <w:div w:id="1610745521">
                                              <w:marLeft w:val="0"/>
                                              <w:marRight w:val="0"/>
                                              <w:marTop w:val="0"/>
                                              <w:marBottom w:val="0"/>
                                              <w:divBdr>
                                                <w:top w:val="none" w:sz="0" w:space="0" w:color="auto"/>
                                                <w:left w:val="none" w:sz="0" w:space="0" w:color="auto"/>
                                                <w:bottom w:val="none" w:sz="0" w:space="0" w:color="auto"/>
                                                <w:right w:val="none" w:sz="0" w:space="0" w:color="auto"/>
                                              </w:divBdr>
                                              <w:divsChild>
                                                <w:div w:id="1952202932">
                                                  <w:marLeft w:val="0"/>
                                                  <w:marRight w:val="0"/>
                                                  <w:marTop w:val="0"/>
                                                  <w:marBottom w:val="0"/>
                                                  <w:divBdr>
                                                    <w:top w:val="none" w:sz="0" w:space="0" w:color="auto"/>
                                                    <w:left w:val="none" w:sz="0" w:space="0" w:color="auto"/>
                                                    <w:bottom w:val="none" w:sz="0" w:space="0" w:color="auto"/>
                                                    <w:right w:val="none" w:sz="0" w:space="0" w:color="auto"/>
                                                  </w:divBdr>
                                                  <w:divsChild>
                                                    <w:div w:id="1014696390">
                                                      <w:marLeft w:val="0"/>
                                                      <w:marRight w:val="0"/>
                                                      <w:marTop w:val="0"/>
                                                      <w:marBottom w:val="0"/>
                                                      <w:divBdr>
                                                        <w:top w:val="none" w:sz="0" w:space="0" w:color="auto"/>
                                                        <w:left w:val="none" w:sz="0" w:space="0" w:color="auto"/>
                                                        <w:bottom w:val="none" w:sz="0" w:space="0" w:color="auto"/>
                                                        <w:right w:val="none" w:sz="0" w:space="0" w:color="auto"/>
                                                      </w:divBdr>
                                                      <w:divsChild>
                                                        <w:div w:id="2027977608">
                                                          <w:marLeft w:val="0"/>
                                                          <w:marRight w:val="0"/>
                                                          <w:marTop w:val="0"/>
                                                          <w:marBottom w:val="0"/>
                                                          <w:divBdr>
                                                            <w:top w:val="none" w:sz="0" w:space="0" w:color="auto"/>
                                                            <w:left w:val="none" w:sz="0" w:space="0" w:color="auto"/>
                                                            <w:bottom w:val="none" w:sz="0" w:space="0" w:color="auto"/>
                                                            <w:right w:val="none" w:sz="0" w:space="0" w:color="auto"/>
                                                          </w:divBdr>
                                                          <w:divsChild>
                                                            <w:div w:id="1812017806">
                                                              <w:marLeft w:val="0"/>
                                                              <w:marRight w:val="0"/>
                                                              <w:marTop w:val="0"/>
                                                              <w:marBottom w:val="0"/>
                                                              <w:divBdr>
                                                                <w:top w:val="none" w:sz="0" w:space="0" w:color="auto"/>
                                                                <w:left w:val="none" w:sz="0" w:space="0" w:color="auto"/>
                                                                <w:bottom w:val="none" w:sz="0" w:space="0" w:color="auto"/>
                                                                <w:right w:val="none" w:sz="0" w:space="0" w:color="auto"/>
                                                              </w:divBdr>
                                                              <w:divsChild>
                                                                <w:div w:id="127208678">
                                                                  <w:marLeft w:val="0"/>
                                                                  <w:marRight w:val="0"/>
                                                                  <w:marTop w:val="0"/>
                                                                  <w:marBottom w:val="0"/>
                                                                  <w:divBdr>
                                                                    <w:top w:val="none" w:sz="0" w:space="0" w:color="auto"/>
                                                                    <w:left w:val="none" w:sz="0" w:space="0" w:color="auto"/>
                                                                    <w:bottom w:val="none" w:sz="0" w:space="0" w:color="auto"/>
                                                                    <w:right w:val="none" w:sz="0" w:space="0" w:color="auto"/>
                                                                  </w:divBdr>
                                                                  <w:divsChild>
                                                                    <w:div w:id="1524896842">
                                                                      <w:marLeft w:val="0"/>
                                                                      <w:marRight w:val="0"/>
                                                                      <w:marTop w:val="0"/>
                                                                      <w:marBottom w:val="0"/>
                                                                      <w:divBdr>
                                                                        <w:top w:val="none" w:sz="0" w:space="0" w:color="auto"/>
                                                                        <w:left w:val="none" w:sz="0" w:space="0" w:color="auto"/>
                                                                        <w:bottom w:val="none" w:sz="0" w:space="0" w:color="auto"/>
                                                                        <w:right w:val="none" w:sz="0" w:space="0" w:color="auto"/>
                                                                      </w:divBdr>
                                                                      <w:divsChild>
                                                                        <w:div w:id="1747461188">
                                                                          <w:marLeft w:val="0"/>
                                                                          <w:marRight w:val="0"/>
                                                                          <w:marTop w:val="0"/>
                                                                          <w:marBottom w:val="0"/>
                                                                          <w:divBdr>
                                                                            <w:top w:val="none" w:sz="0" w:space="0" w:color="auto"/>
                                                                            <w:left w:val="none" w:sz="0" w:space="0" w:color="auto"/>
                                                                            <w:bottom w:val="none" w:sz="0" w:space="0" w:color="auto"/>
                                                                            <w:right w:val="none" w:sz="0" w:space="0" w:color="auto"/>
                                                                          </w:divBdr>
                                                                          <w:divsChild>
                                                                            <w:div w:id="583686566">
                                                                              <w:marLeft w:val="0"/>
                                                                              <w:marRight w:val="0"/>
                                                                              <w:marTop w:val="0"/>
                                                                              <w:marBottom w:val="0"/>
                                                                              <w:divBdr>
                                                                                <w:top w:val="none" w:sz="0" w:space="0" w:color="auto"/>
                                                                                <w:left w:val="none" w:sz="0" w:space="0" w:color="auto"/>
                                                                                <w:bottom w:val="none" w:sz="0" w:space="0" w:color="auto"/>
                                                                                <w:right w:val="none" w:sz="0" w:space="0" w:color="auto"/>
                                                                              </w:divBdr>
                                                                              <w:divsChild>
                                                                                <w:div w:id="105207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03720936">
      <w:bodyDiv w:val="1"/>
      <w:marLeft w:val="0"/>
      <w:marRight w:val="0"/>
      <w:marTop w:val="0"/>
      <w:marBottom w:val="0"/>
      <w:divBdr>
        <w:top w:val="none" w:sz="0" w:space="0" w:color="auto"/>
        <w:left w:val="none" w:sz="0" w:space="0" w:color="auto"/>
        <w:bottom w:val="none" w:sz="0" w:space="0" w:color="auto"/>
        <w:right w:val="none" w:sz="0" w:space="0" w:color="auto"/>
      </w:divBdr>
    </w:div>
    <w:div w:id="1112166469">
      <w:bodyDiv w:val="1"/>
      <w:marLeft w:val="0"/>
      <w:marRight w:val="0"/>
      <w:marTop w:val="0"/>
      <w:marBottom w:val="0"/>
      <w:divBdr>
        <w:top w:val="none" w:sz="0" w:space="0" w:color="auto"/>
        <w:left w:val="none" w:sz="0" w:space="0" w:color="auto"/>
        <w:bottom w:val="none" w:sz="0" w:space="0" w:color="auto"/>
        <w:right w:val="none" w:sz="0" w:space="0" w:color="auto"/>
      </w:divBdr>
    </w:div>
    <w:div w:id="1135837107">
      <w:bodyDiv w:val="1"/>
      <w:marLeft w:val="0"/>
      <w:marRight w:val="0"/>
      <w:marTop w:val="0"/>
      <w:marBottom w:val="0"/>
      <w:divBdr>
        <w:top w:val="none" w:sz="0" w:space="0" w:color="auto"/>
        <w:left w:val="none" w:sz="0" w:space="0" w:color="auto"/>
        <w:bottom w:val="none" w:sz="0" w:space="0" w:color="auto"/>
        <w:right w:val="none" w:sz="0" w:space="0" w:color="auto"/>
      </w:divBdr>
    </w:div>
    <w:div w:id="1165196892">
      <w:bodyDiv w:val="1"/>
      <w:marLeft w:val="0"/>
      <w:marRight w:val="0"/>
      <w:marTop w:val="0"/>
      <w:marBottom w:val="0"/>
      <w:divBdr>
        <w:top w:val="none" w:sz="0" w:space="0" w:color="auto"/>
        <w:left w:val="none" w:sz="0" w:space="0" w:color="auto"/>
        <w:bottom w:val="none" w:sz="0" w:space="0" w:color="auto"/>
        <w:right w:val="none" w:sz="0" w:space="0" w:color="auto"/>
      </w:divBdr>
    </w:div>
    <w:div w:id="1167669940">
      <w:bodyDiv w:val="1"/>
      <w:marLeft w:val="0"/>
      <w:marRight w:val="0"/>
      <w:marTop w:val="0"/>
      <w:marBottom w:val="0"/>
      <w:divBdr>
        <w:top w:val="none" w:sz="0" w:space="0" w:color="auto"/>
        <w:left w:val="none" w:sz="0" w:space="0" w:color="auto"/>
        <w:bottom w:val="none" w:sz="0" w:space="0" w:color="auto"/>
        <w:right w:val="none" w:sz="0" w:space="0" w:color="auto"/>
      </w:divBdr>
    </w:div>
    <w:div w:id="1172455359">
      <w:bodyDiv w:val="1"/>
      <w:marLeft w:val="0"/>
      <w:marRight w:val="0"/>
      <w:marTop w:val="0"/>
      <w:marBottom w:val="0"/>
      <w:divBdr>
        <w:top w:val="none" w:sz="0" w:space="0" w:color="auto"/>
        <w:left w:val="none" w:sz="0" w:space="0" w:color="auto"/>
        <w:bottom w:val="none" w:sz="0" w:space="0" w:color="auto"/>
        <w:right w:val="none" w:sz="0" w:space="0" w:color="auto"/>
      </w:divBdr>
    </w:div>
    <w:div w:id="1228951831">
      <w:bodyDiv w:val="1"/>
      <w:marLeft w:val="0"/>
      <w:marRight w:val="0"/>
      <w:marTop w:val="0"/>
      <w:marBottom w:val="0"/>
      <w:divBdr>
        <w:top w:val="none" w:sz="0" w:space="0" w:color="auto"/>
        <w:left w:val="none" w:sz="0" w:space="0" w:color="auto"/>
        <w:bottom w:val="none" w:sz="0" w:space="0" w:color="auto"/>
        <w:right w:val="none" w:sz="0" w:space="0" w:color="auto"/>
      </w:divBdr>
    </w:div>
    <w:div w:id="1248346000">
      <w:bodyDiv w:val="1"/>
      <w:marLeft w:val="0"/>
      <w:marRight w:val="0"/>
      <w:marTop w:val="0"/>
      <w:marBottom w:val="0"/>
      <w:divBdr>
        <w:top w:val="none" w:sz="0" w:space="0" w:color="auto"/>
        <w:left w:val="none" w:sz="0" w:space="0" w:color="auto"/>
        <w:bottom w:val="none" w:sz="0" w:space="0" w:color="auto"/>
        <w:right w:val="none" w:sz="0" w:space="0" w:color="auto"/>
      </w:divBdr>
    </w:div>
    <w:div w:id="1262765737">
      <w:bodyDiv w:val="1"/>
      <w:marLeft w:val="0"/>
      <w:marRight w:val="0"/>
      <w:marTop w:val="0"/>
      <w:marBottom w:val="0"/>
      <w:divBdr>
        <w:top w:val="none" w:sz="0" w:space="0" w:color="auto"/>
        <w:left w:val="none" w:sz="0" w:space="0" w:color="auto"/>
        <w:bottom w:val="none" w:sz="0" w:space="0" w:color="auto"/>
        <w:right w:val="none" w:sz="0" w:space="0" w:color="auto"/>
      </w:divBdr>
    </w:div>
    <w:div w:id="1270626043">
      <w:bodyDiv w:val="1"/>
      <w:marLeft w:val="0"/>
      <w:marRight w:val="0"/>
      <w:marTop w:val="0"/>
      <w:marBottom w:val="0"/>
      <w:divBdr>
        <w:top w:val="none" w:sz="0" w:space="0" w:color="auto"/>
        <w:left w:val="none" w:sz="0" w:space="0" w:color="auto"/>
        <w:bottom w:val="none" w:sz="0" w:space="0" w:color="auto"/>
        <w:right w:val="none" w:sz="0" w:space="0" w:color="auto"/>
      </w:divBdr>
    </w:div>
    <w:div w:id="1286548301">
      <w:bodyDiv w:val="1"/>
      <w:marLeft w:val="0"/>
      <w:marRight w:val="0"/>
      <w:marTop w:val="0"/>
      <w:marBottom w:val="0"/>
      <w:divBdr>
        <w:top w:val="none" w:sz="0" w:space="0" w:color="auto"/>
        <w:left w:val="none" w:sz="0" w:space="0" w:color="auto"/>
        <w:bottom w:val="none" w:sz="0" w:space="0" w:color="auto"/>
        <w:right w:val="none" w:sz="0" w:space="0" w:color="auto"/>
      </w:divBdr>
    </w:div>
    <w:div w:id="1292319278">
      <w:bodyDiv w:val="1"/>
      <w:marLeft w:val="0"/>
      <w:marRight w:val="0"/>
      <w:marTop w:val="0"/>
      <w:marBottom w:val="0"/>
      <w:divBdr>
        <w:top w:val="none" w:sz="0" w:space="0" w:color="auto"/>
        <w:left w:val="none" w:sz="0" w:space="0" w:color="auto"/>
        <w:bottom w:val="none" w:sz="0" w:space="0" w:color="auto"/>
        <w:right w:val="none" w:sz="0" w:space="0" w:color="auto"/>
      </w:divBdr>
    </w:div>
    <w:div w:id="1301500464">
      <w:bodyDiv w:val="1"/>
      <w:marLeft w:val="0"/>
      <w:marRight w:val="0"/>
      <w:marTop w:val="0"/>
      <w:marBottom w:val="0"/>
      <w:divBdr>
        <w:top w:val="none" w:sz="0" w:space="0" w:color="auto"/>
        <w:left w:val="none" w:sz="0" w:space="0" w:color="auto"/>
        <w:bottom w:val="none" w:sz="0" w:space="0" w:color="auto"/>
        <w:right w:val="none" w:sz="0" w:space="0" w:color="auto"/>
      </w:divBdr>
    </w:div>
    <w:div w:id="1317370650">
      <w:bodyDiv w:val="1"/>
      <w:marLeft w:val="0"/>
      <w:marRight w:val="0"/>
      <w:marTop w:val="0"/>
      <w:marBottom w:val="0"/>
      <w:divBdr>
        <w:top w:val="none" w:sz="0" w:space="0" w:color="auto"/>
        <w:left w:val="none" w:sz="0" w:space="0" w:color="auto"/>
        <w:bottom w:val="none" w:sz="0" w:space="0" w:color="auto"/>
        <w:right w:val="none" w:sz="0" w:space="0" w:color="auto"/>
      </w:divBdr>
    </w:div>
    <w:div w:id="1336229800">
      <w:bodyDiv w:val="1"/>
      <w:marLeft w:val="0"/>
      <w:marRight w:val="0"/>
      <w:marTop w:val="0"/>
      <w:marBottom w:val="0"/>
      <w:divBdr>
        <w:top w:val="none" w:sz="0" w:space="0" w:color="auto"/>
        <w:left w:val="none" w:sz="0" w:space="0" w:color="auto"/>
        <w:bottom w:val="none" w:sz="0" w:space="0" w:color="auto"/>
        <w:right w:val="none" w:sz="0" w:space="0" w:color="auto"/>
      </w:divBdr>
    </w:div>
    <w:div w:id="1391078236">
      <w:bodyDiv w:val="1"/>
      <w:marLeft w:val="0"/>
      <w:marRight w:val="0"/>
      <w:marTop w:val="0"/>
      <w:marBottom w:val="0"/>
      <w:divBdr>
        <w:top w:val="none" w:sz="0" w:space="0" w:color="auto"/>
        <w:left w:val="none" w:sz="0" w:space="0" w:color="auto"/>
        <w:bottom w:val="none" w:sz="0" w:space="0" w:color="auto"/>
        <w:right w:val="none" w:sz="0" w:space="0" w:color="auto"/>
      </w:divBdr>
    </w:div>
    <w:div w:id="1410537993">
      <w:bodyDiv w:val="1"/>
      <w:marLeft w:val="0"/>
      <w:marRight w:val="0"/>
      <w:marTop w:val="0"/>
      <w:marBottom w:val="0"/>
      <w:divBdr>
        <w:top w:val="none" w:sz="0" w:space="0" w:color="auto"/>
        <w:left w:val="none" w:sz="0" w:space="0" w:color="auto"/>
        <w:bottom w:val="none" w:sz="0" w:space="0" w:color="auto"/>
        <w:right w:val="none" w:sz="0" w:space="0" w:color="auto"/>
      </w:divBdr>
    </w:div>
    <w:div w:id="1431730594">
      <w:bodyDiv w:val="1"/>
      <w:marLeft w:val="0"/>
      <w:marRight w:val="0"/>
      <w:marTop w:val="0"/>
      <w:marBottom w:val="0"/>
      <w:divBdr>
        <w:top w:val="none" w:sz="0" w:space="0" w:color="auto"/>
        <w:left w:val="none" w:sz="0" w:space="0" w:color="auto"/>
        <w:bottom w:val="none" w:sz="0" w:space="0" w:color="auto"/>
        <w:right w:val="none" w:sz="0" w:space="0" w:color="auto"/>
      </w:divBdr>
    </w:div>
    <w:div w:id="1435637265">
      <w:bodyDiv w:val="1"/>
      <w:marLeft w:val="0"/>
      <w:marRight w:val="0"/>
      <w:marTop w:val="0"/>
      <w:marBottom w:val="0"/>
      <w:divBdr>
        <w:top w:val="none" w:sz="0" w:space="0" w:color="auto"/>
        <w:left w:val="none" w:sz="0" w:space="0" w:color="auto"/>
        <w:bottom w:val="none" w:sz="0" w:space="0" w:color="auto"/>
        <w:right w:val="none" w:sz="0" w:space="0" w:color="auto"/>
      </w:divBdr>
    </w:div>
    <w:div w:id="1456021298">
      <w:bodyDiv w:val="1"/>
      <w:marLeft w:val="0"/>
      <w:marRight w:val="0"/>
      <w:marTop w:val="0"/>
      <w:marBottom w:val="0"/>
      <w:divBdr>
        <w:top w:val="none" w:sz="0" w:space="0" w:color="auto"/>
        <w:left w:val="none" w:sz="0" w:space="0" w:color="auto"/>
        <w:bottom w:val="none" w:sz="0" w:space="0" w:color="auto"/>
        <w:right w:val="none" w:sz="0" w:space="0" w:color="auto"/>
      </w:divBdr>
    </w:div>
    <w:div w:id="1466656730">
      <w:bodyDiv w:val="1"/>
      <w:marLeft w:val="0"/>
      <w:marRight w:val="0"/>
      <w:marTop w:val="0"/>
      <w:marBottom w:val="0"/>
      <w:divBdr>
        <w:top w:val="none" w:sz="0" w:space="0" w:color="auto"/>
        <w:left w:val="none" w:sz="0" w:space="0" w:color="auto"/>
        <w:bottom w:val="none" w:sz="0" w:space="0" w:color="auto"/>
        <w:right w:val="none" w:sz="0" w:space="0" w:color="auto"/>
      </w:divBdr>
    </w:div>
    <w:div w:id="1477137460">
      <w:bodyDiv w:val="1"/>
      <w:marLeft w:val="0"/>
      <w:marRight w:val="0"/>
      <w:marTop w:val="0"/>
      <w:marBottom w:val="0"/>
      <w:divBdr>
        <w:top w:val="none" w:sz="0" w:space="0" w:color="auto"/>
        <w:left w:val="none" w:sz="0" w:space="0" w:color="auto"/>
        <w:bottom w:val="none" w:sz="0" w:space="0" w:color="auto"/>
        <w:right w:val="none" w:sz="0" w:space="0" w:color="auto"/>
      </w:divBdr>
    </w:div>
    <w:div w:id="1506048779">
      <w:bodyDiv w:val="1"/>
      <w:marLeft w:val="0"/>
      <w:marRight w:val="0"/>
      <w:marTop w:val="0"/>
      <w:marBottom w:val="0"/>
      <w:divBdr>
        <w:top w:val="none" w:sz="0" w:space="0" w:color="auto"/>
        <w:left w:val="none" w:sz="0" w:space="0" w:color="auto"/>
        <w:bottom w:val="none" w:sz="0" w:space="0" w:color="auto"/>
        <w:right w:val="none" w:sz="0" w:space="0" w:color="auto"/>
      </w:divBdr>
    </w:div>
    <w:div w:id="1508910762">
      <w:bodyDiv w:val="1"/>
      <w:marLeft w:val="0"/>
      <w:marRight w:val="0"/>
      <w:marTop w:val="0"/>
      <w:marBottom w:val="0"/>
      <w:divBdr>
        <w:top w:val="none" w:sz="0" w:space="0" w:color="auto"/>
        <w:left w:val="none" w:sz="0" w:space="0" w:color="auto"/>
        <w:bottom w:val="none" w:sz="0" w:space="0" w:color="auto"/>
        <w:right w:val="none" w:sz="0" w:space="0" w:color="auto"/>
      </w:divBdr>
    </w:div>
    <w:div w:id="1527450465">
      <w:bodyDiv w:val="1"/>
      <w:marLeft w:val="0"/>
      <w:marRight w:val="0"/>
      <w:marTop w:val="0"/>
      <w:marBottom w:val="0"/>
      <w:divBdr>
        <w:top w:val="none" w:sz="0" w:space="0" w:color="auto"/>
        <w:left w:val="none" w:sz="0" w:space="0" w:color="auto"/>
        <w:bottom w:val="none" w:sz="0" w:space="0" w:color="auto"/>
        <w:right w:val="none" w:sz="0" w:space="0" w:color="auto"/>
      </w:divBdr>
    </w:div>
    <w:div w:id="1530989290">
      <w:bodyDiv w:val="1"/>
      <w:marLeft w:val="0"/>
      <w:marRight w:val="0"/>
      <w:marTop w:val="0"/>
      <w:marBottom w:val="0"/>
      <w:divBdr>
        <w:top w:val="none" w:sz="0" w:space="0" w:color="auto"/>
        <w:left w:val="none" w:sz="0" w:space="0" w:color="auto"/>
        <w:bottom w:val="none" w:sz="0" w:space="0" w:color="auto"/>
        <w:right w:val="none" w:sz="0" w:space="0" w:color="auto"/>
      </w:divBdr>
    </w:div>
    <w:div w:id="1537542793">
      <w:bodyDiv w:val="1"/>
      <w:marLeft w:val="0"/>
      <w:marRight w:val="0"/>
      <w:marTop w:val="0"/>
      <w:marBottom w:val="0"/>
      <w:divBdr>
        <w:top w:val="none" w:sz="0" w:space="0" w:color="auto"/>
        <w:left w:val="none" w:sz="0" w:space="0" w:color="auto"/>
        <w:bottom w:val="none" w:sz="0" w:space="0" w:color="auto"/>
        <w:right w:val="none" w:sz="0" w:space="0" w:color="auto"/>
      </w:divBdr>
    </w:div>
    <w:div w:id="1539733250">
      <w:bodyDiv w:val="1"/>
      <w:marLeft w:val="0"/>
      <w:marRight w:val="0"/>
      <w:marTop w:val="0"/>
      <w:marBottom w:val="0"/>
      <w:divBdr>
        <w:top w:val="none" w:sz="0" w:space="0" w:color="auto"/>
        <w:left w:val="none" w:sz="0" w:space="0" w:color="auto"/>
        <w:bottom w:val="none" w:sz="0" w:space="0" w:color="auto"/>
        <w:right w:val="none" w:sz="0" w:space="0" w:color="auto"/>
      </w:divBdr>
    </w:div>
    <w:div w:id="1541819592">
      <w:bodyDiv w:val="1"/>
      <w:marLeft w:val="0"/>
      <w:marRight w:val="0"/>
      <w:marTop w:val="0"/>
      <w:marBottom w:val="0"/>
      <w:divBdr>
        <w:top w:val="none" w:sz="0" w:space="0" w:color="auto"/>
        <w:left w:val="none" w:sz="0" w:space="0" w:color="auto"/>
        <w:bottom w:val="none" w:sz="0" w:space="0" w:color="auto"/>
        <w:right w:val="none" w:sz="0" w:space="0" w:color="auto"/>
      </w:divBdr>
    </w:div>
    <w:div w:id="1577784871">
      <w:bodyDiv w:val="1"/>
      <w:marLeft w:val="0"/>
      <w:marRight w:val="0"/>
      <w:marTop w:val="0"/>
      <w:marBottom w:val="0"/>
      <w:divBdr>
        <w:top w:val="none" w:sz="0" w:space="0" w:color="auto"/>
        <w:left w:val="none" w:sz="0" w:space="0" w:color="auto"/>
        <w:bottom w:val="none" w:sz="0" w:space="0" w:color="auto"/>
        <w:right w:val="none" w:sz="0" w:space="0" w:color="auto"/>
      </w:divBdr>
    </w:div>
    <w:div w:id="1601182580">
      <w:bodyDiv w:val="1"/>
      <w:marLeft w:val="0"/>
      <w:marRight w:val="0"/>
      <w:marTop w:val="0"/>
      <w:marBottom w:val="0"/>
      <w:divBdr>
        <w:top w:val="none" w:sz="0" w:space="0" w:color="auto"/>
        <w:left w:val="none" w:sz="0" w:space="0" w:color="auto"/>
        <w:bottom w:val="none" w:sz="0" w:space="0" w:color="auto"/>
        <w:right w:val="none" w:sz="0" w:space="0" w:color="auto"/>
      </w:divBdr>
    </w:div>
    <w:div w:id="1607731564">
      <w:bodyDiv w:val="1"/>
      <w:marLeft w:val="0"/>
      <w:marRight w:val="0"/>
      <w:marTop w:val="0"/>
      <w:marBottom w:val="0"/>
      <w:divBdr>
        <w:top w:val="none" w:sz="0" w:space="0" w:color="auto"/>
        <w:left w:val="none" w:sz="0" w:space="0" w:color="auto"/>
        <w:bottom w:val="none" w:sz="0" w:space="0" w:color="auto"/>
        <w:right w:val="none" w:sz="0" w:space="0" w:color="auto"/>
      </w:divBdr>
    </w:div>
    <w:div w:id="1611352292">
      <w:bodyDiv w:val="1"/>
      <w:marLeft w:val="0"/>
      <w:marRight w:val="0"/>
      <w:marTop w:val="0"/>
      <w:marBottom w:val="0"/>
      <w:divBdr>
        <w:top w:val="none" w:sz="0" w:space="0" w:color="auto"/>
        <w:left w:val="none" w:sz="0" w:space="0" w:color="auto"/>
        <w:bottom w:val="none" w:sz="0" w:space="0" w:color="auto"/>
        <w:right w:val="none" w:sz="0" w:space="0" w:color="auto"/>
      </w:divBdr>
    </w:div>
    <w:div w:id="1620867617">
      <w:bodyDiv w:val="1"/>
      <w:marLeft w:val="0"/>
      <w:marRight w:val="0"/>
      <w:marTop w:val="0"/>
      <w:marBottom w:val="0"/>
      <w:divBdr>
        <w:top w:val="none" w:sz="0" w:space="0" w:color="auto"/>
        <w:left w:val="none" w:sz="0" w:space="0" w:color="auto"/>
        <w:bottom w:val="none" w:sz="0" w:space="0" w:color="auto"/>
        <w:right w:val="none" w:sz="0" w:space="0" w:color="auto"/>
      </w:divBdr>
    </w:div>
    <w:div w:id="1639996242">
      <w:bodyDiv w:val="1"/>
      <w:marLeft w:val="0"/>
      <w:marRight w:val="0"/>
      <w:marTop w:val="0"/>
      <w:marBottom w:val="0"/>
      <w:divBdr>
        <w:top w:val="none" w:sz="0" w:space="0" w:color="auto"/>
        <w:left w:val="none" w:sz="0" w:space="0" w:color="auto"/>
        <w:bottom w:val="none" w:sz="0" w:space="0" w:color="auto"/>
        <w:right w:val="none" w:sz="0" w:space="0" w:color="auto"/>
      </w:divBdr>
    </w:div>
    <w:div w:id="1674915210">
      <w:bodyDiv w:val="1"/>
      <w:marLeft w:val="0"/>
      <w:marRight w:val="0"/>
      <w:marTop w:val="0"/>
      <w:marBottom w:val="0"/>
      <w:divBdr>
        <w:top w:val="none" w:sz="0" w:space="0" w:color="auto"/>
        <w:left w:val="none" w:sz="0" w:space="0" w:color="auto"/>
        <w:bottom w:val="none" w:sz="0" w:space="0" w:color="auto"/>
        <w:right w:val="none" w:sz="0" w:space="0" w:color="auto"/>
      </w:divBdr>
    </w:div>
    <w:div w:id="1714429706">
      <w:bodyDiv w:val="1"/>
      <w:marLeft w:val="0"/>
      <w:marRight w:val="0"/>
      <w:marTop w:val="0"/>
      <w:marBottom w:val="0"/>
      <w:divBdr>
        <w:top w:val="none" w:sz="0" w:space="0" w:color="auto"/>
        <w:left w:val="none" w:sz="0" w:space="0" w:color="auto"/>
        <w:bottom w:val="none" w:sz="0" w:space="0" w:color="auto"/>
        <w:right w:val="none" w:sz="0" w:space="0" w:color="auto"/>
      </w:divBdr>
    </w:div>
    <w:div w:id="1722055984">
      <w:bodyDiv w:val="1"/>
      <w:marLeft w:val="0"/>
      <w:marRight w:val="0"/>
      <w:marTop w:val="0"/>
      <w:marBottom w:val="0"/>
      <w:divBdr>
        <w:top w:val="none" w:sz="0" w:space="0" w:color="auto"/>
        <w:left w:val="none" w:sz="0" w:space="0" w:color="auto"/>
        <w:bottom w:val="none" w:sz="0" w:space="0" w:color="auto"/>
        <w:right w:val="none" w:sz="0" w:space="0" w:color="auto"/>
      </w:divBdr>
    </w:div>
    <w:div w:id="1723597092">
      <w:bodyDiv w:val="1"/>
      <w:marLeft w:val="0"/>
      <w:marRight w:val="0"/>
      <w:marTop w:val="0"/>
      <w:marBottom w:val="0"/>
      <w:divBdr>
        <w:top w:val="none" w:sz="0" w:space="0" w:color="auto"/>
        <w:left w:val="none" w:sz="0" w:space="0" w:color="auto"/>
        <w:bottom w:val="none" w:sz="0" w:space="0" w:color="auto"/>
        <w:right w:val="none" w:sz="0" w:space="0" w:color="auto"/>
      </w:divBdr>
    </w:div>
    <w:div w:id="1740128692">
      <w:bodyDiv w:val="1"/>
      <w:marLeft w:val="0"/>
      <w:marRight w:val="0"/>
      <w:marTop w:val="0"/>
      <w:marBottom w:val="0"/>
      <w:divBdr>
        <w:top w:val="none" w:sz="0" w:space="0" w:color="auto"/>
        <w:left w:val="none" w:sz="0" w:space="0" w:color="auto"/>
        <w:bottom w:val="none" w:sz="0" w:space="0" w:color="auto"/>
        <w:right w:val="none" w:sz="0" w:space="0" w:color="auto"/>
      </w:divBdr>
    </w:div>
    <w:div w:id="1780297133">
      <w:bodyDiv w:val="1"/>
      <w:marLeft w:val="0"/>
      <w:marRight w:val="0"/>
      <w:marTop w:val="0"/>
      <w:marBottom w:val="0"/>
      <w:divBdr>
        <w:top w:val="none" w:sz="0" w:space="0" w:color="auto"/>
        <w:left w:val="none" w:sz="0" w:space="0" w:color="auto"/>
        <w:bottom w:val="none" w:sz="0" w:space="0" w:color="auto"/>
        <w:right w:val="none" w:sz="0" w:space="0" w:color="auto"/>
      </w:divBdr>
    </w:div>
    <w:div w:id="1882209227">
      <w:bodyDiv w:val="1"/>
      <w:marLeft w:val="0"/>
      <w:marRight w:val="0"/>
      <w:marTop w:val="0"/>
      <w:marBottom w:val="0"/>
      <w:divBdr>
        <w:top w:val="none" w:sz="0" w:space="0" w:color="auto"/>
        <w:left w:val="none" w:sz="0" w:space="0" w:color="auto"/>
        <w:bottom w:val="none" w:sz="0" w:space="0" w:color="auto"/>
        <w:right w:val="none" w:sz="0" w:space="0" w:color="auto"/>
      </w:divBdr>
    </w:div>
    <w:div w:id="1906798998">
      <w:bodyDiv w:val="1"/>
      <w:marLeft w:val="0"/>
      <w:marRight w:val="0"/>
      <w:marTop w:val="0"/>
      <w:marBottom w:val="0"/>
      <w:divBdr>
        <w:top w:val="none" w:sz="0" w:space="0" w:color="auto"/>
        <w:left w:val="none" w:sz="0" w:space="0" w:color="auto"/>
        <w:bottom w:val="none" w:sz="0" w:space="0" w:color="auto"/>
        <w:right w:val="none" w:sz="0" w:space="0" w:color="auto"/>
      </w:divBdr>
      <w:divsChild>
        <w:div w:id="732503852">
          <w:marLeft w:val="0"/>
          <w:marRight w:val="0"/>
          <w:marTop w:val="0"/>
          <w:marBottom w:val="0"/>
          <w:divBdr>
            <w:top w:val="none" w:sz="0" w:space="0" w:color="auto"/>
            <w:left w:val="none" w:sz="0" w:space="0" w:color="auto"/>
            <w:bottom w:val="none" w:sz="0" w:space="0" w:color="auto"/>
            <w:right w:val="none" w:sz="0" w:space="0" w:color="auto"/>
          </w:divBdr>
          <w:divsChild>
            <w:div w:id="1074932680">
              <w:marLeft w:val="0"/>
              <w:marRight w:val="0"/>
              <w:marTop w:val="0"/>
              <w:marBottom w:val="0"/>
              <w:divBdr>
                <w:top w:val="none" w:sz="0" w:space="0" w:color="auto"/>
                <w:left w:val="none" w:sz="0" w:space="0" w:color="auto"/>
                <w:bottom w:val="none" w:sz="0" w:space="0" w:color="auto"/>
                <w:right w:val="none" w:sz="0" w:space="0" w:color="auto"/>
              </w:divBdr>
              <w:divsChild>
                <w:div w:id="999426117">
                  <w:marLeft w:val="0"/>
                  <w:marRight w:val="0"/>
                  <w:marTop w:val="0"/>
                  <w:marBottom w:val="0"/>
                  <w:divBdr>
                    <w:top w:val="none" w:sz="0" w:space="0" w:color="auto"/>
                    <w:left w:val="none" w:sz="0" w:space="0" w:color="auto"/>
                    <w:bottom w:val="none" w:sz="0" w:space="0" w:color="auto"/>
                    <w:right w:val="none" w:sz="0" w:space="0" w:color="auto"/>
                  </w:divBdr>
                  <w:divsChild>
                    <w:div w:id="701245101">
                      <w:marLeft w:val="0"/>
                      <w:marRight w:val="0"/>
                      <w:marTop w:val="0"/>
                      <w:marBottom w:val="0"/>
                      <w:divBdr>
                        <w:top w:val="none" w:sz="0" w:space="0" w:color="auto"/>
                        <w:left w:val="none" w:sz="0" w:space="0" w:color="auto"/>
                        <w:bottom w:val="none" w:sz="0" w:space="0" w:color="auto"/>
                        <w:right w:val="none" w:sz="0" w:space="0" w:color="auto"/>
                      </w:divBdr>
                      <w:divsChild>
                        <w:div w:id="47581856">
                          <w:marLeft w:val="0"/>
                          <w:marRight w:val="0"/>
                          <w:marTop w:val="0"/>
                          <w:marBottom w:val="0"/>
                          <w:divBdr>
                            <w:top w:val="none" w:sz="0" w:space="0" w:color="auto"/>
                            <w:left w:val="none" w:sz="0" w:space="0" w:color="auto"/>
                            <w:bottom w:val="none" w:sz="0" w:space="0" w:color="auto"/>
                            <w:right w:val="none" w:sz="0" w:space="0" w:color="auto"/>
                          </w:divBdr>
                          <w:divsChild>
                            <w:div w:id="1325476410">
                              <w:marLeft w:val="0"/>
                              <w:marRight w:val="0"/>
                              <w:marTop w:val="0"/>
                              <w:marBottom w:val="0"/>
                              <w:divBdr>
                                <w:top w:val="none" w:sz="0" w:space="0" w:color="auto"/>
                                <w:left w:val="none" w:sz="0" w:space="0" w:color="auto"/>
                                <w:bottom w:val="none" w:sz="0" w:space="0" w:color="auto"/>
                                <w:right w:val="none" w:sz="0" w:space="0" w:color="auto"/>
                              </w:divBdr>
                              <w:divsChild>
                                <w:div w:id="1924336292">
                                  <w:marLeft w:val="0"/>
                                  <w:marRight w:val="0"/>
                                  <w:marTop w:val="0"/>
                                  <w:marBottom w:val="0"/>
                                  <w:divBdr>
                                    <w:top w:val="none" w:sz="0" w:space="0" w:color="auto"/>
                                    <w:left w:val="none" w:sz="0" w:space="0" w:color="auto"/>
                                    <w:bottom w:val="none" w:sz="0" w:space="0" w:color="auto"/>
                                    <w:right w:val="none" w:sz="0" w:space="0" w:color="auto"/>
                                  </w:divBdr>
                                  <w:divsChild>
                                    <w:div w:id="137458269">
                                      <w:marLeft w:val="0"/>
                                      <w:marRight w:val="0"/>
                                      <w:marTop w:val="0"/>
                                      <w:marBottom w:val="0"/>
                                      <w:divBdr>
                                        <w:top w:val="none" w:sz="0" w:space="0" w:color="auto"/>
                                        <w:left w:val="none" w:sz="0" w:space="0" w:color="auto"/>
                                        <w:bottom w:val="none" w:sz="0" w:space="0" w:color="auto"/>
                                        <w:right w:val="none" w:sz="0" w:space="0" w:color="auto"/>
                                      </w:divBdr>
                                      <w:divsChild>
                                        <w:div w:id="670983006">
                                          <w:marLeft w:val="0"/>
                                          <w:marRight w:val="0"/>
                                          <w:marTop w:val="0"/>
                                          <w:marBottom w:val="0"/>
                                          <w:divBdr>
                                            <w:top w:val="none" w:sz="0" w:space="0" w:color="auto"/>
                                            <w:left w:val="none" w:sz="0" w:space="0" w:color="auto"/>
                                            <w:bottom w:val="none" w:sz="0" w:space="0" w:color="auto"/>
                                            <w:right w:val="none" w:sz="0" w:space="0" w:color="auto"/>
                                          </w:divBdr>
                                          <w:divsChild>
                                            <w:div w:id="365181890">
                                              <w:marLeft w:val="0"/>
                                              <w:marRight w:val="0"/>
                                              <w:marTop w:val="0"/>
                                              <w:marBottom w:val="0"/>
                                              <w:divBdr>
                                                <w:top w:val="none" w:sz="0" w:space="0" w:color="auto"/>
                                                <w:left w:val="none" w:sz="0" w:space="0" w:color="auto"/>
                                                <w:bottom w:val="none" w:sz="0" w:space="0" w:color="auto"/>
                                                <w:right w:val="none" w:sz="0" w:space="0" w:color="auto"/>
                                              </w:divBdr>
                                              <w:divsChild>
                                                <w:div w:id="504638471">
                                                  <w:marLeft w:val="0"/>
                                                  <w:marRight w:val="0"/>
                                                  <w:marTop w:val="0"/>
                                                  <w:marBottom w:val="0"/>
                                                  <w:divBdr>
                                                    <w:top w:val="none" w:sz="0" w:space="0" w:color="auto"/>
                                                    <w:left w:val="none" w:sz="0" w:space="0" w:color="auto"/>
                                                    <w:bottom w:val="none" w:sz="0" w:space="0" w:color="auto"/>
                                                    <w:right w:val="none" w:sz="0" w:space="0" w:color="auto"/>
                                                  </w:divBdr>
                                                  <w:divsChild>
                                                    <w:div w:id="120657368">
                                                      <w:marLeft w:val="0"/>
                                                      <w:marRight w:val="0"/>
                                                      <w:marTop w:val="0"/>
                                                      <w:marBottom w:val="0"/>
                                                      <w:divBdr>
                                                        <w:top w:val="none" w:sz="0" w:space="0" w:color="auto"/>
                                                        <w:left w:val="none" w:sz="0" w:space="0" w:color="auto"/>
                                                        <w:bottom w:val="none" w:sz="0" w:space="0" w:color="auto"/>
                                                        <w:right w:val="none" w:sz="0" w:space="0" w:color="auto"/>
                                                      </w:divBdr>
                                                      <w:divsChild>
                                                        <w:div w:id="1175995040">
                                                          <w:marLeft w:val="0"/>
                                                          <w:marRight w:val="0"/>
                                                          <w:marTop w:val="0"/>
                                                          <w:marBottom w:val="0"/>
                                                          <w:divBdr>
                                                            <w:top w:val="none" w:sz="0" w:space="0" w:color="auto"/>
                                                            <w:left w:val="none" w:sz="0" w:space="0" w:color="auto"/>
                                                            <w:bottom w:val="none" w:sz="0" w:space="0" w:color="auto"/>
                                                            <w:right w:val="none" w:sz="0" w:space="0" w:color="auto"/>
                                                          </w:divBdr>
                                                          <w:divsChild>
                                                            <w:div w:id="229508148">
                                                              <w:marLeft w:val="0"/>
                                                              <w:marRight w:val="0"/>
                                                              <w:marTop w:val="0"/>
                                                              <w:marBottom w:val="0"/>
                                                              <w:divBdr>
                                                                <w:top w:val="none" w:sz="0" w:space="0" w:color="auto"/>
                                                                <w:left w:val="none" w:sz="0" w:space="0" w:color="auto"/>
                                                                <w:bottom w:val="none" w:sz="0" w:space="0" w:color="auto"/>
                                                                <w:right w:val="none" w:sz="0" w:space="0" w:color="auto"/>
                                                              </w:divBdr>
                                                              <w:divsChild>
                                                                <w:div w:id="30427225">
                                                                  <w:marLeft w:val="0"/>
                                                                  <w:marRight w:val="0"/>
                                                                  <w:marTop w:val="0"/>
                                                                  <w:marBottom w:val="0"/>
                                                                  <w:divBdr>
                                                                    <w:top w:val="none" w:sz="0" w:space="0" w:color="auto"/>
                                                                    <w:left w:val="none" w:sz="0" w:space="0" w:color="auto"/>
                                                                    <w:bottom w:val="none" w:sz="0" w:space="0" w:color="auto"/>
                                                                    <w:right w:val="none" w:sz="0" w:space="0" w:color="auto"/>
                                                                  </w:divBdr>
                                                                  <w:divsChild>
                                                                    <w:div w:id="997608798">
                                                                      <w:marLeft w:val="0"/>
                                                                      <w:marRight w:val="0"/>
                                                                      <w:marTop w:val="0"/>
                                                                      <w:marBottom w:val="0"/>
                                                                      <w:divBdr>
                                                                        <w:top w:val="none" w:sz="0" w:space="0" w:color="auto"/>
                                                                        <w:left w:val="none" w:sz="0" w:space="0" w:color="auto"/>
                                                                        <w:bottom w:val="none" w:sz="0" w:space="0" w:color="auto"/>
                                                                        <w:right w:val="none" w:sz="0" w:space="0" w:color="auto"/>
                                                                      </w:divBdr>
                                                                      <w:divsChild>
                                                                        <w:div w:id="1540700876">
                                                                          <w:marLeft w:val="0"/>
                                                                          <w:marRight w:val="0"/>
                                                                          <w:marTop w:val="0"/>
                                                                          <w:marBottom w:val="0"/>
                                                                          <w:divBdr>
                                                                            <w:top w:val="none" w:sz="0" w:space="0" w:color="auto"/>
                                                                            <w:left w:val="none" w:sz="0" w:space="0" w:color="auto"/>
                                                                            <w:bottom w:val="none" w:sz="0" w:space="0" w:color="auto"/>
                                                                            <w:right w:val="none" w:sz="0" w:space="0" w:color="auto"/>
                                                                          </w:divBdr>
                                                                          <w:divsChild>
                                                                            <w:div w:id="2054306422">
                                                                              <w:marLeft w:val="0"/>
                                                                              <w:marRight w:val="0"/>
                                                                              <w:marTop w:val="0"/>
                                                                              <w:marBottom w:val="0"/>
                                                                              <w:divBdr>
                                                                                <w:top w:val="none" w:sz="0" w:space="0" w:color="auto"/>
                                                                                <w:left w:val="none" w:sz="0" w:space="0" w:color="auto"/>
                                                                                <w:bottom w:val="none" w:sz="0" w:space="0" w:color="auto"/>
                                                                                <w:right w:val="none" w:sz="0" w:space="0" w:color="auto"/>
                                                                              </w:divBdr>
                                                                              <w:divsChild>
                                                                                <w:div w:id="988826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4270900">
      <w:bodyDiv w:val="1"/>
      <w:marLeft w:val="0"/>
      <w:marRight w:val="0"/>
      <w:marTop w:val="0"/>
      <w:marBottom w:val="0"/>
      <w:divBdr>
        <w:top w:val="none" w:sz="0" w:space="0" w:color="auto"/>
        <w:left w:val="none" w:sz="0" w:space="0" w:color="auto"/>
        <w:bottom w:val="none" w:sz="0" w:space="0" w:color="auto"/>
        <w:right w:val="none" w:sz="0" w:space="0" w:color="auto"/>
      </w:divBdr>
    </w:div>
    <w:div w:id="1923753041">
      <w:bodyDiv w:val="1"/>
      <w:marLeft w:val="0"/>
      <w:marRight w:val="0"/>
      <w:marTop w:val="0"/>
      <w:marBottom w:val="0"/>
      <w:divBdr>
        <w:top w:val="none" w:sz="0" w:space="0" w:color="auto"/>
        <w:left w:val="none" w:sz="0" w:space="0" w:color="auto"/>
        <w:bottom w:val="none" w:sz="0" w:space="0" w:color="auto"/>
        <w:right w:val="none" w:sz="0" w:space="0" w:color="auto"/>
      </w:divBdr>
      <w:divsChild>
        <w:div w:id="78648017">
          <w:marLeft w:val="0"/>
          <w:marRight w:val="0"/>
          <w:marTop w:val="0"/>
          <w:marBottom w:val="0"/>
          <w:divBdr>
            <w:top w:val="none" w:sz="0" w:space="0" w:color="auto"/>
            <w:left w:val="none" w:sz="0" w:space="0" w:color="auto"/>
            <w:bottom w:val="none" w:sz="0" w:space="0" w:color="auto"/>
            <w:right w:val="none" w:sz="0" w:space="0" w:color="auto"/>
          </w:divBdr>
          <w:divsChild>
            <w:div w:id="1739554071">
              <w:marLeft w:val="0"/>
              <w:marRight w:val="0"/>
              <w:marTop w:val="0"/>
              <w:marBottom w:val="0"/>
              <w:divBdr>
                <w:top w:val="none" w:sz="0" w:space="0" w:color="auto"/>
                <w:left w:val="none" w:sz="0" w:space="0" w:color="auto"/>
                <w:bottom w:val="none" w:sz="0" w:space="0" w:color="auto"/>
                <w:right w:val="none" w:sz="0" w:space="0" w:color="auto"/>
              </w:divBdr>
              <w:divsChild>
                <w:div w:id="1206717053">
                  <w:marLeft w:val="0"/>
                  <w:marRight w:val="0"/>
                  <w:marTop w:val="0"/>
                  <w:marBottom w:val="0"/>
                  <w:divBdr>
                    <w:top w:val="none" w:sz="0" w:space="0" w:color="auto"/>
                    <w:left w:val="none" w:sz="0" w:space="0" w:color="auto"/>
                    <w:bottom w:val="none" w:sz="0" w:space="0" w:color="auto"/>
                    <w:right w:val="none" w:sz="0" w:space="0" w:color="auto"/>
                  </w:divBdr>
                  <w:divsChild>
                    <w:div w:id="850726077">
                      <w:marLeft w:val="0"/>
                      <w:marRight w:val="0"/>
                      <w:marTop w:val="0"/>
                      <w:marBottom w:val="0"/>
                      <w:divBdr>
                        <w:top w:val="none" w:sz="0" w:space="0" w:color="auto"/>
                        <w:left w:val="none" w:sz="0" w:space="0" w:color="auto"/>
                        <w:bottom w:val="none" w:sz="0" w:space="0" w:color="auto"/>
                        <w:right w:val="none" w:sz="0" w:space="0" w:color="auto"/>
                      </w:divBdr>
                      <w:divsChild>
                        <w:div w:id="378894626">
                          <w:marLeft w:val="0"/>
                          <w:marRight w:val="0"/>
                          <w:marTop w:val="0"/>
                          <w:marBottom w:val="0"/>
                          <w:divBdr>
                            <w:top w:val="none" w:sz="0" w:space="0" w:color="auto"/>
                            <w:left w:val="none" w:sz="0" w:space="0" w:color="auto"/>
                            <w:bottom w:val="none" w:sz="0" w:space="0" w:color="auto"/>
                            <w:right w:val="none" w:sz="0" w:space="0" w:color="auto"/>
                          </w:divBdr>
                          <w:divsChild>
                            <w:div w:id="489566238">
                              <w:marLeft w:val="0"/>
                              <w:marRight w:val="0"/>
                              <w:marTop w:val="0"/>
                              <w:marBottom w:val="0"/>
                              <w:divBdr>
                                <w:top w:val="none" w:sz="0" w:space="0" w:color="auto"/>
                                <w:left w:val="none" w:sz="0" w:space="0" w:color="auto"/>
                                <w:bottom w:val="none" w:sz="0" w:space="0" w:color="auto"/>
                                <w:right w:val="none" w:sz="0" w:space="0" w:color="auto"/>
                              </w:divBdr>
                              <w:divsChild>
                                <w:div w:id="1892810993">
                                  <w:marLeft w:val="0"/>
                                  <w:marRight w:val="0"/>
                                  <w:marTop w:val="0"/>
                                  <w:marBottom w:val="0"/>
                                  <w:divBdr>
                                    <w:top w:val="none" w:sz="0" w:space="0" w:color="auto"/>
                                    <w:left w:val="none" w:sz="0" w:space="0" w:color="auto"/>
                                    <w:bottom w:val="none" w:sz="0" w:space="0" w:color="auto"/>
                                    <w:right w:val="none" w:sz="0" w:space="0" w:color="auto"/>
                                  </w:divBdr>
                                  <w:divsChild>
                                    <w:div w:id="1736660934">
                                      <w:marLeft w:val="0"/>
                                      <w:marRight w:val="0"/>
                                      <w:marTop w:val="0"/>
                                      <w:marBottom w:val="0"/>
                                      <w:divBdr>
                                        <w:top w:val="none" w:sz="0" w:space="0" w:color="auto"/>
                                        <w:left w:val="none" w:sz="0" w:space="0" w:color="auto"/>
                                        <w:bottom w:val="none" w:sz="0" w:space="0" w:color="auto"/>
                                        <w:right w:val="none" w:sz="0" w:space="0" w:color="auto"/>
                                      </w:divBdr>
                                      <w:divsChild>
                                        <w:div w:id="685906982">
                                          <w:marLeft w:val="0"/>
                                          <w:marRight w:val="0"/>
                                          <w:marTop w:val="0"/>
                                          <w:marBottom w:val="0"/>
                                          <w:divBdr>
                                            <w:top w:val="none" w:sz="0" w:space="0" w:color="auto"/>
                                            <w:left w:val="none" w:sz="0" w:space="0" w:color="auto"/>
                                            <w:bottom w:val="none" w:sz="0" w:space="0" w:color="auto"/>
                                            <w:right w:val="none" w:sz="0" w:space="0" w:color="auto"/>
                                          </w:divBdr>
                                          <w:divsChild>
                                            <w:div w:id="74131626">
                                              <w:marLeft w:val="0"/>
                                              <w:marRight w:val="0"/>
                                              <w:marTop w:val="0"/>
                                              <w:marBottom w:val="0"/>
                                              <w:divBdr>
                                                <w:top w:val="none" w:sz="0" w:space="0" w:color="auto"/>
                                                <w:left w:val="none" w:sz="0" w:space="0" w:color="auto"/>
                                                <w:bottom w:val="none" w:sz="0" w:space="0" w:color="auto"/>
                                                <w:right w:val="none" w:sz="0" w:space="0" w:color="auto"/>
                                              </w:divBdr>
                                              <w:divsChild>
                                                <w:div w:id="20858958">
                                                  <w:marLeft w:val="0"/>
                                                  <w:marRight w:val="0"/>
                                                  <w:marTop w:val="0"/>
                                                  <w:marBottom w:val="0"/>
                                                  <w:divBdr>
                                                    <w:top w:val="none" w:sz="0" w:space="0" w:color="auto"/>
                                                    <w:left w:val="none" w:sz="0" w:space="0" w:color="auto"/>
                                                    <w:bottom w:val="none" w:sz="0" w:space="0" w:color="auto"/>
                                                    <w:right w:val="none" w:sz="0" w:space="0" w:color="auto"/>
                                                  </w:divBdr>
                                                  <w:divsChild>
                                                    <w:div w:id="617758688">
                                                      <w:marLeft w:val="0"/>
                                                      <w:marRight w:val="0"/>
                                                      <w:marTop w:val="0"/>
                                                      <w:marBottom w:val="0"/>
                                                      <w:divBdr>
                                                        <w:top w:val="none" w:sz="0" w:space="0" w:color="auto"/>
                                                        <w:left w:val="none" w:sz="0" w:space="0" w:color="auto"/>
                                                        <w:bottom w:val="none" w:sz="0" w:space="0" w:color="auto"/>
                                                        <w:right w:val="none" w:sz="0" w:space="0" w:color="auto"/>
                                                      </w:divBdr>
                                                      <w:divsChild>
                                                        <w:div w:id="491794970">
                                                          <w:marLeft w:val="0"/>
                                                          <w:marRight w:val="0"/>
                                                          <w:marTop w:val="0"/>
                                                          <w:marBottom w:val="0"/>
                                                          <w:divBdr>
                                                            <w:top w:val="none" w:sz="0" w:space="0" w:color="auto"/>
                                                            <w:left w:val="none" w:sz="0" w:space="0" w:color="auto"/>
                                                            <w:bottom w:val="none" w:sz="0" w:space="0" w:color="auto"/>
                                                            <w:right w:val="none" w:sz="0" w:space="0" w:color="auto"/>
                                                          </w:divBdr>
                                                          <w:divsChild>
                                                            <w:div w:id="510726356">
                                                              <w:marLeft w:val="0"/>
                                                              <w:marRight w:val="0"/>
                                                              <w:marTop w:val="0"/>
                                                              <w:marBottom w:val="0"/>
                                                              <w:divBdr>
                                                                <w:top w:val="none" w:sz="0" w:space="0" w:color="auto"/>
                                                                <w:left w:val="none" w:sz="0" w:space="0" w:color="auto"/>
                                                                <w:bottom w:val="none" w:sz="0" w:space="0" w:color="auto"/>
                                                                <w:right w:val="none" w:sz="0" w:space="0" w:color="auto"/>
                                                              </w:divBdr>
                                                              <w:divsChild>
                                                                <w:div w:id="1988313207">
                                                                  <w:marLeft w:val="0"/>
                                                                  <w:marRight w:val="0"/>
                                                                  <w:marTop w:val="0"/>
                                                                  <w:marBottom w:val="0"/>
                                                                  <w:divBdr>
                                                                    <w:top w:val="none" w:sz="0" w:space="0" w:color="auto"/>
                                                                    <w:left w:val="none" w:sz="0" w:space="0" w:color="auto"/>
                                                                    <w:bottom w:val="none" w:sz="0" w:space="0" w:color="auto"/>
                                                                    <w:right w:val="none" w:sz="0" w:space="0" w:color="auto"/>
                                                                  </w:divBdr>
                                                                  <w:divsChild>
                                                                    <w:div w:id="1141581588">
                                                                      <w:marLeft w:val="0"/>
                                                                      <w:marRight w:val="0"/>
                                                                      <w:marTop w:val="0"/>
                                                                      <w:marBottom w:val="0"/>
                                                                      <w:divBdr>
                                                                        <w:top w:val="none" w:sz="0" w:space="0" w:color="auto"/>
                                                                        <w:left w:val="none" w:sz="0" w:space="0" w:color="auto"/>
                                                                        <w:bottom w:val="none" w:sz="0" w:space="0" w:color="auto"/>
                                                                        <w:right w:val="none" w:sz="0" w:space="0" w:color="auto"/>
                                                                      </w:divBdr>
                                                                      <w:divsChild>
                                                                        <w:div w:id="432821636">
                                                                          <w:marLeft w:val="0"/>
                                                                          <w:marRight w:val="0"/>
                                                                          <w:marTop w:val="0"/>
                                                                          <w:marBottom w:val="0"/>
                                                                          <w:divBdr>
                                                                            <w:top w:val="none" w:sz="0" w:space="0" w:color="auto"/>
                                                                            <w:left w:val="none" w:sz="0" w:space="0" w:color="auto"/>
                                                                            <w:bottom w:val="none" w:sz="0" w:space="0" w:color="auto"/>
                                                                            <w:right w:val="none" w:sz="0" w:space="0" w:color="auto"/>
                                                                          </w:divBdr>
                                                                          <w:divsChild>
                                                                            <w:div w:id="98330301">
                                                                              <w:marLeft w:val="0"/>
                                                                              <w:marRight w:val="0"/>
                                                                              <w:marTop w:val="0"/>
                                                                              <w:marBottom w:val="0"/>
                                                                              <w:divBdr>
                                                                                <w:top w:val="none" w:sz="0" w:space="0" w:color="auto"/>
                                                                                <w:left w:val="none" w:sz="0" w:space="0" w:color="auto"/>
                                                                                <w:bottom w:val="none" w:sz="0" w:space="0" w:color="auto"/>
                                                                                <w:right w:val="none" w:sz="0" w:space="0" w:color="auto"/>
                                                                              </w:divBdr>
                                                                              <w:divsChild>
                                                                                <w:div w:id="32185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29077866">
      <w:bodyDiv w:val="1"/>
      <w:marLeft w:val="0"/>
      <w:marRight w:val="0"/>
      <w:marTop w:val="0"/>
      <w:marBottom w:val="0"/>
      <w:divBdr>
        <w:top w:val="none" w:sz="0" w:space="0" w:color="auto"/>
        <w:left w:val="none" w:sz="0" w:space="0" w:color="auto"/>
        <w:bottom w:val="none" w:sz="0" w:space="0" w:color="auto"/>
        <w:right w:val="none" w:sz="0" w:space="0" w:color="auto"/>
      </w:divBdr>
    </w:div>
    <w:div w:id="1938826649">
      <w:bodyDiv w:val="1"/>
      <w:marLeft w:val="0"/>
      <w:marRight w:val="0"/>
      <w:marTop w:val="0"/>
      <w:marBottom w:val="0"/>
      <w:divBdr>
        <w:top w:val="none" w:sz="0" w:space="0" w:color="auto"/>
        <w:left w:val="none" w:sz="0" w:space="0" w:color="auto"/>
        <w:bottom w:val="none" w:sz="0" w:space="0" w:color="auto"/>
        <w:right w:val="none" w:sz="0" w:space="0" w:color="auto"/>
      </w:divBdr>
      <w:divsChild>
        <w:div w:id="84543521">
          <w:marLeft w:val="0"/>
          <w:marRight w:val="0"/>
          <w:marTop w:val="0"/>
          <w:marBottom w:val="0"/>
          <w:divBdr>
            <w:top w:val="none" w:sz="0" w:space="0" w:color="auto"/>
            <w:left w:val="none" w:sz="0" w:space="0" w:color="auto"/>
            <w:bottom w:val="none" w:sz="0" w:space="0" w:color="auto"/>
            <w:right w:val="none" w:sz="0" w:space="0" w:color="auto"/>
          </w:divBdr>
        </w:div>
      </w:divsChild>
    </w:div>
    <w:div w:id="1944679047">
      <w:bodyDiv w:val="1"/>
      <w:marLeft w:val="0"/>
      <w:marRight w:val="0"/>
      <w:marTop w:val="0"/>
      <w:marBottom w:val="0"/>
      <w:divBdr>
        <w:top w:val="none" w:sz="0" w:space="0" w:color="auto"/>
        <w:left w:val="none" w:sz="0" w:space="0" w:color="auto"/>
        <w:bottom w:val="none" w:sz="0" w:space="0" w:color="auto"/>
        <w:right w:val="none" w:sz="0" w:space="0" w:color="auto"/>
      </w:divBdr>
    </w:div>
    <w:div w:id="1967929188">
      <w:bodyDiv w:val="1"/>
      <w:marLeft w:val="0"/>
      <w:marRight w:val="0"/>
      <w:marTop w:val="0"/>
      <w:marBottom w:val="0"/>
      <w:divBdr>
        <w:top w:val="none" w:sz="0" w:space="0" w:color="auto"/>
        <w:left w:val="none" w:sz="0" w:space="0" w:color="auto"/>
        <w:bottom w:val="none" w:sz="0" w:space="0" w:color="auto"/>
        <w:right w:val="none" w:sz="0" w:space="0" w:color="auto"/>
      </w:divBdr>
    </w:div>
    <w:div w:id="1983580070">
      <w:bodyDiv w:val="1"/>
      <w:marLeft w:val="0"/>
      <w:marRight w:val="0"/>
      <w:marTop w:val="0"/>
      <w:marBottom w:val="0"/>
      <w:divBdr>
        <w:top w:val="none" w:sz="0" w:space="0" w:color="auto"/>
        <w:left w:val="none" w:sz="0" w:space="0" w:color="auto"/>
        <w:bottom w:val="none" w:sz="0" w:space="0" w:color="auto"/>
        <w:right w:val="none" w:sz="0" w:space="0" w:color="auto"/>
      </w:divBdr>
    </w:div>
    <w:div w:id="2028094969">
      <w:bodyDiv w:val="1"/>
      <w:marLeft w:val="0"/>
      <w:marRight w:val="0"/>
      <w:marTop w:val="0"/>
      <w:marBottom w:val="0"/>
      <w:divBdr>
        <w:top w:val="none" w:sz="0" w:space="0" w:color="auto"/>
        <w:left w:val="none" w:sz="0" w:space="0" w:color="auto"/>
        <w:bottom w:val="none" w:sz="0" w:space="0" w:color="auto"/>
        <w:right w:val="none" w:sz="0" w:space="0" w:color="auto"/>
      </w:divBdr>
    </w:div>
    <w:div w:id="2037148004">
      <w:bodyDiv w:val="1"/>
      <w:marLeft w:val="0"/>
      <w:marRight w:val="0"/>
      <w:marTop w:val="0"/>
      <w:marBottom w:val="0"/>
      <w:divBdr>
        <w:top w:val="none" w:sz="0" w:space="0" w:color="auto"/>
        <w:left w:val="none" w:sz="0" w:space="0" w:color="auto"/>
        <w:bottom w:val="none" w:sz="0" w:space="0" w:color="auto"/>
        <w:right w:val="none" w:sz="0" w:space="0" w:color="auto"/>
      </w:divBdr>
      <w:divsChild>
        <w:div w:id="230240466">
          <w:marLeft w:val="0"/>
          <w:marRight w:val="0"/>
          <w:marTop w:val="0"/>
          <w:marBottom w:val="0"/>
          <w:divBdr>
            <w:top w:val="none" w:sz="0" w:space="0" w:color="auto"/>
            <w:left w:val="none" w:sz="0" w:space="0" w:color="auto"/>
            <w:bottom w:val="none" w:sz="0" w:space="0" w:color="auto"/>
            <w:right w:val="none" w:sz="0" w:space="0" w:color="auto"/>
          </w:divBdr>
        </w:div>
      </w:divsChild>
    </w:div>
    <w:div w:id="2038970668">
      <w:bodyDiv w:val="1"/>
      <w:marLeft w:val="0"/>
      <w:marRight w:val="0"/>
      <w:marTop w:val="0"/>
      <w:marBottom w:val="0"/>
      <w:divBdr>
        <w:top w:val="none" w:sz="0" w:space="0" w:color="auto"/>
        <w:left w:val="none" w:sz="0" w:space="0" w:color="auto"/>
        <w:bottom w:val="none" w:sz="0" w:space="0" w:color="auto"/>
        <w:right w:val="none" w:sz="0" w:space="0" w:color="auto"/>
      </w:divBdr>
    </w:div>
    <w:div w:id="2046321591">
      <w:bodyDiv w:val="1"/>
      <w:marLeft w:val="0"/>
      <w:marRight w:val="0"/>
      <w:marTop w:val="0"/>
      <w:marBottom w:val="0"/>
      <w:divBdr>
        <w:top w:val="none" w:sz="0" w:space="0" w:color="auto"/>
        <w:left w:val="none" w:sz="0" w:space="0" w:color="auto"/>
        <w:bottom w:val="none" w:sz="0" w:space="0" w:color="auto"/>
        <w:right w:val="none" w:sz="0" w:space="0" w:color="auto"/>
      </w:divBdr>
    </w:div>
    <w:div w:id="2078236327">
      <w:bodyDiv w:val="1"/>
      <w:marLeft w:val="0"/>
      <w:marRight w:val="0"/>
      <w:marTop w:val="0"/>
      <w:marBottom w:val="0"/>
      <w:divBdr>
        <w:top w:val="none" w:sz="0" w:space="0" w:color="auto"/>
        <w:left w:val="none" w:sz="0" w:space="0" w:color="auto"/>
        <w:bottom w:val="none" w:sz="0" w:space="0" w:color="auto"/>
        <w:right w:val="none" w:sz="0" w:space="0" w:color="auto"/>
      </w:divBdr>
    </w:div>
    <w:div w:id="2085452282">
      <w:bodyDiv w:val="1"/>
      <w:marLeft w:val="0"/>
      <w:marRight w:val="0"/>
      <w:marTop w:val="0"/>
      <w:marBottom w:val="0"/>
      <w:divBdr>
        <w:top w:val="none" w:sz="0" w:space="0" w:color="auto"/>
        <w:left w:val="none" w:sz="0" w:space="0" w:color="auto"/>
        <w:bottom w:val="none" w:sz="0" w:space="0" w:color="auto"/>
        <w:right w:val="none" w:sz="0" w:space="0" w:color="auto"/>
      </w:divBdr>
    </w:div>
    <w:div w:id="2086999118">
      <w:bodyDiv w:val="1"/>
      <w:marLeft w:val="0"/>
      <w:marRight w:val="0"/>
      <w:marTop w:val="0"/>
      <w:marBottom w:val="0"/>
      <w:divBdr>
        <w:top w:val="none" w:sz="0" w:space="0" w:color="auto"/>
        <w:left w:val="none" w:sz="0" w:space="0" w:color="auto"/>
        <w:bottom w:val="none" w:sz="0" w:space="0" w:color="auto"/>
        <w:right w:val="none" w:sz="0" w:space="0" w:color="auto"/>
      </w:divBdr>
    </w:div>
    <w:div w:id="2088264838">
      <w:bodyDiv w:val="1"/>
      <w:marLeft w:val="0"/>
      <w:marRight w:val="0"/>
      <w:marTop w:val="0"/>
      <w:marBottom w:val="0"/>
      <w:divBdr>
        <w:top w:val="none" w:sz="0" w:space="0" w:color="auto"/>
        <w:left w:val="none" w:sz="0" w:space="0" w:color="auto"/>
        <w:bottom w:val="none" w:sz="0" w:space="0" w:color="auto"/>
        <w:right w:val="none" w:sz="0" w:space="0" w:color="auto"/>
      </w:divBdr>
    </w:div>
    <w:div w:id="2090534754">
      <w:bodyDiv w:val="1"/>
      <w:marLeft w:val="0"/>
      <w:marRight w:val="0"/>
      <w:marTop w:val="0"/>
      <w:marBottom w:val="0"/>
      <w:divBdr>
        <w:top w:val="none" w:sz="0" w:space="0" w:color="auto"/>
        <w:left w:val="none" w:sz="0" w:space="0" w:color="auto"/>
        <w:bottom w:val="none" w:sz="0" w:space="0" w:color="auto"/>
        <w:right w:val="none" w:sz="0" w:space="0" w:color="auto"/>
      </w:divBdr>
    </w:div>
    <w:div w:id="2094935318">
      <w:bodyDiv w:val="1"/>
      <w:marLeft w:val="0"/>
      <w:marRight w:val="0"/>
      <w:marTop w:val="0"/>
      <w:marBottom w:val="0"/>
      <w:divBdr>
        <w:top w:val="none" w:sz="0" w:space="0" w:color="auto"/>
        <w:left w:val="none" w:sz="0" w:space="0" w:color="auto"/>
        <w:bottom w:val="none" w:sz="0" w:space="0" w:color="auto"/>
        <w:right w:val="none" w:sz="0" w:space="0" w:color="auto"/>
      </w:divBdr>
    </w:div>
    <w:div w:id="2127457038">
      <w:bodyDiv w:val="1"/>
      <w:marLeft w:val="0"/>
      <w:marRight w:val="0"/>
      <w:marTop w:val="0"/>
      <w:marBottom w:val="0"/>
      <w:divBdr>
        <w:top w:val="none" w:sz="0" w:space="0" w:color="auto"/>
        <w:left w:val="none" w:sz="0" w:space="0" w:color="auto"/>
        <w:bottom w:val="none" w:sz="0" w:space="0" w:color="auto"/>
        <w:right w:val="none" w:sz="0" w:space="0" w:color="auto"/>
      </w:divBdr>
    </w:div>
    <w:div w:id="2137794773">
      <w:bodyDiv w:val="1"/>
      <w:marLeft w:val="0"/>
      <w:marRight w:val="0"/>
      <w:marTop w:val="0"/>
      <w:marBottom w:val="0"/>
      <w:divBdr>
        <w:top w:val="none" w:sz="0" w:space="0" w:color="auto"/>
        <w:left w:val="none" w:sz="0" w:space="0" w:color="auto"/>
        <w:bottom w:val="none" w:sz="0" w:space="0" w:color="auto"/>
        <w:right w:val="none" w:sz="0" w:space="0" w:color="auto"/>
      </w:divBdr>
    </w:div>
    <w:div w:id="2139493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endnotes" Target="endnotes.xml"/><Relationship Id="rId18" Type="http://schemas.openxmlformats.org/officeDocument/2006/relationships/image" Target="media/image4.png"/><Relationship Id="rId26" Type="http://schemas.openxmlformats.org/officeDocument/2006/relationships/hyperlink" Target="http://support.microsoft.com/common/international.aspx?rdpath=dm;en-us;lifecycle" TargetMode="External"/><Relationship Id="rId39" Type="http://schemas.openxmlformats.org/officeDocument/2006/relationships/hyperlink" Target="http://www.microsoftvolumelicensing.com/userights/PUR.aspx" TargetMode="External"/><Relationship Id="rId21" Type="http://schemas.openxmlformats.org/officeDocument/2006/relationships/hyperlink" Target="http://www.microsoft.com/online/faq.aspx" TargetMode="External"/><Relationship Id="rId34" Type="http://schemas.openxmlformats.org/officeDocument/2006/relationships/hyperlink" Target="http://www.microsoft.com/licensing/resources/vol/numbers.mspx" TargetMode="External"/><Relationship Id="rId42" Type="http://schemas.openxmlformats.org/officeDocument/2006/relationships/hyperlink" Target="http://www.microsoft.com/education/pil/partnersinlearning.aspx" TargetMode="External"/><Relationship Id="rId47" Type="http://schemas.openxmlformats.org/officeDocument/2006/relationships/hyperlink" Target="https://www.bingmapsportal.com/" TargetMode="External"/><Relationship Id="rId50" Type="http://schemas.openxmlformats.org/officeDocument/2006/relationships/hyperlink" Target="http://www.microsoft.com/online/faq.aspx" TargetMode="External"/><Relationship Id="rId55" Type="http://schemas.openxmlformats.org/officeDocument/2006/relationships/header" Target="header3.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footer" Target="footer2.xml"/><Relationship Id="rId25" Type="http://schemas.openxmlformats.org/officeDocument/2006/relationships/hyperlink" Target="http://support.microsoft.com/lifecycle" TargetMode="External"/><Relationship Id="rId33" Type="http://schemas.openxmlformats.org/officeDocument/2006/relationships/hyperlink" Target="https://www.microsoft.com/licensing/servicecenter/default.aspx" TargetMode="External"/><Relationship Id="rId38" Type="http://schemas.openxmlformats.org/officeDocument/2006/relationships/hyperlink" Target="http://www.microsoftvolumelicensing.com/userights/PUR.aspx" TargetMode="External"/><Relationship Id="rId46" Type="http://schemas.openxmlformats.org/officeDocument/2006/relationships/hyperlink" Target="mailto:bmesupp@microsoft.com" TargetMode="Externa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yperlink" Target="http://www.microsoft.com/licensing" TargetMode="External"/><Relationship Id="rId29" Type="http://schemas.openxmlformats.org/officeDocument/2006/relationships/hyperlink" Target="http://www.microsoft.com/licensing" TargetMode="External"/><Relationship Id="rId41" Type="http://schemas.openxmlformats.org/officeDocument/2006/relationships/hyperlink" Target="http://www.microsoft.com/licensing/contracts" TargetMode="External"/><Relationship Id="rId54"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yperlink" Target="http://www.microsoft.com/resources/sharedsource/Licensing/Enterprise.mspx" TargetMode="External"/><Relationship Id="rId32" Type="http://schemas.openxmlformats.org/officeDocument/2006/relationships/hyperlink" Target="http://www.microsoft.com/products/exporting/basics.htm" TargetMode="External"/><Relationship Id="rId37" Type="http://schemas.openxmlformats.org/officeDocument/2006/relationships/hyperlink" Target="http://www.microsoftvolumelicensing.com/userights/PUR.aspx" TargetMode="External"/><Relationship Id="rId40" Type="http://schemas.openxmlformats.org/officeDocument/2006/relationships/hyperlink" Target="http://www.microsoft.com/en-us/windows/windowsintune/faq/default.aspx" TargetMode="External"/><Relationship Id="rId45" Type="http://schemas.openxmlformats.org/officeDocument/2006/relationships/hyperlink" Target="https://support.microsoft.com/oas/default.aspx?prid=13766&amp;st=1" TargetMode="External"/><Relationship Id="rId53" Type="http://schemas.openxmlformats.org/officeDocument/2006/relationships/image" Target="media/image7.png"/><Relationship Id="rId58"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footer" Target="footer1.xml"/><Relationship Id="rId23" Type="http://schemas.openxmlformats.org/officeDocument/2006/relationships/hyperlink" Target="http://www.microsoft.com/spd" TargetMode="External"/><Relationship Id="rId28" Type="http://schemas.openxmlformats.org/officeDocument/2006/relationships/hyperlink" Target="http://www.microsoft.com/technet/subscription" TargetMode="External"/><Relationship Id="rId36" Type="http://schemas.openxmlformats.org/officeDocument/2006/relationships/hyperlink" Target="https://www.microsoft.com/licensing/servicecenter" TargetMode="External"/><Relationship Id="rId49" Type="http://schemas.openxmlformats.org/officeDocument/2006/relationships/hyperlink" Target="http://www.microsoft.com/online/faq.aspx" TargetMode="External"/><Relationship Id="rId57" Type="http://schemas.openxmlformats.org/officeDocument/2006/relationships/fontTable" Target="fontTable.xml"/><Relationship Id="rId10" Type="http://schemas.openxmlformats.org/officeDocument/2006/relationships/settings" Target="settings.xml"/><Relationship Id="rId19" Type="http://schemas.openxmlformats.org/officeDocument/2006/relationships/image" Target="media/image5.png"/><Relationship Id="rId31" Type="http://schemas.openxmlformats.org/officeDocument/2006/relationships/hyperlink" Target="http://www.windowsazure.com" TargetMode="External"/><Relationship Id="rId44" Type="http://schemas.openxmlformats.org/officeDocument/2006/relationships/hyperlink" Target="mailto:bmesupp@microsoft.com" TargetMode="External"/><Relationship Id="rId52" Type="http://schemas.openxmlformats.org/officeDocument/2006/relationships/image" Target="media/image6.png"/><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header" Target="header1.xml"/><Relationship Id="rId22" Type="http://schemas.openxmlformats.org/officeDocument/2006/relationships/hyperlink" Target="http://www.microsoft.com/licensing" TargetMode="External"/><Relationship Id="rId27" Type="http://schemas.openxmlformats.org/officeDocument/2006/relationships/hyperlink" Target="http://support.microsoft.com/lifecycle" TargetMode="External"/><Relationship Id="rId30" Type="http://schemas.openxmlformats.org/officeDocument/2006/relationships/hyperlink" Target="http://www.windowsazure.com/en-us/support/plans/" TargetMode="External"/><Relationship Id="rId35" Type="http://schemas.openxmlformats.org/officeDocument/2006/relationships/hyperlink" Target="http://www.microsoft.com/licensing/resources/vol/volumelicensekey/default.mspx" TargetMode="External"/><Relationship Id="rId43" Type="http://schemas.openxmlformats.org/officeDocument/2006/relationships/hyperlink" Target="http://www.microsoft.com/licensing/contracts" TargetMode="External"/><Relationship Id="rId48" Type="http://schemas.openxmlformats.org/officeDocument/2006/relationships/hyperlink" Target="http://www.microsoft.com/sqlserver/en/us/get-sql-server/how-to-buy.aspx" TargetMode="External"/><Relationship Id="rId56" Type="http://schemas.openxmlformats.org/officeDocument/2006/relationships/footer" Target="footer4.xml"/><Relationship Id="rId8" Type="http://schemas.openxmlformats.org/officeDocument/2006/relationships/numbering" Target="numbering.xml"/><Relationship Id="rId51" Type="http://schemas.openxmlformats.org/officeDocument/2006/relationships/hyperlink" Target="http://www.microsoft.com/en-us/dynamics/erp-buy-ax-software.aspx" TargetMode="External"/><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3" Type="http://schemas.openxmlformats.org/officeDocument/2006/relationships/image" Target="media/image10.jpeg"/><Relationship Id="rId2" Type="http://schemas.openxmlformats.org/officeDocument/2006/relationships/image" Target="media/image2.png"/><Relationship Id="rId1" Type="http://schemas.openxmlformats.org/officeDocument/2006/relationships/image" Target="media/image1.jpeg"/><Relationship Id="rId4" Type="http://schemas.openxmlformats.org/officeDocument/2006/relationships/image" Target="media/image20.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D56A5B1AE2E87F4E9F7D7896DF9BAB7C" ma:contentTypeVersion="0" ma:contentTypeDescription="Create a new document." ma:contentTypeScope="" ma:versionID="b0ae41df35b5c8c6509099a140564ea6">
  <xsd:schema xmlns:xsd="http://www.w3.org/2001/XMLSchema" xmlns:xs="http://www.w3.org/2001/XMLSchema" xmlns:p="http://schemas.microsoft.com/office/2006/metadata/properties" targetNamespace="http://schemas.microsoft.com/office/2006/metadata/properties" ma:root="true" ma:fieldsID="6841151cf538834e171094e4faaf2d73">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CD8E0F-845F-439D-896F-F1F762AB6E9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C9C8873-43C9-4F46-8093-3F116F53B690}">
  <ds:schemaRefs>
    <ds:schemaRef ds:uri="http://schemas.microsoft.com/sharepoint/v3/contenttype/forms"/>
  </ds:schemaRefs>
</ds:datastoreItem>
</file>

<file path=customXml/itemProps3.xml><?xml version="1.0" encoding="utf-8"?>
<ds:datastoreItem xmlns:ds="http://schemas.openxmlformats.org/officeDocument/2006/customXml" ds:itemID="{2525BFF5-6B16-4D28-AD26-2E0FD88653E2}">
  <ds:schemaRefs>
    <ds:schemaRef ds:uri="http://schemas.openxmlformats.org/officeDocument/2006/bibliography"/>
  </ds:schemaRefs>
</ds:datastoreItem>
</file>

<file path=customXml/itemProps4.xml><?xml version="1.0" encoding="utf-8"?>
<ds:datastoreItem xmlns:ds="http://schemas.openxmlformats.org/officeDocument/2006/customXml" ds:itemID="{623BC78A-4165-40DC-9B27-B06A5D95426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5.xml><?xml version="1.0" encoding="utf-8"?>
<ds:datastoreItem xmlns:ds="http://schemas.openxmlformats.org/officeDocument/2006/customXml" ds:itemID="{408DDD49-DA51-4EB8-9A50-2881051E9C5D}">
  <ds:schemaRefs>
    <ds:schemaRef ds:uri="http://schemas.openxmlformats.org/officeDocument/2006/bibliography"/>
  </ds:schemaRefs>
</ds:datastoreItem>
</file>

<file path=customXml/itemProps6.xml><?xml version="1.0" encoding="utf-8"?>
<ds:datastoreItem xmlns:ds="http://schemas.openxmlformats.org/officeDocument/2006/customXml" ds:itemID="{B1CCA171-0C14-4DEA-B485-8688FE26CDBF}">
  <ds:schemaRefs>
    <ds:schemaRef ds:uri="http://schemas.openxmlformats.org/officeDocument/2006/bibliography"/>
  </ds:schemaRefs>
</ds:datastoreItem>
</file>

<file path=customXml/itemProps7.xml><?xml version="1.0" encoding="utf-8"?>
<ds:datastoreItem xmlns:ds="http://schemas.openxmlformats.org/officeDocument/2006/customXml" ds:itemID="{6BD92EB1-BE06-4BA8-B2EE-AB6F4BB37E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203</Pages>
  <Words>102496</Words>
  <Characters>584230</Characters>
  <Application>Microsoft Office Word</Application>
  <DocSecurity>8</DocSecurity>
  <Lines>4868</Lines>
  <Paragraphs>1370</Paragraphs>
  <ScaleCrop>false</ScaleCrop>
  <HeadingPairs>
    <vt:vector size="2" baseType="variant">
      <vt:variant>
        <vt:lpstr>Title</vt:lpstr>
      </vt:variant>
      <vt:variant>
        <vt:i4>1</vt:i4>
      </vt:variant>
    </vt:vector>
  </HeadingPairs>
  <TitlesOfParts>
    <vt:vector size="1" baseType="lpstr">
      <vt:lpstr>Microsoft®</vt:lpstr>
    </vt:vector>
  </TitlesOfParts>
  <Company>Microsoft Corporation</Company>
  <LinksUpToDate>false</LinksUpToDate>
  <CharactersWithSpaces>685356</CharactersWithSpaces>
  <SharedDoc>false</SharedDoc>
  <HLinks>
    <vt:vector size="1302" baseType="variant">
      <vt:variant>
        <vt:i4>3670129</vt:i4>
      </vt:variant>
      <vt:variant>
        <vt:i4>2187</vt:i4>
      </vt:variant>
      <vt:variant>
        <vt:i4>0</vt:i4>
      </vt:variant>
      <vt:variant>
        <vt:i4>5</vt:i4>
      </vt:variant>
      <vt:variant>
        <vt:lpwstr>http://www.microsoft.com/sqlserver/2008/en/us/parallel-data-warehouse.aspx</vt:lpwstr>
      </vt:variant>
      <vt:variant>
        <vt:lpwstr/>
      </vt:variant>
      <vt:variant>
        <vt:i4>1048665</vt:i4>
      </vt:variant>
      <vt:variant>
        <vt:i4>2184</vt:i4>
      </vt:variant>
      <vt:variant>
        <vt:i4>0</vt:i4>
      </vt:variant>
      <vt:variant>
        <vt:i4>5</vt:i4>
      </vt:variant>
      <vt:variant>
        <vt:lpwstr>https://www.certiport.com/PORTAL/desktopdefault.aspx?tabid=682&amp;roleid=101</vt:lpwstr>
      </vt:variant>
      <vt:variant>
        <vt:lpwstr/>
      </vt:variant>
      <vt:variant>
        <vt:i4>1048665</vt:i4>
      </vt:variant>
      <vt:variant>
        <vt:i4>2181</vt:i4>
      </vt:variant>
      <vt:variant>
        <vt:i4>0</vt:i4>
      </vt:variant>
      <vt:variant>
        <vt:i4>5</vt:i4>
      </vt:variant>
      <vt:variant>
        <vt:lpwstr>https://www.certiport.com/PORTAL/desktopdefault.aspx?tabid=682&amp;roleid=101</vt:lpwstr>
      </vt:variant>
      <vt:variant>
        <vt:lpwstr/>
      </vt:variant>
      <vt:variant>
        <vt:i4>655435</vt:i4>
      </vt:variant>
      <vt:variant>
        <vt:i4>2178</vt:i4>
      </vt:variant>
      <vt:variant>
        <vt:i4>0</vt:i4>
      </vt:variant>
      <vt:variant>
        <vt:i4>5</vt:i4>
      </vt:variant>
      <vt:variant>
        <vt:lpwstr>http://www.microsoft.com/en-us/dynamics/erp-explore-ax-capabilities.aspx</vt:lpwstr>
      </vt:variant>
      <vt:variant>
        <vt:lpwstr/>
      </vt:variant>
      <vt:variant>
        <vt:i4>540475425</vt:i4>
      </vt:variant>
      <vt:variant>
        <vt:i4>2175</vt:i4>
      </vt:variant>
      <vt:variant>
        <vt:i4>0</vt:i4>
      </vt:variant>
      <vt:variant>
        <vt:i4>5</vt:i4>
      </vt:variant>
      <vt:variant>
        <vt:lpwstr/>
      </vt:variant>
      <vt:variant>
        <vt:lpwstr>_SECTION_3_–</vt:lpwstr>
      </vt:variant>
      <vt:variant>
        <vt:i4>540475425</vt:i4>
      </vt:variant>
      <vt:variant>
        <vt:i4>2172</vt:i4>
      </vt:variant>
      <vt:variant>
        <vt:i4>0</vt:i4>
      </vt:variant>
      <vt:variant>
        <vt:i4>5</vt:i4>
      </vt:variant>
      <vt:variant>
        <vt:lpwstr/>
      </vt:variant>
      <vt:variant>
        <vt:lpwstr>_SECTION_3_–</vt:lpwstr>
      </vt:variant>
      <vt:variant>
        <vt:i4>540475425</vt:i4>
      </vt:variant>
      <vt:variant>
        <vt:i4>2169</vt:i4>
      </vt:variant>
      <vt:variant>
        <vt:i4>0</vt:i4>
      </vt:variant>
      <vt:variant>
        <vt:i4>5</vt:i4>
      </vt:variant>
      <vt:variant>
        <vt:lpwstr/>
      </vt:variant>
      <vt:variant>
        <vt:lpwstr>_SECTION_3_–</vt:lpwstr>
      </vt:variant>
      <vt:variant>
        <vt:i4>540082209</vt:i4>
      </vt:variant>
      <vt:variant>
        <vt:i4>2166</vt:i4>
      </vt:variant>
      <vt:variant>
        <vt:i4>0</vt:i4>
      </vt:variant>
      <vt:variant>
        <vt:i4>5</vt:i4>
      </vt:variant>
      <vt:variant>
        <vt:lpwstr/>
      </vt:variant>
      <vt:variant>
        <vt:lpwstr>_Section_5_–</vt:lpwstr>
      </vt:variant>
      <vt:variant>
        <vt:i4>7864357</vt:i4>
      </vt:variant>
      <vt:variant>
        <vt:i4>2163</vt:i4>
      </vt:variant>
      <vt:variant>
        <vt:i4>0</vt:i4>
      </vt:variant>
      <vt:variant>
        <vt:i4>5</vt:i4>
      </vt:variant>
      <vt:variant>
        <vt:lpwstr>http://www.microsoft.com/sqlserver/en/us/get-sql-server/how-to-buy.aspx</vt:lpwstr>
      </vt:variant>
      <vt:variant>
        <vt:lpwstr/>
      </vt:variant>
      <vt:variant>
        <vt:i4>7864357</vt:i4>
      </vt:variant>
      <vt:variant>
        <vt:i4>2160</vt:i4>
      </vt:variant>
      <vt:variant>
        <vt:i4>0</vt:i4>
      </vt:variant>
      <vt:variant>
        <vt:i4>5</vt:i4>
      </vt:variant>
      <vt:variant>
        <vt:lpwstr>http://www.microsoft.com/sqlserver/en/us/get-sql-server/how-to-buy.aspx</vt:lpwstr>
      </vt:variant>
      <vt:variant>
        <vt:lpwstr/>
      </vt:variant>
      <vt:variant>
        <vt:i4>7405641</vt:i4>
      </vt:variant>
      <vt:variant>
        <vt:i4>2157</vt:i4>
      </vt:variant>
      <vt:variant>
        <vt:i4>0</vt:i4>
      </vt:variant>
      <vt:variant>
        <vt:i4>5</vt:i4>
      </vt:variant>
      <vt:variant>
        <vt:lpwstr/>
      </vt:variant>
      <vt:variant>
        <vt:lpwstr>Step_Up</vt:lpwstr>
      </vt:variant>
      <vt:variant>
        <vt:i4>540082209</vt:i4>
      </vt:variant>
      <vt:variant>
        <vt:i4>2154</vt:i4>
      </vt:variant>
      <vt:variant>
        <vt:i4>0</vt:i4>
      </vt:variant>
      <vt:variant>
        <vt:i4>5</vt:i4>
      </vt:variant>
      <vt:variant>
        <vt:lpwstr/>
      </vt:variant>
      <vt:variant>
        <vt:lpwstr>_Section_5_–</vt:lpwstr>
      </vt:variant>
      <vt:variant>
        <vt:i4>5242911</vt:i4>
      </vt:variant>
      <vt:variant>
        <vt:i4>2151</vt:i4>
      </vt:variant>
      <vt:variant>
        <vt:i4>0</vt:i4>
      </vt:variant>
      <vt:variant>
        <vt:i4>5</vt:i4>
      </vt:variant>
      <vt:variant>
        <vt:lpwstr>http://www.vexcel.com/geospatial/bingmapsserver/index.asp</vt:lpwstr>
      </vt:variant>
      <vt:variant>
        <vt:lpwstr/>
      </vt:variant>
      <vt:variant>
        <vt:i4>540475425</vt:i4>
      </vt:variant>
      <vt:variant>
        <vt:i4>2148</vt:i4>
      </vt:variant>
      <vt:variant>
        <vt:i4>0</vt:i4>
      </vt:variant>
      <vt:variant>
        <vt:i4>5</vt:i4>
      </vt:variant>
      <vt:variant>
        <vt:lpwstr/>
      </vt:variant>
      <vt:variant>
        <vt:lpwstr>_SECTION_3_–</vt:lpwstr>
      </vt:variant>
      <vt:variant>
        <vt:i4>6225920</vt:i4>
      </vt:variant>
      <vt:variant>
        <vt:i4>2145</vt:i4>
      </vt:variant>
      <vt:variant>
        <vt:i4>0</vt:i4>
      </vt:variant>
      <vt:variant>
        <vt:i4>5</vt:i4>
      </vt:variant>
      <vt:variant>
        <vt:lpwstr>http://www.microsoft.com/licensing/contracts</vt:lpwstr>
      </vt:variant>
      <vt:variant>
        <vt:lpwstr/>
      </vt:variant>
      <vt:variant>
        <vt:i4>6946848</vt:i4>
      </vt:variant>
      <vt:variant>
        <vt:i4>2142</vt:i4>
      </vt:variant>
      <vt:variant>
        <vt:i4>0</vt:i4>
      </vt:variant>
      <vt:variant>
        <vt:i4>5</vt:i4>
      </vt:variant>
      <vt:variant>
        <vt:lpwstr>http://www.microsoft.com/education/pil/partnersinlearning.aspx</vt:lpwstr>
      </vt:variant>
      <vt:variant>
        <vt:lpwstr/>
      </vt:variant>
      <vt:variant>
        <vt:i4>2031628</vt:i4>
      </vt:variant>
      <vt:variant>
        <vt:i4>2139</vt:i4>
      </vt:variant>
      <vt:variant>
        <vt:i4>0</vt:i4>
      </vt:variant>
      <vt:variant>
        <vt:i4>5</vt:i4>
      </vt:variant>
      <vt:variant>
        <vt:lpwstr>http://www.microsoft.com/en-us/windows/windowsintune/faq/default.aspx</vt:lpwstr>
      </vt:variant>
      <vt:variant>
        <vt:lpwstr/>
      </vt:variant>
      <vt:variant>
        <vt:i4>7405641</vt:i4>
      </vt:variant>
      <vt:variant>
        <vt:i4>2136</vt:i4>
      </vt:variant>
      <vt:variant>
        <vt:i4>0</vt:i4>
      </vt:variant>
      <vt:variant>
        <vt:i4>5</vt:i4>
      </vt:variant>
      <vt:variant>
        <vt:lpwstr/>
      </vt:variant>
      <vt:variant>
        <vt:lpwstr>Step_Up</vt:lpwstr>
      </vt:variant>
      <vt:variant>
        <vt:i4>7405641</vt:i4>
      </vt:variant>
      <vt:variant>
        <vt:i4>2133</vt:i4>
      </vt:variant>
      <vt:variant>
        <vt:i4>0</vt:i4>
      </vt:variant>
      <vt:variant>
        <vt:i4>5</vt:i4>
      </vt:variant>
      <vt:variant>
        <vt:lpwstr/>
      </vt:variant>
      <vt:variant>
        <vt:lpwstr>Step_Up</vt:lpwstr>
      </vt:variant>
      <vt:variant>
        <vt:i4>7405641</vt:i4>
      </vt:variant>
      <vt:variant>
        <vt:i4>2130</vt:i4>
      </vt:variant>
      <vt:variant>
        <vt:i4>0</vt:i4>
      </vt:variant>
      <vt:variant>
        <vt:i4>5</vt:i4>
      </vt:variant>
      <vt:variant>
        <vt:lpwstr/>
      </vt:variant>
      <vt:variant>
        <vt:lpwstr>Step_Up</vt:lpwstr>
      </vt:variant>
      <vt:variant>
        <vt:i4>7405641</vt:i4>
      </vt:variant>
      <vt:variant>
        <vt:i4>2127</vt:i4>
      </vt:variant>
      <vt:variant>
        <vt:i4>0</vt:i4>
      </vt:variant>
      <vt:variant>
        <vt:i4>5</vt:i4>
      </vt:variant>
      <vt:variant>
        <vt:lpwstr/>
      </vt:variant>
      <vt:variant>
        <vt:lpwstr>Step_Up</vt:lpwstr>
      </vt:variant>
      <vt:variant>
        <vt:i4>3932217</vt:i4>
      </vt:variant>
      <vt:variant>
        <vt:i4>2124</vt:i4>
      </vt:variant>
      <vt:variant>
        <vt:i4>0</vt:i4>
      </vt:variant>
      <vt:variant>
        <vt:i4>5</vt:i4>
      </vt:variant>
      <vt:variant>
        <vt:lpwstr>http://www.microsoftvolumelicensing.com/userights/PUR.aspx</vt:lpwstr>
      </vt:variant>
      <vt:variant>
        <vt:lpwstr/>
      </vt:variant>
      <vt:variant>
        <vt:i4>3932217</vt:i4>
      </vt:variant>
      <vt:variant>
        <vt:i4>2121</vt:i4>
      </vt:variant>
      <vt:variant>
        <vt:i4>0</vt:i4>
      </vt:variant>
      <vt:variant>
        <vt:i4>5</vt:i4>
      </vt:variant>
      <vt:variant>
        <vt:lpwstr>http://www.microsoftvolumelicensing.com/userights/PUR.aspx</vt:lpwstr>
      </vt:variant>
      <vt:variant>
        <vt:lpwstr/>
      </vt:variant>
      <vt:variant>
        <vt:i4>3932217</vt:i4>
      </vt:variant>
      <vt:variant>
        <vt:i4>2118</vt:i4>
      </vt:variant>
      <vt:variant>
        <vt:i4>0</vt:i4>
      </vt:variant>
      <vt:variant>
        <vt:i4>5</vt:i4>
      </vt:variant>
      <vt:variant>
        <vt:lpwstr>http://www.microsoftvolumelicensing.com/userights/PUR.aspx</vt:lpwstr>
      </vt:variant>
      <vt:variant>
        <vt:lpwstr/>
      </vt:variant>
      <vt:variant>
        <vt:i4>3932217</vt:i4>
      </vt:variant>
      <vt:variant>
        <vt:i4>2115</vt:i4>
      </vt:variant>
      <vt:variant>
        <vt:i4>0</vt:i4>
      </vt:variant>
      <vt:variant>
        <vt:i4>5</vt:i4>
      </vt:variant>
      <vt:variant>
        <vt:lpwstr>http://www.microsoftvolumelicensing.com/userights/PUR.aspx</vt:lpwstr>
      </vt:variant>
      <vt:variant>
        <vt:lpwstr/>
      </vt:variant>
      <vt:variant>
        <vt:i4>3932217</vt:i4>
      </vt:variant>
      <vt:variant>
        <vt:i4>2112</vt:i4>
      </vt:variant>
      <vt:variant>
        <vt:i4>0</vt:i4>
      </vt:variant>
      <vt:variant>
        <vt:i4>5</vt:i4>
      </vt:variant>
      <vt:variant>
        <vt:lpwstr>http://www.microsoftvolumelicensing.com/userights/PUR.aspx</vt:lpwstr>
      </vt:variant>
      <vt:variant>
        <vt:lpwstr/>
      </vt:variant>
      <vt:variant>
        <vt:i4>5242911</vt:i4>
      </vt:variant>
      <vt:variant>
        <vt:i4>2109</vt:i4>
      </vt:variant>
      <vt:variant>
        <vt:i4>0</vt:i4>
      </vt:variant>
      <vt:variant>
        <vt:i4>5</vt:i4>
      </vt:variant>
      <vt:variant>
        <vt:lpwstr>http://www.vexcel.com/geospatial/bingmapsserver/index.asp</vt:lpwstr>
      </vt:variant>
      <vt:variant>
        <vt:lpwstr/>
      </vt:variant>
      <vt:variant>
        <vt:i4>3801200</vt:i4>
      </vt:variant>
      <vt:variant>
        <vt:i4>2106</vt:i4>
      </vt:variant>
      <vt:variant>
        <vt:i4>0</vt:i4>
      </vt:variant>
      <vt:variant>
        <vt:i4>5</vt:i4>
      </vt:variant>
      <vt:variant>
        <vt:lpwstr>http://www.microsoft.com/licensing/resources/vol/volumelicensekey/default.mspx</vt:lpwstr>
      </vt:variant>
      <vt:variant>
        <vt:lpwstr/>
      </vt:variant>
      <vt:variant>
        <vt:i4>4587588</vt:i4>
      </vt:variant>
      <vt:variant>
        <vt:i4>2103</vt:i4>
      </vt:variant>
      <vt:variant>
        <vt:i4>0</vt:i4>
      </vt:variant>
      <vt:variant>
        <vt:i4>5</vt:i4>
      </vt:variant>
      <vt:variant>
        <vt:lpwstr>http://www.microsoft.com/licensing/resources/vol/numbers.mspx</vt:lpwstr>
      </vt:variant>
      <vt:variant>
        <vt:lpwstr/>
      </vt:variant>
      <vt:variant>
        <vt:i4>7077927</vt:i4>
      </vt:variant>
      <vt:variant>
        <vt:i4>2100</vt:i4>
      </vt:variant>
      <vt:variant>
        <vt:i4>0</vt:i4>
      </vt:variant>
      <vt:variant>
        <vt:i4>5</vt:i4>
      </vt:variant>
      <vt:variant>
        <vt:lpwstr>https://www.microsoft.com/licensing/servicecenter/default.aspx</vt:lpwstr>
      </vt:variant>
      <vt:variant>
        <vt:lpwstr/>
      </vt:variant>
      <vt:variant>
        <vt:i4>3276919</vt:i4>
      </vt:variant>
      <vt:variant>
        <vt:i4>2097</vt:i4>
      </vt:variant>
      <vt:variant>
        <vt:i4>0</vt:i4>
      </vt:variant>
      <vt:variant>
        <vt:i4>5</vt:i4>
      </vt:variant>
      <vt:variant>
        <vt:lpwstr>http://www.microsoft.com/products/exporting/basics.htm</vt:lpwstr>
      </vt:variant>
      <vt:variant>
        <vt:lpwstr/>
      </vt:variant>
      <vt:variant>
        <vt:i4>3145761</vt:i4>
      </vt:variant>
      <vt:variant>
        <vt:i4>2094</vt:i4>
      </vt:variant>
      <vt:variant>
        <vt:i4>0</vt:i4>
      </vt:variant>
      <vt:variant>
        <vt:i4>5</vt:i4>
      </vt:variant>
      <vt:variant>
        <vt:lpwstr>http://www.microsoft.com/licensing</vt:lpwstr>
      </vt:variant>
      <vt:variant>
        <vt:lpwstr/>
      </vt:variant>
      <vt:variant>
        <vt:i4>5373978</vt:i4>
      </vt:variant>
      <vt:variant>
        <vt:i4>2091</vt:i4>
      </vt:variant>
      <vt:variant>
        <vt:i4>0</vt:i4>
      </vt:variant>
      <vt:variant>
        <vt:i4>5</vt:i4>
      </vt:variant>
      <vt:variant>
        <vt:lpwstr>http://www.microsoft.com/technet/subscription</vt:lpwstr>
      </vt:variant>
      <vt:variant>
        <vt:lpwstr/>
      </vt:variant>
      <vt:variant>
        <vt:i4>2621481</vt:i4>
      </vt:variant>
      <vt:variant>
        <vt:i4>2088</vt:i4>
      </vt:variant>
      <vt:variant>
        <vt:i4>0</vt:i4>
      </vt:variant>
      <vt:variant>
        <vt:i4>5</vt:i4>
      </vt:variant>
      <vt:variant>
        <vt:lpwstr>http://support.microsoft.com/lifecycle</vt:lpwstr>
      </vt:variant>
      <vt:variant>
        <vt:lpwstr/>
      </vt:variant>
      <vt:variant>
        <vt:i4>4259868</vt:i4>
      </vt:variant>
      <vt:variant>
        <vt:i4>2085</vt:i4>
      </vt:variant>
      <vt:variant>
        <vt:i4>0</vt:i4>
      </vt:variant>
      <vt:variant>
        <vt:i4>5</vt:i4>
      </vt:variant>
      <vt:variant>
        <vt:lpwstr>http://support.microsoft.com/common/international.aspx?rdpath=dm;en-us;lifecycle</vt:lpwstr>
      </vt:variant>
      <vt:variant>
        <vt:lpwstr/>
      </vt:variant>
      <vt:variant>
        <vt:i4>2621481</vt:i4>
      </vt:variant>
      <vt:variant>
        <vt:i4>2082</vt:i4>
      </vt:variant>
      <vt:variant>
        <vt:i4>0</vt:i4>
      </vt:variant>
      <vt:variant>
        <vt:i4>5</vt:i4>
      </vt:variant>
      <vt:variant>
        <vt:lpwstr>http://support.microsoft.com/lifecycle</vt:lpwstr>
      </vt:variant>
      <vt:variant>
        <vt:lpwstr/>
      </vt:variant>
      <vt:variant>
        <vt:i4>5374036</vt:i4>
      </vt:variant>
      <vt:variant>
        <vt:i4>2079</vt:i4>
      </vt:variant>
      <vt:variant>
        <vt:i4>0</vt:i4>
      </vt:variant>
      <vt:variant>
        <vt:i4>5</vt:i4>
      </vt:variant>
      <vt:variant>
        <vt:lpwstr>http://www.microsoft.com/resources/sharedsource/Licensing/Enterprise.mspx</vt:lpwstr>
      </vt:variant>
      <vt:variant>
        <vt:lpwstr/>
      </vt:variant>
      <vt:variant>
        <vt:i4>4718656</vt:i4>
      </vt:variant>
      <vt:variant>
        <vt:i4>2076</vt:i4>
      </vt:variant>
      <vt:variant>
        <vt:i4>0</vt:i4>
      </vt:variant>
      <vt:variant>
        <vt:i4>5</vt:i4>
      </vt:variant>
      <vt:variant>
        <vt:lpwstr>http://www.microsoft.com/spd</vt:lpwstr>
      </vt:variant>
      <vt:variant>
        <vt:lpwstr/>
      </vt:variant>
      <vt:variant>
        <vt:i4>3145761</vt:i4>
      </vt:variant>
      <vt:variant>
        <vt:i4>2073</vt:i4>
      </vt:variant>
      <vt:variant>
        <vt:i4>0</vt:i4>
      </vt:variant>
      <vt:variant>
        <vt:i4>5</vt:i4>
      </vt:variant>
      <vt:variant>
        <vt:lpwstr>http://www.microsoft.com/licensing</vt:lpwstr>
      </vt:variant>
      <vt:variant>
        <vt:lpwstr/>
      </vt:variant>
      <vt:variant>
        <vt:i4>4587613</vt:i4>
      </vt:variant>
      <vt:variant>
        <vt:i4>2070</vt:i4>
      </vt:variant>
      <vt:variant>
        <vt:i4>0</vt:i4>
      </vt:variant>
      <vt:variant>
        <vt:i4>5</vt:i4>
      </vt:variant>
      <vt:variant>
        <vt:lpwstr>http://www.microsoft.com/online/faq.aspx</vt:lpwstr>
      </vt:variant>
      <vt:variant>
        <vt:lpwstr>international</vt:lpwstr>
      </vt:variant>
      <vt:variant>
        <vt:i4>3145761</vt:i4>
      </vt:variant>
      <vt:variant>
        <vt:i4>2067</vt:i4>
      </vt:variant>
      <vt:variant>
        <vt:i4>0</vt:i4>
      </vt:variant>
      <vt:variant>
        <vt:i4>5</vt:i4>
      </vt:variant>
      <vt:variant>
        <vt:lpwstr>http://www.microsoft.com/licensing</vt:lpwstr>
      </vt:variant>
      <vt:variant>
        <vt:lpwstr/>
      </vt:variant>
      <vt:variant>
        <vt:i4>5177417</vt:i4>
      </vt:variant>
      <vt:variant>
        <vt:i4>2064</vt:i4>
      </vt:variant>
      <vt:variant>
        <vt:i4>0</vt:i4>
      </vt:variant>
      <vt:variant>
        <vt:i4>5</vt:i4>
      </vt:variant>
      <vt:variant>
        <vt:lpwstr/>
      </vt:variant>
      <vt:variant>
        <vt:lpwstr>_124_Windows_Small_1</vt:lpwstr>
      </vt:variant>
      <vt:variant>
        <vt:i4>8257558</vt:i4>
      </vt:variant>
      <vt:variant>
        <vt:i4>2061</vt:i4>
      </vt:variant>
      <vt:variant>
        <vt:i4>0</vt:i4>
      </vt:variant>
      <vt:variant>
        <vt:i4>5</vt:i4>
      </vt:variant>
      <vt:variant>
        <vt:lpwstr/>
      </vt:variant>
      <vt:variant>
        <vt:lpwstr>_124_Windows_Small</vt:lpwstr>
      </vt:variant>
      <vt:variant>
        <vt:i4>8257558</vt:i4>
      </vt:variant>
      <vt:variant>
        <vt:i4>2058</vt:i4>
      </vt:variant>
      <vt:variant>
        <vt:i4>0</vt:i4>
      </vt:variant>
      <vt:variant>
        <vt:i4>5</vt:i4>
      </vt:variant>
      <vt:variant>
        <vt:lpwstr/>
      </vt:variant>
      <vt:variant>
        <vt:lpwstr>_124_Windows_Small</vt:lpwstr>
      </vt:variant>
      <vt:variant>
        <vt:i4>8257558</vt:i4>
      </vt:variant>
      <vt:variant>
        <vt:i4>2055</vt:i4>
      </vt:variant>
      <vt:variant>
        <vt:i4>0</vt:i4>
      </vt:variant>
      <vt:variant>
        <vt:i4>5</vt:i4>
      </vt:variant>
      <vt:variant>
        <vt:lpwstr/>
      </vt:variant>
      <vt:variant>
        <vt:lpwstr>_124_Windows_Small</vt:lpwstr>
      </vt:variant>
      <vt:variant>
        <vt:i4>131187</vt:i4>
      </vt:variant>
      <vt:variant>
        <vt:i4>2052</vt:i4>
      </vt:variant>
      <vt:variant>
        <vt:i4>0</vt:i4>
      </vt:variant>
      <vt:variant>
        <vt:i4>5</vt:i4>
      </vt:variant>
      <vt:variant>
        <vt:lpwstr/>
      </vt:variant>
      <vt:variant>
        <vt:lpwstr>Srv_112WinSmallBizSVR2011Addon</vt:lpwstr>
      </vt:variant>
      <vt:variant>
        <vt:i4>7864342</vt:i4>
      </vt:variant>
      <vt:variant>
        <vt:i4>2049</vt:i4>
      </vt:variant>
      <vt:variant>
        <vt:i4>0</vt:i4>
      </vt:variant>
      <vt:variant>
        <vt:i4>5</vt:i4>
      </vt:variant>
      <vt:variant>
        <vt:lpwstr/>
      </vt:variant>
      <vt:variant>
        <vt:lpwstr>_122_Windows_Small</vt:lpwstr>
      </vt:variant>
      <vt:variant>
        <vt:i4>7995414</vt:i4>
      </vt:variant>
      <vt:variant>
        <vt:i4>2046</vt:i4>
      </vt:variant>
      <vt:variant>
        <vt:i4>0</vt:i4>
      </vt:variant>
      <vt:variant>
        <vt:i4>5</vt:i4>
      </vt:variant>
      <vt:variant>
        <vt:lpwstr/>
      </vt:variant>
      <vt:variant>
        <vt:lpwstr>_120_Windows_Small</vt:lpwstr>
      </vt:variant>
      <vt:variant>
        <vt:i4>7995413</vt:i4>
      </vt:variant>
      <vt:variant>
        <vt:i4>2043</vt:i4>
      </vt:variant>
      <vt:variant>
        <vt:i4>0</vt:i4>
      </vt:variant>
      <vt:variant>
        <vt:i4>5</vt:i4>
      </vt:variant>
      <vt:variant>
        <vt:lpwstr/>
      </vt:variant>
      <vt:variant>
        <vt:lpwstr>_110_Windows_Small</vt:lpwstr>
      </vt:variant>
      <vt:variant>
        <vt:i4>131190</vt:i4>
      </vt:variant>
      <vt:variant>
        <vt:i4>2040</vt:i4>
      </vt:variant>
      <vt:variant>
        <vt:i4>0</vt:i4>
      </vt:variant>
      <vt:variant>
        <vt:i4>5</vt:i4>
      </vt:variant>
      <vt:variant>
        <vt:lpwstr/>
      </vt:variant>
      <vt:variant>
        <vt:lpwstr>Srv_117WinSmallBizSVR2011Addon</vt:lpwstr>
      </vt:variant>
      <vt:variant>
        <vt:i4>131191</vt:i4>
      </vt:variant>
      <vt:variant>
        <vt:i4>2037</vt:i4>
      </vt:variant>
      <vt:variant>
        <vt:i4>0</vt:i4>
      </vt:variant>
      <vt:variant>
        <vt:i4>5</vt:i4>
      </vt:variant>
      <vt:variant>
        <vt:lpwstr/>
      </vt:variant>
      <vt:variant>
        <vt:lpwstr>Srv_116WinSmallBizSVR2011Addon</vt:lpwstr>
      </vt:variant>
      <vt:variant>
        <vt:i4>1572977</vt:i4>
      </vt:variant>
      <vt:variant>
        <vt:i4>2034</vt:i4>
      </vt:variant>
      <vt:variant>
        <vt:i4>0</vt:i4>
      </vt:variant>
      <vt:variant>
        <vt:i4>5</vt:i4>
      </vt:variant>
      <vt:variant>
        <vt:lpwstr/>
      </vt:variant>
      <vt:variant>
        <vt:lpwstr>_119_Windows_Web</vt:lpwstr>
      </vt:variant>
      <vt:variant>
        <vt:i4>6815751</vt:i4>
      </vt:variant>
      <vt:variant>
        <vt:i4>2031</vt:i4>
      </vt:variant>
      <vt:variant>
        <vt:i4>0</vt:i4>
      </vt:variant>
      <vt:variant>
        <vt:i4>5</vt:i4>
      </vt:variant>
      <vt:variant>
        <vt:lpwstr/>
      </vt:variant>
      <vt:variant>
        <vt:lpwstr>_118_Windows_Server</vt:lpwstr>
      </vt:variant>
      <vt:variant>
        <vt:i4>6553607</vt:i4>
      </vt:variant>
      <vt:variant>
        <vt:i4>2028</vt:i4>
      </vt:variant>
      <vt:variant>
        <vt:i4>0</vt:i4>
      </vt:variant>
      <vt:variant>
        <vt:i4>5</vt:i4>
      </vt:variant>
      <vt:variant>
        <vt:lpwstr/>
      </vt:variant>
      <vt:variant>
        <vt:lpwstr>_114_Windows_Server</vt:lpwstr>
      </vt:variant>
      <vt:variant>
        <vt:i4>6684679</vt:i4>
      </vt:variant>
      <vt:variant>
        <vt:i4>2025</vt:i4>
      </vt:variant>
      <vt:variant>
        <vt:i4>0</vt:i4>
      </vt:variant>
      <vt:variant>
        <vt:i4>5</vt:i4>
      </vt:variant>
      <vt:variant>
        <vt:lpwstr/>
      </vt:variant>
      <vt:variant>
        <vt:lpwstr>_116_Windows_Server</vt:lpwstr>
      </vt:variant>
      <vt:variant>
        <vt:i4>2293835</vt:i4>
      </vt:variant>
      <vt:variant>
        <vt:i4>2022</vt:i4>
      </vt:variant>
      <vt:variant>
        <vt:i4>0</vt:i4>
      </vt:variant>
      <vt:variant>
        <vt:i4>5</vt:i4>
      </vt:variant>
      <vt:variant>
        <vt:lpwstr/>
      </vt:variant>
      <vt:variant>
        <vt:lpwstr>Srv_1132WinSvr08R2Itanium</vt:lpwstr>
      </vt:variant>
      <vt:variant>
        <vt:i4>2228233</vt:i4>
      </vt:variant>
      <vt:variant>
        <vt:i4>2019</vt:i4>
      </vt:variant>
      <vt:variant>
        <vt:i4>0</vt:i4>
      </vt:variant>
      <vt:variant>
        <vt:i4>5</vt:i4>
      </vt:variant>
      <vt:variant>
        <vt:lpwstr/>
      </vt:variant>
      <vt:variant>
        <vt:lpwstr>_97_Windows_Server</vt:lpwstr>
      </vt:variant>
      <vt:variant>
        <vt:i4>3801110</vt:i4>
      </vt:variant>
      <vt:variant>
        <vt:i4>2016</vt:i4>
      </vt:variant>
      <vt:variant>
        <vt:i4>0</vt:i4>
      </vt:variant>
      <vt:variant>
        <vt:i4>5</vt:i4>
      </vt:variant>
      <vt:variant>
        <vt:lpwstr/>
      </vt:variant>
      <vt:variant>
        <vt:lpwstr>Srv_110WinSvr08R2HPC</vt:lpwstr>
      </vt:variant>
      <vt:variant>
        <vt:i4>1179757</vt:i4>
      </vt:variant>
      <vt:variant>
        <vt:i4>2013</vt:i4>
      </vt:variant>
      <vt:variant>
        <vt:i4>0</vt:i4>
      </vt:variant>
      <vt:variant>
        <vt:i4>5</vt:i4>
      </vt:variant>
      <vt:variant>
        <vt:lpwstr/>
      </vt:variant>
      <vt:variant>
        <vt:lpwstr>Srv_108WinMultipointSvr2011CAL</vt:lpwstr>
      </vt:variant>
      <vt:variant>
        <vt:i4>786537</vt:i4>
      </vt:variant>
      <vt:variant>
        <vt:i4>2010</vt:i4>
      </vt:variant>
      <vt:variant>
        <vt:i4>0</vt:i4>
      </vt:variant>
      <vt:variant>
        <vt:i4>5</vt:i4>
      </vt:variant>
      <vt:variant>
        <vt:lpwstr/>
      </vt:variant>
      <vt:variant>
        <vt:lpwstr>Srv_107WinMultipointSvr2011Premium</vt:lpwstr>
      </vt:variant>
      <vt:variant>
        <vt:i4>3080203</vt:i4>
      </vt:variant>
      <vt:variant>
        <vt:i4>2007</vt:i4>
      </vt:variant>
      <vt:variant>
        <vt:i4>0</vt:i4>
      </vt:variant>
      <vt:variant>
        <vt:i4>5</vt:i4>
      </vt:variant>
      <vt:variant>
        <vt:lpwstr/>
      </vt:variant>
      <vt:variant>
        <vt:lpwstr>_98_Windows_Multipoint</vt:lpwstr>
      </vt:variant>
      <vt:variant>
        <vt:i4>7471224</vt:i4>
      </vt:variant>
      <vt:variant>
        <vt:i4>2004</vt:i4>
      </vt:variant>
      <vt:variant>
        <vt:i4>0</vt:i4>
      </vt:variant>
      <vt:variant>
        <vt:i4>5</vt:i4>
      </vt:variant>
      <vt:variant>
        <vt:lpwstr/>
      </vt:variant>
      <vt:variant>
        <vt:lpwstr>Srv_106HPCServer2008_R2Suite</vt:lpwstr>
      </vt:variant>
      <vt:variant>
        <vt:i4>196733</vt:i4>
      </vt:variant>
      <vt:variant>
        <vt:i4>2001</vt:i4>
      </vt:variant>
      <vt:variant>
        <vt:i4>0</vt:i4>
      </vt:variant>
      <vt:variant>
        <vt:i4>5</vt:i4>
      </vt:variant>
      <vt:variant>
        <vt:lpwstr/>
      </vt:variant>
      <vt:variant>
        <vt:lpwstr>Srv_108EBS2008StandardPrem</vt:lpwstr>
      </vt:variant>
      <vt:variant>
        <vt:i4>1179709</vt:i4>
      </vt:variant>
      <vt:variant>
        <vt:i4>1998</vt:i4>
      </vt:variant>
      <vt:variant>
        <vt:i4>0</vt:i4>
      </vt:variant>
      <vt:variant>
        <vt:i4>5</vt:i4>
      </vt:variant>
      <vt:variant>
        <vt:lpwstr/>
      </vt:variant>
      <vt:variant>
        <vt:lpwstr>_107_EBS_2008</vt:lpwstr>
      </vt:variant>
      <vt:variant>
        <vt:i4>1900577</vt:i4>
      </vt:variant>
      <vt:variant>
        <vt:i4>1995</vt:i4>
      </vt:variant>
      <vt:variant>
        <vt:i4>0</vt:i4>
      </vt:variant>
      <vt:variant>
        <vt:i4>5</vt:i4>
      </vt:variant>
      <vt:variant>
        <vt:lpwstr/>
      </vt:variant>
      <vt:variant>
        <vt:lpwstr>Srv_107WindowsEmbeddedDeviceMgr2011</vt:lpwstr>
      </vt:variant>
      <vt:variant>
        <vt:i4>1900577</vt:i4>
      </vt:variant>
      <vt:variant>
        <vt:i4>1992</vt:i4>
      </vt:variant>
      <vt:variant>
        <vt:i4>0</vt:i4>
      </vt:variant>
      <vt:variant>
        <vt:i4>5</vt:i4>
      </vt:variant>
      <vt:variant>
        <vt:lpwstr/>
      </vt:variant>
      <vt:variant>
        <vt:lpwstr>Srv_107WindowsEmbeddedDeviceMgr2011</vt:lpwstr>
      </vt:variant>
      <vt:variant>
        <vt:i4>7340061</vt:i4>
      </vt:variant>
      <vt:variant>
        <vt:i4>1989</vt:i4>
      </vt:variant>
      <vt:variant>
        <vt:i4>0</vt:i4>
      </vt:variant>
      <vt:variant>
        <vt:i4>5</vt:i4>
      </vt:variant>
      <vt:variant>
        <vt:lpwstr/>
      </vt:variant>
      <vt:variant>
        <vt:lpwstr>_105_Windows_Azure</vt:lpwstr>
      </vt:variant>
      <vt:variant>
        <vt:i4>1048689</vt:i4>
      </vt:variant>
      <vt:variant>
        <vt:i4>1986</vt:i4>
      </vt:variant>
      <vt:variant>
        <vt:i4>0</vt:i4>
      </vt:variant>
      <vt:variant>
        <vt:i4>5</vt:i4>
      </vt:variant>
      <vt:variant>
        <vt:lpwstr/>
      </vt:variant>
      <vt:variant>
        <vt:lpwstr>Srv_105VDIStandardandPremiumSuites</vt:lpwstr>
      </vt:variant>
      <vt:variant>
        <vt:i4>1048689</vt:i4>
      </vt:variant>
      <vt:variant>
        <vt:i4>1983</vt:i4>
      </vt:variant>
      <vt:variant>
        <vt:i4>0</vt:i4>
      </vt:variant>
      <vt:variant>
        <vt:i4>5</vt:i4>
      </vt:variant>
      <vt:variant>
        <vt:lpwstr/>
      </vt:variant>
      <vt:variant>
        <vt:lpwstr>Srv_105VDIStandardandPremiumSuites</vt:lpwstr>
      </vt:variant>
      <vt:variant>
        <vt:i4>1048689</vt:i4>
      </vt:variant>
      <vt:variant>
        <vt:i4>1980</vt:i4>
      </vt:variant>
      <vt:variant>
        <vt:i4>0</vt:i4>
      </vt:variant>
      <vt:variant>
        <vt:i4>5</vt:i4>
      </vt:variant>
      <vt:variant>
        <vt:lpwstr/>
      </vt:variant>
      <vt:variant>
        <vt:lpwstr>Srv_105VDIStandardandPremiumSuites</vt:lpwstr>
      </vt:variant>
      <vt:variant>
        <vt:i4>1048689</vt:i4>
      </vt:variant>
      <vt:variant>
        <vt:i4>1977</vt:i4>
      </vt:variant>
      <vt:variant>
        <vt:i4>0</vt:i4>
      </vt:variant>
      <vt:variant>
        <vt:i4>5</vt:i4>
      </vt:variant>
      <vt:variant>
        <vt:lpwstr/>
      </vt:variant>
      <vt:variant>
        <vt:lpwstr>Srv_105VDIStandardandPremiumSuites</vt:lpwstr>
      </vt:variant>
      <vt:variant>
        <vt:i4>6619147</vt:i4>
      </vt:variant>
      <vt:variant>
        <vt:i4>1974</vt:i4>
      </vt:variant>
      <vt:variant>
        <vt:i4>0</vt:i4>
      </vt:variant>
      <vt:variant>
        <vt:i4>5</vt:i4>
      </vt:variant>
      <vt:variant>
        <vt:lpwstr/>
      </vt:variant>
      <vt:variant>
        <vt:lpwstr>Srv_103TechNetPlusSingleUser</vt:lpwstr>
      </vt:variant>
      <vt:variant>
        <vt:i4>7667741</vt:i4>
      </vt:variant>
      <vt:variant>
        <vt:i4>1971</vt:i4>
      </vt:variant>
      <vt:variant>
        <vt:i4>0</vt:i4>
      </vt:variant>
      <vt:variant>
        <vt:i4>5</vt:i4>
      </vt:variant>
      <vt:variant>
        <vt:lpwstr/>
      </vt:variant>
      <vt:variant>
        <vt:lpwstr>Srv_102SysCtr2012EndpointProt</vt:lpwstr>
      </vt:variant>
      <vt:variant>
        <vt:i4>1245238</vt:i4>
      </vt:variant>
      <vt:variant>
        <vt:i4>1968</vt:i4>
      </vt:variant>
      <vt:variant>
        <vt:i4>0</vt:i4>
      </vt:variant>
      <vt:variant>
        <vt:i4>5</vt:i4>
      </vt:variant>
      <vt:variant>
        <vt:lpwstr/>
      </vt:variant>
      <vt:variant>
        <vt:lpwstr>Srv_101SystemCenter2012</vt:lpwstr>
      </vt:variant>
      <vt:variant>
        <vt:i4>1245238</vt:i4>
      </vt:variant>
      <vt:variant>
        <vt:i4>1965</vt:i4>
      </vt:variant>
      <vt:variant>
        <vt:i4>0</vt:i4>
      </vt:variant>
      <vt:variant>
        <vt:i4>5</vt:i4>
      </vt:variant>
      <vt:variant>
        <vt:lpwstr/>
      </vt:variant>
      <vt:variant>
        <vt:lpwstr>Srv_101SystemCenter2012</vt:lpwstr>
      </vt:variant>
      <vt:variant>
        <vt:i4>1245238</vt:i4>
      </vt:variant>
      <vt:variant>
        <vt:i4>1962</vt:i4>
      </vt:variant>
      <vt:variant>
        <vt:i4>0</vt:i4>
      </vt:variant>
      <vt:variant>
        <vt:i4>5</vt:i4>
      </vt:variant>
      <vt:variant>
        <vt:lpwstr/>
      </vt:variant>
      <vt:variant>
        <vt:lpwstr>Srv_101SystemCenter2012</vt:lpwstr>
      </vt:variant>
      <vt:variant>
        <vt:i4>1245238</vt:i4>
      </vt:variant>
      <vt:variant>
        <vt:i4>1959</vt:i4>
      </vt:variant>
      <vt:variant>
        <vt:i4>0</vt:i4>
      </vt:variant>
      <vt:variant>
        <vt:i4>5</vt:i4>
      </vt:variant>
      <vt:variant>
        <vt:lpwstr/>
      </vt:variant>
      <vt:variant>
        <vt:lpwstr>Srv_101SystemCenter2012</vt:lpwstr>
      </vt:variant>
      <vt:variant>
        <vt:i4>1245238</vt:i4>
      </vt:variant>
      <vt:variant>
        <vt:i4>1956</vt:i4>
      </vt:variant>
      <vt:variant>
        <vt:i4>0</vt:i4>
      </vt:variant>
      <vt:variant>
        <vt:i4>5</vt:i4>
      </vt:variant>
      <vt:variant>
        <vt:lpwstr/>
      </vt:variant>
      <vt:variant>
        <vt:lpwstr>Srv_101SystemCenter2012</vt:lpwstr>
      </vt:variant>
      <vt:variant>
        <vt:i4>1245238</vt:i4>
      </vt:variant>
      <vt:variant>
        <vt:i4>1953</vt:i4>
      </vt:variant>
      <vt:variant>
        <vt:i4>0</vt:i4>
      </vt:variant>
      <vt:variant>
        <vt:i4>5</vt:i4>
      </vt:variant>
      <vt:variant>
        <vt:lpwstr/>
      </vt:variant>
      <vt:variant>
        <vt:lpwstr>Srv_101SystemCenter2012</vt:lpwstr>
      </vt:variant>
      <vt:variant>
        <vt:i4>6488070</vt:i4>
      </vt:variant>
      <vt:variant>
        <vt:i4>1950</vt:i4>
      </vt:variant>
      <vt:variant>
        <vt:i4>0</vt:i4>
      </vt:variant>
      <vt:variant>
        <vt:i4>5</vt:i4>
      </vt:variant>
      <vt:variant>
        <vt:lpwstr/>
      </vt:variant>
      <vt:variant>
        <vt:lpwstr>Srv_100SysCenterVMM2008R2</vt:lpwstr>
      </vt:variant>
      <vt:variant>
        <vt:i4>6488070</vt:i4>
      </vt:variant>
      <vt:variant>
        <vt:i4>1947</vt:i4>
      </vt:variant>
      <vt:variant>
        <vt:i4>0</vt:i4>
      </vt:variant>
      <vt:variant>
        <vt:i4>5</vt:i4>
      </vt:variant>
      <vt:variant>
        <vt:lpwstr/>
      </vt:variant>
      <vt:variant>
        <vt:lpwstr>Srv_100SysCenterVMM2008R2</vt:lpwstr>
      </vt:variant>
      <vt:variant>
        <vt:i4>6881303</vt:i4>
      </vt:variant>
      <vt:variant>
        <vt:i4>1944</vt:i4>
      </vt:variant>
      <vt:variant>
        <vt:i4>0</vt:i4>
      </vt:variant>
      <vt:variant>
        <vt:i4>5</vt:i4>
      </vt:variant>
      <vt:variant>
        <vt:lpwstr/>
      </vt:variant>
      <vt:variant>
        <vt:lpwstr>Srv_99SystemCtrServiceMgr2010</vt:lpwstr>
      </vt:variant>
      <vt:variant>
        <vt:i4>2031651</vt:i4>
      </vt:variant>
      <vt:variant>
        <vt:i4>1941</vt:i4>
      </vt:variant>
      <vt:variant>
        <vt:i4>0</vt:i4>
      </vt:variant>
      <vt:variant>
        <vt:i4>5</vt:i4>
      </vt:variant>
      <vt:variant>
        <vt:lpwstr/>
      </vt:variant>
      <vt:variant>
        <vt:lpwstr>Srv_90SysCtrSvrMgmtSuiteDatacenter</vt:lpwstr>
      </vt:variant>
      <vt:variant>
        <vt:i4>7209036</vt:i4>
      </vt:variant>
      <vt:variant>
        <vt:i4>1938</vt:i4>
      </vt:variant>
      <vt:variant>
        <vt:i4>0</vt:i4>
      </vt:variant>
      <vt:variant>
        <vt:i4>5</vt:i4>
      </vt:variant>
      <vt:variant>
        <vt:lpwstr/>
      </vt:variant>
      <vt:variant>
        <vt:lpwstr>_98_System_Center</vt:lpwstr>
      </vt:variant>
      <vt:variant>
        <vt:i4>6815826</vt:i4>
      </vt:variant>
      <vt:variant>
        <vt:i4>1935</vt:i4>
      </vt:variant>
      <vt:variant>
        <vt:i4>0</vt:i4>
      </vt:variant>
      <vt:variant>
        <vt:i4>5</vt:i4>
      </vt:variant>
      <vt:variant>
        <vt:lpwstr/>
      </vt:variant>
      <vt:variant>
        <vt:lpwstr>Srv_88SystemCtrReportMgr2006</vt:lpwstr>
      </vt:variant>
      <vt:variant>
        <vt:i4>7209025</vt:i4>
      </vt:variant>
      <vt:variant>
        <vt:i4>1932</vt:i4>
      </vt:variant>
      <vt:variant>
        <vt:i4>0</vt:i4>
      </vt:variant>
      <vt:variant>
        <vt:i4>5</vt:i4>
      </vt:variant>
      <vt:variant>
        <vt:lpwstr/>
      </vt:variant>
      <vt:variant>
        <vt:lpwstr>_95_System_Center</vt:lpwstr>
      </vt:variant>
      <vt:variant>
        <vt:i4>5242994</vt:i4>
      </vt:variant>
      <vt:variant>
        <vt:i4>1929</vt:i4>
      </vt:variant>
      <vt:variant>
        <vt:i4>0</vt:i4>
      </vt:variant>
      <vt:variant>
        <vt:i4>5</vt:i4>
      </vt:variant>
      <vt:variant>
        <vt:lpwstr/>
      </vt:variant>
      <vt:variant>
        <vt:lpwstr>Srv_79SystemCenterEssentials07</vt:lpwstr>
      </vt:variant>
      <vt:variant>
        <vt:i4>393279</vt:i4>
      </vt:variant>
      <vt:variant>
        <vt:i4>1926</vt:i4>
      </vt:variant>
      <vt:variant>
        <vt:i4>0</vt:i4>
      </vt:variant>
      <vt:variant>
        <vt:i4>5</vt:i4>
      </vt:variant>
      <vt:variant>
        <vt:lpwstr/>
      </vt:variant>
      <vt:variant>
        <vt:lpwstr>Srv_94SystemsCenterDataProEtal</vt:lpwstr>
      </vt:variant>
      <vt:variant>
        <vt:i4>3670026</vt:i4>
      </vt:variant>
      <vt:variant>
        <vt:i4>1923</vt:i4>
      </vt:variant>
      <vt:variant>
        <vt:i4>0</vt:i4>
      </vt:variant>
      <vt:variant>
        <vt:i4>5</vt:i4>
      </vt:variant>
      <vt:variant>
        <vt:lpwstr/>
      </vt:variant>
      <vt:variant>
        <vt:lpwstr>Srv_76SysCtrConfigMgr07R2</vt:lpwstr>
      </vt:variant>
      <vt:variant>
        <vt:i4>2031664</vt:i4>
      </vt:variant>
      <vt:variant>
        <vt:i4>1920</vt:i4>
      </vt:variant>
      <vt:variant>
        <vt:i4>0</vt:i4>
      </vt:variant>
      <vt:variant>
        <vt:i4>5</vt:i4>
      </vt:variant>
      <vt:variant>
        <vt:lpwstr/>
      </vt:variant>
      <vt:variant>
        <vt:lpwstr>Srv_91SQLServer2012StandardCore</vt:lpwstr>
      </vt:variant>
      <vt:variant>
        <vt:i4>983099</vt:i4>
      </vt:variant>
      <vt:variant>
        <vt:i4>1917</vt:i4>
      </vt:variant>
      <vt:variant>
        <vt:i4>0</vt:i4>
      </vt:variant>
      <vt:variant>
        <vt:i4>5</vt:i4>
      </vt:variant>
      <vt:variant>
        <vt:lpwstr/>
      </vt:variant>
      <vt:variant>
        <vt:lpwstr>Srv_90SQLServer2012Standard</vt:lpwstr>
      </vt:variant>
      <vt:variant>
        <vt:i4>7405657</vt:i4>
      </vt:variant>
      <vt:variant>
        <vt:i4>1914</vt:i4>
      </vt:variant>
      <vt:variant>
        <vt:i4>0</vt:i4>
      </vt:variant>
      <vt:variant>
        <vt:i4>5</vt:i4>
      </vt:variant>
      <vt:variant>
        <vt:lpwstr/>
      </vt:variant>
      <vt:variant>
        <vt:lpwstr>Srv_89SQLServer2012EnterpriseCore</vt:lpwstr>
      </vt:variant>
      <vt:variant>
        <vt:i4>6357075</vt:i4>
      </vt:variant>
      <vt:variant>
        <vt:i4>1911</vt:i4>
      </vt:variant>
      <vt:variant>
        <vt:i4>0</vt:i4>
      </vt:variant>
      <vt:variant>
        <vt:i4>5</vt:i4>
      </vt:variant>
      <vt:variant>
        <vt:lpwstr/>
      </vt:variant>
      <vt:variant>
        <vt:lpwstr>Srv_88SQLServer2012Enterprise</vt:lpwstr>
      </vt:variant>
      <vt:variant>
        <vt:i4>7340107</vt:i4>
      </vt:variant>
      <vt:variant>
        <vt:i4>1908</vt:i4>
      </vt:variant>
      <vt:variant>
        <vt:i4>0</vt:i4>
      </vt:variant>
      <vt:variant>
        <vt:i4>5</vt:i4>
      </vt:variant>
      <vt:variant>
        <vt:lpwstr/>
      </vt:variant>
      <vt:variant>
        <vt:lpwstr>Srv_87SQLServer2012Developer</vt:lpwstr>
      </vt:variant>
      <vt:variant>
        <vt:i4>7012440</vt:i4>
      </vt:variant>
      <vt:variant>
        <vt:i4>1905</vt:i4>
      </vt:variant>
      <vt:variant>
        <vt:i4>0</vt:i4>
      </vt:variant>
      <vt:variant>
        <vt:i4>5</vt:i4>
      </vt:variant>
      <vt:variant>
        <vt:lpwstr/>
      </vt:variant>
      <vt:variant>
        <vt:lpwstr>Srv_85SQL2008R2Workgroup5ClientAddon</vt:lpwstr>
      </vt:variant>
      <vt:variant>
        <vt:i4>7012440</vt:i4>
      </vt:variant>
      <vt:variant>
        <vt:i4>1902</vt:i4>
      </vt:variant>
      <vt:variant>
        <vt:i4>0</vt:i4>
      </vt:variant>
      <vt:variant>
        <vt:i4>5</vt:i4>
      </vt:variant>
      <vt:variant>
        <vt:lpwstr/>
      </vt:variant>
      <vt:variant>
        <vt:lpwstr>Srv_85SQL2008R2Workgroup5ClientAddon</vt:lpwstr>
      </vt:variant>
      <vt:variant>
        <vt:i4>4980860</vt:i4>
      </vt:variant>
      <vt:variant>
        <vt:i4>1899</vt:i4>
      </vt:variant>
      <vt:variant>
        <vt:i4>0</vt:i4>
      </vt:variant>
      <vt:variant>
        <vt:i4>5</vt:i4>
      </vt:variant>
      <vt:variant>
        <vt:lpwstr/>
      </vt:variant>
      <vt:variant>
        <vt:lpwstr>_85_84_SQL</vt:lpwstr>
      </vt:variant>
      <vt:variant>
        <vt:i4>1835106</vt:i4>
      </vt:variant>
      <vt:variant>
        <vt:i4>1896</vt:i4>
      </vt:variant>
      <vt:variant>
        <vt:i4>0</vt:i4>
      </vt:variant>
      <vt:variant>
        <vt:i4>5</vt:i4>
      </vt:variant>
      <vt:variant>
        <vt:lpwstr/>
      </vt:variant>
      <vt:variant>
        <vt:lpwstr>Srv_84SQL2008R2Webproc</vt:lpwstr>
      </vt:variant>
      <vt:variant>
        <vt:i4>524411</vt:i4>
      </vt:variant>
      <vt:variant>
        <vt:i4>1893</vt:i4>
      </vt:variant>
      <vt:variant>
        <vt:i4>0</vt:i4>
      </vt:variant>
      <vt:variant>
        <vt:i4>5</vt:i4>
      </vt:variant>
      <vt:variant>
        <vt:lpwstr/>
      </vt:variant>
      <vt:variant>
        <vt:lpwstr>Srv_83SQL2008R2Smallbiz</vt:lpwstr>
      </vt:variant>
      <vt:variant>
        <vt:i4>7798859</vt:i4>
      </vt:variant>
      <vt:variant>
        <vt:i4>1890</vt:i4>
      </vt:variant>
      <vt:variant>
        <vt:i4>0</vt:i4>
      </vt:variant>
      <vt:variant>
        <vt:i4>5</vt:i4>
      </vt:variant>
      <vt:variant>
        <vt:lpwstr/>
      </vt:variant>
      <vt:variant>
        <vt:lpwstr>Srv_82SQL2008Paralleldata</vt:lpwstr>
      </vt:variant>
      <vt:variant>
        <vt:i4>327790</vt:i4>
      </vt:variant>
      <vt:variant>
        <vt:i4>1887</vt:i4>
      </vt:variant>
      <vt:variant>
        <vt:i4>0</vt:i4>
      </vt:variant>
      <vt:variant>
        <vt:i4>5</vt:i4>
      </vt:variant>
      <vt:variant>
        <vt:lpwstr/>
      </vt:variant>
      <vt:variant>
        <vt:lpwstr>Srv_81SQLSvr08R2DataCenter</vt:lpwstr>
      </vt:variant>
      <vt:variant>
        <vt:i4>917560</vt:i4>
      </vt:variant>
      <vt:variant>
        <vt:i4>1884</vt:i4>
      </vt:variant>
      <vt:variant>
        <vt:i4>0</vt:i4>
      </vt:variant>
      <vt:variant>
        <vt:i4>5</vt:i4>
      </vt:variant>
      <vt:variant>
        <vt:lpwstr/>
      </vt:variant>
      <vt:variant>
        <vt:lpwstr>Srv_74SharepointOnlinePlan1</vt:lpwstr>
      </vt:variant>
      <vt:variant>
        <vt:i4>917560</vt:i4>
      </vt:variant>
      <vt:variant>
        <vt:i4>1881</vt:i4>
      </vt:variant>
      <vt:variant>
        <vt:i4>0</vt:i4>
      </vt:variant>
      <vt:variant>
        <vt:i4>5</vt:i4>
      </vt:variant>
      <vt:variant>
        <vt:lpwstr/>
      </vt:variant>
      <vt:variant>
        <vt:lpwstr>Srv_74SharepointOnlinePlan1</vt:lpwstr>
      </vt:variant>
      <vt:variant>
        <vt:i4>5505133</vt:i4>
      </vt:variant>
      <vt:variant>
        <vt:i4>1878</vt:i4>
      </vt:variant>
      <vt:variant>
        <vt:i4>0</vt:i4>
      </vt:variant>
      <vt:variant>
        <vt:i4>5</vt:i4>
      </vt:variant>
      <vt:variant>
        <vt:lpwstr/>
      </vt:variant>
      <vt:variant>
        <vt:lpwstr>Srv_74Office365PlanK1K2</vt:lpwstr>
      </vt:variant>
      <vt:variant>
        <vt:i4>5505133</vt:i4>
      </vt:variant>
      <vt:variant>
        <vt:i4>1875</vt:i4>
      </vt:variant>
      <vt:variant>
        <vt:i4>0</vt:i4>
      </vt:variant>
      <vt:variant>
        <vt:i4>5</vt:i4>
      </vt:variant>
      <vt:variant>
        <vt:lpwstr/>
      </vt:variant>
      <vt:variant>
        <vt:lpwstr>Srv_74Office365PlanK1K2</vt:lpwstr>
      </vt:variant>
      <vt:variant>
        <vt:i4>2555905</vt:i4>
      </vt:variant>
      <vt:variant>
        <vt:i4>1872</vt:i4>
      </vt:variant>
      <vt:variant>
        <vt:i4>0</vt:i4>
      </vt:variant>
      <vt:variant>
        <vt:i4>5</vt:i4>
      </vt:variant>
      <vt:variant>
        <vt:lpwstr/>
      </vt:variant>
      <vt:variant>
        <vt:lpwstr>Srv_73Office365PlanG2toG4</vt:lpwstr>
      </vt:variant>
      <vt:variant>
        <vt:i4>3407961</vt:i4>
      </vt:variant>
      <vt:variant>
        <vt:i4>1869</vt:i4>
      </vt:variant>
      <vt:variant>
        <vt:i4>0</vt:i4>
      </vt:variant>
      <vt:variant>
        <vt:i4>5</vt:i4>
      </vt:variant>
      <vt:variant>
        <vt:lpwstr/>
      </vt:variant>
      <vt:variant>
        <vt:lpwstr>_7_Office_365</vt:lpwstr>
      </vt:variant>
      <vt:variant>
        <vt:i4>3473458</vt:i4>
      </vt:variant>
      <vt:variant>
        <vt:i4>1866</vt:i4>
      </vt:variant>
      <vt:variant>
        <vt:i4>0</vt:i4>
      </vt:variant>
      <vt:variant>
        <vt:i4>5</vt:i4>
      </vt:variant>
      <vt:variant>
        <vt:lpwstr/>
      </vt:variant>
      <vt:variant>
        <vt:lpwstr>_71_Office_365_1</vt:lpwstr>
      </vt:variant>
      <vt:variant>
        <vt:i4>3473497</vt:i4>
      </vt:variant>
      <vt:variant>
        <vt:i4>1863</vt:i4>
      </vt:variant>
      <vt:variant>
        <vt:i4>0</vt:i4>
      </vt:variant>
      <vt:variant>
        <vt:i4>5</vt:i4>
      </vt:variant>
      <vt:variant>
        <vt:lpwstr/>
      </vt:variant>
      <vt:variant>
        <vt:lpwstr>_6_Office_365</vt:lpwstr>
      </vt:variant>
      <vt:variant>
        <vt:i4>3473497</vt:i4>
      </vt:variant>
      <vt:variant>
        <vt:i4>1860</vt:i4>
      </vt:variant>
      <vt:variant>
        <vt:i4>0</vt:i4>
      </vt:variant>
      <vt:variant>
        <vt:i4>5</vt:i4>
      </vt:variant>
      <vt:variant>
        <vt:lpwstr/>
      </vt:variant>
      <vt:variant>
        <vt:lpwstr>_6_Office_365</vt:lpwstr>
      </vt:variant>
      <vt:variant>
        <vt:i4>3473497</vt:i4>
      </vt:variant>
      <vt:variant>
        <vt:i4>1857</vt:i4>
      </vt:variant>
      <vt:variant>
        <vt:i4>0</vt:i4>
      </vt:variant>
      <vt:variant>
        <vt:i4>5</vt:i4>
      </vt:variant>
      <vt:variant>
        <vt:lpwstr/>
      </vt:variant>
      <vt:variant>
        <vt:lpwstr>_6_Office_365</vt:lpwstr>
      </vt:variant>
      <vt:variant>
        <vt:i4>3801113</vt:i4>
      </vt:variant>
      <vt:variant>
        <vt:i4>1854</vt:i4>
      </vt:variant>
      <vt:variant>
        <vt:i4>0</vt:i4>
      </vt:variant>
      <vt:variant>
        <vt:i4>5</vt:i4>
      </vt:variant>
      <vt:variant>
        <vt:lpwstr/>
      </vt:variant>
      <vt:variant>
        <vt:lpwstr>_68_Microsoft_Dynamics</vt:lpwstr>
      </vt:variant>
      <vt:variant>
        <vt:i4>3801113</vt:i4>
      </vt:variant>
      <vt:variant>
        <vt:i4>1851</vt:i4>
      </vt:variant>
      <vt:variant>
        <vt:i4>0</vt:i4>
      </vt:variant>
      <vt:variant>
        <vt:i4>5</vt:i4>
      </vt:variant>
      <vt:variant>
        <vt:lpwstr/>
      </vt:variant>
      <vt:variant>
        <vt:lpwstr>_68_Microsoft_Dynamics</vt:lpwstr>
      </vt:variant>
      <vt:variant>
        <vt:i4>3801113</vt:i4>
      </vt:variant>
      <vt:variant>
        <vt:i4>1848</vt:i4>
      </vt:variant>
      <vt:variant>
        <vt:i4>0</vt:i4>
      </vt:variant>
      <vt:variant>
        <vt:i4>5</vt:i4>
      </vt:variant>
      <vt:variant>
        <vt:lpwstr/>
      </vt:variant>
      <vt:variant>
        <vt:lpwstr>_68_Microsoft_Dynamics</vt:lpwstr>
      </vt:variant>
      <vt:variant>
        <vt:i4>3801113</vt:i4>
      </vt:variant>
      <vt:variant>
        <vt:i4>1845</vt:i4>
      </vt:variant>
      <vt:variant>
        <vt:i4>0</vt:i4>
      </vt:variant>
      <vt:variant>
        <vt:i4>5</vt:i4>
      </vt:variant>
      <vt:variant>
        <vt:lpwstr/>
      </vt:variant>
      <vt:variant>
        <vt:lpwstr>_68_Microsoft_Dynamics</vt:lpwstr>
      </vt:variant>
      <vt:variant>
        <vt:i4>3801113</vt:i4>
      </vt:variant>
      <vt:variant>
        <vt:i4>1842</vt:i4>
      </vt:variant>
      <vt:variant>
        <vt:i4>0</vt:i4>
      </vt:variant>
      <vt:variant>
        <vt:i4>5</vt:i4>
      </vt:variant>
      <vt:variant>
        <vt:lpwstr/>
      </vt:variant>
      <vt:variant>
        <vt:lpwstr>_68_Microsoft_Dynamics</vt:lpwstr>
      </vt:variant>
      <vt:variant>
        <vt:i4>3801113</vt:i4>
      </vt:variant>
      <vt:variant>
        <vt:i4>1839</vt:i4>
      </vt:variant>
      <vt:variant>
        <vt:i4>0</vt:i4>
      </vt:variant>
      <vt:variant>
        <vt:i4>5</vt:i4>
      </vt:variant>
      <vt:variant>
        <vt:lpwstr/>
      </vt:variant>
      <vt:variant>
        <vt:lpwstr>_68_Microsoft_Dynamics</vt:lpwstr>
      </vt:variant>
      <vt:variant>
        <vt:i4>3801113</vt:i4>
      </vt:variant>
      <vt:variant>
        <vt:i4>1836</vt:i4>
      </vt:variant>
      <vt:variant>
        <vt:i4>0</vt:i4>
      </vt:variant>
      <vt:variant>
        <vt:i4>5</vt:i4>
      </vt:variant>
      <vt:variant>
        <vt:lpwstr/>
      </vt:variant>
      <vt:variant>
        <vt:lpwstr>_68_Microsoft_Dynamics</vt:lpwstr>
      </vt:variant>
      <vt:variant>
        <vt:i4>3801113</vt:i4>
      </vt:variant>
      <vt:variant>
        <vt:i4>1833</vt:i4>
      </vt:variant>
      <vt:variant>
        <vt:i4>0</vt:i4>
      </vt:variant>
      <vt:variant>
        <vt:i4>5</vt:i4>
      </vt:variant>
      <vt:variant>
        <vt:lpwstr/>
      </vt:variant>
      <vt:variant>
        <vt:lpwstr>_68_Microsoft_Dynamics</vt:lpwstr>
      </vt:variant>
      <vt:variant>
        <vt:i4>2031674</vt:i4>
      </vt:variant>
      <vt:variant>
        <vt:i4>1830</vt:i4>
      </vt:variant>
      <vt:variant>
        <vt:i4>0</vt:i4>
      </vt:variant>
      <vt:variant>
        <vt:i4>5</vt:i4>
      </vt:variant>
      <vt:variant>
        <vt:lpwstr/>
      </vt:variant>
      <vt:variant>
        <vt:lpwstr>Srv_67MicrosoftDynamicsCRM2011</vt:lpwstr>
      </vt:variant>
      <vt:variant>
        <vt:i4>2031674</vt:i4>
      </vt:variant>
      <vt:variant>
        <vt:i4>1827</vt:i4>
      </vt:variant>
      <vt:variant>
        <vt:i4>0</vt:i4>
      </vt:variant>
      <vt:variant>
        <vt:i4>5</vt:i4>
      </vt:variant>
      <vt:variant>
        <vt:lpwstr/>
      </vt:variant>
      <vt:variant>
        <vt:lpwstr>Srv_67MicrosoftDynamicsCRM2011</vt:lpwstr>
      </vt:variant>
      <vt:variant>
        <vt:i4>2031674</vt:i4>
      </vt:variant>
      <vt:variant>
        <vt:i4>1824</vt:i4>
      </vt:variant>
      <vt:variant>
        <vt:i4>0</vt:i4>
      </vt:variant>
      <vt:variant>
        <vt:i4>5</vt:i4>
      </vt:variant>
      <vt:variant>
        <vt:lpwstr/>
      </vt:variant>
      <vt:variant>
        <vt:lpwstr>Srv_67MicrosoftDynamicsCRM2011</vt:lpwstr>
      </vt:variant>
      <vt:variant>
        <vt:i4>2031674</vt:i4>
      </vt:variant>
      <vt:variant>
        <vt:i4>1821</vt:i4>
      </vt:variant>
      <vt:variant>
        <vt:i4>0</vt:i4>
      </vt:variant>
      <vt:variant>
        <vt:i4>5</vt:i4>
      </vt:variant>
      <vt:variant>
        <vt:lpwstr/>
      </vt:variant>
      <vt:variant>
        <vt:lpwstr>Srv_67MicrosoftDynamicsCRM2011</vt:lpwstr>
      </vt:variant>
      <vt:variant>
        <vt:i4>2031674</vt:i4>
      </vt:variant>
      <vt:variant>
        <vt:i4>1818</vt:i4>
      </vt:variant>
      <vt:variant>
        <vt:i4>0</vt:i4>
      </vt:variant>
      <vt:variant>
        <vt:i4>5</vt:i4>
      </vt:variant>
      <vt:variant>
        <vt:lpwstr/>
      </vt:variant>
      <vt:variant>
        <vt:lpwstr>Srv_67MicrosoftDynamicsCRM2011</vt:lpwstr>
      </vt:variant>
      <vt:variant>
        <vt:i4>2031674</vt:i4>
      </vt:variant>
      <vt:variant>
        <vt:i4>1815</vt:i4>
      </vt:variant>
      <vt:variant>
        <vt:i4>0</vt:i4>
      </vt:variant>
      <vt:variant>
        <vt:i4>5</vt:i4>
      </vt:variant>
      <vt:variant>
        <vt:lpwstr/>
      </vt:variant>
      <vt:variant>
        <vt:lpwstr>Srv_67MicrosoftDynamicsCRM2011</vt:lpwstr>
      </vt:variant>
      <vt:variant>
        <vt:i4>2031674</vt:i4>
      </vt:variant>
      <vt:variant>
        <vt:i4>1812</vt:i4>
      </vt:variant>
      <vt:variant>
        <vt:i4>0</vt:i4>
      </vt:variant>
      <vt:variant>
        <vt:i4>5</vt:i4>
      </vt:variant>
      <vt:variant>
        <vt:lpwstr/>
      </vt:variant>
      <vt:variant>
        <vt:lpwstr>Srv_67MicrosoftDynamicsCRM2011</vt:lpwstr>
      </vt:variant>
      <vt:variant>
        <vt:i4>2031674</vt:i4>
      </vt:variant>
      <vt:variant>
        <vt:i4>1809</vt:i4>
      </vt:variant>
      <vt:variant>
        <vt:i4>0</vt:i4>
      </vt:variant>
      <vt:variant>
        <vt:i4>5</vt:i4>
      </vt:variant>
      <vt:variant>
        <vt:lpwstr/>
      </vt:variant>
      <vt:variant>
        <vt:lpwstr>Srv_67MicrosoftDynamicsCRM2011</vt:lpwstr>
      </vt:variant>
      <vt:variant>
        <vt:i4>1507363</vt:i4>
      </vt:variant>
      <vt:variant>
        <vt:i4>1806</vt:i4>
      </vt:variant>
      <vt:variant>
        <vt:i4>0</vt:i4>
      </vt:variant>
      <vt:variant>
        <vt:i4>5</vt:i4>
      </vt:variant>
      <vt:variant>
        <vt:lpwstr/>
      </vt:variant>
      <vt:variant>
        <vt:lpwstr>_62_Lync_Server</vt:lpwstr>
      </vt:variant>
      <vt:variant>
        <vt:i4>6750226</vt:i4>
      </vt:variant>
      <vt:variant>
        <vt:i4>1803</vt:i4>
      </vt:variant>
      <vt:variant>
        <vt:i4>0</vt:i4>
      </vt:variant>
      <vt:variant>
        <vt:i4>5</vt:i4>
      </vt:variant>
      <vt:variant>
        <vt:lpwstr/>
      </vt:variant>
      <vt:variant>
        <vt:lpwstr>Srv_65LyncOnlinePlan1and2</vt:lpwstr>
      </vt:variant>
      <vt:variant>
        <vt:i4>6750226</vt:i4>
      </vt:variant>
      <vt:variant>
        <vt:i4>1800</vt:i4>
      </vt:variant>
      <vt:variant>
        <vt:i4>0</vt:i4>
      </vt:variant>
      <vt:variant>
        <vt:i4>5</vt:i4>
      </vt:variant>
      <vt:variant>
        <vt:lpwstr/>
      </vt:variant>
      <vt:variant>
        <vt:lpwstr>Srv_65LyncOnlinePlan1and2</vt:lpwstr>
      </vt:variant>
      <vt:variant>
        <vt:i4>6750226</vt:i4>
      </vt:variant>
      <vt:variant>
        <vt:i4>1797</vt:i4>
      </vt:variant>
      <vt:variant>
        <vt:i4>0</vt:i4>
      </vt:variant>
      <vt:variant>
        <vt:i4>5</vt:i4>
      </vt:variant>
      <vt:variant>
        <vt:lpwstr/>
      </vt:variant>
      <vt:variant>
        <vt:lpwstr>Srv_65LyncOnlinePlan1and2</vt:lpwstr>
      </vt:variant>
      <vt:variant>
        <vt:i4>6750226</vt:i4>
      </vt:variant>
      <vt:variant>
        <vt:i4>1794</vt:i4>
      </vt:variant>
      <vt:variant>
        <vt:i4>0</vt:i4>
      </vt:variant>
      <vt:variant>
        <vt:i4>5</vt:i4>
      </vt:variant>
      <vt:variant>
        <vt:lpwstr/>
      </vt:variant>
      <vt:variant>
        <vt:lpwstr>Srv_65LyncOnlinePlan1and2</vt:lpwstr>
      </vt:variant>
      <vt:variant>
        <vt:i4>2031721</vt:i4>
      </vt:variant>
      <vt:variant>
        <vt:i4>1791</vt:i4>
      </vt:variant>
      <vt:variant>
        <vt:i4>0</vt:i4>
      </vt:variant>
      <vt:variant>
        <vt:i4>5</vt:i4>
      </vt:variant>
      <vt:variant>
        <vt:lpwstr/>
      </vt:variant>
      <vt:variant>
        <vt:lpwstr>Srv_56LearningSolMCP1ExamVouch</vt:lpwstr>
      </vt:variant>
      <vt:variant>
        <vt:i4>852009</vt:i4>
      </vt:variant>
      <vt:variant>
        <vt:i4>1788</vt:i4>
      </vt:variant>
      <vt:variant>
        <vt:i4>0</vt:i4>
      </vt:variant>
      <vt:variant>
        <vt:i4>5</vt:i4>
      </vt:variant>
      <vt:variant>
        <vt:lpwstr/>
      </vt:variant>
      <vt:variant>
        <vt:lpwstr>Srv_54HighPerfComputingPack</vt:lpwstr>
      </vt:variant>
      <vt:variant>
        <vt:i4>852009</vt:i4>
      </vt:variant>
      <vt:variant>
        <vt:i4>1785</vt:i4>
      </vt:variant>
      <vt:variant>
        <vt:i4>0</vt:i4>
      </vt:variant>
      <vt:variant>
        <vt:i4>5</vt:i4>
      </vt:variant>
      <vt:variant>
        <vt:lpwstr/>
      </vt:variant>
      <vt:variant>
        <vt:lpwstr>Srv_54HighPerfComputingPack</vt:lpwstr>
      </vt:variant>
      <vt:variant>
        <vt:i4>6291542</vt:i4>
      </vt:variant>
      <vt:variant>
        <vt:i4>1782</vt:i4>
      </vt:variant>
      <vt:variant>
        <vt:i4>0</vt:i4>
      </vt:variant>
      <vt:variant>
        <vt:i4>5</vt:i4>
      </vt:variant>
      <vt:variant>
        <vt:lpwstr/>
      </vt:variant>
      <vt:variant>
        <vt:lpwstr>Srv_52ForefrontUnifiedAccessGtwy2010</vt:lpwstr>
      </vt:variant>
      <vt:variant>
        <vt:i4>6291542</vt:i4>
      </vt:variant>
      <vt:variant>
        <vt:i4>1779</vt:i4>
      </vt:variant>
      <vt:variant>
        <vt:i4>0</vt:i4>
      </vt:variant>
      <vt:variant>
        <vt:i4>5</vt:i4>
      </vt:variant>
      <vt:variant>
        <vt:lpwstr/>
      </vt:variant>
      <vt:variant>
        <vt:lpwstr>Srv_52ForefrontUnifiedAccessGtwy2010</vt:lpwstr>
      </vt:variant>
      <vt:variant>
        <vt:i4>6553686</vt:i4>
      </vt:variant>
      <vt:variant>
        <vt:i4>1776</vt:i4>
      </vt:variant>
      <vt:variant>
        <vt:i4>0</vt:i4>
      </vt:variant>
      <vt:variant>
        <vt:i4>5</vt:i4>
      </vt:variant>
      <vt:variant>
        <vt:lpwstr/>
      </vt:variant>
      <vt:variant>
        <vt:lpwstr>Srv_56ForefrontUnifiedAccessGtwy2010</vt:lpwstr>
      </vt:variant>
      <vt:variant>
        <vt:i4>6291542</vt:i4>
      </vt:variant>
      <vt:variant>
        <vt:i4>1773</vt:i4>
      </vt:variant>
      <vt:variant>
        <vt:i4>0</vt:i4>
      </vt:variant>
      <vt:variant>
        <vt:i4>5</vt:i4>
      </vt:variant>
      <vt:variant>
        <vt:lpwstr/>
      </vt:variant>
      <vt:variant>
        <vt:lpwstr>Srv_52ForefrontUnifiedAccessGtwy2010</vt:lpwstr>
      </vt:variant>
      <vt:variant>
        <vt:i4>5898342</vt:i4>
      </vt:variant>
      <vt:variant>
        <vt:i4>1770</vt:i4>
      </vt:variant>
      <vt:variant>
        <vt:i4>0</vt:i4>
      </vt:variant>
      <vt:variant>
        <vt:i4>5</vt:i4>
      </vt:variant>
      <vt:variant>
        <vt:lpwstr/>
      </vt:variant>
      <vt:variant>
        <vt:lpwstr>_57_Forefront_Threat</vt:lpwstr>
      </vt:variant>
      <vt:variant>
        <vt:i4>1376317</vt:i4>
      </vt:variant>
      <vt:variant>
        <vt:i4>1767</vt:i4>
      </vt:variant>
      <vt:variant>
        <vt:i4>0</vt:i4>
      </vt:variant>
      <vt:variant>
        <vt:i4>5</vt:i4>
      </vt:variant>
      <vt:variant>
        <vt:lpwstr/>
      </vt:variant>
      <vt:variant>
        <vt:lpwstr>Srv_49ForefrontSecfoOffComm</vt:lpwstr>
      </vt:variant>
      <vt:variant>
        <vt:i4>1900603</vt:i4>
      </vt:variant>
      <vt:variant>
        <vt:i4>1764</vt:i4>
      </vt:variant>
      <vt:variant>
        <vt:i4>0</vt:i4>
      </vt:variant>
      <vt:variant>
        <vt:i4>5</vt:i4>
      </vt:variant>
      <vt:variant>
        <vt:lpwstr/>
      </vt:variant>
      <vt:variant>
        <vt:lpwstr>Srv_48ForefrontProtectionSuite</vt:lpwstr>
      </vt:variant>
      <vt:variant>
        <vt:i4>4259939</vt:i4>
      </vt:variant>
      <vt:variant>
        <vt:i4>1761</vt:i4>
      </vt:variant>
      <vt:variant>
        <vt:i4>0</vt:i4>
      </vt:variant>
      <vt:variant>
        <vt:i4>5</vt:i4>
      </vt:variant>
      <vt:variant>
        <vt:lpwstr/>
      </vt:variant>
      <vt:variant>
        <vt:lpwstr>_54_Forefront_Protection</vt:lpwstr>
      </vt:variant>
      <vt:variant>
        <vt:i4>1441828</vt:i4>
      </vt:variant>
      <vt:variant>
        <vt:i4>1758</vt:i4>
      </vt:variant>
      <vt:variant>
        <vt:i4>0</vt:i4>
      </vt:variant>
      <vt:variant>
        <vt:i4>5</vt:i4>
      </vt:variant>
      <vt:variant>
        <vt:lpwstr/>
      </vt:variant>
      <vt:variant>
        <vt:lpwstr>Srv_46ForefrontOnlineProforExch</vt:lpwstr>
      </vt:variant>
      <vt:variant>
        <vt:i4>7274575</vt:i4>
      </vt:variant>
      <vt:variant>
        <vt:i4>1755</vt:i4>
      </vt:variant>
      <vt:variant>
        <vt:i4>0</vt:i4>
      </vt:variant>
      <vt:variant>
        <vt:i4>5</vt:i4>
      </vt:variant>
      <vt:variant>
        <vt:lpwstr/>
      </vt:variant>
      <vt:variant>
        <vt:lpwstr>Srv_54ForefrontIDMgrWinLiveEd</vt:lpwstr>
      </vt:variant>
      <vt:variant>
        <vt:i4>7667800</vt:i4>
      </vt:variant>
      <vt:variant>
        <vt:i4>1752</vt:i4>
      </vt:variant>
      <vt:variant>
        <vt:i4>0</vt:i4>
      </vt:variant>
      <vt:variant>
        <vt:i4>5</vt:i4>
      </vt:variant>
      <vt:variant>
        <vt:lpwstr/>
      </vt:variant>
      <vt:variant>
        <vt:lpwstr>Srv_48ForefrontIdMgr2010</vt:lpwstr>
      </vt:variant>
      <vt:variant>
        <vt:i4>7667800</vt:i4>
      </vt:variant>
      <vt:variant>
        <vt:i4>1749</vt:i4>
      </vt:variant>
      <vt:variant>
        <vt:i4>0</vt:i4>
      </vt:variant>
      <vt:variant>
        <vt:i4>5</vt:i4>
      </vt:variant>
      <vt:variant>
        <vt:lpwstr/>
      </vt:variant>
      <vt:variant>
        <vt:lpwstr>Srv_48ForefrontIdMgr2010</vt:lpwstr>
      </vt:variant>
      <vt:variant>
        <vt:i4>7667800</vt:i4>
      </vt:variant>
      <vt:variant>
        <vt:i4>1746</vt:i4>
      </vt:variant>
      <vt:variant>
        <vt:i4>0</vt:i4>
      </vt:variant>
      <vt:variant>
        <vt:i4>5</vt:i4>
      </vt:variant>
      <vt:variant>
        <vt:lpwstr/>
      </vt:variant>
      <vt:variant>
        <vt:lpwstr>Srv_48ForefrontIdMgr2010</vt:lpwstr>
      </vt:variant>
      <vt:variant>
        <vt:i4>7274585</vt:i4>
      </vt:variant>
      <vt:variant>
        <vt:i4>1743</vt:i4>
      </vt:variant>
      <vt:variant>
        <vt:i4>0</vt:i4>
      </vt:variant>
      <vt:variant>
        <vt:i4>5</vt:i4>
      </vt:variant>
      <vt:variant>
        <vt:lpwstr/>
      </vt:variant>
      <vt:variant>
        <vt:lpwstr>Srv_51ForfrontEndpointProtection</vt:lpwstr>
      </vt:variant>
      <vt:variant>
        <vt:i4>1376291</vt:i4>
      </vt:variant>
      <vt:variant>
        <vt:i4>1740</vt:i4>
      </vt:variant>
      <vt:variant>
        <vt:i4>0</vt:i4>
      </vt:variant>
      <vt:variant>
        <vt:i4>5</vt:i4>
      </vt:variant>
      <vt:variant>
        <vt:lpwstr/>
      </vt:variant>
      <vt:variant>
        <vt:lpwstr>_50_Exchange_Server</vt:lpwstr>
      </vt:variant>
      <vt:variant>
        <vt:i4>1310762</vt:i4>
      </vt:variant>
      <vt:variant>
        <vt:i4>1737</vt:i4>
      </vt:variant>
      <vt:variant>
        <vt:i4>0</vt:i4>
      </vt:variant>
      <vt:variant>
        <vt:i4>5</vt:i4>
      </vt:variant>
      <vt:variant>
        <vt:lpwstr/>
      </vt:variant>
      <vt:variant>
        <vt:lpwstr>_49_Exchange_Server</vt:lpwstr>
      </vt:variant>
      <vt:variant>
        <vt:i4>1310762</vt:i4>
      </vt:variant>
      <vt:variant>
        <vt:i4>1734</vt:i4>
      </vt:variant>
      <vt:variant>
        <vt:i4>0</vt:i4>
      </vt:variant>
      <vt:variant>
        <vt:i4>5</vt:i4>
      </vt:variant>
      <vt:variant>
        <vt:lpwstr/>
      </vt:variant>
      <vt:variant>
        <vt:lpwstr>_49_Exchange_Server</vt:lpwstr>
      </vt:variant>
      <vt:variant>
        <vt:i4>6684748</vt:i4>
      </vt:variant>
      <vt:variant>
        <vt:i4>1731</vt:i4>
      </vt:variant>
      <vt:variant>
        <vt:i4>0</vt:i4>
      </vt:variant>
      <vt:variant>
        <vt:i4>5</vt:i4>
      </vt:variant>
      <vt:variant>
        <vt:lpwstr/>
      </vt:variant>
      <vt:variant>
        <vt:lpwstr>Srv_50ExchangeOnlinePlan2</vt:lpwstr>
      </vt:variant>
      <vt:variant>
        <vt:i4>2621527</vt:i4>
      </vt:variant>
      <vt:variant>
        <vt:i4>1728</vt:i4>
      </vt:variant>
      <vt:variant>
        <vt:i4>0</vt:i4>
      </vt:variant>
      <vt:variant>
        <vt:i4>5</vt:i4>
      </vt:variant>
      <vt:variant>
        <vt:lpwstr/>
      </vt:variant>
      <vt:variant>
        <vt:lpwstr>Srv_46ExhangeOnlinePlan1</vt:lpwstr>
      </vt:variant>
      <vt:variant>
        <vt:i4>6750284</vt:i4>
      </vt:variant>
      <vt:variant>
        <vt:i4>1725</vt:i4>
      </vt:variant>
      <vt:variant>
        <vt:i4>0</vt:i4>
      </vt:variant>
      <vt:variant>
        <vt:i4>5</vt:i4>
      </vt:variant>
      <vt:variant>
        <vt:lpwstr/>
      </vt:variant>
      <vt:variant>
        <vt:lpwstr>Srv_45ExchangeOnDeskWork</vt:lpwstr>
      </vt:variant>
      <vt:variant>
        <vt:i4>7012427</vt:i4>
      </vt:variant>
      <vt:variant>
        <vt:i4>1722</vt:i4>
      </vt:variant>
      <vt:variant>
        <vt:i4>0</vt:i4>
      </vt:variant>
      <vt:variant>
        <vt:i4>5</vt:i4>
      </vt:variant>
      <vt:variant>
        <vt:lpwstr/>
      </vt:variant>
      <vt:variant>
        <vt:lpwstr>Srv_39ExchangeOnDeskWork</vt:lpwstr>
      </vt:variant>
      <vt:variant>
        <vt:i4>1703985</vt:i4>
      </vt:variant>
      <vt:variant>
        <vt:i4>1719</vt:i4>
      </vt:variant>
      <vt:variant>
        <vt:i4>0</vt:i4>
      </vt:variant>
      <vt:variant>
        <vt:i4>5</vt:i4>
      </vt:variant>
      <vt:variant>
        <vt:lpwstr/>
      </vt:variant>
      <vt:variant>
        <vt:lpwstr>Srv_44ExchHostArchiveandStorage</vt:lpwstr>
      </vt:variant>
      <vt:variant>
        <vt:i4>1703985</vt:i4>
      </vt:variant>
      <vt:variant>
        <vt:i4>1716</vt:i4>
      </vt:variant>
      <vt:variant>
        <vt:i4>0</vt:i4>
      </vt:variant>
      <vt:variant>
        <vt:i4>5</vt:i4>
      </vt:variant>
      <vt:variant>
        <vt:lpwstr/>
      </vt:variant>
      <vt:variant>
        <vt:lpwstr>Srv_44ExchHostArchiveandStorage</vt:lpwstr>
      </vt:variant>
      <vt:variant>
        <vt:i4>720958</vt:i4>
      </vt:variant>
      <vt:variant>
        <vt:i4>1713</vt:i4>
      </vt:variant>
      <vt:variant>
        <vt:i4>0</vt:i4>
      </vt:variant>
      <vt:variant>
        <vt:i4>5</vt:i4>
      </vt:variant>
      <vt:variant>
        <vt:lpwstr/>
      </vt:variant>
      <vt:variant>
        <vt:lpwstr>Srv_45ExchOnlineArchivingUserSL</vt:lpwstr>
      </vt:variant>
      <vt:variant>
        <vt:i4>7798877</vt:i4>
      </vt:variant>
      <vt:variant>
        <vt:i4>1710</vt:i4>
      </vt:variant>
      <vt:variant>
        <vt:i4>0</vt:i4>
      </vt:variant>
      <vt:variant>
        <vt:i4>5</vt:i4>
      </vt:variant>
      <vt:variant>
        <vt:lpwstr/>
      </vt:variant>
      <vt:variant>
        <vt:lpwstr>Srv_43EnterpriseCALSuite</vt:lpwstr>
      </vt:variant>
      <vt:variant>
        <vt:i4>1048623</vt:i4>
      </vt:variant>
      <vt:variant>
        <vt:i4>1707</vt:i4>
      </vt:variant>
      <vt:variant>
        <vt:i4>0</vt:i4>
      </vt:variant>
      <vt:variant>
        <vt:i4>5</vt:i4>
      </vt:variant>
      <vt:variant>
        <vt:lpwstr/>
      </vt:variant>
      <vt:variant>
        <vt:lpwstr>Srv_45EntCALBridgeWinIntune</vt:lpwstr>
      </vt:variant>
      <vt:variant>
        <vt:i4>1048623</vt:i4>
      </vt:variant>
      <vt:variant>
        <vt:i4>1704</vt:i4>
      </vt:variant>
      <vt:variant>
        <vt:i4>0</vt:i4>
      </vt:variant>
      <vt:variant>
        <vt:i4>5</vt:i4>
      </vt:variant>
      <vt:variant>
        <vt:lpwstr/>
      </vt:variant>
      <vt:variant>
        <vt:lpwstr>Srv_45EntCALBridgeWinIntune</vt:lpwstr>
      </vt:variant>
      <vt:variant>
        <vt:i4>1048623</vt:i4>
      </vt:variant>
      <vt:variant>
        <vt:i4>1701</vt:i4>
      </vt:variant>
      <vt:variant>
        <vt:i4>0</vt:i4>
      </vt:variant>
      <vt:variant>
        <vt:i4>5</vt:i4>
      </vt:variant>
      <vt:variant>
        <vt:lpwstr/>
      </vt:variant>
      <vt:variant>
        <vt:lpwstr>Srv_45EntCALBridgeWinIntune</vt:lpwstr>
      </vt:variant>
      <vt:variant>
        <vt:i4>6750278</vt:i4>
      </vt:variant>
      <vt:variant>
        <vt:i4>1698</vt:i4>
      </vt:variant>
      <vt:variant>
        <vt:i4>0</vt:i4>
      </vt:variant>
      <vt:variant>
        <vt:i4>5</vt:i4>
      </vt:variant>
      <vt:variant>
        <vt:lpwstr/>
      </vt:variant>
      <vt:variant>
        <vt:lpwstr>_40_Dynamics_CRM</vt:lpwstr>
      </vt:variant>
      <vt:variant>
        <vt:i4>458811</vt:i4>
      </vt:variant>
      <vt:variant>
        <vt:i4>1695</vt:i4>
      </vt:variant>
      <vt:variant>
        <vt:i4>0</vt:i4>
      </vt:variant>
      <vt:variant>
        <vt:i4>5</vt:i4>
      </vt:variant>
      <vt:variant>
        <vt:lpwstr/>
      </vt:variant>
      <vt:variant>
        <vt:lpwstr>Srv_37DynamicsCRMOnline</vt:lpwstr>
      </vt:variant>
      <vt:variant>
        <vt:i4>458811</vt:i4>
      </vt:variant>
      <vt:variant>
        <vt:i4>1692</vt:i4>
      </vt:variant>
      <vt:variant>
        <vt:i4>0</vt:i4>
      </vt:variant>
      <vt:variant>
        <vt:i4>5</vt:i4>
      </vt:variant>
      <vt:variant>
        <vt:lpwstr/>
      </vt:variant>
      <vt:variant>
        <vt:lpwstr>Srv_37DynamicsCRMOnline</vt:lpwstr>
      </vt:variant>
      <vt:variant>
        <vt:i4>1703987</vt:i4>
      </vt:variant>
      <vt:variant>
        <vt:i4>1689</vt:i4>
      </vt:variant>
      <vt:variant>
        <vt:i4>0</vt:i4>
      </vt:variant>
      <vt:variant>
        <vt:i4>5</vt:i4>
      </vt:variant>
      <vt:variant>
        <vt:lpwstr/>
      </vt:variant>
      <vt:variant>
        <vt:lpwstr>Srv_41DataWarehouseConsApp2012</vt:lpwstr>
      </vt:variant>
      <vt:variant>
        <vt:i4>7798865</vt:i4>
      </vt:variant>
      <vt:variant>
        <vt:i4>1686</vt:i4>
      </vt:variant>
      <vt:variant>
        <vt:i4>0</vt:i4>
      </vt:variant>
      <vt:variant>
        <vt:i4>5</vt:i4>
      </vt:variant>
      <vt:variant>
        <vt:lpwstr/>
      </vt:variant>
      <vt:variant>
        <vt:lpwstr>Srv_34CoreInfraSvrSuiteDatacenter</vt:lpwstr>
      </vt:variant>
      <vt:variant>
        <vt:i4>7864396</vt:i4>
      </vt:variant>
      <vt:variant>
        <vt:i4>1683</vt:i4>
      </vt:variant>
      <vt:variant>
        <vt:i4>0</vt:i4>
      </vt:variant>
      <vt:variant>
        <vt:i4>5</vt:i4>
      </vt:variant>
      <vt:variant>
        <vt:lpwstr/>
      </vt:variant>
      <vt:variant>
        <vt:lpwstr>Srv_36CoreInfraServerSuiteEnt</vt:lpwstr>
      </vt:variant>
      <vt:variant>
        <vt:i4>6357082</vt:i4>
      </vt:variant>
      <vt:variant>
        <vt:i4>1680</vt:i4>
      </vt:variant>
      <vt:variant>
        <vt:i4>0</vt:i4>
      </vt:variant>
      <vt:variant>
        <vt:i4>5</vt:i4>
      </vt:variant>
      <vt:variant>
        <vt:lpwstr/>
      </vt:variant>
      <vt:variant>
        <vt:lpwstr>Srv_35CoreInfraServerSuiteStd</vt:lpwstr>
      </vt:variant>
      <vt:variant>
        <vt:i4>852009</vt:i4>
      </vt:variant>
      <vt:variant>
        <vt:i4>1677</vt:i4>
      </vt:variant>
      <vt:variant>
        <vt:i4>0</vt:i4>
      </vt:variant>
      <vt:variant>
        <vt:i4>5</vt:i4>
      </vt:variant>
      <vt:variant>
        <vt:lpwstr/>
      </vt:variant>
      <vt:variant>
        <vt:lpwstr>Srv_34CoreCALSuite</vt:lpwstr>
      </vt:variant>
      <vt:variant>
        <vt:i4>7864385</vt:i4>
      </vt:variant>
      <vt:variant>
        <vt:i4>1674</vt:i4>
      </vt:variant>
      <vt:variant>
        <vt:i4>0</vt:i4>
      </vt:variant>
      <vt:variant>
        <vt:i4>5</vt:i4>
      </vt:variant>
      <vt:variant>
        <vt:lpwstr/>
      </vt:variant>
      <vt:variant>
        <vt:lpwstr>Srv_35CoreCALBridgeWinIntune</vt:lpwstr>
      </vt:variant>
      <vt:variant>
        <vt:i4>7864385</vt:i4>
      </vt:variant>
      <vt:variant>
        <vt:i4>1671</vt:i4>
      </vt:variant>
      <vt:variant>
        <vt:i4>0</vt:i4>
      </vt:variant>
      <vt:variant>
        <vt:i4>5</vt:i4>
      </vt:variant>
      <vt:variant>
        <vt:lpwstr/>
      </vt:variant>
      <vt:variant>
        <vt:lpwstr>Srv_35CoreCALBridgeWinIntune</vt:lpwstr>
      </vt:variant>
      <vt:variant>
        <vt:i4>7864385</vt:i4>
      </vt:variant>
      <vt:variant>
        <vt:i4>1668</vt:i4>
      </vt:variant>
      <vt:variant>
        <vt:i4>0</vt:i4>
      </vt:variant>
      <vt:variant>
        <vt:i4>5</vt:i4>
      </vt:variant>
      <vt:variant>
        <vt:lpwstr/>
      </vt:variant>
      <vt:variant>
        <vt:lpwstr>Srv_35CoreCALBridgeWinIntune</vt:lpwstr>
      </vt:variant>
      <vt:variant>
        <vt:i4>393322</vt:i4>
      </vt:variant>
      <vt:variant>
        <vt:i4>1665</vt:i4>
      </vt:variant>
      <vt:variant>
        <vt:i4>0</vt:i4>
      </vt:variant>
      <vt:variant>
        <vt:i4>5</vt:i4>
      </vt:variant>
      <vt:variant>
        <vt:lpwstr/>
      </vt:variant>
      <vt:variant>
        <vt:lpwstr>Srv_35BusinessIntellApp2012</vt:lpwstr>
      </vt:variant>
      <vt:variant>
        <vt:i4>1245223</vt:i4>
      </vt:variant>
      <vt:variant>
        <vt:i4>1662</vt:i4>
      </vt:variant>
      <vt:variant>
        <vt:i4>0</vt:i4>
      </vt:variant>
      <vt:variant>
        <vt:i4>5</vt:i4>
      </vt:variant>
      <vt:variant>
        <vt:lpwstr/>
      </vt:variant>
      <vt:variant>
        <vt:lpwstr>Srv_28BizTalkSvr2009StandEd</vt:lpwstr>
      </vt:variant>
      <vt:variant>
        <vt:i4>6815808</vt:i4>
      </vt:variant>
      <vt:variant>
        <vt:i4>1659</vt:i4>
      </vt:variant>
      <vt:variant>
        <vt:i4>0</vt:i4>
      </vt:variant>
      <vt:variant>
        <vt:i4>5</vt:i4>
      </vt:variant>
      <vt:variant>
        <vt:lpwstr/>
      </vt:variant>
      <vt:variant>
        <vt:lpwstr>Srv_27BizTalkSvr2009EntEd</vt:lpwstr>
      </vt:variant>
      <vt:variant>
        <vt:i4>1835037</vt:i4>
      </vt:variant>
      <vt:variant>
        <vt:i4>1656</vt:i4>
      </vt:variant>
      <vt:variant>
        <vt:i4>0</vt:i4>
      </vt:variant>
      <vt:variant>
        <vt:i4>5</vt:i4>
      </vt:variant>
      <vt:variant>
        <vt:lpwstr/>
      </vt:variant>
      <vt:variant>
        <vt:lpwstr>Srv_26_BizTalkServerBranch</vt:lpwstr>
      </vt:variant>
      <vt:variant>
        <vt:i4>65576</vt:i4>
      </vt:variant>
      <vt:variant>
        <vt:i4>1653</vt:i4>
      </vt:variant>
      <vt:variant>
        <vt:i4>0</vt:i4>
      </vt:variant>
      <vt:variant>
        <vt:i4>5</vt:i4>
      </vt:variant>
      <vt:variant>
        <vt:lpwstr/>
      </vt:variant>
      <vt:variant>
        <vt:lpwstr>Srv_25BingMapsandAddons</vt:lpwstr>
      </vt:variant>
      <vt:variant>
        <vt:i4>65576</vt:i4>
      </vt:variant>
      <vt:variant>
        <vt:i4>1650</vt:i4>
      </vt:variant>
      <vt:variant>
        <vt:i4>0</vt:i4>
      </vt:variant>
      <vt:variant>
        <vt:i4>5</vt:i4>
      </vt:variant>
      <vt:variant>
        <vt:lpwstr/>
      </vt:variant>
      <vt:variant>
        <vt:lpwstr>Srv_25BingMapsandAddons</vt:lpwstr>
      </vt:variant>
      <vt:variant>
        <vt:i4>1245236</vt:i4>
      </vt:variant>
      <vt:variant>
        <vt:i4>1647</vt:i4>
      </vt:variant>
      <vt:variant>
        <vt:i4>0</vt:i4>
      </vt:variant>
      <vt:variant>
        <vt:i4>5</vt:i4>
      </vt:variant>
      <vt:variant>
        <vt:lpwstr/>
      </vt:variant>
      <vt:variant>
        <vt:lpwstr>Srv_27BingMapsSvrandContentPack</vt:lpwstr>
      </vt:variant>
      <vt:variant>
        <vt:i4>1245236</vt:i4>
      </vt:variant>
      <vt:variant>
        <vt:i4>1644</vt:i4>
      </vt:variant>
      <vt:variant>
        <vt:i4>0</vt:i4>
      </vt:variant>
      <vt:variant>
        <vt:i4>5</vt:i4>
      </vt:variant>
      <vt:variant>
        <vt:lpwstr/>
      </vt:variant>
      <vt:variant>
        <vt:lpwstr>Srv_27BingMapsSvrandContentPack</vt:lpwstr>
      </vt:variant>
      <vt:variant>
        <vt:i4>1245236</vt:i4>
      </vt:variant>
      <vt:variant>
        <vt:i4>1641</vt:i4>
      </vt:variant>
      <vt:variant>
        <vt:i4>0</vt:i4>
      </vt:variant>
      <vt:variant>
        <vt:i4>5</vt:i4>
      </vt:variant>
      <vt:variant>
        <vt:lpwstr/>
      </vt:variant>
      <vt:variant>
        <vt:lpwstr>Srv_27BingMapsSvrandContentPack</vt:lpwstr>
      </vt:variant>
      <vt:variant>
        <vt:i4>1245236</vt:i4>
      </vt:variant>
      <vt:variant>
        <vt:i4>1638</vt:i4>
      </vt:variant>
      <vt:variant>
        <vt:i4>0</vt:i4>
      </vt:variant>
      <vt:variant>
        <vt:i4>5</vt:i4>
      </vt:variant>
      <vt:variant>
        <vt:lpwstr/>
      </vt:variant>
      <vt:variant>
        <vt:lpwstr>Srv_27BingMapsSvrandContentPack</vt:lpwstr>
      </vt:variant>
      <vt:variant>
        <vt:i4>7012435</vt:i4>
      </vt:variant>
      <vt:variant>
        <vt:i4>1635</vt:i4>
      </vt:variant>
      <vt:variant>
        <vt:i4>0</vt:i4>
      </vt:variant>
      <vt:variant>
        <vt:i4>5</vt:i4>
      </vt:variant>
      <vt:variant>
        <vt:lpwstr/>
      </vt:variant>
      <vt:variant>
        <vt:lpwstr>Sys_27WindowsVistaProUpgrade</vt:lpwstr>
      </vt:variant>
      <vt:variant>
        <vt:i4>7995466</vt:i4>
      </vt:variant>
      <vt:variant>
        <vt:i4>1632</vt:i4>
      </vt:variant>
      <vt:variant>
        <vt:i4>0</vt:i4>
      </vt:variant>
      <vt:variant>
        <vt:i4>5</vt:i4>
      </vt:variant>
      <vt:variant>
        <vt:lpwstr/>
      </vt:variant>
      <vt:variant>
        <vt:lpwstr>Sys_25WindowsPartnersLearning</vt:lpwstr>
      </vt:variant>
      <vt:variant>
        <vt:i4>8454193</vt:i4>
      </vt:variant>
      <vt:variant>
        <vt:i4>1629</vt:i4>
      </vt:variant>
      <vt:variant>
        <vt:i4>0</vt:i4>
      </vt:variant>
      <vt:variant>
        <vt:i4>5</vt:i4>
      </vt:variant>
      <vt:variant>
        <vt:lpwstr/>
      </vt:variant>
      <vt:variant>
        <vt:lpwstr>_24_Windows®_8</vt:lpwstr>
      </vt:variant>
      <vt:variant>
        <vt:i4>1769508</vt:i4>
      </vt:variant>
      <vt:variant>
        <vt:i4>1626</vt:i4>
      </vt:variant>
      <vt:variant>
        <vt:i4>0</vt:i4>
      </vt:variant>
      <vt:variant>
        <vt:i4>5</vt:i4>
      </vt:variant>
      <vt:variant>
        <vt:lpwstr/>
      </vt:variant>
      <vt:variant>
        <vt:lpwstr>Sys_25MDOPforSA</vt:lpwstr>
      </vt:variant>
      <vt:variant>
        <vt:i4>6881355</vt:i4>
      </vt:variant>
      <vt:variant>
        <vt:i4>1623</vt:i4>
      </vt:variant>
      <vt:variant>
        <vt:i4>0</vt:i4>
      </vt:variant>
      <vt:variant>
        <vt:i4>5</vt:i4>
      </vt:variant>
      <vt:variant>
        <vt:lpwstr/>
      </vt:variant>
      <vt:variant>
        <vt:lpwstr>Sys_24WindowsVistaDVDPack</vt:lpwstr>
      </vt:variant>
      <vt:variant>
        <vt:i4>13697071</vt:i4>
      </vt:variant>
      <vt:variant>
        <vt:i4>1620</vt:i4>
      </vt:variant>
      <vt:variant>
        <vt:i4>0</vt:i4>
      </vt:variant>
      <vt:variant>
        <vt:i4>5</vt:i4>
      </vt:variant>
      <vt:variant>
        <vt:lpwstr/>
      </vt:variant>
      <vt:variant>
        <vt:lpwstr>_24_Windows®_Companion</vt:lpwstr>
      </vt:variant>
      <vt:variant>
        <vt:i4>6881368</vt:i4>
      </vt:variant>
      <vt:variant>
        <vt:i4>1617</vt:i4>
      </vt:variant>
      <vt:variant>
        <vt:i4>0</vt:i4>
      </vt:variant>
      <vt:variant>
        <vt:i4>5</vt:i4>
      </vt:variant>
      <vt:variant>
        <vt:lpwstr/>
      </vt:variant>
      <vt:variant>
        <vt:lpwstr>Aps_19VS2010TestMSDN</vt:lpwstr>
      </vt:variant>
      <vt:variant>
        <vt:i4>7864391</vt:i4>
      </vt:variant>
      <vt:variant>
        <vt:i4>1614</vt:i4>
      </vt:variant>
      <vt:variant>
        <vt:i4>0</vt:i4>
      </vt:variant>
      <vt:variant>
        <vt:i4>5</vt:i4>
      </vt:variant>
      <vt:variant>
        <vt:lpwstr/>
      </vt:variant>
      <vt:variant>
        <vt:lpwstr>Aps_18VS2010UltimateMSDN</vt:lpwstr>
      </vt:variant>
      <vt:variant>
        <vt:i4>589876</vt:i4>
      </vt:variant>
      <vt:variant>
        <vt:i4>1611</vt:i4>
      </vt:variant>
      <vt:variant>
        <vt:i4>0</vt:i4>
      </vt:variant>
      <vt:variant>
        <vt:i4>5</vt:i4>
      </vt:variant>
      <vt:variant>
        <vt:lpwstr/>
      </vt:variant>
      <vt:variant>
        <vt:lpwstr>Aps_16VS2010PremiumMSDN</vt:lpwstr>
      </vt:variant>
      <vt:variant>
        <vt:i4>8257624</vt:i4>
      </vt:variant>
      <vt:variant>
        <vt:i4>1608</vt:i4>
      </vt:variant>
      <vt:variant>
        <vt:i4>0</vt:i4>
      </vt:variant>
      <vt:variant>
        <vt:i4>5</vt:i4>
      </vt:variant>
      <vt:variant>
        <vt:lpwstr/>
      </vt:variant>
      <vt:variant>
        <vt:lpwstr>Aps_13VS2010ProfessionalMSDN</vt:lpwstr>
      </vt:variant>
      <vt:variant>
        <vt:i4>6422609</vt:i4>
      </vt:variant>
      <vt:variant>
        <vt:i4>1605</vt:i4>
      </vt:variant>
      <vt:variant>
        <vt:i4>0</vt:i4>
      </vt:variant>
      <vt:variant>
        <vt:i4>5</vt:i4>
      </vt:variant>
      <vt:variant>
        <vt:lpwstr/>
      </vt:variant>
      <vt:variant>
        <vt:lpwstr>Aps_12VS2010Professional</vt:lpwstr>
      </vt:variant>
      <vt:variant>
        <vt:i4>3997703</vt:i4>
      </vt:variant>
      <vt:variant>
        <vt:i4>1602</vt:i4>
      </vt:variant>
      <vt:variant>
        <vt:i4>0</vt:i4>
      </vt:variant>
      <vt:variant>
        <vt:i4>5</vt:i4>
      </vt:variant>
      <vt:variant>
        <vt:lpwstr/>
      </vt:variant>
      <vt:variant>
        <vt:lpwstr>_15_Visio_Professional</vt:lpwstr>
      </vt:variant>
      <vt:variant>
        <vt:i4>5832747</vt:i4>
      </vt:variant>
      <vt:variant>
        <vt:i4>1599</vt:i4>
      </vt:variant>
      <vt:variant>
        <vt:i4>0</vt:i4>
      </vt:variant>
      <vt:variant>
        <vt:i4>5</vt:i4>
      </vt:variant>
      <vt:variant>
        <vt:lpwstr/>
      </vt:variant>
      <vt:variant>
        <vt:lpwstr>Aps_9RentalRightsOffice</vt:lpwstr>
      </vt:variant>
      <vt:variant>
        <vt:i4>5832747</vt:i4>
      </vt:variant>
      <vt:variant>
        <vt:i4>1596</vt:i4>
      </vt:variant>
      <vt:variant>
        <vt:i4>0</vt:i4>
      </vt:variant>
      <vt:variant>
        <vt:i4>5</vt:i4>
      </vt:variant>
      <vt:variant>
        <vt:lpwstr/>
      </vt:variant>
      <vt:variant>
        <vt:lpwstr>Aps_9RentalRightsOffice</vt:lpwstr>
      </vt:variant>
      <vt:variant>
        <vt:i4>5439522</vt:i4>
      </vt:variant>
      <vt:variant>
        <vt:i4>1593</vt:i4>
      </vt:variant>
      <vt:variant>
        <vt:i4>0</vt:i4>
      </vt:variant>
      <vt:variant>
        <vt:i4>5</vt:i4>
      </vt:variant>
      <vt:variant>
        <vt:lpwstr/>
      </vt:variant>
      <vt:variant>
        <vt:lpwstr>Aps_8Project2010Pro</vt:lpwstr>
      </vt:variant>
      <vt:variant>
        <vt:i4>5242996</vt:i4>
      </vt:variant>
      <vt:variant>
        <vt:i4>1590</vt:i4>
      </vt:variant>
      <vt:variant>
        <vt:i4>0</vt:i4>
      </vt:variant>
      <vt:variant>
        <vt:i4>5</vt:i4>
      </vt:variant>
      <vt:variant>
        <vt:lpwstr/>
      </vt:variant>
      <vt:variant>
        <vt:lpwstr>Srv_9OutlookMac2011</vt:lpwstr>
      </vt:variant>
      <vt:variant>
        <vt:i4>5439526</vt:i4>
      </vt:variant>
      <vt:variant>
        <vt:i4>1587</vt:i4>
      </vt:variant>
      <vt:variant>
        <vt:i4>0</vt:i4>
      </vt:variant>
      <vt:variant>
        <vt:i4>5</vt:i4>
      </vt:variant>
      <vt:variant>
        <vt:lpwstr/>
      </vt:variant>
      <vt:variant>
        <vt:lpwstr>Aps_9OfficeProPlusSubUserSL</vt:lpwstr>
      </vt:variant>
      <vt:variant>
        <vt:i4>5898367</vt:i4>
      </vt:variant>
      <vt:variant>
        <vt:i4>1584</vt:i4>
      </vt:variant>
      <vt:variant>
        <vt:i4>0</vt:i4>
      </vt:variant>
      <vt:variant>
        <vt:i4>5</vt:i4>
      </vt:variant>
      <vt:variant>
        <vt:lpwstr/>
      </vt:variant>
      <vt:variant>
        <vt:lpwstr>Aps_OfficeStandard2010</vt:lpwstr>
      </vt:variant>
      <vt:variant>
        <vt:i4>4522043</vt:i4>
      </vt:variant>
      <vt:variant>
        <vt:i4>1581</vt:i4>
      </vt:variant>
      <vt:variant>
        <vt:i4>0</vt:i4>
      </vt:variant>
      <vt:variant>
        <vt:i4>5</vt:i4>
      </vt:variant>
      <vt:variant>
        <vt:lpwstr/>
      </vt:variant>
      <vt:variant>
        <vt:lpwstr>Aps_7OfficeProPlus2010</vt:lpwstr>
      </vt:variant>
      <vt:variant>
        <vt:i4>2883602</vt:i4>
      </vt:variant>
      <vt:variant>
        <vt:i4>1578</vt:i4>
      </vt:variant>
      <vt:variant>
        <vt:i4>0</vt:i4>
      </vt:variant>
      <vt:variant>
        <vt:i4>5</vt:i4>
      </vt:variant>
      <vt:variant>
        <vt:lpwstr/>
      </vt:variant>
      <vt:variant>
        <vt:lpwstr>_7_Office_Multi-Language</vt:lpwstr>
      </vt:variant>
      <vt:variant>
        <vt:i4>5701693</vt:i4>
      </vt:variant>
      <vt:variant>
        <vt:i4>1575</vt:i4>
      </vt:variant>
      <vt:variant>
        <vt:i4>0</vt:i4>
      </vt:variant>
      <vt:variant>
        <vt:i4>5</vt:i4>
      </vt:variant>
      <vt:variant>
        <vt:lpwstr/>
      </vt:variant>
      <vt:variant>
        <vt:lpwstr>Srv_4OfficeMacStandard2011</vt:lpwstr>
      </vt:variant>
      <vt:variant>
        <vt:i4>3407961</vt:i4>
      </vt:variant>
      <vt:variant>
        <vt:i4>1572</vt:i4>
      </vt:variant>
      <vt:variant>
        <vt:i4>0</vt:i4>
      </vt:variant>
      <vt:variant>
        <vt:i4>5</vt:i4>
      </vt:variant>
      <vt:variant>
        <vt:lpwstr/>
      </vt:variant>
      <vt:variant>
        <vt:lpwstr>_7_Office_365</vt:lpwstr>
      </vt:variant>
      <vt:variant>
        <vt:i4>3407961</vt:i4>
      </vt:variant>
      <vt:variant>
        <vt:i4>1569</vt:i4>
      </vt:variant>
      <vt:variant>
        <vt:i4>0</vt:i4>
      </vt:variant>
      <vt:variant>
        <vt:i4>5</vt:i4>
      </vt:variant>
      <vt:variant>
        <vt:lpwstr/>
      </vt:variant>
      <vt:variant>
        <vt:lpwstr>_7_Office_365</vt:lpwstr>
      </vt:variant>
      <vt:variant>
        <vt:i4>3407961</vt:i4>
      </vt:variant>
      <vt:variant>
        <vt:i4>1566</vt:i4>
      </vt:variant>
      <vt:variant>
        <vt:i4>0</vt:i4>
      </vt:variant>
      <vt:variant>
        <vt:i4>5</vt:i4>
      </vt:variant>
      <vt:variant>
        <vt:lpwstr/>
      </vt:variant>
      <vt:variant>
        <vt:lpwstr>_7_Office_365</vt:lpwstr>
      </vt:variant>
      <vt:variant>
        <vt:i4>3473497</vt:i4>
      </vt:variant>
      <vt:variant>
        <vt:i4>1563</vt:i4>
      </vt:variant>
      <vt:variant>
        <vt:i4>0</vt:i4>
      </vt:variant>
      <vt:variant>
        <vt:i4>5</vt:i4>
      </vt:variant>
      <vt:variant>
        <vt:lpwstr/>
      </vt:variant>
      <vt:variant>
        <vt:lpwstr>_6_Office_365</vt:lpwstr>
      </vt:variant>
      <vt:variant>
        <vt:i4>3473497</vt:i4>
      </vt:variant>
      <vt:variant>
        <vt:i4>1560</vt:i4>
      </vt:variant>
      <vt:variant>
        <vt:i4>0</vt:i4>
      </vt:variant>
      <vt:variant>
        <vt:i4>5</vt:i4>
      </vt:variant>
      <vt:variant>
        <vt:lpwstr/>
      </vt:variant>
      <vt:variant>
        <vt:lpwstr>_6_Office_365</vt:lpwstr>
      </vt:variant>
      <vt:variant>
        <vt:i4>3473497</vt:i4>
      </vt:variant>
      <vt:variant>
        <vt:i4>1557</vt:i4>
      </vt:variant>
      <vt:variant>
        <vt:i4>0</vt:i4>
      </vt:variant>
      <vt:variant>
        <vt:i4>5</vt:i4>
      </vt:variant>
      <vt:variant>
        <vt:lpwstr/>
      </vt:variant>
      <vt:variant>
        <vt:lpwstr>_6_Office_365</vt:lpwstr>
      </vt:variant>
      <vt:variant>
        <vt:i4>2228241</vt:i4>
      </vt:variant>
      <vt:variant>
        <vt:i4>1554</vt:i4>
      </vt:variant>
      <vt:variant>
        <vt:i4>0</vt:i4>
      </vt:variant>
      <vt:variant>
        <vt:i4>5</vt:i4>
      </vt:variant>
      <vt:variant>
        <vt:lpwstr/>
      </vt:variant>
      <vt:variant>
        <vt:lpwstr>Aps_MSDNOPSystems</vt:lpwstr>
      </vt:variant>
      <vt:variant>
        <vt:i4>5963885</vt:i4>
      </vt:variant>
      <vt:variant>
        <vt:i4>1551</vt:i4>
      </vt:variant>
      <vt:variant>
        <vt:i4>0</vt:i4>
      </vt:variant>
      <vt:variant>
        <vt:i4>5</vt:i4>
      </vt:variant>
      <vt:variant>
        <vt:lpwstr/>
      </vt:variant>
      <vt:variant>
        <vt:lpwstr>Aps_4LyncforMac2011</vt:lpwstr>
      </vt:variant>
      <vt:variant>
        <vt:i4>2490381</vt:i4>
      </vt:variant>
      <vt:variant>
        <vt:i4>1548</vt:i4>
      </vt:variant>
      <vt:variant>
        <vt:i4>0</vt:i4>
      </vt:variant>
      <vt:variant>
        <vt:i4>5</vt:i4>
      </vt:variant>
      <vt:variant>
        <vt:lpwstr/>
      </vt:variant>
      <vt:variant>
        <vt:lpwstr>Aps_ExpStudioproducts</vt:lpwstr>
      </vt:variant>
      <vt:variant>
        <vt:i4>2490381</vt:i4>
      </vt:variant>
      <vt:variant>
        <vt:i4>1545</vt:i4>
      </vt:variant>
      <vt:variant>
        <vt:i4>0</vt:i4>
      </vt:variant>
      <vt:variant>
        <vt:i4>5</vt:i4>
      </vt:variant>
      <vt:variant>
        <vt:lpwstr/>
      </vt:variant>
      <vt:variant>
        <vt:lpwstr>Aps_ExpStudioproducts</vt:lpwstr>
      </vt:variant>
      <vt:variant>
        <vt:i4>2490381</vt:i4>
      </vt:variant>
      <vt:variant>
        <vt:i4>1542</vt:i4>
      </vt:variant>
      <vt:variant>
        <vt:i4>0</vt:i4>
      </vt:variant>
      <vt:variant>
        <vt:i4>5</vt:i4>
      </vt:variant>
      <vt:variant>
        <vt:lpwstr/>
      </vt:variant>
      <vt:variant>
        <vt:lpwstr>Aps_ExpStudioproducts</vt:lpwstr>
      </vt:variant>
      <vt:variant>
        <vt:i4>5570621</vt:i4>
      </vt:variant>
      <vt:variant>
        <vt:i4>1539</vt:i4>
      </vt:variant>
      <vt:variant>
        <vt:i4>0</vt:i4>
      </vt:variant>
      <vt:variant>
        <vt:i4>5</vt:i4>
      </vt:variant>
      <vt:variant>
        <vt:lpwstr/>
      </vt:variant>
      <vt:variant>
        <vt:lpwstr>Aps_1BingMapsDesktopandContentPack</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dc:title>
  <dc:creator>Microsoft</dc:creator>
  <cp:lastModifiedBy>Justin Kellogg</cp:lastModifiedBy>
  <cp:revision>3</cp:revision>
  <cp:lastPrinted>2013-09-20T15:36:00Z</cp:lastPrinted>
  <dcterms:created xsi:type="dcterms:W3CDTF">2013-09-30T00:39:00Z</dcterms:created>
  <dcterms:modified xsi:type="dcterms:W3CDTF">2013-09-30T20:02:00Z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0x010100D56A5B1AE2E87F4E9F7D7896DF9BAB7C</vt:lpwstr>
  </property>
</Properties>
</file>